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0768" w14:textId="77777777" w:rsidR="000A7D18" w:rsidRPr="0073162B" w:rsidRDefault="000A7D18" w:rsidP="007A2846">
      <w:pPr>
        <w:spacing w:line="276" w:lineRule="auto"/>
        <w:rPr>
          <w:rFonts w:asciiTheme="majorHAnsi" w:hAnsiTheme="majorHAnsi"/>
        </w:rPr>
      </w:pPr>
    </w:p>
    <w:p w14:paraId="5A80E02B" w14:textId="77777777" w:rsidR="000A7D18" w:rsidRPr="0073162B" w:rsidRDefault="000A7D18" w:rsidP="007A2846">
      <w:pPr>
        <w:spacing w:line="276" w:lineRule="auto"/>
        <w:rPr>
          <w:rFonts w:asciiTheme="majorHAnsi" w:hAnsiTheme="majorHAnsi"/>
        </w:rPr>
      </w:pPr>
    </w:p>
    <w:p w14:paraId="1D24C517" w14:textId="09E10A35" w:rsidR="001B4A75" w:rsidRPr="0073162B" w:rsidRDefault="00BA2F1A" w:rsidP="007A2846">
      <w:pPr>
        <w:spacing w:line="276" w:lineRule="auto"/>
        <w:rPr>
          <w:rFonts w:asciiTheme="majorHAnsi" w:hAnsiTheme="majorHAnsi"/>
          <w:sz w:val="32"/>
          <w:szCs w:val="32"/>
        </w:rPr>
      </w:pPr>
      <w:r w:rsidRPr="0073162B">
        <w:rPr>
          <w:rFonts w:asciiTheme="majorHAnsi" w:hAnsiTheme="majorHAnsi"/>
          <w:sz w:val="32"/>
          <w:szCs w:val="32"/>
        </w:rPr>
        <w:t xml:space="preserve">Pharmacodynamics </w:t>
      </w:r>
      <w:r w:rsidR="007921A9">
        <w:rPr>
          <w:rFonts w:asciiTheme="majorHAnsi" w:hAnsiTheme="majorHAnsi"/>
          <w:sz w:val="32"/>
          <w:szCs w:val="32"/>
        </w:rPr>
        <w:t>for</w:t>
      </w:r>
      <w:r w:rsidRPr="0073162B">
        <w:rPr>
          <w:rFonts w:asciiTheme="majorHAnsi" w:hAnsiTheme="majorHAnsi"/>
          <w:sz w:val="32"/>
          <w:szCs w:val="32"/>
        </w:rPr>
        <w:t xml:space="preserve"> Antifungal Drug Development</w:t>
      </w:r>
      <w:r>
        <w:rPr>
          <w:rFonts w:asciiTheme="majorHAnsi" w:hAnsiTheme="majorHAnsi"/>
          <w:sz w:val="32"/>
          <w:szCs w:val="32"/>
        </w:rPr>
        <w:t>:</w:t>
      </w:r>
      <w:r w:rsidRPr="0073162B">
        <w:rPr>
          <w:rFonts w:asciiTheme="majorHAnsi" w:hAnsiTheme="majorHAnsi"/>
          <w:sz w:val="32"/>
          <w:szCs w:val="32"/>
        </w:rPr>
        <w:t xml:space="preserve"> </w:t>
      </w:r>
      <w:r w:rsidR="0078518E">
        <w:rPr>
          <w:rFonts w:asciiTheme="majorHAnsi" w:hAnsiTheme="majorHAnsi"/>
          <w:sz w:val="32"/>
          <w:szCs w:val="32"/>
        </w:rPr>
        <w:t>an Approach for</w:t>
      </w:r>
      <w:r w:rsidR="00254228">
        <w:rPr>
          <w:rFonts w:asciiTheme="majorHAnsi" w:hAnsiTheme="majorHAnsi"/>
          <w:sz w:val="32"/>
          <w:szCs w:val="32"/>
        </w:rPr>
        <w:t xml:space="preserve"> </w:t>
      </w:r>
      <w:r w:rsidR="001B4A75" w:rsidRPr="0073162B">
        <w:rPr>
          <w:rFonts w:asciiTheme="majorHAnsi" w:hAnsiTheme="majorHAnsi"/>
          <w:sz w:val="32"/>
          <w:szCs w:val="32"/>
        </w:rPr>
        <w:t xml:space="preserve">Acceleration, </w:t>
      </w:r>
      <w:r w:rsidR="00750A58" w:rsidRPr="0073162B">
        <w:rPr>
          <w:rFonts w:asciiTheme="majorHAnsi" w:hAnsiTheme="majorHAnsi"/>
          <w:sz w:val="32"/>
          <w:szCs w:val="32"/>
        </w:rPr>
        <w:t>Risk Minimi</w:t>
      </w:r>
      <w:r w:rsidR="00EB3D77">
        <w:rPr>
          <w:rFonts w:asciiTheme="majorHAnsi" w:hAnsiTheme="majorHAnsi"/>
          <w:sz w:val="32"/>
          <w:szCs w:val="32"/>
        </w:rPr>
        <w:t>s</w:t>
      </w:r>
      <w:r w:rsidR="00750A58" w:rsidRPr="0073162B">
        <w:rPr>
          <w:rFonts w:asciiTheme="majorHAnsi" w:hAnsiTheme="majorHAnsi"/>
          <w:sz w:val="32"/>
          <w:szCs w:val="32"/>
        </w:rPr>
        <w:t>ation</w:t>
      </w:r>
      <w:r w:rsidR="00A06919">
        <w:rPr>
          <w:rFonts w:asciiTheme="majorHAnsi" w:hAnsiTheme="majorHAnsi"/>
          <w:sz w:val="32"/>
          <w:szCs w:val="32"/>
        </w:rPr>
        <w:t xml:space="preserve"> and </w:t>
      </w:r>
      <w:r w:rsidR="00254228">
        <w:rPr>
          <w:rFonts w:asciiTheme="majorHAnsi" w:hAnsiTheme="majorHAnsi"/>
          <w:sz w:val="32"/>
          <w:szCs w:val="32"/>
        </w:rPr>
        <w:t xml:space="preserve">Demonstration of </w:t>
      </w:r>
      <w:r w:rsidR="00A06919">
        <w:rPr>
          <w:rFonts w:asciiTheme="majorHAnsi" w:hAnsiTheme="majorHAnsi"/>
          <w:sz w:val="32"/>
          <w:szCs w:val="32"/>
        </w:rPr>
        <w:t>Causality</w:t>
      </w:r>
    </w:p>
    <w:p w14:paraId="26A9B350" w14:textId="77777777" w:rsidR="00AD0141" w:rsidRPr="007E2A5E" w:rsidRDefault="00AD0141" w:rsidP="007A2846">
      <w:pPr>
        <w:spacing w:line="276" w:lineRule="auto"/>
        <w:rPr>
          <w:rFonts w:asciiTheme="majorHAnsi" w:hAnsiTheme="majorHAnsi"/>
        </w:rPr>
      </w:pPr>
    </w:p>
    <w:p w14:paraId="5750C121" w14:textId="0E041DA2" w:rsidR="00AD0141" w:rsidRPr="007E2A5E" w:rsidRDefault="004F1249" w:rsidP="007A2846">
      <w:pPr>
        <w:spacing w:line="276" w:lineRule="auto"/>
        <w:rPr>
          <w:rFonts w:asciiTheme="majorHAnsi" w:hAnsiTheme="majorHAnsi"/>
        </w:rPr>
      </w:pPr>
      <w:r w:rsidRPr="004F1249">
        <w:rPr>
          <w:rFonts w:asciiTheme="majorHAnsi" w:hAnsiTheme="majorHAnsi"/>
          <w:vertAlign w:val="superscript"/>
        </w:rPr>
        <w:t>1</w:t>
      </w:r>
      <w:r w:rsidR="00AD0141" w:rsidRPr="007E2A5E">
        <w:rPr>
          <w:rFonts w:asciiTheme="majorHAnsi" w:hAnsiTheme="majorHAnsi"/>
        </w:rPr>
        <w:t>William Hope</w:t>
      </w:r>
      <w:r w:rsidR="00981F77">
        <w:rPr>
          <w:rFonts w:asciiTheme="majorHAnsi" w:hAnsiTheme="majorHAnsi"/>
        </w:rPr>
        <w:t>*</w:t>
      </w:r>
      <w:r w:rsidR="00AD0141" w:rsidRPr="007E2A5E">
        <w:rPr>
          <w:rFonts w:asciiTheme="majorHAnsi" w:hAnsiTheme="majorHAnsi"/>
        </w:rPr>
        <w:t xml:space="preserve">, </w:t>
      </w:r>
      <w:r w:rsidRPr="004F1249">
        <w:rPr>
          <w:rFonts w:asciiTheme="majorHAnsi" w:hAnsiTheme="majorHAnsi"/>
          <w:vertAlign w:val="superscript"/>
        </w:rPr>
        <w:t>2</w:t>
      </w:r>
      <w:r w:rsidR="00AD0141" w:rsidRPr="007E2A5E">
        <w:rPr>
          <w:rFonts w:asciiTheme="majorHAnsi" w:hAnsiTheme="majorHAnsi"/>
        </w:rPr>
        <w:t xml:space="preserve">George </w:t>
      </w:r>
      <w:r w:rsidR="0045167E">
        <w:rPr>
          <w:rFonts w:asciiTheme="majorHAnsi" w:hAnsiTheme="majorHAnsi"/>
        </w:rPr>
        <w:t xml:space="preserve">L. </w:t>
      </w:r>
      <w:r w:rsidR="00AD0141" w:rsidRPr="007E2A5E">
        <w:rPr>
          <w:rFonts w:asciiTheme="majorHAnsi" w:hAnsiTheme="majorHAnsi"/>
        </w:rPr>
        <w:t xml:space="preserve">Drusano, </w:t>
      </w:r>
      <w:r w:rsidRPr="004F1249">
        <w:rPr>
          <w:rFonts w:asciiTheme="majorHAnsi" w:hAnsiTheme="majorHAnsi"/>
          <w:vertAlign w:val="superscript"/>
        </w:rPr>
        <w:t>3</w:t>
      </w:r>
      <w:r w:rsidR="00AD0141" w:rsidRPr="007E2A5E">
        <w:rPr>
          <w:rFonts w:asciiTheme="majorHAnsi" w:hAnsiTheme="majorHAnsi"/>
        </w:rPr>
        <w:t>John H</w:t>
      </w:r>
      <w:r w:rsidR="0045167E">
        <w:rPr>
          <w:rFonts w:asciiTheme="majorHAnsi" w:hAnsiTheme="majorHAnsi"/>
        </w:rPr>
        <w:t>.</w:t>
      </w:r>
      <w:r w:rsidR="00AD0141" w:rsidRPr="007E2A5E">
        <w:rPr>
          <w:rFonts w:asciiTheme="majorHAnsi" w:hAnsiTheme="majorHAnsi"/>
        </w:rPr>
        <w:t xml:space="preserve"> Rex</w:t>
      </w:r>
    </w:p>
    <w:p w14:paraId="500DEA40" w14:textId="77777777" w:rsidR="009260AC" w:rsidRDefault="009260AC" w:rsidP="007A2846">
      <w:pPr>
        <w:spacing w:line="276" w:lineRule="auto"/>
        <w:rPr>
          <w:rFonts w:asciiTheme="majorHAnsi" w:hAnsiTheme="majorHAnsi"/>
        </w:rPr>
      </w:pPr>
    </w:p>
    <w:p w14:paraId="40E07C3B" w14:textId="5E544C48" w:rsidR="006C7B86" w:rsidRDefault="006C7B86" w:rsidP="007A2846">
      <w:pPr>
        <w:spacing w:line="276" w:lineRule="auto"/>
        <w:rPr>
          <w:rFonts w:asciiTheme="majorHAnsi" w:hAnsiTheme="majorHAnsi"/>
        </w:rPr>
      </w:pPr>
      <w:r>
        <w:rPr>
          <w:rFonts w:asciiTheme="majorHAnsi" w:hAnsiTheme="majorHAnsi"/>
          <w:vertAlign w:val="superscript"/>
        </w:rPr>
        <w:t>1</w:t>
      </w:r>
      <w:r>
        <w:rPr>
          <w:rFonts w:asciiTheme="majorHAnsi" w:hAnsiTheme="majorHAnsi"/>
        </w:rPr>
        <w:t xml:space="preserve">University of Liverpool (Liverpool, UK), </w:t>
      </w:r>
      <w:r w:rsidRPr="006C7B86">
        <w:rPr>
          <w:rFonts w:asciiTheme="majorHAnsi" w:hAnsiTheme="majorHAnsi"/>
          <w:vertAlign w:val="superscript"/>
        </w:rPr>
        <w:t>2</w:t>
      </w:r>
      <w:r>
        <w:rPr>
          <w:rFonts w:asciiTheme="majorHAnsi" w:hAnsiTheme="majorHAnsi"/>
        </w:rPr>
        <w:t>University of Florida (</w:t>
      </w:r>
      <w:r w:rsidR="00117EA8">
        <w:rPr>
          <w:rFonts w:asciiTheme="majorHAnsi" w:hAnsiTheme="majorHAnsi"/>
        </w:rPr>
        <w:t>Lake Nona</w:t>
      </w:r>
      <w:r>
        <w:rPr>
          <w:rFonts w:asciiTheme="majorHAnsi" w:hAnsiTheme="majorHAnsi"/>
        </w:rPr>
        <w:t xml:space="preserve">, FL), </w:t>
      </w:r>
      <w:r w:rsidR="00981F77">
        <w:rPr>
          <w:rFonts w:asciiTheme="majorHAnsi" w:hAnsiTheme="majorHAnsi"/>
        </w:rPr>
        <w:t xml:space="preserve">USA, </w:t>
      </w:r>
      <w:r w:rsidRPr="006C7B86">
        <w:rPr>
          <w:rFonts w:asciiTheme="majorHAnsi" w:hAnsiTheme="majorHAnsi"/>
          <w:vertAlign w:val="superscript"/>
        </w:rPr>
        <w:t>3</w:t>
      </w:r>
      <w:r w:rsidRPr="006C7B86">
        <w:rPr>
          <w:rFonts w:asciiTheme="majorHAnsi" w:hAnsiTheme="majorHAnsi"/>
        </w:rPr>
        <w:t>AstraZeneca Pharmaceuticals (Waltham, MA, USA) and F2G Pharmaceuticals (</w:t>
      </w:r>
      <w:proofErr w:type="spellStart"/>
      <w:r w:rsidRPr="006C7B86">
        <w:rPr>
          <w:rFonts w:asciiTheme="majorHAnsi" w:hAnsiTheme="majorHAnsi"/>
        </w:rPr>
        <w:t>Eccles</w:t>
      </w:r>
      <w:proofErr w:type="spellEnd"/>
      <w:r w:rsidRPr="006C7B86">
        <w:rPr>
          <w:rFonts w:asciiTheme="majorHAnsi" w:hAnsiTheme="majorHAnsi"/>
        </w:rPr>
        <w:t>, Cheshire, United Kingdom)</w:t>
      </w:r>
    </w:p>
    <w:p w14:paraId="7F0ABB3F" w14:textId="77777777" w:rsidR="006C7B86" w:rsidRPr="007E2A5E" w:rsidRDefault="006C7B86" w:rsidP="007A2846">
      <w:pPr>
        <w:spacing w:line="276" w:lineRule="auto"/>
        <w:rPr>
          <w:rFonts w:asciiTheme="majorHAnsi" w:hAnsiTheme="majorHAnsi"/>
        </w:rPr>
      </w:pPr>
    </w:p>
    <w:p w14:paraId="59BE5B98" w14:textId="40A8359D" w:rsidR="009260AC" w:rsidRPr="0073162B" w:rsidRDefault="00981F77" w:rsidP="007A2846">
      <w:pPr>
        <w:tabs>
          <w:tab w:val="left" w:pos="6379"/>
        </w:tabs>
        <w:spacing w:line="276" w:lineRule="auto"/>
        <w:rPr>
          <w:rFonts w:asciiTheme="majorHAnsi" w:hAnsiTheme="majorHAnsi"/>
          <w:lang w:val="en-US"/>
        </w:rPr>
      </w:pPr>
      <w:r>
        <w:rPr>
          <w:rFonts w:asciiTheme="majorHAnsi" w:hAnsiTheme="majorHAnsi"/>
          <w:lang w:val="en-US"/>
        </w:rPr>
        <w:t>*</w:t>
      </w:r>
      <w:r w:rsidR="009260AC" w:rsidRPr="0073162B">
        <w:rPr>
          <w:rFonts w:asciiTheme="majorHAnsi" w:hAnsiTheme="majorHAnsi"/>
          <w:lang w:val="en-US"/>
        </w:rPr>
        <w:t>Corresponding author:</w:t>
      </w:r>
    </w:p>
    <w:p w14:paraId="76CCABDC"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William Hope</w:t>
      </w:r>
    </w:p>
    <w:p w14:paraId="24EA085E"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Antimicrobial Pharmacodynamics and Therapeutics</w:t>
      </w:r>
    </w:p>
    <w:p w14:paraId="414FB1ED"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University of Liverpool</w:t>
      </w:r>
    </w:p>
    <w:p w14:paraId="29699848" w14:textId="195136EC"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Sherrington Building</w:t>
      </w:r>
    </w:p>
    <w:p w14:paraId="5303CB10"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Ashton Street</w:t>
      </w:r>
    </w:p>
    <w:p w14:paraId="5391F489"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Liverpool L69 3GE, United Kingdom</w:t>
      </w:r>
    </w:p>
    <w:p w14:paraId="215F0FCD" w14:textId="77777777" w:rsidR="009260AC" w:rsidRPr="0073162B" w:rsidRDefault="009260AC" w:rsidP="007A2846">
      <w:pPr>
        <w:tabs>
          <w:tab w:val="left" w:pos="6379"/>
        </w:tabs>
        <w:spacing w:line="276" w:lineRule="auto"/>
        <w:rPr>
          <w:rFonts w:asciiTheme="majorHAnsi" w:hAnsiTheme="majorHAnsi"/>
          <w:lang w:val="en-US"/>
        </w:rPr>
      </w:pPr>
      <w:proofErr w:type="gramStart"/>
      <w:r w:rsidRPr="0073162B">
        <w:rPr>
          <w:rFonts w:asciiTheme="majorHAnsi" w:hAnsiTheme="majorHAnsi"/>
          <w:lang w:val="en-US"/>
        </w:rPr>
        <w:t>email</w:t>
      </w:r>
      <w:proofErr w:type="gramEnd"/>
      <w:r w:rsidRPr="0073162B">
        <w:rPr>
          <w:rFonts w:asciiTheme="majorHAnsi" w:hAnsiTheme="majorHAnsi"/>
          <w:lang w:val="en-US"/>
        </w:rPr>
        <w:t>: william.hope@liverpool.ac.uk</w:t>
      </w:r>
    </w:p>
    <w:p w14:paraId="56EDF1C1" w14:textId="77777777" w:rsidR="009260AC" w:rsidRPr="0073162B" w:rsidRDefault="009260AC" w:rsidP="007A2846">
      <w:pPr>
        <w:tabs>
          <w:tab w:val="left" w:pos="6379"/>
        </w:tabs>
        <w:spacing w:line="276" w:lineRule="auto"/>
        <w:rPr>
          <w:rFonts w:asciiTheme="majorHAnsi" w:hAnsiTheme="majorHAnsi"/>
          <w:lang w:val="en-US"/>
        </w:rPr>
      </w:pPr>
      <w:r w:rsidRPr="0073162B">
        <w:rPr>
          <w:rFonts w:asciiTheme="majorHAnsi" w:hAnsiTheme="majorHAnsi"/>
          <w:lang w:val="en-US"/>
        </w:rPr>
        <w:t>Telephone: +44 (</w:t>
      </w:r>
      <w:proofErr w:type="gramStart"/>
      <w:r w:rsidRPr="0073162B">
        <w:rPr>
          <w:rFonts w:asciiTheme="majorHAnsi" w:hAnsiTheme="majorHAnsi"/>
          <w:lang w:val="en-US"/>
        </w:rPr>
        <w:t>0)151</w:t>
      </w:r>
      <w:proofErr w:type="gramEnd"/>
      <w:r w:rsidRPr="0073162B">
        <w:rPr>
          <w:rFonts w:asciiTheme="majorHAnsi" w:hAnsiTheme="majorHAnsi"/>
          <w:lang w:val="en-US"/>
        </w:rPr>
        <w:t xml:space="preserve"> 794 5941</w:t>
      </w:r>
    </w:p>
    <w:p w14:paraId="0160617E" w14:textId="77777777" w:rsidR="006C7B86" w:rsidRDefault="006C7B86" w:rsidP="007A2846">
      <w:pPr>
        <w:tabs>
          <w:tab w:val="left" w:pos="6379"/>
        </w:tabs>
        <w:spacing w:line="276" w:lineRule="auto"/>
        <w:rPr>
          <w:rFonts w:asciiTheme="majorHAnsi" w:hAnsiTheme="majorHAnsi"/>
          <w:lang w:val="en-US"/>
        </w:rPr>
      </w:pPr>
    </w:p>
    <w:p w14:paraId="58C0AECD" w14:textId="77777777" w:rsidR="009260AC" w:rsidRDefault="009260AC" w:rsidP="007A2846">
      <w:pPr>
        <w:spacing w:line="276" w:lineRule="auto"/>
        <w:rPr>
          <w:rFonts w:asciiTheme="majorHAnsi" w:hAnsiTheme="majorHAnsi"/>
        </w:rPr>
      </w:pPr>
    </w:p>
    <w:p w14:paraId="72FEDDE3" w14:textId="77777777" w:rsidR="00FA45D0" w:rsidRPr="007E2A5E" w:rsidRDefault="00FA45D0" w:rsidP="007A2846">
      <w:pPr>
        <w:spacing w:line="276" w:lineRule="auto"/>
        <w:rPr>
          <w:rFonts w:asciiTheme="majorHAnsi" w:hAnsiTheme="majorHAnsi"/>
        </w:rPr>
      </w:pPr>
      <w:r>
        <w:rPr>
          <w:rFonts w:asciiTheme="majorHAnsi" w:hAnsiTheme="majorHAnsi"/>
        </w:rPr>
        <w:t>Keywords: Pharmacokinetics, pharmacodynamics, PK-PD, antifungal, FDA, EMA, drug, development</w:t>
      </w:r>
    </w:p>
    <w:p w14:paraId="3693517D" w14:textId="77777777" w:rsidR="00245810" w:rsidRPr="007E2A5E" w:rsidRDefault="00245810" w:rsidP="007A2846">
      <w:pPr>
        <w:spacing w:line="276" w:lineRule="auto"/>
        <w:rPr>
          <w:rFonts w:asciiTheme="majorHAnsi" w:hAnsiTheme="majorHAnsi"/>
        </w:rPr>
      </w:pPr>
      <w:r w:rsidRPr="007E2A5E">
        <w:rPr>
          <w:rFonts w:asciiTheme="majorHAnsi" w:hAnsiTheme="majorHAnsi"/>
        </w:rPr>
        <w:br w:type="page"/>
      </w:r>
    </w:p>
    <w:p w14:paraId="4CAA0459" w14:textId="77777777" w:rsidR="009706E7" w:rsidRDefault="009706E7" w:rsidP="007A2846">
      <w:pPr>
        <w:spacing w:line="276" w:lineRule="auto"/>
        <w:rPr>
          <w:rFonts w:asciiTheme="majorHAnsi" w:hAnsiTheme="majorHAnsi"/>
          <w:u w:val="single"/>
        </w:rPr>
      </w:pPr>
      <w:r>
        <w:rPr>
          <w:rFonts w:asciiTheme="majorHAnsi" w:hAnsiTheme="majorHAnsi"/>
          <w:u w:val="single"/>
        </w:rPr>
        <w:lastRenderedPageBreak/>
        <w:t>ABSTRACT</w:t>
      </w:r>
    </w:p>
    <w:p w14:paraId="31759F4D" w14:textId="77777777" w:rsidR="009706E7" w:rsidRPr="000B4809" w:rsidRDefault="00C14531" w:rsidP="007A2846">
      <w:pPr>
        <w:spacing w:line="276" w:lineRule="auto"/>
        <w:rPr>
          <w:rFonts w:asciiTheme="majorHAnsi" w:hAnsiTheme="majorHAnsi"/>
        </w:rPr>
      </w:pPr>
      <w:r>
        <w:rPr>
          <w:rFonts w:asciiTheme="majorHAnsi" w:hAnsiTheme="majorHAnsi"/>
        </w:rPr>
        <w:t>The treatment of i</w:t>
      </w:r>
      <w:r w:rsidR="000B4809" w:rsidRPr="000B4809">
        <w:rPr>
          <w:rFonts w:asciiTheme="majorHAnsi" w:hAnsiTheme="majorHAnsi"/>
        </w:rPr>
        <w:t xml:space="preserve">nvasive </w:t>
      </w:r>
      <w:r w:rsidR="000B4809">
        <w:rPr>
          <w:rFonts w:asciiTheme="majorHAnsi" w:hAnsiTheme="majorHAnsi"/>
        </w:rPr>
        <w:t xml:space="preserve">fungal diseases </w:t>
      </w:r>
      <w:r w:rsidR="00C95796">
        <w:rPr>
          <w:rFonts w:asciiTheme="majorHAnsi" w:hAnsiTheme="majorHAnsi"/>
        </w:rPr>
        <w:t>constitutes a significant</w:t>
      </w:r>
      <w:r>
        <w:rPr>
          <w:rFonts w:asciiTheme="majorHAnsi" w:hAnsiTheme="majorHAnsi"/>
        </w:rPr>
        <w:t xml:space="preserve"> unmet medical need.  </w:t>
      </w:r>
      <w:r w:rsidR="00AF40B4">
        <w:rPr>
          <w:rFonts w:asciiTheme="majorHAnsi" w:hAnsiTheme="majorHAnsi"/>
        </w:rPr>
        <w:t>T</w:t>
      </w:r>
      <w:r w:rsidR="004E0814">
        <w:rPr>
          <w:rFonts w:asciiTheme="majorHAnsi" w:hAnsiTheme="majorHAnsi"/>
        </w:rPr>
        <w:t xml:space="preserve">here are relatively few </w:t>
      </w:r>
      <w:r w:rsidR="00C95796">
        <w:rPr>
          <w:rFonts w:asciiTheme="majorHAnsi" w:hAnsiTheme="majorHAnsi"/>
        </w:rPr>
        <w:t xml:space="preserve">antifungal </w:t>
      </w:r>
      <w:r w:rsidR="004E0814">
        <w:rPr>
          <w:rFonts w:asciiTheme="majorHAnsi" w:hAnsiTheme="majorHAnsi"/>
        </w:rPr>
        <w:t>agents</w:t>
      </w:r>
      <w:r w:rsidR="00AF40B4">
        <w:rPr>
          <w:rFonts w:asciiTheme="majorHAnsi" w:hAnsiTheme="majorHAnsi"/>
        </w:rPr>
        <w:t xml:space="preserve"> </w:t>
      </w:r>
      <w:r w:rsidR="009F5C94">
        <w:rPr>
          <w:rFonts w:asciiTheme="majorHAnsi" w:hAnsiTheme="majorHAnsi"/>
        </w:rPr>
        <w:t>in cl</w:t>
      </w:r>
      <w:r w:rsidR="00970855">
        <w:rPr>
          <w:rFonts w:asciiTheme="majorHAnsi" w:hAnsiTheme="majorHAnsi"/>
        </w:rPr>
        <w:t xml:space="preserve">inical development and paucity </w:t>
      </w:r>
      <w:r w:rsidR="009F5C94">
        <w:rPr>
          <w:rFonts w:asciiTheme="majorHAnsi" w:hAnsiTheme="majorHAnsi"/>
        </w:rPr>
        <w:t>of novel targets.  Morbidity and mortality remain high and clinical outcomes are compromised by submaximal efficacy, emergence of drug resistance and drug related toxicity</w:t>
      </w:r>
      <w:r w:rsidR="00B13790">
        <w:rPr>
          <w:rFonts w:asciiTheme="majorHAnsi" w:hAnsiTheme="majorHAnsi"/>
        </w:rPr>
        <w:t xml:space="preserve">.  </w:t>
      </w:r>
      <w:r w:rsidR="00C95796">
        <w:rPr>
          <w:rFonts w:asciiTheme="majorHAnsi" w:hAnsiTheme="majorHAnsi"/>
        </w:rPr>
        <w:t xml:space="preserve">Thus, new </w:t>
      </w:r>
      <w:r w:rsidR="00D6430D">
        <w:rPr>
          <w:rFonts w:asciiTheme="majorHAnsi" w:hAnsiTheme="majorHAnsi"/>
        </w:rPr>
        <w:t xml:space="preserve">antifungal </w:t>
      </w:r>
      <w:r w:rsidR="00C95796">
        <w:rPr>
          <w:rFonts w:asciiTheme="majorHAnsi" w:hAnsiTheme="majorHAnsi"/>
        </w:rPr>
        <w:t xml:space="preserve">agents are urgently required.  </w:t>
      </w:r>
      <w:r w:rsidR="003B5B3A">
        <w:rPr>
          <w:rFonts w:asciiTheme="majorHAnsi" w:hAnsiTheme="majorHAnsi"/>
        </w:rPr>
        <w:t>A deep</w:t>
      </w:r>
      <w:r w:rsidR="00B13790">
        <w:rPr>
          <w:rFonts w:asciiTheme="majorHAnsi" w:hAnsiTheme="majorHAnsi"/>
        </w:rPr>
        <w:t xml:space="preserve"> understanding of exposure response relationships </w:t>
      </w:r>
      <w:r w:rsidR="003B5B3A">
        <w:rPr>
          <w:rFonts w:asciiTheme="majorHAnsi" w:hAnsiTheme="majorHAnsi"/>
        </w:rPr>
        <w:t>underpins</w:t>
      </w:r>
      <w:r w:rsidR="00B13790">
        <w:rPr>
          <w:rFonts w:asciiTheme="majorHAnsi" w:hAnsiTheme="majorHAnsi"/>
        </w:rPr>
        <w:t xml:space="preserve"> the development of safe and effective </w:t>
      </w:r>
      <w:r w:rsidR="003B5B3A">
        <w:rPr>
          <w:rFonts w:asciiTheme="majorHAnsi" w:hAnsiTheme="majorHAnsi"/>
        </w:rPr>
        <w:t xml:space="preserve">clinical </w:t>
      </w:r>
      <w:r w:rsidR="00B13790">
        <w:rPr>
          <w:rFonts w:asciiTheme="majorHAnsi" w:hAnsiTheme="majorHAnsi"/>
        </w:rPr>
        <w:t>regimens</w:t>
      </w:r>
      <w:r w:rsidR="003F46A2">
        <w:rPr>
          <w:rFonts w:asciiTheme="majorHAnsi" w:hAnsiTheme="majorHAnsi"/>
        </w:rPr>
        <w:t xml:space="preserve"> of any therapeutic agent</w:t>
      </w:r>
      <w:r w:rsidR="00756CBF">
        <w:rPr>
          <w:rFonts w:asciiTheme="majorHAnsi" w:hAnsiTheme="majorHAnsi"/>
        </w:rPr>
        <w:t>.</w:t>
      </w:r>
      <w:r w:rsidR="00B13790">
        <w:rPr>
          <w:rFonts w:asciiTheme="majorHAnsi" w:hAnsiTheme="majorHAnsi"/>
        </w:rPr>
        <w:t xml:space="preserve"> </w:t>
      </w:r>
      <w:r w:rsidR="00DB15F8">
        <w:rPr>
          <w:rFonts w:asciiTheme="majorHAnsi" w:hAnsiTheme="majorHAnsi"/>
        </w:rPr>
        <w:t xml:space="preserve"> </w:t>
      </w:r>
      <w:r w:rsidR="003B5B3A">
        <w:rPr>
          <w:rFonts w:asciiTheme="majorHAnsi" w:hAnsiTheme="majorHAnsi"/>
        </w:rPr>
        <w:t>Pharmacokinetics and pharmacodynamics (PK-PD)</w:t>
      </w:r>
      <w:r w:rsidR="00E55441">
        <w:rPr>
          <w:rFonts w:asciiTheme="majorHAnsi" w:hAnsiTheme="majorHAnsi"/>
        </w:rPr>
        <w:t xml:space="preserve"> is increasingly recognized as a vital tool in the development of new antimicrobial</w:t>
      </w:r>
      <w:r w:rsidR="009E6234">
        <w:rPr>
          <w:rFonts w:asciiTheme="majorHAnsi" w:hAnsiTheme="majorHAnsi"/>
        </w:rPr>
        <w:t xml:space="preserve"> agents</w:t>
      </w:r>
      <w:r w:rsidR="00EB2ADB">
        <w:rPr>
          <w:rFonts w:asciiTheme="majorHAnsi" w:hAnsiTheme="majorHAnsi"/>
        </w:rPr>
        <w:t xml:space="preserve">, and maximises the </w:t>
      </w:r>
      <w:r w:rsidR="003F46A2">
        <w:rPr>
          <w:rFonts w:asciiTheme="majorHAnsi" w:hAnsiTheme="majorHAnsi"/>
        </w:rPr>
        <w:t>probability</w:t>
      </w:r>
      <w:r w:rsidR="00EB2ADB">
        <w:rPr>
          <w:rFonts w:asciiTheme="majorHAnsi" w:hAnsiTheme="majorHAnsi"/>
        </w:rPr>
        <w:t xml:space="preserve"> that the right dose will be studied the first time</w:t>
      </w:r>
      <w:r w:rsidR="009E6234">
        <w:rPr>
          <w:rFonts w:asciiTheme="majorHAnsi" w:hAnsiTheme="majorHAnsi"/>
        </w:rPr>
        <w:t xml:space="preserve">. </w:t>
      </w:r>
      <w:r w:rsidR="00EB2ADB">
        <w:rPr>
          <w:rFonts w:asciiTheme="majorHAnsi" w:hAnsiTheme="majorHAnsi"/>
        </w:rPr>
        <w:t xml:space="preserve"> T</w:t>
      </w:r>
      <w:r w:rsidR="009E6234">
        <w:rPr>
          <w:rFonts w:asciiTheme="majorHAnsi" w:hAnsiTheme="majorHAnsi"/>
        </w:rPr>
        <w:t xml:space="preserve">here is </w:t>
      </w:r>
      <w:r w:rsidR="00EB2ADB">
        <w:rPr>
          <w:rFonts w:asciiTheme="majorHAnsi" w:hAnsiTheme="majorHAnsi"/>
        </w:rPr>
        <w:t xml:space="preserve">currently </w:t>
      </w:r>
      <w:r w:rsidR="009E6234">
        <w:rPr>
          <w:rFonts w:asciiTheme="majorHAnsi" w:hAnsiTheme="majorHAnsi"/>
        </w:rPr>
        <w:t>no information or agreement as to what constitutes a</w:t>
      </w:r>
      <w:r w:rsidR="0024748F">
        <w:rPr>
          <w:rFonts w:asciiTheme="majorHAnsi" w:hAnsiTheme="majorHAnsi"/>
        </w:rPr>
        <w:t>n adequate</w:t>
      </w:r>
      <w:r w:rsidR="009E6234">
        <w:rPr>
          <w:rFonts w:asciiTheme="majorHAnsi" w:hAnsiTheme="majorHAnsi"/>
        </w:rPr>
        <w:t xml:space="preserve"> </w:t>
      </w:r>
      <w:r w:rsidR="0024748F">
        <w:rPr>
          <w:rFonts w:asciiTheme="majorHAnsi" w:hAnsiTheme="majorHAnsi"/>
        </w:rPr>
        <w:t xml:space="preserve">PK-PD </w:t>
      </w:r>
      <w:r w:rsidR="009E6234">
        <w:rPr>
          <w:rFonts w:asciiTheme="majorHAnsi" w:hAnsiTheme="majorHAnsi"/>
        </w:rPr>
        <w:t xml:space="preserve">package </w:t>
      </w:r>
      <w:r w:rsidR="0024748F">
        <w:rPr>
          <w:rFonts w:asciiTheme="majorHAnsi" w:hAnsiTheme="majorHAnsi"/>
        </w:rPr>
        <w:t xml:space="preserve">for the development of a new antifungal agent.  This review </w:t>
      </w:r>
      <w:r w:rsidR="00C7052E">
        <w:rPr>
          <w:rFonts w:asciiTheme="majorHAnsi" w:hAnsiTheme="majorHAnsi"/>
        </w:rPr>
        <w:t xml:space="preserve">provides a summary of the achievements of antifungal PK-PD </w:t>
      </w:r>
      <w:r w:rsidR="00EB2ADB">
        <w:rPr>
          <w:rFonts w:asciiTheme="majorHAnsi" w:hAnsiTheme="majorHAnsi"/>
        </w:rPr>
        <w:t xml:space="preserve">for the treatment of invasive candidiasis, invasive aspergillosis and </w:t>
      </w:r>
      <w:r w:rsidR="00D006CA">
        <w:rPr>
          <w:rFonts w:asciiTheme="majorHAnsi" w:hAnsiTheme="majorHAnsi"/>
        </w:rPr>
        <w:t>cryptococca</w:t>
      </w:r>
      <w:r w:rsidR="003F46A2">
        <w:rPr>
          <w:rFonts w:asciiTheme="majorHAnsi" w:hAnsiTheme="majorHAnsi"/>
        </w:rPr>
        <w:t>l meningoencephalitis and</w:t>
      </w:r>
      <w:r w:rsidR="00D006CA">
        <w:rPr>
          <w:rFonts w:asciiTheme="majorHAnsi" w:hAnsiTheme="majorHAnsi"/>
        </w:rPr>
        <w:t xml:space="preserve"> </w:t>
      </w:r>
      <w:r w:rsidR="003F46A2">
        <w:rPr>
          <w:rFonts w:asciiTheme="majorHAnsi" w:hAnsiTheme="majorHAnsi"/>
        </w:rPr>
        <w:t>outlines</w:t>
      </w:r>
      <w:r w:rsidR="00D006CA">
        <w:rPr>
          <w:rFonts w:asciiTheme="majorHAnsi" w:hAnsiTheme="majorHAnsi"/>
        </w:rPr>
        <w:t xml:space="preserve"> </w:t>
      </w:r>
      <w:r w:rsidR="00C7052E">
        <w:rPr>
          <w:rFonts w:asciiTheme="majorHAnsi" w:hAnsiTheme="majorHAnsi"/>
        </w:rPr>
        <w:t xml:space="preserve">the necessary components of a PK-PD package for a new antifungal agent. </w:t>
      </w:r>
      <w:r w:rsidR="00D006CA">
        <w:rPr>
          <w:rFonts w:asciiTheme="majorHAnsi" w:hAnsiTheme="majorHAnsi"/>
        </w:rPr>
        <w:t xml:space="preserve"> Such information is critical for the accelerated and efficient development of new </w:t>
      </w:r>
      <w:r w:rsidR="00D6430D">
        <w:rPr>
          <w:rFonts w:asciiTheme="majorHAnsi" w:hAnsiTheme="majorHAnsi"/>
        </w:rPr>
        <w:t xml:space="preserve">agents </w:t>
      </w:r>
      <w:r w:rsidR="00D210A2">
        <w:rPr>
          <w:rFonts w:asciiTheme="majorHAnsi" w:hAnsiTheme="majorHAnsi"/>
        </w:rPr>
        <w:t xml:space="preserve">and </w:t>
      </w:r>
      <w:r w:rsidR="003A6D60">
        <w:rPr>
          <w:rFonts w:asciiTheme="majorHAnsi" w:hAnsiTheme="majorHAnsi"/>
        </w:rPr>
        <w:t xml:space="preserve">enables </w:t>
      </w:r>
      <w:r w:rsidR="00D210A2">
        <w:rPr>
          <w:rFonts w:asciiTheme="majorHAnsi" w:hAnsiTheme="majorHAnsi"/>
        </w:rPr>
        <w:t xml:space="preserve">improved clinical outcomes </w:t>
      </w:r>
      <w:r w:rsidR="003A6D60">
        <w:rPr>
          <w:rFonts w:asciiTheme="majorHAnsi" w:hAnsiTheme="majorHAnsi"/>
        </w:rPr>
        <w:t xml:space="preserve">to be </w:t>
      </w:r>
      <w:r w:rsidR="00D210A2">
        <w:rPr>
          <w:rFonts w:asciiTheme="majorHAnsi" w:hAnsiTheme="majorHAnsi"/>
        </w:rPr>
        <w:t>secured</w:t>
      </w:r>
      <w:r w:rsidR="00D6430D">
        <w:rPr>
          <w:rFonts w:asciiTheme="majorHAnsi" w:hAnsiTheme="majorHAnsi"/>
        </w:rPr>
        <w:t>.</w:t>
      </w:r>
    </w:p>
    <w:p w14:paraId="086D2611" w14:textId="77777777" w:rsidR="009706E7" w:rsidRDefault="009706E7" w:rsidP="007A2846">
      <w:pPr>
        <w:spacing w:line="276" w:lineRule="auto"/>
        <w:rPr>
          <w:rFonts w:asciiTheme="majorHAnsi" w:hAnsiTheme="majorHAnsi"/>
          <w:u w:val="single"/>
        </w:rPr>
      </w:pPr>
    </w:p>
    <w:p w14:paraId="5E5A0C87" w14:textId="77777777" w:rsidR="009706E7" w:rsidRDefault="009706E7" w:rsidP="007A2846">
      <w:pPr>
        <w:spacing w:line="276" w:lineRule="auto"/>
        <w:rPr>
          <w:rFonts w:asciiTheme="majorHAnsi" w:hAnsiTheme="majorHAnsi"/>
          <w:u w:val="single"/>
        </w:rPr>
      </w:pPr>
      <w:r>
        <w:rPr>
          <w:rFonts w:asciiTheme="majorHAnsi" w:hAnsiTheme="majorHAnsi"/>
          <w:u w:val="single"/>
        </w:rPr>
        <w:br w:type="page"/>
      </w:r>
    </w:p>
    <w:p w14:paraId="3F9F7348" w14:textId="77777777" w:rsidR="00F57104" w:rsidRPr="007E2A5E" w:rsidRDefault="004B07FF" w:rsidP="007A2846">
      <w:pPr>
        <w:spacing w:line="276" w:lineRule="auto"/>
        <w:rPr>
          <w:rFonts w:asciiTheme="majorHAnsi" w:hAnsiTheme="majorHAnsi"/>
          <w:u w:val="single"/>
        </w:rPr>
      </w:pPr>
      <w:r w:rsidRPr="007E2A5E">
        <w:rPr>
          <w:rFonts w:asciiTheme="majorHAnsi" w:hAnsiTheme="majorHAnsi"/>
          <w:u w:val="single"/>
        </w:rPr>
        <w:lastRenderedPageBreak/>
        <w:t xml:space="preserve">1. </w:t>
      </w:r>
      <w:r w:rsidR="00142EF4" w:rsidRPr="007E2A5E">
        <w:rPr>
          <w:rFonts w:asciiTheme="majorHAnsi" w:hAnsiTheme="majorHAnsi"/>
          <w:u w:val="single"/>
        </w:rPr>
        <w:t>I</w:t>
      </w:r>
      <w:r w:rsidR="00C04B7A" w:rsidRPr="007E2A5E">
        <w:rPr>
          <w:rFonts w:asciiTheme="majorHAnsi" w:hAnsiTheme="majorHAnsi"/>
          <w:u w:val="single"/>
        </w:rPr>
        <w:t>NTRODUCTION</w:t>
      </w:r>
    </w:p>
    <w:p w14:paraId="63165BA2" w14:textId="77777777" w:rsidR="00B41845" w:rsidRPr="007E2A5E" w:rsidRDefault="00E17A7C" w:rsidP="007A2846">
      <w:pPr>
        <w:spacing w:line="276" w:lineRule="auto"/>
        <w:rPr>
          <w:rFonts w:asciiTheme="majorHAnsi" w:hAnsiTheme="majorHAnsi"/>
        </w:rPr>
      </w:pPr>
      <w:r w:rsidRPr="007E2A5E">
        <w:rPr>
          <w:rFonts w:asciiTheme="majorHAnsi" w:hAnsiTheme="majorHAnsi"/>
        </w:rPr>
        <w:tab/>
        <w:t xml:space="preserve">Invasive fungal </w:t>
      </w:r>
      <w:r w:rsidR="004044ED" w:rsidRPr="007E2A5E">
        <w:rPr>
          <w:rFonts w:asciiTheme="majorHAnsi" w:hAnsiTheme="majorHAnsi"/>
        </w:rPr>
        <w:t xml:space="preserve">diseases (IFDs) </w:t>
      </w:r>
      <w:r w:rsidRPr="007E2A5E">
        <w:rPr>
          <w:rFonts w:asciiTheme="majorHAnsi" w:hAnsiTheme="majorHAnsi"/>
        </w:rPr>
        <w:t xml:space="preserve">are </w:t>
      </w:r>
      <w:r w:rsidR="00CE22FE" w:rsidRPr="007E2A5E">
        <w:rPr>
          <w:rFonts w:asciiTheme="majorHAnsi" w:hAnsiTheme="majorHAnsi"/>
        </w:rPr>
        <w:t xml:space="preserve">a persistent </w:t>
      </w:r>
      <w:r w:rsidR="0077681F" w:rsidRPr="007E2A5E">
        <w:rPr>
          <w:rFonts w:asciiTheme="majorHAnsi" w:hAnsiTheme="majorHAnsi"/>
        </w:rPr>
        <w:t>clinical challenge</w:t>
      </w:r>
      <w:r w:rsidRPr="007E2A5E">
        <w:rPr>
          <w:rFonts w:asciiTheme="majorHAnsi" w:hAnsiTheme="majorHAnsi"/>
        </w:rPr>
        <w:t>.</w:t>
      </w:r>
      <w:r w:rsidR="006C7B86">
        <w:rPr>
          <w:rFonts w:asciiTheme="majorHAnsi" w:hAnsiTheme="majorHAnsi"/>
        </w:rPr>
        <w:t xml:space="preserve"> </w:t>
      </w:r>
      <w:r w:rsidR="00954750" w:rsidRPr="007E2A5E">
        <w:rPr>
          <w:rFonts w:asciiTheme="majorHAnsi" w:hAnsiTheme="majorHAnsi"/>
        </w:rPr>
        <w:t xml:space="preserve">They predominantly occur in patients with </w:t>
      </w:r>
      <w:r w:rsidR="00046BA8" w:rsidRPr="007E2A5E">
        <w:rPr>
          <w:rFonts w:asciiTheme="majorHAnsi" w:hAnsiTheme="majorHAnsi"/>
        </w:rPr>
        <w:t>significant abnormalities of unde</w:t>
      </w:r>
      <w:r w:rsidR="00924716" w:rsidRPr="007E2A5E">
        <w:rPr>
          <w:rFonts w:asciiTheme="majorHAnsi" w:hAnsiTheme="majorHAnsi"/>
        </w:rPr>
        <w:t xml:space="preserve">rlying immunity, </w:t>
      </w:r>
      <w:r w:rsidR="004E33AF" w:rsidRPr="007E2A5E">
        <w:rPr>
          <w:rFonts w:asciiTheme="majorHAnsi" w:hAnsiTheme="majorHAnsi"/>
        </w:rPr>
        <w:t xml:space="preserve">and </w:t>
      </w:r>
      <w:r w:rsidR="00AC209A" w:rsidRPr="007E2A5E">
        <w:rPr>
          <w:rFonts w:asciiTheme="majorHAnsi" w:hAnsiTheme="majorHAnsi"/>
        </w:rPr>
        <w:t>in the setting of</w:t>
      </w:r>
      <w:r w:rsidR="004E33AF" w:rsidRPr="007E2A5E">
        <w:rPr>
          <w:rFonts w:asciiTheme="majorHAnsi" w:hAnsiTheme="majorHAnsi"/>
        </w:rPr>
        <w:t xml:space="preserve"> complex multisystem diseases</w:t>
      </w:r>
      <w:r w:rsidR="00917592" w:rsidRPr="007E2A5E">
        <w:rPr>
          <w:rFonts w:asciiTheme="majorHAnsi" w:hAnsiTheme="majorHAnsi"/>
        </w:rPr>
        <w:t xml:space="preserve"> that are themselves </w:t>
      </w:r>
      <w:r w:rsidR="00930E07" w:rsidRPr="007E2A5E">
        <w:rPr>
          <w:rFonts w:asciiTheme="majorHAnsi" w:hAnsiTheme="majorHAnsi"/>
        </w:rPr>
        <w:t>associated with excess morbidity and mortality</w:t>
      </w:r>
      <w:r w:rsidR="004E33AF" w:rsidRPr="007E2A5E">
        <w:rPr>
          <w:rFonts w:asciiTheme="majorHAnsi" w:hAnsiTheme="majorHAnsi"/>
        </w:rPr>
        <w:t>.</w:t>
      </w:r>
      <w:r w:rsidR="006C7B86">
        <w:rPr>
          <w:rFonts w:asciiTheme="majorHAnsi" w:hAnsiTheme="majorHAnsi"/>
        </w:rPr>
        <w:t xml:space="preserve"> </w:t>
      </w:r>
      <w:r w:rsidR="004E33AF" w:rsidRPr="007E2A5E">
        <w:rPr>
          <w:rFonts w:asciiTheme="majorHAnsi" w:hAnsiTheme="majorHAnsi"/>
        </w:rPr>
        <w:t xml:space="preserve">IFDs </w:t>
      </w:r>
      <w:r w:rsidR="00AC209A" w:rsidRPr="007E2A5E">
        <w:rPr>
          <w:rFonts w:asciiTheme="majorHAnsi" w:hAnsiTheme="majorHAnsi"/>
        </w:rPr>
        <w:t xml:space="preserve">are </w:t>
      </w:r>
      <w:r w:rsidR="00844454" w:rsidRPr="007E2A5E">
        <w:rPr>
          <w:rFonts w:asciiTheme="majorHAnsi" w:hAnsiTheme="majorHAnsi"/>
        </w:rPr>
        <w:t xml:space="preserve">usually </w:t>
      </w:r>
      <w:r w:rsidR="00924716" w:rsidRPr="007E2A5E">
        <w:rPr>
          <w:rFonts w:asciiTheme="majorHAnsi" w:hAnsiTheme="majorHAnsi"/>
        </w:rPr>
        <w:t>rapidly pro</w:t>
      </w:r>
      <w:r w:rsidR="00046BA8" w:rsidRPr="007E2A5E">
        <w:rPr>
          <w:rFonts w:asciiTheme="majorHAnsi" w:hAnsiTheme="majorHAnsi"/>
        </w:rPr>
        <w:t xml:space="preserve">gressive, diagnosed late </w:t>
      </w:r>
      <w:r w:rsidR="00AC209A" w:rsidRPr="007E2A5E">
        <w:rPr>
          <w:rFonts w:asciiTheme="majorHAnsi" w:hAnsiTheme="majorHAnsi"/>
        </w:rPr>
        <w:t>in the</w:t>
      </w:r>
      <w:r w:rsidR="004044ED" w:rsidRPr="007E2A5E">
        <w:rPr>
          <w:rFonts w:asciiTheme="majorHAnsi" w:hAnsiTheme="majorHAnsi"/>
        </w:rPr>
        <w:t>ir</w:t>
      </w:r>
      <w:r w:rsidR="00AC209A" w:rsidRPr="007E2A5E">
        <w:rPr>
          <w:rFonts w:asciiTheme="majorHAnsi" w:hAnsiTheme="majorHAnsi"/>
        </w:rPr>
        <w:t xml:space="preserve"> clinical course</w:t>
      </w:r>
      <w:r w:rsidR="007A3B11">
        <w:rPr>
          <w:rFonts w:asciiTheme="majorHAnsi" w:hAnsiTheme="majorHAnsi"/>
        </w:rPr>
        <w:t>,</w:t>
      </w:r>
      <w:r w:rsidR="00AC209A" w:rsidRPr="007E2A5E">
        <w:rPr>
          <w:rFonts w:asciiTheme="majorHAnsi" w:hAnsiTheme="majorHAnsi"/>
        </w:rPr>
        <w:t xml:space="preserve"> </w:t>
      </w:r>
      <w:r w:rsidR="00046BA8" w:rsidRPr="007E2A5E">
        <w:rPr>
          <w:rFonts w:asciiTheme="majorHAnsi" w:hAnsiTheme="majorHAnsi"/>
        </w:rPr>
        <w:t xml:space="preserve">and </w:t>
      </w:r>
      <w:r w:rsidR="004E33AF" w:rsidRPr="007E2A5E">
        <w:rPr>
          <w:rFonts w:asciiTheme="majorHAnsi" w:hAnsiTheme="majorHAnsi"/>
        </w:rPr>
        <w:t xml:space="preserve">are still </w:t>
      </w:r>
      <w:r w:rsidR="00930E07" w:rsidRPr="007E2A5E">
        <w:rPr>
          <w:rFonts w:asciiTheme="majorHAnsi" w:hAnsiTheme="majorHAnsi"/>
        </w:rPr>
        <w:t>lethal in many patients</w:t>
      </w:r>
      <w:r w:rsidR="00290EF9" w:rsidRPr="007E2A5E">
        <w:rPr>
          <w:rFonts w:asciiTheme="majorHAnsi" w:hAnsiTheme="majorHAnsi"/>
        </w:rPr>
        <w:t>.</w:t>
      </w:r>
      <w:r w:rsidR="006C7B86">
        <w:rPr>
          <w:rFonts w:asciiTheme="majorHAnsi" w:hAnsiTheme="majorHAnsi"/>
        </w:rPr>
        <w:t xml:space="preserve"> </w:t>
      </w:r>
      <w:r w:rsidR="00746065" w:rsidRPr="007E2A5E">
        <w:rPr>
          <w:rFonts w:asciiTheme="majorHAnsi" w:hAnsiTheme="majorHAnsi"/>
        </w:rPr>
        <w:t>A significant proportion of patients fail therapy with first-line agents</w:t>
      </w:r>
      <w:r w:rsidR="00BB59E0" w:rsidRPr="007E2A5E">
        <w:rPr>
          <w:rFonts w:asciiTheme="majorHAnsi" w:hAnsiTheme="majorHAnsi"/>
        </w:rPr>
        <w:t xml:space="preserve"> </w:t>
      </w:r>
      <w:r w:rsidR="008326AF" w:rsidRPr="007E2A5E">
        <w:rPr>
          <w:rFonts w:asciiTheme="majorHAnsi" w:hAnsiTheme="majorHAnsi"/>
        </w:rPr>
        <w:t>and/</w:t>
      </w:r>
      <w:r w:rsidR="00BB59E0" w:rsidRPr="007E2A5E">
        <w:rPr>
          <w:rFonts w:asciiTheme="majorHAnsi" w:hAnsiTheme="majorHAnsi"/>
        </w:rPr>
        <w:t>or experience drug-related toxicity.</w:t>
      </w:r>
      <w:r w:rsidR="006C7B86">
        <w:rPr>
          <w:rFonts w:asciiTheme="majorHAnsi" w:hAnsiTheme="majorHAnsi"/>
        </w:rPr>
        <w:t xml:space="preserve"> </w:t>
      </w:r>
      <w:r w:rsidR="007567B2" w:rsidRPr="007E2A5E">
        <w:rPr>
          <w:rFonts w:asciiTheme="majorHAnsi" w:hAnsiTheme="majorHAnsi"/>
        </w:rPr>
        <w:t xml:space="preserve">Antifungal drug resistance </w:t>
      </w:r>
      <w:r w:rsidR="00746065" w:rsidRPr="007E2A5E">
        <w:rPr>
          <w:rFonts w:asciiTheme="majorHAnsi" w:hAnsiTheme="majorHAnsi"/>
        </w:rPr>
        <w:t xml:space="preserve">poses </w:t>
      </w:r>
      <w:r w:rsidR="00360C31" w:rsidRPr="007E2A5E">
        <w:rPr>
          <w:rFonts w:asciiTheme="majorHAnsi" w:hAnsiTheme="majorHAnsi"/>
        </w:rPr>
        <w:t>ever-</w:t>
      </w:r>
      <w:r w:rsidR="00724CAA" w:rsidRPr="007E2A5E">
        <w:rPr>
          <w:rFonts w:asciiTheme="majorHAnsi" w:hAnsiTheme="majorHAnsi"/>
        </w:rPr>
        <w:t>increasing</w:t>
      </w:r>
      <w:r w:rsidR="00746065" w:rsidRPr="007E2A5E">
        <w:rPr>
          <w:rFonts w:asciiTheme="majorHAnsi" w:hAnsiTheme="majorHAnsi"/>
        </w:rPr>
        <w:t xml:space="preserve"> therapeutic challenges and is associated with high mortality.</w:t>
      </w:r>
      <w:r w:rsidR="006C7B86">
        <w:rPr>
          <w:rFonts w:asciiTheme="majorHAnsi" w:hAnsiTheme="majorHAnsi"/>
        </w:rPr>
        <w:t xml:space="preserve"> </w:t>
      </w:r>
      <w:r w:rsidR="00724CAA" w:rsidRPr="007E2A5E">
        <w:rPr>
          <w:rFonts w:asciiTheme="majorHAnsi" w:hAnsiTheme="majorHAnsi"/>
        </w:rPr>
        <w:t xml:space="preserve">There are relatively few </w:t>
      </w:r>
      <w:r w:rsidR="00136E7D" w:rsidRPr="007E2A5E">
        <w:rPr>
          <w:rFonts w:asciiTheme="majorHAnsi" w:hAnsiTheme="majorHAnsi"/>
        </w:rPr>
        <w:t xml:space="preserve">licensed </w:t>
      </w:r>
      <w:r w:rsidR="00724CAA" w:rsidRPr="007E2A5E">
        <w:rPr>
          <w:rFonts w:asciiTheme="majorHAnsi" w:hAnsiTheme="majorHAnsi"/>
        </w:rPr>
        <w:t>therapeutic agents</w:t>
      </w:r>
      <w:r w:rsidR="00136E7D" w:rsidRPr="007E2A5E">
        <w:rPr>
          <w:rFonts w:asciiTheme="majorHAnsi" w:hAnsiTheme="majorHAnsi"/>
        </w:rPr>
        <w:t xml:space="preserve"> and fewer still in development</w:t>
      </w:r>
      <w:r w:rsidR="00724CAA" w:rsidRPr="007E2A5E">
        <w:rPr>
          <w:rFonts w:asciiTheme="majorHAnsi" w:hAnsiTheme="majorHAnsi"/>
        </w:rPr>
        <w:t>.</w:t>
      </w:r>
      <w:r w:rsidR="006C7B86">
        <w:rPr>
          <w:rFonts w:asciiTheme="majorHAnsi" w:hAnsiTheme="majorHAnsi"/>
        </w:rPr>
        <w:t xml:space="preserve"> </w:t>
      </w:r>
      <w:r w:rsidR="00BB59E0" w:rsidRPr="007E2A5E">
        <w:rPr>
          <w:rFonts w:asciiTheme="majorHAnsi" w:hAnsiTheme="majorHAnsi"/>
        </w:rPr>
        <w:t xml:space="preserve">Thus, </w:t>
      </w:r>
      <w:r w:rsidR="00FD6872" w:rsidRPr="007E2A5E">
        <w:rPr>
          <w:rFonts w:asciiTheme="majorHAnsi" w:hAnsiTheme="majorHAnsi"/>
        </w:rPr>
        <w:t xml:space="preserve">a </w:t>
      </w:r>
      <w:r w:rsidR="008326AF" w:rsidRPr="007E2A5E">
        <w:rPr>
          <w:rFonts w:asciiTheme="majorHAnsi" w:hAnsiTheme="majorHAnsi"/>
        </w:rPr>
        <w:t>refreshed</w:t>
      </w:r>
      <w:r w:rsidR="00BB59E0" w:rsidRPr="007E2A5E">
        <w:rPr>
          <w:rFonts w:asciiTheme="majorHAnsi" w:hAnsiTheme="majorHAnsi"/>
        </w:rPr>
        <w:t xml:space="preserve"> </w:t>
      </w:r>
      <w:r w:rsidR="0012465A" w:rsidRPr="007E2A5E">
        <w:rPr>
          <w:rFonts w:asciiTheme="majorHAnsi" w:hAnsiTheme="majorHAnsi"/>
        </w:rPr>
        <w:t>and</w:t>
      </w:r>
      <w:r w:rsidR="00897DC5" w:rsidRPr="007E2A5E">
        <w:rPr>
          <w:rFonts w:asciiTheme="majorHAnsi" w:hAnsiTheme="majorHAnsi"/>
        </w:rPr>
        <w:t xml:space="preserve"> sustainable pipeline of </w:t>
      </w:r>
      <w:r w:rsidR="00FD6872" w:rsidRPr="007E2A5E">
        <w:rPr>
          <w:rFonts w:asciiTheme="majorHAnsi" w:hAnsiTheme="majorHAnsi"/>
        </w:rPr>
        <w:t xml:space="preserve">antifungal </w:t>
      </w:r>
      <w:r w:rsidR="00897DC5" w:rsidRPr="007E2A5E">
        <w:rPr>
          <w:rFonts w:asciiTheme="majorHAnsi" w:hAnsiTheme="majorHAnsi"/>
        </w:rPr>
        <w:t xml:space="preserve">agents </w:t>
      </w:r>
      <w:r w:rsidR="00F01BB2" w:rsidRPr="007E2A5E">
        <w:rPr>
          <w:rFonts w:asciiTheme="majorHAnsi" w:hAnsiTheme="majorHAnsi"/>
        </w:rPr>
        <w:t xml:space="preserve">is </w:t>
      </w:r>
      <w:r w:rsidR="00204CF3" w:rsidRPr="007E2A5E">
        <w:rPr>
          <w:rFonts w:asciiTheme="majorHAnsi" w:hAnsiTheme="majorHAnsi"/>
        </w:rPr>
        <w:t xml:space="preserve">urgently </w:t>
      </w:r>
      <w:r w:rsidR="00F01BB2" w:rsidRPr="007E2A5E">
        <w:rPr>
          <w:rFonts w:asciiTheme="majorHAnsi" w:hAnsiTheme="majorHAnsi"/>
        </w:rPr>
        <w:t>required</w:t>
      </w:r>
      <w:r w:rsidR="00BB5C05" w:rsidRPr="007E2A5E">
        <w:rPr>
          <w:rFonts w:asciiTheme="majorHAnsi" w:hAnsiTheme="majorHAnsi"/>
        </w:rPr>
        <w:t>.</w:t>
      </w:r>
    </w:p>
    <w:p w14:paraId="6BC644D1" w14:textId="77777777" w:rsidR="00897DC5" w:rsidRPr="007E2A5E" w:rsidRDefault="00B41845" w:rsidP="007A2846">
      <w:pPr>
        <w:spacing w:line="276" w:lineRule="auto"/>
        <w:rPr>
          <w:rFonts w:asciiTheme="majorHAnsi" w:hAnsiTheme="majorHAnsi"/>
        </w:rPr>
      </w:pPr>
      <w:r w:rsidRPr="007E2A5E">
        <w:rPr>
          <w:rFonts w:asciiTheme="majorHAnsi" w:hAnsiTheme="majorHAnsi"/>
        </w:rPr>
        <w:tab/>
      </w:r>
      <w:r w:rsidR="00897DC5" w:rsidRPr="007E2A5E">
        <w:rPr>
          <w:rFonts w:asciiTheme="majorHAnsi" w:hAnsiTheme="majorHAnsi"/>
        </w:rPr>
        <w:t xml:space="preserve">Developing new chemical entities is the first critical step in the </w:t>
      </w:r>
      <w:r w:rsidR="0012465A" w:rsidRPr="007E2A5E">
        <w:rPr>
          <w:rFonts w:asciiTheme="majorHAnsi" w:hAnsiTheme="majorHAnsi"/>
        </w:rPr>
        <w:t>refreshment of the</w:t>
      </w:r>
      <w:r w:rsidR="00486602" w:rsidRPr="007E2A5E">
        <w:rPr>
          <w:rFonts w:asciiTheme="majorHAnsi" w:hAnsiTheme="majorHAnsi"/>
        </w:rPr>
        <w:t xml:space="preserve"> antifungal pipeline</w:t>
      </w:r>
      <w:r w:rsidR="00EA3147" w:rsidRPr="007E2A5E">
        <w:rPr>
          <w:rFonts w:asciiTheme="majorHAnsi" w:hAnsiTheme="majorHAnsi"/>
        </w:rPr>
        <w:t>.</w:t>
      </w:r>
      <w:r w:rsidR="006C7B86">
        <w:rPr>
          <w:rFonts w:asciiTheme="majorHAnsi" w:hAnsiTheme="majorHAnsi"/>
        </w:rPr>
        <w:t xml:space="preserve"> </w:t>
      </w:r>
      <w:r w:rsidR="00EA3147" w:rsidRPr="007E2A5E">
        <w:rPr>
          <w:rFonts w:asciiTheme="majorHAnsi" w:hAnsiTheme="majorHAnsi"/>
        </w:rPr>
        <w:t xml:space="preserve">This is clearly not a trivial </w:t>
      </w:r>
      <w:r w:rsidR="00136DB8" w:rsidRPr="007E2A5E">
        <w:rPr>
          <w:rFonts w:asciiTheme="majorHAnsi" w:hAnsiTheme="majorHAnsi"/>
        </w:rPr>
        <w:t>exercise</w:t>
      </w:r>
      <w:r w:rsidR="00EA3147" w:rsidRPr="007E2A5E">
        <w:rPr>
          <w:rFonts w:asciiTheme="majorHAnsi" w:hAnsiTheme="majorHAnsi"/>
        </w:rPr>
        <w:t xml:space="preserve">, </w:t>
      </w:r>
      <w:r w:rsidR="00136DB8" w:rsidRPr="007E2A5E">
        <w:rPr>
          <w:rFonts w:asciiTheme="majorHAnsi" w:hAnsiTheme="majorHAnsi"/>
        </w:rPr>
        <w:t>given</w:t>
      </w:r>
      <w:r w:rsidR="008936D2" w:rsidRPr="007E2A5E">
        <w:rPr>
          <w:rFonts w:asciiTheme="majorHAnsi" w:hAnsiTheme="majorHAnsi"/>
        </w:rPr>
        <w:t xml:space="preserve"> </w:t>
      </w:r>
      <w:r w:rsidR="00C73F83" w:rsidRPr="007E2A5E">
        <w:rPr>
          <w:rFonts w:asciiTheme="majorHAnsi" w:hAnsiTheme="majorHAnsi"/>
        </w:rPr>
        <w:t xml:space="preserve">the </w:t>
      </w:r>
      <w:r w:rsidR="00402076" w:rsidRPr="007E2A5E">
        <w:rPr>
          <w:rFonts w:asciiTheme="majorHAnsi" w:hAnsiTheme="majorHAnsi"/>
        </w:rPr>
        <w:t xml:space="preserve">relative </w:t>
      </w:r>
      <w:r w:rsidR="00C73F83" w:rsidRPr="007E2A5E">
        <w:rPr>
          <w:rFonts w:asciiTheme="majorHAnsi" w:hAnsiTheme="majorHAnsi"/>
        </w:rPr>
        <w:t xml:space="preserve">paucity of agents </w:t>
      </w:r>
      <w:r w:rsidR="00402076" w:rsidRPr="007E2A5E">
        <w:rPr>
          <w:rFonts w:asciiTheme="majorHAnsi" w:hAnsiTheme="majorHAnsi"/>
        </w:rPr>
        <w:t xml:space="preserve">that are currently available or in late stages of </w:t>
      </w:r>
      <w:r w:rsidR="0012465A" w:rsidRPr="007E2A5E">
        <w:rPr>
          <w:rFonts w:asciiTheme="majorHAnsi" w:hAnsiTheme="majorHAnsi"/>
        </w:rPr>
        <w:t xml:space="preserve">clinical </w:t>
      </w:r>
      <w:r w:rsidR="00402076" w:rsidRPr="007E2A5E">
        <w:rPr>
          <w:rFonts w:asciiTheme="majorHAnsi" w:hAnsiTheme="majorHAnsi"/>
        </w:rPr>
        <w:t>development.</w:t>
      </w:r>
      <w:r w:rsidR="006C7B86">
        <w:rPr>
          <w:rFonts w:asciiTheme="majorHAnsi" w:hAnsiTheme="majorHAnsi"/>
        </w:rPr>
        <w:t xml:space="preserve"> </w:t>
      </w:r>
      <w:r w:rsidR="00402076" w:rsidRPr="007E2A5E">
        <w:rPr>
          <w:rFonts w:asciiTheme="majorHAnsi" w:hAnsiTheme="majorHAnsi"/>
        </w:rPr>
        <w:t>F</w:t>
      </w:r>
      <w:r w:rsidR="008936D2" w:rsidRPr="007E2A5E">
        <w:rPr>
          <w:rFonts w:asciiTheme="majorHAnsi" w:hAnsiTheme="majorHAnsi"/>
        </w:rPr>
        <w:t xml:space="preserve">ungi are eukaryotes with a </w:t>
      </w:r>
      <w:r w:rsidR="00136E7D" w:rsidRPr="007E2A5E">
        <w:rPr>
          <w:rFonts w:asciiTheme="majorHAnsi" w:hAnsiTheme="majorHAnsi"/>
        </w:rPr>
        <w:t xml:space="preserve">relatively </w:t>
      </w:r>
      <w:r w:rsidR="008936D2" w:rsidRPr="007E2A5E">
        <w:rPr>
          <w:rFonts w:asciiTheme="majorHAnsi" w:hAnsiTheme="majorHAnsi"/>
        </w:rPr>
        <w:t xml:space="preserve">high degree of phylogenetic similarity </w:t>
      </w:r>
      <w:r w:rsidR="00136E7D" w:rsidRPr="007E2A5E">
        <w:rPr>
          <w:rFonts w:asciiTheme="majorHAnsi" w:hAnsiTheme="majorHAnsi"/>
        </w:rPr>
        <w:t>to</w:t>
      </w:r>
      <w:r w:rsidR="0077138F" w:rsidRPr="007E2A5E">
        <w:rPr>
          <w:rFonts w:asciiTheme="majorHAnsi" w:hAnsiTheme="majorHAnsi"/>
        </w:rPr>
        <w:t xml:space="preserve"> humans</w:t>
      </w:r>
      <w:r w:rsidR="00136DB8" w:rsidRPr="007E2A5E">
        <w:rPr>
          <w:rFonts w:asciiTheme="majorHAnsi" w:hAnsiTheme="majorHAnsi"/>
        </w:rPr>
        <w:t>—</w:t>
      </w:r>
      <w:r w:rsidR="001941BC">
        <w:rPr>
          <w:rFonts w:asciiTheme="majorHAnsi" w:hAnsiTheme="majorHAnsi"/>
        </w:rPr>
        <w:t xml:space="preserve">therefore, </w:t>
      </w:r>
      <w:r w:rsidR="00136DB8" w:rsidRPr="001941BC">
        <w:rPr>
          <w:rFonts w:asciiTheme="majorHAnsi" w:hAnsiTheme="majorHAnsi"/>
        </w:rPr>
        <w:t>they</w:t>
      </w:r>
      <w:r w:rsidR="00D0220B" w:rsidRPr="001941BC">
        <w:rPr>
          <w:rFonts w:asciiTheme="majorHAnsi" w:hAnsiTheme="majorHAnsi"/>
        </w:rPr>
        <w:t xml:space="preserve"> offer relatively few </w:t>
      </w:r>
      <w:r w:rsidR="00402076" w:rsidRPr="001941BC">
        <w:rPr>
          <w:rFonts w:asciiTheme="majorHAnsi" w:hAnsiTheme="majorHAnsi"/>
        </w:rPr>
        <w:t xml:space="preserve">differential targets that can </w:t>
      </w:r>
      <w:r w:rsidR="0045316E" w:rsidRPr="001941BC">
        <w:rPr>
          <w:rFonts w:asciiTheme="majorHAnsi" w:hAnsiTheme="majorHAnsi"/>
        </w:rPr>
        <w:t>be exploited</w:t>
      </w:r>
      <w:r w:rsidR="00402076" w:rsidRPr="001941BC">
        <w:rPr>
          <w:rFonts w:asciiTheme="majorHAnsi" w:hAnsiTheme="majorHAnsi"/>
        </w:rPr>
        <w:t xml:space="preserve"> </w:t>
      </w:r>
      <w:r w:rsidR="008D0015" w:rsidRPr="001941BC">
        <w:rPr>
          <w:rFonts w:asciiTheme="majorHAnsi" w:hAnsiTheme="majorHAnsi"/>
        </w:rPr>
        <w:t xml:space="preserve">for </w:t>
      </w:r>
      <w:r w:rsidR="0045316E" w:rsidRPr="001941BC">
        <w:rPr>
          <w:rFonts w:asciiTheme="majorHAnsi" w:hAnsiTheme="majorHAnsi"/>
        </w:rPr>
        <w:t xml:space="preserve">antifungal </w:t>
      </w:r>
      <w:r w:rsidR="008D0015" w:rsidRPr="001941BC">
        <w:rPr>
          <w:rFonts w:asciiTheme="majorHAnsi" w:hAnsiTheme="majorHAnsi"/>
        </w:rPr>
        <w:t>drug development.</w:t>
      </w:r>
      <w:r w:rsidR="006C7B86">
        <w:rPr>
          <w:rFonts w:asciiTheme="majorHAnsi" w:hAnsiTheme="majorHAnsi"/>
        </w:rPr>
        <w:t xml:space="preserve"> </w:t>
      </w:r>
      <w:r w:rsidR="00273993" w:rsidRPr="0012015D">
        <w:rPr>
          <w:rFonts w:asciiTheme="majorHAnsi" w:hAnsiTheme="majorHAnsi"/>
        </w:rPr>
        <w:t>This review considers th</w:t>
      </w:r>
      <w:r w:rsidR="002525FC" w:rsidRPr="0012015D">
        <w:rPr>
          <w:rFonts w:asciiTheme="majorHAnsi" w:hAnsiTheme="majorHAnsi"/>
        </w:rPr>
        <w:t>e</w:t>
      </w:r>
      <w:r w:rsidR="00273993" w:rsidRPr="0012015D">
        <w:rPr>
          <w:rFonts w:asciiTheme="majorHAnsi" w:hAnsiTheme="majorHAnsi"/>
        </w:rPr>
        <w:t xml:space="preserve"> steps </w:t>
      </w:r>
      <w:r w:rsidR="0045316E" w:rsidRPr="007E2A5E">
        <w:rPr>
          <w:rFonts w:asciiTheme="majorHAnsi" w:hAnsiTheme="majorHAnsi"/>
        </w:rPr>
        <w:t xml:space="preserve">that </w:t>
      </w:r>
      <w:r w:rsidR="00A02E05" w:rsidRPr="007E2A5E">
        <w:rPr>
          <w:rFonts w:asciiTheme="majorHAnsi" w:hAnsiTheme="majorHAnsi"/>
        </w:rPr>
        <w:t>are required</w:t>
      </w:r>
      <w:r w:rsidR="0045316E" w:rsidRPr="007E2A5E">
        <w:rPr>
          <w:rFonts w:asciiTheme="majorHAnsi" w:hAnsiTheme="majorHAnsi"/>
        </w:rPr>
        <w:t xml:space="preserve"> to shepherd compounds from the laboratory to the clinic, across the “valley of death” where many </w:t>
      </w:r>
      <w:r w:rsidR="00B30169" w:rsidRPr="007E2A5E">
        <w:rPr>
          <w:rFonts w:asciiTheme="majorHAnsi" w:hAnsiTheme="majorHAnsi"/>
        </w:rPr>
        <w:t xml:space="preserve">promising </w:t>
      </w:r>
      <w:r w:rsidR="0045316E" w:rsidRPr="007E2A5E">
        <w:rPr>
          <w:rFonts w:asciiTheme="majorHAnsi" w:hAnsiTheme="majorHAnsi"/>
        </w:rPr>
        <w:t xml:space="preserve">compounds succumb to the </w:t>
      </w:r>
      <w:r w:rsidR="00BE3A1C" w:rsidRPr="007E2A5E">
        <w:rPr>
          <w:rFonts w:asciiTheme="majorHAnsi" w:hAnsiTheme="majorHAnsi"/>
        </w:rPr>
        <w:t>pitfalls</w:t>
      </w:r>
      <w:r w:rsidR="002525FC" w:rsidRPr="007E2A5E">
        <w:rPr>
          <w:rFonts w:asciiTheme="majorHAnsi" w:hAnsiTheme="majorHAnsi"/>
        </w:rPr>
        <w:t xml:space="preserve"> </w:t>
      </w:r>
      <w:r w:rsidR="007E2776" w:rsidRPr="007E2A5E">
        <w:rPr>
          <w:rFonts w:asciiTheme="majorHAnsi" w:hAnsiTheme="majorHAnsi"/>
        </w:rPr>
        <w:t>of the drug development process.</w:t>
      </w:r>
      <w:r w:rsidR="006C7B86">
        <w:rPr>
          <w:rFonts w:asciiTheme="majorHAnsi" w:hAnsiTheme="majorHAnsi"/>
        </w:rPr>
        <w:t xml:space="preserve"> </w:t>
      </w:r>
      <w:r w:rsidR="00004053" w:rsidRPr="007E2A5E">
        <w:rPr>
          <w:rFonts w:asciiTheme="majorHAnsi" w:hAnsiTheme="majorHAnsi"/>
        </w:rPr>
        <w:t>From a societal perspective, t</w:t>
      </w:r>
      <w:r w:rsidR="00765153" w:rsidRPr="007E2A5E">
        <w:rPr>
          <w:rFonts w:asciiTheme="majorHAnsi" w:hAnsiTheme="majorHAnsi"/>
        </w:rPr>
        <w:t>he</w:t>
      </w:r>
      <w:r w:rsidR="00F155BA" w:rsidRPr="007E2A5E">
        <w:rPr>
          <w:rFonts w:asciiTheme="majorHAnsi" w:hAnsiTheme="majorHAnsi"/>
        </w:rPr>
        <w:t xml:space="preserve"> </w:t>
      </w:r>
      <w:r w:rsidR="0062185B" w:rsidRPr="007E2A5E">
        <w:rPr>
          <w:rFonts w:asciiTheme="majorHAnsi" w:hAnsiTheme="majorHAnsi"/>
        </w:rPr>
        <w:t xml:space="preserve">potential </w:t>
      </w:r>
      <w:r w:rsidR="00765153" w:rsidRPr="007E2A5E">
        <w:rPr>
          <w:rFonts w:asciiTheme="majorHAnsi" w:hAnsiTheme="majorHAnsi"/>
        </w:rPr>
        <w:t>value</w:t>
      </w:r>
      <w:r w:rsidR="00F155BA" w:rsidRPr="007E2A5E">
        <w:rPr>
          <w:rFonts w:asciiTheme="majorHAnsi" w:hAnsiTheme="majorHAnsi"/>
        </w:rPr>
        <w:t xml:space="preserve"> </w:t>
      </w:r>
      <w:r w:rsidR="00765153" w:rsidRPr="007E2A5E">
        <w:rPr>
          <w:rFonts w:asciiTheme="majorHAnsi" w:hAnsiTheme="majorHAnsi"/>
        </w:rPr>
        <w:t xml:space="preserve">of </w:t>
      </w:r>
      <w:r w:rsidR="0062185B" w:rsidRPr="007E2A5E">
        <w:rPr>
          <w:rFonts w:asciiTheme="majorHAnsi" w:hAnsiTheme="majorHAnsi"/>
        </w:rPr>
        <w:t xml:space="preserve">a </w:t>
      </w:r>
      <w:r w:rsidR="00765153" w:rsidRPr="007E2A5E">
        <w:rPr>
          <w:rFonts w:asciiTheme="majorHAnsi" w:hAnsiTheme="majorHAnsi"/>
        </w:rPr>
        <w:t xml:space="preserve">new molecular </w:t>
      </w:r>
      <w:r w:rsidR="00163DC2">
        <w:rPr>
          <w:rFonts w:asciiTheme="majorHAnsi" w:hAnsiTheme="majorHAnsi"/>
        </w:rPr>
        <w:t>entity</w:t>
      </w:r>
      <w:r w:rsidR="00163DC2" w:rsidRPr="007E2A5E">
        <w:rPr>
          <w:rFonts w:asciiTheme="majorHAnsi" w:hAnsiTheme="majorHAnsi"/>
        </w:rPr>
        <w:t xml:space="preserve"> </w:t>
      </w:r>
      <w:r w:rsidR="00765153" w:rsidRPr="007E2A5E">
        <w:rPr>
          <w:rFonts w:asciiTheme="majorHAnsi" w:hAnsiTheme="majorHAnsi"/>
        </w:rPr>
        <w:t>is too high</w:t>
      </w:r>
      <w:r w:rsidR="00272AB2" w:rsidRPr="007E2A5E">
        <w:rPr>
          <w:rFonts w:asciiTheme="majorHAnsi" w:hAnsiTheme="majorHAnsi"/>
        </w:rPr>
        <w:t xml:space="preserve"> to risk </w:t>
      </w:r>
      <w:r w:rsidR="00215700" w:rsidRPr="007E2A5E">
        <w:rPr>
          <w:rFonts w:asciiTheme="majorHAnsi" w:hAnsiTheme="majorHAnsi"/>
        </w:rPr>
        <w:t>sub-standard</w:t>
      </w:r>
      <w:r w:rsidR="00272AB2" w:rsidRPr="007E2A5E">
        <w:rPr>
          <w:rFonts w:asciiTheme="majorHAnsi" w:hAnsiTheme="majorHAnsi"/>
        </w:rPr>
        <w:t xml:space="preserve"> or inappropriate </w:t>
      </w:r>
      <w:r w:rsidR="00215700" w:rsidRPr="007E2A5E">
        <w:rPr>
          <w:rFonts w:asciiTheme="majorHAnsi" w:hAnsiTheme="majorHAnsi"/>
        </w:rPr>
        <w:t xml:space="preserve">drug </w:t>
      </w:r>
      <w:r w:rsidR="00272AB2" w:rsidRPr="007E2A5E">
        <w:rPr>
          <w:rFonts w:asciiTheme="majorHAnsi" w:hAnsiTheme="majorHAnsi"/>
        </w:rPr>
        <w:t>development</w:t>
      </w:r>
      <w:r w:rsidR="003F0B89" w:rsidRPr="007E2A5E">
        <w:rPr>
          <w:rFonts w:asciiTheme="majorHAnsi" w:hAnsiTheme="majorHAnsi"/>
        </w:rPr>
        <w:t xml:space="preserve">, and </w:t>
      </w:r>
      <w:r w:rsidR="00326B79" w:rsidRPr="007E2A5E">
        <w:rPr>
          <w:rFonts w:asciiTheme="majorHAnsi" w:hAnsiTheme="majorHAnsi"/>
        </w:rPr>
        <w:t xml:space="preserve">this </w:t>
      </w:r>
      <w:r w:rsidR="003F0B89" w:rsidRPr="007E2A5E">
        <w:rPr>
          <w:rFonts w:asciiTheme="majorHAnsi" w:hAnsiTheme="majorHAnsi"/>
        </w:rPr>
        <w:t>is the primary motivation for this review</w:t>
      </w:r>
      <w:r w:rsidR="00272AB2" w:rsidRPr="007E2A5E">
        <w:rPr>
          <w:rFonts w:asciiTheme="majorHAnsi" w:hAnsiTheme="majorHAnsi"/>
        </w:rPr>
        <w:t>.</w:t>
      </w:r>
    </w:p>
    <w:p w14:paraId="304B0681" w14:textId="607807CB" w:rsidR="004D2C70" w:rsidRDefault="00276B7D" w:rsidP="007A2846">
      <w:pPr>
        <w:spacing w:line="276" w:lineRule="auto"/>
        <w:divId w:val="557014764"/>
        <w:rPr>
          <w:rFonts w:asciiTheme="majorHAnsi" w:hAnsiTheme="majorHAnsi"/>
        </w:rPr>
      </w:pPr>
      <w:r w:rsidRPr="007E2A5E">
        <w:rPr>
          <w:rFonts w:asciiTheme="majorHAnsi" w:hAnsiTheme="majorHAnsi"/>
        </w:rPr>
        <w:tab/>
        <w:t xml:space="preserve">Antifungal pharmacokinetics and pharmacodynamics is the discipline that describes, quantifies and enables control of </w:t>
      </w:r>
      <w:r w:rsidR="00FD72BC" w:rsidRPr="007E2A5E">
        <w:rPr>
          <w:rFonts w:asciiTheme="majorHAnsi" w:hAnsiTheme="majorHAnsi"/>
        </w:rPr>
        <w:t>drug</w:t>
      </w:r>
      <w:r w:rsidRPr="007E2A5E">
        <w:rPr>
          <w:rFonts w:asciiTheme="majorHAnsi" w:hAnsiTheme="majorHAnsi"/>
        </w:rPr>
        <w:t>-exposure-response relationships</w:t>
      </w:r>
      <w:r w:rsidR="003147FC">
        <w:rPr>
          <w:rFonts w:asciiTheme="majorHAnsi" w:hAnsiTheme="majorHAnsi"/>
        </w:rPr>
        <w:t xml:space="preserve"> </w:t>
      </w:r>
      <w:r w:rsidR="004D32CF">
        <w:rPr>
          <w:rFonts w:asciiTheme="majorHAnsi" w:hAnsiTheme="majorHAnsi"/>
        </w:rPr>
        <w:fldChar w:fldCharType="begin" w:fldLock="1"/>
      </w:r>
      <w:r w:rsidR="000B527C">
        <w:rPr>
          <w:rFonts w:asciiTheme="majorHAnsi" w:hAnsiTheme="majorHAnsi"/>
        </w:rPr>
        <w:instrText>ADDIN CSL_CITATION { "citationItems" : [ { "id" : "ITEM-1", "itemData" : { "PMID" : "19673971", "abstract" : "This review considers a way in which experimental data can be used to identify safe and effective antifungal regimens for humans. The process begins with experimental models of invasive fungal infections that enable definition of optimal dosages and schedules of antifungal drug administration to be defined. These preclinical models also enable the identification of drug exposure targets that are associated with therapeutic outcomes of interest. Human pharmacokinetic variability results in a considerable range of drug exposures following the use of fixed antifungal drug regimens. This variability can be quantified using population pharmacokinetic modeling techniques. Monte Carlo simulation can then be used to simulate pharmacokinetic variability and thereby estimate the proportion of patients with a therapeutic outcome of interest. Effective and safe regimens can thus be studied appropriately in clinical settings. This approach can, and should, be used to optimize antifungal therapy for a large number of clinical scenarios.", "author" : [ { "dropping-particle" : "", "family" : "Hope", "given" : "W W", "non-dropping-particle" : "", "parse-names" : false, "suffix" : "" }, { "dropping-particle" : "", "family" : "Drusano", "given" : "G L", "non-dropping-particle" : "", "parse-names" : false, "suffix" : "" } ], "container-title" : "Clin Microbiol Infect", "id" : "ITEM-1", "issue" : "7", "issued" : { "date-parts" : [ [ "2009" ] ] }, "note" : "From Duplicate 1 (Antifungal pharmacokinetics and pharmacodynamics: bridging from the bench to bedside - Hope, W W; Drusano, G L)\n\n1469-0691 (Electronic)\nJournal Article\n\n\n\nFrom Duplicate 1 ( \n\nAntifungal pharmacokinetics and pharmacodynamics: bridging from the bench to bedside\n\n- Hope, W W; Drusano, G L )\nAnd Duplicate 2 ( \n\nAntifungal pharmacokinetics and pharmacodynamics: bridging from the bench to bedside\n\n- Hope, W W; Drusano, G L )\n\n\n\n1469-0691 (Electronic)\nJournal Article", "page" : "602-612", "title" : "Antifungal pharmacokinetics and pharmacodynamics: bridging from the bench to bedside", "type" : "article-journal", "volume" : "15" }, "uris" : [ "http://www.mendeley.com/documents/?uuid=34da2be0-cd88-4bee-826a-4764796a3be7" ] } ], "mendeley" : { "formattedCitation" : "&lt;sup&gt;1&lt;/sup&gt;", "plainTextFormattedCitation" : "1", "previouslyFormattedCitation" : "&lt;sup&gt;1&lt;/sup&gt;" }, "properties" : { "noteIndex" : 0 }, "schema" : "https://github.com/citation-style-language/schema/raw/master/csl-citation.json" }</w:instrText>
      </w:r>
      <w:r w:rsidR="004D32CF">
        <w:rPr>
          <w:rFonts w:asciiTheme="majorHAnsi" w:hAnsiTheme="majorHAnsi"/>
        </w:rPr>
        <w:fldChar w:fldCharType="separate"/>
      </w:r>
      <w:r w:rsidR="009E6997" w:rsidRPr="009E6997">
        <w:rPr>
          <w:rFonts w:asciiTheme="majorHAnsi" w:hAnsiTheme="majorHAnsi"/>
          <w:noProof/>
          <w:vertAlign w:val="superscript"/>
        </w:rPr>
        <w:t>1</w:t>
      </w:r>
      <w:r w:rsidR="004D32CF">
        <w:rPr>
          <w:rFonts w:asciiTheme="majorHAnsi" w:hAnsiTheme="majorHAnsi"/>
        </w:rPr>
        <w:fldChar w:fldCharType="end"/>
      </w:r>
      <w:r w:rsidRPr="007E2A5E">
        <w:rPr>
          <w:rFonts w:asciiTheme="majorHAnsi" w:hAnsiTheme="majorHAnsi"/>
        </w:rPr>
        <w:t>.</w:t>
      </w:r>
      <w:r w:rsidR="006C7B86">
        <w:rPr>
          <w:rFonts w:asciiTheme="majorHAnsi" w:hAnsiTheme="majorHAnsi"/>
        </w:rPr>
        <w:t xml:space="preserve"> </w:t>
      </w:r>
      <w:r w:rsidRPr="007E2A5E">
        <w:rPr>
          <w:rFonts w:asciiTheme="majorHAnsi" w:hAnsiTheme="majorHAnsi"/>
        </w:rPr>
        <w:t>For drug development, there are two major contributions that PK-PD can make to the drug development process.</w:t>
      </w:r>
      <w:r w:rsidR="006C7B86">
        <w:rPr>
          <w:rFonts w:asciiTheme="majorHAnsi" w:hAnsiTheme="majorHAnsi"/>
        </w:rPr>
        <w:t xml:space="preserve"> </w:t>
      </w:r>
      <w:r w:rsidRPr="007E2A5E">
        <w:rPr>
          <w:rFonts w:asciiTheme="majorHAnsi" w:hAnsiTheme="majorHAnsi"/>
        </w:rPr>
        <w:t xml:space="preserve">The first is </w:t>
      </w:r>
      <w:r w:rsidR="0039761F" w:rsidRPr="007E2A5E">
        <w:rPr>
          <w:rFonts w:asciiTheme="majorHAnsi" w:hAnsiTheme="majorHAnsi"/>
        </w:rPr>
        <w:t xml:space="preserve">the couplet of </w:t>
      </w:r>
      <w:r w:rsidRPr="007E2A5E">
        <w:rPr>
          <w:rFonts w:asciiTheme="majorHAnsi" w:hAnsiTheme="majorHAnsi"/>
        </w:rPr>
        <w:t>accelerati</w:t>
      </w:r>
      <w:r w:rsidR="003E7EE9" w:rsidRPr="007E2A5E">
        <w:rPr>
          <w:rFonts w:asciiTheme="majorHAnsi" w:hAnsiTheme="majorHAnsi"/>
        </w:rPr>
        <w:t>on</w:t>
      </w:r>
      <w:r w:rsidRPr="007E2A5E">
        <w:rPr>
          <w:rFonts w:asciiTheme="majorHAnsi" w:hAnsiTheme="majorHAnsi"/>
        </w:rPr>
        <w:t xml:space="preserve"> and de-risking </w:t>
      </w:r>
      <w:r w:rsidR="001B7B82" w:rsidRPr="007E2A5E">
        <w:rPr>
          <w:rFonts w:asciiTheme="majorHAnsi" w:hAnsiTheme="majorHAnsi"/>
        </w:rPr>
        <w:t>of the steps that are required as</w:t>
      </w:r>
      <w:r w:rsidRPr="007E2A5E">
        <w:rPr>
          <w:rFonts w:asciiTheme="majorHAnsi" w:hAnsiTheme="majorHAnsi"/>
        </w:rPr>
        <w:t xml:space="preserve"> </w:t>
      </w:r>
      <w:r w:rsidR="001B7B82" w:rsidRPr="007E2A5E">
        <w:rPr>
          <w:rFonts w:asciiTheme="majorHAnsi" w:hAnsiTheme="majorHAnsi"/>
        </w:rPr>
        <w:t xml:space="preserve">compounds transit </w:t>
      </w:r>
      <w:r w:rsidRPr="007E2A5E">
        <w:rPr>
          <w:rFonts w:asciiTheme="majorHAnsi" w:hAnsiTheme="majorHAnsi"/>
        </w:rPr>
        <w:t>from the laboratory into the clinic.</w:t>
      </w:r>
      <w:r w:rsidR="006C7B86">
        <w:rPr>
          <w:rFonts w:asciiTheme="majorHAnsi" w:hAnsiTheme="majorHAnsi"/>
        </w:rPr>
        <w:t xml:space="preserve"> </w:t>
      </w:r>
      <w:r w:rsidRPr="007E2A5E">
        <w:rPr>
          <w:rFonts w:asciiTheme="majorHAnsi" w:hAnsiTheme="majorHAnsi"/>
        </w:rPr>
        <w:t xml:space="preserve">The second is </w:t>
      </w:r>
      <w:r w:rsidR="003D466A" w:rsidRPr="007E2A5E">
        <w:rPr>
          <w:rFonts w:asciiTheme="majorHAnsi" w:hAnsiTheme="majorHAnsi"/>
        </w:rPr>
        <w:t xml:space="preserve">the </w:t>
      </w:r>
      <w:r w:rsidRPr="007E2A5E">
        <w:rPr>
          <w:rFonts w:asciiTheme="majorHAnsi" w:hAnsiTheme="majorHAnsi"/>
        </w:rPr>
        <w:t>provi</w:t>
      </w:r>
      <w:r w:rsidR="003D466A" w:rsidRPr="007E2A5E">
        <w:rPr>
          <w:rFonts w:asciiTheme="majorHAnsi" w:hAnsiTheme="majorHAnsi"/>
        </w:rPr>
        <w:t>sion</w:t>
      </w:r>
      <w:r w:rsidRPr="007E2A5E">
        <w:rPr>
          <w:rFonts w:asciiTheme="majorHAnsi" w:hAnsiTheme="majorHAnsi"/>
        </w:rPr>
        <w:t xml:space="preserve"> </w:t>
      </w:r>
      <w:r w:rsidR="00C72D88" w:rsidRPr="007E2A5E">
        <w:rPr>
          <w:rFonts w:asciiTheme="majorHAnsi" w:hAnsiTheme="majorHAnsi"/>
        </w:rPr>
        <w:t xml:space="preserve">of </w:t>
      </w:r>
      <w:r w:rsidR="00C12C0E">
        <w:rPr>
          <w:rFonts w:asciiTheme="majorHAnsi" w:hAnsiTheme="majorHAnsi"/>
        </w:rPr>
        <w:t>supportive</w:t>
      </w:r>
      <w:r w:rsidR="00C12C0E" w:rsidRPr="007E2A5E">
        <w:rPr>
          <w:rFonts w:asciiTheme="majorHAnsi" w:hAnsiTheme="majorHAnsi"/>
        </w:rPr>
        <w:t xml:space="preserve"> </w:t>
      </w:r>
      <w:r w:rsidRPr="007E2A5E">
        <w:rPr>
          <w:rFonts w:asciiTheme="majorHAnsi" w:hAnsiTheme="majorHAnsi"/>
        </w:rPr>
        <w:t xml:space="preserve">evidence for causality </w:t>
      </w:r>
      <w:r w:rsidR="003E7EE9" w:rsidRPr="007E2A5E">
        <w:rPr>
          <w:rFonts w:asciiTheme="majorHAnsi" w:hAnsiTheme="majorHAnsi"/>
        </w:rPr>
        <w:t>(i.e.</w:t>
      </w:r>
      <w:r w:rsidR="008F5BEA">
        <w:rPr>
          <w:rFonts w:asciiTheme="majorHAnsi" w:hAnsiTheme="majorHAnsi"/>
        </w:rPr>
        <w:t>,</w:t>
      </w:r>
      <w:r w:rsidR="000A4904">
        <w:rPr>
          <w:rFonts w:asciiTheme="majorHAnsi" w:hAnsiTheme="majorHAnsi"/>
        </w:rPr>
        <w:t xml:space="preserve"> evidence that the observed effects are a result of the drug, and </w:t>
      </w:r>
      <w:r w:rsidR="008F5BEA">
        <w:rPr>
          <w:rFonts w:asciiTheme="majorHAnsi" w:hAnsiTheme="majorHAnsi"/>
        </w:rPr>
        <w:t>that</w:t>
      </w:r>
      <w:r w:rsidR="003E7EE9" w:rsidRPr="007E2A5E">
        <w:rPr>
          <w:rFonts w:asciiTheme="majorHAnsi" w:hAnsiTheme="majorHAnsi"/>
        </w:rPr>
        <w:t xml:space="preserve"> the drug </w:t>
      </w:r>
      <w:r w:rsidR="00C86C86" w:rsidRPr="007E2A5E">
        <w:rPr>
          <w:rFonts w:asciiTheme="majorHAnsi" w:hAnsiTheme="majorHAnsi"/>
        </w:rPr>
        <w:t>exerts a known and predictable biological effect that can be harnessed for therapeutic benefit)</w:t>
      </w:r>
      <w:r w:rsidR="00A511D3">
        <w:rPr>
          <w:rFonts w:asciiTheme="majorHAnsi" w:hAnsiTheme="majorHAnsi"/>
        </w:rPr>
        <w:t>.</w:t>
      </w:r>
      <w:r w:rsidR="00A511D3">
        <w:rPr>
          <w:rFonts w:asciiTheme="majorHAnsi" w:hAnsiTheme="majorHAnsi"/>
        </w:rPr>
        <w:fldChar w:fldCharType="begin" w:fldLock="1"/>
      </w:r>
      <w:r w:rsidR="000B0889">
        <w:rPr>
          <w:rFonts w:asciiTheme="majorHAnsi" w:hAnsiTheme="majorHAnsi"/>
        </w:rPr>
        <w:instrText>ADDIN CSL_CITATION { "citationItems" : [ { "id" : "ITEM-1", "itemData" : { "DOI" : "10.1016/S0009-9236(03)00018-3", "author" : [ { "dropping-particle" : "", "family" : "Peck", "given" : "Carl C", "non-dropping-particle" : "", "parse-names" : false, "suffix" : "" }, { "dropping-particle" : "", "family" : "Rubin", "given" : "Donald B", "non-dropping-particle" : "", "parse-names" : false, "suffix" : "" }, { "dropping-particle" : "", "family" : "Sheiner", "given" : "Lewis B", "non-dropping-particle" : "", "parse-names" : false, "suffix" : "" } ], "container-title" : "Clin Pharmacol Ther", "id" : "ITEM-1", "issue" : "6", "issued" : { "date-parts" : [ [ "2003" ] ] }, "page" : "481-490", "title" : "Hypothesis: a single clinical trial plus causal evidence of effectiveness is sufficient for drug approval.", "type" : "article-journal", "volume" : "73" }, "uris" : [ "http://www.mendeley.com/documents/?uuid=90aa5b50-aa14-47eb-83f7-b59d0742d3e8" ] } ], "mendeley" : { "formattedCitation" : "&lt;sup&gt;2&lt;/sup&gt;", "plainTextFormattedCitation" : "2", "previouslyFormattedCitation" : "&lt;sup&gt;2&lt;/sup&gt;" }, "properties" : { "noteIndex" : 0 }, "schema" : "https://github.com/citation-style-language/schema/raw/master/csl-citation.json" }</w:instrText>
      </w:r>
      <w:r w:rsidR="00A511D3">
        <w:rPr>
          <w:rFonts w:asciiTheme="majorHAnsi" w:hAnsiTheme="majorHAnsi"/>
        </w:rPr>
        <w:fldChar w:fldCharType="separate"/>
      </w:r>
      <w:r w:rsidR="00A511D3" w:rsidRPr="00A511D3">
        <w:rPr>
          <w:rFonts w:asciiTheme="majorHAnsi" w:hAnsiTheme="majorHAnsi"/>
          <w:noProof/>
          <w:vertAlign w:val="superscript"/>
        </w:rPr>
        <w:t>2</w:t>
      </w:r>
      <w:r w:rsidR="00A511D3">
        <w:rPr>
          <w:rFonts w:asciiTheme="majorHAnsi" w:hAnsiTheme="majorHAnsi"/>
        </w:rPr>
        <w:fldChar w:fldCharType="end"/>
      </w:r>
      <w:r w:rsidR="004863CF">
        <w:rPr>
          <w:rFonts w:asciiTheme="majorHAnsi" w:hAnsiTheme="majorHAnsi"/>
        </w:rPr>
        <w:t xml:space="preserve"> </w:t>
      </w:r>
      <w:r w:rsidR="00C86C86" w:rsidRPr="007E2A5E">
        <w:rPr>
          <w:rFonts w:asciiTheme="majorHAnsi" w:hAnsiTheme="majorHAnsi"/>
        </w:rPr>
        <w:t>The latter is</w:t>
      </w:r>
      <w:r w:rsidRPr="007E2A5E">
        <w:rPr>
          <w:rFonts w:asciiTheme="majorHAnsi" w:hAnsiTheme="majorHAnsi"/>
        </w:rPr>
        <w:t xml:space="preserve"> </w:t>
      </w:r>
      <w:r w:rsidR="0039761F" w:rsidRPr="007E2A5E">
        <w:rPr>
          <w:rFonts w:asciiTheme="majorHAnsi" w:hAnsiTheme="majorHAnsi"/>
        </w:rPr>
        <w:t xml:space="preserve">especially </w:t>
      </w:r>
      <w:r w:rsidR="00C86C86" w:rsidRPr="007E2A5E">
        <w:rPr>
          <w:rFonts w:asciiTheme="majorHAnsi" w:hAnsiTheme="majorHAnsi"/>
        </w:rPr>
        <w:t xml:space="preserve">important </w:t>
      </w:r>
      <w:r w:rsidRPr="007E2A5E">
        <w:rPr>
          <w:rFonts w:asciiTheme="majorHAnsi" w:hAnsiTheme="majorHAnsi"/>
        </w:rPr>
        <w:t xml:space="preserve">when </w:t>
      </w:r>
      <w:r w:rsidR="00311D00" w:rsidRPr="007E2A5E">
        <w:rPr>
          <w:rFonts w:asciiTheme="majorHAnsi" w:hAnsiTheme="majorHAnsi"/>
        </w:rPr>
        <w:t xml:space="preserve">causality </w:t>
      </w:r>
      <w:r w:rsidRPr="007E2A5E">
        <w:rPr>
          <w:rFonts w:asciiTheme="majorHAnsi" w:hAnsiTheme="majorHAnsi"/>
        </w:rPr>
        <w:t xml:space="preserve">cannot be </w:t>
      </w:r>
      <w:r w:rsidR="00311D00" w:rsidRPr="007E2A5E">
        <w:rPr>
          <w:rFonts w:asciiTheme="majorHAnsi" w:hAnsiTheme="majorHAnsi"/>
        </w:rPr>
        <w:t xml:space="preserve">readily established </w:t>
      </w:r>
      <w:r w:rsidRPr="007E2A5E">
        <w:rPr>
          <w:rFonts w:asciiTheme="majorHAnsi" w:hAnsiTheme="majorHAnsi"/>
        </w:rPr>
        <w:t xml:space="preserve">by more traditional approaches, such as </w:t>
      </w:r>
      <w:r w:rsidR="00311D00" w:rsidRPr="007E2A5E">
        <w:rPr>
          <w:rFonts w:asciiTheme="majorHAnsi" w:hAnsiTheme="majorHAnsi"/>
        </w:rPr>
        <w:t xml:space="preserve">multiple </w:t>
      </w:r>
      <w:r w:rsidRPr="007E2A5E">
        <w:rPr>
          <w:rFonts w:asciiTheme="majorHAnsi" w:hAnsiTheme="majorHAnsi"/>
        </w:rPr>
        <w:t xml:space="preserve">comparative Phase II and III clinical trials. </w:t>
      </w:r>
      <w:r w:rsidR="0070157F">
        <w:rPr>
          <w:rFonts w:asciiTheme="majorHAnsi" w:hAnsiTheme="majorHAnsi"/>
        </w:rPr>
        <w:tab/>
        <w:t xml:space="preserve">The purpose of this review is to describe some of the key ideas for </w:t>
      </w:r>
      <w:r w:rsidR="00E00BCA">
        <w:rPr>
          <w:rFonts w:asciiTheme="majorHAnsi" w:hAnsiTheme="majorHAnsi"/>
        </w:rPr>
        <w:t xml:space="preserve">the use of PK-PD for </w:t>
      </w:r>
      <w:r w:rsidR="0070157F">
        <w:rPr>
          <w:rFonts w:asciiTheme="majorHAnsi" w:hAnsiTheme="majorHAnsi"/>
        </w:rPr>
        <w:t xml:space="preserve">antifungal drug development.  It is not intended as </w:t>
      </w:r>
      <w:r w:rsidR="00E00BCA">
        <w:rPr>
          <w:rFonts w:asciiTheme="majorHAnsi" w:hAnsiTheme="majorHAnsi"/>
        </w:rPr>
        <w:t>a comprehensive review of antifungal PK-PD</w:t>
      </w:r>
      <w:r w:rsidR="007B63BD">
        <w:rPr>
          <w:rFonts w:asciiTheme="majorHAnsi" w:hAnsiTheme="majorHAnsi"/>
        </w:rPr>
        <w:t>—</w:t>
      </w:r>
      <w:r w:rsidR="00591E6D">
        <w:rPr>
          <w:rFonts w:asciiTheme="majorHAnsi" w:hAnsiTheme="majorHAnsi"/>
        </w:rPr>
        <w:t>examples of which</w:t>
      </w:r>
      <w:r w:rsidR="00E00BCA">
        <w:rPr>
          <w:rFonts w:asciiTheme="majorHAnsi" w:hAnsiTheme="majorHAnsi"/>
        </w:rPr>
        <w:t xml:space="preserve"> can be found elsewhere.</w:t>
      </w:r>
      <w:r w:rsidR="0070157F">
        <w:rPr>
          <w:rFonts w:asciiTheme="majorHAnsi" w:hAnsiTheme="majorHAnsi"/>
        </w:rPr>
        <w:t xml:space="preserve"> </w:t>
      </w:r>
      <w:r w:rsidR="007B63BD">
        <w:rPr>
          <w:rFonts w:asciiTheme="majorHAnsi" w:hAnsiTheme="majorHAnsi"/>
        </w:rPr>
        <w:t xml:space="preserve"> The key </w:t>
      </w:r>
      <w:r w:rsidR="00844209">
        <w:rPr>
          <w:rFonts w:asciiTheme="majorHAnsi" w:hAnsiTheme="majorHAnsi"/>
        </w:rPr>
        <w:t xml:space="preserve">information that can be obtained from a preclinical PK-PD study </w:t>
      </w:r>
      <w:r w:rsidR="0003457E">
        <w:rPr>
          <w:rFonts w:asciiTheme="majorHAnsi" w:hAnsiTheme="majorHAnsi"/>
        </w:rPr>
        <w:t>is</w:t>
      </w:r>
      <w:r w:rsidR="00844209">
        <w:rPr>
          <w:rFonts w:asciiTheme="majorHAnsi" w:hAnsiTheme="majorHAnsi"/>
        </w:rPr>
        <w:t xml:space="preserve"> summarised in table 1.</w:t>
      </w:r>
      <w:r w:rsidR="0003457E">
        <w:rPr>
          <w:rFonts w:asciiTheme="majorHAnsi" w:hAnsiTheme="majorHAnsi"/>
        </w:rPr>
        <w:t xml:space="preserve">  PK-PD is increasingly </w:t>
      </w:r>
      <w:r w:rsidR="004D2C70">
        <w:rPr>
          <w:rFonts w:asciiTheme="majorHAnsi" w:hAnsiTheme="majorHAnsi"/>
        </w:rPr>
        <w:t xml:space="preserve">viewed as central to drug development programs.  This review explains why this is the case and examines the constituents of a data package </w:t>
      </w:r>
      <w:r w:rsidR="00F86781">
        <w:rPr>
          <w:rFonts w:asciiTheme="majorHAnsi" w:hAnsiTheme="majorHAnsi"/>
        </w:rPr>
        <w:t>required for drug filing.</w:t>
      </w:r>
    </w:p>
    <w:p w14:paraId="49455103" w14:textId="77777777" w:rsidR="00F86781" w:rsidRPr="007E2A5E" w:rsidRDefault="00F86781" w:rsidP="007A2846">
      <w:pPr>
        <w:spacing w:line="276" w:lineRule="auto"/>
        <w:divId w:val="557014764"/>
        <w:rPr>
          <w:rFonts w:asciiTheme="majorHAnsi" w:hAnsiTheme="majorHAnsi"/>
        </w:rPr>
      </w:pPr>
    </w:p>
    <w:p w14:paraId="0341CB3E" w14:textId="77777777" w:rsidR="00276B7D" w:rsidRPr="007E2A5E" w:rsidRDefault="00276B7D" w:rsidP="007A2846">
      <w:pPr>
        <w:spacing w:line="276" w:lineRule="auto"/>
        <w:rPr>
          <w:rFonts w:asciiTheme="majorHAnsi" w:hAnsiTheme="majorHAnsi"/>
        </w:rPr>
      </w:pPr>
    </w:p>
    <w:p w14:paraId="0E1EB343" w14:textId="77777777" w:rsidR="00272AB2" w:rsidRPr="007E2A5E" w:rsidRDefault="004B07FF" w:rsidP="007A2846">
      <w:pPr>
        <w:spacing w:line="276" w:lineRule="auto"/>
        <w:rPr>
          <w:rFonts w:asciiTheme="majorHAnsi" w:hAnsiTheme="majorHAnsi"/>
          <w:u w:val="single"/>
        </w:rPr>
      </w:pPr>
      <w:r w:rsidRPr="007E2A5E">
        <w:rPr>
          <w:rFonts w:asciiTheme="majorHAnsi" w:hAnsiTheme="majorHAnsi"/>
          <w:u w:val="single"/>
        </w:rPr>
        <w:lastRenderedPageBreak/>
        <w:t xml:space="preserve">2. </w:t>
      </w:r>
      <w:r w:rsidR="00172885">
        <w:rPr>
          <w:rFonts w:asciiTheme="majorHAnsi" w:hAnsiTheme="majorHAnsi"/>
          <w:u w:val="single"/>
        </w:rPr>
        <w:t>THREE</w:t>
      </w:r>
      <w:r w:rsidR="00172885" w:rsidRPr="007E2A5E">
        <w:rPr>
          <w:rFonts w:asciiTheme="majorHAnsi" w:hAnsiTheme="majorHAnsi"/>
          <w:u w:val="single"/>
        </w:rPr>
        <w:t xml:space="preserve"> </w:t>
      </w:r>
      <w:r w:rsidR="00C04B7A" w:rsidRPr="007E2A5E">
        <w:rPr>
          <w:rFonts w:asciiTheme="majorHAnsi" w:hAnsiTheme="majorHAnsi"/>
          <w:u w:val="single"/>
        </w:rPr>
        <w:t>CURRENT CHALLENGES IN ANTIFUNGAL DRUG DEVELOPMENT</w:t>
      </w:r>
    </w:p>
    <w:p w14:paraId="4ACFCB7C" w14:textId="77777777" w:rsidR="006E5AF5" w:rsidRPr="007E2A5E" w:rsidRDefault="006E5AF5" w:rsidP="007A2846">
      <w:pPr>
        <w:spacing w:line="276" w:lineRule="auto"/>
        <w:rPr>
          <w:rFonts w:asciiTheme="majorHAnsi" w:hAnsiTheme="majorHAnsi"/>
        </w:rPr>
      </w:pPr>
    </w:p>
    <w:p w14:paraId="20BE4318" w14:textId="77777777" w:rsidR="000D050D" w:rsidRPr="007E2A5E" w:rsidRDefault="008A722D" w:rsidP="007A2846">
      <w:pPr>
        <w:spacing w:line="276" w:lineRule="auto"/>
        <w:rPr>
          <w:rFonts w:asciiTheme="majorHAnsi" w:hAnsiTheme="majorHAnsi"/>
          <w:i/>
        </w:rPr>
      </w:pPr>
      <w:r w:rsidRPr="007E2A5E">
        <w:rPr>
          <w:rFonts w:asciiTheme="majorHAnsi" w:hAnsiTheme="majorHAnsi"/>
          <w:i/>
        </w:rPr>
        <w:t xml:space="preserve">1. </w:t>
      </w:r>
      <w:r w:rsidR="000D050D" w:rsidRPr="007E2A5E">
        <w:rPr>
          <w:rFonts w:asciiTheme="majorHAnsi" w:hAnsiTheme="majorHAnsi"/>
          <w:i/>
        </w:rPr>
        <w:t xml:space="preserve">Invasive fungal </w:t>
      </w:r>
      <w:r w:rsidRPr="007E2A5E">
        <w:rPr>
          <w:rFonts w:asciiTheme="majorHAnsi" w:hAnsiTheme="majorHAnsi"/>
          <w:i/>
        </w:rPr>
        <w:t>Diseases constitute an unmet medical need</w:t>
      </w:r>
    </w:p>
    <w:p w14:paraId="3E20AA8A" w14:textId="5968D317" w:rsidR="008A722D" w:rsidRPr="00C93520" w:rsidRDefault="008A722D" w:rsidP="007A2846">
      <w:pPr>
        <w:spacing w:line="276" w:lineRule="auto"/>
        <w:rPr>
          <w:rFonts w:asciiTheme="majorHAnsi" w:hAnsiTheme="majorHAnsi"/>
        </w:rPr>
      </w:pPr>
      <w:r w:rsidRPr="007E2A5E">
        <w:rPr>
          <w:rFonts w:asciiTheme="majorHAnsi" w:hAnsiTheme="majorHAnsi"/>
        </w:rPr>
        <w:tab/>
        <w:t xml:space="preserve">Invasive fungal </w:t>
      </w:r>
      <w:r w:rsidR="00AB71C1" w:rsidRPr="007E2A5E">
        <w:rPr>
          <w:rFonts w:asciiTheme="majorHAnsi" w:hAnsiTheme="majorHAnsi"/>
        </w:rPr>
        <w:t xml:space="preserve">diseases, in the most general </w:t>
      </w:r>
      <w:r w:rsidR="003F0B89" w:rsidRPr="007E2A5E">
        <w:rPr>
          <w:rFonts w:asciiTheme="majorHAnsi" w:hAnsiTheme="majorHAnsi"/>
        </w:rPr>
        <w:t xml:space="preserve">of </w:t>
      </w:r>
      <w:r w:rsidR="00AB71C1" w:rsidRPr="007E2A5E">
        <w:rPr>
          <w:rFonts w:asciiTheme="majorHAnsi" w:hAnsiTheme="majorHAnsi"/>
        </w:rPr>
        <w:t>terms, constitute</w:t>
      </w:r>
      <w:r w:rsidRPr="007E2A5E">
        <w:rPr>
          <w:rFonts w:asciiTheme="majorHAnsi" w:hAnsiTheme="majorHAnsi"/>
        </w:rPr>
        <w:t xml:space="preserve"> an unmet medical need</w:t>
      </w:r>
      <w:r w:rsidR="00A704B7" w:rsidRPr="007E2A5E">
        <w:rPr>
          <w:rFonts w:asciiTheme="majorHAnsi" w:hAnsiTheme="majorHAnsi"/>
        </w:rPr>
        <w:t xml:space="preserve"> as evidenced by</w:t>
      </w:r>
      <w:r w:rsidR="005526DC" w:rsidRPr="007E2A5E">
        <w:rPr>
          <w:rFonts w:asciiTheme="majorHAnsi" w:hAnsiTheme="majorHAnsi"/>
        </w:rPr>
        <w:t xml:space="preserve"> the following</w:t>
      </w:r>
      <w:r w:rsidR="008243A5" w:rsidRPr="007E2A5E">
        <w:rPr>
          <w:rFonts w:asciiTheme="majorHAnsi" w:hAnsiTheme="majorHAnsi"/>
        </w:rPr>
        <w:t xml:space="preserve">: (1) </w:t>
      </w:r>
      <w:r w:rsidR="00546109" w:rsidRPr="007E2A5E">
        <w:rPr>
          <w:rFonts w:asciiTheme="majorHAnsi" w:hAnsiTheme="majorHAnsi"/>
        </w:rPr>
        <w:t xml:space="preserve">current agents are not </w:t>
      </w:r>
      <w:r w:rsidR="00F57C6F" w:rsidRPr="007E2A5E">
        <w:rPr>
          <w:rFonts w:asciiTheme="majorHAnsi" w:hAnsiTheme="majorHAnsi"/>
        </w:rPr>
        <w:t>maximally</w:t>
      </w:r>
      <w:r w:rsidR="00546109" w:rsidRPr="007E2A5E">
        <w:rPr>
          <w:rFonts w:asciiTheme="majorHAnsi" w:hAnsiTheme="majorHAnsi"/>
        </w:rPr>
        <w:t xml:space="preserve"> effective (i.e. </w:t>
      </w:r>
      <w:r w:rsidR="00E64759">
        <w:rPr>
          <w:rFonts w:asciiTheme="majorHAnsi" w:hAnsiTheme="majorHAnsi"/>
        </w:rPr>
        <w:t xml:space="preserve">approximately </w:t>
      </w:r>
      <w:r w:rsidR="001C4F3C">
        <w:rPr>
          <w:rFonts w:asciiTheme="majorHAnsi" w:hAnsiTheme="majorHAnsi"/>
        </w:rPr>
        <w:t>20-30</w:t>
      </w:r>
      <w:r w:rsidR="00AC3B6C" w:rsidRPr="007E2A5E">
        <w:rPr>
          <w:rFonts w:asciiTheme="majorHAnsi" w:hAnsiTheme="majorHAnsi"/>
        </w:rPr>
        <w:t>%</w:t>
      </w:r>
      <w:r w:rsidR="00546109" w:rsidRPr="007E2A5E">
        <w:rPr>
          <w:rFonts w:asciiTheme="majorHAnsi" w:hAnsiTheme="majorHAnsi"/>
        </w:rPr>
        <w:t xml:space="preserve"> fail first-line agents and need to be switched</w:t>
      </w:r>
      <w:r w:rsidR="00C21C0B">
        <w:rPr>
          <w:rFonts w:asciiTheme="majorHAnsi" w:hAnsiTheme="majorHAnsi"/>
        </w:rPr>
        <w:t xml:space="preserve"> to other agents;</w:t>
      </w:r>
      <w:r w:rsidR="00546109" w:rsidRPr="007E2A5E">
        <w:rPr>
          <w:rFonts w:asciiTheme="majorHAnsi" w:hAnsiTheme="majorHAnsi"/>
        </w:rPr>
        <w:t xml:space="preserve"> </w:t>
      </w:r>
      <w:r w:rsidR="00E64759">
        <w:rPr>
          <w:rFonts w:asciiTheme="majorHAnsi" w:hAnsiTheme="majorHAnsi"/>
        </w:rPr>
        <w:t xml:space="preserve">approximately </w:t>
      </w:r>
      <w:r w:rsidR="00C53E72">
        <w:rPr>
          <w:rFonts w:asciiTheme="majorHAnsi" w:hAnsiTheme="majorHAnsi"/>
        </w:rPr>
        <w:t>20</w:t>
      </w:r>
      <w:r w:rsidR="00AC3B6C" w:rsidRPr="00C53E72">
        <w:rPr>
          <w:rFonts w:asciiTheme="majorHAnsi" w:hAnsiTheme="majorHAnsi"/>
        </w:rPr>
        <w:t>%</w:t>
      </w:r>
      <w:r w:rsidR="00546109" w:rsidRPr="00C53E72">
        <w:rPr>
          <w:rFonts w:asciiTheme="majorHAnsi" w:hAnsiTheme="majorHAnsi"/>
        </w:rPr>
        <w:t xml:space="preserve"> patients die</w:t>
      </w:r>
      <w:r w:rsidR="00AC3B6C" w:rsidRPr="00C53E72">
        <w:rPr>
          <w:rFonts w:asciiTheme="majorHAnsi" w:hAnsiTheme="majorHAnsi"/>
        </w:rPr>
        <w:t xml:space="preserve"> at 6 weeks</w:t>
      </w:r>
      <w:r w:rsidR="00546109" w:rsidRPr="007E2A5E">
        <w:rPr>
          <w:rFonts w:asciiTheme="majorHAnsi" w:hAnsiTheme="majorHAnsi"/>
        </w:rPr>
        <w:t xml:space="preserve">); (2) </w:t>
      </w:r>
      <w:r w:rsidR="00F002F6" w:rsidRPr="007E2A5E">
        <w:rPr>
          <w:rFonts w:asciiTheme="majorHAnsi" w:hAnsiTheme="majorHAnsi"/>
        </w:rPr>
        <w:t xml:space="preserve">at least some of the </w:t>
      </w:r>
      <w:r w:rsidR="00546109" w:rsidRPr="007E2A5E">
        <w:rPr>
          <w:rFonts w:asciiTheme="majorHAnsi" w:hAnsiTheme="majorHAnsi"/>
        </w:rPr>
        <w:t xml:space="preserve">current </w:t>
      </w:r>
      <w:r w:rsidR="00AC3B6C" w:rsidRPr="007E2A5E">
        <w:rPr>
          <w:rFonts w:asciiTheme="majorHAnsi" w:hAnsiTheme="majorHAnsi"/>
        </w:rPr>
        <w:t xml:space="preserve">classes and </w:t>
      </w:r>
      <w:r w:rsidR="00546109" w:rsidRPr="007E2A5E">
        <w:rPr>
          <w:rFonts w:asciiTheme="majorHAnsi" w:hAnsiTheme="majorHAnsi"/>
        </w:rPr>
        <w:t xml:space="preserve">agents </w:t>
      </w:r>
      <w:r w:rsidR="00F002F6" w:rsidRPr="007E2A5E">
        <w:rPr>
          <w:rFonts w:asciiTheme="majorHAnsi" w:hAnsiTheme="majorHAnsi"/>
        </w:rPr>
        <w:t>are characterised</w:t>
      </w:r>
      <w:r w:rsidR="00546109" w:rsidRPr="007E2A5E">
        <w:rPr>
          <w:rFonts w:asciiTheme="majorHAnsi" w:hAnsiTheme="majorHAnsi"/>
        </w:rPr>
        <w:t xml:space="preserve"> </w:t>
      </w:r>
      <w:r w:rsidR="00F57C6F" w:rsidRPr="007E2A5E">
        <w:rPr>
          <w:rFonts w:asciiTheme="majorHAnsi" w:hAnsiTheme="majorHAnsi"/>
        </w:rPr>
        <w:t xml:space="preserve">by </w:t>
      </w:r>
      <w:r w:rsidR="00546109" w:rsidRPr="007E2A5E">
        <w:rPr>
          <w:rFonts w:asciiTheme="majorHAnsi" w:hAnsiTheme="majorHAnsi"/>
        </w:rPr>
        <w:t xml:space="preserve">significant </w:t>
      </w:r>
      <w:r w:rsidR="006E7821" w:rsidRPr="007E2A5E">
        <w:rPr>
          <w:rFonts w:asciiTheme="majorHAnsi" w:hAnsiTheme="majorHAnsi"/>
        </w:rPr>
        <w:t>drug-</w:t>
      </w:r>
      <w:r w:rsidR="00F662DB" w:rsidRPr="007E2A5E">
        <w:rPr>
          <w:rFonts w:asciiTheme="majorHAnsi" w:hAnsiTheme="majorHAnsi"/>
        </w:rPr>
        <w:t>related toxicity</w:t>
      </w:r>
      <w:r w:rsidR="00F002F6" w:rsidRPr="007E2A5E">
        <w:rPr>
          <w:rFonts w:asciiTheme="majorHAnsi" w:hAnsiTheme="majorHAnsi"/>
        </w:rPr>
        <w:t xml:space="preserve"> that </w:t>
      </w:r>
      <w:r w:rsidR="00C53E72">
        <w:rPr>
          <w:rFonts w:asciiTheme="majorHAnsi" w:hAnsiTheme="majorHAnsi"/>
        </w:rPr>
        <w:t xml:space="preserve">has an impact on </w:t>
      </w:r>
      <w:r w:rsidR="007A04CF">
        <w:rPr>
          <w:rFonts w:asciiTheme="majorHAnsi" w:hAnsiTheme="majorHAnsi"/>
        </w:rPr>
        <w:t xml:space="preserve">morbidity, mortality and </w:t>
      </w:r>
      <w:r w:rsidR="00F002F6" w:rsidRPr="00C53E72">
        <w:rPr>
          <w:rFonts w:asciiTheme="majorHAnsi" w:hAnsiTheme="majorHAnsi"/>
        </w:rPr>
        <w:t>mandates switching</w:t>
      </w:r>
      <w:r w:rsidR="006E7821" w:rsidRPr="00C53E72">
        <w:rPr>
          <w:rFonts w:asciiTheme="majorHAnsi" w:hAnsiTheme="majorHAnsi"/>
        </w:rPr>
        <w:t xml:space="preserve"> </w:t>
      </w:r>
      <w:r w:rsidR="00DF10F5">
        <w:rPr>
          <w:rFonts w:asciiTheme="majorHAnsi" w:hAnsiTheme="majorHAnsi"/>
        </w:rPr>
        <w:t xml:space="preserve">antifungal </w:t>
      </w:r>
      <w:r w:rsidR="006E7821" w:rsidRPr="00C53E72">
        <w:rPr>
          <w:rFonts w:asciiTheme="majorHAnsi" w:hAnsiTheme="majorHAnsi"/>
        </w:rPr>
        <w:t>therapy</w:t>
      </w:r>
      <w:r w:rsidR="00F002F6" w:rsidRPr="00C53E72">
        <w:rPr>
          <w:rFonts w:asciiTheme="majorHAnsi" w:hAnsiTheme="majorHAnsi"/>
        </w:rPr>
        <w:t xml:space="preserve">; and (3) </w:t>
      </w:r>
      <w:r w:rsidR="00AC3B6C" w:rsidRPr="00C53E72">
        <w:rPr>
          <w:rFonts w:asciiTheme="majorHAnsi" w:hAnsiTheme="majorHAnsi"/>
        </w:rPr>
        <w:t xml:space="preserve">inherent </w:t>
      </w:r>
      <w:r w:rsidR="008A47D5" w:rsidRPr="00C53E72">
        <w:rPr>
          <w:rFonts w:asciiTheme="majorHAnsi" w:hAnsiTheme="majorHAnsi"/>
        </w:rPr>
        <w:t xml:space="preserve">(e.g. fluconazole resistance in </w:t>
      </w:r>
      <w:r w:rsidR="008A47D5" w:rsidRPr="00C53E72">
        <w:rPr>
          <w:rFonts w:asciiTheme="majorHAnsi" w:hAnsiTheme="majorHAnsi"/>
          <w:i/>
        </w:rPr>
        <w:t>Candida krusei</w:t>
      </w:r>
      <w:r w:rsidR="00914833" w:rsidRPr="00C53E72">
        <w:rPr>
          <w:rFonts w:asciiTheme="majorHAnsi" w:hAnsiTheme="majorHAnsi"/>
        </w:rPr>
        <w:t xml:space="preserve"> </w:t>
      </w:r>
      <w:r w:rsidR="00AC3B6C" w:rsidRPr="00C53E72">
        <w:rPr>
          <w:rFonts w:asciiTheme="majorHAnsi" w:hAnsiTheme="majorHAnsi"/>
        </w:rPr>
        <w:t xml:space="preserve">or </w:t>
      </w:r>
      <w:r w:rsidR="004863CF" w:rsidRPr="00C53E72">
        <w:rPr>
          <w:rFonts w:asciiTheme="majorHAnsi" w:hAnsiTheme="majorHAnsi"/>
          <w:i/>
        </w:rPr>
        <w:t>C</w:t>
      </w:r>
      <w:r w:rsidR="004863CF">
        <w:rPr>
          <w:rFonts w:asciiTheme="majorHAnsi" w:hAnsiTheme="majorHAnsi"/>
          <w:i/>
        </w:rPr>
        <w:t>.</w:t>
      </w:r>
      <w:r w:rsidR="004863CF" w:rsidRPr="00C53E72">
        <w:rPr>
          <w:rFonts w:asciiTheme="majorHAnsi" w:hAnsiTheme="majorHAnsi"/>
          <w:i/>
        </w:rPr>
        <w:t xml:space="preserve"> </w:t>
      </w:r>
      <w:r w:rsidR="006E7821" w:rsidRPr="00C53E72">
        <w:rPr>
          <w:rFonts w:asciiTheme="majorHAnsi" w:hAnsiTheme="majorHAnsi"/>
          <w:i/>
        </w:rPr>
        <w:t>glabrata</w:t>
      </w:r>
      <w:r w:rsidR="005D7AF6" w:rsidRPr="00C53E72">
        <w:rPr>
          <w:rFonts w:asciiTheme="majorHAnsi" w:hAnsiTheme="majorHAnsi"/>
        </w:rPr>
        <w:t xml:space="preserve">) and </w:t>
      </w:r>
      <w:r w:rsidR="00AC3B6C" w:rsidRPr="00C53E72">
        <w:rPr>
          <w:rFonts w:asciiTheme="majorHAnsi" w:hAnsiTheme="majorHAnsi"/>
        </w:rPr>
        <w:t xml:space="preserve">acquired drug resistance </w:t>
      </w:r>
      <w:r w:rsidR="005D7AF6" w:rsidRPr="007A04CF">
        <w:rPr>
          <w:rFonts w:asciiTheme="majorHAnsi" w:hAnsiTheme="majorHAnsi"/>
        </w:rPr>
        <w:t xml:space="preserve">(e.g. triazole resistance in </w:t>
      </w:r>
      <w:r w:rsidR="005D7AF6" w:rsidRPr="007A04CF">
        <w:rPr>
          <w:rFonts w:asciiTheme="majorHAnsi" w:hAnsiTheme="majorHAnsi"/>
          <w:i/>
        </w:rPr>
        <w:t>Aspergillus fumigatus</w:t>
      </w:r>
      <w:r w:rsidR="00002030" w:rsidRPr="007A04CF">
        <w:rPr>
          <w:rFonts w:asciiTheme="majorHAnsi" w:hAnsiTheme="majorHAnsi"/>
        </w:rPr>
        <w:t>)</w:t>
      </w:r>
      <w:r w:rsidR="005D7AF6" w:rsidRPr="007A04CF">
        <w:rPr>
          <w:rFonts w:asciiTheme="majorHAnsi" w:hAnsiTheme="majorHAnsi"/>
        </w:rPr>
        <w:t xml:space="preserve"> </w:t>
      </w:r>
      <w:r w:rsidR="00002030" w:rsidRPr="007A04CF">
        <w:rPr>
          <w:rFonts w:asciiTheme="majorHAnsi" w:hAnsiTheme="majorHAnsi"/>
        </w:rPr>
        <w:t xml:space="preserve">are both issues that </w:t>
      </w:r>
      <w:r w:rsidR="00D347CD" w:rsidRPr="007A04CF">
        <w:rPr>
          <w:rFonts w:asciiTheme="majorHAnsi" w:hAnsiTheme="majorHAnsi"/>
        </w:rPr>
        <w:t>are increasing</w:t>
      </w:r>
      <w:r w:rsidR="0062185B" w:rsidRPr="007A04CF">
        <w:rPr>
          <w:rFonts w:asciiTheme="majorHAnsi" w:hAnsiTheme="majorHAnsi"/>
        </w:rPr>
        <w:t xml:space="preserve">ly prevalent </w:t>
      </w:r>
      <w:r w:rsidR="00D347CD" w:rsidRPr="007A04CF">
        <w:rPr>
          <w:rFonts w:asciiTheme="majorHAnsi" w:hAnsiTheme="majorHAnsi"/>
        </w:rPr>
        <w:t xml:space="preserve">and </w:t>
      </w:r>
      <w:r w:rsidR="00002030" w:rsidRPr="007A04CF">
        <w:rPr>
          <w:rFonts w:asciiTheme="majorHAnsi" w:hAnsiTheme="majorHAnsi"/>
        </w:rPr>
        <w:t>compromise antifungal therapy</w:t>
      </w:r>
      <w:r w:rsidR="00BB6581">
        <w:rPr>
          <w:rFonts w:asciiTheme="majorHAnsi" w:hAnsiTheme="majorHAnsi"/>
        </w:rPr>
        <w:t>.</w:t>
      </w:r>
      <w:r w:rsidR="004D32CF">
        <w:rPr>
          <w:rFonts w:asciiTheme="majorHAnsi" w:hAnsiTheme="majorHAnsi"/>
        </w:rPr>
        <w:fldChar w:fldCharType="begin" w:fldLock="1"/>
      </w:r>
      <w:r w:rsidR="000B527C">
        <w:rPr>
          <w:rFonts w:asciiTheme="majorHAnsi" w:hAnsiTheme="majorHAnsi"/>
        </w:rPr>
        <w:instrText>ADDIN CSL_CITATION { "citationItems" : [ { "id" : "ITEM-1", "itemData" : { "DOI" : "10.1016/j.tim.2010.02.004", "ISBN" : "1878-4380 (Electronic)\\r0966-842X (Linking)", "ISSN" : "0966842X", "PMID" : "20207544", "abstract" : "This article provides a perspective on the current status of drug therapy for invasive fungal diseases, together with priorities for the future development of novel compounds. Key opportunities for new drugs include production of orally bioavailable agents for the treatment of invasive aspergillosis, invasive candidiasis, cryptococcal meningitis and mucosal and urinary Candida infections. Orally bioavailable agents for the treatment of chronic pulmonary and allergic aspergillosis are also required, as well as new potent drugs against a range of medically important moulds. Antifungal resistance is a problem in certain contexts, but is generally less of a problem than bacterial infections. Earlier and more complete mycological diagnosis and improvements in underlying risk estimation will improve outcomes. The limitations of the current antifungal agents and opportunities for new developments are discussed. ?? 2010 Elsevier Ltd.", "author" : [ { "dropping-particle" : "", "family" : "Denning", "given" : "David W.", "non-dropping-particle" : "", "parse-names" : false, "suffix" : "" }, { "dropping-particle" : "", "family" : "Hope", "given" : "William W.", "non-dropping-particle" : "", "parse-names" : false, "suffix" : "" } ], "container-title" : "Trends in Microbiology", "id" : "ITEM-1", "issue" : "5", "issued" : { "date-parts" : [ [ "2010" ] ] }, "page" : "195-204", "title" : "Therapy for fungal diseases: opportunities and priorities", "type" : "article-journal", "volume" : "18" }, "uris" : [ "http://www.mendeley.com/documents/?uuid=4ac5d577-99c6-4133-8519-e7cfe1d0e58b" ] } ], "mendeley" : { "formattedCitation" : "&lt;sup&gt;3&lt;/sup&gt;", "plainTextFormattedCitation" : "3", "previouslyFormattedCitation" : "&lt;sup&gt;3&lt;/sup&gt;" }, "properties" : { "noteIndex" : 0 }, "schema" : "https://github.com/citation-style-language/schema/raw/master/csl-citation.json" }</w:instrText>
      </w:r>
      <w:r w:rsidR="004D32CF">
        <w:rPr>
          <w:rFonts w:asciiTheme="majorHAnsi" w:hAnsiTheme="majorHAnsi"/>
        </w:rPr>
        <w:fldChar w:fldCharType="separate"/>
      </w:r>
      <w:r w:rsidR="00A511D3" w:rsidRPr="00A511D3">
        <w:rPr>
          <w:rFonts w:asciiTheme="majorHAnsi" w:hAnsiTheme="majorHAnsi"/>
          <w:noProof/>
          <w:vertAlign w:val="superscript"/>
        </w:rPr>
        <w:t>3</w:t>
      </w:r>
      <w:r w:rsidR="004D32CF">
        <w:rPr>
          <w:rFonts w:asciiTheme="majorHAnsi" w:hAnsiTheme="majorHAnsi"/>
        </w:rPr>
        <w:fldChar w:fldCharType="end"/>
      </w:r>
      <w:r w:rsidR="006C7B86">
        <w:rPr>
          <w:rFonts w:asciiTheme="majorHAnsi" w:hAnsiTheme="majorHAnsi"/>
        </w:rPr>
        <w:t xml:space="preserve"> </w:t>
      </w:r>
      <w:r w:rsidR="00D341ED" w:rsidRPr="007A04CF">
        <w:rPr>
          <w:rFonts w:asciiTheme="majorHAnsi" w:hAnsiTheme="majorHAnsi"/>
        </w:rPr>
        <w:t>Stated simply</w:t>
      </w:r>
      <w:r w:rsidR="008F5BEA">
        <w:rPr>
          <w:rFonts w:asciiTheme="majorHAnsi" w:hAnsiTheme="majorHAnsi"/>
        </w:rPr>
        <w:t>,</w:t>
      </w:r>
      <w:r w:rsidR="008F5BEA" w:rsidRPr="007A04CF">
        <w:rPr>
          <w:rFonts w:asciiTheme="majorHAnsi" w:hAnsiTheme="majorHAnsi"/>
        </w:rPr>
        <w:t xml:space="preserve"> </w:t>
      </w:r>
      <w:r w:rsidR="0012015D">
        <w:rPr>
          <w:rFonts w:asciiTheme="majorHAnsi" w:hAnsiTheme="majorHAnsi"/>
        </w:rPr>
        <w:t xml:space="preserve">many </w:t>
      </w:r>
      <w:r w:rsidR="00D341ED" w:rsidRPr="0012015D">
        <w:rPr>
          <w:rFonts w:asciiTheme="majorHAnsi" w:hAnsiTheme="majorHAnsi"/>
        </w:rPr>
        <w:t>p</w:t>
      </w:r>
      <w:r w:rsidR="00D518A3" w:rsidRPr="0012015D">
        <w:rPr>
          <w:rFonts w:asciiTheme="majorHAnsi" w:hAnsiTheme="majorHAnsi"/>
        </w:rPr>
        <w:t xml:space="preserve">atients fail </w:t>
      </w:r>
      <w:r w:rsidR="00D341ED" w:rsidRPr="0012015D">
        <w:rPr>
          <w:rFonts w:asciiTheme="majorHAnsi" w:hAnsiTheme="majorHAnsi"/>
        </w:rPr>
        <w:t xml:space="preserve">antifungal </w:t>
      </w:r>
      <w:r w:rsidR="00D518A3" w:rsidRPr="0012015D">
        <w:rPr>
          <w:rFonts w:asciiTheme="majorHAnsi" w:hAnsiTheme="majorHAnsi"/>
        </w:rPr>
        <w:t>therapy because there are too few agents</w:t>
      </w:r>
      <w:r w:rsidRPr="0012015D">
        <w:rPr>
          <w:rFonts w:asciiTheme="majorHAnsi" w:hAnsiTheme="majorHAnsi"/>
        </w:rPr>
        <w:t xml:space="preserve"> </w:t>
      </w:r>
      <w:r w:rsidR="00D84281" w:rsidRPr="00C93520">
        <w:rPr>
          <w:rFonts w:asciiTheme="majorHAnsi" w:hAnsiTheme="majorHAnsi"/>
        </w:rPr>
        <w:t xml:space="preserve">with the necessary </w:t>
      </w:r>
      <w:r w:rsidR="00C01A6F">
        <w:rPr>
          <w:rFonts w:asciiTheme="majorHAnsi" w:hAnsiTheme="majorHAnsi"/>
        </w:rPr>
        <w:t>therapeutic index</w:t>
      </w:r>
      <w:r w:rsidR="00A704B7" w:rsidRPr="00C93520">
        <w:rPr>
          <w:rFonts w:asciiTheme="majorHAnsi" w:hAnsiTheme="majorHAnsi"/>
        </w:rPr>
        <w:t xml:space="preserve"> to </w:t>
      </w:r>
      <w:r w:rsidR="00850834" w:rsidRPr="00C93520">
        <w:rPr>
          <w:rFonts w:asciiTheme="majorHAnsi" w:hAnsiTheme="majorHAnsi"/>
        </w:rPr>
        <w:t xml:space="preserve">consistently </w:t>
      </w:r>
      <w:r w:rsidR="00A704B7" w:rsidRPr="00C93520">
        <w:rPr>
          <w:rFonts w:asciiTheme="majorHAnsi" w:hAnsiTheme="majorHAnsi"/>
        </w:rPr>
        <w:t>secure favourable</w:t>
      </w:r>
      <w:r w:rsidR="00F26090" w:rsidRPr="00C93520">
        <w:rPr>
          <w:rFonts w:asciiTheme="majorHAnsi" w:hAnsiTheme="majorHAnsi"/>
        </w:rPr>
        <w:t xml:space="preserve"> clinical outcomes</w:t>
      </w:r>
      <w:r w:rsidR="00D84281" w:rsidRPr="00C93520">
        <w:rPr>
          <w:rFonts w:asciiTheme="majorHAnsi" w:hAnsiTheme="majorHAnsi"/>
        </w:rPr>
        <w:t>.</w:t>
      </w:r>
      <w:r w:rsidR="00D518A3" w:rsidRPr="00C93520">
        <w:rPr>
          <w:rFonts w:asciiTheme="majorHAnsi" w:hAnsiTheme="majorHAnsi"/>
        </w:rPr>
        <w:t xml:space="preserve"> </w:t>
      </w:r>
    </w:p>
    <w:p w14:paraId="063B3A2A" w14:textId="77777777" w:rsidR="000D050D" w:rsidRPr="00C53E72" w:rsidRDefault="000D050D" w:rsidP="007A2846">
      <w:pPr>
        <w:spacing w:line="276" w:lineRule="auto"/>
        <w:rPr>
          <w:rFonts w:asciiTheme="majorHAnsi" w:hAnsiTheme="majorHAnsi"/>
        </w:rPr>
      </w:pPr>
    </w:p>
    <w:p w14:paraId="2933226B" w14:textId="5B3E64F5" w:rsidR="000D050D" w:rsidRPr="007E2A5E" w:rsidRDefault="008A722D" w:rsidP="007A2846">
      <w:pPr>
        <w:spacing w:line="276" w:lineRule="auto"/>
        <w:rPr>
          <w:rFonts w:asciiTheme="majorHAnsi" w:hAnsiTheme="majorHAnsi"/>
          <w:i/>
        </w:rPr>
      </w:pPr>
      <w:r w:rsidRPr="007E2A5E">
        <w:rPr>
          <w:rFonts w:asciiTheme="majorHAnsi" w:hAnsiTheme="majorHAnsi"/>
          <w:i/>
        </w:rPr>
        <w:t>2</w:t>
      </w:r>
      <w:r w:rsidR="000D050D" w:rsidRPr="007E2A5E">
        <w:rPr>
          <w:rFonts w:asciiTheme="majorHAnsi" w:hAnsiTheme="majorHAnsi"/>
          <w:i/>
        </w:rPr>
        <w:t xml:space="preserve">. There are few agents in developmental pipelines and </w:t>
      </w:r>
      <w:r w:rsidR="009E742B">
        <w:rPr>
          <w:rFonts w:asciiTheme="majorHAnsi" w:hAnsiTheme="majorHAnsi"/>
          <w:i/>
        </w:rPr>
        <w:t>approval</w:t>
      </w:r>
      <w:r w:rsidR="006A379C" w:rsidRPr="007E2A5E">
        <w:rPr>
          <w:rFonts w:asciiTheme="majorHAnsi" w:hAnsiTheme="majorHAnsi"/>
          <w:i/>
        </w:rPr>
        <w:t xml:space="preserve"> for clinical use</w:t>
      </w:r>
      <w:r w:rsidR="009E742B">
        <w:rPr>
          <w:rFonts w:asciiTheme="majorHAnsi" w:hAnsiTheme="majorHAnsi"/>
          <w:i/>
        </w:rPr>
        <w:t xml:space="preserve"> is a lengthy process</w:t>
      </w:r>
    </w:p>
    <w:p w14:paraId="29BC2F73" w14:textId="51A93270" w:rsidR="00E6017B" w:rsidRPr="007E2A5E" w:rsidRDefault="00530FD9" w:rsidP="007A2846">
      <w:pPr>
        <w:spacing w:line="276" w:lineRule="auto"/>
        <w:rPr>
          <w:rFonts w:asciiTheme="majorHAnsi" w:hAnsiTheme="majorHAnsi"/>
        </w:rPr>
      </w:pPr>
      <w:r w:rsidRPr="007E2A5E">
        <w:rPr>
          <w:rFonts w:asciiTheme="majorHAnsi" w:hAnsiTheme="majorHAnsi"/>
        </w:rPr>
        <w:tab/>
      </w:r>
      <w:r w:rsidR="00FD423D">
        <w:rPr>
          <w:rFonts w:asciiTheme="majorHAnsi" w:hAnsiTheme="majorHAnsi"/>
        </w:rPr>
        <w:t xml:space="preserve">The paucity of new </w:t>
      </w:r>
      <w:r w:rsidR="005C258B">
        <w:rPr>
          <w:rFonts w:asciiTheme="majorHAnsi" w:hAnsiTheme="majorHAnsi"/>
        </w:rPr>
        <w:t xml:space="preserve">antifungal </w:t>
      </w:r>
      <w:r w:rsidR="00FD423D">
        <w:rPr>
          <w:rFonts w:asciiTheme="majorHAnsi" w:hAnsiTheme="majorHAnsi"/>
        </w:rPr>
        <w:t xml:space="preserve">agents </w:t>
      </w:r>
      <w:r w:rsidR="005C258B">
        <w:rPr>
          <w:rFonts w:asciiTheme="majorHAnsi" w:hAnsiTheme="majorHAnsi"/>
        </w:rPr>
        <w:t>in development</w:t>
      </w:r>
      <w:r w:rsidR="0088230B">
        <w:rPr>
          <w:rFonts w:asciiTheme="majorHAnsi" w:hAnsiTheme="majorHAnsi"/>
        </w:rPr>
        <w:t>al pipelines</w:t>
      </w:r>
      <w:r w:rsidR="005C258B">
        <w:rPr>
          <w:rFonts w:asciiTheme="majorHAnsi" w:hAnsiTheme="majorHAnsi"/>
        </w:rPr>
        <w:t xml:space="preserve"> </w:t>
      </w:r>
      <w:r w:rsidR="005C27B3">
        <w:rPr>
          <w:rFonts w:asciiTheme="majorHAnsi" w:hAnsiTheme="majorHAnsi"/>
        </w:rPr>
        <w:t>is in part a</w:t>
      </w:r>
      <w:r w:rsidR="005C258B">
        <w:rPr>
          <w:rFonts w:asciiTheme="majorHAnsi" w:hAnsiTheme="majorHAnsi"/>
        </w:rPr>
        <w:t xml:space="preserve"> reflect</w:t>
      </w:r>
      <w:r w:rsidR="005C27B3">
        <w:rPr>
          <w:rFonts w:asciiTheme="majorHAnsi" w:hAnsiTheme="majorHAnsi"/>
        </w:rPr>
        <w:t>ion of</w:t>
      </w:r>
      <w:r w:rsidR="005C258B">
        <w:rPr>
          <w:rFonts w:asciiTheme="majorHAnsi" w:hAnsiTheme="majorHAnsi"/>
        </w:rPr>
        <w:t xml:space="preserve"> the </w:t>
      </w:r>
      <w:r w:rsidR="0040426C">
        <w:rPr>
          <w:rFonts w:asciiTheme="majorHAnsi" w:hAnsiTheme="majorHAnsi"/>
        </w:rPr>
        <w:t>phylogenetic relatedness of hu</w:t>
      </w:r>
      <w:r w:rsidR="004C51F2">
        <w:rPr>
          <w:rFonts w:asciiTheme="majorHAnsi" w:hAnsiTheme="majorHAnsi"/>
        </w:rPr>
        <w:t xml:space="preserve">mans and fungi. </w:t>
      </w:r>
      <w:r w:rsidR="0040426C">
        <w:rPr>
          <w:rFonts w:asciiTheme="majorHAnsi" w:hAnsiTheme="majorHAnsi"/>
        </w:rPr>
        <w:t>The subsequent</w:t>
      </w:r>
      <w:r w:rsidR="00CF42E1" w:rsidRPr="007E2A5E">
        <w:rPr>
          <w:rFonts w:asciiTheme="majorHAnsi" w:hAnsiTheme="majorHAnsi"/>
        </w:rPr>
        <w:t xml:space="preserve"> </w:t>
      </w:r>
      <w:r w:rsidRPr="007E2A5E">
        <w:rPr>
          <w:rFonts w:asciiTheme="majorHAnsi" w:hAnsiTheme="majorHAnsi"/>
        </w:rPr>
        <w:t>development process</w:t>
      </w:r>
      <w:r w:rsidR="00103CBF">
        <w:rPr>
          <w:rFonts w:asciiTheme="majorHAnsi" w:hAnsiTheme="majorHAnsi"/>
        </w:rPr>
        <w:t xml:space="preserve"> </w:t>
      </w:r>
      <w:r w:rsidR="0040426C" w:rsidRPr="007E2A5E">
        <w:rPr>
          <w:rFonts w:asciiTheme="majorHAnsi" w:hAnsiTheme="majorHAnsi"/>
        </w:rPr>
        <w:t>is a</w:t>
      </w:r>
      <w:r w:rsidR="0040426C">
        <w:rPr>
          <w:rFonts w:asciiTheme="majorHAnsi" w:hAnsiTheme="majorHAnsi"/>
        </w:rPr>
        <w:t>lso</w:t>
      </w:r>
      <w:r w:rsidR="0040426C" w:rsidRPr="007E2A5E">
        <w:rPr>
          <w:rFonts w:asciiTheme="majorHAnsi" w:hAnsiTheme="majorHAnsi"/>
        </w:rPr>
        <w:t xml:space="preserve"> slow</w:t>
      </w:r>
      <w:r w:rsidR="00C2518B">
        <w:rPr>
          <w:rFonts w:asciiTheme="majorHAnsi" w:hAnsiTheme="majorHAnsi"/>
        </w:rPr>
        <w:t>.</w:t>
      </w:r>
      <w:r w:rsidR="00C81A5C">
        <w:rPr>
          <w:rFonts w:asciiTheme="majorHAnsi" w:hAnsiTheme="majorHAnsi"/>
        </w:rPr>
        <w:t xml:space="preserve"> </w:t>
      </w:r>
      <w:r w:rsidR="00C2518B">
        <w:rPr>
          <w:rFonts w:asciiTheme="majorHAnsi" w:hAnsiTheme="majorHAnsi"/>
        </w:rPr>
        <w:t>This</w:t>
      </w:r>
      <w:r w:rsidR="00C81A5C">
        <w:rPr>
          <w:rFonts w:asciiTheme="majorHAnsi" w:hAnsiTheme="majorHAnsi"/>
        </w:rPr>
        <w:t xml:space="preserve"> reflects</w:t>
      </w:r>
      <w:r w:rsidR="0040426C" w:rsidRPr="007E2A5E">
        <w:rPr>
          <w:rFonts w:asciiTheme="majorHAnsi" w:hAnsiTheme="majorHAnsi"/>
        </w:rPr>
        <w:t xml:space="preserve"> </w:t>
      </w:r>
      <w:r w:rsidR="00C81A5C">
        <w:rPr>
          <w:rFonts w:asciiTheme="majorHAnsi" w:hAnsiTheme="majorHAnsi"/>
        </w:rPr>
        <w:t xml:space="preserve">a number of </w:t>
      </w:r>
      <w:r w:rsidR="009532C0">
        <w:rPr>
          <w:rFonts w:asciiTheme="majorHAnsi" w:hAnsiTheme="majorHAnsi"/>
        </w:rPr>
        <w:t>factors</w:t>
      </w:r>
      <w:r w:rsidR="00C81A5C">
        <w:rPr>
          <w:rFonts w:asciiTheme="majorHAnsi" w:hAnsiTheme="majorHAnsi"/>
        </w:rPr>
        <w:t xml:space="preserve"> </w:t>
      </w:r>
      <w:r w:rsidR="009532C0">
        <w:rPr>
          <w:rFonts w:asciiTheme="majorHAnsi" w:hAnsiTheme="majorHAnsi"/>
        </w:rPr>
        <w:t xml:space="preserve">that include the </w:t>
      </w:r>
      <w:r w:rsidR="00C2518B">
        <w:rPr>
          <w:rFonts w:asciiTheme="majorHAnsi" w:hAnsiTheme="majorHAnsi"/>
        </w:rPr>
        <w:t xml:space="preserve">relative scarcity of </w:t>
      </w:r>
      <w:r w:rsidR="00103CBF">
        <w:rPr>
          <w:rFonts w:asciiTheme="majorHAnsi" w:hAnsiTheme="majorHAnsi"/>
        </w:rPr>
        <w:t xml:space="preserve">IFDs </w:t>
      </w:r>
      <w:r w:rsidR="00307D52">
        <w:rPr>
          <w:rFonts w:asciiTheme="majorHAnsi" w:hAnsiTheme="majorHAnsi"/>
        </w:rPr>
        <w:t>(at least compared with bacterial infections)</w:t>
      </w:r>
      <w:r w:rsidR="00C2518B">
        <w:rPr>
          <w:rFonts w:asciiTheme="majorHAnsi" w:hAnsiTheme="majorHAnsi"/>
        </w:rPr>
        <w:t xml:space="preserve">, complexity of antifungal trial design, </w:t>
      </w:r>
      <w:r w:rsidR="009532C0">
        <w:rPr>
          <w:rFonts w:asciiTheme="majorHAnsi" w:hAnsiTheme="majorHAnsi"/>
        </w:rPr>
        <w:t>and difficulties</w:t>
      </w:r>
      <w:r w:rsidR="009E742B">
        <w:rPr>
          <w:rFonts w:asciiTheme="majorHAnsi" w:hAnsiTheme="majorHAnsi"/>
        </w:rPr>
        <w:t xml:space="preserve"> in enrolling complex patients</w:t>
      </w:r>
      <w:r w:rsidR="00375C76">
        <w:rPr>
          <w:rFonts w:asciiTheme="majorHAnsi" w:hAnsiTheme="majorHAnsi"/>
        </w:rPr>
        <w:t xml:space="preserve"> </w:t>
      </w:r>
      <w:r w:rsidR="005F0EA9">
        <w:rPr>
          <w:rFonts w:asciiTheme="majorHAnsi" w:hAnsiTheme="majorHAnsi"/>
        </w:rPr>
        <w:t>who often have</w:t>
      </w:r>
      <w:r w:rsidR="00E72DC5">
        <w:rPr>
          <w:rFonts w:asciiTheme="majorHAnsi" w:hAnsiTheme="majorHAnsi"/>
        </w:rPr>
        <w:t xml:space="preserve"> a multitude of clinical problems</w:t>
      </w:r>
      <w:r w:rsidRPr="007E2A5E">
        <w:rPr>
          <w:rFonts w:asciiTheme="majorHAnsi" w:hAnsiTheme="majorHAnsi"/>
        </w:rPr>
        <w:t>.</w:t>
      </w:r>
      <w:r w:rsidR="006C7B86">
        <w:rPr>
          <w:rFonts w:asciiTheme="majorHAnsi" w:hAnsiTheme="majorHAnsi"/>
        </w:rPr>
        <w:t xml:space="preserve"> </w:t>
      </w:r>
      <w:r w:rsidR="00797BA0" w:rsidRPr="00797BA0">
        <w:rPr>
          <w:rFonts w:asciiTheme="majorHAnsi" w:hAnsiTheme="majorHAnsi"/>
        </w:rPr>
        <w:t xml:space="preserve"> </w:t>
      </w:r>
      <w:r w:rsidR="00580F13">
        <w:rPr>
          <w:rFonts w:asciiTheme="majorHAnsi" w:hAnsiTheme="majorHAnsi"/>
        </w:rPr>
        <w:t>N</w:t>
      </w:r>
      <w:r w:rsidR="00797BA0" w:rsidRPr="007E2A5E">
        <w:rPr>
          <w:rFonts w:asciiTheme="majorHAnsi" w:hAnsiTheme="majorHAnsi"/>
        </w:rPr>
        <w:t>ew approach</w:t>
      </w:r>
      <w:r w:rsidR="00580F13">
        <w:rPr>
          <w:rFonts w:asciiTheme="majorHAnsi" w:hAnsiTheme="majorHAnsi"/>
        </w:rPr>
        <w:t>es</w:t>
      </w:r>
      <w:r w:rsidR="00797BA0" w:rsidRPr="007E2A5E">
        <w:rPr>
          <w:rFonts w:asciiTheme="majorHAnsi" w:hAnsiTheme="majorHAnsi"/>
        </w:rPr>
        <w:t xml:space="preserve"> to streamline and de-risk </w:t>
      </w:r>
      <w:r w:rsidR="00C07E86">
        <w:rPr>
          <w:rFonts w:asciiTheme="majorHAnsi" w:hAnsiTheme="majorHAnsi"/>
        </w:rPr>
        <w:t xml:space="preserve">both </w:t>
      </w:r>
      <w:r w:rsidR="00797BA0">
        <w:rPr>
          <w:rFonts w:asciiTheme="majorHAnsi" w:hAnsiTheme="majorHAnsi"/>
        </w:rPr>
        <w:t>preclinical development and early phase cli</w:t>
      </w:r>
      <w:r w:rsidR="00C07E86">
        <w:rPr>
          <w:rFonts w:asciiTheme="majorHAnsi" w:hAnsiTheme="majorHAnsi"/>
        </w:rPr>
        <w:t xml:space="preserve">nical </w:t>
      </w:r>
      <w:r w:rsidR="00580F13">
        <w:rPr>
          <w:rFonts w:asciiTheme="majorHAnsi" w:hAnsiTheme="majorHAnsi"/>
        </w:rPr>
        <w:t>studies</w:t>
      </w:r>
      <w:r w:rsidR="00C07E86">
        <w:rPr>
          <w:rFonts w:asciiTheme="majorHAnsi" w:hAnsiTheme="majorHAnsi"/>
        </w:rPr>
        <w:t xml:space="preserve"> </w:t>
      </w:r>
      <w:r w:rsidR="009E48B2">
        <w:rPr>
          <w:rFonts w:asciiTheme="majorHAnsi" w:hAnsiTheme="majorHAnsi"/>
        </w:rPr>
        <w:t>c</w:t>
      </w:r>
      <w:r w:rsidR="00C07E86">
        <w:rPr>
          <w:rFonts w:asciiTheme="majorHAnsi" w:hAnsiTheme="majorHAnsi"/>
        </w:rPr>
        <w:t xml:space="preserve">ould maximise the </w:t>
      </w:r>
      <w:r w:rsidR="00E72DC5">
        <w:rPr>
          <w:rFonts w:asciiTheme="majorHAnsi" w:hAnsiTheme="majorHAnsi"/>
        </w:rPr>
        <w:t>probability</w:t>
      </w:r>
      <w:r w:rsidR="00C07E86">
        <w:rPr>
          <w:rFonts w:asciiTheme="majorHAnsi" w:hAnsiTheme="majorHAnsi"/>
        </w:rPr>
        <w:t xml:space="preserve"> </w:t>
      </w:r>
      <w:r w:rsidR="00E72DC5">
        <w:rPr>
          <w:rFonts w:asciiTheme="majorHAnsi" w:hAnsiTheme="majorHAnsi"/>
        </w:rPr>
        <w:t xml:space="preserve">of </w:t>
      </w:r>
      <w:r w:rsidR="00C07E86">
        <w:rPr>
          <w:rFonts w:asciiTheme="majorHAnsi" w:hAnsiTheme="majorHAnsi"/>
        </w:rPr>
        <w:t xml:space="preserve">a new drug </w:t>
      </w:r>
      <w:r w:rsidR="0041293E">
        <w:rPr>
          <w:rFonts w:asciiTheme="majorHAnsi" w:hAnsiTheme="majorHAnsi"/>
        </w:rPr>
        <w:t xml:space="preserve">ultimately </w:t>
      </w:r>
      <w:r w:rsidR="00580F13">
        <w:rPr>
          <w:rFonts w:asciiTheme="majorHAnsi" w:hAnsiTheme="majorHAnsi"/>
        </w:rPr>
        <w:t xml:space="preserve">succeeding in </w:t>
      </w:r>
      <w:r w:rsidR="005F0EA9">
        <w:rPr>
          <w:rFonts w:asciiTheme="majorHAnsi" w:hAnsiTheme="majorHAnsi"/>
        </w:rPr>
        <w:t>the clinic</w:t>
      </w:r>
      <w:r w:rsidR="00580F13">
        <w:rPr>
          <w:rFonts w:asciiTheme="majorHAnsi" w:hAnsiTheme="majorHAnsi"/>
        </w:rPr>
        <w:t xml:space="preserve"> and shorten the time for this to occur</w:t>
      </w:r>
      <w:r w:rsidR="00797BA0" w:rsidRPr="007E2A5E">
        <w:rPr>
          <w:rFonts w:asciiTheme="majorHAnsi" w:hAnsiTheme="majorHAnsi"/>
        </w:rPr>
        <w:t>.</w:t>
      </w:r>
      <w:r w:rsidR="00797BA0">
        <w:rPr>
          <w:rFonts w:asciiTheme="majorHAnsi" w:hAnsiTheme="majorHAnsi"/>
        </w:rPr>
        <w:t xml:space="preserve"> </w:t>
      </w:r>
    </w:p>
    <w:p w14:paraId="33751AAE" w14:textId="77777777" w:rsidR="00B4204C" w:rsidRPr="007E2A5E" w:rsidRDefault="00B4204C" w:rsidP="007A2846">
      <w:pPr>
        <w:spacing w:line="276" w:lineRule="auto"/>
        <w:rPr>
          <w:rFonts w:asciiTheme="majorHAnsi" w:hAnsiTheme="majorHAnsi"/>
        </w:rPr>
      </w:pPr>
    </w:p>
    <w:p w14:paraId="2E8D5F20" w14:textId="77777777" w:rsidR="00B4204C" w:rsidRPr="007E2A5E" w:rsidRDefault="00B4204C" w:rsidP="007A2846">
      <w:pPr>
        <w:spacing w:line="276" w:lineRule="auto"/>
        <w:rPr>
          <w:rFonts w:asciiTheme="majorHAnsi" w:hAnsiTheme="majorHAnsi"/>
          <w:i/>
        </w:rPr>
      </w:pPr>
      <w:r w:rsidRPr="007E2A5E">
        <w:rPr>
          <w:rFonts w:asciiTheme="majorHAnsi" w:hAnsiTheme="majorHAnsi"/>
          <w:i/>
        </w:rPr>
        <w:t xml:space="preserve">3. Traditional </w:t>
      </w:r>
      <w:r w:rsidR="0001101C" w:rsidRPr="007E2A5E">
        <w:rPr>
          <w:rFonts w:asciiTheme="majorHAnsi" w:hAnsiTheme="majorHAnsi"/>
          <w:i/>
        </w:rPr>
        <w:t>a</w:t>
      </w:r>
      <w:r w:rsidRPr="007E2A5E">
        <w:rPr>
          <w:rFonts w:asciiTheme="majorHAnsi" w:hAnsiTheme="majorHAnsi"/>
          <w:i/>
        </w:rPr>
        <w:t xml:space="preserve">pproaches </w:t>
      </w:r>
      <w:r w:rsidR="00D65C2A" w:rsidRPr="007E2A5E">
        <w:rPr>
          <w:rFonts w:asciiTheme="majorHAnsi" w:hAnsiTheme="majorHAnsi"/>
          <w:i/>
        </w:rPr>
        <w:t xml:space="preserve">for </w:t>
      </w:r>
      <w:r w:rsidR="0001101C" w:rsidRPr="007E2A5E">
        <w:rPr>
          <w:rFonts w:asciiTheme="majorHAnsi" w:hAnsiTheme="majorHAnsi"/>
          <w:i/>
        </w:rPr>
        <w:t>e</w:t>
      </w:r>
      <w:r w:rsidR="00D65C2A" w:rsidRPr="007E2A5E">
        <w:rPr>
          <w:rFonts w:asciiTheme="majorHAnsi" w:hAnsiTheme="majorHAnsi"/>
          <w:i/>
        </w:rPr>
        <w:t xml:space="preserve">stablishing </w:t>
      </w:r>
      <w:r w:rsidR="008220D2" w:rsidRPr="007E2A5E">
        <w:rPr>
          <w:rFonts w:asciiTheme="majorHAnsi" w:hAnsiTheme="majorHAnsi"/>
          <w:i/>
        </w:rPr>
        <w:t xml:space="preserve">optimal </w:t>
      </w:r>
      <w:r w:rsidR="0001101C" w:rsidRPr="007E2A5E">
        <w:rPr>
          <w:rFonts w:asciiTheme="majorHAnsi" w:hAnsiTheme="majorHAnsi"/>
          <w:i/>
        </w:rPr>
        <w:t>antifungal r</w:t>
      </w:r>
      <w:r w:rsidR="00D65C2A" w:rsidRPr="007E2A5E">
        <w:rPr>
          <w:rFonts w:asciiTheme="majorHAnsi" w:hAnsiTheme="majorHAnsi"/>
          <w:i/>
        </w:rPr>
        <w:t xml:space="preserve">egimens </w:t>
      </w:r>
      <w:r w:rsidR="0001101C" w:rsidRPr="007E2A5E">
        <w:rPr>
          <w:rFonts w:asciiTheme="majorHAnsi" w:hAnsiTheme="majorHAnsi"/>
          <w:i/>
        </w:rPr>
        <w:t>are no longer fit for purpose</w:t>
      </w:r>
    </w:p>
    <w:p w14:paraId="00872745" w14:textId="0EE9C672" w:rsidR="00DF103A" w:rsidRPr="00906A82" w:rsidRDefault="00EA04A8" w:rsidP="007A2846">
      <w:pPr>
        <w:spacing w:line="276" w:lineRule="auto"/>
        <w:rPr>
          <w:rFonts w:asciiTheme="majorHAnsi" w:hAnsiTheme="majorHAnsi"/>
        </w:rPr>
      </w:pPr>
      <w:r w:rsidRPr="007E2A5E">
        <w:rPr>
          <w:rFonts w:asciiTheme="majorHAnsi" w:hAnsiTheme="majorHAnsi"/>
        </w:rPr>
        <w:tab/>
      </w:r>
      <w:r w:rsidR="008F5BEA">
        <w:rPr>
          <w:rFonts w:asciiTheme="majorHAnsi" w:hAnsiTheme="majorHAnsi"/>
        </w:rPr>
        <w:t xml:space="preserve">Unlike the situation in preclinical research where continuous endpoints such as reduction in organism load are possible, the endpoint measures </w:t>
      </w:r>
      <w:r w:rsidR="00F2281B">
        <w:rPr>
          <w:rFonts w:asciiTheme="majorHAnsi" w:hAnsiTheme="majorHAnsi"/>
        </w:rPr>
        <w:t xml:space="preserve">that are usually required by regulatory agencies for </w:t>
      </w:r>
      <w:r w:rsidR="008F5BEA">
        <w:rPr>
          <w:rFonts w:asciiTheme="majorHAnsi" w:hAnsiTheme="majorHAnsi"/>
        </w:rPr>
        <w:t xml:space="preserve">clinical </w:t>
      </w:r>
      <w:r w:rsidR="00F2281B">
        <w:rPr>
          <w:rFonts w:asciiTheme="majorHAnsi" w:hAnsiTheme="majorHAnsi"/>
        </w:rPr>
        <w:t xml:space="preserve">studies </w:t>
      </w:r>
      <w:r w:rsidR="008F5BEA">
        <w:rPr>
          <w:rFonts w:asciiTheme="majorHAnsi" w:hAnsiTheme="majorHAnsi"/>
        </w:rPr>
        <w:t xml:space="preserve">are generally dichotomous (e.g., </w:t>
      </w:r>
      <w:r w:rsidR="0024672B">
        <w:rPr>
          <w:rFonts w:asciiTheme="majorHAnsi" w:hAnsiTheme="majorHAnsi"/>
        </w:rPr>
        <w:t>all</w:t>
      </w:r>
      <w:r w:rsidR="00000EE1">
        <w:rPr>
          <w:rFonts w:asciiTheme="majorHAnsi" w:hAnsiTheme="majorHAnsi"/>
        </w:rPr>
        <w:t>-</w:t>
      </w:r>
      <w:r w:rsidR="0024672B">
        <w:rPr>
          <w:rFonts w:asciiTheme="majorHAnsi" w:hAnsiTheme="majorHAnsi"/>
        </w:rPr>
        <w:t>cause mortality at 6 week</w:t>
      </w:r>
      <w:r w:rsidR="00F86781">
        <w:rPr>
          <w:rFonts w:asciiTheme="majorHAnsi" w:hAnsiTheme="majorHAnsi"/>
        </w:rPr>
        <w:t>s</w:t>
      </w:r>
      <w:r w:rsidR="005F0EA9">
        <w:rPr>
          <w:rFonts w:asciiTheme="majorHAnsi" w:hAnsiTheme="majorHAnsi"/>
        </w:rPr>
        <w:t>, clinical response</w:t>
      </w:r>
      <w:r w:rsidR="008F5BEA">
        <w:rPr>
          <w:rFonts w:asciiTheme="majorHAnsi" w:hAnsiTheme="majorHAnsi"/>
        </w:rPr>
        <w:t>)</w:t>
      </w:r>
      <w:r w:rsidR="00BA449B">
        <w:rPr>
          <w:rFonts w:asciiTheme="majorHAnsi" w:hAnsiTheme="majorHAnsi"/>
        </w:rPr>
        <w:t xml:space="preserve"> and do not readily demonstrate graded responses</w:t>
      </w:r>
      <w:r w:rsidR="008F5BEA">
        <w:rPr>
          <w:rFonts w:asciiTheme="majorHAnsi" w:hAnsiTheme="majorHAnsi"/>
        </w:rPr>
        <w:t xml:space="preserve">. </w:t>
      </w:r>
      <w:r w:rsidR="00BD07E3">
        <w:rPr>
          <w:rFonts w:asciiTheme="majorHAnsi" w:hAnsiTheme="majorHAnsi"/>
        </w:rPr>
        <w:t>C</w:t>
      </w:r>
      <w:r w:rsidR="00D35FB3" w:rsidRPr="007E2A5E">
        <w:rPr>
          <w:rFonts w:asciiTheme="majorHAnsi" w:hAnsiTheme="majorHAnsi"/>
        </w:rPr>
        <w:t xml:space="preserve">linical studies are a slow and inefficient way to </w:t>
      </w:r>
      <w:r w:rsidR="00365C78" w:rsidRPr="007E2A5E">
        <w:rPr>
          <w:rFonts w:asciiTheme="majorHAnsi" w:hAnsiTheme="majorHAnsi"/>
        </w:rPr>
        <w:t>identify optimal</w:t>
      </w:r>
      <w:r w:rsidR="00D35FB3" w:rsidRPr="007E2A5E">
        <w:rPr>
          <w:rFonts w:asciiTheme="majorHAnsi" w:hAnsiTheme="majorHAnsi"/>
        </w:rPr>
        <w:t xml:space="preserve"> </w:t>
      </w:r>
      <w:r w:rsidR="007758B3">
        <w:rPr>
          <w:rFonts w:asciiTheme="majorHAnsi" w:hAnsiTheme="majorHAnsi"/>
        </w:rPr>
        <w:t>regimens</w:t>
      </w:r>
      <w:r w:rsidR="00D35FB3" w:rsidRPr="007E2A5E">
        <w:rPr>
          <w:rFonts w:asciiTheme="majorHAnsi" w:hAnsiTheme="majorHAnsi"/>
        </w:rPr>
        <w:t>, especially when there is uncertainty about the underlying dose-exposure-response relationships.</w:t>
      </w:r>
      <w:r w:rsidR="006C7B86">
        <w:rPr>
          <w:rFonts w:asciiTheme="majorHAnsi" w:hAnsiTheme="majorHAnsi"/>
        </w:rPr>
        <w:t xml:space="preserve"> </w:t>
      </w:r>
      <w:r w:rsidR="00D35FB3" w:rsidRPr="007E2A5E">
        <w:rPr>
          <w:rFonts w:asciiTheme="majorHAnsi" w:hAnsiTheme="majorHAnsi"/>
        </w:rPr>
        <w:t xml:space="preserve">A </w:t>
      </w:r>
      <w:r w:rsidR="00BD07E3">
        <w:rPr>
          <w:rFonts w:asciiTheme="majorHAnsi" w:hAnsiTheme="majorHAnsi"/>
        </w:rPr>
        <w:t>good</w:t>
      </w:r>
      <w:r w:rsidR="00BD07E3" w:rsidRPr="007E2A5E">
        <w:rPr>
          <w:rFonts w:asciiTheme="majorHAnsi" w:hAnsiTheme="majorHAnsi"/>
        </w:rPr>
        <w:t xml:space="preserve"> </w:t>
      </w:r>
      <w:r w:rsidR="00E6017B" w:rsidRPr="007E2A5E">
        <w:rPr>
          <w:rFonts w:asciiTheme="majorHAnsi" w:hAnsiTheme="majorHAnsi"/>
        </w:rPr>
        <w:t>example of this is liposomal amphotericin B</w:t>
      </w:r>
      <w:r w:rsidR="00D35FB3" w:rsidRPr="007E2A5E">
        <w:rPr>
          <w:rFonts w:asciiTheme="majorHAnsi" w:hAnsiTheme="majorHAnsi"/>
        </w:rPr>
        <w:t>,</w:t>
      </w:r>
      <w:r w:rsidR="00E6017B" w:rsidRPr="007E2A5E">
        <w:rPr>
          <w:rFonts w:asciiTheme="majorHAnsi" w:hAnsiTheme="majorHAnsi"/>
        </w:rPr>
        <w:t xml:space="preserve"> </w:t>
      </w:r>
      <w:r w:rsidR="00D35FB3" w:rsidRPr="007E2A5E">
        <w:rPr>
          <w:rFonts w:asciiTheme="majorHAnsi" w:hAnsiTheme="majorHAnsi"/>
        </w:rPr>
        <w:t>which</w:t>
      </w:r>
      <w:r w:rsidR="00E6017B" w:rsidRPr="007E2A5E">
        <w:rPr>
          <w:rFonts w:asciiTheme="majorHAnsi" w:hAnsiTheme="majorHAnsi"/>
        </w:rPr>
        <w:t xml:space="preserve"> </w:t>
      </w:r>
      <w:r w:rsidR="00DF103A" w:rsidRPr="007E2A5E">
        <w:rPr>
          <w:rFonts w:asciiTheme="majorHAnsi" w:hAnsiTheme="majorHAnsi"/>
        </w:rPr>
        <w:t>was studied in</w:t>
      </w:r>
      <w:r w:rsidR="00E6017B" w:rsidRPr="007E2A5E">
        <w:rPr>
          <w:rFonts w:asciiTheme="majorHAnsi" w:hAnsiTheme="majorHAnsi"/>
        </w:rPr>
        <w:t xml:space="preserve"> multiple clinical studies in order to define a regimen suitable for clinical use.</w:t>
      </w:r>
      <w:r w:rsidR="006C7B86">
        <w:rPr>
          <w:rFonts w:asciiTheme="majorHAnsi" w:hAnsiTheme="majorHAnsi"/>
        </w:rPr>
        <w:t xml:space="preserve"> </w:t>
      </w:r>
      <w:r w:rsidR="00DF103A" w:rsidRPr="007E2A5E">
        <w:rPr>
          <w:rFonts w:asciiTheme="majorHAnsi" w:hAnsiTheme="majorHAnsi"/>
        </w:rPr>
        <w:t xml:space="preserve">Multiple studies were conducted </w:t>
      </w:r>
      <w:r w:rsidR="00C5644C" w:rsidRPr="007E2A5E">
        <w:rPr>
          <w:rFonts w:asciiTheme="majorHAnsi" w:hAnsiTheme="majorHAnsi"/>
        </w:rPr>
        <w:t>that studied regimens in the range of 1-15 mg/kg/day</w:t>
      </w:r>
      <w:r w:rsidR="00265557">
        <w:rPr>
          <w:rFonts w:asciiTheme="majorHAnsi" w:hAnsiTheme="majorHAnsi"/>
        </w:rPr>
        <w:t>,</w:t>
      </w:r>
      <w:r w:rsidR="004D32CF">
        <w:rPr>
          <w:rFonts w:asciiTheme="majorHAnsi" w:hAnsiTheme="majorHAnsi"/>
        </w:rPr>
        <w:fldChar w:fldCharType="begin" w:fldLock="1"/>
      </w:r>
      <w:r w:rsidR="000B0889">
        <w:rPr>
          <w:rFonts w:asciiTheme="majorHAnsi" w:hAnsiTheme="majorHAnsi"/>
        </w:rPr>
        <w:instrText>ADDIN CSL_CITATION { "citationItems" : [ { "id" : "ITEM-1", "itemData" : { "DOI" : "10.1128/AAC.45.12.3487-3496.2001", "ISBN" : "0066-4804 (Print) 0066-4804 (Linking)", "PMID" : "11709329", "abstract" : "We conducted a phase I-II study of the safety, tolerance, and plasma pharmacokinetics of liposomal amphotericin B (L-AMB; AmBisome) in order to determine its maximally tolerated dosage (MTD) in patients with infections due to Aspergillus spp. and other filamentous fungi. Dosage cohorts consisted of 7.5, 10.0, 12.5, and 15.0 mg/kg of body weight/day; a total of 44 patients were enrolled, of which 21 had a proven or probable infection (13 aspergillosis, 5 zygomycosis, 3 fusariosis). The MTD of L-AMB was at least 15 mg/kg/day. Infusion-related reactions of fever occurred in 8 (19%) and chills and/or rigors occurred in 5 (12%) of 43 patients. Three patients developed a syndrome of substernal chest tightness, dyspnea, and flank pain, which was relieved by diphenhydramine. Serum creatinine increased two times above baseline in 32% of the patients, but this was not dose related. Hepatotoxicity developed in one patient. Steady-state plasma pharmacokinetics were achieved by day 7. The maximum concentration of drug in plasma (C(max)) of L-AMB in the dosage cohorts of 7.5, 10.0, 12.5, and 15.0 mg/kg/day changed to 76, 120, 116, and 105 microg/ml, respectively, and the mean area under the concentration-time curve at 24 h (AUC(24)) changed to 692, 1,062, 860, and 554 microg x h/ml, respectively, while mean CL changed to 23, 18, 16, and 25 ml/h/kg, respectively. These data indicate that L-AMB follows dose-related changes in disposition processing (e.g., clearance) at dosages of &gt;or=7.5 mg/kg/day. Because several extremely ill patients had early death, success was determined for both the modified intent-to-treat and evaluable (7 days of therapy) populations. Response rates (defined as complete response and partial response) were similar for proven and probable infections. Response and stabilization, respectively, were achieved in 36 and 16% of the patients in the modified intent-to-treat population (n = 43) and in 52 and 13% of the patients in the 7-day evaluable population (n = 31). These findings indicate that L-AMB at dosages as high as 15 mg/kg/day follows nonlinear saturation-like kinetics, is well tolerated, and can provide effective therapy for aspergillosis and other filamentous fungal infections.", "author" : [ { "dropping-particle" : "", "family" : "Walsh", "given" : "T J", "non-dropping-particle" : "", "parse-names" : false, "suffix" : "" }, { "dropping-particle" : "", "family" : "Goodman", "given" : "J L", "non-dropping-particle" : "", "parse-names" : false, "suffix" : "" }, { "dropping-particle" : "", "family" : "Pappas", "given" : "P", "non-dropping-particle" : "", "parse-names" : false, "suffix" : "" }, { "dropping-particle" : "", "family" : "Bekersky", "given" : "I", "non-dropping-particle" : "", "parse-names" : false, "suffix" : "" }, { "dropping-particle" : "", "family" : "Buell", "given" : "D N", "non-dropping-particle" : "", "parse-names" : false, "suffix" : "" }, { "dropping-particle" : "", "family" : "Roden", "given" : "M", "non-dropping-particle" : "", "parse-names" : false, "suffix" : "" }, { "dropping-particle" : "", "family" : "Barrett", "given" : "J", "non-dropping-particle" : "", "parse-names" : false, "suffix" : "" }, { "dropping-particle" : "", "family" : "Anaissie", "given" : "E J", "non-dropping-particle" : "", "parse-names" : false, "suffix" : "" } ], "container-title" : "Antimicrob Agents Chemother", "id" : "ITEM-1", "issue" : "12", "issued" : { "date-parts" : [ [ "2001" ] ] }, "language" : "eng", "note" : "From Duplicate 1 ( \n\n\nSafety, tolerance, and pharmacokinetics of high-dose liposomal amphotericin B (AmBisome) in patients infected with Aspergillus species and other filamentous fungi: maximum tolerated dose study\n\n\n- Walsh, T J; Goodman, J L; Pappas, P; Bekersky, I; Buell, D N; Roden, M; Barrett, J; Anaissie, E J )\n\n\n\n0066-4804 (Print)\nClinical Trial\nJournal Article\nMulticenter Study\n\n\n\nFrom Duplicate 2 ( \n\n\nSafety, tolerance, and pharmacokinetics of high-dose liposomal amphotericin B (AmBisome) in patients infected with Aspergillus species and other filamentous fungi: maximum tolerated dose study\n\n\n- Walsh, T J; Goodman, J L; Pappas, P; Bekersky, I; Buell, D N; Roden, M; Barrett, J; Anaissie, E J )\n\n\n\nWalsh, T J\nGoodman, J L\nPappas, P\nBekersky, I\nBuell, D N\nRoden, M\nBarrett, J\nAnaissie, E J\nAntimicrob Agents Chemother. 2001 Dec;45(12):3487-96.", "page" : "3487-3496", "title" : "Safety, tolerance, and pharmacokinetics of high-dose liposomal amphotericin B (AmBisome) in patients infected with Aspergillus species and other filamentous fungi: maximum tolerated dose study", "type" : "article-journal", "volume" : "45" }, "uris" : [ "http://www.mendeley.com/documents/?uuid=934c69c0-3665-4f7a-bd4f-9261bbe034f5" ] }, { "id" : "ITEM-2", "itemData" : { "PMID" : "9868651", "abstract" : "This is the first completed prospective randomized clinical efficacy trial of antifungals in the treatment of invasive aspergillosis (IA) and the first to compare the clinical efficacy of two dosages of liposomal amphotericin B (L-AmB) for IA in neutropenic patients with cancer or those undergoing bone marrow transplantation. Eighty-seven of 120 patients were eligible and evaluable. Clinical responses were documented for 26 (64%) of 41 patients receiving 1 mg/(kg.d) (L-AmB-1) and 22 (48%) of 46 receiving 4 mg/(kg.d) (L-AmB-4). Radiologic response rates were similar: 24 (58%) of the L-AmB-1 recipients and 24(52%) of the L-AmB-4 recipients. The six-month survival rates were 43% (L-AmB-1) and 37% (L-AmB-4). These differences were not significant. The numbers of deaths directly due to IA at 6 months were similar: 9 (22%) of 41 L-AmB-1 recipients and 9 (20%) of 46 L-AmB-4 recipients. No other variable independently influenced survival, apart from central nervous system IA. L-AmB is effective in treating approximately 50%-60% of patients who have IA. A 1-mg/(kg.d) dosage is as effective as a 4-mg/(kg.d) dosage, and no advantages to use of the higher, more expensive, dosage has been observed.", "author" : [ { "dropping-particle" : "", "family" : "Ellis", "given" : "M", "non-dropping-particle" : "", "parse-names" : false, "suffix" : "" }, { "dropping-particle" : "", "family" : "Spence", "given" : "D", "non-dropping-particle" : "", "parse-names" : false, "suffix" : "" }, { "dropping-particle" : "", "family" : "Pauw", "given" : "B", "non-dropping-particle" : "de", "parse-names" : false, "suffix" : "" }, { "dropping-particle" : "", "family" : "Meunier", "given" : "F", "non-dropping-particle" : "", "parse-names" : false, "suffix" : "" }, { "dropping-particle" : "", "family" : "Marinus", "given" : "A", "non-dropping-particle" : "", "parse-names" : false, "suffix" : "" }, { "dropping-particle" : "", "family" : "Collette", "given" : "L", "non-dropping-particle" : "", "parse-names" : false, "suffix" : "" }, { "dropping-particle" : "", "family" : "Sylvester", "given" : "R", "non-dropping-particle" : "", "parse-names" : false, "suffix" : "" }, { "dropping-particle" : "", "family" : "Meis", "given" : "J", "non-dropping-particle" : "", "parse-names" : false, "suffix" : "" }, { "dropping-particle" : "", "family" : "Boogaerts", "given" : "M", "non-dropping-particle" : "", "parse-names" : false, "suffix" : "" }, { "dropping-particle" : "", "family" : "Selleslag", "given" : "D", "non-dropping-particle" : "", "parse-names" : false, "suffix" : "" }, { "dropping-particle" : "", "family" : "Krcmery", "given" : "V", "non-dropping-particle" : "", "parse-names" : false, "suffix" : "" }, { "dropping-particle" : "", "family" : "Sinner", "given" : "W", "non-dropping-particle" : "von", "parse-names" : false, "suffix" : "" }, { "dropping-particle" : "", "family" : "MacDonald", "given" : "P", "non-dropping-particle" : "", "parse-names" : false, "suffix" : "" }, { "dropping-particle" : "", "family" : "Doyen", "given" : "C", "non-dropping-particle" : "", "parse-names" : false, "suffix" : "" }, { "dropping-particle" : "", "family" : "Vandercam", "given" : "B", "non-dropping-particle" : "", "parse-names" : false, "suffix" : "" } ], "container-title" : "Clin Infect Dis", "id" : "ITEM-2", "issue" : "6", "issued" : { "date-parts" : [ [ "1998" ] ] }, "note" : "1058-4838 (Print)\nClinical Trial\nComparative Study\nJournal Article\nMulticenter Study\nRandomized Controlled Trial\nResearch Support, Non-U.S. Gov&amp;#039;t", "page" : "1406-1412", "title" : "An EORTC international multicenter randomized trial (EORTC number 19923) comparing two dosages of liposomal amphotericin B for treatment of invasive aspergillosis", "type" : "article-journal", "volume" : "27" }, "uris" : [ "http://www.mendeley.com/documents/?uuid=4bf00390-e612-4757-8fe2-1a07cfa2326c" ] }, { "id" : "ITEM-3", "itemData" : { "PMID" : "17443465", "abstract" : "BACKGROUND: Treatment of invasive mold infection in immunocompromised patients remains challenging. Voriconazole has been shown to have efficacy and survival benefits over amphotericin B deoxycholate, but its utility is limited by drug interactions. Liposomal amphotericin B achieves maximum plasma levels at a dosage of 10 mg/kg per day, but clinical efficacy data for higher doses are lacking. METHODS: In a double-blind trial, patients with proven or probable invasive mold infection were randomized to receive liposomal amphotericin B at either 3 or 10 mg/kg per day for 14 days, followed by 3 mg/kg per day. The primary end point was favorable (i.e., complete or partial) response at the end of study drug treatment. Survival and safety outcomes were also evaluated. RESULTS: Of 201 patients with confirmed invasive mold infection, 107 received the 3-mg/kg daily dose, and 94 received the 10-mg/kg daily dose. Invasive aspergillosis accounted for 97% of cases. Hematological malignancies were present in 93% of patients, and 73% of patients were neutropenic at baseline. A favorable response was achieved in 50% and 46% of patients in the 3- and 10-mg/kg groups, respectively (difference, 4%; 95% confidence interval, -10% to 18%; P&gt;.05); the respective survival rates at 12 weeks were 72% and 59% (difference, 13%; 95% confidence interval, -0.2% to 26%; P&gt;.05). Significantly higher rates of nephrotoxicity and hypokalemia were seen in the high-dose group. CONCLUSIONS: In highly immunocompromised patients, the effectiveness of 3 mg/kg of liposomal amphotericin B per day as first-line therapy for invasive aspergillosis is demonstrated, with a response rate of 50% and a 12-week survival rate of 72%. The regimen of 10 mg/kg per day demonstrated no additional benefit and higher rates of nephrotoxicity.", "author" : [ { "dropping-particle" : "", "family" : "Cornely", "given" : "O A", "non-dropping-particle" : "", "parse-names" : false, "suffix" : "" }, { "dropping-particle" : "", "family" : "Maertens", "given" : "J", "non-dropping-particle" : "", "parse-names" : false, "suffix" : "" }, { "dropping-particle" : "", "family" : "Bresnik", "given" : "M", "non-dropping-particle" : "", "parse-names" : false, "suffix" : "" }, { "dropping-particle" : "", "family" : "Ebrahimi", "given" : "R", "non-dropping-particle" : "", "parse-names" : false, "suffix" : "" }, { "dropping-particle" : "", "family" : "Ullmann", "given" : "A J", "non-dropping-particle" : "", "parse-names" : false, "suffix" : "" }, { "dropping-particle" : "", "family" : "Bouza", "given" : "E", "non-dropping-particle" : "", "parse-names" : false, "suffix" : "" }, { "dropping-particle" : "", "family" : "Heussel", "given" : "C P", "non-dropping-particle" : "", "parse-names" : false, "suffix" : "" }, { "dropping-particle" : "", "family" : "Lortholary", "given" : "O", "non-dropping-particle" : "", "parse-names" : false, "suffix" : "" }, { "dropping-particle" : "", "family" : "Rieger", "given" : "C", "non-dropping-particle" : "", "parse-names" : false, "suffix" : "" }, { "dropping-particle" : "", "family" : "Boehme", "given" : "A", "non-dropping-particle" : "", "parse-names" : false, "suffix" : "" }, { "dropping-particle" : "", "family" : "Aoun", "given" : "M", "non-dropping-particle" : "", "parse-names" : false, "suffix" : "" }, { "dropping-particle" : "", "family" : "Horst", "given" : "H A", "non-dropping-particle" : "", "parse-names" : false, "suffix" : "" }, { "dropping-particle" : "", "family" : "Thiebaut", "given" : "A", "non-dropping-particle" : "", "parse-names" : false, "suffix" : "" }, { "dropping-particle" : "", "family" : "Ruhnke", "given" : "M", "non-dropping-particle" : "", "parse-names" : false, "suffix" : "" }, { "dropping-particle" : "", "family" : "Reichert", "given" : "D", "non-dropping-particle" : "", "parse-names" : false, "suffix" : "" }, { "dropping-particle" : "", "family" : "Vianelli", "given" : "N", "non-dropping-particle" : "", "parse-names" : false, "suffix" : "" }, { "dropping-particle" : "", "family" : "Krause", "given" : "S W", "non-dropping-particle" : "", "parse-names" : false, "suffix" : "" }, { "dropping-particle" : "", "family" : "Olavarria", "given" : "E", "non-dropping-particle" : "", "parse-names" : false, "suffix" : "" }, { "dropping-particle" : "", "family" : "Herbrecht", "given" : "R", "non-dropping-particle" : "", "parse-names" : false, "suffix" : "" } ], "container-title" : "Clin Infect Dis", "id" : "ITEM-3", "issue" : "10", "issued" : { "date-parts" : [ [ "2007" ] ] }, "note" : "1537-6591 (Electronic)\nJournal Article\nMulticenter Study\nRandomized Controlled Trial\nResearch Support, Non-U.S. Gov't", "page" : "1289-1297", "title" : "Liposomal amphotericin B as initial therapy for invasive mold infection: a randomized trial comparing a high-loading dose regimen with standard dosing (AmBiLoad trial)", "type" : "article-journal", "volume" : "44" }, "uris" : [ "http://www.mendeley.com/documents/?uuid=8874d66a-ad49-4d00-80b1-c426017f6097" ] } ], "mendeley" : { "formattedCitation" : "&lt;sup&gt;4\u20136&lt;/sup&gt;", "plainTextFormattedCitation" : "4\u20136", "previouslyFormattedCitation" : "&lt;sup&gt;4\u20136&lt;/sup&gt;" }, "properties" : { "noteIndex" : 0 }, "schema" : "https://github.com/citation-style-language/schema/raw/master/csl-citation.json" }</w:instrText>
      </w:r>
      <w:r w:rsidR="004D32CF">
        <w:rPr>
          <w:rFonts w:asciiTheme="majorHAnsi" w:hAnsiTheme="majorHAnsi"/>
        </w:rPr>
        <w:fldChar w:fldCharType="separate"/>
      </w:r>
      <w:r w:rsidR="00A511D3" w:rsidRPr="00A511D3">
        <w:rPr>
          <w:rFonts w:asciiTheme="majorHAnsi" w:hAnsiTheme="majorHAnsi"/>
          <w:noProof/>
          <w:vertAlign w:val="superscript"/>
        </w:rPr>
        <w:t>4–6</w:t>
      </w:r>
      <w:r w:rsidR="004D32CF">
        <w:rPr>
          <w:rFonts w:asciiTheme="majorHAnsi" w:hAnsiTheme="majorHAnsi"/>
        </w:rPr>
        <w:fldChar w:fldCharType="end"/>
      </w:r>
      <w:r w:rsidR="00C5644C" w:rsidRPr="007E2A5E">
        <w:rPr>
          <w:rFonts w:asciiTheme="majorHAnsi" w:hAnsiTheme="majorHAnsi"/>
        </w:rPr>
        <w:t xml:space="preserve"> with no clear clinical signal suggesting therapeutic benefit</w:t>
      </w:r>
      <w:r w:rsidR="00AE7CC9" w:rsidRPr="007E2A5E">
        <w:rPr>
          <w:rFonts w:asciiTheme="majorHAnsi" w:hAnsiTheme="majorHAnsi"/>
        </w:rPr>
        <w:t xml:space="preserve"> of a higher dose</w:t>
      </w:r>
      <w:r w:rsidR="00C5644C" w:rsidRPr="007E2A5E">
        <w:rPr>
          <w:rFonts w:asciiTheme="majorHAnsi" w:hAnsiTheme="majorHAnsi"/>
        </w:rPr>
        <w:t>.</w:t>
      </w:r>
      <w:r w:rsidR="006C7B86">
        <w:rPr>
          <w:rFonts w:asciiTheme="majorHAnsi" w:hAnsiTheme="majorHAnsi"/>
        </w:rPr>
        <w:t xml:space="preserve"> </w:t>
      </w:r>
      <w:r w:rsidR="003F3FD7" w:rsidRPr="007E2A5E">
        <w:rPr>
          <w:rFonts w:asciiTheme="majorHAnsi" w:hAnsiTheme="majorHAnsi"/>
        </w:rPr>
        <w:t xml:space="preserve">In retrospect, </w:t>
      </w:r>
      <w:r w:rsidR="008220D2" w:rsidRPr="007E2A5E">
        <w:rPr>
          <w:rFonts w:asciiTheme="majorHAnsi" w:hAnsiTheme="majorHAnsi"/>
        </w:rPr>
        <w:t xml:space="preserve">almost </w:t>
      </w:r>
      <w:r w:rsidR="002B2749">
        <w:rPr>
          <w:rFonts w:asciiTheme="majorHAnsi" w:hAnsiTheme="majorHAnsi"/>
        </w:rPr>
        <w:t>all of these studies</w:t>
      </w:r>
      <w:r w:rsidR="003F3FD7" w:rsidRPr="007E2A5E">
        <w:rPr>
          <w:rFonts w:asciiTheme="majorHAnsi" w:hAnsiTheme="majorHAnsi"/>
        </w:rPr>
        <w:t xml:space="preserve"> could have been avoided</w:t>
      </w:r>
      <w:r w:rsidR="008220D2" w:rsidRPr="007E2A5E">
        <w:rPr>
          <w:rFonts w:asciiTheme="majorHAnsi" w:hAnsiTheme="majorHAnsi"/>
        </w:rPr>
        <w:t xml:space="preserve"> with the application of modern PK-PD </w:t>
      </w:r>
      <w:r w:rsidR="002B2749">
        <w:rPr>
          <w:rFonts w:asciiTheme="majorHAnsi" w:hAnsiTheme="majorHAnsi"/>
        </w:rPr>
        <w:t>techniques</w:t>
      </w:r>
      <w:r w:rsidR="00265557">
        <w:rPr>
          <w:rFonts w:asciiTheme="majorHAnsi" w:hAnsiTheme="majorHAnsi"/>
        </w:rPr>
        <w:t>.</w:t>
      </w:r>
      <w:r w:rsidR="004D32CF">
        <w:rPr>
          <w:rFonts w:asciiTheme="majorHAnsi" w:hAnsiTheme="majorHAnsi"/>
        </w:rPr>
        <w:fldChar w:fldCharType="begin" w:fldLock="1"/>
      </w:r>
      <w:r w:rsidR="000B527C">
        <w:rPr>
          <w:rFonts w:asciiTheme="majorHAnsi" w:hAnsiTheme="majorHAnsi"/>
        </w:rPr>
        <w:instrText>ADDIN CSL_CITATION { "citationItems" : [ { "id" : "ITEM-1", "itemData" : { "DOI" : "10.1128/AAC.04723-14", "ISSN" : "1098-6596", "PMID" : "25712363", "abstract" : "Amphotericin B is a first-line agent for the treatment of invasive aspergillosis. However, relatively little is known about the pharmacodynamics of amphotericin B for invasive pulmonary aspergillosis. We studied the pharmacokinetics (PK) and pharmacodynamics (PD) of amphotericin B deoxycholate (DAMB), amphotericin B lipid complex (ABLC), and liposomal amphotericin B (LAMB) by using a neutropenic-rabbit model of invasive pulmonary aspergillosis. The study endpoints were lung weight, infarct score, and levels of circulating galactomannan and (1\u21923)-\u03b2-D-glucan. Mathematical models were used to describe PK-PD relationships. The experimental findings were bridged to humans by Monte Carlo simulation. Each amphotericin B formulation induced a dose-dependent decline in study endpoints. Near-maximal antifungal activity was evident with DAMB at 1 mg/kg/day and ABLC and LAMB at 5 mg/kg/day. The bridging study suggested that the \"average\" patient receiving LAMB at 3 mg/kg/day was predicted to have complete suppression of galactomannan and (1\u21923)-\u03b2-D-glucan levels, but 20 to 30% of the patients still had a galactomannan index of &gt;1 and (1\u21923)-\u03b2-D-glucan levels of &gt;60 pg/ml. All formulations of amphotericin B induce a dose-dependent reduction in markers of lung injury and circulating fungus-related biomarkers. A clinical dosage of liposomal amphotericin B of 3 mg/kg/day is predicted to cause complete suppression of galactomannan and (1\u21923)-\u03b2-D-glucan levels in the majority of patients.", "author"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"Z.", "given" : "Al-Nakeeb", "non-dropping-particle" : "", "parse-names" : false, "suffix" : "" }, { "dropping-particle" : "", "family" : "V.", "given" : "Petraitis", "non-dropping-particle" : "", "parse-names" : false, "suffix" : "" }, { "dropping-particle" : "", "family" : "J.", "given" : "Goodwin", "non-dropping-particle" : "", "parse-names" : false, "suffix" : "" }, { "dropping-particle" : "", "family" : "R.", "given" : "Petraitiene", "non-dropping-particle" : "", "parse-names" : false, "suffix" : "" }, { "dropping-particle" : "", "family" : "T.J.", "given" : "Walsh", "non-dropping-particle" : "", "parse-names" : false, "suffix" : "" }, { "dropping-particle" : "", "family" : "W.W.", "given" : "Hope", "non-dropping-particle" : "", "parse-names" : false, "suffix" :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"Nakeeb", "given" : "Zaid", "non-dropping-particle" : "Al",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"container-title" : "Antimicrobial agents and chemotherapy", "id" : "ITEM-1", "issue" : "5", "issued" : { "date-parts" : [ [ "2015", "2", "23" ] ] }, "page" : "2735-2745", "title" : "Pharmacodynamics of amphotericin B deoxycholate, amphotericin B lipid complex, and liposomal amphotericin B against Aspergillus fumigatus", "type" : "article-journal", "volume" : "59" }, "uris" : [ "http://www.mendeley.com/documents/?uuid=894639f5-9928-4921-b1b7-b722deba7d81" ] } ], "mendeley" : { "formattedCitation" : "&lt;sup&gt;7&lt;/sup&gt;", "plainTextFormattedCitation" : "7", "previouslyFormattedCitation" : "&lt;sup&gt;7&lt;/sup&gt;" }, "properties" : { "noteIndex" : 0 }, "schema" : "https://github.com/citation-style-language/schema/raw/master/csl-citation.json" }</w:instrText>
      </w:r>
      <w:r w:rsidR="004D32CF">
        <w:rPr>
          <w:rFonts w:asciiTheme="majorHAnsi" w:hAnsiTheme="majorHAnsi"/>
        </w:rPr>
        <w:fldChar w:fldCharType="separate"/>
      </w:r>
      <w:r w:rsidR="00A511D3" w:rsidRPr="00A511D3">
        <w:rPr>
          <w:rFonts w:asciiTheme="majorHAnsi" w:hAnsiTheme="majorHAnsi"/>
          <w:noProof/>
          <w:vertAlign w:val="superscript"/>
        </w:rPr>
        <w:t>7</w:t>
      </w:r>
      <w:r w:rsidR="004D32CF">
        <w:rPr>
          <w:rFonts w:asciiTheme="majorHAnsi" w:hAnsiTheme="majorHAnsi"/>
        </w:rPr>
        <w:fldChar w:fldCharType="end"/>
      </w:r>
      <w:r w:rsidR="006C7B86">
        <w:rPr>
          <w:rFonts w:asciiTheme="majorHAnsi" w:hAnsiTheme="majorHAnsi"/>
        </w:rPr>
        <w:t xml:space="preserve"> </w:t>
      </w:r>
      <w:r w:rsidR="00317B57" w:rsidRPr="007E2A5E">
        <w:rPr>
          <w:rFonts w:asciiTheme="majorHAnsi" w:hAnsiTheme="majorHAnsi"/>
        </w:rPr>
        <w:t xml:space="preserve">A PK-PD model of invasive pulmonary </w:t>
      </w:r>
      <w:r w:rsidR="00317B57" w:rsidRPr="007E2A5E">
        <w:rPr>
          <w:rFonts w:asciiTheme="majorHAnsi" w:hAnsiTheme="majorHAnsi"/>
        </w:rPr>
        <w:lastRenderedPageBreak/>
        <w:t>aspergillosis suggests that 3 mg/kg is associated with near maximal antifungal activity</w:t>
      </w:r>
      <w:r w:rsidR="00265557">
        <w:rPr>
          <w:rFonts w:asciiTheme="majorHAnsi" w:hAnsiTheme="majorHAnsi"/>
        </w:rPr>
        <w:t>.</w:t>
      </w:r>
      <w:r w:rsidR="004D32CF">
        <w:rPr>
          <w:rFonts w:asciiTheme="majorHAnsi" w:hAnsiTheme="majorHAnsi"/>
        </w:rPr>
        <w:fldChar w:fldCharType="begin" w:fldLock="1"/>
      </w:r>
      <w:r w:rsidR="000B527C">
        <w:rPr>
          <w:rFonts w:asciiTheme="majorHAnsi" w:hAnsiTheme="majorHAnsi"/>
        </w:rPr>
        <w:instrText>ADDIN CSL_CITATION { "citationItems" : [ { "id" : "ITEM-1", "itemData" : { "DOI" : "10.1128/AAC.04723-14", "ISSN" : "1098-6596", "PMID" : "25712363", "abstract" : "Amphotericin B is a first-line agent for the treatment of invasive aspergillosis. However, relatively little is known about the pharmacodynamics of amphotericin B for invasive pulmonary aspergillosis. We studied the pharmacokinetics (PK) and pharmacodynamics (PD) of amphotericin B deoxycholate (DAMB), amphotericin B lipid complex (ABLC), and liposomal amphotericin B (LAMB) by using a neutropenic-rabbit model of invasive pulmonary aspergillosis. The study endpoints were lung weight, infarct score, and levels of circulating galactomannan and (1\u21923)-\u03b2-D-glucan. Mathematical models were used to describe PK-PD relationships. The experimental findings were bridged to humans by Monte Carlo simulation. Each amphotericin B formulation induced a dose-dependent decline in study endpoints. Near-maximal antifungal activity was evident with DAMB at 1 mg/kg/day and ABLC and LAMB at 5 mg/kg/day. The bridging study suggested that the \"average\" patient receiving LAMB at 3 mg/kg/day was predicted to have complete suppression of galactomannan and (1\u21923)-\u03b2-D-glucan levels, but 20 to 30% of the patients still had a galactomannan index of &gt;1 and (1\u21923)-\u03b2-D-glucan levels of &gt;60 pg/ml. All formulations of amphotericin B induce a dose-dependent reduction in markers of lung injury and circulating fungus-related biomarkers. A clinical dosage of liposomal amphotericin B of 3 mg/kg/day is predicted to cause complete suppression of galactomannan and (1\u21923)-\u03b2-D-glucan levels in the majority of patients.", "author"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"Z.", "given" : "Al-Nakeeb", "non-dropping-particle" : "", "parse-names" : false, "suffix" : "" }, { "dropping-particle" : "", "family" : "V.", "given" : "Petraitis", "non-dropping-particle" : "", "parse-names" : false, "suffix" : "" }, { "dropping-particle" : "", "family" : "J.", "given" : "Goodwin", "non-dropping-particle" : "", "parse-names" : false, "suffix" : "" }, { "dropping-particle" : "", "family" : "R.", "given" : "Petraitiene", "non-dropping-particle" : "", "parse-names" : false, "suffix" : "" }, { "dropping-particle" : "", "family" : "T.J.", "given" : "Walsh", "non-dropping-particle" : "", "parse-names" : false, "suffix" : "" }, { "dropping-particle" : "", "family" : "W.W.", "given" : "Hope", "non-dropping-particle" : "", "parse-names" : false, "suffix" :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"Nakeeb", "given" : "Zaid", "non-dropping-particle" : "Al",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"container-title" : "Antimicrobial agents and chemotherapy", "id" : "ITEM-1", "issue" : "5", "issued" : { "date-parts" : [ [ "2015", "2", "23" ] ] }, "page" : "2735-2745", "title" : "Pharmacodynamics of amphotericin B deoxycholate, amphotericin B lipid complex, and liposomal amphotericin B against Aspergillus fumigatus", "type" : "article-journal", "volume" : "59" }, "uris" : [ "http://www.mendeley.com/documents/?uuid=894639f5-9928-4921-b1b7-b722deba7d81" ] } ], "mendeley" : { "formattedCitation" : "&lt;sup&gt;7&lt;/sup&gt;", "plainTextFormattedCitation" : "7", "previouslyFormattedCitation" : "&lt;sup&gt;7&lt;/sup&gt;" }, "properties" : { "noteIndex" : 0 }, "schema" : "https://github.com/citation-style-language/schema/raw/master/csl-citation.json" }</w:instrText>
      </w:r>
      <w:r w:rsidR="004D32CF">
        <w:rPr>
          <w:rFonts w:asciiTheme="majorHAnsi" w:hAnsiTheme="majorHAnsi"/>
        </w:rPr>
        <w:fldChar w:fldCharType="separate"/>
      </w:r>
      <w:r w:rsidR="00A511D3" w:rsidRPr="00A511D3">
        <w:rPr>
          <w:rFonts w:asciiTheme="majorHAnsi" w:hAnsiTheme="majorHAnsi"/>
          <w:noProof/>
          <w:vertAlign w:val="superscript"/>
        </w:rPr>
        <w:t>7</w:t>
      </w:r>
      <w:r w:rsidR="004D32CF">
        <w:rPr>
          <w:rFonts w:asciiTheme="majorHAnsi" w:hAnsiTheme="majorHAnsi"/>
        </w:rPr>
        <w:fldChar w:fldCharType="end"/>
      </w:r>
      <w:r w:rsidR="006C7B86">
        <w:rPr>
          <w:rFonts w:asciiTheme="majorHAnsi" w:hAnsiTheme="majorHAnsi"/>
        </w:rPr>
        <w:t xml:space="preserve"> </w:t>
      </w:r>
      <w:r w:rsidR="00317B57" w:rsidRPr="007E2A5E">
        <w:rPr>
          <w:rFonts w:asciiTheme="majorHAnsi" w:hAnsiTheme="majorHAnsi"/>
        </w:rPr>
        <w:t xml:space="preserve">Thus, </w:t>
      </w:r>
      <w:r w:rsidR="00177BB5">
        <w:rPr>
          <w:rFonts w:asciiTheme="majorHAnsi" w:hAnsiTheme="majorHAnsi"/>
        </w:rPr>
        <w:t>an earlier</w:t>
      </w:r>
      <w:r w:rsidR="00177BB5" w:rsidRPr="007E2A5E">
        <w:rPr>
          <w:rFonts w:asciiTheme="majorHAnsi" w:hAnsiTheme="majorHAnsi"/>
        </w:rPr>
        <w:t xml:space="preserve"> </w:t>
      </w:r>
      <w:r w:rsidR="00317B57" w:rsidRPr="007E2A5E">
        <w:rPr>
          <w:rFonts w:asciiTheme="majorHAnsi" w:hAnsiTheme="majorHAnsi"/>
        </w:rPr>
        <w:t xml:space="preserve">bridging study </w:t>
      </w:r>
      <w:r w:rsidR="00493E7C" w:rsidRPr="007E2A5E">
        <w:rPr>
          <w:rFonts w:asciiTheme="majorHAnsi" w:hAnsiTheme="majorHAnsi"/>
        </w:rPr>
        <w:t xml:space="preserve">would have enabled the right regimen to be studied the first time, which in turn </w:t>
      </w:r>
      <w:r w:rsidR="005C27B3">
        <w:rPr>
          <w:rFonts w:asciiTheme="majorHAnsi" w:hAnsiTheme="majorHAnsi"/>
        </w:rPr>
        <w:t>c</w:t>
      </w:r>
      <w:r w:rsidR="00493E7C" w:rsidRPr="007E2A5E">
        <w:rPr>
          <w:rFonts w:asciiTheme="majorHAnsi" w:hAnsiTheme="majorHAnsi"/>
        </w:rPr>
        <w:t xml:space="preserve">ould have saved millions of </w:t>
      </w:r>
      <w:r w:rsidR="00430316" w:rsidRPr="007E2A5E">
        <w:rPr>
          <w:rFonts w:asciiTheme="majorHAnsi" w:hAnsiTheme="majorHAnsi"/>
        </w:rPr>
        <w:t>dollars</w:t>
      </w:r>
      <w:r w:rsidR="00493E7C" w:rsidRPr="007E2A5E">
        <w:rPr>
          <w:rFonts w:asciiTheme="majorHAnsi" w:hAnsiTheme="majorHAnsi"/>
        </w:rPr>
        <w:t xml:space="preserve">, </w:t>
      </w:r>
      <w:r w:rsidR="00276B7D" w:rsidRPr="007E2A5E">
        <w:rPr>
          <w:rFonts w:asciiTheme="majorHAnsi" w:hAnsiTheme="majorHAnsi"/>
        </w:rPr>
        <w:t>many years of painstaking clinical research</w:t>
      </w:r>
      <w:r w:rsidR="00430316" w:rsidRPr="007E2A5E">
        <w:rPr>
          <w:rFonts w:asciiTheme="majorHAnsi" w:hAnsiTheme="majorHAnsi"/>
        </w:rPr>
        <w:t xml:space="preserve">, and </w:t>
      </w:r>
      <w:r w:rsidR="00622BE9" w:rsidRPr="007E2A5E">
        <w:rPr>
          <w:rFonts w:asciiTheme="majorHAnsi" w:hAnsiTheme="majorHAnsi"/>
        </w:rPr>
        <w:t>undoubtedly</w:t>
      </w:r>
      <w:r w:rsidR="00430316" w:rsidRPr="007E2A5E">
        <w:rPr>
          <w:rFonts w:asciiTheme="majorHAnsi" w:hAnsiTheme="majorHAnsi"/>
        </w:rPr>
        <w:t xml:space="preserve"> prevented </w:t>
      </w:r>
      <w:r w:rsidR="00622BE9" w:rsidRPr="007E2A5E">
        <w:rPr>
          <w:rFonts w:asciiTheme="majorHAnsi" w:hAnsiTheme="majorHAnsi"/>
        </w:rPr>
        <w:t>morbidity</w:t>
      </w:r>
      <w:r w:rsidR="00430316" w:rsidRPr="007E2A5E">
        <w:rPr>
          <w:rFonts w:asciiTheme="majorHAnsi" w:hAnsiTheme="majorHAnsi"/>
        </w:rPr>
        <w:t xml:space="preserve"> and </w:t>
      </w:r>
      <w:r w:rsidR="00622BE9" w:rsidRPr="007E2A5E">
        <w:rPr>
          <w:rFonts w:asciiTheme="majorHAnsi" w:hAnsiTheme="majorHAnsi"/>
        </w:rPr>
        <w:t xml:space="preserve">mortality </w:t>
      </w:r>
      <w:r w:rsidR="00906A82">
        <w:rPr>
          <w:rFonts w:asciiTheme="majorHAnsi" w:hAnsiTheme="majorHAnsi"/>
        </w:rPr>
        <w:t>directly attributable</w:t>
      </w:r>
      <w:r w:rsidR="00622BE9" w:rsidRPr="00906A82">
        <w:rPr>
          <w:rFonts w:asciiTheme="majorHAnsi" w:hAnsiTheme="majorHAnsi"/>
        </w:rPr>
        <w:t xml:space="preserve"> to </w:t>
      </w:r>
      <w:r w:rsidR="00906A82">
        <w:rPr>
          <w:rFonts w:asciiTheme="majorHAnsi" w:hAnsiTheme="majorHAnsi"/>
        </w:rPr>
        <w:t xml:space="preserve">use of </w:t>
      </w:r>
      <w:r w:rsidR="00B37AFE" w:rsidRPr="00906A82">
        <w:rPr>
          <w:rFonts w:asciiTheme="majorHAnsi" w:hAnsiTheme="majorHAnsi"/>
        </w:rPr>
        <w:t xml:space="preserve">suboptimal antifungal </w:t>
      </w:r>
      <w:r w:rsidR="00906A82">
        <w:rPr>
          <w:rFonts w:asciiTheme="majorHAnsi" w:hAnsiTheme="majorHAnsi"/>
        </w:rPr>
        <w:t>regimens</w:t>
      </w:r>
      <w:r w:rsidR="00276B7D" w:rsidRPr="00906A82">
        <w:rPr>
          <w:rFonts w:asciiTheme="majorHAnsi" w:hAnsiTheme="majorHAnsi"/>
        </w:rPr>
        <w:t>.</w:t>
      </w:r>
    </w:p>
    <w:p w14:paraId="5BFA30F8" w14:textId="77777777" w:rsidR="00DF103A" w:rsidRPr="007E2A5E" w:rsidRDefault="00DF103A" w:rsidP="007A2846">
      <w:pPr>
        <w:spacing w:line="276" w:lineRule="auto"/>
        <w:rPr>
          <w:rFonts w:asciiTheme="majorHAnsi" w:hAnsiTheme="majorHAnsi"/>
        </w:rPr>
      </w:pPr>
    </w:p>
    <w:p w14:paraId="28358F0F" w14:textId="77777777" w:rsidR="008F59C3" w:rsidRPr="00E53758" w:rsidRDefault="00172885" w:rsidP="007A2846">
      <w:pPr>
        <w:spacing w:line="276" w:lineRule="auto"/>
        <w:rPr>
          <w:rFonts w:asciiTheme="majorHAnsi" w:hAnsiTheme="majorHAnsi"/>
          <w:u w:val="single"/>
        </w:rPr>
      </w:pPr>
      <w:proofErr w:type="gramStart"/>
      <w:r w:rsidRPr="00E53758">
        <w:rPr>
          <w:rFonts w:asciiTheme="majorHAnsi" w:hAnsiTheme="majorHAnsi"/>
          <w:u w:val="single"/>
        </w:rPr>
        <w:t>3</w:t>
      </w:r>
      <w:r w:rsidR="008F59C3" w:rsidRPr="00E53758">
        <w:rPr>
          <w:rFonts w:asciiTheme="majorHAnsi" w:hAnsiTheme="majorHAnsi"/>
          <w:u w:val="single"/>
        </w:rPr>
        <w:t xml:space="preserve">. </w:t>
      </w:r>
      <w:r w:rsidR="00206A12" w:rsidRPr="00E53758">
        <w:rPr>
          <w:rFonts w:asciiTheme="majorHAnsi" w:hAnsiTheme="majorHAnsi"/>
          <w:u w:val="single"/>
        </w:rPr>
        <w:t>PK-PD</w:t>
      </w:r>
      <w:proofErr w:type="gramEnd"/>
      <w:r w:rsidR="00206A12" w:rsidRPr="00E53758">
        <w:rPr>
          <w:rFonts w:asciiTheme="majorHAnsi" w:hAnsiTheme="majorHAnsi"/>
          <w:u w:val="single"/>
        </w:rPr>
        <w:t xml:space="preserve"> AND THE FUNDA</w:t>
      </w:r>
      <w:r w:rsidR="00E86A34" w:rsidRPr="00E53758">
        <w:rPr>
          <w:rFonts w:asciiTheme="majorHAnsi" w:hAnsiTheme="majorHAnsi"/>
          <w:u w:val="single"/>
        </w:rPr>
        <w:t xml:space="preserve">MENTAL RELEVANCE OF </w:t>
      </w:r>
      <w:r w:rsidRPr="00E53758">
        <w:rPr>
          <w:rFonts w:asciiTheme="majorHAnsi" w:hAnsiTheme="majorHAnsi"/>
          <w:u w:val="single"/>
        </w:rPr>
        <w:t>C</w:t>
      </w:r>
      <w:r w:rsidR="00D9516C" w:rsidRPr="00E53758">
        <w:rPr>
          <w:rFonts w:asciiTheme="majorHAnsi" w:hAnsiTheme="majorHAnsi"/>
          <w:u w:val="single"/>
        </w:rPr>
        <w:t xml:space="preserve">AUSALITY </w:t>
      </w:r>
      <w:r w:rsidR="009E7DD8" w:rsidRPr="00E53758">
        <w:rPr>
          <w:rFonts w:asciiTheme="majorHAnsi" w:hAnsiTheme="majorHAnsi"/>
          <w:u w:val="single"/>
        </w:rPr>
        <w:t>IN</w:t>
      </w:r>
      <w:r w:rsidR="00D9516C" w:rsidRPr="00E53758">
        <w:rPr>
          <w:rFonts w:asciiTheme="majorHAnsi" w:hAnsiTheme="majorHAnsi"/>
          <w:u w:val="single"/>
        </w:rPr>
        <w:t xml:space="preserve"> DRUG DEVELOPMENT</w:t>
      </w:r>
    </w:p>
    <w:p w14:paraId="29BE0625" w14:textId="396EB3BE" w:rsidR="00BA449B" w:rsidRDefault="002B35D0"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BA449B">
        <w:rPr>
          <w:rFonts w:asciiTheme="majorHAnsi" w:hAnsiTheme="majorHAnsi" w:cs="Times New Roman"/>
          <w:lang w:val="en-US"/>
        </w:rPr>
        <w:t xml:space="preserve">As described </w:t>
      </w:r>
      <w:r w:rsidR="0057138F" w:rsidRPr="007E2A5E">
        <w:rPr>
          <w:rFonts w:asciiTheme="majorHAnsi" w:hAnsiTheme="majorHAnsi" w:cs="Times New Roman"/>
          <w:lang w:val="en-US"/>
        </w:rPr>
        <w:t xml:space="preserve">by Peck </w:t>
      </w:r>
      <w:r w:rsidR="00C26C1D" w:rsidRPr="000F210A">
        <w:rPr>
          <w:rFonts w:asciiTheme="majorHAnsi" w:hAnsiTheme="majorHAnsi" w:cs="Times New Roman"/>
          <w:i/>
          <w:lang w:val="en-US"/>
        </w:rPr>
        <w:t>et al</w:t>
      </w:r>
      <w:r w:rsidR="004D32CF">
        <w:rPr>
          <w:rFonts w:asciiTheme="majorHAnsi" w:hAnsiTheme="majorHAnsi" w:cs="Times New Roman"/>
          <w:lang w:val="en-US"/>
        </w:rPr>
        <w:fldChar w:fldCharType="begin" w:fldLock="1"/>
      </w:r>
      <w:r w:rsidR="000B0889">
        <w:rPr>
          <w:rFonts w:asciiTheme="majorHAnsi" w:hAnsiTheme="majorHAnsi" w:cs="Times New Roman"/>
          <w:lang w:val="en-US"/>
        </w:rPr>
        <w:instrText>ADDIN CSL_CITATION { "citationItems" : [ { "id" : "ITEM-1", "itemData" : { "DOI" : "10.1016/S0009-9236(03)00018-3", "author" : [ { "dropping-particle" : "", "family" : "Peck", "given" : "Carl C", "non-dropping-particle" : "", "parse-names" : false, "suffix" : "" }, { "dropping-particle" : "", "family" : "Rubin", "given" : "Donald B", "non-dropping-particle" : "", "parse-names" : false, "suffix" : "" }, { "dropping-particle" : "", "family" : "Sheiner", "given" : "Lewis B", "non-dropping-particle" : "", "parse-names" : false, "suffix" : "" } ], "container-title" : "Clin Pharmacol Ther", "id" : "ITEM-1", "issue" : "6", "issued" : { "date-parts" : [ [ "2003" ] ] }, "page" : "481-490", "title" : "Hypothesis: a single clinical trial plus causal evidence of effectiveness is sufficient for drug approval.", "type" : "article-journal", "volume" : "73" }, "uris" : [ "http://www.mendeley.com/documents/?uuid=90aa5b50-aa14-47eb-83f7-b59d0742d3e8" ] } ], "mendeley" : { "formattedCitation" : "&lt;sup&gt;2&lt;/sup&gt;", "plainTextFormattedCitation" : "2", "previouslyFormattedCitation" : "&lt;sup&gt;2&lt;/sup&gt;"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A511D3" w:rsidRPr="00A511D3">
        <w:rPr>
          <w:rFonts w:asciiTheme="majorHAnsi" w:hAnsiTheme="majorHAnsi" w:cs="Times New Roman"/>
          <w:noProof/>
          <w:vertAlign w:val="superscript"/>
          <w:lang w:val="en-US"/>
        </w:rPr>
        <w:t>2</w:t>
      </w:r>
      <w:r w:rsidR="004D32CF">
        <w:rPr>
          <w:rFonts w:asciiTheme="majorHAnsi" w:hAnsiTheme="majorHAnsi" w:cs="Times New Roman"/>
          <w:lang w:val="en-US"/>
        </w:rPr>
        <w:fldChar w:fldCharType="end"/>
      </w:r>
      <w:r w:rsidR="00BA449B">
        <w:rPr>
          <w:rFonts w:asciiTheme="majorHAnsi" w:hAnsiTheme="majorHAnsi" w:cs="Times New Roman"/>
          <w:lang w:val="en-US"/>
        </w:rPr>
        <w:t>, t</w:t>
      </w:r>
      <w:r w:rsidR="00BA449B" w:rsidRPr="007E2A5E">
        <w:rPr>
          <w:rFonts w:asciiTheme="majorHAnsi" w:hAnsiTheme="majorHAnsi" w:cs="Times New Roman"/>
          <w:lang w:val="en-US"/>
        </w:rPr>
        <w:t>he notion of causality in drug development</w:t>
      </w:r>
      <w:r w:rsidR="00A62683" w:rsidRPr="007E2A5E">
        <w:rPr>
          <w:rFonts w:asciiTheme="majorHAnsi" w:hAnsiTheme="majorHAnsi" w:cs="Times New Roman"/>
          <w:lang w:val="en-US"/>
        </w:rPr>
        <w:t xml:space="preserve"> </w:t>
      </w:r>
      <w:r w:rsidR="00C26C1D" w:rsidRPr="007E2A5E">
        <w:rPr>
          <w:rFonts w:asciiTheme="majorHAnsi" w:hAnsiTheme="majorHAnsi" w:cs="Times New Roman"/>
          <w:lang w:val="en-US"/>
        </w:rPr>
        <w:t>refers to</w:t>
      </w:r>
      <w:r w:rsidR="00A62683" w:rsidRPr="007E2A5E">
        <w:rPr>
          <w:rFonts w:asciiTheme="majorHAnsi" w:hAnsiTheme="majorHAnsi" w:cs="Times New Roman"/>
          <w:lang w:val="en-US"/>
        </w:rPr>
        <w:t xml:space="preserve"> the </w:t>
      </w:r>
      <w:r w:rsidR="007D2E50" w:rsidRPr="007E2A5E">
        <w:rPr>
          <w:rFonts w:asciiTheme="majorHAnsi" w:hAnsiTheme="majorHAnsi" w:cs="Times New Roman"/>
          <w:lang w:val="en-US"/>
        </w:rPr>
        <w:t xml:space="preserve">idea </w:t>
      </w:r>
      <w:r w:rsidR="0057138F" w:rsidRPr="007E2A5E">
        <w:rPr>
          <w:rFonts w:asciiTheme="majorHAnsi" w:hAnsiTheme="majorHAnsi" w:cs="Times New Roman"/>
          <w:lang w:val="en-US"/>
        </w:rPr>
        <w:t>that</w:t>
      </w:r>
      <w:r w:rsidRPr="007E2A5E">
        <w:rPr>
          <w:rFonts w:asciiTheme="majorHAnsi" w:hAnsiTheme="majorHAnsi" w:cs="Times New Roman"/>
          <w:lang w:val="en-US"/>
        </w:rPr>
        <w:t xml:space="preserve"> </w:t>
      </w:r>
      <w:r w:rsidR="002C31DD" w:rsidRPr="007E2A5E">
        <w:rPr>
          <w:rFonts w:asciiTheme="majorHAnsi" w:hAnsiTheme="majorHAnsi" w:cs="Times New Roman"/>
          <w:lang w:val="en-US"/>
        </w:rPr>
        <w:t>a drug exerts its actions</w:t>
      </w:r>
      <w:r w:rsidR="001A5DBA" w:rsidRPr="007E2A5E">
        <w:rPr>
          <w:rFonts w:asciiTheme="majorHAnsi" w:hAnsiTheme="majorHAnsi" w:cs="Times New Roman"/>
          <w:lang w:val="en-US"/>
        </w:rPr>
        <w:t xml:space="preserve"> via </w:t>
      </w:r>
      <w:r w:rsidR="0058612B" w:rsidRPr="007E2A5E">
        <w:rPr>
          <w:rFonts w:asciiTheme="majorHAnsi" w:hAnsiTheme="majorHAnsi" w:cs="Times New Roman"/>
          <w:lang w:val="en-US"/>
        </w:rPr>
        <w:t>a sequence of events</w:t>
      </w:r>
      <w:r w:rsidR="001A5DBA" w:rsidRPr="007E2A5E">
        <w:rPr>
          <w:rFonts w:asciiTheme="majorHAnsi" w:hAnsiTheme="majorHAnsi" w:cs="Times New Roman"/>
          <w:lang w:val="en-US"/>
        </w:rPr>
        <w:t xml:space="preserve"> that can be observed</w:t>
      </w:r>
      <w:r w:rsidR="007D7F22" w:rsidRPr="007E2A5E">
        <w:rPr>
          <w:rFonts w:asciiTheme="majorHAnsi" w:hAnsiTheme="majorHAnsi" w:cs="Times New Roman"/>
          <w:lang w:val="en-US"/>
        </w:rPr>
        <w:t>, quantified</w:t>
      </w:r>
      <w:r w:rsidR="001A5DBA" w:rsidRPr="007E2A5E">
        <w:rPr>
          <w:rFonts w:asciiTheme="majorHAnsi" w:hAnsiTheme="majorHAnsi" w:cs="Times New Roman"/>
          <w:lang w:val="en-US"/>
        </w:rPr>
        <w:t xml:space="preserve"> and </w:t>
      </w:r>
      <w:r w:rsidR="007D7F22" w:rsidRPr="007E2A5E">
        <w:rPr>
          <w:rFonts w:asciiTheme="majorHAnsi" w:hAnsiTheme="majorHAnsi" w:cs="Times New Roman"/>
          <w:lang w:val="en-US"/>
        </w:rPr>
        <w:t xml:space="preserve">prospectively </w:t>
      </w:r>
      <w:r w:rsidR="001A5DBA" w:rsidRPr="007E2A5E">
        <w:rPr>
          <w:rFonts w:asciiTheme="majorHAnsi" w:hAnsiTheme="majorHAnsi" w:cs="Times New Roman"/>
          <w:lang w:val="en-US"/>
        </w:rPr>
        <w:t>tested.</w:t>
      </w:r>
      <w:r w:rsidR="006C7B86">
        <w:rPr>
          <w:rFonts w:asciiTheme="majorHAnsi" w:hAnsiTheme="majorHAnsi" w:cs="Times New Roman"/>
          <w:lang w:val="en-US"/>
        </w:rPr>
        <w:t xml:space="preserve"> </w:t>
      </w:r>
      <w:r w:rsidR="00CB1A88" w:rsidRPr="007E2A5E">
        <w:rPr>
          <w:rFonts w:asciiTheme="majorHAnsi" w:hAnsiTheme="majorHAnsi" w:cs="Times New Roman"/>
          <w:lang w:val="en-US"/>
        </w:rPr>
        <w:t>Causality</w:t>
      </w:r>
      <w:r w:rsidR="002D283C">
        <w:rPr>
          <w:rFonts w:asciiTheme="majorHAnsi" w:hAnsiTheme="majorHAnsi" w:cs="Times New Roman"/>
          <w:lang w:val="en-US"/>
        </w:rPr>
        <w:t xml:space="preserve"> </w:t>
      </w:r>
      <w:r w:rsidR="00CB1A88" w:rsidRPr="007E2A5E">
        <w:rPr>
          <w:rFonts w:asciiTheme="majorHAnsi" w:hAnsiTheme="majorHAnsi" w:cs="Times New Roman"/>
          <w:lang w:val="en-US"/>
        </w:rPr>
        <w:t xml:space="preserve">is central to </w:t>
      </w:r>
      <w:r w:rsidR="00BA449B">
        <w:rPr>
          <w:rFonts w:asciiTheme="majorHAnsi" w:hAnsiTheme="majorHAnsi" w:cs="Times New Roman"/>
          <w:lang w:val="en-US"/>
        </w:rPr>
        <w:t>proving</w:t>
      </w:r>
      <w:r w:rsidR="00CB1A88" w:rsidRPr="007E2A5E">
        <w:rPr>
          <w:rFonts w:asciiTheme="majorHAnsi" w:hAnsiTheme="majorHAnsi" w:cs="Times New Roman"/>
          <w:lang w:val="en-US"/>
        </w:rPr>
        <w:t xml:space="preserve"> that </w:t>
      </w:r>
      <w:r w:rsidRPr="007E2A5E">
        <w:rPr>
          <w:rFonts w:asciiTheme="majorHAnsi" w:hAnsiTheme="majorHAnsi" w:cs="Times New Roman"/>
          <w:lang w:val="en-US"/>
        </w:rPr>
        <w:t xml:space="preserve">the drug </w:t>
      </w:r>
      <w:r w:rsidR="00A62683" w:rsidRPr="007E2A5E">
        <w:rPr>
          <w:rFonts w:asciiTheme="majorHAnsi" w:hAnsiTheme="majorHAnsi" w:cs="Times New Roman"/>
          <w:lang w:val="en-US"/>
        </w:rPr>
        <w:t>is not sham</w:t>
      </w:r>
      <w:r w:rsidR="00303CB8" w:rsidRPr="007E2A5E">
        <w:rPr>
          <w:rFonts w:asciiTheme="majorHAnsi" w:hAnsiTheme="majorHAnsi" w:cs="Times New Roman"/>
          <w:lang w:val="en-US"/>
        </w:rPr>
        <w:t xml:space="preserve"> </w:t>
      </w:r>
      <w:r w:rsidR="002D538D" w:rsidRPr="007E2A5E">
        <w:rPr>
          <w:rFonts w:asciiTheme="majorHAnsi" w:hAnsiTheme="majorHAnsi" w:cs="Times New Roman"/>
          <w:lang w:val="en-US"/>
        </w:rPr>
        <w:t xml:space="preserve">and </w:t>
      </w:r>
      <w:r w:rsidR="00CB1A88" w:rsidRPr="007E2A5E">
        <w:rPr>
          <w:rFonts w:asciiTheme="majorHAnsi" w:hAnsiTheme="majorHAnsi" w:cs="Times New Roman"/>
          <w:lang w:val="en-US"/>
        </w:rPr>
        <w:t>does not work by magic.</w:t>
      </w:r>
      <w:r w:rsidR="006C7B86">
        <w:rPr>
          <w:rFonts w:asciiTheme="majorHAnsi" w:hAnsiTheme="majorHAnsi" w:cs="Times New Roman"/>
          <w:lang w:val="en-US"/>
        </w:rPr>
        <w:t xml:space="preserve"> </w:t>
      </w:r>
      <w:r w:rsidR="0013556D" w:rsidRPr="007E2A5E">
        <w:rPr>
          <w:rFonts w:asciiTheme="majorHAnsi" w:hAnsiTheme="majorHAnsi" w:cs="Times New Roman"/>
          <w:lang w:val="en-US"/>
        </w:rPr>
        <w:t xml:space="preserve">Rather, its effects are </w:t>
      </w:r>
      <w:r w:rsidR="000E4489" w:rsidRPr="007E2A5E">
        <w:rPr>
          <w:rFonts w:asciiTheme="majorHAnsi" w:hAnsiTheme="majorHAnsi" w:cs="Times New Roman"/>
          <w:lang w:val="en-US"/>
        </w:rPr>
        <w:t xml:space="preserve">well understood and </w:t>
      </w:r>
      <w:r w:rsidR="00AF0D3D" w:rsidRPr="007E2A5E">
        <w:rPr>
          <w:rFonts w:asciiTheme="majorHAnsi" w:hAnsiTheme="majorHAnsi" w:cs="Times New Roman"/>
          <w:lang w:val="en-US"/>
        </w:rPr>
        <w:t xml:space="preserve">largely </w:t>
      </w:r>
      <w:r w:rsidR="0013556D" w:rsidRPr="007E2A5E">
        <w:rPr>
          <w:rFonts w:asciiTheme="majorHAnsi" w:hAnsiTheme="majorHAnsi" w:cs="Times New Roman"/>
          <w:lang w:val="en-US"/>
        </w:rPr>
        <w:t>predic</w:t>
      </w:r>
      <w:r w:rsidR="00AF0D3D" w:rsidRPr="007E2A5E">
        <w:rPr>
          <w:rFonts w:asciiTheme="majorHAnsi" w:hAnsiTheme="majorHAnsi" w:cs="Times New Roman"/>
          <w:lang w:val="en-US"/>
        </w:rPr>
        <w:t>t</w:t>
      </w:r>
      <w:r w:rsidR="0013556D" w:rsidRPr="007E2A5E">
        <w:rPr>
          <w:rFonts w:asciiTheme="majorHAnsi" w:hAnsiTheme="majorHAnsi" w:cs="Times New Roman"/>
          <w:lang w:val="en-US"/>
        </w:rPr>
        <w:t>able</w:t>
      </w:r>
      <w:r w:rsidR="00D94741" w:rsidRPr="007E2A5E">
        <w:rPr>
          <w:rFonts w:asciiTheme="majorHAnsi" w:hAnsiTheme="majorHAnsi" w:cs="Times New Roman"/>
          <w:lang w:val="en-US"/>
        </w:rPr>
        <w:t>,</w:t>
      </w:r>
      <w:r w:rsidR="0013556D" w:rsidRPr="007E2A5E">
        <w:rPr>
          <w:rFonts w:asciiTheme="majorHAnsi" w:hAnsiTheme="majorHAnsi" w:cs="Times New Roman"/>
          <w:lang w:val="en-US"/>
        </w:rPr>
        <w:t xml:space="preserve"> and </w:t>
      </w:r>
      <w:r w:rsidR="00447B3D">
        <w:rPr>
          <w:rFonts w:asciiTheme="majorHAnsi" w:hAnsiTheme="majorHAnsi" w:cs="Times New Roman"/>
          <w:lang w:val="en-US"/>
        </w:rPr>
        <w:t>the drug</w:t>
      </w:r>
      <w:r w:rsidR="00447B3D" w:rsidRPr="007E2A5E">
        <w:rPr>
          <w:rFonts w:asciiTheme="majorHAnsi" w:hAnsiTheme="majorHAnsi" w:cs="Times New Roman"/>
          <w:lang w:val="en-US"/>
        </w:rPr>
        <w:t xml:space="preserve"> </w:t>
      </w:r>
      <w:r w:rsidR="0013556D" w:rsidRPr="007E2A5E">
        <w:rPr>
          <w:rFonts w:asciiTheme="majorHAnsi" w:hAnsiTheme="majorHAnsi" w:cs="Times New Roman"/>
          <w:lang w:val="en-US"/>
        </w:rPr>
        <w:t xml:space="preserve">can </w:t>
      </w:r>
      <w:r w:rsidR="002D538D" w:rsidRPr="007E2A5E">
        <w:rPr>
          <w:rFonts w:asciiTheme="majorHAnsi" w:hAnsiTheme="majorHAnsi" w:cs="Times New Roman"/>
          <w:lang w:val="en-US"/>
        </w:rPr>
        <w:t xml:space="preserve">therefore </w:t>
      </w:r>
      <w:r w:rsidR="0013556D" w:rsidRPr="007E2A5E">
        <w:rPr>
          <w:rFonts w:asciiTheme="majorHAnsi" w:hAnsiTheme="majorHAnsi" w:cs="Times New Roman"/>
          <w:lang w:val="en-US"/>
        </w:rPr>
        <w:t xml:space="preserve">be </w:t>
      </w:r>
      <w:r w:rsidR="00B229DB" w:rsidRPr="007E2A5E">
        <w:rPr>
          <w:rFonts w:asciiTheme="majorHAnsi" w:hAnsiTheme="majorHAnsi" w:cs="Times New Roman"/>
          <w:lang w:val="en-US"/>
        </w:rPr>
        <w:t>expected</w:t>
      </w:r>
      <w:r w:rsidR="0013556D" w:rsidRPr="007E2A5E">
        <w:rPr>
          <w:rFonts w:asciiTheme="majorHAnsi" w:hAnsiTheme="majorHAnsi" w:cs="Times New Roman"/>
          <w:lang w:val="en-US"/>
        </w:rPr>
        <w:t xml:space="preserve"> to</w:t>
      </w:r>
      <w:r w:rsidR="00DD73ED" w:rsidRPr="007E2A5E">
        <w:rPr>
          <w:rFonts w:asciiTheme="majorHAnsi" w:hAnsiTheme="majorHAnsi" w:cs="Times New Roman"/>
          <w:lang w:val="en-US"/>
        </w:rPr>
        <w:t xml:space="preserve"> behave in a similar way when </w:t>
      </w:r>
      <w:r w:rsidR="00996149" w:rsidRPr="007E2A5E">
        <w:rPr>
          <w:rFonts w:asciiTheme="majorHAnsi" w:hAnsiTheme="majorHAnsi" w:cs="Times New Roman"/>
          <w:lang w:val="en-US"/>
        </w:rPr>
        <w:t>administered</w:t>
      </w:r>
      <w:r w:rsidR="00DD73ED" w:rsidRPr="007E2A5E">
        <w:rPr>
          <w:rFonts w:asciiTheme="majorHAnsi" w:hAnsiTheme="majorHAnsi" w:cs="Times New Roman"/>
          <w:lang w:val="en-US"/>
        </w:rPr>
        <w:t xml:space="preserve"> to </w:t>
      </w:r>
      <w:r w:rsidR="00CF42E1">
        <w:rPr>
          <w:rFonts w:asciiTheme="majorHAnsi" w:hAnsiTheme="majorHAnsi" w:cs="Times New Roman"/>
          <w:lang w:val="en-US"/>
        </w:rPr>
        <w:t>similar</w:t>
      </w:r>
      <w:r w:rsidR="007D2E50" w:rsidRPr="007E2A5E">
        <w:rPr>
          <w:rFonts w:asciiTheme="majorHAnsi" w:hAnsiTheme="majorHAnsi" w:cs="Times New Roman"/>
          <w:lang w:val="en-US"/>
        </w:rPr>
        <w:t xml:space="preserve"> groups of </w:t>
      </w:r>
      <w:r w:rsidR="00DD73ED" w:rsidRPr="007E2A5E">
        <w:rPr>
          <w:rFonts w:asciiTheme="majorHAnsi" w:hAnsiTheme="majorHAnsi" w:cs="Times New Roman"/>
          <w:lang w:val="en-US"/>
        </w:rPr>
        <w:t>patients in the future</w:t>
      </w:r>
      <w:r w:rsidR="00B229DB" w:rsidRPr="007E2A5E">
        <w:rPr>
          <w:rFonts w:asciiTheme="majorHAnsi" w:hAnsiTheme="majorHAnsi" w:cs="Times New Roman"/>
          <w:lang w:val="en-US"/>
        </w:rPr>
        <w:t>.</w:t>
      </w:r>
      <w:r w:rsidR="006C7B86">
        <w:rPr>
          <w:rFonts w:asciiTheme="majorHAnsi" w:hAnsiTheme="majorHAnsi" w:cs="Times New Roman"/>
          <w:lang w:val="en-US"/>
        </w:rPr>
        <w:t xml:space="preserve"> </w:t>
      </w:r>
    </w:p>
    <w:p w14:paraId="79FE8F28" w14:textId="47A6889B" w:rsidR="00BA449B" w:rsidRDefault="00BA449B" w:rsidP="007A2846">
      <w:pPr>
        <w:widowControl w:val="0"/>
        <w:autoSpaceDE w:val="0"/>
        <w:autoSpaceDN w:val="0"/>
        <w:adjustRightInd w:val="0"/>
        <w:spacing w:line="276" w:lineRule="auto"/>
        <w:ind w:firstLine="720"/>
        <w:rPr>
          <w:rFonts w:asciiTheme="majorHAnsi" w:hAnsiTheme="majorHAnsi" w:cs="Times New Roman"/>
          <w:lang w:val="en-US"/>
        </w:rPr>
      </w:pPr>
      <w:r>
        <w:rPr>
          <w:rFonts w:asciiTheme="majorHAnsi" w:hAnsiTheme="majorHAnsi" w:cs="Times New Roman"/>
          <w:lang w:val="en-US"/>
        </w:rPr>
        <w:t>Two major approaches to proof of causality are possible. In settings where a</w:t>
      </w:r>
      <w:r w:rsidR="00AF0D3D" w:rsidRPr="007E2A5E">
        <w:rPr>
          <w:rFonts w:asciiTheme="majorHAnsi" w:hAnsiTheme="majorHAnsi" w:cs="Times New Roman"/>
          <w:lang w:val="en-US"/>
        </w:rPr>
        <w:t xml:space="preserve"> detailed </w:t>
      </w:r>
      <w:r w:rsidR="007D2E50" w:rsidRPr="007E2A5E">
        <w:rPr>
          <w:rFonts w:asciiTheme="majorHAnsi" w:hAnsiTheme="majorHAnsi" w:cs="Times New Roman"/>
          <w:lang w:val="en-US"/>
        </w:rPr>
        <w:t xml:space="preserve">biological </w:t>
      </w:r>
      <w:r w:rsidR="00AF0D3D" w:rsidRPr="007E2A5E">
        <w:rPr>
          <w:rFonts w:asciiTheme="majorHAnsi" w:hAnsiTheme="majorHAnsi" w:cs="Times New Roman"/>
          <w:lang w:val="en-US"/>
        </w:rPr>
        <w:t>understanding</w:t>
      </w:r>
      <w:r w:rsidR="00F06063" w:rsidRPr="007E2A5E">
        <w:rPr>
          <w:rFonts w:asciiTheme="majorHAnsi" w:hAnsiTheme="majorHAnsi" w:cs="Times New Roman"/>
          <w:lang w:val="en-US"/>
        </w:rPr>
        <w:t xml:space="preserve"> of pharmacological action</w:t>
      </w:r>
      <w:r>
        <w:rPr>
          <w:rFonts w:asciiTheme="majorHAnsi" w:hAnsiTheme="majorHAnsi" w:cs="Times New Roman"/>
          <w:lang w:val="en-US"/>
        </w:rPr>
        <w:t xml:space="preserve"> is lacking</w:t>
      </w:r>
      <w:r w:rsidR="00F06063" w:rsidRPr="007E2A5E">
        <w:rPr>
          <w:rFonts w:asciiTheme="majorHAnsi" w:hAnsiTheme="majorHAnsi" w:cs="Times New Roman"/>
          <w:lang w:val="en-US"/>
        </w:rPr>
        <w:t>, causality</w:t>
      </w:r>
      <w:r w:rsidR="00694489" w:rsidRPr="007E2A5E">
        <w:rPr>
          <w:rFonts w:asciiTheme="majorHAnsi" w:hAnsiTheme="majorHAnsi" w:cs="Times New Roman"/>
          <w:lang w:val="en-US"/>
        </w:rPr>
        <w:t xml:space="preserve"> </w:t>
      </w:r>
      <w:r>
        <w:rPr>
          <w:rFonts w:asciiTheme="majorHAnsi" w:hAnsiTheme="majorHAnsi" w:cs="Times New Roman"/>
          <w:lang w:val="en-US"/>
        </w:rPr>
        <w:t>may be</w:t>
      </w:r>
      <w:r w:rsidRPr="007E2A5E">
        <w:rPr>
          <w:rFonts w:asciiTheme="majorHAnsi" w:hAnsiTheme="majorHAnsi" w:cs="Times New Roman"/>
          <w:lang w:val="en-US"/>
        </w:rPr>
        <w:t xml:space="preserve"> </w:t>
      </w:r>
      <w:r w:rsidR="00B0534B" w:rsidRPr="007E2A5E">
        <w:rPr>
          <w:rFonts w:asciiTheme="majorHAnsi" w:hAnsiTheme="majorHAnsi" w:cs="Times New Roman"/>
          <w:lang w:val="en-US"/>
        </w:rPr>
        <w:t>difficult to demonstrate</w:t>
      </w:r>
      <w:r w:rsidR="008B61C3">
        <w:rPr>
          <w:rFonts w:asciiTheme="majorHAnsi" w:hAnsiTheme="majorHAnsi" w:cs="Times New Roman"/>
          <w:lang w:val="en-US"/>
        </w:rPr>
        <w:t xml:space="preserve"> at a mechanistic level</w:t>
      </w:r>
      <w:r w:rsidR="00F06063" w:rsidRPr="008B61C3">
        <w:rPr>
          <w:rFonts w:asciiTheme="majorHAnsi" w:hAnsiTheme="majorHAnsi" w:cs="Times New Roman"/>
          <w:lang w:val="en-US"/>
        </w:rPr>
        <w:t>.</w:t>
      </w:r>
      <w:r w:rsidR="006C7B86">
        <w:rPr>
          <w:rFonts w:asciiTheme="majorHAnsi" w:hAnsiTheme="majorHAnsi" w:cs="Times New Roman"/>
          <w:lang w:val="en-US"/>
        </w:rPr>
        <w:t xml:space="preserve"> </w:t>
      </w:r>
      <w:r w:rsidR="00F06063" w:rsidRPr="008B61C3">
        <w:rPr>
          <w:rFonts w:asciiTheme="majorHAnsi" w:hAnsiTheme="majorHAnsi" w:cs="Times New Roman"/>
          <w:lang w:val="en-US"/>
        </w:rPr>
        <w:t>Hence</w:t>
      </w:r>
      <w:r w:rsidR="00BD6113" w:rsidRPr="008B61C3">
        <w:rPr>
          <w:rFonts w:asciiTheme="majorHAnsi" w:hAnsiTheme="majorHAnsi" w:cs="Times New Roman"/>
          <w:lang w:val="en-US"/>
        </w:rPr>
        <w:t>,</w:t>
      </w:r>
      <w:r w:rsidR="00F06063" w:rsidRPr="008B61C3">
        <w:rPr>
          <w:rFonts w:asciiTheme="majorHAnsi" w:hAnsiTheme="majorHAnsi" w:cs="Times New Roman"/>
          <w:lang w:val="en-US"/>
        </w:rPr>
        <w:t xml:space="preserve"> </w:t>
      </w:r>
      <w:r>
        <w:rPr>
          <w:rFonts w:asciiTheme="majorHAnsi" w:hAnsiTheme="majorHAnsi" w:cs="Times New Roman"/>
          <w:lang w:val="en-US"/>
        </w:rPr>
        <w:t>development in many therapy areas relies on conduct of</w:t>
      </w:r>
      <w:r w:rsidR="00F06063" w:rsidRPr="008B61C3">
        <w:rPr>
          <w:rFonts w:asciiTheme="majorHAnsi" w:hAnsiTheme="majorHAnsi" w:cs="Times New Roman"/>
          <w:lang w:val="en-US"/>
        </w:rPr>
        <w:t xml:space="preserve"> a second clinical trial </w:t>
      </w:r>
      <w:r w:rsidR="00D94741" w:rsidRPr="008B61C3">
        <w:rPr>
          <w:rFonts w:asciiTheme="majorHAnsi" w:hAnsiTheme="majorHAnsi" w:cs="Times New Roman"/>
          <w:lang w:val="en-US"/>
        </w:rPr>
        <w:t xml:space="preserve">that </w:t>
      </w:r>
      <w:r w:rsidRPr="008B61C3">
        <w:rPr>
          <w:rFonts w:asciiTheme="majorHAnsi" w:hAnsiTheme="majorHAnsi" w:cs="Times New Roman"/>
          <w:lang w:val="en-US"/>
        </w:rPr>
        <w:t>provide</w:t>
      </w:r>
      <w:r>
        <w:rPr>
          <w:rFonts w:asciiTheme="majorHAnsi" w:hAnsiTheme="majorHAnsi" w:cs="Times New Roman"/>
          <w:lang w:val="en-US"/>
        </w:rPr>
        <w:t>s</w:t>
      </w:r>
      <w:r w:rsidRPr="008B61C3">
        <w:rPr>
          <w:rFonts w:asciiTheme="majorHAnsi" w:hAnsiTheme="majorHAnsi" w:cs="Times New Roman"/>
          <w:lang w:val="en-US"/>
        </w:rPr>
        <w:t xml:space="preserve"> </w:t>
      </w:r>
      <w:r w:rsidR="00BD6113" w:rsidRPr="008B61C3">
        <w:rPr>
          <w:rFonts w:asciiTheme="majorHAnsi" w:hAnsiTheme="majorHAnsi" w:cs="Times New Roman"/>
          <w:lang w:val="en-US"/>
        </w:rPr>
        <w:t>empirical confirmation of drug effect</w:t>
      </w:r>
      <w:r w:rsidR="007074E6" w:rsidRPr="008B61C3">
        <w:rPr>
          <w:rFonts w:asciiTheme="majorHAnsi" w:hAnsiTheme="majorHAnsi" w:cs="Times New Roman"/>
          <w:lang w:val="en-US"/>
        </w:rPr>
        <w:t>.</w:t>
      </w:r>
      <w:r w:rsidR="006C7B86">
        <w:rPr>
          <w:rFonts w:asciiTheme="majorHAnsi" w:hAnsiTheme="majorHAnsi" w:cs="Times New Roman"/>
          <w:lang w:val="en-US"/>
        </w:rPr>
        <w:t xml:space="preserve"> </w:t>
      </w:r>
      <w:r w:rsidR="00120E55" w:rsidRPr="008B61C3">
        <w:rPr>
          <w:rFonts w:asciiTheme="majorHAnsi" w:hAnsiTheme="majorHAnsi" w:cs="Times New Roman"/>
          <w:lang w:val="en-US"/>
        </w:rPr>
        <w:t>In effect, t</w:t>
      </w:r>
      <w:r w:rsidR="007074E6" w:rsidRPr="008B61C3">
        <w:rPr>
          <w:rFonts w:asciiTheme="majorHAnsi" w:hAnsiTheme="majorHAnsi" w:cs="Times New Roman"/>
          <w:lang w:val="en-US"/>
        </w:rPr>
        <w:t>he second trial</w:t>
      </w:r>
      <w:r w:rsidR="00BD6113" w:rsidRPr="008B61C3">
        <w:rPr>
          <w:rFonts w:asciiTheme="majorHAnsi" w:hAnsiTheme="majorHAnsi" w:cs="Times New Roman"/>
          <w:lang w:val="en-US"/>
        </w:rPr>
        <w:t xml:space="preserve"> </w:t>
      </w:r>
      <w:proofErr w:type="spellStart"/>
      <w:r w:rsidR="00307E76">
        <w:rPr>
          <w:rFonts w:asciiTheme="majorHAnsi" w:hAnsiTheme="majorHAnsi" w:cs="Times New Roman"/>
          <w:lang w:val="en-US"/>
        </w:rPr>
        <w:t>minimis</w:t>
      </w:r>
      <w:r w:rsidRPr="008B61C3">
        <w:rPr>
          <w:rFonts w:asciiTheme="majorHAnsi" w:hAnsiTheme="majorHAnsi" w:cs="Times New Roman"/>
          <w:lang w:val="en-US"/>
        </w:rPr>
        <w:t>e</w:t>
      </w:r>
      <w:r>
        <w:rPr>
          <w:rFonts w:asciiTheme="majorHAnsi" w:hAnsiTheme="majorHAnsi" w:cs="Times New Roman"/>
          <w:lang w:val="en-US"/>
        </w:rPr>
        <w:t>s</w:t>
      </w:r>
      <w:proofErr w:type="spellEnd"/>
      <w:r w:rsidRPr="008B61C3">
        <w:rPr>
          <w:rFonts w:asciiTheme="majorHAnsi" w:hAnsiTheme="majorHAnsi" w:cs="Times New Roman"/>
          <w:lang w:val="en-US"/>
        </w:rPr>
        <w:t xml:space="preserve"> </w:t>
      </w:r>
      <w:r w:rsidR="008018BF" w:rsidRPr="008B61C3">
        <w:rPr>
          <w:rFonts w:asciiTheme="majorHAnsi" w:hAnsiTheme="majorHAnsi" w:cs="Times New Roman"/>
          <w:lang w:val="en-US"/>
        </w:rPr>
        <w:t>the</w:t>
      </w:r>
      <w:r w:rsidR="00D94741" w:rsidRPr="008B61C3">
        <w:rPr>
          <w:rFonts w:asciiTheme="majorHAnsi" w:hAnsiTheme="majorHAnsi" w:cs="Times New Roman"/>
          <w:lang w:val="en-US"/>
        </w:rPr>
        <w:t xml:space="preserve"> </w:t>
      </w:r>
      <w:r w:rsidR="007074E6" w:rsidRPr="008B61C3">
        <w:rPr>
          <w:rFonts w:asciiTheme="majorHAnsi" w:hAnsiTheme="majorHAnsi" w:cs="Times New Roman"/>
          <w:lang w:val="en-US"/>
        </w:rPr>
        <w:t>probability</w:t>
      </w:r>
      <w:r w:rsidR="00D94741" w:rsidRPr="008B61C3">
        <w:rPr>
          <w:rFonts w:asciiTheme="majorHAnsi" w:hAnsiTheme="majorHAnsi" w:cs="Times New Roman"/>
          <w:lang w:val="en-US"/>
        </w:rPr>
        <w:t xml:space="preserve"> that</w:t>
      </w:r>
      <w:r w:rsidR="00BD6113" w:rsidRPr="008B61C3">
        <w:rPr>
          <w:rFonts w:asciiTheme="majorHAnsi" w:hAnsiTheme="majorHAnsi" w:cs="Times New Roman"/>
          <w:lang w:val="en-US"/>
        </w:rPr>
        <w:t xml:space="preserve"> the </w:t>
      </w:r>
      <w:r w:rsidR="007074E6" w:rsidRPr="008B61C3">
        <w:rPr>
          <w:rFonts w:asciiTheme="majorHAnsi" w:hAnsiTheme="majorHAnsi" w:cs="Times New Roman"/>
          <w:lang w:val="en-US"/>
        </w:rPr>
        <w:t xml:space="preserve">effect observed in the first trial </w:t>
      </w:r>
      <w:r w:rsidR="008018BF" w:rsidRPr="008B61C3">
        <w:rPr>
          <w:rFonts w:asciiTheme="majorHAnsi" w:hAnsiTheme="majorHAnsi" w:cs="Times New Roman"/>
          <w:lang w:val="en-US"/>
        </w:rPr>
        <w:t>ha</w:t>
      </w:r>
      <w:r w:rsidR="0053711C" w:rsidRPr="008B61C3">
        <w:rPr>
          <w:rFonts w:asciiTheme="majorHAnsi" w:hAnsiTheme="majorHAnsi" w:cs="Times New Roman"/>
          <w:lang w:val="en-US"/>
        </w:rPr>
        <w:t>d</w:t>
      </w:r>
      <w:r w:rsidR="00BD6113" w:rsidRPr="008B61C3">
        <w:rPr>
          <w:rFonts w:asciiTheme="majorHAnsi" w:hAnsiTheme="majorHAnsi" w:cs="Times New Roman"/>
          <w:lang w:val="en-US"/>
        </w:rPr>
        <w:t xml:space="preserve"> merely arise</w:t>
      </w:r>
      <w:r w:rsidR="008018BF" w:rsidRPr="008B61C3">
        <w:rPr>
          <w:rFonts w:asciiTheme="majorHAnsi" w:hAnsiTheme="majorHAnsi" w:cs="Times New Roman"/>
          <w:lang w:val="en-US"/>
        </w:rPr>
        <w:t>n</w:t>
      </w:r>
      <w:r w:rsidR="00BD6113" w:rsidRPr="008B61C3">
        <w:rPr>
          <w:rFonts w:asciiTheme="majorHAnsi" w:hAnsiTheme="majorHAnsi" w:cs="Times New Roman"/>
          <w:lang w:val="en-US"/>
        </w:rPr>
        <w:t xml:space="preserve"> by chance</w:t>
      </w:r>
      <w:r w:rsidR="008B61C3">
        <w:rPr>
          <w:rFonts w:asciiTheme="majorHAnsi" w:hAnsiTheme="majorHAnsi" w:cs="Times New Roman"/>
          <w:lang w:val="en-US"/>
        </w:rPr>
        <w:t xml:space="preserve"> and was independent of any drug action</w:t>
      </w:r>
      <w:r w:rsidR="00BD6113" w:rsidRPr="008B61C3">
        <w:rPr>
          <w:rFonts w:asciiTheme="majorHAnsi" w:hAnsiTheme="majorHAnsi" w:cs="Times New Roman"/>
          <w:lang w:val="en-US"/>
        </w:rPr>
        <w:t>.</w:t>
      </w:r>
      <w:r w:rsidR="006C7B86">
        <w:rPr>
          <w:rFonts w:asciiTheme="majorHAnsi" w:hAnsiTheme="majorHAnsi" w:cs="Times New Roman"/>
          <w:lang w:val="en-US"/>
        </w:rPr>
        <w:t xml:space="preserve"> </w:t>
      </w:r>
    </w:p>
    <w:p w14:paraId="35C6E9F1" w14:textId="523B98A9" w:rsidR="00A15901" w:rsidRPr="00CA3A33" w:rsidRDefault="00BA449B" w:rsidP="007A2846">
      <w:pPr>
        <w:widowControl w:val="0"/>
        <w:autoSpaceDE w:val="0"/>
        <w:autoSpaceDN w:val="0"/>
        <w:adjustRightInd w:val="0"/>
        <w:spacing w:line="276" w:lineRule="auto"/>
        <w:ind w:firstLine="720"/>
        <w:rPr>
          <w:rFonts w:asciiTheme="majorHAnsi" w:hAnsiTheme="majorHAnsi" w:cs="Times New Roman"/>
          <w:lang w:val="en-US"/>
        </w:rPr>
      </w:pPr>
      <w:r>
        <w:rPr>
          <w:rFonts w:asciiTheme="majorHAnsi" w:hAnsiTheme="majorHAnsi" w:cs="Times New Roman"/>
          <w:lang w:val="en-US"/>
        </w:rPr>
        <w:t xml:space="preserve">In other settings, </w:t>
      </w:r>
      <w:r w:rsidR="00776ADF" w:rsidRPr="008B61C3">
        <w:rPr>
          <w:rFonts w:asciiTheme="majorHAnsi" w:hAnsiTheme="majorHAnsi" w:cs="Times New Roman"/>
          <w:lang w:val="en-US"/>
        </w:rPr>
        <w:t xml:space="preserve">Peck </w:t>
      </w:r>
      <w:r w:rsidR="00776ADF" w:rsidRPr="0073162B">
        <w:rPr>
          <w:rFonts w:asciiTheme="majorHAnsi" w:hAnsiTheme="majorHAnsi" w:cs="Times New Roman"/>
          <w:i/>
          <w:lang w:val="en-US"/>
        </w:rPr>
        <w:t>et al</w:t>
      </w:r>
      <w:r w:rsidR="004D32CF">
        <w:rPr>
          <w:rFonts w:asciiTheme="majorHAnsi" w:hAnsiTheme="majorHAnsi" w:cs="Times New Roman"/>
          <w:lang w:val="en-US"/>
        </w:rPr>
        <w:fldChar w:fldCharType="begin" w:fldLock="1"/>
      </w:r>
      <w:r w:rsidR="000B0889">
        <w:rPr>
          <w:rFonts w:asciiTheme="majorHAnsi" w:hAnsiTheme="majorHAnsi" w:cs="Times New Roman"/>
          <w:lang w:val="en-US"/>
        </w:rPr>
        <w:instrText>ADDIN CSL_CITATION { "citationItems" : [ { "id" : "ITEM-1", "itemData" : { "DOI" : "10.1016/S0009-9236(03)00018-3", "author" : [ { "dropping-particle" : "", "family" : "Peck", "given" : "Carl C", "non-dropping-particle" : "", "parse-names" : false, "suffix" : "" }, { "dropping-particle" : "", "family" : "Rubin", "given" : "Donald B", "non-dropping-particle" : "", "parse-names" : false, "suffix" : "" }, { "dropping-particle" : "", "family" : "Sheiner", "given" : "Lewis B", "non-dropping-particle" : "", "parse-names" : false, "suffix" : "" } ], "container-title" : "Clin Pharmacol Ther", "id" : "ITEM-1", "issue" : "6", "issued" : { "date-parts" : [ [ "2003" ] ] }, "page" : "481-490", "title" : "Hypothesis: a single clinical trial plus causal evidence of effectiveness is sufficient for drug approval.", "type" : "article-journal", "volume" : "73" }, "uris" : [ "http://www.mendeley.com/documents/?uuid=90aa5b50-aa14-47eb-83f7-b59d0742d3e8" ] } ], "mendeley" : { "formattedCitation" : "&lt;sup&gt;2&lt;/sup&gt;", "plainTextFormattedCitation" : "2", "previouslyFormattedCitation" : "&lt;sup&gt;2&lt;/sup&gt;"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A511D3" w:rsidRPr="00A511D3">
        <w:rPr>
          <w:rFonts w:asciiTheme="majorHAnsi" w:hAnsiTheme="majorHAnsi" w:cs="Times New Roman"/>
          <w:noProof/>
          <w:vertAlign w:val="superscript"/>
          <w:lang w:val="en-US"/>
        </w:rPr>
        <w:t>2</w:t>
      </w:r>
      <w:r w:rsidR="004D32CF">
        <w:rPr>
          <w:rFonts w:asciiTheme="majorHAnsi" w:hAnsiTheme="majorHAnsi" w:cs="Times New Roman"/>
          <w:lang w:val="en-US"/>
        </w:rPr>
        <w:fldChar w:fldCharType="end"/>
      </w:r>
      <w:r w:rsidR="0005159D">
        <w:rPr>
          <w:rFonts w:asciiTheme="majorHAnsi" w:hAnsiTheme="majorHAnsi" w:cs="Times New Roman"/>
          <w:lang w:val="en-US"/>
        </w:rPr>
        <w:t xml:space="preserve"> </w:t>
      </w:r>
      <w:r w:rsidR="002F440E" w:rsidRPr="008B61C3">
        <w:rPr>
          <w:rFonts w:asciiTheme="majorHAnsi" w:hAnsiTheme="majorHAnsi" w:cs="Times New Roman"/>
          <w:lang w:val="en-US"/>
        </w:rPr>
        <w:t>suggest</w:t>
      </w:r>
      <w:r w:rsidR="00776ADF" w:rsidRPr="008B61C3">
        <w:rPr>
          <w:rFonts w:asciiTheme="majorHAnsi" w:hAnsiTheme="majorHAnsi" w:cs="Times New Roman"/>
          <w:lang w:val="en-US"/>
        </w:rPr>
        <w:t xml:space="preserve"> that </w:t>
      </w:r>
      <w:r w:rsidR="00A15901" w:rsidRPr="008B61C3">
        <w:rPr>
          <w:rFonts w:asciiTheme="majorHAnsi" w:hAnsiTheme="majorHAnsi" w:cs="Times New Roman"/>
          <w:lang w:val="en-US"/>
        </w:rPr>
        <w:t>evidence</w:t>
      </w:r>
      <w:r w:rsidR="00776ADF" w:rsidRPr="008B61C3">
        <w:rPr>
          <w:rFonts w:asciiTheme="majorHAnsi" w:hAnsiTheme="majorHAnsi" w:cs="Times New Roman"/>
          <w:lang w:val="en-US"/>
        </w:rPr>
        <w:t xml:space="preserve"> for causality can be derived </w:t>
      </w:r>
      <w:r w:rsidR="00A15901" w:rsidRPr="008B61C3">
        <w:rPr>
          <w:rFonts w:asciiTheme="majorHAnsi" w:hAnsiTheme="majorHAnsi" w:cs="Times New Roman"/>
          <w:lang w:val="en-US"/>
        </w:rPr>
        <w:t>using more rational, efficient, and informative approaches</w:t>
      </w:r>
      <w:r w:rsidR="002F440E" w:rsidRPr="008B61C3">
        <w:rPr>
          <w:rFonts w:asciiTheme="majorHAnsi" w:hAnsiTheme="majorHAnsi" w:cs="Times New Roman"/>
          <w:lang w:val="en-US"/>
        </w:rPr>
        <w:t xml:space="preserve"> than </w:t>
      </w:r>
      <w:r w:rsidR="00433380" w:rsidRPr="008B61C3">
        <w:rPr>
          <w:rFonts w:asciiTheme="majorHAnsi" w:hAnsiTheme="majorHAnsi" w:cs="Times New Roman"/>
          <w:lang w:val="en-US"/>
        </w:rPr>
        <w:t xml:space="preserve">conducting </w:t>
      </w:r>
      <w:r w:rsidR="003328E9" w:rsidRPr="008B61C3">
        <w:rPr>
          <w:rFonts w:asciiTheme="majorHAnsi" w:hAnsiTheme="majorHAnsi" w:cs="Times New Roman"/>
          <w:lang w:val="en-US"/>
        </w:rPr>
        <w:t xml:space="preserve">repetitive </w:t>
      </w:r>
      <w:r w:rsidR="00433380" w:rsidRPr="008B61C3">
        <w:rPr>
          <w:rFonts w:asciiTheme="majorHAnsi" w:hAnsiTheme="majorHAnsi" w:cs="Times New Roman"/>
          <w:lang w:val="en-US"/>
        </w:rPr>
        <w:t>costly clinical trials</w:t>
      </w:r>
      <w:r w:rsidR="00A5067D" w:rsidRPr="008B61C3">
        <w:rPr>
          <w:rFonts w:asciiTheme="majorHAnsi" w:hAnsiTheme="majorHAnsi" w:cs="Times New Roman"/>
          <w:lang w:val="en-US"/>
        </w:rPr>
        <w:t>.</w:t>
      </w:r>
      <w:r w:rsidR="006C7B86">
        <w:rPr>
          <w:rFonts w:asciiTheme="majorHAnsi" w:hAnsiTheme="majorHAnsi" w:cs="Times New Roman"/>
          <w:lang w:val="en-US"/>
        </w:rPr>
        <w:t xml:space="preserve"> </w:t>
      </w:r>
      <w:r>
        <w:rPr>
          <w:rFonts w:asciiTheme="majorHAnsi" w:hAnsiTheme="majorHAnsi" w:cs="Times New Roman"/>
          <w:lang w:val="en-US"/>
        </w:rPr>
        <w:t>In the particular case of a</w:t>
      </w:r>
      <w:r w:rsidRPr="008B61C3">
        <w:rPr>
          <w:rFonts w:asciiTheme="majorHAnsi" w:hAnsiTheme="majorHAnsi" w:cs="Times New Roman"/>
          <w:lang w:val="en-US"/>
        </w:rPr>
        <w:t xml:space="preserve">ntimicrobial </w:t>
      </w:r>
      <w:r>
        <w:rPr>
          <w:rFonts w:asciiTheme="majorHAnsi" w:hAnsiTheme="majorHAnsi" w:cs="Times New Roman"/>
          <w:lang w:val="en-US"/>
        </w:rPr>
        <w:t xml:space="preserve">agent development, </w:t>
      </w:r>
      <w:r w:rsidR="00A5067D" w:rsidRPr="008B61C3">
        <w:rPr>
          <w:rFonts w:asciiTheme="majorHAnsi" w:hAnsiTheme="majorHAnsi" w:cs="Times New Roman"/>
          <w:lang w:val="en-US"/>
        </w:rPr>
        <w:t xml:space="preserve">PK-PD </w:t>
      </w:r>
      <w:r w:rsidR="00A800E2" w:rsidRPr="008B61C3">
        <w:rPr>
          <w:rFonts w:asciiTheme="majorHAnsi" w:hAnsiTheme="majorHAnsi" w:cs="Times New Roman"/>
          <w:lang w:val="en-US"/>
        </w:rPr>
        <w:t xml:space="preserve">provides evidence of causality </w:t>
      </w:r>
      <w:r w:rsidR="00946E86" w:rsidRPr="008B61C3">
        <w:rPr>
          <w:rFonts w:asciiTheme="majorHAnsi" w:hAnsiTheme="majorHAnsi" w:cs="Times New Roman"/>
          <w:lang w:val="en-US"/>
        </w:rPr>
        <w:t>by providing the linkage between administration of the drug (dosage)</w:t>
      </w:r>
      <w:r w:rsidR="00120E55" w:rsidRPr="008B61C3">
        <w:rPr>
          <w:rFonts w:asciiTheme="majorHAnsi" w:hAnsiTheme="majorHAnsi" w:cs="Times New Roman"/>
          <w:lang w:val="en-US"/>
        </w:rPr>
        <w:t>, concentrations at various sites within the body</w:t>
      </w:r>
      <w:r w:rsidR="00946E86" w:rsidRPr="008B61C3">
        <w:rPr>
          <w:rFonts w:asciiTheme="majorHAnsi" w:hAnsiTheme="majorHAnsi" w:cs="Times New Roman"/>
          <w:lang w:val="en-US"/>
        </w:rPr>
        <w:t xml:space="preserve"> and </w:t>
      </w:r>
      <w:r w:rsidR="00120E55" w:rsidRPr="00CA3A33">
        <w:rPr>
          <w:rFonts w:asciiTheme="majorHAnsi" w:hAnsiTheme="majorHAnsi" w:cs="Times New Roman"/>
          <w:lang w:val="en-US"/>
        </w:rPr>
        <w:t xml:space="preserve">the </w:t>
      </w:r>
      <w:r w:rsidR="00946E86" w:rsidRPr="00CA3A33">
        <w:rPr>
          <w:rFonts w:asciiTheme="majorHAnsi" w:hAnsiTheme="majorHAnsi" w:cs="Times New Roman"/>
          <w:lang w:val="en-US"/>
        </w:rPr>
        <w:t>ultimate clinical effect(s)</w:t>
      </w:r>
      <w:r w:rsidR="000471F9" w:rsidRPr="00CA3A33">
        <w:rPr>
          <w:rFonts w:asciiTheme="majorHAnsi" w:hAnsiTheme="majorHAnsi" w:cs="Times New Roman"/>
          <w:lang w:val="en-US"/>
        </w:rPr>
        <w:t xml:space="preserve"> (e.g. clinical cure, survival)</w:t>
      </w:r>
      <w:r w:rsidR="00A15901" w:rsidRPr="00CA3A33">
        <w:rPr>
          <w:rFonts w:asciiTheme="majorHAnsi" w:hAnsiTheme="majorHAnsi" w:cs="Times New Roman"/>
          <w:lang w:val="en-US"/>
        </w:rPr>
        <w:t>.</w:t>
      </w:r>
      <w:r w:rsidR="006C7B86">
        <w:rPr>
          <w:rFonts w:asciiTheme="majorHAnsi" w:hAnsiTheme="majorHAnsi" w:cs="Times New Roman"/>
          <w:lang w:val="en-US"/>
        </w:rPr>
        <w:t xml:space="preserve"> </w:t>
      </w:r>
      <w:r w:rsidR="00E56CC8">
        <w:rPr>
          <w:rFonts w:asciiTheme="majorHAnsi" w:hAnsiTheme="majorHAnsi" w:cs="Times New Roman"/>
          <w:lang w:val="en-US"/>
        </w:rPr>
        <w:t xml:space="preserve"> An un</w:t>
      </w:r>
      <w:r w:rsidR="0099268A">
        <w:rPr>
          <w:rFonts w:asciiTheme="majorHAnsi" w:hAnsiTheme="majorHAnsi" w:cs="Times New Roman"/>
          <w:lang w:val="en-US"/>
        </w:rPr>
        <w:t>derstanding of exposure-</w:t>
      </w:r>
      <w:r w:rsidR="00E56CC8">
        <w:rPr>
          <w:rFonts w:asciiTheme="majorHAnsi" w:hAnsiTheme="majorHAnsi" w:cs="Times New Roman"/>
          <w:lang w:val="en-US"/>
        </w:rPr>
        <w:t xml:space="preserve">response relationships enables the </w:t>
      </w:r>
      <w:r w:rsidR="009D7691">
        <w:rPr>
          <w:rFonts w:asciiTheme="majorHAnsi" w:hAnsiTheme="majorHAnsi" w:cs="Times New Roman"/>
          <w:lang w:val="en-US"/>
        </w:rPr>
        <w:t xml:space="preserve">design of </w:t>
      </w:r>
      <w:r w:rsidR="00DC79BF">
        <w:rPr>
          <w:rFonts w:asciiTheme="majorHAnsi" w:hAnsiTheme="majorHAnsi" w:cs="Times New Roman"/>
          <w:lang w:val="en-US"/>
        </w:rPr>
        <w:t xml:space="preserve">validation experiments that </w:t>
      </w:r>
      <w:r w:rsidR="00AA4E7D">
        <w:rPr>
          <w:rFonts w:asciiTheme="majorHAnsi" w:hAnsiTheme="majorHAnsi" w:cs="Times New Roman"/>
          <w:lang w:val="en-US"/>
        </w:rPr>
        <w:t xml:space="preserve">can be performed </w:t>
      </w:r>
      <w:r w:rsidR="002D7F12">
        <w:rPr>
          <w:rFonts w:asciiTheme="majorHAnsi" w:hAnsiTheme="majorHAnsi" w:cs="Times New Roman"/>
          <w:lang w:val="en-US"/>
        </w:rPr>
        <w:t>prospectively, which enable</w:t>
      </w:r>
      <w:r w:rsidR="00DC79BF">
        <w:rPr>
          <w:rFonts w:asciiTheme="majorHAnsi" w:hAnsiTheme="majorHAnsi" w:cs="Times New Roman"/>
          <w:lang w:val="en-US"/>
        </w:rPr>
        <w:t xml:space="preserve"> drug development </w:t>
      </w:r>
      <w:r w:rsidR="002D7F12">
        <w:rPr>
          <w:rFonts w:asciiTheme="majorHAnsi" w:hAnsiTheme="majorHAnsi" w:cs="Times New Roman"/>
          <w:lang w:val="en-US"/>
        </w:rPr>
        <w:t>to</w:t>
      </w:r>
      <w:r w:rsidR="00DC79BF">
        <w:rPr>
          <w:rFonts w:asciiTheme="majorHAnsi" w:hAnsiTheme="majorHAnsi" w:cs="Times New Roman"/>
          <w:lang w:val="en-US"/>
        </w:rPr>
        <w:t xml:space="preserve"> </w:t>
      </w:r>
      <w:r w:rsidR="002D7F12">
        <w:rPr>
          <w:rFonts w:asciiTheme="majorHAnsi" w:hAnsiTheme="majorHAnsi" w:cs="Times New Roman"/>
          <w:lang w:val="en-US"/>
        </w:rPr>
        <w:t>proceed</w:t>
      </w:r>
      <w:r w:rsidR="00DC79BF">
        <w:rPr>
          <w:rFonts w:asciiTheme="majorHAnsi" w:hAnsiTheme="majorHAnsi" w:cs="Times New Roman"/>
          <w:lang w:val="en-US"/>
        </w:rPr>
        <w:t xml:space="preserve"> on a rational </w:t>
      </w:r>
      <w:r w:rsidR="000C45CC">
        <w:rPr>
          <w:rFonts w:asciiTheme="majorHAnsi" w:hAnsiTheme="majorHAnsi" w:cs="Times New Roman"/>
          <w:lang w:val="en-US"/>
        </w:rPr>
        <w:t>basis.</w:t>
      </w:r>
      <w:r w:rsidR="009D7691">
        <w:rPr>
          <w:rFonts w:asciiTheme="majorHAnsi" w:hAnsiTheme="majorHAnsi" w:cs="Times New Roman"/>
          <w:lang w:val="en-US"/>
        </w:rPr>
        <w:t xml:space="preserve"> </w:t>
      </w:r>
    </w:p>
    <w:p w14:paraId="2B09987F" w14:textId="235BE22D" w:rsidR="00E308E8" w:rsidRDefault="00A15901" w:rsidP="007A2846">
      <w:pPr>
        <w:widowControl w:val="0"/>
        <w:autoSpaceDE w:val="0"/>
        <w:autoSpaceDN w:val="0"/>
        <w:adjustRightInd w:val="0"/>
        <w:spacing w:line="276" w:lineRule="auto"/>
        <w:rPr>
          <w:rFonts w:asciiTheme="majorHAnsi" w:hAnsiTheme="majorHAnsi" w:cs="Times New Roman"/>
          <w:lang w:val="en-US"/>
        </w:rPr>
      </w:pPr>
      <w:r w:rsidRPr="00CA3A33">
        <w:rPr>
          <w:rFonts w:asciiTheme="majorHAnsi" w:hAnsiTheme="majorHAnsi" w:cs="Times New Roman"/>
          <w:lang w:val="en-US"/>
        </w:rPr>
        <w:tab/>
      </w:r>
      <w:r w:rsidR="00CA3A33">
        <w:rPr>
          <w:rFonts w:asciiTheme="majorHAnsi" w:hAnsiTheme="majorHAnsi" w:cs="Times New Roman"/>
          <w:lang w:val="en-US"/>
        </w:rPr>
        <w:t>In an era of progressively rising antimicrobial resistance</w:t>
      </w:r>
      <w:r w:rsidR="00527CEF">
        <w:rPr>
          <w:rFonts w:asciiTheme="majorHAnsi" w:hAnsiTheme="majorHAnsi" w:cs="Times New Roman"/>
          <w:lang w:val="en-US"/>
        </w:rPr>
        <w:t xml:space="preserve"> and changing epidemiology</w:t>
      </w:r>
      <w:r w:rsidR="00CA3A33">
        <w:rPr>
          <w:rFonts w:asciiTheme="majorHAnsi" w:hAnsiTheme="majorHAnsi" w:cs="Times New Roman"/>
          <w:lang w:val="en-US"/>
        </w:rPr>
        <w:t>, t</w:t>
      </w:r>
      <w:r w:rsidR="00CA3A33" w:rsidRPr="00CA3A33">
        <w:rPr>
          <w:rFonts w:asciiTheme="majorHAnsi" w:hAnsiTheme="majorHAnsi" w:cs="Times New Roman"/>
          <w:lang w:val="en-US"/>
        </w:rPr>
        <w:t xml:space="preserve">here </w:t>
      </w:r>
      <w:r w:rsidR="008018BF" w:rsidRPr="00CA3A33">
        <w:rPr>
          <w:rFonts w:asciiTheme="majorHAnsi" w:hAnsiTheme="majorHAnsi" w:cs="Times New Roman"/>
          <w:lang w:val="en-US"/>
        </w:rPr>
        <w:t>are increasing examples where it is simply infeasible to conduct a</w:t>
      </w:r>
      <w:r w:rsidR="001D6CB2">
        <w:rPr>
          <w:rFonts w:asciiTheme="majorHAnsi" w:hAnsiTheme="majorHAnsi" w:cs="Times New Roman"/>
          <w:lang w:val="en-US"/>
        </w:rPr>
        <w:t>ny</w:t>
      </w:r>
      <w:r w:rsidR="008018BF" w:rsidRPr="00CA3A33">
        <w:rPr>
          <w:rFonts w:asciiTheme="majorHAnsi" w:hAnsiTheme="majorHAnsi" w:cs="Times New Roman"/>
          <w:lang w:val="en-US"/>
        </w:rPr>
        <w:t xml:space="preserve"> </w:t>
      </w:r>
      <w:r w:rsidR="003328E9" w:rsidRPr="00CA3A33">
        <w:rPr>
          <w:rFonts w:asciiTheme="majorHAnsi" w:hAnsiTheme="majorHAnsi" w:cs="Times New Roman"/>
          <w:lang w:val="en-US"/>
        </w:rPr>
        <w:t xml:space="preserve">randomized comparative </w:t>
      </w:r>
      <w:r w:rsidR="008018BF" w:rsidRPr="00CA3A33">
        <w:rPr>
          <w:rFonts w:asciiTheme="majorHAnsi" w:hAnsiTheme="majorHAnsi" w:cs="Times New Roman"/>
          <w:lang w:val="en-US"/>
        </w:rPr>
        <w:t>phase II</w:t>
      </w:r>
      <w:r w:rsidR="004D359E" w:rsidRPr="00CA3A33">
        <w:rPr>
          <w:rFonts w:asciiTheme="majorHAnsi" w:hAnsiTheme="majorHAnsi" w:cs="Times New Roman"/>
          <w:lang w:val="en-US"/>
        </w:rPr>
        <w:t xml:space="preserve"> or III clinical trial</w:t>
      </w:r>
      <w:r w:rsidR="0014720F">
        <w:rPr>
          <w:rFonts w:asciiTheme="majorHAnsi" w:hAnsiTheme="majorHAnsi" w:cs="Times New Roman"/>
          <w:lang w:val="en-US"/>
        </w:rPr>
        <w:t>s</w:t>
      </w:r>
      <w:r w:rsidR="004D359E" w:rsidRPr="00CA3A33">
        <w:rPr>
          <w:rFonts w:asciiTheme="majorHAnsi" w:hAnsiTheme="majorHAnsi" w:cs="Times New Roman"/>
          <w:lang w:val="en-US"/>
        </w:rPr>
        <w:t>.</w:t>
      </w:r>
      <w:r w:rsidR="006C7B86">
        <w:rPr>
          <w:rFonts w:asciiTheme="majorHAnsi" w:hAnsiTheme="majorHAnsi" w:cs="Times New Roman"/>
          <w:lang w:val="en-US"/>
        </w:rPr>
        <w:t xml:space="preserve"> </w:t>
      </w:r>
      <w:r w:rsidR="00CA2EB6" w:rsidRPr="00CA3A33">
        <w:rPr>
          <w:rFonts w:asciiTheme="majorHAnsi" w:hAnsiTheme="majorHAnsi" w:cs="Times New Roman"/>
          <w:lang w:val="en-US"/>
        </w:rPr>
        <w:t xml:space="preserve">Examples may include </w:t>
      </w:r>
      <w:r w:rsidR="00433380" w:rsidRPr="00CA3A33">
        <w:rPr>
          <w:rFonts w:asciiTheme="majorHAnsi" w:hAnsiTheme="majorHAnsi" w:cs="Times New Roman"/>
          <w:lang w:val="en-US"/>
        </w:rPr>
        <w:t>diseases caused</w:t>
      </w:r>
      <w:r w:rsidR="00CA2EB6" w:rsidRPr="00CA3A33">
        <w:rPr>
          <w:rFonts w:asciiTheme="majorHAnsi" w:hAnsiTheme="majorHAnsi" w:cs="Times New Roman"/>
          <w:lang w:val="en-US"/>
        </w:rPr>
        <w:t xml:space="preserve"> </w:t>
      </w:r>
      <w:r w:rsidR="00433380" w:rsidRPr="00CA3A33">
        <w:rPr>
          <w:rFonts w:asciiTheme="majorHAnsi" w:hAnsiTheme="majorHAnsi" w:cs="Times New Roman"/>
          <w:lang w:val="en-US"/>
        </w:rPr>
        <w:t>by</w:t>
      </w:r>
      <w:r w:rsidR="00CA2EB6" w:rsidRPr="00CA3A33">
        <w:rPr>
          <w:rFonts w:asciiTheme="majorHAnsi" w:hAnsiTheme="majorHAnsi" w:cs="Times New Roman"/>
          <w:lang w:val="en-US"/>
        </w:rPr>
        <w:t xml:space="preserve"> a rare fungus such as </w:t>
      </w:r>
      <w:proofErr w:type="spellStart"/>
      <w:r w:rsidR="00BA19CA" w:rsidRPr="00CA3A33">
        <w:rPr>
          <w:rFonts w:asciiTheme="majorHAnsi" w:hAnsiTheme="majorHAnsi" w:cs="Times New Roman"/>
          <w:i/>
          <w:lang w:val="en-US"/>
        </w:rPr>
        <w:t>Fusarium</w:t>
      </w:r>
      <w:proofErr w:type="spellEnd"/>
      <w:r w:rsidR="00120E55" w:rsidRPr="00CA3A33">
        <w:rPr>
          <w:rFonts w:asciiTheme="majorHAnsi" w:hAnsiTheme="majorHAnsi" w:cs="Times New Roman"/>
          <w:i/>
          <w:lang w:val="en-US"/>
        </w:rPr>
        <w:t xml:space="preserve"> </w:t>
      </w:r>
      <w:r w:rsidR="00120E55" w:rsidRPr="00CA3A33">
        <w:rPr>
          <w:rFonts w:asciiTheme="majorHAnsi" w:hAnsiTheme="majorHAnsi" w:cs="Times New Roman"/>
          <w:lang w:val="en-US"/>
        </w:rPr>
        <w:t>spp.</w:t>
      </w:r>
      <w:r w:rsidR="004D359E" w:rsidRPr="00CA3A33">
        <w:rPr>
          <w:rFonts w:asciiTheme="majorHAnsi" w:hAnsiTheme="majorHAnsi" w:cs="Times New Roman"/>
          <w:lang w:val="en-US"/>
        </w:rPr>
        <w:t xml:space="preserve">, or </w:t>
      </w:r>
      <w:r w:rsidR="00EB068B" w:rsidRPr="00CA3A33">
        <w:rPr>
          <w:rFonts w:asciiTheme="majorHAnsi" w:hAnsiTheme="majorHAnsi" w:cs="Times New Roman"/>
          <w:lang w:val="en-US"/>
        </w:rPr>
        <w:t xml:space="preserve">cases in which </w:t>
      </w:r>
      <w:r w:rsidR="00E308E8" w:rsidRPr="00CA3A33">
        <w:rPr>
          <w:rFonts w:asciiTheme="majorHAnsi" w:hAnsiTheme="majorHAnsi" w:cs="Times New Roman"/>
          <w:lang w:val="en-US"/>
        </w:rPr>
        <w:t>there is no good</w:t>
      </w:r>
      <w:r w:rsidR="00EB068B" w:rsidRPr="00CA3A33">
        <w:rPr>
          <w:rFonts w:asciiTheme="majorHAnsi" w:hAnsiTheme="majorHAnsi" w:cs="Times New Roman"/>
          <w:lang w:val="en-US"/>
        </w:rPr>
        <w:t xml:space="preserve"> </w:t>
      </w:r>
      <w:r w:rsidR="00BA19CA" w:rsidRPr="00CA3A33">
        <w:rPr>
          <w:rFonts w:asciiTheme="majorHAnsi" w:hAnsiTheme="majorHAnsi" w:cs="Times New Roman"/>
          <w:lang w:val="en-US"/>
        </w:rPr>
        <w:t xml:space="preserve">standard of care </w:t>
      </w:r>
      <w:r w:rsidR="00A73AC1" w:rsidRPr="00CA3A33">
        <w:rPr>
          <w:rFonts w:asciiTheme="majorHAnsi" w:hAnsiTheme="majorHAnsi" w:cs="Times New Roman"/>
          <w:lang w:val="en-US"/>
        </w:rPr>
        <w:t xml:space="preserve">(e.g. </w:t>
      </w:r>
      <w:r w:rsidR="00A73AC1" w:rsidRPr="00CA3A33">
        <w:rPr>
          <w:rFonts w:asciiTheme="majorHAnsi" w:hAnsiTheme="majorHAnsi" w:cs="Times New Roman"/>
          <w:i/>
          <w:lang w:val="en-US"/>
        </w:rPr>
        <w:t xml:space="preserve">Scedosporium </w:t>
      </w:r>
      <w:proofErr w:type="spellStart"/>
      <w:r w:rsidR="00A73AC1" w:rsidRPr="00CA3A33">
        <w:rPr>
          <w:rFonts w:asciiTheme="majorHAnsi" w:hAnsiTheme="majorHAnsi" w:cs="Times New Roman"/>
          <w:i/>
          <w:lang w:val="en-US"/>
        </w:rPr>
        <w:t>prolificans</w:t>
      </w:r>
      <w:proofErr w:type="spellEnd"/>
      <w:r w:rsidR="00B31440">
        <w:rPr>
          <w:rFonts w:asciiTheme="majorHAnsi" w:hAnsiTheme="majorHAnsi" w:cs="Times New Roman"/>
          <w:lang w:val="en-US"/>
        </w:rPr>
        <w:t xml:space="preserve">, </w:t>
      </w:r>
      <w:r w:rsidR="00A73AC1" w:rsidRPr="00CA3A33">
        <w:rPr>
          <w:rFonts w:asciiTheme="majorHAnsi" w:hAnsiTheme="majorHAnsi" w:cs="Times New Roman"/>
          <w:lang w:val="en-US"/>
        </w:rPr>
        <w:t>triazole</w:t>
      </w:r>
      <w:r w:rsidR="00BA449B">
        <w:rPr>
          <w:rFonts w:asciiTheme="majorHAnsi" w:hAnsiTheme="majorHAnsi" w:cs="Times New Roman"/>
          <w:lang w:val="en-US"/>
        </w:rPr>
        <w:t>-</w:t>
      </w:r>
      <w:r w:rsidR="00A73AC1" w:rsidRPr="00CA3A33">
        <w:rPr>
          <w:rFonts w:asciiTheme="majorHAnsi" w:hAnsiTheme="majorHAnsi" w:cs="Times New Roman"/>
          <w:lang w:val="en-US"/>
        </w:rPr>
        <w:t xml:space="preserve">resistant </w:t>
      </w:r>
      <w:r w:rsidR="00A73AC1" w:rsidRPr="00CA3A33">
        <w:rPr>
          <w:rFonts w:asciiTheme="majorHAnsi" w:hAnsiTheme="majorHAnsi" w:cs="Times New Roman"/>
          <w:i/>
          <w:lang w:val="en-US"/>
        </w:rPr>
        <w:t>Aspergillus fumigatus</w:t>
      </w:r>
      <w:r w:rsidR="00A73AC1" w:rsidRPr="0012015D">
        <w:rPr>
          <w:rFonts w:asciiTheme="majorHAnsi" w:hAnsiTheme="majorHAnsi" w:cs="Times New Roman"/>
          <w:lang w:val="en-US"/>
        </w:rPr>
        <w:t>).</w:t>
      </w:r>
      <w:r w:rsidR="006C7B86">
        <w:rPr>
          <w:rFonts w:asciiTheme="majorHAnsi" w:hAnsiTheme="majorHAnsi" w:cs="Times New Roman"/>
          <w:lang w:val="en-US"/>
        </w:rPr>
        <w:t xml:space="preserve"> </w:t>
      </w:r>
      <w:r w:rsidR="00A73AC1" w:rsidRPr="0012015D">
        <w:rPr>
          <w:rFonts w:asciiTheme="majorHAnsi" w:hAnsiTheme="majorHAnsi" w:cs="Times New Roman"/>
          <w:lang w:val="en-US"/>
        </w:rPr>
        <w:t xml:space="preserve">In these circumstances, </w:t>
      </w:r>
      <w:r w:rsidR="00A32ADE" w:rsidRPr="00CA3A33">
        <w:rPr>
          <w:rFonts w:asciiTheme="majorHAnsi" w:hAnsiTheme="majorHAnsi" w:cs="Times New Roman"/>
          <w:lang w:val="en-US"/>
        </w:rPr>
        <w:t xml:space="preserve">causality cannot be established from </w:t>
      </w:r>
      <w:r w:rsidR="00527CEF">
        <w:rPr>
          <w:rFonts w:asciiTheme="majorHAnsi" w:hAnsiTheme="majorHAnsi" w:cs="Times New Roman"/>
          <w:lang w:val="en-US"/>
        </w:rPr>
        <w:t>a</w:t>
      </w:r>
      <w:r w:rsidR="00527CEF" w:rsidRPr="00CA3A33">
        <w:rPr>
          <w:rFonts w:asciiTheme="majorHAnsi" w:hAnsiTheme="majorHAnsi" w:cs="Times New Roman"/>
          <w:lang w:val="en-US"/>
        </w:rPr>
        <w:t xml:space="preserve"> </w:t>
      </w:r>
      <w:r w:rsidR="00A32ADE" w:rsidRPr="00CA3A33">
        <w:rPr>
          <w:rFonts w:asciiTheme="majorHAnsi" w:hAnsiTheme="majorHAnsi" w:cs="Times New Roman"/>
          <w:lang w:val="en-US"/>
        </w:rPr>
        <w:t xml:space="preserve">standard </w:t>
      </w:r>
      <w:r w:rsidR="002C374F" w:rsidRPr="00CA3A33">
        <w:rPr>
          <w:rFonts w:asciiTheme="majorHAnsi" w:hAnsiTheme="majorHAnsi" w:cs="Times New Roman"/>
          <w:lang w:val="en-US"/>
        </w:rPr>
        <w:t xml:space="preserve">paradigm </w:t>
      </w:r>
      <w:r w:rsidR="008C5D8E" w:rsidRPr="00CA3A33">
        <w:rPr>
          <w:rFonts w:asciiTheme="majorHAnsi" w:hAnsiTheme="majorHAnsi" w:cs="Times New Roman"/>
          <w:lang w:val="en-US"/>
        </w:rPr>
        <w:t xml:space="preserve">of large </w:t>
      </w:r>
      <w:r w:rsidR="00CA3A33">
        <w:rPr>
          <w:rFonts w:asciiTheme="majorHAnsi" w:hAnsiTheme="majorHAnsi" w:cs="Times New Roman"/>
          <w:lang w:val="en-US"/>
        </w:rPr>
        <w:t xml:space="preserve">comparative </w:t>
      </w:r>
      <w:r w:rsidR="008C5D8E" w:rsidRPr="00CA3A33">
        <w:rPr>
          <w:rFonts w:asciiTheme="majorHAnsi" w:hAnsiTheme="majorHAnsi" w:cs="Times New Roman"/>
          <w:lang w:val="en-US"/>
        </w:rPr>
        <w:t>clinical trials</w:t>
      </w:r>
      <w:r w:rsidR="003649F9">
        <w:rPr>
          <w:rFonts w:asciiTheme="majorHAnsi" w:hAnsiTheme="majorHAnsi" w:cs="Times New Roman"/>
          <w:lang w:val="en-US"/>
        </w:rPr>
        <w:t>.  A</w:t>
      </w:r>
      <w:r w:rsidR="002C374F" w:rsidRPr="00CA3A33">
        <w:rPr>
          <w:rFonts w:asciiTheme="majorHAnsi" w:hAnsiTheme="majorHAnsi" w:cs="Times New Roman"/>
          <w:lang w:val="en-US"/>
        </w:rPr>
        <w:t>n alternative approach is required.</w:t>
      </w:r>
      <w:r w:rsidR="006C7B86">
        <w:rPr>
          <w:rFonts w:asciiTheme="majorHAnsi" w:hAnsiTheme="majorHAnsi" w:cs="Times New Roman"/>
          <w:lang w:val="en-US"/>
        </w:rPr>
        <w:t xml:space="preserve"> </w:t>
      </w:r>
      <w:r w:rsidR="00EC3A1F" w:rsidRPr="00CA3A33">
        <w:rPr>
          <w:rFonts w:asciiTheme="majorHAnsi" w:hAnsiTheme="majorHAnsi" w:cs="Times New Roman"/>
          <w:lang w:val="en-US"/>
        </w:rPr>
        <w:t>A</w:t>
      </w:r>
      <w:r w:rsidR="00946E86" w:rsidRPr="00CA3A33">
        <w:rPr>
          <w:rFonts w:asciiTheme="majorHAnsi" w:hAnsiTheme="majorHAnsi" w:cs="Times New Roman"/>
          <w:lang w:val="en-US"/>
        </w:rPr>
        <w:t xml:space="preserve">ntifungal PK-PD studies can </w:t>
      </w:r>
      <w:r w:rsidR="00D27F05">
        <w:rPr>
          <w:rFonts w:asciiTheme="majorHAnsi" w:hAnsiTheme="majorHAnsi" w:cs="Times New Roman"/>
          <w:lang w:val="en-US"/>
        </w:rPr>
        <w:t xml:space="preserve">potentially </w:t>
      </w:r>
      <w:r w:rsidR="00946E86" w:rsidRPr="00CA3A33">
        <w:rPr>
          <w:rFonts w:asciiTheme="majorHAnsi" w:hAnsiTheme="majorHAnsi" w:cs="Times New Roman"/>
          <w:lang w:val="en-US"/>
        </w:rPr>
        <w:t>be used to establish causality, and enable antifungal agents to be developed for clinical diseases</w:t>
      </w:r>
      <w:r w:rsidR="003141EE">
        <w:rPr>
          <w:rFonts w:asciiTheme="majorHAnsi" w:hAnsiTheme="majorHAnsi" w:cs="Times New Roman"/>
          <w:lang w:val="en-US"/>
        </w:rPr>
        <w:t xml:space="preserve"> that are </w:t>
      </w:r>
      <w:r w:rsidR="00527CEF">
        <w:rPr>
          <w:rFonts w:asciiTheme="majorHAnsi" w:hAnsiTheme="majorHAnsi" w:cs="Times New Roman"/>
          <w:lang w:val="en-US"/>
        </w:rPr>
        <w:t xml:space="preserve">otherwise </w:t>
      </w:r>
      <w:r w:rsidR="003141EE">
        <w:rPr>
          <w:rFonts w:asciiTheme="majorHAnsi" w:hAnsiTheme="majorHAnsi" w:cs="Times New Roman"/>
          <w:lang w:val="en-US"/>
        </w:rPr>
        <w:t>difficult to study in the clinic</w:t>
      </w:r>
      <w:r w:rsidR="00946E86" w:rsidRPr="00CA3A33">
        <w:rPr>
          <w:rFonts w:asciiTheme="majorHAnsi" w:hAnsiTheme="majorHAnsi" w:cs="Times New Roman"/>
          <w:lang w:val="en-US"/>
        </w:rPr>
        <w:t>.</w:t>
      </w:r>
    </w:p>
    <w:p w14:paraId="2A2C00BA" w14:textId="77777777" w:rsidR="004B6BBB" w:rsidRPr="00CA3A33" w:rsidRDefault="004B6BBB" w:rsidP="007A2846">
      <w:pPr>
        <w:widowControl w:val="0"/>
        <w:autoSpaceDE w:val="0"/>
        <w:autoSpaceDN w:val="0"/>
        <w:adjustRightInd w:val="0"/>
        <w:spacing w:line="276" w:lineRule="auto"/>
        <w:rPr>
          <w:rFonts w:asciiTheme="majorHAnsi" w:hAnsiTheme="majorHAnsi" w:cs="Times New Roman"/>
          <w:lang w:val="en-US"/>
        </w:rPr>
      </w:pPr>
    </w:p>
    <w:p w14:paraId="1A771F03" w14:textId="77777777" w:rsidR="001324F2" w:rsidRPr="00E53758" w:rsidRDefault="000964E5" w:rsidP="007A2846">
      <w:pPr>
        <w:widowControl w:val="0"/>
        <w:autoSpaceDE w:val="0"/>
        <w:autoSpaceDN w:val="0"/>
        <w:adjustRightInd w:val="0"/>
        <w:spacing w:line="276" w:lineRule="auto"/>
        <w:rPr>
          <w:rFonts w:asciiTheme="majorHAnsi" w:hAnsiTheme="majorHAnsi" w:cs="Times New Roman"/>
          <w:u w:val="single"/>
          <w:lang w:val="en-US"/>
        </w:rPr>
      </w:pPr>
      <w:r w:rsidRPr="00E53758">
        <w:rPr>
          <w:rFonts w:asciiTheme="majorHAnsi" w:hAnsiTheme="majorHAnsi" w:cs="Times New Roman"/>
          <w:u w:val="single"/>
          <w:lang w:val="en-US"/>
        </w:rPr>
        <w:lastRenderedPageBreak/>
        <w:t>4</w:t>
      </w:r>
      <w:r w:rsidR="001324F2" w:rsidRPr="00E53758">
        <w:rPr>
          <w:rFonts w:asciiTheme="majorHAnsi" w:hAnsiTheme="majorHAnsi" w:cs="Times New Roman"/>
          <w:u w:val="single"/>
          <w:lang w:val="en-US"/>
        </w:rPr>
        <w:t>. OVERVIEW OF ANTIFUNGAL PK-PD</w:t>
      </w:r>
      <w:r w:rsidR="000A7D18" w:rsidRPr="00E53758">
        <w:rPr>
          <w:rFonts w:asciiTheme="majorHAnsi" w:hAnsiTheme="majorHAnsi" w:cs="Times New Roman"/>
          <w:u w:val="single"/>
          <w:lang w:val="en-US"/>
        </w:rPr>
        <w:t>: A SUMMARY OF CURRENT KNOWLEDGE</w:t>
      </w:r>
    </w:p>
    <w:p w14:paraId="3F4D9673" w14:textId="667BCBBE" w:rsidR="007D49CA" w:rsidRDefault="00EE25D8" w:rsidP="007A2846">
      <w:pPr>
        <w:widowControl w:val="0"/>
        <w:autoSpaceDE w:val="0"/>
        <w:autoSpaceDN w:val="0"/>
        <w:adjustRightInd w:val="0"/>
        <w:spacing w:line="276" w:lineRule="auto"/>
        <w:rPr>
          <w:rFonts w:asciiTheme="majorHAnsi" w:hAnsiTheme="majorHAnsi" w:cs="Arial"/>
        </w:rPr>
      </w:pPr>
      <w:r>
        <w:rPr>
          <w:rFonts w:asciiTheme="majorHAnsi" w:hAnsiTheme="majorHAnsi" w:cs="Times New Roman"/>
          <w:lang w:val="en-US"/>
        </w:rPr>
        <w:tab/>
        <w:t xml:space="preserve">Much of the current understanding and knowledge of antifungal PK-PD </w:t>
      </w:r>
      <w:r w:rsidR="00F36003">
        <w:rPr>
          <w:rFonts w:asciiTheme="majorHAnsi" w:hAnsiTheme="majorHAnsi" w:cs="Times New Roman"/>
          <w:lang w:val="en-US"/>
        </w:rPr>
        <w:t>has developed from antibac</w:t>
      </w:r>
      <w:r w:rsidR="00871CA4">
        <w:rPr>
          <w:rFonts w:asciiTheme="majorHAnsi" w:hAnsiTheme="majorHAnsi" w:cs="Times New Roman"/>
          <w:lang w:val="en-US"/>
        </w:rPr>
        <w:t>terial PK-PD.</w:t>
      </w:r>
      <w:r w:rsidR="006C7B86">
        <w:rPr>
          <w:rFonts w:asciiTheme="majorHAnsi" w:hAnsiTheme="majorHAnsi" w:cs="Times New Roman"/>
          <w:lang w:val="en-US"/>
        </w:rPr>
        <w:t xml:space="preserve"> </w:t>
      </w:r>
      <w:r w:rsidR="00871CA4">
        <w:rPr>
          <w:rFonts w:asciiTheme="majorHAnsi" w:hAnsiTheme="majorHAnsi" w:cs="Times New Roman"/>
          <w:lang w:val="en-US"/>
        </w:rPr>
        <w:t xml:space="preserve">The central tenant of </w:t>
      </w:r>
      <w:r w:rsidR="004C18D7">
        <w:rPr>
          <w:rFonts w:asciiTheme="majorHAnsi" w:hAnsiTheme="majorHAnsi" w:cs="Times New Roman"/>
          <w:lang w:val="en-US"/>
        </w:rPr>
        <w:t xml:space="preserve">modern </w:t>
      </w:r>
      <w:r w:rsidR="0030544C">
        <w:rPr>
          <w:rFonts w:asciiTheme="majorHAnsi" w:hAnsiTheme="majorHAnsi" w:cs="Times New Roman"/>
          <w:lang w:val="en-US"/>
        </w:rPr>
        <w:t>pharmacodynamics</w:t>
      </w:r>
      <w:r w:rsidR="00871CA4">
        <w:rPr>
          <w:rFonts w:asciiTheme="majorHAnsi" w:hAnsiTheme="majorHAnsi" w:cs="Times New Roman"/>
          <w:lang w:val="en-US"/>
        </w:rPr>
        <w:t xml:space="preserve"> is that the shape of the antimicrobial drug concentration-time curve </w:t>
      </w:r>
      <w:r w:rsidR="00000EE1">
        <w:rPr>
          <w:rFonts w:asciiTheme="majorHAnsi" w:hAnsiTheme="majorHAnsi" w:cs="Times New Roman"/>
          <w:lang w:val="en-US"/>
        </w:rPr>
        <w:t>can be used to predict</w:t>
      </w:r>
      <w:r w:rsidR="003A5522">
        <w:rPr>
          <w:rFonts w:asciiTheme="majorHAnsi" w:hAnsiTheme="majorHAnsi" w:cs="Times New Roman"/>
          <w:lang w:val="en-US"/>
        </w:rPr>
        <w:t xml:space="preserve"> antimicrobial effect.</w:t>
      </w:r>
      <w:r w:rsidR="006C7B86">
        <w:rPr>
          <w:rFonts w:asciiTheme="majorHAnsi" w:hAnsiTheme="majorHAnsi" w:cs="Times New Roman"/>
          <w:lang w:val="en-US"/>
        </w:rPr>
        <w:t xml:space="preserve"> </w:t>
      </w:r>
      <w:r w:rsidR="003A5522">
        <w:rPr>
          <w:rFonts w:asciiTheme="majorHAnsi" w:hAnsiTheme="majorHAnsi" w:cs="Times New Roman"/>
          <w:lang w:val="en-US"/>
        </w:rPr>
        <w:t xml:space="preserve">These concepts have been elucidated </w:t>
      </w:r>
      <w:r w:rsidR="00A25D08">
        <w:rPr>
          <w:rFonts w:asciiTheme="majorHAnsi" w:hAnsiTheme="majorHAnsi" w:cs="Times New Roman"/>
          <w:lang w:val="en-US"/>
        </w:rPr>
        <w:t xml:space="preserve">in detail </w:t>
      </w:r>
      <w:r w:rsidR="003A5522">
        <w:rPr>
          <w:rFonts w:asciiTheme="majorHAnsi" w:hAnsiTheme="majorHAnsi" w:cs="Times New Roman"/>
          <w:lang w:val="en-US"/>
        </w:rPr>
        <w:t>elsewhere</w:t>
      </w:r>
      <w:r w:rsidR="00BB6581">
        <w:rPr>
          <w:rFonts w:asciiTheme="majorHAnsi" w:hAnsiTheme="majorHAnsi" w:cs="Times New Roman"/>
          <w:lang w:val="en-US"/>
        </w:rPr>
        <w:t>.</w:t>
      </w:r>
      <w:r w:rsidR="004D32CF">
        <w:rPr>
          <w:rFonts w:asciiTheme="majorHAnsi" w:hAnsiTheme="majorHAnsi" w:cs="Times New Roman"/>
          <w:lang w:val="en-US"/>
        </w:rPr>
        <w:fldChar w:fldCharType="begin" w:fldLock="1"/>
      </w:r>
      <w:r w:rsidR="00A23CE0">
        <w:rPr>
          <w:rFonts w:asciiTheme="majorHAnsi" w:hAnsiTheme="majorHAnsi" w:cs="Times New Roman"/>
          <w:lang w:val="en-US"/>
        </w:rPr>
        <w:instrText>ADDIN CSL_CITATION { "citationItems" : [ { "id" : "ITEM-1", "itemData" : { "PMID" : "15031728", "author" : [ { "dropping-particle" : "", "family" : "Drusano", "given" : "G L", "non-dropping-particle" : "", "parse-names" : false, "suffix" : "" } ], "container-title" : "Nat Rev Microbiol", "id" : "ITEM-1", "issue" : "4", "issued" : { "date-parts" : [ [ "2004" ] ] }, "note" : "1740-1526 (Print)\nJournal Article\nReview", "page" : "289-300", "title" : "Antimicrobial pharmacodynamics: critical interactions of 'bug and drug'", "type" : "article-journal", "volume" : "2" }, "uris" : [ "http://www.mendeley.com/documents/?uuid=72c517be-a9ae-4933-a915-dcde30e7fb27" ] }, { "id" : "ITEM-2", "itemData" : { "PMID" : "19673971", "abstract" : "This review considers a way in which experimental data can be used to identify safe and effective antifungal regimens for humans. The process begins with experimental models of invasive fungal infections that enable definition of optimal dosages and schedules of antifungal drug administration to be defined. These preclinical models also enable the identification of drug exposure targets that are associated with therapeutic outcomes of interest. Human pharmacokinetic variability results in a considerable range of drug exposures following the use of fixed antifungal drug regimens. This variability can be quantified using population pharmacokinetic modeling techniques. Monte Carlo simulation can then be used to simulate pharmacokinetic variability and thereby estimate the proportion of patients with a therapeutic outcome of interest. Effective and safe regimens can thus be studied appropriately in clinical settings. This approach can, and should, be used to optimize antifungal therapy for a large number of clinical scenarios.", "author" : [ { "dropping-particle" : "", "family" : "Hope", "given" : "W W", "non-dropping-particle" : "", "parse-names" : false, "suffix" : "" }, { "dropping-particle" : "", "family" : "Drusano", "given" : "G L", "non-dropping-particle" : "", "parse-names" : false, "suffix" : "" } ], "container-title" : "Clin Microbiol Infect", "id" : "ITEM-2", "issue" : "7", "issued" : { "date-parts" : [ [ "2009" ] ] }, "note" : "From Duplicate 1 (Antifungal pharmacokinetics and pharmacodynamics: bridging from the bench to bedside - Hope, W W; Drusano, G L)\n\n1469-0691 (Electronic)\nJournal Article\n\n\n\nFrom Duplicate 1 ( \n\nAntifungal pharmacokinetics and pharmacodynamics: bridging from the bench to bedside\n\n- Hope, W W; Drusano, G L )\nAnd Duplicate 2 ( \n\nAntifungal pharmacokinetics and pharmacodynamics: bridging from the bench to bedside\n\n- Hope, W W; Drusano, G L )\n\n\n\n1469-0691 (Electronic)\nJournal Article", "page" : "602-612", "title" : "Antifungal pharmacokinetics and pharmacodynamics: bridging from the bench to bedside", "type" : "article-journal", "volume" : "15" }, "uris" : [ "http://www.mendeley.com/documents/?uuid=34da2be0-cd88-4bee-826a-4764796a3be7" ] } ], "mendeley" : { "formattedCitation" : "&lt;sup&gt;1,8&lt;/sup&gt;", "plainTextFormattedCitation" : "1,8", "previouslyFormattedCitation" : "&lt;sup&gt;1,8&lt;/sup&gt;"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0B527C" w:rsidRPr="000B527C">
        <w:rPr>
          <w:rFonts w:asciiTheme="majorHAnsi" w:hAnsiTheme="majorHAnsi" w:cs="Times New Roman"/>
          <w:noProof/>
          <w:vertAlign w:val="superscript"/>
          <w:lang w:val="en-US"/>
        </w:rPr>
        <w:t>1,8</w:t>
      </w:r>
      <w:r w:rsidR="004D32CF">
        <w:rPr>
          <w:rFonts w:asciiTheme="majorHAnsi" w:hAnsiTheme="majorHAnsi" w:cs="Times New Roman"/>
          <w:lang w:val="en-US"/>
        </w:rPr>
        <w:fldChar w:fldCharType="end"/>
      </w:r>
      <w:r w:rsidR="006C7B86">
        <w:rPr>
          <w:rFonts w:asciiTheme="majorHAnsi" w:hAnsiTheme="majorHAnsi" w:cs="Times New Roman"/>
          <w:lang w:val="en-US"/>
        </w:rPr>
        <w:t xml:space="preserve"> </w:t>
      </w:r>
      <w:r w:rsidR="0072572F">
        <w:rPr>
          <w:rFonts w:asciiTheme="majorHAnsi" w:hAnsiTheme="majorHAnsi" w:cs="Times New Roman"/>
          <w:lang w:val="en-US"/>
        </w:rPr>
        <w:t>B</w:t>
      </w:r>
      <w:r w:rsidR="00A25D08" w:rsidRPr="0072572F">
        <w:rPr>
          <w:rFonts w:asciiTheme="majorHAnsi" w:hAnsiTheme="majorHAnsi" w:cs="Times New Roman"/>
          <w:lang w:val="en-US"/>
        </w:rPr>
        <w:t>rief</w:t>
      </w:r>
      <w:r w:rsidR="0072572F">
        <w:rPr>
          <w:rFonts w:asciiTheme="majorHAnsi" w:hAnsiTheme="majorHAnsi" w:cs="Times New Roman"/>
          <w:lang w:val="en-US"/>
        </w:rPr>
        <w:t>ly,</w:t>
      </w:r>
      <w:r w:rsidR="0072572F" w:rsidRPr="0072572F">
        <w:rPr>
          <w:rFonts w:asciiTheme="majorHAnsi" w:hAnsiTheme="majorHAnsi" w:cs="Times New Roman"/>
          <w:lang w:val="en-US"/>
        </w:rPr>
        <w:t xml:space="preserve"> </w:t>
      </w:r>
      <w:r w:rsidR="0072572F" w:rsidRPr="0073162B">
        <w:rPr>
          <w:rFonts w:asciiTheme="majorHAnsi" w:hAnsiTheme="majorHAnsi" w:cs="Arial"/>
        </w:rPr>
        <w:t xml:space="preserve">information that is contained within the </w:t>
      </w:r>
      <w:r w:rsidR="006B44F7">
        <w:rPr>
          <w:rFonts w:asciiTheme="majorHAnsi" w:hAnsiTheme="majorHAnsi" w:cs="Arial"/>
        </w:rPr>
        <w:t xml:space="preserve">drug </w:t>
      </w:r>
      <w:r w:rsidR="0072572F">
        <w:rPr>
          <w:rFonts w:asciiTheme="majorHAnsi" w:hAnsiTheme="majorHAnsi" w:cs="Arial"/>
        </w:rPr>
        <w:t>concentration time curve</w:t>
      </w:r>
      <w:r w:rsidR="0072572F" w:rsidRPr="0073162B">
        <w:rPr>
          <w:rFonts w:asciiTheme="majorHAnsi" w:hAnsiTheme="majorHAnsi" w:cs="Arial"/>
        </w:rPr>
        <w:t xml:space="preserve"> is </w:t>
      </w:r>
      <w:r w:rsidR="0072572F">
        <w:rPr>
          <w:rFonts w:asciiTheme="majorHAnsi" w:hAnsiTheme="majorHAnsi" w:cs="Arial"/>
        </w:rPr>
        <w:t>extracted and condensed into</w:t>
      </w:r>
      <w:r w:rsidR="0072572F" w:rsidRPr="0073162B">
        <w:rPr>
          <w:rFonts w:asciiTheme="majorHAnsi" w:hAnsiTheme="majorHAnsi" w:cs="Arial"/>
        </w:rPr>
        <w:t xml:space="preserve"> three </w:t>
      </w:r>
      <w:r w:rsidR="00BA449B">
        <w:rPr>
          <w:rFonts w:asciiTheme="majorHAnsi" w:hAnsiTheme="majorHAnsi" w:cs="Arial"/>
        </w:rPr>
        <w:t>concise</w:t>
      </w:r>
      <w:r w:rsidR="00BA449B" w:rsidRPr="0073162B">
        <w:rPr>
          <w:rFonts w:asciiTheme="majorHAnsi" w:hAnsiTheme="majorHAnsi" w:cs="Arial"/>
        </w:rPr>
        <w:t xml:space="preserve"> </w:t>
      </w:r>
      <w:r w:rsidR="0072572F" w:rsidRPr="0073162B">
        <w:rPr>
          <w:rFonts w:asciiTheme="majorHAnsi" w:hAnsiTheme="majorHAnsi" w:cs="Arial"/>
        </w:rPr>
        <w:t>measures of drug exposure: the peak concentration, t</w:t>
      </w:r>
      <w:r w:rsidR="00521461" w:rsidRPr="00521461">
        <w:rPr>
          <w:rFonts w:asciiTheme="majorHAnsi" w:hAnsiTheme="majorHAnsi" w:cs="Arial"/>
        </w:rPr>
        <w:t>he area under the concentration-</w:t>
      </w:r>
      <w:r w:rsidR="0072572F" w:rsidRPr="0073162B">
        <w:rPr>
          <w:rFonts w:asciiTheme="majorHAnsi" w:hAnsiTheme="majorHAnsi" w:cs="Arial"/>
        </w:rPr>
        <w:t xml:space="preserve">time curve and the </w:t>
      </w:r>
      <w:r w:rsidR="00BA449B">
        <w:rPr>
          <w:rFonts w:asciiTheme="majorHAnsi" w:hAnsiTheme="majorHAnsi" w:cs="Arial"/>
        </w:rPr>
        <w:t xml:space="preserve">percentage of </w:t>
      </w:r>
      <w:r w:rsidR="00B31440">
        <w:rPr>
          <w:rFonts w:asciiTheme="majorHAnsi" w:hAnsiTheme="majorHAnsi" w:cs="Arial"/>
        </w:rPr>
        <w:t>the</w:t>
      </w:r>
      <w:r w:rsidR="00BA449B">
        <w:rPr>
          <w:rFonts w:asciiTheme="majorHAnsi" w:hAnsiTheme="majorHAnsi" w:cs="Arial"/>
        </w:rPr>
        <w:t xml:space="preserve"> dosing interval</w:t>
      </w:r>
      <w:r w:rsidR="00BA449B" w:rsidRPr="0073162B">
        <w:rPr>
          <w:rFonts w:asciiTheme="majorHAnsi" w:hAnsiTheme="majorHAnsi" w:cs="Arial"/>
        </w:rPr>
        <w:t xml:space="preserve"> </w:t>
      </w:r>
      <w:r w:rsidR="0072572F" w:rsidRPr="0073162B">
        <w:rPr>
          <w:rFonts w:asciiTheme="majorHAnsi" w:hAnsiTheme="majorHAnsi" w:cs="Arial"/>
        </w:rPr>
        <w:t>that drug concentrations are above some threshold (</w:t>
      </w:r>
      <w:r w:rsidR="00BA449B">
        <w:rPr>
          <w:rFonts w:asciiTheme="majorHAnsi" w:hAnsiTheme="majorHAnsi" w:cs="Arial"/>
        </w:rPr>
        <w:t>often</w:t>
      </w:r>
      <w:r w:rsidR="0072572F" w:rsidRPr="0073162B">
        <w:rPr>
          <w:rFonts w:asciiTheme="majorHAnsi" w:hAnsiTheme="majorHAnsi" w:cs="Arial"/>
        </w:rPr>
        <w:t xml:space="preserve"> the MIC).</w:t>
      </w:r>
      <w:r w:rsidR="006C7B86">
        <w:rPr>
          <w:rFonts w:asciiTheme="majorHAnsi" w:hAnsiTheme="majorHAnsi" w:cs="Arial"/>
        </w:rPr>
        <w:t xml:space="preserve"> </w:t>
      </w:r>
      <w:r w:rsidR="0009516B">
        <w:rPr>
          <w:rFonts w:asciiTheme="majorHAnsi" w:hAnsiTheme="majorHAnsi" w:cs="Arial"/>
        </w:rPr>
        <w:t>This paradigm works reasonably well</w:t>
      </w:r>
      <w:r w:rsidR="001F5AB4">
        <w:rPr>
          <w:rFonts w:asciiTheme="majorHAnsi" w:hAnsiTheme="majorHAnsi" w:cs="Arial"/>
        </w:rPr>
        <w:t xml:space="preserve"> much of the time</w:t>
      </w:r>
      <w:r w:rsidR="0009516B">
        <w:rPr>
          <w:rFonts w:asciiTheme="majorHAnsi" w:hAnsiTheme="majorHAnsi" w:cs="Arial"/>
        </w:rPr>
        <w:t xml:space="preserve">, but there are increasing examples where it does not, and this is a subject of </w:t>
      </w:r>
      <w:proofErr w:type="spellStart"/>
      <w:r w:rsidR="0009516B">
        <w:rPr>
          <w:rFonts w:asciiTheme="majorHAnsi" w:hAnsiTheme="majorHAnsi" w:cs="Arial"/>
        </w:rPr>
        <w:t>ongoing</w:t>
      </w:r>
      <w:proofErr w:type="spellEnd"/>
      <w:r w:rsidR="0009516B">
        <w:rPr>
          <w:rFonts w:asciiTheme="majorHAnsi" w:hAnsiTheme="majorHAnsi" w:cs="Arial"/>
        </w:rPr>
        <w:t xml:space="preserve"> research. </w:t>
      </w:r>
    </w:p>
    <w:p w14:paraId="1E9185FB" w14:textId="2F3D8781" w:rsidR="0026033C" w:rsidRDefault="0026033C" w:rsidP="007A2846">
      <w:pPr>
        <w:widowControl w:val="0"/>
        <w:autoSpaceDE w:val="0"/>
        <w:autoSpaceDN w:val="0"/>
        <w:adjustRightInd w:val="0"/>
        <w:spacing w:line="276" w:lineRule="auto"/>
        <w:rPr>
          <w:rFonts w:asciiTheme="majorHAnsi" w:hAnsiTheme="majorHAnsi" w:cs="Arial"/>
        </w:rPr>
      </w:pPr>
      <w:r w:rsidRPr="0073162B">
        <w:rPr>
          <w:rFonts w:asciiTheme="majorHAnsi" w:hAnsiTheme="majorHAnsi" w:cs="Arial"/>
        </w:rPr>
        <w:tab/>
        <w:t>The relevant pharmacodynamic index is determined using dose-fractionation studies</w:t>
      </w:r>
      <w:r>
        <w:rPr>
          <w:rFonts w:asciiTheme="majorHAnsi" w:hAnsiTheme="majorHAnsi" w:cs="Arial"/>
        </w:rPr>
        <w:t xml:space="preserve"> in experimental models</w:t>
      </w:r>
      <w:r w:rsidRPr="0073162B">
        <w:rPr>
          <w:rFonts w:asciiTheme="majorHAnsi" w:hAnsiTheme="majorHAnsi" w:cs="Arial"/>
        </w:rPr>
        <w:t>.</w:t>
      </w:r>
      <w:r w:rsidR="006C7B86">
        <w:rPr>
          <w:rFonts w:asciiTheme="majorHAnsi" w:hAnsiTheme="majorHAnsi" w:cs="Arial"/>
        </w:rPr>
        <w:t xml:space="preserve"> </w:t>
      </w:r>
      <w:r w:rsidR="00F15639">
        <w:rPr>
          <w:rFonts w:asciiTheme="majorHAnsi" w:hAnsiTheme="majorHAnsi" w:cs="Arial"/>
        </w:rPr>
        <w:t>Dose fractionation studies</w:t>
      </w:r>
      <w:r w:rsidR="00F15639" w:rsidRPr="00F15639">
        <w:rPr>
          <w:rFonts w:asciiTheme="majorHAnsi" w:hAnsiTheme="majorHAnsi" w:cs="Arial"/>
        </w:rPr>
        <w:t xml:space="preserve"> involve</w:t>
      </w:r>
      <w:r w:rsidRPr="0073162B">
        <w:rPr>
          <w:rFonts w:asciiTheme="majorHAnsi" w:hAnsiTheme="majorHAnsi" w:cs="Arial"/>
        </w:rPr>
        <w:t xml:space="preserve"> </w:t>
      </w:r>
      <w:r w:rsidR="00F15639">
        <w:rPr>
          <w:rFonts w:asciiTheme="majorHAnsi" w:hAnsiTheme="majorHAnsi" w:cs="Arial"/>
        </w:rPr>
        <w:t xml:space="preserve">studying the effect of </w:t>
      </w:r>
      <w:r w:rsidRPr="0073162B">
        <w:rPr>
          <w:rFonts w:asciiTheme="majorHAnsi" w:hAnsiTheme="majorHAnsi" w:cs="Arial"/>
        </w:rPr>
        <w:t xml:space="preserve">different schedules of </w:t>
      </w:r>
      <w:r w:rsidR="00F15639">
        <w:rPr>
          <w:rFonts w:asciiTheme="majorHAnsi" w:hAnsiTheme="majorHAnsi" w:cs="Arial"/>
        </w:rPr>
        <w:t xml:space="preserve">drug </w:t>
      </w:r>
      <w:r w:rsidRPr="0073162B">
        <w:rPr>
          <w:rFonts w:asciiTheme="majorHAnsi" w:hAnsiTheme="majorHAnsi" w:cs="Arial"/>
        </w:rPr>
        <w:t>administration</w:t>
      </w:r>
      <w:r w:rsidR="00416D98">
        <w:rPr>
          <w:rFonts w:asciiTheme="majorHAnsi" w:hAnsiTheme="majorHAnsi" w:cs="Arial"/>
        </w:rPr>
        <w:t xml:space="preserve"> where the same total daily dose is administered with different frequencies</w:t>
      </w:r>
      <w:r w:rsidRPr="0073162B">
        <w:rPr>
          <w:rFonts w:asciiTheme="majorHAnsi" w:hAnsiTheme="majorHAnsi" w:cs="Arial"/>
        </w:rPr>
        <w:t>.</w:t>
      </w:r>
      <w:r w:rsidR="006C7B86">
        <w:rPr>
          <w:rFonts w:asciiTheme="majorHAnsi" w:hAnsiTheme="majorHAnsi" w:cs="Arial"/>
        </w:rPr>
        <w:t xml:space="preserve"> </w:t>
      </w:r>
      <w:r w:rsidRPr="0073162B">
        <w:rPr>
          <w:rFonts w:asciiTheme="majorHAnsi" w:hAnsiTheme="majorHAnsi" w:cs="Arial"/>
        </w:rPr>
        <w:t xml:space="preserve">If the least fractionated regimen </w:t>
      </w:r>
      <w:r w:rsidR="00CD5A55">
        <w:rPr>
          <w:rFonts w:asciiTheme="majorHAnsi" w:hAnsiTheme="majorHAnsi" w:cs="Arial"/>
        </w:rPr>
        <w:t xml:space="preserve">(i.e. large infrequent dosages) </w:t>
      </w:r>
      <w:r w:rsidRPr="0073162B">
        <w:rPr>
          <w:rFonts w:asciiTheme="majorHAnsi" w:hAnsiTheme="majorHAnsi" w:cs="Arial"/>
        </w:rPr>
        <w:t xml:space="preserve">has the most antifungal activity, </w:t>
      </w:r>
      <w:proofErr w:type="spellStart"/>
      <w:r w:rsidRPr="0073162B">
        <w:rPr>
          <w:rFonts w:asciiTheme="majorHAnsi" w:hAnsiTheme="majorHAnsi" w:cs="Arial"/>
        </w:rPr>
        <w:t>Cmax</w:t>
      </w:r>
      <w:proofErr w:type="gramStart"/>
      <w:r w:rsidRPr="0073162B">
        <w:rPr>
          <w:rFonts w:asciiTheme="majorHAnsi" w:hAnsiTheme="majorHAnsi" w:cs="Arial"/>
        </w:rPr>
        <w:t>:MIC</w:t>
      </w:r>
      <w:proofErr w:type="spellEnd"/>
      <w:proofErr w:type="gramEnd"/>
      <w:r w:rsidRPr="0073162B">
        <w:rPr>
          <w:rFonts w:asciiTheme="majorHAnsi" w:hAnsiTheme="majorHAnsi" w:cs="Arial"/>
        </w:rPr>
        <w:t xml:space="preserve"> is likely to be important.</w:t>
      </w:r>
      <w:r w:rsidR="006C7B86">
        <w:rPr>
          <w:rFonts w:asciiTheme="majorHAnsi" w:hAnsiTheme="majorHAnsi" w:cs="Arial"/>
        </w:rPr>
        <w:t xml:space="preserve"> </w:t>
      </w:r>
      <w:r w:rsidRPr="0073162B">
        <w:rPr>
          <w:rFonts w:asciiTheme="majorHAnsi" w:hAnsiTheme="majorHAnsi" w:cs="Arial"/>
        </w:rPr>
        <w:t xml:space="preserve">If the most fractionated regimen </w:t>
      </w:r>
      <w:r w:rsidR="00CD5A55">
        <w:rPr>
          <w:rFonts w:asciiTheme="majorHAnsi" w:hAnsiTheme="majorHAnsi" w:cs="Arial"/>
        </w:rPr>
        <w:t xml:space="preserve">(i.e. small frequent dosages) </w:t>
      </w:r>
      <w:r w:rsidRPr="0073162B">
        <w:rPr>
          <w:rFonts w:asciiTheme="majorHAnsi" w:hAnsiTheme="majorHAnsi" w:cs="Arial"/>
        </w:rPr>
        <w:t>has the most activity, T&gt;MIC is likely to be important.</w:t>
      </w:r>
      <w:r w:rsidR="006C7B86">
        <w:rPr>
          <w:rFonts w:asciiTheme="majorHAnsi" w:hAnsiTheme="majorHAnsi" w:cs="Arial"/>
        </w:rPr>
        <w:t xml:space="preserve"> </w:t>
      </w:r>
      <w:r w:rsidRPr="0073162B">
        <w:rPr>
          <w:rFonts w:asciiTheme="majorHAnsi" w:hAnsiTheme="majorHAnsi" w:cs="Arial"/>
        </w:rPr>
        <w:t xml:space="preserve">If the effect is the same regardless of the regimen, then </w:t>
      </w:r>
      <w:r w:rsidR="008E6C64">
        <w:rPr>
          <w:rFonts w:asciiTheme="majorHAnsi" w:hAnsiTheme="majorHAnsi" w:cs="Arial"/>
        </w:rPr>
        <w:t>area under the concentration-time curve (AUC)</w:t>
      </w:r>
      <w:proofErr w:type="gramStart"/>
      <w:r w:rsidRPr="0073162B">
        <w:rPr>
          <w:rFonts w:asciiTheme="majorHAnsi" w:hAnsiTheme="majorHAnsi" w:cs="Arial"/>
        </w:rPr>
        <w:t>:MIC</w:t>
      </w:r>
      <w:proofErr w:type="gramEnd"/>
      <w:r w:rsidRPr="0073162B">
        <w:rPr>
          <w:rFonts w:asciiTheme="majorHAnsi" w:hAnsiTheme="majorHAnsi" w:cs="Arial"/>
        </w:rPr>
        <w:t xml:space="preserve"> </w:t>
      </w:r>
      <w:r w:rsidR="008E6C64">
        <w:rPr>
          <w:rFonts w:asciiTheme="majorHAnsi" w:hAnsiTheme="majorHAnsi" w:cs="Arial"/>
        </w:rPr>
        <w:t xml:space="preserve">ratio </w:t>
      </w:r>
      <w:r w:rsidRPr="0073162B">
        <w:rPr>
          <w:rFonts w:asciiTheme="majorHAnsi" w:hAnsiTheme="majorHAnsi" w:cs="Arial"/>
        </w:rPr>
        <w:t>is likely to be the dynamically linked variable.</w:t>
      </w:r>
      <w:r w:rsidR="006C7B86">
        <w:rPr>
          <w:rFonts w:asciiTheme="majorHAnsi" w:hAnsiTheme="majorHAnsi" w:cs="Arial"/>
        </w:rPr>
        <w:t xml:space="preserve"> </w:t>
      </w:r>
      <w:r w:rsidRPr="0073162B">
        <w:rPr>
          <w:rFonts w:asciiTheme="majorHAnsi" w:hAnsiTheme="majorHAnsi" w:cs="Arial"/>
        </w:rPr>
        <w:t xml:space="preserve">There are multiple nuances related to the appropriate design of these studies to ensure </w:t>
      </w:r>
      <w:r w:rsidR="0018633C">
        <w:rPr>
          <w:rFonts w:asciiTheme="majorHAnsi" w:hAnsiTheme="majorHAnsi" w:cs="Arial"/>
        </w:rPr>
        <w:t xml:space="preserve">correct </w:t>
      </w:r>
      <w:r w:rsidR="0062135C">
        <w:rPr>
          <w:rFonts w:asciiTheme="majorHAnsi" w:hAnsiTheme="majorHAnsi" w:cs="Arial"/>
        </w:rPr>
        <w:t>conclusions</w:t>
      </w:r>
      <w:r w:rsidR="0018633C">
        <w:rPr>
          <w:rFonts w:asciiTheme="majorHAnsi" w:hAnsiTheme="majorHAnsi" w:cs="Arial"/>
        </w:rPr>
        <w:t xml:space="preserve"> </w:t>
      </w:r>
      <w:r w:rsidR="0062135C">
        <w:rPr>
          <w:rFonts w:asciiTheme="majorHAnsi" w:hAnsiTheme="majorHAnsi" w:cs="Arial"/>
        </w:rPr>
        <w:t>are</w:t>
      </w:r>
      <w:r w:rsidR="0018633C">
        <w:rPr>
          <w:rFonts w:asciiTheme="majorHAnsi" w:hAnsiTheme="majorHAnsi" w:cs="Arial"/>
        </w:rPr>
        <w:t xml:space="preserve"> obtained</w:t>
      </w:r>
      <w:r w:rsidRPr="0073162B">
        <w:rPr>
          <w:rFonts w:asciiTheme="majorHAnsi" w:hAnsiTheme="majorHAnsi" w:cs="Arial"/>
        </w:rPr>
        <w:t>.</w:t>
      </w:r>
      <w:r w:rsidR="00FF2A55">
        <w:rPr>
          <w:rFonts w:asciiTheme="majorHAnsi" w:hAnsiTheme="majorHAnsi" w:cs="Arial"/>
        </w:rPr>
        <w:t xml:space="preserve">  Most importantly is the </w:t>
      </w:r>
      <w:r w:rsidR="00000EE1">
        <w:rPr>
          <w:rFonts w:asciiTheme="majorHAnsi" w:hAnsiTheme="majorHAnsi" w:cs="Arial"/>
        </w:rPr>
        <w:t>relationship</w:t>
      </w:r>
      <w:r w:rsidR="00FF2A55">
        <w:rPr>
          <w:rFonts w:asciiTheme="majorHAnsi" w:hAnsiTheme="majorHAnsi" w:cs="Arial"/>
        </w:rPr>
        <w:t xml:space="preserve"> of the schedule of administration relative </w:t>
      </w:r>
      <w:r w:rsidR="00000EE1">
        <w:rPr>
          <w:rFonts w:asciiTheme="majorHAnsi" w:hAnsiTheme="majorHAnsi" w:cs="Arial"/>
        </w:rPr>
        <w:t xml:space="preserve">to </w:t>
      </w:r>
      <w:r w:rsidR="00FF2A55">
        <w:rPr>
          <w:rFonts w:asciiTheme="majorHAnsi" w:hAnsiTheme="majorHAnsi" w:cs="Arial"/>
        </w:rPr>
        <w:t>the plasma half-life.</w:t>
      </w:r>
      <w:r w:rsidR="00514DE4">
        <w:rPr>
          <w:rFonts w:asciiTheme="majorHAnsi" w:hAnsiTheme="majorHAnsi" w:cs="Arial"/>
        </w:rPr>
        <w:t xml:space="preserve">  Stretching the dosing interval beyond </w:t>
      </w:r>
      <w:r w:rsidR="0062151E">
        <w:rPr>
          <w:rFonts w:asciiTheme="majorHAnsi" w:hAnsiTheme="majorHAnsi" w:cs="Arial"/>
        </w:rPr>
        <w:t>multiples of the half-</w:t>
      </w:r>
      <w:r w:rsidR="00A06DF9">
        <w:rPr>
          <w:rFonts w:asciiTheme="majorHAnsi" w:hAnsiTheme="majorHAnsi" w:cs="Arial"/>
        </w:rPr>
        <w:t xml:space="preserve">life will </w:t>
      </w:r>
      <w:r w:rsidR="00344598">
        <w:rPr>
          <w:rFonts w:asciiTheme="majorHAnsi" w:hAnsiTheme="majorHAnsi" w:cs="Arial"/>
        </w:rPr>
        <w:t xml:space="preserve">inevitably </w:t>
      </w:r>
      <w:r w:rsidR="00A06DF9">
        <w:rPr>
          <w:rFonts w:asciiTheme="majorHAnsi" w:hAnsiTheme="majorHAnsi" w:cs="Arial"/>
        </w:rPr>
        <w:t xml:space="preserve">tend to </w:t>
      </w:r>
      <w:r w:rsidR="0062151E">
        <w:rPr>
          <w:rFonts w:asciiTheme="majorHAnsi" w:hAnsiTheme="majorHAnsi" w:cs="Arial"/>
        </w:rPr>
        <w:t xml:space="preserve">make </w:t>
      </w:r>
      <w:r w:rsidR="00987AA5">
        <w:rPr>
          <w:rFonts w:asciiTheme="majorHAnsi" w:hAnsiTheme="majorHAnsi" w:cs="Arial"/>
        </w:rPr>
        <w:t>the pattern of antifungal activity appear time</w:t>
      </w:r>
      <w:r w:rsidR="00000EE1">
        <w:rPr>
          <w:rFonts w:asciiTheme="majorHAnsi" w:hAnsiTheme="majorHAnsi" w:cs="Arial"/>
        </w:rPr>
        <w:t>-</w:t>
      </w:r>
      <w:r w:rsidR="00987AA5">
        <w:rPr>
          <w:rFonts w:asciiTheme="majorHAnsi" w:hAnsiTheme="majorHAnsi" w:cs="Arial"/>
        </w:rPr>
        <w:t xml:space="preserve">dependent.  Conversely, </w:t>
      </w:r>
      <w:r w:rsidR="00321215">
        <w:rPr>
          <w:rFonts w:asciiTheme="majorHAnsi" w:hAnsiTheme="majorHAnsi" w:cs="Arial"/>
        </w:rPr>
        <w:t xml:space="preserve">if the dosing interval is </w:t>
      </w:r>
      <w:r w:rsidR="002034DD">
        <w:rPr>
          <w:rFonts w:asciiTheme="majorHAnsi" w:hAnsiTheme="majorHAnsi" w:cs="Arial"/>
        </w:rPr>
        <w:t xml:space="preserve">much shorter than the </w:t>
      </w:r>
      <w:r w:rsidR="00344598">
        <w:rPr>
          <w:rFonts w:asciiTheme="majorHAnsi" w:hAnsiTheme="majorHAnsi" w:cs="Arial"/>
        </w:rPr>
        <w:t>half-life</w:t>
      </w:r>
      <w:r w:rsidR="002034DD">
        <w:rPr>
          <w:rFonts w:asciiTheme="majorHAnsi" w:hAnsiTheme="majorHAnsi" w:cs="Arial"/>
        </w:rPr>
        <w:t xml:space="preserve">, the peak </w:t>
      </w:r>
      <w:r w:rsidR="00344598">
        <w:rPr>
          <w:rFonts w:asciiTheme="majorHAnsi" w:hAnsiTheme="majorHAnsi" w:cs="Arial"/>
        </w:rPr>
        <w:t xml:space="preserve">concentration </w:t>
      </w:r>
      <w:r w:rsidR="002034DD">
        <w:rPr>
          <w:rFonts w:asciiTheme="majorHAnsi" w:hAnsiTheme="majorHAnsi" w:cs="Arial"/>
        </w:rPr>
        <w:t xml:space="preserve">will </w:t>
      </w:r>
      <w:r w:rsidR="004B6BBB">
        <w:rPr>
          <w:rFonts w:asciiTheme="majorHAnsi" w:hAnsiTheme="majorHAnsi" w:cs="Arial"/>
        </w:rPr>
        <w:t xml:space="preserve">tend to </w:t>
      </w:r>
      <w:r w:rsidR="002034DD">
        <w:rPr>
          <w:rFonts w:asciiTheme="majorHAnsi" w:hAnsiTheme="majorHAnsi" w:cs="Arial"/>
        </w:rPr>
        <w:t>appear important.</w:t>
      </w:r>
      <w:r w:rsidR="0062151E">
        <w:rPr>
          <w:rFonts w:asciiTheme="majorHAnsi" w:hAnsiTheme="majorHAnsi" w:cs="Arial"/>
        </w:rPr>
        <w:t xml:space="preserve"> </w:t>
      </w:r>
      <w:r w:rsidR="009D3F15">
        <w:rPr>
          <w:rFonts w:asciiTheme="majorHAnsi" w:hAnsiTheme="majorHAnsi" w:cs="Arial"/>
        </w:rPr>
        <w:t xml:space="preserve"> An important additional consideration is the post antifungal effect (</w:t>
      </w:r>
      <w:r w:rsidR="00B4116D">
        <w:rPr>
          <w:rFonts w:asciiTheme="majorHAnsi" w:hAnsiTheme="majorHAnsi" w:cs="Arial"/>
        </w:rPr>
        <w:t xml:space="preserve">PAFE; </w:t>
      </w:r>
      <w:r w:rsidR="009D3F15">
        <w:rPr>
          <w:rFonts w:asciiTheme="majorHAnsi" w:hAnsiTheme="majorHAnsi" w:cs="Arial"/>
        </w:rPr>
        <w:t xml:space="preserve">defined as the time </w:t>
      </w:r>
      <w:r w:rsidR="002F4961">
        <w:rPr>
          <w:rFonts w:asciiTheme="majorHAnsi" w:hAnsiTheme="majorHAnsi" w:cs="Arial"/>
        </w:rPr>
        <w:t>for a 1-log growth after drug concentrations drop beneath the MIC)</w:t>
      </w:r>
      <w:r w:rsidR="00B4116D">
        <w:rPr>
          <w:rFonts w:asciiTheme="majorHAnsi" w:hAnsiTheme="majorHAnsi" w:cs="Arial"/>
        </w:rPr>
        <w:t xml:space="preserve">.  </w:t>
      </w:r>
      <w:r w:rsidR="0074548A">
        <w:rPr>
          <w:rFonts w:asciiTheme="majorHAnsi" w:hAnsiTheme="majorHAnsi" w:cs="Arial"/>
        </w:rPr>
        <w:t xml:space="preserve">Agents that exhibit prolonged PAFE exhibit persistent antifungal effect </w:t>
      </w:r>
      <w:r w:rsidR="00B46AEE">
        <w:rPr>
          <w:rFonts w:asciiTheme="majorHAnsi" w:hAnsiTheme="majorHAnsi" w:cs="Arial"/>
        </w:rPr>
        <w:t>even when serum drug concentrations are negligible</w:t>
      </w:r>
      <w:r w:rsidR="00BA7292">
        <w:rPr>
          <w:rFonts w:asciiTheme="majorHAnsi" w:hAnsiTheme="majorHAnsi" w:cs="Arial"/>
        </w:rPr>
        <w:t>.</w:t>
      </w:r>
      <w:r w:rsidR="00B46AEE">
        <w:rPr>
          <w:rFonts w:asciiTheme="majorHAnsi" w:hAnsiTheme="majorHAnsi" w:cs="Arial"/>
        </w:rPr>
        <w:t xml:space="preserve"> </w:t>
      </w:r>
    </w:p>
    <w:p w14:paraId="4FCDBD9B" w14:textId="77777777" w:rsidR="00BA449B" w:rsidRPr="0026033C" w:rsidRDefault="00BA449B" w:rsidP="007A2846">
      <w:pPr>
        <w:widowControl w:val="0"/>
        <w:autoSpaceDE w:val="0"/>
        <w:autoSpaceDN w:val="0"/>
        <w:adjustRightInd w:val="0"/>
        <w:spacing w:line="276" w:lineRule="auto"/>
        <w:rPr>
          <w:rFonts w:asciiTheme="majorHAnsi" w:hAnsiTheme="majorHAnsi" w:cs="Arial"/>
        </w:rPr>
      </w:pPr>
      <w:r>
        <w:rPr>
          <w:rFonts w:asciiTheme="majorHAnsi" w:hAnsiTheme="majorHAnsi" w:cs="Arial"/>
        </w:rPr>
        <w:tab/>
        <w:t xml:space="preserve">Elucidation of the relevant pharmacodynamic index for any given agent can generally only be </w:t>
      </w:r>
      <w:r w:rsidR="000F210A">
        <w:rPr>
          <w:rFonts w:asciiTheme="majorHAnsi" w:hAnsiTheme="majorHAnsi" w:cs="Arial"/>
        </w:rPr>
        <w:t>established</w:t>
      </w:r>
      <w:r>
        <w:rPr>
          <w:rFonts w:asciiTheme="majorHAnsi" w:hAnsiTheme="majorHAnsi" w:cs="Arial"/>
        </w:rPr>
        <w:t xml:space="preserve"> in preclinical </w:t>
      </w:r>
      <w:r w:rsidR="008E4F83">
        <w:rPr>
          <w:rFonts w:asciiTheme="majorHAnsi" w:hAnsiTheme="majorHAnsi" w:cs="Arial"/>
        </w:rPr>
        <w:t>models</w:t>
      </w:r>
      <w:r>
        <w:rPr>
          <w:rFonts w:asciiTheme="majorHAnsi" w:hAnsiTheme="majorHAnsi" w:cs="Arial"/>
        </w:rPr>
        <w:t xml:space="preserve">. </w:t>
      </w:r>
      <w:r w:rsidR="0062135C">
        <w:rPr>
          <w:rFonts w:asciiTheme="majorHAnsi" w:hAnsiTheme="majorHAnsi" w:cs="Arial"/>
        </w:rPr>
        <w:t>Usually,</w:t>
      </w:r>
      <w:r w:rsidR="00230676">
        <w:rPr>
          <w:rFonts w:asciiTheme="majorHAnsi" w:hAnsiTheme="majorHAnsi" w:cs="Arial"/>
        </w:rPr>
        <w:t xml:space="preserve"> </w:t>
      </w:r>
      <w:r w:rsidR="009D6E47">
        <w:rPr>
          <w:rFonts w:asciiTheme="majorHAnsi" w:hAnsiTheme="majorHAnsi" w:cs="Arial"/>
        </w:rPr>
        <w:t xml:space="preserve">only one schedule </w:t>
      </w:r>
      <w:r w:rsidR="0062135C">
        <w:rPr>
          <w:rFonts w:asciiTheme="majorHAnsi" w:hAnsiTheme="majorHAnsi" w:cs="Arial"/>
        </w:rPr>
        <w:t xml:space="preserve">of </w:t>
      </w:r>
      <w:r w:rsidR="00B83A0C">
        <w:rPr>
          <w:rFonts w:asciiTheme="majorHAnsi" w:hAnsiTheme="majorHAnsi" w:cs="Arial"/>
        </w:rPr>
        <w:t xml:space="preserve">drug </w:t>
      </w:r>
      <w:r w:rsidR="0062135C">
        <w:rPr>
          <w:rFonts w:asciiTheme="majorHAnsi" w:hAnsiTheme="majorHAnsi" w:cs="Arial"/>
        </w:rPr>
        <w:t xml:space="preserve">administration </w:t>
      </w:r>
      <w:r w:rsidR="009D6E47">
        <w:rPr>
          <w:rFonts w:asciiTheme="majorHAnsi" w:hAnsiTheme="majorHAnsi" w:cs="Arial"/>
        </w:rPr>
        <w:t xml:space="preserve">is studied </w:t>
      </w:r>
      <w:r w:rsidR="00230676">
        <w:rPr>
          <w:rFonts w:asciiTheme="majorHAnsi" w:hAnsiTheme="majorHAnsi" w:cs="Arial"/>
        </w:rPr>
        <w:t xml:space="preserve">in clinical settings, </w:t>
      </w:r>
      <w:r w:rsidR="007B6DCF">
        <w:rPr>
          <w:rFonts w:asciiTheme="majorHAnsi" w:hAnsiTheme="majorHAnsi" w:cs="Arial"/>
        </w:rPr>
        <w:t xml:space="preserve">which means </w:t>
      </w:r>
      <w:r w:rsidR="00230676">
        <w:rPr>
          <w:rFonts w:asciiTheme="majorHAnsi" w:hAnsiTheme="majorHAnsi" w:cs="Arial"/>
        </w:rPr>
        <w:t>th</w:t>
      </w:r>
      <w:r w:rsidR="00985FB7">
        <w:rPr>
          <w:rFonts w:asciiTheme="majorHAnsi" w:hAnsiTheme="majorHAnsi" w:cs="Arial"/>
        </w:rPr>
        <w:t xml:space="preserve">ere is no opportunity to examine the impact of different indices </w:t>
      </w:r>
      <w:r w:rsidR="00ED6B46">
        <w:rPr>
          <w:rFonts w:asciiTheme="majorHAnsi" w:hAnsiTheme="majorHAnsi" w:cs="Arial"/>
        </w:rPr>
        <w:t xml:space="preserve">on </w:t>
      </w:r>
      <w:r w:rsidR="007B6DCF">
        <w:rPr>
          <w:rFonts w:asciiTheme="majorHAnsi" w:hAnsiTheme="majorHAnsi" w:cs="Arial"/>
        </w:rPr>
        <w:t xml:space="preserve">clinical </w:t>
      </w:r>
      <w:r w:rsidR="00ED6B46">
        <w:rPr>
          <w:rFonts w:asciiTheme="majorHAnsi" w:hAnsiTheme="majorHAnsi" w:cs="Arial"/>
        </w:rPr>
        <w:t>outcome</w:t>
      </w:r>
      <w:r w:rsidR="007B6DCF">
        <w:rPr>
          <w:rFonts w:asciiTheme="majorHAnsi" w:hAnsiTheme="majorHAnsi" w:cs="Arial"/>
        </w:rPr>
        <w:t xml:space="preserve">s.  While there may be substantial pharmacokinetic variability following </w:t>
      </w:r>
      <w:r w:rsidR="00B83A0C">
        <w:rPr>
          <w:rFonts w:asciiTheme="majorHAnsi" w:hAnsiTheme="majorHAnsi" w:cs="Arial"/>
        </w:rPr>
        <w:t xml:space="preserve">the administration of </w:t>
      </w:r>
      <w:r w:rsidR="007B6DCF">
        <w:rPr>
          <w:rFonts w:asciiTheme="majorHAnsi" w:hAnsiTheme="majorHAnsi" w:cs="Arial"/>
        </w:rPr>
        <w:t>a single schedule, this is insufficient to break</w:t>
      </w:r>
      <w:r w:rsidR="00ED6B46">
        <w:rPr>
          <w:rFonts w:asciiTheme="majorHAnsi" w:hAnsiTheme="majorHAnsi" w:cs="Arial"/>
        </w:rPr>
        <w:t xml:space="preserve"> the covariance </w:t>
      </w:r>
      <w:r w:rsidR="00B83A0C">
        <w:rPr>
          <w:rFonts w:asciiTheme="majorHAnsi" w:hAnsiTheme="majorHAnsi" w:cs="Arial"/>
        </w:rPr>
        <w:t xml:space="preserve">that exists </w:t>
      </w:r>
      <w:r w:rsidR="007B6DCF">
        <w:rPr>
          <w:rFonts w:asciiTheme="majorHAnsi" w:hAnsiTheme="majorHAnsi" w:cs="Arial"/>
        </w:rPr>
        <w:t>for</w:t>
      </w:r>
      <w:r w:rsidR="00ED6B46">
        <w:rPr>
          <w:rFonts w:asciiTheme="majorHAnsi" w:hAnsiTheme="majorHAnsi" w:cs="Arial"/>
        </w:rPr>
        <w:t xml:space="preserve"> the </w:t>
      </w:r>
      <w:r w:rsidR="007B6DCF">
        <w:rPr>
          <w:rFonts w:asciiTheme="majorHAnsi" w:hAnsiTheme="majorHAnsi" w:cs="Arial"/>
        </w:rPr>
        <w:t xml:space="preserve">three </w:t>
      </w:r>
      <w:r w:rsidR="00ED6B46">
        <w:rPr>
          <w:rFonts w:asciiTheme="majorHAnsi" w:hAnsiTheme="majorHAnsi" w:cs="Arial"/>
        </w:rPr>
        <w:t xml:space="preserve">different </w:t>
      </w:r>
      <w:r w:rsidR="001A0A49">
        <w:rPr>
          <w:rFonts w:asciiTheme="majorHAnsi" w:hAnsiTheme="majorHAnsi" w:cs="Arial"/>
        </w:rPr>
        <w:t xml:space="preserve">pharmacodynamic </w:t>
      </w:r>
      <w:r w:rsidR="00ED6B46">
        <w:rPr>
          <w:rFonts w:asciiTheme="majorHAnsi" w:hAnsiTheme="majorHAnsi" w:cs="Arial"/>
        </w:rPr>
        <w:t>indices</w:t>
      </w:r>
      <w:r w:rsidR="00985FB7">
        <w:rPr>
          <w:rFonts w:asciiTheme="majorHAnsi" w:hAnsiTheme="majorHAnsi" w:cs="Arial"/>
        </w:rPr>
        <w:t xml:space="preserve">.  </w:t>
      </w:r>
    </w:p>
    <w:p w14:paraId="5016565C" w14:textId="77777777" w:rsidR="0030544C" w:rsidRDefault="0030544C" w:rsidP="007A2846">
      <w:pPr>
        <w:widowControl w:val="0"/>
        <w:autoSpaceDE w:val="0"/>
        <w:autoSpaceDN w:val="0"/>
        <w:adjustRightInd w:val="0"/>
        <w:spacing w:line="276" w:lineRule="auto"/>
        <w:rPr>
          <w:rFonts w:asciiTheme="majorHAnsi" w:hAnsiTheme="majorHAnsi" w:cs="Arial"/>
        </w:rPr>
      </w:pPr>
    </w:p>
    <w:p w14:paraId="157645E9" w14:textId="77777777" w:rsidR="00AD59D7" w:rsidRDefault="00AD59D7" w:rsidP="007A2846">
      <w:pPr>
        <w:widowControl w:val="0"/>
        <w:autoSpaceDE w:val="0"/>
        <w:autoSpaceDN w:val="0"/>
        <w:adjustRightInd w:val="0"/>
        <w:spacing w:line="276" w:lineRule="auto"/>
        <w:rPr>
          <w:rFonts w:asciiTheme="majorHAnsi" w:hAnsiTheme="majorHAnsi" w:cs="Arial"/>
        </w:rPr>
      </w:pPr>
    </w:p>
    <w:p w14:paraId="1F718838" w14:textId="77777777" w:rsidR="00AD59D7" w:rsidRDefault="00AD59D7" w:rsidP="007A2846">
      <w:pPr>
        <w:widowControl w:val="0"/>
        <w:autoSpaceDE w:val="0"/>
        <w:autoSpaceDN w:val="0"/>
        <w:adjustRightInd w:val="0"/>
        <w:spacing w:line="276" w:lineRule="auto"/>
        <w:rPr>
          <w:rFonts w:asciiTheme="majorHAnsi" w:hAnsiTheme="majorHAnsi" w:cs="Arial"/>
        </w:rPr>
      </w:pPr>
    </w:p>
    <w:p w14:paraId="277B2C45" w14:textId="77777777" w:rsidR="00AD59D7" w:rsidRDefault="00AD59D7" w:rsidP="007A2846">
      <w:pPr>
        <w:widowControl w:val="0"/>
        <w:autoSpaceDE w:val="0"/>
        <w:autoSpaceDN w:val="0"/>
        <w:adjustRightInd w:val="0"/>
        <w:spacing w:line="276" w:lineRule="auto"/>
        <w:rPr>
          <w:rFonts w:asciiTheme="majorHAnsi" w:hAnsiTheme="majorHAnsi" w:cs="Arial"/>
        </w:rPr>
      </w:pPr>
    </w:p>
    <w:p w14:paraId="655188C8" w14:textId="77777777" w:rsidR="001324F2" w:rsidRPr="0073162B" w:rsidRDefault="002C15C4" w:rsidP="007A2846">
      <w:pPr>
        <w:widowControl w:val="0"/>
        <w:autoSpaceDE w:val="0"/>
        <w:autoSpaceDN w:val="0"/>
        <w:adjustRightInd w:val="0"/>
        <w:spacing w:line="276" w:lineRule="auto"/>
        <w:rPr>
          <w:rFonts w:asciiTheme="majorHAnsi" w:hAnsiTheme="majorHAnsi" w:cs="Times New Roman"/>
          <w:u w:val="single"/>
          <w:lang w:val="en-US"/>
        </w:rPr>
      </w:pPr>
      <w:r w:rsidRPr="0073162B">
        <w:rPr>
          <w:rFonts w:asciiTheme="majorHAnsi" w:hAnsiTheme="majorHAnsi" w:cs="Times New Roman"/>
          <w:u w:val="single"/>
          <w:lang w:val="en-US"/>
        </w:rPr>
        <w:lastRenderedPageBreak/>
        <w:t xml:space="preserve">a. </w:t>
      </w:r>
      <w:r w:rsidR="00BD11E0" w:rsidRPr="0073162B">
        <w:rPr>
          <w:rFonts w:asciiTheme="majorHAnsi" w:hAnsiTheme="majorHAnsi" w:cs="Times New Roman"/>
          <w:u w:val="single"/>
          <w:lang w:val="en-US"/>
        </w:rPr>
        <w:t>Invasive Candidiasis</w:t>
      </w:r>
    </w:p>
    <w:p w14:paraId="03F94789" w14:textId="77777777" w:rsidR="00BD11E0" w:rsidRPr="007E2A5E" w:rsidRDefault="00BD11E0" w:rsidP="007A2846">
      <w:pPr>
        <w:widowControl w:val="0"/>
        <w:autoSpaceDE w:val="0"/>
        <w:autoSpaceDN w:val="0"/>
        <w:adjustRightInd w:val="0"/>
        <w:spacing w:line="276" w:lineRule="auto"/>
        <w:rPr>
          <w:rFonts w:asciiTheme="majorHAnsi" w:hAnsiTheme="majorHAnsi" w:cs="Times New Roman"/>
          <w:lang w:val="en-US"/>
        </w:rPr>
      </w:pPr>
    </w:p>
    <w:p w14:paraId="0D3A154F" w14:textId="77777777" w:rsidR="00064359" w:rsidRPr="0073162B" w:rsidRDefault="00B953EE" w:rsidP="007A2846">
      <w:pPr>
        <w:pStyle w:val="ListParagraph"/>
        <w:widowControl w:val="0"/>
        <w:numPr>
          <w:ilvl w:val="0"/>
          <w:numId w:val="24"/>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Models</w:t>
      </w:r>
      <w:r w:rsidR="00165D0B" w:rsidRPr="007E2A5E">
        <w:rPr>
          <w:rFonts w:asciiTheme="majorHAnsi" w:hAnsiTheme="majorHAnsi" w:cs="Times New Roman"/>
          <w:lang w:val="en-US"/>
        </w:rPr>
        <w:t xml:space="preserve"> of Invasive Candidiasis</w:t>
      </w:r>
      <w:r w:rsidR="005E2097" w:rsidRPr="0073162B">
        <w:rPr>
          <w:rFonts w:asciiTheme="majorHAnsi" w:hAnsiTheme="majorHAnsi" w:cs="Times New Roman"/>
          <w:lang w:val="en-US"/>
        </w:rPr>
        <w:t xml:space="preserve">: </w:t>
      </w:r>
    </w:p>
    <w:p w14:paraId="08503691" w14:textId="74ED70E6" w:rsidR="00B953EE" w:rsidRPr="007E2A5E" w:rsidRDefault="00064359"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5E2097" w:rsidRPr="0012015D">
        <w:rPr>
          <w:rFonts w:asciiTheme="majorHAnsi" w:hAnsiTheme="majorHAnsi" w:cs="Times New Roman"/>
          <w:lang w:val="en-US"/>
        </w:rPr>
        <w:t>The most commonly used model</w:t>
      </w:r>
      <w:r w:rsidR="00165D0B" w:rsidRPr="00C93520">
        <w:rPr>
          <w:rFonts w:asciiTheme="majorHAnsi" w:hAnsiTheme="majorHAnsi" w:cs="Times New Roman"/>
          <w:lang w:val="en-US"/>
        </w:rPr>
        <w:t>s</w:t>
      </w:r>
      <w:r w:rsidR="005E2097" w:rsidRPr="00906A82">
        <w:rPr>
          <w:rFonts w:asciiTheme="majorHAnsi" w:hAnsiTheme="majorHAnsi" w:cs="Times New Roman"/>
          <w:lang w:val="en-US"/>
        </w:rPr>
        <w:t xml:space="preserve"> of invasive candidiasis </w:t>
      </w:r>
      <w:r w:rsidR="005E6DF6" w:rsidRPr="00906A82">
        <w:rPr>
          <w:rFonts w:asciiTheme="majorHAnsi" w:hAnsiTheme="majorHAnsi" w:cs="Times New Roman"/>
          <w:lang w:val="en-US"/>
        </w:rPr>
        <w:t>are</w:t>
      </w:r>
      <w:r w:rsidR="005E2097" w:rsidRPr="008B61C3">
        <w:rPr>
          <w:rFonts w:asciiTheme="majorHAnsi" w:hAnsiTheme="majorHAnsi" w:cs="Times New Roman"/>
          <w:lang w:val="en-US"/>
        </w:rPr>
        <w:t xml:space="preserve"> neutropenic </w:t>
      </w:r>
      <w:r w:rsidR="005D5B5F" w:rsidRPr="008B61C3">
        <w:rPr>
          <w:rFonts w:asciiTheme="majorHAnsi" w:hAnsiTheme="majorHAnsi" w:cs="Times New Roman"/>
          <w:lang w:val="en-US"/>
        </w:rPr>
        <w:t>and non-neut</w:t>
      </w:r>
      <w:r w:rsidR="00970C3C" w:rsidRPr="007E2A5E">
        <w:rPr>
          <w:rFonts w:asciiTheme="majorHAnsi" w:hAnsiTheme="majorHAnsi" w:cs="Times New Roman"/>
          <w:lang w:val="en-US"/>
        </w:rPr>
        <w:t>r</w:t>
      </w:r>
      <w:r w:rsidR="005D5B5F" w:rsidRPr="007E2A5E">
        <w:rPr>
          <w:rFonts w:asciiTheme="majorHAnsi" w:hAnsiTheme="majorHAnsi" w:cs="Times New Roman"/>
          <w:lang w:val="en-US"/>
        </w:rPr>
        <w:t xml:space="preserve">openic </w:t>
      </w:r>
      <w:r w:rsidR="005E2097" w:rsidRPr="007E2A5E">
        <w:rPr>
          <w:rFonts w:asciiTheme="majorHAnsi" w:hAnsiTheme="majorHAnsi" w:cs="Times New Roman"/>
          <w:lang w:val="en-US"/>
        </w:rPr>
        <w:t>murine model</w:t>
      </w:r>
      <w:r w:rsidR="005D5B5F" w:rsidRPr="007E2A5E">
        <w:rPr>
          <w:rFonts w:asciiTheme="majorHAnsi" w:hAnsiTheme="majorHAnsi" w:cs="Times New Roman"/>
          <w:lang w:val="en-US"/>
        </w:rPr>
        <w:t>s</w:t>
      </w:r>
      <w:r w:rsidR="000A7D18" w:rsidRPr="007E2A5E">
        <w:rPr>
          <w:rFonts w:asciiTheme="majorHAnsi" w:hAnsiTheme="majorHAnsi" w:cs="Times New Roman"/>
          <w:lang w:val="en-US"/>
        </w:rPr>
        <w:t xml:space="preserve"> of disseminated infection</w:t>
      </w:r>
      <w:r w:rsidR="005E2097" w:rsidRPr="007E2A5E">
        <w:rPr>
          <w:rFonts w:asciiTheme="majorHAnsi" w:hAnsiTheme="majorHAnsi" w:cs="Times New Roman"/>
          <w:lang w:val="en-US"/>
        </w:rPr>
        <w:t>.</w:t>
      </w:r>
      <w:r w:rsidR="006C7B86">
        <w:rPr>
          <w:rFonts w:asciiTheme="majorHAnsi" w:hAnsiTheme="majorHAnsi" w:cs="Times New Roman"/>
          <w:lang w:val="en-US"/>
        </w:rPr>
        <w:t xml:space="preserve"> </w:t>
      </w:r>
      <w:r w:rsidR="004C0B31" w:rsidRPr="007E2A5E">
        <w:rPr>
          <w:rFonts w:asciiTheme="majorHAnsi" w:hAnsiTheme="majorHAnsi" w:cs="Times New Roman"/>
          <w:lang w:val="en-US"/>
        </w:rPr>
        <w:t>In both models</w:t>
      </w:r>
      <w:r w:rsidR="003F7189">
        <w:rPr>
          <w:rFonts w:asciiTheme="majorHAnsi" w:hAnsiTheme="majorHAnsi" w:cs="Times New Roman"/>
          <w:lang w:val="en-US"/>
        </w:rPr>
        <w:t>,</w:t>
      </w:r>
      <w:r w:rsidR="004C0B31" w:rsidRPr="007E2A5E">
        <w:rPr>
          <w:rFonts w:asciiTheme="majorHAnsi" w:hAnsiTheme="majorHAnsi" w:cs="Times New Roman"/>
          <w:lang w:val="en-US"/>
        </w:rPr>
        <w:t xml:space="preserve"> a</w:t>
      </w:r>
      <w:r w:rsidR="005D5B5F" w:rsidRPr="007E2A5E">
        <w:rPr>
          <w:rFonts w:asciiTheme="majorHAnsi" w:hAnsiTheme="majorHAnsi" w:cs="Times New Roman"/>
          <w:lang w:val="en-US"/>
        </w:rPr>
        <w:t xml:space="preserve"> suspension of </w:t>
      </w:r>
      <w:r w:rsidR="003F7189">
        <w:rPr>
          <w:rFonts w:asciiTheme="majorHAnsi" w:hAnsiTheme="majorHAnsi" w:cs="Times New Roman"/>
          <w:i/>
          <w:lang w:val="en-US"/>
        </w:rPr>
        <w:t>C</w:t>
      </w:r>
      <w:r w:rsidR="00AC110E">
        <w:rPr>
          <w:rFonts w:asciiTheme="majorHAnsi" w:hAnsiTheme="majorHAnsi" w:cs="Times New Roman"/>
          <w:i/>
          <w:lang w:val="en-US"/>
        </w:rPr>
        <w:t>andida</w:t>
      </w:r>
      <w:r w:rsidR="00952DBE" w:rsidRPr="007E2A5E">
        <w:rPr>
          <w:rFonts w:asciiTheme="majorHAnsi" w:hAnsiTheme="majorHAnsi" w:cs="Times New Roman"/>
          <w:lang w:val="en-US"/>
        </w:rPr>
        <w:t xml:space="preserve"> </w:t>
      </w:r>
      <w:proofErr w:type="spellStart"/>
      <w:r w:rsidR="00190FEC" w:rsidRPr="0012015D">
        <w:rPr>
          <w:rFonts w:asciiTheme="majorHAnsi" w:hAnsiTheme="majorHAnsi" w:cs="Times New Roman"/>
          <w:lang w:val="en-US"/>
        </w:rPr>
        <w:t>blastoconidia</w:t>
      </w:r>
      <w:proofErr w:type="spellEnd"/>
      <w:r w:rsidR="00190FEC" w:rsidRPr="0012015D">
        <w:rPr>
          <w:rFonts w:asciiTheme="majorHAnsi" w:hAnsiTheme="majorHAnsi" w:cs="Times New Roman"/>
          <w:lang w:val="en-US"/>
        </w:rPr>
        <w:t xml:space="preserve"> </w:t>
      </w:r>
      <w:r w:rsidR="005D5B5F" w:rsidRPr="00C93520">
        <w:rPr>
          <w:rFonts w:asciiTheme="majorHAnsi" w:hAnsiTheme="majorHAnsi" w:cs="Times New Roman"/>
          <w:lang w:val="en-US"/>
        </w:rPr>
        <w:t>is injected i.v</w:t>
      </w:r>
      <w:proofErr w:type="gramStart"/>
      <w:r w:rsidR="005D5B5F" w:rsidRPr="00C93520">
        <w:rPr>
          <w:rFonts w:asciiTheme="majorHAnsi" w:hAnsiTheme="majorHAnsi" w:cs="Times New Roman"/>
          <w:lang w:val="en-US"/>
        </w:rPr>
        <w:t>.</w:t>
      </w:r>
      <w:r w:rsidR="00190FEC" w:rsidRPr="00906A82">
        <w:rPr>
          <w:rFonts w:asciiTheme="majorHAnsi" w:hAnsiTheme="majorHAnsi" w:cs="Times New Roman"/>
          <w:lang w:val="en-US"/>
        </w:rPr>
        <w:t>,</w:t>
      </w:r>
      <w:proofErr w:type="gramEnd"/>
      <w:r w:rsidR="00190FEC" w:rsidRPr="00906A82">
        <w:rPr>
          <w:rFonts w:asciiTheme="majorHAnsi" w:hAnsiTheme="majorHAnsi" w:cs="Times New Roman"/>
          <w:lang w:val="en-US"/>
        </w:rPr>
        <w:t xml:space="preserve"> </w:t>
      </w:r>
      <w:r w:rsidR="003F7189">
        <w:rPr>
          <w:rFonts w:asciiTheme="majorHAnsi" w:hAnsiTheme="majorHAnsi" w:cs="Times New Roman"/>
          <w:lang w:val="en-US"/>
        </w:rPr>
        <w:t>thereby rapidly causing</w:t>
      </w:r>
      <w:r w:rsidR="005D5B5F" w:rsidRPr="008B61C3">
        <w:rPr>
          <w:rFonts w:asciiTheme="majorHAnsi" w:hAnsiTheme="majorHAnsi" w:cs="Times New Roman"/>
          <w:lang w:val="en-US"/>
        </w:rPr>
        <w:t xml:space="preserve"> disseminated disease</w:t>
      </w:r>
      <w:r w:rsidR="003141EE">
        <w:rPr>
          <w:rFonts w:asciiTheme="majorHAnsi" w:hAnsiTheme="majorHAnsi" w:cs="Times New Roman"/>
          <w:lang w:val="en-US"/>
        </w:rPr>
        <w:t xml:space="preserve"> in the liver, spleen, brain and kidney</w:t>
      </w:r>
      <w:r w:rsidR="005D5B5F" w:rsidRPr="008B61C3">
        <w:rPr>
          <w:rFonts w:asciiTheme="majorHAnsi" w:hAnsiTheme="majorHAnsi" w:cs="Times New Roman"/>
          <w:lang w:val="en-US"/>
        </w:rPr>
        <w:t>.</w:t>
      </w:r>
      <w:r w:rsidR="006C7B86">
        <w:rPr>
          <w:rFonts w:asciiTheme="majorHAnsi" w:hAnsiTheme="majorHAnsi" w:cs="Times New Roman"/>
          <w:lang w:val="en-US"/>
        </w:rPr>
        <w:t xml:space="preserve"> </w:t>
      </w:r>
      <w:r w:rsidR="00E6231A">
        <w:rPr>
          <w:rFonts w:asciiTheme="majorHAnsi" w:hAnsiTheme="majorHAnsi" w:cs="Times New Roman"/>
          <w:lang w:val="en-US"/>
        </w:rPr>
        <w:t xml:space="preserve">This model mimics disseminated infection in the context of an i.v. </w:t>
      </w:r>
      <w:proofErr w:type="gramStart"/>
      <w:r w:rsidR="00E6231A">
        <w:rPr>
          <w:rFonts w:asciiTheme="majorHAnsi" w:hAnsiTheme="majorHAnsi" w:cs="Times New Roman"/>
          <w:lang w:val="en-US"/>
        </w:rPr>
        <w:t>catheter</w:t>
      </w:r>
      <w:proofErr w:type="gramEnd"/>
      <w:r w:rsidR="003A20C9">
        <w:rPr>
          <w:rFonts w:asciiTheme="majorHAnsi" w:hAnsiTheme="majorHAnsi" w:cs="Times New Roman"/>
          <w:lang w:val="en-US"/>
        </w:rPr>
        <w:t>.</w:t>
      </w:r>
      <w:r w:rsidR="00E6231A">
        <w:rPr>
          <w:rFonts w:asciiTheme="majorHAnsi" w:hAnsiTheme="majorHAnsi" w:cs="Times New Roman"/>
          <w:lang w:val="en-US"/>
        </w:rPr>
        <w:t xml:space="preserve"> </w:t>
      </w:r>
      <w:r w:rsidR="005D5B5F" w:rsidRPr="008B61C3">
        <w:rPr>
          <w:rFonts w:asciiTheme="majorHAnsi" w:hAnsiTheme="majorHAnsi" w:cs="Times New Roman"/>
          <w:lang w:val="en-US"/>
        </w:rPr>
        <w:t xml:space="preserve">The most reliable </w:t>
      </w:r>
      <w:r w:rsidR="000A7D18" w:rsidRPr="007E2A5E">
        <w:rPr>
          <w:rFonts w:asciiTheme="majorHAnsi" w:hAnsiTheme="majorHAnsi" w:cs="Times New Roman"/>
          <w:lang w:val="en-US"/>
        </w:rPr>
        <w:t>effect site</w:t>
      </w:r>
      <w:r w:rsidR="005D5B5F" w:rsidRPr="007E2A5E">
        <w:rPr>
          <w:rFonts w:asciiTheme="majorHAnsi" w:hAnsiTheme="majorHAnsi" w:cs="Times New Roman"/>
          <w:lang w:val="en-US"/>
        </w:rPr>
        <w:t xml:space="preserve"> </w:t>
      </w:r>
      <w:r w:rsidR="00190FEC" w:rsidRPr="007E2A5E">
        <w:rPr>
          <w:rFonts w:asciiTheme="majorHAnsi" w:hAnsiTheme="majorHAnsi" w:cs="Times New Roman"/>
          <w:lang w:val="en-US"/>
        </w:rPr>
        <w:t>tha</w:t>
      </w:r>
      <w:r w:rsidR="005E6DF6" w:rsidRPr="007E2A5E">
        <w:rPr>
          <w:rFonts w:asciiTheme="majorHAnsi" w:hAnsiTheme="majorHAnsi" w:cs="Times New Roman"/>
          <w:lang w:val="en-US"/>
        </w:rPr>
        <w:t>t</w:t>
      </w:r>
      <w:r w:rsidR="00190FEC" w:rsidRPr="007E2A5E">
        <w:rPr>
          <w:rFonts w:asciiTheme="majorHAnsi" w:hAnsiTheme="majorHAnsi" w:cs="Times New Roman"/>
          <w:lang w:val="en-US"/>
        </w:rPr>
        <w:t xml:space="preserve"> is </w:t>
      </w:r>
      <w:r w:rsidR="000358D0" w:rsidRPr="007E2A5E">
        <w:rPr>
          <w:rFonts w:asciiTheme="majorHAnsi" w:hAnsiTheme="majorHAnsi" w:cs="Times New Roman"/>
          <w:lang w:val="en-US"/>
        </w:rPr>
        <w:t xml:space="preserve">used quantify fungal burden </w:t>
      </w:r>
      <w:r w:rsidR="005D5B5F" w:rsidRPr="007E2A5E">
        <w:rPr>
          <w:rFonts w:asciiTheme="majorHAnsi" w:hAnsiTheme="majorHAnsi" w:cs="Times New Roman"/>
          <w:lang w:val="en-US"/>
        </w:rPr>
        <w:t>is the kidney</w:t>
      </w:r>
      <w:r w:rsidR="0065550E">
        <w:rPr>
          <w:rFonts w:asciiTheme="majorHAnsi" w:hAnsiTheme="majorHAnsi" w:cs="Times New Roman"/>
          <w:lang w:val="en-US"/>
        </w:rPr>
        <w:t>.</w:t>
      </w:r>
      <w:r w:rsidR="006C7B86">
        <w:rPr>
          <w:rFonts w:asciiTheme="majorHAnsi" w:hAnsiTheme="majorHAnsi" w:cs="Times New Roman"/>
          <w:lang w:val="en-US"/>
        </w:rPr>
        <w:t xml:space="preserve"> </w:t>
      </w:r>
      <w:r w:rsidR="000358D0" w:rsidRPr="007E2A5E">
        <w:rPr>
          <w:rFonts w:asciiTheme="majorHAnsi" w:hAnsiTheme="majorHAnsi" w:cs="Times New Roman"/>
          <w:lang w:val="en-US"/>
        </w:rPr>
        <w:t>T</w:t>
      </w:r>
      <w:r w:rsidR="005D5B5F" w:rsidRPr="007E2A5E">
        <w:rPr>
          <w:rFonts w:asciiTheme="majorHAnsi" w:hAnsiTheme="majorHAnsi" w:cs="Times New Roman"/>
          <w:lang w:val="en-US"/>
        </w:rPr>
        <w:t xml:space="preserve">he histopathological sequence for invasion </w:t>
      </w:r>
      <w:r w:rsidR="0065550E">
        <w:rPr>
          <w:rFonts w:asciiTheme="majorHAnsi" w:hAnsiTheme="majorHAnsi" w:cs="Times New Roman"/>
          <w:lang w:val="en-US"/>
        </w:rPr>
        <w:t>within the murine kidney</w:t>
      </w:r>
      <w:r w:rsidR="000358D0" w:rsidRPr="007E2A5E">
        <w:rPr>
          <w:rFonts w:asciiTheme="majorHAnsi" w:hAnsiTheme="majorHAnsi" w:cs="Times New Roman"/>
          <w:lang w:val="en-US"/>
        </w:rPr>
        <w:t xml:space="preserve"> </w:t>
      </w:r>
      <w:r w:rsidR="005D5B5F" w:rsidRPr="007E2A5E">
        <w:rPr>
          <w:rFonts w:asciiTheme="majorHAnsi" w:hAnsiTheme="majorHAnsi" w:cs="Times New Roman"/>
          <w:lang w:val="en-US"/>
        </w:rPr>
        <w:t>has been documented</w:t>
      </w:r>
      <w:r w:rsidR="00F065DC">
        <w:rPr>
          <w:rFonts w:asciiTheme="majorHAnsi" w:hAnsiTheme="majorHAnsi" w:cs="Times New Roman"/>
          <w:lang w:val="en-US"/>
        </w:rPr>
        <w:t>.</w:t>
      </w:r>
      <w:r w:rsidR="004D32CF">
        <w:rPr>
          <w:rFonts w:asciiTheme="majorHAnsi" w:hAnsiTheme="majorHAnsi" w:cs="Times New Roman"/>
          <w:lang w:val="en-US"/>
        </w:rPr>
        <w:fldChar w:fldCharType="begin" w:fldLock="1"/>
      </w:r>
      <w:r w:rsidR="00A23CE0">
        <w:rPr>
          <w:rFonts w:asciiTheme="majorHAnsi" w:hAnsiTheme="majorHAnsi" w:cs="Times New Roman"/>
          <w:lang w:val="en-US"/>
        </w:rPr>
        <w:instrText>ADDIN CSL_CITATION { "citationItems" : [ { "id" : "ITEM-1", "itemData" : { "DOI" : "10.1128/AAC.00601-06", "ISBN" : "0066-4804 (Print)\r0066-4804 (Linking)", "PMID" : "17088486", "abstract" : "Disseminated candidiasis is associated with a high rate of morbidity and mortality. The presence of neutrophils and the timely administration of antifungal agents are likely to be critical factors for a favorable therapeutic outcome of this syndrome. The effect of neutropenia on the temporal profile of the burden of Candida albicans in untreated mice and those treated with amphotericin B was determined using a pharmacodynamic model of disseminated candidiasis. A mathematical model was developed to describe the rate and extent of the C. albicans killing attributable to neutrophils and to amphotericin B. The consequences of a delay in the administration of amphotericin B, flucytosine, or micafungin were studied by defining dose-response relationships. Neutrophils caused a logarithmic decline in fungal burden in treated and untreated mice. The combination of amphotericin B and neutrophils resulted in a high rate of Candida killing and a sustained anti-C. albicans effect. In neutropenic mice, 5 mg/kg of body weight of amphotericin B was required to prevent progressive logarithmic growth. An increased delay in drug administration resulted in a reduction in the maximum effect to a point at which no drug effect could be observed. Neutrophils and the timely initiation of antifungal agents are critical determinants in the treatment of experimental disseminated candidiasis.", "author" : [ { "dropping-particle" : "", "family" : "Hope", "given" : "William W", "non-dropping-particle" : "", "parse-names" : false, "suffix" : "" }, { "dropping-particle" : "", "family" : "Drusano", "given" : "George L", "non-dropping-particle" : "", "parse-names" : false, "suffix" : "" }, { "dropping-particle" : "", "family" : "Moore", "given" : "Caroline B", "non-dropping-particle" : "", "parse-names" : false, "suffix" : "" }, { "dropping-particle" : "", "family" : "Sharp", "given" : "Andrew", "non-dropping-particle" : "", "parse-names" : false, "suffix" : "" }, { "dropping-particle" : "", "family" : "Louie", "given" : "Arnold", "non-dropping-particle" : "", "parse-names" : false, "suffix" : "" }, { "dropping-particle" : "", "family" : "Walsh", "given" : "Thomas J", "non-dropping-particle" : "", "parse-names" : false, "suffix" : "" }, { "dropping-particle" : "", "family" : "Denning", "given" : "David W", "non-dropping-particle" : "", "parse-names" : false, "suffix" : "" }, { "dropping-particle" : "", "family" : "Warn", "given" : "Peter A", "non-dropping-particle" : "", "parse-names" : false, "suffix" : "" } ], "container-title" : "Antimicrobial agents and chemotherapy", "edition" : "2006/11/08", "id" : "ITEM-1", "issue" : "1", "issued" : { "date-parts" : [ [ "2007" ] ] }, "language" : "eng", "note" : "From Duplicate 1 (Effect of neutropenia and treatment delay on the response to antifungal agents in experimental disseminated candidiasis - Hope, W W; Drusano, G L; Moore, C B; Sharp, A; Louie, A; Walsh, T J; Denning, D W; Warn, P A)\n\nHope, William W\nDrusano, George L\nMoore, Caroline B\nSharp, Andrew\nLouie, Arnold\nWalsh, Thomas J\nDenning, David W\nWarn, Peter A\nAntimicrob Agents Chemother. 2007 Jan;51(1):285-95. Epub 2006 Nov 6.", "page" : "285-295", "publisher" : "Am Soc Microbiol", "title" : "Effect of neutropenia and treatment delay on the response to antifungal agents in experimental disseminated candidiasis", "type" : "article-journal", "volume" : "51" }, "uris" : [ "http://www.mendeley.com/documents/?uuid=92cc24b0-a885-41f8-99d8-828fadaff1a2" ] } ], "mendeley" : { "formattedCitation" : "&lt;sup&gt;9&lt;/sup&gt;", "plainTextFormattedCitation" : "9", "previouslyFormattedCitation" : "&lt;sup&gt;9&lt;/sup&gt;"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0B527C" w:rsidRPr="000B527C">
        <w:rPr>
          <w:rFonts w:asciiTheme="majorHAnsi" w:hAnsiTheme="majorHAnsi" w:cs="Times New Roman"/>
          <w:noProof/>
          <w:vertAlign w:val="superscript"/>
          <w:lang w:val="en-US"/>
        </w:rPr>
        <w:t>9</w:t>
      </w:r>
      <w:r w:rsidR="004D32CF">
        <w:rPr>
          <w:rFonts w:asciiTheme="majorHAnsi" w:hAnsiTheme="majorHAnsi" w:cs="Times New Roman"/>
          <w:lang w:val="en-US"/>
        </w:rPr>
        <w:fldChar w:fldCharType="end"/>
      </w:r>
      <w:r w:rsidR="006C7B86">
        <w:rPr>
          <w:rFonts w:asciiTheme="majorHAnsi" w:hAnsiTheme="majorHAnsi" w:cs="Times New Roman"/>
          <w:lang w:val="en-US"/>
        </w:rPr>
        <w:t xml:space="preserve"> </w:t>
      </w:r>
      <w:r w:rsidR="00054ACB" w:rsidRPr="007E2A5E">
        <w:rPr>
          <w:rFonts w:asciiTheme="majorHAnsi" w:hAnsiTheme="majorHAnsi" w:cs="Times New Roman"/>
          <w:lang w:val="en-US"/>
        </w:rPr>
        <w:t>Both neutropenic and non-neutropenic rabbit model</w:t>
      </w:r>
      <w:r w:rsidR="000A7D18" w:rsidRPr="007E2A5E">
        <w:rPr>
          <w:rFonts w:asciiTheme="majorHAnsi" w:hAnsiTheme="majorHAnsi" w:cs="Times New Roman"/>
          <w:lang w:val="en-US"/>
        </w:rPr>
        <w:t>s</w:t>
      </w:r>
      <w:r w:rsidR="00054ACB" w:rsidRPr="007E2A5E">
        <w:rPr>
          <w:rFonts w:asciiTheme="majorHAnsi" w:hAnsiTheme="majorHAnsi" w:cs="Times New Roman"/>
          <w:lang w:val="en-US"/>
        </w:rPr>
        <w:t xml:space="preserve"> of disseminated </w:t>
      </w:r>
      <w:r w:rsidR="008E39CB" w:rsidRPr="007E2A5E">
        <w:rPr>
          <w:rFonts w:asciiTheme="majorHAnsi" w:hAnsiTheme="majorHAnsi" w:cs="Times New Roman"/>
          <w:lang w:val="en-US"/>
        </w:rPr>
        <w:t>candidiasis</w:t>
      </w:r>
      <w:r w:rsidR="00054ACB" w:rsidRPr="007E2A5E">
        <w:rPr>
          <w:rFonts w:asciiTheme="majorHAnsi" w:hAnsiTheme="majorHAnsi" w:cs="Times New Roman"/>
          <w:lang w:val="en-US"/>
        </w:rPr>
        <w:t xml:space="preserve"> ha</w:t>
      </w:r>
      <w:r w:rsidR="000A7D18" w:rsidRPr="007E2A5E">
        <w:rPr>
          <w:rFonts w:asciiTheme="majorHAnsi" w:hAnsiTheme="majorHAnsi" w:cs="Times New Roman"/>
          <w:lang w:val="en-US"/>
        </w:rPr>
        <w:t>ve</w:t>
      </w:r>
      <w:r w:rsidR="00054ACB" w:rsidRPr="007E2A5E">
        <w:rPr>
          <w:rFonts w:asciiTheme="majorHAnsi" w:hAnsiTheme="majorHAnsi" w:cs="Times New Roman"/>
          <w:lang w:val="en-US"/>
        </w:rPr>
        <w:t xml:space="preserve"> also been used to characterise the </w:t>
      </w:r>
      <w:r w:rsidR="00A92534" w:rsidRPr="007E2A5E">
        <w:rPr>
          <w:rFonts w:asciiTheme="majorHAnsi" w:hAnsiTheme="majorHAnsi" w:cs="Times New Roman"/>
          <w:lang w:val="en-US"/>
        </w:rPr>
        <w:t>PK-PD of antifungal agents</w:t>
      </w:r>
      <w:r w:rsidR="0005159D">
        <w:rPr>
          <w:rFonts w:asciiTheme="majorHAnsi" w:hAnsiTheme="majorHAnsi" w:cs="Times New Roman"/>
          <w:lang w:val="en-US"/>
        </w:rPr>
        <w:t xml:space="preserve"> (see for example</w:t>
      </w:r>
      <w:r w:rsidR="004D32CF">
        <w:rPr>
          <w:rFonts w:asciiTheme="majorHAnsi" w:hAnsiTheme="majorHAnsi" w:cs="Times New Roman"/>
          <w:lang w:val="en-US"/>
        </w:rPr>
        <w:fldChar w:fldCharType="begin" w:fldLock="1"/>
      </w:r>
      <w:r w:rsidR="00A23CE0">
        <w:rPr>
          <w:rFonts w:asciiTheme="majorHAnsi" w:hAnsiTheme="majorHAnsi" w:cs="Times New Roman"/>
          <w:lang w:val="en-US"/>
        </w:rPr>
        <w:instrText>ADDIN CSL_CITATION { "citationItems" : [ { "id" : "ITEM-1", "itemData" : { "ISSN" : "0066-4804", "PMID" : "9797223", "abstract" : "LY303366 is a novel semisynthetic derivative of echinocandin B and a potent inhibitor of fungal (1,3)-beta-D-glucan synthase. The antifungal efficacy and safety of LY303366 were investigated in treatment and prophylaxis of primary pulmonary aspergillosis due to Aspergillus fumigatus in persistently neutropenic rabbits. Treatment study groups were either not treated (controls) or treated with amphotericin B (AmB) at 1 mg/kg of body weight per day or with LY303366 at 1, 5, 10, and 20 mg/kg/day. In rabbits treated with LY303366, there was a significant improvement in survival and a reduction in organism-mediated pulmonary injury measured by the number of infarcts, total lung weight, and ultrafast computerized tomography scan pulmonary lesion score. Rabbits receiving prophylactic LY303366 also demonstrated significant improvement in survival and reduction in organism-mediated pulmonary injury. AmB and LY303366 had comparable therapeutic efficacies by all parameters with the exception of reduction in tissue burden of A. fumigatus, where AmB was superior to LY303366. LY303366 demonstrated a dose-dependent effect on hyphal injury with progressive truncation, swelling, and vacuolization. LY303366 administered in single doses of 1, 5, 10, and 20 mg/kg demonstrated dose-proportional increases in the maximum concentration of drug in plasma and the area under the concentration-time curve from 0 to 72 h with no changes in plasma drug clearance. The 1-mg/kg dosage maintained plasma drug levels above the MIC for 18 h, and dosages of &gt;/=5 mg/kg maintained plasma drug levels above the MIC for the entire 24-h dosing interval. There was no significant elevation of the concentrations of hepatic transaminases or creatinine in serum in LY303366-treated rabbits. In summary, LY303366 improved survival and decreased pulmonary injury with no apparent toxicity in the treatment and prevention of invasive pulmonary aspergillosis in persistently neutropenic rabbits.", "author" : [ { "dropping-particle" : "", "family" : "Petraitis", "given" : "V", "non-dropping-particle" : "", "parse-names" : false, "suffix" : "" }, { "dropping-particle" : "", "family" : "Petraitiene", "given" : "R", "non-dropping-particle" : "", "parse-names" : false, "suffix" : "" }, { "dropping-particle" : "", "family" : "Groll", "given" : "a H", "non-dropping-particle" : "", "parse-names" : false, "suffix" : "" }, { "dropping-particle" : "", "family" : "Bell", "given" : "a", "non-dropping-particle" : "", "parse-names" : false, "suffix" : "" }, { "dropping-particle" : "", "family" : "Callender", "given" : "D P", "non-dropping-particle" : "", "parse-names" : false, "suffix" : "" }, { "dropping-particle" : "", "family" : "Sein", "given" : "T", "non-dropping-particle" : "", "parse-names" : false, "suffix" : "" }, { "dropping-particle" : "", "family" : "Schaufele", "given" : "R L", "non-dropping-particle" : "", "parse-names" : false, "suffix" : "" }, { "dropping-particle" : "", "family" : "McMillian", "given" : "C L", "non-dropping-particle" : "", "parse-names" : false, "suffix" : "" }, { "dropping-particle" : "", "family" : "Bacher", "given" : "J", "non-dropping-particle" : "", "parse-names" : false, "suffix" : "" }, { "dropping-particle" : "", "family" : "Walsh", "given" : "T J", "non-dropping-particle" : "", "parse-names" : false, "suffix" : "" } ], "container-title" : "Antimicrobial agents and chemotherapy", "id" : "ITEM-1", "issue" : "11", "issued" : { "date-parts" : [ [ "1998", "11" ] ] }, "page" : "2898-905", "title" : "Antifungal efficacy, safety, and single-dose pharmacokinetics of LY303366, a novel echinocandin B, in experimental pulmonary aspergillosis in persistently neutropenic rabbits.", "type" : "article-journal", "volume" : "42" }, "uris" : [ "http://www.mendeley.com/documents/?uuid=dd46052f-a6c0-420c-9f31-80fd643cad4d" ] }, { "id" : "ITEM-2", "itemData" : { "DOI" : "10.1128/AAC.01387-12", "ISBN" : "1098-6596 (Electronic) 0066-4804 (Linking)", "ISSN" : "1098-6596", "PMID" : "23114778", "abstract" : "Candida chorioretinitis and endophthalmitis are relatively common manifestations of disseminated candidiasis. Anidulafungin is increasingly used for the treatment of disseminated candidiasis, but its efficacy for Candida endophthalmitis is not known. A nonneutropenic model of hematogenous Candida endophthalmitis was used. Anidulafungin at 5, 10, and 20 mg/kg was initiated at 48 h postinoculation. The fungal densities in the kidney and vitreous humor were determined. Anidulafungin concentrations in the plasma and vitreous humor were measured using high-performance liquid chromatography (HPLC). A pharmacokinetic-pharmacodynamic model was used to link anidulafungin concentrations with the observed antifungal effect. The area under the concentration-time curve (AUC) associated with stasis was determined in the both the kidney and the vitreous humor. The results were bridged to humans to identify likely dosages that are associated with significant antifungal activity within the eye. Inoculation of Candida albicans resulted in logarithmic growth in both the vitreous humor and the kidney. The pharmacokinetics of anidulafungin were linear. There was dose-dependent penetration of the anidulafungin into the vitreous humor. The exposure-response relationships in the kidney and vitreous were completely discordant. AUCs of 270 and 100 were required for stasis in the eye and kidney, respectively. The currently licensed regimen results in an AUC for an average patient that is associated with stasis in the kidney but minimal antifungal activity in the eye. We conclude that anidulafungin penetrates the eye in a dose-dependent manner and that dosages higher than those currently licensed are required to achieve significant antifungal activity in the eye.", "author" : [ { "dropping-particle" : "", "family" : "Livermore", "given" : "J L", "non-dropping-particle" : "", "parse-names" : false, "suffix" : "" }, { "dropping-particle" : "", "family" : "Felton", "given" : "T W", "non-dropping-particle" : "", "parse-names" : false, "suffix" : "" }, { "dropping-particle" : "", "family" : "Abbott", "given" : "J", "non-dropping-particle" : "", "parse-names" : false, "suffix" : "" }, { "dropping-particle" : "", "family" : "Sharp", "given" : "A", "non-dropping-particle" : "", "parse-names" : false, "suffix" : "" }, { "dropping-particle" : "", "family" : "Goodwin", "given" : "J", "non-dropping-particle" : "", "parse-names" : false, "suffix" : "" }, { "dropping-particle" : "", "family" : "Gregson", "given" : "L", "non-dropping-particle" : "", "parse-names" : false, "suffix" : "" }, { "dropping-particle" : "", "family" : "Warn", "given" : "P A", "non-dropping-particle" : "", "parse-names" : false, "suffix" : "" }, { "dropping-particle" : "", "family" : "Howard", "given" : "S J", "non-dropping-particle" : "", "parse-names" : false, "suffix" : "" }, { "dropping-particle" : "", "family" : "Hope", "given" : "W W", "non-dropping-particle" : "", "parse-names" : false, "suffix" : "" } ], "container-title" : "Antimicrob Agents Chemother", "id" : "ITEM-2", "issue" : "1", "issued" : { "date-parts" : [ [ "2013", "1" ] ] }, "language" : "eng", "note" : "From Duplicate 1 ( \n\nPharmacokinetics and pharmacodynamics of anidulafungin for experimental Candida endophthalmitis: insights into the utility of echinocandins for treatment of a potentially sight-threatening infection\n\n- Livermore, J L; Felton, T W; Abbott, J; Sharp, A; Goodwin, J; Gregson, L; Warn, P A; Howard, S J; Hope, W W )\n\n\n\nLivermore, J L\nFelton, T W\nAbbott, J\nSharp, A\nGoodwin, J\nGregson, L\nWarn, P A\nHoward, S J\nHope, W W\nAntimicrob Agents Chemother. 2013 Jan;57(1):281-8. doi: 10.1128/AAC.01387-12. Epub 2012 Oct 31.", "page" : "281-288", "title" : "Pharmacokinetics and pharmacodynamics of anidulafungin for experimental Candida endophthalmitis: insights into the utility of echinocandins for treatment of a potentially sight-threatening infection", "type" : "article-journal", "volume" : "57" }, "uris" : [ "http://www.mendeley.com/documents/?uuid=8c41d53d-a084-489d-8bdc-7d1d5abd4fde" ] } ], "mendeley" : { "formattedCitation" : "&lt;sup&gt;10,11&lt;/sup&gt;", "plainTextFormattedCitation" : "10,11", "previouslyFormattedCitation" : "&lt;sup&gt;10,11&lt;/sup&gt;"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0B527C" w:rsidRPr="000B527C">
        <w:rPr>
          <w:rFonts w:asciiTheme="majorHAnsi" w:hAnsiTheme="majorHAnsi" w:cs="Times New Roman"/>
          <w:noProof/>
          <w:vertAlign w:val="superscript"/>
          <w:lang w:val="en-US"/>
        </w:rPr>
        <w:t>10,11</w:t>
      </w:r>
      <w:r w:rsidR="004D32CF">
        <w:rPr>
          <w:rFonts w:asciiTheme="majorHAnsi" w:hAnsiTheme="majorHAnsi" w:cs="Times New Roman"/>
          <w:lang w:val="en-US"/>
        </w:rPr>
        <w:fldChar w:fldCharType="end"/>
      </w:r>
      <w:r w:rsidR="00367F32">
        <w:rPr>
          <w:rFonts w:asciiTheme="majorHAnsi" w:hAnsiTheme="majorHAnsi" w:cs="Times New Roman"/>
          <w:lang w:val="en-US"/>
        </w:rPr>
        <w:t>)</w:t>
      </w:r>
      <w:r w:rsidR="00A92534" w:rsidRPr="007E2A5E">
        <w:rPr>
          <w:rFonts w:asciiTheme="majorHAnsi" w:hAnsiTheme="majorHAnsi" w:cs="Times New Roman"/>
          <w:lang w:val="en-US"/>
        </w:rPr>
        <w:t>.</w:t>
      </w:r>
      <w:r w:rsidR="006C7B86">
        <w:rPr>
          <w:rFonts w:asciiTheme="majorHAnsi" w:hAnsiTheme="majorHAnsi" w:cs="Times New Roman"/>
          <w:lang w:val="en-US"/>
        </w:rPr>
        <w:t xml:space="preserve"> </w:t>
      </w:r>
      <w:r w:rsidR="00A92534" w:rsidRPr="007E2A5E">
        <w:rPr>
          <w:rFonts w:asciiTheme="majorHAnsi" w:hAnsiTheme="majorHAnsi" w:cs="Times New Roman"/>
          <w:lang w:val="en-US"/>
        </w:rPr>
        <w:t xml:space="preserve">Rabbit models of </w:t>
      </w:r>
      <w:proofErr w:type="spellStart"/>
      <w:r w:rsidR="00772045">
        <w:rPr>
          <w:rFonts w:asciiTheme="majorHAnsi" w:hAnsiTheme="majorHAnsi" w:cs="Times New Roman"/>
          <w:lang w:val="en-US"/>
        </w:rPr>
        <w:t>hematogenous</w:t>
      </w:r>
      <w:proofErr w:type="spellEnd"/>
      <w:r w:rsidR="00772045">
        <w:rPr>
          <w:rFonts w:asciiTheme="majorHAnsi" w:hAnsiTheme="majorHAnsi" w:cs="Times New Roman"/>
          <w:lang w:val="en-US"/>
        </w:rPr>
        <w:t xml:space="preserve"> </w:t>
      </w:r>
      <w:r w:rsidR="00772045" w:rsidRPr="00772045">
        <w:rPr>
          <w:rFonts w:asciiTheme="majorHAnsi" w:hAnsiTheme="majorHAnsi" w:cs="Times New Roman"/>
          <w:i/>
          <w:lang w:val="en-US"/>
        </w:rPr>
        <w:t>Candida</w:t>
      </w:r>
      <w:r w:rsidR="00772045">
        <w:rPr>
          <w:rFonts w:asciiTheme="majorHAnsi" w:hAnsiTheme="majorHAnsi" w:cs="Times New Roman"/>
          <w:lang w:val="en-US"/>
        </w:rPr>
        <w:t xml:space="preserve"> meningoencephalitis (</w:t>
      </w:r>
      <w:r w:rsidR="00A92534" w:rsidRPr="007E2A5E">
        <w:rPr>
          <w:rFonts w:asciiTheme="majorHAnsi" w:hAnsiTheme="majorHAnsi" w:cs="Times New Roman"/>
          <w:lang w:val="en-US"/>
        </w:rPr>
        <w:t>HCME</w:t>
      </w:r>
      <w:r w:rsidR="00772045">
        <w:rPr>
          <w:rFonts w:asciiTheme="majorHAnsi" w:hAnsiTheme="majorHAnsi" w:cs="Times New Roman"/>
          <w:lang w:val="en-US"/>
        </w:rPr>
        <w:t>), which is a commonly encountered disease in premature neonates</w:t>
      </w:r>
      <w:r w:rsidR="003822FA">
        <w:rPr>
          <w:rFonts w:asciiTheme="majorHAnsi" w:hAnsiTheme="majorHAnsi" w:cs="Times New Roman"/>
          <w:lang w:val="en-US"/>
        </w:rPr>
        <w:t>,</w:t>
      </w:r>
      <w:r w:rsidR="00A92534" w:rsidRPr="007E2A5E">
        <w:rPr>
          <w:rFonts w:asciiTheme="majorHAnsi" w:hAnsiTheme="majorHAnsi" w:cs="Times New Roman"/>
          <w:lang w:val="en-US"/>
        </w:rPr>
        <w:t xml:space="preserve"> have been developed</w:t>
      </w:r>
      <w:r w:rsidR="00315D49" w:rsidRPr="007E2A5E">
        <w:rPr>
          <w:rFonts w:asciiTheme="majorHAnsi" w:hAnsiTheme="majorHAnsi" w:cs="Times New Roman"/>
          <w:lang w:val="en-US"/>
        </w:rPr>
        <w:t xml:space="preserve"> in which </w:t>
      </w:r>
      <w:r w:rsidR="00315D49" w:rsidRPr="0073162B">
        <w:rPr>
          <w:rFonts w:asciiTheme="majorHAnsi" w:hAnsiTheme="majorHAnsi" w:cs="Times New Roman"/>
          <w:i/>
          <w:lang w:val="en-US"/>
        </w:rPr>
        <w:t>Candida</w:t>
      </w:r>
      <w:r w:rsidR="00315D49" w:rsidRPr="007E2A5E">
        <w:rPr>
          <w:rFonts w:asciiTheme="majorHAnsi" w:hAnsiTheme="majorHAnsi" w:cs="Times New Roman"/>
          <w:lang w:val="en-US"/>
        </w:rPr>
        <w:t xml:space="preserve"> invades from the bloodstream into various </w:t>
      </w:r>
      <w:r w:rsidR="00D95D7B" w:rsidRPr="007E2A5E">
        <w:rPr>
          <w:rFonts w:asciiTheme="majorHAnsi" w:hAnsiTheme="majorHAnsi" w:cs="Times New Roman"/>
          <w:lang w:val="en-US"/>
        </w:rPr>
        <w:t>sub</w:t>
      </w:r>
      <w:r w:rsidR="009B79B7" w:rsidRPr="007E2A5E">
        <w:rPr>
          <w:rFonts w:asciiTheme="majorHAnsi" w:hAnsiTheme="majorHAnsi" w:cs="Times New Roman"/>
          <w:lang w:val="en-US"/>
        </w:rPr>
        <w:t>-</w:t>
      </w:r>
      <w:r w:rsidR="00D95D7B" w:rsidRPr="007E2A5E">
        <w:rPr>
          <w:rFonts w:asciiTheme="majorHAnsi" w:hAnsiTheme="majorHAnsi" w:cs="Times New Roman"/>
          <w:lang w:val="en-US"/>
        </w:rPr>
        <w:t>compartments within the central nervous system</w:t>
      </w:r>
      <w:r w:rsidR="00142BFD" w:rsidRPr="007E2A5E">
        <w:rPr>
          <w:rFonts w:asciiTheme="majorHAnsi" w:hAnsiTheme="majorHAnsi" w:cs="Times New Roman"/>
          <w:lang w:val="en-US"/>
        </w:rPr>
        <w:t xml:space="preserve"> and the eye</w:t>
      </w:r>
      <w:r w:rsidR="00F065DC">
        <w:rPr>
          <w:rFonts w:asciiTheme="majorHAnsi" w:hAnsiTheme="majorHAnsi" w:cs="Times New Roman"/>
          <w:lang w:val="en-US"/>
        </w:rPr>
        <w:t>.</w:t>
      </w:r>
      <w:r w:rsidR="002F7985" w:rsidDel="002F7985">
        <w:rPr>
          <w:rFonts w:asciiTheme="majorHAnsi" w:hAnsiTheme="majorHAnsi" w:cs="Times New Roman"/>
          <w:lang w:val="en-US"/>
        </w:rPr>
        <w:t xml:space="preserve"> </w:t>
      </w:r>
    </w:p>
    <w:p w14:paraId="084A1B5E" w14:textId="42D9CE92" w:rsidR="00064359" w:rsidRPr="007E2A5E" w:rsidRDefault="00064359"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9B79B7" w:rsidRPr="007E2A5E">
        <w:rPr>
          <w:rFonts w:asciiTheme="majorHAnsi" w:hAnsiTheme="majorHAnsi" w:cs="Times New Roman"/>
          <w:lang w:val="en-US"/>
        </w:rPr>
        <w:t xml:space="preserve">The pharmacodynamic endpoint </w:t>
      </w:r>
      <w:r w:rsidR="004C0B31" w:rsidRPr="007E2A5E">
        <w:rPr>
          <w:rFonts w:asciiTheme="majorHAnsi" w:hAnsiTheme="majorHAnsi" w:cs="Times New Roman"/>
          <w:lang w:val="en-US"/>
        </w:rPr>
        <w:t xml:space="preserve">used in all of these models </w:t>
      </w:r>
      <w:r w:rsidR="0065550E">
        <w:rPr>
          <w:rFonts w:asciiTheme="majorHAnsi" w:hAnsiTheme="majorHAnsi" w:cs="Times New Roman"/>
          <w:lang w:val="en-US"/>
        </w:rPr>
        <w:t xml:space="preserve">of disseminated candidiasis </w:t>
      </w:r>
      <w:r w:rsidR="009B79B7" w:rsidRPr="007E2A5E">
        <w:rPr>
          <w:rFonts w:asciiTheme="majorHAnsi" w:hAnsiTheme="majorHAnsi" w:cs="Times New Roman"/>
          <w:lang w:val="en-US"/>
        </w:rPr>
        <w:t xml:space="preserve">is </w:t>
      </w:r>
      <w:r w:rsidR="004C0B31" w:rsidRPr="007E2A5E">
        <w:rPr>
          <w:rFonts w:asciiTheme="majorHAnsi" w:hAnsiTheme="majorHAnsi" w:cs="Times New Roman"/>
          <w:lang w:val="en-US"/>
        </w:rPr>
        <w:t xml:space="preserve">a </w:t>
      </w:r>
      <w:r w:rsidR="009B79B7" w:rsidRPr="007E2A5E">
        <w:rPr>
          <w:rFonts w:asciiTheme="majorHAnsi" w:hAnsiTheme="majorHAnsi" w:cs="Times New Roman"/>
          <w:lang w:val="en-US"/>
        </w:rPr>
        <w:t xml:space="preserve">reduction in fungal burden in the </w:t>
      </w:r>
      <w:r w:rsidR="00495787" w:rsidRPr="007E2A5E">
        <w:rPr>
          <w:rFonts w:asciiTheme="majorHAnsi" w:hAnsiTheme="majorHAnsi" w:cs="Times New Roman"/>
          <w:lang w:val="en-US"/>
        </w:rPr>
        <w:t>primary effect site (kidney, brain, eye)</w:t>
      </w:r>
      <w:r w:rsidR="009B79B7" w:rsidRPr="007E2A5E">
        <w:rPr>
          <w:rFonts w:asciiTheme="majorHAnsi" w:hAnsiTheme="majorHAnsi" w:cs="Times New Roman"/>
          <w:lang w:val="en-US"/>
        </w:rPr>
        <w:t>.</w:t>
      </w:r>
      <w:r w:rsidR="006C7B86">
        <w:rPr>
          <w:rFonts w:asciiTheme="majorHAnsi" w:hAnsiTheme="majorHAnsi" w:cs="Times New Roman"/>
          <w:lang w:val="en-US"/>
        </w:rPr>
        <w:t xml:space="preserve"> </w:t>
      </w:r>
      <w:r w:rsidR="00B460EB">
        <w:rPr>
          <w:rFonts w:asciiTheme="majorHAnsi" w:hAnsiTheme="majorHAnsi" w:cs="Times New Roman"/>
          <w:lang w:val="en-US"/>
        </w:rPr>
        <w:t>Several studies have</w:t>
      </w:r>
      <w:r w:rsidR="00ED72E7" w:rsidRPr="007E2A5E">
        <w:rPr>
          <w:rFonts w:asciiTheme="majorHAnsi" w:hAnsiTheme="majorHAnsi" w:cs="Times New Roman"/>
          <w:lang w:val="en-US"/>
        </w:rPr>
        <w:t xml:space="preserve"> </w:t>
      </w:r>
      <w:r w:rsidR="004C0B31" w:rsidRPr="007E2A5E">
        <w:rPr>
          <w:rFonts w:asciiTheme="majorHAnsi" w:hAnsiTheme="majorHAnsi" w:cs="Times New Roman"/>
          <w:lang w:val="en-US"/>
        </w:rPr>
        <w:t xml:space="preserve">also </w:t>
      </w:r>
      <w:r w:rsidR="00ED72E7" w:rsidRPr="007E2A5E">
        <w:rPr>
          <w:rFonts w:asciiTheme="majorHAnsi" w:hAnsiTheme="majorHAnsi" w:cs="Times New Roman"/>
          <w:lang w:val="en-US"/>
        </w:rPr>
        <w:t xml:space="preserve">used circulating </w:t>
      </w:r>
      <w:r w:rsidR="00457A5B" w:rsidRPr="007E2A5E">
        <w:rPr>
          <w:rFonts w:asciiTheme="majorHAnsi" w:hAnsiTheme="majorHAnsi" w:cs="Times New Roman"/>
          <w:lang w:val="en-US"/>
        </w:rPr>
        <w:t xml:space="preserve">concentrations of </w:t>
      </w:r>
      <w:r w:rsidR="00ED72E7" w:rsidRPr="007E2A5E">
        <w:rPr>
          <w:rFonts w:asciiTheme="majorHAnsi" w:hAnsiTheme="majorHAnsi" w:cs="Times New Roman"/>
          <w:lang w:val="en-US"/>
        </w:rPr>
        <w:t xml:space="preserve">1,3 </w:t>
      </w:r>
      <w:r w:rsidR="00457A5B" w:rsidRPr="0073162B">
        <w:rPr>
          <w:rFonts w:asciiTheme="majorHAnsi" w:hAnsiTheme="majorHAnsi" w:cs="Times New Roman"/>
          <w:lang w:val="en-US"/>
        </w:rPr>
        <w:t>ß-</w:t>
      </w:r>
      <w:r w:rsidR="00457A5B" w:rsidRPr="007E2A5E">
        <w:rPr>
          <w:rFonts w:asciiTheme="majorHAnsi" w:hAnsiTheme="majorHAnsi" w:cs="Times New Roman"/>
          <w:lang w:val="en-US"/>
        </w:rPr>
        <w:t>D</w:t>
      </w:r>
      <w:r w:rsidR="00457A5B" w:rsidRPr="0012015D">
        <w:rPr>
          <w:rFonts w:asciiTheme="majorHAnsi" w:hAnsiTheme="majorHAnsi" w:cs="Times New Roman"/>
          <w:lang w:val="en-US"/>
        </w:rPr>
        <w:t>-</w:t>
      </w:r>
      <w:proofErr w:type="spellStart"/>
      <w:r w:rsidR="00ED72E7" w:rsidRPr="00C93520">
        <w:rPr>
          <w:rFonts w:asciiTheme="majorHAnsi" w:hAnsiTheme="majorHAnsi" w:cs="Times New Roman"/>
          <w:lang w:val="en-US"/>
        </w:rPr>
        <w:t>glucan</w:t>
      </w:r>
      <w:proofErr w:type="spellEnd"/>
      <w:r w:rsidR="00457A5B" w:rsidRPr="00906A82">
        <w:rPr>
          <w:rFonts w:asciiTheme="majorHAnsi" w:hAnsiTheme="majorHAnsi" w:cs="Times New Roman"/>
          <w:lang w:val="en-US"/>
        </w:rPr>
        <w:t xml:space="preserve"> </w:t>
      </w:r>
      <w:r w:rsidR="004C0B31" w:rsidRPr="00906A82">
        <w:rPr>
          <w:rFonts w:asciiTheme="majorHAnsi" w:hAnsiTheme="majorHAnsi" w:cs="Times New Roman"/>
          <w:lang w:val="en-US"/>
        </w:rPr>
        <w:t xml:space="preserve">in serum and CSF </w:t>
      </w:r>
      <w:r w:rsidR="00457A5B" w:rsidRPr="007E2A5E">
        <w:rPr>
          <w:rFonts w:asciiTheme="majorHAnsi" w:hAnsiTheme="majorHAnsi" w:cs="Times New Roman"/>
          <w:lang w:val="en-US"/>
        </w:rPr>
        <w:t>as a biomarker to quant</w:t>
      </w:r>
      <w:r w:rsidR="005D3C93">
        <w:rPr>
          <w:rFonts w:asciiTheme="majorHAnsi" w:hAnsiTheme="majorHAnsi" w:cs="Times New Roman"/>
          <w:lang w:val="en-US"/>
        </w:rPr>
        <w:t>if</w:t>
      </w:r>
      <w:r w:rsidR="00457A5B" w:rsidRPr="007E2A5E">
        <w:rPr>
          <w:rFonts w:asciiTheme="majorHAnsi" w:hAnsiTheme="majorHAnsi" w:cs="Times New Roman"/>
          <w:lang w:val="en-US"/>
        </w:rPr>
        <w:t xml:space="preserve">y </w:t>
      </w:r>
      <w:r w:rsidR="00DF7979" w:rsidRPr="007E2A5E">
        <w:rPr>
          <w:rFonts w:asciiTheme="majorHAnsi" w:hAnsiTheme="majorHAnsi" w:cs="Times New Roman"/>
          <w:lang w:val="en-US"/>
        </w:rPr>
        <w:t xml:space="preserve">the </w:t>
      </w:r>
      <w:r w:rsidR="00457A5B" w:rsidRPr="007E2A5E">
        <w:rPr>
          <w:rFonts w:asciiTheme="majorHAnsi" w:hAnsiTheme="majorHAnsi" w:cs="Times New Roman"/>
          <w:lang w:val="en-US"/>
        </w:rPr>
        <w:t>antifungal effect</w:t>
      </w:r>
      <w:r w:rsidR="00F065DC">
        <w:rPr>
          <w:rFonts w:asciiTheme="majorHAnsi" w:hAnsiTheme="majorHAnsi" w:cs="Times New Roman"/>
          <w:lang w:val="en-US"/>
        </w:rPr>
        <w:t>.</w:t>
      </w:r>
      <w:r w:rsidR="00CD7C8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"author" : [ { "dropping-particle" : "", "family" : "Petraitiene", "given" : "Ruta", "non-dropping-particle" : "", "parse-names" : false, "suffix" : "" }, { "dropping-particle" : "", "family" : "Petraitis", "given" : "Vidmantas", "non-dropping-particle" : "", "parse-names" : false, "suffix" : "" }, { "dropping-particle" : "", "family" : "Hope", "given" : "William", "non-dropping-particle" : "", "parse-names" : false, "suffix" : "" }, { "dropping-particle" : "", "family" : "Mickiene", "given" : "Diana", "non-dropping-particle" : "", "parse-names" : false, "suffix" : "" }, { "dropping-particle" : "", "family" : "Kelaher", "given" : "Amy", "non-dropping-particle" : "", "parse-names" : false, "suffix" : "" }, { "dropping-particle" : "", "family" : "Murray", "given" : "Heidi", "non-dropping-particle" : "", "parse-names" : false, "suffix" : "" }, { "dropping-particle" : "", "family" : "Mya-San", "given" : "Christine", "non-dropping-particle" : "", "parse-names" : false, "suffix" : "" }, { "dropping-particle" : "", "family" : "Hughes", "given" : "Johanna", "non-dropping-particle" : "", "parse-names" : false, "suffix" : "" }, { "dropping-particle" : "", "family" : "Cotton", "given" : "Margaret", "non-dropping-particle" : "", "parse-names" : false, "suffix" : "" }, { "dropping-particle" : "", "family" : "Bacher", "given" : "John", "non-dropping-particle" : "", "parse-names" : false, "suffix" : "" }, { "dropping-particle" : "", "family" : "others", "given" : "", "non-dropping-particle" : "", "parse-names" : false, "suffix" : "" } ], "container-title" : "International Journal of Infectious Diseases", "id" : "ITEM-1", "issued" : { "date-parts" : [ [ "2008" ] ] }, "page" : "S48--S49", "publisher" : "Elsevier", "title" : "(1\u2192 3)-\u03b2-D-Glucan in cerebrospinal fluid is a surrogate marker for detection and therapeutic response of hematogenous Candida meningoencephalitis", "type" : "article-journal", "volume" : "12" }, "uris" : [ "http://www.mendeley.com/documents/?uuid=11ad5b3e-a7a3-4e02-baac-60f82730b1c8" ] }, { "id" : "ITEM-2", "itemData" : { "DOI" : "10.1128/AAC.01750-10", "ISBN" : "1098-6596 (Electronic)\\r0066-4804 (Linking)", "ISSN" : "1098-6596", "PMID" : "21502632", "abstract" : "Previous in vivo studies have reported caspofungin dose escalation to be effective against Candida glabrata with reduced susceptibility. We hypothesized that higher doses of caspofungin would be effective against invasive candidiasis caused by the more virulent species Candida albicans, including isolates resistant to this echinocandin. Immunocompetent mice were inoculated with one of three C. albicans isolates, including one susceptible and two resistant isolates with different FKS1 hot spot 1 point mutations. Mice received daily caspofungin treatment for 7 days and were then followed off therapy for 2 weeks to assess survival. Kidney tissue and blood were collected, and fungal burden and serum (1 \u2192 3)-\u03b2-D-glucan were measured. Significant differences in virulence were observed among the three C. albicans isolates, which translated into differences in responses to caspofungin. The most virulent of the resistant isolates studied (isolate 43001; Fks1p F641S) did not respond to caspofungin doses of up to 10 mg/kg of body weight, as there were no differences in survival (survival range, 0 to 12% with treatment), tissue burden, or (1 \u2192 3)-\u03b2-D-glucan concentration compared to those for untreated controls. Higher doses of caspofungin did improve survival against the second resistant isolate (53264; Fks1p S645P) that demonstrated reduced virulence (5 and 10 mg/kg; 80% survival). In contrast, caspofungin doses as low as 1 mg/kg improved survival (85 to 95%) and reduced tissue burden and (1 \u2192 3)-\u03b2-D-glucan concentration against the susceptible isolate (ATCC 90028). These data suggest that caspofungin dose escalation for invasive candidiasis may not be consistently effective against resistant C. albicans isolates, and this may be associated with the virulence of the strain.", "author" : [ { "dropping-particle" : "", "family" : "Wiederhold", "given" : "Nathan P.", "non-dropping-particle" : "", "parse-names" : false, "suffix" : "" }, { "dropping-particle" : "", "family" : "Najvar", "given" : "Laura K.", "non-dropping-particle" : "", "parse-names" : false, "suffix" : "" }, { "dropping-particle" : "", "family" : "Bocanegra", "given" : "Rosie A.", "non-dropping-particle" : "", "parse-names" : false, "suffix" : "" }, { "dropping-particle" : "", "family" : "Kirkpatrick", "given" : "William R.", "non-dropping-particle" : "", "parse-names" : false, "suffix" : "" }, { "dropping-particle" : "", "family" : "Patterson", "given" : "Thomas F.", "non-dropping-particle" : "", "parse-names" : false, "suffix" : "" } ], "container-title" : "Antimicrobial agents and chemotherapy", "id" : "ITEM-2", "issue" : "7", "issued" : { "date-parts" : [ [ "2011", "7" ] ] }, "page" : "3254-60", "title" : "Caspofungin dose escalation for invasive candidiasis due to resistant Candida albicans.", "type" : "article-journal", "volume" : "55" }, "uris" : [ "http://www.mendeley.com/documents/?uuid=1f4cc922-9bee-4f97-b8a7-a568e31eff61" ] }, { "id" : "ITEM-3", "itemData" : { "DOI" : "10.1093/cid/civ817", "ISSN" : "15376591", "PMID" : "26567283", "abstract" : "Background. The current standard of treatment of invasive candidiasis with echinocandins requires once-daily therapy. To improve quality of life, reduce costs, and improve outcome, we studied the pharmacokinetics (PK), efficacy, and safety of alternate dosing regimens of micafungin (MFG) for the treatment of experimental subacute disseminated candidiasis. Methods. MFG was administered for 12 days starting 24 hours after intravenous inoculation of 1 \u00d7 10 3 Candida albicans blastoconidia. Study groups consisted of MFG at 1 mg/kg every 24 hours (MFG1), 2 mg/kg every 48 hours (MFG2), and 3 mg/kg every 72 hours (MFG3), and untreated controls. PK of MFG were determined on day 7 by high-performance liquid chromatography and modeled using nonparametric adaptive grid program. A 2-compartment PK model with volume of the central compartment (V c), clearance (SCL), and the intercompartmental rate constants K cp and K pc was used. The fungal burden in 7 tissues was determined 312 hours after the initiation of therapy. Results. PK of MFG were linear and the parameter means \u00b1 SD were V c = 0.41 \u00b1 0.18 L, K cp = 2.80 \u00b1 1.55/hour, K pc = 1.71 \u00b1 0.93/hour, and SCL = 0.16 \u00b1 0.003 L/hour (r 2 = 0.99). The area under the plasma drug concentration -time curve for MFG1, MFG2, and MFG3 was 198.7 \u00b1 19.8, 166.3 \u00b1 36.7, and 192.8 \u00b1 46.2 mg \u00d7 hour/L, respectively (P = .24). All treatment groups showed significant and comparable resolution of (1\u21923)-\u03b2-D-glucan levels and clearance of C. albicans from liver, spleen, kidney, brain, lung, vitreous humor, and vena cava in comparison to untreated controls (P \u2264 .05). There were no differences in hepatic or renal function among study groups. Conclusions. Less fractionated MFG regimens of every 48 and 72 hours are safe and as effective in experimental disseminated candidiasis as once-daily therapy in neutropenic hosts.", "author" : [ { "dropping-particle" : "", "family" : "Petraitiene", "given" : "Ruta", "non-dropping-particle" : "", "parse-names" : false, "suffix" : "" }, { "dropping-particle" : "", "family" : "Petraitis", "given" : "Vidmantas", "non-dropping-particle" : "", "parse-names" : false, "suffix" : "" }, { "dropping-particle" : "", "family" : "Hope", "given" : "William W.", "non-dropping-particle" : "", "parse-names" : false, "suffix" : "" }, { "dropping-particle" : "", "family" : "Walsh", "given" : "Thomas J.", "non-dropping-particle" : "", "parse-names" : false, "suffix" : "" } ], "container-title" : "Clinical Infectious Diseases", "id" : "ITEM-3", "issued" : { "date-parts" : [ [ "2015" ] ] }, "page" : "S643-S651", "title" : "Intermittent dosing of micafungin Is effective for treatment of experimental disseminated candidiasis in persistently neutropenic rabbits", "type" : "article-journal", "volume" : "61" }, "uris" : [ "http://www.mendeley.com/documents/?uuid=ce2fe0bf-35dd-45b5-a56a-de3ac772745d" ] } ], "mendeley" : { "formattedCitation" : "&lt;sup&gt;12\u201314&lt;/sup&gt;", "plainTextFormattedCitation" : "12\u201314", "previouslyFormattedCitation" : "&lt;sup&gt;12\u201314&lt;/sup&gt;" }, "properties" : { "noteIndex" : 0 }, "schema" : "https://github.com/citation-style-language/schema/raw/master/csl-citation.json" }</w:instrText>
      </w:r>
      <w:r w:rsidR="00CD7C8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12–14</w:t>
      </w:r>
      <w:r w:rsidR="00CD7C8F">
        <w:rPr>
          <w:rFonts w:asciiTheme="majorHAnsi" w:hAnsiTheme="majorHAnsi" w:cs="Times New Roman"/>
          <w:lang w:val="en-US"/>
        </w:rPr>
        <w:fldChar w:fldCharType="end"/>
      </w:r>
      <w:r w:rsidR="00C37A71" w:rsidDel="000F2009">
        <w:rPr>
          <w:rFonts w:asciiTheme="majorHAnsi" w:hAnsiTheme="majorHAnsi" w:cs="Times New Roman"/>
          <w:lang w:val="en-US"/>
        </w:rPr>
        <w:t xml:space="preserve"> </w:t>
      </w:r>
      <w:r w:rsidR="000F2009" w:rsidRPr="007E2A5E">
        <w:rPr>
          <w:rFonts w:asciiTheme="majorHAnsi" w:hAnsiTheme="majorHAnsi" w:cs="Times New Roman"/>
          <w:lang w:val="en-US"/>
        </w:rPr>
        <w:t xml:space="preserve"> </w:t>
      </w:r>
    </w:p>
    <w:p w14:paraId="1E088B97" w14:textId="77777777" w:rsidR="008A4138" w:rsidRPr="007E2A5E" w:rsidRDefault="008A4138" w:rsidP="007A2846">
      <w:pPr>
        <w:widowControl w:val="0"/>
        <w:autoSpaceDE w:val="0"/>
        <w:autoSpaceDN w:val="0"/>
        <w:adjustRightInd w:val="0"/>
        <w:spacing w:line="276" w:lineRule="auto"/>
        <w:rPr>
          <w:rFonts w:asciiTheme="majorHAnsi" w:hAnsiTheme="majorHAnsi" w:cs="Times New Roman"/>
          <w:lang w:val="en-US"/>
        </w:rPr>
      </w:pPr>
    </w:p>
    <w:p w14:paraId="48DFDA4D" w14:textId="77777777" w:rsidR="008A4138" w:rsidRPr="0073162B" w:rsidRDefault="008A4138" w:rsidP="007A2846">
      <w:pPr>
        <w:pStyle w:val="ListParagraph"/>
        <w:widowControl w:val="0"/>
        <w:numPr>
          <w:ilvl w:val="0"/>
          <w:numId w:val="24"/>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Bridging</w:t>
      </w:r>
      <w:r w:rsidR="00064359" w:rsidRPr="0073162B">
        <w:rPr>
          <w:rFonts w:asciiTheme="majorHAnsi" w:hAnsiTheme="majorHAnsi" w:cs="Times New Roman"/>
          <w:lang w:val="en-US"/>
        </w:rPr>
        <w:t xml:space="preserve"> from the laboratory to the clinic</w:t>
      </w:r>
    </w:p>
    <w:p w14:paraId="4EC68986" w14:textId="240D3123" w:rsidR="00B953EE" w:rsidRPr="00906A82" w:rsidRDefault="00ED141E"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b/>
        <w:t>I</w:t>
      </w:r>
      <w:r w:rsidR="000B00FC" w:rsidRPr="0012015D">
        <w:rPr>
          <w:rFonts w:asciiTheme="majorHAnsi" w:hAnsiTheme="majorHAnsi" w:cs="Times New Roman"/>
          <w:lang w:val="en-US"/>
        </w:rPr>
        <w:t>nformation and insights have been derived</w:t>
      </w:r>
      <w:r w:rsidR="00C61371" w:rsidRPr="00C93520">
        <w:rPr>
          <w:rFonts w:asciiTheme="majorHAnsi" w:hAnsiTheme="majorHAnsi" w:cs="Times New Roman"/>
          <w:lang w:val="en-US"/>
        </w:rPr>
        <w:t xml:space="preserve"> </w:t>
      </w:r>
      <w:r w:rsidR="007940A7" w:rsidRPr="00906A82">
        <w:rPr>
          <w:rFonts w:asciiTheme="majorHAnsi" w:hAnsiTheme="majorHAnsi" w:cs="Times New Roman"/>
          <w:lang w:val="en-US"/>
        </w:rPr>
        <w:t xml:space="preserve">using </w:t>
      </w:r>
      <w:r w:rsidR="00E76CEC">
        <w:rPr>
          <w:rFonts w:asciiTheme="majorHAnsi" w:hAnsiTheme="majorHAnsi" w:cs="Times New Roman"/>
          <w:lang w:val="en-US"/>
        </w:rPr>
        <w:t xml:space="preserve">PK-PD </w:t>
      </w:r>
      <w:r w:rsidR="007940A7" w:rsidRPr="00906A82">
        <w:rPr>
          <w:rFonts w:asciiTheme="majorHAnsi" w:hAnsiTheme="majorHAnsi" w:cs="Times New Roman"/>
          <w:lang w:val="en-US"/>
        </w:rPr>
        <w:t>models</w:t>
      </w:r>
      <w:r w:rsidR="006F2161">
        <w:rPr>
          <w:rFonts w:asciiTheme="majorHAnsi" w:hAnsiTheme="majorHAnsi" w:cs="Times New Roman"/>
          <w:lang w:val="en-US"/>
        </w:rPr>
        <w:t xml:space="preserve"> of disseminated candidiasis</w:t>
      </w:r>
      <w:r w:rsidR="006B1BF1">
        <w:rPr>
          <w:rFonts w:asciiTheme="majorHAnsi" w:hAnsiTheme="majorHAnsi" w:cs="Times New Roman"/>
          <w:lang w:val="en-US"/>
        </w:rPr>
        <w:t>:</w:t>
      </w:r>
    </w:p>
    <w:p w14:paraId="3196B372" w14:textId="77777777" w:rsidR="00952DBE" w:rsidRPr="007E2A5E" w:rsidRDefault="00952DBE" w:rsidP="007A2846">
      <w:pPr>
        <w:widowControl w:val="0"/>
        <w:autoSpaceDE w:val="0"/>
        <w:autoSpaceDN w:val="0"/>
        <w:adjustRightInd w:val="0"/>
        <w:spacing w:line="276" w:lineRule="auto"/>
        <w:rPr>
          <w:rFonts w:asciiTheme="majorHAnsi" w:hAnsiTheme="majorHAnsi" w:cs="Times New Roman"/>
          <w:lang w:val="en-US"/>
        </w:rPr>
      </w:pPr>
    </w:p>
    <w:p w14:paraId="00521FBB" w14:textId="7B4869BA" w:rsidR="0032567E" w:rsidRDefault="00E82094" w:rsidP="007A2846">
      <w:pPr>
        <w:pStyle w:val="ListParagraph"/>
        <w:widowControl w:val="0"/>
        <w:numPr>
          <w:ilvl w:val="0"/>
          <w:numId w:val="23"/>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Triazoles exhibit concentration-dependent killing with the AUC</w:t>
      </w:r>
      <w:proofErr w:type="gramStart"/>
      <w:r w:rsidRPr="0073162B">
        <w:rPr>
          <w:rFonts w:asciiTheme="majorHAnsi" w:hAnsiTheme="majorHAnsi" w:cs="Times New Roman"/>
          <w:lang w:val="en-US"/>
        </w:rPr>
        <w:t>:MIC</w:t>
      </w:r>
      <w:proofErr w:type="gramEnd"/>
      <w:r w:rsidRPr="0073162B">
        <w:rPr>
          <w:rFonts w:asciiTheme="majorHAnsi" w:hAnsiTheme="majorHAnsi" w:cs="Times New Roman"/>
          <w:lang w:val="en-US"/>
        </w:rPr>
        <w:t xml:space="preserve"> consistently </w:t>
      </w:r>
      <w:r w:rsidR="009D04EC" w:rsidRPr="0073162B">
        <w:rPr>
          <w:rFonts w:asciiTheme="majorHAnsi" w:hAnsiTheme="majorHAnsi" w:cs="Times New Roman"/>
          <w:lang w:val="en-US"/>
        </w:rPr>
        <w:t>identified as the dynamically linked variable</w:t>
      </w:r>
      <w:r w:rsidR="00A75ADA">
        <w:rPr>
          <w:rFonts w:asciiTheme="majorHAnsi" w:hAnsiTheme="majorHAnsi" w:cs="Times New Roman"/>
          <w:lang w:val="en-US"/>
        </w:rPr>
        <w:t>.</w:t>
      </w:r>
      <w:r w:rsidR="0032567E">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"PMID" : "9593135", "abstract" : "In this study we defined the pharmacodynamic parameter that optimizes outcome in deep-seated Candida albicans infections treated with fluconazole. Using a murine model of systemic candidiasis, we conducted single-dose dose-ranging studies with fluconazole to determine the dosage of this drug that resulted in a 50% reduction in fungal densities (50% effective dose [ED50]) in kidneys versus the fungal densities in the kidneys of untreated controls. We found that the ED50 of fluconazole given intraperitoneally was 4.56 mg/kg of body weight/day (95% confidence interval, 3.60 to 5.53 mg/kg/day), and the dose-response relationship was best described by an inhibitory sigmoid maximal effect (Emax) curve. To define the pharmacodynamics of fluconazole, we gave dosages lower than, approximating, and higher than the ED50 of fluconazole (range, 3.5 to 5.5 mg/kg/day, equivalent to the ED16 to the ED75) to various groups of infected animals using three dose-fractionation schedules. For each total dose of fluconazole examined, the dose-fractionation schedules optimized the ratio of the area under the concentration-time curve (AUC) to the MIC (the AUC/MIC ratio), the ratio of the maximum concentration of drug in serum (Cmax) to the MIC, and the time that the drug remained above the MIC for the infecting C. albicans isolate. Similar reductions in fungal densities in kidneys were seen between groups that received the same total dose of fluconazole in one, two, or four equally divided doses. Thus, dose-fractionation studies demonstrated that the pharmacodynamic parameter of fluconazole that best predicted outcome was the AUC/MIC ratio.", "author" : [ { "dropping-particle" : "", "family" : "Louie", "given" : "A", "non-dropping-particle" : "", "parse-names" : false, "suffix" : "" }, { "dropping-particle" : "", "family" : "Drusano", "given" : "G L", "non-dropping-particle" : "", "parse-names" : false, "suffix" : "" }, { "dropping-particle" : "", "family" : "Banerjee", "given" : "P", "non-dropping-particle" : "", "parse-names" : false, "suffix" : "" }, { "dropping-particle" : "", "family" : "Liu", "given" : "Q F", "non-dropping-particle" : "", "parse-names" : false, "suffix" : "" }, { "dropping-particle" : "", "family" : "Liu", "given" : "W", "non-dropping-particle" : "", "parse-names" : false, "suffix" : "" }, { "dropping-particle" : "", "family" : "Kaw", "given" : "P", "non-dropping-particle" : "", "parse-names" : false, "suffix" : "" }, { "dropping-particle" : "", "family" : "Shayegani", "given" : "M", "non-dropping-particle" : "", "parse-names" : false, "suffix" : "" }, { "dropping-particle" : "", "family" : "Taber", "given" : "H", "non-dropping-particle" : "", "parse-names" : false, "suffix" : "" }, { "dropping-particle" : "", "family" : "Miller", "given" : "M H", "non-dropping-particle" : "", "parse-names" : false, "suffix" : "" } ], "container-title" : "Antimicrob Agents Chemother", "id" : "ITEM-1", "issue" : "5", "issued" : { "date-parts" : [ [ "1998" ] ] }, "note" : "0066-4804 (Print)\nJournal Article", "page" : "1105-1109", "title" : "Pharmacodynamics of fluconazole in a murine model of systemic candidiasis", "type" : "article-journal", "volume" : "42" }, "uris" : [ "http://www.mendeley.com/documents/?uuid=bed6b51a-6c84-436f-9708-d862e6aa9507" ] } ], "mendeley" : { "formattedCitation" : "&lt;sup&gt;15&lt;/sup&gt;", "plainTextFormattedCitation" : "15", "previouslyFormattedCitation" : "&lt;sup&gt;15&lt;/sup&gt;" }, "properties" : { "noteIndex" : 0 }, "schema" : "https://github.com/citation-style-language/schema/raw/master/csl-citation.json" }</w:instrText>
      </w:r>
      <w:r w:rsidR="0032567E">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15</w:t>
      </w:r>
      <w:r w:rsidR="0032567E">
        <w:rPr>
          <w:rFonts w:asciiTheme="majorHAnsi" w:hAnsiTheme="majorHAnsi" w:cs="Times New Roman"/>
          <w:lang w:val="en-US"/>
        </w:rPr>
        <w:fldChar w:fldCharType="end"/>
      </w:r>
      <w:r w:rsidR="00316EC4">
        <w:rPr>
          <w:rFonts w:asciiTheme="majorHAnsi" w:hAnsiTheme="majorHAnsi" w:cs="Times New Roman"/>
          <w:lang w:val="en-US"/>
        </w:rPr>
        <w:t xml:space="preserve">  </w:t>
      </w:r>
    </w:p>
    <w:p w14:paraId="7D6EE71D" w14:textId="38D69B38" w:rsidR="007156C6" w:rsidRPr="007E2A5E" w:rsidRDefault="00316EC4" w:rsidP="007A2846">
      <w:pPr>
        <w:pStyle w:val="ListParagraph"/>
        <w:widowControl w:val="0"/>
        <w:numPr>
          <w:ilvl w:val="0"/>
          <w:numId w:val="23"/>
        </w:numPr>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w:t>
      </w:r>
      <w:r w:rsidRPr="007E2A5E">
        <w:rPr>
          <w:rFonts w:asciiTheme="majorHAnsi" w:hAnsiTheme="majorHAnsi" w:cs="Times New Roman"/>
          <w:lang w:val="en-US"/>
        </w:rPr>
        <w:t xml:space="preserve"> pharmacodynamic target </w:t>
      </w:r>
      <w:proofErr w:type="spellStart"/>
      <w:r w:rsidRPr="0073162B">
        <w:rPr>
          <w:rFonts w:asciiTheme="majorHAnsi" w:hAnsiTheme="majorHAnsi" w:cs="Times New Roman"/>
          <w:i/>
          <w:lang w:val="en-US"/>
        </w:rPr>
        <w:t>f</w:t>
      </w:r>
      <w:r w:rsidRPr="007E2A5E">
        <w:rPr>
          <w:rFonts w:asciiTheme="majorHAnsi" w:hAnsiTheme="majorHAnsi" w:cs="Times New Roman"/>
          <w:lang w:val="en-US"/>
        </w:rPr>
        <w:t>AUC</w:t>
      </w:r>
      <w:proofErr w:type="gramStart"/>
      <w:r w:rsidRPr="007E2A5E">
        <w:rPr>
          <w:rFonts w:asciiTheme="majorHAnsi" w:hAnsiTheme="majorHAnsi" w:cs="Times New Roman"/>
          <w:lang w:val="en-US"/>
        </w:rPr>
        <w:t>:MIC</w:t>
      </w:r>
      <w:proofErr w:type="spellEnd"/>
      <w:proofErr w:type="gramEnd"/>
      <w:r w:rsidRPr="007E2A5E">
        <w:rPr>
          <w:rFonts w:asciiTheme="majorHAnsi" w:hAnsiTheme="majorHAnsi" w:cs="Times New Roman"/>
          <w:lang w:val="en-US"/>
        </w:rPr>
        <w:t xml:space="preserve"> of 25</w:t>
      </w:r>
      <w:r w:rsidR="007B33EC">
        <w:rPr>
          <w:rFonts w:asciiTheme="majorHAnsi" w:hAnsiTheme="majorHAnsi" w:cs="Times New Roman"/>
          <w:lang w:val="en-US"/>
        </w:rPr>
        <w:t>-50</w:t>
      </w:r>
      <w:r w:rsidRPr="007E2A5E">
        <w:rPr>
          <w:rFonts w:asciiTheme="majorHAnsi" w:hAnsiTheme="majorHAnsi" w:cs="Times New Roman"/>
          <w:lang w:val="en-US"/>
        </w:rPr>
        <w:t xml:space="preserve"> </w:t>
      </w:r>
      <w:r>
        <w:rPr>
          <w:rFonts w:asciiTheme="majorHAnsi" w:hAnsiTheme="majorHAnsi" w:cs="Times New Roman"/>
          <w:lang w:val="en-US"/>
        </w:rPr>
        <w:t>i</w:t>
      </w:r>
      <w:r w:rsidRPr="0012015D">
        <w:rPr>
          <w:rFonts w:asciiTheme="majorHAnsi" w:hAnsiTheme="majorHAnsi" w:cs="Times New Roman"/>
          <w:lang w:val="en-US"/>
        </w:rPr>
        <w:t>s associated with near maximal antifungal efficacy with confirmation/ cross validation</w:t>
      </w:r>
      <w:r>
        <w:rPr>
          <w:rFonts w:asciiTheme="majorHAnsi" w:hAnsiTheme="majorHAnsi" w:cs="Times New Roman"/>
          <w:lang w:val="en-US"/>
        </w:rPr>
        <w:t xml:space="preserve"> using human datasets</w:t>
      </w:r>
      <w:r w:rsidR="00A75ADA">
        <w:rPr>
          <w:rFonts w:asciiTheme="majorHAnsi" w:hAnsiTheme="majorHAnsi" w:cs="Times New Roman"/>
          <w:lang w:val="en-US"/>
        </w:rPr>
        <w:t>.</w:t>
      </w:r>
      <w:r w:rsidR="00562868">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"10.1128/AAC.01083-10", "ISSN" : "1098-6596", "PMID" : "21768513", "abstract" : "Voriconazole is approved for treating invasive fungal infections. We examined voriconazole exposure-response relationships for patients from nine published clinical trials. The relationship between the mean voriconazole plasma concentration (C(avg)) and clinical response and between the free C(avg)/MIC ratio versus the clinical response were explored using logistic regression. The impact of covariates on response was also assessed. Monte Carlo simulation was used to estimate the relationship between the trough concentration/MIC ratio and the probability of response. The covariates individually related to response were as follows: study (P &lt; 0.001), therapy (primary/salvage, P &lt; 0.001), primary diagnosis (P &lt; 0.001), race (P = 0.004), baseline bilirubin (P &lt; 0.001), baseline alkaline phosphatase (P = 0.014), and pathogen (yeast/mold, P &lt; 0.001). The C(avg) for 72% of the patients was 0.5 to 5.0 \u03bcg/ml, with the maximum response rate (74%) at 3.0 to 4.0 \u03bcg/ml. The C(avg) showed a nonlinear relationship to response (P &lt; 0.003), with a lower probability at the extremes. For patients with C(avg) &lt; 0.5 \u03bcg/ml, the response rate was 57%. The lowest response rate (56%) was seen with a C(avg) \u2265 5.0 \u03bcg/ml (18% of patients) and was associated with significantly lower mold infection responses compared to yeasts (P &lt; 0.001) but not with voriconazole toxicity. Higher free C(avg)/MIC ratios were associated with a progressively higher probability of response. Monte Carlo simulation suggested that a trough/MIC ratio of 2 to 5 is associated with a near-maximal probability of response. The probability of response is lower at the extremes of C(avg). Patients with higher free C(avg)/MIC ratios have a higher probability of clinical response. A trough/MIC ratio of 2 to 5 can be used as a target for therapeutic drug monitoring.", "author" : [ { "dropping-particle" : "", "family" : "Troke", "given" : "Peter F", "non-dropping-particle" : "", "parse-names" : false, "suffix" : "" }, { "dropping-particle" : "", "family" : "Hockey", "given" : "Hans P", "non-dropping-particle" : "", "parse-names" : false, "suffix" : "" }, { "dropping-particle" : "", "family" : "Hope", "given" : "William W", "non-dropping-particle" : "", "parse-names" : false, "suffix" : "" } ], "container-title" : "Antimicrobial agents and chemotherapy", "id" : "ITEM-1", "issue" : "10", "issued" : { "date-parts" : [ [ "2011", "10" ] ] }, "page" : "4782-8", "title" : "Observational study of the clinical efficacy of voriconazole and its relationship to plasma concentrations in patients.", "type" : "article-journal", "volume" : "55" }, "uris" : [ "http://www.mendeley.com/documents/?uuid=b374b850-b6a4-44d2-92be-0a485ee3d2e4" ] }, { "id" : "ITEM-2", "itemData" : { "PMID" : "10471550", "abstract" : "We determined the pharmacodynamic parameter and the magnitude of that parameter that was predictive of the efficacy of fluconazole in the treatment of disseminated candidiasis. We used a neutropenic murine model of disseminated Candida albicans infection to characterize the time course of activity of fluconazole. Quantitation of colony counts in kidneys after 24 h of therapy with a wide range of doses and three dosing intervals was used to determine the dose required to achieve 50% of the maximal effect (ED(50)). The ED(50) was similar for each of the dosing intervals studied, supporting the area under the concentration-time curve (AUC) MIC ratio as the parameter that predicts the efficacy of fluconazole. Similar studies were performed with C. albicans strains for which fluconazole MICs are in the susceptible-dose-dependent range (MICs, 16 to 32 mg/liter). We found that the magnitude of the AUC/MIC ratio required to reach the ED(50) was similar for all three organisms studied, ranging from 12 to 25. When the pharmacokinetics of fluconazole in humans are considered, these AUC/MIC ratios would support in vitro susceptibility breakpoints of 8 mg/liter for dosages of 200 mg/day and susceptibility breakpoints of 16 to 32 mg/liter for dosages of 400 to 800 mg/day.", "author" : [ { "dropping-particle" : "", "family" : "Andes", "given" : "D", "non-dropping-particle" : "", "parse-names" : false, "suffix" : "" }, { "dropping-particle" : "", "family" : "Ogtrop", "given" : "M", "non-dropping-particle" : "van", "parse-names" : false, "suffix" : "" } ], "container-title" : "Antimicrob Agents Chemother", "id" : "ITEM-2", "issue" : "9", "issued" : { "date-parts" : [ [ "1999" ] ] }, "note" : "0066-4804\nJournal Article", "page" : "2116-2120", "title" : "Characterization and quantitation of the pharmacodynamics of fluconazole in a neutropenic murine disseminated candidiasis infection model", "type" : "article-journal", "volume" : "43" }, "uris" : [ "http://www.mendeley.com/documents/?uuid=54313f75-e78f-4d9e-9eb8-ed716f9943d5" ] }, { "id" : "ITEM-3", "itemData" : { "PMID" : "14506026", "abstract" : "In vivo studies have described the pharmacodynamic (PD) characteristics of several triazoles. These investigations have demonstrated that the 24-h area under the concentration-time curve (AUC)/MIC ratio is the critical pharmacokinetic (PK)-PD parameter associated with treatment efficacy. Further analyses from these in vivo studies have demonstrated that a triazole free drug 24-h AUC/MIC of 20 to 25 is predictive of treatment success. We used a neutropenic murine model of disseminated Candida albicans infection to similarly characterize the PK-PD of the new triazole voriconazole. PK and PD parameters (percentage of time that the concentration remains above the MIC [T &gt; MIC], AUC/MIC ratio, and peak level in serum/MIC ratio) were correlated with in vivo efficacy, as measured by the organism number in kidney cultures after 24 h of therapy. Voriconazole kinetics and protein binding were studied in infected neutropenic mice. Peak level/dose and AUC/dose values ranged from 0.1 to 0.2 and 0.1 to 0.7, respectively. The serum elimination half-life ranged from 0.7 to 2.9 h. The level of protein binding in mouse serum was 78%. Treatment efficacy with the four dosing intervals studied was similar, supporting the AUC/MIC ratio as the PK-PD parameter predictive of efficacy. Nonlinear regression analysis also suggested that the AUC/MIC ratio was strongly predictive of treatment outcomes (R(2) for AUC/MIC ratio = 82%, R(2) for peak level/MIC ratio = 63%, R(2) for T &gt; MIC = 75%). Similar studies were conducted with nine additional C. albicans isolates with various voriconazole susceptibilities (MICs, 0.007 to 0.25 micro g/ml) to determine if a similar 24-h AUC/MIC ratio was associated with efficacy. The voriconazole free drug AUC/MIC ratios were similar for all of the organisms studied (range, 11 to 58; mean +/- standard deviation, 24 +/- 17 [P = 0.45]). These AUC/MIC ratios observed for free drug are similar to those observed for other triazoles in this model.", "author" : [ { "dropping-particle" : "", "family" : "Andes", "given" : "D", "non-dropping-particle" : "", "parse-names" : false, "suffix" : "" }, { "dropping-particle" : "", "family" : "Marchillo", "given" : "K", "non-dropping-particle" : "", "parse-names" : false, "suffix" : "" }, { "dropping-particle" : "", "family" : "Stamstad", "given" : "T", "non-dropping-particle" : "", "parse-names" : false, "suffix" : "" }, { "dropping-particle" : "", "family" : "Conklin", "given" : "R", "non-dropping-particle" : "", "parse-names" : false, "suffix" : "" } ], "container-title" : "Antimicrob Agents Chemother", "id" : "ITEM-3", "issue" : "10", "issued" : { "date-parts" : [ [ "2003" ] ] }, "note" : "0066-4804\nJournal Article", "page" : "3165-3169", "title" : "In vivo pharmacokinetics and pharmacodynamics of a new triazole, voriconazole, in a murine candidiasis model", "type" : "article-journal", "volume" : "47" }, "uris" : [ "http://www.mendeley.com/documents/?uuid=0c45489b-62f4-4e8f-b0a9-29ec096343a9" ] }, { "id" : "ITEM-4", "itemData" : { "PMID" : "14693531", "abstract" : "Previous in vivo studies have characterized the pharmacodynamic characteristics of two triazole compounds, fluconazole and ravuconazole. These investigations demonstrated that the 24-h area under the concentration-time curve (AUC)/MIC ratio is the critical pharmacokinetic-pharmacodynamic (PK-PD) parameter associated with treatment efficacy. Further analysis demonstrated that a free-drug triazole 24-h AUC/MIC ratio of 20 to 25 was predictive of treatment success in both experimental models and clinical trials. We used a neutropenic murine model of disseminated Candida albicans infection to similarly characterize the time course activity of the new triazole, posaconazole. The PK-PD parameters (percent time above MIC, AUC/MIC ratio, and peak serum drug level/MIC ratio) were correlated with in vivo efficacy, as measured by organism number in kidney cultures after 48 h of therapy. Kinetics and protein binding following oral posaconazole dosing were performed in neutropenic infected mice. Peak levels and AUC from 0 h to infinity values were nonlinear over the 16-fold dose range studied. Serum drug elimination half-life ranged from 12.0 to 17.7 h. Protein binding was 99%. Single dose postantifungal effect studies demonstrated prolonged suppression of organism regrowth after serum posaconazole levels had fallen below the MIC. Treatment efficacy with the four dosing intervals studied was similar, supporting the AUC/MIC ratio as the PK-PD parameter predictive of efficacy. Nonlinear regression analysis also suggested that the AUC/MIC ratio was strongly predictive of treatment outcomes (AUC/MIC ratio R(2) = 83%; peak serum drug/MIC ratio R(2) = 85%; time that serum levels of posaconazole remained above the MIC R(2) = 65%). Similar studies were conducted with 11 additional C. albicans isolates with various posaconazole susceptibilities (MIC, 0.015 to 0.12 micro g/ml) to determine if a similar 24-h AUC/MIC ratio was associated with efficacy. The posaconazole free-drug AUC/MIC ratios were similar for all of the organisms studied (6.12 to 26.7, mean +/- SD = 16.9 +/- 7.8, P value, 0.42). These free-drug AUC/MIC ratios are similar to those observed for other triazoles in this model.", "author" : [ { "dropping-particle" : "", "family" : "Andes", "given" : "D", "non-dropping-particle" : "", "parse-names" : false, "suffix" : "" }, { "dropping-particle" : "", "family" : "Marchillo", "given" : "K", "non-dropping-particle" : "", "parse-names" : false, "suffix" : "" }, { "dropping-particle" : "", "family" : "Conklin", "given" : "R", "non-dropping-particle" : "", "parse-names" : false, "suffix" : "" }, { "dropping-particle" : "", "family" : "Krishna", "given" : "G", "non-dropping-particle" : "", "parse-names" : false, "suffix" : "" }, { "dropping-particle" : "", "family" : "Ezzet", "given" : "F", "non-dropping-particle" : "", "parse-names" : false, "suffix" : "" }, { "dropping-particle" : "", "family" : "Cacciapuoti", "given" : "A", "non-dropping-particle" : "", "parse-names" : false, "suffix" : "" }, { "dropping-particle" : "", "family" : "Loebenberg", "given" : "D", "non-dropping-particle" : "", "parse-names" : false, "suffix" : "" } ], "container-title" : "Antimicrob Agents Chemother", "id" : "ITEM-4", "issue" : "1", "issued" : { "date-parts" : [ [ "2004" ] ] }, "note" : "0066-4804 (Print)\nJournal Article", "page" : "137-142", "title" : "Pharmacodynamics of a new triazole, posaconazole, in a murine model of disseminated candidiasis", "type" : "article-journal", "volume" : "48" }, "uris" : [ "http://www.mendeley.com/documents/?uuid=bdef1d1b-139e-47c5-9719-17b81b400126" ] } ], "mendeley" : { "formattedCitation" : "&lt;sup&gt;16\u201319&lt;/sup&gt;", "plainTextFormattedCitation" : "16\u201319", "previouslyFormattedCitation" : "&lt;sup&gt;16\u201319&lt;/sup&gt;" }, "properties" : { "noteIndex" : 0 }, "schema" : "https://github.com/citation-style-language/schema/raw/master/csl-citation.json" }</w:instrText>
      </w:r>
      <w:r w:rsidR="00562868">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16–19</w:t>
      </w:r>
      <w:r w:rsidR="00562868">
        <w:rPr>
          <w:rFonts w:asciiTheme="majorHAnsi" w:hAnsiTheme="majorHAnsi" w:cs="Times New Roman"/>
          <w:lang w:val="en-US"/>
        </w:rPr>
        <w:fldChar w:fldCharType="end"/>
      </w:r>
    </w:p>
    <w:p w14:paraId="22A54769" w14:textId="2F736265" w:rsidR="009D04EC" w:rsidRPr="007E2A5E" w:rsidRDefault="009D04EC" w:rsidP="007A2846">
      <w:pPr>
        <w:pStyle w:val="ListParagraph"/>
        <w:widowControl w:val="0"/>
        <w:numPr>
          <w:ilvl w:val="0"/>
          <w:numId w:val="23"/>
        </w:numPr>
        <w:autoSpaceDE w:val="0"/>
        <w:autoSpaceDN w:val="0"/>
        <w:adjustRightInd w:val="0"/>
        <w:spacing w:line="276" w:lineRule="auto"/>
        <w:rPr>
          <w:rFonts w:asciiTheme="majorHAnsi" w:hAnsiTheme="majorHAnsi" w:cs="Times New Roman"/>
          <w:lang w:val="en-US"/>
        </w:rPr>
      </w:pPr>
      <w:r w:rsidRPr="006F2161">
        <w:rPr>
          <w:rFonts w:asciiTheme="majorHAnsi" w:hAnsiTheme="majorHAnsi" w:cs="Times New Roman"/>
          <w:lang w:val="en-US"/>
        </w:rPr>
        <w:t>Echinocandins</w:t>
      </w:r>
      <w:r w:rsidR="00842BF5" w:rsidRPr="006F2161">
        <w:rPr>
          <w:rFonts w:asciiTheme="majorHAnsi" w:hAnsiTheme="majorHAnsi" w:cs="Times New Roman"/>
          <w:lang w:val="en-US"/>
        </w:rPr>
        <w:t xml:space="preserve"> exhibit concentration-dependent killing with the AUC</w:t>
      </w:r>
      <w:proofErr w:type="gramStart"/>
      <w:r w:rsidR="006F2161" w:rsidRPr="006F2161">
        <w:rPr>
          <w:rFonts w:asciiTheme="majorHAnsi" w:hAnsiTheme="majorHAnsi" w:cs="Times New Roman"/>
          <w:lang w:val="en-US"/>
        </w:rPr>
        <w:t>:MIC</w:t>
      </w:r>
      <w:proofErr w:type="gramEnd"/>
      <w:r w:rsidR="006F2161" w:rsidRPr="006F2161">
        <w:rPr>
          <w:rFonts w:asciiTheme="majorHAnsi" w:hAnsiTheme="majorHAnsi" w:cs="Times New Roman"/>
          <w:lang w:val="en-US"/>
        </w:rPr>
        <w:t xml:space="preserve"> </w:t>
      </w:r>
      <w:r w:rsidR="006F2161">
        <w:rPr>
          <w:rFonts w:asciiTheme="majorHAnsi" w:hAnsiTheme="majorHAnsi" w:cs="Times New Roman"/>
          <w:lang w:val="en-US"/>
        </w:rPr>
        <w:t>and/</w:t>
      </w:r>
      <w:r w:rsidR="006F2161" w:rsidRPr="006F2161">
        <w:rPr>
          <w:rFonts w:asciiTheme="majorHAnsi" w:hAnsiTheme="majorHAnsi" w:cs="Times New Roman"/>
          <w:lang w:val="en-US"/>
        </w:rPr>
        <w:t>or the peak concentration:</w:t>
      </w:r>
      <w:r w:rsidR="00842BF5" w:rsidRPr="006F2161">
        <w:rPr>
          <w:rFonts w:asciiTheme="majorHAnsi" w:hAnsiTheme="majorHAnsi" w:cs="Times New Roman"/>
          <w:lang w:val="en-US"/>
        </w:rPr>
        <w:t>MIC consistently identified as the dynamically linked variable</w:t>
      </w:r>
      <w:r w:rsidR="00803F8F" w:rsidRPr="007E2A5E">
        <w:rPr>
          <w:rFonts w:asciiTheme="majorHAnsi" w:hAnsiTheme="majorHAnsi" w:cs="Times New Roman"/>
          <w:lang w:val="en-US"/>
        </w:rPr>
        <w:t>s</w:t>
      </w:r>
      <w:r w:rsidR="004B6BBB">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"10.1128/AAC.49.12.5058-5068.2005", "ISBN" : "0066-4804 (Print) 0066-4804 (Linking)", "PMID" : "16304173", "abstract" : "Pharmacokinetic and pharmacodynamic studies were conducted in a murine model of systemic candidiasis to determine the pharmacodynamic parameter linked with caspofungin efficacy. Additional studies defined the importance of persistent tissue drug concentrations to treatment outcome. The pharmacokinetics of caspofungin were determined in the serum and kidneys of infected mice over 96 h. Population pharmacokinetic analysis demonstrated a serum terminal half-life (t(1/2)) for caspofungin of 20.2 h when only serum concentrations were considered, but the terminal t(1/2) increased to 59.2 h when serum and kidney concentration-time data were co-modeled. In dose-range studies, the dose-response effect was well described by an inhibitory sigmoid curve for the exposure-effect killing caused by the drug (r2 &gt; 0.96; P &lt;&lt; 0.001). In dose-fractionation studies, fungal counts in kidneys were not statistically different for total doses given as one, two, or four equally divided doses over 96 h, indicating that the area under the concentration-time curve/MIC is the pharmacodynamic parameter that predicts caspofungin efficacy in our infection model. In a separate study, mice infected with Candida albicans 24 h after serum concentrations of caspofungin fell below the MIC for the fungal isolate had significant reductions in fungal densities in their kidneys compared with the growth of fungi in the kidneys of untreated controls (P = 0.005). This in vivo biological assay demonstrates that therapeutic concentrations of caspofungin persist at the site of infection in kidney tissue well after serum concentrations fall below the MIC, underscoring the primacy of caspofungin levels in tissues on determining treatment outcome.", "author" : [ { "dropping-particle" : "", "family" : "Louie", "given" : "A", "non-dropping-particle" : "", "parse-names" : false, "suffix" : "" }, { "dropping-particle" : "", "family" : "Deziel", "given" : "M", "non-dropping-particle" : "", "parse-names" : false, "suffix" : "" }, { "dropping-particle" : "", "family" : "Liu", "given" : "W", "non-dropping-particle" : "", "parse-names" : false, "suffix" : "" }, { "dropping-particle" : "", "family" : "Drusano", "given" : "M F", "non-dropping-particle" : "", "parse-names" : false, "suffix" : "" }, { "dropping-particle" : "", "family" : "Gumbo", "given" : "T", "non-dropping-particle" : "", "parse-names" : false, "suffix" : "" }, { "dropping-particle" : "", "family" : "Drusano", "given" : "G L", "non-dropping-particle" : "", "parse-names" : false, "suffix" : "" } ], "container-title" : "Antimicrob Agents Chemother", "id" : "ITEM-1", "issue" : "12", "issued" : { "date-parts" : [ [ "2005" ] ] }, "language" : "eng", "note" : "Louie, Arnold\nDeziel, Mark\nLiu, Weiguo\nDrusano, Michael F\nGumbo, Tawanda\nDrusano, George L\nAntimicrob Agents Chemother. 2005 Dec;49(12):5058-68.", "page" : "5058-5068", "title" : "Pharmacodynamics of caspofungin in a murine model of systemic candidiasis: importance of persistence of caspofungin in tissues to understanding drug activity", "type" : "article-journal", "volume" : "49" }, "uris" : [ "http://www.mendeley.com/documents/?uuid=96b38888-63ee-4734-9ad1-f563e55cdcdb" ] }, { "id" : "ITEM-2", "itemData" : { "PMID" : "12654645", "abstract" : "In vivo pharmacokinetic/pharmacodynamic characterization for numerous antibacterial compounds has had a significant impact upon optimal dosing regimen design and the development of in vivo susceptibility breakpoints. More recently, similar characterization has been undertaken for antifungal drug classes. Very little is known of these pharmacodynamic relationships for the new echinocandin class of compounds. We utilized a neutropenic murine model of disseminated candidiasis to describe the time course antifungal activity of HMR 3270, a new glucan synthase inhibitor. Single-dose in vivo time kill studies with four 16-fold escalating doses demonstrated concentration-dependent killing when drug levels in serum were more than four times the MIC. Postantifungal effects were dose dependent, ranging from 8 to 80 h duration. Multiple dosing regimen studies utilized six total doses, four dosing intervals, and a treatment duration of 6 days. Shortening the dosing interval from every 144 h (q144h) to q36h resulted in a fourfold rise in the dose necessary to achieve a net fungistatic effect. The peak/MIC ratio most strongly correlated with treatment outcomes (peak/MIC ratio, R(2) = 98%; ratio of the area under the concentration-time curve from 0 to 24 h to the MIC, R(2) = 79%, percentage of time above the MIC, R(2) = 61%). Studies were also conducted with five additional Candida albicans isolates to determine if a similar peak/MIC ratio was associated with efficacy. In vivo concentration-dependent killing was similarly observed in studies with each of the additional isolates. The peak/MIC ratio necessary to produce efficacy was relatively similar among the strains studied (P = 0.42). The peak/MIC ratio (mean +/- standard deviation) necessary to achieve a fungistatic effect was 3.72 +/- 1.84, and the ratio necessary to achieve maximal killing was near 10.", "author" : [ { "dropping-particle" : "", "family" : "Andes", "given" : "D", "non-dropping-particle" : "", "parse-names" : false, "suffix" : "" }, { "dropping-particle" : "", "family" : "Marchillo", "given" : "K", "non-dropping-particle" : "", "parse-names" : false, "suffix" : "" }, { "dropping-particle" : "", "family" : "Lowther", "given" : "J", "non-dropping-particle" : "", "parse-names" : false, "suffix" : "" }, { "dropping-particle" : "", "family" : "Bryskier", "given" : "A", "non-dropping-particle" : "", "parse-names" : false, "suffix" : "" }, { "dropping-particle" : "", "family" : "Stamstad", "given" : "T", "non-dropping-particle" : "", "parse-names" : false, "suffix" : "" }, { "dropping-particle" : "", "family" : "Conklin", "given" : "R", "non-dropping-particle" : "", "parse-names" : false, "suffix" : "" } ], "container-title" : "Antimicrob Agents Chemother", "id" : "ITEM-2", "issue" : "4", "issued" : { "date-parts" : [ [ "2003" ] ] }, "note" : "0066-4804 (Print)\nJournal Article", "page" : "1187-1192", "title" : "In vivo pharmacodynamics of HMR 3270, a glucan synthase inhibitor, in a murine candidiasis model", "type" : "article-journal", "volume" : "47" }, "uris" : [ "http://www.mendeley.com/documents/?uuid=0524e989-1585-4ddb-baa0-ece4a3ab4d8c" ] } ], "mendeley" : { "formattedCitation" : "&lt;sup&gt;20,21&lt;/sup&gt;", "plainTextFormattedCitation" : "20,21", "previouslyFormattedCitation" : "&lt;sup&gt;20,21&lt;/sup&gt;"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20,21</w:t>
      </w:r>
      <w:r w:rsidR="004D32CF">
        <w:rPr>
          <w:rFonts w:asciiTheme="majorHAnsi" w:hAnsiTheme="majorHAnsi" w:cs="Times New Roman"/>
          <w:lang w:val="en-US"/>
        </w:rPr>
        <w:fldChar w:fldCharType="end"/>
      </w:r>
      <w:r w:rsidR="00412A44">
        <w:rPr>
          <w:rFonts w:asciiTheme="majorHAnsi" w:hAnsiTheme="majorHAnsi" w:cs="Times New Roman"/>
          <w:lang w:val="en-US"/>
        </w:rPr>
        <w:t xml:space="preserve"> </w:t>
      </w:r>
      <w:r w:rsidR="003F7189">
        <w:rPr>
          <w:rFonts w:asciiTheme="majorHAnsi" w:hAnsiTheme="majorHAnsi" w:cs="Times New Roman"/>
          <w:i/>
          <w:lang w:val="en-US"/>
        </w:rPr>
        <w:t>C.</w:t>
      </w:r>
      <w:r w:rsidR="003F7189" w:rsidRPr="0073162B">
        <w:rPr>
          <w:rFonts w:asciiTheme="majorHAnsi" w:hAnsiTheme="majorHAnsi" w:cs="Times New Roman"/>
          <w:i/>
          <w:lang w:val="en-US"/>
        </w:rPr>
        <w:t xml:space="preserve"> </w:t>
      </w:r>
      <w:r w:rsidR="00412A44" w:rsidRPr="0073162B">
        <w:rPr>
          <w:rFonts w:asciiTheme="majorHAnsi" w:hAnsiTheme="majorHAnsi" w:cs="Times New Roman"/>
          <w:i/>
          <w:lang w:val="en-US"/>
        </w:rPr>
        <w:t>glabrata</w:t>
      </w:r>
      <w:r w:rsidR="00412A44" w:rsidRPr="007E2A5E">
        <w:rPr>
          <w:rFonts w:asciiTheme="majorHAnsi" w:hAnsiTheme="majorHAnsi" w:cs="Times New Roman"/>
          <w:lang w:val="en-US"/>
        </w:rPr>
        <w:t xml:space="preserve"> and </w:t>
      </w:r>
      <w:r w:rsidR="003F7189">
        <w:rPr>
          <w:rFonts w:asciiTheme="majorHAnsi" w:hAnsiTheme="majorHAnsi" w:cs="Times New Roman"/>
          <w:i/>
          <w:lang w:val="en-US"/>
        </w:rPr>
        <w:t>C.</w:t>
      </w:r>
      <w:r w:rsidR="003F7189" w:rsidRPr="0073162B">
        <w:rPr>
          <w:rFonts w:asciiTheme="majorHAnsi" w:hAnsiTheme="majorHAnsi" w:cs="Times New Roman"/>
          <w:i/>
          <w:lang w:val="en-US"/>
        </w:rPr>
        <w:t xml:space="preserve"> </w:t>
      </w:r>
      <w:proofErr w:type="spellStart"/>
      <w:r w:rsidR="00412A44" w:rsidRPr="0073162B">
        <w:rPr>
          <w:rFonts w:asciiTheme="majorHAnsi" w:hAnsiTheme="majorHAnsi" w:cs="Times New Roman"/>
          <w:i/>
          <w:lang w:val="en-US"/>
        </w:rPr>
        <w:t>parapsilosis</w:t>
      </w:r>
      <w:proofErr w:type="spellEnd"/>
      <w:r w:rsidR="00412A44" w:rsidRPr="007E2A5E">
        <w:rPr>
          <w:rFonts w:asciiTheme="majorHAnsi" w:hAnsiTheme="majorHAnsi" w:cs="Times New Roman"/>
          <w:i/>
          <w:lang w:val="en-US"/>
        </w:rPr>
        <w:t xml:space="preserve"> </w:t>
      </w:r>
      <w:r w:rsidR="00412A44" w:rsidRPr="0012015D">
        <w:rPr>
          <w:rFonts w:asciiTheme="majorHAnsi" w:hAnsiTheme="majorHAnsi" w:cs="Times New Roman"/>
          <w:lang w:val="en-US"/>
        </w:rPr>
        <w:t>have l</w:t>
      </w:r>
      <w:r w:rsidR="00412A44" w:rsidRPr="00C93520">
        <w:rPr>
          <w:rFonts w:asciiTheme="majorHAnsi" w:hAnsiTheme="majorHAnsi" w:cs="Times New Roman"/>
          <w:lang w:val="en-US"/>
        </w:rPr>
        <w:t>ower pharmacodynamic targets</w:t>
      </w:r>
      <w:r w:rsidR="00412A44">
        <w:rPr>
          <w:rFonts w:asciiTheme="majorHAnsi" w:hAnsiTheme="majorHAnsi" w:cs="Times New Roman"/>
          <w:lang w:val="en-US"/>
        </w:rPr>
        <w:t xml:space="preserve"> than </w:t>
      </w:r>
      <w:r w:rsidR="003F7189">
        <w:rPr>
          <w:rFonts w:asciiTheme="majorHAnsi" w:hAnsiTheme="majorHAnsi" w:cs="Times New Roman"/>
          <w:i/>
          <w:lang w:val="en-US"/>
        </w:rPr>
        <w:t>C.</w:t>
      </w:r>
      <w:r w:rsidR="003F7189" w:rsidRPr="0073162B">
        <w:rPr>
          <w:rFonts w:asciiTheme="majorHAnsi" w:hAnsiTheme="majorHAnsi" w:cs="Times New Roman"/>
          <w:i/>
          <w:lang w:val="en-US"/>
        </w:rPr>
        <w:t xml:space="preserve"> </w:t>
      </w:r>
      <w:r w:rsidR="00412A44" w:rsidRPr="0073162B">
        <w:rPr>
          <w:rFonts w:asciiTheme="majorHAnsi" w:hAnsiTheme="majorHAnsi" w:cs="Times New Roman"/>
          <w:i/>
          <w:lang w:val="en-US"/>
        </w:rPr>
        <w:t>albicans</w:t>
      </w:r>
      <w:r w:rsidR="00C57547">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"10.1128/AAC.00478-08", "ISBN" : "1098-6596 (Electronic) 0066-4804 (Linking)", "PMID" : "18625768", "abstract" : "Previous studies using in vivo candidiasis models have demonstrated that the concentration-associated pharmacodynamic indices, the maximum concentration of a drug in serum/MIC and 24-h area under the curve (AUC)/MIC, are associated with echinocandin treatment efficacy. The current investigations used a neutropenic murine model of disseminated Candida albicans and C. glabrata infection to identify the 24-h AUC/MIC index target associated with a stasis and killing endpoint for the echinocandin, micafungin. The kinetics after intraperitoneal micafungin dosing were determined in neutropenic infected mice. Peak levels and AUC values were linear over the 16-fold dose range studied. The serum drug elimination half-life ranged from 7.5 to 16 h. Treatment studies were conducted with 4 C. albicans and 10 C. glabrata isolates with micafungin MICs varying from 0.008 to 0.25 microg/ml to determine whether similar 24-h AUC/MIC ratios were associated with efficacy. The free drug AUC/MICs associated with stasis and killing (1-log) endpoints were near 10 and 20, respectively. The micafungin exposures associated with efficacy were similar for the two Candida species. Furthermore, the free drug micafungin exposures required to produce stasis and killing endpoints were similar to those recently reported for another echinocandin, anidulafungin, against the identical Candida isolates in this model.", "author" : [ { "dropping-particle" : "", "family" : "Andes", "given" : "D R", "non-dropping-particle" : "", "parse-names" : false, "suffix" : "" }, { "dropping-particle" : "", "family" : "Diekema", "given" : "D J", "non-dropping-particle" : "", "parse-names" : false, "suffix" : "" }, { "dropping-particle" : "", "family" : "Pfaller", "given" : "M A", "non-dropping-particle" : "", "parse-names" : false, "suffix" : "" }, { "dropping-particle" : "", "family" : "Marchillo", "given" : "K", "non-dropping-particle" : "", "parse-names" : false, "suffix" : "" }, { "dropping-particle" : "", "family" : "Bohrmueller", "given" : "J", "non-dropping-particle" : "", "parse-names" : false, "suffix" : "" } ], "container-title" : "Antimicrob Agents Chemother", "id" : "ITEM-1", "issue" : "10", "issued" : { "date-parts" : [ [ "2008" ] ] }, "language" : "eng", "note" : "From Duplicate 1 ( \n\nIn vivo pharmacodynamic target investigation for micafungin against Candida albicans and C. glabrata in a neutropenic murine candidiasis model\n\n- Andes, D R; Diekema, D J; Pfaller, M A; Marchillo, K; Bohrmueller, J )\n\n\n\nAndes, D R\nDiekema, D J\nPfaller, M A\nMarchillo, K\nBohrmueller, J\nAntimicrob Agents Chemother. 2008 Oct;52(10):3497-503. doi: 10.1128/AAC.00478-08. Epub 2008 Jul 14.\n\n\n\nFrom Duplicate 2 ( \n\nIn vivo pharmacodynamic target investigation for micafungin against Candida albicans and C. glabrata in a neutropenic murine candidiasis model\n\n- Andes, D R; Diekema, D J; Pfaller, M A; Marchillo, K; Bohrmueller, J )\n\n\n\n1098-6596 (Electronic)\nJournal Article\nResearch Support, Non-U.S. Gov't", "page" : "3497-3503", "title" : "In vivo pharmacodynamic target investigation for micafungin against Candida albicans and C. glabrata in a neutropenic murine candidiasis model", "type" : "article-journal", "volume" : "52" }, "uris" : [ "http://www.mendeley.com/documents/?uuid=6049f3c1-2715-47ce-8e01-a396ac59bfef" ] } ], "mendeley" : { "formattedCitation" : "&lt;sup&gt;22&lt;/sup&gt;", "plainTextFormattedCitation" : "22", "previouslyFormattedCitation" : "&lt;sup&gt;22&lt;/sup&gt;"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22</w:t>
      </w:r>
      <w:r w:rsidR="004D32CF">
        <w:rPr>
          <w:rFonts w:asciiTheme="majorHAnsi" w:hAnsiTheme="majorHAnsi" w:cs="Times New Roman"/>
          <w:lang w:val="en-US"/>
        </w:rPr>
        <w:fldChar w:fldCharType="end"/>
      </w:r>
      <w:r w:rsidR="00412A44">
        <w:rPr>
          <w:rFonts w:asciiTheme="majorHAnsi" w:hAnsiTheme="majorHAnsi" w:cs="Times New Roman"/>
          <w:lang w:val="en-US"/>
        </w:rPr>
        <w:t xml:space="preserve"> </w:t>
      </w:r>
      <w:r w:rsidR="00565F65">
        <w:rPr>
          <w:rFonts w:asciiTheme="majorHAnsi" w:hAnsiTheme="majorHAnsi" w:cs="Times New Roman"/>
          <w:lang w:val="en-US"/>
        </w:rPr>
        <w:t xml:space="preserve">Higher echinocandin </w:t>
      </w:r>
      <w:r w:rsidR="00582216">
        <w:rPr>
          <w:rFonts w:asciiTheme="majorHAnsi" w:hAnsiTheme="majorHAnsi" w:cs="Times New Roman"/>
          <w:lang w:val="en-US"/>
        </w:rPr>
        <w:t>dosages than are currently used</w:t>
      </w:r>
      <w:r w:rsidR="00565F65">
        <w:rPr>
          <w:rFonts w:asciiTheme="majorHAnsi" w:hAnsiTheme="majorHAnsi" w:cs="Times New Roman"/>
          <w:lang w:val="en-US"/>
        </w:rPr>
        <w:t xml:space="preserve"> may be required to achieve fungicidal activity against </w:t>
      </w:r>
      <w:r w:rsidR="003F7189">
        <w:rPr>
          <w:rFonts w:asciiTheme="majorHAnsi" w:hAnsiTheme="majorHAnsi" w:cs="Times New Roman"/>
          <w:i/>
          <w:lang w:val="en-US"/>
        </w:rPr>
        <w:t>C.</w:t>
      </w:r>
      <w:r w:rsidR="003F7189" w:rsidRPr="00582216">
        <w:rPr>
          <w:rFonts w:asciiTheme="majorHAnsi" w:hAnsiTheme="majorHAnsi" w:cs="Times New Roman"/>
          <w:i/>
          <w:lang w:val="en-US"/>
        </w:rPr>
        <w:t xml:space="preserve"> </w:t>
      </w:r>
      <w:r w:rsidR="00565F65" w:rsidRPr="00582216">
        <w:rPr>
          <w:rFonts w:asciiTheme="majorHAnsi" w:hAnsiTheme="majorHAnsi" w:cs="Times New Roman"/>
          <w:i/>
          <w:lang w:val="en-US"/>
        </w:rPr>
        <w:t>glabrat</w:t>
      </w:r>
      <w:r w:rsidR="00565F65">
        <w:rPr>
          <w:rFonts w:asciiTheme="majorHAnsi" w:hAnsiTheme="majorHAnsi" w:cs="Times New Roman"/>
          <w:lang w:val="en-US"/>
        </w:rPr>
        <w:t>a in neutropenic hosts</w:t>
      </w:r>
      <w:r w:rsidR="00C57547">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"10.1128/AAC.00621-11", "ISSN" : "1098-6596", "PMID" : "21807969", "abstract" : "Candida glabrata is a leading cause of disseminated candidiasis. The echinocandins are increasingly used as first-line agents for the treatment of patients with this syndrome, although the optimal regimen for the treatment of invasive Candida glabrata infections in neutropenic patients is not known. We studied the pharmacokinetics (PK) and pharmacodynamics (PD) of micafungin, anidulafungin, and caspofungin in a neutropenic murine model of disseminated Candida glabrata infection to gain further insight into optimal therapeutic options for patients with this syndrome. A mathematical model was fitted to the data and used to bridge the experimental results to humans. The intravenous inoculation of Candida glabrata in mice was followed by logarithmic growth throughout the experimental period (101 h). A dose-dependent decline in fungal burden was observed following the administration of 0.1 to 20 mg/kg of body weight every 24 h for all three agents. The exposure-response relationships for each drug partitioned into distinct fungistatic and fungicidal components of activity. Surprisingly, the average human drug exposures following currently licensed regimens were predicted to result in a fungistatic antifungal effect. Higher human dosages of all three echinocandins are required to induce fungicidal effects in neutropenic hosts.", "author" : [ { "dropping-particle" : "", "family" : "Howard", "given" : "Susan J", "non-dropping-particle" : "", "parse-names" : false, "suffix" : "" }, { "dropping-particle" : "", "family" : "Livermore", "given" : "Joanne", "non-dropping-particle" : "", "parse-names" : false, "suffix" : "" }, { "dropping-particle" : "", "family" : "Sharp", "given" : "Andrew", "non-dropping-particle" : "", "parse-names" : false, "suffix" : "" }, { "dropping-particle" : "", "family" : "Goodwin", "given" : "Joanne", "non-dropping-particle" : "", "parse-names" : false, "suffix" : "" }, { "dropping-particle" : "", "family" : "Gregson", "given" : "Lea", "non-dropping-particle" : "", "parse-names" : false, "suffix" : "" }, { "dropping-particle" : "", "family" : "Alastruey-Izquierdo", "given" : "A", "non-dropping-particle" : "", "parse-names" : false, "suffix" : "" }, { "dropping-particle" : "", "family" : "Perlin", "given" : "D S", "non-dropping-particle" : "", "parse-names" : false, "suffix" : "" }, { "dropping-particle" : "", "family" : "Warn", "given" : "Peter A", "non-dropping-particle" : "", "parse-names" : false, "suffix" : "" }, { "dropping-particle" : "", "family" : "Hope", "given" : "William W", "non-dropping-particle" : "", "parse-names" : false, "suffix" : "" } ], "container-title" : "Antimicrobial agents and chemotherapy", "id" : "ITEM-1", "issue" : "10", "issued" : { "date-parts" : [ [ "2011", "10" ] ] }, "page" : "4880-4887", "publisher" : "American Society for Microbiology", "title" : "Pharmacodynamics of echinocandins against Candida glabrata: requirement for dosage escalation to achieve maximal antifungal activity in neutropenic hosts", "type" : "article-journal", "volume" : "55" }, "uris" : [ "http://www.mendeley.com/documents/?uuid=6ffae45a-9c09-470d-be5c-1b2bd43446dd" ] } ], "mendeley" : { "formattedCitation" : "&lt;sup&gt;23&lt;/sup&gt;", "plainTextFormattedCitation" : "23", "previouslyFormattedCitation" : "&lt;sup&gt;23&lt;/sup&gt;"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23</w:t>
      </w:r>
      <w:r w:rsidR="004D32CF">
        <w:rPr>
          <w:rFonts w:asciiTheme="majorHAnsi" w:hAnsiTheme="majorHAnsi" w:cs="Times New Roman"/>
          <w:lang w:val="en-US"/>
        </w:rPr>
        <w:fldChar w:fldCharType="end"/>
      </w:r>
      <w:r w:rsidR="00C57547">
        <w:rPr>
          <w:rFonts w:asciiTheme="majorHAnsi" w:hAnsiTheme="majorHAnsi" w:cs="Times New Roman"/>
          <w:lang w:val="en-US"/>
        </w:rPr>
        <w:t xml:space="preserve"> </w:t>
      </w:r>
      <w:r w:rsidR="0065560D">
        <w:rPr>
          <w:rFonts w:asciiTheme="majorHAnsi" w:hAnsiTheme="majorHAnsi" w:cs="Times New Roman"/>
          <w:lang w:val="en-US"/>
        </w:rPr>
        <w:t>PK-PD has been used to support innovative dosing regimens of micafungin</w:t>
      </w:r>
      <w:r w:rsidR="004B6BBB">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"AAC.01337-06 [pii] 10.1128/AAC.01337-06", "ISBN" : "0066-4804 (Print) 0066-4804 (Linking)", "PMID" : "17194830", "abstract" : "The effect of micafungin dose scheduling on the treatment of candidemia is unknown. Neutropenic mice with disseminated Candida glabrata infection were treated with single intraperitoneal micafungin doses of 0 to 100 mg/kg of body weight and sacrificed 7 days later. The maximal decline in kidney fungal burden was 5.8 log(10) CFU/g. A 1-week pharmacokinetic-pharmacodynamic study revealed a micafungin serum half-life of 6.13 h. In mice treated with &gt; or =50 mg/kg, there was maximal fungal decline without regrowth during the 1-week dosing interval. Next, doses associated with 34% (34% effective dose [ED(34)]) and 50% (ED(50)) of maximal kill were administered at one of three dose schedules: a single dose at t = 0, two equal doses at t = 0 and t = 3.5 days, and 7 equal doses daily. Some mice received a single dose of 100 mg/kg. Fungal burden was examined on days 1, 5, and 7. In mice treated with the ED(34), microbial kill with the daily therapy initially lagged behind the intermittent doses but exceeded it by day 7. In mice treated with the ED(50), daily and intermittent doses had equivalent day 7 effects. In mice treated with 100 mg/kg, there was no regrowth. The relative likelihoods that the area under the concentration-time curve/MIC ratio was linked to microbial kill versus peak concentration/MIC ratio or time above the MIC was 10.3 and 10,161.2, respectively. In all the experiments, no paradoxical increase in fungal burden was observed with high micafungin doses. However, only a single Candida isolate was tested. Regimens that simulated micafungin concentration-time profiles in patients treated with a single micafungin dose of 1,400 mg once a week demonstrated maximal fungal decline. Once-weekly micafungin therapy is as efficacious as daily therapy in a murine model of disseminated candidiasis.", "author" : [ { "dropping-particle" : "", "family" : "Gumbo", "given" : "T", "non-dropping-particle" : "", "parse-names" : false, "suffix" : "" }, { "dropping-particle" : "", "family" : "Drusano", "given" : "G L", "non-dropping-particle" : "", "parse-names" : false, "suffix" : "" }, { "dropping-particle" : "", "family" : "Liu", "given" : "W", "non-dropping-particle" : "", "parse-names" : false, "suffix" : "" }, { "dropping-particle" : "", "family" : "Kulawy", "given" : "R W", "non-dropping-particle" : "", "parse-names" : false, "suffix" : "" }, { "dropping-particle" : "", "family" : "Fregeau", "given" : "C", "non-dropping-particle" : "", "parse-names" : false, "suffix" : "" }, { "dropping-particle" : "", "family" : "Hsu", "given" : "V", "non-dropping-particle" : "", "parse-names" : false, "suffix" : "" }, { "dropping-particle" : "", "family" : "Louie", "given" : "A", "non-dropping-particle" : "", "parse-names" : false, "suffix" : "" } ], "container-title" : "Antimicrob Agents Chemother", "id" : "ITEM-1", "issue" : "3", "issued" : { "date-parts" : [ [ "2007" ] ] }, "language" : "eng", "note" : "Gumbo, Tawanda\nDrusano, George L\nLiu, Weiguo\nKulawy, Robert W\nFregeau, Christine\nHsu, Vasha\nLouie, Arnold\nResearch Support, Non-U.S. Gov't\nUnited States\nAntimicrobial agents and chemotherapy\nAntimicrob Agents Chemother. 2007 Mar;51(3):968-74. Epub 2006 Dec 28.", "page" : "968-974", "title" : "Once-weekly micafungin therapy is as effective as daily therapy for disseminated candidiasis in mice with persistent neutropenia", "type" : "article-journal", "volume" : "51" }, "uris" : [ "http://www.mendeley.com/documents/?uuid=191f7138-5faa-4716-a5d1-c952871098ec" ] } ], "mendeley" : { "formattedCitation" : "&lt;sup&gt;24&lt;/sup&gt;", "plainTextFormattedCitation" : "24", "previouslyFormattedCitation" : "&lt;sup&gt;24&lt;/sup&gt;"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24</w:t>
      </w:r>
      <w:r w:rsidR="004D32CF">
        <w:rPr>
          <w:rFonts w:asciiTheme="majorHAnsi" w:hAnsiTheme="majorHAnsi" w:cs="Times New Roman"/>
          <w:lang w:val="en-US"/>
        </w:rPr>
        <w:fldChar w:fldCharType="end"/>
      </w:r>
      <w:r w:rsidR="0065560D">
        <w:rPr>
          <w:rFonts w:asciiTheme="majorHAnsi" w:hAnsiTheme="majorHAnsi" w:cs="Times New Roman"/>
          <w:lang w:val="en-US"/>
        </w:rPr>
        <w:t xml:space="preserve"> </w:t>
      </w:r>
      <w:r w:rsidR="00412A44">
        <w:rPr>
          <w:rFonts w:asciiTheme="majorHAnsi" w:hAnsiTheme="majorHAnsi" w:cs="Times New Roman"/>
          <w:lang w:val="en-US"/>
        </w:rPr>
        <w:t>There has been a</w:t>
      </w:r>
      <w:r w:rsidR="00412A44" w:rsidRPr="007E2A5E">
        <w:rPr>
          <w:rFonts w:asciiTheme="majorHAnsi" w:hAnsiTheme="majorHAnsi" w:cs="Times New Roman"/>
          <w:lang w:val="en-US"/>
        </w:rPr>
        <w:t xml:space="preserve">n understanding of the pharmacodynamics of echinocandins for Fks1 mutations within </w:t>
      </w:r>
      <w:r w:rsidR="003F7189">
        <w:rPr>
          <w:rFonts w:asciiTheme="majorHAnsi" w:hAnsiTheme="majorHAnsi" w:cs="Times New Roman"/>
          <w:i/>
          <w:lang w:val="en-US"/>
        </w:rPr>
        <w:t>C.</w:t>
      </w:r>
      <w:r w:rsidR="003F7189" w:rsidRPr="0073162B">
        <w:rPr>
          <w:rFonts w:asciiTheme="majorHAnsi" w:hAnsiTheme="majorHAnsi" w:cs="Times New Roman"/>
          <w:i/>
          <w:lang w:val="en-US"/>
        </w:rPr>
        <w:t xml:space="preserve"> </w:t>
      </w:r>
      <w:r w:rsidR="00412A44" w:rsidRPr="0073162B">
        <w:rPr>
          <w:rFonts w:asciiTheme="majorHAnsi" w:hAnsiTheme="majorHAnsi" w:cs="Times New Roman"/>
          <w:i/>
          <w:lang w:val="en-US"/>
        </w:rPr>
        <w:t>albicans</w:t>
      </w:r>
      <w:r w:rsidR="00412A44" w:rsidRPr="007E2A5E">
        <w:rPr>
          <w:rFonts w:asciiTheme="majorHAnsi" w:hAnsiTheme="majorHAnsi" w:cs="Times New Roman"/>
          <w:lang w:val="en-US"/>
        </w:rPr>
        <w:t xml:space="preserve"> and </w:t>
      </w:r>
      <w:r w:rsidR="003F7189">
        <w:rPr>
          <w:rFonts w:asciiTheme="majorHAnsi" w:hAnsiTheme="majorHAnsi" w:cs="Times New Roman"/>
          <w:i/>
          <w:lang w:val="en-US"/>
        </w:rPr>
        <w:t>C.</w:t>
      </w:r>
      <w:r w:rsidR="003F7189" w:rsidRPr="0073162B">
        <w:rPr>
          <w:rFonts w:asciiTheme="majorHAnsi" w:hAnsiTheme="majorHAnsi" w:cs="Times New Roman"/>
          <w:i/>
          <w:lang w:val="en-US"/>
        </w:rPr>
        <w:t xml:space="preserve"> </w:t>
      </w:r>
      <w:r w:rsidR="00412A44" w:rsidRPr="0073162B">
        <w:rPr>
          <w:rFonts w:asciiTheme="majorHAnsi" w:hAnsiTheme="majorHAnsi" w:cs="Times New Roman"/>
          <w:i/>
          <w:lang w:val="en-US"/>
        </w:rPr>
        <w:t>glabrata</w:t>
      </w:r>
      <w:r w:rsidR="00C57547">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"10.1128/AAC.01686-10", "ISBN" : "1098-6596 (Electronic) 0066-4804 (Linking)", "PMID" : "21502627", "abstract" : "The clinical utility of the echinocandins is potentially compromised by the emergence of drug resistance. We investigated whether Candida albicans with amino acid substitutions at position Ser645 in Fks1 can be treated with either a conventional or an elevated dosage of micafungin. We studied Candida albicans (wild-type SC5314; MIC, 0.06 mg/liter) and four fks1 mutants (one FKS1/fks1 heterozygote mutant [MIC, 0.5 mg/liter] and three fks1/fks1 homozygous mutants [MICs for all, 2 mg/liter]) with a variety of amino acid substitutions at Ser645. The pharmacokinetic and pharmacodynamic relationships were characterized in a persistently neutropenic murine model of disseminated candidiasis. A mathematical model was fitted to all pharmacokinetic and pharmacodynamic data. This mathematical model was then used to \"humanize\" the murine pharmacokinetics, and the predicted antifungal effect was determined. The estimated maximal rate of growth and ultimate fungal densities in the kidney for each of the strains were similar. The administration of micafungin at 1 mg/kg of body weight to the wild type resulted in moderate antifungal activity, whereas the administration of 5 and 20 mg/kg resulted in rapid fungicidal activity. In contrast, the FKS1/fks heterozygote was killed only with 20 mg/kg, and the homozygous fks1 mutants failed to respond to any dosage. The bridging study revealed that human dosages of 100 and 400 mg/day were active only against the wild type, with no activity against either the heterozygote or the homozygote mutants. Ser645 Fks1 Candida albicans mutants cannot be treated with either conventional or elevated dosages of micafungin and should be deemed resistant.", "author" : [ { "dropping-particle" : "", "family" : "Slater", "given" : "J L", "non-dropping-particle" : "", "parse-names" : false, "suffix" : "" }, { "dropping-particle" : "", "family" : "Howard", "given" : "S J", "non-dropping-particle" : "", "parse-names" : false, "suffix" : "" }, { "dropping-particle" : "", "family" : "Sharp", "given" : "A", "non-dropping-particle" : "", "parse-names" : false, "suffix" : "" }, { "dropping-particle" : "", "family" : "Goodwin", "given" : "J", "non-dropping-particle" : "", "parse-names" : false, "suffix" : "" }, { "dropping-particle" : "", "family" : "Gregson", "given" : "L M", "non-dropping-particle" : "", "parse-names" : false, "suffix" : "" }, { "dropping-particle" : "", "family" : "Alastruey-Izquierdo", "given" : "A", "non-dropping-particle" : "", "parse-names" : false, "suffix" : "" }, { "dropping-particle" : "", "family" : "Arendrup", "given" : "M C", "non-dropping-particle" : "", "parse-names" : false, "suffix" : "" }, { "dropping-particle" : "", "family" : "Warn", "given" : "P A", "non-dropping-particle" : "", "parse-names" : false, "suffix" : "" }, { "dropping-particle" : "", "family" : "Perlin", "given" : "D S", "non-dropping-particle" : "", "parse-names" : false, "suffix" : "" }, { "dropping-particle" : "", "family" : "Hope", "given" : "W W", "non-dropping-particle" : "", "parse-names" : false, "suffix" : "" } ], "container-title" : "Antimicrob Agents Chemother", "id" : "ITEM-1", "issue" : "7", "issued" : { "date-parts" : [ [ "2011" ] ] }, "language" : "eng", "note" : "Slater, J L\nHoward, S J\nSharp, A\nGoodwin, J\nGregson, L M\nAlastruey-Izquierdo, A\nArendrup, M C\nWarn, P A\nPerlin, D S\nHope, W W\nAI069397/AI/NIAID NIH HHS/\nAntimicrob Agents Chemother. 2011 Jul;55(7):3075-83. doi: 10.1128/AAC.01686-10. Epub 2011 Apr 18.", "page" : "3075-3083", "title" : "Disseminated candidiasis caused by Candida albicans with amino acid substitutions in Fks1 at position Ser645 cannot be successfully treated with micafungin", "type" : "article-journal", "volume" : "55" }, "uris" : [ "http://www.mendeley.com/documents/?uuid=60a7ea40-d44b-4bc7-aea9-3f1e3862ba3e" ] }, { "id" : "ITEM-2", "itemData" : { "DOI" : "10.1128/AAC.06369-11", "ISBN" : "1098-6596 (Electronic) 0066-4804 (Linking)", "PMID" : "22354305", "abstract" : "We recently observed that the micafungin MICs for some Candida glabrata fks hot spot mutant isolates are less elevated than those for the other echinocandins, suggesting that the efficacy of micafungin may be differentially dependent on such mutations. Three clinical C. glabrata isolates with or without (S3) fks hot spot mutations R83 (Fks2p-S663F) and RR24 (Fks1p-S629P) and low, medium, and high echinocandin MICs, respectively, were evaluated to assess the in vivo efficacy in an immunocompetent mouse model using three doses of each echinocandin. Drug concentrations were determined in plasma and kidneys by high-performance liquid chromatography (HPLC). A pharmacokinetic-pharmacodynamic mathematical model was used to define the area under the concentration-time curve (AUC) that produced half- and near-maximal activity. Micafungin was equally efficacious against the S3 and R83 isolates. The estimates for the AUCs of each echinocandin that induced half-maximal effect (E(50)s) were 194.2 and 53.99 mg . h/liter, respectively. In contrast, the maximum effect (E(max)) for caspofungin was higher against S3 than R83, but the estimates for E(50) were similar (187.1 and 203.5 mg . h/liter, respectively). Anidulafungin failed to induce a &gt;/=1-log reduction for any of the isolates (AUC range, 139 to 557 mg . h/liter). None of the echinocandins were efficacious in mice challenged with the RR24 isolate despite lower virulence (reduced maximal growth, prolonged lag phase, and lower kidney burden). The AUC associated with half-maximal effect was higher than the average human exposure for all drug-dose-bug combinations except micafungin and the R83 isolate. In conclusion, differences in micafungin MICs are associated with differential antifungal activities in the animal model. This study may have implications for clinical practice and echinocandin breakpoint determination, and further studies are warranted.", "author" : [ { "dropping-particle" : "", "family" : "Arendrup", "given" : "M C", "non-dropping-particle" : "", "parse-names" : false, "suffix" : "" }, { "dropping-particle" : "", "family" : "Perlin", "given" : "D S", "non-dropping-particle" : "", "parse-names" : false, "suffix" : "" }, { "dropping-particle" : "", "family" : "Jensen", "given" : "R H", "non-dropping-particle" : "", "parse-names" : false, "suffix" : "" }, { "dropping-particle" : "", "family" : "Howard", "given" : "S J", "non-dropping-particle" : "", "parse-names" : false, "suffix" : "" }, { "dropping-particle" : "", "family" : "Goodwin", "given" : "J", "non-dropping-particle" : "", "parse-names" : false, "suffix" : "" }, { "dropping-particle" : "", "family" : "Hope", "given" : "W", "non-dropping-particle" : "", "parse-names" : false, "suffix" : "" } ], "container-title" : "Antimicrob Agents Chemother", "id" : "ITEM-2", "issue" : "5", "issued" : { "date-parts" : [ [ "2012" ] ] }, "language" : "eng", "note" : "Arendrup, Maiken Cavling\nPerlin, David S\nJensen, Rasmus Hare\nHoward, Susan Julie\nGoodwin, Joanne\nHope, William\nAntimicrob Agents Chemother. 2012 May;56(5):2435-42. doi: 10.1128/AAC.06369-11. Epub 2012 Feb 21.", "page" : "2435-2442", "title" : "Differential in vivo activities of anidulafungin, caspofungin, and micafungin against Candida glabrata isolates with and without FKS resistance mutations", "type" : "article-journal", "volume" : "56" }, "uris" : [ "http://www.mendeley.com/documents/?uuid=70ed379f-f596-47b2-9bdb-aa84467231c9" ] } ], "mendeley" : { "formattedCitation" : "&lt;sup&gt;25,26&lt;/sup&gt;", "plainTextFormattedCitation" : "25,26", "previouslyFormattedCitation" : "&lt;sup&gt;25,26&lt;/sup&gt;"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25,26</w:t>
      </w:r>
      <w:r w:rsidR="004D32CF">
        <w:rPr>
          <w:rFonts w:asciiTheme="majorHAnsi" w:hAnsiTheme="majorHAnsi" w:cs="Times New Roman"/>
          <w:lang w:val="en-US"/>
        </w:rPr>
        <w:fldChar w:fldCharType="end"/>
      </w:r>
      <w:r w:rsidR="003C4614">
        <w:rPr>
          <w:rFonts w:asciiTheme="majorHAnsi" w:hAnsiTheme="majorHAnsi" w:cs="Times New Roman"/>
          <w:lang w:val="en-US"/>
        </w:rPr>
        <w:t xml:space="preserve"> and an understanding of the use of these agents for infections in sanctuary sites</w:t>
      </w:r>
      <w:r w:rsidR="00C57547">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"10.1086/524063", "ISBN" : "0022-1899 (Print) 0022-1899 (Linking)", "PMID" : "18171300", "abstract" : "BACKGROUND: Hematogenous Candida meningoencephalitis (HCME) is a relatively frequent manifestation of disseminated candidiasis in neonates and is associated with significant mortality and neurodevelopmental abnormalities. The outcome after antifungal therapy is often suboptimal, with few therapeutic options. Limited clinical data suggest that echinocandins may have role to play in the treatment of HCME. METHODS: We studied the pharmacokinetics and pharmacodynamics of micafungin in a rabbit model of neonatal HCME and bridged the results to neonates by use of population pharmacokinetics and Monte Carlo simulation. RESULTS: Micafungin exhibited linear plasma pharmacokinetics in the range of 0.25-16 mg/kg. Micafungin penetrated most compartments of the central nervous system (CNS), but only with doses &gt;2 mg/kg. Micafungin was not reliably found in cerebrospinal fluid. With few exceptions, drug penetration into the various CNS subcompartments was not statistically different between infected and noninfected rabbits. A dose-microbiological response relationship was apparent in the brain, and near-maximal effect was apparent with doses of 8 mg/kg. Monte Carlo simulations revealed that near-maximal antifungal effect was attained at human neonatal doses of 12-15 mg/kg. CONCLUSIONS: These results provide a foundation for clinical trials of micafungin in neonates with HCME and a model for antimicrobial bridging studies from bench to bedside in pediatric patients.", "author" : [ { "dropping-particle" : "", "family" : "Hope", "given" : "W W", "non-dropping-particle" : "", "parse-names" : false, "suffix" : "" }, { "dropping-particle" : "", "family" : "Mickiene", "given" : "D", "non-dropping-particle" : "", "parse-names" : false, "suffix" : "" }, { "dropping-particle" : "", "family" : "Petraitis", "given" : "V", "non-dropping-particle" : "", "parse-names" : false, "suffix" : "" }, { "dropping-particle" : "", "family" : "Petraitiene", "given" : "R", "non-dropping-particle" : "", "parse-names" : false, "suffix" : "" }, { "dropping-particle" : "", "family" : "Kelaher", "given" : "A M", "non-dropping-particle" : "", "parse-names" : false, "suffix" : "" }, { "dropping-particle" : "", "family" : "Hughes", "given" : "J E", "non-dropping-particle" : "", "parse-names" : false, "suffix" : "" }, { "dropping-particle" : "", "family" : "Cotton", "given" : "M P", "non-dropping-particle" : "", "parse-names" : false, "suffix" : "" }, { "dropping-particle" : "", "family" : "Bacher", "given" : "J", "non-dropping-particle" : "", "parse-names" : false, "suffix" : "" }, { "dropping-particle" : "", "family" : "Keirns", "given" : "J J", "non-dropping-particle" : "", "parse-names" : false, "suffix" : "" }, { "dropping-particle" : "", "family" : "Buell", "given" : "D", "non-dropping-particle" : "", "parse-names" : false, "suffix" : "" }, { "dropping-particle" : "", "family" : "Heresi", "given" : "G", "non-dropping-particle" : "", "parse-names" : false, "suffix" : "" }, { "dropping-particle" : "", "family" : "Benjamin Jr.", "given" : "D K", "non-dropping-particle" : "", "parse-names" : false, "suffix" : "" }, { "dropping-particle" : "", "family" : "Groll", "given" : "A H", "non-dropping-particle" : "", "parse-names" : false, "suffix" : "" }, { "dropping-particle" : "", "family" : "Drusano", "given" : "G L", "non-dropping-particle" : "", "parse-names" : false, "suffix" : "" }, { "dropping-particle" : "", "family" : "Walsh", "given" : "T J", "non-dropping-particle" : "", "parse-names" : false, "suffix" : "" } ], "container-title" : "J Infect Dis", "id" : "ITEM-1", "issue" : "1", "issued" : { "date-parts" : [ [ "2008" ] ] }, "note" : "Hope, William W\nMickiene, Diana\nPetraitis, Vidmantas\nPetraitiene, Ruta\nKelaher, Amy M\nHughes, Joanna E\nCotton, Margaret P\nBacher, John\nKeirns, James J\nBuell, Donald\nHeresi, Gloria\nBenjamin, Daniel K Jr\nGroll, Andreas H\nDrusano, George L\nWalsh, Thomas J\n5U10 HD045962-04/HD/NICHD NIH HHS/United States\nHD044799-02/HD/NICHD NIH HHS/United States\nK23 HD044799-02/HD/NICHD NIH HHS/United States\nResearch Support, N.I.H., Extramural\nResearch Support, N.I.H., Intramural\nResearch Support, Non-U.S. Gov't\nUnited States\nThe Journal of infectious diseases\nJ Infect Dis. 2008 Jan 1;197(1):163-71.", "page" : "163-171", "title" : "The pharmacokinetics and pharmacodynamics of micafungin in experimental hematogenous Candida meningoencephalitis: implications for echinocandin therapy in neonates", "type" : "article-journal", "volume" : "197" }, "uris" : [ "http://www.mendeley.com/documents/?uuid=24e770d2-1f34-44c2-9d49-5c7808777057" ] }, { "id" : "ITEM-2", "itemData" : { "DOI" : "10.1128/AAC.05826-11", "ISBN" : "1098-6596 (Electronic) 0066-4804 (Linking)", "PMID" : "22123680", "abstract" : "Hematogenous Candida meningoencephalitis (HCME) is a serious infection in premature neonates. Anidulafungin is an echinocandin antifungal agent with potent activity against Candida spp., but its efficacy and optimal regimens for human neonates with HCME are not known. A well-validated rabbit model of HCME was used to define pharmacokinetic-pharmacodynamic (PK-PD) relationships of anidulafungin. A mathematical model was fitted to the entire data set. The experimental data were bridged to humans. A population PK model was fitted to the data from human neonates receiving anidulafungin receiving a loading dose of 3 mg/kg, followed by 1.5 mg/kg/day. Monte Carlo simulations were performed to identify candidate anidulafungin regimens for humans. All untreated rabbits succumbed by &lt;/=96 h postinoculation. The PK of anidulafungin was linear with dose-dependent penetration into the cerebrum. Anidulafungin exerted a rapid antifungal effect that was apparent in the first dosing interval. Near-maximal antifungal activity was observed with dosages of 10 to 20 mg/kg/day. The bridging studies suggested that the current regimen of first 3 mg/kg, followed by 1.5 mg/kg/day, is suboptimal. Higher dosages were associated with progressively greater antifungal effect. Anidulafungin is effective for the treatment of experimental HCME. Higher dosages than those currently used for clinical care are required for maximal antifungal effect.", "author" : [ { "dropping-particle" : "", "family" : "Warn", "given" : "P A", "non-dropping-particle" : "", "parse-names" : false, "suffix" : "" }, { "dropping-particle" : "", "family" : "Livermore", "given" : "J", "non-dropping-particle" : "", "parse-names" : false, "suffix" : "" }, { "dropping-particle" : "", "family" : "Howard", "given" : "S", "non-dropping-particle" : "", "parse-names" : false, "suffix" : "" }, { "dropping-particle" : "", "family" : "Felton", "given" : "T W", "non-dropping-particle" : "", "parse-names" : false, "suffix" : "" }, { "dropping-particle" : "", "family" : "Sharp", "given" : "A", "non-dropping-particle" : "", "parse-names" : false, "suffix" : "" }, { "dropping-particle" : "", "family" : "Gregson", "given" : "L", "non-dropping-particle" : "", "parse-names" : false, "suffix" : "" }, { "dropping-particle" : "", "family" : "Goodwin", "given" : "J", "non-dropping-particle" : "", "parse-names" : false, "suffix" : "" }, { "dropping-particle" : "", "family" : "Petraitiene", "given" : "R", "non-dropping-particle" : "", "parse-names" : false, "suffix" : "" }, { "dropping-particle" : "", "family" : "Petraitis", "given" : "V", "non-dropping-particle" : "", "parse-names" : false, "suffix" : "" }, { "dropping-particle" : "", "family" : "Cohen-Wolkowiez", "given" : "M", "non-dropping-particle" : "", "parse-names" : false, "suffix" : "" }, { "dropping-particle" : "", "family" : "Walsh", "given" : "T J", "non-dropping-particle" : "", "parse-names" : false, "suffix" : "" }, { "dropping-particle" : "", "family" : "Benjamin  Jr.", "given" : "D K", "non-dropping-particle" : "", "parse-names" : false, "suffix" : "" }, { "dropping-particle" : "", "family" : "Hope", "given" : "W W", "non-dropping-particle" : "", "parse-names" : false, "suffix" : "" }, { "dropping-particle" : "", "family" : "Benjamin Jr.", "given" : "D K", "non-dropping-particle" : "", "parse-names" : false, "suffix" : "" }, { "dropping-particle" : "", "family" : "Hope", "given" : "W W", "non-dropping-particle" : "", "parse-names" : false, "suffix" : "" } ], "container-title" : "Antimicrob Agents Chemother", "edition" : "2011/11/30", "id" : "ITEM-2", "issue" : "2", "issued" : { "date-parts" : [ [ "2012" ] ] }, "language" : "eng", "note" : "From Duplicate 1 (Anidulafungin for neonatal hematogenous Candida meningoencephalitis: identification of candidate regimens for humans using a translational pharmacological approach - Warn, P A; Livermore, J; Howard, S; Felton, T W; Sharp, A; Gregson, L; Goodwin, J; Petraitiene, R; Petraitis, V; Cohen-Wolkowiez, M; Walsh, T J; Benjamin Jr., D K; Hope, W W)\n\nWarn, Peter A\nLivermore, Joanne\nHoward, Susan\nFelton, Timothy W\nSharp, Andrew\nGregson, Lea\nGoodwin, Joanne\nPetraitiene, Ruta\nPetraitis, Vidmantas\nCohen-Wolkowiez, Michael\nWalsh, Thomas J\nBenjamin, Daniel K Jr\nHope, William W\n1K23HD064814-01/HD/NICHD NIH HHS/\n1K24HD058735-01/HD/NICHD NIH HHS/\n1R01FD003519-01/FD/FDA HHS/\n1R01HD057956-02/HD/NICHD NIH HHS/\n1U10-HD45962-06/HD/NICHD NIH HHS/\nMedical Research Council/United Kingdom\nAntimicrob Agents Chemother. 2012 Feb;56(2):708-14. doi: 10.1128/AAC.05826-11. Epub 2011 Nov 28.\n\n\n\nFrom Duplicate 1 ( \n\nAnidulafungin for neonatal hematogenous Candida meningoencephalitis: identification of candidate regimens for humans using a translational pharmacological approach\n\n- Warn, P A; Livermore, J; Howard, S; Felton, T W; Sharp, A; Gregson, L; Goodwin, J; Petraitiene, R; Petraitis, V; Cohen-Wolkowiez, M; Walsh, T J; Benjamin Jr., D K; Hope, W W )\n\n\n\nWarn, Peter A\nLivermore, Joanne\nHoward, Susan\nFelton, Timothy W\nSharp, Andrew\nGregson, Lea\nGoodwin, Joanne\nPetraitiene, Ruta\nPetraitis, Vidmantas\nCohen-Wolkowiez, Michael\nWalsh, Thomas J\nBenjamin, Daniel K Jr\nHope, William W\n1K23HD064814-01/HD/NICHD NIH HHS/\n1K24HD058735-01/HD/NICHD NIH HHS/\n1R01FD003519-01/FD/FDA HHS/\n1R01HD057956-02/HD/NICHD NIH HHS/\n1U10-HD45962-06/HD/NICHD NIH HHS/\nMedical Research Council/United Kingdom\nAntimicrob Agents Chemother. 2012 Feb;56(2):708-14. doi: 10.1128/AAC.05826-11. Epub 2011 Nov 28.\n\n\n\nFrom Duplicate 2 ( \n\nAnidulafungin for Neonatal Hematogenous Candida Meningoencephalitis: Identification of Candidate Regimens for Humans Using a Translational Pharmacological Approach\n\n- Warn, P A; Livermore, J; Howard, S; Felton, T W; Sharp, A; Gregson, L; Goodwin, J; Petraitiene, R; Petraitis, V; Cohen-Wolkowiez, M; Walsh, T J; Benjamin Jr., D K; Hope, W W )\nAnd Duplicate 4 ( \n\nAnidulafungin for Neonatal Hematogenous Candida Meningoencephalitis: Identification of Candidate Regimens for Humans Using a Translational Pharmacological Approach\n\n- Warn, P A; Livermore, J; Howard, S; Felton, T W; Sharp, A; Gregson, L; Goodwin, J; Petraitiene, R; Petraitis, V; Cohen-Wolkowiez, M; Walsh, T J; Benjamin Jr., D K; Hope, W W )\n\n\n\nJournal article\nAntimicrobial agents and chemotherapy\nAntimicrob Agents Chemother. 2011 Nov 28.\n\n\n\n\n\nFrom Duplicate 3 ( \n\nAnidulafungin for neonatal hematogenous Candida meningoencephalitis: identification of candidate regimens for humans using a translational pharmacological approach\n\n- Warn, P A; Livermore, J; Howard, S; Felton, T W; Sharp, A; Gregson, L; Goodwin, J; Petraitiene, R; Petraitis, V; Cohen-Wolkowiez, M; Walsh, T J; Benjamin Jr., D K; Hope, W W )\n\n\n\nWarn, Peter A\nLivermore, Joanne\nHoward, Susan\nFelton, Timothy W\nSharp, Andrew\nGregson, Lea\nGoodwin, Joanne\nPetraitiene, Ruta\nPetraitis, Vidmantas\nCohen-Wolkowiez, Michael\nWalsh, Thomas J\nBenjamin, Daniel K Jr\nHope, William W\n1K23HD064814-01/HD/NICHD NIH HHS/United States\n1K24HD058735-01/HD/NICHD NIH HHS/United States\n1R01FD003519-01/FD/FDA HHS/United States\n1R01HD057956-02/HD/NICHD NIH HHS/United States\n1U10-HD45962-06/HD/NICHD NIH HHS/United States\nMedical Research Council/United Kingdom\nResearch Support, N.I.H., Extramural\nResearch Support, Non-U.S. Gov't\nUnited States\nAntimicrobial agents and chemotherapy\nAntimicrob Agents Chemother. 2012 Feb;56(2):708-14. Epub 2011 Nov 28.", "page" : "708-714", "title" : "Anidulafungin for neonatal hematogenous Candida meningoencephalitis: identification of candidate regimens for humans using a translational pharmacological approach", "type" : "article-journal", "volume" : "56" }, "uris" : [ "http://www.mendeley.com/documents/?uuid=22a07abe-bc6a-4d8b-a0ca-f7ff8a414c49" ] } ], "mendeley" : { "formattedCitation" : "&lt;sup&gt;27,28&lt;/sup&gt;", "plainTextFormattedCitation" : "27,28", "previouslyFormattedCitation" : "&lt;sup&gt;27,28&lt;/sup&gt;"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27,28</w:t>
      </w:r>
      <w:r w:rsidR="004D32CF">
        <w:rPr>
          <w:rFonts w:asciiTheme="majorHAnsi" w:hAnsiTheme="majorHAnsi" w:cs="Times New Roman"/>
          <w:lang w:val="en-US"/>
        </w:rPr>
        <w:fldChar w:fldCharType="end"/>
      </w:r>
      <w:r w:rsidR="00747238">
        <w:rPr>
          <w:rFonts w:asciiTheme="majorHAnsi" w:hAnsiTheme="majorHAnsi" w:cs="Times New Roman"/>
          <w:lang w:val="en-US"/>
        </w:rPr>
        <w:t xml:space="preserve"> Th</w:t>
      </w:r>
      <w:r w:rsidR="00746380">
        <w:rPr>
          <w:rFonts w:asciiTheme="majorHAnsi" w:hAnsiTheme="majorHAnsi" w:cs="Times New Roman"/>
          <w:lang w:val="en-US"/>
        </w:rPr>
        <w:t>ese insights have been used</w:t>
      </w:r>
      <w:r w:rsidR="00412A44" w:rsidRPr="007E2A5E">
        <w:rPr>
          <w:rFonts w:asciiTheme="majorHAnsi" w:hAnsiTheme="majorHAnsi" w:cs="Times New Roman"/>
          <w:lang w:val="en-US"/>
        </w:rPr>
        <w:t xml:space="preserve"> </w:t>
      </w:r>
      <w:r w:rsidR="00746380">
        <w:rPr>
          <w:rFonts w:asciiTheme="majorHAnsi" w:hAnsiTheme="majorHAnsi" w:cs="Times New Roman"/>
          <w:lang w:val="en-US"/>
        </w:rPr>
        <w:t xml:space="preserve">to help establish in vitro </w:t>
      </w:r>
      <w:r w:rsidR="00412A44" w:rsidRPr="007E2A5E">
        <w:rPr>
          <w:rFonts w:asciiTheme="majorHAnsi" w:hAnsiTheme="majorHAnsi" w:cs="Times New Roman"/>
          <w:lang w:val="en-US"/>
        </w:rPr>
        <w:t>su</w:t>
      </w:r>
      <w:r w:rsidR="00412A44" w:rsidRPr="0012015D">
        <w:rPr>
          <w:rFonts w:asciiTheme="majorHAnsi" w:hAnsiTheme="majorHAnsi" w:cs="Times New Roman"/>
          <w:lang w:val="en-US"/>
        </w:rPr>
        <w:t>sceptibility breakpoints</w:t>
      </w:r>
      <w:r w:rsidR="00412A44">
        <w:rPr>
          <w:rFonts w:asciiTheme="majorHAnsi" w:hAnsiTheme="majorHAnsi" w:cs="Times New Roman"/>
          <w:lang w:val="en-US"/>
        </w:rPr>
        <w:t xml:space="preserve"> </w:t>
      </w:r>
      <w:r w:rsidR="00022338">
        <w:rPr>
          <w:rFonts w:asciiTheme="majorHAnsi" w:hAnsiTheme="majorHAnsi" w:cs="Times New Roman"/>
          <w:lang w:val="en-US"/>
        </w:rPr>
        <w:t xml:space="preserve">for these </w:t>
      </w:r>
      <w:r w:rsidR="00022338">
        <w:rPr>
          <w:rFonts w:asciiTheme="majorHAnsi" w:hAnsiTheme="majorHAnsi" w:cs="Times New Roman"/>
          <w:lang w:val="en-US"/>
        </w:rPr>
        <w:lastRenderedPageBreak/>
        <w:t xml:space="preserve">agents against </w:t>
      </w:r>
      <w:r w:rsidR="00022338" w:rsidRPr="00691554">
        <w:rPr>
          <w:rFonts w:asciiTheme="majorHAnsi" w:hAnsiTheme="majorHAnsi" w:cs="Times New Roman"/>
          <w:i/>
          <w:lang w:val="en-US"/>
        </w:rPr>
        <w:t>Candida</w:t>
      </w:r>
      <w:r w:rsidR="00022338">
        <w:rPr>
          <w:rFonts w:asciiTheme="majorHAnsi" w:hAnsiTheme="majorHAnsi" w:cs="Times New Roman"/>
          <w:lang w:val="en-US"/>
        </w:rPr>
        <w:t xml:space="preserve"> spp.</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"10.1128/AAC.01686-10", "ISBN" : "1098-6596 (Electronic) 0066-4804 (Linking)", "PMID" : "21502627", "abstract" : "The clinical utility of the echinocandins is potentially compromised by the emergence of drug resistance. We investigated whether Candida albicans with amino acid substitutions at position Ser645 in Fks1 can be treated with either a conventional or an elevated dosage of micafungin. We studied Candida albicans (wild-type SC5314; MIC, 0.06 mg/liter) and four fks1 mutants (one FKS1/fks1 heterozygote mutant [MIC, 0.5 mg/liter] and three fks1/fks1 homozygous mutants [MICs for all, 2 mg/liter]) with a variety of amino acid substitutions at Ser645. The pharmacokinetic and pharmacodynamic relationships were characterized in a persistently neutropenic murine model of disseminated candidiasis. A mathematical model was fitted to all pharmacokinetic and pharmacodynamic data. This mathematical model was then used to \"humanize\" the murine pharmacokinetics, and the predicted antifungal effect was determined. The estimated maximal rate of growth and ultimate fungal densities in the kidney for each of the strains were similar. The administration of micafungin at 1 mg/kg of body weight to the wild type resulted in moderate antifungal activity, whereas the administration of 5 and 20 mg/kg resulted in rapid fungicidal activity. In contrast, the FKS1/fks heterozygote was killed only with 20 mg/kg, and the homozygous fks1 mutants failed to respond to any dosage. The bridging study revealed that human dosages of 100 and 400 mg/day were active only against the wild type, with no activity against either the heterozygote or the homozygote mutants. Ser645 Fks1 Candida albicans mutants cannot be treated with either conventional or elevated dosages of micafungin and should be deemed resistant.", "author" : [ { "dropping-particle" : "", "family" : "Slater", "given" : "J L", "non-dropping-particle" : "", "parse-names" : false, "suffix" : "" }, { "dropping-particle" : "", "family" : "Howard", "given" : "S J", "non-dropping-particle" : "", "parse-names" : false, "suffix" : "" }, { "dropping-particle" : "", "family" : "Sharp", "given" : "A", "non-dropping-particle" : "", "parse-names" : false, "suffix" : "" }, { "dropping-particle" : "", "family" : "Goodwin", "given" : "J", "non-dropping-particle" : "", "parse-names" : false, "suffix" : "" }, { "dropping-particle" : "", "family" : "Gregson", "given" : "L M", "non-dropping-particle" : "", "parse-names" : false, "suffix" : "" }, { "dropping-particle" : "", "family" : "Alastruey-Izquierdo", "given" : "A", "non-dropping-particle" : "", "parse-names" : false, "suffix" : "" }, { "dropping-particle" : "", "family" : "Arendrup", "given" : "M C", "non-dropping-particle" : "", "parse-names" : false, "suffix" : "" }, { "dropping-particle" : "", "family" : "Warn", "given" : "P A", "non-dropping-particle" : "", "parse-names" : false, "suffix" : "" }, { "dropping-particle" : "", "family" : "Perlin", "given" : "D S", "non-dropping-particle" : "", "parse-names" : false, "suffix" : "" }, { "dropping-particle" : "", "family" : "Hope", "given" : "W W", "non-dropping-particle" : "", "parse-names" : false, "suffix" : "" } ], "container-title" : "Antimicrob Agents Chemother", "id" : "ITEM-1", "issue" : "7", "issued" : { "date-parts" : [ [ "2011" ] ] }, "language" : "eng", "note" : "Slater, J L\nHoward, S J\nSharp, A\nGoodwin, J\nGregson, L M\nAlastruey-Izquierdo, A\nArendrup, M C\nWarn, P A\nPerlin, D S\nHope, W W\nAI069397/AI/NIAID NIH HHS/\nAntimicrob Agents Chemother. 2011 Jul;55(7):3075-83. doi: 10.1128/AAC.01686-10. Epub 2011 Apr 18.", "page" : "3075-3083", "title" : "Disseminated candidiasis caused by Candida albicans with amino acid substitutions in Fks1 at position Ser645 cannot be successfully treated with micafungin", "type" : "article-journal", "volume" : "55" }, "uris" : [ "http://www.mendeley.com/documents/?uuid=60a7ea40-d44b-4bc7-aea9-3f1e3862ba3e" ] }, { "id" : "ITEM-2", "itemData" : { "DOI" : "10.1128/AAC.06369-11", "ISBN" : "1098-6596 (Electronic) 0066-4804 (Linking)", "PMID" : "22354305", "abstract" : "We recently observed that the micafungin MICs for some Candida glabrata fks hot spot mutant isolates are less elevated than those for the other echinocandins, suggesting that the efficacy of micafungin may be differentially dependent on such mutations. Three clinical C. glabrata isolates with or without (S3) fks hot spot mutations R83 (Fks2p-S663F) and RR24 (Fks1p-S629P) and low, medium, and high echinocandin MICs, respectively, were evaluated to assess the in vivo efficacy in an immunocompetent mouse model using three doses of each echinocandin. Drug concentrations were determined in plasma and kidneys by high-performance liquid chromatography (HPLC). A pharmacokinetic-pharmacodynamic mathematical model was used to define the area under the concentration-time curve (AUC) that produced half- and near-maximal activity. Micafungin was equally efficacious against the S3 and R83 isolates. The estimates for the AUCs of each echinocandin that induced half-maximal effect (E(50)s) were 194.2 and 53.99 mg . h/liter, respectively. In contrast, the maximum effect (E(max)) for caspofungin was higher against S3 than R83, but the estimates for E(50) were similar (187.1 and 203.5 mg . h/liter, respectively). Anidulafungin failed to induce a &gt;/=1-log reduction for any of the isolates (AUC range, 139 to 557 mg . h/liter). None of the echinocandins were efficacious in mice challenged with the RR24 isolate despite lower virulence (reduced maximal growth, prolonged lag phase, and lower kidney burden). The AUC associated with half-maximal effect was higher than the average human exposure for all drug-dose-bug combinations except micafungin and the R83 isolate. In conclusion, differences in micafungin MICs are associated with differential antifungal activities in the animal model. This study may have implications for clinical practice and echinocandin breakpoint determination, and further studies are warranted.", "author" : [ { "dropping-particle" : "", "family" : "Arendrup", "given" : "M C", "non-dropping-particle" : "", "parse-names" : false, "suffix" : "" }, { "dropping-particle" : "", "family" : "Perlin", "given" : "D S", "non-dropping-particle" : "", "parse-names" : false, "suffix" : "" }, { "dropping-particle" : "", "family" : "Jensen", "given" : "R H", "non-dropping-particle" : "", "parse-names" : false, "suffix" : "" }, { "dropping-particle" : "", "family" : "Howard", "given" : "S J", "non-dropping-particle" : "", "parse-names" : false, "suffix" : "" }, { "dropping-particle" : "", "family" : "Goodwin", "given" : "J", "non-dropping-particle" : "", "parse-names" : false, "suffix" : "" }, { "dropping-particle" : "", "family" : "Hope", "given" : "W", "non-dropping-particle" : "", "parse-names" : false, "suffix" : "" } ], "container-title" : "Antimicrob Agents Chemother", "id" : "ITEM-2", "issue" : "5", "issued" : { "date-parts" : [ [ "2012" ] ] }, "language" : "eng", "note" : "Arendrup, Maiken Cavling\nPerlin, David S\nJensen, Rasmus Hare\nHoward, Susan Julie\nGoodwin, Joanne\nHope, William\nAntimicrob Agents Chemother. 2012 May;56(5):2435-42. doi: 10.1128/AAC.06369-11. Epub 2012 Feb 21.", "page" : "2435-2442", "title" : "Differential in vivo activities of anidulafungin, caspofungin, and micafungin against Candida glabrata isolates with and without FKS resistance mutations", "type" : "article-journal", "volume" : "56" }, "uris" : [ "http://www.mendeley.com/documents/?uuid=70ed379f-f596-47b2-9bdb-aa84467231c9" ] } ], "mendeley" : { "formattedCitation" : "&lt;sup&gt;25,26&lt;/sup&gt;", "plainTextFormattedCitation" : "25,26", "previouslyFormattedCitation" : "&lt;sup&gt;25,26&lt;/sup&gt;"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25,26</w:t>
      </w:r>
      <w:r w:rsidR="004D32CF">
        <w:rPr>
          <w:rFonts w:asciiTheme="majorHAnsi" w:hAnsiTheme="majorHAnsi" w:cs="Times New Roman"/>
          <w:lang w:val="en-US"/>
        </w:rPr>
        <w:fldChar w:fldCharType="end"/>
      </w:r>
    </w:p>
    <w:p w14:paraId="39B154FF" w14:textId="78929388" w:rsidR="00271A64" w:rsidRDefault="00547F8D" w:rsidP="007A2846">
      <w:pPr>
        <w:pStyle w:val="ListParagraph"/>
        <w:widowControl w:val="0"/>
        <w:numPr>
          <w:ilvl w:val="0"/>
          <w:numId w:val="23"/>
        </w:numPr>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Flucytosine (</w:t>
      </w:r>
      <w:r w:rsidR="00842BF5" w:rsidRPr="007E2A5E">
        <w:rPr>
          <w:rFonts w:asciiTheme="majorHAnsi" w:hAnsiTheme="majorHAnsi" w:cs="Times New Roman"/>
          <w:lang w:val="en-US"/>
        </w:rPr>
        <w:t>5FC</w:t>
      </w:r>
      <w:r>
        <w:rPr>
          <w:rFonts w:asciiTheme="majorHAnsi" w:hAnsiTheme="majorHAnsi" w:cs="Times New Roman"/>
          <w:lang w:val="en-US"/>
        </w:rPr>
        <w:t>)</w:t>
      </w:r>
      <w:r w:rsidR="00842BF5" w:rsidRPr="007E2A5E">
        <w:rPr>
          <w:rFonts w:asciiTheme="majorHAnsi" w:hAnsiTheme="majorHAnsi" w:cs="Times New Roman"/>
          <w:lang w:val="en-US"/>
        </w:rPr>
        <w:t xml:space="preserve"> exhibits time-dependent antifungal activity</w:t>
      </w:r>
      <w:r w:rsidR="00E76CEC">
        <w:rPr>
          <w:rFonts w:asciiTheme="majorHAnsi" w:hAnsiTheme="majorHAnsi" w:cs="Times New Roman"/>
          <w:lang w:val="en-US"/>
        </w:rPr>
        <w:t xml:space="preserve"> and the T&gt;MIC of 45% is associated with logarithmic killing and prolongation of survival</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"PMID" : "10722494", "abstract" : "In vivo pharmacodynamic parameters have been characterized for a variety of antibacterial agents. These parameters have been studied in correlation with in vivo outcomes in order to determine (i) which dosing parameter is predictive of outcome and (ii) the magnitude of that parameter associated with efficacy. Very little is known of the pharmacodynamics of antifungal agents. We used a neutropenic murine model of disseminated candidiasis to correlate the pharmacodynamic parameters (percentage of time above the MIC, area under the concentration-time curve [AUC]/MIC and peak level/MIC) for flucytosine (5-FC) in vivo with efficacy as measured by organism number in homogenized kidney cultures after 24 h of therapy. The pharmacokinetics of 5-FC in infected mice were linear. Serum half-lives ranged from 0.36 to 0.43 h. Infection was achieved by intravenous inoculation of 10(6) CFU of yeast cells per ml via the lateral tail vein of neutropenic mice. Groups of mice were treated with fourfold escalating total doses of 5-FC ranging from 1.56 to 400 mg/kg of body weight/day divided into one, two, four, or eight doses over 24 h. Increasing doses produced minimal concentration-dependent killing ranging from 0 to 0.9 log(10) CFU/kidneys. 5-FC did, however, produce a dose-dependent suppression of growth after levels in serum had fallen below the MIC. The fungistatic dose increased from 6 to 8 mg/kg with dosing every 3 and 6 h to 70 mg/kg at with dosing every 24 h. Nonlinear regression analysis was used to determine which pharmacodynamic parameter best correlated with efficacy. Time above the MIC was the parameter best predictive of outcome, while AUC/MIC was only slightly less predictive (time above MIC, R(2) = 85%; AUC/MIC, R(2) = 77%; peak level/MIC, R(2) = 53%). Maximal efficacy was observed when levels exceeded the MIC for only 20 to 25% of the dosing interval. If one considers drug kinetics in humans, these results suggest reevaluation of current dosing regimens.", "author" : [ { "dropping-particle" : "", "family" : "Andes", "given" : "D", "non-dropping-particle" : "", "parse-names" : false, "suffix" : "" }, { "dropping-particle" : "", "family" : "Ogtrop", "given" : "M", "non-dropping-particle" : "van", "parse-names" : false, "suffix" : "" } ], "container-title" : "Antimicrob Agents Chemother", "id" : "ITEM-1", "issue" : "4", "issued" : { "date-parts" : [ [ "2000" ] ] }, "note" : "0066-4804\nJournal Article", "page" : "938-942", "title" : "In vivo characterization of the pharmacodynamics of flucytosine in a neutropenic murine disseminated candidiasis model", "type" : "article-journal", "volume" : "44" }, "uris" : [ "http://www.mendeley.com/documents/?uuid=2ce3a05f-de30-4c96-b4c8-c79ff0939e80" ] }, { "id" : "ITEM-2", "itemData" : { "DOI" : "10.1128/AAC.00369-06", "ISBN" : "0066-4804 (Print) 0066-4804 (Linking)", "PMID" : "16954320", "abstract" : "Drug exposure or pharmacodynamic breakpoints refer to a magnitude of drug exposure which separates a population into groups with high and low probabilities of attaining a desired outcome. We used a pharmacodynamic model of disseminated candidiasis to define an in vivo drug exposure breakpoint for flucytosine (5FC) against Candida albicans. The results were bridged to humans by using population pharmacokinetics and Monte Carlo simulation. An in vivo drug exposure breakpoint for 5FC was apparent when serum levels were above the MIC for 45% of the dosing interval. The Monte Carlo simulations suggested that using a human dose of 100 mg/kg of body weight/day in four divided doses, 5FC resistance was defined at an MIC of 32 mg/liter. Target attainment rates following administration of 25, 50, and 100 mg/kg/day were similar, suggesting that the use of a lower dose of 5FC is possible. Using six isolates of C. albicans with MICs ranging from 0.06 to &gt;64 mg/liter, we also explored the influence that the MIC, the fraction of the dosing interval that the serum levels of 5FC remained above the MIC (T&gt;MIC), the 5FC resistance genotype, and the in vivo growth rate had on the response to 5FC. The MIC and T&gt;MIC were both critical measures affecting the generation of a drug effect but had no bearing on the magnitude of the maximal kill induced by 5FC. The in vivo growth rate was a critical additional determinant of the exposure-response relationship. There was a relationship between the 5FC resistance genotype and the exposure-response relationship.", "author" : [ { "dropping-particle" : "", "family" : "Hope", "given" : "W W", "non-dropping-particle" : "", "parse-names" : false, "suffix" : "" }, { "dropping-particle" : "", "family" : "Warn", "given" : "P A", "non-dropping-particle" : "", "parse-names" : false, "suffix" : "" }, { "dropping-particle" : "", "family" : "Sharp", "given" : "A", "non-dropping-particle" : "", "parse-names" : false, "suffix" : "" }, { "dropping-particle" : "", "family" : "Howard", "given" : "S", "non-dropping-particle" : "", "parse-names" : false, "suffix" : "" }, { "dropping-particle" : "", "family" : "Kasai", "given" : "M", "non-dropping-particle" : "", "parse-names" : false, "suffix" : "" }, { "dropping-particle" : "", "family" : "Louie", "given" : "A", "non-dropping-particle" : "", "parse-names" : false, "suffix" : "" }, { "dropping-particle" : "", "family" : "Walsh", "given" : "T J", "non-dropping-particle" : "", "parse-names" : false, "suffix" : "" }, { "dropping-particle" : "", "family" : "Drusano", "given" : "G L", "non-dropping-particle" : "", "parse-names" : false, "suffix" : "" }, { "dropping-particle" : "", "family" : "Denning", "given" : "D W", "non-dropping-particle" : "", "parse-names" : false, "suffix" : "" } ], "container-title" : "Antimicrob Agents Chemother", "id" : "ITEM-2", "issue" : "11", "issued" : { "date-parts" : [ [ "2006" ] ] }, "note" : "Hope, William W\nWarn, Peter A\nSharp, Andrew\nHoward, Susan\nKasai, Miki\nLouie, Arnold\nWalsh, Thomas J\nDrusano, George L\nDenning, David W\nAntimicrob Agents Chemother. 2006 Nov;50(11):3680-8. Epub 2006 Sep 5.", "page" : "3680-3688", "title" : "Derivation of an in vivo drug exposure breakpoint for flucytosine against Candida albicans and Impact of the MIC, growth rate, and resistance genotype on the antifungal effect", "type" : "article-journal", "volume" : "50" }, "uris" : [ "http://www.mendeley.com/documents/?uuid=94fbf409-62f2-4de7-a6c4-eb2b02b67dc3" ] } ], "mendeley" : { "formattedCitation" : "&lt;sup&gt;29,30&lt;/sup&gt;", "plainTextFormattedCitation" : "29,30", "previouslyFormattedCitation" : "&lt;sup&gt;29,30&lt;/sup&gt;"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29,30</w:t>
      </w:r>
      <w:r w:rsidR="004D32CF">
        <w:rPr>
          <w:rFonts w:asciiTheme="majorHAnsi" w:hAnsiTheme="majorHAnsi" w:cs="Times New Roman"/>
          <w:lang w:val="en-US"/>
        </w:rPr>
        <w:fldChar w:fldCharType="end"/>
      </w:r>
    </w:p>
    <w:p w14:paraId="631689E9" w14:textId="77777777" w:rsidR="00271A64" w:rsidRPr="00271A64" w:rsidRDefault="00271A64" w:rsidP="007A2846">
      <w:pPr>
        <w:widowControl w:val="0"/>
        <w:autoSpaceDE w:val="0"/>
        <w:autoSpaceDN w:val="0"/>
        <w:adjustRightInd w:val="0"/>
        <w:spacing w:line="276" w:lineRule="auto"/>
        <w:rPr>
          <w:rFonts w:asciiTheme="majorHAnsi" w:hAnsiTheme="majorHAnsi" w:cs="Times New Roman"/>
          <w:lang w:val="en-US"/>
        </w:rPr>
      </w:pPr>
    </w:p>
    <w:p w14:paraId="72B59039" w14:textId="77777777" w:rsidR="003658C5" w:rsidRDefault="00952DBE" w:rsidP="007A2846">
      <w:pPr>
        <w:pStyle w:val="ListParagraph"/>
        <w:widowControl w:val="0"/>
        <w:numPr>
          <w:ilvl w:val="0"/>
          <w:numId w:val="24"/>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Strengths and limitations</w:t>
      </w:r>
    </w:p>
    <w:p w14:paraId="31234565" w14:textId="69DD91BF" w:rsidR="00952DBE" w:rsidRPr="007E2A5E" w:rsidRDefault="00803F8F"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BB0B16" w:rsidRPr="0012015D">
        <w:rPr>
          <w:rFonts w:asciiTheme="majorHAnsi" w:hAnsiTheme="majorHAnsi" w:cs="Times New Roman"/>
          <w:lang w:val="en-US"/>
        </w:rPr>
        <w:t>The murine model has been extensively used</w:t>
      </w:r>
      <w:r w:rsidR="00155E46">
        <w:rPr>
          <w:rFonts w:asciiTheme="majorHAnsi" w:hAnsiTheme="majorHAnsi" w:cs="Times New Roman"/>
          <w:lang w:val="en-US"/>
        </w:rPr>
        <w:t xml:space="preserve"> in a number of research groups</w:t>
      </w:r>
      <w:r w:rsidR="00BB0B16" w:rsidRPr="0012015D">
        <w:rPr>
          <w:rFonts w:asciiTheme="majorHAnsi" w:hAnsiTheme="majorHAnsi" w:cs="Times New Roman"/>
          <w:lang w:val="en-US"/>
        </w:rPr>
        <w:t xml:space="preserve"> and is </w:t>
      </w:r>
      <w:r w:rsidR="00CE5A57" w:rsidRPr="00C93520">
        <w:rPr>
          <w:rFonts w:asciiTheme="majorHAnsi" w:hAnsiTheme="majorHAnsi" w:cs="Times New Roman"/>
          <w:lang w:val="en-US"/>
        </w:rPr>
        <w:t>well validated</w:t>
      </w:r>
      <w:r w:rsidR="00BB0B16" w:rsidRPr="00906A82">
        <w:rPr>
          <w:rFonts w:asciiTheme="majorHAnsi" w:hAnsiTheme="majorHAnsi" w:cs="Times New Roman"/>
          <w:lang w:val="en-US"/>
        </w:rPr>
        <w:t>.</w:t>
      </w:r>
      <w:r w:rsidR="002264FE">
        <w:rPr>
          <w:rFonts w:asciiTheme="majorHAnsi" w:hAnsiTheme="majorHAnsi" w:cs="Times New Roman"/>
          <w:lang w:val="en-US"/>
        </w:rPr>
        <w:t xml:space="preserve"> The severity of the model and hence the dynamic range of the effects being measured can </w:t>
      </w:r>
      <w:r w:rsidR="00B8510B">
        <w:rPr>
          <w:rFonts w:asciiTheme="majorHAnsi" w:hAnsiTheme="majorHAnsi" w:cs="Times New Roman"/>
          <w:lang w:val="en-US"/>
        </w:rPr>
        <w:t xml:space="preserve">be </w:t>
      </w:r>
      <w:r w:rsidR="002264FE">
        <w:rPr>
          <w:rFonts w:asciiTheme="majorHAnsi" w:hAnsiTheme="majorHAnsi" w:cs="Times New Roman"/>
          <w:lang w:val="en-US"/>
        </w:rPr>
        <w:t xml:space="preserve">usefully </w:t>
      </w:r>
      <w:r w:rsidR="00695338">
        <w:rPr>
          <w:rFonts w:asciiTheme="majorHAnsi" w:hAnsiTheme="majorHAnsi" w:cs="Times New Roman"/>
          <w:lang w:val="en-US"/>
        </w:rPr>
        <w:t>manipulated</w:t>
      </w:r>
      <w:r w:rsidR="002264FE">
        <w:rPr>
          <w:rFonts w:asciiTheme="majorHAnsi" w:hAnsiTheme="majorHAnsi" w:cs="Times New Roman"/>
          <w:lang w:val="en-US"/>
        </w:rPr>
        <w:t xml:space="preserve"> by moving from non-neutropenic to neutropenic animals.</w:t>
      </w:r>
      <w:r w:rsidR="006C7B86">
        <w:rPr>
          <w:rFonts w:asciiTheme="majorHAnsi" w:hAnsiTheme="majorHAnsi" w:cs="Times New Roman"/>
          <w:lang w:val="en-US"/>
        </w:rPr>
        <w:t xml:space="preserve"> </w:t>
      </w:r>
      <w:r w:rsidR="00BB0B16" w:rsidRPr="00906A82">
        <w:rPr>
          <w:rFonts w:asciiTheme="majorHAnsi" w:hAnsiTheme="majorHAnsi" w:cs="Times New Roman"/>
          <w:lang w:val="en-US"/>
        </w:rPr>
        <w:t xml:space="preserve">The model is relatively easy to </w:t>
      </w:r>
      <w:r w:rsidR="00D81BBB" w:rsidRPr="007E2A5E">
        <w:rPr>
          <w:rFonts w:asciiTheme="majorHAnsi" w:hAnsiTheme="majorHAnsi" w:cs="Times New Roman"/>
          <w:lang w:val="en-US"/>
        </w:rPr>
        <w:t>perform</w:t>
      </w:r>
      <w:r w:rsidR="00BB0B16" w:rsidRPr="007E2A5E">
        <w:rPr>
          <w:rFonts w:asciiTheme="majorHAnsi" w:hAnsiTheme="majorHAnsi" w:cs="Times New Roman"/>
          <w:lang w:val="en-US"/>
        </w:rPr>
        <w:t xml:space="preserve"> </w:t>
      </w:r>
      <w:r w:rsidRPr="007E2A5E">
        <w:rPr>
          <w:rFonts w:asciiTheme="majorHAnsi" w:hAnsiTheme="majorHAnsi" w:cs="Times New Roman"/>
          <w:lang w:val="en-US"/>
        </w:rPr>
        <w:t xml:space="preserve">and </w:t>
      </w:r>
      <w:r w:rsidR="00D81BBB" w:rsidRPr="007E2A5E">
        <w:rPr>
          <w:rFonts w:asciiTheme="majorHAnsi" w:hAnsiTheme="majorHAnsi" w:cs="Times New Roman"/>
          <w:lang w:val="en-US"/>
        </w:rPr>
        <w:t xml:space="preserve">is </w:t>
      </w:r>
      <w:r w:rsidRPr="007E2A5E">
        <w:rPr>
          <w:rFonts w:asciiTheme="majorHAnsi" w:hAnsiTheme="majorHAnsi" w:cs="Times New Roman"/>
          <w:lang w:val="en-US"/>
        </w:rPr>
        <w:t xml:space="preserve">both reliable and </w:t>
      </w:r>
      <w:r w:rsidR="00D81BBB" w:rsidRPr="007E2A5E">
        <w:rPr>
          <w:rFonts w:asciiTheme="majorHAnsi" w:hAnsiTheme="majorHAnsi" w:cs="Times New Roman"/>
          <w:lang w:val="en-US"/>
        </w:rPr>
        <w:t>robust</w:t>
      </w:r>
      <w:r w:rsidR="00CE5A57" w:rsidRPr="007E2A5E">
        <w:rPr>
          <w:rFonts w:asciiTheme="majorHAnsi" w:hAnsiTheme="majorHAnsi" w:cs="Times New Roman"/>
          <w:lang w:val="en-US"/>
        </w:rPr>
        <w:t>.</w:t>
      </w:r>
      <w:r w:rsidR="006C7B86">
        <w:rPr>
          <w:rFonts w:asciiTheme="majorHAnsi" w:hAnsiTheme="majorHAnsi" w:cs="Times New Roman"/>
          <w:lang w:val="en-US"/>
        </w:rPr>
        <w:t xml:space="preserve"> </w:t>
      </w:r>
      <w:r w:rsidR="00CE5A57" w:rsidRPr="007E2A5E">
        <w:rPr>
          <w:rFonts w:asciiTheme="majorHAnsi" w:hAnsiTheme="majorHAnsi" w:cs="Times New Roman"/>
          <w:lang w:val="en-US"/>
        </w:rPr>
        <w:t>These models have been used to characteri</w:t>
      </w:r>
      <w:r w:rsidR="00090427">
        <w:rPr>
          <w:rFonts w:asciiTheme="majorHAnsi" w:hAnsiTheme="majorHAnsi" w:cs="Times New Roman"/>
          <w:lang w:val="en-US"/>
        </w:rPr>
        <w:t>ze</w:t>
      </w:r>
      <w:r w:rsidR="00CE5A57" w:rsidRPr="007E2A5E">
        <w:rPr>
          <w:rFonts w:asciiTheme="majorHAnsi" w:hAnsiTheme="majorHAnsi" w:cs="Times New Roman"/>
          <w:lang w:val="en-US"/>
        </w:rPr>
        <w:t xml:space="preserve"> </w:t>
      </w:r>
      <w:r w:rsidR="00D42567" w:rsidRPr="007E2A5E">
        <w:rPr>
          <w:rFonts w:asciiTheme="majorHAnsi" w:hAnsiTheme="majorHAnsi" w:cs="Times New Roman"/>
          <w:lang w:val="en-US"/>
        </w:rPr>
        <w:t>existing</w:t>
      </w:r>
      <w:r w:rsidR="00CE5A57" w:rsidRPr="007E2A5E">
        <w:rPr>
          <w:rFonts w:asciiTheme="majorHAnsi" w:hAnsiTheme="majorHAnsi" w:cs="Times New Roman"/>
          <w:lang w:val="en-US"/>
        </w:rPr>
        <w:t xml:space="preserve"> agents, but not </w:t>
      </w:r>
      <w:r w:rsidR="008D4E4B" w:rsidRPr="007E2A5E">
        <w:rPr>
          <w:rFonts w:asciiTheme="majorHAnsi" w:hAnsiTheme="majorHAnsi" w:cs="Times New Roman"/>
          <w:lang w:val="en-US"/>
        </w:rPr>
        <w:t xml:space="preserve">yet to </w:t>
      </w:r>
      <w:r w:rsidR="00EE644B" w:rsidRPr="007E2A5E">
        <w:rPr>
          <w:rFonts w:asciiTheme="majorHAnsi" w:hAnsiTheme="majorHAnsi" w:cs="Times New Roman"/>
          <w:lang w:val="en-US"/>
        </w:rPr>
        <w:t xml:space="preserve">provide </w:t>
      </w:r>
      <w:r w:rsidR="008B54CD" w:rsidRPr="007E2A5E">
        <w:rPr>
          <w:rFonts w:asciiTheme="majorHAnsi" w:hAnsiTheme="majorHAnsi" w:cs="Times New Roman"/>
          <w:lang w:val="en-US"/>
        </w:rPr>
        <w:t>preclinical PK-PD</w:t>
      </w:r>
      <w:r w:rsidR="00EE644B" w:rsidRPr="007E2A5E">
        <w:rPr>
          <w:rFonts w:asciiTheme="majorHAnsi" w:hAnsiTheme="majorHAnsi" w:cs="Times New Roman"/>
          <w:lang w:val="en-US"/>
        </w:rPr>
        <w:t xml:space="preserve"> support for </w:t>
      </w:r>
      <w:r w:rsidR="002445C1" w:rsidRPr="007E2A5E">
        <w:rPr>
          <w:rFonts w:asciiTheme="majorHAnsi" w:hAnsiTheme="majorHAnsi" w:cs="Times New Roman"/>
          <w:lang w:val="en-US"/>
        </w:rPr>
        <w:t>developing new agents.</w:t>
      </w:r>
      <w:r w:rsidR="006C7B86">
        <w:rPr>
          <w:rFonts w:asciiTheme="majorHAnsi" w:hAnsiTheme="majorHAnsi" w:cs="Times New Roman"/>
          <w:lang w:val="en-US"/>
        </w:rPr>
        <w:t xml:space="preserve"> </w:t>
      </w:r>
      <w:r w:rsidR="002445C1" w:rsidRPr="007E2A5E">
        <w:rPr>
          <w:rFonts w:asciiTheme="majorHAnsi" w:hAnsiTheme="majorHAnsi" w:cs="Times New Roman"/>
          <w:lang w:val="en-US"/>
        </w:rPr>
        <w:t xml:space="preserve">There is </w:t>
      </w:r>
      <w:r w:rsidR="007D5492">
        <w:rPr>
          <w:rFonts w:asciiTheme="majorHAnsi" w:hAnsiTheme="majorHAnsi" w:cs="Times New Roman"/>
          <w:lang w:val="en-US"/>
        </w:rPr>
        <w:t>some</w:t>
      </w:r>
      <w:r w:rsidR="002445C1" w:rsidRPr="007E2A5E">
        <w:rPr>
          <w:rFonts w:asciiTheme="majorHAnsi" w:hAnsiTheme="majorHAnsi" w:cs="Times New Roman"/>
          <w:lang w:val="en-US"/>
        </w:rPr>
        <w:t xml:space="preserve"> uncertainty regarding the endpoint in the models that are associated with “success”</w:t>
      </w:r>
      <w:r w:rsidR="002E73E5" w:rsidRPr="007E2A5E">
        <w:rPr>
          <w:rFonts w:asciiTheme="majorHAnsi" w:hAnsiTheme="majorHAnsi" w:cs="Times New Roman"/>
          <w:lang w:val="en-US"/>
        </w:rPr>
        <w:t xml:space="preserve"> and are of potential clinical relevance</w:t>
      </w:r>
      <w:r w:rsidR="007D5492">
        <w:rPr>
          <w:rFonts w:asciiTheme="majorHAnsi" w:hAnsiTheme="majorHAnsi" w:cs="Times New Roman"/>
          <w:lang w:val="en-US"/>
        </w:rPr>
        <w:t xml:space="preserve">, especially for </w:t>
      </w:r>
      <w:r w:rsidR="0036434C">
        <w:rPr>
          <w:rFonts w:asciiTheme="majorHAnsi" w:hAnsiTheme="majorHAnsi" w:cs="Times New Roman"/>
          <w:lang w:val="en-US"/>
        </w:rPr>
        <w:t xml:space="preserve">the </w:t>
      </w:r>
      <w:r w:rsidR="007D5492">
        <w:rPr>
          <w:rFonts w:asciiTheme="majorHAnsi" w:hAnsiTheme="majorHAnsi" w:cs="Times New Roman"/>
          <w:lang w:val="en-US"/>
        </w:rPr>
        <w:t>brain and eye</w:t>
      </w:r>
      <w:r w:rsidR="002445C1" w:rsidRPr="007E2A5E">
        <w:rPr>
          <w:rFonts w:asciiTheme="majorHAnsi" w:hAnsiTheme="majorHAnsi" w:cs="Times New Roman"/>
          <w:lang w:val="en-US"/>
        </w:rPr>
        <w:t>.</w:t>
      </w:r>
      <w:r w:rsidR="006C7B86">
        <w:rPr>
          <w:rFonts w:asciiTheme="majorHAnsi" w:hAnsiTheme="majorHAnsi" w:cs="Times New Roman"/>
          <w:lang w:val="en-US"/>
        </w:rPr>
        <w:t xml:space="preserve"> </w:t>
      </w:r>
      <w:r w:rsidR="002E73E5" w:rsidRPr="007E2A5E">
        <w:rPr>
          <w:rFonts w:asciiTheme="majorHAnsi" w:hAnsiTheme="majorHAnsi" w:cs="Times New Roman"/>
          <w:lang w:val="en-US"/>
        </w:rPr>
        <w:t>Stasis and various orders of logarithmic killing have been used</w:t>
      </w:r>
      <w:r w:rsidR="007D5492">
        <w:rPr>
          <w:rFonts w:asciiTheme="majorHAnsi" w:hAnsiTheme="majorHAnsi" w:cs="Times New Roman"/>
          <w:lang w:val="en-US"/>
        </w:rPr>
        <w:t xml:space="preserve"> and probably serve as reasonable endpoints for the assessment of new agents</w:t>
      </w:r>
      <w:r w:rsidR="00B43B91">
        <w:rPr>
          <w:rFonts w:asciiTheme="majorHAnsi" w:hAnsiTheme="majorHAnsi" w:cs="Times New Roman"/>
          <w:lang w:val="en-US"/>
        </w:rPr>
        <w:t xml:space="preserve"> relative to active controls</w:t>
      </w:r>
      <w:r w:rsidR="00416F15" w:rsidRPr="007E2A5E">
        <w:rPr>
          <w:rFonts w:asciiTheme="majorHAnsi" w:hAnsiTheme="majorHAnsi" w:cs="Times New Roman"/>
          <w:lang w:val="en-US"/>
        </w:rPr>
        <w:t>.</w:t>
      </w:r>
    </w:p>
    <w:p w14:paraId="3129FD46" w14:textId="77777777" w:rsidR="00CE5A57" w:rsidRPr="007E2A5E" w:rsidRDefault="00CE5A57" w:rsidP="007A2846">
      <w:pPr>
        <w:widowControl w:val="0"/>
        <w:autoSpaceDE w:val="0"/>
        <w:autoSpaceDN w:val="0"/>
        <w:adjustRightInd w:val="0"/>
        <w:spacing w:line="276" w:lineRule="auto"/>
        <w:rPr>
          <w:rFonts w:asciiTheme="majorHAnsi" w:hAnsiTheme="majorHAnsi" w:cs="Times New Roman"/>
          <w:lang w:val="en-US"/>
        </w:rPr>
      </w:pPr>
    </w:p>
    <w:p w14:paraId="32E62825" w14:textId="77777777" w:rsidR="00BD11E0" w:rsidRPr="007E2A5E" w:rsidRDefault="002C15C4"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 xml:space="preserve">b. </w:t>
      </w:r>
      <w:r w:rsidR="00BD11E0" w:rsidRPr="007E2A5E">
        <w:rPr>
          <w:rFonts w:asciiTheme="majorHAnsi" w:hAnsiTheme="majorHAnsi" w:cs="Times New Roman"/>
          <w:lang w:val="en-US"/>
        </w:rPr>
        <w:t>Invasive aspergillosis</w:t>
      </w:r>
    </w:p>
    <w:p w14:paraId="429ED262" w14:textId="77777777" w:rsidR="00BD11E0" w:rsidRPr="007E2A5E" w:rsidRDefault="00BD11E0" w:rsidP="007A2846">
      <w:pPr>
        <w:widowControl w:val="0"/>
        <w:autoSpaceDE w:val="0"/>
        <w:autoSpaceDN w:val="0"/>
        <w:adjustRightInd w:val="0"/>
        <w:spacing w:line="276" w:lineRule="auto"/>
        <w:rPr>
          <w:rFonts w:asciiTheme="majorHAnsi" w:hAnsiTheme="majorHAnsi" w:cs="Times New Roman"/>
          <w:lang w:val="en-US"/>
        </w:rPr>
      </w:pPr>
    </w:p>
    <w:p w14:paraId="61F9C341" w14:textId="77777777" w:rsidR="008E208B" w:rsidRPr="007E2A5E" w:rsidRDefault="00142BFD" w:rsidP="007A2846">
      <w:pPr>
        <w:pStyle w:val="ListParagraph"/>
        <w:widowControl w:val="0"/>
        <w:numPr>
          <w:ilvl w:val="0"/>
          <w:numId w:val="25"/>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Models of Invasive Aspergillosis</w:t>
      </w:r>
    </w:p>
    <w:p w14:paraId="45C483A8" w14:textId="76869A2D" w:rsidR="006B3F6E" w:rsidRDefault="008E208B" w:rsidP="007A2846">
      <w:pPr>
        <w:pStyle w:val="Default"/>
        <w:spacing w:line="276" w:lineRule="auto"/>
        <w:ind w:left="360"/>
        <w:rPr>
          <w:rFonts w:asciiTheme="majorHAnsi" w:hAnsiTheme="majorHAnsi" w:cs="Times New Roman"/>
        </w:rPr>
      </w:pPr>
      <w:r w:rsidRPr="007A3B11">
        <w:rPr>
          <w:rFonts w:asciiTheme="majorHAnsi" w:hAnsiTheme="majorHAnsi" w:cs="Times New Roman"/>
        </w:rPr>
        <w:tab/>
      </w:r>
      <w:r w:rsidR="000B2B98" w:rsidRPr="003141EE">
        <w:rPr>
          <w:rFonts w:asciiTheme="majorHAnsi" w:hAnsiTheme="majorHAnsi" w:cs="Times New Roman"/>
        </w:rPr>
        <w:t>Until recently, a</w:t>
      </w:r>
      <w:r w:rsidR="00071BF1" w:rsidRPr="00E76CEC">
        <w:rPr>
          <w:rFonts w:asciiTheme="majorHAnsi" w:hAnsiTheme="majorHAnsi" w:cs="Times New Roman"/>
        </w:rPr>
        <w:t xml:space="preserve"> detailed understanding of the pharmacodynamics of anti-</w:t>
      </w:r>
      <w:r w:rsidR="00071BF1" w:rsidRPr="0073162B">
        <w:rPr>
          <w:rFonts w:asciiTheme="majorHAnsi" w:hAnsiTheme="majorHAnsi" w:cs="Times New Roman"/>
          <w:i/>
        </w:rPr>
        <w:t>Aspergillus</w:t>
      </w:r>
      <w:r w:rsidR="00071BF1" w:rsidRPr="007E2A5E">
        <w:rPr>
          <w:rFonts w:asciiTheme="majorHAnsi" w:hAnsiTheme="majorHAnsi" w:cs="Times New Roman"/>
        </w:rPr>
        <w:t xml:space="preserve"> agents </w:t>
      </w:r>
      <w:r w:rsidR="008B65EE">
        <w:rPr>
          <w:rFonts w:asciiTheme="majorHAnsi" w:hAnsiTheme="majorHAnsi" w:cs="Times New Roman"/>
        </w:rPr>
        <w:t>w</w:t>
      </w:r>
      <w:r w:rsidR="00416F15" w:rsidRPr="0012015D">
        <w:rPr>
          <w:rFonts w:asciiTheme="majorHAnsi" w:hAnsiTheme="majorHAnsi" w:cs="Times New Roman"/>
        </w:rPr>
        <w:t>as been</w:t>
      </w:r>
      <w:r w:rsidR="00071BF1" w:rsidRPr="00C93520">
        <w:rPr>
          <w:rFonts w:asciiTheme="majorHAnsi" w:hAnsiTheme="majorHAnsi" w:cs="Times New Roman"/>
        </w:rPr>
        <w:t xml:space="preserve"> </w:t>
      </w:r>
      <w:r w:rsidR="00D42567" w:rsidRPr="00906A82">
        <w:rPr>
          <w:rFonts w:asciiTheme="majorHAnsi" w:hAnsiTheme="majorHAnsi" w:cs="Times New Roman"/>
        </w:rPr>
        <w:t>limited</w:t>
      </w:r>
      <w:r w:rsidR="00071BF1" w:rsidRPr="008B61C3">
        <w:rPr>
          <w:rFonts w:asciiTheme="majorHAnsi" w:hAnsiTheme="majorHAnsi" w:cs="Times New Roman"/>
        </w:rPr>
        <w:t xml:space="preserve"> by </w:t>
      </w:r>
      <w:r w:rsidR="002264FE">
        <w:rPr>
          <w:rFonts w:asciiTheme="majorHAnsi" w:hAnsiTheme="majorHAnsi" w:cs="Times New Roman"/>
        </w:rPr>
        <w:t>the need to overcome two</w:t>
      </w:r>
      <w:r w:rsidR="00416F15" w:rsidRPr="00250541">
        <w:rPr>
          <w:rFonts w:asciiTheme="majorHAnsi" w:hAnsiTheme="majorHAnsi" w:cs="Times New Roman"/>
        </w:rPr>
        <w:t xml:space="preserve"> </w:t>
      </w:r>
      <w:r w:rsidR="00105BCD" w:rsidRPr="00250541">
        <w:rPr>
          <w:rFonts w:asciiTheme="majorHAnsi" w:hAnsiTheme="majorHAnsi" w:cs="Times New Roman"/>
        </w:rPr>
        <w:t xml:space="preserve">obstacles </w:t>
      </w:r>
      <w:r w:rsidR="002264FE">
        <w:rPr>
          <w:rFonts w:asciiTheme="majorHAnsi" w:hAnsiTheme="majorHAnsi" w:cs="Times New Roman"/>
        </w:rPr>
        <w:t>before</w:t>
      </w:r>
      <w:r w:rsidR="00473B0E" w:rsidRPr="00E76CEC">
        <w:rPr>
          <w:rFonts w:asciiTheme="majorHAnsi" w:hAnsiTheme="majorHAnsi" w:cs="Times New Roman"/>
        </w:rPr>
        <w:t xml:space="preserve"> </w:t>
      </w:r>
      <w:r w:rsidR="00D8654E" w:rsidRPr="00E76CEC">
        <w:rPr>
          <w:rFonts w:asciiTheme="majorHAnsi" w:hAnsiTheme="majorHAnsi" w:cs="Times New Roman"/>
        </w:rPr>
        <w:t>useful</w:t>
      </w:r>
      <w:r w:rsidR="00473B0E" w:rsidRPr="00E76CEC">
        <w:rPr>
          <w:rFonts w:asciiTheme="majorHAnsi" w:hAnsiTheme="majorHAnsi" w:cs="Times New Roman"/>
        </w:rPr>
        <w:t xml:space="preserve"> </w:t>
      </w:r>
      <w:r w:rsidR="002264FE">
        <w:rPr>
          <w:rFonts w:asciiTheme="majorHAnsi" w:hAnsiTheme="majorHAnsi" w:cs="Times New Roman"/>
        </w:rPr>
        <w:t xml:space="preserve">predictive </w:t>
      </w:r>
      <w:r w:rsidR="00473B0E" w:rsidRPr="00E76CEC">
        <w:rPr>
          <w:rFonts w:asciiTheme="majorHAnsi" w:hAnsiTheme="majorHAnsi" w:cs="Times New Roman"/>
        </w:rPr>
        <w:t>models</w:t>
      </w:r>
      <w:r w:rsidR="00D8654E" w:rsidRPr="00E76CEC">
        <w:rPr>
          <w:rFonts w:asciiTheme="majorHAnsi" w:hAnsiTheme="majorHAnsi" w:cs="Times New Roman"/>
        </w:rPr>
        <w:t xml:space="preserve"> </w:t>
      </w:r>
      <w:r w:rsidR="002264FE">
        <w:rPr>
          <w:rFonts w:asciiTheme="majorHAnsi" w:hAnsiTheme="majorHAnsi" w:cs="Times New Roman"/>
        </w:rPr>
        <w:t>could be developed.</w:t>
      </w:r>
      <w:r w:rsidR="000E4282" w:rsidRPr="00BD587E">
        <w:rPr>
          <w:rFonts w:asciiTheme="majorHAnsi" w:hAnsiTheme="majorHAnsi" w:cs="Times New Roman"/>
        </w:rPr>
        <w:t xml:space="preserve"> </w:t>
      </w:r>
      <w:r w:rsidR="002264FE">
        <w:rPr>
          <w:rFonts w:asciiTheme="majorHAnsi" w:hAnsiTheme="majorHAnsi" w:cs="Times New Roman"/>
        </w:rPr>
        <w:t xml:space="preserve">First, there was a need to </w:t>
      </w:r>
      <w:r w:rsidR="000E4282" w:rsidRPr="00BD587E">
        <w:rPr>
          <w:rFonts w:asciiTheme="majorHAnsi" w:hAnsiTheme="majorHAnsi" w:cs="Times New Roman"/>
        </w:rPr>
        <w:t>develop respiratory models</w:t>
      </w:r>
      <w:r w:rsidR="00390CD5" w:rsidRPr="00BD587E">
        <w:rPr>
          <w:rFonts w:asciiTheme="majorHAnsi" w:hAnsiTheme="majorHAnsi" w:cs="Times New Roman"/>
        </w:rPr>
        <w:t xml:space="preserve"> of </w:t>
      </w:r>
      <w:r w:rsidR="00EF5A48">
        <w:rPr>
          <w:rFonts w:asciiTheme="majorHAnsi" w:hAnsiTheme="majorHAnsi" w:cs="Times New Roman"/>
        </w:rPr>
        <w:t>invasive pulmonary aspergillosis (</w:t>
      </w:r>
      <w:r w:rsidR="00390CD5" w:rsidRPr="00BD587E">
        <w:rPr>
          <w:rFonts w:asciiTheme="majorHAnsi" w:hAnsiTheme="majorHAnsi" w:cs="Times New Roman"/>
        </w:rPr>
        <w:t>IPA</w:t>
      </w:r>
      <w:r w:rsidR="00EF5A48">
        <w:rPr>
          <w:rFonts w:asciiTheme="majorHAnsi" w:hAnsiTheme="majorHAnsi" w:cs="Times New Roman"/>
        </w:rPr>
        <w:t>)</w:t>
      </w:r>
      <w:r w:rsidR="00D8654E" w:rsidRPr="006D76F1">
        <w:rPr>
          <w:rFonts w:asciiTheme="majorHAnsi" w:hAnsiTheme="majorHAnsi" w:cs="Times New Roman"/>
        </w:rPr>
        <w:t xml:space="preserve"> </w:t>
      </w:r>
      <w:r w:rsidR="00C53F9E">
        <w:rPr>
          <w:rFonts w:asciiTheme="majorHAnsi" w:hAnsiTheme="majorHAnsi" w:cs="Times New Roman"/>
        </w:rPr>
        <w:t>as opposed to</w:t>
      </w:r>
      <w:r w:rsidR="00D36F58" w:rsidRPr="006D76F1">
        <w:rPr>
          <w:rFonts w:asciiTheme="majorHAnsi" w:hAnsiTheme="majorHAnsi" w:cs="Times New Roman"/>
        </w:rPr>
        <w:t xml:space="preserve"> disseminated models </w:t>
      </w:r>
      <w:r w:rsidR="00E44A38">
        <w:rPr>
          <w:rFonts w:asciiTheme="majorHAnsi" w:hAnsiTheme="majorHAnsi" w:cs="Times New Roman"/>
        </w:rPr>
        <w:t>where</w:t>
      </w:r>
      <w:r w:rsidR="00796F68" w:rsidRPr="00E44A38">
        <w:rPr>
          <w:rFonts w:asciiTheme="majorHAnsi" w:hAnsiTheme="majorHAnsi" w:cs="Times New Roman"/>
        </w:rPr>
        <w:t xml:space="preserve"> conidia are injected i.v</w:t>
      </w:r>
      <w:r w:rsidR="00545E08" w:rsidRPr="00E44A38">
        <w:rPr>
          <w:rFonts w:asciiTheme="majorHAnsi" w:hAnsiTheme="majorHAnsi" w:cs="Times New Roman"/>
        </w:rPr>
        <w:t>.</w:t>
      </w:r>
      <w:r w:rsidR="006C7B86">
        <w:rPr>
          <w:rFonts w:asciiTheme="majorHAnsi" w:hAnsiTheme="majorHAnsi" w:cs="Times New Roman"/>
        </w:rPr>
        <w:t xml:space="preserve"> </w:t>
      </w:r>
      <w:r w:rsidR="00545E08" w:rsidRPr="00E44A38">
        <w:rPr>
          <w:rFonts w:asciiTheme="majorHAnsi" w:hAnsiTheme="majorHAnsi" w:cs="Times New Roman"/>
        </w:rPr>
        <w:t>T</w:t>
      </w:r>
      <w:r w:rsidR="00473B0E" w:rsidRPr="00E44A38">
        <w:rPr>
          <w:rFonts w:asciiTheme="majorHAnsi" w:hAnsiTheme="majorHAnsi" w:cs="Times New Roman"/>
        </w:rPr>
        <w:t xml:space="preserve">his was necessary because the lung is the primary infection site in </w:t>
      </w:r>
      <w:r w:rsidR="003D066F">
        <w:rPr>
          <w:rFonts w:asciiTheme="majorHAnsi" w:hAnsiTheme="majorHAnsi" w:cs="Times New Roman"/>
        </w:rPr>
        <w:t>a</w:t>
      </w:r>
      <w:r w:rsidR="003D066F" w:rsidRPr="00E44A38">
        <w:rPr>
          <w:rFonts w:asciiTheme="majorHAnsi" w:hAnsiTheme="majorHAnsi" w:cs="Times New Roman"/>
        </w:rPr>
        <w:t xml:space="preserve"> </w:t>
      </w:r>
      <w:r w:rsidR="00473B0E" w:rsidRPr="00E44A38">
        <w:rPr>
          <w:rFonts w:asciiTheme="majorHAnsi" w:hAnsiTheme="majorHAnsi" w:cs="Times New Roman"/>
        </w:rPr>
        <w:t xml:space="preserve">majority of </w:t>
      </w:r>
      <w:r w:rsidR="008B65EE">
        <w:rPr>
          <w:rFonts w:asciiTheme="majorHAnsi" w:hAnsiTheme="majorHAnsi" w:cs="Times New Roman"/>
        </w:rPr>
        <w:t>patients</w:t>
      </w:r>
      <w:r w:rsidR="00473B0E" w:rsidRPr="008B65EE">
        <w:rPr>
          <w:rFonts w:asciiTheme="majorHAnsi" w:hAnsiTheme="majorHAnsi" w:cs="Times New Roman"/>
        </w:rPr>
        <w:t xml:space="preserve"> </w:t>
      </w:r>
      <w:r w:rsidR="008B65EE">
        <w:rPr>
          <w:rFonts w:asciiTheme="majorHAnsi" w:hAnsiTheme="majorHAnsi" w:cs="Times New Roman"/>
        </w:rPr>
        <w:t>with</w:t>
      </w:r>
      <w:r w:rsidR="00473B0E" w:rsidRPr="008B65EE">
        <w:rPr>
          <w:rFonts w:asciiTheme="majorHAnsi" w:hAnsiTheme="majorHAnsi" w:cs="Times New Roman"/>
        </w:rPr>
        <w:t xml:space="preserve"> IPA</w:t>
      </w:r>
      <w:r w:rsidR="00545E08" w:rsidRPr="008B65EE">
        <w:rPr>
          <w:rFonts w:asciiTheme="majorHAnsi" w:hAnsiTheme="majorHAnsi" w:cs="Times New Roman"/>
        </w:rPr>
        <w:t xml:space="preserve"> and exposure response relationships</w:t>
      </w:r>
      <w:r w:rsidR="00F675AB" w:rsidRPr="008B65EE">
        <w:rPr>
          <w:rFonts w:asciiTheme="majorHAnsi" w:hAnsiTheme="majorHAnsi" w:cs="Times New Roman"/>
        </w:rPr>
        <w:t xml:space="preserve"> are probably idiosyncratic</w:t>
      </w:r>
      <w:r w:rsidR="00250541">
        <w:rPr>
          <w:rFonts w:asciiTheme="majorHAnsi" w:hAnsiTheme="majorHAnsi" w:cs="Times New Roman"/>
        </w:rPr>
        <w:t xml:space="preserve"> </w:t>
      </w:r>
      <w:r w:rsidR="00B818EB">
        <w:rPr>
          <w:rFonts w:asciiTheme="majorHAnsi" w:hAnsiTheme="majorHAnsi" w:cs="Times New Roman"/>
        </w:rPr>
        <w:t>for</w:t>
      </w:r>
      <w:r w:rsidR="00250541">
        <w:rPr>
          <w:rFonts w:asciiTheme="majorHAnsi" w:hAnsiTheme="majorHAnsi" w:cs="Times New Roman"/>
        </w:rPr>
        <w:t xml:space="preserve"> that site</w:t>
      </w:r>
      <w:r w:rsidR="002264FE">
        <w:rPr>
          <w:rFonts w:asciiTheme="majorHAnsi" w:hAnsiTheme="majorHAnsi" w:cs="Times New Roman"/>
        </w:rPr>
        <w:t>. Second,</w:t>
      </w:r>
      <w:r w:rsidR="00390CD5" w:rsidRPr="00250541">
        <w:rPr>
          <w:rFonts w:asciiTheme="majorHAnsi" w:hAnsiTheme="majorHAnsi" w:cs="Times New Roman"/>
        </w:rPr>
        <w:t xml:space="preserve"> </w:t>
      </w:r>
      <w:r w:rsidR="002264FE">
        <w:rPr>
          <w:rFonts w:asciiTheme="majorHAnsi" w:hAnsiTheme="majorHAnsi" w:cs="Times New Roman"/>
        </w:rPr>
        <w:t xml:space="preserve">the filamentous nature of this fungus meant that non-culture-based methods to assess antifungal effect on </w:t>
      </w:r>
      <w:r w:rsidR="00F675AB" w:rsidRPr="00E76CEC">
        <w:rPr>
          <w:rFonts w:asciiTheme="majorHAnsi" w:hAnsiTheme="majorHAnsi" w:cs="Times New Roman"/>
        </w:rPr>
        <w:t xml:space="preserve">fungal </w:t>
      </w:r>
      <w:r w:rsidR="00C80687" w:rsidRPr="00E76CEC">
        <w:rPr>
          <w:rFonts w:asciiTheme="majorHAnsi" w:hAnsiTheme="majorHAnsi" w:cs="Times New Roman"/>
        </w:rPr>
        <w:t xml:space="preserve">tissue burden </w:t>
      </w:r>
      <w:r w:rsidR="002264FE">
        <w:rPr>
          <w:rFonts w:asciiTheme="majorHAnsi" w:hAnsiTheme="majorHAnsi" w:cs="Times New Roman"/>
        </w:rPr>
        <w:t>were required</w:t>
      </w:r>
      <w:r w:rsidR="00C80687" w:rsidRPr="00E76CEC">
        <w:rPr>
          <w:rFonts w:asciiTheme="majorHAnsi" w:hAnsiTheme="majorHAnsi" w:cs="Times New Roman"/>
        </w:rPr>
        <w:t>.</w:t>
      </w:r>
      <w:r w:rsidR="006C7B86">
        <w:rPr>
          <w:rFonts w:asciiTheme="majorHAnsi" w:hAnsiTheme="majorHAnsi" w:cs="Times New Roman"/>
        </w:rPr>
        <w:t xml:space="preserve"> </w:t>
      </w:r>
      <w:r w:rsidR="0042354A">
        <w:rPr>
          <w:rFonts w:asciiTheme="majorHAnsi" w:hAnsiTheme="majorHAnsi" w:cs="Times New Roman"/>
        </w:rPr>
        <w:t>A contract</w:t>
      </w:r>
      <w:r w:rsidR="006425F1">
        <w:rPr>
          <w:rFonts w:asciiTheme="majorHAnsi" w:hAnsiTheme="majorHAnsi" w:cs="Times New Roman"/>
        </w:rPr>
        <w:t xml:space="preserve"> </w:t>
      </w:r>
      <w:r w:rsidR="00F756EF">
        <w:rPr>
          <w:rFonts w:asciiTheme="majorHAnsi" w:hAnsiTheme="majorHAnsi" w:cs="Times New Roman"/>
        </w:rPr>
        <w:t xml:space="preserve">for New Animal Models for Invasive Aspergillosis </w:t>
      </w:r>
      <w:r w:rsidR="006425F1">
        <w:rPr>
          <w:rFonts w:asciiTheme="majorHAnsi" w:hAnsiTheme="majorHAnsi" w:cs="Times New Roman"/>
        </w:rPr>
        <w:t xml:space="preserve">funded by </w:t>
      </w:r>
      <w:r w:rsidR="006425F1" w:rsidRPr="0042354A">
        <w:rPr>
          <w:rFonts w:asciiTheme="majorHAnsi" w:hAnsiTheme="majorHAnsi" w:cs="Times New Roman"/>
        </w:rPr>
        <w:t xml:space="preserve">the </w:t>
      </w:r>
      <w:r w:rsidR="0042354A" w:rsidRPr="0073162B">
        <w:rPr>
          <w:rFonts w:asciiTheme="majorHAnsi" w:eastAsia="Times New Roman" w:hAnsiTheme="majorHAnsi" w:cs="Times New Roman"/>
        </w:rPr>
        <w:t>National Institute of Allergy and Infectious Diseases</w:t>
      </w:r>
      <w:r w:rsidR="0042354A">
        <w:rPr>
          <w:rFonts w:asciiTheme="majorHAnsi" w:eastAsia="Times New Roman" w:hAnsiTheme="majorHAnsi" w:cs="Times New Roman"/>
        </w:rPr>
        <w:t xml:space="preserve"> (NIAID) </w:t>
      </w:r>
      <w:r w:rsidR="006425F1" w:rsidRPr="0042354A">
        <w:rPr>
          <w:rFonts w:asciiTheme="majorHAnsi" w:hAnsiTheme="majorHAnsi" w:cs="Times New Roman"/>
        </w:rPr>
        <w:t>National Institutes of Health</w:t>
      </w:r>
      <w:r w:rsidR="0042354A">
        <w:rPr>
          <w:rFonts w:asciiTheme="majorHAnsi" w:hAnsiTheme="majorHAnsi" w:cs="Times New Roman"/>
        </w:rPr>
        <w:t xml:space="preserve"> (NIH)</w:t>
      </w:r>
      <w:r w:rsidR="006425F1">
        <w:rPr>
          <w:rFonts w:asciiTheme="majorHAnsi" w:hAnsiTheme="majorHAnsi" w:cs="Times New Roman"/>
        </w:rPr>
        <w:t xml:space="preserve"> in the USA to develop </w:t>
      </w:r>
      <w:r w:rsidR="00577EF6">
        <w:rPr>
          <w:rFonts w:asciiTheme="majorHAnsi" w:hAnsiTheme="majorHAnsi" w:cs="Times New Roman"/>
        </w:rPr>
        <w:t>standardized</w:t>
      </w:r>
      <w:r w:rsidR="006425F1">
        <w:rPr>
          <w:rFonts w:asciiTheme="majorHAnsi" w:hAnsiTheme="majorHAnsi" w:cs="Times New Roman"/>
        </w:rPr>
        <w:t xml:space="preserve"> models </w:t>
      </w:r>
      <w:r w:rsidR="0042354A">
        <w:rPr>
          <w:rFonts w:asciiTheme="majorHAnsi" w:hAnsiTheme="majorHAnsi" w:cs="Times New Roman"/>
        </w:rPr>
        <w:t xml:space="preserve">of invasive aspergillosis </w:t>
      </w:r>
      <w:r w:rsidR="002264FE">
        <w:rPr>
          <w:rFonts w:asciiTheme="majorHAnsi" w:hAnsiTheme="majorHAnsi" w:cs="Times New Roman"/>
        </w:rPr>
        <w:t xml:space="preserve">and </w:t>
      </w:r>
      <w:r w:rsidR="006425F1">
        <w:rPr>
          <w:rFonts w:asciiTheme="majorHAnsi" w:hAnsiTheme="majorHAnsi" w:cs="Times New Roman"/>
        </w:rPr>
        <w:t>to characterise novel diagnostic and therapeutic modalities addressed the former issue</w:t>
      </w:r>
      <w:r w:rsidR="00104C0C">
        <w:rPr>
          <w:rFonts w:asciiTheme="majorHAnsi" w:hAnsiTheme="majorHAnsi" w:cs="Times New Roman"/>
        </w:rPr>
        <w:t>.</w:t>
      </w:r>
      <w:r w:rsidR="004D32CF">
        <w:rPr>
          <w:rFonts w:asciiTheme="majorHAnsi" w:hAnsiTheme="majorHAnsi" w:cs="Times New Roman"/>
        </w:rPr>
        <w:fldChar w:fldCharType="begin" w:fldLock="1"/>
      </w:r>
      <w:r w:rsidR="002C3C7E">
        <w:rPr>
          <w:rFonts w:asciiTheme="majorHAnsi" w:hAnsiTheme="majorHAnsi" w:cs="Times New Roman"/>
        </w:rPr>
        <w:instrText>ADDIN CSL_CITATION { "citationItems" : [ { "id" : "ITEM-1", "itemData" : { "DOI" : "10.1128/AAC.00787-06", "author" : [ { "dropping-particle" : "", "family" : "Sheppard", "given" : "Donald C", "non-dropping-particle" : "", "parse-names" : false, "suffix" : "" }, { "dropping-particle" : "", "family" : "Graybill", "given" : "John R", "non-dropping-particle" : "", "parse-names" : false, "suffix" : "" }, { "dropping-particle" : "", "family" : "Najvar", "given" : "Laura K", "non-dropping-particle" : "", "parse-names" : false, "suffix" : "" }, { "dropping-particle" : "", "family" : "Chiang", "given" : "Lisa Y", "non-dropping-particle" : "", "parse-names" : false, "suffix" : "" }, { "dropping-particle" : "", "family" : "Doedt", "given" : "Thomas", "non-dropping-particle" : "", "parse-names" : false, "suffix" : "" }, { "dropping-particle" : "", "family" : "Kirkpatrick", "given" : "William R", "non-dropping-particle" : "", "parse-names" : false, "suffix" : "" }, { "dropping-particle" : "", "family" : "Bocanegra", "given" : "Rosie", "non-dropping-particle" : "", "parse-names" : false, "suffix" : "" }, { "dropping-particle" : "", "family" : "Vallor", "given" : "Ana C", "non-dropping-particle" : "", "parse-names" : false, "suffix" : "" }, { "dropping-particle" : "", "family" : "Patterson", "given" : "Thomas F", "non-dropping-particle" : "", "parse-names" : false, "suffix" : "" }, { "dropping-particle" : "", "family" : "Filler", "given" : "Scott G", "non-dropping-particle" : "", "parse-names" : false, "suffix" : "" } ], "id" : "ITEM-1", "issue" : "10", "issued" : { "date-parts" : [ [ "2006" ] ] }, "page" : "3501-3503", "title" : "Standardization of an Experimental Murine Model of Invasive Pulmonary Aspergillosis", "type" : "article-journal", "volume" : "50" }, "uris" : [ "http://www.mendeley.com/documents/?uuid=c0e52925-4a2d-47a3-b646-c4249a0d5bbf" ] }, { "id" : "ITEM-2", "itemData" : { "PMID" : "15105158", "abstract" : "We developed a novel model of invasive aspergillosis (IA) that recapitulates human disease. Mice were immunosuppressed with cyclophosphamide and cortisone acetate and then infected in an aerosol chamber. This procedure reproducibly delivered 1 x 10(3) to 3 x 10(3) conidia to the lungs. Lethal pulmonary IA developed over 2 weeks and was prevented by amphotericin B.", "author" : [ { "dropping-particle" : "", "family" : "Sheppard", "given" : "D C", "non-dropping-particle" : "", "parse-names" : false, "suffix" : "" }, { "dropping-particle" : "", "family" : "Rieg", "given" : "G", "non-dropping-particle" : "", "parse-names" : false, "suffix" : "" }, { "dropping-particle" : "", "family" : "Chiang", "given" : "L Y", "non-dropping-particle" : "", "parse-names" : false, "suffix" : "" }, { "dropping-particle" : "", "family" : "Filler", "given" : "S G", "non-dropping-particle" : "", "parse-names" : false, "suffix" : "" }, { "dropping-particle" : "", "family" : "Edwards  Jr.", "given" : "J E", "non-dropping-particle" : "", "parse-names" : false, "suffix" : "" }, { "dropping-particle" : "", "family" : "Ibrahim", "given" : "A S", "non-dropping-particle" : "", "parse-names" : false, "suffix" : "" } ], "container-title" : "Antimicrob Agents Chemother", "id" : "ITEM-2", "issue" : "5", "issued" : { "date-parts" : [ [ "2004" ] ] }, "note" : "0066-4804 (Print)\nJournal Article", "page" : "1908-1911", "title" : "Novel inhalational murine model of invasive pulmonary aspergillosis", "type" : "article-journal", "volume" : "48" }, "uris" : [ "http://www.mendeley.com/documents/?uuid=d55614c9-3b2a-406b-a0af-a5bd9c362cf7" ] } ], "mendeley" : { "formattedCitation" : "&lt;sup&gt;31,32&lt;/sup&gt;", "plainTextFormattedCitation" : "31,32", "previouslyFormattedCitation" : "&lt;sup&gt;31,32&lt;/sup&gt;" }, "properties" : { "noteIndex" : 0 }, "schema" : "https://github.com/citation-style-language/schema/raw/master/csl-citation.json" }</w:instrText>
      </w:r>
      <w:r w:rsidR="004D32CF">
        <w:rPr>
          <w:rFonts w:asciiTheme="majorHAnsi" w:hAnsiTheme="majorHAnsi" w:cs="Times New Roman"/>
        </w:rPr>
        <w:fldChar w:fldCharType="separate"/>
      </w:r>
      <w:r w:rsidR="00CD7C8F" w:rsidRPr="00CD7C8F">
        <w:rPr>
          <w:rFonts w:asciiTheme="majorHAnsi" w:hAnsiTheme="majorHAnsi" w:cs="Times New Roman"/>
          <w:noProof/>
          <w:vertAlign w:val="superscript"/>
        </w:rPr>
        <w:t>31,32</w:t>
      </w:r>
      <w:r w:rsidR="004D32CF">
        <w:rPr>
          <w:rFonts w:asciiTheme="majorHAnsi" w:hAnsiTheme="majorHAnsi" w:cs="Times New Roman"/>
        </w:rPr>
        <w:fldChar w:fldCharType="end"/>
      </w:r>
      <w:r w:rsidR="006C7B86">
        <w:rPr>
          <w:rFonts w:asciiTheme="majorHAnsi" w:hAnsiTheme="majorHAnsi" w:cs="Times New Roman"/>
        </w:rPr>
        <w:t xml:space="preserve"> </w:t>
      </w:r>
    </w:p>
    <w:p w14:paraId="1EFBA537" w14:textId="77777777" w:rsidR="00691554" w:rsidRPr="008B65EE" w:rsidRDefault="00691554" w:rsidP="007A2846">
      <w:pPr>
        <w:pStyle w:val="Default"/>
        <w:spacing w:line="276" w:lineRule="auto"/>
        <w:ind w:left="360"/>
        <w:rPr>
          <w:rFonts w:asciiTheme="majorHAnsi" w:hAnsiTheme="majorHAnsi" w:cs="Times New Roman"/>
        </w:rPr>
      </w:pPr>
    </w:p>
    <w:p w14:paraId="36FDF903" w14:textId="0DAE8A01" w:rsidR="00142BFD" w:rsidRPr="00E76CEC" w:rsidRDefault="006B3F6E" w:rsidP="007A2846">
      <w:pPr>
        <w:pStyle w:val="Default"/>
        <w:spacing w:line="276" w:lineRule="auto"/>
        <w:rPr>
          <w:rFonts w:asciiTheme="majorHAnsi" w:hAnsiTheme="majorHAnsi"/>
        </w:rPr>
      </w:pPr>
      <w:r w:rsidRPr="003D1715">
        <w:rPr>
          <w:rFonts w:asciiTheme="majorHAnsi" w:hAnsiTheme="majorHAnsi" w:cs="Times New Roman"/>
        </w:rPr>
        <w:tab/>
      </w:r>
      <w:r w:rsidR="00C80687" w:rsidRPr="003D1715">
        <w:rPr>
          <w:rFonts w:asciiTheme="majorHAnsi" w:hAnsiTheme="majorHAnsi" w:cs="Times New Roman"/>
        </w:rPr>
        <w:t xml:space="preserve">The </w:t>
      </w:r>
      <w:r w:rsidR="006425F1">
        <w:rPr>
          <w:rFonts w:asciiTheme="majorHAnsi" w:hAnsiTheme="majorHAnsi" w:cs="Times New Roman"/>
        </w:rPr>
        <w:t xml:space="preserve">identification of relevant and clinically tractable </w:t>
      </w:r>
      <w:r w:rsidRPr="003D1715">
        <w:rPr>
          <w:rFonts w:asciiTheme="majorHAnsi" w:hAnsiTheme="majorHAnsi" w:cs="Times New Roman"/>
        </w:rPr>
        <w:t>biomarker</w:t>
      </w:r>
      <w:r w:rsidR="006425F1">
        <w:rPr>
          <w:rFonts w:asciiTheme="majorHAnsi" w:hAnsiTheme="majorHAnsi" w:cs="Times New Roman"/>
        </w:rPr>
        <w:t>s</w:t>
      </w:r>
      <w:r w:rsidRPr="003D1715">
        <w:rPr>
          <w:rFonts w:asciiTheme="majorHAnsi" w:hAnsiTheme="majorHAnsi" w:cs="Times New Roman"/>
        </w:rPr>
        <w:t xml:space="preserve"> </w:t>
      </w:r>
      <w:r w:rsidR="0070432F">
        <w:rPr>
          <w:rFonts w:asciiTheme="majorHAnsi" w:hAnsiTheme="majorHAnsi" w:cs="Times New Roman"/>
        </w:rPr>
        <w:t xml:space="preserve">for pharmacodynamic studies </w:t>
      </w:r>
      <w:r w:rsidR="00C80687" w:rsidRPr="003D1715">
        <w:rPr>
          <w:rFonts w:asciiTheme="majorHAnsi" w:hAnsiTheme="majorHAnsi" w:cs="Times New Roman"/>
        </w:rPr>
        <w:t xml:space="preserve">was particularly problematic </w:t>
      </w:r>
      <w:r w:rsidRPr="003D1715">
        <w:rPr>
          <w:rFonts w:asciiTheme="majorHAnsi" w:hAnsiTheme="majorHAnsi" w:cs="Times New Roman"/>
        </w:rPr>
        <w:t>for many years</w:t>
      </w:r>
      <w:r w:rsidR="003D1715">
        <w:rPr>
          <w:rFonts w:asciiTheme="majorHAnsi" w:hAnsiTheme="majorHAnsi" w:cs="Times New Roman"/>
        </w:rPr>
        <w:t>.</w:t>
      </w:r>
      <w:r w:rsidRPr="003D1715">
        <w:rPr>
          <w:rFonts w:asciiTheme="majorHAnsi" w:hAnsiTheme="majorHAnsi" w:cs="Times New Roman"/>
        </w:rPr>
        <w:t xml:space="preserve"> </w:t>
      </w:r>
      <w:r w:rsidR="003D1715">
        <w:rPr>
          <w:rFonts w:asciiTheme="majorHAnsi" w:hAnsiTheme="majorHAnsi" w:cs="Times New Roman"/>
        </w:rPr>
        <w:t>D</w:t>
      </w:r>
      <w:r w:rsidR="00C80687" w:rsidRPr="003D1715">
        <w:rPr>
          <w:rFonts w:asciiTheme="majorHAnsi" w:hAnsiTheme="majorHAnsi" w:cs="Times New Roman"/>
        </w:rPr>
        <w:t>ifferent investigators have used different approaches</w:t>
      </w:r>
      <w:r w:rsidR="00545E08" w:rsidRPr="003D1715">
        <w:rPr>
          <w:rFonts w:asciiTheme="majorHAnsi" w:hAnsiTheme="majorHAnsi" w:cs="Times New Roman"/>
        </w:rPr>
        <w:t>.</w:t>
      </w:r>
      <w:r w:rsidR="006C7B86">
        <w:rPr>
          <w:rFonts w:asciiTheme="majorHAnsi" w:hAnsiTheme="majorHAnsi" w:cs="Times New Roman"/>
        </w:rPr>
        <w:t xml:space="preserve"> </w:t>
      </w:r>
      <w:r w:rsidR="00182D77" w:rsidRPr="0073162B">
        <w:rPr>
          <w:rFonts w:asciiTheme="majorHAnsi" w:hAnsiTheme="majorHAnsi"/>
          <w:i/>
          <w:iCs/>
        </w:rPr>
        <w:t xml:space="preserve">Aspergillus </w:t>
      </w:r>
      <w:r w:rsidR="00182D77" w:rsidRPr="0073162B">
        <w:rPr>
          <w:rFonts w:asciiTheme="majorHAnsi" w:hAnsiTheme="majorHAnsi"/>
        </w:rPr>
        <w:t xml:space="preserve">spp. </w:t>
      </w:r>
      <w:proofErr w:type="gramStart"/>
      <w:r w:rsidR="00182D77" w:rsidRPr="0073162B">
        <w:rPr>
          <w:rFonts w:asciiTheme="majorHAnsi" w:hAnsiTheme="majorHAnsi"/>
        </w:rPr>
        <w:t>are</w:t>
      </w:r>
      <w:proofErr w:type="gramEnd"/>
      <w:r w:rsidR="00182D77" w:rsidRPr="0073162B">
        <w:rPr>
          <w:rFonts w:asciiTheme="majorHAnsi" w:hAnsiTheme="majorHAnsi"/>
        </w:rPr>
        <w:t xml:space="preserve"> filamentous multinucleated organisms</w:t>
      </w:r>
      <w:r w:rsidR="003D1715">
        <w:rPr>
          <w:rFonts w:asciiTheme="majorHAnsi" w:hAnsiTheme="majorHAnsi"/>
        </w:rPr>
        <w:t xml:space="preserve"> that produce a syncytium</w:t>
      </w:r>
      <w:r w:rsidR="00182D77" w:rsidRPr="0073162B">
        <w:rPr>
          <w:rFonts w:asciiTheme="majorHAnsi" w:hAnsiTheme="majorHAnsi"/>
        </w:rPr>
        <w:t>.</w:t>
      </w:r>
      <w:r w:rsidR="006C7B86">
        <w:rPr>
          <w:rFonts w:asciiTheme="majorHAnsi" w:hAnsiTheme="majorHAnsi"/>
        </w:rPr>
        <w:t xml:space="preserve"> </w:t>
      </w:r>
      <w:proofErr w:type="spellStart"/>
      <w:r w:rsidR="00951369" w:rsidRPr="0012015D">
        <w:rPr>
          <w:rFonts w:asciiTheme="majorHAnsi" w:hAnsiTheme="majorHAnsi"/>
        </w:rPr>
        <w:t>H</w:t>
      </w:r>
      <w:r w:rsidR="00182D77" w:rsidRPr="0073162B">
        <w:rPr>
          <w:rFonts w:asciiTheme="majorHAnsi" w:hAnsiTheme="majorHAnsi"/>
        </w:rPr>
        <w:t>omogenisation</w:t>
      </w:r>
      <w:proofErr w:type="spellEnd"/>
      <w:r w:rsidR="00182D77" w:rsidRPr="0073162B">
        <w:rPr>
          <w:rFonts w:asciiTheme="majorHAnsi" w:hAnsiTheme="majorHAnsi"/>
        </w:rPr>
        <w:t xml:space="preserve"> </w:t>
      </w:r>
      <w:r w:rsidR="00951369" w:rsidRPr="007E2A5E">
        <w:rPr>
          <w:rFonts w:asciiTheme="majorHAnsi" w:hAnsiTheme="majorHAnsi"/>
        </w:rPr>
        <w:t xml:space="preserve">of tissue </w:t>
      </w:r>
      <w:r w:rsidR="00DF2E4D" w:rsidRPr="0012015D">
        <w:rPr>
          <w:rFonts w:asciiTheme="majorHAnsi" w:hAnsiTheme="majorHAnsi"/>
        </w:rPr>
        <w:t xml:space="preserve">that </w:t>
      </w:r>
      <w:r w:rsidR="006425F1">
        <w:rPr>
          <w:rFonts w:asciiTheme="majorHAnsi" w:hAnsiTheme="majorHAnsi"/>
        </w:rPr>
        <w:t>is</w:t>
      </w:r>
      <w:r w:rsidR="00DF2E4D" w:rsidRPr="0012015D">
        <w:rPr>
          <w:rFonts w:asciiTheme="majorHAnsi" w:hAnsiTheme="majorHAnsi"/>
        </w:rPr>
        <w:t xml:space="preserve"> successfully used</w:t>
      </w:r>
      <w:r w:rsidR="00DF2E4D" w:rsidRPr="00C93520">
        <w:rPr>
          <w:rFonts w:asciiTheme="majorHAnsi" w:hAnsiTheme="majorHAnsi"/>
        </w:rPr>
        <w:t xml:space="preserve"> </w:t>
      </w:r>
      <w:r w:rsidR="003D1715">
        <w:rPr>
          <w:rFonts w:asciiTheme="majorHAnsi" w:hAnsiTheme="majorHAnsi"/>
        </w:rPr>
        <w:t>to quantify the</w:t>
      </w:r>
      <w:r w:rsidR="00DF2E4D" w:rsidRPr="00C93520">
        <w:rPr>
          <w:rFonts w:asciiTheme="majorHAnsi" w:hAnsiTheme="majorHAnsi"/>
        </w:rPr>
        <w:t xml:space="preserve"> bacteria</w:t>
      </w:r>
      <w:r w:rsidR="003D1715">
        <w:rPr>
          <w:rFonts w:asciiTheme="majorHAnsi" w:hAnsiTheme="majorHAnsi"/>
        </w:rPr>
        <w:t>l burden in tissues</w:t>
      </w:r>
      <w:r w:rsidR="00DF2E4D" w:rsidRPr="00C93520">
        <w:rPr>
          <w:rFonts w:asciiTheme="majorHAnsi" w:hAnsiTheme="majorHAnsi"/>
        </w:rPr>
        <w:t xml:space="preserve"> </w:t>
      </w:r>
      <w:r w:rsidR="006425F1">
        <w:rPr>
          <w:rFonts w:asciiTheme="majorHAnsi" w:hAnsiTheme="majorHAnsi"/>
        </w:rPr>
        <w:t>is</w:t>
      </w:r>
      <w:r w:rsidR="00831E6B">
        <w:rPr>
          <w:rFonts w:asciiTheme="majorHAnsi" w:hAnsiTheme="majorHAnsi"/>
        </w:rPr>
        <w:t xml:space="preserve"> not appropriate for fungi</w:t>
      </w:r>
      <w:r w:rsidR="00182D77" w:rsidRPr="0073162B">
        <w:rPr>
          <w:rFonts w:asciiTheme="majorHAnsi" w:hAnsiTheme="majorHAnsi"/>
        </w:rPr>
        <w:t xml:space="preserve"> because individual </w:t>
      </w:r>
      <w:proofErr w:type="spellStart"/>
      <w:r w:rsidR="00182D77" w:rsidRPr="0073162B">
        <w:rPr>
          <w:rFonts w:asciiTheme="majorHAnsi" w:hAnsiTheme="majorHAnsi"/>
        </w:rPr>
        <w:t>propagules</w:t>
      </w:r>
      <w:proofErr w:type="spellEnd"/>
      <w:r w:rsidR="00545E08" w:rsidRPr="007E2A5E">
        <w:rPr>
          <w:rFonts w:asciiTheme="majorHAnsi" w:hAnsiTheme="majorHAnsi"/>
        </w:rPr>
        <w:t xml:space="preserve"> (genome equivalents)</w:t>
      </w:r>
      <w:r w:rsidR="00182D77" w:rsidRPr="0073162B">
        <w:rPr>
          <w:rFonts w:asciiTheme="majorHAnsi" w:hAnsiTheme="majorHAnsi"/>
        </w:rPr>
        <w:t xml:space="preserve"> are </w:t>
      </w:r>
      <w:r w:rsidR="00260E04" w:rsidRPr="007E2A5E">
        <w:rPr>
          <w:rFonts w:asciiTheme="majorHAnsi" w:hAnsiTheme="majorHAnsi"/>
        </w:rPr>
        <w:t xml:space="preserve">either </w:t>
      </w:r>
      <w:r w:rsidR="00951369" w:rsidRPr="0012015D">
        <w:rPr>
          <w:rFonts w:asciiTheme="majorHAnsi" w:hAnsiTheme="majorHAnsi"/>
        </w:rPr>
        <w:t>in</w:t>
      </w:r>
      <w:r w:rsidR="00182D77" w:rsidRPr="0073162B">
        <w:rPr>
          <w:rFonts w:asciiTheme="majorHAnsi" w:hAnsiTheme="majorHAnsi"/>
        </w:rPr>
        <w:t xml:space="preserve">adequately </w:t>
      </w:r>
      <w:r w:rsidR="00182D77" w:rsidRPr="0073162B">
        <w:rPr>
          <w:rFonts w:asciiTheme="majorHAnsi" w:hAnsiTheme="majorHAnsi"/>
        </w:rPr>
        <w:lastRenderedPageBreak/>
        <w:t>separated or are irreparably damaged</w:t>
      </w:r>
      <w:r w:rsidR="00831E6B">
        <w:rPr>
          <w:rFonts w:asciiTheme="majorHAnsi" w:hAnsiTheme="majorHAnsi"/>
        </w:rPr>
        <w:t xml:space="preserve">—either </w:t>
      </w:r>
      <w:r w:rsidR="006425F1">
        <w:rPr>
          <w:rFonts w:asciiTheme="majorHAnsi" w:hAnsiTheme="majorHAnsi"/>
        </w:rPr>
        <w:t>scenario results in</w:t>
      </w:r>
      <w:r w:rsidR="00831E6B">
        <w:rPr>
          <w:rFonts w:asciiTheme="majorHAnsi" w:hAnsiTheme="majorHAnsi"/>
        </w:rPr>
        <w:t xml:space="preserve"> an imprecise estimate </w:t>
      </w:r>
      <w:r w:rsidR="0002034D">
        <w:rPr>
          <w:rFonts w:asciiTheme="majorHAnsi" w:hAnsiTheme="majorHAnsi"/>
        </w:rPr>
        <w:t>of fungal burden</w:t>
      </w:r>
      <w:r w:rsidR="0076797A">
        <w:rPr>
          <w:rFonts w:asciiTheme="majorHAnsi" w:hAnsiTheme="majorHAnsi"/>
        </w:rPr>
        <w:t>.</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"10.1128/AAC.00673-10", "ISBN" : "1098-6596 (Electronic)\\r0066-4804 (Linking)", "ISSN" : "1098-6596", "PMID" : "20713673", "abstract" : "Acute invasive pulmonary aspergillosis is a rapidly progressive and frequently lethal infection. Relatively little is known about early events in the pathogenesis and relationship between the cell wall biomarkers galactomannan and (1\u21923)-\u03b2-d-glucan. The consequences of delayed antifungal therapy are also poorly defined. A persistently neutropenic rabbit model of invasive pulmonary aspergillosis was used to describe the histopathology of early invasive pulmonary aspergillosis and the kinetics of galactomannan and (1\u21923)-\u03b2-d-glucan. The time course of both molecules was mathematically modeled by using a population methodology, and Monte Carlo simulations were performed. The effect of progressive delay in the administration of amphotericin B deoxycholate 1 mg/kg at 24, 48, 72, and 96 h postinoculation on fungal burden, lung weight, pulmonary infarct score, and survival was determined. Histopathology showed phagocytosis of conidia by pulmonary alveolar macrophages at 4 h postinoculation. At 12 to 24 h, there was a progressive focal inflammatory response with conidial germination and hyphal extension. Subsequently, hyphae invaded into the contiguous lung. Galactomannan and (1\u21923)-\u03b2-d-glucan had similar trajectories, and both exhibited considerable interindividual variability, which was reflected in Monte Carlo simulations. Concentrations of both molecules began to rise &lt;24 h postinoculation before pulmonary hemorrhagic infarction was present. Delays of 72 and 96 h in the administration of amphotericin B resulted in fungal burdens and lung weights that were indistinguishable from those of controls, respectively. Galactomannan and (1\u21923)-\u03b2-d-glucan have similar kinetics and are comparable biomarkers of early invasive pulmonary aspergillosis. Antifungal treatment at \u226548 h postinoculation is associated with suboptimal therapeutic outcomes.", "author" : [ { "dropping-particle" : "", "family" : "Hope", "given" : "William W.", "non-dropping-particle" : "", "parse-names" : false, "suffix" : "" }, { "dropping-particle" : "", "family" : "Petraitis", "given" : "Vidmantas", "non-dropping-particle" : "", "parse-names" : false, "suffix" : "" }, { "dropping-particle" : "", "family" : "Petraitiene", "given" : "Ruta", "non-dropping-particle" : "", "parse-names" : false, "suffix" : "" }, { "dropping-particle" : "", "family" : "Aghamolla", "given" : "Tamarra", "non-dropping-particle" : "", "parse-names" : false, "suffix" : "" }, { "dropping-particle" : "", "family" : "Bacher", "given" : "John", "non-dropping-particle" : "", "parse-names" : false, "suffix" : "" }, { "dropping-particle" : "", "family" : "Walsh", "given" : "Thomas J.", "non-dropping-particle" : "", "parse-names" : false, "suffix" : "" } ], "container-title" : "Antimicrobial agents and chemotherapy", "id" : "ITEM-1", "issue" : "11", "issued" : { "date-parts" : [ [ "2010", "11" ] ] }, "page" : "4879-86", "title" : "The initial 96 hours of invasive pulmonary aspergillosis: histopathology, comparative kinetics of galactomannan and (1-&gt;3) \u03b2-d-glucan and consequences of delayed antifungal therapy.", "type" : "article-journal", "volume" : "54" }, "uris" : [ "http://www.mendeley.com/documents/?uuid=1c11d468-5f7b-4692-b988-6ed67480f607" ] } ], "mendeley" : { "formattedCitation" : "&lt;sup&gt;33&lt;/sup&gt;", "plainTextFormattedCitation" : "33", "previouslyFormattedCitation" : "&lt;sup&gt;33&lt;/sup&gt;"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33</w:t>
      </w:r>
      <w:r w:rsidR="004D32CF">
        <w:rPr>
          <w:rFonts w:asciiTheme="majorHAnsi" w:hAnsiTheme="majorHAnsi"/>
        </w:rPr>
        <w:fldChar w:fldCharType="end"/>
      </w:r>
      <w:r w:rsidR="006C7B86">
        <w:rPr>
          <w:rFonts w:asciiTheme="majorHAnsi" w:hAnsiTheme="majorHAnsi"/>
        </w:rPr>
        <w:t xml:space="preserve"> </w:t>
      </w:r>
      <w:r w:rsidR="00182D77" w:rsidRPr="0073162B">
        <w:rPr>
          <w:rFonts w:asciiTheme="majorHAnsi" w:hAnsiTheme="majorHAnsi"/>
        </w:rPr>
        <w:t xml:space="preserve">The development of </w:t>
      </w:r>
      <w:proofErr w:type="spellStart"/>
      <w:r w:rsidR="00182D77" w:rsidRPr="0073162B">
        <w:rPr>
          <w:rFonts w:asciiTheme="majorHAnsi" w:hAnsiTheme="majorHAnsi"/>
        </w:rPr>
        <w:t>qPCR</w:t>
      </w:r>
      <w:proofErr w:type="spellEnd"/>
      <w:r w:rsidR="00182D77" w:rsidRPr="0073162B">
        <w:rPr>
          <w:rFonts w:asciiTheme="majorHAnsi" w:hAnsiTheme="majorHAnsi"/>
        </w:rPr>
        <w:t xml:space="preserve"> and commercially available ELISA systems for </w:t>
      </w:r>
      <w:r w:rsidR="00705720">
        <w:rPr>
          <w:rFonts w:asciiTheme="majorHAnsi" w:hAnsiTheme="majorHAnsi"/>
        </w:rPr>
        <w:t>galactomannan</w:t>
      </w:r>
      <w:r w:rsidR="00182D77" w:rsidRPr="0073162B">
        <w:rPr>
          <w:rFonts w:asciiTheme="majorHAnsi" w:hAnsiTheme="majorHAnsi"/>
        </w:rPr>
        <w:t xml:space="preserve"> were pivotal to enabling PK-PD </w:t>
      </w:r>
      <w:r w:rsidR="00150191" w:rsidRPr="007E2A5E">
        <w:rPr>
          <w:rFonts w:asciiTheme="majorHAnsi" w:hAnsiTheme="majorHAnsi"/>
        </w:rPr>
        <w:t>experimental models</w:t>
      </w:r>
      <w:r w:rsidR="00182D77" w:rsidRPr="0073162B">
        <w:rPr>
          <w:rFonts w:asciiTheme="majorHAnsi" w:hAnsiTheme="majorHAnsi"/>
        </w:rPr>
        <w:t xml:space="preserve"> of anti-</w:t>
      </w:r>
      <w:r w:rsidR="00182D77" w:rsidRPr="0073162B">
        <w:rPr>
          <w:rFonts w:asciiTheme="majorHAnsi" w:hAnsiTheme="majorHAnsi"/>
          <w:i/>
          <w:iCs/>
        </w:rPr>
        <w:t xml:space="preserve">Aspergillus </w:t>
      </w:r>
      <w:r w:rsidR="00150191" w:rsidRPr="007E2A5E">
        <w:rPr>
          <w:rFonts w:asciiTheme="majorHAnsi" w:hAnsiTheme="majorHAnsi"/>
        </w:rPr>
        <w:t>agents</w:t>
      </w:r>
      <w:r w:rsidR="0076797A">
        <w:rPr>
          <w:rFonts w:asciiTheme="majorHAnsi" w:hAnsiTheme="majorHAnsi"/>
        </w:rPr>
        <w:t>.</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"10.1128/AAC.01355-13", "ISBN" : "1098-6596 (Electronic) 0066-4804 (Linking)", "ISSN" : "1098-6596", "PMID" : "24100500", "abstract" : "Invasive pulmonary aspergillosis (IPA) continues to rise in concert with increasing numbers of immune suppression techniques to treat other medical conditions and transplantation. Despite these advances, morbidity and mortality rates remain unacceptably high. One strategy used to optimize outcomes is antifungal pharmacodynamic (PD) examination. We explored the pharmacodynamics of a new triazole in development, isavuconazole, in a murine neutropenic IPA model. Ten A. fumigatus isolates were used, including four wild-type isolates and six cyp51 mutants. The MIC range was 0.125 to 8 mg/liter. Following infection, groups of mice were treated orally with the prodrug (BAL8557) at 40 to 640 mg/kg/12 h for 7 days. Efficacy was determined by quantitative PCR of lung homogenates. At the start of therapy, mice had 4.97 log10 conidial equivalents (CE)/ml of lung homogenate, and this increased to 6.82 log10 CE/ml of lung homogenate in untreated animals. The infection model was uniformly lethal in untreated control mice. The PD target endpoints examined included the static-dose AUC/MIC ratio and the 1-log10 killing AUC/MIC ratio. A stasis endpoint was achieved for all isolates with an MIC of &lt;/=1 mg/liter and 1-log10 killing in all isolates with an MIC of &lt;/=0.5 mg/liter, regardless of the presence or absence of the cyp51 mutation. The static-dose range was 65 to 617 mg/kg/12 h. The corresponding median free-drug AUC/MIC ratio was near 5. The 1-log10 killing dose range was 147 to 455 mg/kg/12 h, and the corresponding median free-drug AUC/MIC ratio was 11.1. These values are similar to those previously reported for other triazoles.", "author" : [ { "dropping-particle" : "", "family" : "Lepak", "given" : "Alexander J", "non-dropping-particle" : "", "parse-names" : false, "suffix" : "" }, { "dropping-particle" : "", "family" : "Marchillo", "given" : "Karen", "non-dropping-particle" : "", "parse-names" : false, "suffix" : "" }, { "dropping-particle" : "", "family" : "Vanhecker", "given" : "Jamie", "non-dropping-particle" : "", "parse-names" : false, "suffix" : "" }, { "dropping-particle" : "", "family" : "Andes", "given" : "David R", "non-dropping-particle" : "", "parse-names" : false, "suffix" : "" } ], "container-title" : "Antimicrob Agents Chemother", "id" : "ITEM-1", "issue" : "12", "issued" : { "date-parts" : [ [ "2013", "12" ] ] }, "note" : "From Duplicate 1 ( \n\nIsavuconazole (BAL4815) pharmacodynamic target determination in an in vivo murine model of invasive pulmonary aspergillosis against wild-type and cyp51 mutant isolates of Aspergillus fumigatus\n\n- Lepak, A J; Marchillo, K; Vanhecker, J; Andes, D R )\nAnd Duplicate 2 ( \n\nIsavuconazole (BAL4815) pharmacodynamic target determination in an in vivo murine model of invasive pulmonary aspergillosis against wild-type and cyp51 mutant isolates of Aspergillus fumigatus\n\n- Lepak, A J; Marchillo, K; Vanhecker, J; Andes, D R )\n\n\n\nLepak, Alexander J\nMarchillo, Karen\nVanhecker, Jamie\nAndes, David R\nAntimicrob Agents Chemother. 2013 Dec;57(12):6284-9. doi: 10.1128/AAC.01355-13. Epub 2013 Oct 7.", "page" : "6284-6289", "title" : "Isavuconazole (BAL4815) pharmacodynamic target determination in an in vivo murine model of invasive pulmonary aspergillosis against wild-type and cyp51 mutant isolates of Aspergillus fumigatus", "type" : "article-journal", "volume" : "57" }, "uris" : [ "http://www.mendeley.com/documents/?uuid=7f10ad42-569f-4655-a20b-193fe1e651f4" ] }, { "id" : "ITEM-2", "itemData" : { "PMID" : "17205486", "abstract" : "BACKGROUND: Little is known about the pathogenesis of invasive pulmonary aspergillosis and the relationship between the kinetics of diagnostic markers and the outcome of antifungal therapy. METHODS: An in vitro model of the human alveolus, consisting of a bilayer of human alveolar epithelial and endothelial cells, was developed. An Aspergillus fumigatus strain expressing green fluorescent protein was used. Invasion of the cell bilayer was studied using confocal and electron microscopy. The kinetics of culture, polymerase chain reaction, and galactomannan were determined. Galactomannan was used to measure the antifungal effect of macrophages and amphotericin B. A mathematical model was developed, and results were bridged to humans. RESULTS: A. fumigatus penetrated the cellular bilayer 14-16 h after inoculation. Galactomannan levels were inextricably tied to fungal invasion and were a robust measure of the antifungal effect of macrophages and amphotericin B. Neither amphotericin nor macrophages alone was able to suppress the growth of A. fumigatus; rather, the combination was required. Monte Carlo simulations showed that human dosages of amphotericin B of at least 0.6 mg/kg were required to achieve adequate drug exposure. CONCLUSIONS: This model provides a strategy by which relationships among pathogenesis, immunological effectors, and antifungal drug therapy for invasive pulmonary aspergillosis may be further understood.", "author" : [ { "dropping-particle" : "", "family" : "Hope", "given" : "W W", "non-dropping-particle" : "", "parse-names" : false, "suffix" : "" }, { "dropping-particle" : "", "family" : "Kruhlak", "given" : "M J", "non-dropping-particle" : "", "parse-names" : false, "suffix" : "" }, { "dropping-particle" : "", "family" : "Lyman", "given" : "C A", "non-dropping-particle" : "", "parse-names" : false, "suffix" : "" }, { "dropping-particle" : "", "family" : "Petraitiene", "given" : "R", "non-dropping-particle" : "", "parse-names" : false, "suffix" : "" }, { "dropping-particle" : "", "family" : "Petraitis", "given" : "V", "non-dropping-particle" : "", "parse-names" : false, "suffix" : "" }, { "dropping-particle" : "", "family" : "Francesconi", "given" : "A", "non-dropping-particle" : "", "parse-names" : false, "suffix" : "" }, { "dropping-particle" : "", "family" : "Kasai", "given" : "M", "non-dropping-particle" : "", "parse-names" : false, "suffix" : "" }, { "dropping-particle" : "", "family" : "Mickiene", "given" : "D", "non-dropping-particle" : "", "parse-names" : false, "suffix" : "" }, { "dropping-particle" : "", "family" : "Sein", "given" : "T", "non-dropping-particle" : "", "parse-names" : false, "suffix" : "" }, { "dropping-particle" : "", "family" : "Peter", "given" : "J", "non-dropping-particle" : "", "parse-names" : false, "suffix" : "" }, { "dropping-particle" : "", "family" : "Kelaher", "given" : "A M", "non-dropping-particle" : "", "parse-names" : false, "suffix" : "" }, { "dropping-particle" : "", "family" : "Hughes", "given" : "J E", "non-dropping-particle" : "", "parse-names" : false, "suffix" : "" }, { "dropping-particle" : "", "family" : "Cotton", "given" : "M P", "non-dropping-particle" : "", "parse-names" : false, "suffix" : "" }, { "dropping-particle" : "", "family" : "Cotten", "given" : "C J", "non-dropping-particle" : "", "parse-names" : false, "suffix" : "" }, { "dropping-particle" : "", "family" : "Bacher", "given" : "J", "non-dropping-particle" : "", "parse-names" : false, "suffix" : "" }, { "dropping-particle" : "", "family" : "Tripathi", "given" : "S", "non-dropping-particle" : "", "parse-names" : false, "suffix" : "" }, { "dropping-particle" : "", "family" : "Bermudez", "given" : "L", "non-dropping-particle" : "", "parse-names" : false, "suffix" : "" }, { "dropping-particle" : "", "family" : "Maugel", "given" : "T K", "non-dropping-particle" : "", "parse-names" : false, "suffix" : "" }, { "dropping-particle" : "", "family" : "Zerfas", "given" : "P M", "non-dropping-particle" : "", "parse-names" : false, "suffix" : "" }, { "dropping-particle" : "", "family" : "Wingard", "given" : "J R", "non-dropping-particle" : "", "parse-names" : false, "suffix" : "" }, { "dropping-particle" : "", "family" : "Drusano", "given" : "G L", "non-dropping-particle" : "", "parse-names" : false, "suffix" : "" }, { "dropping-particle" : "", "family" : "Walsh", "given" : "T J", "non-dropping-particle" : "", "parse-names" : false, "suffix" : "" } ], "container-title" : "J Infect Dis", "id" : "ITEM-2", "issue" : "3", "issued" : { "date-parts" : [ [ "2007" ] ] }, "note" : "0022-1899 (Print)\nJournal Article\nResearch Support, N.I.H., Extramural\nResearch Support, N.I.H., Intramural\nResearch Support, Non-U.S. Gov't", "page" : "455-466", "title" : "Pathogenesis of Aspergillus fumigatus and the kinetics of galactomannan in an in vitro model of early invasive pulmonary aspergillosis: implications for antifungal therapy", "type" : "article-journal", "volume" : "195" }, "uris" : [ "http://www.mendeley.com/documents/?uuid=07a4f8f4-e643-40ac-9560-a540cd1df927" ] }, { "id" : "ITEM-3", "itemData" : { "author" : [ { "dropping-particle" : "", "family" : "Wiederhold", "given" : "Nathan P", "non-dropping-particle" : "", "parse-names" : false, "suffix" : "" }, { "dropping-particle" : "", "family" : "Kontoyiannis", "given" : "Dimitrios P", "non-dropping-particle" : "", "parse-names" : false, "suffix" : "" }, { "dropping-particle" : "", "family" : "Chi", "given" : "Jingduan", "non-dropping-particle" : "", "parse-names" : false, "suffix" : "" }, { "dropping-particle" : "", "family" : "Prince", "given" : "Randall A", "non-dropping-particle" : "", "parse-names" : false, "suffix" : "" }, { "dropping-particle" : "", "family" : "Tam", "given" : "Vincent H", "non-dropping-particle" : "", "parse-names" : false, "suffix" : "" }, { "dropping-particle" : "", "family" : "Lewis", "given" : "Russell E", "non-dropping-particle" : "", "parse-names" : false, "suffix" : "" } ], "id" : "ITEM-3", "issue" : "8", "issued" : { "date-parts" : [ [ "2004" ] ] }, "page" : "1464-1471", "title" : "Pharmacodynamics of caspofungin in a murine model of invasive pulmonary aspergillosis : evidence of concentration-dependent activity", "type" : "article-journal", "volume" : "190" }, "uris" : [ "http://www.mendeley.com/documents/?uuid=cddf0f59-9cbe-438e-a1b4-399728ced1cc" ] } ], "mendeley" : { "formattedCitation" : "&lt;sup&gt;34\u201336&lt;/sup&gt;", "plainTextFormattedCitation" : "34\u201336", "previouslyFormattedCitation" : "&lt;sup&gt;34\u201336&lt;/sup&gt;"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34–36</w:t>
      </w:r>
      <w:r w:rsidR="004D32CF">
        <w:rPr>
          <w:rFonts w:asciiTheme="majorHAnsi" w:hAnsiTheme="majorHAnsi"/>
        </w:rPr>
        <w:fldChar w:fldCharType="end"/>
      </w:r>
      <w:r w:rsidR="006C7B86">
        <w:rPr>
          <w:rFonts w:asciiTheme="majorHAnsi" w:hAnsiTheme="majorHAnsi"/>
        </w:rPr>
        <w:t xml:space="preserve"> </w:t>
      </w:r>
      <w:r w:rsidR="008D2579">
        <w:rPr>
          <w:rFonts w:asciiTheme="majorHAnsi" w:hAnsiTheme="majorHAnsi"/>
        </w:rPr>
        <w:t xml:space="preserve">Quantitative </w:t>
      </w:r>
      <w:r w:rsidR="008D2579" w:rsidRPr="0073162B">
        <w:rPr>
          <w:rFonts w:asciiTheme="majorHAnsi" w:hAnsiTheme="majorHAnsi"/>
        </w:rPr>
        <w:t xml:space="preserve">PCR </w:t>
      </w:r>
      <w:r w:rsidRPr="0012015D">
        <w:rPr>
          <w:rFonts w:asciiTheme="majorHAnsi" w:hAnsiTheme="majorHAnsi"/>
        </w:rPr>
        <w:t>provide</w:t>
      </w:r>
      <w:r w:rsidR="0002034D">
        <w:rPr>
          <w:rFonts w:asciiTheme="majorHAnsi" w:hAnsiTheme="majorHAnsi"/>
        </w:rPr>
        <w:t>s</w:t>
      </w:r>
      <w:r w:rsidR="00182D77" w:rsidRPr="0073162B">
        <w:rPr>
          <w:rFonts w:asciiTheme="majorHAnsi" w:hAnsiTheme="majorHAnsi"/>
        </w:rPr>
        <w:t xml:space="preserve"> a robust estimate of the amount of fungal DNA in tissues</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"10.1128/AAC.01355-13", "ISBN" : "1098-6596 (Electronic) 0066-4804 (Linking)", "ISSN" : "1098-6596", "PMID" : "24100500", "abstract" : "Invasive pulmonary aspergillosis (IPA) continues to rise in concert with increasing numbers of immune suppression techniques to treat other medical conditions and transplantation. Despite these advances, morbidity and mortality rates remain unacceptably high. One strategy used to optimize outcomes is antifungal pharmacodynamic (PD) examination. We explored the pharmacodynamics of a new triazole in development, isavuconazole, in a murine neutropenic IPA model. Ten A. fumigatus isolates were used, including four wild-type isolates and six cyp51 mutants. The MIC range was 0.125 to 8 mg/liter. Following infection, groups of mice were treated orally with the prodrug (BAL8557) at 40 to 640 mg/kg/12 h for 7 days. Efficacy was determined by quantitative PCR of lung homogenates. At the start of therapy, mice had 4.97 log10 conidial equivalents (CE)/ml of lung homogenate, and this increased to 6.82 log10 CE/ml of lung homogenate in untreated animals. The infection model was uniformly lethal in untreated control mice. The PD target endpoints examined included the static-dose AUC/MIC ratio and the 1-log10 killing AUC/MIC ratio. A stasis endpoint was achieved for all isolates with an MIC of &lt;/=1 mg/liter and 1-log10 killing in all isolates with an MIC of &lt;/=0.5 mg/liter, regardless of the presence or absence of the cyp51 mutation. The static-dose range was 65 to 617 mg/kg/12 h. The corresponding median free-drug AUC/MIC ratio was near 5. The 1-log10 killing dose range was 147 to 455 mg/kg/12 h, and the corresponding median free-drug AUC/MIC ratio was 11.1. These values are similar to those previously reported for other triazoles.", "author" : [ { "dropping-particle" : "", "family" : "Lepak", "given" : "Alexander J", "non-dropping-particle" : "", "parse-names" : false, "suffix" : "" }, { "dropping-particle" : "", "family" : "Marchillo", "given" : "Karen", "non-dropping-particle" : "", "parse-names" : false, "suffix" : "" }, { "dropping-particle" : "", "family" : "Vanhecker", "given" : "Jamie", "non-dropping-particle" : "", "parse-names" : false, "suffix" : "" }, { "dropping-particle" : "", "family" : "Andes", "given" : "David R", "non-dropping-particle" : "", "parse-names" : false, "suffix" : "" } ], "container-title" : "Antimicrob Agents Chemother", "id" : "ITEM-1", "issue" : "12", "issued" : { "date-parts" : [ [ "2013", "12" ] ] }, "note" : "From Duplicate 1 ( \n\nIsavuconazole (BAL4815) pharmacodynamic target determination in an in vivo murine model of invasive pulmonary aspergillosis against wild-type and cyp51 mutant isolates of Aspergillus fumigatus\n\n- Lepak, A J; Marchillo, K; Vanhecker, J; Andes, D R )\nAnd Duplicate 2 ( \n\nIsavuconazole (BAL4815) pharmacodynamic target determination in an in vivo murine model of invasive pulmonary aspergillosis against wild-type and cyp51 mutant isolates of Aspergillus fumigatus\n\n- Lepak, A J; Marchillo, K; Vanhecker, J; Andes, D R )\n\n\n\nLepak, Alexander J\nMarchillo, Karen\nVanhecker, Jamie\nAndes, David R\nAntimicrob Agents Chemother. 2013 Dec;57(12):6284-9. doi: 10.1128/AAC.01355-13. Epub 2013 Oct 7.", "page" : "6284-6289", "title" : "Isavuconazole (BAL4815) pharmacodynamic target determination in an in vivo murine model of invasive pulmonary aspergillosis against wild-type and cyp51 mutant isolates of Aspergillus fumigatus", "type" : "article-journal", "volume" : "57" }, "uris" : [ "http://www.mendeley.com/documents/?uuid=7f10ad42-569f-4655-a20b-193fe1e651f4" ] } ], "mendeley" : { "formattedCitation" : "&lt;sup&gt;34&lt;/sup&gt;", "plainTextFormattedCitation" : "34", "previouslyFormattedCitation" : "&lt;sup&gt;34&lt;/sup&gt;"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34</w:t>
      </w:r>
      <w:r w:rsidR="004D32CF">
        <w:rPr>
          <w:rFonts w:asciiTheme="majorHAnsi" w:hAnsiTheme="majorHAnsi"/>
        </w:rPr>
        <w:fldChar w:fldCharType="end"/>
      </w:r>
      <w:r w:rsidR="0002034D">
        <w:rPr>
          <w:rFonts w:asciiTheme="majorHAnsi" w:hAnsiTheme="majorHAnsi"/>
        </w:rPr>
        <w:t xml:space="preserve"> although may </w:t>
      </w:r>
      <w:r w:rsidR="009F2E7D">
        <w:rPr>
          <w:rFonts w:asciiTheme="majorHAnsi" w:hAnsiTheme="majorHAnsi"/>
        </w:rPr>
        <w:t xml:space="preserve">simultaneously </w:t>
      </w:r>
      <w:r w:rsidR="0002034D">
        <w:rPr>
          <w:rFonts w:asciiTheme="majorHAnsi" w:hAnsiTheme="majorHAnsi"/>
        </w:rPr>
        <w:t xml:space="preserve">amplify </w:t>
      </w:r>
      <w:r w:rsidR="00463765">
        <w:rPr>
          <w:rFonts w:asciiTheme="majorHAnsi" w:hAnsiTheme="majorHAnsi"/>
        </w:rPr>
        <w:t xml:space="preserve">extracted </w:t>
      </w:r>
      <w:r w:rsidR="0002034D">
        <w:rPr>
          <w:rFonts w:asciiTheme="majorHAnsi" w:hAnsiTheme="majorHAnsi"/>
        </w:rPr>
        <w:t>DNA from conidia (inactive environmental forms)</w:t>
      </w:r>
      <w:r w:rsidR="00705720">
        <w:rPr>
          <w:rFonts w:asciiTheme="majorHAnsi" w:hAnsiTheme="majorHAnsi"/>
        </w:rPr>
        <w:t xml:space="preserve"> and hyphae (tissue invasive forms)</w:t>
      </w:r>
      <w:r w:rsidR="00182D77" w:rsidRPr="0073162B">
        <w:rPr>
          <w:rFonts w:asciiTheme="majorHAnsi" w:hAnsiTheme="majorHAnsi"/>
        </w:rPr>
        <w:t>.</w:t>
      </w:r>
      <w:r w:rsidR="006C7B86">
        <w:rPr>
          <w:rFonts w:asciiTheme="majorHAnsi" w:hAnsiTheme="majorHAnsi"/>
        </w:rPr>
        <w:t xml:space="preserve"> </w:t>
      </w:r>
      <w:r w:rsidR="00705720">
        <w:rPr>
          <w:rFonts w:asciiTheme="majorHAnsi" w:hAnsiTheme="majorHAnsi"/>
        </w:rPr>
        <w:t>Galactomannan</w:t>
      </w:r>
      <w:r w:rsidR="00182D77" w:rsidRPr="0073162B">
        <w:rPr>
          <w:rFonts w:asciiTheme="majorHAnsi" w:hAnsiTheme="majorHAnsi"/>
        </w:rPr>
        <w:t xml:space="preserve"> is a </w:t>
      </w:r>
      <w:r w:rsidR="00705720" w:rsidRPr="00A106FC">
        <w:rPr>
          <w:rFonts w:asciiTheme="majorHAnsi" w:hAnsiTheme="majorHAnsi"/>
        </w:rPr>
        <w:t xml:space="preserve">soluble </w:t>
      </w:r>
      <w:r w:rsidR="00182D77" w:rsidRPr="0073162B">
        <w:rPr>
          <w:rFonts w:asciiTheme="majorHAnsi" w:hAnsiTheme="majorHAnsi"/>
        </w:rPr>
        <w:t xml:space="preserve">large molecular weight polysaccharide that is released from the surface of tissue-invasive forms of </w:t>
      </w:r>
      <w:r w:rsidR="00182D77" w:rsidRPr="0073162B">
        <w:rPr>
          <w:rFonts w:asciiTheme="majorHAnsi" w:hAnsiTheme="majorHAnsi"/>
          <w:i/>
          <w:iCs/>
        </w:rPr>
        <w:t xml:space="preserve">Aspergillus </w:t>
      </w:r>
      <w:r w:rsidR="00182D77" w:rsidRPr="0073162B">
        <w:rPr>
          <w:rFonts w:asciiTheme="majorHAnsi" w:hAnsiTheme="majorHAnsi"/>
        </w:rPr>
        <w:t>spp</w:t>
      </w:r>
      <w:r w:rsidR="002524FD">
        <w:rPr>
          <w:rFonts w:asciiTheme="majorHAnsi" w:hAnsiTheme="majorHAnsi"/>
        </w:rPr>
        <w:t>.</w:t>
      </w:r>
      <w:r w:rsidR="004D32CF">
        <w:rPr>
          <w:rFonts w:asciiTheme="majorHAnsi" w:hAnsiTheme="majorHAnsi"/>
        </w:rPr>
        <w:fldChar w:fldCharType="begin" w:fldLock="1"/>
      </w:r>
      <w:r w:rsidR="002C3C7E">
        <w:rPr>
          <w:rFonts w:asciiTheme="majorHAnsi" w:hAnsiTheme="majorHAnsi"/>
        </w:rPr>
        <w:instrText>ADDIN CSL_CITATION { "citationItems" : [ { "id" : "ITEM-1", "itemData" : { "author" : [ { "dropping-particle" : "", "family" : "Hope", "given" : "W W", "non-dropping-particle" : "", "parse-names" : false, "suffix" : "" }, { "dropping-particle" : "", "family" : "Walsh", "given" : "T J", "non-dropping-particle" : "", "parse-names" : false, "suffix" : "" }, { "dropping-particle" : "", "family" : "Denning", "given" : "D W", "non-dropping-particle" : "", "parse-names" : false, "suffix" : "" } ], "container-title" : "The Lancet infectious diseases", "id" : "ITEM-1", "issue" : "10", "issued" : { "date-parts" : [ [ "2005" ] ] }, "page" : "609-622", "publisher" : "Elsevier", "title" : "Laboratory diagnosis of invasive aspergillosis", "type" : "article-journal", "volume" : "5" }, "uris" : [ "http://www.mendeley.com/documents/?uuid=58a40c19-d670-41be-ad59-86faa4e5daf4" ] } ], "mendeley" : { "formattedCitation" : "&lt;sup&gt;37&lt;/sup&gt;", "plainTextFormattedCitation" : "37", "previouslyFormattedCitation" : "&lt;sup&gt;37&lt;/sup&gt;"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37</w:t>
      </w:r>
      <w:r w:rsidR="004D32CF">
        <w:rPr>
          <w:rFonts w:asciiTheme="majorHAnsi" w:hAnsiTheme="majorHAnsi"/>
        </w:rPr>
        <w:fldChar w:fldCharType="end"/>
      </w:r>
      <w:r w:rsidR="006C7B86">
        <w:rPr>
          <w:rFonts w:asciiTheme="majorHAnsi" w:hAnsiTheme="majorHAnsi"/>
        </w:rPr>
        <w:t xml:space="preserve"> </w:t>
      </w:r>
      <w:r w:rsidR="002E53FB">
        <w:rPr>
          <w:rFonts w:asciiTheme="majorHAnsi" w:hAnsiTheme="majorHAnsi"/>
        </w:rPr>
        <w:t>Circulating concentrations of galactomannan provide</w:t>
      </w:r>
      <w:r w:rsidR="00182D77" w:rsidRPr="0073162B">
        <w:rPr>
          <w:rFonts w:asciiTheme="majorHAnsi" w:hAnsiTheme="majorHAnsi"/>
        </w:rPr>
        <w:t xml:space="preserve"> a robust and reproducible measure of </w:t>
      </w:r>
      <w:r w:rsidR="002E53FB">
        <w:rPr>
          <w:rFonts w:asciiTheme="majorHAnsi" w:hAnsiTheme="majorHAnsi"/>
        </w:rPr>
        <w:t xml:space="preserve">the </w:t>
      </w:r>
      <w:r w:rsidR="00182D77" w:rsidRPr="0073162B">
        <w:rPr>
          <w:rFonts w:asciiTheme="majorHAnsi" w:hAnsiTheme="majorHAnsi"/>
        </w:rPr>
        <w:t xml:space="preserve">fungal burden </w:t>
      </w:r>
      <w:r w:rsidR="002E53FB">
        <w:rPr>
          <w:rFonts w:asciiTheme="majorHAnsi" w:hAnsiTheme="majorHAnsi"/>
        </w:rPr>
        <w:t>with</w:t>
      </w:r>
      <w:r w:rsidR="00182D77" w:rsidRPr="0073162B">
        <w:rPr>
          <w:rFonts w:asciiTheme="majorHAnsi" w:hAnsiTheme="majorHAnsi"/>
        </w:rPr>
        <w:t>in tissue beds</w:t>
      </w:r>
      <w:r w:rsidR="0076797A">
        <w:rPr>
          <w:rFonts w:asciiTheme="majorHAnsi" w:hAnsiTheme="majorHAnsi"/>
        </w:rPr>
        <w:t>.</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"10.1128/AAC.00673-10", "ISBN" : "1098-6596 (Electronic)\\r0066-4804 (Linking)", "ISSN" : "1098-6596", "PMID" : "20713673", "abstract" : "Acute invasive pulmonary aspergillosis is a rapidly progressive and frequently lethal infection. Relatively little is known about early events in the pathogenesis and relationship between the cell wall biomarkers galactomannan and (1\u21923)-\u03b2-d-glucan. The consequences of delayed antifungal therapy are also poorly defined. A persistently neutropenic rabbit model of invasive pulmonary aspergillosis was used to describe the histopathology of early invasive pulmonary aspergillosis and the kinetics of galactomannan and (1\u21923)-\u03b2-d-glucan. The time course of both molecules was mathematically modeled by using a population methodology, and Monte Carlo simulations were performed. The effect of progressive delay in the administration of amphotericin B deoxycholate 1 mg/kg at 24, 48, 72, and 96 h postinoculation on fungal burden, lung weight, pulmonary infarct score, and survival was determined. Histopathology showed phagocytosis of conidia by pulmonary alveolar macrophages at 4 h postinoculation. At 12 to 24 h, there was a progressive focal inflammatory response with conidial germination and hyphal extension. Subsequently, hyphae invaded into the contiguous lung. Galactomannan and (1\u21923)-\u03b2-d-glucan had similar trajectories, and both exhibited considerable interindividual variability, which was reflected in Monte Carlo simulations. Concentrations of both molecules began to rise &lt;24 h postinoculation before pulmonary hemorrhagic infarction was present. Delays of 72 and 96 h in the administration of amphotericin B resulted in fungal burdens and lung weights that were indistinguishable from those of controls, respectively. Galactomannan and (1\u21923)-\u03b2-d-glucan have similar kinetics and are comparable biomarkers of early invasive pulmonary aspergillosis. Antifungal treatment at \u226548 h postinoculation is associated with suboptimal therapeutic outcomes.", "author" : [ { "dropping-particle" : "", "family" : "Hope", "given" : "William W.", "non-dropping-particle" : "", "parse-names" : false, "suffix" : "" }, { "dropping-particle" : "", "family" : "Petraitis", "given" : "Vidmantas", "non-dropping-particle" : "", "parse-names" : false, "suffix" : "" }, { "dropping-particle" : "", "family" : "Petraitiene", "given" : "Ruta", "non-dropping-particle" : "", "parse-names" : false, "suffix" : "" }, { "dropping-particle" : "", "family" : "Aghamolla", "given" : "Tamarra", "non-dropping-particle" : "", "parse-names" : false, "suffix" : "" }, { "dropping-particle" : "", "family" : "Bacher", "given" : "John", "non-dropping-particle" : "", "parse-names" : false, "suffix" : "" }, { "dropping-particle" : "", "family" : "Walsh", "given" : "Thomas J.", "non-dropping-particle" : "", "parse-names" : false, "suffix" : "" } ], "container-title" : "Antimicrobial agents and chemotherapy", "id" : "ITEM-1", "issue" : "11", "issued" : { "date-parts" : [ [ "2010", "11" ] ] }, "page" : "4879-86", "title" : "The initial 96 hours of invasive pulmonary aspergillosis: histopathology, comparative kinetics of galactomannan and (1-&gt;3) \u03b2-d-glucan and consequences of delayed antifungal therapy.", "type" : "article-journal", "volume" : "54" }, "uris" : [ "http://www.mendeley.com/documents/?uuid=1c11d468-5f7b-4692-b988-6ed67480f607" ] } ], "mendeley" : { "formattedCitation" : "&lt;sup&gt;33&lt;/sup&gt;", "plainTextFormattedCitation" : "33", "previouslyFormattedCitation" : "&lt;sup&gt;33&lt;/sup&gt;"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33</w:t>
      </w:r>
      <w:r w:rsidR="004D32CF">
        <w:rPr>
          <w:rFonts w:asciiTheme="majorHAnsi" w:hAnsiTheme="majorHAnsi"/>
        </w:rPr>
        <w:fldChar w:fldCharType="end"/>
      </w:r>
      <w:r w:rsidR="006C7B86">
        <w:rPr>
          <w:rFonts w:asciiTheme="majorHAnsi" w:hAnsiTheme="majorHAnsi"/>
        </w:rPr>
        <w:t xml:space="preserve"> </w:t>
      </w:r>
      <w:r w:rsidR="009F2E7D">
        <w:rPr>
          <w:rFonts w:asciiTheme="majorHAnsi" w:hAnsiTheme="majorHAnsi"/>
        </w:rPr>
        <w:t>A third approach</w:t>
      </w:r>
      <w:r w:rsidR="00C14940" w:rsidRPr="0012015D">
        <w:rPr>
          <w:rFonts w:asciiTheme="majorHAnsi" w:hAnsiTheme="majorHAnsi"/>
        </w:rPr>
        <w:t xml:space="preserve"> </w:t>
      </w:r>
      <w:r w:rsidR="009F2E7D">
        <w:rPr>
          <w:rFonts w:asciiTheme="majorHAnsi" w:hAnsiTheme="majorHAnsi"/>
        </w:rPr>
        <w:t>is</w:t>
      </w:r>
      <w:r w:rsidR="000B61EB" w:rsidRPr="00C93520">
        <w:rPr>
          <w:rFonts w:asciiTheme="majorHAnsi" w:hAnsiTheme="majorHAnsi"/>
        </w:rPr>
        <w:t xml:space="preserve"> use survival as the </w:t>
      </w:r>
      <w:r w:rsidR="000B61EB" w:rsidRPr="007A3B11">
        <w:rPr>
          <w:rFonts w:asciiTheme="majorHAnsi" w:hAnsiTheme="majorHAnsi"/>
        </w:rPr>
        <w:t>primary</w:t>
      </w:r>
      <w:r w:rsidR="000B61EB" w:rsidRPr="003141EE">
        <w:rPr>
          <w:rFonts w:asciiTheme="majorHAnsi" w:hAnsiTheme="majorHAnsi"/>
        </w:rPr>
        <w:t xml:space="preserve"> </w:t>
      </w:r>
      <w:r w:rsidR="000B61EB" w:rsidRPr="00E76CEC">
        <w:rPr>
          <w:rFonts w:asciiTheme="majorHAnsi" w:hAnsiTheme="majorHAnsi"/>
        </w:rPr>
        <w:t>pharmacodynamic endpoint</w:t>
      </w:r>
      <w:r w:rsidR="0076797A">
        <w:rPr>
          <w:rFonts w:asciiTheme="majorHAnsi" w:hAnsiTheme="majorHAnsi"/>
        </w:rPr>
        <w:t>.</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"10.1128/AAC.00980-12", "ISSN" : "1098-6596", "PMID" : "23183435", "abstract" : "Voriconazole is the recommended drug of first choice to treat infections caused by Aspergillus fumigatus. The efficacy of voriconazole might be hampered by the emergence of azole resistance. However, the combination of voriconazole with anidulafungin could improve therapeutic outcomes in azole-resistant invasive aspergillosis (IA). The in vitro interaction between voriconazole and anidulafungin was determined against voriconazole-susceptible and voriconazole-resistant (substitutions in the cyp51A gene, including single point [M220I and G54W] and tandem repeat [34-bp tandem repeat in the promoter region of the cyp51A gene in combination with substitutions at codon L98 and 46-bp tandem repeat in the promoter region of the cyp51A gene in combination with mutation at codons Y121 and T289] mutations) clinical A. fumigatus isolates using a checkerboard microdilution method with spectrophotometric analysis and a viability-based XTT {2,3-bis(2-methoxy-4-nitro-5-sulfophenyl)-5-[(phenylamino)carbonyl]-2H-tetrazolium hydroxide} assay within 2 h of exposure after 24 and 48 h of incubation at 35 \u00b0C to 37 \u00b0C. Fractional inhibitory concentration (FIC) indexes (FICis) were determined using different MIC endpoints and Bliss independence analysis performed based on the response surface calculation of the no-drug interaction. Significant synergistic interactions obtained based on measuring the FIC index were dependent on the MIC endpoint, in which FICs were inversely related to voriconazole and anidulafungin MICs and were influenced by the CYP51A genotype. A statistically significant difference was observed between FIC indexes of isolates harboring tandem repeat mutations and wild-type controls (P = 0.006 by one-way analysis of variance [ANOVA]), indicating that synergy is decreased in azole-resistant strains. Our results indicated that a combination of voriconazole and anidulafungin might be effective against infections caused by both azole-susceptible and azole-resistant A. fumigatus isolates, but the combination could possibly be less effective in voriconazole-resistant strains with high MICs. Studies in vivo and in vitro-in vivo correlation investigations are required to validate the potential synergy of voriconazole and anidulafungin.", "author" : [ { "dropping-particle" : "", "family" : "Seyedmousavi", "given" : "Seyedmojtaba", "non-dropping-particle" : "", "parse-names" : false, "suffix" : "" }, { "dropping-particle" : "", "family" : "Meletiadis", "given" : "Joseph", "non-dropping-particle" : "", "parse-names" : false, "suffix" : "" }, { "dropping-particle" : "", "family" : "Melchers", "given" : "Willem J G", "non-dropping-particle" : "", "parse-names" : false, "suffix" : "" }, { "dropping-particle" : "", "family" : "Rijs", "given" : "Antonius J M M", "non-dropping-particle" : "", "parse-names" : false, "suffix" : "" }, { "dropping-particle" : "", "family" : "Mouton", "given" : "Johan W", "non-dropping-particle" : "", "parse-names" : false, "suffix" : "" }, { "dropping-particle" : "", "family" : "Verweij", "given" : "Paul E", "non-dropping-particle" : "", "parse-names" : false, "suffix" : "" } ], "container-title" : "Antimicrobial agents and chemotherapy", "id" : "ITEM-1", "issue" : "2", "issued" : { "date-parts" : [ [ "2013", "2" ] ] }, "page" : "796-803", "title" : "In vitro interaction of voriconazole and anidulafungin against triazole-resistant Aspergillus fumigatus.", "type" : "article-journal", "volume" : "57" }, "uris" : [ "http://www.mendeley.com/documents/?uuid=e1a74b7a-ffca-4788-a433-e81d5e434911" ] }, { "id" : "ITEM-2", "itemData" : { "DOI" : "10.1128/AAC.01430-12", "ISSN" : "00664804", "PMID" : "23114773", "abstract" : "Azole resistance is an emerging increasing problem in Aspergillus fumigatus that results in treatment failure. Alternative treatments may improve the therapeutic outcome in patients with azole-resistant invasive aspergillosis (IA). Little is known about the in vivo efficacy of the echinocandin anidulafungin (AFG) in IA. The in vivo efficacy of 2.5, 5, 10, and 20 mg/kg of body weight AFG was assessed against two clinical Aspergillus fumigatus isolates with identical AFG minimum effective concentrations (MECs; 0.03 mg/liter) in a murine model of IA: a wild-type voriconazole (VCZ)-susceptible (VCZ(s)) A. fumigatus isolate (AZN 8196) and a VCZ-resistant (VCZ(r)) A. fumigatus isolate (V52-35) harboring the TR(34)/L98H resistance mechanism (substitution at codon L98 in combination with a 34-bp tandem repeat in the promoter region of the CYP51A gene). The pharmacokinetics of AFG were also assessed for each dose. Increasing doses increased survival for both isolates in a manner dependent on the AFG dose level (R(2) = 0.99 and 0.95, respectively) up to a maximum of 72.7% and 45.45% for the VCZ(s) and VCZ(r) isolates, respectively. The area under the concentration-time curve (AUC) correlated significantly with the dose in a linear fashion over the entire dosing range (R(2) = 0.86). The Hill equation with a variable slope fitted the relationship between the 24-h AUC/MEC ratio and 14-day survival well (R(2) = 0.87; P &lt; 0.05). The 50% effective AUC/MEC for total AFG was 126.5 (95% confidence interval, 79.09 to 202.03). AFG treatment improved the survival of mice in a dose-dependent manner; however, a maximal response was not achieved with either isolate even in those treated with the highest AFG dose.", "author" : [ { "dropping-particle" : "", "family" : "Seyedmousavi", "given" : "Seyedmojtaba", "non-dropping-particle" : "", "parse-names" : false, "suffix" : "" }, { "dropping-particle" : "", "family" : "Br\u00fcggemann", "given" : "Roger J M", "non-dropping-particle" : "", "parse-names" : false, "suffix" : "" }, { "dropping-particle" : "", "family" : "Melchers", "given" : "Willem J G", "non-dropping-particle" : "", "parse-names" : false, "suffix" : "" }, { "dropping-particle" : "", "family" : "Verweij", "given" : "Paul E.", "non-dropping-particle" : "", "parse-names" : false, "suffix" : "" }, { "dropping-particle" : "", "family" : "Mouton", "given" : "Johan W.", "non-dropping-particle" : "", "parse-names" : false, "suffix" : "" } ], "container-title" : "Antimicrobial Agents and Chemotherapy", "id" : "ITEM-2", "issue" : "1", "issued" : { "date-parts" : [ [ "2013" ] ] }, "page" : "303-308", "title" : "Pharmacodynamics of anidulafungin against clinical Aspergillus fumigatus isolates in a nonneutropenic murine model of disseminated aspergillosis", "type" : "article-journal", "volume" : "57" }, "uris" : [ "http://www.mendeley.com/documents/?uuid=c56d54fc-8bfb-4822-bee0-6134ac8fdc97" ] } ], "mendeley" : { "formattedCitation" : "&lt;sup&gt;38,39&lt;/sup&gt;", "plainTextFormattedCitation" : "38,39", "previouslyFormattedCitation" : "&lt;sup&gt;38,39&lt;/sup&gt;"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38,39</w:t>
      </w:r>
      <w:r w:rsidR="004D32CF">
        <w:rPr>
          <w:rFonts w:asciiTheme="majorHAnsi" w:hAnsiTheme="majorHAnsi"/>
        </w:rPr>
        <w:fldChar w:fldCharType="end"/>
      </w:r>
      <w:r w:rsidR="006C7B86">
        <w:rPr>
          <w:rFonts w:asciiTheme="majorHAnsi" w:hAnsiTheme="majorHAnsi"/>
        </w:rPr>
        <w:t xml:space="preserve"> </w:t>
      </w:r>
    </w:p>
    <w:p w14:paraId="4846AD40" w14:textId="24D5A3E4" w:rsidR="0048183F" w:rsidRPr="001709B6" w:rsidRDefault="0048183F" w:rsidP="007A2846">
      <w:pPr>
        <w:pStyle w:val="Default"/>
        <w:spacing w:line="276" w:lineRule="auto"/>
        <w:rPr>
          <w:rFonts w:asciiTheme="majorHAnsi" w:hAnsiTheme="majorHAnsi"/>
        </w:rPr>
      </w:pPr>
      <w:r w:rsidRPr="0002034D">
        <w:rPr>
          <w:rFonts w:asciiTheme="majorHAnsi" w:hAnsiTheme="majorHAnsi"/>
        </w:rPr>
        <w:tab/>
      </w:r>
      <w:r w:rsidR="00436F30" w:rsidRPr="00705720">
        <w:rPr>
          <w:rFonts w:asciiTheme="majorHAnsi" w:hAnsiTheme="majorHAnsi"/>
        </w:rPr>
        <w:t>A</w:t>
      </w:r>
      <w:r w:rsidRPr="00705720">
        <w:rPr>
          <w:rFonts w:asciiTheme="majorHAnsi" w:hAnsiTheme="majorHAnsi"/>
        </w:rPr>
        <w:t xml:space="preserve"> rabbit model</w:t>
      </w:r>
      <w:r w:rsidR="00436F30" w:rsidRPr="00705720">
        <w:rPr>
          <w:rFonts w:asciiTheme="majorHAnsi" w:hAnsiTheme="majorHAnsi"/>
        </w:rPr>
        <w:t xml:space="preserve"> of IPA has been used to characteri</w:t>
      </w:r>
      <w:r w:rsidR="009163B5">
        <w:rPr>
          <w:rFonts w:asciiTheme="majorHAnsi" w:hAnsiTheme="majorHAnsi"/>
        </w:rPr>
        <w:t>z</w:t>
      </w:r>
      <w:r w:rsidR="00436F30" w:rsidRPr="00705720">
        <w:rPr>
          <w:rFonts w:asciiTheme="majorHAnsi" w:hAnsiTheme="majorHAnsi"/>
        </w:rPr>
        <w:t xml:space="preserve">e </w:t>
      </w:r>
      <w:r w:rsidR="00342629">
        <w:rPr>
          <w:rFonts w:asciiTheme="majorHAnsi" w:hAnsiTheme="majorHAnsi"/>
        </w:rPr>
        <w:t>most</w:t>
      </w:r>
      <w:r w:rsidR="00A053EF">
        <w:rPr>
          <w:rFonts w:asciiTheme="majorHAnsi" w:hAnsiTheme="majorHAnsi"/>
        </w:rPr>
        <w:t xml:space="preserve"> of the anti-</w:t>
      </w:r>
      <w:r w:rsidR="00A053EF" w:rsidRPr="0073162B">
        <w:rPr>
          <w:rFonts w:asciiTheme="majorHAnsi" w:hAnsiTheme="majorHAnsi"/>
          <w:i/>
        </w:rPr>
        <w:t>Aspergillus</w:t>
      </w:r>
      <w:r w:rsidR="00A053EF">
        <w:rPr>
          <w:rFonts w:asciiTheme="majorHAnsi" w:hAnsiTheme="majorHAnsi"/>
        </w:rPr>
        <w:t xml:space="preserve"> </w:t>
      </w:r>
      <w:r w:rsidR="00436F30" w:rsidRPr="00705720">
        <w:rPr>
          <w:rFonts w:asciiTheme="majorHAnsi" w:hAnsiTheme="majorHAnsi"/>
        </w:rPr>
        <w:t>agents that are currently licensed for clinical use.</w:t>
      </w:r>
      <w:r w:rsidR="006C7B86">
        <w:rPr>
          <w:rFonts w:asciiTheme="majorHAnsi" w:hAnsiTheme="majorHAnsi"/>
        </w:rPr>
        <w:t xml:space="preserve"> </w:t>
      </w:r>
      <w:r w:rsidR="004635C8" w:rsidRPr="00A053EF">
        <w:rPr>
          <w:rFonts w:asciiTheme="majorHAnsi" w:hAnsiTheme="majorHAnsi"/>
        </w:rPr>
        <w:t xml:space="preserve">More recently, this model has been used </w:t>
      </w:r>
      <w:r w:rsidR="002264FE">
        <w:rPr>
          <w:rFonts w:asciiTheme="majorHAnsi" w:hAnsiTheme="majorHAnsi"/>
        </w:rPr>
        <w:t xml:space="preserve">to </w:t>
      </w:r>
      <w:r w:rsidR="004635C8" w:rsidRPr="00A053EF">
        <w:rPr>
          <w:rFonts w:asciiTheme="majorHAnsi" w:hAnsiTheme="majorHAnsi"/>
        </w:rPr>
        <w:t>characteri</w:t>
      </w:r>
      <w:r w:rsidR="009163B5">
        <w:rPr>
          <w:rFonts w:asciiTheme="majorHAnsi" w:hAnsiTheme="majorHAnsi"/>
        </w:rPr>
        <w:t>z</w:t>
      </w:r>
      <w:r w:rsidR="004635C8" w:rsidRPr="00A053EF">
        <w:rPr>
          <w:rFonts w:asciiTheme="majorHAnsi" w:hAnsiTheme="majorHAnsi"/>
        </w:rPr>
        <w:t xml:space="preserve">e the PK-PD of the various formulations of amphotericin B, using </w:t>
      </w:r>
      <w:r w:rsidR="007948B4">
        <w:rPr>
          <w:rFonts w:asciiTheme="majorHAnsi" w:hAnsiTheme="majorHAnsi"/>
        </w:rPr>
        <w:t>galactomannan</w:t>
      </w:r>
      <w:r w:rsidR="004635C8" w:rsidRPr="00A053EF">
        <w:rPr>
          <w:rFonts w:asciiTheme="majorHAnsi" w:hAnsiTheme="majorHAnsi"/>
        </w:rPr>
        <w:t xml:space="preserve"> as the primary pharmacodynamic endpoint</w:t>
      </w:r>
      <w:r w:rsidR="00F065DC">
        <w:rPr>
          <w:rFonts w:asciiTheme="majorHAnsi" w:hAnsiTheme="majorHAnsi"/>
        </w:rPr>
        <w:t>.</w:t>
      </w:r>
      <w:r w:rsidR="004D32CF">
        <w:rPr>
          <w:rFonts w:asciiTheme="majorHAnsi" w:hAnsiTheme="majorHAnsi"/>
        </w:rPr>
        <w:fldChar w:fldCharType="begin" w:fldLock="1"/>
      </w:r>
      <w:r w:rsidR="000B527C">
        <w:rPr>
          <w:rFonts w:asciiTheme="majorHAnsi" w:hAnsiTheme="majorHAnsi"/>
        </w:rPr>
        <w:instrText>ADDIN CSL_CITATION { "citationItems" : [ { "id" : "ITEM-1", "itemData" : { "DOI" : "10.1128/AAC.04723-14", "ISSN" : "1098-6596", "PMID" : "25712363", "abstract" : "Amphotericin B is a first-line agent for the treatment of invasive aspergillosis. However, relatively little is known about the pharmacodynamics of amphotericin B for invasive pulmonary aspergillosis. We studied the pharmacokinetics (PK) and pharmacodynamics (PD) of amphotericin B deoxycholate (DAMB), amphotericin B lipid complex (ABLC), and liposomal amphotericin B (LAMB) by using a neutropenic-rabbit model of invasive pulmonary aspergillosis. The study endpoints were lung weight, infarct score, and levels of circulating galactomannan and (1\u21923)-\u03b2-D-glucan. Mathematical models were used to describe PK-PD relationships. The experimental findings were bridged to humans by Monte Carlo simulation. Each amphotericin B formulation induced a dose-dependent decline in study endpoints. Near-maximal antifungal activity was evident with DAMB at 1 mg/kg/day and ABLC and LAMB at 5 mg/kg/day. The bridging study suggested that the \"average\" patient receiving LAMB at 3 mg/kg/day was predicted to have complete suppression of galactomannan and (1\u21923)-\u03b2-D-glucan levels, but 20 to 30% of the patients still had a galactomannan index of &gt;1 and (1\u21923)-\u03b2-D-glucan levels of &gt;60 pg/ml. All formulations of amphotericin B induce a dose-dependent reduction in markers of lung injury and circulating fungus-related biomarkers. A clinical dosage of liposomal amphotericin B of 3 mg/kg/day is predicted to cause complete suppression of galactomannan and (1\u21923)-\u03b2-D-glucan levels in the majority of patients.", "author"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"Z.", "given" : "Al-Nakeeb", "non-dropping-particle" : "", "parse-names" : false, "suffix" : "" }, { "dropping-particle" : "", "family" : "V.", "given" : "Petraitis", "non-dropping-particle" : "", "parse-names" : false, "suffix" : "" }, { "dropping-particle" : "", "family" : "J.", "given" : "Goodwin", "non-dropping-particle" : "", "parse-names" : false, "suffix" : "" }, { "dropping-particle" : "", "family" : "R.", "given" : "Petraitiene", "non-dropping-particle" : "", "parse-names" : false, "suffix" : "" }, { "dropping-particle" : "", "family" : "T.J.", "given" : "Walsh", "non-dropping-particle" : "", "parse-names" : false, "suffix" : "" }, { "dropping-particle" : "", "family" : "W.W.", "given" : "Hope", "non-dropping-particle" : "", "parse-names" : false, "suffix" :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"Nakeeb", "given" : "Zaid", "non-dropping-particle" : "Al",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"container-title" : "Antimicrobial agents and chemotherapy", "id" : "ITEM-1", "issue" : "5", "issued" : { "date-parts" : [ [ "2015", "2", "23" ] ] }, "page" : "2735-2745", "title" : "Pharmacodynamics of amphotericin B deoxycholate, amphotericin B lipid complex, and liposomal amphotericin B against Aspergillus fumigatus", "type" : "article-journal", "volume" : "59" }, "uris" : [ "http://www.mendeley.com/documents/?uuid=894639f5-9928-4921-b1b7-b722deba7d81" ] } ], "mendeley" : { "formattedCitation" : "&lt;sup&gt;7&lt;/sup&gt;", "plainTextFormattedCitation" : "7", "previouslyFormattedCitation" : "&lt;sup&gt;7&lt;/sup&gt;" }, "properties" : { "noteIndex" : 0 }, "schema" : "https://github.com/citation-style-language/schema/raw/master/csl-citation.json" }</w:instrText>
      </w:r>
      <w:r w:rsidR="004D32CF">
        <w:rPr>
          <w:rFonts w:asciiTheme="majorHAnsi" w:hAnsiTheme="majorHAnsi"/>
        </w:rPr>
        <w:fldChar w:fldCharType="separate"/>
      </w:r>
      <w:r w:rsidR="00A511D3" w:rsidRPr="00A511D3">
        <w:rPr>
          <w:rFonts w:asciiTheme="majorHAnsi" w:hAnsiTheme="majorHAnsi"/>
          <w:noProof/>
          <w:vertAlign w:val="superscript"/>
        </w:rPr>
        <w:t>7</w:t>
      </w:r>
      <w:r w:rsidR="004D32CF">
        <w:rPr>
          <w:rFonts w:asciiTheme="majorHAnsi" w:hAnsiTheme="majorHAnsi"/>
        </w:rPr>
        <w:fldChar w:fldCharType="end"/>
      </w:r>
      <w:r w:rsidR="006C7B86">
        <w:rPr>
          <w:rFonts w:asciiTheme="majorHAnsi" w:hAnsiTheme="majorHAnsi"/>
        </w:rPr>
        <w:t xml:space="preserve"> </w:t>
      </w:r>
      <w:r w:rsidR="004635C8" w:rsidRPr="00A053EF">
        <w:rPr>
          <w:rFonts w:asciiTheme="majorHAnsi" w:hAnsiTheme="majorHAnsi"/>
        </w:rPr>
        <w:t xml:space="preserve">The rabbit model has the advantage of </w:t>
      </w:r>
      <w:r w:rsidR="0017735C" w:rsidRPr="00A053EF">
        <w:rPr>
          <w:rFonts w:asciiTheme="majorHAnsi" w:hAnsiTheme="majorHAnsi"/>
        </w:rPr>
        <w:t>enabling repeated sampling from the same animal as occurs in patients (as opposed to the murine model where a destructive design is required).</w:t>
      </w:r>
      <w:r w:rsidR="006C7B86">
        <w:rPr>
          <w:rFonts w:asciiTheme="majorHAnsi" w:hAnsiTheme="majorHAnsi"/>
        </w:rPr>
        <w:t xml:space="preserve"> </w:t>
      </w:r>
      <w:r w:rsidR="008B2109" w:rsidRPr="00A053EF">
        <w:rPr>
          <w:rFonts w:asciiTheme="majorHAnsi" w:hAnsiTheme="majorHAnsi"/>
        </w:rPr>
        <w:t xml:space="preserve">A limitation of the rabbit </w:t>
      </w:r>
      <w:r w:rsidR="00070BAE" w:rsidRPr="00A053EF">
        <w:rPr>
          <w:rFonts w:asciiTheme="majorHAnsi" w:hAnsiTheme="majorHAnsi"/>
        </w:rPr>
        <w:t xml:space="preserve">model </w:t>
      </w:r>
      <w:r w:rsidR="008B2109" w:rsidRPr="00A053EF">
        <w:rPr>
          <w:rFonts w:asciiTheme="majorHAnsi" w:hAnsiTheme="majorHAnsi"/>
        </w:rPr>
        <w:t xml:space="preserve">is the expense, meaning that it is generally not possible to </w:t>
      </w:r>
      <w:r w:rsidR="00261ED3" w:rsidRPr="00A053EF">
        <w:rPr>
          <w:rFonts w:asciiTheme="majorHAnsi" w:hAnsiTheme="majorHAnsi"/>
        </w:rPr>
        <w:t xml:space="preserve">perform extensive analyses with multiple </w:t>
      </w:r>
      <w:r w:rsidR="00261ED3" w:rsidRPr="00BD587E">
        <w:rPr>
          <w:rFonts w:asciiTheme="majorHAnsi" w:hAnsiTheme="majorHAnsi"/>
        </w:rPr>
        <w:t xml:space="preserve">strains and </w:t>
      </w:r>
      <w:r w:rsidR="003A2F4F" w:rsidRPr="00BD587E">
        <w:rPr>
          <w:rFonts w:asciiTheme="majorHAnsi" w:hAnsiTheme="majorHAnsi"/>
        </w:rPr>
        <w:t xml:space="preserve">different </w:t>
      </w:r>
      <w:r w:rsidR="00261ED3" w:rsidRPr="00527CEF">
        <w:rPr>
          <w:rFonts w:asciiTheme="majorHAnsi" w:hAnsiTheme="majorHAnsi"/>
        </w:rPr>
        <w:t>experimental conditions</w:t>
      </w:r>
      <w:r w:rsidR="003A2F4F" w:rsidRPr="00674AF0">
        <w:rPr>
          <w:rFonts w:asciiTheme="majorHAnsi" w:hAnsiTheme="majorHAnsi"/>
        </w:rPr>
        <w:t>.</w:t>
      </w:r>
      <w:r w:rsidR="006C7B86">
        <w:rPr>
          <w:rFonts w:asciiTheme="majorHAnsi" w:hAnsiTheme="majorHAnsi"/>
        </w:rPr>
        <w:t xml:space="preserve"> </w:t>
      </w:r>
      <w:r w:rsidR="003A2F4F" w:rsidRPr="00674AF0">
        <w:rPr>
          <w:rFonts w:asciiTheme="majorHAnsi" w:hAnsiTheme="majorHAnsi"/>
        </w:rPr>
        <w:t xml:space="preserve">Rather, the model can be used to confirm critical findings </w:t>
      </w:r>
      <w:r w:rsidR="001709B6">
        <w:rPr>
          <w:rFonts w:asciiTheme="majorHAnsi" w:hAnsiTheme="majorHAnsi"/>
        </w:rPr>
        <w:t>obtained from</w:t>
      </w:r>
      <w:r w:rsidR="003A2F4F" w:rsidRPr="001709B6">
        <w:rPr>
          <w:rFonts w:asciiTheme="majorHAnsi" w:hAnsiTheme="majorHAnsi"/>
        </w:rPr>
        <w:t xml:space="preserve"> </w:t>
      </w:r>
      <w:r w:rsidR="001709B6">
        <w:rPr>
          <w:rFonts w:asciiTheme="majorHAnsi" w:hAnsiTheme="majorHAnsi"/>
        </w:rPr>
        <w:t>other models</w:t>
      </w:r>
      <w:r w:rsidR="003A2F4F" w:rsidRPr="001709B6">
        <w:rPr>
          <w:rFonts w:asciiTheme="majorHAnsi" w:hAnsiTheme="majorHAnsi"/>
        </w:rPr>
        <w:t xml:space="preserve"> </w:t>
      </w:r>
      <w:r w:rsidR="007B03F0" w:rsidRPr="001709B6">
        <w:rPr>
          <w:rFonts w:asciiTheme="majorHAnsi" w:hAnsiTheme="majorHAnsi"/>
        </w:rPr>
        <w:t xml:space="preserve">to ensure that </w:t>
      </w:r>
      <w:r w:rsidR="00951112" w:rsidRPr="001709B6">
        <w:rPr>
          <w:rFonts w:asciiTheme="majorHAnsi" w:hAnsiTheme="majorHAnsi"/>
        </w:rPr>
        <w:t xml:space="preserve">unanticipated </w:t>
      </w:r>
      <w:r w:rsidR="007B03F0" w:rsidRPr="001709B6">
        <w:rPr>
          <w:rFonts w:asciiTheme="majorHAnsi" w:hAnsiTheme="majorHAnsi"/>
        </w:rPr>
        <w:t xml:space="preserve">idiosyncrasies in that model </w:t>
      </w:r>
      <w:r w:rsidR="00951112" w:rsidRPr="001709B6">
        <w:rPr>
          <w:rFonts w:asciiTheme="majorHAnsi" w:hAnsiTheme="majorHAnsi"/>
        </w:rPr>
        <w:t>do not lead to biased and inappropriate estimates for patients</w:t>
      </w:r>
      <w:r w:rsidR="00437311" w:rsidRPr="001709B6">
        <w:rPr>
          <w:rFonts w:asciiTheme="majorHAnsi" w:hAnsiTheme="majorHAnsi"/>
        </w:rPr>
        <w:t>.</w:t>
      </w:r>
    </w:p>
    <w:p w14:paraId="5A713CD3" w14:textId="3D0E0D09" w:rsidR="00437311" w:rsidRPr="0045167E" w:rsidRDefault="00437311" w:rsidP="007A2846">
      <w:pPr>
        <w:pStyle w:val="Default"/>
        <w:spacing w:line="276" w:lineRule="auto"/>
        <w:rPr>
          <w:rFonts w:asciiTheme="majorHAnsi" w:hAnsiTheme="majorHAnsi"/>
        </w:rPr>
      </w:pPr>
      <w:r w:rsidRPr="00BD587E">
        <w:rPr>
          <w:rFonts w:asciiTheme="majorHAnsi" w:hAnsiTheme="majorHAnsi"/>
        </w:rPr>
        <w:tab/>
        <w:t xml:space="preserve">More recently, </w:t>
      </w:r>
      <w:r w:rsidR="00E828DC" w:rsidRPr="00BD587E">
        <w:rPr>
          <w:rFonts w:asciiTheme="majorHAnsi" w:hAnsiTheme="majorHAnsi"/>
        </w:rPr>
        <w:t xml:space="preserve">dynamic </w:t>
      </w:r>
      <w:r w:rsidR="00E828DC" w:rsidRPr="00284EF6">
        <w:rPr>
          <w:rFonts w:asciiTheme="majorHAnsi" w:hAnsiTheme="majorHAnsi"/>
          <w:i/>
        </w:rPr>
        <w:t>in vitro</w:t>
      </w:r>
      <w:r w:rsidR="00E828DC" w:rsidRPr="00BD587E">
        <w:rPr>
          <w:rFonts w:asciiTheme="majorHAnsi" w:hAnsiTheme="majorHAnsi"/>
        </w:rPr>
        <w:t xml:space="preserve"> model</w:t>
      </w:r>
      <w:r w:rsidR="00342629">
        <w:rPr>
          <w:rFonts w:asciiTheme="majorHAnsi" w:hAnsiTheme="majorHAnsi"/>
        </w:rPr>
        <w:t>s of IPA have</w:t>
      </w:r>
      <w:r w:rsidR="00E828DC" w:rsidRPr="00BD587E">
        <w:rPr>
          <w:rFonts w:asciiTheme="majorHAnsi" w:hAnsiTheme="majorHAnsi"/>
        </w:rPr>
        <w:t xml:space="preserve"> been developed that </w:t>
      </w:r>
      <w:r w:rsidR="002264FE">
        <w:rPr>
          <w:rFonts w:asciiTheme="majorHAnsi" w:hAnsiTheme="majorHAnsi"/>
        </w:rPr>
        <w:t>are</w:t>
      </w:r>
      <w:r w:rsidR="002264FE" w:rsidRPr="00BD587E">
        <w:rPr>
          <w:rFonts w:asciiTheme="majorHAnsi" w:hAnsiTheme="majorHAnsi"/>
        </w:rPr>
        <w:t xml:space="preserve"> </w:t>
      </w:r>
      <w:r w:rsidR="00FD08A2" w:rsidRPr="00BD587E">
        <w:rPr>
          <w:rFonts w:asciiTheme="majorHAnsi" w:hAnsiTheme="majorHAnsi"/>
        </w:rPr>
        <w:t xml:space="preserve">an extension of the hollow fibre infection model that is </w:t>
      </w:r>
      <w:r w:rsidR="00256C8E" w:rsidRPr="00527CEF">
        <w:rPr>
          <w:rFonts w:asciiTheme="majorHAnsi" w:hAnsiTheme="majorHAnsi"/>
        </w:rPr>
        <w:t xml:space="preserve">used to characterise the PK-PD of </w:t>
      </w:r>
      <w:r w:rsidR="004E1A65" w:rsidRPr="00674AF0">
        <w:rPr>
          <w:rFonts w:asciiTheme="majorHAnsi" w:hAnsiTheme="majorHAnsi"/>
        </w:rPr>
        <w:t xml:space="preserve">many </w:t>
      </w:r>
      <w:r w:rsidR="00256C8E" w:rsidRPr="0042628D">
        <w:rPr>
          <w:rFonts w:asciiTheme="majorHAnsi" w:hAnsiTheme="majorHAnsi"/>
        </w:rPr>
        <w:t>antibacterial agents against Gram</w:t>
      </w:r>
      <w:r w:rsidR="002264FE">
        <w:rPr>
          <w:rFonts w:asciiTheme="majorHAnsi" w:hAnsiTheme="majorHAnsi"/>
        </w:rPr>
        <w:t>-</w:t>
      </w:r>
      <w:r w:rsidR="00256C8E" w:rsidRPr="0042628D">
        <w:rPr>
          <w:rFonts w:asciiTheme="majorHAnsi" w:hAnsiTheme="majorHAnsi"/>
        </w:rPr>
        <w:t>positive and Gram</w:t>
      </w:r>
      <w:r w:rsidR="002264FE">
        <w:rPr>
          <w:rFonts w:asciiTheme="majorHAnsi" w:hAnsiTheme="majorHAnsi"/>
        </w:rPr>
        <w:t>-</w:t>
      </w:r>
      <w:r w:rsidR="00256C8E" w:rsidRPr="0042628D">
        <w:rPr>
          <w:rFonts w:asciiTheme="majorHAnsi" w:hAnsiTheme="majorHAnsi"/>
        </w:rPr>
        <w:t>negative pathogens</w:t>
      </w:r>
      <w:r w:rsidR="00342629">
        <w:rPr>
          <w:rFonts w:asciiTheme="majorHAnsi" w:hAnsiTheme="majorHAnsi"/>
        </w:rPr>
        <w:t xml:space="preserve"> </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"10.1093/infdis/jis372", "ISBN" : "1537-6613 (Electronic) 0022-1899 (Linking)", "PMID" : "22634880", "abstract" : "BACKGROUND: Voriconazole is a first-line agent for the treatment of invasive pulmonary aspergillosis (IPA). There are increasing reports of Aspergillus fumigatus isolates with reduced susceptibility to voriconazole. METHODS: An in vitro dynamic model of IPA was developed that enabled simulation of human-like voriconazole pharmacokinetics. Galactomannan was used as a biomarker. The pharmacodynamics of voriconazole against wild-type and 3 resistant strains of A. fumigatus were defined. The results were bridged to humans to provide decision support for setting breakpoints for voriconazole using Clinical Laboratory Standards Institute (CLSI) and European Committee of Antimicrobial Susceptibility Testing (EUCAST) methodologies. RESULTS: Isolates with higher minimum inhibitory concentrations (MICs) required higher area under the concentration time curves (AUCs) to achieve suppression of galactomannan. Using CLSI and EUCAST methodologies, the AUC:MIC values that achieved suppression of galactomannan were 55 and 32.1, respectively. Using CLSI and EUCAST methodologies, the trough concentration:MIC values that achieved suppression of galactomannan were 1.68 and 1, respectively. Potential CLSI breakpoints for voriconazole are &lt;/= 0.5 mg/L for susceptible and &gt;1 mg/L for resistant. Potential EUCAST breakpoints for voriconazole are &lt;/=1 mg/L for susceptible and &gt;2 mg/L for resistant. CONCLUSIONS: This dynamic model of IPA is a useful tool to address many remaining questions related to antifungal treatment of Aspergillus spp.", "author" : [ { "dropping-particle" : "", "family" : "Jeans", "given" : "A R", "non-dropping-particle" : "", "parse-names" : false, "suffix" : "" }, { "dropping-particle" : "", "family" : "Howard", "given" : "S J", "non-dropping-particle" : "", "parse-names" : false, "suffix" : "" }, { "dropping-particle" : "", "family" : "Al-Nakeeb", "given" : "Z", "non-dropping-particle" : "", "parse-names" : false, "suffix" : "" }, { "dropping-particle" : "", "family" : "Goodwin", "given" : "J", "non-dropping-particle" : "", "parse-names" : false, "suffix" : "" }, { "dropping-particle" : "", "family" : "Gregson", "given" : "L", "non-dropping-particle" : "", "parse-names" : false, "suffix" : "" }, { "dropping-particle" : "", "family" : "Majithiya", "given" : "J B", "non-dropping-particle" : "", "parse-names" : false, "suffix" : "" }, { "dropping-particle" : "", "family" : "Lass-Florl", "given" : "C", "non-dropping-particle" : "", "parse-names" : false, "suffix" : "" }, { "dropping-particle" : "", "family" : "Cuenca-Estrella", "given" : "M", "non-dropping-particle" : "", "parse-names" : false, "suffix" : "" }, { "dropping-particle" : "", "family" : "Arendrup", "given" : "M C", "non-dropping-particle" : "", "parse-names" : false, "suffix" : "" }, { "dropping-particle" : "", "family" : "Warn", "given" : "P A", "non-dropping-particle" : "", "parse-names" : false, "suffix" : "" }, { "dropping-particle" : "", "family" : "Hope", "given" : "W W", "non-dropping-particle" : "", "parse-names" : false, "suffix" : "" } ], "container-title" : "J Infect Dis", "id" : "ITEM-1", "issue" : "3", "issued" : { "date-parts" : [ [ "2012" ] ] }, "language" : "eng", "note" : "Jeans, Adam R\nHoward, Susan J\nAl-Nakeeb, Zaid\nGoodwin, Joanne\nGregson, Lea\nMajithiya, Jayesh B\nLass-Florl, Cornelia\nCuenca-Estrella, Manuel\nArendrup, Maiken C\nWarn, Peter A\nHope, William W\nJ Infect Dis. 2012 Aug 1;206(3):442-52. doi: 10.1093/infdis/jis372. Epub 2012 May 25.", "page" : "442-452", "title" : "Pharmacodynamics of voriconazole in a dynamic in vitro model of invasive pulmonary aspergillosis: implications for in vitro susceptibility breakpoints", "type" : "article-journal", "volume" : "206" }, "uris" : [ "http://www.mendeley.com/documents/?uuid=422260d9-d1ad-4e5e-928b-6be2e600aae7" ] }, { "id" : "ITEM-2", "itemData" : { "DOI" : "10.1128/AAC.00662-11", "ISBN" : "0066-4804", "ISSN" : "1098-6596", "PMID" : "22064546", "abstract" : "In conventional \u039c\u0399C tests, fungi are exposed to constant drug concentrations, whereas in vivo, fungi are exposed to changing drug concentrations. Therefore, we developed a new in vitro pharmacokinetic/pharmacodynamic model where human plasma pharmacokinetics of standard doses of 1 mg/kg amphotericin B, 4 mg/kg voriconazole, and 1 mg/kg caspofungin were simulated and their pharmacodynamic characteristics were determined against three clinical isolates of Aspergillus fumigatus, Aspergillus flavus, and Aspergillus terreus with identical MICs (1 mg/liter for amphotericin B, 0.5 mg/liter for voriconazole) and minimum effective concentrations (0.5 mg/liter for caspofungin). This new model consists of an internal compartment (a 10-ml dialysis tube made out of a semipermeable cellulose membrane allowing the free diffusion of antifungals but not galactomannan) inoculated with Aspergillus conidia and placed inside an external compartment (a 700-ml glass beaker) whose content is diluted after the addition of antifungal drugs by a peristaltic pump at the same rate as the clearance of the antifungal drugs in human plasma. Fungal growth was assessed by galactomannan production. Despite demonstrating the same MICs, amphotericin B completely inhibited (100%) A. fumigatus but not A. flavus and A. terreus, whose growth was delayed for 7.53 and 22.8 h, respectively. Voriconazole partially inhibited A. fumigatus (49.5%) and \u0391. flavus (27.9%) but not \u0391. terreus; it delayed their growth by 3.99 h (A. fumigatus) and 5.37 h (\u0391. terreus). Caspofungin did not alter galactomannan production in all of the species but A. terreus. The new model simulated human pharmacokinetics of antifungal drugs and revealed important pharmacodynamic differences in their activity.", "author" : [ { "dropping-particle" : "", "family" : "Meletiadis", "given" : "Joseph", "non-dropping-particle" : "", "parse-names" : false, "suffix" : "" }, { "dropping-particle" : "", "family" : "Al-Saigh", "given" : "Rafal", "non-dropping-particle" : "", "parse-names" : false, "suffix" : "" }, { "dropping-particle" : "", "family" : "Velegraki", "given" : "Aristea", "non-dropping-particle" : "", "parse-names" : false, "suffix" : "" }, { "dropping-particle" : "", "family" : "Walsh", "given" : "Thomas J", "non-dropping-particle" : "", "parse-names" : false, "suffix" : "" }, { "dropping-particle" : "", "family" : "Roilides", "given" : "Emmanuel", "non-dropping-particle" : "", "parse-names" : false, "suffix" : "" }, { "dropping-particle" : "", "family" : "Zerva", "given" : "Loukia", "non-dropping-particle" : "", "parse-names" : false, "suffix" : "" } ], "container-title" : "Antimicrobial agents and chemotherapy", "id" : "ITEM-2", "issue" : "1", "issued" : { "date-parts" : [ [ "2012" ] ] }, "page" : "403-10", "title" : "Pharmacodynamic effects of simulated standard doses of antifungal drugs against Aspergillus species in a new in vitro pharmacokinetic/pharmacodynamic model.", "type" : "article-journal", "volume" : "56" }, "uris" : [ "http://www.mendeley.com/documents/?uuid=c97c9d6b-68c8-4088-bab6-cf93b3d6a033" ] } ], "mendeley" : { "formattedCitation" : "&lt;sup&gt;40,41&lt;/sup&gt;", "plainTextFormattedCitation" : "40,41", "previouslyFormattedCitation" : "&lt;sup&gt;40,41&lt;/sup&gt;"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40,41</w:t>
      </w:r>
      <w:r w:rsidR="004D32CF">
        <w:rPr>
          <w:rFonts w:asciiTheme="majorHAnsi" w:hAnsiTheme="majorHAnsi"/>
        </w:rPr>
        <w:fldChar w:fldCharType="end"/>
      </w:r>
      <w:r w:rsidR="00256C8E" w:rsidRPr="0042628D">
        <w:rPr>
          <w:rFonts w:asciiTheme="majorHAnsi" w:hAnsiTheme="majorHAnsi"/>
        </w:rPr>
        <w:t>.</w:t>
      </w:r>
      <w:r w:rsidR="006C7B86">
        <w:rPr>
          <w:rFonts w:asciiTheme="majorHAnsi" w:hAnsiTheme="majorHAnsi"/>
        </w:rPr>
        <w:t xml:space="preserve"> </w:t>
      </w:r>
      <w:r w:rsidR="00080DCF">
        <w:rPr>
          <w:rFonts w:asciiTheme="majorHAnsi" w:hAnsiTheme="majorHAnsi"/>
        </w:rPr>
        <w:t>The</w:t>
      </w:r>
      <w:r w:rsidR="00F7767C" w:rsidRPr="00D709E1">
        <w:rPr>
          <w:rFonts w:asciiTheme="majorHAnsi" w:hAnsiTheme="majorHAnsi"/>
        </w:rPr>
        <w:t xml:space="preserve"> model </w:t>
      </w:r>
      <w:r w:rsidR="00080DCF">
        <w:rPr>
          <w:rFonts w:asciiTheme="majorHAnsi" w:hAnsiTheme="majorHAnsi"/>
        </w:rPr>
        <w:t xml:space="preserve">of Jeans </w:t>
      </w:r>
      <w:r w:rsidR="00080DCF" w:rsidRPr="0073162B">
        <w:rPr>
          <w:rFonts w:asciiTheme="majorHAnsi" w:hAnsiTheme="majorHAnsi"/>
          <w:i/>
        </w:rPr>
        <w:t>et al</w:t>
      </w:r>
      <w:r w:rsidR="004D32CF">
        <w:rPr>
          <w:rFonts w:asciiTheme="majorHAnsi" w:hAnsiTheme="majorHAnsi"/>
        </w:rPr>
        <w:fldChar w:fldCharType="begin" w:fldLock="1"/>
      </w:r>
      <w:r w:rsidR="002C3C7E">
        <w:rPr>
          <w:rFonts w:asciiTheme="majorHAnsi" w:hAnsiTheme="majorHAnsi"/>
        </w:rPr>
        <w:instrText>ADDIN CSL_CITATION { "citationItems" : [ { "id" : "ITEM-1", "itemData" : { "DOI" : "10.1093/infdis/jis372", "ISBN" : "1537-6613 (Electronic) 0022-1899 (Linking)", "PMID" : "22634880", "abstract" : "BACKGROUND: Voriconazole is a first-line agent for the treatment of invasive pulmonary aspergillosis (IPA). There are increasing reports of Aspergillus fumigatus isolates with reduced susceptibility to voriconazole. METHODS: An in vitro dynamic model of IPA was developed that enabled simulation of human-like voriconazole pharmacokinetics. Galactomannan was used as a biomarker. The pharmacodynamics of voriconazole against wild-type and 3 resistant strains of A. fumigatus were defined. The results were bridged to humans to provide decision support for setting breakpoints for voriconazole using Clinical Laboratory Standards Institute (CLSI) and European Committee of Antimicrobial Susceptibility Testing (EUCAST) methodologies. RESULTS: Isolates with higher minimum inhibitory concentrations (MICs) required higher area under the concentration time curves (AUCs) to achieve suppression of galactomannan. Using CLSI and EUCAST methodologies, the AUC:MIC values that achieved suppression of galactomannan were 55 and 32.1, respectively. Using CLSI and EUCAST methodologies, the trough concentration:MIC values that achieved suppression of galactomannan were 1.68 and 1, respectively. Potential CLSI breakpoints for voriconazole are &lt;/= 0.5 mg/L for susceptible and &gt;1 mg/L for resistant. Potential EUCAST breakpoints for voriconazole are &lt;/=1 mg/L for susceptible and &gt;2 mg/L for resistant. CONCLUSIONS: This dynamic model of IPA is a useful tool to address many remaining questions related to antifungal treatment of Aspergillus spp.", "author" : [ { "dropping-particle" : "", "family" : "Jeans", "given" : "A R", "non-dropping-particle" : "", "parse-names" : false, "suffix" : "" }, { "dropping-particle" : "", "family" : "Howard", "given" : "S J", "non-dropping-particle" : "", "parse-names" : false, "suffix" : "" }, { "dropping-particle" : "", "family" : "Al-Nakeeb", "given" : "Z", "non-dropping-particle" : "", "parse-names" : false, "suffix" : "" }, { "dropping-particle" : "", "family" : "Goodwin", "given" : "J", "non-dropping-particle" : "", "parse-names" : false, "suffix" : "" }, { "dropping-particle" : "", "family" : "Gregson", "given" : "L", "non-dropping-particle" : "", "parse-names" : false, "suffix" : "" }, { "dropping-particle" : "", "family" : "Majithiya", "given" : "J B", "non-dropping-particle" : "", "parse-names" : false, "suffix" : "" }, { "dropping-particle" : "", "family" : "Lass-Florl", "given" : "C", "non-dropping-particle" : "", "parse-names" : false, "suffix" : "" }, { "dropping-particle" : "", "family" : "Cuenca-Estrella", "given" : "M", "non-dropping-particle" : "", "parse-names" : false, "suffix" : "" }, { "dropping-particle" : "", "family" : "Arendrup", "given" : "M C", "non-dropping-particle" : "", "parse-names" : false, "suffix" : "" }, { "dropping-particle" : "", "family" : "Warn", "given" : "P A", "non-dropping-particle" : "", "parse-names" : false, "suffix" : "" }, { "dropping-particle" : "", "family" : "Hope", "given" : "W W", "non-dropping-particle" : "", "parse-names" : false, "suffix" : "" } ], "container-title" : "J Infect Dis", "id" : "ITEM-1", "issue" : "3", "issued" : { "date-parts" : [ [ "2012" ] ] }, "language" : "eng", "note" : "Jeans, Adam R\nHoward, Susan J\nAl-Nakeeb, Zaid\nGoodwin, Joanne\nGregson, Lea\nMajithiya, Jayesh B\nLass-Florl, Cornelia\nCuenca-Estrella, Manuel\nArendrup, Maiken C\nWarn, Peter A\nHope, William W\nJ Infect Dis. 2012 Aug 1;206(3):442-52. doi: 10.1093/infdis/jis372. Epub 2012 May 25.", "page" : "442-452", "title" : "Pharmacodynamics of voriconazole in a dynamic in vitro model of invasive pulmonary aspergillosis: implications for in vitro susceptibility breakpoints", "type" : "article-journal", "volume" : "206" }, "uris" : [ "http://www.mendeley.com/documents/?uuid=422260d9-d1ad-4e5e-928b-6be2e600aae7" ] } ], "mendeley" : { "formattedCitation" : "&lt;sup&gt;40&lt;/sup&gt;", "plainTextFormattedCitation" : "40", "previouslyFormattedCitation" : "&lt;sup&gt;40&lt;/sup&gt;" }, "properties" : { "noteIndex" : 0 }, "schema" : "https://github.com/citation-style-language/schema/raw/master/csl-citation.json" }</w:instrText>
      </w:r>
      <w:r w:rsidR="004D32CF">
        <w:rPr>
          <w:rFonts w:asciiTheme="majorHAnsi" w:hAnsiTheme="majorHAnsi"/>
        </w:rPr>
        <w:fldChar w:fldCharType="separate"/>
      </w:r>
      <w:r w:rsidR="00CD7C8F" w:rsidRPr="00CD7C8F">
        <w:rPr>
          <w:rFonts w:asciiTheme="majorHAnsi" w:hAnsiTheme="majorHAnsi"/>
          <w:noProof/>
          <w:vertAlign w:val="superscript"/>
        </w:rPr>
        <w:t>40</w:t>
      </w:r>
      <w:r w:rsidR="004D32CF">
        <w:rPr>
          <w:rFonts w:asciiTheme="majorHAnsi" w:hAnsiTheme="majorHAnsi"/>
        </w:rPr>
        <w:fldChar w:fldCharType="end"/>
      </w:r>
      <w:r w:rsidR="00A57C9D">
        <w:rPr>
          <w:rFonts w:asciiTheme="majorHAnsi" w:hAnsiTheme="majorHAnsi"/>
        </w:rPr>
        <w:t xml:space="preserve"> </w:t>
      </w:r>
      <w:r w:rsidR="00F7767C" w:rsidRPr="00D709E1">
        <w:rPr>
          <w:rFonts w:asciiTheme="majorHAnsi" w:hAnsiTheme="majorHAnsi"/>
        </w:rPr>
        <w:t xml:space="preserve">uses </w:t>
      </w:r>
      <w:r w:rsidR="004E1A65" w:rsidRPr="00F5614B">
        <w:rPr>
          <w:rFonts w:asciiTheme="majorHAnsi" w:hAnsiTheme="majorHAnsi"/>
        </w:rPr>
        <w:t xml:space="preserve">a cellular bilayer </w:t>
      </w:r>
      <w:r w:rsidR="00F54A15" w:rsidRPr="00965DE5">
        <w:rPr>
          <w:rFonts w:asciiTheme="majorHAnsi" w:hAnsiTheme="majorHAnsi"/>
        </w:rPr>
        <w:t xml:space="preserve">of alveolar epithelial cells and endothelial cells </w:t>
      </w:r>
      <w:r w:rsidR="00F54A15" w:rsidRPr="00152B86">
        <w:rPr>
          <w:rFonts w:asciiTheme="majorHAnsi" w:hAnsiTheme="majorHAnsi"/>
        </w:rPr>
        <w:t xml:space="preserve">grown </w:t>
      </w:r>
      <w:r w:rsidR="00F54A15" w:rsidRPr="00251C76">
        <w:rPr>
          <w:rFonts w:asciiTheme="majorHAnsi" w:hAnsiTheme="majorHAnsi"/>
        </w:rPr>
        <w:t xml:space="preserve">on a semipermeable polyester </w:t>
      </w:r>
      <w:r w:rsidR="00F54A15" w:rsidRPr="00D6738A">
        <w:rPr>
          <w:rFonts w:asciiTheme="majorHAnsi" w:hAnsiTheme="majorHAnsi"/>
        </w:rPr>
        <w:t>membrane and</w:t>
      </w:r>
      <w:r w:rsidR="00F54A15" w:rsidRPr="009F7E7D">
        <w:rPr>
          <w:rFonts w:asciiTheme="majorHAnsi" w:hAnsiTheme="majorHAnsi"/>
        </w:rPr>
        <w:t xml:space="preserve"> </w:t>
      </w:r>
      <w:r w:rsidR="00F7767C" w:rsidRPr="009F7E7D">
        <w:rPr>
          <w:rFonts w:asciiTheme="majorHAnsi" w:hAnsiTheme="majorHAnsi"/>
        </w:rPr>
        <w:t xml:space="preserve">galactomannan as the primary </w:t>
      </w:r>
      <w:r w:rsidR="00F7767C" w:rsidRPr="009B01D6">
        <w:rPr>
          <w:rFonts w:asciiTheme="majorHAnsi" w:hAnsiTheme="majorHAnsi"/>
        </w:rPr>
        <w:t>pharmacodynamic</w:t>
      </w:r>
      <w:r w:rsidR="00F7767C" w:rsidRPr="008E39F9">
        <w:rPr>
          <w:rFonts w:asciiTheme="majorHAnsi" w:hAnsiTheme="majorHAnsi"/>
        </w:rPr>
        <w:t xml:space="preserve"> </w:t>
      </w:r>
      <w:r w:rsidR="00F7767C" w:rsidRPr="007F5A65">
        <w:rPr>
          <w:rFonts w:asciiTheme="majorHAnsi" w:hAnsiTheme="majorHAnsi"/>
        </w:rPr>
        <w:t>readout</w:t>
      </w:r>
      <w:r w:rsidR="00F54A15" w:rsidRPr="00EE6C2F">
        <w:rPr>
          <w:rFonts w:asciiTheme="majorHAnsi" w:hAnsiTheme="majorHAnsi"/>
        </w:rPr>
        <w:t>.</w:t>
      </w:r>
      <w:r w:rsidR="006C7B86">
        <w:rPr>
          <w:rFonts w:asciiTheme="majorHAnsi" w:hAnsiTheme="majorHAnsi"/>
        </w:rPr>
        <w:t xml:space="preserve"> </w:t>
      </w:r>
      <w:r w:rsidR="00F54A15" w:rsidRPr="00EE6C2F">
        <w:rPr>
          <w:rFonts w:asciiTheme="majorHAnsi" w:hAnsiTheme="majorHAnsi"/>
        </w:rPr>
        <w:t xml:space="preserve">An advantage of the model is </w:t>
      </w:r>
      <w:r w:rsidR="00A9599D" w:rsidRPr="00CA70B0">
        <w:rPr>
          <w:rFonts w:asciiTheme="majorHAnsi" w:hAnsiTheme="majorHAnsi"/>
        </w:rPr>
        <w:t xml:space="preserve">that it mimics the structure and function of the human lung and the </w:t>
      </w:r>
      <w:r w:rsidR="00A9599D" w:rsidRPr="00B40F3C">
        <w:rPr>
          <w:rFonts w:asciiTheme="majorHAnsi" w:hAnsiTheme="majorHAnsi"/>
        </w:rPr>
        <w:t>important events in the early stage of tissue invasion and pathogenesis.</w:t>
      </w:r>
    </w:p>
    <w:p w14:paraId="45375CEB" w14:textId="77777777" w:rsidR="00390CD5" w:rsidRDefault="00390CD5" w:rsidP="007A2846">
      <w:pPr>
        <w:widowControl w:val="0"/>
        <w:autoSpaceDE w:val="0"/>
        <w:autoSpaceDN w:val="0"/>
        <w:adjustRightInd w:val="0"/>
        <w:spacing w:line="276" w:lineRule="auto"/>
        <w:rPr>
          <w:rFonts w:asciiTheme="majorHAnsi" w:hAnsiTheme="majorHAnsi"/>
        </w:rPr>
      </w:pPr>
    </w:p>
    <w:p w14:paraId="77F47D48" w14:textId="77777777" w:rsidR="00390CD5" w:rsidRPr="007E2A5E" w:rsidRDefault="00390CD5" w:rsidP="007A2846">
      <w:pPr>
        <w:pStyle w:val="ListParagraph"/>
        <w:widowControl w:val="0"/>
        <w:numPr>
          <w:ilvl w:val="0"/>
          <w:numId w:val="25"/>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Bridging from the laboratory to the clinic</w:t>
      </w:r>
    </w:p>
    <w:p w14:paraId="79773228" w14:textId="119FD763" w:rsidR="00084745" w:rsidRPr="007E2A5E" w:rsidRDefault="00084745"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783FBB">
        <w:rPr>
          <w:rFonts w:asciiTheme="majorHAnsi" w:hAnsiTheme="majorHAnsi" w:cs="Times New Roman"/>
          <w:lang w:val="en-US"/>
        </w:rPr>
        <w:t xml:space="preserve">There are fewer dose fractionation studies with </w:t>
      </w:r>
      <w:r w:rsidR="00783FBB" w:rsidRPr="00783FBB">
        <w:rPr>
          <w:rFonts w:asciiTheme="majorHAnsi" w:hAnsiTheme="majorHAnsi" w:cs="Times New Roman"/>
          <w:i/>
          <w:lang w:val="en-US"/>
        </w:rPr>
        <w:t>Aspergillus</w:t>
      </w:r>
      <w:r w:rsidR="00783FBB">
        <w:rPr>
          <w:rFonts w:asciiTheme="majorHAnsi" w:hAnsiTheme="majorHAnsi" w:cs="Times New Roman"/>
          <w:lang w:val="en-US"/>
        </w:rPr>
        <w:t xml:space="preserve"> spp. compared with </w:t>
      </w:r>
      <w:r w:rsidR="00783FBB" w:rsidRPr="00783FBB">
        <w:rPr>
          <w:rFonts w:asciiTheme="majorHAnsi" w:hAnsiTheme="majorHAnsi" w:cs="Times New Roman"/>
          <w:i/>
          <w:lang w:val="en-US"/>
        </w:rPr>
        <w:t>Candida</w:t>
      </w:r>
      <w:r w:rsidR="00783FBB">
        <w:rPr>
          <w:rFonts w:asciiTheme="majorHAnsi" w:hAnsiTheme="majorHAnsi" w:cs="Times New Roman"/>
          <w:lang w:val="en-US"/>
        </w:rPr>
        <w:t xml:space="preserve"> spp. </w:t>
      </w:r>
      <w:r w:rsidR="005B6089">
        <w:rPr>
          <w:rFonts w:asciiTheme="majorHAnsi" w:hAnsiTheme="majorHAnsi" w:cs="Times New Roman"/>
          <w:lang w:val="en-US"/>
        </w:rPr>
        <w:t>C</w:t>
      </w:r>
      <w:r w:rsidR="004457A9">
        <w:rPr>
          <w:rFonts w:asciiTheme="majorHAnsi" w:hAnsiTheme="majorHAnsi" w:cs="Times New Roman"/>
          <w:lang w:val="en-US"/>
        </w:rPr>
        <w:t>aspofungin</w:t>
      </w:r>
      <w:r w:rsidR="005B6089">
        <w:rPr>
          <w:rFonts w:asciiTheme="majorHAnsi" w:hAnsiTheme="majorHAnsi" w:cs="Times New Roman"/>
          <w:lang w:val="en-US"/>
        </w:rPr>
        <w:t>, amphotericin B</w:t>
      </w:r>
      <w:r w:rsidR="004457A9">
        <w:rPr>
          <w:rFonts w:asciiTheme="majorHAnsi" w:hAnsiTheme="majorHAnsi" w:cs="Times New Roman"/>
          <w:lang w:val="en-US"/>
        </w:rPr>
        <w:t xml:space="preserve"> </w:t>
      </w:r>
      <w:r w:rsidR="006A7CDB">
        <w:rPr>
          <w:rFonts w:asciiTheme="majorHAnsi" w:hAnsiTheme="majorHAnsi" w:cs="Times New Roman"/>
          <w:lang w:val="en-US"/>
        </w:rPr>
        <w:t xml:space="preserve">and isavuconazole display concentration-dependent antifungal activity against </w:t>
      </w:r>
      <w:r w:rsidR="006A7CDB" w:rsidRPr="005B6089">
        <w:rPr>
          <w:rFonts w:asciiTheme="majorHAnsi" w:hAnsiTheme="majorHAnsi" w:cs="Times New Roman"/>
          <w:i/>
          <w:lang w:val="en-US"/>
        </w:rPr>
        <w:t xml:space="preserve">Aspergillus </w:t>
      </w:r>
      <w:r w:rsidR="005B6089" w:rsidRPr="005B6089">
        <w:rPr>
          <w:rFonts w:asciiTheme="majorHAnsi" w:hAnsiTheme="majorHAnsi" w:cs="Times New Roman"/>
          <w:i/>
          <w:lang w:val="en-US"/>
        </w:rPr>
        <w:t>fumigatus</w:t>
      </w:r>
      <w:r w:rsidR="001A03E8">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"author" : [ { "dropping-particle" : "", "family" : "Wiederhold", "given" : "Nathan P", "non-dropping-particle" : "", "parse-names" : false, "suffix" : "" }, { "dropping-particle" : "", "family" : "Kontoyiannis", "given" : "Dimitrios P", "non-dropping-particle" : "", "parse-names" : false, "suffix" : "" }, { "dropping-particle" : "", "family" : "Chi", "given" : "Jingduan", "non-dropping-particle" : "", "parse-names" : false, "suffix" : "" }, { "dropping-particle" : "", "family" : "Prince", "given" : "Randall A", "non-dropping-particle" : "", "parse-names" : false, "suffix" : "" }, { "dropping-particle" : "", "family" : "Tam", "given" : "Vincent H", "non-dropping-particle" : "", "parse-names" : false, "suffix" : "" }, { "dropping-particle" : "", "family" : "Lewis", "given" : "Russell E", "non-dropping-particle" : "", "parse-names" : false, "suffix" : "" } ], "id" : "ITEM-1", "issue" : "8", "issued" : { "date-parts" : [ [ "2004" ] ] }, "page" : "1464-1471", "title" : "Pharmacodynamics of caspofungin in a murine model of invasive pulmonary aspergillosis : evidence of concentration-dependent activity", "type" : "article-journal", "volume" : "190" }, "uris" : [ "http://www.mendeley.com/documents/?uuid=cddf0f59-9cbe-438e-a1b4-399728ced1cc" ] }, { "id" : "ITEM-2", "itemData" : { "PMID" : "16436698", "abstract" : "We conducted a dose fractionation study of neutropenic, corticosteroid-immunosuppressed mice to characterize the pharmacodynamic/pharmacokinetic (PK/PD) parameter most closely associated with amphotericin B (AMB) efficacy in the treatment of invasive pulmonary aspergillosis. Pharmacokinetic parameter estimates were determined by a nonparametric population pharmacokinetic analysis of plasma drug concentrations following single intraperitoneal doses (0.25, 1.0, and 3.0 mg/kg of body weight) of amphotericin B deoxycholate. Three dosage groups (0.5, 0.75, and 1.0 mg/kg) fractionated into three dosing intervals (every 8 h [q8h], q24h, or q72h) were tested to discriminate between the PK/PD parameters (the ratio of maximum concentration of drug in serum [Cmax]/MIC, the ratio of area under the concentration-time curve/MIC, and percentage of time above MIC) most closely associated with AMB efficacy over a range of clinically achievable exposures in humans. The efficacy of each regimen was determined by quantitative PCR and survival. Reductions in pulmonary fungal burden and improvements in survival were maximized at the highest peak plasma concentrations in each of the dosage groups. Reductions in pulmonary fungal burden and increased survival were most closely associated with Cmax/MIC, with maximal activity occurring as the Cmax/MIC approached 2.4. In our model, Cmax/MIC is the PK/PD parameter most closely associated with efficacy in the treatment of invasive pulmonary aspergillosis. These data predict that less frequently administered, higher dosages of AMB would optimize efficacy.", "author" : [ { "dropping-particle" : "", "family" : "Wiederhold", "given" : "N P", "non-dropping-particle" : "", "parse-names" : false, "suffix" : "" }, { "dropping-particle" : "", "family" : "Tam", "given" : "V H", "non-dropping-particle" : "", "parse-names" : false, "suffix" : "" }, { "dropping-particle" : "", "family" : "Chi", "given" : "J", "non-dropping-particle" : "", "parse-names" : false, "suffix" : "" }, { "dropping-particle" : "", "family" : "Prince", "given" : "R A", "non-dropping-particle" : "", "parse-names" : false, "suffix" : "" }, { "dropping-particle" : "", "family" : "Kontoyiannis", "given" : "D P", "non-dropping-particle" : "", "parse-names" : false, "suffix" : "" }, { "dropping-particle" : "", "family" : "Lewis", "given" : "R E", "non-dropping-particle" : "", "parse-names" : false, "suffix" : "" } ], "container-title" : "Antimicrob Agents Chemother", "id" : "ITEM-2", "issue" : "2", "issued" : { "date-parts" : [ [ "2006" ] ] }, "note" : "0066-4804 (Print)\nJournal Article", "page" : "469-473", "title" : "Pharmacodynamic activity of amphotericin B deoxycholate is associated with peak plasma concentrations in a neutropenic murine model of invasive pulmonary aspergillosis", "type" : "article-journal", "volume" : "50" }, "uris" : [ "http://www.mendeley.com/documents/?uuid=ce24e911-1045-4088-a660-9dbe77a61cef" ] }, { "id" : "ITEM-3", "itemData" : { "DOI" : "10.1128/AAC.04907-14", "ISSN" : "0066-4804", "author" : [ { "dropping-particle" : "", "family" : "Seyedmousavi", "given" : "Seyedmojtaba", "non-dropping-particle" : "", "parse-names" : false, "suffix" : "" }, { "dropping-particle" : "", "family" : "Br\u00fcggemann", "given" : "Roger J. M.", "non-dropping-particle" : "", "parse-names" : false, "suffix" : "" }, { "dropping-particle" : "", "family" : "Meis", "given" : "Jacques F.", "non-dropping-particle" : "", "parse-names" : false, "suffix" : "" }, { "dropping-particle" : "", "family" : "Melchers", "given" : "Willem J. G.", "non-dropping-particle" : "", "parse-names" : false, "suffix" : "" }, { "dropping-particle" : "", "family" : "Verweij", "given" : "Paul E.", "non-dropping-particle" : "", "parse-names" : false, "suffix" : "" }, { "dropping-particle" : "", "family" : "Mouton", "given" : "Johan W.", "non-dropping-particle" : "", "parse-names" : false, "suffix" : "" } ], "container-title" : "Antimicrobial Agents and Chemotherapy", "id" : "ITEM-3", "issue" : "5", "issued" : { "date-parts" : [ [ "2015" ] ] }, "page" : "2855-2866", "title" : "Pharmacodynamics of Isavuconazole in an Aspergillus fumigatus Mouse Infection Model", "type" : "article-journal", "volume" : "59" }, "uris" : [ "http://www.mendeley.com/documents/?uuid=63555c15-13ba-4956-abd6-a2bac144d758" ] } ], "mendeley" : { "formattedCitation" : "&lt;sup&gt;36,42,43&lt;/sup&gt;", "plainTextFormattedCitation" : "36,42,43", "previouslyFormattedCitation" : "&lt;sup&gt;36,42,43&lt;/sup&gt;"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36,42,43</w:t>
      </w:r>
      <w:r w:rsidR="004D32CF">
        <w:rPr>
          <w:rFonts w:asciiTheme="majorHAnsi" w:hAnsiTheme="majorHAnsi" w:cs="Times New Roman"/>
          <w:lang w:val="en-US"/>
        </w:rPr>
        <w:fldChar w:fldCharType="end"/>
      </w:r>
      <w:r w:rsidR="009817B7">
        <w:rPr>
          <w:rFonts w:asciiTheme="majorHAnsi" w:hAnsiTheme="majorHAnsi" w:cs="Times New Roman"/>
          <w:lang w:val="en-US"/>
        </w:rPr>
        <w:t xml:space="preserve"> </w:t>
      </w:r>
      <w:r w:rsidR="005B6089">
        <w:rPr>
          <w:rFonts w:asciiTheme="majorHAnsi" w:hAnsiTheme="majorHAnsi" w:cs="Times New Roman"/>
          <w:lang w:val="en-US"/>
        </w:rPr>
        <w:t xml:space="preserve">which is consistent with their </w:t>
      </w:r>
      <w:r w:rsidR="002B2489">
        <w:rPr>
          <w:rFonts w:asciiTheme="majorHAnsi" w:hAnsiTheme="majorHAnsi" w:cs="Times New Roman"/>
          <w:lang w:val="en-US"/>
        </w:rPr>
        <w:t>pattern</w:t>
      </w:r>
      <w:r w:rsidR="005B6089">
        <w:rPr>
          <w:rFonts w:asciiTheme="majorHAnsi" w:hAnsiTheme="majorHAnsi" w:cs="Times New Roman"/>
          <w:lang w:val="en-US"/>
        </w:rPr>
        <w:t xml:space="preserve"> of activity against</w:t>
      </w:r>
      <w:r w:rsidR="009817B7">
        <w:rPr>
          <w:rFonts w:asciiTheme="majorHAnsi" w:hAnsiTheme="majorHAnsi" w:cs="Times New Roman"/>
          <w:lang w:val="en-US"/>
        </w:rPr>
        <w:t xml:space="preserve"> </w:t>
      </w:r>
      <w:r w:rsidR="009817B7" w:rsidRPr="005B6089">
        <w:rPr>
          <w:rFonts w:asciiTheme="majorHAnsi" w:hAnsiTheme="majorHAnsi" w:cs="Times New Roman"/>
          <w:i/>
          <w:lang w:val="en-US"/>
        </w:rPr>
        <w:t>Candida</w:t>
      </w:r>
      <w:r w:rsidR="005B6089" w:rsidRPr="005B6089">
        <w:rPr>
          <w:rFonts w:asciiTheme="majorHAnsi" w:hAnsiTheme="majorHAnsi" w:cs="Times New Roman"/>
          <w:i/>
          <w:lang w:val="en-US"/>
        </w:rPr>
        <w:t xml:space="preserve"> albicans</w:t>
      </w:r>
      <w:r w:rsidR="009817B7">
        <w:rPr>
          <w:rFonts w:asciiTheme="majorHAnsi" w:hAnsiTheme="majorHAnsi" w:cs="Times New Roman"/>
          <w:lang w:val="en-US"/>
        </w:rPr>
        <w:t>.</w:t>
      </w:r>
      <w:r w:rsidR="006A7CDB">
        <w:rPr>
          <w:rFonts w:asciiTheme="majorHAnsi" w:hAnsiTheme="majorHAnsi" w:cs="Times New Roman"/>
          <w:lang w:val="en-US"/>
        </w:rPr>
        <w:t xml:space="preserve">  </w:t>
      </w:r>
      <w:r w:rsidR="00A66C35">
        <w:rPr>
          <w:rFonts w:asciiTheme="majorHAnsi" w:hAnsiTheme="majorHAnsi" w:cs="Times New Roman"/>
          <w:lang w:val="en-US"/>
        </w:rPr>
        <w:t xml:space="preserve">In other cases the relevant pharmacodynamic index derived in studies with one pathogen (e.g. </w:t>
      </w:r>
      <w:r w:rsidR="00A66C35" w:rsidRPr="006E56BC">
        <w:rPr>
          <w:rFonts w:asciiTheme="majorHAnsi" w:hAnsiTheme="majorHAnsi" w:cs="Times New Roman"/>
          <w:i/>
          <w:lang w:val="en-US"/>
        </w:rPr>
        <w:t>Candida</w:t>
      </w:r>
      <w:r w:rsidR="00A66C35">
        <w:rPr>
          <w:rFonts w:asciiTheme="majorHAnsi" w:hAnsiTheme="majorHAnsi" w:cs="Times New Roman"/>
          <w:lang w:val="en-US"/>
        </w:rPr>
        <w:t xml:space="preserve">) is often assumed to apply to </w:t>
      </w:r>
      <w:r w:rsidR="00A66C35" w:rsidRPr="002B2489">
        <w:rPr>
          <w:rFonts w:asciiTheme="majorHAnsi" w:hAnsiTheme="majorHAnsi" w:cs="Times New Roman"/>
          <w:i/>
          <w:lang w:val="en-US"/>
        </w:rPr>
        <w:t>Aspergillus</w:t>
      </w:r>
      <w:r w:rsidR="00A66C35">
        <w:rPr>
          <w:rFonts w:asciiTheme="majorHAnsi" w:hAnsiTheme="majorHAnsi" w:cs="Times New Roman"/>
          <w:lang w:val="en-US"/>
        </w:rPr>
        <w:t xml:space="preserve"> </w:t>
      </w:r>
      <w:r w:rsidR="002B2489">
        <w:rPr>
          <w:rFonts w:asciiTheme="majorHAnsi" w:hAnsiTheme="majorHAnsi" w:cs="Times New Roman"/>
          <w:lang w:val="en-US"/>
        </w:rPr>
        <w:t xml:space="preserve">spp. </w:t>
      </w:r>
      <w:r w:rsidR="00A66C35">
        <w:rPr>
          <w:rFonts w:asciiTheme="majorHAnsi" w:hAnsiTheme="majorHAnsi" w:cs="Times New Roman"/>
          <w:lang w:val="en-US"/>
        </w:rPr>
        <w:t xml:space="preserve">without formally assessing whether this is </w:t>
      </w:r>
      <w:r w:rsidR="00514D08">
        <w:rPr>
          <w:rFonts w:asciiTheme="majorHAnsi" w:hAnsiTheme="majorHAnsi" w:cs="Times New Roman"/>
          <w:lang w:val="en-US"/>
        </w:rPr>
        <w:t>the case</w:t>
      </w:r>
      <w:r w:rsidR="00A66C35">
        <w:rPr>
          <w:rFonts w:asciiTheme="majorHAnsi" w:hAnsiTheme="majorHAnsi" w:cs="Times New Roman"/>
          <w:lang w:val="en-US"/>
        </w:rPr>
        <w:t xml:space="preserve">. </w:t>
      </w:r>
      <w:r w:rsidR="000E1FBD">
        <w:rPr>
          <w:rFonts w:asciiTheme="majorHAnsi" w:hAnsiTheme="majorHAnsi" w:cs="Times New Roman"/>
          <w:lang w:val="en-US"/>
        </w:rPr>
        <w:t xml:space="preserve">There is </w:t>
      </w:r>
      <w:r w:rsidR="00B448FF">
        <w:rPr>
          <w:rFonts w:asciiTheme="majorHAnsi" w:hAnsiTheme="majorHAnsi" w:cs="Times New Roman"/>
          <w:lang w:val="en-US"/>
        </w:rPr>
        <w:t xml:space="preserve">significantly </w:t>
      </w:r>
      <w:r w:rsidR="000E1FBD">
        <w:rPr>
          <w:rFonts w:asciiTheme="majorHAnsi" w:hAnsiTheme="majorHAnsi" w:cs="Times New Roman"/>
          <w:lang w:val="en-US"/>
        </w:rPr>
        <w:t xml:space="preserve">less certainty about how to </w:t>
      </w:r>
      <w:r w:rsidR="00A66C35">
        <w:rPr>
          <w:rFonts w:asciiTheme="majorHAnsi" w:hAnsiTheme="majorHAnsi" w:cs="Times New Roman"/>
          <w:lang w:val="en-US"/>
        </w:rPr>
        <w:t xml:space="preserve">design and </w:t>
      </w:r>
      <w:r w:rsidR="002B2489">
        <w:rPr>
          <w:rFonts w:asciiTheme="majorHAnsi" w:hAnsiTheme="majorHAnsi" w:cs="Times New Roman"/>
          <w:lang w:val="en-US"/>
        </w:rPr>
        <w:t>analyze</w:t>
      </w:r>
      <w:r w:rsidR="000E1FBD">
        <w:rPr>
          <w:rFonts w:asciiTheme="majorHAnsi" w:hAnsiTheme="majorHAnsi" w:cs="Times New Roman"/>
          <w:lang w:val="en-US"/>
        </w:rPr>
        <w:t xml:space="preserve"> </w:t>
      </w:r>
      <w:r w:rsidR="002B2489">
        <w:rPr>
          <w:rFonts w:asciiTheme="majorHAnsi" w:hAnsiTheme="majorHAnsi" w:cs="Times New Roman"/>
          <w:lang w:val="en-US"/>
        </w:rPr>
        <w:t xml:space="preserve">dose fractionation studies for </w:t>
      </w:r>
      <w:r w:rsidR="000E1FBD" w:rsidRPr="004457A9">
        <w:rPr>
          <w:rFonts w:asciiTheme="majorHAnsi" w:hAnsiTheme="majorHAnsi" w:cs="Times New Roman"/>
          <w:i/>
          <w:lang w:val="en-US"/>
        </w:rPr>
        <w:t>Aspergillus</w:t>
      </w:r>
      <w:r w:rsidR="000E1FBD">
        <w:rPr>
          <w:rFonts w:asciiTheme="majorHAnsi" w:hAnsiTheme="majorHAnsi" w:cs="Times New Roman"/>
          <w:lang w:val="en-US"/>
        </w:rPr>
        <w:t xml:space="preserve"> </w:t>
      </w:r>
      <w:r w:rsidR="006703EE">
        <w:rPr>
          <w:rFonts w:asciiTheme="majorHAnsi" w:hAnsiTheme="majorHAnsi" w:cs="Times New Roman"/>
          <w:lang w:val="en-US"/>
        </w:rPr>
        <w:t xml:space="preserve">spp. </w:t>
      </w:r>
      <w:r w:rsidR="002B2489">
        <w:rPr>
          <w:rFonts w:asciiTheme="majorHAnsi" w:hAnsiTheme="majorHAnsi" w:cs="Times New Roman"/>
          <w:lang w:val="en-US"/>
        </w:rPr>
        <w:t>compared with bacteria and yeasts</w:t>
      </w:r>
      <w:r w:rsidR="008170E9">
        <w:rPr>
          <w:rFonts w:asciiTheme="majorHAnsi" w:hAnsiTheme="majorHAnsi" w:cs="Times New Roman"/>
          <w:lang w:val="en-US"/>
        </w:rPr>
        <w:t>, and this is an area of ongoing research</w:t>
      </w:r>
      <w:r w:rsidR="00B6105A">
        <w:rPr>
          <w:rFonts w:asciiTheme="majorHAnsi" w:hAnsiTheme="majorHAnsi" w:cs="Times New Roman"/>
          <w:lang w:val="en-US"/>
        </w:rPr>
        <w:t xml:space="preserve">. </w:t>
      </w:r>
      <w:r w:rsidR="008C12D5">
        <w:rPr>
          <w:rFonts w:asciiTheme="majorHAnsi" w:hAnsiTheme="majorHAnsi" w:cs="Times New Roman"/>
          <w:lang w:val="en-US"/>
        </w:rPr>
        <w:t xml:space="preserve">A recent study suggests </w:t>
      </w:r>
      <w:r w:rsidR="008C12D5">
        <w:rPr>
          <w:rFonts w:asciiTheme="majorHAnsi" w:hAnsiTheme="majorHAnsi" w:cs="Times New Roman"/>
          <w:lang w:val="en-US"/>
        </w:rPr>
        <w:lastRenderedPageBreak/>
        <w:t xml:space="preserve">that galactomannan may be used to </w:t>
      </w:r>
      <w:r w:rsidR="00136DA6">
        <w:rPr>
          <w:rFonts w:asciiTheme="majorHAnsi" w:hAnsiTheme="majorHAnsi" w:cs="Times New Roman"/>
          <w:lang w:val="en-US"/>
        </w:rPr>
        <w:t>distinguish different pharmacodynamic responses following dose fractionation experiments</w:t>
      </w:r>
      <w:r w:rsidR="001A03E8">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"abstract" : "M-394", "author" : [ { "dropping-particle" : "", "family" : "Hope", "given" : "William W", "non-dropping-particle" : "", "parse-names" : false, "suffix" : "" }, { "dropping-particle" : "", "family" : "Livermore", "given" : "Joanne", "non-dropping-particle" : "", "parse-names" : false, "suffix" : "" }, { "dropping-particle" : "", "family" : "Goodwin", "given" : "Joanne", "non-dropping-particle" : "", "parse-names" : false, "suffix" : "" }, { "dropping-particle" : "", "family" : "Whalley", "given" : "Sarah", "non-dropping-particle" : "", "parse-names" : false, "suffix" : "" }, { "dropping-particle" : "", "family" : "Johnson", "given" : "Adam", "non-dropping-particle" : "", "parse-names" : false, "suffix" : "" }, { "dropping-particle" : "", "family" : "McEntee", "given" : "Laura", "non-dropping-particle" : "", "parse-names" : false, "suffix" : "" }, { "dropping-particle" : "", "family" : "Kennedy", "given" : "Anthony", "non-dropping-particle" : "", "parse-names" : false, "suffix" : "" }, { "dropping-particle" : "", "family" : "Law", "given" : "Derek", "non-dropping-particle" : "", "parse-names" : false, "suffix" : "" }, { "dropping-particle" : "", "family" : "Birch", "given" : "Michael", "non-dropping-particle" : "", "parse-names" : false, "suffix" : "" }, { "dropping-particle" : "", "family" : "Rex", "given" : "John H", "non-dropping-particle" : "", "parse-names" : false, "suffix" : "" } ], "container-title" : "Interscience Conference on Antimicrobial Agents and Chemotherapy (ICAAC) San Diego, USA", "id" : "ITEM-1", "issued" : { "date-parts" : [ [ "2015" ] ] }, "title" : "Pharmacokinetics and Pharmacodynamics (PK-PD) of F901318 Against Aspergillus fumigatus", "type" : "article-journal", "volume" : "Abstract M" }, "uris" : [ "http://www.mendeley.com/documents/?uuid=157e4b17-4062-4cbb-85be-64a24301ef37" ] } ], "mendeley" : { "formattedCitation" : "&lt;sup&gt;44&lt;/sup&gt;", "plainTextFormattedCitation" : "44", "previouslyFormattedCitation" : "&lt;sup&gt;44&lt;/sup&gt;"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44</w:t>
      </w:r>
      <w:r w:rsidR="004D32CF">
        <w:rPr>
          <w:rFonts w:asciiTheme="majorHAnsi" w:hAnsiTheme="majorHAnsi" w:cs="Times New Roman"/>
          <w:lang w:val="en-US"/>
        </w:rPr>
        <w:fldChar w:fldCharType="end"/>
      </w:r>
      <w:r w:rsidR="00136DA6">
        <w:rPr>
          <w:rFonts w:asciiTheme="majorHAnsi" w:hAnsiTheme="majorHAnsi" w:cs="Times New Roman"/>
          <w:lang w:val="en-US"/>
        </w:rPr>
        <w:t xml:space="preserve"> </w:t>
      </w:r>
    </w:p>
    <w:p w14:paraId="6CCC243C" w14:textId="77777777" w:rsidR="006107A1" w:rsidRPr="007E2A5E" w:rsidRDefault="006107A1" w:rsidP="007A2846">
      <w:pPr>
        <w:widowControl w:val="0"/>
        <w:autoSpaceDE w:val="0"/>
        <w:autoSpaceDN w:val="0"/>
        <w:adjustRightInd w:val="0"/>
        <w:spacing w:line="276" w:lineRule="auto"/>
        <w:rPr>
          <w:rFonts w:asciiTheme="majorHAnsi" w:hAnsiTheme="majorHAnsi" w:cs="Times New Roman"/>
          <w:lang w:val="en-US"/>
        </w:rPr>
      </w:pPr>
    </w:p>
    <w:p w14:paraId="6E970DCD" w14:textId="77777777" w:rsidR="006107A1" w:rsidRPr="007E2A5E" w:rsidRDefault="006107A1"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 xml:space="preserve">The following has been achieved using </w:t>
      </w:r>
      <w:r w:rsidR="00740FDB">
        <w:rPr>
          <w:rFonts w:asciiTheme="majorHAnsi" w:hAnsiTheme="majorHAnsi" w:cs="Times New Roman"/>
          <w:lang w:val="en-US"/>
        </w:rPr>
        <w:t>pharmacodynamic</w:t>
      </w:r>
      <w:r w:rsidR="00730EAD" w:rsidRPr="007E2A5E">
        <w:rPr>
          <w:rFonts w:asciiTheme="majorHAnsi" w:hAnsiTheme="majorHAnsi" w:cs="Times New Roman"/>
          <w:lang w:val="en-US"/>
        </w:rPr>
        <w:t xml:space="preserve"> </w:t>
      </w:r>
      <w:r w:rsidRPr="007E2A5E">
        <w:rPr>
          <w:rFonts w:asciiTheme="majorHAnsi" w:hAnsiTheme="majorHAnsi" w:cs="Times New Roman"/>
          <w:lang w:val="en-US"/>
        </w:rPr>
        <w:t>models of IPA</w:t>
      </w:r>
      <w:r w:rsidR="008563A0">
        <w:rPr>
          <w:rFonts w:asciiTheme="majorHAnsi" w:hAnsiTheme="majorHAnsi" w:cs="Times New Roman"/>
          <w:lang w:val="en-US"/>
        </w:rPr>
        <w:t>:</w:t>
      </w:r>
    </w:p>
    <w:p w14:paraId="33F962FD" w14:textId="77777777" w:rsidR="006107A1" w:rsidRPr="007E2A5E" w:rsidRDefault="006107A1" w:rsidP="007A2846">
      <w:pPr>
        <w:widowControl w:val="0"/>
        <w:autoSpaceDE w:val="0"/>
        <w:autoSpaceDN w:val="0"/>
        <w:adjustRightInd w:val="0"/>
        <w:spacing w:line="276" w:lineRule="auto"/>
        <w:rPr>
          <w:rFonts w:asciiTheme="majorHAnsi" w:hAnsiTheme="majorHAnsi" w:cs="Times New Roman"/>
          <w:lang w:val="en-US"/>
        </w:rPr>
      </w:pPr>
    </w:p>
    <w:p w14:paraId="015764F2" w14:textId="47984286" w:rsidR="000B61EB" w:rsidRPr="0073162B" w:rsidRDefault="00C602B1" w:rsidP="007A2846">
      <w:pPr>
        <w:pStyle w:val="ListParagraph"/>
        <w:widowControl w:val="0"/>
        <w:numPr>
          <w:ilvl w:val="0"/>
          <w:numId w:val="27"/>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 xml:space="preserve">Description of the PK-PD of posaconazole, including an insight into a pharmacodynamic target </w:t>
      </w:r>
      <w:r w:rsidR="00290780">
        <w:rPr>
          <w:rFonts w:asciiTheme="majorHAnsi" w:hAnsiTheme="majorHAnsi" w:cs="Times New Roman"/>
          <w:lang w:val="en-US"/>
        </w:rPr>
        <w:t>of</w:t>
      </w:r>
      <w:r w:rsidR="00C14BDD">
        <w:rPr>
          <w:rFonts w:asciiTheme="majorHAnsi" w:hAnsiTheme="majorHAnsi" w:cs="Times New Roman"/>
          <w:lang w:val="en-US"/>
        </w:rPr>
        <w:t xml:space="preserve"> clinical relevance </w:t>
      </w:r>
      <w:r w:rsidRPr="0073162B">
        <w:rPr>
          <w:rFonts w:asciiTheme="majorHAnsi" w:hAnsiTheme="majorHAnsi" w:cs="Times New Roman"/>
          <w:lang w:val="en-US"/>
        </w:rPr>
        <w:t xml:space="preserve">and the predictive </w:t>
      </w:r>
      <w:r w:rsidR="00C14BDD">
        <w:rPr>
          <w:rFonts w:asciiTheme="majorHAnsi" w:hAnsiTheme="majorHAnsi" w:cs="Times New Roman"/>
          <w:lang w:val="en-US"/>
        </w:rPr>
        <w:t>value</w:t>
      </w:r>
      <w:r w:rsidR="00CF4E2A" w:rsidRPr="0073162B">
        <w:rPr>
          <w:rFonts w:asciiTheme="majorHAnsi" w:hAnsiTheme="majorHAnsi" w:cs="Times New Roman"/>
          <w:lang w:val="en-US"/>
        </w:rPr>
        <w:t xml:space="preserve"> of the MIC </w:t>
      </w:r>
      <w:r w:rsidR="00C14BDD">
        <w:rPr>
          <w:rFonts w:asciiTheme="majorHAnsi" w:hAnsiTheme="majorHAnsi" w:cs="Times New Roman"/>
          <w:lang w:val="en-US"/>
        </w:rPr>
        <w:t>for determining</w:t>
      </w:r>
      <w:r w:rsidR="00CF4E2A" w:rsidRPr="0073162B">
        <w:rPr>
          <w:rFonts w:asciiTheme="majorHAnsi" w:hAnsiTheme="majorHAnsi" w:cs="Times New Roman"/>
          <w:lang w:val="en-US"/>
        </w:rPr>
        <w:t xml:space="preserve"> </w:t>
      </w:r>
      <w:r w:rsidR="00C375E9" w:rsidRPr="007E2A5E">
        <w:rPr>
          <w:rFonts w:asciiTheme="majorHAnsi" w:hAnsiTheme="majorHAnsi" w:cs="Times New Roman"/>
          <w:lang w:val="en-US"/>
        </w:rPr>
        <w:t xml:space="preserve">the </w:t>
      </w:r>
      <w:r w:rsidR="00C14BDD">
        <w:rPr>
          <w:rFonts w:asciiTheme="majorHAnsi" w:hAnsiTheme="majorHAnsi" w:cs="Times New Roman"/>
          <w:lang w:val="en-US"/>
        </w:rPr>
        <w:t xml:space="preserve">therapeutic </w:t>
      </w:r>
      <w:r w:rsidR="00C375E9" w:rsidRPr="007E2A5E">
        <w:rPr>
          <w:rFonts w:asciiTheme="majorHAnsi" w:hAnsiTheme="majorHAnsi" w:cs="Times New Roman"/>
          <w:lang w:val="en-US"/>
        </w:rPr>
        <w:t>respon</w:t>
      </w:r>
      <w:r w:rsidR="00C375E9" w:rsidRPr="0012015D">
        <w:rPr>
          <w:rFonts w:asciiTheme="majorHAnsi" w:hAnsiTheme="majorHAnsi" w:cs="Times New Roman"/>
          <w:lang w:val="en-US"/>
        </w:rPr>
        <w:t>se to posaconazole</w:t>
      </w:r>
      <w:r w:rsidR="001A03E8">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"jir023 [pii]\n10.1093/infdis/jir023", "ISBN" : "1537-6613 (Electronic)\n0022-1899 (Linking)", "PMID" : "21357943", "abstract" : "Background. Posaconazole is a triazole with anti-Aspergillus activity. However, little is known about the utility of posaconazole as primary therapy for invasive pulmonary aspergillosis. Methods. An in vitro model of the human alveolus was used to study the impact of minimum inhibitory concentrations (MIC) on exposure-response relationships. The pharmacokinetic-pharmacodynamic relationships of posaconazole were examined in an inhalational murine model of invasive pulmonary aspergillosis. A mathematical model was fitted to the entire data set. This model was then used to describe the relationship between drug exposure, quantified in terms of the area under the concentration time curve to MIC (AUC:MIC) and the observed antifungal effect. Results. The posaconazole MIC was an important determinant of exposure-response relationships and accounted for a portion of the observed variance. Murine pharmacokinetics were linear for dosages 1-20 mg/kg/day. There was a dose-dependent decline in serum galactomannan concentrations, with near-maximal suppression following 20 mg/kg/day. The murine pharmacokinetic-pharmacodynamic data were well described by the mathematical model. An AUC:MIC ratio of 167 was associated with half-maximal antifungal effect. Conclusions. These results provide the experimental foundation for the selection of candidate posaconazole regimens for the primary treatment of invasive pulmonary aspergillosis in profoundly neutropenic hosts.", "author" : [ { "dropping-particle" : "", "family" : "Howard", "given" : "Susan J", "non-dropping-particle" : "", "parse-names" : false, "suffix" : "" }, { "dropping-particle" : "", "family" : "Lestner", "given" : "Jodi M", "non-dropping-particle" : "", "parse-names" : false, "suffix" : "" }, { "dropping-particle" : "", "family" : "Sharp", "given" : "Andrew", "non-dropping-particle" : "", "parse-names" : false, "suffix" : "" }, { "dropping-particle" : "", "family" : "Gregson", "given" : "Lea", "non-dropping-particle" : "", "parse-names" : false, "suffix" : "" }, { "dropping-particle" : "", "family" : "Goodwin", "given" : "Joanne", "non-dropping-particle" : "", "parse-names" : false, "suffix" : "" }, { "dropping-particle" : "", "family" : "Slater", "given" : "Joanne", "non-dropping-particle" : "", "parse-names" : false, "suffix" : "" }, { "dropping-particle" : "", "family" : "Majithiya", "given" : "Jayesh B", "non-dropping-particle" : "", "parse-names" : false, "suffix" : "" }, { "dropping-particle" : "", "family" : "Warn", "given" : "Peter A", "non-dropping-particle" : "", "parse-names" : false, "suffix" : "" }, { "dropping-particle" : "", "family" : "Hope", "given" : "William W", "non-dropping-particle" : "", "parse-names" : false, "suffix" : "" } ], "container-title" : "J Infect Dis", "edition" : "2011/03/02", "id" : "ITEM-1", "issue" : "9", "issued" : { "date-parts" : [ [ "2011" ] ] }, "language" : "Eng", "note" : "From Duplicate 1 (Pharmacokinetics and Pharmacodynamics of Posaconazole for Invasive Pulmonary Aspergillosis: Clinical Implications for Antifungal Therapy - Howard, S J; Lestner, J M; Sharp, A; Gregson, L; Goodwin, J; Slater, J; Majithiya, J B; Warn, P A; Hope, W W)\n\nJournal article\nThe Journal of infectious diseases\nJ Infect Dis. 2011 Feb 28.", "page" : "1324-1332", "title" : "Pharmacokinetics and Pharmacodynamics of Posaconazole for Invasive Pulmonary Aspergillosis: Clinical Implications for Antifungal Therapy", "type" : "article-journal", "volume" : "203" }, "uris" : [ "http://www.mendeley.com/documents/?uuid=b6cb725c-726b-4adf-98a9-d0bb06f092cf" ] }, { "id" : "ITEM-2", "itemData" : { "DOI" : "10.1128/AAC.01279-12", "ISBN" : "1098-6596 (Electronic) 0066-4804 (Linking)", "PMID" : "23147740", "abstract" : "Invasive pulmonary aspergillosis (IPA) is a devastating disease of immunocompromised patients. Pharmacodynamic (PD) examination of antifungal drug therapy in IPA is one strategy that may improve outcomes. The current study explored the PD target of posaconazole in an immunocompromised murine model of IPA against 10 A. fumigatus isolates, including 4 Cyp51 wild-type isolates and 6 isolates carrying Cyp51 mutations conferring azole resistance. The posaconazole MIC range was 0.25 to 8 mg/liter. Following infection, mice were given 0.156 to 160 mg/kg of body weight of oral posaconazole daily for 7 days. Efficacy was assessed by quantitative PCR (qPCR) of lung homogenate and survival. At the start of therapy, mice had 5.59 +/- 0.19 log(10) Aspergillus conidial equivalents (CE)/ml of lung homogenate, which increased to 7.11 +/- 0.29 log(10) CE/ml of lung homogenate in untreated animals. The infection was uniformly lethal prior to the study endpoint in control mice. A Hill-type dose response function was used to model the relationship between posaconazole free drug area under the concentration-time curve (AUC)/MIC and qPCR lung burden. The static dose range was 1.09 to 51.9 mg/kg/24 h. The free drug AUC/MIC PD target was 1.09 +/- 0.63 for the group of strains. The 1-log kill free drug AUC/MIC was 2.07 +/- 1.02. The PD target was not significantly different for the wild-type and mutant organism groups. Mortality mirrored qPCR results, with the greatest improvement in survival noted at the same dosing regimens that produced static or cidal activity. Consideration of human pharmacokinetic data and the current static dose PD target would predict a clinical MIC threshold of 0.25 to 0.5 mg/liter.", "author" : [ { "dropping-particle" : "", "family" : "Lepak", "given" : "A J", "non-dropping-particle" : "", "parse-names" : false, "suffix" : "" }, { "dropping-particle" : "", "family" : "Marchillo", "given" : "K", "non-dropping-particle" : "", "parse-names" : false, "suffix" : "" }, { "dropping-particle" : "", "family" : "Vanhecker", "given" : "J", "non-dropping-particle" : "", "parse-names" : false, "suffix" : "" }, { "dropping-particle" : "", "family" : "Andes", "given" : "D R", "non-dropping-particle" : "", "parse-names" : false, "suffix" : "" } ], "container-title" : "Antimicrob Agents Chemother", "id" : "ITEM-2", "issue" : "1", "issued" : { "date-parts" : [ [ "2013" ] ] }, "note" : "Lepak, Alexander J\nMarchillo, Karen\nVanhecker, Jaimie\nAndes, David R\nAntimicrob Agents Chemother. 2013 Jan;57(1):579-85. doi: 10.1128/AAC.01279-12. Epub 2012 Nov 12.", "page" : "579-585", "title" : "Posaconazole pharmacodynamic target determination against wild-type and Cyp51 mutant isolates of Aspergillus fumigatus in an in vivo model of invasive pulmonary aspergillosis", "type" : "article-journal", "volume" : "57" }, "uris" : [ "http://www.mendeley.com/documents/?uuid=de284d8b-b6da-4040-842b-b1770e706cf7" ] }, { "id" : "ITEM-3", "itemData" : { "DOI" : "10.1128/AAC.00931-09", "ISSN" : "1098-6596", "PMID" : "19917751", "abstract" : "The in vivo efficacy of posaconazole against 4 clinical Aspergillus fumigatus isolates with posaconazole MICs ranging from 0.03 to 16 mg/liter, as determined by CLSI method M38A, was assessed in a nonneutropenic murine model of disseminated aspergillosis. The underlying resistance mechanisms of the isolates included substitutions in the cyp51A gene at codon 220 (M220I), codon 54 (G54W), and codon 98 (L98H). The latter was combined with a 34-bp tandem repeat in the gene promoter region (TR L98H). The control isolate exhibited a wild-type phenotype without any known resistance mechanism. Oral posaconazole therapy was started 24 h after infection and was given once daily for 14 consecutive days. Mice were treated with four different doses (1 to 64 mg/kg of body weight), and survival was used as the end point. Survival was dependent both on the dose and on the MIC. The Hill equation with a variable slope fitted the relationship between the dose/MIC ratio and 14-day survival well (R2, 0.92), with a 50% effective dose (ED50) of 29.0 mg/kg (95% confidence interval [CI], 15.6 to 53.6 mg/kg). This also applied to the relationship between the area under the plasma concentration-time curve (AUC)/MIC ratio and 14-day survival (50% effective pharmacodynamic index [EI50], 321.3 [95% CI, 222.7 to 463.4]). Near-maximum survival was reached at an AUC/MIC ratio of nearly 1,000. These results indicate that treatment of infections with A. fumigatus strains for which MICs are 0.5 mg/liter requires doses exceeding the present licensed doses. Increasing the standard dosing regimen may have some effect and may be clinically useful if no alternatives are available.", "author" : [ { "dropping-particle" : "", "family" : "Mavridou", "given" : "Eleftheria", "non-dropping-particle" : "", "parse-names" : false, "suffix" : "" }, { "dropping-particle" : "", "family" : "Bruggemann", "given" : "R J", "non-dropping-particle" : "", "parse-names" : false, "suffix" : "" }, { "dropping-particle" : "", "family" : "Melchers", "given" : "Willem J G", "non-dropping-particle" : "", "parse-names" : false, "suffix" : "" }, { "dropping-particle" : "", "family" : "Mouton", "given" : "Johan W", "non-dropping-particle" : "", "parse-names" : false, "suffix" : "" }, { "dropping-particle" : "", "family" : "Verweij", "given" : "Paul E", "non-dropping-particle" : "", "parse-names" : false, "suffix" : "" }, { "dropping-particle" : "", "family" : "Br\u00fcggemann", "given" : "Roger J M", "non-dropping-particle" : "", "parse-names" : false, "suffix" : "" }, { "dropping-particle" : "", "family" : "Melchers", "given" : "Willem J G", "non-dropping-particle" : "", "parse-names" : false, "suffix" : "" }, { "dropping-particle" : "", "family" : "Mouton", "given" : "Johan W", "non-dropping-particle" : "", "parse-names" : false, "suffix" : "" }, { "dropping-particle" : "", "family" : "Verweij", "given" : "Paul E", "non-dropping-particle" : "", "parse-names" : false, "suffix" : "" } ], "container-title" : "Antimicrob Agents Chemother", "id" : "ITEM-3", "issue" : "2", "issued" : { "date-parts" : [ [ "2010", "2" ] ] }, "note" : "1098-6596 (Electronic)\n0066-4804 (Linking)\nJournal Article\nResearch Support, Non-U.S. Gov't", "page" : "860-865", "title" : "Efficacy of posaconazole against three clinical Aspergillus fumigatus isolates with mutations in the cyp51A gene", "type" : "article-journal", "volume" : "54" }, "uris" : [ "http://www.mendeley.com/documents/?uuid=0110f62f-70c9-4ea1-8325-15a5dec3805d" ] } ], "mendeley" : { "formattedCitation" : "&lt;sup&gt;45\u201347&lt;/sup&gt;", "plainTextFormattedCitation" : "45\u201347", "previouslyFormattedCitation" : "&lt;sup&gt;45\u201347&lt;/sup&gt;"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45–47</w:t>
      </w:r>
      <w:r w:rsidR="004D32CF">
        <w:rPr>
          <w:rFonts w:asciiTheme="majorHAnsi" w:hAnsiTheme="majorHAnsi" w:cs="Times New Roman"/>
          <w:lang w:val="en-US"/>
        </w:rPr>
        <w:fldChar w:fldCharType="end"/>
      </w:r>
    </w:p>
    <w:p w14:paraId="10C85402" w14:textId="4FAAB7DE" w:rsidR="00CF4E2A" w:rsidRPr="007E2A5E" w:rsidRDefault="00CF4E2A" w:rsidP="007A2846">
      <w:pPr>
        <w:pStyle w:val="ListParagraph"/>
        <w:widowControl w:val="0"/>
        <w:numPr>
          <w:ilvl w:val="0"/>
          <w:numId w:val="27"/>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 xml:space="preserve">Description of the PK-PD of </w:t>
      </w:r>
      <w:r w:rsidRPr="007E2A5E">
        <w:rPr>
          <w:rFonts w:asciiTheme="majorHAnsi" w:hAnsiTheme="majorHAnsi" w:cs="Times New Roman"/>
          <w:lang w:val="en-US"/>
        </w:rPr>
        <w:t xml:space="preserve">voriconazole </w:t>
      </w:r>
      <w:r w:rsidR="00C375E9" w:rsidRPr="0012015D">
        <w:rPr>
          <w:rFonts w:asciiTheme="majorHAnsi" w:hAnsiTheme="majorHAnsi" w:cs="Times New Roman"/>
          <w:lang w:val="en-US"/>
        </w:rPr>
        <w:t xml:space="preserve">with cross validation </w:t>
      </w:r>
      <w:r w:rsidR="00296857" w:rsidRPr="00C93520">
        <w:rPr>
          <w:rFonts w:asciiTheme="majorHAnsi" w:hAnsiTheme="majorHAnsi" w:cs="Times New Roman"/>
          <w:lang w:val="en-US"/>
        </w:rPr>
        <w:t xml:space="preserve">with clinical data and </w:t>
      </w:r>
      <w:r w:rsidR="00290780">
        <w:rPr>
          <w:rFonts w:asciiTheme="majorHAnsi" w:hAnsiTheme="majorHAnsi" w:cs="Times New Roman"/>
          <w:lang w:val="en-US"/>
        </w:rPr>
        <w:t>the extension</w:t>
      </w:r>
      <w:r w:rsidR="00290780" w:rsidRPr="00C93520">
        <w:rPr>
          <w:rFonts w:asciiTheme="majorHAnsi" w:hAnsiTheme="majorHAnsi" w:cs="Times New Roman"/>
          <w:lang w:val="en-US"/>
        </w:rPr>
        <w:t xml:space="preserve"> </w:t>
      </w:r>
      <w:r w:rsidR="00296857" w:rsidRPr="00C93520">
        <w:rPr>
          <w:rFonts w:asciiTheme="majorHAnsi" w:hAnsiTheme="majorHAnsi" w:cs="Times New Roman"/>
          <w:lang w:val="en-US"/>
        </w:rPr>
        <w:t>these findings to provide</w:t>
      </w:r>
      <w:r w:rsidR="007C120C" w:rsidRPr="00906A82">
        <w:rPr>
          <w:rFonts w:asciiTheme="majorHAnsi" w:hAnsiTheme="majorHAnsi" w:cs="Times New Roman"/>
          <w:lang w:val="en-US"/>
        </w:rPr>
        <w:t xml:space="preserve"> decision support for establishing </w:t>
      </w:r>
      <w:r w:rsidR="007C120C" w:rsidRPr="0073162B">
        <w:rPr>
          <w:rFonts w:asciiTheme="majorHAnsi" w:hAnsiTheme="majorHAnsi" w:cs="Times New Roman"/>
          <w:i/>
          <w:lang w:val="en-US"/>
        </w:rPr>
        <w:t>in vitro</w:t>
      </w:r>
      <w:r w:rsidR="007C120C" w:rsidRPr="007E2A5E">
        <w:rPr>
          <w:rFonts w:asciiTheme="majorHAnsi" w:hAnsiTheme="majorHAnsi" w:cs="Times New Roman"/>
          <w:lang w:val="en-US"/>
        </w:rPr>
        <w:t xml:space="preserve"> </w:t>
      </w:r>
      <w:r w:rsidR="00DF1F2F" w:rsidRPr="0012015D">
        <w:rPr>
          <w:rFonts w:asciiTheme="majorHAnsi" w:hAnsiTheme="majorHAnsi" w:cs="Times New Roman"/>
          <w:lang w:val="en-US"/>
        </w:rPr>
        <w:t>susceptibility</w:t>
      </w:r>
      <w:r w:rsidR="007C120C" w:rsidRPr="00C93520">
        <w:rPr>
          <w:rFonts w:asciiTheme="majorHAnsi" w:hAnsiTheme="majorHAnsi" w:cs="Times New Roman"/>
          <w:lang w:val="en-US"/>
        </w:rPr>
        <w:t xml:space="preserve"> breakpoints at </w:t>
      </w:r>
      <w:r w:rsidR="007C120C" w:rsidRPr="007E2A5E">
        <w:rPr>
          <w:rFonts w:asciiTheme="majorHAnsi" w:hAnsiTheme="majorHAnsi" w:cs="Times New Roman"/>
          <w:lang w:val="en-US"/>
        </w:rPr>
        <w:t>EUCAST</w:t>
      </w:r>
      <w:r w:rsidR="00C96310">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"10.1093/infdis/jis372", "ISBN" : "1537-6613 (Electronic) 0022-1899 (Linking)", "PMID" : "22634880", "abstract" : "BACKGROUND: Voriconazole is a first-line agent for the treatment of invasive pulmonary aspergillosis (IPA). There are increasing reports of Aspergillus fumigatus isolates with reduced susceptibility to voriconazole. METHODS: An in vitro dynamic model of IPA was developed that enabled simulation of human-like voriconazole pharmacokinetics. Galactomannan was used as a biomarker. The pharmacodynamics of voriconazole against wild-type and 3 resistant strains of A. fumigatus were defined. The results were bridged to humans to provide decision support for setting breakpoints for voriconazole using Clinical Laboratory Standards Institute (CLSI) and European Committee of Antimicrobial Susceptibility Testing (EUCAST) methodologies. RESULTS: Isolates with higher minimum inhibitory concentrations (MICs) required higher area under the concentration time curves (AUCs) to achieve suppression of galactomannan. Using CLSI and EUCAST methodologies, the AUC:MIC values that achieved suppression of galactomannan were 55 and 32.1, respectively. Using CLSI and EUCAST methodologies, the trough concentration:MIC values that achieved suppression of galactomannan were 1.68 and 1, respectively. Potential CLSI breakpoints for voriconazole are &lt;/= 0.5 mg/L for susceptible and &gt;1 mg/L for resistant. Potential EUCAST breakpoints for voriconazole are &lt;/=1 mg/L for susceptible and &gt;2 mg/L for resistant. CONCLUSIONS: This dynamic model of IPA is a useful tool to address many remaining questions related to antifungal treatment of Aspergillus spp.", "author" : [ { "dropping-particle" : "", "family" : "Jeans", "given" : "A R", "non-dropping-particle" : "", "parse-names" : false, "suffix" : "" }, { "dropping-particle" : "", "family" : "Howard", "given" : "S J", "non-dropping-particle" : "", "parse-names" : false, "suffix" : "" }, { "dropping-particle" : "", "family" : "Al-Nakeeb", "given" : "Z", "non-dropping-particle" : "", "parse-names" : false, "suffix" : "" }, { "dropping-particle" : "", "family" : "Goodwin", "given" : "J", "non-dropping-particle" : "", "parse-names" : false, "suffix" : "" }, { "dropping-particle" : "", "family" : "Gregson", "given" : "L", "non-dropping-particle" : "", "parse-names" : false, "suffix" : "" }, { "dropping-particle" : "", "family" : "Majithiya", "given" : "J B", "non-dropping-particle" : "", "parse-names" : false, "suffix" : "" }, { "dropping-particle" : "", "family" : "Lass-Florl", "given" : "C", "non-dropping-particle" : "", "parse-names" : false, "suffix" : "" }, { "dropping-particle" : "", "family" : "Cuenca-Estrella", "given" : "M", "non-dropping-particle" : "", "parse-names" : false, "suffix" : "" }, { "dropping-particle" : "", "family" : "Arendrup", "given" : "M C", "non-dropping-particle" : "", "parse-names" : false, "suffix" : "" }, { "dropping-particle" : "", "family" : "Warn", "given" : "P A", "non-dropping-particle" : "", "parse-names" : false, "suffix" : "" }, { "dropping-particle" : "", "family" : "Hope", "given" : "W W", "non-dropping-particle" : "", "parse-names" : false, "suffix" : "" } ], "container-title" : "J Infect Dis", "id" : "ITEM-1", "issue" : "3", "issued" : { "date-parts" : [ [ "2012" ] ] }, "language" : "eng", "note" : "Jeans, Adam R\nHoward, Susan J\nAl-Nakeeb, Zaid\nGoodwin, Joanne\nGregson, Lea\nMajithiya, Jayesh B\nLass-Florl, Cornelia\nCuenca-Estrella, Manuel\nArendrup, Maiken C\nWarn, Peter A\nHope, William W\nJ Infect Dis. 2012 Aug 1;206(3):442-52. doi: 10.1093/infdis/jis372. Epub 2012 May 25.", "page" : "442-452", "title" : "Pharmacodynamics of voriconazole in a dynamic in vitro model of invasive pulmonary aspergillosis: implications for in vitro susceptibility breakpoints", "type" : "article-journal", "volume" : "206" }, "uris" : [ "http://www.mendeley.com/documents/?uuid=422260d9-d1ad-4e5e-928b-6be2e600aae7" ] }, { "id" : "ITEM-2", "itemData" : { "DOI" : "10.1128/AAC.01083-10", "ISSN" : "1098-6596", "PMID" : "21768513", "abstract" : "Voriconazole is approved for treating invasive fungal infections. We examined voriconazole exposure-response relationships for patients from nine published clinical trials. The relationship between the mean voriconazole plasma concentration (C(avg)) and clinical response and between the free C(avg)/MIC ratio versus the clinical response were explored using logistic regression. The impact of covariates on response was also assessed. Monte Carlo simulation was used to estimate the relationship between the trough concentration/MIC ratio and the probability of response. The covariates individually related to response were as follows: study (P &lt; 0.001), therapy (primary/salvage, P &lt; 0.001), primary diagnosis (P &lt; 0.001), race (P = 0.004), baseline bilirubin (P &lt; 0.001), baseline alkaline phosphatase (P = 0.014), and pathogen (yeast/mold, P &lt; 0.001). The C(avg) for 72% of the patients was 0.5 to 5.0 \u03bcg/ml, with the maximum response rate (74%) at 3.0 to 4.0 \u03bcg/ml. The C(avg) showed a nonlinear relationship to response (P &lt; 0.003), with a lower probability at the extremes. For patients with C(avg) &lt; 0.5 \u03bcg/ml, the response rate was 57%. The lowest response rate (56%) was seen with a C(avg) \u2265 5.0 \u03bcg/ml (18% of patients) and was associated with significantly lower mold infection responses compared to yeasts (P &lt; 0.001) but not with voriconazole toxicity. Higher free C(avg)/MIC ratios were associated with a progressively higher probability of response. Monte Carlo simulation suggested that a trough/MIC ratio of 2 to 5 is associated with a near-maximal probability of response. The probability of response is lower at the extremes of C(avg). Patients with higher free C(avg)/MIC ratios have a higher probability of clinical response. A trough/MIC ratio of 2 to 5 can be used as a target for therapeutic drug monitoring.", "author" : [ { "dropping-particle" : "", "family" : "Troke", "given" : "Peter F", "non-dropping-particle" : "", "parse-names" : false, "suffix" : "" }, { "dropping-particle" : "", "family" : "Hockey", "given" : "Hans P", "non-dropping-particle" : "", "parse-names" : false, "suffix" : "" }, { "dropping-particle" : "", "family" : "Hope", "given" : "William W", "non-dropping-particle" : "", "parse-names" : false, "suffix" : "" } ], "container-title" : "Antimicrobial agents and chemotherapy", "id" : "ITEM-2", "issue" : "10", "issued" : { "date-parts" : [ [ "2011", "10" ] ] }, "page" : "4782-8", "title" : "Observational study of the clinical efficacy of voriconazole and its relationship to plasma concentrations in patients.", "type" : "article-journal", "volume" : "55" }, "uris" : [ "http://www.mendeley.com/documents/?uuid=b374b850-b6a4-44d2-92be-0a485ee3d2e4" ] }, { "id" : "ITEM-3", "itemData" : { "DOI" : "10.1111/1469-0691.12148", "ISBN" : "1469-0691 (Electronic) 1198-743X (Linking)", "PMID" : "23413937", "abstract" : "The European Committee on Antimicrobial Susceptibility Testing Subcommittee on Antifungal Susceptibility Testing (EUCAST-AFST) has determined breakpoints for voriconazole against Aspergillus spp. This Technical Note is based on the EUCAST rationale document for voriconazole (available on the EUCAST website: http://www.eucast.org). Voriconazole breakpoints are based on epidemiological cut-off values, pharmacokinetic/pharmacodynamic data and clinical experience. Breakpoints will be reviewed regularly or when new data emerge.", "author" : [ { "dropping-particle" : "", "family" : "Hope", "given" : "W W", "non-dropping-particle" : "", "parse-names" : false, "suffix" : "" }, { "dropping-particle" : "", "family" : "Cuenca-Estrella", "given" : "M", "non-dropping-particle" : "", "parse-names" : false, "suffix" : "" }, { "dropping-particle" : "", "family" : "Lass-Florl", "given" : "C", "non-dropping-particle" : "", "parse-names" : false, "suffix" : "" }, { "dropping-particle" : "", "family" : "Arendrup", "given" : "M C", "non-dropping-particle" : "", "parse-names" : false, "suffix" : "" } ], "container-title" : "Clin Microbiol Infect", "id" : "ITEM-3", "issue" : "6", "issued" : { "date-parts" : [ [ "2013" ] ] }, "language" : "eng", "note" : "Hope, W W\nCuenca-Estrella, M\nLass-Florl, C\nArendrup, M C\nEuropean Committee on Antimicrobial Susceptibility Testing-Subcommittee on Antifungal Susceptibility Testing (EUCAST-AFST)\nFrance\nClin Microbiol Infect. 2013 Jun;19(6):E278-80. doi: 10.1111/1469-0691.12148. Epub 2013 Feb 15.", "page" : "E278-80", "title" : "EUCAST technical note on voriconazole and Aspergillus spp", "type" : "article-journal", "volume" : "19" }, "uris" : [ "http://www.mendeley.com/documents/?uuid=b509fff6-287a-42d3-b1b7-a0a9d5678b57" ] } ], "mendeley" : { "formattedCitation" : "&lt;sup&gt;16,40,48&lt;/sup&gt;", "plainTextFormattedCitation" : "16,40,48", "previouslyFormattedCitation" : "&lt;sup&gt;16,40,48&lt;/sup&gt;"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16,40,48</w:t>
      </w:r>
      <w:r w:rsidR="004D32CF">
        <w:rPr>
          <w:rFonts w:asciiTheme="majorHAnsi" w:hAnsiTheme="majorHAnsi" w:cs="Times New Roman"/>
          <w:lang w:val="en-US"/>
        </w:rPr>
        <w:fldChar w:fldCharType="end"/>
      </w:r>
    </w:p>
    <w:p w14:paraId="704B9E20" w14:textId="741B9B5A" w:rsidR="00A85CBC" w:rsidRPr="007E2A5E" w:rsidRDefault="00A85CBC" w:rsidP="007A2846">
      <w:pPr>
        <w:pStyle w:val="ListParagraph"/>
        <w:widowControl w:val="0"/>
        <w:numPr>
          <w:ilvl w:val="0"/>
          <w:numId w:val="27"/>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Description of the PK-PD of isavuconazole</w:t>
      </w:r>
      <w:r w:rsidR="00080DCF">
        <w:rPr>
          <w:rFonts w:asciiTheme="majorHAnsi" w:hAnsiTheme="majorHAnsi" w:cs="Times New Roman"/>
          <w:lang w:val="en-US"/>
        </w:rPr>
        <w:t xml:space="preserve"> </w:t>
      </w:r>
      <w:r w:rsidR="00E24627">
        <w:rPr>
          <w:rFonts w:asciiTheme="majorHAnsi" w:hAnsiTheme="majorHAnsi" w:cs="Times New Roman"/>
          <w:lang w:val="en-US"/>
        </w:rPr>
        <w:t>including the impact of the MIC on exposure response relationships</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"10.1128/AAC.01355-13", "ISBN" : "1098-6596 (Electronic) 0066-4804 (Linking)", "ISSN" : "1098-6596", "PMID" : "24100500", "abstract" : "Invasive pulmonary aspergillosis (IPA) continues to rise in concert with increasing numbers of immune suppression techniques to treat other medical conditions and transplantation. Despite these advances, morbidity and mortality rates remain unacceptably high. One strategy used to optimize outcomes is antifungal pharmacodynamic (PD) examination. We explored the pharmacodynamics of a new triazole in development, isavuconazole, in a murine neutropenic IPA model. Ten A. fumigatus isolates were used, including four wild-type isolates and six cyp51 mutants. The MIC range was 0.125 to 8 mg/liter. Following infection, groups of mice were treated orally with the prodrug (BAL8557) at 40 to 640 mg/kg/12 h for 7 days. Efficacy was determined by quantitative PCR of lung homogenates. At the start of therapy, mice had 4.97 log10 conidial equivalents (CE)/ml of lung homogenate, and this increased to 6.82 log10 CE/ml of lung homogenate in untreated animals. The infection model was uniformly lethal in untreated control mice. The PD target endpoints examined included the static-dose AUC/MIC ratio and the 1-log10 killing AUC/MIC ratio. A stasis endpoint was achieved for all isolates with an MIC of &lt;/=1 mg/liter and 1-log10 killing in all isolates with an MIC of &lt;/=0.5 mg/liter, regardless of the presence or absence of the cyp51 mutation. The static-dose range was 65 to 617 mg/kg/12 h. The corresponding median free-drug AUC/MIC ratio was near 5. The 1-log10 killing dose range was 147 to 455 mg/kg/12 h, and the corresponding median free-drug AUC/MIC ratio was 11.1. These values are similar to those previously reported for other triazoles.", "author" : [ { "dropping-particle" : "", "family" : "Lepak", "given" : "Alexander J", "non-dropping-particle" : "", "parse-names" : false, "suffix" : "" }, { "dropping-particle" : "", "family" : "Marchillo", "given" : "Karen", "non-dropping-particle" : "", "parse-names" : false, "suffix" : "" }, { "dropping-particle" : "", "family" : "Vanhecker", "given" : "Jamie", "non-dropping-particle" : "", "parse-names" : false, "suffix" : "" }, { "dropping-particle" : "", "family" : "Andes", "given" : "David R", "non-dropping-particle" : "", "parse-names" : false, "suffix" : "" } ], "container-title" : "Antimicrob Agents Chemother", "id" : "ITEM-1", "issue" : "12", "issued" : { "date-parts" : [ [ "2013", "12" ] ] }, "note" : "From Duplicate 1 ( \n\nIsavuconazole (BAL4815) pharmacodynamic target determination in an in vivo murine model of invasive pulmonary aspergillosis against wild-type and cyp51 mutant isolates of Aspergillus fumigatus\n\n- Lepak, A J; Marchillo, K; Vanhecker, J; Andes, D R )\nAnd Duplicate 2 ( \n\nIsavuconazole (BAL4815) pharmacodynamic target determination in an in vivo murine model of invasive pulmonary aspergillosis against wild-type and cyp51 mutant isolates of Aspergillus fumigatus\n\n- Lepak, A J; Marchillo, K; Vanhecker, J; Andes, D R )\n\n\n\nLepak, Alexander J\nMarchillo, Karen\nVanhecker, Jamie\nAndes, David R\nAntimicrob Agents Chemother. 2013 Dec;57(12):6284-9. doi: 10.1128/AAC.01355-13. Epub 2013 Oct 7.", "page" : "6284-6289", "title" : "Isavuconazole (BAL4815) pharmacodynamic target determination in an in vivo murine model of invasive pulmonary aspergillosis against wild-type and cyp51 mutant isolates of Aspergillus fumigatus", "type" : "article-journal", "volume" : "57" }, "uris" : [ "http://www.mendeley.com/documents/?uuid=7f10ad42-569f-4655-a20b-193fe1e651f4" ] }, { "id" : "ITEM-2", "itemData" : { "DOI" : "10.1128/AAC.04907-14", "ISSN" : "0066-4804", "author" : [ { "dropping-particle" : "", "family" : "Seyedmousavi", "given" : "Seyedmojtaba", "non-dropping-particle" : "", "parse-names" : false, "suffix" : "" }, { "dropping-particle" : "", "family" : "Br\u00fcggemann", "given" : "Roger J. M.", "non-dropping-particle" : "", "parse-names" : false, "suffix" : "" }, { "dropping-particle" : "", "family" : "Meis", "given" : "Jacques F.", "non-dropping-particle" : "", "parse-names" : false, "suffix" : "" }, { "dropping-particle" : "", "family" : "Melchers", "given" : "Willem J. G.", "non-dropping-particle" : "", "parse-names" : false, "suffix" : "" }, { "dropping-particle" : "", "family" : "Verweij", "given" : "Paul E.", "non-dropping-particle" : "", "parse-names" : false, "suffix" : "" }, { "dropping-particle" : "", "family" : "Mouton", "given" : "Johan W.", "non-dropping-particle" : "", "parse-names" : false, "suffix" : "" } ], "container-title" : "Antimicrobial Agents and Chemotherapy", "id" : "ITEM-2", "issue" : "5", "issued" : { "date-parts" : [ [ "2015" ] ] }, "page" : "2855-2866", "title" : "Pharmacodynamics of Isavuconazole in an Aspergillus fumigatus Mouse Infection Model", "type" : "article-journal", "volume" : "59" }, "uris" : [ "http://www.mendeley.com/documents/?uuid=63555c15-13ba-4956-abd6-a2bac144d758" ] }, { "id" : "ITEM-3", "itemData" : { "author" : [ { "dropping-particle" : "", "family" : "Box", "given" : "Helen", "non-dropping-particle" : "", "parse-names" : false, "suffix" : "" }, { "dropping-particle" : "", "family" : "Livermore", "given" : "Joanne", "non-dropping-particle" : "", "parse-names" : false, "suffix" : "" }, { "dropping-particle" : "", "family" : "Johnson", "given" : "Adam", "non-dropping-particle" : "", "parse-names" : false, "suffix" : "" }, { "dropping-particle" : "", "family" : "McEntee", "given" : "Laura", "non-dropping-particle" : "", "parse-names" : false, "suffix" : "" }, { "dropping-particle" : "", "family" : "Felton", "given" : "Timothy W.", "non-dropping-particle" : "", "parse-names" : false, "suffix" : "" }, { "dropping-particle" : "", "family" : "Whalley", "given" : "S", "non-dropping-particle" : "", "parse-names" : false, "suffix" : "" }, { "dropping-particle" : "", "family" : "Goodwin", "given" : "Joanne", "non-dropping-particle" : "", "parse-names" : false, "suffix" : "" }, { "dropping-particle" : "", "family" : "Hope", "given" : "William W", "non-dropping-particle" : "", "parse-names" : false, "suffix" : "" } ], "container-title" : "Antimicrob Agents Chemother", "id" : "ITEM-3", "issue" : "1", "issued" : { "date-parts" : [ [ "2015" ] ] }, "page" : "278-87", "title" : "Pharmacodynamics of Isavuconazole in a Dynamic In vitro Model of Invasive Pulmonary Aspergillosis", "type" : "article-journal", "volume" : "60" }, "uris" : [ "http://www.mendeley.com/documents/?uuid=169b6f07-2a8f-4a1c-a546-8e3a1d780286" ] } ], "mendeley" : { "formattedCitation" : "&lt;sup&gt;34,43,49&lt;/sup&gt;", "plainTextFormattedCitation" : "34,43,49", "previouslyFormattedCitation" : "&lt;sup&gt;34,43,49&lt;/sup&gt;"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34,43,49</w:t>
      </w:r>
      <w:r w:rsidR="004D32CF">
        <w:rPr>
          <w:rFonts w:asciiTheme="majorHAnsi" w:hAnsiTheme="majorHAnsi" w:cs="Times New Roman"/>
          <w:lang w:val="en-US"/>
        </w:rPr>
        <w:fldChar w:fldCharType="end"/>
      </w:r>
    </w:p>
    <w:p w14:paraId="1FFE2F52" w14:textId="69DBF2AE" w:rsidR="00A85CBC" w:rsidRPr="0073162B" w:rsidRDefault="00A85CBC" w:rsidP="007A2846">
      <w:pPr>
        <w:pStyle w:val="ListParagraph"/>
        <w:widowControl w:val="0"/>
        <w:numPr>
          <w:ilvl w:val="0"/>
          <w:numId w:val="27"/>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Description of the PK-PD of amphotericin B deoxycholate, amphotericin B lipid complex and liposomal amphotericin B</w:t>
      </w:r>
      <w:r w:rsidR="001A03E8">
        <w:rPr>
          <w:rFonts w:asciiTheme="majorHAnsi" w:hAnsiTheme="majorHAnsi" w:cs="Times New Roman"/>
          <w:lang w:val="en-US"/>
        </w:rPr>
        <w:t>.</w:t>
      </w:r>
      <w:r w:rsidR="004D32CF">
        <w:rPr>
          <w:rFonts w:asciiTheme="majorHAnsi" w:hAnsiTheme="majorHAnsi" w:cs="Times New Roman"/>
          <w:lang w:val="en-US"/>
        </w:rPr>
        <w:fldChar w:fldCharType="begin" w:fldLock="1"/>
      </w:r>
      <w:r w:rsidR="000B527C">
        <w:rPr>
          <w:rFonts w:asciiTheme="majorHAnsi" w:hAnsiTheme="majorHAnsi" w:cs="Times New Roman"/>
          <w:lang w:val="en-US"/>
        </w:rPr>
        <w:instrText>ADDIN CSL_CITATION { "citationItems" : [ { "id" : "ITEM-1", "itemData" : { "DOI" : "10.1128/AAC.04723-14", "ISSN" : "1098-6596", "PMID" : "25712363", "abstract" : "Amphotericin B is a first-line agent for the treatment of invasive aspergillosis. However, relatively little is known about the pharmacodynamics of amphotericin B for invasive pulmonary aspergillosis. We studied the pharmacokinetics (PK) and pharmacodynamics (PD) of amphotericin B deoxycholate (DAMB), amphotericin B lipid complex (ABLC), and liposomal amphotericin B (LAMB) by using a neutropenic-rabbit model of invasive pulmonary aspergillosis. The study endpoints were lung weight, infarct score, and levels of circulating galactomannan and (1\u21923)-\u03b2-D-glucan. Mathematical models were used to describe PK-PD relationships. The experimental findings were bridged to humans by Monte Carlo simulation. Each amphotericin B formulation induced a dose-dependent decline in study endpoints. Near-maximal antifungal activity was evident with DAMB at 1 mg/kg/day and ABLC and LAMB at 5 mg/kg/day. The bridging study suggested that the \"average\" patient receiving LAMB at 3 mg/kg/day was predicted to have complete suppression of galactomannan and (1\u21923)-\u03b2-D-glucan levels, but 20 to 30% of the patients still had a galactomannan index of &gt;1 and (1\u21923)-\u03b2-D-glucan levels of &gt;60 pg/ml. All formulations of amphotericin B induce a dose-dependent reduction in markers of lung injury and circulating fungus-related biomarkers. A clinical dosage of liposomal amphotericin B of 3 mg/kg/day is predicted to cause complete suppression of galactomannan and (1\u21923)-\u03b2-D-glucan levels in the majority of patients.", "author"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"Z.", "given" : "Al-Nakeeb", "non-dropping-particle" : "", "parse-names" : false, "suffix" : "" }, { "dropping-particle" : "", "family" : "V.", "given" : "Petraitis", "non-dropping-particle" : "", "parse-names" : false, "suffix" : "" }, { "dropping-particle" : "", "family" : "J.", "given" : "Goodwin", "non-dropping-particle" : "", "parse-names" : false, "suffix" : "" }, { "dropping-particle" : "", "family" : "R.", "given" : "Petraitiene", "non-dropping-particle" : "", "parse-names" : false, "suffix" : "" }, { "dropping-particle" : "", "family" : "T.J.", "given" : "Walsh", "non-dropping-particle" : "", "parse-names" : false, "suffix" : "" }, { "dropping-particle" : "", "family" : "W.W.", "given" : "Hope", "non-dropping-particle" : "", "parse-names" : false, "suffix" : "" }, { "dropping-particle" : "", "family" : "Al-Nakeeb", "given" : "Zaid", "non-dropping-particle" : "",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"dropping-particle" : "", "family" : "Nakeeb", "given" : "Zaid", "non-dropping-particle" : "Al", "parse-names" : false, "suffix" : "" }, { "dropping-particle" : "", "family" : "Petraitis", "given" : "Vidmantas", "non-dropping-particle" : "", "parse-names" : false, "suffix" : "" }, { "dropping-particle" : "", "family" : "Goodwin", "given" : "Joanne", "non-dropping-particle" : "", "parse-names" : false, "suffix" : "" }, { "dropping-particle" : "", "family" : "Petraitiene", "given" : "Ruta", "non-dropping-particle" : "", "parse-names" : false, "suffix" : "" }, { "dropping-particle" : "", "family" : "Walsh", "given" : "Thomas J", "non-dropping-particle" : "", "parse-names" : false, "suffix" : "" }, { "dropping-particle" : "", "family" : "Hope", "given" : "William W", "non-dropping-particle" : "", "parse-names" : false, "suffix" : "" } ], "container-title" : "Antimicrobial agents and chemotherapy", "id" : "ITEM-1", "issue" : "5", "issued" : { "date-parts" : [ [ "2015", "2", "23" ] ] }, "page" : "2735-2745", "title" : "Pharmacodynamics of amphotericin B deoxycholate, amphotericin B lipid complex, and liposomal amphotericin B against Aspergillus fumigatus", "type" : "article-journal", "volume" : "59" }, "uris" : [ "http://www.mendeley.com/documents/?uuid=894639f5-9928-4921-b1b7-b722deba7d81" ] } ], "mendeley" : { "formattedCitation" : "&lt;sup&gt;7&lt;/sup&gt;", "plainTextFormattedCitation" : "7", "previouslyFormattedCitation" : "&lt;sup&gt;7&lt;/sup&gt;"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A511D3" w:rsidRPr="00A511D3">
        <w:rPr>
          <w:rFonts w:asciiTheme="majorHAnsi" w:hAnsiTheme="majorHAnsi" w:cs="Times New Roman"/>
          <w:noProof/>
          <w:vertAlign w:val="superscript"/>
          <w:lang w:val="en-US"/>
        </w:rPr>
        <w:t>7</w:t>
      </w:r>
      <w:r w:rsidR="004D32CF">
        <w:rPr>
          <w:rFonts w:asciiTheme="majorHAnsi" w:hAnsiTheme="majorHAnsi" w:cs="Times New Roman"/>
          <w:lang w:val="en-US"/>
        </w:rPr>
        <w:fldChar w:fldCharType="end"/>
      </w:r>
    </w:p>
    <w:p w14:paraId="756A180E" w14:textId="77777777" w:rsidR="00BD11E0" w:rsidRDefault="00BD11E0" w:rsidP="007A2846">
      <w:pPr>
        <w:widowControl w:val="0"/>
        <w:autoSpaceDE w:val="0"/>
        <w:autoSpaceDN w:val="0"/>
        <w:adjustRightInd w:val="0"/>
        <w:spacing w:line="276" w:lineRule="auto"/>
        <w:rPr>
          <w:rFonts w:asciiTheme="majorHAnsi" w:hAnsiTheme="majorHAnsi" w:cs="Times New Roman"/>
          <w:lang w:val="en-US"/>
        </w:rPr>
      </w:pPr>
    </w:p>
    <w:p w14:paraId="0229C4EE" w14:textId="77777777" w:rsidR="007676F4" w:rsidRPr="0012015D" w:rsidRDefault="007676F4" w:rsidP="007A2846">
      <w:pPr>
        <w:pStyle w:val="ListParagraph"/>
        <w:widowControl w:val="0"/>
        <w:numPr>
          <w:ilvl w:val="0"/>
          <w:numId w:val="25"/>
        </w:numPr>
        <w:autoSpaceDE w:val="0"/>
        <w:autoSpaceDN w:val="0"/>
        <w:adjustRightInd w:val="0"/>
        <w:spacing w:line="276" w:lineRule="auto"/>
        <w:rPr>
          <w:rFonts w:asciiTheme="majorHAnsi" w:hAnsiTheme="majorHAnsi" w:cs="Times New Roman"/>
          <w:lang w:val="en-US"/>
        </w:rPr>
      </w:pPr>
      <w:r w:rsidRPr="0012015D">
        <w:rPr>
          <w:rFonts w:asciiTheme="majorHAnsi" w:hAnsiTheme="majorHAnsi" w:cs="Times New Roman"/>
          <w:lang w:val="en-US"/>
        </w:rPr>
        <w:t>Strengths and limitations</w:t>
      </w:r>
    </w:p>
    <w:p w14:paraId="17748B0C" w14:textId="77777777" w:rsidR="007676F4" w:rsidRPr="007E2A5E" w:rsidRDefault="007676F4" w:rsidP="007A2846">
      <w:pPr>
        <w:widowControl w:val="0"/>
        <w:autoSpaceDE w:val="0"/>
        <w:autoSpaceDN w:val="0"/>
        <w:adjustRightInd w:val="0"/>
        <w:spacing w:line="276" w:lineRule="auto"/>
        <w:rPr>
          <w:rFonts w:asciiTheme="majorHAnsi" w:hAnsiTheme="majorHAnsi" w:cs="Times New Roman"/>
          <w:lang w:val="en-US"/>
        </w:rPr>
      </w:pPr>
    </w:p>
    <w:p w14:paraId="6D0701C2" w14:textId="58A0E5EB" w:rsidR="00B353DF" w:rsidRDefault="00933445" w:rsidP="007A2846">
      <w:pPr>
        <w:widowControl w:val="0"/>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ab/>
      </w:r>
      <w:r w:rsidR="00B353DF">
        <w:rPr>
          <w:rFonts w:asciiTheme="majorHAnsi" w:hAnsiTheme="majorHAnsi" w:cs="Times New Roman"/>
          <w:lang w:val="en-US"/>
        </w:rPr>
        <w:t xml:space="preserve">New models of </w:t>
      </w:r>
      <w:r w:rsidR="00FB01FB">
        <w:rPr>
          <w:rFonts w:asciiTheme="majorHAnsi" w:hAnsiTheme="majorHAnsi" w:cs="Times New Roman"/>
          <w:lang w:val="en-US"/>
        </w:rPr>
        <w:t xml:space="preserve">IPA have enabled the PK-PD of triazoles to be determined including the impact of MIC on exposure response relationships.  This understanding has been important for </w:t>
      </w:r>
      <w:r w:rsidR="00984825">
        <w:rPr>
          <w:rFonts w:asciiTheme="majorHAnsi" w:hAnsiTheme="majorHAnsi" w:cs="Times New Roman"/>
          <w:lang w:val="en-US"/>
        </w:rPr>
        <w:t>providing decision support for setting in vitro susceptibility breakpoints.  Experimental models of IPA have also been important in the development of new anti</w:t>
      </w:r>
      <w:r w:rsidR="0008534E">
        <w:rPr>
          <w:rFonts w:asciiTheme="majorHAnsi" w:hAnsiTheme="majorHAnsi" w:cs="Times New Roman"/>
          <w:lang w:val="en-US"/>
        </w:rPr>
        <w:t>-</w:t>
      </w:r>
      <w:r w:rsidR="0008534E" w:rsidRPr="0008534E">
        <w:rPr>
          <w:rFonts w:asciiTheme="majorHAnsi" w:hAnsiTheme="majorHAnsi" w:cs="Times New Roman"/>
          <w:i/>
          <w:lang w:val="en-US"/>
        </w:rPr>
        <w:t>Aspergillus</w:t>
      </w:r>
      <w:r w:rsidR="00984825">
        <w:rPr>
          <w:rFonts w:asciiTheme="majorHAnsi" w:hAnsiTheme="majorHAnsi" w:cs="Times New Roman"/>
          <w:lang w:val="en-US"/>
        </w:rPr>
        <w:t xml:space="preserve"> agents</w:t>
      </w:r>
      <w:r w:rsidR="00F574B6">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"abstract" : "M-394", "author" : [ { "dropping-particle" : "", "family" : "Hope", "given" : "William W", "non-dropping-particle" : "", "parse-names" : false, "suffix" : "" }, { "dropping-particle" : "", "family" : "Livermore", "given" : "Joanne", "non-dropping-particle" : "", "parse-names" : false, "suffix" : "" }, { "dropping-particle" : "", "family" : "Goodwin", "given" : "Joanne", "non-dropping-particle" : "", "parse-names" : false, "suffix" : "" }, { "dropping-particle" : "", "family" : "Whalley", "given" : "Sarah", "non-dropping-particle" : "", "parse-names" : false, "suffix" : "" }, { "dropping-particle" : "", "family" : "Johnson", "given" : "Adam", "non-dropping-particle" : "", "parse-names" : false, "suffix" : "" }, { "dropping-particle" : "", "family" : "McEntee", "given" : "Laura", "non-dropping-particle" : "", "parse-names" : false, "suffix" : "" }, { "dropping-particle" : "", "family" : "Kennedy", "given" : "Anthony", "non-dropping-particle" : "", "parse-names" : false, "suffix" : "" }, { "dropping-particle" : "", "family" : "Law", "given" : "Derek", "non-dropping-particle" : "", "parse-names" : false, "suffix" : "" }, { "dropping-particle" : "", "family" : "Birch", "given" : "Michael", "non-dropping-particle" : "", "parse-names" : false, "suffix" : "" }, { "dropping-particle" : "", "family" : "Rex", "given" : "John H", "non-dropping-particle" : "", "parse-names" : false, "suffix" : "" } ], "container-title" : "Interscience Conference on Antimicrobial Agents and Chemotherapy (ICAAC) San Diego, USA", "id" : "ITEM-1", "issued" : { "date-parts" : [ [ "2015" ] ] }, "title" : "Pharmacokinetics and Pharmacodynamics (PK-PD) of F901318 Against Aspergillus fumigatus", "type" : "article-journal", "volume" : "Abstract M" }, "uris" : [ "http://www.mendeley.com/documents/?uuid=157e4b17-4062-4cbb-85be-64a24301ef37" ] } ], "mendeley" : { "formattedCitation" : "&lt;sup&gt;44&lt;/sup&gt;", "plainTextFormattedCitation" : "44", "previouslyFormattedCitation" : "&lt;sup&gt;44&lt;/sup&gt;"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44</w:t>
      </w:r>
      <w:r w:rsidR="004D32CF">
        <w:rPr>
          <w:rFonts w:asciiTheme="majorHAnsi" w:hAnsiTheme="majorHAnsi" w:cs="Times New Roman"/>
          <w:lang w:val="en-US"/>
        </w:rPr>
        <w:fldChar w:fldCharType="end"/>
      </w:r>
    </w:p>
    <w:p w14:paraId="40DB5B60" w14:textId="635C9FDB" w:rsidR="00C2587C" w:rsidRDefault="00B353DF"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b/>
      </w:r>
      <w:r w:rsidR="00F74242" w:rsidRPr="007E2A5E">
        <w:rPr>
          <w:rFonts w:asciiTheme="majorHAnsi" w:hAnsiTheme="majorHAnsi" w:cs="Times New Roman"/>
          <w:lang w:val="en-US"/>
        </w:rPr>
        <w:t xml:space="preserve">The principal limitation </w:t>
      </w:r>
      <w:r w:rsidR="00B67CAD" w:rsidRPr="007E2A5E">
        <w:rPr>
          <w:rFonts w:asciiTheme="majorHAnsi" w:hAnsiTheme="majorHAnsi" w:cs="Times New Roman"/>
          <w:lang w:val="en-US"/>
        </w:rPr>
        <w:t>of anti-</w:t>
      </w:r>
      <w:r w:rsidR="00B67CAD" w:rsidRPr="0073162B">
        <w:rPr>
          <w:rFonts w:asciiTheme="majorHAnsi" w:hAnsiTheme="majorHAnsi" w:cs="Times New Roman"/>
          <w:i/>
          <w:lang w:val="en-US"/>
        </w:rPr>
        <w:t>Aspergillus</w:t>
      </w:r>
      <w:r w:rsidR="00B67CAD" w:rsidRPr="007E2A5E">
        <w:rPr>
          <w:rFonts w:asciiTheme="majorHAnsi" w:hAnsiTheme="majorHAnsi" w:cs="Times New Roman"/>
          <w:lang w:val="en-US"/>
        </w:rPr>
        <w:t xml:space="preserve"> PK-PD models</w:t>
      </w:r>
      <w:r w:rsidR="00B646C8" w:rsidRPr="0012015D">
        <w:rPr>
          <w:rFonts w:asciiTheme="majorHAnsi" w:hAnsiTheme="majorHAnsi" w:cs="Times New Roman"/>
          <w:lang w:val="en-US"/>
        </w:rPr>
        <w:t xml:space="preserve"> is a relative lack of experience with the </w:t>
      </w:r>
      <w:r w:rsidR="00B646C8" w:rsidRPr="007E2A5E">
        <w:rPr>
          <w:rFonts w:asciiTheme="majorHAnsi" w:hAnsiTheme="majorHAnsi" w:cs="Times New Roman"/>
          <w:lang w:val="en-US"/>
        </w:rPr>
        <w:t>relevance of magnitude of drop in the biomarker (</w:t>
      </w:r>
      <w:proofErr w:type="spellStart"/>
      <w:r w:rsidR="00B646C8" w:rsidRPr="007E2A5E">
        <w:rPr>
          <w:rFonts w:asciiTheme="majorHAnsi" w:hAnsiTheme="majorHAnsi" w:cs="Times New Roman"/>
          <w:lang w:val="en-US"/>
        </w:rPr>
        <w:t>qPCR</w:t>
      </w:r>
      <w:proofErr w:type="spellEnd"/>
      <w:r w:rsidR="00B646C8" w:rsidRPr="007E2A5E">
        <w:rPr>
          <w:rFonts w:asciiTheme="majorHAnsi" w:hAnsiTheme="majorHAnsi" w:cs="Times New Roman"/>
          <w:lang w:val="en-US"/>
        </w:rPr>
        <w:t xml:space="preserve"> </w:t>
      </w:r>
      <w:r w:rsidR="00875E0E" w:rsidRPr="007E2A5E">
        <w:rPr>
          <w:rFonts w:asciiTheme="majorHAnsi" w:hAnsiTheme="majorHAnsi" w:cs="Times New Roman"/>
          <w:lang w:val="en-US"/>
        </w:rPr>
        <w:t xml:space="preserve">signal, reduction in </w:t>
      </w:r>
      <w:r w:rsidR="007948B4">
        <w:rPr>
          <w:rFonts w:asciiTheme="majorHAnsi" w:hAnsiTheme="majorHAnsi" w:cs="Times New Roman"/>
          <w:lang w:val="en-US"/>
        </w:rPr>
        <w:t>galactomannan</w:t>
      </w:r>
      <w:r w:rsidR="00875E0E" w:rsidRPr="007E2A5E">
        <w:rPr>
          <w:rFonts w:asciiTheme="majorHAnsi" w:hAnsiTheme="majorHAnsi" w:cs="Times New Roman"/>
          <w:lang w:val="en-US"/>
        </w:rPr>
        <w:t xml:space="preserve"> or survival prolongation)</w:t>
      </w:r>
      <w:r w:rsidR="004A1D4D" w:rsidRPr="007E2A5E">
        <w:rPr>
          <w:rFonts w:asciiTheme="majorHAnsi" w:hAnsiTheme="majorHAnsi" w:cs="Times New Roman"/>
          <w:lang w:val="en-US"/>
        </w:rPr>
        <w:t xml:space="preserve"> and use for bridging to </w:t>
      </w:r>
      <w:r w:rsidR="005765E2" w:rsidRPr="007E2A5E">
        <w:rPr>
          <w:rFonts w:asciiTheme="majorHAnsi" w:hAnsiTheme="majorHAnsi" w:cs="Times New Roman"/>
          <w:lang w:val="en-US"/>
        </w:rPr>
        <w:t>humans</w:t>
      </w:r>
      <w:r w:rsidR="00875E0E" w:rsidRPr="007E2A5E">
        <w:rPr>
          <w:rFonts w:asciiTheme="majorHAnsi" w:hAnsiTheme="majorHAnsi" w:cs="Times New Roman"/>
          <w:lang w:val="en-US"/>
        </w:rPr>
        <w:t>.</w:t>
      </w:r>
      <w:r w:rsidR="006C7B86">
        <w:rPr>
          <w:rFonts w:asciiTheme="majorHAnsi" w:hAnsiTheme="majorHAnsi" w:cs="Times New Roman"/>
          <w:lang w:val="en-US"/>
        </w:rPr>
        <w:t xml:space="preserve"> </w:t>
      </w:r>
      <w:r w:rsidR="00875E0E" w:rsidRPr="0073162B">
        <w:rPr>
          <w:rFonts w:asciiTheme="majorHAnsi" w:hAnsiTheme="majorHAnsi" w:cs="Times New Roman"/>
          <w:i/>
          <w:lang w:val="en-US"/>
        </w:rPr>
        <w:t>Aspergillus</w:t>
      </w:r>
      <w:r w:rsidR="00875E0E" w:rsidRPr="007E2A5E">
        <w:rPr>
          <w:rFonts w:asciiTheme="majorHAnsi" w:hAnsiTheme="majorHAnsi" w:cs="Times New Roman"/>
          <w:lang w:val="en-US"/>
        </w:rPr>
        <w:t xml:space="preserve"> models </w:t>
      </w:r>
      <w:r w:rsidR="005765E2" w:rsidRPr="0012015D">
        <w:rPr>
          <w:rFonts w:asciiTheme="majorHAnsi" w:hAnsiTheme="majorHAnsi" w:cs="Times New Roman"/>
          <w:lang w:val="en-US"/>
        </w:rPr>
        <w:t xml:space="preserve">conducted </w:t>
      </w:r>
      <w:r w:rsidR="00875E0E" w:rsidRPr="00C93520">
        <w:rPr>
          <w:rFonts w:asciiTheme="majorHAnsi" w:hAnsiTheme="majorHAnsi" w:cs="Times New Roman"/>
          <w:lang w:val="en-US"/>
        </w:rPr>
        <w:t>on a neutropenic b</w:t>
      </w:r>
      <w:r w:rsidR="00875E0E" w:rsidRPr="00906A82">
        <w:rPr>
          <w:rFonts w:asciiTheme="majorHAnsi" w:hAnsiTheme="majorHAnsi" w:cs="Times New Roman"/>
          <w:lang w:val="en-US"/>
        </w:rPr>
        <w:t>ackground</w:t>
      </w:r>
      <w:r w:rsidR="005801C9" w:rsidRPr="008B61C3">
        <w:rPr>
          <w:rFonts w:asciiTheme="majorHAnsi" w:hAnsiTheme="majorHAnsi" w:cs="Times New Roman"/>
          <w:lang w:val="en-US"/>
        </w:rPr>
        <w:t xml:space="preserve"> are </w:t>
      </w:r>
      <w:r w:rsidR="00933445" w:rsidRPr="006F2161">
        <w:rPr>
          <w:rFonts w:asciiTheme="majorHAnsi" w:hAnsiTheme="majorHAnsi" w:cs="Times New Roman"/>
          <w:lang w:val="en-US"/>
        </w:rPr>
        <w:t xml:space="preserve">typically </w:t>
      </w:r>
      <w:r w:rsidR="00EA284B" w:rsidRPr="007451B8">
        <w:rPr>
          <w:rFonts w:asciiTheme="majorHAnsi" w:hAnsiTheme="majorHAnsi" w:cs="Times New Roman"/>
          <w:lang w:val="en-US"/>
        </w:rPr>
        <w:t>sever</w:t>
      </w:r>
      <w:r w:rsidR="00AE0905" w:rsidRPr="007451B8">
        <w:rPr>
          <w:rFonts w:asciiTheme="majorHAnsi" w:hAnsiTheme="majorHAnsi" w:cs="Times New Roman"/>
          <w:lang w:val="en-US"/>
        </w:rPr>
        <w:t>e</w:t>
      </w:r>
      <w:r w:rsidR="00EA284B" w:rsidRPr="007451B8">
        <w:rPr>
          <w:rFonts w:asciiTheme="majorHAnsi" w:hAnsiTheme="majorHAnsi" w:cs="Times New Roman"/>
          <w:lang w:val="en-US"/>
        </w:rPr>
        <w:t xml:space="preserve">, </w:t>
      </w:r>
      <w:r w:rsidR="00933445" w:rsidRPr="007E2A5E">
        <w:rPr>
          <w:rFonts w:asciiTheme="majorHAnsi" w:hAnsiTheme="majorHAnsi" w:cs="Times New Roman"/>
          <w:lang w:val="en-US"/>
        </w:rPr>
        <w:t>rapidly progressive and uniformly lethal.</w:t>
      </w:r>
      <w:r w:rsidR="006C7B86">
        <w:rPr>
          <w:rFonts w:asciiTheme="majorHAnsi" w:hAnsiTheme="majorHAnsi" w:cs="Times New Roman"/>
          <w:lang w:val="en-US"/>
        </w:rPr>
        <w:t xml:space="preserve"> </w:t>
      </w:r>
      <w:r w:rsidR="00EA284B" w:rsidRPr="007E2A5E">
        <w:rPr>
          <w:rFonts w:asciiTheme="majorHAnsi" w:hAnsiTheme="majorHAnsi" w:cs="Times New Roman"/>
          <w:lang w:val="en-US"/>
        </w:rPr>
        <w:t xml:space="preserve">Consequently, </w:t>
      </w:r>
      <w:r w:rsidR="00EE5AAD" w:rsidRPr="007E2A5E">
        <w:rPr>
          <w:rFonts w:asciiTheme="majorHAnsi" w:hAnsiTheme="majorHAnsi" w:cs="Times New Roman"/>
          <w:lang w:val="en-US"/>
        </w:rPr>
        <w:t>conservative</w:t>
      </w:r>
      <w:r w:rsidR="00EA284B" w:rsidRPr="007E2A5E">
        <w:rPr>
          <w:rFonts w:asciiTheme="majorHAnsi" w:hAnsiTheme="majorHAnsi" w:cs="Times New Roman"/>
          <w:lang w:val="en-US"/>
        </w:rPr>
        <w:t xml:space="preserve"> endpoints such as 100% survival or complete suppression of a biomarker may not be realistic</w:t>
      </w:r>
      <w:r w:rsidR="0078507B" w:rsidRPr="007E2A5E">
        <w:rPr>
          <w:rFonts w:asciiTheme="majorHAnsi" w:hAnsiTheme="majorHAnsi" w:cs="Times New Roman"/>
          <w:lang w:val="en-US"/>
        </w:rPr>
        <w:t xml:space="preserve"> or appropriate for bridging </w:t>
      </w:r>
      <w:r w:rsidR="00EE5AAD" w:rsidRPr="007E2A5E">
        <w:rPr>
          <w:rFonts w:asciiTheme="majorHAnsi" w:hAnsiTheme="majorHAnsi" w:cs="Times New Roman"/>
          <w:lang w:val="en-US"/>
        </w:rPr>
        <w:t>to the clinic</w:t>
      </w:r>
      <w:r w:rsidR="0078507B" w:rsidRPr="007E2A5E">
        <w:rPr>
          <w:rFonts w:asciiTheme="majorHAnsi" w:hAnsiTheme="majorHAnsi" w:cs="Times New Roman"/>
          <w:lang w:val="en-US"/>
        </w:rPr>
        <w:t>.</w:t>
      </w:r>
      <w:r w:rsidR="006C7B86">
        <w:rPr>
          <w:rFonts w:asciiTheme="majorHAnsi" w:hAnsiTheme="majorHAnsi" w:cs="Times New Roman"/>
          <w:lang w:val="en-US"/>
        </w:rPr>
        <w:t xml:space="preserve"> </w:t>
      </w:r>
    </w:p>
    <w:p w14:paraId="3A4D3AEE" w14:textId="2439AE81" w:rsidR="00F74242" w:rsidRPr="007E2A5E" w:rsidRDefault="00C2587C" w:rsidP="007A2846">
      <w:pPr>
        <w:widowControl w:val="0"/>
        <w:autoSpaceDE w:val="0"/>
        <w:autoSpaceDN w:val="0"/>
        <w:adjustRightInd w:val="0"/>
        <w:spacing w:line="276" w:lineRule="auto"/>
        <w:ind w:firstLine="720"/>
        <w:rPr>
          <w:rFonts w:asciiTheme="majorHAnsi" w:hAnsiTheme="majorHAnsi" w:cs="Times New Roman"/>
          <w:lang w:val="en-US"/>
        </w:rPr>
      </w:pPr>
      <w:r>
        <w:rPr>
          <w:rFonts w:asciiTheme="majorHAnsi" w:hAnsiTheme="majorHAnsi" w:cs="Times New Roman"/>
          <w:lang w:val="en-US"/>
        </w:rPr>
        <w:t xml:space="preserve">Given the relatively newer nature of work in this area, the use of comparative measures </w:t>
      </w:r>
      <w:r w:rsidR="003F7189">
        <w:rPr>
          <w:rFonts w:asciiTheme="majorHAnsi" w:hAnsiTheme="majorHAnsi" w:cs="Times New Roman"/>
          <w:lang w:val="en-US"/>
        </w:rPr>
        <w:t xml:space="preserve">within a standardized model </w:t>
      </w:r>
      <w:r>
        <w:rPr>
          <w:rFonts w:asciiTheme="majorHAnsi" w:hAnsiTheme="majorHAnsi" w:cs="Times New Roman"/>
          <w:lang w:val="en-US"/>
        </w:rPr>
        <w:t xml:space="preserve">may be helpful. For example, the effect of a </w:t>
      </w:r>
      <w:r w:rsidR="003A0E5A">
        <w:rPr>
          <w:rFonts w:asciiTheme="majorHAnsi" w:hAnsiTheme="majorHAnsi" w:cs="Times New Roman"/>
          <w:lang w:val="en-US"/>
        </w:rPr>
        <w:t>clinically relevant</w:t>
      </w:r>
      <w:r>
        <w:rPr>
          <w:rFonts w:asciiTheme="majorHAnsi" w:hAnsiTheme="majorHAnsi" w:cs="Times New Roman"/>
          <w:lang w:val="en-US"/>
        </w:rPr>
        <w:t xml:space="preserve"> exposure of an agent with known efficacy could be used as an internal benchmark, with t</w:t>
      </w:r>
      <w:r w:rsidR="00AE0905" w:rsidRPr="007E2A5E">
        <w:rPr>
          <w:rFonts w:asciiTheme="majorHAnsi" w:hAnsiTheme="majorHAnsi" w:cs="Times New Roman"/>
          <w:lang w:val="en-US"/>
        </w:rPr>
        <w:t xml:space="preserve">he experimental conditions </w:t>
      </w:r>
      <w:r w:rsidR="006E3706" w:rsidRPr="007E2A5E">
        <w:rPr>
          <w:rFonts w:asciiTheme="majorHAnsi" w:hAnsiTheme="majorHAnsi" w:cs="Times New Roman"/>
          <w:lang w:val="en-US"/>
        </w:rPr>
        <w:t>(e.g. the inoculum, delay in administration of drug, duration of the mo</w:t>
      </w:r>
      <w:r w:rsidR="000A7D18" w:rsidRPr="007E2A5E">
        <w:rPr>
          <w:rFonts w:asciiTheme="majorHAnsi" w:hAnsiTheme="majorHAnsi" w:cs="Times New Roman"/>
          <w:lang w:val="en-US"/>
        </w:rPr>
        <w:t xml:space="preserve">del, degree of background immunosuppression) </w:t>
      </w:r>
      <w:r>
        <w:rPr>
          <w:rFonts w:asciiTheme="majorHAnsi" w:hAnsiTheme="majorHAnsi" w:cs="Times New Roman"/>
          <w:lang w:val="en-US"/>
        </w:rPr>
        <w:t xml:space="preserve">adjusted </w:t>
      </w:r>
      <w:r w:rsidR="006E3706" w:rsidRPr="007E2A5E">
        <w:rPr>
          <w:rFonts w:asciiTheme="majorHAnsi" w:hAnsiTheme="majorHAnsi" w:cs="Times New Roman"/>
          <w:lang w:val="en-US"/>
        </w:rPr>
        <w:t xml:space="preserve">to </w:t>
      </w:r>
      <w:r w:rsidR="00D315CD" w:rsidRPr="007E2A5E">
        <w:rPr>
          <w:rFonts w:asciiTheme="majorHAnsi" w:hAnsiTheme="majorHAnsi" w:cs="Times New Roman"/>
          <w:lang w:val="en-US"/>
        </w:rPr>
        <w:t>produce</w:t>
      </w:r>
      <w:r w:rsidR="00D315CD">
        <w:rPr>
          <w:rFonts w:asciiTheme="majorHAnsi" w:hAnsiTheme="majorHAnsi" w:cs="Times New Roman"/>
          <w:lang w:val="en-US"/>
        </w:rPr>
        <w:t xml:space="preserve"> </w:t>
      </w:r>
      <w:r w:rsidR="00D315CD" w:rsidRPr="007E2A5E">
        <w:rPr>
          <w:rFonts w:asciiTheme="majorHAnsi" w:hAnsiTheme="majorHAnsi" w:cs="Times New Roman"/>
          <w:lang w:val="en-US"/>
        </w:rPr>
        <w:t>”</w:t>
      </w:r>
      <w:r w:rsidR="006E3706" w:rsidRPr="007E2A5E">
        <w:rPr>
          <w:rFonts w:asciiTheme="majorHAnsi" w:hAnsiTheme="majorHAnsi" w:cs="Times New Roman"/>
          <w:lang w:val="en-US"/>
        </w:rPr>
        <w:t>on scale</w:t>
      </w:r>
      <w:r w:rsidR="0025112E">
        <w:rPr>
          <w:rFonts w:asciiTheme="majorHAnsi" w:hAnsiTheme="majorHAnsi" w:cs="Times New Roman"/>
          <w:lang w:val="en-US"/>
        </w:rPr>
        <w:t>”</w:t>
      </w:r>
      <w:r w:rsidR="006E3706" w:rsidRPr="007E2A5E">
        <w:rPr>
          <w:rFonts w:asciiTheme="majorHAnsi" w:hAnsiTheme="majorHAnsi" w:cs="Times New Roman"/>
          <w:lang w:val="en-US"/>
        </w:rPr>
        <w:t xml:space="preserve"> readouts</w:t>
      </w:r>
      <w:r w:rsidR="000A7D18" w:rsidRPr="007E2A5E">
        <w:rPr>
          <w:rFonts w:asciiTheme="majorHAnsi" w:hAnsiTheme="majorHAnsi" w:cs="Times New Roman"/>
          <w:lang w:val="en-US"/>
        </w:rPr>
        <w:t>.</w:t>
      </w:r>
      <w:r>
        <w:rPr>
          <w:rFonts w:asciiTheme="majorHAnsi" w:hAnsiTheme="majorHAnsi" w:cs="Times New Roman"/>
          <w:lang w:val="en-US"/>
        </w:rPr>
        <w:t xml:space="preserve"> A demonstration that the novel agent produced an effect in the same range as the known agent </w:t>
      </w:r>
      <w:r w:rsidR="003564C8">
        <w:rPr>
          <w:rFonts w:asciiTheme="majorHAnsi" w:hAnsiTheme="majorHAnsi" w:cs="Times New Roman"/>
          <w:lang w:val="en-US"/>
        </w:rPr>
        <w:t xml:space="preserve">can </w:t>
      </w:r>
      <w:r>
        <w:rPr>
          <w:rFonts w:asciiTheme="majorHAnsi" w:hAnsiTheme="majorHAnsi" w:cs="Times New Roman"/>
          <w:lang w:val="en-US"/>
        </w:rPr>
        <w:t>then be used as evidence of having identified an appropriate model and endpoint.</w:t>
      </w:r>
      <w:r w:rsidR="006C7B86">
        <w:rPr>
          <w:rFonts w:asciiTheme="majorHAnsi" w:hAnsiTheme="majorHAnsi" w:cs="Times New Roman"/>
          <w:lang w:val="en-US"/>
        </w:rPr>
        <w:t xml:space="preserve"> </w:t>
      </w:r>
      <w:r w:rsidR="00D315CD">
        <w:rPr>
          <w:rFonts w:asciiTheme="majorHAnsi" w:hAnsiTheme="majorHAnsi" w:cs="Times New Roman"/>
          <w:lang w:val="en-US"/>
        </w:rPr>
        <w:t xml:space="preserve">More work is required to better understand the </w:t>
      </w:r>
      <w:r w:rsidR="006D76F1">
        <w:rPr>
          <w:rFonts w:asciiTheme="majorHAnsi" w:hAnsiTheme="majorHAnsi" w:cs="Times New Roman"/>
          <w:lang w:val="en-US"/>
        </w:rPr>
        <w:t>endpoints used in these various models.</w:t>
      </w:r>
    </w:p>
    <w:p w14:paraId="3FDA9A1F" w14:textId="77777777" w:rsidR="00F74242" w:rsidRDefault="00F74242" w:rsidP="007A2846">
      <w:pPr>
        <w:widowControl w:val="0"/>
        <w:autoSpaceDE w:val="0"/>
        <w:autoSpaceDN w:val="0"/>
        <w:adjustRightInd w:val="0"/>
        <w:spacing w:line="276" w:lineRule="auto"/>
        <w:rPr>
          <w:rFonts w:asciiTheme="majorHAnsi" w:hAnsiTheme="majorHAnsi" w:cs="Times New Roman"/>
          <w:lang w:val="en-US"/>
        </w:rPr>
      </w:pPr>
    </w:p>
    <w:p w14:paraId="77D65D01" w14:textId="77777777" w:rsidR="00C95EE6" w:rsidRPr="007E2A5E" w:rsidRDefault="00C95EE6" w:rsidP="007A2846">
      <w:pPr>
        <w:widowControl w:val="0"/>
        <w:autoSpaceDE w:val="0"/>
        <w:autoSpaceDN w:val="0"/>
        <w:adjustRightInd w:val="0"/>
        <w:spacing w:line="276" w:lineRule="auto"/>
        <w:rPr>
          <w:rFonts w:asciiTheme="majorHAnsi" w:hAnsiTheme="majorHAnsi" w:cs="Times New Roman"/>
          <w:lang w:val="en-US"/>
        </w:rPr>
      </w:pPr>
    </w:p>
    <w:p w14:paraId="4057730D" w14:textId="77777777" w:rsidR="001324F2" w:rsidRDefault="006D76F1"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lastRenderedPageBreak/>
        <w:t>c. Cryptococcal meningitis</w:t>
      </w:r>
    </w:p>
    <w:p w14:paraId="75E580C0" w14:textId="77777777" w:rsidR="00B71E1E" w:rsidRDefault="0065244D" w:rsidP="007A2846">
      <w:pPr>
        <w:pStyle w:val="ListParagraph"/>
        <w:widowControl w:val="0"/>
        <w:numPr>
          <w:ilvl w:val="0"/>
          <w:numId w:val="28"/>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 xml:space="preserve">Models of </w:t>
      </w:r>
      <w:r>
        <w:rPr>
          <w:rFonts w:asciiTheme="majorHAnsi" w:hAnsiTheme="majorHAnsi" w:cs="Times New Roman"/>
          <w:lang w:val="en-US"/>
        </w:rPr>
        <w:t>cryptococcal meningoencephalitis</w:t>
      </w:r>
      <w:r w:rsidR="00B71E1E">
        <w:rPr>
          <w:rFonts w:asciiTheme="majorHAnsi" w:hAnsiTheme="majorHAnsi" w:cs="Times New Roman"/>
          <w:lang w:val="en-US"/>
        </w:rPr>
        <w:tab/>
      </w:r>
    </w:p>
    <w:p w14:paraId="00894D73" w14:textId="08BD97E7" w:rsidR="00B71E1E" w:rsidRDefault="00B71E1E"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b/>
        <w:t>Two models of cryptococcal meningoencephalitis have been developed.</w:t>
      </w:r>
      <w:r w:rsidR="006C7B86">
        <w:rPr>
          <w:rFonts w:asciiTheme="majorHAnsi" w:hAnsiTheme="majorHAnsi" w:cs="Times New Roman"/>
          <w:lang w:val="en-US"/>
        </w:rPr>
        <w:t xml:space="preserve"> </w:t>
      </w:r>
      <w:r>
        <w:rPr>
          <w:rFonts w:asciiTheme="majorHAnsi" w:hAnsiTheme="majorHAnsi" w:cs="Times New Roman"/>
          <w:lang w:val="en-US"/>
        </w:rPr>
        <w:t xml:space="preserve">The first is a murine model where </w:t>
      </w:r>
      <w:r w:rsidR="00B302B8" w:rsidRPr="0073162B">
        <w:rPr>
          <w:rFonts w:asciiTheme="majorHAnsi" w:hAnsiTheme="majorHAnsi" w:cs="Times New Roman"/>
          <w:i/>
          <w:lang w:val="en-US"/>
        </w:rPr>
        <w:t>Cryptococcus neoformans</w:t>
      </w:r>
      <w:r w:rsidR="00B302B8">
        <w:rPr>
          <w:rFonts w:asciiTheme="majorHAnsi" w:hAnsiTheme="majorHAnsi" w:cs="Times New Roman"/>
          <w:lang w:val="en-US"/>
        </w:rPr>
        <w:t xml:space="preserve"> is inoculated into the respiratory tract or administered i.v.</w:t>
      </w:r>
      <w:r w:rsidR="0041338C">
        <w:rPr>
          <w:rFonts w:asciiTheme="majorHAnsi" w:hAnsiTheme="majorHAnsi" w:cs="Times New Roman"/>
          <w:lang w:val="en-US"/>
        </w:rPr>
        <w:t xml:space="preserve"> (</w:t>
      </w:r>
      <w:proofErr w:type="gramStart"/>
      <w:r w:rsidR="0041338C">
        <w:rPr>
          <w:rFonts w:asciiTheme="majorHAnsi" w:hAnsiTheme="majorHAnsi" w:cs="Times New Roman"/>
          <w:lang w:val="en-US"/>
        </w:rPr>
        <w:t>see</w:t>
      </w:r>
      <w:proofErr w:type="gramEnd"/>
      <w:r w:rsidR="0041338C">
        <w:rPr>
          <w:rFonts w:asciiTheme="majorHAnsi" w:hAnsiTheme="majorHAnsi" w:cs="Times New Roman"/>
          <w:lang w:val="en-US"/>
        </w:rPr>
        <w:t xml:space="preserve"> for example</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"10.1093/infdis/jit164", "ISBN" : "1537-6613 (Electronic)\n0022-1899 (Linking)", "ISSN" : "1537-6613", "PMID" : "23599314", "abstract" : "BACKGROUND: Cryptococcal meningoencephalitis is a lethal infection with relatively few therapeutic options. The optimal dosage of liposomal amphotericin B (LAmB) alone or in combination with flucytosine is not known.\n\nMETHODS: A murine model of cryptococcal meningoencephalitis was used. The fungal density in the brain was determined using quantitative cultures. Pharmacokinetic-pharmacodynamic relationships were determined for LAmB and flucytosine administered alone. The effect of the combination was described using the Greco model and a mathematical model. The results were bridged to humans.\n\nRESULTS: Inoculation resulted in hematogenous dissemination and logarithmic growth within the central nervous system. There was histological evidence of multifocal infection throughout the brain. Both LAmB and flucytosine produced a dose-dependent reduction in fungal burden. The effect of the combination of agents in the brain was additive. Bridging studies suggested that a human dosage of LAmB 3 mg/kg/d resulted in a submaximal antifungal effect. Regimens of LAmB 6 mg/kg/d alone, LAmB 3 mg/kg/d plus flucytosine 50 mg/kg/d, and LAmB 3 mg/kg/d plus flucytosine 100 mg/kg/d all resulted in near-maximal antifungal activity.\n\nCONCLUSIONS: Potential regimens for further study in clinical trials include LAmB 6 mg/kg/d alone, LAmB 3 mg/kg/d plus flucytosine 50 mg/kg/d, and LAmB 3 mg/kg/d plus flucytosine 100 mg/kg/d.", "author" : [ { "dropping-particle" : "", "family" : "O'Connor", "given" : "Lucy", "non-dropping-particle" : "", "parse-names" : false, "suffix" : "" }, { "dropping-particle" : "", "family" : "Livermore", "given" : "Joanne", "non-dropping-particle" : "", "parse-names" : false, "suffix" : "" }, { "dropping-particle" : "", "family" : "Sharp", "given" : "Andrew D", "non-dropping-particle" : "", "parse-names" : false, "suffix" : "" }, { "dropping-particle" : "", "family" : "Goodwin", "given" : "Joanne", "non-dropping-particle" : "", "parse-names" : false, "suffix" : "" }, { "dropping-particle" : "", "family" : "Gregson", "given" : "Lea", "non-dropping-particle" : "", "parse-names" : false, "suffix" : "" }, { "dropping-particle" : "", "family" : "Howard", "given" : "Susan J", "non-dropping-particle" : "", "parse-names" : false, "suffix" : "" }, { "dropping-particle" : "", "family" : "Felton", "given" : "Timothy W", "non-dropping-particle" : "", "parse-names" : false, "suffix" : "" }, { "dropping-particle" : "", "family" : "Schwartz", "given" : "Julie a", "non-dropping-particle" : "", "parse-names" : false, "suffix" : "" }, { "dropping-particle" : "", "family" : "Neely", "given" : "Michael N", "non-dropping-particle" : "", "parse-names" : false, "suffix" : "" }, { "dropping-particle" : "", "family" : "Harrison", "given" : "Thomas S", "non-dropping-particle" : "", "parse-names" : false, "suffix" : "" }, { "dropping-particle" : "", "family" : "Perfect", "given" : "John R", "non-dropping-particle" : "", "parse-names" : false, "suffix" : "" }, { "dropping-particle" : "", "family" : "Hope", "given" : "William W", "non-dropping-particle" : "", "parse-names" : false, "suffix" : "" } ], "container-title" : "The Journal of infectious diseases", "edition" : "2013/04/20", "id" : "ITEM-1", "issue" : "2", "issued" : { "date-parts" : [ [ "2013", "7", "15" ] ] }, "language" : "eng", "note" : "From Duplicate 2 ( \n\nPharmacodynamics of liposomal amphotericin B and flucytosine for cryptococcal meningoencephalitis: safe and effective regimens for immunocompromised patients\n\n- O'Connor, Lucy; Livermore, Joanne; Sharp, Andrew D; Goodwin, Joanne; Gregson, Lea; Howard, Susan J; Felton, Timothy W; Schwartz, Julie A; Neely, Michael N; Harrison, Thomas S; Perfect, John R; Hope, William W )\n\n\n\n\nFrom Duplicate 1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)\nAnd Duplicate 4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)\n\n\n\nO'Connor, Lucy\nLivermore, Joanne\nSharp, Andrew D\nGoodwin, Joanne\nGregson, Lea\nHoward, Susan J\nFelton, Timothy W\nSchwartz, Julie A\nNeely, Michael N\nHarrison, Thomas S\nPerfect, John R\nHope, William W\nJ Infect Dis. 2013 Jul;208(2):351-61. doi: 10.1093/infdis/jit164. Epub 2013 Apr 18.\n\n\n\nFrom Duplicate 3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)\nAnd Duplicate 5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)\n\n\n\nO'Connor, Lucy\nLivermore, Joanne\nSharp, Andrew D\nGoodwin, Joanne\nGregson, Lea\nHoward, Susan J\nFelton, Timothy W\nSchwartz, Julie A\nNeely, Michael N\nHarrison, Thomas S\nPerfect, John R\nHope, William W\nR01 GM068968/GM/NIGMS NIH HHS/\nR01 HD070886/HD/NICHD NIH HHS/\nR01 HD070996/HD/NICHD NIH HHS/\nMedical Research Council/United Kingdom\nJ Infect Dis. 2013 Jul 15;208(2):351-61. doi: 10.1093/infdis/jit164. Epub 2013 Apr 18.", "page" : "351-61", "title" : "Pharmacodynamics of liposomal amphotericin B and flucytosine for cryptococcal meningoencephalitis: safe and effective regimens for immunocompromised patients.", "type" : "article-journal", "volume" : "208" }, "uris" : [ "http://www.mendeley.com/documents/?uuid=abe7e06a-0c37-4abb-84aa-40eb989d7816" ] }, { "id" : "ITEM-2", "itemData" : { "DOI" : "10.1128/AAC.00216-13", "ISBN" : "1098-6596 (Electronic)\n0066-4804 (Linking)", "ISSN" : "1098-6596", "PMID" : "23571544", "abstract" : "Fluconazole is frequently the only antifungal agent that is available for induction therapy for cryptococcal meningitis. There is relatively little understanding of the pharmacokinetics and pharmacodynamics (PK-PD) of fluconazole in this setting. PK-PD relationships were estimated with 4 clinical isolates of Cryptococcus neoformans. MICs were determined using Clinical and Laboratory Standards Institute (CLSI) methodology. A nonimmunosuppressed murine model of cryptococcal meningitis was used. Mice received two different doses of fluconazole (125 mg/kg of body weight/day and 250 mg/kg of body weight/day) orally for 9 days; a control group of mice was not given fluconazole. Fluconazole concentrations in plasma and in the cerebrum were determined using high-performance liquid chromatography (HPLC). The cryptococcal density in the brain was estimated using quantitative cultures. A mathematical model was fitted to the PK-PD data. The experimental results were extrapolated to humans (bridging study). The PK were linear. A dose-dependent decline in fungal burden was observed, with near-maximal activity evident with dosages of 250 mg/kg/day. The MIC was important for understanding the exposure-response relationships. The mean AUC/MIC ratio associated with stasis was 389. The results of the bridging study suggested that only 66.7% of patients receiving 1,200 mg/kg would achieve or exceed an AUC/MIC ratio of 389. The potential breakpoints for fluconazole against Cryptococcus neoformans follow: susceptible, &lt;/= 2 mg/liter; resistant, &gt;2 mg/liter. Fluconazole may be an inferior agent for induction therapy because many patients cannot achieve the pharmacodynamic target. Clinical breakpoints are likely to be significantly lower than epidemiological cutoff values. The MIC may guide the appropriate use of fluconazole. If fluconazole is the only option for induction therapy, then the highest possible dose should be used.", "author" : [ { "dropping-particle" : "", "family" : "Sudan", "given" : "Ajay", "non-dropping-particle" : "", "parse-names" : false, "suffix" : "" }, { "dropping-particle" : "", "family" : "Livermore", "given" : "Joanne", "non-dropping-particle" : "", "parse-names" : false, "suffix" : "" }, { "dropping-particle" : "", "family" : "Howard", "given" : "Susan J", "non-dropping-particle" : "", "parse-names" : false, "suffix" : "" }, { "dropping-particle" : "", "family" : "Al-Nakeeb", "given" : "Zaid", "non-dropping-particle" : "", "parse-names" : false, "suffix" : "" }, { "dropping-particle" : "", "family" : "Sharp", "given" : "Andrew", "non-dropping-particle" : "", "parse-names" : false, "suffix" : "" }, { "dropping-particle" : "", "family" : "Goodwin", "given" : "Joanne", "non-dropping-particle" : "", "parse-names" : false, "suffix" : "" }, { "dropping-particle" : "", "family" : "Gregson", "given" : "Lea", "non-dropping-particle" : "", "parse-names" : false, "suffix" : "" }, { "dropping-particle" : "", "family" : "Warn", "given" : "Peter A", "non-dropping-particle" : "", "parse-names" : false, "suffix" : "" }, { "dropping-particle" : "", "family" : "Felton", "given" : "Tim W", "non-dropping-particle" : "", "parse-names" : false, "suffix" : "" }, { "dropping-particle" : "", "family" : "Perfect", "given" : "John R", "non-dropping-particle" : "", "parse-names" : false, "suffix" : "" }, { "dropping-particle" : "", "family" : "others", "given" : "", "non-dropping-particle" : "", "parse-names" : false, "suffix" : "" }, { "dropping-particle" : "", "family" : "Harrison", "given" : "Thomas S", "non-dropping-particle" : "", "parse-names" : false, "suffix" : "" }, { "dropping-particle" : "", "family" : "Hope", "given" : "William W", "non-dropping-particle" : "", "parse-names" : false, "suffix" : "" } ], "container-title" : "Antimicrobial agents and chemotherapy", "edition" : "2013/04/11", "id" : "ITEM-2", "issue" : "6", "issued" : { "date-parts" : [ [ "2013", "6" ] ] }, "language" : "eng", "note" : "From Duplicate 1 (Pharmacokinetics and pharmacodynamics of fluconazole for cryptococcal meningoencephalitis: implications for antifungal therapy and in vitro susceptibility breakpoints. - Sudan, Ajay; Livermore, Joanne; Howard, Susan J; Al-Nakeeb, Zaid; Sharp, Andrew; Goodwin, Joanne; Gregson, Lea; Warn, Peter A; Felton, Tim W; Perfect, John R; Harrison, Thomas S; Hope, William W)\n\nFrom Duplicate 2 ( \n\nPharmacokinetics and pharmacodynamics of fluconazole for cryptococcal meningoencephalitis: implications for antifungal therapy and in vitro susceptibility breakpoints\n\n- Sudan, A; Livermore, J; Howard, S J; Al-Nakeeb, Z; Sharp, A; Goodwin, J; Gregson, L; Warn, P A; Felton, T W; Perfect, J R; Harrison, T S; Hope, W W )\n\n\n\nSudan, Ajay\nLivermore, Joanne\nHoward, Susan J\nAl-Nakeeb, Zaid\nSharp, Andrew\nGoodwin, Joanne\nGregson, Lea\nWarn, Peter A\nFelton, Tim W\nPerfect, John R\nHarrison, Thomas S\nHope, William W\nG1001760/2/Medical Research Council/United Kingdom\nAntimicrob Agents Chemother. 2013 Jun;57(6):2793-800. doi: 10.1128/AAC.00216-13. Epub 2013 Apr 9.", "page" : "2793-2800", "title" : "Pharmacokinetics and pharmacodynamics of fluconazole for cryptococcal meningoencephalitis: implications for antifungal therapy and in vitro susceptibility breakpoints", "type" : "article-journal", "volume" : "57" }, "uris" : [ "http://www.mendeley.com/documents/?uuid=c5069e26-1635-4ff4-bbce-5d7cd3f7706c" ] } ], "mendeley" : { "formattedCitation" : "&lt;sup&gt;50,51&lt;/sup&gt;", "plainTextFormattedCitation" : "50,51", "previouslyFormattedCitation" : "&lt;sup&gt;50,51&lt;/sup&gt;"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50,51</w:t>
      </w:r>
      <w:r w:rsidR="004D32CF">
        <w:rPr>
          <w:rFonts w:asciiTheme="majorHAnsi" w:hAnsiTheme="majorHAnsi" w:cs="Times New Roman"/>
          <w:lang w:val="en-US"/>
        </w:rPr>
        <w:fldChar w:fldCharType="end"/>
      </w:r>
      <w:r w:rsidR="00A42EE6">
        <w:rPr>
          <w:rFonts w:asciiTheme="majorHAnsi" w:hAnsiTheme="majorHAnsi" w:cs="Times New Roman"/>
          <w:lang w:val="en-US"/>
        </w:rPr>
        <w:t>)</w:t>
      </w:r>
      <w:r w:rsidR="006C7B86">
        <w:rPr>
          <w:rFonts w:asciiTheme="majorHAnsi" w:hAnsiTheme="majorHAnsi" w:cs="Times New Roman"/>
          <w:lang w:val="en-US"/>
        </w:rPr>
        <w:t xml:space="preserve"> </w:t>
      </w:r>
      <w:r w:rsidR="00E81213">
        <w:rPr>
          <w:rFonts w:asciiTheme="majorHAnsi" w:hAnsiTheme="majorHAnsi" w:cs="Times New Roman"/>
          <w:lang w:val="en-US"/>
        </w:rPr>
        <w:t>In either case disseminated</w:t>
      </w:r>
      <w:r w:rsidR="00B302B8">
        <w:rPr>
          <w:rFonts w:asciiTheme="majorHAnsi" w:hAnsiTheme="majorHAnsi" w:cs="Times New Roman"/>
          <w:lang w:val="en-US"/>
        </w:rPr>
        <w:t xml:space="preserve"> disease ensues</w:t>
      </w:r>
      <w:r w:rsidR="00E81213">
        <w:rPr>
          <w:rFonts w:asciiTheme="majorHAnsi" w:hAnsiTheme="majorHAnsi" w:cs="Times New Roman"/>
          <w:lang w:val="en-US"/>
        </w:rPr>
        <w:t xml:space="preserve"> with </w:t>
      </w:r>
      <w:r w:rsidR="00520FE7">
        <w:rPr>
          <w:rFonts w:asciiTheme="majorHAnsi" w:hAnsiTheme="majorHAnsi" w:cs="Times New Roman"/>
          <w:lang w:val="en-US"/>
        </w:rPr>
        <w:t>predictable</w:t>
      </w:r>
      <w:r w:rsidR="00E81213">
        <w:rPr>
          <w:rFonts w:asciiTheme="majorHAnsi" w:hAnsiTheme="majorHAnsi" w:cs="Times New Roman"/>
          <w:lang w:val="en-US"/>
        </w:rPr>
        <w:t xml:space="preserve"> and reproducible encephalitis</w:t>
      </w:r>
      <w:r w:rsidR="00520FE7">
        <w:rPr>
          <w:rFonts w:asciiTheme="majorHAnsi" w:hAnsiTheme="majorHAnsi" w:cs="Times New Roman"/>
          <w:lang w:val="en-US"/>
        </w:rPr>
        <w:t>.</w:t>
      </w:r>
      <w:r w:rsidR="006C7B86">
        <w:rPr>
          <w:rFonts w:asciiTheme="majorHAnsi" w:hAnsiTheme="majorHAnsi" w:cs="Times New Roman"/>
          <w:lang w:val="en-US"/>
        </w:rPr>
        <w:t xml:space="preserve"> </w:t>
      </w:r>
      <w:r w:rsidR="00674AF0">
        <w:rPr>
          <w:rFonts w:asciiTheme="majorHAnsi" w:hAnsiTheme="majorHAnsi" w:cs="Times New Roman"/>
          <w:lang w:val="en-US"/>
        </w:rPr>
        <w:t xml:space="preserve">The histopathological sequence </w:t>
      </w:r>
      <w:r w:rsidR="00221A40">
        <w:rPr>
          <w:rFonts w:asciiTheme="majorHAnsi" w:hAnsiTheme="majorHAnsi" w:cs="Times New Roman"/>
          <w:lang w:val="en-US"/>
        </w:rPr>
        <w:t>has been described</w:t>
      </w:r>
      <w:r w:rsidR="0087135B">
        <w:rPr>
          <w:rFonts w:asciiTheme="majorHAnsi" w:hAnsiTheme="majorHAnsi" w:cs="Times New Roman"/>
          <w:lang w:val="en-US"/>
        </w:rPr>
        <w:t>.</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"author" : [ { "dropping-particle" : "", "family" : "Livermore", "given" : "Joanne", "non-dropping-particle" : "", "parse-names" : false, "suffix" : "" }, { "dropping-particle" : "", "family" : "Howard", "given" : "Susan J", "non-dropping-particle" : "", "parse-names" : false, "suffix" : "" }, { "dropping-particle" : "", "family" : "Sharp", "given" : "Andrew D", "non-dropping-particle" : "", "parse-names" : false, "suffix" : "" }, { "dropping-particle" : "", "family" : "Goodwin", "given" : "Joanne", "non-dropping-particle" : "", "parse-names" : false, "suffix" : "" }, { "dropping-particle" : "", "family" : "Gregson", "given" : "Lea", "non-dropping-particle" : "", "parse-names" : false, "suffix" : "" }, { "dropping-particle" : "", "family" : "Felton", "given" : "Timothy", "non-dropping-particle" : "", "parse-names" : false, "suffix" : "" }, { "dropping-particle" : "", "family" : "Schwartz", "given" : "Julie A", "non-dropping-particle" : "", "parse-names" : false, "suffix" : "" }, { "dropping-particle" : "", "family" : "Walker", "given" : "Catherine", "non-dropping-particle" : "", "parse-names" : false, "suffix" : "" }, { "dropping-particle" : "", "family" : "Moser", "given" : "Bill", "non-dropping-particle" : "", "parse-names" : false, "suffix" : "" }, { "dropping-particle" : "", "family" : "M\u00fcller", "given" : "Werner", "non-dropping-particle" : "", "parse-names" : false, "suffix" : "" }, { "dropping-particle" : "", "family" : "others", "given" : "", "non-dropping-particle" : "", "parse-names" : false, "suffix" : "" } ], "container-title" : "mBio", "id" : "ITEM-1", "issue" : "1", "issued" : { "date-parts" : [ [ "2014" ] ] }, "page" : "e00725--13", "title" : "Efficacy of an abbreviated induction regimen of amphotericin B deoxycholate for cryptococcal meningoencephalitis: 3 days of therapy is equivalent to 14 days", "type" : "article-journal", "volume" : "5" }, "uris" : [ "http://www.mendeley.com/documents/?uuid=0296bca2-bf1c-4e6a-a178-c957020a36ff" ] } ], "mendeley" : { "formattedCitation" : "&lt;sup&gt;52&lt;/sup&gt;", "plainTextFormattedCitation" : "52", "previouslyFormattedCitation" : "&lt;sup&gt;52&lt;/sup&gt;"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52</w:t>
      </w:r>
      <w:r w:rsidR="004D32CF">
        <w:rPr>
          <w:rFonts w:asciiTheme="majorHAnsi" w:hAnsiTheme="majorHAnsi" w:cs="Times New Roman"/>
          <w:lang w:val="en-US"/>
        </w:rPr>
        <w:fldChar w:fldCharType="end"/>
      </w:r>
      <w:r w:rsidR="006C7B86">
        <w:rPr>
          <w:rFonts w:asciiTheme="majorHAnsi" w:hAnsiTheme="majorHAnsi" w:cs="Times New Roman"/>
          <w:lang w:val="en-US"/>
        </w:rPr>
        <w:t xml:space="preserve"> </w:t>
      </w:r>
      <w:r w:rsidR="00520FE7">
        <w:rPr>
          <w:rFonts w:asciiTheme="majorHAnsi" w:hAnsiTheme="majorHAnsi" w:cs="Times New Roman"/>
          <w:lang w:val="en-US"/>
        </w:rPr>
        <w:t xml:space="preserve">The volume of CSF in mice is too small to </w:t>
      </w:r>
      <w:r w:rsidR="00674AF0">
        <w:rPr>
          <w:rFonts w:asciiTheme="majorHAnsi" w:hAnsiTheme="majorHAnsi" w:cs="Times New Roman"/>
          <w:lang w:val="en-US"/>
        </w:rPr>
        <w:t>enable this compartment t</w:t>
      </w:r>
      <w:r w:rsidR="00711448">
        <w:rPr>
          <w:rFonts w:asciiTheme="majorHAnsi" w:hAnsiTheme="majorHAnsi" w:cs="Times New Roman"/>
          <w:lang w:val="en-US"/>
        </w:rPr>
        <w:t>o</w:t>
      </w:r>
      <w:r w:rsidR="00674AF0">
        <w:rPr>
          <w:rFonts w:asciiTheme="majorHAnsi" w:hAnsiTheme="majorHAnsi" w:cs="Times New Roman"/>
          <w:lang w:val="en-US"/>
        </w:rPr>
        <w:t xml:space="preserve"> be sampled.</w:t>
      </w:r>
      <w:r w:rsidR="006C7B86">
        <w:rPr>
          <w:rFonts w:asciiTheme="majorHAnsi" w:hAnsiTheme="majorHAnsi" w:cs="Times New Roman"/>
          <w:lang w:val="en-US"/>
        </w:rPr>
        <w:t xml:space="preserve"> </w:t>
      </w:r>
      <w:r w:rsidR="00711448">
        <w:rPr>
          <w:rFonts w:asciiTheme="majorHAnsi" w:hAnsiTheme="majorHAnsi" w:cs="Times New Roman"/>
          <w:lang w:val="en-US"/>
        </w:rPr>
        <w:t>Mice are treated for 7-14 days and exposure-dependent antifungal activity of drugs alone and in combination can be generated.</w:t>
      </w:r>
      <w:r w:rsidR="006C7B86">
        <w:rPr>
          <w:rFonts w:asciiTheme="majorHAnsi" w:hAnsiTheme="majorHAnsi" w:cs="Times New Roman"/>
          <w:lang w:val="en-US"/>
        </w:rPr>
        <w:t xml:space="preserve"> </w:t>
      </w:r>
      <w:r w:rsidR="00144D8E">
        <w:rPr>
          <w:rFonts w:asciiTheme="majorHAnsi" w:hAnsiTheme="majorHAnsi" w:cs="Times New Roman"/>
          <w:lang w:val="en-US"/>
        </w:rPr>
        <w:t>A rabbit model of cryptococcal meningoencephalitis has also been developed</w:t>
      </w:r>
      <w:r w:rsidR="00B56345">
        <w:rPr>
          <w:rFonts w:asciiTheme="majorHAnsi" w:hAnsiTheme="majorHAnsi" w:cs="Times New Roman"/>
          <w:lang w:val="en-US"/>
        </w:rPr>
        <w:t>.</w:t>
      </w:r>
      <w:r w:rsidR="00A23CE0">
        <w:rPr>
          <w:rFonts w:asciiTheme="majorHAnsi" w:hAnsiTheme="majorHAnsi" w:cs="Times New Roman"/>
          <w:lang w:val="en-US"/>
        </w:rPr>
        <w:fldChar w:fldCharType="begin" w:fldLock="1"/>
      </w:r>
      <w:r w:rsidR="00D1426F">
        <w:rPr>
          <w:rFonts w:asciiTheme="majorHAnsi" w:hAnsiTheme="majorHAnsi" w:cs="Times New Roman"/>
          <w:lang w:val="en-US"/>
        </w:rPr>
        <w:instrText>ADDIN CSL_CITATION { "citationItems" : [ { "id" : "ITEM-1", "itemData" : { "ISBN" : "0002-9440 (Print)\r0002-9440 (Linking)", "PMID" : "7004196", "abstract" : "This paper describes the salient features of a new model for chronic cryptococcal meningitis in cortisone-treated rabbits. Normal rabbits soon recovered after intracisternal inoculation of Cryptococcus neoformans, but cortisone-treated animals developed chronic progressive meningitis that was fatal in 2-12 weeks. Incidence and severity of infection was related to cortisone dose, not to inoculum size. The number of mononuclear cells that migrated into the subarachnoid spaces and cerebrospinal fluid of infected rabbits was strikingly reduced by cortisone treatment. Rabbits with cryptococcal meningitis were febrile; their high body temperature did not confer resistance to this infection. Cortisone-treated rabbits provide a new and expedient laboratory model for cryptococcal disease. Potential applications include study of the pathogenesis of cryptococcosis, investigation of the immunobiology of the CNS in chronic meningitis, and in vivo evaluation of newer anticryptococcal treatment regimens.", "author" : [ { "dropping-particle" : "", "family" : "Perfect", "given" : "J R", "non-dropping-particle" : "", "parse-names" : false, "suffix" : "" }, { "dropping-particle" : "", "family" : "Lang", "given" : "S D", "non-dropping-particle" : "", "parse-names" : false, "suffix" : "" }, { "dropping-particle" : "", "family" : "Durack", "given" : "D T", "non-dropping-particle" : "", "parse-names" : false, "suffix" : "" } ], "container-title" : "Am J Pathol", "edition" : "1980/10/01", "id" : "ITEM-1", "issue" : "1", "issued" : { "date-parts" : [ [ "1980" ] ] }, "language" : "eng", "note" : "\n        From Duplicate 1 ( \n        \n          Chronic cryptococcal meningitis: a new experimental model in rabbits\n        \n         - Perfect, J R; Lang, S D; Durack, D T )\n\n        \n        \nPerfect, J R\nLang, S D\nDurack, D T\nAm J Pathol. 1980 Oct;101(1):177-94.\n\n        \n\n        From Duplicate 2 ( \n        \n          Chronic cryptococcal meningitis: a new experimental model in rabbits\n        \n         - Perfect, J R; Lang, S D; Durack, D T )\n\n        \n        \n0002-9440 (Print)\nJournal Article\n\n        \n\n      ", "page" : "177-194", "title" : "Chronic cryptococcal meningitis: a new experimental model in rabbits", "type" : "article-journal", "volume" : "101" }, "uris" : [ "http://www.mendeley.com/documents/?uuid=d364cee3-9d87-4a07-8c77-54bcfe31276d" ] } ], "mendeley" : { "formattedCitation" : "&lt;sup&gt;53&lt;/sup&gt;", "plainTextFormattedCitation" : "53", "previouslyFormattedCitation" : "&lt;sup&gt;53&lt;/sup&gt;" }, "properties" : { "noteIndex" : 0 }, "schema" : "https://github.com/citation-style-language/schema/raw/master/csl-citation.json" }</w:instrText>
      </w:r>
      <w:r w:rsidR="00A23CE0">
        <w:rPr>
          <w:rFonts w:asciiTheme="majorHAnsi" w:hAnsiTheme="majorHAnsi" w:cs="Times New Roman"/>
          <w:lang w:val="en-US"/>
        </w:rPr>
        <w:fldChar w:fldCharType="separate"/>
      </w:r>
      <w:r w:rsidR="00D1426F" w:rsidRPr="00D1426F">
        <w:rPr>
          <w:rFonts w:asciiTheme="majorHAnsi" w:hAnsiTheme="majorHAnsi" w:cs="Times New Roman"/>
          <w:noProof/>
          <w:vertAlign w:val="superscript"/>
          <w:lang w:val="en-US"/>
        </w:rPr>
        <w:t>53</w:t>
      </w:r>
      <w:r w:rsidR="00A23CE0">
        <w:rPr>
          <w:rFonts w:asciiTheme="majorHAnsi" w:hAnsiTheme="majorHAnsi" w:cs="Times New Roman"/>
          <w:lang w:val="en-US"/>
        </w:rPr>
        <w:fldChar w:fldCharType="end"/>
      </w:r>
      <w:r w:rsidR="006C7B86">
        <w:rPr>
          <w:rFonts w:asciiTheme="majorHAnsi" w:hAnsiTheme="majorHAnsi" w:cs="Times New Roman"/>
          <w:lang w:val="en-US"/>
        </w:rPr>
        <w:t xml:space="preserve"> </w:t>
      </w:r>
      <w:r w:rsidR="008E4D99">
        <w:rPr>
          <w:rFonts w:asciiTheme="majorHAnsi" w:hAnsiTheme="majorHAnsi" w:cs="Times New Roman"/>
          <w:lang w:val="en-US"/>
        </w:rPr>
        <w:t>Both the CSF and brain can be sampled to determine fungal burden.</w:t>
      </w:r>
      <w:r w:rsidR="006C7B86">
        <w:rPr>
          <w:rFonts w:asciiTheme="majorHAnsi" w:hAnsiTheme="majorHAnsi" w:cs="Times New Roman"/>
          <w:lang w:val="en-US"/>
        </w:rPr>
        <w:t xml:space="preserve"> </w:t>
      </w:r>
      <w:r w:rsidR="008E4D99">
        <w:rPr>
          <w:rFonts w:asciiTheme="majorHAnsi" w:hAnsiTheme="majorHAnsi" w:cs="Times New Roman"/>
          <w:lang w:val="en-US"/>
        </w:rPr>
        <w:t xml:space="preserve">The ability </w:t>
      </w:r>
      <w:r w:rsidR="00B56345">
        <w:rPr>
          <w:rFonts w:asciiTheme="majorHAnsi" w:hAnsiTheme="majorHAnsi" w:cs="Times New Roman"/>
          <w:lang w:val="en-US"/>
        </w:rPr>
        <w:t xml:space="preserve">to </w:t>
      </w:r>
      <w:r w:rsidR="008E4D99">
        <w:rPr>
          <w:rFonts w:asciiTheme="majorHAnsi" w:hAnsiTheme="majorHAnsi" w:cs="Times New Roman"/>
          <w:lang w:val="en-US"/>
        </w:rPr>
        <w:t>obtain serial CSF cultures</w:t>
      </w:r>
      <w:r w:rsidR="0042628D">
        <w:rPr>
          <w:rFonts w:asciiTheme="majorHAnsi" w:hAnsiTheme="majorHAnsi" w:cs="Times New Roman"/>
          <w:lang w:val="en-US"/>
        </w:rPr>
        <w:t xml:space="preserve"> mimics the clinical care of patients where </w:t>
      </w:r>
      <w:r w:rsidR="00804FF8">
        <w:rPr>
          <w:rFonts w:asciiTheme="majorHAnsi" w:hAnsiTheme="majorHAnsi" w:cs="Times New Roman"/>
          <w:lang w:val="en-US"/>
        </w:rPr>
        <w:t>repeated lumbar punctures are often performed to assess the response to therapy and to manage elevated intracranial pressure.</w:t>
      </w:r>
    </w:p>
    <w:p w14:paraId="2E6CE675" w14:textId="77777777" w:rsidR="0030622E" w:rsidRDefault="0030622E" w:rsidP="007A2846">
      <w:pPr>
        <w:widowControl w:val="0"/>
        <w:autoSpaceDE w:val="0"/>
        <w:autoSpaceDN w:val="0"/>
        <w:adjustRightInd w:val="0"/>
        <w:spacing w:line="276" w:lineRule="auto"/>
        <w:rPr>
          <w:rFonts w:asciiTheme="majorHAnsi" w:hAnsiTheme="majorHAnsi" w:cs="Times New Roman"/>
          <w:lang w:val="en-US"/>
        </w:rPr>
      </w:pPr>
    </w:p>
    <w:p w14:paraId="22D1DA64" w14:textId="77777777" w:rsidR="00D709E1" w:rsidRDefault="0042628D" w:rsidP="007A2846">
      <w:pPr>
        <w:pStyle w:val="ListParagraph"/>
        <w:widowControl w:val="0"/>
        <w:numPr>
          <w:ilvl w:val="0"/>
          <w:numId w:val="28"/>
        </w:numPr>
        <w:autoSpaceDE w:val="0"/>
        <w:autoSpaceDN w:val="0"/>
        <w:adjustRightInd w:val="0"/>
        <w:spacing w:line="276" w:lineRule="auto"/>
        <w:rPr>
          <w:rFonts w:asciiTheme="majorHAnsi" w:hAnsiTheme="majorHAnsi" w:cs="Times New Roman"/>
          <w:lang w:val="en-US"/>
        </w:rPr>
      </w:pPr>
      <w:r w:rsidRPr="007E2A5E">
        <w:rPr>
          <w:rFonts w:asciiTheme="majorHAnsi" w:hAnsiTheme="majorHAnsi" w:cs="Times New Roman"/>
          <w:lang w:val="en-US"/>
        </w:rPr>
        <w:t>Bridging from the laboratory to the clinic</w:t>
      </w:r>
    </w:p>
    <w:p w14:paraId="67B40308" w14:textId="77777777" w:rsidR="00D709E1" w:rsidRPr="0073162B" w:rsidRDefault="00D709E1" w:rsidP="007A2846">
      <w:pPr>
        <w:widowControl w:val="0"/>
        <w:autoSpaceDE w:val="0"/>
        <w:autoSpaceDN w:val="0"/>
        <w:adjustRightInd w:val="0"/>
        <w:spacing w:line="276" w:lineRule="auto"/>
        <w:ind w:left="360"/>
        <w:rPr>
          <w:rFonts w:asciiTheme="majorHAnsi" w:hAnsiTheme="majorHAnsi" w:cs="Times New Roman"/>
          <w:lang w:val="en-US"/>
        </w:rPr>
      </w:pPr>
    </w:p>
    <w:p w14:paraId="7FE54426" w14:textId="77777777" w:rsidR="00D709E1" w:rsidRDefault="00447163"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b/>
      </w:r>
      <w:r w:rsidR="00D709E1" w:rsidRPr="0073162B">
        <w:rPr>
          <w:rFonts w:asciiTheme="majorHAnsi" w:hAnsiTheme="majorHAnsi" w:cs="Times New Roman"/>
          <w:lang w:val="en-US"/>
        </w:rPr>
        <w:t xml:space="preserve">The following has been achieved using experimental models of </w:t>
      </w:r>
      <w:r w:rsidR="00E2459E">
        <w:rPr>
          <w:rFonts w:asciiTheme="majorHAnsi" w:hAnsiTheme="majorHAnsi" w:cs="Times New Roman"/>
          <w:lang w:val="en-US"/>
        </w:rPr>
        <w:t>cryptococcal meningoencephalitis</w:t>
      </w:r>
      <w:r w:rsidR="00D709E1" w:rsidRPr="0073162B">
        <w:rPr>
          <w:rFonts w:asciiTheme="majorHAnsi" w:hAnsiTheme="majorHAnsi" w:cs="Times New Roman"/>
          <w:lang w:val="en-US"/>
        </w:rPr>
        <w:t>:</w:t>
      </w:r>
    </w:p>
    <w:p w14:paraId="19746017" w14:textId="497E81B9" w:rsidR="00126E9C" w:rsidRPr="0073162B" w:rsidRDefault="000F7F19" w:rsidP="007A2846">
      <w:pPr>
        <w:pStyle w:val="ListParagraph"/>
        <w:widowControl w:val="0"/>
        <w:numPr>
          <w:ilvl w:val="0"/>
          <w:numId w:val="30"/>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Experimental basis for innovative induction regimens</w:t>
      </w:r>
      <w:r w:rsidR="00A42EE6">
        <w:rPr>
          <w:rFonts w:asciiTheme="majorHAnsi" w:hAnsiTheme="majorHAnsi" w:cs="Times New Roman"/>
          <w:lang w:val="en-US"/>
        </w:rPr>
        <w:t xml:space="preserve"> </w:t>
      </w:r>
      <w:r w:rsidR="006857FB">
        <w:rPr>
          <w:rFonts w:asciiTheme="majorHAnsi" w:hAnsiTheme="majorHAnsi" w:cs="Times New Roman"/>
          <w:lang w:val="en-US"/>
        </w:rPr>
        <w:t>of amphotericin B deoxycholate</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"author" : [ { "dropping-particle" : "", "family" : "Livermore", "given" : "Joanne", "non-dropping-particle" : "", "parse-names" : false, "suffix" : "" }, { "dropping-particle" : "", "family" : "Howard", "given" : "Susan J", "non-dropping-particle" : "", "parse-names" : false, "suffix" : "" }, { "dropping-particle" : "", "family" : "Sharp", "given" : "Andrew D", "non-dropping-particle" : "", "parse-names" : false, "suffix" : "" }, { "dropping-particle" : "", "family" : "Goodwin", "given" : "Joanne", "non-dropping-particle" : "", "parse-names" : false, "suffix" : "" }, { "dropping-particle" : "", "family" : "Gregson", "given" : "Lea", "non-dropping-particle" : "", "parse-names" : false, "suffix" : "" }, { "dropping-particle" : "", "family" : "Felton", "given" : "Timothy", "non-dropping-particle" : "", "parse-names" : false, "suffix" : "" }, { "dropping-particle" : "", "family" : "Schwartz", "given" : "Julie A", "non-dropping-particle" : "", "parse-names" : false, "suffix" : "" }, { "dropping-particle" : "", "family" : "Walker", "given" : "Catherine", "non-dropping-particle" : "", "parse-names" : false, "suffix" : "" }, { "dropping-particle" : "", "family" : "Moser", "given" : "Bill", "non-dropping-particle" : "", "parse-names" : false, "suffix" : "" }, { "dropping-particle" : "", "family" : "M\u00fcller", "given" : "Werner", "non-dropping-particle" : "", "parse-names" : false, "suffix" : "" }, { "dropping-particle" : "", "family" : "others", "given" : "", "non-dropping-particle" : "", "parse-names" : false, "suffix" : "" } ], "container-title" : "mBio", "id" : "ITEM-1", "issue" : "1", "issued" : { "date-parts" : [ [ "2014" ] ] }, "page" : "e00725--13", "title" : "Efficacy of an abbreviated induction regimen of amphotericin B deoxycholate for cryptococcal meningoencephalitis: 3 days of therapy is equivalent to 14 days", "type" : "article-journal", "volume" : "5" }, "uris" : [ "http://www.mendeley.com/documents/?uuid=0296bca2-bf1c-4e6a-a178-c957020a36ff" ] } ], "mendeley" : { "formattedCitation" : "&lt;sup&gt;52&lt;/sup&gt;", "plainTextFormattedCitation" : "52", "previouslyFormattedCitation" : "&lt;sup&gt;52&lt;/sup&gt;"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52</w:t>
      </w:r>
      <w:r w:rsidR="004D32CF">
        <w:rPr>
          <w:rFonts w:asciiTheme="majorHAnsi" w:hAnsiTheme="majorHAnsi" w:cs="Times New Roman"/>
          <w:lang w:val="en-US"/>
        </w:rPr>
        <w:fldChar w:fldCharType="end"/>
      </w:r>
    </w:p>
    <w:p w14:paraId="2097169E" w14:textId="41F8934F" w:rsidR="000F7F19" w:rsidRDefault="000F7F19" w:rsidP="007A2846">
      <w:pPr>
        <w:pStyle w:val="ListParagraph"/>
        <w:widowControl w:val="0"/>
        <w:numPr>
          <w:ilvl w:val="0"/>
          <w:numId w:val="30"/>
        </w:numPr>
        <w:autoSpaceDE w:val="0"/>
        <w:autoSpaceDN w:val="0"/>
        <w:adjustRightInd w:val="0"/>
        <w:spacing w:line="276" w:lineRule="auto"/>
        <w:rPr>
          <w:rFonts w:asciiTheme="majorHAnsi" w:hAnsiTheme="majorHAnsi" w:cs="Times New Roman"/>
          <w:lang w:val="en-US"/>
        </w:rPr>
      </w:pPr>
      <w:r w:rsidRPr="0073162B">
        <w:rPr>
          <w:rFonts w:asciiTheme="majorHAnsi" w:hAnsiTheme="majorHAnsi" w:cs="Times New Roman"/>
          <w:lang w:val="en-US"/>
        </w:rPr>
        <w:t xml:space="preserve">Insight into </w:t>
      </w:r>
      <w:r w:rsidR="009C1955">
        <w:rPr>
          <w:rFonts w:asciiTheme="majorHAnsi" w:hAnsiTheme="majorHAnsi" w:cs="Times New Roman"/>
          <w:lang w:val="en-US"/>
        </w:rPr>
        <w:t xml:space="preserve">antifungal </w:t>
      </w:r>
      <w:r w:rsidR="00615E34" w:rsidRPr="0073162B">
        <w:rPr>
          <w:rFonts w:asciiTheme="majorHAnsi" w:hAnsiTheme="majorHAnsi" w:cs="Times New Roman"/>
          <w:lang w:val="en-US"/>
        </w:rPr>
        <w:t xml:space="preserve">clinical </w:t>
      </w:r>
      <w:r w:rsidRPr="0073162B">
        <w:rPr>
          <w:rFonts w:asciiTheme="majorHAnsi" w:hAnsiTheme="majorHAnsi" w:cs="Times New Roman"/>
          <w:lang w:val="en-US"/>
        </w:rPr>
        <w:t>regime</w:t>
      </w:r>
      <w:r w:rsidR="00615E34" w:rsidRPr="0073162B">
        <w:rPr>
          <w:rFonts w:asciiTheme="majorHAnsi" w:hAnsiTheme="majorHAnsi" w:cs="Times New Roman"/>
          <w:lang w:val="en-US"/>
        </w:rPr>
        <w:t>ns alone and in combination associated with near maximal antifungal effect</w:t>
      </w:r>
      <w:r w:rsidR="004D32CF">
        <w:rPr>
          <w:rFonts w:asciiTheme="majorHAnsi" w:hAnsiTheme="majorHAnsi" w:cs="Times New Roman"/>
          <w:lang w:val="en-US"/>
        </w:rPr>
        <w:fldChar w:fldCharType="begin" w:fldLock="1"/>
      </w:r>
      <w:r w:rsidR="00D1426F">
        <w:rPr>
          <w:rFonts w:asciiTheme="majorHAnsi" w:hAnsiTheme="majorHAnsi" w:cs="Times New Roman"/>
          <w:lang w:val="en-US"/>
        </w:rPr>
        <w:instrText>ADDIN CSL_CITATION { "citationItems" : [ { "id" : "ITEM-1", "itemData" : { "DOI" : "10.1093/infdis/jit164", "ISBN" : "1537-6613 (Electronic)\n0022-1899 (Linking)", "ISSN" : "1537-6613", "PMID" : "23599314", "abstract" : "BACKGROUND: Cryptococcal meningoencephalitis is a lethal infection with relatively few therapeutic options. The optimal dosage of liposomal amphotericin B (LAmB) alone or in combination with flucytosine is not known.\n\nMETHODS: A murine model of cryptococcal meningoencephalitis was used. The fungal density in the brain was determined using quantitative cultures. Pharmacokinetic-pharmacodynamic relationships were determined for LAmB and flucytosine administered alone. The effect of the combination was described using the Greco model and a mathematical model. The results were bridged to humans.\n\nRESULTS: Inoculation resulted in hematogenous dissemination and logarithmic growth within the central nervous system. There was histological evidence of multifocal infection throughout the brain. Both LAmB and flucytosine produced a dose-dependent reduction in fungal burden. The effect of the combination of agents in the brain was additive. Bridging studies suggested that a human dosage of LAmB 3 mg/kg/d resulted in a submaximal antifungal effect. Regimens of LAmB 6 mg/kg/d alone, LAmB 3 mg/kg/d plus flucytosine 50 mg/kg/d, and LAmB 3 mg/kg/d plus flucytosine 100 mg/kg/d all resulted in near-maximal antifungal activity.\n\nCONCLUSIONS: Potential regimens for further study in clinical trials include LAmB 6 mg/kg/d alone, LAmB 3 mg/kg/d plus flucytosine 50 mg/kg/d, and LAmB 3 mg/kg/d plus flucytosine 100 mg/kg/d.", "author" : [ { "dropping-particle" : "", "family" : "O'Connor", "given" : "Lucy", "non-dropping-particle" : "", "parse-names" : false, "suffix" : "" }, { "dropping-particle" : "", "family" : "Livermore", "given" : "Joanne", "non-dropping-particle" : "", "parse-names" : false, "suffix" : "" }, { "dropping-particle" : "", "family" : "Sharp", "given" : "Andrew D", "non-dropping-particle" : "", "parse-names" : false, "suffix" : "" }, { "dropping-particle" : "", "family" : "Goodwin", "given" : "Joanne", "non-dropping-particle" : "", "parse-names" : false, "suffix" : "" }, { "dropping-particle" : "", "family" : "Gregson", "given" : "Lea", "non-dropping-particle" : "", "parse-names" : false, "suffix" : "" }, { "dropping-particle" : "", "family" : "Howard", "given" : "Susan J", "non-dropping-particle" : "", "parse-names" : false, "suffix" : "" }, { "dropping-particle" : "", "family" : "Felton", "given" : "Timothy W", "non-dropping-particle" : "", "parse-names" : false, "suffix" : "" }, { "dropping-particle" : "", "family" : "Schwartz", "given" : "Julie a", "non-dropping-particle" : "", "parse-names" : false, "suffix" : "" }, { "dropping-particle" : "", "family" : "Neely", "given" : "Michael N", "non-dropping-particle" : "", "parse-names" : false, "suffix" : "" }, { "dropping-particle" : "", "family" : "Harrison", "given" : "Thomas S", "non-dropping-particle" : "", "parse-names" : false, "suffix" : "" }, { "dropping-particle" : "", "family" : "Perfect", "given" : "John R", "non-dropping-particle" : "", "parse-names" : false, "suffix" : "" }, { "dropping-particle" : "", "family" : "Hope", "given" : "William W", "non-dropping-particle" : "", "parse-names" : false, "suffix" : "" } ], "container-title" : "The Journal of infectious diseases", "edition" : "2013/04/20", "id" : "ITEM-1", "issue" : "2", "issued" : { "date-parts" : [ [ "2013", "7", "15" ] ] }, "language" : "eng", "note" : "From Duplicate 2 ( \n\nPharmacodynamics of liposomal amphotericin B and flucytosine for cryptococcal meningoencephalitis: safe and effective regimens for immunocompromised patients\n\n- O'Connor, Lucy; Livermore, Joanne; Sharp, Andrew D; Goodwin, Joanne; Gregson, Lea; Howard, Susan J; Felton, Timothy W; Schwartz, Julie A; Neely, Michael N; Harrison, Thomas S; Perfect, John R; Hope, William W )\n\n\n\n\nFrom Duplicate 1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)\nAnd Duplicate 4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)\n\n\n\nO'Connor, Lucy\nLivermore, Joanne\nSharp, Andrew D\nGoodwin, Joanne\nGregson, Lea\nHoward, Susan J\nFelton, Timothy W\nSchwartz, Julie A\nNeely, Michael N\nHarrison, Thomas S\nPerfect, John R\nHope, William W\nJ Infect Dis. 2013 Jul;208(2):351-61. doi: 10.1093/infdis/jit164. Epub 2013 Apr 18.\n\n\n\nFrom Duplicate 3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)\nAnd Duplicate 5 ( \n\n\nPharmacodynamics of liposomal amphotericin B and flucytosine for cryptococcal meningoencephalitis: safe and effective regimens for immunocompromised patients\n\n\n- O'Connor, L; Livermore, J; Sharp, A D; Goodwin, J; Gregson, L; Howard, S J; Felton, T W; Schwartz, J A; Neely, M N; Harrison, T S; Perfect, J R; Hope, W W )\n\n\n\nO'Connor, Lucy\nLivermore, Joanne\nSharp, Andrew D\nGoodwin, Joanne\nGregson, Lea\nHoward, Susan J\nFelton, Timothy W\nSchwartz, Julie A\nNeely, Michael N\nHarrison, Thomas S\nPerfect, John R\nHope, William W\nR01 GM068968/GM/NIGMS NIH HHS/\nR01 HD070886/HD/NICHD NIH HHS/\nR01 HD070996/HD/NICHD NIH HHS/\nMedical Research Council/United Kingdom\nJ Infect Dis. 2013 Jul 15;208(2):351-61. doi: 10.1093/infdis/jit164. Epub 2013 Apr 18.", "page" : "351-61", "title" : "Pharmacodynamics of liposomal amphotericin B and flucytosine for cryptococcal meningoencephalitis: safe and effective regimens for immunocompromised patients.", "type" : "article-journal", "volume" : "208" }, "uris" : [ "http://www.mendeley.com/documents/?uuid=abe7e06a-0c37-4abb-84aa-40eb989d7816" ] }, { "id" : "ITEM-2", "itemData" : { "PMID" : "8878602", "abstract" : "Both animal and in vitro studies have demonstrated that combinations of flucytosine with amphotericin B and with fluconazole have significantly improved activity against cryptococcal meningitis compared with the activity of each drug used alone. However, very few dose levels of these agents have been tested in combination. This study evaluated the efficacy of fluconazole plus flucytosine in a murine model of cryptococcal meningitis over a broad range of dose combinations (fluconazole, 0 to 40 micrograms/g of body weight per day; flucytosine, 0 to 200 micrograms/g/day). Both drugs were dissolved in drinking water, with treatment on days 2 to 11. In this highly reproducible model, fluconazole had a dramatic effect on the fungicidal activity of flucytosine. Flucytosine at dose levels of as much as 200 micrograms/g/day alone or in combination with low doses of fluconazole had minimal fungicidal activity, whereas in combination with fluconazole at 24 to 40 micrograms/g/day, flucytosine showed fungicidal activity in the range of 45 to 65% of the animals treated at doses of 40 to 100 micrograms/g/day. This striking effect of fluconazole is consistent with the results of both in vitro and clinical studies. In the clinic, the use of flucytosine is often limited by severe toxicity, while toxicity is rarely observed with fluconazole. These results suggest that when flucytosine is given with higher doses of fluconazole, the maximum therapeutic effect of the former in the clinic may be observed at dose levels that are far less than the doses commonly employed (150 micrograms/g daily).", "author" : [ { "dropping-particle" : "", "family" : "Larsen", "given" : "R A", "non-dropping-particle" : "", "parse-names" : false, "suffix" : "" }, { "dropping-particle" : "", "family" : "Bauer", "given" : "M", "non-dropping-particle" : "", "parse-names" : false, "suffix" : "" }, { "dropping-particle" : "", "family" : "Weiner", "given" : "J M", "non-dropping-particle" : "", "parse-names" : false, "suffix" : "" }, { "dropping-particle" : "", "family" : "Diamond", "given" : "D M", "non-dropping-particle" : "", "parse-names" : false, "suffix" : "" }, { "dropping-particle" : "", "family" : "Leal", "given" : "M E", "non-dropping-particle" : "", "parse-names" : false, "suffix" : "" }, { "dropping-particle" : "", "family" : "Ding", "given" : "J C", "non-dropping-particle" : "", "parse-names" : false, "suffix" : "" }, { "dropping-particle" : "", "family" : "Rinaldi", "given" : "M G", "non-dropping-particle" : "", "parse-names" : false, "suffix" : "" }, { "dropping-particle" : "", "family" : "Graybill", "given" : "J R", "non-dropping-particle" : "", "parse-names" : false, "suffix" : "" } ], "container-title" : "Antimicrob Agents Chemother", "id" : "ITEM-2", "issue" : "9", "issued" : { "date-parts" : [ [ "1996" ] ] }, "note" : "0066-4804 (Print)\nComparative Study\nJournal Article\nResearch Support, Non-U.S. Gov&amp;#039;t\nResearch Support, U.S. Gov&amp;#039;t, P.H.S.", "page" : "2178-2182", "title" : "Effect of fluconazole on fungicidal activity of flucytosine in murine cryptococcal meningitis", "type" : "article-journal", "volume" : "40" }, "uris" : [ "http://www.mendeley.com/documents/?uuid=a09f9550-985d-4ca5-9487-0f7919f52702" ] }, { "id" : "ITEM-3", "itemData" : { "PMID" : "16048939", "abstract" : "We conducted in vitro experiments to evaluate the susceptibility of a clinical isolate of Cryptococcus neoformans to a wide range of concentrations of fluconazole. In vitro susceptibility was tested using broth macrodilution methods modified to provide a numeric count of viable organisms. The association between the quantitative in vitro response and fluconazole drug concentrations was estimated using local nonparametric regression. Regression analysis was used to assess the correspondence between the in vitro fluconazole concentration-response curve and the murine dose-response curve observed in our previously reported murine model. The regression model was then used to predict the murine response. There was a strong correspondence between in vitro measures of response to fluconazole alone and the previously reported biologic effects seen in the mouse. In vitro antifungal drug susceptibility testing can reliably predict the murine response to fluconazole.", "author" : [ { "dropping-particle" : "", "family" : "Larsen", "given" : "R A", "non-dropping-particle" : "", "parse-names" : false, "suffix" : "" }, { "dropping-particle" : "", "family" : "Bauer", "given" : "M", "non-dropping-particle" : "", "parse-names" : false, "suffix" : "" }, { "dropping-particle" : "", "family" : "Thomas", "given" : "A M", "non-dropping-particle" : "", "parse-names" : false, "suffix" : "" }, { "dropping-particle" : "", "family" : "Sanchez", "given" : "A", "non-dropping-particle" : "", "parse-names" : false, "suffix" : "" }, { "dropping-particle" : "", "family" : "Citron", "given" : "D", "non-dropping-particle" : "", "parse-names" : false, "suffix" : "" }, { "dropping-particle" : "", "family" : "Rathbun", "given" : "M", "non-dropping-particle" : "", "parse-names" : false, "suffix" : "" }, { "dropping-particle" : "", "family" : "Harrison", "given" : "T S", "non-dropping-particle" : "", "parse-names" : false, "suffix" : "" } ], "container-title" : "Antimicrob Agents Chemother", "id" : "ITEM-3", "issue" : "8", "issued" : { "date-parts" : [ [ "2005" ] ] }, "note" : "0066-4804 (Print)\nJournal Article\nResearch Support, N.I.H., Extramural\nResearch Support, Non-U.S. Gov&amp;#039;t\nResearch Support, U.S. Gov&amp;#039;t, P.H.S.", "page" : "3297-3301", "title" : "Correspondence of in vitro and in vivo fluconazole dose-response curves for Cryptococcus neoformans", "type" : "article-journal", "volume" : "49" }, "uris" : [ "http://www.mendeley.com/documents/?uuid=a0e0fc43-84c1-4297-b5c8-3eb6084e5a81" ] }, { "id" : "ITEM-4", "itemData" : { "author" : [ { "dropping-particle" : "", "family" : "Thomas", "given" : "A M", "non-dropping-particle" : "", "parse-names" : false, "suffix" : "" }, { "dropping-particle" : "", "family" : "Najvar", "given" : "L", "non-dropping-particle" : "", "parse-names" : false, "suffix" : "" }, { "dropping-particle" : "", "family" : "Graybill", "given" : "J R", "non-dropping-particle" : "", "parse-names" : false, "suffix" : "" }, { "dropping-particle" : "", "family" : "Larsen", "given" : "R A", "non-dropping-particle" : "", "parse-names" : false, "suffix" : "" }, { "dropping-particle" : "", "family" : "Ding", "given" : "James C", "non-dropping-particle" : "", "parse-names" : false, "suffix" : "" }, { "dropping-particle" : "", "family" : "Bauer", "given" : "Madeline", "non-dropping-particle" : "", "parse-names" : false, "suffix" : "" }, { "dropping-particle" : "", "family" : "Diamond", "given" : "Deann M", "non-dropping-particle" : "", "parse-names" : false, "suffix" : "" }, { "dropping-particle" : "", "family" : "Leal", "given" : "Mary A", "non-dropping-particle" : "", "parse-names" : false, "suffix" : "" }, { "dropping-particle" : "", "family" : "Johnson", "given" : "Debra", "non-dropping-particle" : "", "parse-names" : false, "suffix" : "" }, { "dropping-particle" : "", "family" : "Williams", "given" : "Byron K", "non-dropping-particle" : "", "parse-names" : false, "suffix" : "" }, { "dropping-particle" : "", "family" : "Thomas", "given" : "A", "non-dropping-particle" : "", "parse-names" : false, "suffix" : "" }, { "dropping-particle" : "", "family" : "Najvar", "given" : "Laura", "non-dropping-particle" : "", "parse-names" : false, "suffix" : "" }, { "dropping-particle" : "", "family" : "Graybill", "given" : "J Richard", "non-dropping-particle" : "", "parse-names" : false, "suffix" : "" }, { "dropping-particle" : "", "family" : "Larsen", "given" : "Robert A", "non-dropping-particle" : "", "parse-names" : false, "suffix" : "" } ], "container-title" : "Antimicrob Agents Chemother", "id" : "ITEM-4", "issue" : "7", "issued" : { "date-parts" : [ [ "1997" ] ] }, "page" : "1589-1593", "title" : "Effect of severity of meningitis on fungicidal activity of flucytosine combined with fluconazole in a murine model of cryptococcal meningitis", "type" : "article-journal", "volume" : "41" }, "uris" : [ "http://www.mendeley.com/documents/?uuid=2ca45997-2136-48f0-b161-87eb8bde12cf" ] } ], "mendeley" : { "formattedCitation" : "&lt;sup&gt;50,54\u201356&lt;/sup&gt;", "plainTextFormattedCitation" : "50,54\u201356", "previouslyFormattedCitation" : "&lt;sup&gt;50,54\u201356&lt;/sup&gt;"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D1426F" w:rsidRPr="00D1426F">
        <w:rPr>
          <w:rFonts w:asciiTheme="majorHAnsi" w:hAnsiTheme="majorHAnsi" w:cs="Times New Roman"/>
          <w:noProof/>
          <w:vertAlign w:val="superscript"/>
          <w:lang w:val="en-US"/>
        </w:rPr>
        <w:t>50,54–56</w:t>
      </w:r>
      <w:r w:rsidR="004D32CF">
        <w:rPr>
          <w:rFonts w:asciiTheme="majorHAnsi" w:hAnsiTheme="majorHAnsi" w:cs="Times New Roman"/>
          <w:lang w:val="en-US"/>
        </w:rPr>
        <w:fldChar w:fldCharType="end"/>
      </w:r>
    </w:p>
    <w:p w14:paraId="5F4B7115" w14:textId="5A3C2ADA" w:rsidR="00F5614B" w:rsidRPr="0073162B" w:rsidRDefault="00F5614B" w:rsidP="007A2846">
      <w:pPr>
        <w:pStyle w:val="ListParagraph"/>
        <w:widowControl w:val="0"/>
        <w:numPr>
          <w:ilvl w:val="0"/>
          <w:numId w:val="30"/>
        </w:numPr>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Potential breakpoints for fluconazole</w:t>
      </w:r>
      <w:r w:rsidR="004D32CF">
        <w:rPr>
          <w:rFonts w:asciiTheme="majorHAnsi" w:hAnsiTheme="majorHAnsi" w:cs="Times New Roman"/>
          <w:lang w:val="en-US"/>
        </w:rPr>
        <w:fldChar w:fldCharType="begin" w:fldLock="1"/>
      </w:r>
      <w:r w:rsidR="002C3C7E">
        <w:rPr>
          <w:rFonts w:asciiTheme="majorHAnsi" w:hAnsiTheme="majorHAnsi" w:cs="Times New Roman"/>
          <w:lang w:val="en-US"/>
        </w:rPr>
        <w:instrText>ADDIN CSL_CITATION { "citationItems" : [ { "id" : "ITEM-1", "itemData" : { "DOI" : "10.1128/AAC.00216-13", "ISBN" : "1098-6596 (Electronic)\n0066-4804 (Linking)", "ISSN" : "1098-6596", "PMID" : "23571544", "abstract" : "Fluconazole is frequently the only antifungal agent that is available for induction therapy for cryptococcal meningitis. There is relatively little understanding of the pharmacokinetics and pharmacodynamics (PK-PD) of fluconazole in this setting. PK-PD relationships were estimated with 4 clinical isolates of Cryptococcus neoformans. MICs were determined using Clinical and Laboratory Standards Institute (CLSI) methodology. A nonimmunosuppressed murine model of cryptococcal meningitis was used. Mice received two different doses of fluconazole (125 mg/kg of body weight/day and 250 mg/kg of body weight/day) orally for 9 days; a control group of mice was not given fluconazole. Fluconazole concentrations in plasma and in the cerebrum were determined using high-performance liquid chromatography (HPLC). The cryptococcal density in the brain was estimated using quantitative cultures. A mathematical model was fitted to the PK-PD data. The experimental results were extrapolated to humans (bridging study). The PK were linear. A dose-dependent decline in fungal burden was observed, with near-maximal activity evident with dosages of 250 mg/kg/day. The MIC was important for understanding the exposure-response relationships. The mean AUC/MIC ratio associated with stasis was 389. The results of the bridging study suggested that only 66.7% of patients receiving 1,200 mg/kg would achieve or exceed an AUC/MIC ratio of 389. The potential breakpoints for fluconazole against Cryptococcus neoformans follow: susceptible, &lt;/= 2 mg/liter; resistant, &gt;2 mg/liter. Fluconazole may be an inferior agent for induction therapy because many patients cannot achieve the pharmacodynamic target. Clinical breakpoints are likely to be significantly lower than epidemiological cutoff values. The MIC may guide the appropriate use of fluconazole. If fluconazole is the only option for induction therapy, then the highest possible dose should be used.", "author" : [ { "dropping-particle" : "", "family" : "Sudan", "given" : "Ajay", "non-dropping-particle" : "", "parse-names" : false, "suffix" : "" }, { "dropping-particle" : "", "family" : "Livermore", "given" : "Joanne", "non-dropping-particle" : "", "parse-names" : false, "suffix" : "" }, { "dropping-particle" : "", "family" : "Howard", "given" : "Susan J", "non-dropping-particle" : "", "parse-names" : false, "suffix" : "" }, { "dropping-particle" : "", "family" : "Al-Nakeeb", "given" : "Zaid", "non-dropping-particle" : "", "parse-names" : false, "suffix" : "" }, { "dropping-particle" : "", "family" : "Sharp", "given" : "Andrew", "non-dropping-particle" : "", "parse-names" : false, "suffix" : "" }, { "dropping-particle" : "", "family" : "Goodwin", "given" : "Joanne", "non-dropping-particle" : "", "parse-names" : false, "suffix" : "" }, { "dropping-particle" : "", "family" : "Gregson", "given" : "Lea", "non-dropping-particle" : "", "parse-names" : false, "suffix" : "" }, { "dropping-particle" : "", "family" : "Warn", "given" : "Peter A", "non-dropping-particle" : "", "parse-names" : false, "suffix" : "" }, { "dropping-particle" : "", "family" : "Felton", "given" : "Tim W", "non-dropping-particle" : "", "parse-names" : false, "suffix" : "" }, { "dropping-particle" : "", "family" : "Perfect", "given" : "John R", "non-dropping-particle" : "", "parse-names" : false, "suffix" : "" }, { "dropping-particle" : "", "family" : "others", "given" : "", "non-dropping-particle" : "", "parse-names" : false, "suffix" : "" }, { "dropping-particle" : "", "family" : "Harrison", "given" : "Thomas S", "non-dropping-particle" : "", "parse-names" : false, "suffix" : "" }, { "dropping-particle" : "", "family" : "Hope", "given" : "William W", "non-dropping-particle" : "", "parse-names" : false, "suffix" : "" } ], "container-title" : "Antimicrobial agents and chemotherapy", "edition" : "2013/04/11", "id" : "ITEM-1", "issue" : "6", "issued" : { "date-parts" : [ [ "2013", "6" ] ] }, "language" : "eng", "note" : "From Duplicate 1 (Pharmacokinetics and pharmacodynamics of fluconazole for cryptococcal meningoencephalitis: implications for antifungal therapy and in vitro susceptibility breakpoints. - Sudan, Ajay; Livermore, Joanne; Howard, Susan J; Al-Nakeeb, Zaid; Sharp, Andrew; Goodwin, Joanne; Gregson, Lea; Warn, Peter A; Felton, Tim W; Perfect, John R; Harrison, Thomas S; Hope, William W)\n\nFrom Duplicate 2 ( \n\nPharmacokinetics and pharmacodynamics of fluconazole for cryptococcal meningoencephalitis: implications for antifungal therapy and in vitro susceptibility breakpoints\n\n- Sudan, A; Livermore, J; Howard, S J; Al-Nakeeb, Z; Sharp, A; Goodwin, J; Gregson, L; Warn, P A; Felton, T W; Perfect, J R; Harrison, T S; Hope, W W )\n\n\n\nSudan, Ajay\nLivermore, Joanne\nHoward, Susan J\nAl-Nakeeb, Zaid\nSharp, Andrew\nGoodwin, Joanne\nGregson, Lea\nWarn, Peter A\nFelton, Tim W\nPerfect, John R\nHarrison, Thomas S\nHope, William W\nG1001760/2/Medical Research Council/United Kingdom\nAntimicrob Agents Chemother. 2013 Jun;57(6):2793-800. doi: 10.1128/AAC.00216-13. Epub 2013 Apr 9.", "page" : "2793-2800", "title" : "Pharmacokinetics and pharmacodynamics of fluconazole for cryptococcal meningoencephalitis: implications for antifungal therapy and in vitro susceptibility breakpoints", "type" : "article-journal", "volume" : "57" }, "uris" : [ "http://www.mendeley.com/documents/?uuid=c5069e26-1635-4ff4-bbce-5d7cd3f7706c" ] } ], "mendeley" : { "formattedCitation" : "&lt;sup&gt;51&lt;/sup&gt;", "plainTextFormattedCitation" : "51", "previouslyFormattedCitation" : "&lt;sup&gt;51&lt;/sup&gt;"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CD7C8F" w:rsidRPr="00CD7C8F">
        <w:rPr>
          <w:rFonts w:asciiTheme="majorHAnsi" w:hAnsiTheme="majorHAnsi" w:cs="Times New Roman"/>
          <w:noProof/>
          <w:vertAlign w:val="superscript"/>
          <w:lang w:val="en-US"/>
        </w:rPr>
        <w:t>51</w:t>
      </w:r>
      <w:r w:rsidR="004D32CF">
        <w:rPr>
          <w:rFonts w:asciiTheme="majorHAnsi" w:hAnsiTheme="majorHAnsi" w:cs="Times New Roman"/>
          <w:lang w:val="en-US"/>
        </w:rPr>
        <w:fldChar w:fldCharType="end"/>
      </w:r>
    </w:p>
    <w:p w14:paraId="6C3E099E" w14:textId="77777777" w:rsidR="00D709E1" w:rsidRDefault="00D709E1" w:rsidP="007A2846">
      <w:pPr>
        <w:widowControl w:val="0"/>
        <w:autoSpaceDE w:val="0"/>
        <w:autoSpaceDN w:val="0"/>
        <w:adjustRightInd w:val="0"/>
        <w:spacing w:line="276" w:lineRule="auto"/>
        <w:rPr>
          <w:rFonts w:asciiTheme="majorHAnsi" w:hAnsiTheme="majorHAnsi" w:cs="Times New Roman"/>
          <w:lang w:val="en-US"/>
        </w:rPr>
      </w:pPr>
    </w:p>
    <w:p w14:paraId="2303EE2F" w14:textId="77777777" w:rsidR="0062234B" w:rsidRDefault="00F5614B" w:rsidP="007A2846">
      <w:pPr>
        <w:pStyle w:val="ListParagraph"/>
        <w:widowControl w:val="0"/>
        <w:numPr>
          <w:ilvl w:val="0"/>
          <w:numId w:val="28"/>
        </w:numPr>
        <w:autoSpaceDE w:val="0"/>
        <w:autoSpaceDN w:val="0"/>
        <w:adjustRightInd w:val="0"/>
        <w:spacing w:line="276" w:lineRule="auto"/>
        <w:rPr>
          <w:rFonts w:asciiTheme="majorHAnsi" w:hAnsiTheme="majorHAnsi" w:cs="Times New Roman"/>
          <w:lang w:val="en-US"/>
        </w:rPr>
      </w:pPr>
      <w:r w:rsidRPr="0012015D">
        <w:rPr>
          <w:rFonts w:asciiTheme="majorHAnsi" w:hAnsiTheme="majorHAnsi" w:cs="Times New Roman"/>
          <w:lang w:val="en-US"/>
        </w:rPr>
        <w:t>Strengths and limitations</w:t>
      </w:r>
    </w:p>
    <w:p w14:paraId="68D5373F" w14:textId="77777777" w:rsidR="00152B86" w:rsidRPr="0066088F" w:rsidRDefault="00965DE5" w:rsidP="007A2846">
      <w:pPr>
        <w:widowControl w:val="0"/>
        <w:autoSpaceDE w:val="0"/>
        <w:autoSpaceDN w:val="0"/>
        <w:adjustRightInd w:val="0"/>
        <w:spacing w:line="276" w:lineRule="auto"/>
        <w:ind w:firstLine="360"/>
        <w:rPr>
          <w:rFonts w:asciiTheme="majorHAnsi" w:hAnsiTheme="majorHAnsi" w:cs="Times New Roman"/>
          <w:lang w:val="en-US"/>
        </w:rPr>
      </w:pPr>
      <w:r w:rsidRPr="0073162B">
        <w:rPr>
          <w:rFonts w:asciiTheme="majorHAnsi" w:hAnsiTheme="majorHAnsi" w:cs="Times New Roman"/>
          <w:lang w:val="en-US"/>
        </w:rPr>
        <w:t xml:space="preserve">One of the strengths of </w:t>
      </w:r>
      <w:r w:rsidR="00BE36FD" w:rsidRPr="0073162B">
        <w:rPr>
          <w:rFonts w:asciiTheme="majorHAnsi" w:hAnsiTheme="majorHAnsi" w:cs="Times New Roman"/>
          <w:lang w:val="en-US"/>
        </w:rPr>
        <w:t>expe</w:t>
      </w:r>
      <w:r w:rsidR="00A74F79" w:rsidRPr="001C4F3C">
        <w:rPr>
          <w:rFonts w:asciiTheme="majorHAnsi" w:hAnsiTheme="majorHAnsi" w:cs="Times New Roman"/>
          <w:lang w:val="en-US"/>
        </w:rPr>
        <w:t xml:space="preserve">rimental models of cryptococcal </w:t>
      </w:r>
      <w:r w:rsidR="00BE36FD" w:rsidRPr="0073162B">
        <w:rPr>
          <w:rFonts w:asciiTheme="majorHAnsi" w:hAnsiTheme="majorHAnsi" w:cs="Times New Roman"/>
          <w:lang w:val="en-US"/>
        </w:rPr>
        <w:t xml:space="preserve">meningoencephalitis is that they are </w:t>
      </w:r>
      <w:r w:rsidR="00BE36FD" w:rsidRPr="0062234B">
        <w:rPr>
          <w:rFonts w:asciiTheme="majorHAnsi" w:hAnsiTheme="majorHAnsi" w:cs="Times New Roman"/>
          <w:lang w:val="en-US"/>
        </w:rPr>
        <w:t>extremely robust and reproducible.</w:t>
      </w:r>
      <w:r w:rsidR="006C7B86">
        <w:rPr>
          <w:rFonts w:asciiTheme="majorHAnsi" w:hAnsiTheme="majorHAnsi" w:cs="Times New Roman"/>
          <w:lang w:val="en-US"/>
        </w:rPr>
        <w:t xml:space="preserve"> </w:t>
      </w:r>
      <w:r w:rsidR="00BE36FD" w:rsidRPr="0062234B">
        <w:rPr>
          <w:rFonts w:asciiTheme="majorHAnsi" w:hAnsiTheme="majorHAnsi" w:cs="Times New Roman"/>
          <w:lang w:val="en-US"/>
        </w:rPr>
        <w:t xml:space="preserve">At least in rabbits, the primary model readout of </w:t>
      </w:r>
      <w:r w:rsidR="007B76A5" w:rsidRPr="0062234B">
        <w:rPr>
          <w:rFonts w:asciiTheme="majorHAnsi" w:hAnsiTheme="majorHAnsi" w:cs="Times New Roman"/>
          <w:lang w:val="en-US"/>
        </w:rPr>
        <w:t>fungal burden in the CSF</w:t>
      </w:r>
      <w:r w:rsidR="00187BE5" w:rsidRPr="0062234B">
        <w:rPr>
          <w:rFonts w:asciiTheme="majorHAnsi" w:hAnsiTheme="majorHAnsi" w:cs="Times New Roman"/>
          <w:lang w:val="en-US"/>
        </w:rPr>
        <w:t xml:space="preserve"> </w:t>
      </w:r>
      <w:r w:rsidR="00152B86" w:rsidRPr="0066088F">
        <w:rPr>
          <w:rFonts w:asciiTheme="majorHAnsi" w:hAnsiTheme="majorHAnsi" w:cs="Times New Roman"/>
          <w:lang w:val="en-US"/>
        </w:rPr>
        <w:t>is the same as is used in patients.</w:t>
      </w:r>
      <w:r w:rsidR="006C7B86">
        <w:rPr>
          <w:rFonts w:asciiTheme="majorHAnsi" w:hAnsiTheme="majorHAnsi" w:cs="Times New Roman"/>
          <w:lang w:val="en-US"/>
        </w:rPr>
        <w:t xml:space="preserve"> </w:t>
      </w:r>
      <w:r w:rsidR="0066088F">
        <w:rPr>
          <w:rFonts w:asciiTheme="majorHAnsi" w:hAnsiTheme="majorHAnsi" w:cs="Times New Roman"/>
          <w:lang w:val="en-US"/>
        </w:rPr>
        <w:t>The murine model enables burden in the cerebrum to be easily assessed and provides complementary evidence to that obtained within the CSF.</w:t>
      </w:r>
      <w:r w:rsidR="006C7B86">
        <w:rPr>
          <w:rFonts w:asciiTheme="majorHAnsi" w:hAnsiTheme="majorHAnsi" w:cs="Times New Roman"/>
          <w:lang w:val="en-US"/>
        </w:rPr>
        <w:t xml:space="preserve"> </w:t>
      </w:r>
      <w:r w:rsidR="004F2C4D">
        <w:rPr>
          <w:rFonts w:asciiTheme="majorHAnsi" w:hAnsiTheme="majorHAnsi" w:cs="Times New Roman"/>
          <w:lang w:val="en-US"/>
        </w:rPr>
        <w:t xml:space="preserve">There is significantly less experience with models of cryptococcal </w:t>
      </w:r>
      <w:r w:rsidR="004F2C4D" w:rsidRPr="00713A67">
        <w:rPr>
          <w:rFonts w:asciiTheme="majorHAnsi" w:hAnsiTheme="majorHAnsi" w:cs="Times New Roman"/>
          <w:lang w:val="en-US"/>
        </w:rPr>
        <w:t>meningoencephalitis</w:t>
      </w:r>
      <w:r w:rsidR="004F2C4D">
        <w:rPr>
          <w:rFonts w:asciiTheme="majorHAnsi" w:hAnsiTheme="majorHAnsi" w:cs="Times New Roman"/>
          <w:lang w:val="en-US"/>
        </w:rPr>
        <w:t xml:space="preserve"> </w:t>
      </w:r>
      <w:r w:rsidR="00CA7CC1">
        <w:rPr>
          <w:rFonts w:asciiTheme="majorHAnsi" w:hAnsiTheme="majorHAnsi" w:cs="Times New Roman"/>
          <w:lang w:val="en-US"/>
        </w:rPr>
        <w:t xml:space="preserve">compared with invasive candidiasis and invasive aspergillosis </w:t>
      </w:r>
      <w:r w:rsidR="004F2C4D">
        <w:rPr>
          <w:rFonts w:asciiTheme="majorHAnsi" w:hAnsiTheme="majorHAnsi" w:cs="Times New Roman"/>
          <w:lang w:val="en-US"/>
        </w:rPr>
        <w:t xml:space="preserve">and a degree of uncertainty as to the </w:t>
      </w:r>
      <w:r w:rsidR="00867F9A">
        <w:rPr>
          <w:rFonts w:asciiTheme="majorHAnsi" w:hAnsiTheme="majorHAnsi" w:cs="Times New Roman"/>
          <w:lang w:val="en-US"/>
        </w:rPr>
        <w:t>clinical relevance</w:t>
      </w:r>
      <w:r w:rsidR="004F2C4D">
        <w:rPr>
          <w:rFonts w:asciiTheme="majorHAnsi" w:hAnsiTheme="majorHAnsi" w:cs="Times New Roman"/>
          <w:lang w:val="en-US"/>
        </w:rPr>
        <w:t xml:space="preserve"> of </w:t>
      </w:r>
      <w:r w:rsidR="00867F9A">
        <w:rPr>
          <w:rFonts w:asciiTheme="majorHAnsi" w:hAnsiTheme="majorHAnsi" w:cs="Times New Roman"/>
          <w:lang w:val="en-US"/>
        </w:rPr>
        <w:t>various orders of logarithmic killing in the cerebrum or CSF</w:t>
      </w:r>
      <w:r w:rsidR="00CA7CC1">
        <w:rPr>
          <w:rFonts w:asciiTheme="majorHAnsi" w:hAnsiTheme="majorHAnsi" w:cs="Times New Roman"/>
          <w:lang w:val="en-US"/>
        </w:rPr>
        <w:t>.</w:t>
      </w:r>
      <w:r w:rsidR="006C7B86">
        <w:rPr>
          <w:rFonts w:asciiTheme="majorHAnsi" w:hAnsiTheme="majorHAnsi" w:cs="Times New Roman"/>
          <w:lang w:val="en-US"/>
        </w:rPr>
        <w:t xml:space="preserve"> </w:t>
      </w:r>
      <w:r w:rsidR="00CA7CC1">
        <w:rPr>
          <w:rFonts w:asciiTheme="majorHAnsi" w:hAnsiTheme="majorHAnsi" w:cs="Times New Roman"/>
          <w:lang w:val="en-US"/>
        </w:rPr>
        <w:t xml:space="preserve">Nevertheless, there is a lot </w:t>
      </w:r>
      <w:r w:rsidR="003B1335">
        <w:rPr>
          <w:rFonts w:asciiTheme="majorHAnsi" w:hAnsiTheme="majorHAnsi" w:cs="Times New Roman"/>
          <w:lang w:val="en-US"/>
        </w:rPr>
        <w:t>of clinical experience and data with fluconazole, amphotericin B deoxycholate and flucytosine</w:t>
      </w:r>
      <w:r w:rsidR="00251C76">
        <w:rPr>
          <w:rFonts w:asciiTheme="majorHAnsi" w:hAnsiTheme="majorHAnsi" w:cs="Times New Roman"/>
          <w:lang w:val="en-US"/>
        </w:rPr>
        <w:t xml:space="preserve"> alone and in combination, which provides the opportunity to benchmark new regimens and agents.</w:t>
      </w:r>
      <w:r w:rsidR="00EA38D8">
        <w:rPr>
          <w:rFonts w:asciiTheme="majorHAnsi" w:hAnsiTheme="majorHAnsi" w:cs="Times New Roman"/>
          <w:lang w:val="en-US"/>
        </w:rPr>
        <w:t xml:space="preserve">  Hence, various degrees of logarithmic killing </w:t>
      </w:r>
      <w:r w:rsidR="00300A8B">
        <w:rPr>
          <w:rFonts w:asciiTheme="majorHAnsi" w:hAnsiTheme="majorHAnsi" w:cs="Times New Roman"/>
          <w:lang w:val="en-US"/>
        </w:rPr>
        <w:t xml:space="preserve">(or other decline in fungal burden) </w:t>
      </w:r>
      <w:r w:rsidR="00EA38D8">
        <w:rPr>
          <w:rFonts w:asciiTheme="majorHAnsi" w:hAnsiTheme="majorHAnsi" w:cs="Times New Roman"/>
          <w:lang w:val="en-US"/>
        </w:rPr>
        <w:t xml:space="preserve">induced by these </w:t>
      </w:r>
      <w:r w:rsidR="00402C85">
        <w:rPr>
          <w:rFonts w:asciiTheme="majorHAnsi" w:hAnsiTheme="majorHAnsi" w:cs="Times New Roman"/>
          <w:lang w:val="en-US"/>
        </w:rPr>
        <w:t xml:space="preserve">standard </w:t>
      </w:r>
      <w:r w:rsidR="00EA38D8">
        <w:rPr>
          <w:rFonts w:asciiTheme="majorHAnsi" w:hAnsiTheme="majorHAnsi" w:cs="Times New Roman"/>
          <w:lang w:val="en-US"/>
        </w:rPr>
        <w:t xml:space="preserve">agents </w:t>
      </w:r>
      <w:r w:rsidR="00402C85">
        <w:rPr>
          <w:rFonts w:asciiTheme="majorHAnsi" w:hAnsiTheme="majorHAnsi" w:cs="Times New Roman"/>
          <w:lang w:val="en-US"/>
        </w:rPr>
        <w:t xml:space="preserve">can be used to </w:t>
      </w:r>
      <w:r w:rsidR="001A03E8">
        <w:rPr>
          <w:rFonts w:asciiTheme="majorHAnsi" w:hAnsiTheme="majorHAnsi" w:cs="Times New Roman"/>
          <w:lang w:val="en-US"/>
        </w:rPr>
        <w:t>define biological targets that are also likely to be relevant for new molecules.</w:t>
      </w:r>
      <w:r w:rsidR="00402C85">
        <w:rPr>
          <w:rFonts w:asciiTheme="majorHAnsi" w:hAnsiTheme="majorHAnsi" w:cs="Times New Roman"/>
          <w:lang w:val="en-US"/>
        </w:rPr>
        <w:t xml:space="preserve"> </w:t>
      </w:r>
    </w:p>
    <w:p w14:paraId="56B5523D" w14:textId="77777777" w:rsidR="00870253" w:rsidRDefault="00870253" w:rsidP="007A2846">
      <w:pPr>
        <w:widowControl w:val="0"/>
        <w:autoSpaceDE w:val="0"/>
        <w:autoSpaceDN w:val="0"/>
        <w:adjustRightInd w:val="0"/>
        <w:spacing w:line="276" w:lineRule="auto"/>
        <w:rPr>
          <w:rFonts w:asciiTheme="majorHAnsi" w:hAnsiTheme="majorHAnsi" w:cs="Times New Roman"/>
          <w:lang w:val="en-US"/>
        </w:rPr>
      </w:pPr>
    </w:p>
    <w:p w14:paraId="6EF5C7AC" w14:textId="326D1BC1" w:rsidR="00F14D0F" w:rsidRDefault="00F14D0F"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lastRenderedPageBreak/>
        <w:t xml:space="preserve">(d) </w:t>
      </w:r>
      <w:r w:rsidR="0087308B">
        <w:rPr>
          <w:rFonts w:asciiTheme="majorHAnsi" w:hAnsiTheme="majorHAnsi" w:cs="Times New Roman"/>
          <w:lang w:val="en-US"/>
        </w:rPr>
        <w:t>Future directions and requirements</w:t>
      </w:r>
      <w:r w:rsidR="008C146A">
        <w:rPr>
          <w:rFonts w:asciiTheme="majorHAnsi" w:hAnsiTheme="majorHAnsi" w:cs="Times New Roman"/>
          <w:lang w:val="en-US"/>
        </w:rPr>
        <w:t>: a focus on rare fungal diseases</w:t>
      </w:r>
    </w:p>
    <w:p w14:paraId="1E19043A" w14:textId="3D97658C" w:rsidR="0087308B" w:rsidRDefault="0041293E"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ab/>
        <w:t>There are a multitude of medically important fungal pathogens</w:t>
      </w:r>
      <w:r w:rsidR="004F1815">
        <w:rPr>
          <w:rFonts w:asciiTheme="majorHAnsi" w:hAnsiTheme="majorHAnsi" w:cs="Times New Roman"/>
          <w:lang w:val="en-US"/>
        </w:rPr>
        <w:t xml:space="preserve">.  Some of these constitute an unmet medical need because of </w:t>
      </w:r>
      <w:r w:rsidR="008C146A">
        <w:rPr>
          <w:rFonts w:asciiTheme="majorHAnsi" w:hAnsiTheme="majorHAnsi" w:cs="Times New Roman"/>
          <w:lang w:val="en-US"/>
        </w:rPr>
        <w:t>a near complete</w:t>
      </w:r>
      <w:r w:rsidR="004F1815">
        <w:rPr>
          <w:rFonts w:asciiTheme="majorHAnsi" w:hAnsiTheme="majorHAnsi" w:cs="Times New Roman"/>
          <w:lang w:val="en-US"/>
        </w:rPr>
        <w:t xml:space="preserve"> absence of </w:t>
      </w:r>
      <w:r w:rsidR="008C146A">
        <w:rPr>
          <w:rFonts w:asciiTheme="majorHAnsi" w:hAnsiTheme="majorHAnsi" w:cs="Times New Roman"/>
          <w:lang w:val="en-US"/>
        </w:rPr>
        <w:t>therapeutic modalities</w:t>
      </w:r>
      <w:r w:rsidR="00CE15D9">
        <w:rPr>
          <w:rFonts w:asciiTheme="majorHAnsi" w:hAnsiTheme="majorHAnsi" w:cs="Times New Roman"/>
          <w:lang w:val="en-US"/>
        </w:rPr>
        <w:t xml:space="preserve">.  </w:t>
      </w:r>
      <w:r w:rsidR="007B115B">
        <w:rPr>
          <w:rFonts w:asciiTheme="majorHAnsi" w:hAnsiTheme="majorHAnsi" w:cs="Times New Roman"/>
          <w:lang w:val="en-US"/>
        </w:rPr>
        <w:t>Obvious e</w:t>
      </w:r>
      <w:r w:rsidR="00CE15D9">
        <w:rPr>
          <w:rFonts w:asciiTheme="majorHAnsi" w:hAnsiTheme="majorHAnsi" w:cs="Times New Roman"/>
          <w:lang w:val="en-US"/>
        </w:rPr>
        <w:t xml:space="preserve">xamples include the </w:t>
      </w:r>
      <w:proofErr w:type="spellStart"/>
      <w:r w:rsidR="00CE15D9">
        <w:rPr>
          <w:rFonts w:asciiTheme="majorHAnsi" w:hAnsiTheme="majorHAnsi" w:cs="Times New Roman"/>
          <w:lang w:val="en-US"/>
        </w:rPr>
        <w:t>Mucorales</w:t>
      </w:r>
      <w:proofErr w:type="spellEnd"/>
      <w:r w:rsidR="007B115B">
        <w:rPr>
          <w:rFonts w:asciiTheme="majorHAnsi" w:hAnsiTheme="majorHAnsi" w:cs="Times New Roman"/>
          <w:lang w:val="en-US"/>
        </w:rPr>
        <w:t xml:space="preserve">, </w:t>
      </w:r>
      <w:r w:rsidR="007B115B" w:rsidRPr="007B115B">
        <w:rPr>
          <w:rFonts w:asciiTheme="majorHAnsi" w:hAnsiTheme="majorHAnsi" w:cs="Times New Roman"/>
          <w:i/>
          <w:lang w:val="en-US"/>
        </w:rPr>
        <w:t>Scedosporium</w:t>
      </w:r>
      <w:r w:rsidR="007B115B">
        <w:rPr>
          <w:rFonts w:asciiTheme="majorHAnsi" w:hAnsiTheme="majorHAnsi" w:cs="Times New Roman"/>
          <w:lang w:val="en-US"/>
        </w:rPr>
        <w:t xml:space="preserve"> </w:t>
      </w:r>
      <w:r w:rsidR="007B115B" w:rsidRPr="001F5130">
        <w:rPr>
          <w:rFonts w:asciiTheme="majorHAnsi" w:hAnsiTheme="majorHAnsi" w:cs="Times New Roman"/>
          <w:lang w:val="en-US"/>
        </w:rPr>
        <w:t xml:space="preserve">spp. and </w:t>
      </w:r>
      <w:proofErr w:type="spellStart"/>
      <w:r w:rsidR="007B115B" w:rsidRPr="001F5130">
        <w:rPr>
          <w:rFonts w:asciiTheme="majorHAnsi" w:hAnsiTheme="majorHAnsi" w:cs="Times New Roman"/>
          <w:i/>
          <w:lang w:val="en-US"/>
        </w:rPr>
        <w:t>Fusarium</w:t>
      </w:r>
      <w:proofErr w:type="spellEnd"/>
      <w:r w:rsidR="007B115B" w:rsidRPr="001F5130">
        <w:rPr>
          <w:rFonts w:asciiTheme="majorHAnsi" w:hAnsiTheme="majorHAnsi" w:cs="Times New Roman"/>
          <w:lang w:val="en-US"/>
        </w:rPr>
        <w:t xml:space="preserve"> spp.  To date, pharmacodynamics has not been used to</w:t>
      </w:r>
      <w:r w:rsidR="004F1815" w:rsidRPr="001F5130">
        <w:rPr>
          <w:rFonts w:asciiTheme="majorHAnsi" w:hAnsiTheme="majorHAnsi" w:cs="Times New Roman"/>
          <w:lang w:val="en-US"/>
        </w:rPr>
        <w:t xml:space="preserve"> </w:t>
      </w:r>
      <w:r w:rsidR="007B115B" w:rsidRPr="001F5130">
        <w:rPr>
          <w:rFonts w:asciiTheme="majorHAnsi" w:hAnsiTheme="majorHAnsi" w:cs="Times New Roman"/>
          <w:lang w:val="en-US"/>
        </w:rPr>
        <w:t>help develop</w:t>
      </w:r>
      <w:r w:rsidR="002C5D99" w:rsidRPr="001F5130">
        <w:rPr>
          <w:rFonts w:asciiTheme="majorHAnsi" w:hAnsiTheme="majorHAnsi" w:cs="Times New Roman"/>
          <w:lang w:val="en-US"/>
        </w:rPr>
        <w:t xml:space="preserve"> antifungal agents for these pathogens.  </w:t>
      </w:r>
      <w:r w:rsidR="001F5130" w:rsidRPr="001F5130">
        <w:rPr>
          <w:rFonts w:ascii="Calibri" w:hAnsi="Calibri" w:cs="Calibri"/>
          <w:lang w:val="en-US"/>
        </w:rPr>
        <w:t>There are t</w:t>
      </w:r>
      <w:r w:rsidR="001F5130">
        <w:rPr>
          <w:rFonts w:ascii="Calibri" w:hAnsi="Calibri" w:cs="Calibri"/>
          <w:lang w:val="en-US"/>
        </w:rPr>
        <w:t xml:space="preserve">wo principal reasons for this.  </w:t>
      </w:r>
      <w:r w:rsidR="001F5130" w:rsidRPr="001F5130">
        <w:rPr>
          <w:rFonts w:ascii="Calibri" w:hAnsi="Calibri" w:cs="Calibri"/>
          <w:lang w:val="en-US"/>
        </w:rPr>
        <w:t>First, experimental phar</w:t>
      </w:r>
      <w:r w:rsidR="001F5130">
        <w:rPr>
          <w:rFonts w:ascii="Calibri" w:hAnsi="Calibri" w:cs="Calibri"/>
          <w:lang w:val="en-US"/>
        </w:rPr>
        <w:t xml:space="preserve">macodynamic models that are a </w:t>
      </w:r>
      <w:r w:rsidR="001F5130" w:rsidRPr="001F5130">
        <w:rPr>
          <w:rFonts w:ascii="Calibri" w:hAnsi="Calibri" w:cs="Calibri"/>
          <w:lang w:val="en-US"/>
        </w:rPr>
        <w:t xml:space="preserve">faithful mimic of the pathogenesis in </w:t>
      </w:r>
      <w:r w:rsidR="001F5130">
        <w:rPr>
          <w:rFonts w:ascii="Calibri" w:hAnsi="Calibri" w:cs="Calibri"/>
          <w:lang w:val="en-US"/>
        </w:rPr>
        <w:t>hu</w:t>
      </w:r>
      <w:r w:rsidR="001F5130" w:rsidRPr="001F5130">
        <w:rPr>
          <w:rFonts w:ascii="Calibri" w:hAnsi="Calibri" w:cs="Calibri"/>
          <w:lang w:val="en-US"/>
        </w:rPr>
        <w:t>m</w:t>
      </w:r>
      <w:r w:rsidR="001F5130">
        <w:rPr>
          <w:rFonts w:ascii="Calibri" w:hAnsi="Calibri" w:cs="Calibri"/>
          <w:lang w:val="en-US"/>
        </w:rPr>
        <w:t xml:space="preserve">ans of these diverse infections have not been developed.  </w:t>
      </w:r>
      <w:r w:rsidR="001F5130" w:rsidRPr="001F5130">
        <w:rPr>
          <w:rFonts w:ascii="Calibri" w:hAnsi="Calibri" w:cs="Calibri"/>
          <w:lang w:val="en-US"/>
        </w:rPr>
        <w:t>This is in turn is a function of the relatively low virulence of many of these pathogens, which is a ch</w:t>
      </w:r>
      <w:r w:rsidR="001F5130">
        <w:rPr>
          <w:rFonts w:ascii="Calibri" w:hAnsi="Calibri" w:cs="Calibri"/>
          <w:lang w:val="en-US"/>
        </w:rPr>
        <w:t xml:space="preserve">allenge for model development.  </w:t>
      </w:r>
      <w:r w:rsidR="001F5130" w:rsidRPr="001F5130">
        <w:rPr>
          <w:rFonts w:ascii="Calibri" w:hAnsi="Calibri" w:cs="Calibri"/>
          <w:lang w:val="en-US"/>
        </w:rPr>
        <w:t>Second, reliable study endpoints that are an accurate reflection of fungal burden and drug effect ar</w:t>
      </w:r>
      <w:r w:rsidR="001F5130">
        <w:rPr>
          <w:rFonts w:ascii="Calibri" w:hAnsi="Calibri" w:cs="Calibri"/>
          <w:lang w:val="en-US"/>
        </w:rPr>
        <w:t>e not generally available—</w:t>
      </w:r>
      <w:r w:rsidR="001F5130" w:rsidRPr="001F5130">
        <w:rPr>
          <w:rFonts w:ascii="Calibri" w:hAnsi="Calibri" w:cs="Calibri"/>
          <w:lang w:val="en-US"/>
        </w:rPr>
        <w:t xml:space="preserve">tools such as </w:t>
      </w:r>
      <w:r w:rsidR="00957F22">
        <w:rPr>
          <w:rFonts w:ascii="Calibri" w:hAnsi="Calibri" w:cs="Calibri"/>
          <w:lang w:val="en-US"/>
        </w:rPr>
        <w:t>galactomannan</w:t>
      </w:r>
      <w:r w:rsidR="001F5130" w:rsidRPr="001F5130">
        <w:rPr>
          <w:rFonts w:ascii="Calibri" w:hAnsi="Calibri" w:cs="Calibri"/>
          <w:lang w:val="en-US"/>
        </w:rPr>
        <w:t xml:space="preserve"> for IPA (see above) would need to be developed on a fungus-by-fungus basis.</w:t>
      </w:r>
      <w:r w:rsidR="001F5130">
        <w:rPr>
          <w:rFonts w:ascii="Calibri" w:hAnsi="Calibri" w:cs="Calibri"/>
          <w:lang w:val="en-US"/>
        </w:rPr>
        <w:t xml:space="preserve">  </w:t>
      </w:r>
      <w:r w:rsidR="00685C44" w:rsidRPr="001F5130">
        <w:rPr>
          <w:rFonts w:asciiTheme="majorHAnsi" w:hAnsiTheme="majorHAnsi" w:cs="Times New Roman"/>
          <w:lang w:val="en-US"/>
        </w:rPr>
        <w:t xml:space="preserve">The development of </w:t>
      </w:r>
      <w:r w:rsidR="009975E6" w:rsidRPr="001F5130">
        <w:rPr>
          <w:rFonts w:asciiTheme="majorHAnsi" w:hAnsiTheme="majorHAnsi" w:cs="Times New Roman"/>
          <w:lang w:val="en-US"/>
        </w:rPr>
        <w:t xml:space="preserve">pharmacodynamic models </w:t>
      </w:r>
      <w:r w:rsidR="009F04B8" w:rsidRPr="001F5130">
        <w:rPr>
          <w:rFonts w:asciiTheme="majorHAnsi" w:hAnsiTheme="majorHAnsi" w:cs="Times New Roman"/>
          <w:lang w:val="en-US"/>
        </w:rPr>
        <w:t>for</w:t>
      </w:r>
      <w:r w:rsidR="009975E6" w:rsidRPr="001F5130">
        <w:rPr>
          <w:rFonts w:asciiTheme="majorHAnsi" w:hAnsiTheme="majorHAnsi" w:cs="Times New Roman"/>
          <w:lang w:val="en-US"/>
        </w:rPr>
        <w:t xml:space="preserve"> these </w:t>
      </w:r>
      <w:r w:rsidR="004760FC" w:rsidRPr="001F5130">
        <w:rPr>
          <w:rFonts w:asciiTheme="majorHAnsi" w:hAnsiTheme="majorHAnsi" w:cs="Times New Roman"/>
          <w:lang w:val="en-US"/>
        </w:rPr>
        <w:t>less common</w:t>
      </w:r>
      <w:r w:rsidR="009975E6" w:rsidRPr="001F5130">
        <w:rPr>
          <w:rFonts w:asciiTheme="majorHAnsi" w:hAnsiTheme="majorHAnsi" w:cs="Times New Roman"/>
          <w:lang w:val="en-US"/>
        </w:rPr>
        <w:t xml:space="preserve"> fungal pathogens </w:t>
      </w:r>
      <w:r w:rsidR="004760FC" w:rsidRPr="001F5130">
        <w:rPr>
          <w:rFonts w:asciiTheme="majorHAnsi" w:hAnsiTheme="majorHAnsi" w:cs="Times New Roman"/>
          <w:lang w:val="en-US"/>
        </w:rPr>
        <w:t>wo</w:t>
      </w:r>
      <w:r w:rsidR="00587BFA" w:rsidRPr="001F5130">
        <w:rPr>
          <w:rFonts w:asciiTheme="majorHAnsi" w:hAnsiTheme="majorHAnsi" w:cs="Times New Roman"/>
          <w:lang w:val="en-US"/>
        </w:rPr>
        <w:t>uld enable</w:t>
      </w:r>
      <w:r w:rsidR="00587BFA">
        <w:rPr>
          <w:rFonts w:asciiTheme="majorHAnsi" w:hAnsiTheme="majorHAnsi" w:cs="Times New Roman"/>
          <w:lang w:val="en-US"/>
        </w:rPr>
        <w:t xml:space="preserve"> </w:t>
      </w:r>
      <w:r w:rsidR="009F04B8">
        <w:rPr>
          <w:rFonts w:asciiTheme="majorHAnsi" w:hAnsiTheme="majorHAnsi" w:cs="Times New Roman"/>
          <w:lang w:val="en-US"/>
        </w:rPr>
        <w:t xml:space="preserve">PK-PD studies and </w:t>
      </w:r>
      <w:r w:rsidR="00587BFA">
        <w:rPr>
          <w:rFonts w:asciiTheme="majorHAnsi" w:hAnsiTheme="majorHAnsi" w:cs="Times New Roman"/>
          <w:lang w:val="en-US"/>
        </w:rPr>
        <w:t xml:space="preserve">a rational basis </w:t>
      </w:r>
      <w:r w:rsidR="009F04B8">
        <w:rPr>
          <w:rFonts w:asciiTheme="majorHAnsi" w:hAnsiTheme="majorHAnsi" w:cs="Times New Roman"/>
          <w:lang w:val="en-US"/>
        </w:rPr>
        <w:t>for</w:t>
      </w:r>
      <w:r w:rsidR="00587BFA">
        <w:rPr>
          <w:rFonts w:asciiTheme="majorHAnsi" w:hAnsiTheme="majorHAnsi" w:cs="Times New Roman"/>
          <w:lang w:val="en-US"/>
        </w:rPr>
        <w:t xml:space="preserve"> the selection of regimens</w:t>
      </w:r>
      <w:r w:rsidR="009F04B8">
        <w:rPr>
          <w:rFonts w:asciiTheme="majorHAnsi" w:hAnsiTheme="majorHAnsi" w:cs="Times New Roman"/>
          <w:lang w:val="en-US"/>
        </w:rPr>
        <w:t xml:space="preserve"> for new antifungal agents</w:t>
      </w:r>
      <w:r w:rsidR="00587BFA">
        <w:rPr>
          <w:rFonts w:asciiTheme="majorHAnsi" w:hAnsiTheme="majorHAnsi" w:cs="Times New Roman"/>
          <w:lang w:val="en-US"/>
        </w:rPr>
        <w:t xml:space="preserve">.  Currently, the regimen is extrapolated from more commonly encountered pathogens such as </w:t>
      </w:r>
      <w:r w:rsidR="00587BFA" w:rsidRPr="00587BFA">
        <w:rPr>
          <w:rFonts w:asciiTheme="majorHAnsi" w:hAnsiTheme="majorHAnsi" w:cs="Times New Roman"/>
          <w:i/>
          <w:lang w:val="en-US"/>
        </w:rPr>
        <w:t>Candida</w:t>
      </w:r>
      <w:r w:rsidR="00587BFA">
        <w:rPr>
          <w:rFonts w:asciiTheme="majorHAnsi" w:hAnsiTheme="majorHAnsi" w:cs="Times New Roman"/>
          <w:lang w:val="en-US"/>
        </w:rPr>
        <w:t xml:space="preserve"> </w:t>
      </w:r>
      <w:r w:rsidR="00526832" w:rsidRPr="00526832">
        <w:rPr>
          <w:rFonts w:asciiTheme="majorHAnsi" w:hAnsiTheme="majorHAnsi" w:cs="Times New Roman"/>
          <w:i/>
          <w:lang w:val="en-US"/>
        </w:rPr>
        <w:t>albicans</w:t>
      </w:r>
      <w:r w:rsidR="00526832">
        <w:rPr>
          <w:rFonts w:asciiTheme="majorHAnsi" w:hAnsiTheme="majorHAnsi" w:cs="Times New Roman"/>
          <w:lang w:val="en-US"/>
        </w:rPr>
        <w:t xml:space="preserve"> and/</w:t>
      </w:r>
      <w:r w:rsidR="00587BFA">
        <w:rPr>
          <w:rFonts w:asciiTheme="majorHAnsi" w:hAnsiTheme="majorHAnsi" w:cs="Times New Roman"/>
          <w:lang w:val="en-US"/>
        </w:rPr>
        <w:t xml:space="preserve">or </w:t>
      </w:r>
      <w:r w:rsidR="00587BFA" w:rsidRPr="00587BFA">
        <w:rPr>
          <w:rFonts w:asciiTheme="majorHAnsi" w:hAnsiTheme="majorHAnsi" w:cs="Times New Roman"/>
          <w:i/>
          <w:lang w:val="en-US"/>
        </w:rPr>
        <w:t>Aspergillus</w:t>
      </w:r>
      <w:r w:rsidR="00587BFA" w:rsidRPr="00526832">
        <w:rPr>
          <w:rFonts w:asciiTheme="majorHAnsi" w:hAnsiTheme="majorHAnsi" w:cs="Times New Roman"/>
          <w:i/>
          <w:lang w:val="en-US"/>
        </w:rPr>
        <w:t xml:space="preserve"> </w:t>
      </w:r>
      <w:r w:rsidR="00526832" w:rsidRPr="00526832">
        <w:rPr>
          <w:rFonts w:asciiTheme="majorHAnsi" w:hAnsiTheme="majorHAnsi" w:cs="Times New Roman"/>
          <w:i/>
          <w:lang w:val="en-US"/>
        </w:rPr>
        <w:t>fumigatus</w:t>
      </w:r>
      <w:r w:rsidR="00750D4C">
        <w:rPr>
          <w:rFonts w:asciiTheme="majorHAnsi" w:hAnsiTheme="majorHAnsi" w:cs="Times New Roman"/>
          <w:lang w:val="en-US"/>
        </w:rPr>
        <w:t>, which may not necessarily be appropriate.</w:t>
      </w:r>
      <w:r w:rsidR="004760FC">
        <w:rPr>
          <w:rFonts w:asciiTheme="majorHAnsi" w:hAnsiTheme="majorHAnsi" w:cs="Times New Roman"/>
          <w:lang w:val="en-US"/>
        </w:rPr>
        <w:t xml:space="preserve"> </w:t>
      </w:r>
      <w:r w:rsidR="009975E6">
        <w:rPr>
          <w:rFonts w:asciiTheme="majorHAnsi" w:hAnsiTheme="majorHAnsi" w:cs="Times New Roman"/>
          <w:lang w:val="en-US"/>
        </w:rPr>
        <w:t xml:space="preserve"> </w:t>
      </w:r>
      <w:r w:rsidR="000519F4">
        <w:rPr>
          <w:rFonts w:asciiTheme="majorHAnsi" w:hAnsiTheme="majorHAnsi" w:cs="Times New Roman"/>
          <w:lang w:val="en-US"/>
        </w:rPr>
        <w:t xml:space="preserve"> </w:t>
      </w:r>
    </w:p>
    <w:p w14:paraId="7026577B" w14:textId="77777777" w:rsidR="00F14D0F" w:rsidRDefault="00F14D0F" w:rsidP="007A2846">
      <w:pPr>
        <w:widowControl w:val="0"/>
        <w:autoSpaceDE w:val="0"/>
        <w:autoSpaceDN w:val="0"/>
        <w:adjustRightInd w:val="0"/>
        <w:spacing w:line="276" w:lineRule="auto"/>
        <w:rPr>
          <w:rFonts w:asciiTheme="majorHAnsi" w:hAnsiTheme="majorHAnsi" w:cs="Times New Roman"/>
          <w:lang w:val="en-US"/>
        </w:rPr>
      </w:pPr>
    </w:p>
    <w:p w14:paraId="47DC97B0" w14:textId="36023623" w:rsidR="00AE4FD1" w:rsidRDefault="00AE4FD1" w:rsidP="007A2846">
      <w:pPr>
        <w:widowControl w:val="0"/>
        <w:autoSpaceDE w:val="0"/>
        <w:autoSpaceDN w:val="0"/>
        <w:adjustRightInd w:val="0"/>
        <w:spacing w:line="276" w:lineRule="auto"/>
        <w:rPr>
          <w:rFonts w:asciiTheme="majorHAnsi" w:hAnsiTheme="majorHAnsi" w:cs="Times New Roman"/>
          <w:lang w:val="en-US"/>
        </w:rPr>
      </w:pPr>
    </w:p>
    <w:p w14:paraId="419F5AD9" w14:textId="77777777" w:rsidR="00AE4FD1" w:rsidRDefault="00AE4FD1" w:rsidP="007A2846">
      <w:pPr>
        <w:widowControl w:val="0"/>
        <w:autoSpaceDE w:val="0"/>
        <w:autoSpaceDN w:val="0"/>
        <w:adjustRightInd w:val="0"/>
        <w:spacing w:line="276" w:lineRule="auto"/>
        <w:rPr>
          <w:rFonts w:asciiTheme="majorHAnsi" w:hAnsiTheme="majorHAnsi" w:cs="Times New Roman"/>
          <w:lang w:val="en-US"/>
        </w:rPr>
      </w:pPr>
    </w:p>
    <w:p w14:paraId="0520CCA6" w14:textId="77777777" w:rsidR="00897DC5" w:rsidRPr="007E2A5E" w:rsidRDefault="000964E5" w:rsidP="007A2846">
      <w:pPr>
        <w:spacing w:line="276" w:lineRule="auto"/>
        <w:rPr>
          <w:rFonts w:asciiTheme="majorHAnsi" w:hAnsiTheme="majorHAnsi"/>
          <w:u w:val="single"/>
        </w:rPr>
      </w:pPr>
      <w:r>
        <w:rPr>
          <w:rFonts w:asciiTheme="majorHAnsi" w:hAnsiTheme="majorHAnsi"/>
          <w:u w:val="single"/>
        </w:rPr>
        <w:t>5</w:t>
      </w:r>
      <w:r w:rsidR="004B07FF" w:rsidRPr="007E2A5E">
        <w:rPr>
          <w:rFonts w:asciiTheme="majorHAnsi" w:hAnsiTheme="majorHAnsi"/>
          <w:u w:val="single"/>
        </w:rPr>
        <w:t xml:space="preserve">. </w:t>
      </w:r>
      <w:r w:rsidR="00ED6FA6" w:rsidRPr="007E2A5E">
        <w:rPr>
          <w:rFonts w:asciiTheme="majorHAnsi" w:hAnsiTheme="majorHAnsi"/>
          <w:u w:val="single"/>
        </w:rPr>
        <w:t xml:space="preserve">REGULATORY </w:t>
      </w:r>
      <w:r w:rsidR="006F01BC">
        <w:rPr>
          <w:rFonts w:asciiTheme="majorHAnsi" w:hAnsiTheme="majorHAnsi"/>
          <w:u w:val="single"/>
        </w:rPr>
        <w:t>CONSIDERATIONS</w:t>
      </w:r>
      <w:r w:rsidR="006F01BC" w:rsidRPr="007E2A5E">
        <w:rPr>
          <w:rFonts w:asciiTheme="majorHAnsi" w:hAnsiTheme="majorHAnsi"/>
          <w:u w:val="single"/>
        </w:rPr>
        <w:t xml:space="preserve"> </w:t>
      </w:r>
      <w:r w:rsidR="00084D45">
        <w:rPr>
          <w:rFonts w:asciiTheme="majorHAnsi" w:hAnsiTheme="majorHAnsi"/>
          <w:u w:val="single"/>
        </w:rPr>
        <w:t>FOR</w:t>
      </w:r>
      <w:r w:rsidR="00870253">
        <w:rPr>
          <w:rFonts w:asciiTheme="majorHAnsi" w:hAnsiTheme="majorHAnsi"/>
          <w:u w:val="single"/>
        </w:rPr>
        <w:t xml:space="preserve"> DEVELOPMENT OF</w:t>
      </w:r>
      <w:r w:rsidR="001E4ECA" w:rsidRPr="007E2A5E">
        <w:rPr>
          <w:rFonts w:asciiTheme="majorHAnsi" w:hAnsiTheme="majorHAnsi"/>
          <w:u w:val="single"/>
        </w:rPr>
        <w:t xml:space="preserve"> </w:t>
      </w:r>
      <w:r w:rsidR="004C7600" w:rsidRPr="007E2A5E">
        <w:rPr>
          <w:rFonts w:asciiTheme="majorHAnsi" w:hAnsiTheme="majorHAnsi"/>
          <w:u w:val="single"/>
        </w:rPr>
        <w:t>ANTI</w:t>
      </w:r>
      <w:r w:rsidR="004C7600">
        <w:rPr>
          <w:rFonts w:asciiTheme="majorHAnsi" w:hAnsiTheme="majorHAnsi"/>
          <w:u w:val="single"/>
        </w:rPr>
        <w:t xml:space="preserve">FUNGAL AGENTS </w:t>
      </w:r>
    </w:p>
    <w:p w14:paraId="5657B1A7" w14:textId="77777777" w:rsidR="00F6104F" w:rsidRDefault="00F6104F" w:rsidP="007A2846">
      <w:pPr>
        <w:spacing w:line="276" w:lineRule="auto"/>
        <w:rPr>
          <w:rFonts w:asciiTheme="majorHAnsi" w:hAnsiTheme="majorHAnsi"/>
        </w:rPr>
      </w:pPr>
    </w:p>
    <w:p w14:paraId="7D473A17" w14:textId="1E0A67FF" w:rsidR="00F6104F" w:rsidRPr="007E2A5E" w:rsidRDefault="00EC12A1" w:rsidP="007A2846">
      <w:pPr>
        <w:spacing w:line="276" w:lineRule="auto"/>
        <w:rPr>
          <w:rFonts w:asciiTheme="majorHAnsi" w:hAnsiTheme="majorHAnsi"/>
        </w:rPr>
      </w:pPr>
      <w:r w:rsidRPr="00EC12A1">
        <w:rPr>
          <w:rFonts w:asciiTheme="majorHAnsi" w:hAnsiTheme="majorHAnsi"/>
        </w:rPr>
        <w:tab/>
      </w:r>
      <w:r w:rsidR="00804D2E">
        <w:rPr>
          <w:rFonts w:asciiTheme="majorHAnsi" w:hAnsiTheme="majorHAnsi"/>
        </w:rPr>
        <w:t>This section describes the current regulation in the US and Europe</w:t>
      </w:r>
      <w:r w:rsidR="007566E2">
        <w:rPr>
          <w:rFonts w:asciiTheme="majorHAnsi" w:hAnsiTheme="majorHAnsi"/>
        </w:rPr>
        <w:t xml:space="preserve"> for developing new agents.  Both the EMA and FDA have been active in considering ways in which new drugs can be developed faster, especially to address unmet medical need.  </w:t>
      </w:r>
      <w:r w:rsidR="0028051F" w:rsidRPr="00EC12A1">
        <w:rPr>
          <w:rFonts w:asciiTheme="majorHAnsi" w:hAnsiTheme="majorHAnsi"/>
        </w:rPr>
        <w:t>S</w:t>
      </w:r>
      <w:r w:rsidR="00F6104F" w:rsidRPr="00EC12A1">
        <w:rPr>
          <w:rFonts w:asciiTheme="majorHAnsi" w:hAnsiTheme="majorHAnsi"/>
        </w:rPr>
        <w:t xml:space="preserve">tudying the right dose the first time </w:t>
      </w:r>
      <w:r w:rsidR="0030322D" w:rsidRPr="00EC12A1">
        <w:rPr>
          <w:rFonts w:asciiTheme="majorHAnsi" w:hAnsiTheme="majorHAnsi"/>
        </w:rPr>
        <w:t>requires</w:t>
      </w:r>
      <w:r w:rsidR="00563292" w:rsidRPr="00EC12A1">
        <w:rPr>
          <w:rFonts w:asciiTheme="majorHAnsi" w:hAnsiTheme="majorHAnsi"/>
        </w:rPr>
        <w:t xml:space="preserve"> a </w:t>
      </w:r>
      <w:r w:rsidR="00D075A0" w:rsidRPr="00EC12A1">
        <w:rPr>
          <w:rFonts w:asciiTheme="majorHAnsi" w:hAnsiTheme="majorHAnsi"/>
        </w:rPr>
        <w:t>comprehensive high quality</w:t>
      </w:r>
      <w:r w:rsidR="00563292" w:rsidRPr="00EC12A1">
        <w:rPr>
          <w:rFonts w:asciiTheme="majorHAnsi" w:hAnsiTheme="majorHAnsi"/>
        </w:rPr>
        <w:t xml:space="preserve"> PK-PD package</w:t>
      </w:r>
      <w:r w:rsidR="00B60CB3">
        <w:rPr>
          <w:rFonts w:asciiTheme="majorHAnsi" w:hAnsiTheme="majorHAnsi"/>
        </w:rPr>
        <w:t xml:space="preserve"> and</w:t>
      </w:r>
      <w:r w:rsidR="00F6104F" w:rsidRPr="007E2A5E">
        <w:rPr>
          <w:rFonts w:asciiTheme="majorHAnsi" w:hAnsiTheme="majorHAnsi"/>
        </w:rPr>
        <w:t xml:space="preserve"> a</w:t>
      </w:r>
      <w:r w:rsidR="00C508E1">
        <w:rPr>
          <w:rFonts w:asciiTheme="majorHAnsi" w:hAnsiTheme="majorHAnsi"/>
        </w:rPr>
        <w:t xml:space="preserve"> deep</w:t>
      </w:r>
      <w:r w:rsidR="00F6104F" w:rsidRPr="007E2A5E">
        <w:rPr>
          <w:rFonts w:asciiTheme="majorHAnsi" w:hAnsiTheme="majorHAnsi"/>
        </w:rPr>
        <w:t xml:space="preserve"> understanding of dose-exposure-response relationships </w:t>
      </w:r>
    </w:p>
    <w:p w14:paraId="308C902C" w14:textId="77777777" w:rsidR="009D2C46" w:rsidRDefault="009D2C46" w:rsidP="007A2846">
      <w:pPr>
        <w:spacing w:line="276" w:lineRule="auto"/>
        <w:rPr>
          <w:rFonts w:asciiTheme="majorHAnsi" w:hAnsiTheme="majorHAnsi"/>
        </w:rPr>
      </w:pPr>
    </w:p>
    <w:p w14:paraId="1B83BFBA" w14:textId="77777777" w:rsidR="00652B8E" w:rsidRDefault="00504D90" w:rsidP="007A2846">
      <w:pPr>
        <w:spacing w:line="276" w:lineRule="auto"/>
        <w:rPr>
          <w:rFonts w:asciiTheme="majorHAnsi" w:hAnsiTheme="majorHAnsi"/>
        </w:rPr>
      </w:pPr>
      <w:r w:rsidRPr="007E2A5E">
        <w:rPr>
          <w:rFonts w:asciiTheme="majorHAnsi" w:hAnsiTheme="majorHAnsi"/>
        </w:rPr>
        <w:t xml:space="preserve">2. </w:t>
      </w:r>
      <w:r w:rsidR="00251015">
        <w:rPr>
          <w:rFonts w:asciiTheme="majorHAnsi" w:hAnsiTheme="majorHAnsi"/>
        </w:rPr>
        <w:t>Expedited programs</w:t>
      </w:r>
    </w:p>
    <w:p w14:paraId="6219ED9A" w14:textId="7172DE3C" w:rsidR="00515DD1" w:rsidRDefault="00DB52D9" w:rsidP="007A2846">
      <w:pPr>
        <w:spacing w:line="276" w:lineRule="auto"/>
        <w:rPr>
          <w:rFonts w:asciiTheme="majorHAnsi" w:hAnsiTheme="majorHAnsi"/>
        </w:rPr>
      </w:pPr>
      <w:r>
        <w:rPr>
          <w:rFonts w:asciiTheme="majorHAnsi" w:hAnsiTheme="majorHAnsi"/>
        </w:rPr>
        <w:tab/>
      </w:r>
      <w:r w:rsidR="008714C7">
        <w:rPr>
          <w:rFonts w:asciiTheme="majorHAnsi" w:hAnsiTheme="majorHAnsi"/>
        </w:rPr>
        <w:t>The o</w:t>
      </w:r>
      <w:r w:rsidR="00515DD1">
        <w:rPr>
          <w:rFonts w:asciiTheme="majorHAnsi" w:hAnsiTheme="majorHAnsi"/>
        </w:rPr>
        <w:t xml:space="preserve">verall </w:t>
      </w:r>
      <w:r w:rsidR="00F94E7B">
        <w:rPr>
          <w:rFonts w:asciiTheme="majorHAnsi" w:hAnsiTheme="majorHAnsi"/>
        </w:rPr>
        <w:t xml:space="preserve">intention </w:t>
      </w:r>
      <w:r w:rsidR="008714C7">
        <w:rPr>
          <w:rFonts w:asciiTheme="majorHAnsi" w:hAnsiTheme="majorHAnsi"/>
        </w:rPr>
        <w:t>of expedited programs</w:t>
      </w:r>
      <w:r w:rsidR="00515DD1">
        <w:rPr>
          <w:rFonts w:asciiTheme="majorHAnsi" w:hAnsiTheme="majorHAnsi"/>
        </w:rPr>
        <w:t xml:space="preserve"> is to accelerate the approval of drugs and make them available to patients as soon as it is c</w:t>
      </w:r>
      <w:r w:rsidR="008714C7">
        <w:rPr>
          <w:rFonts w:asciiTheme="majorHAnsi" w:hAnsiTheme="majorHAnsi"/>
        </w:rPr>
        <w:t xml:space="preserve">lear that the benefits </w:t>
      </w:r>
      <w:r w:rsidR="006F01BC">
        <w:rPr>
          <w:rFonts w:asciiTheme="majorHAnsi" w:hAnsiTheme="majorHAnsi"/>
        </w:rPr>
        <w:t xml:space="preserve">most likely </w:t>
      </w:r>
      <w:r w:rsidR="008714C7">
        <w:rPr>
          <w:rFonts w:asciiTheme="majorHAnsi" w:hAnsiTheme="majorHAnsi"/>
        </w:rPr>
        <w:t>outweigh</w:t>
      </w:r>
      <w:r w:rsidR="00515DD1">
        <w:rPr>
          <w:rFonts w:asciiTheme="majorHAnsi" w:hAnsiTheme="majorHAnsi"/>
        </w:rPr>
        <w:t xml:space="preserve"> the risks.</w:t>
      </w:r>
      <w:r w:rsidR="006C7B86">
        <w:rPr>
          <w:rFonts w:asciiTheme="majorHAnsi" w:hAnsiTheme="majorHAnsi"/>
        </w:rPr>
        <w:t xml:space="preserve"> </w:t>
      </w:r>
      <w:r w:rsidR="009829C6">
        <w:rPr>
          <w:rFonts w:asciiTheme="majorHAnsi" w:hAnsiTheme="majorHAnsi"/>
        </w:rPr>
        <w:t xml:space="preserve"> </w:t>
      </w:r>
      <w:r w:rsidR="001E7E69">
        <w:rPr>
          <w:rFonts w:asciiTheme="majorHAnsi" w:hAnsiTheme="majorHAnsi"/>
        </w:rPr>
        <w:t>The FDA, for example have</w:t>
      </w:r>
      <w:r w:rsidR="005F0EB4">
        <w:rPr>
          <w:rFonts w:asciiTheme="majorHAnsi" w:hAnsiTheme="majorHAnsi"/>
        </w:rPr>
        <w:t xml:space="preserve"> a</w:t>
      </w:r>
      <w:r w:rsidR="001E7E69">
        <w:rPr>
          <w:rFonts w:asciiTheme="majorHAnsi" w:hAnsiTheme="majorHAnsi"/>
        </w:rPr>
        <w:t xml:space="preserve"> policy on </w:t>
      </w:r>
      <w:r w:rsidR="00CD3B64">
        <w:rPr>
          <w:rFonts w:asciiTheme="majorHAnsi" w:hAnsiTheme="majorHAnsi"/>
        </w:rPr>
        <w:t>“</w:t>
      </w:r>
      <w:r w:rsidR="001E7E69">
        <w:rPr>
          <w:rFonts w:asciiTheme="majorHAnsi" w:hAnsiTheme="majorHAnsi"/>
        </w:rPr>
        <w:t xml:space="preserve">Drugs Intended to </w:t>
      </w:r>
      <w:r w:rsidR="00CD3B64">
        <w:rPr>
          <w:rFonts w:asciiTheme="majorHAnsi" w:hAnsiTheme="majorHAnsi"/>
        </w:rPr>
        <w:t>T</w:t>
      </w:r>
      <w:r w:rsidR="001E7E69">
        <w:rPr>
          <w:rFonts w:asciiTheme="majorHAnsi" w:hAnsiTheme="majorHAnsi"/>
        </w:rPr>
        <w:t xml:space="preserve">reat </w:t>
      </w:r>
      <w:r w:rsidR="00F20623">
        <w:rPr>
          <w:rFonts w:asciiTheme="majorHAnsi" w:hAnsiTheme="majorHAnsi"/>
        </w:rPr>
        <w:t>Life-threatening and Severely Debilitating Illnesses</w:t>
      </w:r>
      <w:r w:rsidR="00CD3B64">
        <w:rPr>
          <w:rFonts w:asciiTheme="majorHAnsi" w:hAnsiTheme="majorHAnsi"/>
        </w:rPr>
        <w:t>”</w:t>
      </w:r>
      <w:r w:rsidR="00A73F1A">
        <w:rPr>
          <w:rFonts w:asciiTheme="majorHAnsi" w:hAnsiTheme="majorHAnsi"/>
        </w:rPr>
        <w:t>,</w:t>
      </w:r>
      <w:r w:rsidR="00E8034D">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"Food and Drug Administration", "given" : "", "non-dropping-particle" : "", "parse-names" : false, "suffix" : "" } ], "container-title" : "http://www.accessdata.fda.gov/scripts/cdrh/cfdocs/cfcfr/CFRSearch.cfm?CFRPart=312&amp;showFR=1&amp;subpartNode=21:5.0.1.1.3.5", "id" : "ITEM-1", "issued" : { "date-parts" : [ [ "0" ] ] }, "title" : "Drugs Intended to Treat Life-threatening and Severely Debilitating Illnesses", "type" : "article-journal" }, "uris" : [ "http://www.mendeley.com/documents/?uuid=b669da12-af65-4c57-aa2d-a3e38224fb7d" ] } ], "mendeley" : { "formattedCitation" : "&lt;sup&gt;57&lt;/sup&gt;", "plainTextFormattedCitation" : "57", "previouslyFormattedCitation" : "&lt;sup&gt;57&lt;/sup&gt;" }, "properties" : { "noteIndex" : 0 }, "schema" : "https://github.com/citation-style-language/schema/raw/master/csl-citation.json" }</w:instrText>
      </w:r>
      <w:r w:rsidR="00E8034D">
        <w:rPr>
          <w:rFonts w:asciiTheme="majorHAnsi" w:hAnsiTheme="majorHAnsi"/>
        </w:rPr>
        <w:fldChar w:fldCharType="separate"/>
      </w:r>
      <w:r w:rsidR="00D1426F" w:rsidRPr="00D1426F">
        <w:rPr>
          <w:rFonts w:asciiTheme="majorHAnsi" w:hAnsiTheme="majorHAnsi"/>
          <w:noProof/>
          <w:vertAlign w:val="superscript"/>
        </w:rPr>
        <w:t>57</w:t>
      </w:r>
      <w:r w:rsidR="00E8034D">
        <w:rPr>
          <w:rFonts w:asciiTheme="majorHAnsi" w:hAnsiTheme="majorHAnsi"/>
        </w:rPr>
        <w:fldChar w:fldCharType="end"/>
      </w:r>
      <w:r w:rsidR="00A73F1A">
        <w:rPr>
          <w:rFonts w:asciiTheme="majorHAnsi" w:hAnsiTheme="majorHAnsi"/>
        </w:rPr>
        <w:t xml:space="preserve"> while the </w:t>
      </w:r>
      <w:r w:rsidR="00A73F1A">
        <w:rPr>
          <w:rFonts w:asciiTheme="majorHAnsi" w:hAnsiTheme="majorHAnsi" w:cs="Times New Roman"/>
          <w:lang w:val="en-US"/>
        </w:rPr>
        <w:t>EMA has recently piloted an adaptive pathways approach that provides a mechanism to provide timely access for new drugs</w:t>
      </w:r>
      <w:r w:rsidR="00E7329F">
        <w:rPr>
          <w:rFonts w:asciiTheme="majorHAnsi" w:hAnsiTheme="majorHAnsi" w:cs="Times New Roman"/>
          <w:lang w:val="en-US"/>
        </w:rPr>
        <w:t xml:space="preserve"> for </w:t>
      </w:r>
      <w:r w:rsidR="00611847">
        <w:rPr>
          <w:rFonts w:asciiTheme="majorHAnsi" w:hAnsiTheme="majorHAnsi" w:cs="Times New Roman"/>
          <w:lang w:val="en-US"/>
        </w:rPr>
        <w:t>niche indications followed later by a broader range of indications</w:t>
      </w:r>
      <w:r w:rsidR="00A73F1A">
        <w:rPr>
          <w:rFonts w:asciiTheme="majorHAnsi" w:hAnsiTheme="majorHAnsi" w:cs="Times New Roman"/>
          <w:lang w:val="en-US"/>
        </w:rPr>
        <w:t>.  A pilot program was launched in March 2014</w:t>
      </w:r>
      <w:r w:rsidR="00997D34">
        <w:rPr>
          <w:rFonts w:asciiTheme="majorHAnsi" w:hAnsiTheme="majorHAnsi" w:cs="Times New Roman"/>
          <w:lang w:val="en-US"/>
        </w:rPr>
        <w:t>.</w:t>
      </w:r>
      <w:r w:rsidR="004D32CF">
        <w:rPr>
          <w:rFonts w:asciiTheme="majorHAnsi" w:hAnsiTheme="majorHAnsi" w:cs="Times New Roman"/>
          <w:lang w:val="en-US"/>
        </w:rPr>
        <w:fldChar w:fldCharType="begin" w:fldLock="1"/>
      </w:r>
      <w:r w:rsidR="00D1426F">
        <w:rPr>
          <w:rFonts w:asciiTheme="majorHAnsi" w:hAnsiTheme="majorHAnsi" w:cs="Times New Roman"/>
          <w:lang w:val="en-US"/>
        </w:rPr>
        <w:instrText>ADDIN CSL_CITATION { "citationItems" : [ { "id" : "ITEM-1", "itemData" : { "DOI" : "10.1038/nrd3981.7", "author" : [ { "dropping-particle" : "", "family" : "European Medicines Agency", "given" : "", "non-dropping-particle" : "", "parse-names" : false, "suffix" : "" } ], "container-title" : "http://www.ema.europa.eu/docs/en_GB/document_library/Other/2014/03/WC500163409.pdf", "id" : "ITEM-1", "issued" : { "date-parts" : [ [ "2014" ] ] }, "title" : "Pilot project on adaptive licensing", "type" : "article-journal" }, "uris" : [ "http://www.mendeley.com/documents/?uuid=e01e6747-3796-4696-bf10-76766afb7aef" ] } ], "mendeley" : { "formattedCitation" : "&lt;sup&gt;58&lt;/sup&gt;", "plainTextFormattedCitation" : "58", "previouslyFormattedCitation" : "&lt;sup&gt;58&lt;/sup&gt;"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D1426F" w:rsidRPr="00D1426F">
        <w:rPr>
          <w:rFonts w:asciiTheme="majorHAnsi" w:hAnsiTheme="majorHAnsi" w:cs="Times New Roman"/>
          <w:noProof/>
          <w:vertAlign w:val="superscript"/>
          <w:lang w:val="en-US"/>
        </w:rPr>
        <w:t>58</w:t>
      </w:r>
      <w:r w:rsidR="004D32CF">
        <w:rPr>
          <w:rFonts w:asciiTheme="majorHAnsi" w:hAnsiTheme="majorHAnsi" w:cs="Times New Roman"/>
          <w:lang w:val="en-US"/>
        </w:rPr>
        <w:fldChar w:fldCharType="end"/>
      </w:r>
    </w:p>
    <w:p w14:paraId="17BD170C" w14:textId="77777777" w:rsidR="00880744" w:rsidRDefault="00880744" w:rsidP="007A2846">
      <w:pPr>
        <w:spacing w:line="276" w:lineRule="auto"/>
        <w:rPr>
          <w:rFonts w:asciiTheme="majorHAnsi" w:hAnsiTheme="majorHAnsi"/>
        </w:rPr>
      </w:pPr>
    </w:p>
    <w:p w14:paraId="7DE807F6" w14:textId="77777777" w:rsidR="00834EE1" w:rsidRDefault="00B23FF6" w:rsidP="007A2846">
      <w:pPr>
        <w:pStyle w:val="ListParagraph"/>
        <w:widowControl w:val="0"/>
        <w:numPr>
          <w:ilvl w:val="0"/>
          <w:numId w:val="31"/>
        </w:numPr>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Food and Drug Administration (FDA)</w:t>
      </w:r>
    </w:p>
    <w:p w14:paraId="49866187" w14:textId="01F3E8DA" w:rsidR="009B01D6" w:rsidRDefault="00EE6C2F" w:rsidP="007A2846">
      <w:pPr>
        <w:widowControl w:val="0"/>
        <w:autoSpaceDE w:val="0"/>
        <w:autoSpaceDN w:val="0"/>
        <w:adjustRightInd w:val="0"/>
        <w:spacing w:line="276" w:lineRule="auto"/>
        <w:rPr>
          <w:rFonts w:asciiTheme="majorHAnsi" w:hAnsiTheme="majorHAnsi"/>
        </w:rPr>
      </w:pPr>
      <w:r>
        <w:rPr>
          <w:rFonts w:asciiTheme="majorHAnsi" w:hAnsiTheme="majorHAnsi" w:cs="Times New Roman"/>
          <w:lang w:val="en-US"/>
        </w:rPr>
        <w:tab/>
      </w:r>
      <w:r w:rsidR="00834EE1">
        <w:rPr>
          <w:rFonts w:asciiTheme="majorHAnsi" w:hAnsiTheme="majorHAnsi" w:cs="Times New Roman"/>
          <w:lang w:val="en-US"/>
        </w:rPr>
        <w:t xml:space="preserve">The FDA has </w:t>
      </w:r>
      <w:r w:rsidR="00CA07F2">
        <w:rPr>
          <w:rFonts w:asciiTheme="majorHAnsi" w:hAnsiTheme="majorHAnsi" w:cs="Times New Roman"/>
          <w:lang w:val="en-US"/>
        </w:rPr>
        <w:t>four</w:t>
      </w:r>
      <w:r w:rsidR="00834EE1">
        <w:rPr>
          <w:rFonts w:asciiTheme="majorHAnsi" w:hAnsiTheme="majorHAnsi" w:cs="Times New Roman"/>
          <w:lang w:val="en-US"/>
        </w:rPr>
        <w:t xml:space="preserve"> expedited programs </w:t>
      </w:r>
      <w:r w:rsidR="00302159">
        <w:rPr>
          <w:rFonts w:asciiTheme="majorHAnsi" w:hAnsiTheme="majorHAnsi" w:cs="Times New Roman"/>
          <w:lang w:val="en-US"/>
        </w:rPr>
        <w:t xml:space="preserve">for drug development to </w:t>
      </w:r>
      <w:r w:rsidR="00343992">
        <w:rPr>
          <w:rFonts w:asciiTheme="majorHAnsi" w:hAnsiTheme="majorHAnsi" w:cs="Times New Roman"/>
          <w:lang w:val="en-US"/>
        </w:rPr>
        <w:t xml:space="preserve">address unmet medical need </w:t>
      </w:r>
      <w:r w:rsidR="00BB6EDF">
        <w:rPr>
          <w:rFonts w:asciiTheme="majorHAnsi" w:hAnsiTheme="majorHAnsi" w:cs="Times New Roman"/>
          <w:lang w:val="en-US"/>
        </w:rPr>
        <w:t>in the</w:t>
      </w:r>
      <w:r w:rsidR="00343992">
        <w:rPr>
          <w:rFonts w:asciiTheme="majorHAnsi" w:hAnsiTheme="majorHAnsi" w:cs="Times New Roman"/>
          <w:lang w:val="en-US"/>
        </w:rPr>
        <w:t xml:space="preserve"> </w:t>
      </w:r>
      <w:r w:rsidR="00302159">
        <w:rPr>
          <w:rFonts w:asciiTheme="majorHAnsi" w:hAnsiTheme="majorHAnsi" w:cs="Times New Roman"/>
          <w:lang w:val="en-US"/>
        </w:rPr>
        <w:t>treat</w:t>
      </w:r>
      <w:r w:rsidR="00BB6EDF">
        <w:rPr>
          <w:rFonts w:asciiTheme="majorHAnsi" w:hAnsiTheme="majorHAnsi" w:cs="Times New Roman"/>
          <w:lang w:val="en-US"/>
        </w:rPr>
        <w:t>ment of serious and</w:t>
      </w:r>
      <w:r w:rsidR="00302159">
        <w:rPr>
          <w:rFonts w:asciiTheme="majorHAnsi" w:hAnsiTheme="majorHAnsi" w:cs="Times New Roman"/>
          <w:lang w:val="en-US"/>
        </w:rPr>
        <w:t xml:space="preserve"> life-threatening </w:t>
      </w:r>
      <w:r w:rsidR="00BB6EDF">
        <w:rPr>
          <w:rFonts w:asciiTheme="majorHAnsi" w:hAnsiTheme="majorHAnsi" w:cs="Times New Roman"/>
          <w:lang w:val="en-US"/>
        </w:rPr>
        <w:t>conditions</w:t>
      </w:r>
      <w:r w:rsidR="009B01D6">
        <w:rPr>
          <w:rFonts w:asciiTheme="majorHAnsi" w:hAnsiTheme="majorHAnsi" w:cs="Times New Roman"/>
          <w:lang w:val="en-US"/>
        </w:rPr>
        <w:t xml:space="preserve"> (see </w:t>
      </w:r>
      <w:r w:rsidR="00C00FF5">
        <w:rPr>
          <w:rFonts w:asciiTheme="majorHAnsi" w:hAnsiTheme="majorHAnsi" w:cs="Times New Roman"/>
          <w:lang w:val="en-US"/>
        </w:rPr>
        <w:lastRenderedPageBreak/>
        <w:t>reference</w:t>
      </w:r>
      <w:r w:rsidR="004D32CF">
        <w:rPr>
          <w:rFonts w:asciiTheme="majorHAnsi" w:hAnsiTheme="majorHAnsi" w:cs="Times New Roman"/>
          <w:lang w:val="en-US"/>
        </w:rPr>
        <w:fldChar w:fldCharType="begin" w:fldLock="1"/>
      </w:r>
      <w:r w:rsidR="00D1426F">
        <w:rPr>
          <w:rFonts w:asciiTheme="majorHAnsi" w:hAnsiTheme="majorHAnsi" w:cs="Times New Roman"/>
          <w:lang w:val="en-US"/>
        </w:rPr>
        <w:instrText>ADDIN CSL_CITATION { "citationItems" : [ { "id" : "ITEM-1", "itemData" : { "author" : [ { "dropping-particle" : "", "family" : "Food and Drug Administration", "given" : "", "non-dropping-particle" : "", "parse-names" : false, "suffix" : "" } ], "container-title" : "http://www.fda.gov/downloads/drugs/guidancecomplianceregulatoryinformation/guidances/ucm358301.pdf", "id" : "ITEM-1", "issued" : { "date-parts" : [ [ "2014" ] ] }, "title" : "Guidance for Industry: Expedited Programs for Serious Conditions \u2013 Drugs and Biologics", "type" : "article-journal" }, "uris" : [ "http://www.mendeley.com/documents/?uuid=a1530c5b-12ea-4df7-9a6a-7618d3ac17d3" ] } ], "mendeley" : { "formattedCitation" : "&lt;sup&gt;59&lt;/sup&gt;", "plainTextFormattedCitation" : "59", "previouslyFormattedCitation" : "&lt;sup&gt;59&lt;/sup&gt;" }, "properties" : { "noteIndex" : 0 }, "schema" : "https://github.com/citation-style-language/schema/raw/master/csl-citation.json" }</w:instrText>
      </w:r>
      <w:r w:rsidR="004D32CF">
        <w:rPr>
          <w:rFonts w:asciiTheme="majorHAnsi" w:hAnsiTheme="majorHAnsi" w:cs="Times New Roman"/>
          <w:lang w:val="en-US"/>
        </w:rPr>
        <w:fldChar w:fldCharType="separate"/>
      </w:r>
      <w:r w:rsidR="00D1426F" w:rsidRPr="00D1426F">
        <w:rPr>
          <w:rFonts w:asciiTheme="majorHAnsi" w:hAnsiTheme="majorHAnsi" w:cs="Times New Roman"/>
          <w:noProof/>
          <w:vertAlign w:val="superscript"/>
          <w:lang w:val="en-US"/>
        </w:rPr>
        <w:t>59</w:t>
      </w:r>
      <w:r w:rsidR="004D32CF">
        <w:rPr>
          <w:rFonts w:asciiTheme="majorHAnsi" w:hAnsiTheme="majorHAnsi" w:cs="Times New Roman"/>
          <w:lang w:val="en-US"/>
        </w:rPr>
        <w:fldChar w:fldCharType="end"/>
      </w:r>
      <w:r w:rsidR="00C00FF5">
        <w:rPr>
          <w:rFonts w:asciiTheme="majorHAnsi" w:hAnsiTheme="majorHAnsi" w:cs="Times New Roman"/>
          <w:lang w:val="en-US"/>
        </w:rPr>
        <w:t>)</w:t>
      </w:r>
      <w:r w:rsidR="001B1F8A">
        <w:rPr>
          <w:rFonts w:asciiTheme="majorHAnsi" w:hAnsiTheme="majorHAnsi"/>
        </w:rPr>
        <w:t>: (1) fast track designat</w:t>
      </w:r>
      <w:r w:rsidR="00CE3983">
        <w:rPr>
          <w:rFonts w:asciiTheme="majorHAnsi" w:hAnsiTheme="majorHAnsi"/>
        </w:rPr>
        <w:t>ion; (2) breakthrough therapy; (</w:t>
      </w:r>
      <w:r w:rsidR="001B1F8A">
        <w:rPr>
          <w:rFonts w:asciiTheme="majorHAnsi" w:hAnsiTheme="majorHAnsi"/>
        </w:rPr>
        <w:t xml:space="preserve">3) </w:t>
      </w:r>
      <w:r w:rsidR="00FF3241">
        <w:rPr>
          <w:rFonts w:asciiTheme="majorHAnsi" w:hAnsiTheme="majorHAnsi"/>
        </w:rPr>
        <w:t>accelerated</w:t>
      </w:r>
      <w:r w:rsidR="001B1F8A">
        <w:rPr>
          <w:rFonts w:asciiTheme="majorHAnsi" w:hAnsiTheme="majorHAnsi"/>
        </w:rPr>
        <w:t xml:space="preserve"> </w:t>
      </w:r>
      <w:r w:rsidR="00FF3241">
        <w:rPr>
          <w:rFonts w:asciiTheme="majorHAnsi" w:hAnsiTheme="majorHAnsi"/>
        </w:rPr>
        <w:t>approval</w:t>
      </w:r>
      <w:r w:rsidR="00CE3983">
        <w:rPr>
          <w:rFonts w:asciiTheme="majorHAnsi" w:hAnsiTheme="majorHAnsi"/>
        </w:rPr>
        <w:t>;</w:t>
      </w:r>
      <w:r w:rsidR="00FF3241">
        <w:rPr>
          <w:rFonts w:asciiTheme="majorHAnsi" w:hAnsiTheme="majorHAnsi"/>
        </w:rPr>
        <w:t xml:space="preserve"> and </w:t>
      </w:r>
      <w:r w:rsidR="00CE3983">
        <w:rPr>
          <w:rFonts w:asciiTheme="majorHAnsi" w:hAnsiTheme="majorHAnsi"/>
        </w:rPr>
        <w:t xml:space="preserve">(4) </w:t>
      </w:r>
      <w:r w:rsidR="00FF3241">
        <w:rPr>
          <w:rFonts w:asciiTheme="majorHAnsi" w:hAnsiTheme="majorHAnsi"/>
        </w:rPr>
        <w:t>priority review designation.</w:t>
      </w:r>
      <w:r w:rsidR="006C7B86">
        <w:rPr>
          <w:rFonts w:asciiTheme="majorHAnsi" w:hAnsiTheme="majorHAnsi"/>
        </w:rPr>
        <w:t xml:space="preserve"> </w:t>
      </w:r>
      <w:r w:rsidR="00E93828">
        <w:rPr>
          <w:rFonts w:asciiTheme="majorHAnsi" w:hAnsiTheme="majorHAnsi"/>
        </w:rPr>
        <w:t xml:space="preserve">Of these </w:t>
      </w:r>
      <w:r w:rsidR="00B33FBE">
        <w:rPr>
          <w:rFonts w:asciiTheme="majorHAnsi" w:hAnsiTheme="majorHAnsi"/>
        </w:rPr>
        <w:t xml:space="preserve">programs, </w:t>
      </w:r>
      <w:r w:rsidR="00CA07F2">
        <w:rPr>
          <w:rFonts w:asciiTheme="majorHAnsi" w:hAnsiTheme="majorHAnsi"/>
        </w:rPr>
        <w:t xml:space="preserve">only fast track and priority review are likely to be useful to antifungal development: breakthrough therapy requires clinical demonstration of substantial improvement over available therapies (generally unlikely unless there are </w:t>
      </w:r>
      <w:r w:rsidR="00FB7041">
        <w:rPr>
          <w:rFonts w:asciiTheme="majorHAnsi" w:hAnsiTheme="majorHAnsi"/>
        </w:rPr>
        <w:t>no</w:t>
      </w:r>
      <w:r w:rsidR="00CA07F2">
        <w:rPr>
          <w:rFonts w:asciiTheme="majorHAnsi" w:hAnsiTheme="majorHAnsi"/>
        </w:rPr>
        <w:t xml:space="preserve"> available therapies) and accelerated approval focuses on use of a surrogate or intermediate clinical endpoint (</w:t>
      </w:r>
      <w:r w:rsidR="00BD6C66">
        <w:rPr>
          <w:rFonts w:asciiTheme="majorHAnsi" w:hAnsiTheme="majorHAnsi"/>
        </w:rPr>
        <w:t xml:space="preserve">not routinely appropriate as </w:t>
      </w:r>
      <w:r w:rsidR="00CA07F2">
        <w:rPr>
          <w:rFonts w:asciiTheme="majorHAnsi" w:hAnsiTheme="majorHAnsi"/>
        </w:rPr>
        <w:t xml:space="preserve">it is </w:t>
      </w:r>
      <w:r w:rsidR="00C004E2">
        <w:rPr>
          <w:rFonts w:asciiTheme="majorHAnsi" w:hAnsiTheme="majorHAnsi"/>
        </w:rPr>
        <w:t xml:space="preserve">not </w:t>
      </w:r>
      <w:r w:rsidR="00CA07F2">
        <w:rPr>
          <w:rFonts w:asciiTheme="majorHAnsi" w:hAnsiTheme="majorHAnsi"/>
        </w:rPr>
        <w:t xml:space="preserve">generally possible to measure an actual endpoint with antifungal agents). </w:t>
      </w:r>
      <w:r w:rsidR="00C23B6D">
        <w:rPr>
          <w:rFonts w:asciiTheme="majorHAnsi" w:hAnsiTheme="majorHAnsi"/>
        </w:rPr>
        <w:t>A drug</w:t>
      </w:r>
      <w:r w:rsidR="003F483D">
        <w:rPr>
          <w:rFonts w:asciiTheme="majorHAnsi" w:hAnsiTheme="majorHAnsi"/>
        </w:rPr>
        <w:t xml:space="preserve"> that is </w:t>
      </w:r>
      <w:proofErr w:type="gramStart"/>
      <w:r w:rsidR="003F483D">
        <w:rPr>
          <w:rFonts w:asciiTheme="majorHAnsi" w:hAnsiTheme="majorHAnsi"/>
        </w:rPr>
        <w:t>designated</w:t>
      </w:r>
      <w:proofErr w:type="gramEnd"/>
      <w:r w:rsidR="003F483D">
        <w:rPr>
          <w:rFonts w:asciiTheme="majorHAnsi" w:hAnsiTheme="majorHAnsi"/>
        </w:rPr>
        <w:t xml:space="preserve"> as a</w:t>
      </w:r>
      <w:r w:rsidR="00C23B6D">
        <w:rPr>
          <w:rFonts w:asciiTheme="majorHAnsi" w:hAnsiTheme="majorHAnsi"/>
        </w:rPr>
        <w:t xml:space="preserve"> </w:t>
      </w:r>
      <w:r w:rsidR="003F483D">
        <w:rPr>
          <w:rFonts w:asciiTheme="majorHAnsi" w:hAnsiTheme="majorHAnsi"/>
        </w:rPr>
        <w:t>Qualified Infectious Diseases Product (</w:t>
      </w:r>
      <w:r w:rsidR="00C23B6D">
        <w:rPr>
          <w:rFonts w:asciiTheme="majorHAnsi" w:hAnsiTheme="majorHAnsi"/>
        </w:rPr>
        <w:t>QIDP</w:t>
      </w:r>
      <w:r w:rsidR="003F483D">
        <w:rPr>
          <w:rFonts w:asciiTheme="majorHAnsi" w:hAnsiTheme="majorHAnsi"/>
        </w:rPr>
        <w:t xml:space="preserve">) </w:t>
      </w:r>
      <w:r w:rsidR="006E6FF7">
        <w:rPr>
          <w:rFonts w:asciiTheme="majorHAnsi" w:hAnsiTheme="majorHAnsi"/>
        </w:rPr>
        <w:t>is eligible for</w:t>
      </w:r>
      <w:r w:rsidR="003F483D">
        <w:rPr>
          <w:rFonts w:asciiTheme="majorHAnsi" w:hAnsiTheme="majorHAnsi"/>
        </w:rPr>
        <w:t xml:space="preserve"> fast track designation</w:t>
      </w:r>
      <w:r w:rsidR="006C3B74">
        <w:rPr>
          <w:rFonts w:asciiTheme="majorHAnsi" w:hAnsiTheme="majorHAnsi"/>
        </w:rPr>
        <w:t xml:space="preserve">, will undergo </w:t>
      </w:r>
      <w:r w:rsidR="00CA07F2">
        <w:rPr>
          <w:rFonts w:asciiTheme="majorHAnsi" w:hAnsiTheme="majorHAnsi"/>
        </w:rPr>
        <w:t xml:space="preserve">priority </w:t>
      </w:r>
      <w:r w:rsidR="006C3B74">
        <w:rPr>
          <w:rFonts w:asciiTheme="majorHAnsi" w:hAnsiTheme="majorHAnsi"/>
        </w:rPr>
        <w:t>review</w:t>
      </w:r>
      <w:r w:rsidR="00CA07F2">
        <w:rPr>
          <w:rFonts w:asciiTheme="majorHAnsi" w:hAnsiTheme="majorHAnsi"/>
        </w:rPr>
        <w:t>,</w:t>
      </w:r>
      <w:r w:rsidR="006C3B74">
        <w:rPr>
          <w:rFonts w:asciiTheme="majorHAnsi" w:hAnsiTheme="majorHAnsi"/>
        </w:rPr>
        <w:t xml:space="preserve"> and has the </w:t>
      </w:r>
      <w:r w:rsidR="0092578B">
        <w:rPr>
          <w:rFonts w:asciiTheme="majorHAnsi" w:hAnsiTheme="majorHAnsi"/>
        </w:rPr>
        <w:t>potential</w:t>
      </w:r>
      <w:r w:rsidR="006C3B74">
        <w:rPr>
          <w:rFonts w:asciiTheme="majorHAnsi" w:hAnsiTheme="majorHAnsi"/>
        </w:rPr>
        <w:t xml:space="preserve"> for an additional 5 years market</w:t>
      </w:r>
      <w:r w:rsidR="00E465A6">
        <w:rPr>
          <w:rFonts w:asciiTheme="majorHAnsi" w:hAnsiTheme="majorHAnsi"/>
        </w:rPr>
        <w:t>ing</w:t>
      </w:r>
      <w:r w:rsidR="006C3B74">
        <w:rPr>
          <w:rFonts w:asciiTheme="majorHAnsi" w:hAnsiTheme="majorHAnsi"/>
        </w:rPr>
        <w:t xml:space="preserve"> exclusivity.</w:t>
      </w:r>
      <w:r w:rsidR="006C7B86">
        <w:rPr>
          <w:rFonts w:asciiTheme="majorHAnsi" w:hAnsiTheme="majorHAnsi"/>
        </w:rPr>
        <w:t xml:space="preserve"> </w:t>
      </w:r>
      <w:r w:rsidR="00427EA3">
        <w:rPr>
          <w:rFonts w:asciiTheme="majorHAnsi" w:hAnsiTheme="majorHAnsi"/>
        </w:rPr>
        <w:t>A 2003 guidance discusses approaches to clinical exposure-response relationships</w:t>
      </w:r>
      <w:r w:rsidR="00573422">
        <w:rPr>
          <w:rFonts w:asciiTheme="majorHAnsi" w:hAnsiTheme="majorHAnsi"/>
        </w:rPr>
        <w:t xml:space="preserve">, </w:t>
      </w:r>
      <w:r w:rsidR="00427EA3">
        <w:rPr>
          <w:rFonts w:asciiTheme="majorHAnsi" w:hAnsiTheme="majorHAnsi"/>
        </w:rPr>
        <w:t xml:space="preserve">but </w:t>
      </w:r>
      <w:r w:rsidR="00573422">
        <w:rPr>
          <w:rFonts w:asciiTheme="majorHAnsi" w:hAnsiTheme="majorHAnsi"/>
        </w:rPr>
        <w:t xml:space="preserve">there are no guidance documents that summarise the nature and extent of </w:t>
      </w:r>
      <w:r w:rsidR="004E7C82">
        <w:rPr>
          <w:rFonts w:asciiTheme="majorHAnsi" w:hAnsiTheme="majorHAnsi"/>
        </w:rPr>
        <w:t>preclinical pac</w:t>
      </w:r>
      <w:r w:rsidR="002F6852">
        <w:rPr>
          <w:rFonts w:asciiTheme="majorHAnsi" w:hAnsiTheme="majorHAnsi"/>
        </w:rPr>
        <w:t xml:space="preserve">kage that is required for </w:t>
      </w:r>
      <w:r w:rsidR="00CA07F2">
        <w:rPr>
          <w:rFonts w:asciiTheme="majorHAnsi" w:hAnsiTheme="majorHAnsi"/>
        </w:rPr>
        <w:t>fast track status.</w:t>
      </w:r>
    </w:p>
    <w:p w14:paraId="435846F1" w14:textId="77777777" w:rsidR="008E39F9" w:rsidRDefault="008E39F9" w:rsidP="007A2846">
      <w:pPr>
        <w:widowControl w:val="0"/>
        <w:autoSpaceDE w:val="0"/>
        <w:autoSpaceDN w:val="0"/>
        <w:adjustRightInd w:val="0"/>
        <w:spacing w:line="276" w:lineRule="auto"/>
        <w:rPr>
          <w:rFonts w:asciiTheme="majorHAnsi" w:hAnsiTheme="majorHAnsi"/>
        </w:rPr>
      </w:pPr>
    </w:p>
    <w:p w14:paraId="2CA66FA8" w14:textId="77777777" w:rsidR="00895060" w:rsidRDefault="00895060" w:rsidP="007A2846">
      <w:pPr>
        <w:pStyle w:val="ListParagraph"/>
        <w:widowControl w:val="0"/>
        <w:numPr>
          <w:ilvl w:val="0"/>
          <w:numId w:val="31"/>
        </w:numPr>
        <w:autoSpaceDE w:val="0"/>
        <w:autoSpaceDN w:val="0"/>
        <w:adjustRightInd w:val="0"/>
        <w:spacing w:line="276" w:lineRule="auto"/>
        <w:rPr>
          <w:rFonts w:asciiTheme="majorHAnsi" w:hAnsiTheme="majorHAnsi" w:cs="Times New Roman"/>
          <w:lang w:val="en-US"/>
        </w:rPr>
      </w:pPr>
      <w:r>
        <w:rPr>
          <w:rFonts w:asciiTheme="majorHAnsi" w:hAnsiTheme="majorHAnsi" w:cs="Times New Roman"/>
          <w:lang w:val="en-US"/>
        </w:rPr>
        <w:t>European Medicines Agency</w:t>
      </w:r>
    </w:p>
    <w:p w14:paraId="5A9FA769" w14:textId="7FADFF42" w:rsidR="008E39F9" w:rsidRDefault="00071BCF" w:rsidP="007A2846">
      <w:pPr>
        <w:widowControl w:val="0"/>
        <w:autoSpaceDE w:val="0"/>
        <w:autoSpaceDN w:val="0"/>
        <w:adjustRightInd w:val="0"/>
        <w:spacing w:line="276" w:lineRule="auto"/>
        <w:rPr>
          <w:rFonts w:asciiTheme="majorHAnsi" w:hAnsiTheme="majorHAnsi" w:cs="Times New Roman"/>
          <w:lang w:val="en-US"/>
        </w:rPr>
      </w:pPr>
      <w:r>
        <w:rPr>
          <w:rFonts w:asciiTheme="majorHAnsi" w:hAnsiTheme="majorHAnsi"/>
        </w:rPr>
        <w:tab/>
      </w:r>
      <w:r w:rsidR="00D7628F">
        <w:rPr>
          <w:rFonts w:asciiTheme="majorHAnsi" w:hAnsiTheme="majorHAnsi"/>
        </w:rPr>
        <w:t xml:space="preserve">The EMA has guidance </w:t>
      </w:r>
      <w:r w:rsidR="00427EA3">
        <w:rPr>
          <w:rFonts w:asciiTheme="majorHAnsi" w:hAnsiTheme="majorHAnsi"/>
        </w:rPr>
        <w:t>on antifungal drug development (</w:t>
      </w:r>
      <w:r w:rsidR="00B435AC">
        <w:rPr>
          <w:rFonts w:asciiTheme="majorHAnsi" w:hAnsiTheme="majorHAnsi"/>
        </w:rPr>
        <w:t>CHMP/EWP/1343/Rev.1</w:t>
      </w:r>
      <w:r w:rsidR="00427EA3">
        <w:rPr>
          <w:rFonts w:asciiTheme="majorHAnsi" w:hAnsiTheme="majorHAnsi"/>
        </w:rPr>
        <w:t xml:space="preserve">) </w:t>
      </w:r>
      <w:r w:rsidR="008165D5">
        <w:rPr>
          <w:rFonts w:asciiTheme="majorHAnsi" w:hAnsiTheme="majorHAnsi"/>
        </w:rPr>
        <w:t>that</w:t>
      </w:r>
      <w:r w:rsidR="00427EA3">
        <w:rPr>
          <w:rFonts w:asciiTheme="majorHAnsi" w:hAnsiTheme="majorHAnsi"/>
        </w:rPr>
        <w:t xml:space="preserve"> was last updated in 2010</w:t>
      </w:r>
      <w:r w:rsidR="007815AB">
        <w:rPr>
          <w:rFonts w:asciiTheme="majorHAnsi" w:hAnsiTheme="majorHAnsi"/>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"European Medicines Agency", "given" : "", "non-dropping-particle" : "", "parse-names" : false, "suffix" : "" } ], "id" : "ITEM-1", "issue" : "April", "issued" : { "date-parts" : [ [ "2010" ] ] }, "title" : "Guideline on the clinical evaluation of antifungal agents for the treatment and prophylaxis of invasive fungal disease", "type" : "article-journal" }, "uris" : [ "http://www.mendeley.com/documents/?uuid=8f062f03-2250-4ae1-b5c8-e8926b538a06" ] } ], "mendeley" : { "formattedCitation" : "&lt;sup&gt;60&lt;/sup&gt;", "plainTextFormattedCitation" : "60", "previouslyFormattedCitation" : "&lt;sup&gt;60&lt;/sup&gt;"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60</w:t>
      </w:r>
      <w:r w:rsidR="004D32CF">
        <w:rPr>
          <w:rFonts w:asciiTheme="majorHAnsi" w:hAnsiTheme="majorHAnsi"/>
        </w:rPr>
        <w:fldChar w:fldCharType="end"/>
      </w:r>
      <w:r w:rsidR="00427EA3">
        <w:rPr>
          <w:rFonts w:asciiTheme="majorHAnsi" w:hAnsiTheme="majorHAnsi"/>
        </w:rPr>
        <w:t xml:space="preserve"> This document makes it clear that PK-PD is important</w:t>
      </w:r>
      <w:r w:rsidR="00EB57B4">
        <w:rPr>
          <w:rFonts w:asciiTheme="majorHAnsi" w:hAnsiTheme="majorHAnsi"/>
        </w:rPr>
        <w:t>,</w:t>
      </w:r>
      <w:r w:rsidR="00427EA3">
        <w:rPr>
          <w:rFonts w:asciiTheme="majorHAnsi" w:hAnsiTheme="majorHAnsi"/>
        </w:rPr>
        <w:t xml:space="preserve"> but provides no specific further guidance. EMA also has guidance documents on </w:t>
      </w:r>
      <w:r w:rsidR="00D7628F">
        <w:rPr>
          <w:rFonts w:asciiTheme="majorHAnsi" w:hAnsiTheme="majorHAnsi"/>
        </w:rPr>
        <w:t>development of antibacterial agents</w:t>
      </w:r>
      <w:r w:rsidR="00997D34">
        <w:rPr>
          <w:rFonts w:asciiTheme="majorHAnsi" w:hAnsiTheme="majorHAnsi"/>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"European Medicines Agency", "given" : "", "non-dropping-particle" : "", "parse-names" : false, "suffix" : "" } ], "container-title" : "http://www.ema.europa.eu/docs/en_GB/document_library/Scientific_guideline/2009/09/WC500003417.pdf", "id" : "ITEM-1", "issued" : { "date-parts" : [ [ "2013" ] ] }, "title" : "Addendum to the guideline on the evaluation of medicinal products indicated for treatment of bacterial infections", "type" : "article-journal" }, "uris" : [ "http://www.mendeley.com/documents/?uuid=4a85dffd-9401-4d5f-900c-e0bbe9bb7fbe" ] } ], "mendeley" : { "formattedCitation" : "&lt;sup&gt;61&lt;/sup&gt;", "plainTextFormattedCitation" : "61", "previouslyFormattedCitation" : "&lt;sup&gt;61&lt;/sup&gt;"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61</w:t>
      </w:r>
      <w:r w:rsidR="004D32CF">
        <w:rPr>
          <w:rFonts w:asciiTheme="majorHAnsi" w:hAnsiTheme="majorHAnsi"/>
        </w:rPr>
        <w:fldChar w:fldCharType="end"/>
      </w:r>
      <w:r w:rsidR="006C7B86">
        <w:rPr>
          <w:rFonts w:asciiTheme="majorHAnsi" w:hAnsiTheme="majorHAnsi"/>
        </w:rPr>
        <w:t xml:space="preserve"> </w:t>
      </w:r>
      <w:r w:rsidR="001B6B2A">
        <w:rPr>
          <w:rFonts w:asciiTheme="majorHAnsi" w:hAnsiTheme="majorHAnsi"/>
        </w:rPr>
        <w:t>Th</w:t>
      </w:r>
      <w:r w:rsidR="00427EA3">
        <w:rPr>
          <w:rFonts w:asciiTheme="majorHAnsi" w:hAnsiTheme="majorHAnsi"/>
        </w:rPr>
        <w:t xml:space="preserve">e </w:t>
      </w:r>
      <w:r w:rsidR="00A56774">
        <w:rPr>
          <w:rFonts w:asciiTheme="majorHAnsi" w:hAnsiTheme="majorHAnsi"/>
        </w:rPr>
        <w:t>last</w:t>
      </w:r>
      <w:r w:rsidR="00427EA3">
        <w:rPr>
          <w:rFonts w:asciiTheme="majorHAnsi" w:hAnsiTheme="majorHAnsi"/>
        </w:rPr>
        <w:t xml:space="preserve"> of these documents (the so-called 2013 Addendum) </w:t>
      </w:r>
      <w:r w:rsidR="001B6B2A">
        <w:rPr>
          <w:rFonts w:asciiTheme="majorHAnsi" w:hAnsiTheme="majorHAnsi"/>
        </w:rPr>
        <w:t xml:space="preserve">makes clear reference to the use of PK-PD </w:t>
      </w:r>
      <w:r w:rsidR="00746772">
        <w:rPr>
          <w:rFonts w:asciiTheme="majorHAnsi" w:hAnsiTheme="majorHAnsi"/>
        </w:rPr>
        <w:t xml:space="preserve">to provide evidence </w:t>
      </w:r>
      <w:r w:rsidR="00255B26">
        <w:rPr>
          <w:rFonts w:asciiTheme="majorHAnsi" w:hAnsiTheme="majorHAnsi"/>
        </w:rPr>
        <w:t xml:space="preserve">of </w:t>
      </w:r>
      <w:r w:rsidR="00CA07F2">
        <w:rPr>
          <w:rFonts w:asciiTheme="majorHAnsi" w:hAnsiTheme="majorHAnsi"/>
        </w:rPr>
        <w:t xml:space="preserve">therapeutic </w:t>
      </w:r>
      <w:r w:rsidR="00255B26">
        <w:rPr>
          <w:rFonts w:asciiTheme="majorHAnsi" w:hAnsiTheme="majorHAnsi"/>
        </w:rPr>
        <w:t>efficacy</w:t>
      </w:r>
      <w:r w:rsidR="005E4D80">
        <w:rPr>
          <w:rFonts w:asciiTheme="majorHAnsi" w:hAnsiTheme="majorHAnsi"/>
        </w:rPr>
        <w:t>,</w:t>
      </w:r>
      <w:r w:rsidR="00255B26">
        <w:rPr>
          <w:rFonts w:asciiTheme="majorHAnsi" w:hAnsiTheme="majorHAnsi"/>
        </w:rPr>
        <w:t xml:space="preserve"> </w:t>
      </w:r>
      <w:r w:rsidR="005E4D80">
        <w:rPr>
          <w:rFonts w:asciiTheme="majorHAnsi" w:hAnsiTheme="majorHAnsi"/>
        </w:rPr>
        <w:t xml:space="preserve">to provide a rationale for </w:t>
      </w:r>
      <w:r w:rsidR="00746772">
        <w:rPr>
          <w:rFonts w:asciiTheme="majorHAnsi" w:hAnsiTheme="majorHAnsi"/>
        </w:rPr>
        <w:t xml:space="preserve">dosage selection and </w:t>
      </w:r>
      <w:r w:rsidR="001B6B2A">
        <w:rPr>
          <w:rFonts w:asciiTheme="majorHAnsi" w:hAnsiTheme="majorHAnsi"/>
        </w:rPr>
        <w:t xml:space="preserve">to establish </w:t>
      </w:r>
      <w:r w:rsidR="003127DD">
        <w:rPr>
          <w:rFonts w:asciiTheme="majorHAnsi" w:hAnsiTheme="majorHAnsi"/>
        </w:rPr>
        <w:t xml:space="preserve">a </w:t>
      </w:r>
      <w:r w:rsidR="001B6B2A">
        <w:rPr>
          <w:rFonts w:asciiTheme="majorHAnsi" w:hAnsiTheme="majorHAnsi"/>
        </w:rPr>
        <w:t xml:space="preserve">mechanistic understanding </w:t>
      </w:r>
      <w:r w:rsidR="005E4D80">
        <w:rPr>
          <w:rFonts w:asciiTheme="majorHAnsi" w:hAnsiTheme="majorHAnsi"/>
        </w:rPr>
        <w:t xml:space="preserve">that underpins </w:t>
      </w:r>
      <w:r w:rsidR="001B6B2A">
        <w:rPr>
          <w:rFonts w:asciiTheme="majorHAnsi" w:hAnsiTheme="majorHAnsi"/>
        </w:rPr>
        <w:t xml:space="preserve">the use of new agents against </w:t>
      </w:r>
      <w:r w:rsidR="008F453A">
        <w:rPr>
          <w:rFonts w:asciiTheme="majorHAnsi" w:hAnsiTheme="majorHAnsi"/>
        </w:rPr>
        <w:t xml:space="preserve">multidrug resistant </w:t>
      </w:r>
      <w:r w:rsidR="001B6B2A">
        <w:rPr>
          <w:rFonts w:asciiTheme="majorHAnsi" w:hAnsiTheme="majorHAnsi"/>
        </w:rPr>
        <w:t>organisms</w:t>
      </w:r>
      <w:r w:rsidR="00427EA3">
        <w:rPr>
          <w:rFonts w:asciiTheme="majorHAnsi" w:hAnsiTheme="majorHAnsi"/>
        </w:rPr>
        <w:t xml:space="preserve">. Finally, </w:t>
      </w:r>
      <w:r w:rsidR="00503762">
        <w:rPr>
          <w:rFonts w:asciiTheme="majorHAnsi" w:hAnsiTheme="majorHAnsi"/>
        </w:rPr>
        <w:t xml:space="preserve">draft guidance that has been </w:t>
      </w:r>
      <w:r w:rsidR="00427EA3">
        <w:rPr>
          <w:rFonts w:asciiTheme="majorHAnsi" w:hAnsiTheme="majorHAnsi"/>
        </w:rPr>
        <w:t xml:space="preserve">recently released on the use of PK-PD for antibacterial agents includes an explicit discussion of the applicability of the concepts to antifungal and </w:t>
      </w:r>
      <w:proofErr w:type="spellStart"/>
      <w:r w:rsidR="00427EA3">
        <w:rPr>
          <w:rFonts w:asciiTheme="majorHAnsi" w:hAnsiTheme="majorHAnsi"/>
        </w:rPr>
        <w:t>antimycobacterial</w:t>
      </w:r>
      <w:proofErr w:type="spellEnd"/>
      <w:r w:rsidR="00427EA3">
        <w:rPr>
          <w:rFonts w:asciiTheme="majorHAnsi" w:hAnsiTheme="majorHAnsi"/>
        </w:rPr>
        <w:t xml:space="preserve"> agents</w:t>
      </w:r>
      <w:r w:rsidR="00997D34">
        <w:rPr>
          <w:rFonts w:asciiTheme="majorHAnsi" w:hAnsiTheme="majorHAnsi"/>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"European Medicines Agency", "given" : "", "non-dropping-particle" : "", "parse-names" : false, "suffix" : "" } ], "id" : "ITEM-1", "issued" : { "date-parts" : [ [ "2015" ] ] }, "title" : "Guideline on the use of Pharmacokinetics and Pharmacodynamics in the Development of Antibacterial Medicinal Products", "type" : "article-journal" }, "uris" : [ "http://www.mendeley.com/documents/?uuid=a1a26b9a-0b07-4fa0-b570-2ed434ccb075" ] } ], "mendeley" : { "formattedCitation" : "&lt;sup&gt;62&lt;/sup&gt;", "plainTextFormattedCitation" : "62", "previouslyFormattedCitation" : "&lt;sup&gt;62&lt;/sup&gt;"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62</w:t>
      </w:r>
      <w:r w:rsidR="004D32CF">
        <w:rPr>
          <w:rFonts w:asciiTheme="majorHAnsi" w:hAnsiTheme="majorHAnsi"/>
        </w:rPr>
        <w:fldChar w:fldCharType="end"/>
      </w:r>
      <w:r w:rsidR="00BB527F">
        <w:rPr>
          <w:rFonts w:asciiTheme="majorHAnsi" w:hAnsiTheme="majorHAnsi" w:cs="Times New Roman"/>
          <w:lang w:val="en-US"/>
        </w:rPr>
        <w:t xml:space="preserve"> </w:t>
      </w:r>
    </w:p>
    <w:p w14:paraId="39E64255" w14:textId="77777777" w:rsidR="00834EE1" w:rsidRDefault="00834EE1" w:rsidP="007A2846">
      <w:pPr>
        <w:widowControl w:val="0"/>
        <w:autoSpaceDE w:val="0"/>
        <w:autoSpaceDN w:val="0"/>
        <w:adjustRightInd w:val="0"/>
        <w:spacing w:line="276" w:lineRule="auto"/>
        <w:rPr>
          <w:rFonts w:asciiTheme="majorHAnsi" w:hAnsiTheme="majorHAnsi" w:cs="Times New Roman"/>
          <w:lang w:val="en-US"/>
        </w:rPr>
      </w:pPr>
    </w:p>
    <w:p w14:paraId="518B92E4" w14:textId="3130A507" w:rsidR="00AF4EDE" w:rsidRPr="007E2A5E" w:rsidRDefault="00CC4F7F" w:rsidP="007A2846">
      <w:pPr>
        <w:spacing w:line="276" w:lineRule="auto"/>
        <w:rPr>
          <w:rFonts w:asciiTheme="majorHAnsi" w:hAnsiTheme="majorHAnsi"/>
          <w:u w:val="single"/>
        </w:rPr>
      </w:pPr>
      <w:r>
        <w:rPr>
          <w:rFonts w:asciiTheme="majorHAnsi" w:hAnsiTheme="majorHAnsi"/>
          <w:u w:val="single"/>
        </w:rPr>
        <w:t>6</w:t>
      </w:r>
      <w:r w:rsidR="004B07FF" w:rsidRPr="007E2A5E">
        <w:rPr>
          <w:rFonts w:asciiTheme="majorHAnsi" w:hAnsiTheme="majorHAnsi"/>
          <w:u w:val="single"/>
        </w:rPr>
        <w:t xml:space="preserve">. </w:t>
      </w:r>
      <w:r w:rsidR="001E4ECA" w:rsidRPr="007E2A5E">
        <w:rPr>
          <w:rFonts w:asciiTheme="majorHAnsi" w:hAnsiTheme="majorHAnsi"/>
          <w:u w:val="single"/>
        </w:rPr>
        <w:t>SUMMARY OF APPROACHES FOR ANTIFUNGAL PK-PD</w:t>
      </w:r>
    </w:p>
    <w:p w14:paraId="728F10C3" w14:textId="77777777" w:rsidR="00ED4941" w:rsidRPr="007E2A5E" w:rsidRDefault="00ED4941" w:rsidP="007A2846">
      <w:pPr>
        <w:spacing w:line="276" w:lineRule="auto"/>
        <w:rPr>
          <w:rFonts w:asciiTheme="majorHAnsi" w:hAnsiTheme="majorHAnsi"/>
          <w:u w:val="single"/>
        </w:rPr>
      </w:pPr>
    </w:p>
    <w:p w14:paraId="7583042B" w14:textId="5BAD04E0" w:rsidR="00E513E7" w:rsidRPr="007E2A5E" w:rsidRDefault="004A2354" w:rsidP="007A2846">
      <w:pPr>
        <w:spacing w:line="276" w:lineRule="auto"/>
        <w:rPr>
          <w:rFonts w:asciiTheme="majorHAnsi" w:hAnsiTheme="majorHAnsi"/>
        </w:rPr>
      </w:pPr>
      <w:r w:rsidRPr="007E2A5E">
        <w:rPr>
          <w:rFonts w:asciiTheme="majorHAnsi" w:hAnsiTheme="majorHAnsi"/>
        </w:rPr>
        <w:tab/>
      </w:r>
      <w:r w:rsidR="005804BE" w:rsidRPr="007E2A5E">
        <w:rPr>
          <w:rFonts w:asciiTheme="majorHAnsi" w:hAnsiTheme="majorHAnsi"/>
        </w:rPr>
        <w:t xml:space="preserve">There </w:t>
      </w:r>
      <w:r w:rsidR="00C00FF5">
        <w:rPr>
          <w:rFonts w:asciiTheme="majorHAnsi" w:hAnsiTheme="majorHAnsi"/>
        </w:rPr>
        <w:t>is</w:t>
      </w:r>
      <w:r w:rsidR="005804BE" w:rsidRPr="007E2A5E">
        <w:rPr>
          <w:rFonts w:asciiTheme="majorHAnsi" w:hAnsiTheme="majorHAnsi"/>
        </w:rPr>
        <w:t xml:space="preserve"> an increasing recognition that </w:t>
      </w:r>
      <w:r w:rsidR="005F6FD9" w:rsidRPr="007E2A5E">
        <w:rPr>
          <w:rFonts w:asciiTheme="majorHAnsi" w:hAnsiTheme="majorHAnsi"/>
        </w:rPr>
        <w:t xml:space="preserve">antibacterial </w:t>
      </w:r>
      <w:r w:rsidR="005804BE" w:rsidRPr="007E2A5E">
        <w:rPr>
          <w:rFonts w:asciiTheme="majorHAnsi" w:hAnsiTheme="majorHAnsi"/>
        </w:rPr>
        <w:t>PK-PD is critical to the drug development process</w:t>
      </w:r>
      <w:r w:rsidR="00933D9B">
        <w:rPr>
          <w:rFonts w:asciiTheme="majorHAnsi" w:hAnsiTheme="majorHAnsi"/>
        </w:rPr>
        <w:t xml:space="preserve"> of new antibacterial agents</w:t>
      </w:r>
      <w:r w:rsidR="00325145">
        <w:rPr>
          <w:rFonts w:asciiTheme="majorHAnsi" w:hAnsiTheme="majorHAnsi"/>
        </w:rPr>
        <w:t>.</w:t>
      </w:r>
      <w:r w:rsidR="006C7B86">
        <w:rPr>
          <w:rFonts w:asciiTheme="majorHAnsi" w:hAnsiTheme="majorHAnsi"/>
        </w:rPr>
        <w:t xml:space="preserve"> </w:t>
      </w:r>
      <w:r w:rsidR="00325145">
        <w:rPr>
          <w:rFonts w:asciiTheme="majorHAnsi" w:hAnsiTheme="majorHAnsi"/>
        </w:rPr>
        <w:t>T</w:t>
      </w:r>
      <w:r w:rsidR="005F6FD9" w:rsidRPr="007E2A5E">
        <w:rPr>
          <w:rFonts w:asciiTheme="majorHAnsi" w:hAnsiTheme="majorHAnsi"/>
        </w:rPr>
        <w:t xml:space="preserve">he necessary tools have been developed </w:t>
      </w:r>
      <w:r w:rsidR="005B2F30" w:rsidRPr="007E2A5E">
        <w:rPr>
          <w:rFonts w:asciiTheme="majorHAnsi" w:hAnsiTheme="majorHAnsi"/>
        </w:rPr>
        <w:t xml:space="preserve">to </w:t>
      </w:r>
      <w:r w:rsidR="00325145">
        <w:rPr>
          <w:rFonts w:asciiTheme="majorHAnsi" w:hAnsiTheme="majorHAnsi"/>
        </w:rPr>
        <w:t>apply</w:t>
      </w:r>
      <w:r w:rsidR="005B2F30" w:rsidRPr="007E2A5E">
        <w:rPr>
          <w:rFonts w:asciiTheme="majorHAnsi" w:hAnsiTheme="majorHAnsi"/>
        </w:rPr>
        <w:t xml:space="preserve"> </w:t>
      </w:r>
      <w:r w:rsidR="00325145">
        <w:rPr>
          <w:rFonts w:asciiTheme="majorHAnsi" w:hAnsiTheme="majorHAnsi"/>
        </w:rPr>
        <w:t>similar</w:t>
      </w:r>
      <w:r w:rsidR="005B2F30" w:rsidRPr="007E2A5E">
        <w:rPr>
          <w:rFonts w:asciiTheme="majorHAnsi" w:hAnsiTheme="majorHAnsi"/>
        </w:rPr>
        <w:t xml:space="preserve"> techniques</w:t>
      </w:r>
      <w:r w:rsidR="005F6FD9" w:rsidRPr="007E2A5E">
        <w:rPr>
          <w:rFonts w:asciiTheme="majorHAnsi" w:hAnsiTheme="majorHAnsi"/>
        </w:rPr>
        <w:t xml:space="preserve"> </w:t>
      </w:r>
      <w:r w:rsidR="00325145">
        <w:rPr>
          <w:rFonts w:asciiTheme="majorHAnsi" w:hAnsiTheme="majorHAnsi"/>
        </w:rPr>
        <w:t xml:space="preserve">and concepts </w:t>
      </w:r>
      <w:r w:rsidR="005F6FD9" w:rsidRPr="007E2A5E">
        <w:rPr>
          <w:rFonts w:asciiTheme="majorHAnsi" w:hAnsiTheme="majorHAnsi"/>
        </w:rPr>
        <w:t>for antifungal agents</w:t>
      </w:r>
      <w:r w:rsidR="005804BE" w:rsidRPr="007E2A5E">
        <w:rPr>
          <w:rFonts w:asciiTheme="majorHAnsi" w:hAnsiTheme="majorHAnsi"/>
        </w:rPr>
        <w:t>.</w:t>
      </w:r>
      <w:r w:rsidR="006C7B86">
        <w:rPr>
          <w:rFonts w:asciiTheme="majorHAnsi" w:hAnsiTheme="majorHAnsi"/>
        </w:rPr>
        <w:t xml:space="preserve"> </w:t>
      </w:r>
      <w:r w:rsidR="005804BE" w:rsidRPr="007E2A5E">
        <w:rPr>
          <w:rFonts w:asciiTheme="majorHAnsi" w:hAnsiTheme="majorHAnsi"/>
        </w:rPr>
        <w:t xml:space="preserve">However, there is no consensus </w:t>
      </w:r>
      <w:r w:rsidR="00ED4941" w:rsidRPr="007E2A5E">
        <w:rPr>
          <w:rFonts w:asciiTheme="majorHAnsi" w:hAnsiTheme="majorHAnsi"/>
        </w:rPr>
        <w:t>on exactly w</w:t>
      </w:r>
      <w:r w:rsidR="004B07FF" w:rsidRPr="007E2A5E">
        <w:rPr>
          <w:rFonts w:asciiTheme="majorHAnsi" w:hAnsiTheme="majorHAnsi"/>
        </w:rPr>
        <w:t>hat</w:t>
      </w:r>
      <w:r w:rsidR="00ED4941" w:rsidRPr="007E2A5E">
        <w:rPr>
          <w:rFonts w:asciiTheme="majorHAnsi" w:hAnsiTheme="majorHAnsi"/>
        </w:rPr>
        <w:t xml:space="preserve"> is required </w:t>
      </w:r>
      <w:r w:rsidR="00914EBA" w:rsidRPr="007E2A5E">
        <w:rPr>
          <w:rFonts w:asciiTheme="majorHAnsi" w:hAnsiTheme="majorHAnsi"/>
        </w:rPr>
        <w:t xml:space="preserve">or </w:t>
      </w:r>
      <w:r w:rsidR="00ED4941" w:rsidRPr="007E2A5E">
        <w:rPr>
          <w:rFonts w:asciiTheme="majorHAnsi" w:hAnsiTheme="majorHAnsi"/>
        </w:rPr>
        <w:t xml:space="preserve">any </w:t>
      </w:r>
      <w:r w:rsidR="00914EBA" w:rsidRPr="007E2A5E">
        <w:rPr>
          <w:rFonts w:asciiTheme="majorHAnsi" w:hAnsiTheme="majorHAnsi"/>
        </w:rPr>
        <w:t>standardisation of approach</w:t>
      </w:r>
      <w:r w:rsidR="005E7B4C" w:rsidRPr="007E2A5E">
        <w:rPr>
          <w:rFonts w:asciiTheme="majorHAnsi" w:hAnsiTheme="majorHAnsi"/>
        </w:rPr>
        <w:t>es</w:t>
      </w:r>
      <w:r w:rsidR="005B2F30" w:rsidRPr="007E2A5E">
        <w:rPr>
          <w:rFonts w:asciiTheme="majorHAnsi" w:hAnsiTheme="majorHAnsi"/>
        </w:rPr>
        <w:t xml:space="preserve"> for either antibacterial or antifungal agents</w:t>
      </w:r>
      <w:r w:rsidR="00914EBA" w:rsidRPr="007E2A5E">
        <w:rPr>
          <w:rFonts w:asciiTheme="majorHAnsi" w:hAnsiTheme="majorHAnsi"/>
        </w:rPr>
        <w:t>.</w:t>
      </w:r>
      <w:r w:rsidR="006C7B86">
        <w:rPr>
          <w:rFonts w:asciiTheme="majorHAnsi" w:hAnsiTheme="majorHAnsi"/>
        </w:rPr>
        <w:t xml:space="preserve"> </w:t>
      </w:r>
      <w:r w:rsidR="00914EBA" w:rsidRPr="007E2A5E">
        <w:rPr>
          <w:rFonts w:asciiTheme="majorHAnsi" w:hAnsiTheme="majorHAnsi"/>
        </w:rPr>
        <w:t xml:space="preserve">Each </w:t>
      </w:r>
      <w:r w:rsidR="00325145">
        <w:rPr>
          <w:rFonts w:asciiTheme="majorHAnsi" w:hAnsiTheme="majorHAnsi"/>
        </w:rPr>
        <w:t xml:space="preserve">academic </w:t>
      </w:r>
      <w:r w:rsidR="00914EBA" w:rsidRPr="007E2A5E">
        <w:rPr>
          <w:rFonts w:asciiTheme="majorHAnsi" w:hAnsiTheme="majorHAnsi"/>
        </w:rPr>
        <w:t xml:space="preserve">PK-PD laboratory has different expertise, </w:t>
      </w:r>
      <w:r w:rsidR="0064265C" w:rsidRPr="007E2A5E">
        <w:rPr>
          <w:rFonts w:asciiTheme="majorHAnsi" w:hAnsiTheme="majorHAnsi"/>
        </w:rPr>
        <w:t xml:space="preserve">different </w:t>
      </w:r>
      <w:r w:rsidR="00C81E70" w:rsidRPr="007E2A5E">
        <w:rPr>
          <w:rFonts w:asciiTheme="majorHAnsi" w:hAnsiTheme="majorHAnsi"/>
        </w:rPr>
        <w:t xml:space="preserve">experimental </w:t>
      </w:r>
      <w:r w:rsidR="00914EBA" w:rsidRPr="007E2A5E">
        <w:rPr>
          <w:rFonts w:asciiTheme="majorHAnsi" w:hAnsiTheme="majorHAnsi"/>
        </w:rPr>
        <w:t xml:space="preserve">models and </w:t>
      </w:r>
      <w:r w:rsidR="00325145">
        <w:rPr>
          <w:rFonts w:asciiTheme="majorHAnsi" w:hAnsiTheme="majorHAnsi"/>
        </w:rPr>
        <w:t>different</w:t>
      </w:r>
      <w:r w:rsidR="0064265C" w:rsidRPr="007E2A5E">
        <w:rPr>
          <w:rFonts w:asciiTheme="majorHAnsi" w:hAnsiTheme="majorHAnsi"/>
        </w:rPr>
        <w:t xml:space="preserve"> </w:t>
      </w:r>
      <w:r w:rsidR="00914EBA" w:rsidRPr="007E2A5E">
        <w:rPr>
          <w:rFonts w:asciiTheme="majorHAnsi" w:hAnsiTheme="majorHAnsi"/>
        </w:rPr>
        <w:t>approaches</w:t>
      </w:r>
      <w:r w:rsidR="00325145">
        <w:rPr>
          <w:rFonts w:asciiTheme="majorHAnsi" w:hAnsiTheme="majorHAnsi"/>
        </w:rPr>
        <w:t xml:space="preserve"> to the same problem</w:t>
      </w:r>
      <w:r w:rsidR="00C81E70" w:rsidRPr="007E2A5E">
        <w:rPr>
          <w:rFonts w:asciiTheme="majorHAnsi" w:hAnsiTheme="majorHAnsi"/>
        </w:rPr>
        <w:t>.</w:t>
      </w:r>
      <w:r w:rsidR="006C7B86">
        <w:rPr>
          <w:rFonts w:asciiTheme="majorHAnsi" w:hAnsiTheme="majorHAnsi"/>
        </w:rPr>
        <w:t xml:space="preserve"> </w:t>
      </w:r>
      <w:r w:rsidR="00C81E70" w:rsidRPr="007E2A5E">
        <w:rPr>
          <w:rFonts w:asciiTheme="majorHAnsi" w:hAnsiTheme="majorHAnsi"/>
        </w:rPr>
        <w:t>There is no guidance on what constitutes a reasonable package to support licensin</w:t>
      </w:r>
      <w:r w:rsidR="005E7B4C" w:rsidRPr="007E2A5E">
        <w:rPr>
          <w:rFonts w:asciiTheme="majorHAnsi" w:hAnsiTheme="majorHAnsi"/>
        </w:rPr>
        <w:t>g</w:t>
      </w:r>
      <w:r w:rsidR="00C81E70" w:rsidRPr="007E2A5E">
        <w:rPr>
          <w:rFonts w:asciiTheme="majorHAnsi" w:hAnsiTheme="majorHAnsi"/>
        </w:rPr>
        <w:t>.</w:t>
      </w:r>
      <w:r w:rsidR="006C7B86">
        <w:rPr>
          <w:rFonts w:asciiTheme="majorHAnsi" w:hAnsiTheme="majorHAnsi"/>
        </w:rPr>
        <w:t xml:space="preserve"> </w:t>
      </w:r>
      <w:r w:rsidR="005E7B4C" w:rsidRPr="007E2A5E">
        <w:rPr>
          <w:rFonts w:asciiTheme="majorHAnsi" w:hAnsiTheme="majorHAnsi"/>
        </w:rPr>
        <w:t xml:space="preserve">Here, we list </w:t>
      </w:r>
      <w:r w:rsidR="004763CC" w:rsidRPr="007E2A5E">
        <w:rPr>
          <w:rFonts w:asciiTheme="majorHAnsi" w:hAnsiTheme="majorHAnsi"/>
        </w:rPr>
        <w:t>our own view</w:t>
      </w:r>
      <w:r w:rsidR="00C723C7">
        <w:rPr>
          <w:rFonts w:asciiTheme="majorHAnsi" w:hAnsiTheme="majorHAnsi"/>
        </w:rPr>
        <w:t>s</w:t>
      </w:r>
      <w:r w:rsidR="004763CC" w:rsidRPr="007E2A5E">
        <w:rPr>
          <w:rFonts w:asciiTheme="majorHAnsi" w:hAnsiTheme="majorHAnsi"/>
        </w:rPr>
        <w:t xml:space="preserve"> on </w:t>
      </w:r>
      <w:r w:rsidR="005E7B4C" w:rsidRPr="007E2A5E">
        <w:rPr>
          <w:rFonts w:asciiTheme="majorHAnsi" w:hAnsiTheme="majorHAnsi"/>
        </w:rPr>
        <w:t>the key steps</w:t>
      </w:r>
      <w:r w:rsidR="00EA5D48" w:rsidRPr="007E2A5E">
        <w:rPr>
          <w:rFonts w:asciiTheme="majorHAnsi" w:hAnsiTheme="majorHAnsi"/>
        </w:rPr>
        <w:t xml:space="preserve">, </w:t>
      </w:r>
      <w:r w:rsidR="005E7B4C" w:rsidRPr="007E2A5E">
        <w:rPr>
          <w:rFonts w:asciiTheme="majorHAnsi" w:hAnsiTheme="majorHAnsi"/>
        </w:rPr>
        <w:t>the pitfalls</w:t>
      </w:r>
      <w:r w:rsidR="00EA5D48" w:rsidRPr="007E2A5E">
        <w:rPr>
          <w:rFonts w:asciiTheme="majorHAnsi" w:hAnsiTheme="majorHAnsi"/>
        </w:rPr>
        <w:t xml:space="preserve"> and potential solutions to developing a PK-PD package for a new antifungal agent.</w:t>
      </w:r>
      <w:r w:rsidR="006C7B86">
        <w:rPr>
          <w:rFonts w:asciiTheme="majorHAnsi" w:hAnsiTheme="majorHAnsi"/>
        </w:rPr>
        <w:t xml:space="preserve"> </w:t>
      </w:r>
      <w:r w:rsidR="00E513E7" w:rsidRPr="007E2A5E">
        <w:rPr>
          <w:rFonts w:asciiTheme="majorHAnsi" w:hAnsiTheme="majorHAnsi"/>
        </w:rPr>
        <w:t>While</w:t>
      </w:r>
      <w:r w:rsidR="008A3EE3" w:rsidRPr="007E2A5E">
        <w:rPr>
          <w:rFonts w:asciiTheme="majorHAnsi" w:hAnsiTheme="majorHAnsi"/>
        </w:rPr>
        <w:t xml:space="preserve"> the</w:t>
      </w:r>
      <w:r w:rsidR="00E513E7" w:rsidRPr="007E2A5E">
        <w:rPr>
          <w:rFonts w:asciiTheme="majorHAnsi" w:hAnsiTheme="majorHAnsi"/>
        </w:rPr>
        <w:t>s</w:t>
      </w:r>
      <w:r w:rsidR="008A3EE3" w:rsidRPr="007E2A5E">
        <w:rPr>
          <w:rFonts w:asciiTheme="majorHAnsi" w:hAnsiTheme="majorHAnsi"/>
        </w:rPr>
        <w:t>e</w:t>
      </w:r>
      <w:r w:rsidR="00E513E7" w:rsidRPr="007E2A5E">
        <w:rPr>
          <w:rFonts w:asciiTheme="majorHAnsi" w:hAnsiTheme="majorHAnsi"/>
        </w:rPr>
        <w:t xml:space="preserve"> </w:t>
      </w:r>
      <w:r w:rsidR="008A3EE3" w:rsidRPr="007E2A5E">
        <w:rPr>
          <w:rFonts w:asciiTheme="majorHAnsi" w:hAnsiTheme="majorHAnsi"/>
        </w:rPr>
        <w:t>steps are</w:t>
      </w:r>
      <w:r w:rsidR="00E513E7" w:rsidRPr="007E2A5E">
        <w:rPr>
          <w:rFonts w:asciiTheme="majorHAnsi" w:hAnsiTheme="majorHAnsi"/>
        </w:rPr>
        <w:t xml:space="preserve"> presented as a unidirectional process </w:t>
      </w:r>
      <w:r w:rsidR="008A3EE3" w:rsidRPr="007E2A5E">
        <w:rPr>
          <w:rFonts w:asciiTheme="majorHAnsi" w:hAnsiTheme="majorHAnsi"/>
        </w:rPr>
        <w:t>the</w:t>
      </w:r>
      <w:r w:rsidR="00E513E7" w:rsidRPr="007E2A5E">
        <w:rPr>
          <w:rFonts w:asciiTheme="majorHAnsi" w:hAnsiTheme="majorHAnsi"/>
        </w:rPr>
        <w:t xml:space="preserve"> reality</w:t>
      </w:r>
      <w:r w:rsidR="008A3EE3" w:rsidRPr="007E2A5E">
        <w:rPr>
          <w:rFonts w:asciiTheme="majorHAnsi" w:hAnsiTheme="majorHAnsi"/>
        </w:rPr>
        <w:t xml:space="preserve"> is different.</w:t>
      </w:r>
      <w:r w:rsidR="006C7B86">
        <w:rPr>
          <w:rFonts w:asciiTheme="majorHAnsi" w:hAnsiTheme="majorHAnsi"/>
        </w:rPr>
        <w:t xml:space="preserve"> </w:t>
      </w:r>
      <w:r w:rsidR="00D64E56" w:rsidRPr="007E2A5E">
        <w:rPr>
          <w:rFonts w:asciiTheme="majorHAnsi" w:hAnsiTheme="majorHAnsi"/>
        </w:rPr>
        <w:t>S</w:t>
      </w:r>
      <w:r w:rsidR="008A3EE3" w:rsidRPr="007E2A5E">
        <w:rPr>
          <w:rFonts w:asciiTheme="majorHAnsi" w:hAnsiTheme="majorHAnsi"/>
        </w:rPr>
        <w:t>tep</w:t>
      </w:r>
      <w:r w:rsidR="00D64E56" w:rsidRPr="007E2A5E">
        <w:rPr>
          <w:rFonts w:asciiTheme="majorHAnsi" w:hAnsiTheme="majorHAnsi"/>
        </w:rPr>
        <w:t>s</w:t>
      </w:r>
      <w:r w:rsidR="00E513E7" w:rsidRPr="007E2A5E">
        <w:rPr>
          <w:rFonts w:asciiTheme="majorHAnsi" w:hAnsiTheme="majorHAnsi"/>
        </w:rPr>
        <w:t xml:space="preserve"> </w:t>
      </w:r>
      <w:r w:rsidR="008A3EE3" w:rsidRPr="007E2A5E">
        <w:rPr>
          <w:rFonts w:asciiTheme="majorHAnsi" w:hAnsiTheme="majorHAnsi"/>
        </w:rPr>
        <w:t xml:space="preserve">may </w:t>
      </w:r>
      <w:r w:rsidR="00E513E7" w:rsidRPr="007E2A5E">
        <w:rPr>
          <w:rFonts w:asciiTheme="majorHAnsi" w:hAnsiTheme="majorHAnsi"/>
        </w:rPr>
        <w:t xml:space="preserve">proceed in parallel and </w:t>
      </w:r>
      <w:r w:rsidR="00D64E56" w:rsidRPr="007E2A5E">
        <w:rPr>
          <w:rFonts w:asciiTheme="majorHAnsi" w:hAnsiTheme="majorHAnsi"/>
        </w:rPr>
        <w:t xml:space="preserve">often </w:t>
      </w:r>
      <w:r w:rsidR="00E513E7" w:rsidRPr="007E2A5E">
        <w:rPr>
          <w:rFonts w:asciiTheme="majorHAnsi" w:hAnsiTheme="majorHAnsi"/>
        </w:rPr>
        <w:t>loop backwards and forwards, as more and more information is obtained and each step is progressively refined.</w:t>
      </w:r>
      <w:r w:rsidR="006C7B86">
        <w:rPr>
          <w:rFonts w:asciiTheme="majorHAnsi" w:hAnsiTheme="majorHAnsi"/>
        </w:rPr>
        <w:t xml:space="preserve"> </w:t>
      </w:r>
    </w:p>
    <w:p w14:paraId="3E43E539" w14:textId="77777777" w:rsidR="00C004E2" w:rsidRDefault="00C004E2" w:rsidP="007A2846">
      <w:pPr>
        <w:spacing w:line="276" w:lineRule="auto"/>
        <w:rPr>
          <w:rFonts w:asciiTheme="majorHAnsi" w:hAnsiTheme="majorHAnsi"/>
        </w:rPr>
      </w:pPr>
    </w:p>
    <w:p w14:paraId="4DBDA26F" w14:textId="17A0DC85" w:rsidR="005F0659" w:rsidRDefault="004A341B" w:rsidP="007A2846">
      <w:pPr>
        <w:spacing w:line="276" w:lineRule="auto"/>
        <w:rPr>
          <w:rFonts w:asciiTheme="majorHAnsi" w:hAnsiTheme="majorHAnsi"/>
        </w:rPr>
      </w:pPr>
      <w:r>
        <w:rPr>
          <w:rFonts w:asciiTheme="majorHAnsi" w:hAnsiTheme="majorHAnsi"/>
        </w:rPr>
        <w:t>The c</w:t>
      </w:r>
      <w:r w:rsidRPr="007E2A5E">
        <w:rPr>
          <w:rFonts w:asciiTheme="majorHAnsi" w:hAnsiTheme="majorHAnsi"/>
        </w:rPr>
        <w:t xml:space="preserve">onstituents </w:t>
      </w:r>
      <w:r w:rsidR="005F0659" w:rsidRPr="007E2A5E">
        <w:rPr>
          <w:rFonts w:asciiTheme="majorHAnsi" w:hAnsiTheme="majorHAnsi"/>
        </w:rPr>
        <w:t xml:space="preserve">of a necessary </w:t>
      </w:r>
      <w:r w:rsidR="00296560" w:rsidRPr="007E2A5E">
        <w:rPr>
          <w:rFonts w:asciiTheme="majorHAnsi" w:hAnsiTheme="majorHAnsi"/>
        </w:rPr>
        <w:t xml:space="preserve">preclinical </w:t>
      </w:r>
      <w:r w:rsidR="005F0659" w:rsidRPr="007E2A5E">
        <w:rPr>
          <w:rFonts w:asciiTheme="majorHAnsi" w:hAnsiTheme="majorHAnsi"/>
        </w:rPr>
        <w:t>PK-PD data package</w:t>
      </w:r>
      <w:r>
        <w:rPr>
          <w:rFonts w:asciiTheme="majorHAnsi" w:hAnsiTheme="majorHAnsi"/>
        </w:rPr>
        <w:t xml:space="preserve"> are summarised in Table 2.</w:t>
      </w:r>
    </w:p>
    <w:p w14:paraId="7F0D5749" w14:textId="77777777" w:rsidR="00065A8D" w:rsidRPr="007E2A5E" w:rsidRDefault="00065A8D" w:rsidP="007A2846">
      <w:pPr>
        <w:spacing w:line="276" w:lineRule="auto"/>
        <w:rPr>
          <w:rFonts w:asciiTheme="majorHAnsi" w:hAnsiTheme="majorHAnsi"/>
        </w:rPr>
      </w:pPr>
    </w:p>
    <w:p w14:paraId="3DDA78FD" w14:textId="77777777" w:rsidR="00E50A86" w:rsidRPr="007E2A5E" w:rsidRDefault="00E50A86" w:rsidP="007A2846">
      <w:pPr>
        <w:spacing w:line="276" w:lineRule="auto"/>
        <w:rPr>
          <w:rFonts w:asciiTheme="majorHAnsi" w:hAnsiTheme="majorHAnsi"/>
          <w:i/>
        </w:rPr>
      </w:pPr>
      <w:r w:rsidRPr="007E2A5E">
        <w:rPr>
          <w:rFonts w:asciiTheme="majorHAnsi" w:hAnsiTheme="majorHAnsi"/>
          <w:i/>
        </w:rPr>
        <w:t xml:space="preserve">1. </w:t>
      </w:r>
      <w:r w:rsidR="007F2710" w:rsidRPr="007E2A5E">
        <w:rPr>
          <w:rFonts w:asciiTheme="majorHAnsi" w:hAnsiTheme="majorHAnsi"/>
          <w:i/>
        </w:rPr>
        <w:t>MIC</w:t>
      </w:r>
      <w:r w:rsidRPr="007E2A5E">
        <w:rPr>
          <w:rFonts w:asciiTheme="majorHAnsi" w:hAnsiTheme="majorHAnsi"/>
          <w:i/>
        </w:rPr>
        <w:t>s and other measures of in vitro potency</w:t>
      </w:r>
    </w:p>
    <w:p w14:paraId="01606A4A" w14:textId="4AC891D5" w:rsidR="00A5254A" w:rsidRPr="007E2A5E" w:rsidRDefault="00E50A86" w:rsidP="007A2846">
      <w:pPr>
        <w:spacing w:line="276" w:lineRule="auto"/>
        <w:rPr>
          <w:rFonts w:asciiTheme="majorHAnsi" w:hAnsiTheme="majorHAnsi"/>
        </w:rPr>
      </w:pPr>
      <w:r w:rsidRPr="007E2A5E">
        <w:rPr>
          <w:rFonts w:asciiTheme="majorHAnsi" w:hAnsiTheme="majorHAnsi"/>
        </w:rPr>
        <w:tab/>
      </w:r>
      <w:r w:rsidR="00647643" w:rsidRPr="007E2A5E">
        <w:rPr>
          <w:rFonts w:asciiTheme="majorHAnsi" w:hAnsiTheme="majorHAnsi"/>
        </w:rPr>
        <w:t>T</w:t>
      </w:r>
      <w:r w:rsidR="00893085" w:rsidRPr="007E2A5E">
        <w:rPr>
          <w:rFonts w:asciiTheme="majorHAnsi" w:hAnsiTheme="majorHAnsi"/>
        </w:rPr>
        <w:t xml:space="preserve">he </w:t>
      </w:r>
      <w:r w:rsidR="00132291" w:rsidRPr="007E2A5E">
        <w:rPr>
          <w:rFonts w:asciiTheme="majorHAnsi" w:hAnsiTheme="majorHAnsi"/>
        </w:rPr>
        <w:t>MIC</w:t>
      </w:r>
      <w:r w:rsidR="00893085" w:rsidRPr="007E2A5E">
        <w:rPr>
          <w:rFonts w:asciiTheme="majorHAnsi" w:hAnsiTheme="majorHAnsi"/>
        </w:rPr>
        <w:t xml:space="preserve"> distribution</w:t>
      </w:r>
      <w:r w:rsidR="00132291" w:rsidRPr="007E2A5E">
        <w:rPr>
          <w:rFonts w:asciiTheme="majorHAnsi" w:hAnsiTheme="majorHAnsi"/>
        </w:rPr>
        <w:t xml:space="preserve"> </w:t>
      </w:r>
      <w:r w:rsidR="00647643" w:rsidRPr="007E2A5E">
        <w:rPr>
          <w:rFonts w:asciiTheme="majorHAnsi" w:hAnsiTheme="majorHAnsi"/>
        </w:rPr>
        <w:t xml:space="preserve">should be defined </w:t>
      </w:r>
      <w:r w:rsidR="00132291" w:rsidRPr="007E2A5E">
        <w:rPr>
          <w:rFonts w:asciiTheme="majorHAnsi" w:hAnsiTheme="majorHAnsi"/>
        </w:rPr>
        <w:t xml:space="preserve">using </w:t>
      </w:r>
      <w:r w:rsidR="00A3594A" w:rsidRPr="007E2A5E">
        <w:rPr>
          <w:rFonts w:asciiTheme="majorHAnsi" w:hAnsiTheme="majorHAnsi"/>
        </w:rPr>
        <w:t>a standardised method</w:t>
      </w:r>
      <w:r w:rsidR="001A252A">
        <w:rPr>
          <w:rFonts w:asciiTheme="majorHAnsi" w:hAnsiTheme="majorHAnsi"/>
        </w:rPr>
        <w:t>ology</w:t>
      </w:r>
      <w:r w:rsidR="00A3594A" w:rsidRPr="007E2A5E">
        <w:rPr>
          <w:rFonts w:asciiTheme="majorHAnsi" w:hAnsiTheme="majorHAnsi"/>
        </w:rPr>
        <w:t xml:space="preserve"> (</w:t>
      </w:r>
      <w:r w:rsidR="003F7189">
        <w:rPr>
          <w:rFonts w:asciiTheme="majorHAnsi" w:hAnsiTheme="majorHAnsi"/>
        </w:rPr>
        <w:t>e.g.,</w:t>
      </w:r>
      <w:r w:rsidR="00A3594A" w:rsidRPr="007E2A5E">
        <w:rPr>
          <w:rFonts w:asciiTheme="majorHAnsi" w:hAnsiTheme="majorHAnsi"/>
        </w:rPr>
        <w:t xml:space="preserve"> </w:t>
      </w:r>
      <w:r w:rsidR="00736266">
        <w:rPr>
          <w:rFonts w:asciiTheme="majorHAnsi" w:hAnsiTheme="majorHAnsi"/>
        </w:rPr>
        <w:t>CLSI</w:t>
      </w:r>
      <w:r w:rsidR="004D32C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"Clinical Laboratory Standards Institute", "given" : "", "non-dropping-particle" : "", "parse-names" : false, "suffix" : "" } ], "id" : "ITEM-1", "issued" : { "date-parts" : [ [ "2008" ] ] }, "publisher-place" : "Wayne, PA", "title" : "Reference method for broth dilution antifungal susceptibility testing of yeasts. Approved standard. M27-A3.", "type" : "report" }, "uris" : [ "http://www.mendeley.com/documents/?uuid=ae99fea1-62e4-49f6-89ea-df9111bd1cc2" ] } ], "mendeley" : { "formattedCitation" : "&lt;sup&gt;63&lt;/sup&gt;", "plainTextFormattedCitation" : "63", "previouslyFormattedCitation" : "&lt;sup&gt;63&lt;/sup&gt;"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63</w:t>
      </w:r>
      <w:r w:rsidR="004D32CF">
        <w:rPr>
          <w:rFonts w:asciiTheme="majorHAnsi" w:hAnsiTheme="majorHAnsi"/>
        </w:rPr>
        <w:fldChar w:fldCharType="end"/>
      </w:r>
      <w:r w:rsidR="007815AB" w:rsidRPr="009E6997">
        <w:rPr>
          <w:rFonts w:asciiTheme="majorHAnsi" w:hAnsiTheme="majorHAnsi" w:cs="Times New Roman"/>
          <w:noProof/>
          <w:vertAlign w:val="superscript"/>
          <w:lang w:val="en-US"/>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"Clinical Laboratory Standards Institute", "given" : "", "non-dropping-particle" : "", "parse-names" : false, "suffix" : "" } ], "id" : "ITEM-1", "issued" : { "date-parts" : [ [ "2008" ] ] }, "publisher" : "CLSI", "publisher-place" : "Wayne, PA", "title" : "Reference method for broth dilution antifungal susceptibility testing of filamentous fungi. Approved standard. M38-A2.", "type" : "report" }, "uris" : [ "http://www.mendeley.com/documents/?uuid=8bc25207-9ea2-42b7-bb0e-f30300ad0e28" ] } ], "mendeley" : { "formattedCitation" : "&lt;sup&gt;64&lt;/sup&gt;", "plainTextFormattedCitation" : "64", "previouslyFormattedCitation" : "&lt;sup&gt;64&lt;/sup&gt;"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64</w:t>
      </w:r>
      <w:r w:rsidR="004D32CF">
        <w:rPr>
          <w:rFonts w:asciiTheme="majorHAnsi" w:hAnsiTheme="majorHAnsi"/>
        </w:rPr>
        <w:fldChar w:fldCharType="end"/>
      </w:r>
      <w:r w:rsidR="00793D6C">
        <w:rPr>
          <w:rFonts w:asciiTheme="majorHAnsi" w:hAnsiTheme="majorHAnsi"/>
        </w:rPr>
        <w:t xml:space="preserve"> </w:t>
      </w:r>
      <w:r w:rsidR="00A3594A" w:rsidRPr="007E2A5E">
        <w:rPr>
          <w:rFonts w:asciiTheme="majorHAnsi" w:hAnsiTheme="majorHAnsi"/>
        </w:rPr>
        <w:t xml:space="preserve">or </w:t>
      </w:r>
      <w:r w:rsidR="001A252A">
        <w:rPr>
          <w:rFonts w:asciiTheme="majorHAnsi" w:hAnsiTheme="majorHAnsi"/>
        </w:rPr>
        <w:t>EUCAST</w:t>
      </w:r>
      <w:r w:rsidR="00E37D3F">
        <w:rPr>
          <w:rFonts w:asciiTheme="majorHAnsi" w:hAnsiTheme="majorHAnsi"/>
        </w:rPr>
        <w:fldChar w:fldCharType="begin" w:fldLock="1"/>
      </w:r>
      <w:r w:rsidR="00D1426F">
        <w:rPr>
          <w:rFonts w:asciiTheme="majorHAnsi" w:hAnsiTheme="majorHAnsi"/>
        </w:rPr>
        <w:instrText>ADDIN CSL_CITATION { "citationItems" : [ { "id" : "ITEM-1", "itemData" : { "author" : [ { "dropping-particle" : "", "family" : "EUCAST", "given" : "", "non-dropping-particle" : "", "parse-names" : false, "suffix" : "" } ], "container-title" : "http://www.eucast.org/fileadmin/src/media/PDFs/EUCAST_files/AFST/Files/EUCAST_E_Def_9_3_Mould_testing_definitive.pdf", "id" : "ITEM-1", "issued" : { "date-parts" : [ [ "0" ] ] }, "title" : "EUCAST DEFINITIVE DOCUMENT E.DEF 9.3 Method for the determination of broth dilution minimum inhibitory concentrations of antifungal agents for conidia forming moulds", "type" : "article-journal" }, "uris" : [ "http://www.mendeley.com/documents/?uuid=53c78fcc-7e6e-4027-b216-2e08b4acc407" ] }, { "id" : "ITEM-2", "itemData" : { "author" : [ { "dropping-particle" : "", "family" : "Arendrup", "given" : "Maiken C", "non-dropping-particle" : "", "parse-names" : false, "suffix" : "" }, { "dropping-particle" : "", "family" : "Cuenca-Estrella", "given" : "Manuel", "non-dropping-particle" : "", "parse-names" : false, "suffix" : "" }, { "dropping-particle" : "", "family" : "Lass-Fl\u00f6rl", "given" : "Cornelia", "non-dropping-particle" : "", "parse-names" : false, "suffix" : "" }, { "dropping-particle" : "", "family" : "Hope", "given" : "William", "non-dropping-particle" : "", "parse-names" : false, "suffix" : "" } ], "container-title" : "Clinical Microbiology and Infection", "id" : "ITEM-2", "issue" : "7", "issued" : { "date-parts" : [ [ "2012" ] ] }, "page" : "E246--E247", "publisher" : "Blackwell Publishing Ltd", "title" : "EUCAST technical note on the EUCAST definitive document EDef 7.2: method for the determination of broth dilution minimum inhibitory concentrations of antifungal agents for yeasts EDef 7.2 (EUCAST-AFST)", "type" : "article-journal", "volume" : "18" }, "uris" : [ "http://www.mendeley.com/documents/?uuid=6357822f-7745-4a4b-b212-48d41e517865" ] } ], "mendeley" : { "formattedCitation" : "&lt;sup&gt;65,66&lt;/sup&gt;", "plainTextFormattedCitation" : "65,66", "previouslyFormattedCitation" : "&lt;sup&gt;65,66&lt;/sup&gt;" }, "properties" : { "noteIndex" : 0 }, "schema" : "https://github.com/citation-style-language/schema/raw/master/csl-citation.json" }</w:instrText>
      </w:r>
      <w:r w:rsidR="00E37D3F">
        <w:rPr>
          <w:rFonts w:asciiTheme="majorHAnsi" w:hAnsiTheme="majorHAnsi"/>
        </w:rPr>
        <w:fldChar w:fldCharType="separate"/>
      </w:r>
      <w:r w:rsidR="00D1426F" w:rsidRPr="00D1426F">
        <w:rPr>
          <w:rFonts w:asciiTheme="majorHAnsi" w:hAnsiTheme="majorHAnsi"/>
          <w:noProof/>
          <w:vertAlign w:val="superscript"/>
        </w:rPr>
        <w:t>65,66</w:t>
      </w:r>
      <w:r w:rsidR="00E37D3F">
        <w:rPr>
          <w:rFonts w:asciiTheme="majorHAnsi" w:hAnsiTheme="majorHAnsi"/>
        </w:rPr>
        <w:fldChar w:fldCharType="end"/>
      </w:r>
      <w:r w:rsidR="00A3594A" w:rsidRPr="007E2A5E">
        <w:rPr>
          <w:rFonts w:asciiTheme="majorHAnsi" w:hAnsiTheme="majorHAnsi"/>
        </w:rPr>
        <w:t xml:space="preserve">) </w:t>
      </w:r>
      <w:r w:rsidR="007C4A42" w:rsidRPr="007E2A5E">
        <w:rPr>
          <w:rFonts w:asciiTheme="majorHAnsi" w:hAnsiTheme="majorHAnsi"/>
        </w:rPr>
        <w:t xml:space="preserve">using </w:t>
      </w:r>
      <w:r w:rsidR="00A3594A" w:rsidRPr="007E2A5E">
        <w:rPr>
          <w:rFonts w:asciiTheme="majorHAnsi" w:hAnsiTheme="majorHAnsi"/>
        </w:rPr>
        <w:t>a</w:t>
      </w:r>
      <w:r w:rsidR="001A252A">
        <w:rPr>
          <w:rFonts w:asciiTheme="majorHAnsi" w:hAnsiTheme="majorHAnsi"/>
        </w:rPr>
        <w:t xml:space="preserve"> suitably </w:t>
      </w:r>
      <w:r w:rsidR="003B45DC">
        <w:rPr>
          <w:rFonts w:asciiTheme="majorHAnsi" w:hAnsiTheme="majorHAnsi"/>
        </w:rPr>
        <w:t>large and diverse</w:t>
      </w:r>
      <w:r w:rsidR="00674A72" w:rsidRPr="007E2A5E">
        <w:rPr>
          <w:rFonts w:asciiTheme="majorHAnsi" w:hAnsiTheme="majorHAnsi"/>
        </w:rPr>
        <w:t xml:space="preserve"> </w:t>
      </w:r>
      <w:r w:rsidR="00A3594A" w:rsidRPr="007E2A5E">
        <w:rPr>
          <w:rFonts w:asciiTheme="majorHAnsi" w:hAnsiTheme="majorHAnsi"/>
        </w:rPr>
        <w:t>collection of clinical isolates</w:t>
      </w:r>
      <w:r w:rsidR="003B45DC">
        <w:rPr>
          <w:rFonts w:asciiTheme="majorHAnsi" w:hAnsiTheme="majorHAnsi"/>
        </w:rPr>
        <w:t xml:space="preserve"> to enable a robust estimate of </w:t>
      </w:r>
      <w:r w:rsidR="00660212">
        <w:rPr>
          <w:rFonts w:asciiTheme="majorHAnsi" w:hAnsiTheme="majorHAnsi"/>
        </w:rPr>
        <w:t xml:space="preserve">the </w:t>
      </w:r>
      <w:r w:rsidR="00E54011">
        <w:rPr>
          <w:rFonts w:asciiTheme="majorHAnsi" w:hAnsiTheme="majorHAnsi"/>
        </w:rPr>
        <w:t xml:space="preserve">extent of </w:t>
      </w:r>
      <w:r w:rsidR="003B45DC">
        <w:rPr>
          <w:rFonts w:asciiTheme="majorHAnsi" w:hAnsiTheme="majorHAnsi"/>
        </w:rPr>
        <w:t>variability</w:t>
      </w:r>
      <w:r w:rsidR="00660212">
        <w:rPr>
          <w:rFonts w:asciiTheme="majorHAnsi" w:hAnsiTheme="majorHAnsi"/>
        </w:rPr>
        <w:t xml:space="preserve"> in MICs</w:t>
      </w:r>
      <w:r w:rsidR="00A3594A" w:rsidRPr="007E2A5E">
        <w:rPr>
          <w:rFonts w:asciiTheme="majorHAnsi" w:hAnsiTheme="majorHAnsi"/>
        </w:rPr>
        <w:t>.</w:t>
      </w:r>
      <w:r w:rsidR="00E62798">
        <w:rPr>
          <w:rFonts w:asciiTheme="majorHAnsi" w:hAnsiTheme="majorHAnsi"/>
        </w:rPr>
        <w:t xml:space="preserve"> The testing metho</w:t>
      </w:r>
      <w:r w:rsidR="0018489F">
        <w:rPr>
          <w:rFonts w:asciiTheme="majorHAnsi" w:hAnsiTheme="majorHAnsi"/>
        </w:rPr>
        <w:t>do</w:t>
      </w:r>
      <w:r w:rsidR="00E62798">
        <w:rPr>
          <w:rFonts w:asciiTheme="majorHAnsi" w:hAnsiTheme="majorHAnsi"/>
        </w:rPr>
        <w:t>logy should be examined closely for reproducibility and QC isolates should be identified as early as possible.</w:t>
      </w:r>
      <w:r w:rsidR="006C7B86">
        <w:rPr>
          <w:rFonts w:asciiTheme="majorHAnsi" w:hAnsiTheme="majorHAnsi"/>
        </w:rPr>
        <w:t xml:space="preserve"> </w:t>
      </w:r>
      <w:r w:rsidR="003B47F6" w:rsidRPr="007E2A5E">
        <w:rPr>
          <w:rFonts w:asciiTheme="majorHAnsi" w:hAnsiTheme="majorHAnsi"/>
        </w:rPr>
        <w:t>These studies help define the modal MIC and the degree of variability in MIC.</w:t>
      </w:r>
      <w:r w:rsidR="006C7B86">
        <w:rPr>
          <w:rFonts w:asciiTheme="majorHAnsi" w:hAnsiTheme="majorHAnsi"/>
        </w:rPr>
        <w:t xml:space="preserve"> </w:t>
      </w:r>
      <w:r w:rsidR="000A6CF1" w:rsidRPr="007E2A5E">
        <w:rPr>
          <w:rFonts w:asciiTheme="majorHAnsi" w:hAnsiTheme="majorHAnsi"/>
        </w:rPr>
        <w:t>An</w:t>
      </w:r>
      <w:r w:rsidR="003B47F6" w:rsidRPr="007E2A5E">
        <w:rPr>
          <w:rFonts w:asciiTheme="majorHAnsi" w:hAnsiTheme="majorHAnsi"/>
        </w:rPr>
        <w:t xml:space="preserve"> idea of </w:t>
      </w:r>
      <w:r w:rsidR="006D2B84" w:rsidRPr="007E2A5E">
        <w:rPr>
          <w:rFonts w:asciiTheme="majorHAnsi" w:hAnsiTheme="majorHAnsi"/>
        </w:rPr>
        <w:t xml:space="preserve">the </w:t>
      </w:r>
      <w:r w:rsidR="003B47F6" w:rsidRPr="007E2A5E">
        <w:rPr>
          <w:rFonts w:asciiTheme="majorHAnsi" w:hAnsiTheme="majorHAnsi"/>
        </w:rPr>
        <w:t xml:space="preserve">MICs of organisms </w:t>
      </w:r>
      <w:r w:rsidR="000A6CF1" w:rsidRPr="007E2A5E">
        <w:rPr>
          <w:rFonts w:asciiTheme="majorHAnsi" w:hAnsiTheme="majorHAnsi"/>
        </w:rPr>
        <w:t>harbouring</w:t>
      </w:r>
      <w:r w:rsidR="003B47F6" w:rsidRPr="007E2A5E">
        <w:rPr>
          <w:rFonts w:asciiTheme="majorHAnsi" w:hAnsiTheme="majorHAnsi"/>
        </w:rPr>
        <w:t xml:space="preserve"> resistance </w:t>
      </w:r>
      <w:r w:rsidR="00332E72" w:rsidRPr="007E2A5E">
        <w:rPr>
          <w:rFonts w:asciiTheme="majorHAnsi" w:hAnsiTheme="majorHAnsi"/>
        </w:rPr>
        <w:t xml:space="preserve">motifs </w:t>
      </w:r>
      <w:r w:rsidR="003B47F6" w:rsidRPr="007E2A5E">
        <w:rPr>
          <w:rFonts w:asciiTheme="majorHAnsi" w:hAnsiTheme="majorHAnsi"/>
        </w:rPr>
        <w:t>is helpful</w:t>
      </w:r>
      <w:r w:rsidR="00E64476" w:rsidRPr="007E2A5E">
        <w:rPr>
          <w:rFonts w:asciiTheme="majorHAnsi" w:hAnsiTheme="majorHAnsi"/>
        </w:rPr>
        <w:t xml:space="preserve">, although the types of mechanisms that may be </w:t>
      </w:r>
      <w:r w:rsidR="00795983" w:rsidRPr="007E2A5E">
        <w:rPr>
          <w:rFonts w:asciiTheme="majorHAnsi" w:hAnsiTheme="majorHAnsi"/>
        </w:rPr>
        <w:t xml:space="preserve">encountered </w:t>
      </w:r>
      <w:r w:rsidR="00E64476" w:rsidRPr="007E2A5E">
        <w:rPr>
          <w:rFonts w:asciiTheme="majorHAnsi" w:hAnsiTheme="majorHAnsi"/>
        </w:rPr>
        <w:t>in the clinic (as opposed to those generated by passaging in the presence of drug</w:t>
      </w:r>
      <w:r w:rsidR="00CD62A5" w:rsidRPr="007E2A5E">
        <w:rPr>
          <w:rFonts w:asciiTheme="majorHAnsi" w:hAnsiTheme="majorHAnsi"/>
        </w:rPr>
        <w:t xml:space="preserve"> in the laboratory</w:t>
      </w:r>
      <w:r w:rsidR="00E64476" w:rsidRPr="007E2A5E">
        <w:rPr>
          <w:rFonts w:asciiTheme="majorHAnsi" w:hAnsiTheme="majorHAnsi"/>
        </w:rPr>
        <w:t xml:space="preserve">) </w:t>
      </w:r>
      <w:r w:rsidR="009F3CD8" w:rsidRPr="007E2A5E">
        <w:rPr>
          <w:rFonts w:asciiTheme="majorHAnsi" w:hAnsiTheme="majorHAnsi"/>
        </w:rPr>
        <w:t>are unlikely to</w:t>
      </w:r>
      <w:r w:rsidR="00E64476" w:rsidRPr="007E2A5E">
        <w:rPr>
          <w:rFonts w:asciiTheme="majorHAnsi" w:hAnsiTheme="majorHAnsi"/>
        </w:rPr>
        <w:t xml:space="preserve"> be </w:t>
      </w:r>
      <w:r w:rsidR="00D255B4" w:rsidRPr="007E2A5E">
        <w:rPr>
          <w:rFonts w:asciiTheme="majorHAnsi" w:hAnsiTheme="majorHAnsi"/>
        </w:rPr>
        <w:t>a</w:t>
      </w:r>
      <w:r w:rsidR="00E64476" w:rsidRPr="007E2A5E">
        <w:rPr>
          <w:rFonts w:asciiTheme="majorHAnsi" w:hAnsiTheme="majorHAnsi"/>
        </w:rPr>
        <w:t>vailable in the early phases of drug development</w:t>
      </w:r>
      <w:r w:rsidR="001C19A2" w:rsidRPr="007E2A5E">
        <w:rPr>
          <w:rFonts w:asciiTheme="majorHAnsi" w:hAnsiTheme="majorHAnsi"/>
        </w:rPr>
        <w:t>.</w:t>
      </w:r>
      <w:r w:rsidR="006C7B86">
        <w:rPr>
          <w:rFonts w:asciiTheme="majorHAnsi" w:hAnsiTheme="majorHAnsi"/>
        </w:rPr>
        <w:t xml:space="preserve"> </w:t>
      </w:r>
      <w:r w:rsidR="00AA78CC" w:rsidRPr="007E2A5E">
        <w:rPr>
          <w:rFonts w:asciiTheme="majorHAnsi" w:hAnsiTheme="majorHAnsi"/>
        </w:rPr>
        <w:t xml:space="preserve">If </w:t>
      </w:r>
      <w:r w:rsidR="005A5CA0" w:rsidRPr="007E2A5E">
        <w:rPr>
          <w:rFonts w:asciiTheme="majorHAnsi" w:hAnsiTheme="majorHAnsi"/>
        </w:rPr>
        <w:t>enough strains are studied</w:t>
      </w:r>
      <w:r w:rsidR="00AA78CC" w:rsidRPr="007E2A5E">
        <w:rPr>
          <w:rFonts w:asciiTheme="majorHAnsi" w:hAnsiTheme="majorHAnsi"/>
        </w:rPr>
        <w:t xml:space="preserve">, it may be possible to define an </w:t>
      </w:r>
      <w:r w:rsidR="009F3CD8" w:rsidRPr="007E2A5E">
        <w:rPr>
          <w:rFonts w:asciiTheme="majorHAnsi" w:hAnsiTheme="majorHAnsi"/>
        </w:rPr>
        <w:t xml:space="preserve">epidemiological cut-off value (termed </w:t>
      </w:r>
      <w:r w:rsidR="00AA78CC" w:rsidRPr="007E2A5E">
        <w:rPr>
          <w:rFonts w:asciiTheme="majorHAnsi" w:hAnsiTheme="majorHAnsi"/>
        </w:rPr>
        <w:t xml:space="preserve">ECV </w:t>
      </w:r>
      <w:r w:rsidR="009F3CD8" w:rsidRPr="007E2A5E">
        <w:rPr>
          <w:rFonts w:asciiTheme="majorHAnsi" w:hAnsiTheme="majorHAnsi"/>
        </w:rPr>
        <w:t xml:space="preserve">in CLSI </w:t>
      </w:r>
      <w:r w:rsidR="00AA78CC" w:rsidRPr="007E2A5E">
        <w:rPr>
          <w:rFonts w:asciiTheme="majorHAnsi" w:hAnsiTheme="majorHAnsi"/>
        </w:rPr>
        <w:t xml:space="preserve">or ECOFF </w:t>
      </w:r>
      <w:r w:rsidR="009F3CD8" w:rsidRPr="007E2A5E">
        <w:rPr>
          <w:rFonts w:asciiTheme="majorHAnsi" w:hAnsiTheme="majorHAnsi"/>
        </w:rPr>
        <w:t>at EUCAST), which is</w:t>
      </w:r>
      <w:r w:rsidR="00AA78CC" w:rsidRPr="007E2A5E">
        <w:rPr>
          <w:rFonts w:asciiTheme="majorHAnsi" w:hAnsiTheme="majorHAnsi"/>
        </w:rPr>
        <w:t xml:space="preserve"> </w:t>
      </w:r>
      <w:r w:rsidR="000A6CF1" w:rsidRPr="007E2A5E">
        <w:rPr>
          <w:rFonts w:asciiTheme="majorHAnsi" w:hAnsiTheme="majorHAnsi"/>
        </w:rPr>
        <w:t xml:space="preserve">defined as </w:t>
      </w:r>
      <w:r w:rsidR="00AA78CC" w:rsidRPr="007E2A5E">
        <w:rPr>
          <w:rFonts w:asciiTheme="majorHAnsi" w:hAnsiTheme="majorHAnsi"/>
        </w:rPr>
        <w:t xml:space="preserve">the </w:t>
      </w:r>
      <w:r w:rsidR="009C257C" w:rsidRPr="007E2A5E">
        <w:rPr>
          <w:rFonts w:asciiTheme="majorHAnsi" w:hAnsiTheme="majorHAnsi"/>
        </w:rPr>
        <w:t>highest MIC of the organism that belongs to the</w:t>
      </w:r>
      <w:r w:rsidR="006A6926" w:rsidRPr="007E2A5E">
        <w:rPr>
          <w:rFonts w:asciiTheme="majorHAnsi" w:hAnsiTheme="majorHAnsi"/>
        </w:rPr>
        <w:t xml:space="preserve"> wild-type population</w:t>
      </w:r>
      <w:r w:rsidR="009C257C" w:rsidRPr="007E2A5E">
        <w:rPr>
          <w:rFonts w:asciiTheme="majorHAnsi" w:hAnsiTheme="majorHAnsi"/>
        </w:rPr>
        <w:t>.</w:t>
      </w:r>
      <w:r w:rsidR="006C7B86">
        <w:rPr>
          <w:rFonts w:asciiTheme="majorHAnsi" w:hAnsiTheme="majorHAnsi"/>
        </w:rPr>
        <w:t xml:space="preserve"> </w:t>
      </w:r>
      <w:r w:rsidR="00820504" w:rsidRPr="007E2A5E">
        <w:rPr>
          <w:rFonts w:asciiTheme="majorHAnsi" w:hAnsiTheme="majorHAnsi"/>
        </w:rPr>
        <w:t>ECVs and ECOFFs can be defined statistically</w:t>
      </w:r>
      <w:r w:rsidR="004D32CF">
        <w:rPr>
          <w:rFonts w:asciiTheme="majorHAnsi" w:hAnsiTheme="majorHAnsi"/>
        </w:rPr>
        <w:fldChar w:fldCharType="begin" w:fldLock="1"/>
      </w:r>
      <w:r w:rsidR="00D1426F">
        <w:rPr>
          <w:rFonts w:asciiTheme="majorHAnsi" w:hAnsiTheme="majorHAnsi"/>
        </w:rPr>
        <w:instrText>ADDIN CSL_CITATION { "citationItems" : [ { "id" : "ITEM-1", "itemData" : { "DOI" : "10.1111/j.1469-0691.2006.01377.x", "ISBN" : "1198-743X (Print)\\r1198-743X (Linking)", "ISSN" : "1198-743X", "PMID" : "16643517", "abstract" : "MIC distribution data were obtained from a variety of international sources, and pooled after selection by a defined criterion. Sixty-seven of these datasets were subjected to a range of statistical goodness-of-fit tests. The log-normal distribution was selected for subsequent modelling. Cumulative counts of MIC distribution data were fitted to the cumulative log-normal distribution using non-linear least squares regression for a range of data subsets from each antibiotic-bacterium combination. Estimated parameters in the regression were the number of isolates in the subset, and (the log(2) values of) the mean and standard deviation. Optimum fits for the cumulative log-normal curve were then used to determine the wild-type MIC range, determined by calculating the MICs associated with the lower and upper 0.1% of the distribution, rounding to the nearest two-fold dilution, and calculating the probabilities of values higher and lower than these values. When plotted logarithmically, histograms of MIC frequencies appeared normal (Gaussian), but standard goodness-of-fit tests showed that the two-fold dilution grouping of MICs fits poorly to a log-normal distribution, whereas non-linear regression gave good fits to population (histogram) log-normal distributions of log(2) MIC frequencies, and even better fits to log-normal cumulative distributions. Optimum fits were found when the difference between the estimated and true number of isolates in the fitted subset was minimal. Sixteen antibiotic-bacterium datasets were fitted using this technique, and the log(2) values of the means and standard deviations were used to determine the 0.1% and 99.9% wild-type cut-off values. When rounded to the nearest two-fold dilution, &gt; or = 98.5% of MIC values fall within the cut-off value range. Non-linear regression fitting to a cumulative log-normal distribution is a novel and effective method for modelling MIC distributions and quantifying wild-type MIC ranges.", "author" : [ { "dropping-particle" : "", "family" : "Turnidge", "given" : "J", "non-dropping-particle" : "", "parse-names" : false, "suffix" : "" }, { "dropping-particle" : "", "family" : "Kahlmeter", "given" : "G", "non-dropping-particle" : "", "parse-names" : false, "suffix" : "" }, { "dropping-particle" : "", "family" : "Kronvall", "given" : "G", "non-dropping-particle" : "", "parse-names" : false, "suffix" : "" } ], "container-title" : "Clinical Microbiology and Infection", "id" : "ITEM-1", "issue" : "5", "issued" : { "date-parts" : [ [ "2006" ] ] }, "page" : "418-25", "title" : "Statistical characterisation of bacterial wild-type MIC value distributions and the determination of epidemiological cut-off values.", "type" : "article-journal", "volume" : "12" }, "uris" : [ "http://www.mendeley.com/documents/?uuid=c3f66429-1c07-49f8-b0cf-97a0382d7af5" ] } ], "mendeley" : { "formattedCitation" : "&lt;sup&gt;67&lt;/sup&gt;", "plainTextFormattedCitation" : "67", "previouslyFormattedCitation" : "&lt;sup&gt;67&lt;/sup&gt;"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67</w:t>
      </w:r>
      <w:r w:rsidR="004D32CF">
        <w:rPr>
          <w:rFonts w:asciiTheme="majorHAnsi" w:hAnsiTheme="majorHAnsi"/>
        </w:rPr>
        <w:fldChar w:fldCharType="end"/>
      </w:r>
      <w:r w:rsidR="00273B9D">
        <w:rPr>
          <w:rFonts w:asciiTheme="majorHAnsi" w:hAnsiTheme="majorHAnsi"/>
        </w:rPr>
        <w:t xml:space="preserve"> </w:t>
      </w:r>
      <w:r w:rsidR="00C5746F">
        <w:rPr>
          <w:rFonts w:asciiTheme="majorHAnsi" w:hAnsiTheme="majorHAnsi"/>
        </w:rPr>
        <w:t xml:space="preserve">(although the statistical value that defines </w:t>
      </w:r>
      <w:r w:rsidR="00330D98">
        <w:rPr>
          <w:rFonts w:asciiTheme="majorHAnsi" w:hAnsiTheme="majorHAnsi"/>
        </w:rPr>
        <w:t>the ECV or ECOFF</w:t>
      </w:r>
      <w:r w:rsidR="00992AD2">
        <w:rPr>
          <w:rFonts w:asciiTheme="majorHAnsi" w:hAnsiTheme="majorHAnsi"/>
        </w:rPr>
        <w:t xml:space="preserve"> is necessarily arbitrary) </w:t>
      </w:r>
      <w:r w:rsidR="00820504" w:rsidRPr="007E2A5E">
        <w:rPr>
          <w:rFonts w:asciiTheme="majorHAnsi" w:hAnsiTheme="majorHAnsi"/>
        </w:rPr>
        <w:t xml:space="preserve">or on the basis of </w:t>
      </w:r>
      <w:r w:rsidR="00D053A9" w:rsidRPr="007E2A5E">
        <w:rPr>
          <w:rFonts w:asciiTheme="majorHAnsi" w:hAnsiTheme="majorHAnsi"/>
        </w:rPr>
        <w:t>known molecular mechanism</w:t>
      </w:r>
      <w:r w:rsidR="005A5CA0" w:rsidRPr="007E2A5E">
        <w:rPr>
          <w:rFonts w:asciiTheme="majorHAnsi" w:hAnsiTheme="majorHAnsi"/>
        </w:rPr>
        <w:t xml:space="preserve"> of resistance.</w:t>
      </w:r>
      <w:r w:rsidR="006C7B86">
        <w:rPr>
          <w:rFonts w:asciiTheme="majorHAnsi" w:hAnsiTheme="majorHAnsi"/>
        </w:rPr>
        <w:t xml:space="preserve"> </w:t>
      </w:r>
      <w:r w:rsidR="00FD335C" w:rsidRPr="007E2A5E">
        <w:rPr>
          <w:rFonts w:asciiTheme="majorHAnsi" w:hAnsiTheme="majorHAnsi"/>
        </w:rPr>
        <w:t>Defining MICs of isolates resistant to other first-line agents</w:t>
      </w:r>
      <w:r w:rsidR="00332E72" w:rsidRPr="007E2A5E">
        <w:rPr>
          <w:rFonts w:asciiTheme="majorHAnsi" w:hAnsiTheme="majorHAnsi"/>
        </w:rPr>
        <w:t xml:space="preserve"> (i.e. demonstration of the lack of cross resistance)</w:t>
      </w:r>
      <w:r w:rsidR="00FD335C" w:rsidRPr="007E2A5E">
        <w:rPr>
          <w:rFonts w:asciiTheme="majorHAnsi" w:hAnsiTheme="majorHAnsi"/>
        </w:rPr>
        <w:t xml:space="preserve"> is key</w:t>
      </w:r>
      <w:r w:rsidR="00F93762" w:rsidRPr="007E2A5E">
        <w:rPr>
          <w:rFonts w:asciiTheme="majorHAnsi" w:hAnsiTheme="majorHAnsi"/>
        </w:rPr>
        <w:t xml:space="preserve"> and likely to provide evidence for points of differentiation with existing agents</w:t>
      </w:r>
      <w:r w:rsidR="00FD335C" w:rsidRPr="007E2A5E">
        <w:rPr>
          <w:rFonts w:asciiTheme="majorHAnsi" w:hAnsiTheme="majorHAnsi"/>
        </w:rPr>
        <w:t>.</w:t>
      </w:r>
      <w:r w:rsidR="006C7B86">
        <w:rPr>
          <w:rFonts w:asciiTheme="majorHAnsi" w:hAnsiTheme="majorHAnsi"/>
        </w:rPr>
        <w:t xml:space="preserve"> </w:t>
      </w:r>
    </w:p>
    <w:p w14:paraId="6ADA4D55" w14:textId="77777777" w:rsidR="00A5254A" w:rsidRDefault="00A5254A" w:rsidP="007A2846">
      <w:pPr>
        <w:spacing w:line="276" w:lineRule="auto"/>
        <w:rPr>
          <w:rFonts w:asciiTheme="majorHAnsi" w:hAnsiTheme="majorHAnsi"/>
        </w:rPr>
      </w:pPr>
    </w:p>
    <w:p w14:paraId="648A37FC" w14:textId="77777777" w:rsidR="00E30412" w:rsidRPr="007E2A5E" w:rsidRDefault="00E50A86" w:rsidP="007A2846">
      <w:pPr>
        <w:spacing w:line="276" w:lineRule="auto"/>
        <w:rPr>
          <w:rFonts w:asciiTheme="majorHAnsi" w:hAnsiTheme="majorHAnsi"/>
          <w:i/>
        </w:rPr>
      </w:pPr>
      <w:r w:rsidRPr="007E2A5E">
        <w:rPr>
          <w:rFonts w:asciiTheme="majorHAnsi" w:hAnsiTheme="majorHAnsi"/>
          <w:i/>
        </w:rPr>
        <w:t>2. Experimental Model</w:t>
      </w:r>
      <w:r w:rsidR="00E62798">
        <w:rPr>
          <w:rFonts w:asciiTheme="majorHAnsi" w:hAnsiTheme="majorHAnsi"/>
          <w:i/>
        </w:rPr>
        <w:t>(s)</w:t>
      </w:r>
      <w:r w:rsidRPr="007E2A5E">
        <w:rPr>
          <w:rFonts w:asciiTheme="majorHAnsi" w:hAnsiTheme="majorHAnsi"/>
          <w:i/>
        </w:rPr>
        <w:t xml:space="preserve"> of In</w:t>
      </w:r>
      <w:r w:rsidR="00E30412" w:rsidRPr="007E2A5E">
        <w:rPr>
          <w:rFonts w:asciiTheme="majorHAnsi" w:hAnsiTheme="majorHAnsi"/>
          <w:i/>
        </w:rPr>
        <w:t>fection</w:t>
      </w:r>
      <w:r w:rsidR="00194BB9" w:rsidRPr="007E2A5E">
        <w:rPr>
          <w:rFonts w:asciiTheme="majorHAnsi" w:hAnsiTheme="majorHAnsi"/>
          <w:i/>
        </w:rPr>
        <w:t xml:space="preserve"> </w:t>
      </w:r>
    </w:p>
    <w:p w14:paraId="2592B6A9" w14:textId="1975AA36" w:rsidR="00D32FEB" w:rsidRDefault="00E30412" w:rsidP="007A2846">
      <w:pPr>
        <w:spacing w:line="276" w:lineRule="auto"/>
        <w:rPr>
          <w:rFonts w:asciiTheme="majorHAnsi" w:hAnsiTheme="majorHAnsi"/>
        </w:rPr>
      </w:pPr>
      <w:r w:rsidRPr="007E2A5E">
        <w:rPr>
          <w:rFonts w:asciiTheme="majorHAnsi" w:hAnsiTheme="majorHAnsi"/>
        </w:rPr>
        <w:tab/>
        <w:t xml:space="preserve">Notwithstanding a commitment </w:t>
      </w:r>
      <w:r w:rsidR="001B4AE4" w:rsidRPr="007E2A5E">
        <w:rPr>
          <w:rFonts w:asciiTheme="majorHAnsi" w:hAnsiTheme="majorHAnsi"/>
        </w:rPr>
        <w:t xml:space="preserve">of </w:t>
      </w:r>
      <w:r w:rsidR="00E62345">
        <w:rPr>
          <w:rFonts w:asciiTheme="majorHAnsi" w:hAnsiTheme="majorHAnsi"/>
        </w:rPr>
        <w:t>all</w:t>
      </w:r>
      <w:r w:rsidR="00E62345" w:rsidRPr="007E2A5E">
        <w:rPr>
          <w:rFonts w:asciiTheme="majorHAnsi" w:hAnsiTheme="majorHAnsi"/>
        </w:rPr>
        <w:t xml:space="preserve"> </w:t>
      </w:r>
      <w:r w:rsidR="001B4AE4" w:rsidRPr="007E2A5E">
        <w:rPr>
          <w:rFonts w:asciiTheme="majorHAnsi" w:hAnsiTheme="majorHAnsi"/>
        </w:rPr>
        <w:t xml:space="preserve">researchers </w:t>
      </w:r>
      <w:r w:rsidRPr="007E2A5E">
        <w:rPr>
          <w:rFonts w:asciiTheme="majorHAnsi" w:hAnsiTheme="majorHAnsi"/>
        </w:rPr>
        <w:t xml:space="preserve">to the </w:t>
      </w:r>
      <w:r w:rsidR="00194BB9" w:rsidRPr="007E2A5E">
        <w:rPr>
          <w:rFonts w:asciiTheme="majorHAnsi" w:hAnsiTheme="majorHAnsi"/>
        </w:rPr>
        <w:t xml:space="preserve">principles of the </w:t>
      </w:r>
      <w:r w:rsidR="00C94BF6">
        <w:rPr>
          <w:rFonts w:asciiTheme="majorHAnsi" w:hAnsiTheme="majorHAnsi"/>
        </w:rPr>
        <w:t>3Rs (reduction, replacement and refinement)</w:t>
      </w:r>
      <w:r w:rsidRPr="007E2A5E">
        <w:rPr>
          <w:rFonts w:asciiTheme="majorHAnsi" w:hAnsiTheme="majorHAnsi"/>
        </w:rPr>
        <w:t xml:space="preserve"> </w:t>
      </w:r>
      <w:r w:rsidR="00E62345">
        <w:rPr>
          <w:rFonts w:asciiTheme="majorHAnsi" w:hAnsiTheme="majorHAnsi"/>
        </w:rPr>
        <w:t>in relation to</w:t>
      </w:r>
      <w:r w:rsidR="0021790F">
        <w:rPr>
          <w:rFonts w:asciiTheme="majorHAnsi" w:hAnsiTheme="majorHAnsi"/>
        </w:rPr>
        <w:t xml:space="preserve"> the use of </w:t>
      </w:r>
      <w:r w:rsidRPr="007E2A5E">
        <w:rPr>
          <w:rFonts w:asciiTheme="majorHAnsi" w:hAnsiTheme="majorHAnsi"/>
        </w:rPr>
        <w:t>l</w:t>
      </w:r>
      <w:r w:rsidR="00A5254A" w:rsidRPr="007E2A5E">
        <w:rPr>
          <w:rFonts w:asciiTheme="majorHAnsi" w:hAnsiTheme="majorHAnsi"/>
        </w:rPr>
        <w:t>ab</w:t>
      </w:r>
      <w:r w:rsidR="003426EE" w:rsidRPr="007E2A5E">
        <w:rPr>
          <w:rFonts w:asciiTheme="majorHAnsi" w:hAnsiTheme="majorHAnsi"/>
        </w:rPr>
        <w:t>o</w:t>
      </w:r>
      <w:r w:rsidR="00180095" w:rsidRPr="007E2A5E">
        <w:rPr>
          <w:rFonts w:asciiTheme="majorHAnsi" w:hAnsiTheme="majorHAnsi"/>
        </w:rPr>
        <w:t>ratory</w:t>
      </w:r>
      <w:r w:rsidR="00A5254A" w:rsidRPr="007E2A5E">
        <w:rPr>
          <w:rFonts w:asciiTheme="majorHAnsi" w:hAnsiTheme="majorHAnsi"/>
        </w:rPr>
        <w:t xml:space="preserve"> animal</w:t>
      </w:r>
      <w:r w:rsidR="0063337B">
        <w:rPr>
          <w:rFonts w:asciiTheme="majorHAnsi" w:hAnsiTheme="majorHAnsi"/>
        </w:rPr>
        <w:t>s</w:t>
      </w:r>
      <w:r w:rsidR="00A5254A" w:rsidRPr="007E2A5E">
        <w:rPr>
          <w:rFonts w:asciiTheme="majorHAnsi" w:hAnsiTheme="majorHAnsi"/>
        </w:rPr>
        <w:t xml:space="preserve"> </w:t>
      </w:r>
      <w:r w:rsidR="005C7049">
        <w:rPr>
          <w:rFonts w:asciiTheme="majorHAnsi" w:hAnsiTheme="majorHAnsi"/>
        </w:rPr>
        <w:t>in medical research</w:t>
      </w:r>
      <w:r w:rsidR="00C94BF6">
        <w:rPr>
          <w:rFonts w:asciiTheme="majorHAnsi" w:hAnsiTheme="majorHAnsi"/>
        </w:rPr>
        <w:t xml:space="preserve">, </w:t>
      </w:r>
      <w:r w:rsidR="00C94BF6" w:rsidRPr="00C94BF6">
        <w:rPr>
          <w:rFonts w:asciiTheme="majorHAnsi" w:hAnsiTheme="majorHAnsi"/>
          <w:i/>
        </w:rPr>
        <w:t>in vivo</w:t>
      </w:r>
      <w:r w:rsidR="00C94BF6">
        <w:rPr>
          <w:rFonts w:asciiTheme="majorHAnsi" w:hAnsiTheme="majorHAnsi"/>
        </w:rPr>
        <w:t xml:space="preserve"> </w:t>
      </w:r>
      <w:r w:rsidR="00A5254A" w:rsidRPr="007E2A5E">
        <w:rPr>
          <w:rFonts w:asciiTheme="majorHAnsi" w:hAnsiTheme="majorHAnsi"/>
        </w:rPr>
        <w:t xml:space="preserve">models </w:t>
      </w:r>
      <w:r w:rsidR="00611427" w:rsidRPr="007E2A5E">
        <w:rPr>
          <w:rFonts w:asciiTheme="majorHAnsi" w:hAnsiTheme="majorHAnsi"/>
        </w:rPr>
        <w:t>remain central to antifungal PK-PD.</w:t>
      </w:r>
      <w:r w:rsidR="006C7B86">
        <w:rPr>
          <w:rFonts w:asciiTheme="majorHAnsi" w:hAnsiTheme="majorHAnsi"/>
        </w:rPr>
        <w:t xml:space="preserve"> </w:t>
      </w:r>
      <w:r w:rsidR="001D0E8C" w:rsidRPr="007E2A5E">
        <w:rPr>
          <w:rFonts w:asciiTheme="majorHAnsi" w:hAnsiTheme="majorHAnsi"/>
        </w:rPr>
        <w:t xml:space="preserve">The </w:t>
      </w:r>
      <w:r w:rsidR="00D32FEB" w:rsidRPr="007E2A5E">
        <w:rPr>
          <w:rFonts w:asciiTheme="majorHAnsi" w:hAnsiTheme="majorHAnsi"/>
        </w:rPr>
        <w:t>complex</w:t>
      </w:r>
      <w:r w:rsidR="001D0E8C" w:rsidRPr="007E2A5E">
        <w:rPr>
          <w:rFonts w:asciiTheme="majorHAnsi" w:hAnsiTheme="majorHAnsi"/>
        </w:rPr>
        <w:t xml:space="preserve"> biology </w:t>
      </w:r>
      <w:r w:rsidR="00C94BF6">
        <w:rPr>
          <w:rFonts w:asciiTheme="majorHAnsi" w:hAnsiTheme="majorHAnsi"/>
        </w:rPr>
        <w:t xml:space="preserve">(e.g. dimorphism and thermal dimorphism) </w:t>
      </w:r>
      <w:r w:rsidR="001D0E8C" w:rsidRPr="007E2A5E">
        <w:rPr>
          <w:rFonts w:asciiTheme="majorHAnsi" w:hAnsiTheme="majorHAnsi"/>
        </w:rPr>
        <w:t>of invasive fungal pathogens</w:t>
      </w:r>
      <w:r w:rsidR="00E90E07">
        <w:rPr>
          <w:rFonts w:asciiTheme="majorHAnsi" w:hAnsiTheme="majorHAnsi"/>
        </w:rPr>
        <w:t>,</w:t>
      </w:r>
      <w:r w:rsidR="003454A7">
        <w:rPr>
          <w:rFonts w:asciiTheme="majorHAnsi" w:hAnsiTheme="majorHAnsi"/>
        </w:rPr>
        <w:t xml:space="preserve"> the impact of tissue </w:t>
      </w:r>
      <w:r w:rsidR="005F04C1">
        <w:rPr>
          <w:rFonts w:asciiTheme="majorHAnsi" w:hAnsiTheme="majorHAnsi"/>
        </w:rPr>
        <w:t xml:space="preserve">damage and destruction </w:t>
      </w:r>
      <w:r w:rsidR="00EE2DE6">
        <w:rPr>
          <w:rFonts w:asciiTheme="majorHAnsi" w:hAnsiTheme="majorHAnsi"/>
        </w:rPr>
        <w:t>(haemo</w:t>
      </w:r>
      <w:r w:rsidR="00A02E88">
        <w:rPr>
          <w:rFonts w:asciiTheme="majorHAnsi" w:hAnsiTheme="majorHAnsi"/>
        </w:rPr>
        <w:t xml:space="preserve">rrhagic infarction, </w:t>
      </w:r>
      <w:proofErr w:type="spellStart"/>
      <w:r w:rsidR="00A02E88">
        <w:rPr>
          <w:rFonts w:asciiTheme="majorHAnsi" w:hAnsiTheme="majorHAnsi"/>
        </w:rPr>
        <w:t>pyogranuloma</w:t>
      </w:r>
      <w:r w:rsidR="00EE2DE6">
        <w:rPr>
          <w:rFonts w:asciiTheme="majorHAnsi" w:hAnsiTheme="majorHAnsi"/>
        </w:rPr>
        <w:t>tous</w:t>
      </w:r>
      <w:proofErr w:type="spellEnd"/>
      <w:r w:rsidR="00EE2DE6">
        <w:rPr>
          <w:rFonts w:asciiTheme="majorHAnsi" w:hAnsiTheme="majorHAnsi"/>
        </w:rPr>
        <w:t xml:space="preserve"> inflammation) </w:t>
      </w:r>
      <w:r w:rsidR="005F04C1">
        <w:rPr>
          <w:rFonts w:asciiTheme="majorHAnsi" w:hAnsiTheme="majorHAnsi"/>
        </w:rPr>
        <w:t xml:space="preserve">on </w:t>
      </w:r>
      <w:r w:rsidR="00E62345">
        <w:rPr>
          <w:rFonts w:asciiTheme="majorHAnsi" w:hAnsiTheme="majorHAnsi"/>
        </w:rPr>
        <w:t xml:space="preserve">antifungal </w:t>
      </w:r>
      <w:r w:rsidR="005F04C1">
        <w:rPr>
          <w:rFonts w:asciiTheme="majorHAnsi" w:hAnsiTheme="majorHAnsi"/>
        </w:rPr>
        <w:t xml:space="preserve">exposure response relationships </w:t>
      </w:r>
      <w:r w:rsidR="00E90E07">
        <w:rPr>
          <w:rFonts w:asciiTheme="majorHAnsi" w:hAnsiTheme="majorHAnsi"/>
        </w:rPr>
        <w:t xml:space="preserve">and difficulties quantifying fungal biomass </w:t>
      </w:r>
      <w:r w:rsidR="005F04C1">
        <w:rPr>
          <w:rFonts w:asciiTheme="majorHAnsi" w:hAnsiTheme="majorHAnsi"/>
        </w:rPr>
        <w:t>are all potential</w:t>
      </w:r>
      <w:r w:rsidR="001B4AE4" w:rsidRPr="007E2A5E">
        <w:rPr>
          <w:rFonts w:asciiTheme="majorHAnsi" w:hAnsiTheme="majorHAnsi"/>
        </w:rPr>
        <w:t xml:space="preserve"> o</w:t>
      </w:r>
      <w:r w:rsidR="00D32FEB" w:rsidRPr="007E2A5E">
        <w:rPr>
          <w:rFonts w:asciiTheme="majorHAnsi" w:hAnsiTheme="majorHAnsi"/>
        </w:rPr>
        <w:t>bstacle</w:t>
      </w:r>
      <w:r w:rsidR="005F04C1">
        <w:rPr>
          <w:rFonts w:asciiTheme="majorHAnsi" w:hAnsiTheme="majorHAnsi"/>
        </w:rPr>
        <w:t>s</w:t>
      </w:r>
      <w:r w:rsidR="001B4AE4" w:rsidRPr="007E2A5E">
        <w:rPr>
          <w:rFonts w:asciiTheme="majorHAnsi" w:hAnsiTheme="majorHAnsi"/>
        </w:rPr>
        <w:t xml:space="preserve"> </w:t>
      </w:r>
      <w:r w:rsidR="00D32FEB" w:rsidRPr="007E2A5E">
        <w:rPr>
          <w:rFonts w:asciiTheme="majorHAnsi" w:hAnsiTheme="majorHAnsi"/>
        </w:rPr>
        <w:t xml:space="preserve">to the </w:t>
      </w:r>
      <w:r w:rsidR="00A67078">
        <w:rPr>
          <w:rFonts w:asciiTheme="majorHAnsi" w:hAnsiTheme="majorHAnsi"/>
        </w:rPr>
        <w:t>use</w:t>
      </w:r>
      <w:r w:rsidR="00A67078" w:rsidRPr="007E2A5E">
        <w:rPr>
          <w:rFonts w:asciiTheme="majorHAnsi" w:hAnsiTheme="majorHAnsi"/>
        </w:rPr>
        <w:t xml:space="preserve"> </w:t>
      </w:r>
      <w:r w:rsidR="00D32FEB" w:rsidRPr="007E2A5E">
        <w:rPr>
          <w:rFonts w:asciiTheme="majorHAnsi" w:hAnsiTheme="majorHAnsi"/>
        </w:rPr>
        <w:t>of hollow fibre infection models</w:t>
      </w:r>
      <w:r w:rsidR="00194BB9" w:rsidRPr="007E2A5E">
        <w:rPr>
          <w:rFonts w:asciiTheme="majorHAnsi" w:hAnsiTheme="majorHAnsi"/>
        </w:rPr>
        <w:t xml:space="preserve"> that have been central to </w:t>
      </w:r>
      <w:r w:rsidR="002201FC" w:rsidRPr="007E2A5E">
        <w:rPr>
          <w:rFonts w:asciiTheme="majorHAnsi" w:hAnsiTheme="majorHAnsi"/>
        </w:rPr>
        <w:t>PK-PD studies</w:t>
      </w:r>
      <w:r w:rsidR="00194BB9" w:rsidRPr="007E2A5E">
        <w:rPr>
          <w:rFonts w:asciiTheme="majorHAnsi" w:hAnsiTheme="majorHAnsi"/>
        </w:rPr>
        <w:t xml:space="preserve"> </w:t>
      </w:r>
      <w:r w:rsidR="001670FC" w:rsidRPr="007E2A5E">
        <w:rPr>
          <w:rFonts w:asciiTheme="majorHAnsi" w:hAnsiTheme="majorHAnsi"/>
        </w:rPr>
        <w:t xml:space="preserve">of antibacterial </w:t>
      </w:r>
      <w:r w:rsidR="002201FC" w:rsidRPr="007E2A5E">
        <w:rPr>
          <w:rFonts w:asciiTheme="majorHAnsi" w:hAnsiTheme="majorHAnsi"/>
        </w:rPr>
        <w:t xml:space="preserve">and antiviral </w:t>
      </w:r>
      <w:r w:rsidR="001670FC" w:rsidRPr="007E2A5E">
        <w:rPr>
          <w:rFonts w:asciiTheme="majorHAnsi" w:hAnsiTheme="majorHAnsi"/>
        </w:rPr>
        <w:t>agents</w:t>
      </w:r>
      <w:r w:rsidR="00D32FEB" w:rsidRPr="007E2A5E">
        <w:rPr>
          <w:rFonts w:asciiTheme="majorHAnsi" w:hAnsiTheme="majorHAnsi"/>
        </w:rPr>
        <w:t>.</w:t>
      </w:r>
      <w:r w:rsidR="006C7B86">
        <w:rPr>
          <w:rFonts w:asciiTheme="majorHAnsi" w:hAnsiTheme="majorHAnsi"/>
        </w:rPr>
        <w:t xml:space="preserve"> </w:t>
      </w:r>
      <w:r w:rsidR="00611427" w:rsidRPr="0073162B">
        <w:rPr>
          <w:rFonts w:asciiTheme="majorHAnsi" w:hAnsiTheme="majorHAnsi"/>
          <w:i/>
        </w:rPr>
        <w:t>In vitro</w:t>
      </w:r>
      <w:r w:rsidR="00611427" w:rsidRPr="007E2A5E">
        <w:rPr>
          <w:rFonts w:asciiTheme="majorHAnsi" w:hAnsiTheme="majorHAnsi"/>
        </w:rPr>
        <w:t xml:space="preserve"> static and dynamic models </w:t>
      </w:r>
      <w:r w:rsidR="00D32FEB" w:rsidRPr="008B61C3">
        <w:rPr>
          <w:rFonts w:asciiTheme="majorHAnsi" w:hAnsiTheme="majorHAnsi"/>
        </w:rPr>
        <w:t xml:space="preserve">of invasive </w:t>
      </w:r>
      <w:r w:rsidR="00467527" w:rsidRPr="006F2161">
        <w:rPr>
          <w:rFonts w:asciiTheme="majorHAnsi" w:hAnsiTheme="majorHAnsi"/>
        </w:rPr>
        <w:t>pulmonary aspergillosis</w:t>
      </w:r>
      <w:r w:rsidR="00D32FEB" w:rsidRPr="007451B8">
        <w:rPr>
          <w:rFonts w:asciiTheme="majorHAnsi" w:hAnsiTheme="majorHAnsi"/>
        </w:rPr>
        <w:t xml:space="preserve"> </w:t>
      </w:r>
      <w:r w:rsidR="00611427" w:rsidRPr="007451B8">
        <w:rPr>
          <w:rFonts w:asciiTheme="majorHAnsi" w:hAnsiTheme="majorHAnsi"/>
        </w:rPr>
        <w:t>h</w:t>
      </w:r>
      <w:r w:rsidR="00DC70D3" w:rsidRPr="00C53E72">
        <w:rPr>
          <w:rFonts w:asciiTheme="majorHAnsi" w:hAnsiTheme="majorHAnsi"/>
        </w:rPr>
        <w:t xml:space="preserve">ave been </w:t>
      </w:r>
      <w:r w:rsidR="00611427" w:rsidRPr="007E2A5E">
        <w:rPr>
          <w:rFonts w:asciiTheme="majorHAnsi" w:hAnsiTheme="majorHAnsi"/>
        </w:rPr>
        <w:t>developed,</w:t>
      </w:r>
      <w:r w:rsidR="00005548">
        <w:rPr>
          <w:rFonts w:asciiTheme="majorHAnsi" w:hAnsiTheme="majorHAnsi"/>
        </w:rPr>
        <w:fldChar w:fldCharType="begin" w:fldLock="1"/>
      </w:r>
      <w:r w:rsidR="00D1426F">
        <w:rPr>
          <w:rFonts w:asciiTheme="majorHAnsi" w:hAnsiTheme="majorHAnsi"/>
        </w:rPr>
        <w:instrText>ADDIN CSL_CITATION { "citationItems" : [ { "id" : "ITEM-1", "itemData" : { "PMID" : "17205486", "abstract" : "BACKGROUND: Little is known about the pathogenesis of invasive pulmonary aspergillosis and the relationship between the kinetics of diagnostic markers and the outcome of antifungal therapy. METHODS: An in vitro model of the human alveolus, consisting of a bilayer of human alveolar epithelial and endothelial cells, was developed. An Aspergillus fumigatus strain expressing green fluorescent protein was used. Invasion of the cell bilayer was studied using confocal and electron microscopy. The kinetics of culture, polymerase chain reaction, and galactomannan were determined. Galactomannan was used to measure the antifungal effect of macrophages and amphotericin B. A mathematical model was developed, and results were bridged to humans. RESULTS: A. fumigatus penetrated the cellular bilayer 14-16 h after inoculation. Galactomannan levels were inextricably tied to fungal invasion and were a robust measure of the antifungal effect of macrophages and amphotericin B. Neither amphotericin nor macrophages alone was able to suppress the growth of A. fumigatus; rather, the combination was required. Monte Carlo simulations showed that human dosages of amphotericin B of at least 0.6 mg/kg were required to achieve adequate drug exposure. CONCLUSIONS: This model provides a strategy by which relationships among pathogenesis, immunological effectors, and antifungal drug therapy for invasive pulmonary aspergillosis may be further understood.", "author" : [ { "dropping-particle" : "", "family" : "Hope", "given" : "W W", "non-dropping-particle" : "", "parse-names" : false, "suffix" : "" }, { "dropping-particle" : "", "family" : "Kruhlak", "given" : "M J", "non-dropping-particle" : "", "parse-names" : false, "suffix" : "" }, { "dropping-particle" : "", "family" : "Lyman", "given" : "C A", "non-dropping-particle" : "", "parse-names" : false, "suffix" : "" }, { "dropping-particle" : "", "family" : "Petraitiene", "given" : "R", "non-dropping-particle" : "", "parse-names" : false, "suffix" : "" }, { "dropping-particle" : "", "family" : "Petraitis", "given" : "V", "non-dropping-particle" : "", "parse-names" : false, "suffix" : "" }, { "dropping-particle" : "", "family" : "Francesconi", "given" : "A", "non-dropping-particle" : "", "parse-names" : false, "suffix" : "" }, { "dropping-particle" : "", "family" : "Kasai", "given" : "M", "non-dropping-particle" : "", "parse-names" : false, "suffix" : "" }, { "dropping-particle" : "", "family" : "Mickiene", "given" : "D", "non-dropping-particle" : "", "parse-names" : false, "suffix" : "" }, { "dropping-particle" : "", "family" : "Sein", "given" : "T", "non-dropping-particle" : "", "parse-names" : false, "suffix" : "" }, { "dropping-particle" : "", "family" : "Peter", "given" : "J", "non-dropping-particle" : "", "parse-names" : false, "suffix" : "" }, { "dropping-particle" : "", "family" : "Kelaher", "given" : "A M", "non-dropping-particle" : "", "parse-names" : false, "suffix" : "" }, { "dropping-particle" : "", "family" : "Hughes", "given" : "J E", "non-dropping-particle" : "", "parse-names" : false, "suffix" : "" }, { "dropping-particle" : "", "family" : "Cotton", "given" : "M P", "non-dropping-particle" : "", "parse-names" : false, "suffix" : "" }, { "dropping-particle" : "", "family" : "Cotten", "given" : "C J", "non-dropping-particle" : "", "parse-names" : false, "suffix" : "" }, { "dropping-particle" : "", "family" : "Bacher", "given" : "J", "non-dropping-particle" : "", "parse-names" : false, "suffix" : "" }, { "dropping-particle" : "", "family" : "Tripathi", "given" : "S", "non-dropping-particle" : "", "parse-names" : false, "suffix" : "" }, { "dropping-particle" : "", "family" : "Bermudez", "given" : "L", "non-dropping-particle" : "", "parse-names" : false, "suffix" : "" }, { "dropping-particle" : "", "family" : "Maugel", "given" : "T K", "non-dropping-particle" : "", "parse-names" : false, "suffix" : "" }, { "dropping-particle" : "", "family" : "Zerfas", "given" : "P M", "non-dropping-particle" : "", "parse-names" : false, "suffix" : "" }, { "dropping-particle" : "", "family" : "Wingard", "given" : "J R", "non-dropping-particle" : "", "parse-names" : false, "suffix" : "" }, { "dropping-particle" : "", "family" : "Drusano", "given" : "G L", "non-dropping-particle" : "", "parse-names" : false, "suffix" : "" }, { "dropping-particle" : "", "family" : "Walsh", "given" : "T J", "non-dropping-particle" : "", "parse-names" : false, "suffix" : "" } ], "container-title" : "J Infect Dis", "id" : "ITEM-1", "issue" : "3", "issued" : { "date-parts" : [ [ "2007" ] ] }, "note" : "0022-1899 (Print)\nJournal Article\nResearch Support, N.I.H., Extramural\nResearch Support, N.I.H., Intramural\nResearch Support, Non-U.S. Gov't", "page" : "455-466", "title" : "Pathogenesis of Aspergillus fumigatus and the kinetics of galactomannan in an in vitro model of early invasive pulmonary aspergillosis: implications for antifungal therapy", "type" : "article-journal", "volume" : "195" }, "uris" : [ "http://www.mendeley.com/documents/?uuid=07a4f8f4-e643-40ac-9560-a540cd1df927" ] }, { "id" : "ITEM-2", "itemData" : { "DOI" : "10.1093/infdis/jis372", "ISBN" : "1537-6613 (Electronic) 0022-1899 (Linking)", "PMID" : "22634880", "abstract" : "BACKGROUND: Voriconazole is a first-line agent for the treatment of invasive pulmonary aspergillosis (IPA). There are increasing reports of Aspergillus fumigatus isolates with reduced susceptibility to voriconazole. METHODS: An in vitro dynamic model of IPA was developed that enabled simulation of human-like voriconazole pharmacokinetics. Galactomannan was used as a biomarker. The pharmacodynamics of voriconazole against wild-type and 3 resistant strains of A. fumigatus were defined. The results were bridged to humans to provide decision support for setting breakpoints for voriconazole using Clinical Laboratory Standards Institute (CLSI) and European Committee of Antimicrobial Susceptibility Testing (EUCAST) methodologies. RESULTS: Isolates with higher minimum inhibitory concentrations (MICs) required higher area under the concentration time curves (AUCs) to achieve suppression of galactomannan. Using CLSI and EUCAST methodologies, the AUC:MIC values that achieved suppression of galactomannan were 55 and 32.1, respectively. Using CLSI and EUCAST methodologies, the trough concentration:MIC values that achieved suppression of galactomannan were 1.68 and 1, respectively. Potential CLSI breakpoints for voriconazole are &lt;/= 0.5 mg/L for susceptible and &gt;1 mg/L for resistant. Potential EUCAST breakpoints for voriconazole are &lt;/=1 mg/L for susceptible and &gt;2 mg/L for resistant. CONCLUSIONS: This dynamic model of IPA is a useful tool to address many remaining questions related to antifungal treatment of Aspergillus spp.", "author" : [ { "dropping-particle" : "", "family" : "Jeans", "given" : "A R", "non-dropping-particle" : "", "parse-names" : false, "suffix" : "" }, { "dropping-particle" : "", "family" : "Howard", "given" : "S J", "non-dropping-particle" : "", "parse-names" : false, "suffix" : "" }, { "dropping-particle" : "", "family" : "Al-Nakeeb", "given" : "Z", "non-dropping-particle" : "", "parse-names" : false, "suffix" : "" }, { "dropping-particle" : "", "family" : "Goodwin", "given" : "J", "non-dropping-particle" : "", "parse-names" : false, "suffix" : "" }, { "dropping-particle" : "", "family" : "Gregson", "given" : "L", "non-dropping-particle" : "", "parse-names" : false, "suffix" : "" }, { "dropping-particle" : "", "family" : "Majithiya", "given" : "J B", "non-dropping-particle" : "", "parse-names" : false, "suffix" : "" }, { "dropping-particle" : "", "family" : "Lass-Florl", "given" : "C", "non-dropping-particle" : "", "parse-names" : false, "suffix" : "" }, { "dropping-particle" : "", "family" : "Cuenca-Estrella", "given" : "M", "non-dropping-particle" : "", "parse-names" : false, "suffix" : "" }, { "dropping-particle" : "", "family" : "Arendrup", "given" : "M C", "non-dropping-particle" : "", "parse-names" : false, "suffix" : "" }, { "dropping-particle" : "", "family" : "Warn", "given" : "P A", "non-dropping-particle" : "", "parse-names" : false, "suffix" : "" }, { "dropping-particle" : "", "family" : "Hope", "given" : "W W", "non-dropping-particle" : "", "parse-names" : false, "suffix" : "" } ], "container-title" : "J Infect Dis", "id" : "ITEM-2", "issue" : "3", "issued" : { "date-parts" : [ [ "2012" ] ] }, "language" : "eng", "note" : "Jeans, Adam R\nHoward, Susan J\nAl-Nakeeb, Zaid\nGoodwin, Joanne\nGregson, Lea\nMajithiya, Jayesh B\nLass-Florl, Cornelia\nCuenca-Estrella, Manuel\nArendrup, Maiken C\nWarn, Peter A\nHope, William W\nJ Infect Dis. 2012 Aug 1;206(3):442-52. doi: 10.1093/infdis/jis372. Epub 2012 May 25.", "page" : "442-452", "title" : "Pharmacodynamics of voriconazole in a dynamic in vitro model of invasive pulmonary aspergillosis: implications for in vitro susceptibility breakpoints", "type" : "article-journal", "volume" : "206" }, "uris" : [ "http://www.mendeley.com/documents/?uuid=422260d9-d1ad-4e5e-928b-6be2e600aae7" ] } ], "mendeley" : { "formattedCitation" : "&lt;sup&gt;35,40&lt;/sup&gt;", "plainTextFormattedCitation" : "35,40", "previouslyFormattedCitation" : "&lt;sup&gt;35,40&lt;/sup&gt;" }, "properties" : { "noteIndex" : 0 }, "schema" : "https://github.com/citation-style-language/schema/raw/master/csl-citation.json" }</w:instrText>
      </w:r>
      <w:r w:rsidR="00005548">
        <w:rPr>
          <w:rFonts w:asciiTheme="majorHAnsi" w:hAnsiTheme="majorHAnsi"/>
        </w:rPr>
        <w:fldChar w:fldCharType="separate"/>
      </w:r>
      <w:r w:rsidR="00005548" w:rsidRPr="00005548">
        <w:rPr>
          <w:rFonts w:asciiTheme="majorHAnsi" w:hAnsiTheme="majorHAnsi"/>
          <w:noProof/>
          <w:vertAlign w:val="superscript"/>
        </w:rPr>
        <w:t>35,40</w:t>
      </w:r>
      <w:r w:rsidR="00005548">
        <w:rPr>
          <w:rFonts w:asciiTheme="majorHAnsi" w:hAnsiTheme="majorHAnsi"/>
        </w:rPr>
        <w:fldChar w:fldCharType="end"/>
      </w:r>
      <w:r w:rsidR="00611427" w:rsidRPr="007E2A5E">
        <w:rPr>
          <w:rFonts w:asciiTheme="majorHAnsi" w:hAnsiTheme="majorHAnsi"/>
        </w:rPr>
        <w:t xml:space="preserve"> but they represent early invasive disease rather than </w:t>
      </w:r>
      <w:r w:rsidR="00DC70D3" w:rsidRPr="007E2A5E">
        <w:rPr>
          <w:rFonts w:asciiTheme="majorHAnsi" w:hAnsiTheme="majorHAnsi"/>
        </w:rPr>
        <w:t>established disease</w:t>
      </w:r>
      <w:r w:rsidR="00B27C6E" w:rsidRPr="007E2A5E">
        <w:rPr>
          <w:rFonts w:asciiTheme="majorHAnsi" w:hAnsiTheme="majorHAnsi"/>
        </w:rPr>
        <w:t>,</w:t>
      </w:r>
      <w:r w:rsidR="00DC70D3" w:rsidRPr="007E2A5E">
        <w:rPr>
          <w:rFonts w:asciiTheme="majorHAnsi" w:hAnsiTheme="majorHAnsi"/>
        </w:rPr>
        <w:t xml:space="preserve"> which is often characterised by significant destruction of tissue</w:t>
      </w:r>
      <w:r w:rsidR="00D27A33" w:rsidRPr="007E2A5E">
        <w:rPr>
          <w:rFonts w:asciiTheme="majorHAnsi" w:hAnsiTheme="majorHAnsi"/>
        </w:rPr>
        <w:t>.</w:t>
      </w:r>
      <w:r w:rsidR="006C7B86">
        <w:rPr>
          <w:rFonts w:asciiTheme="majorHAnsi" w:hAnsiTheme="majorHAnsi"/>
        </w:rPr>
        <w:t xml:space="preserve"> </w:t>
      </w:r>
      <w:r w:rsidR="00D27A33" w:rsidRPr="007E2A5E">
        <w:rPr>
          <w:rFonts w:asciiTheme="majorHAnsi" w:hAnsiTheme="majorHAnsi"/>
        </w:rPr>
        <w:t xml:space="preserve">At the current time, </w:t>
      </w:r>
      <w:r w:rsidR="00D871B5" w:rsidRPr="007E2A5E">
        <w:rPr>
          <w:rFonts w:asciiTheme="majorHAnsi" w:hAnsiTheme="majorHAnsi"/>
        </w:rPr>
        <w:t xml:space="preserve">disease </w:t>
      </w:r>
      <w:r w:rsidR="00D27A33" w:rsidRPr="007E2A5E">
        <w:rPr>
          <w:rFonts w:asciiTheme="majorHAnsi" w:hAnsiTheme="majorHAnsi"/>
        </w:rPr>
        <w:t xml:space="preserve">models in mice and rabbits </w:t>
      </w:r>
      <w:r w:rsidR="00480190" w:rsidRPr="007E2A5E">
        <w:rPr>
          <w:rFonts w:asciiTheme="majorHAnsi" w:hAnsiTheme="majorHAnsi"/>
        </w:rPr>
        <w:t>represent</w:t>
      </w:r>
      <w:r w:rsidR="001670FC" w:rsidRPr="007E2A5E">
        <w:rPr>
          <w:rFonts w:asciiTheme="majorHAnsi" w:hAnsiTheme="majorHAnsi"/>
        </w:rPr>
        <w:t xml:space="preserve"> </w:t>
      </w:r>
      <w:r w:rsidR="003522A2" w:rsidRPr="007E2A5E">
        <w:rPr>
          <w:rFonts w:asciiTheme="majorHAnsi" w:hAnsiTheme="majorHAnsi"/>
        </w:rPr>
        <w:t xml:space="preserve">the </w:t>
      </w:r>
      <w:r w:rsidR="001670FC" w:rsidRPr="007E2A5E">
        <w:rPr>
          <w:rFonts w:asciiTheme="majorHAnsi" w:hAnsiTheme="majorHAnsi"/>
        </w:rPr>
        <w:t>state-of-the-art</w:t>
      </w:r>
      <w:r w:rsidR="00F53739" w:rsidRPr="007E2A5E">
        <w:rPr>
          <w:rFonts w:asciiTheme="majorHAnsi" w:hAnsiTheme="majorHAnsi"/>
        </w:rPr>
        <w:t xml:space="preserve"> of preclinical models of clinical invasive fungal diseases</w:t>
      </w:r>
      <w:r w:rsidR="001670FC" w:rsidRPr="007E2A5E">
        <w:rPr>
          <w:rFonts w:asciiTheme="majorHAnsi" w:hAnsiTheme="majorHAnsi"/>
        </w:rPr>
        <w:t>.</w:t>
      </w:r>
    </w:p>
    <w:p w14:paraId="08762B65" w14:textId="4D830245" w:rsidR="00564545" w:rsidRPr="007E2A5E" w:rsidRDefault="00D32FEB" w:rsidP="007A2846">
      <w:pPr>
        <w:spacing w:line="276" w:lineRule="auto"/>
        <w:rPr>
          <w:rFonts w:asciiTheme="majorHAnsi" w:hAnsiTheme="majorHAnsi"/>
        </w:rPr>
      </w:pPr>
      <w:r w:rsidRPr="007E2A5E">
        <w:rPr>
          <w:rFonts w:asciiTheme="majorHAnsi" w:hAnsiTheme="majorHAnsi"/>
        </w:rPr>
        <w:tab/>
        <w:t>The choice of</w:t>
      </w:r>
      <w:r w:rsidR="00DC70D3" w:rsidRPr="007E2A5E">
        <w:rPr>
          <w:rFonts w:asciiTheme="majorHAnsi" w:hAnsiTheme="majorHAnsi"/>
        </w:rPr>
        <w:t xml:space="preserve"> </w:t>
      </w:r>
      <w:r w:rsidR="00ED2DA5" w:rsidRPr="007E2A5E">
        <w:rPr>
          <w:rFonts w:asciiTheme="majorHAnsi" w:hAnsiTheme="majorHAnsi"/>
        </w:rPr>
        <w:t>experimental model</w:t>
      </w:r>
      <w:r w:rsidR="00DC70D3" w:rsidRPr="007E2A5E">
        <w:rPr>
          <w:rFonts w:asciiTheme="majorHAnsi" w:hAnsiTheme="majorHAnsi"/>
        </w:rPr>
        <w:t xml:space="preserve"> </w:t>
      </w:r>
      <w:r w:rsidR="001670FC" w:rsidRPr="007E2A5E">
        <w:rPr>
          <w:rFonts w:asciiTheme="majorHAnsi" w:hAnsiTheme="majorHAnsi"/>
        </w:rPr>
        <w:t xml:space="preserve">should reflect the </w:t>
      </w:r>
      <w:r w:rsidR="00A90579" w:rsidRPr="007E2A5E">
        <w:rPr>
          <w:rFonts w:asciiTheme="majorHAnsi" w:hAnsiTheme="majorHAnsi"/>
        </w:rPr>
        <w:t>disease that is being mimicked.</w:t>
      </w:r>
      <w:r w:rsidR="006C7B86">
        <w:rPr>
          <w:rFonts w:asciiTheme="majorHAnsi" w:hAnsiTheme="majorHAnsi"/>
        </w:rPr>
        <w:t xml:space="preserve"> </w:t>
      </w:r>
      <w:r w:rsidR="00FA31F9" w:rsidRPr="007E2A5E">
        <w:rPr>
          <w:rFonts w:asciiTheme="majorHAnsi" w:hAnsiTheme="majorHAnsi"/>
        </w:rPr>
        <w:t>Both the site of infection and the underlying immune status can have a significant impact on</w:t>
      </w:r>
      <w:r w:rsidR="001357AE" w:rsidRPr="007E2A5E">
        <w:rPr>
          <w:rFonts w:asciiTheme="majorHAnsi" w:hAnsiTheme="majorHAnsi"/>
        </w:rPr>
        <w:t xml:space="preserve"> </w:t>
      </w:r>
      <w:r w:rsidR="00890BE6" w:rsidRPr="007E2A5E">
        <w:rPr>
          <w:rFonts w:asciiTheme="majorHAnsi" w:hAnsiTheme="majorHAnsi"/>
        </w:rPr>
        <w:t xml:space="preserve">drug </w:t>
      </w:r>
      <w:r w:rsidR="001357AE" w:rsidRPr="007E2A5E">
        <w:rPr>
          <w:rFonts w:asciiTheme="majorHAnsi" w:hAnsiTheme="majorHAnsi"/>
        </w:rPr>
        <w:t>exposure-response relationshi</w:t>
      </w:r>
      <w:r w:rsidR="00685364" w:rsidRPr="007E2A5E">
        <w:rPr>
          <w:rFonts w:asciiTheme="majorHAnsi" w:hAnsiTheme="majorHAnsi"/>
        </w:rPr>
        <w:t>ps</w:t>
      </w:r>
      <w:r w:rsidR="00647643" w:rsidRPr="007E2A5E">
        <w:rPr>
          <w:rFonts w:asciiTheme="majorHAnsi" w:hAnsiTheme="majorHAnsi"/>
        </w:rPr>
        <w:t>, and require careful consideration</w:t>
      </w:r>
      <w:r w:rsidR="006040A4" w:rsidRPr="007E2A5E">
        <w:rPr>
          <w:rFonts w:asciiTheme="majorHAnsi" w:hAnsiTheme="majorHAnsi"/>
        </w:rPr>
        <w:t xml:space="preserve"> in study design</w:t>
      </w:r>
      <w:r w:rsidR="001357AE" w:rsidRPr="007E2A5E">
        <w:rPr>
          <w:rFonts w:asciiTheme="majorHAnsi" w:hAnsiTheme="majorHAnsi"/>
        </w:rPr>
        <w:t>.</w:t>
      </w:r>
      <w:r w:rsidR="006C7B86">
        <w:rPr>
          <w:rFonts w:asciiTheme="majorHAnsi" w:hAnsiTheme="majorHAnsi"/>
        </w:rPr>
        <w:t xml:space="preserve"> </w:t>
      </w:r>
      <w:r w:rsidR="002838C9" w:rsidRPr="007E2A5E">
        <w:rPr>
          <w:rFonts w:asciiTheme="majorHAnsi" w:hAnsiTheme="majorHAnsi"/>
        </w:rPr>
        <w:t>The lung is especially important for</w:t>
      </w:r>
      <w:r w:rsidR="00EF2A23" w:rsidRPr="007E2A5E">
        <w:rPr>
          <w:rFonts w:asciiTheme="majorHAnsi" w:hAnsiTheme="majorHAnsi"/>
        </w:rPr>
        <w:t xml:space="preserve"> </w:t>
      </w:r>
      <w:r w:rsidR="002838C9" w:rsidRPr="007E2A5E">
        <w:rPr>
          <w:rFonts w:asciiTheme="majorHAnsi" w:hAnsiTheme="majorHAnsi"/>
          <w:i/>
        </w:rPr>
        <w:t>Aspergillus</w:t>
      </w:r>
      <w:r w:rsidR="002838C9" w:rsidRPr="007E2A5E">
        <w:rPr>
          <w:rFonts w:asciiTheme="majorHAnsi" w:hAnsiTheme="majorHAnsi"/>
        </w:rPr>
        <w:t xml:space="preserve"> spp. and </w:t>
      </w:r>
      <w:r w:rsidR="00EF2A23" w:rsidRPr="007E2A5E">
        <w:rPr>
          <w:rFonts w:asciiTheme="majorHAnsi" w:hAnsiTheme="majorHAnsi"/>
        </w:rPr>
        <w:t>there have been considerable efforts to develop pulmonary models of IPA in the mouse and rabbit</w:t>
      </w:r>
      <w:r w:rsidR="00D45983" w:rsidRPr="007E2A5E">
        <w:rPr>
          <w:rFonts w:asciiTheme="majorHAnsi" w:hAnsiTheme="majorHAnsi"/>
        </w:rPr>
        <w:t xml:space="preserve"> that serve as surrogates for human disease</w:t>
      </w:r>
      <w:r w:rsidR="00EF2A23" w:rsidRPr="007E2A5E">
        <w:rPr>
          <w:rFonts w:asciiTheme="majorHAnsi" w:hAnsiTheme="majorHAnsi"/>
        </w:rPr>
        <w:t>.</w:t>
      </w:r>
      <w:r w:rsidR="006C7B86">
        <w:rPr>
          <w:rFonts w:asciiTheme="majorHAnsi" w:hAnsiTheme="majorHAnsi"/>
        </w:rPr>
        <w:t xml:space="preserve"> </w:t>
      </w:r>
      <w:r w:rsidR="00EF2A23" w:rsidRPr="007E2A5E">
        <w:rPr>
          <w:rFonts w:asciiTheme="majorHAnsi" w:hAnsiTheme="majorHAnsi"/>
        </w:rPr>
        <w:t>T</w:t>
      </w:r>
      <w:r w:rsidR="004F0180" w:rsidRPr="007E2A5E">
        <w:rPr>
          <w:rFonts w:asciiTheme="majorHAnsi" w:hAnsiTheme="majorHAnsi"/>
        </w:rPr>
        <w:t xml:space="preserve">he CNS is primarily important for </w:t>
      </w:r>
      <w:r w:rsidR="003F7189">
        <w:rPr>
          <w:rFonts w:asciiTheme="majorHAnsi" w:hAnsiTheme="majorHAnsi"/>
          <w:i/>
        </w:rPr>
        <w:t>C.</w:t>
      </w:r>
      <w:r w:rsidR="003F7189" w:rsidRPr="007E2A5E">
        <w:rPr>
          <w:rFonts w:asciiTheme="majorHAnsi" w:hAnsiTheme="majorHAnsi"/>
          <w:i/>
        </w:rPr>
        <w:t xml:space="preserve"> </w:t>
      </w:r>
      <w:r w:rsidR="004F0180" w:rsidRPr="007E2A5E">
        <w:rPr>
          <w:rFonts w:asciiTheme="majorHAnsi" w:hAnsiTheme="majorHAnsi"/>
          <w:i/>
        </w:rPr>
        <w:t>neoformans</w:t>
      </w:r>
      <w:r w:rsidR="00647643" w:rsidRPr="007E2A5E">
        <w:rPr>
          <w:rFonts w:asciiTheme="majorHAnsi" w:hAnsiTheme="majorHAnsi"/>
        </w:rPr>
        <w:t xml:space="preserve"> with well-</w:t>
      </w:r>
      <w:r w:rsidR="00A66CCE" w:rsidRPr="007E2A5E">
        <w:rPr>
          <w:rFonts w:asciiTheme="majorHAnsi" w:hAnsiTheme="majorHAnsi"/>
        </w:rPr>
        <w:t>established models in the mouse and rabbit.</w:t>
      </w:r>
      <w:r w:rsidR="006C7B86">
        <w:rPr>
          <w:rFonts w:asciiTheme="majorHAnsi" w:hAnsiTheme="majorHAnsi"/>
        </w:rPr>
        <w:t xml:space="preserve"> </w:t>
      </w:r>
      <w:r w:rsidR="00A66CCE" w:rsidRPr="007E2A5E">
        <w:rPr>
          <w:rFonts w:asciiTheme="majorHAnsi" w:hAnsiTheme="majorHAnsi"/>
        </w:rPr>
        <w:t>Finally, disseminated blood-borne models of invasive candidiasis are well established and validated</w:t>
      </w:r>
      <w:r w:rsidR="00D45983" w:rsidRPr="007E2A5E">
        <w:rPr>
          <w:rFonts w:asciiTheme="majorHAnsi" w:hAnsiTheme="majorHAnsi"/>
        </w:rPr>
        <w:t xml:space="preserve">, with infectious burden in the kidney </w:t>
      </w:r>
      <w:r w:rsidR="00E92C39" w:rsidRPr="007E2A5E">
        <w:rPr>
          <w:rFonts w:asciiTheme="majorHAnsi" w:hAnsiTheme="majorHAnsi"/>
        </w:rPr>
        <w:t xml:space="preserve">as </w:t>
      </w:r>
      <w:r w:rsidR="00D45983" w:rsidRPr="007E2A5E">
        <w:rPr>
          <w:rFonts w:asciiTheme="majorHAnsi" w:hAnsiTheme="majorHAnsi"/>
        </w:rPr>
        <w:t>the primary model readout</w:t>
      </w:r>
      <w:r w:rsidR="00700434" w:rsidRPr="007E2A5E">
        <w:rPr>
          <w:rFonts w:asciiTheme="majorHAnsi" w:hAnsiTheme="majorHAnsi"/>
        </w:rPr>
        <w:t>.</w:t>
      </w:r>
      <w:r w:rsidR="006C7B86">
        <w:rPr>
          <w:rFonts w:asciiTheme="majorHAnsi" w:hAnsiTheme="majorHAnsi"/>
        </w:rPr>
        <w:t xml:space="preserve"> </w:t>
      </w:r>
    </w:p>
    <w:p w14:paraId="386B656F" w14:textId="77777777" w:rsidR="00564545" w:rsidRPr="007E2A5E" w:rsidRDefault="00564545" w:rsidP="007A2846">
      <w:pPr>
        <w:spacing w:line="276" w:lineRule="auto"/>
        <w:rPr>
          <w:rFonts w:asciiTheme="majorHAnsi" w:hAnsiTheme="majorHAnsi"/>
        </w:rPr>
      </w:pPr>
    </w:p>
    <w:p w14:paraId="0B1F1F74" w14:textId="77777777" w:rsidR="00564545" w:rsidRPr="007E2A5E" w:rsidRDefault="00D27A33" w:rsidP="007A2846">
      <w:pPr>
        <w:spacing w:line="276" w:lineRule="auto"/>
        <w:rPr>
          <w:rFonts w:asciiTheme="majorHAnsi" w:hAnsiTheme="majorHAnsi"/>
          <w:i/>
        </w:rPr>
      </w:pPr>
      <w:r w:rsidRPr="007E2A5E">
        <w:rPr>
          <w:rFonts w:asciiTheme="majorHAnsi" w:hAnsiTheme="majorHAnsi"/>
          <w:i/>
        </w:rPr>
        <w:t xml:space="preserve">3. Establishing </w:t>
      </w:r>
      <w:r w:rsidR="00C90228" w:rsidRPr="007E2A5E">
        <w:rPr>
          <w:rFonts w:asciiTheme="majorHAnsi" w:hAnsiTheme="majorHAnsi"/>
          <w:i/>
        </w:rPr>
        <w:t>exposure</w:t>
      </w:r>
      <w:r w:rsidRPr="007E2A5E">
        <w:rPr>
          <w:rFonts w:asciiTheme="majorHAnsi" w:hAnsiTheme="majorHAnsi"/>
          <w:i/>
        </w:rPr>
        <w:t>-</w:t>
      </w:r>
      <w:r w:rsidR="00C90228" w:rsidRPr="007E2A5E">
        <w:rPr>
          <w:rFonts w:asciiTheme="majorHAnsi" w:hAnsiTheme="majorHAnsi"/>
          <w:i/>
        </w:rPr>
        <w:t>r</w:t>
      </w:r>
      <w:r w:rsidRPr="007E2A5E">
        <w:rPr>
          <w:rFonts w:asciiTheme="majorHAnsi" w:hAnsiTheme="majorHAnsi"/>
          <w:i/>
        </w:rPr>
        <w:t>esponse relationships.</w:t>
      </w:r>
    </w:p>
    <w:p w14:paraId="44066D99" w14:textId="77DE8342" w:rsidR="00A5254A" w:rsidRPr="007E2A5E" w:rsidRDefault="00D27A33" w:rsidP="007A2846">
      <w:pPr>
        <w:spacing w:line="276" w:lineRule="auto"/>
        <w:rPr>
          <w:rFonts w:asciiTheme="majorHAnsi" w:hAnsiTheme="majorHAnsi"/>
        </w:rPr>
      </w:pPr>
      <w:r w:rsidRPr="007E2A5E">
        <w:rPr>
          <w:rFonts w:asciiTheme="majorHAnsi" w:hAnsiTheme="majorHAnsi"/>
        </w:rPr>
        <w:tab/>
      </w:r>
      <w:r w:rsidR="00AE1FD9">
        <w:rPr>
          <w:rFonts w:asciiTheme="majorHAnsi" w:hAnsiTheme="majorHAnsi"/>
        </w:rPr>
        <w:t>Establishing exposure response relationships</w:t>
      </w:r>
      <w:r w:rsidR="00AE1FD9" w:rsidRPr="007E2A5E">
        <w:rPr>
          <w:rFonts w:asciiTheme="majorHAnsi" w:hAnsiTheme="majorHAnsi"/>
        </w:rPr>
        <w:t xml:space="preserve"> </w:t>
      </w:r>
      <w:r w:rsidR="00D709ED" w:rsidRPr="007E2A5E">
        <w:rPr>
          <w:rFonts w:asciiTheme="majorHAnsi" w:hAnsiTheme="majorHAnsi"/>
        </w:rPr>
        <w:t>is a first c</w:t>
      </w:r>
      <w:r w:rsidR="00795983" w:rsidRPr="007E2A5E">
        <w:rPr>
          <w:rFonts w:asciiTheme="majorHAnsi" w:hAnsiTheme="majorHAnsi"/>
        </w:rPr>
        <w:t xml:space="preserve">ritical step </w:t>
      </w:r>
      <w:r w:rsidR="006E67AD" w:rsidRPr="007E2A5E">
        <w:rPr>
          <w:rFonts w:asciiTheme="majorHAnsi" w:hAnsiTheme="majorHAnsi"/>
        </w:rPr>
        <w:t>in any PK-PD study</w:t>
      </w:r>
      <w:r w:rsidR="00CA08FB">
        <w:rPr>
          <w:rFonts w:asciiTheme="majorHAnsi" w:hAnsiTheme="majorHAnsi"/>
        </w:rPr>
        <w:t>,</w:t>
      </w:r>
      <w:r w:rsidR="006E67AD" w:rsidRPr="007E2A5E">
        <w:rPr>
          <w:rFonts w:asciiTheme="majorHAnsi" w:hAnsiTheme="majorHAnsi"/>
        </w:rPr>
        <w:t xml:space="preserve"> </w:t>
      </w:r>
      <w:r w:rsidR="00795983" w:rsidRPr="007E2A5E">
        <w:rPr>
          <w:rFonts w:asciiTheme="majorHAnsi" w:hAnsiTheme="majorHAnsi"/>
        </w:rPr>
        <w:t xml:space="preserve">and </w:t>
      </w:r>
      <w:r w:rsidR="00D709ED" w:rsidRPr="007E2A5E">
        <w:rPr>
          <w:rFonts w:asciiTheme="majorHAnsi" w:hAnsiTheme="majorHAnsi"/>
        </w:rPr>
        <w:t xml:space="preserve">if successful </w:t>
      </w:r>
      <w:r w:rsidR="00795983" w:rsidRPr="007E2A5E">
        <w:rPr>
          <w:rFonts w:asciiTheme="majorHAnsi" w:hAnsiTheme="majorHAnsi"/>
        </w:rPr>
        <w:t xml:space="preserve">demonstrates </w:t>
      </w:r>
      <w:r w:rsidR="00D7552B" w:rsidRPr="007E2A5E">
        <w:rPr>
          <w:rFonts w:asciiTheme="majorHAnsi" w:hAnsiTheme="majorHAnsi"/>
        </w:rPr>
        <w:t xml:space="preserve">the deployment of a </w:t>
      </w:r>
      <w:r w:rsidR="00795983" w:rsidRPr="007E2A5E">
        <w:rPr>
          <w:rFonts w:asciiTheme="majorHAnsi" w:hAnsiTheme="majorHAnsi"/>
        </w:rPr>
        <w:t>c</w:t>
      </w:r>
      <w:r w:rsidR="006D512B" w:rsidRPr="007E2A5E">
        <w:rPr>
          <w:rFonts w:asciiTheme="majorHAnsi" w:hAnsiTheme="majorHAnsi"/>
        </w:rPr>
        <w:t>onsiderable amount of knowledg</w:t>
      </w:r>
      <w:r w:rsidR="00B911A2" w:rsidRPr="007E2A5E">
        <w:rPr>
          <w:rFonts w:asciiTheme="majorHAnsi" w:hAnsiTheme="majorHAnsi"/>
        </w:rPr>
        <w:t>e.</w:t>
      </w:r>
      <w:r w:rsidR="006C7B86">
        <w:rPr>
          <w:rFonts w:asciiTheme="majorHAnsi" w:hAnsiTheme="majorHAnsi"/>
        </w:rPr>
        <w:t xml:space="preserve"> </w:t>
      </w:r>
      <w:r w:rsidR="00B911A2" w:rsidRPr="007E2A5E">
        <w:rPr>
          <w:rFonts w:asciiTheme="majorHAnsi" w:hAnsiTheme="majorHAnsi"/>
        </w:rPr>
        <w:t>The q</w:t>
      </w:r>
      <w:r w:rsidR="006D512B" w:rsidRPr="007E2A5E">
        <w:rPr>
          <w:rFonts w:asciiTheme="majorHAnsi" w:hAnsiTheme="majorHAnsi"/>
        </w:rPr>
        <w:t xml:space="preserve">uestions that are important at this very early stage include: (1) </w:t>
      </w:r>
      <w:r w:rsidR="00F93762" w:rsidRPr="007E2A5E">
        <w:rPr>
          <w:rFonts w:asciiTheme="majorHAnsi" w:hAnsiTheme="majorHAnsi"/>
        </w:rPr>
        <w:t xml:space="preserve">whether the compound </w:t>
      </w:r>
      <w:r w:rsidR="00B911A2" w:rsidRPr="007E2A5E">
        <w:rPr>
          <w:rFonts w:asciiTheme="majorHAnsi" w:hAnsiTheme="majorHAnsi"/>
        </w:rPr>
        <w:t xml:space="preserve">has any effect on </w:t>
      </w:r>
      <w:r w:rsidR="0063337B">
        <w:rPr>
          <w:rFonts w:asciiTheme="majorHAnsi" w:hAnsiTheme="majorHAnsi"/>
        </w:rPr>
        <w:t xml:space="preserve">a </w:t>
      </w:r>
      <w:r w:rsidR="00B911A2" w:rsidRPr="007E2A5E">
        <w:rPr>
          <w:rFonts w:asciiTheme="majorHAnsi" w:hAnsiTheme="majorHAnsi"/>
        </w:rPr>
        <w:t>chosen</w:t>
      </w:r>
      <w:r w:rsidR="00F81AC5" w:rsidRPr="007E2A5E">
        <w:rPr>
          <w:rFonts w:asciiTheme="majorHAnsi" w:hAnsiTheme="majorHAnsi"/>
        </w:rPr>
        <w:t xml:space="preserve"> </w:t>
      </w:r>
      <w:r w:rsidR="000332A2" w:rsidRPr="007E2A5E">
        <w:rPr>
          <w:rFonts w:asciiTheme="majorHAnsi" w:hAnsiTheme="majorHAnsi"/>
        </w:rPr>
        <w:t xml:space="preserve">panel of </w:t>
      </w:r>
      <w:r w:rsidR="00F81AC5" w:rsidRPr="007E2A5E">
        <w:rPr>
          <w:rFonts w:asciiTheme="majorHAnsi" w:hAnsiTheme="majorHAnsi"/>
        </w:rPr>
        <w:t xml:space="preserve">biomarkers </w:t>
      </w:r>
      <w:r w:rsidR="00B911A2" w:rsidRPr="007E2A5E">
        <w:rPr>
          <w:rFonts w:asciiTheme="majorHAnsi" w:hAnsiTheme="majorHAnsi"/>
        </w:rPr>
        <w:t>that are likely to be biologically and clinically relevant</w:t>
      </w:r>
      <w:r w:rsidR="000332A2" w:rsidRPr="007E2A5E">
        <w:rPr>
          <w:rFonts w:asciiTheme="majorHAnsi" w:hAnsiTheme="majorHAnsi"/>
        </w:rPr>
        <w:t xml:space="preserve">, and </w:t>
      </w:r>
      <w:r w:rsidR="00723F01" w:rsidRPr="007E2A5E">
        <w:rPr>
          <w:rFonts w:asciiTheme="majorHAnsi" w:hAnsiTheme="majorHAnsi"/>
        </w:rPr>
        <w:t>if</w:t>
      </w:r>
      <w:r w:rsidR="000332A2" w:rsidRPr="007E2A5E">
        <w:rPr>
          <w:rFonts w:asciiTheme="majorHAnsi" w:hAnsiTheme="majorHAnsi"/>
        </w:rPr>
        <w:t xml:space="preserve"> there </w:t>
      </w:r>
      <w:r w:rsidR="00723F01" w:rsidRPr="007E2A5E">
        <w:rPr>
          <w:rFonts w:asciiTheme="majorHAnsi" w:hAnsiTheme="majorHAnsi"/>
        </w:rPr>
        <w:t xml:space="preserve">is </w:t>
      </w:r>
      <w:r w:rsidR="000332A2" w:rsidRPr="007E2A5E">
        <w:rPr>
          <w:rFonts w:asciiTheme="majorHAnsi" w:hAnsiTheme="majorHAnsi"/>
        </w:rPr>
        <w:t>any discrepancy in the behaviour of th</w:t>
      </w:r>
      <w:r w:rsidR="006E67AD" w:rsidRPr="007E2A5E">
        <w:rPr>
          <w:rFonts w:asciiTheme="majorHAnsi" w:hAnsiTheme="majorHAnsi"/>
        </w:rPr>
        <w:t>e</w:t>
      </w:r>
      <w:r w:rsidR="000332A2" w:rsidRPr="007E2A5E">
        <w:rPr>
          <w:rFonts w:asciiTheme="majorHAnsi" w:hAnsiTheme="majorHAnsi"/>
        </w:rPr>
        <w:t>se biomarkers</w:t>
      </w:r>
      <w:r w:rsidR="00F93762" w:rsidRPr="007E2A5E">
        <w:rPr>
          <w:rFonts w:asciiTheme="majorHAnsi" w:hAnsiTheme="majorHAnsi"/>
        </w:rPr>
        <w:t xml:space="preserve">; (2) relative potency compared with </w:t>
      </w:r>
      <w:r w:rsidR="00B911A2" w:rsidRPr="007E2A5E">
        <w:rPr>
          <w:rFonts w:asciiTheme="majorHAnsi" w:hAnsiTheme="majorHAnsi"/>
        </w:rPr>
        <w:t xml:space="preserve">current </w:t>
      </w:r>
      <w:r w:rsidR="00F93762" w:rsidRPr="007E2A5E">
        <w:rPr>
          <w:rFonts w:asciiTheme="majorHAnsi" w:hAnsiTheme="majorHAnsi"/>
        </w:rPr>
        <w:t>standard</w:t>
      </w:r>
      <w:r w:rsidR="00B3077D" w:rsidRPr="007E2A5E">
        <w:rPr>
          <w:rFonts w:asciiTheme="majorHAnsi" w:hAnsiTheme="majorHAnsi"/>
        </w:rPr>
        <w:t xml:space="preserve"> agents/ positive controls</w:t>
      </w:r>
      <w:r w:rsidR="00F93762" w:rsidRPr="007E2A5E">
        <w:rPr>
          <w:rFonts w:asciiTheme="majorHAnsi" w:hAnsiTheme="majorHAnsi"/>
        </w:rPr>
        <w:t xml:space="preserve">; (3) </w:t>
      </w:r>
      <w:r w:rsidR="00BC5279" w:rsidRPr="007E2A5E">
        <w:rPr>
          <w:rFonts w:asciiTheme="majorHAnsi" w:hAnsiTheme="majorHAnsi"/>
        </w:rPr>
        <w:t xml:space="preserve">the nature of the exposure-response relationship (e.g. is it steep, has </w:t>
      </w:r>
      <w:r w:rsidR="000332A2" w:rsidRPr="007E2A5E">
        <w:rPr>
          <w:rFonts w:asciiTheme="majorHAnsi" w:hAnsiTheme="majorHAnsi"/>
        </w:rPr>
        <w:t>the entire dose-response relationship been delineated</w:t>
      </w:r>
      <w:r w:rsidR="00F81AC5" w:rsidRPr="007E2A5E">
        <w:rPr>
          <w:rFonts w:asciiTheme="majorHAnsi" w:hAnsiTheme="majorHAnsi"/>
        </w:rPr>
        <w:t>, is there a biologically (and clinically) relevant decline in the biomarker?</w:t>
      </w:r>
      <w:r w:rsidR="00BC5279" w:rsidRPr="007E2A5E">
        <w:rPr>
          <w:rFonts w:asciiTheme="majorHAnsi" w:hAnsiTheme="majorHAnsi"/>
        </w:rPr>
        <w:t>)</w:t>
      </w:r>
      <w:r w:rsidR="000332A2" w:rsidRPr="007E2A5E">
        <w:rPr>
          <w:rFonts w:asciiTheme="majorHAnsi" w:hAnsiTheme="majorHAnsi"/>
        </w:rPr>
        <w:t>; and (4)</w:t>
      </w:r>
      <w:r w:rsidR="00C82D18" w:rsidRPr="007E2A5E">
        <w:rPr>
          <w:rFonts w:asciiTheme="majorHAnsi" w:hAnsiTheme="majorHAnsi"/>
        </w:rPr>
        <w:t xml:space="preserve"> </w:t>
      </w:r>
      <w:r w:rsidR="00647643" w:rsidRPr="007E2A5E">
        <w:rPr>
          <w:rFonts w:asciiTheme="majorHAnsi" w:hAnsiTheme="majorHAnsi"/>
        </w:rPr>
        <w:t>whether</w:t>
      </w:r>
      <w:r w:rsidR="000332A2" w:rsidRPr="007E2A5E">
        <w:rPr>
          <w:rFonts w:asciiTheme="majorHAnsi" w:hAnsiTheme="majorHAnsi"/>
        </w:rPr>
        <w:t xml:space="preserve"> the compound </w:t>
      </w:r>
      <w:r w:rsidR="00647643" w:rsidRPr="007E2A5E">
        <w:rPr>
          <w:rFonts w:asciiTheme="majorHAnsi" w:hAnsiTheme="majorHAnsi"/>
        </w:rPr>
        <w:t xml:space="preserve">is </w:t>
      </w:r>
      <w:r w:rsidR="000332A2" w:rsidRPr="007E2A5E">
        <w:rPr>
          <w:rFonts w:asciiTheme="majorHAnsi" w:hAnsiTheme="majorHAnsi"/>
        </w:rPr>
        <w:t>well tolerated</w:t>
      </w:r>
      <w:r w:rsidR="00C82D18" w:rsidRPr="007E2A5E">
        <w:rPr>
          <w:rFonts w:asciiTheme="majorHAnsi" w:hAnsiTheme="majorHAnsi"/>
        </w:rPr>
        <w:t>.</w:t>
      </w:r>
    </w:p>
    <w:p w14:paraId="45A752DC" w14:textId="77777777" w:rsidR="00A5254A" w:rsidRPr="007E2A5E" w:rsidRDefault="00A5254A" w:rsidP="007A2846">
      <w:pPr>
        <w:spacing w:line="276" w:lineRule="auto"/>
        <w:rPr>
          <w:rFonts w:asciiTheme="majorHAnsi" w:hAnsiTheme="majorHAnsi"/>
        </w:rPr>
      </w:pPr>
    </w:p>
    <w:p w14:paraId="3F229851" w14:textId="77777777" w:rsidR="00647643" w:rsidRPr="007E2A5E" w:rsidRDefault="00647643" w:rsidP="007A2846">
      <w:pPr>
        <w:spacing w:line="276" w:lineRule="auto"/>
        <w:rPr>
          <w:rFonts w:asciiTheme="majorHAnsi" w:hAnsiTheme="majorHAnsi"/>
          <w:i/>
        </w:rPr>
      </w:pPr>
      <w:r w:rsidRPr="007E2A5E">
        <w:rPr>
          <w:rFonts w:asciiTheme="majorHAnsi" w:hAnsiTheme="majorHAnsi"/>
          <w:i/>
        </w:rPr>
        <w:t>4. Define the pharmacodynamic parameter (or index) that best links drug exposure to the observed antifungal effect.</w:t>
      </w:r>
    </w:p>
    <w:p w14:paraId="2D3A1F76" w14:textId="5A84FF38" w:rsidR="00E3125C" w:rsidRPr="007E2A5E" w:rsidRDefault="00647643" w:rsidP="007A2846">
      <w:pPr>
        <w:spacing w:line="276" w:lineRule="auto"/>
        <w:rPr>
          <w:rFonts w:asciiTheme="majorHAnsi" w:hAnsiTheme="majorHAnsi"/>
        </w:rPr>
      </w:pPr>
      <w:r w:rsidRPr="007E2A5E">
        <w:rPr>
          <w:rFonts w:asciiTheme="majorHAnsi" w:hAnsiTheme="majorHAnsi"/>
        </w:rPr>
        <w:tab/>
      </w:r>
      <w:r w:rsidR="00216A07" w:rsidRPr="007E2A5E">
        <w:rPr>
          <w:rFonts w:asciiTheme="majorHAnsi" w:hAnsiTheme="majorHAnsi"/>
        </w:rPr>
        <w:t>The effect of a</w:t>
      </w:r>
      <w:r w:rsidRPr="007E2A5E">
        <w:rPr>
          <w:rFonts w:asciiTheme="majorHAnsi" w:hAnsiTheme="majorHAnsi"/>
        </w:rPr>
        <w:t xml:space="preserve">ntimicrobial </w:t>
      </w:r>
      <w:r w:rsidR="00216A07" w:rsidRPr="007E2A5E">
        <w:rPr>
          <w:rFonts w:asciiTheme="majorHAnsi" w:hAnsiTheme="majorHAnsi"/>
        </w:rPr>
        <w:t>agents</w:t>
      </w:r>
      <w:r w:rsidR="00990941" w:rsidRPr="007E2A5E">
        <w:rPr>
          <w:rFonts w:asciiTheme="majorHAnsi" w:hAnsiTheme="majorHAnsi"/>
        </w:rPr>
        <w:t xml:space="preserve"> </w:t>
      </w:r>
      <w:r w:rsidRPr="007E2A5E">
        <w:rPr>
          <w:rFonts w:asciiTheme="majorHAnsi" w:hAnsiTheme="majorHAnsi"/>
        </w:rPr>
        <w:t>can be</w:t>
      </w:r>
      <w:r w:rsidR="00990941" w:rsidRPr="007E2A5E">
        <w:rPr>
          <w:rFonts w:asciiTheme="majorHAnsi" w:hAnsiTheme="majorHAnsi"/>
        </w:rPr>
        <w:t xml:space="preserve"> classified </w:t>
      </w:r>
      <w:r w:rsidR="00216A07" w:rsidRPr="007E2A5E">
        <w:rPr>
          <w:rFonts w:asciiTheme="majorHAnsi" w:hAnsiTheme="majorHAnsi"/>
        </w:rPr>
        <w:t xml:space="preserve">using in terms of the three </w:t>
      </w:r>
      <w:r w:rsidR="00494E6A" w:rsidRPr="007E2A5E">
        <w:rPr>
          <w:rFonts w:asciiTheme="majorHAnsi" w:hAnsiTheme="majorHAnsi"/>
        </w:rPr>
        <w:t xml:space="preserve">classical </w:t>
      </w:r>
      <w:r w:rsidR="00216A07" w:rsidRPr="007E2A5E">
        <w:rPr>
          <w:rFonts w:asciiTheme="majorHAnsi" w:hAnsiTheme="majorHAnsi"/>
        </w:rPr>
        <w:t>pharmacodynamic indices (or parameters):</w:t>
      </w:r>
      <w:r w:rsidR="00990941" w:rsidRPr="007E2A5E">
        <w:rPr>
          <w:rFonts w:asciiTheme="majorHAnsi" w:hAnsiTheme="majorHAnsi"/>
        </w:rPr>
        <w:t xml:space="preserve"> AUC</w:t>
      </w:r>
      <w:proofErr w:type="gramStart"/>
      <w:r w:rsidR="00990941" w:rsidRPr="007E2A5E">
        <w:rPr>
          <w:rFonts w:asciiTheme="majorHAnsi" w:hAnsiTheme="majorHAnsi"/>
        </w:rPr>
        <w:t>:MIC</w:t>
      </w:r>
      <w:proofErr w:type="gramEnd"/>
      <w:r w:rsidR="00990941" w:rsidRPr="007E2A5E">
        <w:rPr>
          <w:rFonts w:asciiTheme="majorHAnsi" w:hAnsiTheme="majorHAnsi"/>
        </w:rPr>
        <w:t xml:space="preserve">, </w:t>
      </w:r>
      <w:proofErr w:type="spellStart"/>
      <w:r w:rsidR="00330D98">
        <w:rPr>
          <w:rFonts w:asciiTheme="majorHAnsi" w:hAnsiTheme="majorHAnsi"/>
        </w:rPr>
        <w:t>P</w:t>
      </w:r>
      <w:r w:rsidR="00330D98" w:rsidRPr="007E2A5E">
        <w:rPr>
          <w:rFonts w:asciiTheme="majorHAnsi" w:hAnsiTheme="majorHAnsi"/>
        </w:rPr>
        <w:t>eak</w:t>
      </w:r>
      <w:r w:rsidR="00990941" w:rsidRPr="007E2A5E">
        <w:rPr>
          <w:rFonts w:asciiTheme="majorHAnsi" w:hAnsiTheme="majorHAnsi"/>
        </w:rPr>
        <w:t>:MIC</w:t>
      </w:r>
      <w:proofErr w:type="spellEnd"/>
      <w:r w:rsidR="00990941" w:rsidRPr="007E2A5E">
        <w:rPr>
          <w:rFonts w:asciiTheme="majorHAnsi" w:hAnsiTheme="majorHAnsi"/>
        </w:rPr>
        <w:t xml:space="preserve"> and </w:t>
      </w:r>
      <w:r w:rsidR="00332346" w:rsidRPr="007E2A5E">
        <w:rPr>
          <w:rFonts w:asciiTheme="majorHAnsi" w:hAnsiTheme="majorHAnsi"/>
        </w:rPr>
        <w:t>T&gt;MIC.</w:t>
      </w:r>
      <w:r w:rsidR="006C7B86">
        <w:rPr>
          <w:rFonts w:asciiTheme="majorHAnsi" w:hAnsiTheme="majorHAnsi"/>
        </w:rPr>
        <w:t xml:space="preserve"> </w:t>
      </w:r>
      <w:r w:rsidR="00FF2406" w:rsidRPr="007E2A5E">
        <w:rPr>
          <w:rFonts w:asciiTheme="majorHAnsi" w:hAnsiTheme="majorHAnsi"/>
        </w:rPr>
        <w:t xml:space="preserve">Each of these standard measures </w:t>
      </w:r>
      <w:r w:rsidR="00FC23A9" w:rsidRPr="007E2A5E">
        <w:rPr>
          <w:rFonts w:asciiTheme="majorHAnsi" w:hAnsiTheme="majorHAnsi"/>
        </w:rPr>
        <w:t xml:space="preserve">of drug exposure </w:t>
      </w:r>
      <w:r w:rsidR="00FF2406" w:rsidRPr="007E2A5E">
        <w:rPr>
          <w:rFonts w:asciiTheme="majorHAnsi" w:hAnsiTheme="majorHAnsi"/>
        </w:rPr>
        <w:t xml:space="preserve">is an attempt to capture system information that is </w:t>
      </w:r>
      <w:r w:rsidR="00494E6A" w:rsidRPr="007E2A5E">
        <w:rPr>
          <w:rFonts w:asciiTheme="majorHAnsi" w:hAnsiTheme="majorHAnsi"/>
        </w:rPr>
        <w:t>locked</w:t>
      </w:r>
      <w:r w:rsidR="00FF2406" w:rsidRPr="007E2A5E">
        <w:rPr>
          <w:rFonts w:asciiTheme="majorHAnsi" w:hAnsiTheme="majorHAnsi"/>
        </w:rPr>
        <w:t xml:space="preserve"> within the shape of the concentration-time curve.</w:t>
      </w:r>
      <w:r w:rsidR="006C7B86">
        <w:rPr>
          <w:rFonts w:asciiTheme="majorHAnsi" w:hAnsiTheme="majorHAnsi"/>
        </w:rPr>
        <w:t xml:space="preserve"> </w:t>
      </w:r>
      <w:r w:rsidR="00E62798">
        <w:rPr>
          <w:rFonts w:asciiTheme="majorHAnsi" w:hAnsiTheme="majorHAnsi"/>
        </w:rPr>
        <w:t>Analys</w:t>
      </w:r>
      <w:r w:rsidR="000C2F01">
        <w:rPr>
          <w:rFonts w:asciiTheme="majorHAnsi" w:hAnsiTheme="majorHAnsi"/>
        </w:rPr>
        <w:t>e</w:t>
      </w:r>
      <w:r w:rsidR="00E62798">
        <w:rPr>
          <w:rFonts w:asciiTheme="majorHAnsi" w:hAnsiTheme="majorHAnsi"/>
        </w:rPr>
        <w:t>s using f</w:t>
      </w:r>
      <w:r w:rsidR="00332346" w:rsidRPr="007E2A5E">
        <w:rPr>
          <w:rFonts w:asciiTheme="majorHAnsi" w:hAnsiTheme="majorHAnsi"/>
        </w:rPr>
        <w:t xml:space="preserve">ree drug concentration </w:t>
      </w:r>
      <w:r w:rsidR="00E62798">
        <w:rPr>
          <w:rFonts w:asciiTheme="majorHAnsi" w:hAnsiTheme="majorHAnsi"/>
        </w:rPr>
        <w:t xml:space="preserve">are often preferred, but total drug concentration may </w:t>
      </w:r>
      <w:r w:rsidR="00332346" w:rsidRPr="007E2A5E">
        <w:rPr>
          <w:rFonts w:asciiTheme="majorHAnsi" w:hAnsiTheme="majorHAnsi"/>
        </w:rPr>
        <w:t>be used</w:t>
      </w:r>
      <w:r w:rsidR="00E62798">
        <w:rPr>
          <w:rFonts w:asciiTheme="majorHAnsi" w:hAnsiTheme="majorHAnsi"/>
        </w:rPr>
        <w:t xml:space="preserve"> if protein binding is similar across test species and </w:t>
      </w:r>
      <w:r w:rsidR="00517C13">
        <w:rPr>
          <w:rFonts w:asciiTheme="majorHAnsi" w:hAnsiTheme="majorHAnsi"/>
        </w:rPr>
        <w:t>hu</w:t>
      </w:r>
      <w:r w:rsidR="00E62798">
        <w:rPr>
          <w:rFonts w:asciiTheme="majorHAnsi" w:hAnsiTheme="majorHAnsi"/>
        </w:rPr>
        <w:t>man</w:t>
      </w:r>
      <w:r w:rsidR="00517C13">
        <w:rPr>
          <w:rFonts w:asciiTheme="majorHAnsi" w:hAnsiTheme="majorHAnsi"/>
        </w:rPr>
        <w:t>s</w:t>
      </w:r>
      <w:r w:rsidR="000C2F01">
        <w:rPr>
          <w:rFonts w:asciiTheme="majorHAnsi" w:hAnsiTheme="majorHAnsi"/>
        </w:rPr>
        <w:t xml:space="preserve"> and has the advantage of aligning with observed total plasma </w:t>
      </w:r>
      <w:r w:rsidR="00517C13">
        <w:rPr>
          <w:rFonts w:asciiTheme="majorHAnsi" w:hAnsiTheme="majorHAnsi"/>
        </w:rPr>
        <w:t>concentrations</w:t>
      </w:r>
      <w:r w:rsidR="00332346" w:rsidRPr="007E2A5E">
        <w:rPr>
          <w:rFonts w:asciiTheme="majorHAnsi" w:hAnsiTheme="majorHAnsi"/>
        </w:rPr>
        <w:t>.</w:t>
      </w:r>
      <w:r w:rsidR="006C7B86">
        <w:rPr>
          <w:rFonts w:asciiTheme="majorHAnsi" w:hAnsiTheme="majorHAnsi"/>
        </w:rPr>
        <w:t xml:space="preserve"> </w:t>
      </w:r>
      <w:r w:rsidR="000C2F01">
        <w:rPr>
          <w:rFonts w:asciiTheme="majorHAnsi" w:hAnsiTheme="majorHAnsi"/>
        </w:rPr>
        <w:t xml:space="preserve">If, however, protein binding is high then correction for free drug may be </w:t>
      </w:r>
      <w:r w:rsidR="00895F59">
        <w:rPr>
          <w:rFonts w:asciiTheme="majorHAnsi" w:hAnsiTheme="majorHAnsi"/>
        </w:rPr>
        <w:t>difficult</w:t>
      </w:r>
      <w:r w:rsidR="000C2F01">
        <w:rPr>
          <w:rFonts w:asciiTheme="majorHAnsi" w:hAnsiTheme="majorHAnsi"/>
        </w:rPr>
        <w:t xml:space="preserve"> as the</w:t>
      </w:r>
      <w:r w:rsidR="0021687A" w:rsidRPr="007E2A5E">
        <w:rPr>
          <w:rFonts w:asciiTheme="majorHAnsi" w:hAnsiTheme="majorHAnsi"/>
        </w:rPr>
        <w:t xml:space="preserve"> </w:t>
      </w:r>
      <w:r w:rsidR="000C2F01">
        <w:rPr>
          <w:rFonts w:asciiTheme="majorHAnsi" w:hAnsiTheme="majorHAnsi"/>
        </w:rPr>
        <w:t>T</w:t>
      </w:r>
      <w:r w:rsidR="0021687A" w:rsidRPr="007E2A5E">
        <w:rPr>
          <w:rFonts w:asciiTheme="majorHAnsi" w:hAnsiTheme="majorHAnsi"/>
        </w:rPr>
        <w:t xml:space="preserve">&gt;MIC </w:t>
      </w:r>
      <w:r w:rsidR="000C2F01">
        <w:rPr>
          <w:rFonts w:asciiTheme="majorHAnsi" w:hAnsiTheme="majorHAnsi"/>
        </w:rPr>
        <w:t xml:space="preserve">measure used for time-dependent drugs may show T&gt;MIC of </w:t>
      </w:r>
      <w:r w:rsidR="0021687A" w:rsidRPr="007E2A5E">
        <w:rPr>
          <w:rFonts w:asciiTheme="majorHAnsi" w:hAnsiTheme="majorHAnsi"/>
        </w:rPr>
        <w:t>100% of the do</w:t>
      </w:r>
      <w:r w:rsidR="00A46BBB">
        <w:rPr>
          <w:rFonts w:asciiTheme="majorHAnsi" w:hAnsiTheme="majorHAnsi"/>
        </w:rPr>
        <w:t>s</w:t>
      </w:r>
      <w:r w:rsidR="0021687A" w:rsidRPr="007E2A5E">
        <w:rPr>
          <w:rFonts w:asciiTheme="majorHAnsi" w:hAnsiTheme="majorHAnsi"/>
        </w:rPr>
        <w:t>ing interval.</w:t>
      </w:r>
      <w:r w:rsidR="006C7B86">
        <w:rPr>
          <w:rFonts w:asciiTheme="majorHAnsi" w:hAnsiTheme="majorHAnsi"/>
        </w:rPr>
        <w:t xml:space="preserve"> </w:t>
      </w:r>
      <w:r w:rsidR="0021687A" w:rsidRPr="007E2A5E">
        <w:rPr>
          <w:rFonts w:asciiTheme="majorHAnsi" w:hAnsiTheme="majorHAnsi"/>
        </w:rPr>
        <w:t>In these circumstances</w:t>
      </w:r>
      <w:r w:rsidR="001723E3" w:rsidRPr="007E2A5E">
        <w:rPr>
          <w:rFonts w:asciiTheme="majorHAnsi" w:hAnsiTheme="majorHAnsi"/>
        </w:rPr>
        <w:t>, the fraction of the dosing interval that free drug concentrations are &gt; MIC (</w:t>
      </w:r>
      <w:proofErr w:type="spellStart"/>
      <w:r w:rsidR="001723E3" w:rsidRPr="007E2A5E">
        <w:rPr>
          <w:rFonts w:asciiTheme="majorHAnsi" w:hAnsiTheme="majorHAnsi"/>
          <w:i/>
        </w:rPr>
        <w:t>f</w:t>
      </w:r>
      <w:r w:rsidR="001723E3" w:rsidRPr="007E2A5E">
        <w:rPr>
          <w:rFonts w:asciiTheme="majorHAnsi" w:hAnsiTheme="majorHAnsi"/>
        </w:rPr>
        <w:t>T</w:t>
      </w:r>
      <w:proofErr w:type="spellEnd"/>
      <w:r w:rsidR="001723E3" w:rsidRPr="007E2A5E">
        <w:rPr>
          <w:rFonts w:asciiTheme="majorHAnsi" w:hAnsiTheme="majorHAnsi"/>
        </w:rPr>
        <w:t xml:space="preserve">&gt;MIC), the fraction of the dosing interval that plasma concentrations are &gt; MIC determined in the </w:t>
      </w:r>
      <w:r w:rsidR="003E3596" w:rsidRPr="007E2A5E">
        <w:rPr>
          <w:rFonts w:asciiTheme="majorHAnsi" w:hAnsiTheme="majorHAnsi"/>
        </w:rPr>
        <w:t>presence</w:t>
      </w:r>
      <w:r w:rsidR="001723E3" w:rsidRPr="007E2A5E">
        <w:rPr>
          <w:rFonts w:asciiTheme="majorHAnsi" w:hAnsiTheme="majorHAnsi"/>
        </w:rPr>
        <w:t xml:space="preserve"> of serum, or the minimum (trough) concentration</w:t>
      </w:r>
      <w:proofErr w:type="gramStart"/>
      <w:r w:rsidR="001723E3" w:rsidRPr="007E2A5E">
        <w:rPr>
          <w:rFonts w:asciiTheme="majorHAnsi" w:hAnsiTheme="majorHAnsi"/>
        </w:rPr>
        <w:t>:MIC</w:t>
      </w:r>
      <w:proofErr w:type="gramEnd"/>
      <w:r w:rsidR="001723E3" w:rsidRPr="007E2A5E">
        <w:rPr>
          <w:rFonts w:asciiTheme="majorHAnsi" w:hAnsiTheme="majorHAnsi"/>
        </w:rPr>
        <w:t xml:space="preserve"> may be useful</w:t>
      </w:r>
      <w:r w:rsidR="00443DB5" w:rsidRPr="007E2A5E">
        <w:rPr>
          <w:rFonts w:asciiTheme="majorHAnsi" w:hAnsiTheme="majorHAnsi"/>
        </w:rPr>
        <w:t xml:space="preserve"> ways of quantifying </w:t>
      </w:r>
      <w:r w:rsidR="003E3596" w:rsidRPr="007E2A5E">
        <w:rPr>
          <w:rFonts w:asciiTheme="majorHAnsi" w:hAnsiTheme="majorHAnsi"/>
        </w:rPr>
        <w:t>time-dependent antifungal activity</w:t>
      </w:r>
      <w:r w:rsidR="001723E3" w:rsidRPr="007E2A5E">
        <w:rPr>
          <w:rFonts w:asciiTheme="majorHAnsi" w:hAnsiTheme="majorHAnsi"/>
        </w:rPr>
        <w:t>.</w:t>
      </w:r>
      <w:r w:rsidR="006C7B86">
        <w:rPr>
          <w:rFonts w:asciiTheme="majorHAnsi" w:hAnsiTheme="majorHAnsi"/>
        </w:rPr>
        <w:t xml:space="preserve"> </w:t>
      </w:r>
    </w:p>
    <w:p w14:paraId="29D5C903" w14:textId="77777777" w:rsidR="00E3125C" w:rsidRPr="007E2A5E" w:rsidRDefault="00E3125C" w:rsidP="007A2846">
      <w:pPr>
        <w:spacing w:line="276" w:lineRule="auto"/>
        <w:rPr>
          <w:rFonts w:asciiTheme="majorHAnsi" w:hAnsiTheme="majorHAnsi"/>
        </w:rPr>
      </w:pPr>
      <w:r w:rsidRPr="007E2A5E">
        <w:rPr>
          <w:rFonts w:asciiTheme="majorHAnsi" w:hAnsiTheme="majorHAnsi"/>
        </w:rPr>
        <w:tab/>
      </w:r>
      <w:r w:rsidR="00443DB5" w:rsidRPr="007E2A5E">
        <w:rPr>
          <w:rFonts w:asciiTheme="majorHAnsi" w:hAnsiTheme="majorHAnsi"/>
        </w:rPr>
        <w:t xml:space="preserve">In terms of </w:t>
      </w:r>
      <w:r w:rsidR="00BA543F" w:rsidRPr="007E2A5E">
        <w:rPr>
          <w:rFonts w:asciiTheme="majorHAnsi" w:hAnsiTheme="majorHAnsi"/>
        </w:rPr>
        <w:t>process</w:t>
      </w:r>
      <w:r w:rsidR="00C21C0B">
        <w:rPr>
          <w:rFonts w:asciiTheme="majorHAnsi" w:hAnsiTheme="majorHAnsi"/>
        </w:rPr>
        <w:t>es</w:t>
      </w:r>
      <w:r w:rsidR="00BA543F" w:rsidRPr="007E2A5E">
        <w:rPr>
          <w:rFonts w:asciiTheme="majorHAnsi" w:hAnsiTheme="majorHAnsi"/>
        </w:rPr>
        <w:t xml:space="preserve"> of establishing</w:t>
      </w:r>
      <w:r w:rsidR="00443DB5" w:rsidRPr="007E2A5E">
        <w:rPr>
          <w:rFonts w:asciiTheme="majorHAnsi" w:hAnsiTheme="majorHAnsi"/>
        </w:rPr>
        <w:t xml:space="preserve"> the relevant PD variable</w:t>
      </w:r>
      <w:r w:rsidR="007A72EC" w:rsidRPr="007E2A5E">
        <w:rPr>
          <w:rFonts w:asciiTheme="majorHAnsi" w:hAnsiTheme="majorHAnsi"/>
        </w:rPr>
        <w:t xml:space="preserve"> (or index)</w:t>
      </w:r>
      <w:r w:rsidR="00443DB5" w:rsidRPr="007E2A5E">
        <w:rPr>
          <w:rFonts w:asciiTheme="majorHAnsi" w:hAnsiTheme="majorHAnsi"/>
        </w:rPr>
        <w:t>, t</w:t>
      </w:r>
      <w:r w:rsidR="00D06EE8" w:rsidRPr="007E2A5E">
        <w:rPr>
          <w:rFonts w:asciiTheme="majorHAnsi" w:hAnsiTheme="majorHAnsi"/>
        </w:rPr>
        <w:t>he following are pertinent:</w:t>
      </w:r>
    </w:p>
    <w:p w14:paraId="098D3516" w14:textId="77777777" w:rsidR="00E3125C" w:rsidRPr="007E2A5E" w:rsidRDefault="00B87684" w:rsidP="007A2846">
      <w:pPr>
        <w:pStyle w:val="ListParagraph"/>
        <w:numPr>
          <w:ilvl w:val="0"/>
          <w:numId w:val="18"/>
        </w:numPr>
        <w:spacing w:line="276" w:lineRule="auto"/>
        <w:rPr>
          <w:rFonts w:asciiTheme="majorHAnsi" w:hAnsiTheme="majorHAnsi"/>
        </w:rPr>
      </w:pPr>
      <w:r>
        <w:rPr>
          <w:rFonts w:asciiTheme="majorHAnsi" w:hAnsiTheme="majorHAnsi"/>
        </w:rPr>
        <w:t xml:space="preserve">The design of dose fractionation studies </w:t>
      </w:r>
      <w:r w:rsidR="00004BA8">
        <w:rPr>
          <w:rFonts w:asciiTheme="majorHAnsi" w:hAnsiTheme="majorHAnsi"/>
        </w:rPr>
        <w:t>depends to a large extent on the half-life of the drug</w:t>
      </w:r>
      <w:r w:rsidR="00222E2D" w:rsidRPr="007E2A5E">
        <w:rPr>
          <w:rFonts w:asciiTheme="majorHAnsi" w:hAnsiTheme="majorHAnsi"/>
        </w:rPr>
        <w:t>.</w:t>
      </w:r>
      <w:r w:rsidR="006C7B86">
        <w:rPr>
          <w:rFonts w:asciiTheme="majorHAnsi" w:hAnsiTheme="majorHAnsi"/>
        </w:rPr>
        <w:t xml:space="preserve"> </w:t>
      </w:r>
      <w:r w:rsidR="00A04504">
        <w:rPr>
          <w:rFonts w:asciiTheme="majorHAnsi" w:hAnsiTheme="majorHAnsi"/>
        </w:rPr>
        <w:t xml:space="preserve"> For example, compounds with a long half</w:t>
      </w:r>
      <w:r w:rsidR="00760D0E">
        <w:rPr>
          <w:rFonts w:asciiTheme="majorHAnsi" w:hAnsiTheme="majorHAnsi"/>
        </w:rPr>
        <w:t>-</w:t>
      </w:r>
      <w:r w:rsidR="00A04504">
        <w:rPr>
          <w:rFonts w:asciiTheme="majorHAnsi" w:hAnsiTheme="majorHAnsi"/>
        </w:rPr>
        <w:t xml:space="preserve">life need to have extended </w:t>
      </w:r>
      <w:r w:rsidR="00744984">
        <w:rPr>
          <w:rFonts w:asciiTheme="majorHAnsi" w:hAnsiTheme="majorHAnsi"/>
        </w:rPr>
        <w:t xml:space="preserve">study period to ensure the co-linearity between </w:t>
      </w:r>
      <w:proofErr w:type="spellStart"/>
      <w:r w:rsidR="00760D0E">
        <w:rPr>
          <w:rFonts w:asciiTheme="majorHAnsi" w:hAnsiTheme="majorHAnsi"/>
        </w:rPr>
        <w:t>Peak</w:t>
      </w:r>
      <w:proofErr w:type="gramStart"/>
      <w:r w:rsidR="001142F0">
        <w:rPr>
          <w:rFonts w:asciiTheme="majorHAnsi" w:hAnsiTheme="majorHAnsi"/>
        </w:rPr>
        <w:t>:MIC</w:t>
      </w:r>
      <w:proofErr w:type="spellEnd"/>
      <w:proofErr w:type="gramEnd"/>
      <w:r w:rsidR="001142F0">
        <w:rPr>
          <w:rFonts w:asciiTheme="majorHAnsi" w:hAnsiTheme="majorHAnsi"/>
        </w:rPr>
        <w:t>, AUC:MIC and Time&gt;MIC can be broken and therefore assessed.</w:t>
      </w:r>
    </w:p>
    <w:p w14:paraId="093A3AED" w14:textId="77777777" w:rsidR="00E3125C" w:rsidRPr="007E2A5E" w:rsidRDefault="00B564DB" w:rsidP="007A2846">
      <w:pPr>
        <w:pStyle w:val="ListParagraph"/>
        <w:numPr>
          <w:ilvl w:val="0"/>
          <w:numId w:val="18"/>
        </w:numPr>
        <w:spacing w:line="276" w:lineRule="auto"/>
        <w:rPr>
          <w:rFonts w:asciiTheme="majorHAnsi" w:hAnsiTheme="majorHAnsi"/>
        </w:rPr>
      </w:pPr>
      <w:r w:rsidRPr="007E2A5E">
        <w:rPr>
          <w:rFonts w:asciiTheme="majorHAnsi" w:hAnsiTheme="majorHAnsi"/>
        </w:rPr>
        <w:t>D</w:t>
      </w:r>
      <w:r w:rsidR="006A4F2E" w:rsidRPr="007E2A5E">
        <w:rPr>
          <w:rFonts w:asciiTheme="majorHAnsi" w:hAnsiTheme="majorHAnsi"/>
        </w:rPr>
        <w:t>ose</w:t>
      </w:r>
      <w:r w:rsidR="000C2F01">
        <w:rPr>
          <w:rFonts w:asciiTheme="majorHAnsi" w:hAnsiTheme="majorHAnsi"/>
        </w:rPr>
        <w:t>-</w:t>
      </w:r>
      <w:r w:rsidR="006A4F2E" w:rsidRPr="007E2A5E">
        <w:rPr>
          <w:rFonts w:asciiTheme="majorHAnsi" w:hAnsiTheme="majorHAnsi"/>
        </w:rPr>
        <w:t>fractionation studies</w:t>
      </w:r>
      <w:r w:rsidR="00ED6140" w:rsidRPr="007E2A5E">
        <w:rPr>
          <w:rFonts w:asciiTheme="majorHAnsi" w:hAnsiTheme="majorHAnsi"/>
        </w:rPr>
        <w:t xml:space="preserve"> </w:t>
      </w:r>
      <w:r w:rsidRPr="007E2A5E">
        <w:rPr>
          <w:rFonts w:asciiTheme="majorHAnsi" w:hAnsiTheme="majorHAnsi"/>
        </w:rPr>
        <w:t xml:space="preserve">are almost exclusively conducted in </w:t>
      </w:r>
      <w:r w:rsidR="00785BD6" w:rsidRPr="007E2A5E">
        <w:rPr>
          <w:rFonts w:asciiTheme="majorHAnsi" w:hAnsiTheme="majorHAnsi"/>
        </w:rPr>
        <w:t xml:space="preserve">experimental </w:t>
      </w:r>
      <w:r w:rsidR="00ED6140" w:rsidRPr="007E2A5E">
        <w:rPr>
          <w:rFonts w:asciiTheme="majorHAnsi" w:hAnsiTheme="majorHAnsi"/>
        </w:rPr>
        <w:t>models</w:t>
      </w:r>
      <w:r w:rsidR="00CD62A5" w:rsidRPr="007E2A5E">
        <w:rPr>
          <w:rFonts w:asciiTheme="majorHAnsi" w:hAnsiTheme="majorHAnsi"/>
        </w:rPr>
        <w:t xml:space="preserve"> </w:t>
      </w:r>
      <w:r w:rsidR="00785BD6" w:rsidRPr="007E2A5E">
        <w:rPr>
          <w:rFonts w:asciiTheme="majorHAnsi" w:hAnsiTheme="majorHAnsi"/>
        </w:rPr>
        <w:t>of infection—i</w:t>
      </w:r>
      <w:r w:rsidR="00A537CE" w:rsidRPr="007E2A5E">
        <w:rPr>
          <w:rFonts w:asciiTheme="majorHAnsi" w:hAnsiTheme="majorHAnsi"/>
        </w:rPr>
        <w:t>t i</w:t>
      </w:r>
      <w:r w:rsidR="00AD5ED6" w:rsidRPr="007E2A5E">
        <w:rPr>
          <w:rFonts w:asciiTheme="majorHAnsi" w:hAnsiTheme="majorHAnsi"/>
        </w:rPr>
        <w:t xml:space="preserve">s generally not </w:t>
      </w:r>
      <w:r w:rsidR="00A537CE" w:rsidRPr="007E2A5E">
        <w:rPr>
          <w:rFonts w:asciiTheme="majorHAnsi" w:hAnsiTheme="majorHAnsi"/>
        </w:rPr>
        <w:t>possible to resolve these relationships in clinic</w:t>
      </w:r>
      <w:r w:rsidR="00F77C14" w:rsidRPr="007E2A5E">
        <w:rPr>
          <w:rFonts w:asciiTheme="majorHAnsi" w:hAnsiTheme="majorHAnsi"/>
        </w:rPr>
        <w:t>al studies</w:t>
      </w:r>
      <w:r w:rsidR="00A537CE" w:rsidRPr="007E2A5E">
        <w:rPr>
          <w:rFonts w:asciiTheme="majorHAnsi" w:hAnsiTheme="majorHAnsi"/>
        </w:rPr>
        <w:t xml:space="preserve"> because of </w:t>
      </w:r>
      <w:r w:rsidR="000C2F01">
        <w:rPr>
          <w:rFonts w:asciiTheme="majorHAnsi" w:hAnsiTheme="majorHAnsi"/>
        </w:rPr>
        <w:t xml:space="preserve">uniformity </w:t>
      </w:r>
      <w:r w:rsidR="00A537CE" w:rsidRPr="007E2A5E">
        <w:rPr>
          <w:rFonts w:asciiTheme="majorHAnsi" w:hAnsiTheme="majorHAnsi"/>
        </w:rPr>
        <w:t xml:space="preserve">of the </w:t>
      </w:r>
      <w:r w:rsidR="00684CA2" w:rsidRPr="007E2A5E">
        <w:rPr>
          <w:rFonts w:asciiTheme="majorHAnsi" w:hAnsiTheme="majorHAnsi"/>
        </w:rPr>
        <w:t xml:space="preserve">antimicrobial </w:t>
      </w:r>
      <w:r w:rsidR="00A537CE" w:rsidRPr="007E2A5E">
        <w:rPr>
          <w:rFonts w:asciiTheme="majorHAnsi" w:hAnsiTheme="majorHAnsi"/>
        </w:rPr>
        <w:t>regimen</w:t>
      </w:r>
      <w:r w:rsidR="00684CA2" w:rsidRPr="007E2A5E">
        <w:rPr>
          <w:rFonts w:asciiTheme="majorHAnsi" w:hAnsiTheme="majorHAnsi"/>
        </w:rPr>
        <w:t xml:space="preserve"> (especially the schedule of drug administration)</w:t>
      </w:r>
      <w:r w:rsidR="00CD62A5" w:rsidRPr="007E2A5E">
        <w:rPr>
          <w:rFonts w:asciiTheme="majorHAnsi" w:hAnsiTheme="majorHAnsi"/>
        </w:rPr>
        <w:t xml:space="preserve">, and </w:t>
      </w:r>
      <w:r w:rsidR="00684CA2" w:rsidRPr="007E2A5E">
        <w:rPr>
          <w:rFonts w:asciiTheme="majorHAnsi" w:hAnsiTheme="majorHAnsi"/>
        </w:rPr>
        <w:t>the relatively larger degree of imprecision</w:t>
      </w:r>
      <w:r w:rsidR="00CD62A5" w:rsidRPr="007E2A5E">
        <w:rPr>
          <w:rFonts w:asciiTheme="majorHAnsi" w:hAnsiTheme="majorHAnsi"/>
        </w:rPr>
        <w:t xml:space="preserve"> </w:t>
      </w:r>
      <w:r w:rsidR="00AD5ED6" w:rsidRPr="007E2A5E">
        <w:rPr>
          <w:rFonts w:asciiTheme="majorHAnsi" w:hAnsiTheme="majorHAnsi"/>
        </w:rPr>
        <w:t xml:space="preserve">in </w:t>
      </w:r>
      <w:r w:rsidR="00684CA2" w:rsidRPr="007E2A5E">
        <w:rPr>
          <w:rFonts w:asciiTheme="majorHAnsi" w:hAnsiTheme="majorHAnsi"/>
        </w:rPr>
        <w:t xml:space="preserve">both </w:t>
      </w:r>
      <w:r w:rsidR="00AD5ED6" w:rsidRPr="007E2A5E">
        <w:rPr>
          <w:rFonts w:asciiTheme="majorHAnsi" w:hAnsiTheme="majorHAnsi"/>
        </w:rPr>
        <w:t xml:space="preserve">defining and measuring </w:t>
      </w:r>
      <w:r w:rsidR="00F77C14" w:rsidRPr="007E2A5E">
        <w:rPr>
          <w:rFonts w:asciiTheme="majorHAnsi" w:hAnsiTheme="majorHAnsi"/>
        </w:rPr>
        <w:t>clinical</w:t>
      </w:r>
      <w:r w:rsidR="0033130C" w:rsidRPr="007E2A5E">
        <w:rPr>
          <w:rFonts w:asciiTheme="majorHAnsi" w:hAnsiTheme="majorHAnsi"/>
        </w:rPr>
        <w:t xml:space="preserve"> </w:t>
      </w:r>
      <w:r w:rsidR="0060147E" w:rsidRPr="007E2A5E">
        <w:rPr>
          <w:rFonts w:asciiTheme="majorHAnsi" w:hAnsiTheme="majorHAnsi"/>
        </w:rPr>
        <w:t xml:space="preserve">(as opposed to experimental) </w:t>
      </w:r>
      <w:r w:rsidR="00AD5ED6" w:rsidRPr="007E2A5E">
        <w:rPr>
          <w:rFonts w:asciiTheme="majorHAnsi" w:hAnsiTheme="majorHAnsi"/>
        </w:rPr>
        <w:t>endpoint</w:t>
      </w:r>
      <w:r w:rsidR="00F77C14" w:rsidRPr="007E2A5E">
        <w:rPr>
          <w:rFonts w:asciiTheme="majorHAnsi" w:hAnsiTheme="majorHAnsi"/>
        </w:rPr>
        <w:t>s</w:t>
      </w:r>
      <w:r w:rsidR="00AD5ED6" w:rsidRPr="007E2A5E">
        <w:rPr>
          <w:rFonts w:asciiTheme="majorHAnsi" w:hAnsiTheme="majorHAnsi"/>
        </w:rPr>
        <w:t xml:space="preserve"> </w:t>
      </w:r>
      <w:r w:rsidR="0033130C" w:rsidRPr="007E2A5E">
        <w:rPr>
          <w:rFonts w:asciiTheme="majorHAnsi" w:hAnsiTheme="majorHAnsi"/>
        </w:rPr>
        <w:t xml:space="preserve">for </w:t>
      </w:r>
      <w:r w:rsidR="00F77C14" w:rsidRPr="007E2A5E">
        <w:rPr>
          <w:rFonts w:asciiTheme="majorHAnsi" w:hAnsiTheme="majorHAnsi"/>
        </w:rPr>
        <w:t xml:space="preserve">assessing </w:t>
      </w:r>
      <w:r w:rsidR="0033130C" w:rsidRPr="007E2A5E">
        <w:rPr>
          <w:rFonts w:asciiTheme="majorHAnsi" w:hAnsiTheme="majorHAnsi"/>
        </w:rPr>
        <w:t>antimicrobial therapy</w:t>
      </w:r>
      <w:r w:rsidR="00A537CE" w:rsidRPr="007E2A5E">
        <w:rPr>
          <w:rFonts w:asciiTheme="majorHAnsi" w:hAnsiTheme="majorHAnsi"/>
        </w:rPr>
        <w:t>.</w:t>
      </w:r>
      <w:r w:rsidR="006C7B86">
        <w:rPr>
          <w:rFonts w:asciiTheme="majorHAnsi" w:hAnsiTheme="majorHAnsi"/>
        </w:rPr>
        <w:t xml:space="preserve"> </w:t>
      </w:r>
    </w:p>
    <w:p w14:paraId="19F356D7" w14:textId="77777777" w:rsidR="00BA543F" w:rsidRPr="007E2A5E" w:rsidRDefault="00E3125C" w:rsidP="007A2846">
      <w:pPr>
        <w:pStyle w:val="ListParagraph"/>
        <w:numPr>
          <w:ilvl w:val="0"/>
          <w:numId w:val="18"/>
        </w:numPr>
        <w:spacing w:line="276" w:lineRule="auto"/>
        <w:rPr>
          <w:rFonts w:asciiTheme="majorHAnsi" w:hAnsiTheme="majorHAnsi"/>
        </w:rPr>
      </w:pPr>
      <w:r w:rsidRPr="007E2A5E">
        <w:rPr>
          <w:rFonts w:asciiTheme="majorHAnsi" w:hAnsiTheme="majorHAnsi"/>
        </w:rPr>
        <w:t>The m</w:t>
      </w:r>
      <w:r w:rsidR="008C1187" w:rsidRPr="007E2A5E">
        <w:rPr>
          <w:rFonts w:asciiTheme="majorHAnsi" w:hAnsiTheme="majorHAnsi"/>
        </w:rPr>
        <w:t>o</w:t>
      </w:r>
      <w:r w:rsidR="001B035A" w:rsidRPr="007E2A5E">
        <w:rPr>
          <w:rFonts w:asciiTheme="majorHAnsi" w:hAnsiTheme="majorHAnsi"/>
        </w:rPr>
        <w:t xml:space="preserve">st commonly used biomarker for these studies is a </w:t>
      </w:r>
      <w:r w:rsidR="00CA6BD1" w:rsidRPr="007E2A5E">
        <w:rPr>
          <w:rFonts w:asciiTheme="majorHAnsi" w:hAnsiTheme="majorHAnsi"/>
        </w:rPr>
        <w:t>continuous</w:t>
      </w:r>
      <w:r w:rsidR="001B035A" w:rsidRPr="007E2A5E">
        <w:rPr>
          <w:rFonts w:asciiTheme="majorHAnsi" w:hAnsiTheme="majorHAnsi"/>
        </w:rPr>
        <w:t xml:space="preserve"> variable (colony counts, galactomannan, </w:t>
      </w:r>
      <w:r w:rsidR="003B5B4B" w:rsidRPr="007E2A5E">
        <w:rPr>
          <w:rFonts w:asciiTheme="majorHAnsi" w:hAnsiTheme="majorHAnsi"/>
        </w:rPr>
        <w:t>PCR etc.)</w:t>
      </w:r>
      <w:r w:rsidR="00192F00" w:rsidRPr="007E2A5E">
        <w:rPr>
          <w:rFonts w:asciiTheme="majorHAnsi" w:hAnsiTheme="majorHAnsi"/>
        </w:rPr>
        <w:t>, but</w:t>
      </w:r>
      <w:r w:rsidR="003B5B4B" w:rsidRPr="007E2A5E">
        <w:rPr>
          <w:rFonts w:asciiTheme="majorHAnsi" w:hAnsiTheme="majorHAnsi"/>
        </w:rPr>
        <w:t xml:space="preserve"> it is possible to use a dichotomous endpoint</w:t>
      </w:r>
      <w:r w:rsidR="00A6603B" w:rsidRPr="007E2A5E">
        <w:rPr>
          <w:rFonts w:asciiTheme="majorHAnsi" w:hAnsiTheme="majorHAnsi"/>
        </w:rPr>
        <w:t>,</w:t>
      </w:r>
      <w:r w:rsidR="003B5B4B" w:rsidRPr="007E2A5E">
        <w:rPr>
          <w:rFonts w:asciiTheme="majorHAnsi" w:hAnsiTheme="majorHAnsi"/>
        </w:rPr>
        <w:t xml:space="preserve"> such as survival</w:t>
      </w:r>
      <w:r w:rsidR="007A72EC" w:rsidRPr="007E2A5E">
        <w:rPr>
          <w:rFonts w:asciiTheme="majorHAnsi" w:hAnsiTheme="majorHAnsi"/>
        </w:rPr>
        <w:t>, or even a time-to-event analysis, such as a Cox regression model</w:t>
      </w:r>
      <w:r w:rsidR="003B5B4B" w:rsidRPr="007E2A5E">
        <w:rPr>
          <w:rFonts w:asciiTheme="majorHAnsi" w:hAnsiTheme="majorHAnsi"/>
        </w:rPr>
        <w:t>.</w:t>
      </w:r>
    </w:p>
    <w:p w14:paraId="2757272F" w14:textId="145A37E3" w:rsidR="00BA543F" w:rsidRDefault="00CA6421" w:rsidP="007A2846">
      <w:pPr>
        <w:pStyle w:val="ListParagraph"/>
        <w:numPr>
          <w:ilvl w:val="0"/>
          <w:numId w:val="18"/>
        </w:numPr>
        <w:spacing w:line="276" w:lineRule="auto"/>
        <w:rPr>
          <w:rFonts w:asciiTheme="majorHAnsi" w:hAnsiTheme="majorHAnsi"/>
        </w:rPr>
      </w:pPr>
      <w:r w:rsidRPr="007E2A5E">
        <w:rPr>
          <w:rFonts w:asciiTheme="majorHAnsi" w:hAnsiTheme="majorHAnsi"/>
        </w:rPr>
        <w:t xml:space="preserve">While standard and well accepted, it is important </w:t>
      </w:r>
      <w:r w:rsidR="00FD4D0B" w:rsidRPr="007E2A5E">
        <w:rPr>
          <w:rFonts w:asciiTheme="majorHAnsi" w:hAnsiTheme="majorHAnsi"/>
        </w:rPr>
        <w:t xml:space="preserve">to consider </w:t>
      </w:r>
      <w:r w:rsidR="006A4F2E" w:rsidRPr="007E2A5E">
        <w:rPr>
          <w:rFonts w:asciiTheme="majorHAnsi" w:hAnsiTheme="majorHAnsi"/>
        </w:rPr>
        <w:t xml:space="preserve">some </w:t>
      </w:r>
      <w:r w:rsidR="00F86621" w:rsidRPr="007E2A5E">
        <w:rPr>
          <w:rFonts w:asciiTheme="majorHAnsi" w:hAnsiTheme="majorHAnsi"/>
        </w:rPr>
        <w:t xml:space="preserve">of the </w:t>
      </w:r>
      <w:r w:rsidR="006A4F2E" w:rsidRPr="007E2A5E">
        <w:rPr>
          <w:rFonts w:asciiTheme="majorHAnsi" w:hAnsiTheme="majorHAnsi"/>
        </w:rPr>
        <w:t>limitations</w:t>
      </w:r>
      <w:r w:rsidR="003A3D07" w:rsidRPr="007E2A5E">
        <w:rPr>
          <w:rFonts w:asciiTheme="majorHAnsi" w:hAnsiTheme="majorHAnsi"/>
        </w:rPr>
        <w:t xml:space="preserve"> of </w:t>
      </w:r>
      <w:r w:rsidR="00F77C14" w:rsidRPr="007E2A5E">
        <w:rPr>
          <w:rFonts w:asciiTheme="majorHAnsi" w:hAnsiTheme="majorHAnsi"/>
        </w:rPr>
        <w:t>classifying</w:t>
      </w:r>
      <w:r w:rsidRPr="007E2A5E">
        <w:rPr>
          <w:rFonts w:asciiTheme="majorHAnsi" w:hAnsiTheme="majorHAnsi"/>
        </w:rPr>
        <w:t xml:space="preserve"> activity </w:t>
      </w:r>
      <w:r w:rsidR="00422A09" w:rsidRPr="007E2A5E">
        <w:rPr>
          <w:rFonts w:asciiTheme="majorHAnsi" w:hAnsiTheme="majorHAnsi"/>
        </w:rPr>
        <w:t xml:space="preserve">of any agent </w:t>
      </w:r>
      <w:r w:rsidRPr="007E2A5E">
        <w:rPr>
          <w:rFonts w:asciiTheme="majorHAnsi" w:hAnsiTheme="majorHAnsi"/>
        </w:rPr>
        <w:t xml:space="preserve">into one of the three </w:t>
      </w:r>
      <w:r w:rsidR="00422A09" w:rsidRPr="007E2A5E">
        <w:rPr>
          <w:rFonts w:asciiTheme="majorHAnsi" w:hAnsiTheme="majorHAnsi"/>
        </w:rPr>
        <w:t>pharmacodynamic</w:t>
      </w:r>
      <w:r w:rsidRPr="007E2A5E">
        <w:rPr>
          <w:rFonts w:asciiTheme="majorHAnsi" w:hAnsiTheme="majorHAnsi"/>
        </w:rPr>
        <w:t xml:space="preserve"> </w:t>
      </w:r>
      <w:r w:rsidR="004F7C38" w:rsidRPr="007E2A5E">
        <w:rPr>
          <w:rFonts w:asciiTheme="majorHAnsi" w:hAnsiTheme="majorHAnsi"/>
        </w:rPr>
        <w:t>indices T&gt;MIC, AUC</w:t>
      </w:r>
      <w:proofErr w:type="gramStart"/>
      <w:r w:rsidR="004F7C38" w:rsidRPr="007E2A5E">
        <w:rPr>
          <w:rFonts w:asciiTheme="majorHAnsi" w:hAnsiTheme="majorHAnsi"/>
        </w:rPr>
        <w:t>:MIC</w:t>
      </w:r>
      <w:proofErr w:type="gramEnd"/>
      <w:r w:rsidR="004F7C38" w:rsidRPr="007E2A5E">
        <w:rPr>
          <w:rFonts w:asciiTheme="majorHAnsi" w:hAnsiTheme="majorHAnsi"/>
        </w:rPr>
        <w:t xml:space="preserve"> or </w:t>
      </w:r>
      <w:proofErr w:type="spellStart"/>
      <w:r w:rsidR="00760D0E">
        <w:rPr>
          <w:rFonts w:asciiTheme="majorHAnsi" w:hAnsiTheme="majorHAnsi"/>
        </w:rPr>
        <w:t>P</w:t>
      </w:r>
      <w:r w:rsidR="00760D0E" w:rsidRPr="007E2A5E">
        <w:rPr>
          <w:rFonts w:asciiTheme="majorHAnsi" w:hAnsiTheme="majorHAnsi"/>
        </w:rPr>
        <w:t>eak</w:t>
      </w:r>
      <w:r w:rsidR="004F7C38" w:rsidRPr="007E2A5E">
        <w:rPr>
          <w:rFonts w:asciiTheme="majorHAnsi" w:hAnsiTheme="majorHAnsi"/>
        </w:rPr>
        <w:t>:MIC</w:t>
      </w:r>
      <w:proofErr w:type="spellEnd"/>
      <w:r w:rsidR="004F7C38" w:rsidRPr="007E2A5E">
        <w:rPr>
          <w:rFonts w:asciiTheme="majorHAnsi" w:hAnsiTheme="majorHAnsi"/>
        </w:rPr>
        <w:t>)</w:t>
      </w:r>
      <w:r w:rsidRPr="007E2A5E">
        <w:rPr>
          <w:rFonts w:asciiTheme="majorHAnsi" w:hAnsiTheme="majorHAnsi"/>
        </w:rPr>
        <w:t>.</w:t>
      </w:r>
      <w:r w:rsidR="006C7B86">
        <w:rPr>
          <w:rFonts w:asciiTheme="majorHAnsi" w:hAnsiTheme="majorHAnsi"/>
        </w:rPr>
        <w:t xml:space="preserve"> </w:t>
      </w:r>
      <w:r w:rsidR="00FF2406" w:rsidRPr="007E2A5E">
        <w:rPr>
          <w:rFonts w:asciiTheme="majorHAnsi" w:hAnsiTheme="majorHAnsi"/>
        </w:rPr>
        <w:t>On occasions,</w:t>
      </w:r>
      <w:r w:rsidR="00990941" w:rsidRPr="007E2A5E">
        <w:rPr>
          <w:rFonts w:asciiTheme="majorHAnsi" w:hAnsiTheme="majorHAnsi"/>
        </w:rPr>
        <w:t xml:space="preserve"> drugs do not neatly fall into one category or the other</w:t>
      </w:r>
      <w:r w:rsidR="00302419" w:rsidRPr="007E2A5E">
        <w:rPr>
          <w:rFonts w:asciiTheme="majorHAnsi" w:hAnsiTheme="majorHAnsi"/>
        </w:rPr>
        <w:t>.</w:t>
      </w:r>
      <w:r w:rsidR="006C7B86">
        <w:rPr>
          <w:rFonts w:asciiTheme="majorHAnsi" w:hAnsiTheme="majorHAnsi"/>
        </w:rPr>
        <w:t xml:space="preserve"> </w:t>
      </w:r>
      <w:r w:rsidR="00302419" w:rsidRPr="007E2A5E">
        <w:rPr>
          <w:rFonts w:asciiTheme="majorHAnsi" w:hAnsiTheme="majorHAnsi"/>
        </w:rPr>
        <w:t>The reasons for this are beyond the scope of this review</w:t>
      </w:r>
      <w:r w:rsidR="00CA40A8" w:rsidRPr="007E2A5E">
        <w:rPr>
          <w:rFonts w:asciiTheme="majorHAnsi" w:hAnsiTheme="majorHAnsi"/>
        </w:rPr>
        <w:t>,</w:t>
      </w:r>
      <w:r w:rsidR="00302419" w:rsidRPr="007E2A5E">
        <w:rPr>
          <w:rFonts w:asciiTheme="majorHAnsi" w:hAnsiTheme="majorHAnsi"/>
        </w:rPr>
        <w:t xml:space="preserve"> but </w:t>
      </w:r>
      <w:r w:rsidR="00CA40A8" w:rsidRPr="007E2A5E">
        <w:rPr>
          <w:rFonts w:asciiTheme="majorHAnsi" w:hAnsiTheme="majorHAnsi"/>
        </w:rPr>
        <w:t xml:space="preserve">may </w:t>
      </w:r>
      <w:r w:rsidR="00302419" w:rsidRPr="007E2A5E">
        <w:rPr>
          <w:rFonts w:asciiTheme="majorHAnsi" w:hAnsiTheme="majorHAnsi"/>
        </w:rPr>
        <w:t xml:space="preserve">include inappropriate experimental design, </w:t>
      </w:r>
      <w:r w:rsidR="00895F59">
        <w:rPr>
          <w:rFonts w:asciiTheme="majorHAnsi" w:hAnsiTheme="majorHAnsi"/>
        </w:rPr>
        <w:t xml:space="preserve">tissue </w:t>
      </w:r>
      <w:r w:rsidR="00DC20D9" w:rsidRPr="007E2A5E">
        <w:rPr>
          <w:rFonts w:asciiTheme="majorHAnsi" w:hAnsiTheme="majorHAnsi"/>
        </w:rPr>
        <w:t>hysteresis and the emergence of drug</w:t>
      </w:r>
      <w:r w:rsidR="00192F00" w:rsidRPr="007E2A5E">
        <w:rPr>
          <w:rFonts w:asciiTheme="majorHAnsi" w:hAnsiTheme="majorHAnsi"/>
        </w:rPr>
        <w:t xml:space="preserve"> </w:t>
      </w:r>
      <w:r w:rsidR="005623F9" w:rsidRPr="007E2A5E">
        <w:rPr>
          <w:rFonts w:asciiTheme="majorHAnsi" w:hAnsiTheme="majorHAnsi"/>
        </w:rPr>
        <w:t>resistance</w:t>
      </w:r>
      <w:r w:rsidR="0058402F" w:rsidRPr="007E2A5E">
        <w:rPr>
          <w:rFonts w:asciiTheme="majorHAnsi" w:hAnsiTheme="majorHAnsi"/>
        </w:rPr>
        <w:t>.</w:t>
      </w:r>
      <w:r w:rsidR="005623F9" w:rsidRPr="007E2A5E">
        <w:rPr>
          <w:rFonts w:asciiTheme="majorHAnsi" w:hAnsiTheme="majorHAnsi"/>
        </w:rPr>
        <w:t xml:space="preserve"> </w:t>
      </w:r>
    </w:p>
    <w:p w14:paraId="07E7FAB0" w14:textId="07DDE8C1" w:rsidR="00401F16" w:rsidRPr="007E2A5E" w:rsidRDefault="00401F16" w:rsidP="007A2846">
      <w:pPr>
        <w:pStyle w:val="ListParagraph"/>
        <w:numPr>
          <w:ilvl w:val="0"/>
          <w:numId w:val="18"/>
        </w:numPr>
        <w:spacing w:line="276" w:lineRule="auto"/>
        <w:rPr>
          <w:rFonts w:asciiTheme="majorHAnsi" w:hAnsiTheme="majorHAnsi"/>
        </w:rPr>
      </w:pPr>
      <w:r>
        <w:rPr>
          <w:rFonts w:asciiTheme="majorHAnsi" w:hAnsiTheme="majorHAnsi"/>
        </w:rPr>
        <w:t xml:space="preserve">Caution is advised when </w:t>
      </w:r>
      <w:r w:rsidR="00E835B1">
        <w:rPr>
          <w:rFonts w:asciiTheme="majorHAnsi" w:hAnsiTheme="majorHAnsi"/>
        </w:rPr>
        <w:t>the PK in an experimental system is completely discordant from that observed (or predicted) in humans</w:t>
      </w:r>
      <w:r w:rsidR="0071666E">
        <w:rPr>
          <w:rFonts w:asciiTheme="majorHAnsi" w:hAnsiTheme="majorHAnsi"/>
        </w:rPr>
        <w:t xml:space="preserve">. </w:t>
      </w:r>
      <w:r w:rsidR="00D45430">
        <w:rPr>
          <w:rFonts w:asciiTheme="majorHAnsi" w:hAnsiTheme="majorHAnsi"/>
        </w:rPr>
        <w:t xml:space="preserve">Mice especially </w:t>
      </w:r>
      <w:r w:rsidR="00CA4285">
        <w:rPr>
          <w:rFonts w:asciiTheme="majorHAnsi" w:hAnsiTheme="majorHAnsi"/>
        </w:rPr>
        <w:t>ten</w:t>
      </w:r>
      <w:r w:rsidR="009D6C99">
        <w:rPr>
          <w:rFonts w:asciiTheme="majorHAnsi" w:hAnsiTheme="majorHAnsi"/>
        </w:rPr>
        <w:t xml:space="preserve">d to have concentration-time profiles that are </w:t>
      </w:r>
      <w:r w:rsidR="0071666E">
        <w:rPr>
          <w:rFonts w:asciiTheme="majorHAnsi" w:hAnsiTheme="majorHAnsi"/>
        </w:rPr>
        <w:t>strikingly different from</w:t>
      </w:r>
      <w:r w:rsidR="00D45430">
        <w:rPr>
          <w:rFonts w:asciiTheme="majorHAnsi" w:hAnsiTheme="majorHAnsi"/>
        </w:rPr>
        <w:t xml:space="preserve"> human</w:t>
      </w:r>
      <w:r w:rsidR="0071666E">
        <w:rPr>
          <w:rFonts w:asciiTheme="majorHAnsi" w:hAnsiTheme="majorHAnsi"/>
        </w:rPr>
        <w:t xml:space="preserve">s. </w:t>
      </w:r>
      <w:r w:rsidR="000A2839">
        <w:rPr>
          <w:rFonts w:asciiTheme="majorHAnsi" w:hAnsiTheme="majorHAnsi"/>
        </w:rPr>
        <w:t>In such a situation good experimental design is absolutely critical to prevent erroneous conclusions from bridging studies.</w:t>
      </w:r>
    </w:p>
    <w:p w14:paraId="55870EF0" w14:textId="2E5E738A" w:rsidR="009921B1" w:rsidRPr="008B61C3" w:rsidRDefault="00A416FB" w:rsidP="007A2846">
      <w:pPr>
        <w:pStyle w:val="ListParagraph"/>
        <w:numPr>
          <w:ilvl w:val="0"/>
          <w:numId w:val="18"/>
        </w:numPr>
        <w:spacing w:line="276" w:lineRule="auto"/>
        <w:rPr>
          <w:rFonts w:asciiTheme="majorHAnsi" w:hAnsiTheme="majorHAnsi"/>
        </w:rPr>
      </w:pPr>
      <w:r w:rsidRPr="007E2A5E">
        <w:rPr>
          <w:rFonts w:asciiTheme="majorHAnsi" w:hAnsiTheme="majorHAnsi"/>
        </w:rPr>
        <w:t>Dose</w:t>
      </w:r>
      <w:r w:rsidR="000C2F01">
        <w:rPr>
          <w:rFonts w:asciiTheme="majorHAnsi" w:hAnsiTheme="majorHAnsi"/>
        </w:rPr>
        <w:t>-</w:t>
      </w:r>
      <w:r w:rsidRPr="007E2A5E">
        <w:rPr>
          <w:rFonts w:asciiTheme="majorHAnsi" w:hAnsiTheme="majorHAnsi"/>
        </w:rPr>
        <w:t>fractionation studies can be performed with a single</w:t>
      </w:r>
      <w:r w:rsidR="00AE07FD" w:rsidRPr="007E2A5E">
        <w:rPr>
          <w:rFonts w:asciiTheme="majorHAnsi" w:hAnsiTheme="majorHAnsi"/>
        </w:rPr>
        <w:t xml:space="preserve"> well-</w:t>
      </w:r>
      <w:r w:rsidRPr="007E2A5E">
        <w:rPr>
          <w:rFonts w:asciiTheme="majorHAnsi" w:hAnsiTheme="majorHAnsi"/>
        </w:rPr>
        <w:t>characterised wild-type strain, or a small collection of strains.</w:t>
      </w:r>
      <w:r w:rsidR="006C7B86">
        <w:rPr>
          <w:rFonts w:asciiTheme="majorHAnsi" w:hAnsiTheme="majorHAnsi"/>
        </w:rPr>
        <w:t xml:space="preserve"> </w:t>
      </w:r>
      <w:r w:rsidRPr="007E2A5E">
        <w:rPr>
          <w:rFonts w:asciiTheme="majorHAnsi" w:hAnsiTheme="majorHAnsi"/>
        </w:rPr>
        <w:t>Some investigators use multiple strains and perform a pooled analysis</w:t>
      </w:r>
      <w:r w:rsidR="00233AC5" w:rsidRPr="007E2A5E">
        <w:rPr>
          <w:rFonts w:asciiTheme="majorHAnsi" w:hAnsiTheme="majorHAnsi"/>
        </w:rPr>
        <w:t xml:space="preserve">, which may be appropriate if </w:t>
      </w:r>
      <w:r w:rsidRPr="007E2A5E">
        <w:rPr>
          <w:rFonts w:asciiTheme="majorHAnsi" w:hAnsiTheme="majorHAnsi"/>
        </w:rPr>
        <w:t xml:space="preserve">intra-experimental variation </w:t>
      </w:r>
      <w:r w:rsidR="00233AC5" w:rsidRPr="007E2A5E">
        <w:rPr>
          <w:rFonts w:asciiTheme="majorHAnsi" w:hAnsiTheme="majorHAnsi"/>
        </w:rPr>
        <w:t xml:space="preserve">does not swamp </w:t>
      </w:r>
      <w:r w:rsidR="006B173C" w:rsidRPr="007E2A5E">
        <w:rPr>
          <w:rFonts w:asciiTheme="majorHAnsi" w:hAnsiTheme="majorHAnsi"/>
        </w:rPr>
        <w:t>any</w:t>
      </w:r>
      <w:r w:rsidR="00233AC5" w:rsidRPr="007E2A5E">
        <w:rPr>
          <w:rFonts w:asciiTheme="majorHAnsi" w:hAnsiTheme="majorHAnsi"/>
        </w:rPr>
        <w:t xml:space="preserve"> </w:t>
      </w:r>
      <w:r w:rsidR="00AE07FD" w:rsidRPr="007E2A5E">
        <w:rPr>
          <w:rFonts w:asciiTheme="majorHAnsi" w:hAnsiTheme="majorHAnsi"/>
        </w:rPr>
        <w:t xml:space="preserve">biological </w:t>
      </w:r>
      <w:r w:rsidR="00233AC5" w:rsidRPr="007E2A5E">
        <w:rPr>
          <w:rFonts w:asciiTheme="majorHAnsi" w:hAnsiTheme="majorHAnsi"/>
        </w:rPr>
        <w:t>signal</w:t>
      </w:r>
      <w:r w:rsidR="006B173C" w:rsidRPr="007E2A5E">
        <w:rPr>
          <w:rFonts w:asciiTheme="majorHAnsi" w:hAnsiTheme="majorHAnsi"/>
        </w:rPr>
        <w:t>.</w:t>
      </w:r>
      <w:r w:rsidR="006C7B86">
        <w:rPr>
          <w:rFonts w:asciiTheme="majorHAnsi" w:hAnsiTheme="majorHAnsi"/>
        </w:rPr>
        <w:t xml:space="preserve"> </w:t>
      </w:r>
      <w:r w:rsidR="00592F94" w:rsidRPr="007E2A5E">
        <w:rPr>
          <w:rFonts w:asciiTheme="majorHAnsi" w:hAnsiTheme="majorHAnsi"/>
        </w:rPr>
        <w:t xml:space="preserve">Our own experiences with </w:t>
      </w:r>
      <w:r w:rsidR="00592F94" w:rsidRPr="0073162B">
        <w:rPr>
          <w:rFonts w:asciiTheme="majorHAnsi" w:hAnsiTheme="majorHAnsi"/>
          <w:i/>
        </w:rPr>
        <w:t>Aspergillus</w:t>
      </w:r>
      <w:r w:rsidR="00592F94" w:rsidRPr="007E2A5E">
        <w:rPr>
          <w:rFonts w:asciiTheme="majorHAnsi" w:hAnsiTheme="majorHAnsi"/>
        </w:rPr>
        <w:t xml:space="preserve"> spp. suggest that pooling large datasets may be difficult, although it is clearly possible for </w:t>
      </w:r>
      <w:r w:rsidR="003F7189">
        <w:rPr>
          <w:rFonts w:asciiTheme="majorHAnsi" w:hAnsiTheme="majorHAnsi"/>
          <w:i/>
        </w:rPr>
        <w:t>C.</w:t>
      </w:r>
      <w:r w:rsidR="003F7189" w:rsidRPr="0073162B">
        <w:rPr>
          <w:rFonts w:asciiTheme="majorHAnsi" w:hAnsiTheme="majorHAnsi"/>
          <w:i/>
        </w:rPr>
        <w:t xml:space="preserve"> </w:t>
      </w:r>
      <w:r w:rsidR="00592F94" w:rsidRPr="0073162B">
        <w:rPr>
          <w:rFonts w:asciiTheme="majorHAnsi" w:hAnsiTheme="majorHAnsi"/>
          <w:i/>
        </w:rPr>
        <w:t>albicans</w:t>
      </w:r>
      <w:r w:rsidR="00592F94" w:rsidRPr="007E2A5E">
        <w:rPr>
          <w:rFonts w:asciiTheme="majorHAnsi" w:hAnsiTheme="majorHAnsi"/>
        </w:rPr>
        <w:t>.</w:t>
      </w:r>
    </w:p>
    <w:p w14:paraId="3954F75D" w14:textId="6BC3A4CB" w:rsidR="000C2F01" w:rsidRDefault="00112263" w:rsidP="007A2846">
      <w:pPr>
        <w:pStyle w:val="ListParagraph"/>
        <w:numPr>
          <w:ilvl w:val="0"/>
          <w:numId w:val="18"/>
        </w:numPr>
        <w:spacing w:line="276" w:lineRule="auto"/>
        <w:rPr>
          <w:rFonts w:asciiTheme="majorHAnsi" w:hAnsiTheme="majorHAnsi"/>
        </w:rPr>
      </w:pPr>
      <w:r w:rsidRPr="007E2A5E">
        <w:rPr>
          <w:rFonts w:asciiTheme="majorHAnsi" w:hAnsiTheme="majorHAnsi"/>
        </w:rPr>
        <w:t>Dose</w:t>
      </w:r>
      <w:r w:rsidR="000C2F01">
        <w:rPr>
          <w:rFonts w:asciiTheme="majorHAnsi" w:hAnsiTheme="majorHAnsi"/>
        </w:rPr>
        <w:t>-</w:t>
      </w:r>
      <w:r w:rsidRPr="007E2A5E">
        <w:rPr>
          <w:rFonts w:asciiTheme="majorHAnsi" w:hAnsiTheme="majorHAnsi"/>
        </w:rPr>
        <w:t>fractionation studies are</w:t>
      </w:r>
      <w:r w:rsidR="00923092" w:rsidRPr="007E2A5E">
        <w:rPr>
          <w:rFonts w:asciiTheme="majorHAnsi" w:hAnsiTheme="majorHAnsi"/>
        </w:rPr>
        <w:t xml:space="preserve"> relatively straightforward to perform </w:t>
      </w:r>
      <w:r w:rsidR="00233AC5" w:rsidRPr="007E2A5E">
        <w:rPr>
          <w:rFonts w:asciiTheme="majorHAnsi" w:hAnsiTheme="majorHAnsi"/>
        </w:rPr>
        <w:t xml:space="preserve">with </w:t>
      </w:r>
      <w:r w:rsidR="00923092" w:rsidRPr="007E2A5E">
        <w:rPr>
          <w:rFonts w:asciiTheme="majorHAnsi" w:hAnsiTheme="majorHAnsi"/>
          <w:i/>
        </w:rPr>
        <w:t>Candida</w:t>
      </w:r>
      <w:r w:rsidR="00233AC5" w:rsidRPr="007E2A5E">
        <w:rPr>
          <w:rFonts w:asciiTheme="majorHAnsi" w:hAnsiTheme="majorHAnsi"/>
        </w:rPr>
        <w:t xml:space="preserve"> spp.</w:t>
      </w:r>
      <w:r w:rsidR="00923092" w:rsidRPr="007E2A5E">
        <w:rPr>
          <w:rFonts w:asciiTheme="majorHAnsi" w:hAnsiTheme="majorHAnsi"/>
        </w:rPr>
        <w:t xml:space="preserve">, but more difficult with </w:t>
      </w:r>
      <w:r w:rsidR="00923092" w:rsidRPr="007E2A5E">
        <w:rPr>
          <w:rFonts w:asciiTheme="majorHAnsi" w:hAnsiTheme="majorHAnsi"/>
          <w:i/>
        </w:rPr>
        <w:t>Aspergillus</w:t>
      </w:r>
      <w:r w:rsidR="00233AC5" w:rsidRPr="007E2A5E">
        <w:rPr>
          <w:rFonts w:asciiTheme="majorHAnsi" w:hAnsiTheme="majorHAnsi"/>
        </w:rPr>
        <w:t xml:space="preserve"> spp</w:t>
      </w:r>
      <w:r w:rsidR="00923092" w:rsidRPr="007E2A5E">
        <w:rPr>
          <w:rFonts w:asciiTheme="majorHAnsi" w:hAnsiTheme="majorHAnsi"/>
        </w:rPr>
        <w:t xml:space="preserve">. </w:t>
      </w:r>
      <w:r w:rsidR="00233AC5" w:rsidRPr="007E2A5E">
        <w:rPr>
          <w:rFonts w:asciiTheme="majorHAnsi" w:hAnsiTheme="majorHAnsi"/>
        </w:rPr>
        <w:t xml:space="preserve">because of larger inherent </w:t>
      </w:r>
      <w:r w:rsidR="009921B1" w:rsidRPr="007E2A5E">
        <w:rPr>
          <w:rFonts w:asciiTheme="majorHAnsi" w:hAnsiTheme="majorHAnsi"/>
        </w:rPr>
        <w:t xml:space="preserve">biological variability </w:t>
      </w:r>
      <w:r w:rsidR="00AE07FD" w:rsidRPr="007E2A5E">
        <w:rPr>
          <w:rFonts w:asciiTheme="majorHAnsi" w:hAnsiTheme="majorHAnsi"/>
        </w:rPr>
        <w:t>that is characteristic of</w:t>
      </w:r>
      <w:r w:rsidR="009921B1" w:rsidRPr="007E2A5E">
        <w:rPr>
          <w:rFonts w:asciiTheme="majorHAnsi" w:hAnsiTheme="majorHAnsi"/>
        </w:rPr>
        <w:t xml:space="preserve"> the latter</w:t>
      </w:r>
      <w:r w:rsidR="00233AC5" w:rsidRPr="007E2A5E">
        <w:rPr>
          <w:rFonts w:asciiTheme="majorHAnsi" w:hAnsiTheme="majorHAnsi"/>
        </w:rPr>
        <w:t>.</w:t>
      </w:r>
      <w:r w:rsidR="006C7B86">
        <w:rPr>
          <w:rFonts w:asciiTheme="majorHAnsi" w:hAnsiTheme="majorHAnsi"/>
        </w:rPr>
        <w:t xml:space="preserve"> </w:t>
      </w:r>
      <w:r w:rsidR="006B173C" w:rsidRPr="007E2A5E">
        <w:rPr>
          <w:rFonts w:asciiTheme="majorHAnsi" w:hAnsiTheme="majorHAnsi"/>
        </w:rPr>
        <w:t xml:space="preserve">Nevertheless, </w:t>
      </w:r>
      <w:r w:rsidR="00F323A2">
        <w:rPr>
          <w:rFonts w:asciiTheme="majorHAnsi" w:hAnsiTheme="majorHAnsi"/>
        </w:rPr>
        <w:t xml:space="preserve">dose fractionation </w:t>
      </w:r>
      <w:r w:rsidR="006B173C" w:rsidRPr="007E2A5E">
        <w:rPr>
          <w:rFonts w:asciiTheme="majorHAnsi" w:hAnsiTheme="majorHAnsi"/>
        </w:rPr>
        <w:t xml:space="preserve">studies in </w:t>
      </w:r>
      <w:r w:rsidR="00A60F3D" w:rsidRPr="007E2A5E">
        <w:rPr>
          <w:rFonts w:asciiTheme="majorHAnsi" w:hAnsiTheme="majorHAnsi"/>
          <w:i/>
        </w:rPr>
        <w:t>Aspergillus</w:t>
      </w:r>
      <w:r w:rsidR="00A60F3D" w:rsidRPr="007E2A5E">
        <w:rPr>
          <w:rFonts w:asciiTheme="majorHAnsi" w:hAnsiTheme="majorHAnsi"/>
        </w:rPr>
        <w:t xml:space="preserve"> are emerging.</w:t>
      </w:r>
      <w:r w:rsidR="006C7B86">
        <w:rPr>
          <w:rFonts w:asciiTheme="majorHAnsi" w:hAnsiTheme="majorHAnsi"/>
        </w:rPr>
        <w:t xml:space="preserve"> </w:t>
      </w:r>
    </w:p>
    <w:p w14:paraId="0BA26D06" w14:textId="30671CAD" w:rsidR="009F4FB5" w:rsidRPr="007E2A5E" w:rsidRDefault="00233AC5" w:rsidP="007A2846">
      <w:pPr>
        <w:pStyle w:val="ListParagraph"/>
        <w:numPr>
          <w:ilvl w:val="0"/>
          <w:numId w:val="18"/>
        </w:numPr>
        <w:spacing w:line="276" w:lineRule="auto"/>
        <w:rPr>
          <w:rFonts w:asciiTheme="majorHAnsi" w:hAnsiTheme="majorHAnsi"/>
        </w:rPr>
      </w:pPr>
      <w:r w:rsidRPr="007E2A5E">
        <w:rPr>
          <w:rFonts w:asciiTheme="majorHAnsi" w:hAnsiTheme="majorHAnsi"/>
        </w:rPr>
        <w:t>A large</w:t>
      </w:r>
      <w:r w:rsidR="003E3596" w:rsidRPr="007E2A5E">
        <w:rPr>
          <w:rFonts w:asciiTheme="majorHAnsi" w:hAnsiTheme="majorHAnsi"/>
        </w:rPr>
        <w:t xml:space="preserve">ly unsubstantiated assumption </w:t>
      </w:r>
      <w:r w:rsidR="00A60F3D" w:rsidRPr="007E2A5E">
        <w:rPr>
          <w:rFonts w:asciiTheme="majorHAnsi" w:hAnsiTheme="majorHAnsi"/>
        </w:rPr>
        <w:t xml:space="preserve">that </w:t>
      </w:r>
      <w:r w:rsidR="003E3596" w:rsidRPr="007E2A5E">
        <w:rPr>
          <w:rFonts w:asciiTheme="majorHAnsi" w:hAnsiTheme="majorHAnsi"/>
        </w:rPr>
        <w:t xml:space="preserve">is frequently made </w:t>
      </w:r>
      <w:r w:rsidR="00626A41" w:rsidRPr="007E2A5E">
        <w:rPr>
          <w:rFonts w:asciiTheme="majorHAnsi" w:hAnsiTheme="majorHAnsi"/>
        </w:rPr>
        <w:t xml:space="preserve">in the anti-infective PK-PD field </w:t>
      </w:r>
      <w:r w:rsidR="00A60F3D" w:rsidRPr="007E2A5E">
        <w:rPr>
          <w:rFonts w:asciiTheme="majorHAnsi" w:hAnsiTheme="majorHAnsi"/>
        </w:rPr>
        <w:t xml:space="preserve">is </w:t>
      </w:r>
      <w:r w:rsidR="003E3596" w:rsidRPr="007E2A5E">
        <w:rPr>
          <w:rFonts w:asciiTheme="majorHAnsi" w:hAnsiTheme="majorHAnsi"/>
        </w:rPr>
        <w:t xml:space="preserve">that the relevant PD </w:t>
      </w:r>
      <w:r w:rsidR="00B00E79" w:rsidRPr="007E2A5E">
        <w:rPr>
          <w:rFonts w:asciiTheme="majorHAnsi" w:hAnsiTheme="majorHAnsi"/>
        </w:rPr>
        <w:t xml:space="preserve">index </w:t>
      </w:r>
      <w:r w:rsidR="003E3596" w:rsidRPr="007E2A5E">
        <w:rPr>
          <w:rFonts w:asciiTheme="majorHAnsi" w:hAnsiTheme="majorHAnsi"/>
        </w:rPr>
        <w:t xml:space="preserve">is the same </w:t>
      </w:r>
      <w:r w:rsidR="005B39E9" w:rsidRPr="007E2A5E">
        <w:rPr>
          <w:rFonts w:asciiTheme="majorHAnsi" w:hAnsiTheme="majorHAnsi"/>
        </w:rPr>
        <w:t xml:space="preserve">for a given agent </w:t>
      </w:r>
      <w:r w:rsidR="003E3596" w:rsidRPr="007E2A5E">
        <w:rPr>
          <w:rFonts w:asciiTheme="majorHAnsi" w:hAnsiTheme="majorHAnsi"/>
        </w:rPr>
        <w:t xml:space="preserve">regardless of the </w:t>
      </w:r>
      <w:r w:rsidR="003356B2" w:rsidRPr="007E2A5E">
        <w:rPr>
          <w:rFonts w:asciiTheme="majorHAnsi" w:hAnsiTheme="majorHAnsi"/>
        </w:rPr>
        <w:t xml:space="preserve">invading </w:t>
      </w:r>
      <w:r w:rsidR="003E3596" w:rsidRPr="007E2A5E">
        <w:rPr>
          <w:rFonts w:asciiTheme="majorHAnsi" w:hAnsiTheme="majorHAnsi"/>
        </w:rPr>
        <w:t>pathogen</w:t>
      </w:r>
      <w:r w:rsidR="003356B2" w:rsidRPr="007E2A5E">
        <w:rPr>
          <w:rFonts w:asciiTheme="majorHAnsi" w:hAnsiTheme="majorHAnsi"/>
        </w:rPr>
        <w:t>.</w:t>
      </w:r>
      <w:r w:rsidR="006C7B86">
        <w:rPr>
          <w:rFonts w:asciiTheme="majorHAnsi" w:hAnsiTheme="majorHAnsi"/>
        </w:rPr>
        <w:t xml:space="preserve"> </w:t>
      </w:r>
      <w:r w:rsidR="003356B2" w:rsidRPr="007E2A5E">
        <w:rPr>
          <w:rFonts w:asciiTheme="majorHAnsi" w:hAnsiTheme="majorHAnsi"/>
        </w:rPr>
        <w:t>Such a</w:t>
      </w:r>
      <w:r w:rsidR="00421AE0">
        <w:rPr>
          <w:rFonts w:asciiTheme="majorHAnsi" w:hAnsiTheme="majorHAnsi"/>
        </w:rPr>
        <w:t>n</w:t>
      </w:r>
      <w:r w:rsidR="003356B2" w:rsidRPr="007E2A5E">
        <w:rPr>
          <w:rFonts w:asciiTheme="majorHAnsi" w:hAnsiTheme="majorHAnsi"/>
        </w:rPr>
        <w:t xml:space="preserve"> assumption is probably reasonable in the majority of cases with the proviso that the </w:t>
      </w:r>
      <w:r w:rsidR="00D26C54" w:rsidRPr="007E2A5E">
        <w:rPr>
          <w:rFonts w:asciiTheme="majorHAnsi" w:hAnsiTheme="majorHAnsi"/>
        </w:rPr>
        <w:t>pharmacological</w:t>
      </w:r>
      <w:r w:rsidR="003356B2" w:rsidRPr="007E2A5E">
        <w:rPr>
          <w:rFonts w:asciiTheme="majorHAnsi" w:hAnsiTheme="majorHAnsi"/>
        </w:rPr>
        <w:t xml:space="preserve"> target </w:t>
      </w:r>
      <w:r w:rsidR="00F21368" w:rsidRPr="007E2A5E">
        <w:rPr>
          <w:rFonts w:asciiTheme="majorHAnsi" w:hAnsiTheme="majorHAnsi"/>
        </w:rPr>
        <w:t>is common</w:t>
      </w:r>
      <w:r w:rsidR="000D3884">
        <w:rPr>
          <w:rFonts w:asciiTheme="majorHAnsi" w:hAnsiTheme="majorHAnsi"/>
        </w:rPr>
        <w:t xml:space="preserve">, and antifungal resistance does not confound the </w:t>
      </w:r>
      <w:r w:rsidR="00F323A2">
        <w:rPr>
          <w:rFonts w:asciiTheme="majorHAnsi" w:hAnsiTheme="majorHAnsi"/>
        </w:rPr>
        <w:t>analysis</w:t>
      </w:r>
      <w:r w:rsidR="00F21368" w:rsidRPr="007E2A5E">
        <w:rPr>
          <w:rFonts w:asciiTheme="majorHAnsi" w:hAnsiTheme="majorHAnsi"/>
        </w:rPr>
        <w:t>.</w:t>
      </w:r>
      <w:r w:rsidRPr="007E2A5E">
        <w:rPr>
          <w:rFonts w:asciiTheme="majorHAnsi" w:hAnsiTheme="majorHAnsi"/>
        </w:rPr>
        <w:t xml:space="preserve"> </w:t>
      </w:r>
    </w:p>
    <w:p w14:paraId="713D4888" w14:textId="77777777" w:rsidR="009F4FB5" w:rsidRPr="007E2A5E" w:rsidRDefault="009F4FB5" w:rsidP="007A2846">
      <w:pPr>
        <w:spacing w:line="276" w:lineRule="auto"/>
        <w:rPr>
          <w:rFonts w:asciiTheme="majorHAnsi" w:hAnsiTheme="majorHAnsi"/>
        </w:rPr>
      </w:pPr>
    </w:p>
    <w:p w14:paraId="571482F0" w14:textId="77777777" w:rsidR="00AD5ED8" w:rsidRPr="007E2A5E" w:rsidRDefault="007940A7" w:rsidP="007A2846">
      <w:pPr>
        <w:spacing w:line="276" w:lineRule="auto"/>
        <w:rPr>
          <w:rFonts w:asciiTheme="majorHAnsi" w:hAnsiTheme="majorHAnsi"/>
          <w:i/>
        </w:rPr>
      </w:pPr>
      <w:r w:rsidRPr="007E2A5E">
        <w:rPr>
          <w:rFonts w:asciiTheme="majorHAnsi" w:hAnsiTheme="majorHAnsi"/>
          <w:i/>
        </w:rPr>
        <w:t>6</w:t>
      </w:r>
      <w:r w:rsidR="00AD5ED8" w:rsidRPr="007E2A5E">
        <w:rPr>
          <w:rFonts w:asciiTheme="majorHAnsi" w:hAnsiTheme="majorHAnsi"/>
          <w:i/>
        </w:rPr>
        <w:t xml:space="preserve">. </w:t>
      </w:r>
      <w:r w:rsidR="00FE2379" w:rsidRPr="007E2A5E">
        <w:rPr>
          <w:rFonts w:asciiTheme="majorHAnsi" w:hAnsiTheme="majorHAnsi"/>
          <w:i/>
        </w:rPr>
        <w:t xml:space="preserve">Defining the magnitude of drug exposure (quantified in terms of the </w:t>
      </w:r>
      <w:r w:rsidR="0008670F" w:rsidRPr="007E2A5E">
        <w:rPr>
          <w:rFonts w:asciiTheme="majorHAnsi" w:hAnsiTheme="majorHAnsi"/>
          <w:i/>
        </w:rPr>
        <w:t>pharmacodynamic</w:t>
      </w:r>
      <w:r w:rsidR="00FE2379" w:rsidRPr="007E2A5E">
        <w:rPr>
          <w:rFonts w:asciiTheme="majorHAnsi" w:hAnsiTheme="majorHAnsi"/>
          <w:i/>
        </w:rPr>
        <w:t xml:space="preserve"> parameter/ index) that </w:t>
      </w:r>
      <w:r w:rsidR="002F5D69" w:rsidRPr="007E2A5E">
        <w:rPr>
          <w:rFonts w:asciiTheme="majorHAnsi" w:hAnsiTheme="majorHAnsi"/>
          <w:i/>
        </w:rPr>
        <w:t>is likely</w:t>
      </w:r>
      <w:r w:rsidR="00A42C53" w:rsidRPr="007E2A5E">
        <w:rPr>
          <w:rFonts w:asciiTheme="majorHAnsi" w:hAnsiTheme="majorHAnsi"/>
          <w:i/>
        </w:rPr>
        <w:t xml:space="preserve"> to be associated with </w:t>
      </w:r>
      <w:r w:rsidR="00167C5F" w:rsidRPr="007E2A5E">
        <w:rPr>
          <w:rFonts w:asciiTheme="majorHAnsi" w:hAnsiTheme="majorHAnsi"/>
          <w:i/>
        </w:rPr>
        <w:t>an acceptably high probability of a favourable therapeutic response.</w:t>
      </w:r>
      <w:r w:rsidR="006C7B86">
        <w:rPr>
          <w:rFonts w:asciiTheme="majorHAnsi" w:hAnsiTheme="majorHAnsi"/>
          <w:i/>
        </w:rPr>
        <w:t xml:space="preserve"> </w:t>
      </w:r>
    </w:p>
    <w:p w14:paraId="48F02301" w14:textId="701ADBC4" w:rsidR="000F3630" w:rsidRPr="007E2A5E" w:rsidRDefault="00A67989" w:rsidP="007A2846">
      <w:pPr>
        <w:spacing w:line="276" w:lineRule="auto"/>
        <w:rPr>
          <w:rFonts w:asciiTheme="majorHAnsi" w:hAnsiTheme="majorHAnsi"/>
        </w:rPr>
      </w:pPr>
      <w:r w:rsidRPr="007E2A5E">
        <w:rPr>
          <w:rFonts w:asciiTheme="majorHAnsi" w:hAnsiTheme="majorHAnsi"/>
        </w:rPr>
        <w:tab/>
      </w:r>
      <w:r w:rsidR="002B10B0" w:rsidRPr="007E2A5E">
        <w:rPr>
          <w:rFonts w:asciiTheme="majorHAnsi" w:hAnsiTheme="majorHAnsi"/>
        </w:rPr>
        <w:t>Arguably</w:t>
      </w:r>
      <w:r w:rsidR="00D53B47" w:rsidRPr="007E2A5E">
        <w:rPr>
          <w:rFonts w:asciiTheme="majorHAnsi" w:hAnsiTheme="majorHAnsi"/>
        </w:rPr>
        <w:t>, this is the most difficult part of any bridging study</w:t>
      </w:r>
      <w:r w:rsidR="002B10B0" w:rsidRPr="007E2A5E">
        <w:rPr>
          <w:rFonts w:asciiTheme="majorHAnsi" w:hAnsiTheme="majorHAnsi"/>
        </w:rPr>
        <w:t xml:space="preserve"> because there may be little to </w:t>
      </w:r>
      <w:r w:rsidR="001E5A88" w:rsidRPr="007E2A5E">
        <w:rPr>
          <w:rFonts w:asciiTheme="majorHAnsi" w:hAnsiTheme="majorHAnsi"/>
        </w:rPr>
        <w:t xml:space="preserve">objectively </w:t>
      </w:r>
      <w:r w:rsidR="002B10B0" w:rsidRPr="007E2A5E">
        <w:rPr>
          <w:rFonts w:asciiTheme="majorHAnsi" w:hAnsiTheme="majorHAnsi"/>
        </w:rPr>
        <w:t xml:space="preserve">guide </w:t>
      </w:r>
      <w:r w:rsidR="00567606" w:rsidRPr="007E2A5E">
        <w:rPr>
          <w:rFonts w:asciiTheme="majorHAnsi" w:hAnsiTheme="majorHAnsi"/>
        </w:rPr>
        <w:t>the process of selecting the appropriate endpoint</w:t>
      </w:r>
      <w:r w:rsidR="00D53B47" w:rsidRPr="007E2A5E">
        <w:rPr>
          <w:rFonts w:asciiTheme="majorHAnsi" w:hAnsiTheme="majorHAnsi"/>
        </w:rPr>
        <w:t>.</w:t>
      </w:r>
      <w:r w:rsidR="006C7B86">
        <w:rPr>
          <w:rFonts w:asciiTheme="majorHAnsi" w:hAnsiTheme="majorHAnsi"/>
        </w:rPr>
        <w:t xml:space="preserve"> </w:t>
      </w:r>
      <w:r w:rsidR="00D53B47" w:rsidRPr="007E2A5E">
        <w:rPr>
          <w:rFonts w:asciiTheme="majorHAnsi" w:hAnsiTheme="majorHAnsi"/>
        </w:rPr>
        <w:t>T</w:t>
      </w:r>
      <w:r w:rsidR="00FA7998" w:rsidRPr="007E2A5E">
        <w:rPr>
          <w:rFonts w:asciiTheme="majorHAnsi" w:hAnsiTheme="majorHAnsi"/>
        </w:rPr>
        <w:t xml:space="preserve">he </w:t>
      </w:r>
      <w:r w:rsidR="00D53B47" w:rsidRPr="007E2A5E">
        <w:rPr>
          <w:rFonts w:asciiTheme="majorHAnsi" w:hAnsiTheme="majorHAnsi"/>
        </w:rPr>
        <w:t xml:space="preserve">usual </w:t>
      </w:r>
      <w:r w:rsidR="00FA7998" w:rsidRPr="007E2A5E">
        <w:rPr>
          <w:rFonts w:asciiTheme="majorHAnsi" w:hAnsiTheme="majorHAnsi"/>
        </w:rPr>
        <w:t xml:space="preserve">way of </w:t>
      </w:r>
      <w:r w:rsidR="004F1263" w:rsidRPr="007E2A5E">
        <w:rPr>
          <w:rFonts w:asciiTheme="majorHAnsi" w:hAnsiTheme="majorHAnsi"/>
        </w:rPr>
        <w:t>performing</w:t>
      </w:r>
      <w:r w:rsidR="00FA7998" w:rsidRPr="007E2A5E">
        <w:rPr>
          <w:rFonts w:asciiTheme="majorHAnsi" w:hAnsiTheme="majorHAnsi"/>
        </w:rPr>
        <w:t xml:space="preserve"> these analyses is to </w:t>
      </w:r>
      <w:r w:rsidR="006F0759" w:rsidRPr="007E2A5E">
        <w:rPr>
          <w:rFonts w:asciiTheme="majorHAnsi" w:hAnsiTheme="majorHAnsi"/>
        </w:rPr>
        <w:t xml:space="preserve">split a </w:t>
      </w:r>
      <w:r w:rsidR="00FA7998" w:rsidRPr="007E2A5E">
        <w:rPr>
          <w:rFonts w:asciiTheme="majorHAnsi" w:hAnsiTheme="majorHAnsi"/>
        </w:rPr>
        <w:t>continuous relationship</w:t>
      </w:r>
      <w:r w:rsidR="005D00D6" w:rsidRPr="007E2A5E">
        <w:rPr>
          <w:rFonts w:asciiTheme="majorHAnsi" w:hAnsiTheme="majorHAnsi"/>
        </w:rPr>
        <w:t xml:space="preserve"> into </w:t>
      </w:r>
      <w:r w:rsidR="00D53B47" w:rsidRPr="007E2A5E">
        <w:rPr>
          <w:rFonts w:asciiTheme="majorHAnsi" w:hAnsiTheme="majorHAnsi"/>
        </w:rPr>
        <w:t>two</w:t>
      </w:r>
      <w:r w:rsidR="005D00D6" w:rsidRPr="007E2A5E">
        <w:rPr>
          <w:rFonts w:asciiTheme="majorHAnsi" w:hAnsiTheme="majorHAnsi"/>
        </w:rPr>
        <w:t xml:space="preserve"> group</w:t>
      </w:r>
      <w:r w:rsidR="00D53B47" w:rsidRPr="007E2A5E">
        <w:rPr>
          <w:rFonts w:asciiTheme="majorHAnsi" w:hAnsiTheme="majorHAnsi"/>
        </w:rPr>
        <w:t xml:space="preserve">s </w:t>
      </w:r>
      <w:r w:rsidR="00AD5ED8" w:rsidRPr="007E2A5E">
        <w:rPr>
          <w:rFonts w:asciiTheme="majorHAnsi" w:hAnsiTheme="majorHAnsi"/>
        </w:rPr>
        <w:t xml:space="preserve">each </w:t>
      </w:r>
      <w:r w:rsidR="00D53B47" w:rsidRPr="007E2A5E">
        <w:rPr>
          <w:rFonts w:asciiTheme="majorHAnsi" w:hAnsiTheme="majorHAnsi"/>
        </w:rPr>
        <w:t xml:space="preserve">with a high and low probability of a </w:t>
      </w:r>
      <w:r w:rsidR="000F15E5" w:rsidRPr="007E2A5E">
        <w:rPr>
          <w:rFonts w:asciiTheme="majorHAnsi" w:hAnsiTheme="majorHAnsi"/>
        </w:rPr>
        <w:t>“good” therapeutic outcome</w:t>
      </w:r>
      <w:r w:rsidR="00760D0E">
        <w:rPr>
          <w:rFonts w:asciiTheme="majorHAnsi" w:hAnsiTheme="majorHAnsi"/>
        </w:rPr>
        <w:t xml:space="preserve"> using techniques such as recursive </w:t>
      </w:r>
      <w:r w:rsidR="00572480">
        <w:rPr>
          <w:rFonts w:asciiTheme="majorHAnsi" w:hAnsiTheme="majorHAnsi"/>
        </w:rPr>
        <w:t>portioning algorithms and logistic regression</w:t>
      </w:r>
      <w:r w:rsidR="005D00D6" w:rsidRPr="007E2A5E">
        <w:rPr>
          <w:rFonts w:asciiTheme="majorHAnsi" w:hAnsiTheme="majorHAnsi"/>
        </w:rPr>
        <w:t>.</w:t>
      </w:r>
      <w:r w:rsidR="006C7B86">
        <w:rPr>
          <w:rFonts w:asciiTheme="majorHAnsi" w:hAnsiTheme="majorHAnsi"/>
        </w:rPr>
        <w:t xml:space="preserve"> </w:t>
      </w:r>
      <w:r w:rsidR="005D00D6" w:rsidRPr="007E2A5E">
        <w:rPr>
          <w:rFonts w:asciiTheme="majorHAnsi" w:hAnsiTheme="majorHAnsi"/>
        </w:rPr>
        <w:t xml:space="preserve">The </w:t>
      </w:r>
      <w:r w:rsidR="000F15E5" w:rsidRPr="007E2A5E">
        <w:rPr>
          <w:rFonts w:asciiTheme="majorHAnsi" w:hAnsiTheme="majorHAnsi"/>
        </w:rPr>
        <w:t xml:space="preserve">point at which the </w:t>
      </w:r>
      <w:r w:rsidR="005D00D6" w:rsidRPr="007E2A5E">
        <w:rPr>
          <w:rFonts w:asciiTheme="majorHAnsi" w:hAnsiTheme="majorHAnsi"/>
        </w:rPr>
        <w:t xml:space="preserve">cut is </w:t>
      </w:r>
      <w:r w:rsidR="000F15E5" w:rsidRPr="007E2A5E">
        <w:rPr>
          <w:rFonts w:asciiTheme="majorHAnsi" w:hAnsiTheme="majorHAnsi"/>
        </w:rPr>
        <w:t xml:space="preserve">made is </w:t>
      </w:r>
      <w:r w:rsidR="001E0C0A">
        <w:rPr>
          <w:rFonts w:asciiTheme="majorHAnsi" w:hAnsiTheme="majorHAnsi"/>
        </w:rPr>
        <w:t>necessarily</w:t>
      </w:r>
      <w:r w:rsidR="000F15E5" w:rsidRPr="007E2A5E">
        <w:rPr>
          <w:rFonts w:asciiTheme="majorHAnsi" w:hAnsiTheme="majorHAnsi"/>
        </w:rPr>
        <w:t xml:space="preserve"> </w:t>
      </w:r>
      <w:r w:rsidR="002F5D69" w:rsidRPr="007E2A5E">
        <w:rPr>
          <w:rFonts w:asciiTheme="majorHAnsi" w:hAnsiTheme="majorHAnsi"/>
        </w:rPr>
        <w:t>arbitrary</w:t>
      </w:r>
      <w:r w:rsidR="005D00D6" w:rsidRPr="007E2A5E">
        <w:rPr>
          <w:rFonts w:asciiTheme="majorHAnsi" w:hAnsiTheme="majorHAnsi"/>
        </w:rPr>
        <w:t xml:space="preserve"> </w:t>
      </w:r>
      <w:r w:rsidR="007C0989" w:rsidRPr="007E2A5E">
        <w:rPr>
          <w:rFonts w:asciiTheme="majorHAnsi" w:hAnsiTheme="majorHAnsi"/>
        </w:rPr>
        <w:t xml:space="preserve">without being </w:t>
      </w:r>
      <w:r w:rsidR="00856A31" w:rsidRPr="007E2A5E">
        <w:rPr>
          <w:rFonts w:asciiTheme="majorHAnsi" w:hAnsiTheme="majorHAnsi"/>
        </w:rPr>
        <w:t xml:space="preserve">necessarily </w:t>
      </w:r>
      <w:r w:rsidR="00567606" w:rsidRPr="007E2A5E">
        <w:rPr>
          <w:rFonts w:asciiTheme="majorHAnsi" w:hAnsiTheme="majorHAnsi"/>
        </w:rPr>
        <w:t xml:space="preserve">well </w:t>
      </w:r>
      <w:r w:rsidR="007C0989" w:rsidRPr="007E2A5E">
        <w:rPr>
          <w:rFonts w:asciiTheme="majorHAnsi" w:hAnsiTheme="majorHAnsi"/>
        </w:rPr>
        <w:t>grounded.</w:t>
      </w:r>
      <w:r w:rsidR="006C7B86">
        <w:rPr>
          <w:rFonts w:asciiTheme="majorHAnsi" w:hAnsiTheme="majorHAnsi"/>
        </w:rPr>
        <w:t xml:space="preserve"> </w:t>
      </w:r>
      <w:r w:rsidR="001E5A88" w:rsidRPr="007E2A5E">
        <w:rPr>
          <w:rFonts w:asciiTheme="majorHAnsi" w:hAnsiTheme="majorHAnsi"/>
        </w:rPr>
        <w:t xml:space="preserve">Such a decision is especially difficult for a new model system, new approach, </w:t>
      </w:r>
      <w:r w:rsidR="00435763" w:rsidRPr="007E2A5E">
        <w:rPr>
          <w:rFonts w:asciiTheme="majorHAnsi" w:hAnsiTheme="majorHAnsi"/>
        </w:rPr>
        <w:t xml:space="preserve">or a </w:t>
      </w:r>
      <w:r w:rsidR="001E5A88" w:rsidRPr="007E2A5E">
        <w:rPr>
          <w:rFonts w:asciiTheme="majorHAnsi" w:hAnsiTheme="majorHAnsi"/>
        </w:rPr>
        <w:t>new drug</w:t>
      </w:r>
      <w:r w:rsidR="00435763" w:rsidRPr="007E2A5E">
        <w:rPr>
          <w:rFonts w:asciiTheme="majorHAnsi" w:hAnsiTheme="majorHAnsi"/>
        </w:rPr>
        <w:t xml:space="preserve"> because of the absence of </w:t>
      </w:r>
      <w:r w:rsidR="000F3630" w:rsidRPr="007E2A5E">
        <w:rPr>
          <w:rFonts w:asciiTheme="majorHAnsi" w:hAnsiTheme="majorHAnsi"/>
        </w:rPr>
        <w:t>a precedent</w:t>
      </w:r>
      <w:r w:rsidR="001E5A88" w:rsidRPr="007E2A5E">
        <w:rPr>
          <w:rFonts w:asciiTheme="majorHAnsi" w:hAnsiTheme="majorHAnsi"/>
        </w:rPr>
        <w:t>.</w:t>
      </w:r>
      <w:r w:rsidR="006C7B86">
        <w:rPr>
          <w:rFonts w:asciiTheme="majorHAnsi" w:hAnsiTheme="majorHAnsi"/>
        </w:rPr>
        <w:t xml:space="preserve"> </w:t>
      </w:r>
      <w:r w:rsidR="00856A31" w:rsidRPr="007E2A5E">
        <w:rPr>
          <w:rFonts w:asciiTheme="majorHAnsi" w:hAnsiTheme="majorHAnsi"/>
        </w:rPr>
        <w:t xml:space="preserve">In this regard, the </w:t>
      </w:r>
      <w:r w:rsidR="000F3630" w:rsidRPr="007E2A5E">
        <w:rPr>
          <w:rFonts w:asciiTheme="majorHAnsi" w:hAnsiTheme="majorHAnsi"/>
        </w:rPr>
        <w:t>following are relevant:</w:t>
      </w:r>
    </w:p>
    <w:p w14:paraId="3F7BB3D5" w14:textId="71F17121" w:rsidR="00D41829" w:rsidRPr="007E2A5E" w:rsidRDefault="00325938" w:rsidP="007A2846">
      <w:pPr>
        <w:pStyle w:val="ListParagraph"/>
        <w:numPr>
          <w:ilvl w:val="0"/>
          <w:numId w:val="19"/>
        </w:numPr>
        <w:spacing w:line="276" w:lineRule="auto"/>
        <w:rPr>
          <w:rFonts w:asciiTheme="majorHAnsi" w:hAnsiTheme="majorHAnsi"/>
        </w:rPr>
      </w:pPr>
      <w:r w:rsidRPr="007E2A5E">
        <w:rPr>
          <w:rFonts w:asciiTheme="majorHAnsi" w:hAnsiTheme="majorHAnsi"/>
        </w:rPr>
        <w:t xml:space="preserve">Stasis, and a 1- and 2-log fall in burden have been extensively used in both antibacterial and antifungal studies, but </w:t>
      </w:r>
      <w:r w:rsidR="009364D5" w:rsidRPr="007E2A5E">
        <w:rPr>
          <w:rFonts w:asciiTheme="majorHAnsi" w:hAnsiTheme="majorHAnsi"/>
        </w:rPr>
        <w:t>there has</w:t>
      </w:r>
      <w:r w:rsidR="001D7821" w:rsidRPr="007E2A5E">
        <w:rPr>
          <w:rFonts w:asciiTheme="majorHAnsi" w:hAnsiTheme="majorHAnsi"/>
        </w:rPr>
        <w:t xml:space="preserve"> been relatively</w:t>
      </w:r>
      <w:r w:rsidR="009364D5" w:rsidRPr="007E2A5E">
        <w:rPr>
          <w:rFonts w:asciiTheme="majorHAnsi" w:hAnsiTheme="majorHAnsi"/>
        </w:rPr>
        <w:t xml:space="preserve"> little work to </w:t>
      </w:r>
      <w:r w:rsidR="00D26C54" w:rsidRPr="007E2A5E">
        <w:rPr>
          <w:rFonts w:asciiTheme="majorHAnsi" w:hAnsiTheme="majorHAnsi"/>
        </w:rPr>
        <w:t>rigorously</w:t>
      </w:r>
      <w:r w:rsidR="000F3630" w:rsidRPr="007E2A5E">
        <w:rPr>
          <w:rFonts w:asciiTheme="majorHAnsi" w:hAnsiTheme="majorHAnsi"/>
        </w:rPr>
        <w:t xml:space="preserve"> </w:t>
      </w:r>
      <w:r w:rsidR="009364D5" w:rsidRPr="007E2A5E">
        <w:rPr>
          <w:rFonts w:asciiTheme="majorHAnsi" w:hAnsiTheme="majorHAnsi"/>
        </w:rPr>
        <w:t xml:space="preserve">justify any of these </w:t>
      </w:r>
      <w:r w:rsidR="0099346F">
        <w:rPr>
          <w:rFonts w:asciiTheme="majorHAnsi" w:hAnsiTheme="majorHAnsi"/>
        </w:rPr>
        <w:t>endpoints</w:t>
      </w:r>
      <w:r w:rsidR="009364D5" w:rsidRPr="007E2A5E">
        <w:rPr>
          <w:rFonts w:asciiTheme="majorHAnsi" w:hAnsiTheme="majorHAnsi"/>
        </w:rPr>
        <w:t>.</w:t>
      </w:r>
      <w:r w:rsidR="006C7B86">
        <w:rPr>
          <w:rFonts w:asciiTheme="majorHAnsi" w:hAnsiTheme="majorHAnsi"/>
        </w:rPr>
        <w:t xml:space="preserve"> </w:t>
      </w:r>
      <w:r w:rsidR="00D41829" w:rsidRPr="007E2A5E">
        <w:rPr>
          <w:rFonts w:asciiTheme="majorHAnsi" w:hAnsiTheme="majorHAnsi"/>
        </w:rPr>
        <w:t>Differences in experimental design (e.g. inoculum, time to therapeutic intervention</w:t>
      </w:r>
      <w:r w:rsidR="00FE5EFF" w:rsidRPr="007E2A5E">
        <w:rPr>
          <w:rFonts w:asciiTheme="majorHAnsi" w:hAnsiTheme="majorHAnsi"/>
        </w:rPr>
        <w:t>, challenge strains</w:t>
      </w:r>
      <w:r w:rsidR="00D41829" w:rsidRPr="007E2A5E">
        <w:rPr>
          <w:rFonts w:asciiTheme="majorHAnsi" w:hAnsiTheme="majorHAnsi"/>
        </w:rPr>
        <w:t xml:space="preserve">) make direct comparisons between </w:t>
      </w:r>
      <w:r w:rsidR="00A22011" w:rsidRPr="007E2A5E">
        <w:rPr>
          <w:rFonts w:asciiTheme="majorHAnsi" w:hAnsiTheme="majorHAnsi"/>
        </w:rPr>
        <w:t xml:space="preserve">different </w:t>
      </w:r>
      <w:r w:rsidR="00D41829" w:rsidRPr="007E2A5E">
        <w:rPr>
          <w:rFonts w:asciiTheme="majorHAnsi" w:hAnsiTheme="majorHAnsi"/>
        </w:rPr>
        <w:t xml:space="preserve">models and </w:t>
      </w:r>
      <w:r w:rsidR="00A22011" w:rsidRPr="007E2A5E">
        <w:rPr>
          <w:rFonts w:asciiTheme="majorHAnsi" w:hAnsiTheme="majorHAnsi"/>
        </w:rPr>
        <w:t>laboratories</w:t>
      </w:r>
      <w:r w:rsidR="00D41829" w:rsidRPr="007E2A5E">
        <w:rPr>
          <w:rFonts w:asciiTheme="majorHAnsi" w:hAnsiTheme="majorHAnsi"/>
        </w:rPr>
        <w:t xml:space="preserve"> </w:t>
      </w:r>
      <w:r w:rsidR="000F3630" w:rsidRPr="007E2A5E">
        <w:rPr>
          <w:rFonts w:asciiTheme="majorHAnsi" w:hAnsiTheme="majorHAnsi"/>
        </w:rPr>
        <w:t xml:space="preserve">somewhat </w:t>
      </w:r>
      <w:r w:rsidR="00046521" w:rsidRPr="007E2A5E">
        <w:rPr>
          <w:rFonts w:asciiTheme="majorHAnsi" w:hAnsiTheme="majorHAnsi"/>
        </w:rPr>
        <w:t>difficult</w:t>
      </w:r>
      <w:r w:rsidR="00D41829" w:rsidRPr="007E2A5E">
        <w:rPr>
          <w:rFonts w:asciiTheme="majorHAnsi" w:hAnsiTheme="majorHAnsi"/>
        </w:rPr>
        <w:t>.</w:t>
      </w:r>
      <w:r w:rsidR="00232FC2">
        <w:rPr>
          <w:rFonts w:asciiTheme="majorHAnsi" w:hAnsiTheme="majorHAnsi"/>
        </w:rPr>
        <w:t xml:space="preserve">  Improved </w:t>
      </w:r>
      <w:r w:rsidR="0070487C">
        <w:rPr>
          <w:rFonts w:asciiTheme="majorHAnsi" w:hAnsiTheme="majorHAnsi"/>
        </w:rPr>
        <w:t xml:space="preserve">inter-laboratory </w:t>
      </w:r>
      <w:r w:rsidR="00232FC2">
        <w:rPr>
          <w:rFonts w:asciiTheme="majorHAnsi" w:hAnsiTheme="majorHAnsi"/>
        </w:rPr>
        <w:t xml:space="preserve">quality control measures may </w:t>
      </w:r>
      <w:r w:rsidR="0070487C">
        <w:rPr>
          <w:rFonts w:asciiTheme="majorHAnsi" w:hAnsiTheme="majorHAnsi"/>
        </w:rPr>
        <w:t>help</w:t>
      </w:r>
      <w:r w:rsidR="00232FC2">
        <w:rPr>
          <w:rFonts w:asciiTheme="majorHAnsi" w:hAnsiTheme="majorHAnsi"/>
        </w:rPr>
        <w:t xml:space="preserve"> address this problem.</w:t>
      </w:r>
    </w:p>
    <w:p w14:paraId="07AEBD63" w14:textId="428C9FC3" w:rsidR="00F46AB3" w:rsidRPr="007E2A5E" w:rsidRDefault="000F3630" w:rsidP="007A2846">
      <w:pPr>
        <w:pStyle w:val="ListParagraph"/>
        <w:numPr>
          <w:ilvl w:val="0"/>
          <w:numId w:val="19"/>
        </w:numPr>
        <w:spacing w:line="276" w:lineRule="auto"/>
        <w:rPr>
          <w:rFonts w:asciiTheme="majorHAnsi" w:hAnsiTheme="majorHAnsi"/>
        </w:rPr>
      </w:pPr>
      <w:r w:rsidRPr="007E2A5E">
        <w:rPr>
          <w:rFonts w:asciiTheme="majorHAnsi" w:hAnsiTheme="majorHAnsi"/>
        </w:rPr>
        <w:t>T</w:t>
      </w:r>
      <w:r w:rsidR="00D41829" w:rsidRPr="007E2A5E">
        <w:rPr>
          <w:rFonts w:asciiTheme="majorHAnsi" w:hAnsiTheme="majorHAnsi"/>
        </w:rPr>
        <w:t xml:space="preserve">here is a </w:t>
      </w:r>
      <w:r w:rsidR="005D00D6" w:rsidRPr="007E2A5E">
        <w:rPr>
          <w:rFonts w:asciiTheme="majorHAnsi" w:hAnsiTheme="majorHAnsi"/>
        </w:rPr>
        <w:t xml:space="preserve">risk that </w:t>
      </w:r>
      <w:r w:rsidR="006F0759" w:rsidRPr="007E2A5E">
        <w:rPr>
          <w:rFonts w:asciiTheme="majorHAnsi" w:hAnsiTheme="majorHAnsi"/>
        </w:rPr>
        <w:t xml:space="preserve">a </w:t>
      </w:r>
      <w:r w:rsidR="005D00D6" w:rsidRPr="007E2A5E">
        <w:rPr>
          <w:rFonts w:asciiTheme="majorHAnsi" w:hAnsiTheme="majorHAnsi"/>
        </w:rPr>
        <w:t>conservative</w:t>
      </w:r>
      <w:r w:rsidR="005465BF" w:rsidRPr="007E2A5E">
        <w:rPr>
          <w:rFonts w:asciiTheme="majorHAnsi" w:hAnsiTheme="majorHAnsi"/>
        </w:rPr>
        <w:t xml:space="preserve">, </w:t>
      </w:r>
      <w:r w:rsidR="00204EF0" w:rsidRPr="007E2A5E">
        <w:rPr>
          <w:rFonts w:asciiTheme="majorHAnsi" w:hAnsiTheme="majorHAnsi"/>
        </w:rPr>
        <w:t xml:space="preserve">but erroneous </w:t>
      </w:r>
      <w:r w:rsidR="00D41829" w:rsidRPr="007E2A5E">
        <w:rPr>
          <w:rFonts w:asciiTheme="majorHAnsi" w:hAnsiTheme="majorHAnsi"/>
        </w:rPr>
        <w:t>choice</w:t>
      </w:r>
      <w:r w:rsidR="00204EF0" w:rsidRPr="007E2A5E">
        <w:rPr>
          <w:rFonts w:asciiTheme="majorHAnsi" w:hAnsiTheme="majorHAnsi"/>
        </w:rPr>
        <w:t xml:space="preserve"> </w:t>
      </w:r>
      <w:r w:rsidR="00D94878" w:rsidRPr="007E2A5E">
        <w:rPr>
          <w:rFonts w:asciiTheme="majorHAnsi" w:hAnsiTheme="majorHAnsi"/>
        </w:rPr>
        <w:t xml:space="preserve">will </w:t>
      </w:r>
      <w:r w:rsidR="00D41829" w:rsidRPr="007E2A5E">
        <w:rPr>
          <w:rFonts w:asciiTheme="majorHAnsi" w:hAnsiTheme="majorHAnsi"/>
        </w:rPr>
        <w:t xml:space="preserve">be made </w:t>
      </w:r>
      <w:r w:rsidR="00D94878" w:rsidRPr="007E2A5E">
        <w:rPr>
          <w:rFonts w:asciiTheme="majorHAnsi" w:hAnsiTheme="majorHAnsi"/>
        </w:rPr>
        <w:t>(e.g. 9</w:t>
      </w:r>
      <w:r w:rsidR="0070487C">
        <w:rPr>
          <w:rFonts w:asciiTheme="majorHAnsi" w:hAnsiTheme="majorHAnsi"/>
        </w:rPr>
        <w:t>5</w:t>
      </w:r>
      <w:r w:rsidR="00D41829" w:rsidRPr="007E2A5E">
        <w:rPr>
          <w:rFonts w:asciiTheme="majorHAnsi" w:hAnsiTheme="majorHAnsi"/>
        </w:rPr>
        <w:t>-100</w:t>
      </w:r>
      <w:r w:rsidR="00D94878" w:rsidRPr="007E2A5E">
        <w:rPr>
          <w:rFonts w:asciiTheme="majorHAnsi" w:hAnsiTheme="majorHAnsi"/>
        </w:rPr>
        <w:t xml:space="preserve">% survival </w:t>
      </w:r>
      <w:r w:rsidR="00D41829" w:rsidRPr="007E2A5E">
        <w:rPr>
          <w:rFonts w:asciiTheme="majorHAnsi" w:hAnsiTheme="majorHAnsi"/>
        </w:rPr>
        <w:t xml:space="preserve">will be chosen </w:t>
      </w:r>
      <w:r w:rsidR="00A22011" w:rsidRPr="007E2A5E">
        <w:rPr>
          <w:rFonts w:asciiTheme="majorHAnsi" w:hAnsiTheme="majorHAnsi"/>
        </w:rPr>
        <w:t xml:space="preserve">as an endpoint in an experimental model </w:t>
      </w:r>
      <w:r w:rsidR="00D94878" w:rsidRPr="007E2A5E">
        <w:rPr>
          <w:rFonts w:asciiTheme="majorHAnsi" w:hAnsiTheme="majorHAnsi"/>
        </w:rPr>
        <w:t xml:space="preserve">rather than </w:t>
      </w:r>
      <w:r w:rsidR="00D41829" w:rsidRPr="007E2A5E">
        <w:rPr>
          <w:rFonts w:asciiTheme="majorHAnsi" w:hAnsiTheme="majorHAnsi"/>
        </w:rPr>
        <w:t>a 50</w:t>
      </w:r>
      <w:r w:rsidR="00D94878" w:rsidRPr="007E2A5E">
        <w:rPr>
          <w:rFonts w:asciiTheme="majorHAnsi" w:hAnsiTheme="majorHAnsi"/>
        </w:rPr>
        <w:t>% survival</w:t>
      </w:r>
      <w:r w:rsidR="00D41829" w:rsidRPr="007E2A5E">
        <w:rPr>
          <w:rFonts w:asciiTheme="majorHAnsi" w:hAnsiTheme="majorHAnsi"/>
        </w:rPr>
        <w:t xml:space="preserve"> rate</w:t>
      </w:r>
      <w:r w:rsidR="00A22011" w:rsidRPr="007E2A5E">
        <w:rPr>
          <w:rFonts w:asciiTheme="majorHAnsi" w:hAnsiTheme="majorHAnsi"/>
        </w:rPr>
        <w:t xml:space="preserve"> because </w:t>
      </w:r>
      <w:r w:rsidR="00046521" w:rsidRPr="007E2A5E">
        <w:rPr>
          <w:rFonts w:asciiTheme="majorHAnsi" w:hAnsiTheme="majorHAnsi"/>
        </w:rPr>
        <w:t xml:space="preserve">that </w:t>
      </w:r>
      <w:r w:rsidR="00F46AB3" w:rsidRPr="007E2A5E">
        <w:rPr>
          <w:rFonts w:asciiTheme="majorHAnsi" w:hAnsiTheme="majorHAnsi"/>
        </w:rPr>
        <w:t>“</w:t>
      </w:r>
      <w:r w:rsidR="00046521" w:rsidRPr="007E2A5E">
        <w:rPr>
          <w:rFonts w:asciiTheme="majorHAnsi" w:hAnsiTheme="majorHAnsi"/>
        </w:rPr>
        <w:t>feels better</w:t>
      </w:r>
      <w:r w:rsidR="00F46AB3" w:rsidRPr="007E2A5E">
        <w:rPr>
          <w:rFonts w:asciiTheme="majorHAnsi" w:hAnsiTheme="majorHAnsi"/>
        </w:rPr>
        <w:t>”</w:t>
      </w:r>
      <w:r w:rsidR="00D94878" w:rsidRPr="007E2A5E">
        <w:rPr>
          <w:rFonts w:asciiTheme="majorHAnsi" w:hAnsiTheme="majorHAnsi"/>
        </w:rPr>
        <w:t>).</w:t>
      </w:r>
      <w:r w:rsidR="00116616">
        <w:rPr>
          <w:rFonts w:asciiTheme="majorHAnsi" w:hAnsiTheme="majorHAnsi"/>
        </w:rPr>
        <w:t xml:space="preserve"> Experimental models can be made arbitrarily difficult such that the ability to achieve any particular </w:t>
      </w:r>
      <w:r w:rsidR="006E5C25">
        <w:rPr>
          <w:rFonts w:asciiTheme="majorHAnsi" w:hAnsiTheme="majorHAnsi"/>
        </w:rPr>
        <w:t>endpoint is more a function of the model than the endpoint.</w:t>
      </w:r>
      <w:r w:rsidR="006C7B86">
        <w:rPr>
          <w:rFonts w:asciiTheme="majorHAnsi" w:hAnsiTheme="majorHAnsi"/>
        </w:rPr>
        <w:t xml:space="preserve"> </w:t>
      </w:r>
      <w:r w:rsidR="00D94878" w:rsidRPr="007E2A5E">
        <w:rPr>
          <w:rFonts w:asciiTheme="majorHAnsi" w:hAnsiTheme="majorHAnsi"/>
        </w:rPr>
        <w:t>See below for a more detailed discussion on this point.</w:t>
      </w:r>
      <w:r w:rsidR="006C7B86">
        <w:rPr>
          <w:rFonts w:asciiTheme="majorHAnsi" w:hAnsiTheme="majorHAnsi"/>
        </w:rPr>
        <w:t xml:space="preserve"> </w:t>
      </w:r>
    </w:p>
    <w:p w14:paraId="55A42B9F" w14:textId="77777777" w:rsidR="00F46AB3" w:rsidRPr="007E2A5E" w:rsidRDefault="00A22011" w:rsidP="007A2846">
      <w:pPr>
        <w:pStyle w:val="ListParagraph"/>
        <w:numPr>
          <w:ilvl w:val="0"/>
          <w:numId w:val="19"/>
        </w:numPr>
        <w:spacing w:line="276" w:lineRule="auto"/>
        <w:rPr>
          <w:rFonts w:asciiTheme="majorHAnsi" w:hAnsiTheme="majorHAnsi"/>
        </w:rPr>
      </w:pPr>
      <w:r w:rsidRPr="007E2A5E">
        <w:rPr>
          <w:rFonts w:asciiTheme="majorHAnsi" w:hAnsiTheme="majorHAnsi"/>
        </w:rPr>
        <w:t xml:space="preserve">While it may be reasonable to investigate and </w:t>
      </w:r>
      <w:r w:rsidR="00926044" w:rsidRPr="007E2A5E">
        <w:rPr>
          <w:rFonts w:asciiTheme="majorHAnsi" w:hAnsiTheme="majorHAnsi"/>
        </w:rPr>
        <w:t>define</w:t>
      </w:r>
      <w:r w:rsidRPr="007E2A5E">
        <w:rPr>
          <w:rFonts w:asciiTheme="majorHAnsi" w:hAnsiTheme="majorHAnsi"/>
        </w:rPr>
        <w:t xml:space="preserve"> the pharmacodynamic index </w:t>
      </w:r>
      <w:r w:rsidR="00523990" w:rsidRPr="007E2A5E">
        <w:rPr>
          <w:rFonts w:asciiTheme="majorHAnsi" w:hAnsiTheme="majorHAnsi"/>
        </w:rPr>
        <w:t>using a single wild</w:t>
      </w:r>
      <w:r w:rsidR="000C2F01">
        <w:rPr>
          <w:rFonts w:asciiTheme="majorHAnsi" w:hAnsiTheme="majorHAnsi"/>
        </w:rPr>
        <w:t>-</w:t>
      </w:r>
      <w:r w:rsidR="00523990" w:rsidRPr="007E2A5E">
        <w:rPr>
          <w:rFonts w:asciiTheme="majorHAnsi" w:hAnsiTheme="majorHAnsi"/>
        </w:rPr>
        <w:t xml:space="preserve">type stain, this is not ideal when trying to understand </w:t>
      </w:r>
      <w:r w:rsidR="00CA6BD1" w:rsidRPr="007E2A5E">
        <w:rPr>
          <w:rFonts w:asciiTheme="majorHAnsi" w:hAnsiTheme="majorHAnsi"/>
        </w:rPr>
        <w:t xml:space="preserve">the </w:t>
      </w:r>
      <w:r w:rsidR="00F46AB3" w:rsidRPr="007E2A5E">
        <w:rPr>
          <w:rFonts w:asciiTheme="majorHAnsi" w:hAnsiTheme="majorHAnsi"/>
        </w:rPr>
        <w:t xml:space="preserve">importance of the </w:t>
      </w:r>
      <w:r w:rsidR="00CA6BD1" w:rsidRPr="007E2A5E">
        <w:rPr>
          <w:rFonts w:asciiTheme="majorHAnsi" w:hAnsiTheme="majorHAnsi"/>
        </w:rPr>
        <w:t>magnitude of the index.</w:t>
      </w:r>
      <w:r w:rsidR="006C7B86">
        <w:rPr>
          <w:rFonts w:asciiTheme="majorHAnsi" w:hAnsiTheme="majorHAnsi"/>
        </w:rPr>
        <w:t xml:space="preserve"> </w:t>
      </w:r>
      <w:r w:rsidR="00D8475F" w:rsidRPr="007E2A5E">
        <w:rPr>
          <w:rFonts w:asciiTheme="majorHAnsi" w:hAnsiTheme="majorHAnsi"/>
        </w:rPr>
        <w:t>Here, it is important to have studied a multitude of strains</w:t>
      </w:r>
      <w:r w:rsidR="00CA6BD1" w:rsidRPr="007E2A5E">
        <w:rPr>
          <w:rFonts w:asciiTheme="majorHAnsi" w:hAnsiTheme="majorHAnsi"/>
        </w:rPr>
        <w:t xml:space="preserve">, </w:t>
      </w:r>
      <w:r w:rsidR="00D8475F" w:rsidRPr="007E2A5E">
        <w:rPr>
          <w:rFonts w:asciiTheme="majorHAnsi" w:hAnsiTheme="majorHAnsi"/>
        </w:rPr>
        <w:t>ideally with a variety of MIC</w:t>
      </w:r>
      <w:r w:rsidR="00CA6BD1" w:rsidRPr="007E2A5E">
        <w:rPr>
          <w:rFonts w:asciiTheme="majorHAnsi" w:hAnsiTheme="majorHAnsi"/>
        </w:rPr>
        <w:t>s.</w:t>
      </w:r>
      <w:r w:rsidR="006C7B86">
        <w:rPr>
          <w:rFonts w:asciiTheme="majorHAnsi" w:hAnsiTheme="majorHAnsi"/>
        </w:rPr>
        <w:t xml:space="preserve"> </w:t>
      </w:r>
      <w:r w:rsidR="00CA6BD1" w:rsidRPr="007E2A5E">
        <w:rPr>
          <w:rFonts w:asciiTheme="majorHAnsi" w:hAnsiTheme="majorHAnsi"/>
        </w:rPr>
        <w:t xml:space="preserve">It is reassuring </w:t>
      </w:r>
      <w:r w:rsidR="00D8475F" w:rsidRPr="007E2A5E">
        <w:rPr>
          <w:rFonts w:asciiTheme="majorHAnsi" w:hAnsiTheme="majorHAnsi"/>
        </w:rPr>
        <w:t xml:space="preserve">to </w:t>
      </w:r>
      <w:r w:rsidR="00CA6BD1" w:rsidRPr="007E2A5E">
        <w:rPr>
          <w:rFonts w:asciiTheme="majorHAnsi" w:hAnsiTheme="majorHAnsi"/>
        </w:rPr>
        <w:t xml:space="preserve">observe </w:t>
      </w:r>
      <w:r w:rsidR="00D8475F" w:rsidRPr="007E2A5E">
        <w:rPr>
          <w:rFonts w:asciiTheme="majorHAnsi" w:hAnsiTheme="majorHAnsi"/>
        </w:rPr>
        <w:t xml:space="preserve">the MIC providing some information </w:t>
      </w:r>
      <w:r w:rsidR="00A65CDD" w:rsidRPr="007E2A5E">
        <w:rPr>
          <w:rFonts w:asciiTheme="majorHAnsi" w:hAnsiTheme="majorHAnsi"/>
        </w:rPr>
        <w:t>that explains system variance</w:t>
      </w:r>
      <w:r w:rsidR="00F46AB3" w:rsidRPr="007E2A5E">
        <w:rPr>
          <w:rFonts w:asciiTheme="majorHAnsi" w:hAnsiTheme="majorHAnsi"/>
        </w:rPr>
        <w:t xml:space="preserve"> (</w:t>
      </w:r>
      <w:r w:rsidR="00A65CDD" w:rsidRPr="007E2A5E">
        <w:rPr>
          <w:rFonts w:asciiTheme="majorHAnsi" w:hAnsiTheme="majorHAnsi"/>
        </w:rPr>
        <w:t xml:space="preserve">i.e. helps to explain the </w:t>
      </w:r>
      <w:r w:rsidR="00926044" w:rsidRPr="007E2A5E">
        <w:rPr>
          <w:rFonts w:asciiTheme="majorHAnsi" w:hAnsiTheme="majorHAnsi"/>
        </w:rPr>
        <w:t xml:space="preserve">observed </w:t>
      </w:r>
      <w:r w:rsidR="00F46AB3" w:rsidRPr="007E2A5E">
        <w:rPr>
          <w:rFonts w:asciiTheme="majorHAnsi" w:hAnsiTheme="majorHAnsi"/>
        </w:rPr>
        <w:t xml:space="preserve">biological </w:t>
      </w:r>
      <w:r w:rsidR="00A65CDD" w:rsidRPr="007E2A5E">
        <w:rPr>
          <w:rFonts w:asciiTheme="majorHAnsi" w:hAnsiTheme="majorHAnsi"/>
        </w:rPr>
        <w:t>variability</w:t>
      </w:r>
      <w:r w:rsidR="00F46AB3" w:rsidRPr="007E2A5E">
        <w:rPr>
          <w:rFonts w:asciiTheme="majorHAnsi" w:hAnsiTheme="majorHAnsi"/>
        </w:rPr>
        <w:t>)</w:t>
      </w:r>
      <w:r w:rsidR="00A65CDD" w:rsidRPr="007E2A5E">
        <w:rPr>
          <w:rFonts w:asciiTheme="majorHAnsi" w:hAnsiTheme="majorHAnsi"/>
        </w:rPr>
        <w:t>.</w:t>
      </w:r>
    </w:p>
    <w:p w14:paraId="162A567F" w14:textId="77777777" w:rsidR="005128F1" w:rsidRDefault="005128F1" w:rsidP="007A2846">
      <w:pPr>
        <w:spacing w:line="276" w:lineRule="auto"/>
        <w:rPr>
          <w:rFonts w:asciiTheme="majorHAnsi" w:hAnsiTheme="majorHAnsi"/>
        </w:rPr>
      </w:pPr>
    </w:p>
    <w:p w14:paraId="7144F08B" w14:textId="77777777" w:rsidR="00932E48" w:rsidRDefault="00932E48" w:rsidP="007A2846">
      <w:pPr>
        <w:spacing w:line="276" w:lineRule="auto"/>
        <w:rPr>
          <w:rFonts w:asciiTheme="majorHAnsi" w:hAnsiTheme="majorHAnsi"/>
        </w:rPr>
      </w:pPr>
    </w:p>
    <w:p w14:paraId="5F206572" w14:textId="7EC3E306" w:rsidR="007733CF" w:rsidRPr="007E2A5E" w:rsidRDefault="00CC4F7F" w:rsidP="007A2846">
      <w:pPr>
        <w:spacing w:line="276" w:lineRule="auto"/>
        <w:rPr>
          <w:rFonts w:asciiTheme="majorHAnsi" w:hAnsiTheme="majorHAnsi"/>
          <w:u w:val="single"/>
        </w:rPr>
      </w:pPr>
      <w:r>
        <w:rPr>
          <w:rFonts w:asciiTheme="majorHAnsi" w:hAnsiTheme="majorHAnsi"/>
          <w:u w:val="single"/>
        </w:rPr>
        <w:t>7</w:t>
      </w:r>
      <w:r w:rsidR="004B07FF" w:rsidRPr="007E2A5E">
        <w:rPr>
          <w:rFonts w:asciiTheme="majorHAnsi" w:hAnsiTheme="majorHAnsi"/>
          <w:u w:val="single"/>
        </w:rPr>
        <w:t xml:space="preserve">. </w:t>
      </w:r>
      <w:r w:rsidR="001E4ECA" w:rsidRPr="007E2A5E">
        <w:rPr>
          <w:rFonts w:asciiTheme="majorHAnsi" w:hAnsiTheme="majorHAnsi"/>
          <w:u w:val="single"/>
        </w:rPr>
        <w:t>BRIDGING TO THE CLINIC; ASSUMPTIONS AND PITFALLS</w:t>
      </w:r>
    </w:p>
    <w:p w14:paraId="78E0BB13" w14:textId="77777777" w:rsidR="007733CF" w:rsidRPr="007E2A5E" w:rsidRDefault="007733CF" w:rsidP="007A2846">
      <w:pPr>
        <w:spacing w:line="276" w:lineRule="auto"/>
        <w:rPr>
          <w:rFonts w:asciiTheme="majorHAnsi" w:hAnsiTheme="majorHAnsi"/>
        </w:rPr>
      </w:pPr>
      <w:r w:rsidRPr="007E2A5E">
        <w:rPr>
          <w:rFonts w:asciiTheme="majorHAnsi" w:hAnsiTheme="majorHAnsi"/>
        </w:rPr>
        <w:tab/>
      </w:r>
      <w:r w:rsidR="003F0EF1" w:rsidRPr="007E2A5E">
        <w:rPr>
          <w:rFonts w:asciiTheme="majorHAnsi" w:hAnsiTheme="majorHAnsi"/>
        </w:rPr>
        <w:t xml:space="preserve">A fundamental assumption that underpins </w:t>
      </w:r>
      <w:r w:rsidR="000D287F" w:rsidRPr="007E2A5E">
        <w:rPr>
          <w:rFonts w:asciiTheme="majorHAnsi" w:hAnsiTheme="majorHAnsi"/>
        </w:rPr>
        <w:t xml:space="preserve">all </w:t>
      </w:r>
      <w:r w:rsidR="003F0EF1" w:rsidRPr="007E2A5E">
        <w:rPr>
          <w:rFonts w:asciiTheme="majorHAnsi" w:hAnsiTheme="majorHAnsi"/>
        </w:rPr>
        <w:t>bridging studies is that the target for the drug is the microorganism, and the interaction between the two is independent of the host.</w:t>
      </w:r>
      <w:r w:rsidR="006C7B86">
        <w:rPr>
          <w:rFonts w:asciiTheme="majorHAnsi" w:hAnsiTheme="majorHAnsi"/>
        </w:rPr>
        <w:t xml:space="preserve"> </w:t>
      </w:r>
      <w:r w:rsidR="00926044" w:rsidRPr="007E2A5E">
        <w:rPr>
          <w:rFonts w:asciiTheme="majorHAnsi" w:hAnsiTheme="majorHAnsi"/>
        </w:rPr>
        <w:t>In such a paradigm, t</w:t>
      </w:r>
      <w:r w:rsidR="003F0EF1" w:rsidRPr="007E2A5E">
        <w:rPr>
          <w:rFonts w:asciiTheme="majorHAnsi" w:hAnsiTheme="majorHAnsi"/>
        </w:rPr>
        <w:t xml:space="preserve">he PD model is largely irrelevant to obtaining the “correct” result and merely serves as a </w:t>
      </w:r>
      <w:r w:rsidR="000C2F01">
        <w:rPr>
          <w:rFonts w:asciiTheme="majorHAnsi" w:hAnsiTheme="majorHAnsi"/>
        </w:rPr>
        <w:t>vessel</w:t>
      </w:r>
      <w:r w:rsidR="000C2F01" w:rsidRPr="007E2A5E">
        <w:rPr>
          <w:rFonts w:asciiTheme="majorHAnsi" w:hAnsiTheme="majorHAnsi"/>
        </w:rPr>
        <w:t xml:space="preserve"> </w:t>
      </w:r>
      <w:r w:rsidR="003F0EF1" w:rsidRPr="007E2A5E">
        <w:rPr>
          <w:rFonts w:asciiTheme="majorHAnsi" w:hAnsiTheme="majorHAnsi"/>
        </w:rPr>
        <w:t>that enables the interaction to occur.</w:t>
      </w:r>
      <w:r w:rsidR="006C7B86">
        <w:rPr>
          <w:rFonts w:asciiTheme="majorHAnsi" w:hAnsiTheme="majorHAnsi"/>
        </w:rPr>
        <w:t xml:space="preserve"> </w:t>
      </w:r>
      <w:r w:rsidR="003F0EF1" w:rsidRPr="007E2A5E">
        <w:rPr>
          <w:rFonts w:asciiTheme="majorHAnsi" w:hAnsiTheme="majorHAnsi"/>
        </w:rPr>
        <w:t>Thus, the dose-effect-response relationships of an antifungal agent will be the same regardless of whether they are established in a mouse,</w:t>
      </w:r>
      <w:r w:rsidR="0095217B">
        <w:rPr>
          <w:rFonts w:asciiTheme="majorHAnsi" w:hAnsiTheme="majorHAnsi"/>
        </w:rPr>
        <w:t xml:space="preserve"> rat, rabbit</w:t>
      </w:r>
      <w:r w:rsidR="003F0EF1" w:rsidRPr="007E2A5E">
        <w:rPr>
          <w:rFonts w:asciiTheme="majorHAnsi" w:hAnsiTheme="majorHAnsi"/>
        </w:rPr>
        <w:t xml:space="preserve"> or human.</w:t>
      </w:r>
      <w:r w:rsidR="006C7B86">
        <w:rPr>
          <w:rFonts w:asciiTheme="majorHAnsi" w:hAnsiTheme="majorHAnsi"/>
        </w:rPr>
        <w:t xml:space="preserve"> </w:t>
      </w:r>
      <w:r w:rsidR="003F0EF1" w:rsidRPr="007E2A5E">
        <w:rPr>
          <w:rFonts w:asciiTheme="majorHAnsi" w:hAnsiTheme="majorHAnsi"/>
        </w:rPr>
        <w:t xml:space="preserve">While such an assumption is central to the ability to bridge from any experimental systems to the clinic there are in fact a number of threats to the validity of the bridging process that must be considered to ensure it yields the “right” answer. </w:t>
      </w:r>
      <w:r w:rsidRPr="007E2A5E">
        <w:rPr>
          <w:rFonts w:asciiTheme="majorHAnsi" w:hAnsiTheme="majorHAnsi"/>
        </w:rPr>
        <w:t>In this regard, the following represent potential threats to the bridging process and are highlighted to ensure the development of an otherwise effective agent is not inappropriately terminated.</w:t>
      </w:r>
      <w:r w:rsidR="006C7B86">
        <w:rPr>
          <w:rFonts w:asciiTheme="majorHAnsi" w:hAnsiTheme="majorHAnsi"/>
        </w:rPr>
        <w:t xml:space="preserve"> </w:t>
      </w:r>
    </w:p>
    <w:p w14:paraId="6075C0FC" w14:textId="77777777" w:rsidR="00D656C0" w:rsidRDefault="00D656C0" w:rsidP="007A2846">
      <w:pPr>
        <w:spacing w:line="276" w:lineRule="auto"/>
        <w:rPr>
          <w:rFonts w:asciiTheme="majorHAnsi" w:hAnsiTheme="majorHAnsi"/>
        </w:rPr>
      </w:pPr>
    </w:p>
    <w:p w14:paraId="6E0E4D75" w14:textId="77777777" w:rsidR="00BA7E37" w:rsidRPr="007E2A5E" w:rsidRDefault="00E33E3D" w:rsidP="007A2846">
      <w:pPr>
        <w:spacing w:line="276" w:lineRule="auto"/>
        <w:rPr>
          <w:rFonts w:asciiTheme="majorHAnsi" w:hAnsiTheme="majorHAnsi"/>
          <w:i/>
        </w:rPr>
      </w:pPr>
      <w:r w:rsidRPr="007E2A5E">
        <w:rPr>
          <w:rFonts w:asciiTheme="majorHAnsi" w:hAnsiTheme="majorHAnsi"/>
          <w:i/>
        </w:rPr>
        <w:t>1. Is the m</w:t>
      </w:r>
      <w:r w:rsidR="00D656C0" w:rsidRPr="007E2A5E">
        <w:rPr>
          <w:rFonts w:asciiTheme="majorHAnsi" w:hAnsiTheme="majorHAnsi"/>
          <w:i/>
        </w:rPr>
        <w:t>odel</w:t>
      </w:r>
      <w:r w:rsidR="00501803" w:rsidRPr="007E2A5E">
        <w:rPr>
          <w:rFonts w:asciiTheme="majorHAnsi" w:hAnsiTheme="majorHAnsi"/>
          <w:i/>
        </w:rPr>
        <w:t xml:space="preserve"> </w:t>
      </w:r>
      <w:r w:rsidRPr="007E2A5E">
        <w:rPr>
          <w:rFonts w:asciiTheme="majorHAnsi" w:hAnsiTheme="majorHAnsi"/>
          <w:i/>
        </w:rPr>
        <w:t xml:space="preserve">a </w:t>
      </w:r>
      <w:r w:rsidR="00501803" w:rsidRPr="007E2A5E">
        <w:rPr>
          <w:rFonts w:asciiTheme="majorHAnsi" w:hAnsiTheme="majorHAnsi"/>
          <w:i/>
        </w:rPr>
        <w:t>faithful mimic</w:t>
      </w:r>
      <w:r w:rsidRPr="007E2A5E">
        <w:rPr>
          <w:rFonts w:asciiTheme="majorHAnsi" w:hAnsiTheme="majorHAnsi"/>
          <w:i/>
        </w:rPr>
        <w:t xml:space="preserve"> of human infection and d</w:t>
      </w:r>
      <w:r w:rsidR="002800C7" w:rsidRPr="007E2A5E">
        <w:rPr>
          <w:rFonts w:asciiTheme="majorHAnsi" w:hAnsiTheme="majorHAnsi"/>
          <w:i/>
        </w:rPr>
        <w:t>isease</w:t>
      </w:r>
      <w:r w:rsidR="00501803" w:rsidRPr="007E2A5E">
        <w:rPr>
          <w:rFonts w:asciiTheme="majorHAnsi" w:hAnsiTheme="majorHAnsi"/>
          <w:i/>
        </w:rPr>
        <w:t xml:space="preserve">?? </w:t>
      </w:r>
    </w:p>
    <w:p w14:paraId="672F9DC2" w14:textId="5B0A08B5" w:rsidR="002A53DC" w:rsidRPr="007E2A5E" w:rsidRDefault="00240B51" w:rsidP="007A2846">
      <w:pPr>
        <w:spacing w:line="276" w:lineRule="auto"/>
        <w:rPr>
          <w:rFonts w:asciiTheme="majorHAnsi" w:hAnsiTheme="majorHAnsi"/>
        </w:rPr>
      </w:pPr>
      <w:r w:rsidRPr="007E2A5E">
        <w:rPr>
          <w:rFonts w:asciiTheme="majorHAnsi" w:hAnsiTheme="majorHAnsi"/>
        </w:rPr>
        <w:tab/>
        <w:t>The site of infection, the under</w:t>
      </w:r>
      <w:r w:rsidR="007171EF" w:rsidRPr="007E2A5E">
        <w:rPr>
          <w:rFonts w:asciiTheme="majorHAnsi" w:hAnsiTheme="majorHAnsi"/>
        </w:rPr>
        <w:t>lying immune status, the stage o</w:t>
      </w:r>
      <w:r w:rsidRPr="007E2A5E">
        <w:rPr>
          <w:rFonts w:asciiTheme="majorHAnsi" w:hAnsiTheme="majorHAnsi"/>
        </w:rPr>
        <w:t>f infection and the timing of therap</w:t>
      </w:r>
      <w:r w:rsidR="007171EF" w:rsidRPr="007E2A5E">
        <w:rPr>
          <w:rFonts w:asciiTheme="majorHAnsi" w:hAnsiTheme="majorHAnsi"/>
        </w:rPr>
        <w:t xml:space="preserve">eutic intervention will all affect exposure-response relationships, and yield a variety of </w:t>
      </w:r>
      <w:r w:rsidR="00393E4A" w:rsidRPr="007E2A5E">
        <w:rPr>
          <w:rFonts w:asciiTheme="majorHAnsi" w:hAnsiTheme="majorHAnsi"/>
        </w:rPr>
        <w:t xml:space="preserve">potential </w:t>
      </w:r>
      <w:r w:rsidR="007171EF" w:rsidRPr="007E2A5E">
        <w:rPr>
          <w:rFonts w:asciiTheme="majorHAnsi" w:hAnsiTheme="majorHAnsi"/>
        </w:rPr>
        <w:t>pharmacodynamic targets.</w:t>
      </w:r>
      <w:r w:rsidR="006C7B86">
        <w:rPr>
          <w:rFonts w:asciiTheme="majorHAnsi" w:hAnsiTheme="majorHAnsi"/>
        </w:rPr>
        <w:t xml:space="preserve"> </w:t>
      </w:r>
      <w:r w:rsidR="00292BE5" w:rsidRPr="007E2A5E">
        <w:rPr>
          <w:rFonts w:asciiTheme="majorHAnsi" w:hAnsiTheme="majorHAnsi"/>
        </w:rPr>
        <w:t xml:space="preserve">This </w:t>
      </w:r>
      <w:r w:rsidR="00CB6145" w:rsidRPr="007E2A5E">
        <w:rPr>
          <w:rFonts w:asciiTheme="majorHAnsi" w:hAnsiTheme="majorHAnsi"/>
        </w:rPr>
        <w:t xml:space="preserve">immediately </w:t>
      </w:r>
      <w:r w:rsidR="00292BE5" w:rsidRPr="007E2A5E">
        <w:rPr>
          <w:rFonts w:asciiTheme="majorHAnsi" w:hAnsiTheme="majorHAnsi"/>
        </w:rPr>
        <w:t xml:space="preserve">raises the question </w:t>
      </w:r>
      <w:r w:rsidR="00107B45" w:rsidRPr="007E2A5E">
        <w:rPr>
          <w:rFonts w:asciiTheme="majorHAnsi" w:hAnsiTheme="majorHAnsi"/>
        </w:rPr>
        <w:t xml:space="preserve">is what is the “right” relationship </w:t>
      </w:r>
      <w:r w:rsidR="00393E4A" w:rsidRPr="007E2A5E">
        <w:rPr>
          <w:rFonts w:asciiTheme="majorHAnsi" w:hAnsiTheme="majorHAnsi"/>
        </w:rPr>
        <w:t xml:space="preserve">and endpoint </w:t>
      </w:r>
      <w:r w:rsidR="00107B45" w:rsidRPr="007E2A5E">
        <w:rPr>
          <w:rFonts w:asciiTheme="majorHAnsi" w:hAnsiTheme="majorHAnsi"/>
        </w:rPr>
        <w:t>to bring forward in the bridging study.</w:t>
      </w:r>
      <w:r w:rsidR="006C7B86">
        <w:rPr>
          <w:rFonts w:asciiTheme="majorHAnsi" w:hAnsiTheme="majorHAnsi"/>
        </w:rPr>
        <w:t xml:space="preserve"> </w:t>
      </w:r>
    </w:p>
    <w:p w14:paraId="28C415C3" w14:textId="57A39FD9" w:rsidR="002A53DC" w:rsidRPr="007E2A5E" w:rsidRDefault="002A53DC" w:rsidP="007A2846">
      <w:pPr>
        <w:spacing w:line="276" w:lineRule="auto"/>
        <w:rPr>
          <w:rFonts w:asciiTheme="majorHAnsi" w:hAnsiTheme="majorHAnsi"/>
        </w:rPr>
      </w:pPr>
      <w:r w:rsidRPr="007E2A5E">
        <w:rPr>
          <w:rFonts w:asciiTheme="majorHAnsi" w:hAnsiTheme="majorHAnsi"/>
        </w:rPr>
        <w:tab/>
      </w:r>
      <w:r w:rsidR="00107B45" w:rsidRPr="007E2A5E">
        <w:rPr>
          <w:rFonts w:asciiTheme="majorHAnsi" w:hAnsiTheme="majorHAnsi"/>
        </w:rPr>
        <w:t xml:space="preserve">One consideration is </w:t>
      </w:r>
      <w:r w:rsidR="00B716CB" w:rsidRPr="007E2A5E">
        <w:rPr>
          <w:rFonts w:asciiTheme="majorHAnsi" w:hAnsiTheme="majorHAnsi"/>
        </w:rPr>
        <w:t xml:space="preserve">that PK-PD models </w:t>
      </w:r>
      <w:r w:rsidR="00C477D7" w:rsidRPr="007E2A5E">
        <w:rPr>
          <w:rFonts w:asciiTheme="majorHAnsi" w:hAnsiTheme="majorHAnsi"/>
        </w:rPr>
        <w:t xml:space="preserve">conducted </w:t>
      </w:r>
      <w:r w:rsidR="00CB03C5" w:rsidRPr="007E2A5E">
        <w:rPr>
          <w:rFonts w:asciiTheme="majorHAnsi" w:hAnsiTheme="majorHAnsi"/>
        </w:rPr>
        <w:t xml:space="preserve">in profoundly immunosuppressed </w:t>
      </w:r>
      <w:r w:rsidR="006636E7" w:rsidRPr="007E2A5E">
        <w:rPr>
          <w:rFonts w:asciiTheme="majorHAnsi" w:hAnsiTheme="majorHAnsi"/>
        </w:rPr>
        <w:t xml:space="preserve">experimental </w:t>
      </w:r>
      <w:r w:rsidR="00CB03C5" w:rsidRPr="007E2A5E">
        <w:rPr>
          <w:rFonts w:asciiTheme="majorHAnsi" w:hAnsiTheme="majorHAnsi"/>
        </w:rPr>
        <w:t xml:space="preserve">models (e.g. persistent and profound neutropenia) </w:t>
      </w:r>
      <w:r w:rsidR="00B716CB" w:rsidRPr="007E2A5E">
        <w:rPr>
          <w:rFonts w:asciiTheme="majorHAnsi" w:hAnsiTheme="majorHAnsi"/>
        </w:rPr>
        <w:t xml:space="preserve">can be used to predict the very worst clinical scenario </w:t>
      </w:r>
      <w:r w:rsidR="00743B55" w:rsidRPr="007E2A5E">
        <w:rPr>
          <w:rFonts w:asciiTheme="majorHAnsi" w:hAnsiTheme="majorHAnsi"/>
        </w:rPr>
        <w:t>where</w:t>
      </w:r>
      <w:r w:rsidR="00B716CB" w:rsidRPr="007E2A5E">
        <w:rPr>
          <w:rFonts w:asciiTheme="majorHAnsi" w:hAnsiTheme="majorHAnsi"/>
        </w:rPr>
        <w:t xml:space="preserve"> </w:t>
      </w:r>
      <w:r w:rsidR="00743B55" w:rsidRPr="007E2A5E">
        <w:rPr>
          <w:rFonts w:asciiTheme="majorHAnsi" w:hAnsiTheme="majorHAnsi"/>
        </w:rPr>
        <w:t xml:space="preserve">the </w:t>
      </w:r>
      <w:r w:rsidR="00393E4A" w:rsidRPr="007E2A5E">
        <w:rPr>
          <w:rFonts w:asciiTheme="majorHAnsi" w:hAnsiTheme="majorHAnsi"/>
        </w:rPr>
        <w:t xml:space="preserve">clinical </w:t>
      </w:r>
      <w:r w:rsidR="00B77CB5" w:rsidRPr="007E2A5E">
        <w:rPr>
          <w:rFonts w:asciiTheme="majorHAnsi" w:hAnsiTheme="majorHAnsi"/>
        </w:rPr>
        <w:t>outcome</w:t>
      </w:r>
      <w:r w:rsidR="006636E7" w:rsidRPr="007E2A5E">
        <w:rPr>
          <w:rFonts w:asciiTheme="majorHAnsi" w:hAnsiTheme="majorHAnsi"/>
        </w:rPr>
        <w:t xml:space="preserve"> is </w:t>
      </w:r>
      <w:r w:rsidR="00C07104" w:rsidRPr="007E2A5E">
        <w:rPr>
          <w:rFonts w:asciiTheme="majorHAnsi" w:hAnsiTheme="majorHAnsi"/>
        </w:rPr>
        <w:t>solely</w:t>
      </w:r>
      <w:r w:rsidR="006636E7" w:rsidRPr="007E2A5E">
        <w:rPr>
          <w:rFonts w:asciiTheme="majorHAnsi" w:hAnsiTheme="majorHAnsi"/>
        </w:rPr>
        <w:t xml:space="preserve"> </w:t>
      </w:r>
      <w:r w:rsidR="00B77CB5" w:rsidRPr="007E2A5E">
        <w:rPr>
          <w:rFonts w:asciiTheme="majorHAnsi" w:hAnsiTheme="majorHAnsi"/>
        </w:rPr>
        <w:t>dependent</w:t>
      </w:r>
      <w:r w:rsidR="006636E7" w:rsidRPr="007E2A5E">
        <w:rPr>
          <w:rFonts w:asciiTheme="majorHAnsi" w:hAnsiTheme="majorHAnsi"/>
        </w:rPr>
        <w:t xml:space="preserve"> on the </w:t>
      </w:r>
      <w:r w:rsidR="00B77CB5" w:rsidRPr="007E2A5E">
        <w:rPr>
          <w:rFonts w:asciiTheme="majorHAnsi" w:hAnsiTheme="majorHAnsi"/>
        </w:rPr>
        <w:t xml:space="preserve">activity of the </w:t>
      </w:r>
      <w:r w:rsidR="006636E7" w:rsidRPr="007E2A5E">
        <w:rPr>
          <w:rFonts w:asciiTheme="majorHAnsi" w:hAnsiTheme="majorHAnsi"/>
        </w:rPr>
        <w:t>antifungal drug</w:t>
      </w:r>
      <w:r w:rsidR="00C07104" w:rsidRPr="007E2A5E">
        <w:rPr>
          <w:rFonts w:asciiTheme="majorHAnsi" w:hAnsiTheme="majorHAnsi"/>
        </w:rPr>
        <w:t xml:space="preserve"> killing </w:t>
      </w:r>
      <w:r w:rsidR="00393E4A" w:rsidRPr="007E2A5E">
        <w:rPr>
          <w:rFonts w:asciiTheme="majorHAnsi" w:hAnsiTheme="majorHAnsi"/>
        </w:rPr>
        <w:t xml:space="preserve">without </w:t>
      </w:r>
      <w:r w:rsidR="00511608" w:rsidRPr="007E2A5E">
        <w:rPr>
          <w:rFonts w:asciiTheme="majorHAnsi" w:hAnsiTheme="majorHAnsi"/>
        </w:rPr>
        <w:t xml:space="preserve">any contribution of </w:t>
      </w:r>
      <w:r w:rsidR="00393E4A" w:rsidRPr="007E2A5E">
        <w:rPr>
          <w:rFonts w:asciiTheme="majorHAnsi" w:hAnsiTheme="majorHAnsi"/>
        </w:rPr>
        <w:t>immunological effectors</w:t>
      </w:r>
      <w:r w:rsidR="00CB03C5" w:rsidRPr="007E2A5E">
        <w:rPr>
          <w:rFonts w:asciiTheme="majorHAnsi" w:hAnsiTheme="majorHAnsi"/>
        </w:rPr>
        <w:t>.</w:t>
      </w:r>
      <w:r w:rsidR="006C7B86">
        <w:rPr>
          <w:rFonts w:asciiTheme="majorHAnsi" w:hAnsiTheme="majorHAnsi"/>
        </w:rPr>
        <w:t xml:space="preserve"> </w:t>
      </w:r>
      <w:r w:rsidR="00F3204B" w:rsidRPr="007E2A5E">
        <w:rPr>
          <w:rFonts w:asciiTheme="majorHAnsi" w:hAnsiTheme="majorHAnsi"/>
        </w:rPr>
        <w:t xml:space="preserve">Such a position </w:t>
      </w:r>
      <w:r w:rsidRPr="007E2A5E">
        <w:rPr>
          <w:rFonts w:asciiTheme="majorHAnsi" w:hAnsiTheme="majorHAnsi"/>
        </w:rPr>
        <w:t xml:space="preserve">has the advantage of being conservative, but </w:t>
      </w:r>
      <w:r w:rsidR="00F3204B" w:rsidRPr="007E2A5E">
        <w:rPr>
          <w:rFonts w:asciiTheme="majorHAnsi" w:hAnsiTheme="majorHAnsi"/>
        </w:rPr>
        <w:t xml:space="preserve">may not </w:t>
      </w:r>
      <w:r w:rsidR="00511608" w:rsidRPr="007E2A5E">
        <w:rPr>
          <w:rFonts w:asciiTheme="majorHAnsi" w:hAnsiTheme="majorHAnsi"/>
        </w:rPr>
        <w:t>reasonably</w:t>
      </w:r>
      <w:r w:rsidR="00F3204B" w:rsidRPr="007E2A5E">
        <w:rPr>
          <w:rFonts w:asciiTheme="majorHAnsi" w:hAnsiTheme="majorHAnsi"/>
        </w:rPr>
        <w:t xml:space="preserve"> represent</w:t>
      </w:r>
      <w:r w:rsidR="00CD7D93" w:rsidRPr="007E2A5E">
        <w:rPr>
          <w:rFonts w:asciiTheme="majorHAnsi" w:hAnsiTheme="majorHAnsi"/>
        </w:rPr>
        <w:t xml:space="preserve"> the </w:t>
      </w:r>
      <w:r w:rsidR="00DD7A97" w:rsidRPr="007E2A5E">
        <w:rPr>
          <w:rFonts w:asciiTheme="majorHAnsi" w:hAnsiTheme="majorHAnsi"/>
        </w:rPr>
        <w:t xml:space="preserve">majority </w:t>
      </w:r>
      <w:r w:rsidR="00CD7D93" w:rsidRPr="007E2A5E">
        <w:rPr>
          <w:rFonts w:asciiTheme="majorHAnsi" w:hAnsiTheme="majorHAnsi"/>
        </w:rPr>
        <w:t xml:space="preserve">of patients that will be </w:t>
      </w:r>
      <w:r w:rsidR="00511608" w:rsidRPr="007E2A5E">
        <w:rPr>
          <w:rFonts w:asciiTheme="majorHAnsi" w:hAnsiTheme="majorHAnsi"/>
        </w:rPr>
        <w:t>encountered</w:t>
      </w:r>
      <w:r w:rsidR="00CD7D93" w:rsidRPr="007E2A5E">
        <w:rPr>
          <w:rFonts w:asciiTheme="majorHAnsi" w:hAnsiTheme="majorHAnsi"/>
        </w:rPr>
        <w:t xml:space="preserve"> in clinical trials (e.g. non-neutropenic patients with candidemia </w:t>
      </w:r>
      <w:r w:rsidR="004C42A6" w:rsidRPr="007E2A5E">
        <w:rPr>
          <w:rFonts w:asciiTheme="majorHAnsi" w:hAnsiTheme="majorHAnsi"/>
        </w:rPr>
        <w:t xml:space="preserve">or non-neutropenic </w:t>
      </w:r>
      <w:r w:rsidR="00414717">
        <w:rPr>
          <w:rFonts w:asciiTheme="majorHAnsi" w:hAnsiTheme="majorHAnsi"/>
        </w:rPr>
        <w:t>hematopoietic stem cell transplant (</w:t>
      </w:r>
      <w:r w:rsidR="004C42A6" w:rsidRPr="007E2A5E">
        <w:rPr>
          <w:rFonts w:asciiTheme="majorHAnsi" w:hAnsiTheme="majorHAnsi"/>
        </w:rPr>
        <w:t>HSCT</w:t>
      </w:r>
      <w:r w:rsidR="00414717">
        <w:rPr>
          <w:rFonts w:asciiTheme="majorHAnsi" w:hAnsiTheme="majorHAnsi"/>
        </w:rPr>
        <w:t>)</w:t>
      </w:r>
      <w:r w:rsidR="004C42A6" w:rsidRPr="007E2A5E">
        <w:rPr>
          <w:rFonts w:asciiTheme="majorHAnsi" w:hAnsiTheme="majorHAnsi"/>
        </w:rPr>
        <w:t xml:space="preserve"> recipients with invasive pulmonary aspergillosis).</w:t>
      </w:r>
      <w:r w:rsidR="00103193">
        <w:rPr>
          <w:rFonts w:asciiTheme="majorHAnsi" w:hAnsiTheme="majorHAnsi"/>
        </w:rPr>
        <w:t xml:space="preserve"> </w:t>
      </w:r>
      <w:r w:rsidR="00017E4C">
        <w:rPr>
          <w:rFonts w:asciiTheme="majorHAnsi" w:hAnsiTheme="majorHAnsi"/>
        </w:rPr>
        <w:t xml:space="preserve">It may </w:t>
      </w:r>
      <w:r w:rsidR="00227A61">
        <w:rPr>
          <w:rFonts w:asciiTheme="majorHAnsi" w:hAnsiTheme="majorHAnsi"/>
        </w:rPr>
        <w:t xml:space="preserve">also </w:t>
      </w:r>
      <w:r w:rsidR="00017E4C">
        <w:rPr>
          <w:rFonts w:asciiTheme="majorHAnsi" w:hAnsiTheme="majorHAnsi"/>
        </w:rPr>
        <w:t xml:space="preserve">be reasonable to </w:t>
      </w:r>
      <w:r w:rsidR="00E90859">
        <w:rPr>
          <w:rFonts w:asciiTheme="majorHAnsi" w:hAnsiTheme="majorHAnsi"/>
        </w:rPr>
        <w:t>assess the activity of new drugs</w:t>
      </w:r>
      <w:r w:rsidR="00017E4C">
        <w:rPr>
          <w:rFonts w:asciiTheme="majorHAnsi" w:hAnsiTheme="majorHAnsi"/>
        </w:rPr>
        <w:t xml:space="preserve"> </w:t>
      </w:r>
      <w:r w:rsidR="00E90859">
        <w:rPr>
          <w:rFonts w:asciiTheme="majorHAnsi" w:hAnsiTheme="majorHAnsi"/>
        </w:rPr>
        <w:t xml:space="preserve">in models with </w:t>
      </w:r>
      <w:r w:rsidR="00017E4C">
        <w:rPr>
          <w:rFonts w:asciiTheme="majorHAnsi" w:hAnsiTheme="majorHAnsi"/>
        </w:rPr>
        <w:t xml:space="preserve">less severe </w:t>
      </w:r>
      <w:r w:rsidR="000B2F0C">
        <w:rPr>
          <w:rFonts w:asciiTheme="majorHAnsi" w:hAnsiTheme="majorHAnsi"/>
        </w:rPr>
        <w:t xml:space="preserve">degrees of </w:t>
      </w:r>
      <w:r w:rsidR="00017E4C">
        <w:rPr>
          <w:rFonts w:asciiTheme="majorHAnsi" w:hAnsiTheme="majorHAnsi"/>
        </w:rPr>
        <w:t>immunosuppression</w:t>
      </w:r>
      <w:r w:rsidR="005C79A5">
        <w:rPr>
          <w:rFonts w:asciiTheme="majorHAnsi" w:hAnsiTheme="majorHAnsi"/>
        </w:rPr>
        <w:t xml:space="preserve"> to assess the impact </w:t>
      </w:r>
      <w:r w:rsidR="00577291">
        <w:rPr>
          <w:rFonts w:asciiTheme="majorHAnsi" w:hAnsiTheme="majorHAnsi"/>
        </w:rPr>
        <w:t xml:space="preserve">of host immunity </w:t>
      </w:r>
      <w:r w:rsidR="005C79A5">
        <w:rPr>
          <w:rFonts w:asciiTheme="majorHAnsi" w:hAnsiTheme="majorHAnsi"/>
        </w:rPr>
        <w:t>on exposure response relationships</w:t>
      </w:r>
      <w:r w:rsidR="0047692E">
        <w:rPr>
          <w:rFonts w:asciiTheme="majorHAnsi" w:hAnsiTheme="majorHAnsi"/>
        </w:rPr>
        <w:t>.</w:t>
      </w:r>
    </w:p>
    <w:p w14:paraId="05839E1A" w14:textId="426FF581" w:rsidR="00F3204B" w:rsidRPr="007E2A5E" w:rsidRDefault="002A53DC" w:rsidP="007A2846">
      <w:pPr>
        <w:spacing w:line="276" w:lineRule="auto"/>
        <w:rPr>
          <w:rFonts w:asciiTheme="majorHAnsi" w:hAnsiTheme="majorHAnsi"/>
        </w:rPr>
      </w:pPr>
      <w:r w:rsidRPr="007E2A5E">
        <w:rPr>
          <w:rFonts w:asciiTheme="majorHAnsi" w:hAnsiTheme="majorHAnsi"/>
        </w:rPr>
        <w:tab/>
        <w:t xml:space="preserve">An alternative approach is to provide a </w:t>
      </w:r>
      <w:r w:rsidR="00F3204B" w:rsidRPr="007E2A5E">
        <w:rPr>
          <w:rFonts w:asciiTheme="majorHAnsi" w:hAnsiTheme="majorHAnsi"/>
        </w:rPr>
        <w:t xml:space="preserve">range of pharmacodynamic targets </w:t>
      </w:r>
      <w:r w:rsidRPr="007E2A5E">
        <w:rPr>
          <w:rFonts w:asciiTheme="majorHAnsi" w:hAnsiTheme="majorHAnsi"/>
        </w:rPr>
        <w:t>that can be used in the bridging process</w:t>
      </w:r>
      <w:r w:rsidR="00955CA3" w:rsidRPr="007E2A5E">
        <w:rPr>
          <w:rFonts w:asciiTheme="majorHAnsi" w:hAnsiTheme="majorHAnsi"/>
        </w:rPr>
        <w:t>.</w:t>
      </w:r>
      <w:r w:rsidR="006C7B86">
        <w:rPr>
          <w:rFonts w:asciiTheme="majorHAnsi" w:hAnsiTheme="majorHAnsi"/>
        </w:rPr>
        <w:t xml:space="preserve"> </w:t>
      </w:r>
      <w:r w:rsidR="00955CA3" w:rsidRPr="007E2A5E">
        <w:rPr>
          <w:rFonts w:asciiTheme="majorHAnsi" w:hAnsiTheme="majorHAnsi"/>
        </w:rPr>
        <w:t xml:space="preserve">This has the advantage of reflecting the fact that patients are different and some will likely need more drug than others, but </w:t>
      </w:r>
      <w:r w:rsidR="00960409" w:rsidRPr="007E2A5E">
        <w:rPr>
          <w:rFonts w:asciiTheme="majorHAnsi" w:hAnsiTheme="majorHAnsi"/>
        </w:rPr>
        <w:t xml:space="preserve">has </w:t>
      </w:r>
      <w:r w:rsidR="00955CA3" w:rsidRPr="007E2A5E">
        <w:rPr>
          <w:rFonts w:asciiTheme="majorHAnsi" w:hAnsiTheme="majorHAnsi"/>
        </w:rPr>
        <w:t xml:space="preserve">the disadvantage of making things </w:t>
      </w:r>
      <w:r w:rsidR="006E5C25">
        <w:rPr>
          <w:rFonts w:asciiTheme="majorHAnsi" w:hAnsiTheme="majorHAnsi"/>
        </w:rPr>
        <w:t xml:space="preserve">more </w:t>
      </w:r>
      <w:r w:rsidR="00955CA3" w:rsidRPr="007E2A5E">
        <w:rPr>
          <w:rFonts w:asciiTheme="majorHAnsi" w:hAnsiTheme="majorHAnsi"/>
        </w:rPr>
        <w:t>complicated.</w:t>
      </w:r>
    </w:p>
    <w:p w14:paraId="25551121" w14:textId="77777777" w:rsidR="0054770F" w:rsidRPr="007E2A5E" w:rsidRDefault="0054770F" w:rsidP="007A2846">
      <w:pPr>
        <w:spacing w:line="276" w:lineRule="auto"/>
        <w:rPr>
          <w:rFonts w:asciiTheme="majorHAnsi" w:hAnsiTheme="majorHAnsi"/>
        </w:rPr>
      </w:pPr>
    </w:p>
    <w:p w14:paraId="4B7EF5FB" w14:textId="77777777" w:rsidR="00073C0F" w:rsidRPr="00B855FE" w:rsidRDefault="00073C0F" w:rsidP="007A2846">
      <w:pPr>
        <w:spacing w:line="276" w:lineRule="auto"/>
        <w:rPr>
          <w:rFonts w:asciiTheme="majorHAnsi" w:hAnsiTheme="majorHAnsi"/>
          <w:i/>
        </w:rPr>
      </w:pPr>
      <w:r w:rsidRPr="00B855FE">
        <w:rPr>
          <w:rFonts w:asciiTheme="majorHAnsi" w:hAnsiTheme="majorHAnsi"/>
          <w:i/>
        </w:rPr>
        <w:t>2. Experimental conditions used to establish the model</w:t>
      </w:r>
    </w:p>
    <w:p w14:paraId="60AF739A" w14:textId="3AFC3AC6" w:rsidR="002A731C" w:rsidRPr="007E2A5E" w:rsidRDefault="00BB76AC" w:rsidP="007A2846">
      <w:pPr>
        <w:spacing w:line="276" w:lineRule="auto"/>
        <w:rPr>
          <w:rFonts w:asciiTheme="majorHAnsi" w:hAnsiTheme="majorHAnsi"/>
        </w:rPr>
      </w:pPr>
      <w:r w:rsidRPr="007E2A5E">
        <w:rPr>
          <w:rFonts w:asciiTheme="majorHAnsi" w:hAnsiTheme="majorHAnsi"/>
        </w:rPr>
        <w:tab/>
        <w:t>Perhaps the most fundamental issue is that experimental models are established so that the readout following clinically relevant regimens of licensed antifungal agents is “on scale”, and does not result in a biological response that is negligible or maximal—neither scenario will result in useful information</w:t>
      </w:r>
      <w:r w:rsidR="00BF6C1F" w:rsidRPr="007E2A5E">
        <w:rPr>
          <w:rFonts w:asciiTheme="majorHAnsi" w:hAnsiTheme="majorHAnsi"/>
        </w:rPr>
        <w:t xml:space="preserve"> for the assessment of new agents</w:t>
      </w:r>
      <w:r w:rsidRPr="007E2A5E">
        <w:rPr>
          <w:rFonts w:asciiTheme="majorHAnsi" w:hAnsiTheme="majorHAnsi"/>
        </w:rPr>
        <w:t>.</w:t>
      </w:r>
      <w:r w:rsidR="006C7B86">
        <w:rPr>
          <w:rFonts w:asciiTheme="majorHAnsi" w:hAnsiTheme="majorHAnsi"/>
        </w:rPr>
        <w:t xml:space="preserve"> </w:t>
      </w:r>
      <w:r w:rsidRPr="007E2A5E">
        <w:rPr>
          <w:rFonts w:asciiTheme="majorHAnsi" w:hAnsiTheme="majorHAnsi"/>
        </w:rPr>
        <w:t xml:space="preserve">Experimental factors that </w:t>
      </w:r>
      <w:r w:rsidR="008D0933" w:rsidRPr="007E2A5E">
        <w:rPr>
          <w:rFonts w:asciiTheme="majorHAnsi" w:hAnsiTheme="majorHAnsi"/>
        </w:rPr>
        <w:t xml:space="preserve">are independent of the </w:t>
      </w:r>
      <w:r w:rsidR="007D3163" w:rsidRPr="007E2A5E">
        <w:rPr>
          <w:rFonts w:asciiTheme="majorHAnsi" w:hAnsiTheme="majorHAnsi"/>
        </w:rPr>
        <w:t xml:space="preserve">antifungal drug that </w:t>
      </w:r>
      <w:r w:rsidRPr="007E2A5E">
        <w:rPr>
          <w:rFonts w:asciiTheme="majorHAnsi" w:hAnsiTheme="majorHAnsi"/>
        </w:rPr>
        <w:t xml:space="preserve">may </w:t>
      </w:r>
      <w:r w:rsidR="008A6E73" w:rsidRPr="007E2A5E">
        <w:rPr>
          <w:rFonts w:asciiTheme="majorHAnsi" w:hAnsiTheme="majorHAnsi"/>
        </w:rPr>
        <w:t xml:space="preserve">affect exposure response relationships and therefore affect whether the model yields useful (i.e. predictive) information </w:t>
      </w:r>
      <w:r w:rsidR="00BF6C1F" w:rsidRPr="007E2A5E">
        <w:rPr>
          <w:rFonts w:asciiTheme="majorHAnsi" w:hAnsiTheme="majorHAnsi"/>
        </w:rPr>
        <w:t xml:space="preserve">include: (1) the </w:t>
      </w:r>
      <w:r w:rsidR="008D0933" w:rsidRPr="007E2A5E">
        <w:rPr>
          <w:rFonts w:asciiTheme="majorHAnsi" w:hAnsiTheme="majorHAnsi"/>
        </w:rPr>
        <w:t>challenge strain</w:t>
      </w:r>
      <w:r w:rsidR="00106ABB" w:rsidRPr="007E2A5E">
        <w:rPr>
          <w:rFonts w:asciiTheme="majorHAnsi" w:hAnsiTheme="majorHAnsi"/>
        </w:rPr>
        <w:t xml:space="preserve"> (e.g. its growth rate, virulence</w:t>
      </w:r>
      <w:r w:rsidR="004D32CF">
        <w:rPr>
          <w:rFonts w:asciiTheme="majorHAnsi" w:hAnsiTheme="majorHAnsi"/>
        </w:rPr>
        <w:fldChar w:fldCharType="begin" w:fldLock="1"/>
      </w:r>
      <w:r w:rsidR="00A23CE0">
        <w:rPr>
          <w:rFonts w:asciiTheme="majorHAnsi" w:hAnsiTheme="majorHAnsi"/>
        </w:rPr>
        <w:instrText>ADDIN CSL_CITATION { "citationItems" : [ { "id" : "ITEM-1", "itemData" : { "DOI" : "10.1128/AAC.00601-06", "ISBN" : "0066-4804 (Print)\r0066-4804 (Linking)", "PMID" : "17088486", "abstract" : "Disseminated candidiasis is associated with a high rate of morbidity and mortality. The presence of neutrophils and the timely administration of antifungal agents are likely to be critical factors for a favorable therapeutic outcome of this syndrome. The effect of neutropenia on the temporal profile of the burden of Candida albicans in untreated mice and those treated with amphotericin B was determined using a pharmacodynamic model of disseminated candidiasis. A mathematical model was developed to describe the rate and extent of the C. albicans killing attributable to neutrophils and to amphotericin B. The consequences of a delay in the administration of amphotericin B, flucytosine, or micafungin were studied by defining dose-response relationships. Neutrophils caused a logarithmic decline in fungal burden in treated and untreated mice. The combination of amphotericin B and neutrophils resulted in a high rate of Candida killing and a sustained anti-C. albicans effect. In neutropenic mice, 5 mg/kg of body weight of amphotericin B was required to prevent progressive logarithmic growth. An increased delay in drug administration resulted in a reduction in the maximum effect to a point at which no drug effect could be observed. Neutrophils and the timely initiation of antifungal agents are critical determinants in the treatment of experimental disseminated candidiasis.", "author" : [ { "dropping-particle" : "", "family" : "Hope", "given" : "William W", "non-dropping-particle" : "", "parse-names" : false, "suffix" : "" }, { "dropping-particle" : "", "family" : "Drusano", "given" : "George L", "non-dropping-particle" : "", "parse-names" : false, "suffix" : "" }, { "dropping-particle" : "", "family" : "Moore", "given" : "Caroline B", "non-dropping-particle" : "", "parse-names" : false, "suffix" : "" }, { "dropping-particle" : "", "family" : "Sharp", "given" : "Andrew", "non-dropping-particle" : "", "parse-names" : false, "suffix" : "" }, { "dropping-particle" : "", "family" : "Louie", "given" : "Arnold", "non-dropping-particle" : "", "parse-names" : false, "suffix" : "" }, { "dropping-particle" : "", "family" : "Walsh", "given" : "Thomas J", "non-dropping-particle" : "", "parse-names" : false, "suffix" : "" }, { "dropping-particle" : "", "family" : "Denning", "given" : "David W", "non-dropping-particle" : "", "parse-names" : false, "suffix" : "" }, { "dropping-particle" : "", "family" : "Warn", "given" : "Peter A", "non-dropping-particle" : "", "parse-names" : false, "suffix" : "" } ], "container-title" : "Antimicrobial agents and chemotherapy", "edition" : "2006/11/08", "id" : "ITEM-1", "issue" : "1", "issued" : { "date-parts" : [ [ "2007" ] ] }, "language" : "eng", "note" : "From Duplicate 1 (Effect of neutropenia and treatment delay on the response to antifungal agents in experimental disseminated candidiasis - Hope, W W; Drusano, G L; Moore, C B; Sharp, A; Louie, A; Walsh, T J; Denning, D W; Warn, P A)\n\nHope, William W\nDrusano, George L\nMoore, Caroline B\nSharp, Andrew\nLouie, Arnold\nWalsh, Thomas J\nDenning, David W\nWarn, Peter A\nAntimicrob Agents Chemother. 2007 Jan;51(1):285-95. Epub 2006 Nov 6.", "page" : "285-295", "publisher" : "Am Soc Microbiol", "title" : "Effect of neutropenia and treatment delay on the response to antifungal agents in experimental disseminated candidiasis", "type" : "article-journal", "volume" : "51" }, "uris" : [ "http://www.mendeley.com/documents/?uuid=92cc24b0-a885-41f8-99d8-828fadaff1a2" ] } ], "mendeley" : { "formattedCitation" : "&lt;sup&gt;9&lt;/sup&gt;", "plainTextFormattedCitation" : "9", "previouslyFormattedCitation" : "&lt;sup&gt;9&lt;/sup&gt;" }, "properties" : { "noteIndex" : 0 }, "schema" : "https://github.com/citation-style-language/schema/raw/master/csl-citation.json" }</w:instrText>
      </w:r>
      <w:r w:rsidR="004D32CF">
        <w:rPr>
          <w:rFonts w:asciiTheme="majorHAnsi" w:hAnsiTheme="majorHAnsi"/>
        </w:rPr>
        <w:fldChar w:fldCharType="separate"/>
      </w:r>
      <w:r w:rsidR="000B527C" w:rsidRPr="000B527C">
        <w:rPr>
          <w:rFonts w:asciiTheme="majorHAnsi" w:hAnsiTheme="majorHAnsi"/>
          <w:noProof/>
          <w:vertAlign w:val="superscript"/>
        </w:rPr>
        <w:t>9</w:t>
      </w:r>
      <w:r w:rsidR="004D32CF">
        <w:rPr>
          <w:rFonts w:asciiTheme="majorHAnsi" w:hAnsiTheme="majorHAnsi"/>
        </w:rPr>
        <w:fldChar w:fldCharType="end"/>
      </w:r>
      <w:r w:rsidR="00106ABB" w:rsidRPr="007E2A5E">
        <w:rPr>
          <w:rFonts w:asciiTheme="majorHAnsi" w:hAnsiTheme="majorHAnsi"/>
        </w:rPr>
        <w:t>)</w:t>
      </w:r>
      <w:r w:rsidR="008D0933" w:rsidRPr="007E2A5E">
        <w:rPr>
          <w:rFonts w:asciiTheme="majorHAnsi" w:hAnsiTheme="majorHAnsi"/>
        </w:rPr>
        <w:t xml:space="preserve">; (2) </w:t>
      </w:r>
      <w:r w:rsidR="007D3163" w:rsidRPr="007E2A5E">
        <w:rPr>
          <w:rFonts w:asciiTheme="majorHAnsi" w:hAnsiTheme="majorHAnsi"/>
        </w:rPr>
        <w:t xml:space="preserve">the time between inoculation and the </w:t>
      </w:r>
      <w:r w:rsidR="00193E45" w:rsidRPr="007E2A5E">
        <w:rPr>
          <w:rFonts w:asciiTheme="majorHAnsi" w:hAnsiTheme="majorHAnsi"/>
        </w:rPr>
        <w:t>commencement</w:t>
      </w:r>
      <w:r w:rsidR="007D3163" w:rsidRPr="007E2A5E">
        <w:rPr>
          <w:rFonts w:asciiTheme="majorHAnsi" w:hAnsiTheme="majorHAnsi"/>
        </w:rPr>
        <w:t xml:space="preserve"> of treatment</w:t>
      </w:r>
      <w:r w:rsidR="002622DC">
        <w:rPr>
          <w:rFonts w:asciiTheme="majorHAnsi" w:hAnsiTheme="majorHAnsi"/>
        </w:rPr>
        <w:t>;</w:t>
      </w:r>
      <w:r w:rsidR="004D32CF">
        <w:rPr>
          <w:rFonts w:asciiTheme="majorHAnsi" w:hAnsiTheme="majorHAnsi"/>
        </w:rPr>
        <w:fldChar w:fldCharType="begin" w:fldLock="1"/>
      </w:r>
      <w:r w:rsidR="00A23CE0">
        <w:rPr>
          <w:rFonts w:asciiTheme="majorHAnsi" w:hAnsiTheme="majorHAnsi"/>
        </w:rPr>
        <w:instrText>ADDIN CSL_CITATION { "citationItems" : [ { "id" : "ITEM-1", "itemData" : { "DOI" : "10.1128/AAC.00601-06", "ISBN" : "0066-4804 (Print)\r0066-4804 (Linking)", "PMID" : "17088486", "abstract" : "Disseminated candidiasis is associated with a high rate of morbidity and mortality. The presence of neutrophils and the timely administration of antifungal agents are likely to be critical factors for a favorable therapeutic outcome of this syndrome. The effect of neutropenia on the temporal profile of the burden of Candida albicans in untreated mice and those treated with amphotericin B was determined using a pharmacodynamic model of disseminated candidiasis. A mathematical model was developed to describe the rate and extent of the C. albicans killing attributable to neutrophils and to amphotericin B. The consequences of a delay in the administration of amphotericin B, flucytosine, or micafungin were studied by defining dose-response relationships. Neutrophils caused a logarithmic decline in fungal burden in treated and untreated mice. The combination of amphotericin B and neutrophils resulted in a high rate of Candida killing and a sustained anti-C. albicans effect. In neutropenic mice, 5 mg/kg of body weight of amphotericin B was required to prevent progressive logarithmic growth. An increased delay in drug administration resulted in a reduction in the maximum effect to a point at which no drug effect could be observed. Neutrophils and the timely initiation of antifungal agents are critical determinants in the treatment of experimental disseminated candidiasis.", "author" : [ { "dropping-particle" : "", "family" : "Hope", "given" : "William W", "non-dropping-particle" : "", "parse-names" : false, "suffix" : "" }, { "dropping-particle" : "", "family" : "Drusano", "given" : "George L", "non-dropping-particle" : "", "parse-names" : false, "suffix" : "" }, { "dropping-particle" : "", "family" : "Moore", "given" : "Caroline B", "non-dropping-particle" : "", "parse-names" : false, "suffix" : "" }, { "dropping-particle" : "", "family" : "Sharp", "given" : "Andrew", "non-dropping-particle" : "", "parse-names" : false, "suffix" : "" }, { "dropping-particle" : "", "family" : "Louie", "given" : "Arnold", "non-dropping-particle" : "", "parse-names" : false, "suffix" : "" }, { "dropping-particle" : "", "family" : "Walsh", "given" : "Thomas J", "non-dropping-particle" : "", "parse-names" : false, "suffix" : "" }, { "dropping-particle" : "", "family" : "Denning", "given" : "David W", "non-dropping-particle" : "", "parse-names" : false, "suffix" : "" }, { "dropping-particle" : "", "family" : "Warn", "given" : "Peter A", "non-dropping-particle" : "", "parse-names" : false, "suffix" : "" } ], "container-title" : "Antimicrobial agents and chemotherapy", "edition" : "2006/11/08", "id" : "ITEM-1", "issue" : "1", "issued" : { "date-parts" : [ [ "2007" ] ] }, "language" : "eng", "note" : "From Duplicate 1 (Effect of neutropenia and treatment delay on the response to antifungal agents in experimental disseminated candidiasis - Hope, W W; Drusano, G L; Moore, C B; Sharp, A; Louie, A; Walsh, T J; Denning, D W; Warn, P A)\n\nHope, William W\nDrusano, George L\nMoore, Caroline B\nSharp, Andrew\nLouie, Arnold\nWalsh, Thomas J\nDenning, David W\nWarn, Peter A\nAntimicrob Agents Chemother. 2007 Jan;51(1):285-95. Epub 2006 Nov 6.", "page" : "285-295", "publisher" : "Am Soc Microbiol", "title" : "Effect of neutropenia and treatment delay on the response to antifungal agents in experimental disseminated candidiasis", "type" : "article-journal", "volume" : "51" }, "uris" : [ "http://www.mendeley.com/documents/?uuid=92cc24b0-a885-41f8-99d8-828fadaff1a2" ] } ], "mendeley" : { "formattedCitation" : "&lt;sup&gt;9&lt;/sup&gt;", "plainTextFormattedCitation" : "9", "previouslyFormattedCitation" : "&lt;sup&gt;9&lt;/sup&gt;" }, "properties" : { "noteIndex" : 0 }, "schema" : "https://github.com/citation-style-language/schema/raw/master/csl-citation.json" }</w:instrText>
      </w:r>
      <w:r w:rsidR="004D32CF">
        <w:rPr>
          <w:rFonts w:asciiTheme="majorHAnsi" w:hAnsiTheme="majorHAnsi"/>
        </w:rPr>
        <w:fldChar w:fldCharType="separate"/>
      </w:r>
      <w:r w:rsidR="000B527C" w:rsidRPr="000B527C">
        <w:rPr>
          <w:rFonts w:asciiTheme="majorHAnsi" w:hAnsiTheme="majorHAnsi"/>
          <w:noProof/>
          <w:vertAlign w:val="superscript"/>
        </w:rPr>
        <w:t>9</w:t>
      </w:r>
      <w:r w:rsidR="004D32CF">
        <w:rPr>
          <w:rFonts w:asciiTheme="majorHAnsi" w:hAnsiTheme="majorHAnsi"/>
        </w:rPr>
        <w:fldChar w:fldCharType="end"/>
      </w:r>
      <w:r w:rsidR="007D3163" w:rsidRPr="007E2A5E">
        <w:rPr>
          <w:rFonts w:asciiTheme="majorHAnsi" w:hAnsiTheme="majorHAnsi"/>
        </w:rPr>
        <w:t xml:space="preserve"> (3) the immunosuppression at the time of inoculation and throughout the experimental period; </w:t>
      </w:r>
      <w:r w:rsidR="00836008" w:rsidRPr="007E2A5E">
        <w:rPr>
          <w:rFonts w:asciiTheme="majorHAnsi" w:hAnsiTheme="majorHAnsi"/>
        </w:rPr>
        <w:t xml:space="preserve">and </w:t>
      </w:r>
      <w:r w:rsidR="007D3163" w:rsidRPr="007E2A5E">
        <w:rPr>
          <w:rFonts w:asciiTheme="majorHAnsi" w:hAnsiTheme="majorHAnsi"/>
        </w:rPr>
        <w:t xml:space="preserve">(4) </w:t>
      </w:r>
      <w:r w:rsidR="00106ABB" w:rsidRPr="007E2A5E">
        <w:rPr>
          <w:rFonts w:asciiTheme="majorHAnsi" w:hAnsiTheme="majorHAnsi"/>
        </w:rPr>
        <w:t>the duration of the</w:t>
      </w:r>
      <w:r w:rsidR="00370E7D">
        <w:rPr>
          <w:rFonts w:asciiTheme="majorHAnsi" w:hAnsiTheme="majorHAnsi"/>
        </w:rPr>
        <w:t xml:space="preserve"> experiment</w:t>
      </w:r>
      <w:r w:rsidR="00836008" w:rsidRPr="007E2A5E">
        <w:rPr>
          <w:rFonts w:asciiTheme="majorHAnsi" w:hAnsiTheme="majorHAnsi"/>
        </w:rPr>
        <w:t>.</w:t>
      </w:r>
      <w:r w:rsidR="006C7B86">
        <w:rPr>
          <w:rFonts w:asciiTheme="majorHAnsi" w:hAnsiTheme="majorHAnsi"/>
        </w:rPr>
        <w:t xml:space="preserve"> </w:t>
      </w:r>
      <w:r w:rsidR="00DD5569" w:rsidRPr="007E2A5E">
        <w:rPr>
          <w:rFonts w:asciiTheme="majorHAnsi" w:hAnsiTheme="majorHAnsi"/>
        </w:rPr>
        <w:t>M</w:t>
      </w:r>
      <w:r w:rsidR="00836008" w:rsidRPr="007E2A5E">
        <w:rPr>
          <w:rFonts w:asciiTheme="majorHAnsi" w:hAnsiTheme="majorHAnsi"/>
        </w:rPr>
        <w:t xml:space="preserve">anipulation of these parameters </w:t>
      </w:r>
      <w:r w:rsidR="002A731C" w:rsidRPr="007E2A5E">
        <w:rPr>
          <w:rFonts w:asciiTheme="majorHAnsi" w:hAnsiTheme="majorHAnsi"/>
        </w:rPr>
        <w:t xml:space="preserve">is required </w:t>
      </w:r>
      <w:r w:rsidR="00836008" w:rsidRPr="007E2A5E">
        <w:rPr>
          <w:rFonts w:asciiTheme="majorHAnsi" w:hAnsiTheme="majorHAnsi"/>
        </w:rPr>
        <w:t xml:space="preserve">to yield </w:t>
      </w:r>
      <w:r w:rsidR="00DD5569" w:rsidRPr="007E2A5E">
        <w:rPr>
          <w:rFonts w:asciiTheme="majorHAnsi" w:hAnsiTheme="majorHAnsi"/>
        </w:rPr>
        <w:t>on scale readouts that in turn can be harnessed for assessment of new agents.</w:t>
      </w:r>
    </w:p>
    <w:p w14:paraId="45F2B77B" w14:textId="77777777" w:rsidR="008A6E73" w:rsidRDefault="008A6E73" w:rsidP="007A2846">
      <w:pPr>
        <w:spacing w:line="276" w:lineRule="auto"/>
        <w:rPr>
          <w:rFonts w:asciiTheme="majorHAnsi" w:hAnsiTheme="majorHAnsi"/>
        </w:rPr>
      </w:pPr>
    </w:p>
    <w:p w14:paraId="7C2BD9BD" w14:textId="56EF9B67" w:rsidR="00CC4F7F" w:rsidRPr="00CC4F7F" w:rsidRDefault="00CC4F7F" w:rsidP="007A2846">
      <w:pPr>
        <w:spacing w:line="276" w:lineRule="auto"/>
        <w:rPr>
          <w:rFonts w:asciiTheme="majorHAnsi" w:hAnsiTheme="majorHAnsi"/>
          <w:i/>
        </w:rPr>
      </w:pPr>
      <w:r w:rsidRPr="00CC4F7F">
        <w:rPr>
          <w:rFonts w:asciiTheme="majorHAnsi" w:hAnsiTheme="majorHAnsi"/>
          <w:i/>
        </w:rPr>
        <w:t>3. Pharmacokinetics</w:t>
      </w:r>
    </w:p>
    <w:p w14:paraId="2A6BB66E" w14:textId="1751856B" w:rsidR="00CC4F7F" w:rsidRDefault="00554D28" w:rsidP="007A2846">
      <w:pPr>
        <w:spacing w:line="276" w:lineRule="auto"/>
        <w:rPr>
          <w:rFonts w:asciiTheme="majorHAnsi" w:hAnsiTheme="majorHAnsi"/>
        </w:rPr>
      </w:pPr>
      <w:r>
        <w:rPr>
          <w:rFonts w:asciiTheme="majorHAnsi" w:hAnsiTheme="majorHAnsi"/>
        </w:rPr>
        <w:tab/>
        <w:t xml:space="preserve">Accurately describing the underlying of PK </w:t>
      </w:r>
      <w:r w:rsidR="00AF6904">
        <w:rPr>
          <w:rFonts w:asciiTheme="majorHAnsi" w:hAnsiTheme="majorHAnsi"/>
        </w:rPr>
        <w:t xml:space="preserve">in an infected experimental model is key.  Poor experimental design with sparse poorly informative </w:t>
      </w:r>
      <w:r w:rsidR="00AD2065">
        <w:rPr>
          <w:rFonts w:asciiTheme="majorHAnsi" w:hAnsiTheme="majorHAnsi"/>
        </w:rPr>
        <w:t>sampling</w:t>
      </w:r>
      <w:r w:rsidR="00AF6904">
        <w:rPr>
          <w:rFonts w:asciiTheme="majorHAnsi" w:hAnsiTheme="majorHAnsi"/>
        </w:rPr>
        <w:t xml:space="preserve"> and extrapolation to points well beyond the experimental </w:t>
      </w:r>
      <w:r w:rsidR="00AD2065">
        <w:rPr>
          <w:rFonts w:asciiTheme="majorHAnsi" w:hAnsiTheme="majorHAnsi"/>
        </w:rPr>
        <w:t xml:space="preserve">data </w:t>
      </w:r>
      <w:r w:rsidR="001A7992">
        <w:rPr>
          <w:rFonts w:asciiTheme="majorHAnsi" w:hAnsiTheme="majorHAnsi"/>
        </w:rPr>
        <w:t>will all result in biased results.  If the PK is wrong, all else will be wrong.</w:t>
      </w:r>
      <w:r w:rsidR="00584B2D">
        <w:rPr>
          <w:rFonts w:asciiTheme="majorHAnsi" w:hAnsiTheme="majorHAnsi"/>
        </w:rPr>
        <w:t xml:space="preserve">  There is no consensus as to what constitutes adequate experimental design and analysis</w:t>
      </w:r>
      <w:r w:rsidR="0019304E">
        <w:rPr>
          <w:rFonts w:asciiTheme="majorHAnsi" w:hAnsiTheme="majorHAnsi"/>
        </w:rPr>
        <w:t xml:space="preserve"> for PK, which is an area </w:t>
      </w:r>
      <w:r w:rsidR="00E87AAB">
        <w:rPr>
          <w:rFonts w:asciiTheme="majorHAnsi" w:hAnsiTheme="majorHAnsi"/>
        </w:rPr>
        <w:t>that could be improved</w:t>
      </w:r>
      <w:r w:rsidR="0019304E">
        <w:rPr>
          <w:rFonts w:asciiTheme="majorHAnsi" w:hAnsiTheme="majorHAnsi"/>
        </w:rPr>
        <w:t>.</w:t>
      </w:r>
      <w:r w:rsidR="00584B2D">
        <w:rPr>
          <w:rFonts w:asciiTheme="majorHAnsi" w:hAnsiTheme="majorHAnsi"/>
        </w:rPr>
        <w:t xml:space="preserve"> </w:t>
      </w:r>
    </w:p>
    <w:p w14:paraId="22F7E269" w14:textId="77777777" w:rsidR="001A7992" w:rsidRPr="007E2A5E" w:rsidRDefault="001A7992" w:rsidP="007A2846">
      <w:pPr>
        <w:spacing w:line="276" w:lineRule="auto"/>
        <w:rPr>
          <w:rFonts w:asciiTheme="majorHAnsi" w:hAnsiTheme="majorHAnsi"/>
        </w:rPr>
      </w:pPr>
    </w:p>
    <w:p w14:paraId="0B75D00A" w14:textId="3BE956A4" w:rsidR="00A1603B" w:rsidRPr="007E2A5E" w:rsidRDefault="00CC4F7F" w:rsidP="007A2846">
      <w:pPr>
        <w:spacing w:line="276" w:lineRule="auto"/>
        <w:rPr>
          <w:rFonts w:asciiTheme="majorHAnsi" w:hAnsiTheme="majorHAnsi"/>
          <w:i/>
        </w:rPr>
      </w:pPr>
      <w:r w:rsidRPr="00CC4F7F">
        <w:rPr>
          <w:rFonts w:asciiTheme="majorHAnsi" w:hAnsiTheme="majorHAnsi"/>
          <w:i/>
        </w:rPr>
        <w:t>4</w:t>
      </w:r>
      <w:r w:rsidR="004C42A6" w:rsidRPr="007E2A5E">
        <w:rPr>
          <w:rFonts w:asciiTheme="majorHAnsi" w:hAnsiTheme="majorHAnsi"/>
        </w:rPr>
        <w:t xml:space="preserve">. </w:t>
      </w:r>
      <w:r w:rsidR="00A1603B" w:rsidRPr="007E2A5E">
        <w:rPr>
          <w:rFonts w:asciiTheme="majorHAnsi" w:hAnsiTheme="majorHAnsi"/>
          <w:i/>
        </w:rPr>
        <w:t xml:space="preserve">The </w:t>
      </w:r>
      <w:r w:rsidR="004C42A6" w:rsidRPr="007E2A5E">
        <w:rPr>
          <w:rFonts w:asciiTheme="majorHAnsi" w:hAnsiTheme="majorHAnsi"/>
          <w:i/>
        </w:rPr>
        <w:t xml:space="preserve">study </w:t>
      </w:r>
      <w:r w:rsidR="00A1603B" w:rsidRPr="007E2A5E">
        <w:rPr>
          <w:rFonts w:asciiTheme="majorHAnsi" w:hAnsiTheme="majorHAnsi"/>
          <w:i/>
        </w:rPr>
        <w:t>endpoint problem</w:t>
      </w:r>
    </w:p>
    <w:p w14:paraId="41BAC7C1" w14:textId="27E8D629" w:rsidR="001C0D57" w:rsidRPr="001C0D57" w:rsidRDefault="00897C59" w:rsidP="007A2846">
      <w:pPr>
        <w:spacing w:line="276" w:lineRule="auto"/>
        <w:rPr>
          <w:rFonts w:asciiTheme="majorHAnsi" w:hAnsiTheme="majorHAnsi"/>
        </w:rPr>
      </w:pPr>
      <w:r w:rsidRPr="007E2A5E">
        <w:rPr>
          <w:rFonts w:asciiTheme="majorHAnsi" w:hAnsiTheme="majorHAnsi"/>
        </w:rPr>
        <w:tab/>
        <w:t xml:space="preserve">Meticulous </w:t>
      </w:r>
      <w:r w:rsidR="005C7AA3" w:rsidRPr="007E2A5E">
        <w:rPr>
          <w:rFonts w:asciiTheme="majorHAnsi" w:hAnsiTheme="majorHAnsi"/>
        </w:rPr>
        <w:t>description and quantification</w:t>
      </w:r>
      <w:r w:rsidRPr="007E2A5E">
        <w:rPr>
          <w:rFonts w:asciiTheme="majorHAnsi" w:hAnsiTheme="majorHAnsi"/>
        </w:rPr>
        <w:t xml:space="preserve"> of </w:t>
      </w:r>
      <w:r w:rsidR="00E43F11" w:rsidRPr="007E2A5E">
        <w:rPr>
          <w:rFonts w:asciiTheme="majorHAnsi" w:hAnsiTheme="majorHAnsi"/>
        </w:rPr>
        <w:t>exposure response relationships</w:t>
      </w:r>
      <w:r w:rsidRPr="007E2A5E">
        <w:rPr>
          <w:rFonts w:asciiTheme="majorHAnsi" w:hAnsiTheme="majorHAnsi"/>
        </w:rPr>
        <w:t xml:space="preserve"> </w:t>
      </w:r>
      <w:r w:rsidR="00166240" w:rsidRPr="007E2A5E">
        <w:rPr>
          <w:rFonts w:asciiTheme="majorHAnsi" w:hAnsiTheme="majorHAnsi"/>
        </w:rPr>
        <w:t xml:space="preserve">in a validated useful experimental model </w:t>
      </w:r>
      <w:r w:rsidRPr="007E2A5E">
        <w:rPr>
          <w:rFonts w:asciiTheme="majorHAnsi" w:hAnsiTheme="majorHAnsi"/>
        </w:rPr>
        <w:t xml:space="preserve">still leaves </w:t>
      </w:r>
      <w:r w:rsidR="001617CC" w:rsidRPr="007E2A5E">
        <w:rPr>
          <w:rFonts w:asciiTheme="majorHAnsi" w:hAnsiTheme="majorHAnsi"/>
        </w:rPr>
        <w:t xml:space="preserve">the problem of </w:t>
      </w:r>
      <w:r w:rsidR="00AD0664" w:rsidRPr="007E2A5E">
        <w:rPr>
          <w:rFonts w:asciiTheme="majorHAnsi" w:hAnsiTheme="majorHAnsi"/>
        </w:rPr>
        <w:t>deciding</w:t>
      </w:r>
      <w:r w:rsidR="00EB74D7" w:rsidRPr="007E2A5E">
        <w:rPr>
          <w:rFonts w:asciiTheme="majorHAnsi" w:hAnsiTheme="majorHAnsi"/>
        </w:rPr>
        <w:t xml:space="preserve"> what constitutes </w:t>
      </w:r>
      <w:r w:rsidR="001617CC" w:rsidRPr="007E2A5E">
        <w:rPr>
          <w:rFonts w:asciiTheme="majorHAnsi" w:hAnsiTheme="majorHAnsi"/>
        </w:rPr>
        <w:t xml:space="preserve">a </w:t>
      </w:r>
      <w:r w:rsidR="00EE4AF6" w:rsidRPr="007E2A5E">
        <w:rPr>
          <w:rFonts w:asciiTheme="majorHAnsi" w:hAnsiTheme="majorHAnsi"/>
        </w:rPr>
        <w:t>favourable or successful</w:t>
      </w:r>
      <w:r w:rsidR="00EB74D7" w:rsidRPr="007E2A5E">
        <w:rPr>
          <w:rFonts w:asciiTheme="majorHAnsi" w:hAnsiTheme="majorHAnsi"/>
        </w:rPr>
        <w:t xml:space="preserve"> </w:t>
      </w:r>
      <w:r w:rsidR="00B2738D" w:rsidRPr="007E2A5E">
        <w:rPr>
          <w:rFonts w:asciiTheme="majorHAnsi" w:hAnsiTheme="majorHAnsi"/>
        </w:rPr>
        <w:t xml:space="preserve">therapeutic </w:t>
      </w:r>
      <w:r w:rsidR="00EB74D7" w:rsidRPr="007E2A5E">
        <w:rPr>
          <w:rFonts w:asciiTheme="majorHAnsi" w:hAnsiTheme="majorHAnsi"/>
        </w:rPr>
        <w:t>outcome</w:t>
      </w:r>
      <w:r w:rsidR="00E43F11" w:rsidRPr="007E2A5E">
        <w:rPr>
          <w:rFonts w:asciiTheme="majorHAnsi" w:hAnsiTheme="majorHAnsi"/>
        </w:rPr>
        <w:t xml:space="preserve">. </w:t>
      </w:r>
      <w:r w:rsidR="00166240" w:rsidRPr="007E2A5E">
        <w:rPr>
          <w:rFonts w:asciiTheme="majorHAnsi" w:hAnsiTheme="majorHAnsi"/>
        </w:rPr>
        <w:t>A</w:t>
      </w:r>
      <w:r w:rsidR="00073C0F" w:rsidRPr="007E2A5E">
        <w:rPr>
          <w:rFonts w:asciiTheme="majorHAnsi" w:hAnsiTheme="majorHAnsi"/>
        </w:rPr>
        <w:t xml:space="preserve">n </w:t>
      </w:r>
      <w:r w:rsidR="00BB79A2" w:rsidRPr="007E2A5E">
        <w:rPr>
          <w:rFonts w:asciiTheme="majorHAnsi" w:hAnsiTheme="majorHAnsi"/>
        </w:rPr>
        <w:t xml:space="preserve">endpoint that is too draconian </w:t>
      </w:r>
      <w:r w:rsidR="000774FA" w:rsidRPr="007E2A5E">
        <w:rPr>
          <w:rFonts w:asciiTheme="majorHAnsi" w:hAnsiTheme="majorHAnsi"/>
        </w:rPr>
        <w:t xml:space="preserve">may lead to predictions of </w:t>
      </w:r>
      <w:r w:rsidR="00E41DAE">
        <w:rPr>
          <w:rFonts w:asciiTheme="majorHAnsi" w:hAnsiTheme="majorHAnsi"/>
        </w:rPr>
        <w:t xml:space="preserve">clinical </w:t>
      </w:r>
      <w:r w:rsidR="000774FA" w:rsidRPr="007E2A5E">
        <w:rPr>
          <w:rFonts w:asciiTheme="majorHAnsi" w:hAnsiTheme="majorHAnsi"/>
        </w:rPr>
        <w:t xml:space="preserve">regimens that </w:t>
      </w:r>
      <w:r w:rsidR="00E41DAE">
        <w:rPr>
          <w:rFonts w:asciiTheme="majorHAnsi" w:hAnsiTheme="majorHAnsi"/>
        </w:rPr>
        <w:t xml:space="preserve">are unrealistic and </w:t>
      </w:r>
      <w:r w:rsidR="00154F75">
        <w:rPr>
          <w:rFonts w:asciiTheme="majorHAnsi" w:hAnsiTheme="majorHAnsi"/>
        </w:rPr>
        <w:t>potentially toxic</w:t>
      </w:r>
      <w:r w:rsidR="00680DEB" w:rsidRPr="001C0D57">
        <w:rPr>
          <w:rFonts w:asciiTheme="majorHAnsi" w:hAnsiTheme="majorHAnsi"/>
        </w:rPr>
        <w:t>.</w:t>
      </w:r>
      <w:r w:rsidR="006C7B86" w:rsidRPr="001C0D57">
        <w:rPr>
          <w:rFonts w:asciiTheme="majorHAnsi" w:hAnsiTheme="majorHAnsi"/>
        </w:rPr>
        <w:t xml:space="preserve"> </w:t>
      </w:r>
      <w:r w:rsidR="00090312" w:rsidRPr="001C0D57">
        <w:rPr>
          <w:rFonts w:asciiTheme="majorHAnsi" w:hAnsiTheme="majorHAnsi"/>
        </w:rPr>
        <w:t xml:space="preserve">Thus, a well-intentioned investigator wanting to adopt the most conservative position may inadvertently </w:t>
      </w:r>
      <w:r w:rsidR="00370E7D" w:rsidRPr="001C0D57">
        <w:rPr>
          <w:rFonts w:asciiTheme="majorHAnsi" w:hAnsiTheme="majorHAnsi"/>
        </w:rPr>
        <w:t xml:space="preserve">define drug exposure for which there is simply not </w:t>
      </w:r>
      <w:r w:rsidR="00B765F4">
        <w:rPr>
          <w:rFonts w:asciiTheme="majorHAnsi" w:hAnsiTheme="majorHAnsi"/>
        </w:rPr>
        <w:t>adequate safety information as defined in preclinical GLP studies and early phase clinical trials</w:t>
      </w:r>
      <w:r w:rsidR="00090312" w:rsidRPr="001C0D57">
        <w:rPr>
          <w:rFonts w:asciiTheme="majorHAnsi" w:hAnsiTheme="majorHAnsi"/>
        </w:rPr>
        <w:t>.</w:t>
      </w:r>
      <w:r w:rsidR="006C7B86" w:rsidRPr="001C0D57">
        <w:rPr>
          <w:rFonts w:asciiTheme="majorHAnsi" w:hAnsiTheme="majorHAnsi"/>
        </w:rPr>
        <w:t xml:space="preserve"> </w:t>
      </w:r>
    </w:p>
    <w:p w14:paraId="358E12D4" w14:textId="70645E5F" w:rsidR="00787ADC" w:rsidRPr="001C0D57" w:rsidRDefault="001C0D57" w:rsidP="007A2846">
      <w:pPr>
        <w:spacing w:line="276" w:lineRule="auto"/>
        <w:rPr>
          <w:rFonts w:asciiTheme="majorHAnsi" w:hAnsiTheme="majorHAnsi"/>
        </w:rPr>
      </w:pPr>
      <w:r w:rsidRPr="001C0D57">
        <w:rPr>
          <w:rFonts w:asciiTheme="majorHAnsi" w:hAnsiTheme="majorHAnsi"/>
        </w:rPr>
        <w:tab/>
        <w:t>A</w:t>
      </w:r>
      <w:r w:rsidR="006E5C25">
        <w:rPr>
          <w:rFonts w:asciiTheme="majorHAnsi" w:hAnsiTheme="majorHAnsi"/>
        </w:rPr>
        <w:t xml:space="preserve">s </w:t>
      </w:r>
      <w:r w:rsidR="00932E48">
        <w:rPr>
          <w:rFonts w:asciiTheme="majorHAnsi" w:hAnsiTheme="majorHAnsi"/>
        </w:rPr>
        <w:t xml:space="preserve">a </w:t>
      </w:r>
      <w:r w:rsidR="006E5C25">
        <w:rPr>
          <w:rFonts w:asciiTheme="majorHAnsi" w:hAnsiTheme="majorHAnsi"/>
        </w:rPr>
        <w:t>pra</w:t>
      </w:r>
      <w:bookmarkStart w:id="0" w:name="_GoBack"/>
      <w:r w:rsidR="006E5C25">
        <w:rPr>
          <w:rFonts w:asciiTheme="majorHAnsi" w:hAnsiTheme="majorHAnsi"/>
        </w:rPr>
        <w:t>gm</w:t>
      </w:r>
      <w:bookmarkEnd w:id="0"/>
      <w:r w:rsidR="006E5C25">
        <w:rPr>
          <w:rFonts w:asciiTheme="majorHAnsi" w:hAnsiTheme="majorHAnsi"/>
        </w:rPr>
        <w:t>atic way forward, a</w:t>
      </w:r>
      <w:r w:rsidR="00AE4FD4" w:rsidRPr="001C0D57">
        <w:rPr>
          <w:rFonts w:asciiTheme="majorHAnsi" w:hAnsiTheme="majorHAnsi"/>
        </w:rPr>
        <w:t xml:space="preserve"> control </w:t>
      </w:r>
      <w:r w:rsidR="00595F4A" w:rsidRPr="001C0D57">
        <w:rPr>
          <w:rFonts w:asciiTheme="majorHAnsi" w:hAnsiTheme="majorHAnsi"/>
        </w:rPr>
        <w:t xml:space="preserve">agent </w:t>
      </w:r>
      <w:r w:rsidR="00AE4FD4" w:rsidRPr="001C0D57">
        <w:rPr>
          <w:rFonts w:asciiTheme="majorHAnsi" w:hAnsiTheme="majorHAnsi"/>
        </w:rPr>
        <w:t>with known preclinical-clinical relationships</w:t>
      </w:r>
      <w:r w:rsidR="00595F4A" w:rsidRPr="001C0D57">
        <w:rPr>
          <w:rFonts w:asciiTheme="majorHAnsi" w:hAnsiTheme="majorHAnsi"/>
        </w:rPr>
        <w:t xml:space="preserve"> </w:t>
      </w:r>
      <w:r w:rsidRPr="001C0D57">
        <w:rPr>
          <w:rFonts w:asciiTheme="majorHAnsi" w:hAnsiTheme="majorHAnsi"/>
        </w:rPr>
        <w:t xml:space="preserve">can be used </w:t>
      </w:r>
      <w:r w:rsidR="00595F4A" w:rsidRPr="001C0D57">
        <w:rPr>
          <w:rFonts w:asciiTheme="majorHAnsi" w:hAnsiTheme="majorHAnsi"/>
        </w:rPr>
        <w:t>as an internal benchmark</w:t>
      </w:r>
      <w:r w:rsidR="00372435" w:rsidRPr="001C0D57">
        <w:rPr>
          <w:rFonts w:asciiTheme="majorHAnsi" w:hAnsiTheme="majorHAnsi"/>
        </w:rPr>
        <w:t>.</w:t>
      </w:r>
      <w:r w:rsidR="006C7B86" w:rsidRPr="001C0D57">
        <w:rPr>
          <w:rFonts w:asciiTheme="majorHAnsi" w:hAnsiTheme="majorHAnsi"/>
        </w:rPr>
        <w:t xml:space="preserve"> </w:t>
      </w:r>
      <w:r w:rsidR="00372435" w:rsidRPr="001C0D57">
        <w:rPr>
          <w:rFonts w:asciiTheme="majorHAnsi" w:hAnsiTheme="majorHAnsi"/>
        </w:rPr>
        <w:t xml:space="preserve">Such an </w:t>
      </w:r>
      <w:r w:rsidR="00EA1FE8" w:rsidRPr="001C0D57">
        <w:rPr>
          <w:rFonts w:asciiTheme="majorHAnsi" w:hAnsiTheme="majorHAnsi"/>
        </w:rPr>
        <w:t xml:space="preserve">approach will </w:t>
      </w:r>
      <w:r w:rsidR="00787ADC" w:rsidRPr="001C0D57">
        <w:rPr>
          <w:rFonts w:asciiTheme="majorHAnsi" w:hAnsiTheme="majorHAnsi"/>
        </w:rPr>
        <w:t xml:space="preserve">define the </w:t>
      </w:r>
      <w:r w:rsidR="00B602B3" w:rsidRPr="001C0D57">
        <w:rPr>
          <w:rFonts w:asciiTheme="majorHAnsi" w:hAnsiTheme="majorHAnsi"/>
        </w:rPr>
        <w:t>minimum effect in the model that is likely to provide clinically useful activity.</w:t>
      </w:r>
      <w:r w:rsidR="002E78C9" w:rsidRPr="001C0D57">
        <w:rPr>
          <w:rFonts w:asciiTheme="majorHAnsi" w:hAnsiTheme="majorHAnsi"/>
        </w:rPr>
        <w:t xml:space="preserve"> </w:t>
      </w:r>
      <w:r w:rsidRPr="001C0D57">
        <w:rPr>
          <w:rFonts w:asciiTheme="majorHAnsi" w:hAnsiTheme="majorHAnsi"/>
        </w:rPr>
        <w:t>A</w:t>
      </w:r>
      <w:r w:rsidR="00787ADC" w:rsidRPr="001C0D57">
        <w:rPr>
          <w:rFonts w:asciiTheme="majorHAnsi" w:hAnsiTheme="majorHAnsi"/>
        </w:rPr>
        <w:t xml:space="preserve">ll </w:t>
      </w:r>
      <w:r w:rsidR="002E78C9" w:rsidRPr="001C0D57">
        <w:rPr>
          <w:rFonts w:asciiTheme="majorHAnsi" w:hAnsiTheme="majorHAnsi"/>
        </w:rPr>
        <w:t xml:space="preserve">available </w:t>
      </w:r>
      <w:r w:rsidR="00236A6D" w:rsidRPr="001C0D57">
        <w:rPr>
          <w:rFonts w:asciiTheme="majorHAnsi" w:hAnsiTheme="majorHAnsi"/>
        </w:rPr>
        <w:t>endpoints (sta</w:t>
      </w:r>
      <w:r w:rsidR="009823DD" w:rsidRPr="001C0D57">
        <w:rPr>
          <w:rFonts w:asciiTheme="majorHAnsi" w:hAnsiTheme="majorHAnsi"/>
        </w:rPr>
        <w:t>sis, various orders of logarithmic killin</w:t>
      </w:r>
      <w:r w:rsidR="00236A6D" w:rsidRPr="001C0D57">
        <w:rPr>
          <w:rFonts w:asciiTheme="majorHAnsi" w:hAnsiTheme="majorHAnsi"/>
        </w:rPr>
        <w:t xml:space="preserve">g) </w:t>
      </w:r>
      <w:r w:rsidRPr="001C0D57">
        <w:rPr>
          <w:rFonts w:asciiTheme="majorHAnsi" w:hAnsiTheme="majorHAnsi"/>
        </w:rPr>
        <w:t xml:space="preserve">should be reported </w:t>
      </w:r>
      <w:r>
        <w:rPr>
          <w:rFonts w:asciiTheme="majorHAnsi" w:hAnsiTheme="majorHAnsi"/>
        </w:rPr>
        <w:t>to help</w:t>
      </w:r>
      <w:r w:rsidRPr="001C0D57">
        <w:rPr>
          <w:rFonts w:asciiTheme="majorHAnsi" w:hAnsiTheme="majorHAnsi"/>
        </w:rPr>
        <w:t xml:space="preserve"> </w:t>
      </w:r>
      <w:r w:rsidR="002E78C9" w:rsidRPr="001C0D57">
        <w:rPr>
          <w:rFonts w:asciiTheme="majorHAnsi" w:hAnsiTheme="majorHAnsi"/>
        </w:rPr>
        <w:t>define</w:t>
      </w:r>
      <w:r w:rsidR="00D56620" w:rsidRPr="001C0D57">
        <w:rPr>
          <w:rFonts w:asciiTheme="majorHAnsi" w:hAnsiTheme="majorHAnsi"/>
        </w:rPr>
        <w:t xml:space="preserve"> </w:t>
      </w:r>
      <w:r>
        <w:rPr>
          <w:rFonts w:asciiTheme="majorHAnsi" w:hAnsiTheme="majorHAnsi"/>
        </w:rPr>
        <w:t>candidate</w:t>
      </w:r>
      <w:r w:rsidRPr="001C0D57">
        <w:rPr>
          <w:rFonts w:asciiTheme="majorHAnsi" w:hAnsiTheme="majorHAnsi"/>
        </w:rPr>
        <w:t xml:space="preserve"> </w:t>
      </w:r>
      <w:r w:rsidR="00D56620" w:rsidRPr="001C0D57">
        <w:rPr>
          <w:rFonts w:asciiTheme="majorHAnsi" w:hAnsiTheme="majorHAnsi"/>
        </w:rPr>
        <w:t>regimen</w:t>
      </w:r>
      <w:r>
        <w:rPr>
          <w:rFonts w:asciiTheme="majorHAnsi" w:hAnsiTheme="majorHAnsi"/>
        </w:rPr>
        <w:t>s</w:t>
      </w:r>
      <w:r w:rsidR="00D56620" w:rsidRPr="001C0D57">
        <w:rPr>
          <w:rFonts w:asciiTheme="majorHAnsi" w:hAnsiTheme="majorHAnsi"/>
        </w:rPr>
        <w:t xml:space="preserve"> that result in drug exposure that </w:t>
      </w:r>
      <w:r w:rsidR="00014F79">
        <w:rPr>
          <w:rFonts w:asciiTheme="majorHAnsi" w:hAnsiTheme="majorHAnsi"/>
        </w:rPr>
        <w:t>are effective and are</w:t>
      </w:r>
      <w:r w:rsidR="00014F79" w:rsidRPr="001C0D57">
        <w:rPr>
          <w:rFonts w:asciiTheme="majorHAnsi" w:hAnsiTheme="majorHAnsi"/>
        </w:rPr>
        <w:t xml:space="preserve"> </w:t>
      </w:r>
      <w:r w:rsidR="00D56620" w:rsidRPr="001C0D57">
        <w:rPr>
          <w:rFonts w:asciiTheme="majorHAnsi" w:hAnsiTheme="majorHAnsi"/>
        </w:rPr>
        <w:t xml:space="preserve">known (or </w:t>
      </w:r>
      <w:r w:rsidR="00014F79">
        <w:rPr>
          <w:rFonts w:asciiTheme="majorHAnsi" w:hAnsiTheme="majorHAnsi"/>
        </w:rPr>
        <w:t>expected</w:t>
      </w:r>
      <w:r w:rsidR="00D56620" w:rsidRPr="001C0D57">
        <w:rPr>
          <w:rFonts w:asciiTheme="majorHAnsi" w:hAnsiTheme="majorHAnsi"/>
        </w:rPr>
        <w:t>) to be safe</w:t>
      </w:r>
      <w:r w:rsidR="0012373C" w:rsidRPr="001C0D57">
        <w:rPr>
          <w:rFonts w:asciiTheme="majorHAnsi" w:hAnsiTheme="majorHAnsi"/>
        </w:rPr>
        <w:t xml:space="preserve"> from preclinical toxicology studies.</w:t>
      </w:r>
      <w:r w:rsidR="00073C18">
        <w:rPr>
          <w:rFonts w:asciiTheme="majorHAnsi" w:hAnsiTheme="majorHAnsi"/>
        </w:rPr>
        <w:t xml:space="preserve"> </w:t>
      </w:r>
    </w:p>
    <w:p w14:paraId="26750F15" w14:textId="77777777" w:rsidR="00AE4FD4" w:rsidRPr="007E2A5E" w:rsidRDefault="006C2389" w:rsidP="007A2846">
      <w:pPr>
        <w:spacing w:line="276" w:lineRule="auto"/>
        <w:rPr>
          <w:rFonts w:asciiTheme="majorHAnsi" w:hAnsiTheme="majorHAnsi"/>
        </w:rPr>
      </w:pPr>
      <w:r w:rsidRPr="007E2A5E">
        <w:rPr>
          <w:rFonts w:asciiTheme="majorHAnsi" w:hAnsiTheme="majorHAnsi"/>
        </w:rPr>
        <w:tab/>
      </w:r>
      <w:r w:rsidR="009956F0" w:rsidRPr="007E2A5E">
        <w:rPr>
          <w:rFonts w:asciiTheme="majorHAnsi" w:hAnsiTheme="majorHAnsi"/>
        </w:rPr>
        <w:t xml:space="preserve">A real problem occurs when </w:t>
      </w:r>
      <w:r w:rsidR="00AE4FD4" w:rsidRPr="007E2A5E">
        <w:rPr>
          <w:rFonts w:asciiTheme="majorHAnsi" w:hAnsiTheme="majorHAnsi"/>
        </w:rPr>
        <w:t xml:space="preserve">there is </w:t>
      </w:r>
      <w:r w:rsidR="009956F0" w:rsidRPr="007E2A5E">
        <w:rPr>
          <w:rFonts w:asciiTheme="majorHAnsi" w:hAnsiTheme="majorHAnsi"/>
        </w:rPr>
        <w:t xml:space="preserve">considerable uncertainty, as is the case when a new model is being developed, </w:t>
      </w:r>
      <w:r w:rsidRPr="007E2A5E">
        <w:rPr>
          <w:rFonts w:asciiTheme="majorHAnsi" w:hAnsiTheme="majorHAnsi"/>
        </w:rPr>
        <w:t>the absence of precedent, or with a</w:t>
      </w:r>
      <w:r w:rsidR="00F96419" w:rsidRPr="007E2A5E">
        <w:rPr>
          <w:rFonts w:asciiTheme="majorHAnsi" w:hAnsiTheme="majorHAnsi"/>
        </w:rPr>
        <w:t>n agent that is</w:t>
      </w:r>
      <w:r w:rsidRPr="007E2A5E">
        <w:rPr>
          <w:rFonts w:asciiTheme="majorHAnsi" w:hAnsiTheme="majorHAnsi"/>
        </w:rPr>
        <w:t xml:space="preserve"> first in class.</w:t>
      </w:r>
      <w:r w:rsidR="006C7B86">
        <w:rPr>
          <w:rFonts w:asciiTheme="majorHAnsi" w:hAnsiTheme="majorHAnsi"/>
        </w:rPr>
        <w:t xml:space="preserve"> </w:t>
      </w:r>
      <w:r w:rsidR="0008670F" w:rsidRPr="007E2A5E">
        <w:rPr>
          <w:rFonts w:asciiTheme="majorHAnsi" w:hAnsiTheme="majorHAnsi"/>
        </w:rPr>
        <w:t>In this circumstance, it may just be reasonable to use the entire drug</w:t>
      </w:r>
      <w:r w:rsidR="00595F4A">
        <w:rPr>
          <w:rFonts w:asciiTheme="majorHAnsi" w:hAnsiTheme="majorHAnsi"/>
        </w:rPr>
        <w:t>-</w:t>
      </w:r>
      <w:r w:rsidR="0008670F" w:rsidRPr="007E2A5E">
        <w:rPr>
          <w:rFonts w:asciiTheme="majorHAnsi" w:hAnsiTheme="majorHAnsi"/>
        </w:rPr>
        <w:t xml:space="preserve">exposure response relationship and </w:t>
      </w:r>
      <w:r w:rsidR="00CC69C9" w:rsidRPr="007E2A5E">
        <w:rPr>
          <w:rFonts w:asciiTheme="majorHAnsi" w:hAnsiTheme="majorHAnsi"/>
        </w:rPr>
        <w:t>show the predicted pharmacodynamic effect with different drug exposures that are known (or predicted) to come from the clinical pharmacokinetic studies.</w:t>
      </w:r>
    </w:p>
    <w:p w14:paraId="73D057B7" w14:textId="77777777" w:rsidR="00A1603B" w:rsidRPr="007E2A5E" w:rsidRDefault="00A1603B" w:rsidP="007A2846">
      <w:pPr>
        <w:spacing w:line="276" w:lineRule="auto"/>
        <w:rPr>
          <w:rFonts w:asciiTheme="majorHAnsi" w:hAnsiTheme="majorHAnsi"/>
        </w:rPr>
      </w:pPr>
    </w:p>
    <w:p w14:paraId="1AC20570" w14:textId="2A6CA9B4" w:rsidR="00A1603B" w:rsidRPr="00005D0D" w:rsidRDefault="00CC4F7F" w:rsidP="007A2846">
      <w:pPr>
        <w:spacing w:line="276" w:lineRule="auto"/>
        <w:rPr>
          <w:rFonts w:asciiTheme="majorHAnsi" w:hAnsiTheme="majorHAnsi"/>
          <w:i/>
        </w:rPr>
      </w:pPr>
      <w:r>
        <w:rPr>
          <w:rFonts w:asciiTheme="majorHAnsi" w:hAnsiTheme="majorHAnsi"/>
          <w:i/>
        </w:rPr>
        <w:t>5</w:t>
      </w:r>
      <w:r w:rsidR="003E00F1" w:rsidRPr="00005D0D">
        <w:rPr>
          <w:rFonts w:asciiTheme="majorHAnsi" w:hAnsiTheme="majorHAnsi"/>
          <w:i/>
        </w:rPr>
        <w:t xml:space="preserve">. </w:t>
      </w:r>
      <w:r w:rsidR="00902FC0" w:rsidRPr="00005D0D">
        <w:rPr>
          <w:rFonts w:asciiTheme="majorHAnsi" w:hAnsiTheme="majorHAnsi"/>
          <w:i/>
        </w:rPr>
        <w:t>Protein Binding</w:t>
      </w:r>
    </w:p>
    <w:p w14:paraId="20575A34" w14:textId="041A035D" w:rsidR="00DC752D" w:rsidRPr="007E2A5E" w:rsidRDefault="00735FAB" w:rsidP="007A2846">
      <w:pPr>
        <w:spacing w:line="276" w:lineRule="auto"/>
        <w:rPr>
          <w:rFonts w:asciiTheme="majorHAnsi" w:hAnsiTheme="majorHAnsi"/>
        </w:rPr>
      </w:pPr>
      <w:r w:rsidRPr="007E2A5E">
        <w:rPr>
          <w:rFonts w:asciiTheme="majorHAnsi" w:hAnsiTheme="majorHAnsi"/>
        </w:rPr>
        <w:tab/>
      </w:r>
      <w:r w:rsidR="00595F4A">
        <w:rPr>
          <w:rFonts w:asciiTheme="majorHAnsi" w:hAnsiTheme="majorHAnsi"/>
        </w:rPr>
        <w:t>Although it is generally accepted that only free drug exerts antibacterial activity</w:t>
      </w:r>
      <w:r w:rsidR="005809ED">
        <w:rPr>
          <w:rFonts w:asciiTheme="majorHAnsi" w:hAnsiTheme="majorHAnsi"/>
        </w:rPr>
        <w:t>,</w:t>
      </w:r>
      <w:r w:rsidR="004D32CF">
        <w:rPr>
          <w:rFonts w:asciiTheme="majorHAnsi" w:hAnsiTheme="majorHAnsi"/>
        </w:rPr>
        <w:fldChar w:fldCharType="begin" w:fldLock="1"/>
      </w:r>
      <w:r w:rsidR="00B84962">
        <w:rPr>
          <w:rFonts w:asciiTheme="majorHAnsi" w:hAnsiTheme="majorHAnsi"/>
        </w:rPr>
        <w:instrText>ADDIN CSL_CITATION { "citationItems" : [ { "id" : "ITEM-1", "itemData" : { "PMID" : "15031728", "author" : [ { "dropping-particle" : "", "family" : "Drusano", "given" : "G L", "non-dropping-particle" : "", "parse-names" : false, "suffix" : "" } ], "container-title" : "Nat Rev Microbiol", "id" : "ITEM-1", "issue" : "4", "issued" : { "date-parts" : [ [ "2004" ] ] }, "note" : "1740-1526 (Print)\nJournal Article\nReview", "page" : "289-300", "title" : "Antimicrobial pharmacodynamics: critical interactions of 'bug and drug'", "type" : "article-journal", "volume" : "2" }, "uris" : [ "http://www.mendeley.com/documents/?uuid=72c517be-a9ae-4933-a915-dcde30e7fb27" ] } ], "mendeley" : { "formattedCitation" : "&lt;sup&gt;8&lt;/sup&gt;", "plainTextFormattedCitation" : "8", "previouslyFormattedCitation" : "&lt;sup&gt;8&lt;/sup&gt;" }, "properties" : { "noteIndex" : 0 }, "schema" : "https://github.com/citation-style-language/schema/raw/master/csl-citation.json" }</w:instrText>
      </w:r>
      <w:r w:rsidR="004D32CF">
        <w:rPr>
          <w:rFonts w:asciiTheme="majorHAnsi" w:hAnsiTheme="majorHAnsi"/>
        </w:rPr>
        <w:fldChar w:fldCharType="separate"/>
      </w:r>
      <w:r w:rsidR="009E6997" w:rsidRPr="009E6997">
        <w:rPr>
          <w:rFonts w:asciiTheme="majorHAnsi" w:hAnsiTheme="majorHAnsi"/>
          <w:noProof/>
          <w:vertAlign w:val="superscript"/>
        </w:rPr>
        <w:t>8</w:t>
      </w:r>
      <w:r w:rsidR="004D32CF">
        <w:rPr>
          <w:rFonts w:asciiTheme="majorHAnsi" w:hAnsiTheme="majorHAnsi"/>
        </w:rPr>
        <w:fldChar w:fldCharType="end"/>
      </w:r>
      <w:r w:rsidR="00595F4A">
        <w:rPr>
          <w:rFonts w:asciiTheme="majorHAnsi" w:hAnsiTheme="majorHAnsi"/>
        </w:rPr>
        <w:t xml:space="preserve"> the effect of p</w:t>
      </w:r>
      <w:r w:rsidR="00720440" w:rsidRPr="006F2161">
        <w:rPr>
          <w:rFonts w:asciiTheme="majorHAnsi" w:hAnsiTheme="majorHAnsi"/>
        </w:rPr>
        <w:t xml:space="preserve">rotein binding </w:t>
      </w:r>
      <w:r w:rsidR="00595F4A">
        <w:rPr>
          <w:rFonts w:asciiTheme="majorHAnsi" w:hAnsiTheme="majorHAnsi"/>
        </w:rPr>
        <w:t>on</w:t>
      </w:r>
      <w:r w:rsidR="00595F4A" w:rsidRPr="007451B8">
        <w:rPr>
          <w:rFonts w:asciiTheme="majorHAnsi" w:hAnsiTheme="majorHAnsi"/>
        </w:rPr>
        <w:t xml:space="preserve"> </w:t>
      </w:r>
      <w:r w:rsidR="00084566" w:rsidRPr="007451B8">
        <w:rPr>
          <w:rFonts w:asciiTheme="majorHAnsi" w:hAnsiTheme="majorHAnsi"/>
        </w:rPr>
        <w:t>antifungal agent</w:t>
      </w:r>
      <w:r w:rsidR="00595F4A">
        <w:rPr>
          <w:rFonts w:asciiTheme="majorHAnsi" w:hAnsiTheme="majorHAnsi"/>
        </w:rPr>
        <w:t xml:space="preserve"> activity</w:t>
      </w:r>
      <w:r w:rsidR="00084566" w:rsidRPr="007451B8">
        <w:rPr>
          <w:rFonts w:asciiTheme="majorHAnsi" w:hAnsiTheme="majorHAnsi"/>
        </w:rPr>
        <w:t xml:space="preserve"> </w:t>
      </w:r>
      <w:r w:rsidR="00F96419" w:rsidRPr="007451B8">
        <w:rPr>
          <w:rFonts w:asciiTheme="majorHAnsi" w:hAnsiTheme="majorHAnsi"/>
        </w:rPr>
        <w:t>is</w:t>
      </w:r>
      <w:r w:rsidR="00720440" w:rsidRPr="007E2A5E">
        <w:rPr>
          <w:rFonts w:asciiTheme="majorHAnsi" w:hAnsiTheme="majorHAnsi"/>
        </w:rPr>
        <w:t xml:space="preserve"> </w:t>
      </w:r>
      <w:r w:rsidR="008C2827" w:rsidRPr="007E2A5E">
        <w:rPr>
          <w:rFonts w:asciiTheme="majorHAnsi" w:hAnsiTheme="majorHAnsi"/>
        </w:rPr>
        <w:t xml:space="preserve">relatively </w:t>
      </w:r>
      <w:r w:rsidR="00720440" w:rsidRPr="007E2A5E">
        <w:rPr>
          <w:rFonts w:asciiTheme="majorHAnsi" w:hAnsiTheme="majorHAnsi"/>
        </w:rPr>
        <w:t>poorly understood</w:t>
      </w:r>
      <w:r w:rsidR="000A5F8C" w:rsidRPr="007E2A5E">
        <w:rPr>
          <w:rFonts w:asciiTheme="majorHAnsi" w:hAnsiTheme="majorHAnsi"/>
        </w:rPr>
        <w:t>.</w:t>
      </w:r>
      <w:r w:rsidR="006C7B86">
        <w:rPr>
          <w:rFonts w:asciiTheme="majorHAnsi" w:hAnsiTheme="majorHAnsi"/>
        </w:rPr>
        <w:t xml:space="preserve"> </w:t>
      </w:r>
      <w:r w:rsidR="0044285A">
        <w:rPr>
          <w:rFonts w:asciiTheme="majorHAnsi" w:hAnsiTheme="majorHAnsi"/>
        </w:rPr>
        <w:t>It is especially difficult to know how to best handle</w:t>
      </w:r>
      <w:r w:rsidR="000A434D" w:rsidRPr="007E2A5E">
        <w:rPr>
          <w:rFonts w:asciiTheme="majorHAnsi" w:hAnsiTheme="majorHAnsi"/>
        </w:rPr>
        <w:t xml:space="preserve"> highly bound agents</w:t>
      </w:r>
      <w:r w:rsidR="0039277A" w:rsidRPr="007E2A5E">
        <w:rPr>
          <w:rFonts w:asciiTheme="majorHAnsi" w:hAnsiTheme="majorHAnsi"/>
        </w:rPr>
        <w:t>.</w:t>
      </w:r>
      <w:r w:rsidR="006C7B86">
        <w:rPr>
          <w:rFonts w:asciiTheme="majorHAnsi" w:hAnsiTheme="majorHAnsi"/>
        </w:rPr>
        <w:t xml:space="preserve"> </w:t>
      </w:r>
      <w:r w:rsidR="00EF7FC8" w:rsidRPr="007E2A5E">
        <w:rPr>
          <w:rFonts w:asciiTheme="majorHAnsi" w:hAnsiTheme="majorHAnsi"/>
        </w:rPr>
        <w:t xml:space="preserve">In general, </w:t>
      </w:r>
      <w:r w:rsidR="00595F4A">
        <w:rPr>
          <w:rFonts w:asciiTheme="majorHAnsi" w:hAnsiTheme="majorHAnsi"/>
        </w:rPr>
        <w:t xml:space="preserve">PK-PD </w:t>
      </w:r>
      <w:r w:rsidR="00D519C9" w:rsidRPr="007E2A5E">
        <w:rPr>
          <w:rFonts w:asciiTheme="majorHAnsi" w:hAnsiTheme="majorHAnsi"/>
        </w:rPr>
        <w:t xml:space="preserve">estimates </w:t>
      </w:r>
      <w:r w:rsidR="00595F4A">
        <w:rPr>
          <w:rFonts w:asciiTheme="majorHAnsi" w:hAnsiTheme="majorHAnsi"/>
        </w:rPr>
        <w:t xml:space="preserve">that incorporate adjustments for </w:t>
      </w:r>
      <w:r w:rsidR="00D519C9" w:rsidRPr="007E2A5E">
        <w:rPr>
          <w:rFonts w:asciiTheme="majorHAnsi" w:hAnsiTheme="majorHAnsi"/>
        </w:rPr>
        <w:t xml:space="preserve">protein binding </w:t>
      </w:r>
      <w:r w:rsidR="00EF7FC8" w:rsidRPr="007E2A5E">
        <w:rPr>
          <w:rFonts w:asciiTheme="majorHAnsi" w:hAnsiTheme="majorHAnsi"/>
        </w:rPr>
        <w:t xml:space="preserve">do not </w:t>
      </w:r>
      <w:r w:rsidR="00D519C9" w:rsidRPr="007E2A5E">
        <w:rPr>
          <w:rFonts w:asciiTheme="majorHAnsi" w:hAnsiTheme="majorHAnsi"/>
        </w:rPr>
        <w:t xml:space="preserve">provide </w:t>
      </w:r>
      <w:r w:rsidR="00EF7FC8" w:rsidRPr="007E2A5E">
        <w:rPr>
          <w:rFonts w:asciiTheme="majorHAnsi" w:hAnsiTheme="majorHAnsi"/>
        </w:rPr>
        <w:t xml:space="preserve">a better understanding of drug effect or </w:t>
      </w:r>
      <w:r w:rsidR="004C23E7" w:rsidRPr="007E2A5E">
        <w:rPr>
          <w:rFonts w:asciiTheme="majorHAnsi" w:hAnsiTheme="majorHAnsi"/>
        </w:rPr>
        <w:t>exposure response relationships, although it may facilitate</w:t>
      </w:r>
      <w:r w:rsidR="009D78B8" w:rsidRPr="007E2A5E">
        <w:rPr>
          <w:rFonts w:asciiTheme="majorHAnsi" w:hAnsiTheme="majorHAnsi"/>
        </w:rPr>
        <w:t xml:space="preserve"> comparison between agents within the same class</w:t>
      </w:r>
      <w:r w:rsidR="007247DC">
        <w:rPr>
          <w:rFonts w:asciiTheme="majorHAnsi" w:hAnsiTheme="majorHAnsi"/>
        </w:rPr>
        <w:t xml:space="preserve">, and be </w:t>
      </w:r>
      <w:r w:rsidR="005471CD">
        <w:rPr>
          <w:rFonts w:asciiTheme="majorHAnsi" w:hAnsiTheme="majorHAnsi"/>
        </w:rPr>
        <w:t xml:space="preserve">helpful </w:t>
      </w:r>
      <w:r w:rsidR="007247DC">
        <w:rPr>
          <w:rFonts w:asciiTheme="majorHAnsi" w:hAnsiTheme="majorHAnsi"/>
        </w:rPr>
        <w:t>for bridging from preclinical models to humans</w:t>
      </w:r>
      <w:r w:rsidR="009D78B8" w:rsidRPr="007E2A5E">
        <w:rPr>
          <w:rFonts w:asciiTheme="majorHAnsi" w:hAnsiTheme="majorHAnsi"/>
        </w:rPr>
        <w:t>.</w:t>
      </w:r>
      <w:r w:rsidR="006C7B86">
        <w:rPr>
          <w:rFonts w:asciiTheme="majorHAnsi" w:hAnsiTheme="majorHAnsi"/>
        </w:rPr>
        <w:t xml:space="preserve"> </w:t>
      </w:r>
      <w:r w:rsidR="00DC752D" w:rsidRPr="007E2A5E">
        <w:rPr>
          <w:rFonts w:asciiTheme="majorHAnsi" w:hAnsiTheme="majorHAnsi"/>
        </w:rPr>
        <w:t xml:space="preserve">One important issue </w:t>
      </w:r>
      <w:r w:rsidR="00333959" w:rsidRPr="007E2A5E">
        <w:rPr>
          <w:rFonts w:asciiTheme="majorHAnsi" w:hAnsiTheme="majorHAnsi"/>
        </w:rPr>
        <w:t xml:space="preserve">for bridging studies </w:t>
      </w:r>
      <w:r w:rsidR="00DC752D" w:rsidRPr="007E2A5E">
        <w:rPr>
          <w:rFonts w:asciiTheme="majorHAnsi" w:hAnsiTheme="majorHAnsi"/>
        </w:rPr>
        <w:t xml:space="preserve">is </w:t>
      </w:r>
      <w:r w:rsidR="00333959" w:rsidRPr="007E2A5E">
        <w:rPr>
          <w:rFonts w:asciiTheme="majorHAnsi" w:hAnsiTheme="majorHAnsi"/>
        </w:rPr>
        <w:t xml:space="preserve">to ensure there are </w:t>
      </w:r>
      <w:r w:rsidR="005A2A6D" w:rsidRPr="007E2A5E">
        <w:rPr>
          <w:rFonts w:asciiTheme="majorHAnsi" w:hAnsiTheme="majorHAnsi"/>
        </w:rPr>
        <w:t xml:space="preserve">robust estimates </w:t>
      </w:r>
      <w:r w:rsidR="00333959" w:rsidRPr="007E2A5E">
        <w:rPr>
          <w:rFonts w:asciiTheme="majorHAnsi" w:hAnsiTheme="majorHAnsi"/>
        </w:rPr>
        <w:t xml:space="preserve">for </w:t>
      </w:r>
      <w:r w:rsidR="00766F88" w:rsidRPr="007E2A5E">
        <w:rPr>
          <w:rFonts w:asciiTheme="majorHAnsi" w:hAnsiTheme="majorHAnsi"/>
        </w:rPr>
        <w:t xml:space="preserve">protein binding in both </w:t>
      </w:r>
      <w:r w:rsidR="00333959" w:rsidRPr="007E2A5E">
        <w:rPr>
          <w:rFonts w:asciiTheme="majorHAnsi" w:hAnsiTheme="majorHAnsi"/>
        </w:rPr>
        <w:t xml:space="preserve">the </w:t>
      </w:r>
      <w:r w:rsidR="00766F88" w:rsidRPr="007E2A5E">
        <w:rPr>
          <w:rFonts w:asciiTheme="majorHAnsi" w:hAnsiTheme="majorHAnsi"/>
        </w:rPr>
        <w:t>experimental system and in humans</w:t>
      </w:r>
      <w:r w:rsidR="00C3350B" w:rsidRPr="007E2A5E">
        <w:rPr>
          <w:rFonts w:asciiTheme="majorHAnsi" w:hAnsiTheme="majorHAnsi"/>
        </w:rPr>
        <w:t xml:space="preserve"> and a number of different approaches have been used to establish these relationships</w:t>
      </w:r>
      <w:r w:rsidR="00766F88" w:rsidRPr="007E2A5E">
        <w:rPr>
          <w:rFonts w:asciiTheme="majorHAnsi" w:hAnsiTheme="majorHAnsi"/>
        </w:rPr>
        <w:t>.</w:t>
      </w:r>
      <w:r w:rsidR="006C7B86">
        <w:rPr>
          <w:rFonts w:asciiTheme="majorHAnsi" w:hAnsiTheme="majorHAnsi"/>
        </w:rPr>
        <w:t xml:space="preserve"> </w:t>
      </w:r>
    </w:p>
    <w:p w14:paraId="522C3F6D" w14:textId="77777777" w:rsidR="00902FC0" w:rsidRDefault="00902FC0" w:rsidP="007A2846">
      <w:pPr>
        <w:spacing w:line="276" w:lineRule="auto"/>
        <w:rPr>
          <w:rFonts w:asciiTheme="majorHAnsi" w:hAnsiTheme="majorHAnsi"/>
        </w:rPr>
      </w:pPr>
    </w:p>
    <w:p w14:paraId="7BA710B3" w14:textId="1E1DC4C0" w:rsidR="00735FAB" w:rsidRPr="00B855FE" w:rsidRDefault="00CC4F7F" w:rsidP="007A2846">
      <w:pPr>
        <w:spacing w:line="276" w:lineRule="auto"/>
        <w:rPr>
          <w:rFonts w:asciiTheme="majorHAnsi" w:hAnsiTheme="majorHAnsi"/>
          <w:i/>
        </w:rPr>
      </w:pPr>
      <w:r>
        <w:rPr>
          <w:rFonts w:asciiTheme="majorHAnsi" w:hAnsiTheme="majorHAnsi"/>
          <w:i/>
        </w:rPr>
        <w:t>6</w:t>
      </w:r>
      <w:r w:rsidR="003E00F1" w:rsidRPr="00B855FE">
        <w:rPr>
          <w:rFonts w:asciiTheme="majorHAnsi" w:hAnsiTheme="majorHAnsi"/>
          <w:i/>
        </w:rPr>
        <w:t xml:space="preserve">. </w:t>
      </w:r>
      <w:r w:rsidR="00691BE7" w:rsidRPr="00B855FE">
        <w:rPr>
          <w:rFonts w:asciiTheme="majorHAnsi" w:hAnsiTheme="majorHAnsi"/>
          <w:i/>
        </w:rPr>
        <w:t>Active metabolites</w:t>
      </w:r>
    </w:p>
    <w:p w14:paraId="53389631" w14:textId="772BE3A5" w:rsidR="00735FAB" w:rsidRPr="007E2A5E" w:rsidRDefault="00004956" w:rsidP="007A2846">
      <w:pPr>
        <w:spacing w:line="276" w:lineRule="auto"/>
        <w:rPr>
          <w:rFonts w:asciiTheme="majorHAnsi" w:hAnsiTheme="majorHAnsi"/>
        </w:rPr>
      </w:pPr>
      <w:r w:rsidRPr="007E2A5E">
        <w:rPr>
          <w:rFonts w:asciiTheme="majorHAnsi" w:hAnsiTheme="majorHAnsi"/>
        </w:rPr>
        <w:tab/>
      </w:r>
      <w:r w:rsidR="0069054D" w:rsidRPr="006F2161">
        <w:rPr>
          <w:rFonts w:asciiTheme="majorHAnsi" w:hAnsiTheme="majorHAnsi"/>
        </w:rPr>
        <w:t xml:space="preserve">Some </w:t>
      </w:r>
      <w:r w:rsidR="00B0134C">
        <w:rPr>
          <w:rFonts w:asciiTheme="majorHAnsi" w:hAnsiTheme="majorHAnsi"/>
        </w:rPr>
        <w:t xml:space="preserve">antifungal </w:t>
      </w:r>
      <w:r w:rsidR="0069054D" w:rsidRPr="006F2161">
        <w:rPr>
          <w:rFonts w:asciiTheme="majorHAnsi" w:hAnsiTheme="majorHAnsi"/>
        </w:rPr>
        <w:t>agents have metabolites that are microbiologically active</w:t>
      </w:r>
      <w:r w:rsidR="00691BE7" w:rsidRPr="007451B8">
        <w:rPr>
          <w:rFonts w:asciiTheme="majorHAnsi" w:hAnsiTheme="majorHAnsi"/>
        </w:rPr>
        <w:t xml:space="preserve"> and it is imperative </w:t>
      </w:r>
      <w:r w:rsidR="004D7E12" w:rsidRPr="007451B8">
        <w:rPr>
          <w:rFonts w:asciiTheme="majorHAnsi" w:hAnsiTheme="majorHAnsi"/>
        </w:rPr>
        <w:t xml:space="preserve">to understand </w:t>
      </w:r>
      <w:r w:rsidR="00633BE7" w:rsidRPr="007E2A5E">
        <w:rPr>
          <w:rFonts w:asciiTheme="majorHAnsi" w:hAnsiTheme="majorHAnsi"/>
        </w:rPr>
        <w:t>the potency</w:t>
      </w:r>
      <w:r w:rsidR="00691BE7" w:rsidRPr="007E2A5E">
        <w:rPr>
          <w:rFonts w:asciiTheme="majorHAnsi" w:hAnsiTheme="majorHAnsi"/>
        </w:rPr>
        <w:t xml:space="preserve"> and</w:t>
      </w:r>
      <w:r w:rsidR="00633BE7" w:rsidRPr="007E2A5E">
        <w:rPr>
          <w:rFonts w:asciiTheme="majorHAnsi" w:hAnsiTheme="majorHAnsi"/>
        </w:rPr>
        <w:t xml:space="preserve"> extent of formation in both experimental systems and </w:t>
      </w:r>
      <w:r w:rsidR="00691BE7" w:rsidRPr="007E2A5E">
        <w:rPr>
          <w:rFonts w:asciiTheme="majorHAnsi" w:hAnsiTheme="majorHAnsi"/>
        </w:rPr>
        <w:t>humans</w:t>
      </w:r>
      <w:r w:rsidR="00633BE7" w:rsidRPr="007E2A5E">
        <w:rPr>
          <w:rFonts w:asciiTheme="majorHAnsi" w:hAnsiTheme="majorHAnsi"/>
        </w:rPr>
        <w:t>.</w:t>
      </w:r>
      <w:r w:rsidR="006C7B86">
        <w:rPr>
          <w:rFonts w:asciiTheme="majorHAnsi" w:hAnsiTheme="majorHAnsi"/>
        </w:rPr>
        <w:t xml:space="preserve"> </w:t>
      </w:r>
      <w:r w:rsidR="00B0134C">
        <w:rPr>
          <w:rFonts w:asciiTheme="majorHAnsi" w:hAnsiTheme="majorHAnsi"/>
        </w:rPr>
        <w:t xml:space="preserve">The best current example </w:t>
      </w:r>
      <w:r w:rsidR="004706E9">
        <w:rPr>
          <w:rFonts w:asciiTheme="majorHAnsi" w:hAnsiTheme="majorHAnsi"/>
        </w:rPr>
        <w:t xml:space="preserve">of currently licensed antifungal agents </w:t>
      </w:r>
      <w:r w:rsidR="00B0134C">
        <w:rPr>
          <w:rFonts w:asciiTheme="majorHAnsi" w:hAnsiTheme="majorHAnsi"/>
        </w:rPr>
        <w:t>is itraconazole</w:t>
      </w:r>
      <w:r w:rsidR="005471CD">
        <w:rPr>
          <w:rFonts w:asciiTheme="majorHAnsi" w:hAnsiTheme="majorHAnsi"/>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"DOI" : "10.1517/17425255.2013.794785", "ISSN" : "1744-7607", "PMID" : "23641752", "abstract" : "INTRODUCTION: Fungal infections are a major source of global morbidity and mortality. Itraconazole is a triazole antifungal agent that is widely used for the prevention and treatment of fungal infection. While newer antifungal agents are now available, itraconazole is an orally bioavailable agent with broad-spectrum antifungal activity. Itraconazole remains a useful drug for the management of allergic and invasive mycoses worldwide.\n\nAREAS COVERED: This article provides a summary of the pharmacokinetics, pharmacodynamics and clinical uses of itraconazole. Additionally, the authors summarise the safety and recently described toxicodynamics and discuss the value of therapeutic drug monitoring (TDM) with itraconazole. The following search criteria were constructed in order to identify relevant literature using PubMed and Ovid-MEDLINE: itraconazole, triazole, pharmacokinetics, pharmacodynamics, toxicodynamics and TDM. Relevant abstracts and articles identified from reviewing secondary citations were additionally retrieved and included if relevant.\n\nEXPERT OPINION: Itraconazole remains an important agent in the prevention and treatment of fungal infection. Itraconazole has a broad-spectrum of activity and is available in both an intravenous and oral form making long-term use in chronic mycoses practical. Itraconazole is widely used for the treatment of endemic fungal infections. Pharmacokinetic variability and clinically important drug interactions make TDM of itraconazole an important consideration.", "author" : [ { "dropping-particle" : "", "family" : "Lestner", "given" : "Jodi", "non-dropping-particle" : "", "parse-names" : false, "suffix" : "" }, { "dropping-particle" : "", "family" : "Hope", "given" : "William W", "non-dropping-particle" : "", "parse-names" : false, "suffix" : "" } ], "container-title" : "Expert opinion on drug metabolism &amp; toxicology", "id" : "ITEM-1", "issue" : "7", "issued" : { "date-parts" : [ [ "2013", "7" ] ] }, "page" : "911-26", "publisher" : "Informa UK, Ltd. London", "title" : "Itraconazole: an update on pharmacology and clinical use for treatment of invasive and allergic fungal infections.", "type" : "article-journal", "volume" : "9" }, "uris" : [ "http://www.mendeley.com/documents/?uuid=834dc9b7-341d-422b-b12a-3abfc8d5d258" ] } ], "mendeley" : { "formattedCitation" : "&lt;sup&gt;68&lt;/sup&gt;", "plainTextFormattedCitation" : "68", "previouslyFormattedCitation" : "&lt;sup&gt;68&lt;/sup&gt;"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68</w:t>
      </w:r>
      <w:r w:rsidR="004D32CF">
        <w:rPr>
          <w:rFonts w:asciiTheme="majorHAnsi" w:hAnsiTheme="majorHAnsi"/>
        </w:rPr>
        <w:fldChar w:fldCharType="end"/>
      </w:r>
    </w:p>
    <w:p w14:paraId="3CE6B6AF" w14:textId="77777777" w:rsidR="00722532" w:rsidRPr="007E2A5E" w:rsidRDefault="00722532" w:rsidP="007A2846">
      <w:pPr>
        <w:spacing w:line="276" w:lineRule="auto"/>
        <w:rPr>
          <w:rFonts w:asciiTheme="majorHAnsi" w:hAnsiTheme="majorHAnsi"/>
        </w:rPr>
      </w:pPr>
    </w:p>
    <w:p w14:paraId="79FB2C17" w14:textId="7C6979DB" w:rsidR="00902FC0" w:rsidRPr="00B855FE" w:rsidRDefault="00CC4F7F" w:rsidP="007A2846">
      <w:pPr>
        <w:spacing w:line="276" w:lineRule="auto"/>
        <w:rPr>
          <w:rFonts w:asciiTheme="majorHAnsi" w:hAnsiTheme="majorHAnsi"/>
          <w:i/>
        </w:rPr>
      </w:pPr>
      <w:r>
        <w:rPr>
          <w:rFonts w:asciiTheme="majorHAnsi" w:hAnsiTheme="majorHAnsi"/>
          <w:i/>
        </w:rPr>
        <w:t>7</w:t>
      </w:r>
      <w:r w:rsidR="003E00F1" w:rsidRPr="00B855FE">
        <w:rPr>
          <w:rFonts w:asciiTheme="majorHAnsi" w:hAnsiTheme="majorHAnsi"/>
          <w:i/>
        </w:rPr>
        <w:t xml:space="preserve">. </w:t>
      </w:r>
      <w:r w:rsidR="00902FC0" w:rsidRPr="00B855FE">
        <w:rPr>
          <w:rFonts w:asciiTheme="majorHAnsi" w:hAnsiTheme="majorHAnsi"/>
          <w:i/>
        </w:rPr>
        <w:t>Tissue site pharmacokinetics</w:t>
      </w:r>
    </w:p>
    <w:p w14:paraId="33D76A5D" w14:textId="20998FB1" w:rsidR="0010612D" w:rsidRPr="007E2A5E" w:rsidRDefault="0010612D" w:rsidP="007A2846">
      <w:pPr>
        <w:spacing w:line="276" w:lineRule="auto"/>
        <w:rPr>
          <w:rFonts w:asciiTheme="majorHAnsi" w:hAnsiTheme="majorHAnsi"/>
        </w:rPr>
      </w:pPr>
      <w:r w:rsidRPr="007E2A5E">
        <w:rPr>
          <w:rFonts w:asciiTheme="majorHAnsi" w:hAnsiTheme="majorHAnsi"/>
        </w:rPr>
        <w:tab/>
      </w:r>
      <w:r w:rsidR="00BF44B4" w:rsidRPr="006F2161">
        <w:rPr>
          <w:rFonts w:asciiTheme="majorHAnsi" w:hAnsiTheme="majorHAnsi"/>
        </w:rPr>
        <w:t xml:space="preserve">There </w:t>
      </w:r>
      <w:r w:rsidR="00EC3325">
        <w:rPr>
          <w:rFonts w:asciiTheme="majorHAnsi" w:hAnsiTheme="majorHAnsi"/>
        </w:rPr>
        <w:t>can be no doubt as to</w:t>
      </w:r>
      <w:r w:rsidR="00B43B01" w:rsidRPr="007451B8">
        <w:rPr>
          <w:rFonts w:asciiTheme="majorHAnsi" w:hAnsiTheme="majorHAnsi"/>
        </w:rPr>
        <w:t xml:space="preserve"> the </w:t>
      </w:r>
      <w:r w:rsidR="005471CD">
        <w:rPr>
          <w:rFonts w:asciiTheme="majorHAnsi" w:hAnsiTheme="majorHAnsi"/>
        </w:rPr>
        <w:t>biological relevance</w:t>
      </w:r>
      <w:r w:rsidR="005471CD" w:rsidRPr="007451B8">
        <w:rPr>
          <w:rFonts w:asciiTheme="majorHAnsi" w:hAnsiTheme="majorHAnsi"/>
        </w:rPr>
        <w:t xml:space="preserve"> </w:t>
      </w:r>
      <w:r w:rsidR="00B43B01" w:rsidRPr="007451B8">
        <w:rPr>
          <w:rFonts w:asciiTheme="majorHAnsi" w:hAnsiTheme="majorHAnsi"/>
        </w:rPr>
        <w:t>of drug</w:t>
      </w:r>
      <w:r w:rsidRPr="007E2A5E">
        <w:rPr>
          <w:rFonts w:asciiTheme="majorHAnsi" w:hAnsiTheme="majorHAnsi"/>
        </w:rPr>
        <w:t xml:space="preserve"> co</w:t>
      </w:r>
      <w:r w:rsidR="00EC3325">
        <w:rPr>
          <w:rFonts w:asciiTheme="majorHAnsi" w:hAnsiTheme="majorHAnsi"/>
        </w:rPr>
        <w:t>ncentrations at the effect site—</w:t>
      </w:r>
      <w:r w:rsidR="00B43B01" w:rsidRPr="007E2A5E">
        <w:rPr>
          <w:rFonts w:asciiTheme="majorHAnsi" w:hAnsiTheme="majorHAnsi"/>
        </w:rPr>
        <w:t>even if it is possible to</w:t>
      </w:r>
      <w:r w:rsidR="00A26FAB" w:rsidRPr="007E2A5E">
        <w:rPr>
          <w:rFonts w:asciiTheme="majorHAnsi" w:hAnsiTheme="majorHAnsi"/>
        </w:rPr>
        <w:t xml:space="preserve"> establish </w:t>
      </w:r>
      <w:r w:rsidR="00B43B01" w:rsidRPr="007E2A5E">
        <w:rPr>
          <w:rFonts w:asciiTheme="majorHAnsi" w:hAnsiTheme="majorHAnsi"/>
        </w:rPr>
        <w:t xml:space="preserve">a </w:t>
      </w:r>
      <w:r w:rsidR="00A26FAB" w:rsidRPr="007E2A5E">
        <w:rPr>
          <w:rFonts w:asciiTheme="majorHAnsi" w:hAnsiTheme="majorHAnsi"/>
        </w:rPr>
        <w:t>direct relationship between serum</w:t>
      </w:r>
      <w:r w:rsidR="00274D6F" w:rsidRPr="007E2A5E">
        <w:rPr>
          <w:rFonts w:asciiTheme="majorHAnsi" w:hAnsiTheme="majorHAnsi"/>
        </w:rPr>
        <w:t xml:space="preserve"> concentrations and the observed antimicrobial effect</w:t>
      </w:r>
      <w:r w:rsidRPr="007E2A5E">
        <w:rPr>
          <w:rFonts w:asciiTheme="majorHAnsi" w:hAnsiTheme="majorHAnsi"/>
        </w:rPr>
        <w:t>.</w:t>
      </w:r>
      <w:r w:rsidR="006C7B86">
        <w:rPr>
          <w:rFonts w:asciiTheme="majorHAnsi" w:hAnsiTheme="majorHAnsi"/>
        </w:rPr>
        <w:t xml:space="preserve"> </w:t>
      </w:r>
      <w:r w:rsidR="00274D6F" w:rsidRPr="007E2A5E">
        <w:rPr>
          <w:rFonts w:asciiTheme="majorHAnsi" w:hAnsiTheme="majorHAnsi"/>
        </w:rPr>
        <w:t xml:space="preserve">The </w:t>
      </w:r>
      <w:r w:rsidR="00B43B01" w:rsidRPr="007E2A5E">
        <w:rPr>
          <w:rFonts w:asciiTheme="majorHAnsi" w:hAnsiTheme="majorHAnsi"/>
        </w:rPr>
        <w:t xml:space="preserve">important </w:t>
      </w:r>
      <w:r w:rsidR="00274D6F" w:rsidRPr="007E2A5E">
        <w:rPr>
          <w:rFonts w:asciiTheme="majorHAnsi" w:hAnsiTheme="majorHAnsi"/>
        </w:rPr>
        <w:t>question</w:t>
      </w:r>
      <w:r w:rsidR="00B43B01" w:rsidRPr="007E2A5E">
        <w:rPr>
          <w:rFonts w:asciiTheme="majorHAnsi" w:hAnsiTheme="majorHAnsi"/>
        </w:rPr>
        <w:t>, however,</w:t>
      </w:r>
      <w:r w:rsidR="00274D6F" w:rsidRPr="007E2A5E">
        <w:rPr>
          <w:rFonts w:asciiTheme="majorHAnsi" w:hAnsiTheme="majorHAnsi"/>
        </w:rPr>
        <w:t xml:space="preserve"> is whether </w:t>
      </w:r>
      <w:r w:rsidR="00BF44B4" w:rsidRPr="007E2A5E">
        <w:rPr>
          <w:rFonts w:asciiTheme="majorHAnsi" w:hAnsiTheme="majorHAnsi"/>
        </w:rPr>
        <w:t xml:space="preserve">an understanding of </w:t>
      </w:r>
      <w:r w:rsidR="00274D6F" w:rsidRPr="007E2A5E">
        <w:rPr>
          <w:rFonts w:asciiTheme="majorHAnsi" w:hAnsiTheme="majorHAnsi"/>
        </w:rPr>
        <w:t xml:space="preserve">tissue concentrations </w:t>
      </w:r>
      <w:r w:rsidR="00BF44B4" w:rsidRPr="007E2A5E">
        <w:rPr>
          <w:rFonts w:asciiTheme="majorHAnsi" w:hAnsiTheme="majorHAnsi"/>
        </w:rPr>
        <w:t>enables</w:t>
      </w:r>
      <w:r w:rsidR="0061516F" w:rsidRPr="007E2A5E">
        <w:rPr>
          <w:rFonts w:asciiTheme="majorHAnsi" w:hAnsiTheme="majorHAnsi"/>
        </w:rPr>
        <w:t xml:space="preserve"> a better understanding of </w:t>
      </w:r>
      <w:r w:rsidR="00B57118" w:rsidRPr="007E2A5E">
        <w:rPr>
          <w:rFonts w:asciiTheme="majorHAnsi" w:hAnsiTheme="majorHAnsi"/>
        </w:rPr>
        <w:t>drug effect</w:t>
      </w:r>
      <w:r w:rsidR="005C7EF0" w:rsidRPr="007E2A5E">
        <w:rPr>
          <w:rFonts w:asciiTheme="majorHAnsi" w:hAnsiTheme="majorHAnsi"/>
        </w:rPr>
        <w:t xml:space="preserve"> and behaviour</w:t>
      </w:r>
      <w:r w:rsidR="006513F2">
        <w:rPr>
          <w:rFonts w:asciiTheme="majorHAnsi" w:hAnsiTheme="majorHAnsi"/>
        </w:rPr>
        <w:t>.</w:t>
      </w:r>
      <w:r w:rsidR="004D32CF">
        <w:rPr>
          <w:rFonts w:asciiTheme="majorHAnsi" w:hAnsiTheme="majorHAnsi"/>
        </w:rPr>
        <w:fldChar w:fldCharType="begin" w:fldLock="1"/>
      </w:r>
      <w:r w:rsidR="00D1426F">
        <w:rPr>
          <w:rFonts w:asciiTheme="majorHAnsi" w:hAnsiTheme="majorHAnsi"/>
        </w:rPr>
        <w:instrText>ADDIN CSL_CITATION { "citationItems" : [ { "id" : "ITEM-1", "itemData" : { "DOI" : "10.1128/CMR.00046-13", "ISBN" : "1098-6618 (Electronic) 0893-8512 (Linking)", "PMID" : "24396137", "abstract" : "Understanding the tissue penetration of systemically administered antifungal agents is critical for a proper appreciation of their antifungal efficacy in animals and humans. Both the time course of an antifungal drug and its absolute concentrations within tissues may differ significantly from those observed in the bloodstream. In addition, tissue concentrations must also be interpreted within the context of the pathogenesis of the various invasive fungal infections, which differ significantly. There are major technical obstacles to the estimation of concentrations of antifungal agents in various tissue subcompartments, yet these agents, even those within the same class, may exhibit markedly different tissue distributions. This review explores these issues and provides a summary of tissue concentrations of 11 currently licensed systemic antifungal agents. It also explores the therapeutic implications of their distribution at various sites of infection.", "author" : [ { "dropping-particle" : "", "family" : "Felton", "given" : "T", "non-dropping-particle" : "", "parse-names" : false, "suffix" : "" }, { "dropping-particle" : "", "family" : "Troke", "given" : "P F", "non-dropping-particle" : "", "parse-names" : false, "suffix" : "" }, { "dropping-particle" : "", "family" : "Hope", "given" : "W W", "non-dropping-particle" : "", "parse-names" : false, "suffix" : "" } ], "container-title" : "Clin Microbiol Rev", "id" : "ITEM-1", "issue" : "1", "issued" : { "date-parts" : [ [ "2014" ] ] }, "note" : "Felton, Timothy\nTroke, Peter F\nHope, William W\nG1000417/94909/Medical Research Council/United Kingdom\nClin Microbiol Rev. 2014 Jan;27(1):68-88. doi: 10.1128/CMR.00046-13.", "page" : "68-88", "title" : "Tissue penetration of antifungal agents", "type" : "article-journal", "volume" : "27" }, "uris" : [ "http://www.mendeley.com/documents/?uuid=7f87e2cc-a241-4e3f-8b4b-bdb1438f18b8" ] } ], "mendeley" : { "formattedCitation" : "&lt;sup&gt;69&lt;/sup&gt;", "plainTextFormattedCitation" : "69", "previouslyFormattedCitation" : "&lt;sup&gt;69&lt;/sup&gt;" }, "properties" : { "noteIndex" : 0 }, "schema" : "https://github.com/citation-style-language/schema/raw/master/csl-citation.json" }</w:instrText>
      </w:r>
      <w:r w:rsidR="004D32CF">
        <w:rPr>
          <w:rFonts w:asciiTheme="majorHAnsi" w:hAnsiTheme="majorHAnsi"/>
        </w:rPr>
        <w:fldChar w:fldCharType="separate"/>
      </w:r>
      <w:r w:rsidR="00D1426F" w:rsidRPr="00D1426F">
        <w:rPr>
          <w:rFonts w:asciiTheme="majorHAnsi" w:hAnsiTheme="majorHAnsi"/>
          <w:noProof/>
          <w:vertAlign w:val="superscript"/>
        </w:rPr>
        <w:t>69</w:t>
      </w:r>
      <w:r w:rsidR="004D32CF">
        <w:rPr>
          <w:rFonts w:asciiTheme="majorHAnsi" w:hAnsiTheme="majorHAnsi"/>
        </w:rPr>
        <w:fldChar w:fldCharType="end"/>
      </w:r>
      <w:r w:rsidR="006C7B86">
        <w:rPr>
          <w:rFonts w:asciiTheme="majorHAnsi" w:hAnsiTheme="majorHAnsi"/>
        </w:rPr>
        <w:t xml:space="preserve"> </w:t>
      </w:r>
      <w:r w:rsidR="00F426C4" w:rsidRPr="007E2A5E">
        <w:rPr>
          <w:rFonts w:asciiTheme="majorHAnsi" w:hAnsiTheme="majorHAnsi"/>
        </w:rPr>
        <w:t xml:space="preserve">For bridging studies, an assumption is frequently made that the trafficking of drug from the plasma to the effect site (i.e. tissue) is the same in </w:t>
      </w:r>
      <w:r w:rsidR="00322392" w:rsidRPr="007E2A5E">
        <w:rPr>
          <w:rFonts w:asciiTheme="majorHAnsi" w:hAnsiTheme="majorHAnsi"/>
        </w:rPr>
        <w:t>the experimental model and humans.</w:t>
      </w:r>
      <w:r w:rsidR="006C7B86">
        <w:rPr>
          <w:rFonts w:asciiTheme="majorHAnsi" w:hAnsiTheme="majorHAnsi"/>
        </w:rPr>
        <w:t xml:space="preserve"> </w:t>
      </w:r>
      <w:r w:rsidR="00322392" w:rsidRPr="007E2A5E">
        <w:rPr>
          <w:rFonts w:asciiTheme="majorHAnsi" w:hAnsiTheme="majorHAnsi"/>
        </w:rPr>
        <w:t>When considering how to handle tissue drug concentrations</w:t>
      </w:r>
      <w:r w:rsidR="00B43B01" w:rsidRPr="007E2A5E">
        <w:rPr>
          <w:rFonts w:asciiTheme="majorHAnsi" w:hAnsiTheme="majorHAnsi"/>
        </w:rPr>
        <w:t>, the following are relevant:</w:t>
      </w:r>
    </w:p>
    <w:p w14:paraId="6A183CF0" w14:textId="2E37BB0E" w:rsidR="006A2570" w:rsidRPr="007E2A5E" w:rsidRDefault="00B43B01" w:rsidP="007A2846">
      <w:pPr>
        <w:pStyle w:val="ListParagraph"/>
        <w:numPr>
          <w:ilvl w:val="0"/>
          <w:numId w:val="10"/>
        </w:numPr>
        <w:spacing w:line="276" w:lineRule="auto"/>
        <w:rPr>
          <w:rFonts w:asciiTheme="majorHAnsi" w:hAnsiTheme="majorHAnsi"/>
        </w:rPr>
      </w:pPr>
      <w:r w:rsidRPr="007E2A5E">
        <w:rPr>
          <w:rFonts w:asciiTheme="majorHAnsi" w:hAnsiTheme="majorHAnsi"/>
        </w:rPr>
        <w:t xml:space="preserve">The demonstration </w:t>
      </w:r>
      <w:r w:rsidR="006A2570" w:rsidRPr="007E2A5E">
        <w:rPr>
          <w:rFonts w:asciiTheme="majorHAnsi" w:hAnsiTheme="majorHAnsi"/>
        </w:rPr>
        <w:t xml:space="preserve">of </w:t>
      </w:r>
      <w:r w:rsidRPr="007E2A5E">
        <w:rPr>
          <w:rFonts w:asciiTheme="majorHAnsi" w:hAnsiTheme="majorHAnsi"/>
        </w:rPr>
        <w:t xml:space="preserve">drug </w:t>
      </w:r>
      <w:r w:rsidR="001706B3" w:rsidRPr="007E2A5E">
        <w:rPr>
          <w:rFonts w:asciiTheme="majorHAnsi" w:hAnsiTheme="majorHAnsi"/>
        </w:rPr>
        <w:t>concentration</w:t>
      </w:r>
      <w:r w:rsidRPr="007E2A5E">
        <w:rPr>
          <w:rFonts w:asciiTheme="majorHAnsi" w:hAnsiTheme="majorHAnsi"/>
        </w:rPr>
        <w:t>s</w:t>
      </w:r>
      <w:r w:rsidR="001706B3" w:rsidRPr="007E2A5E">
        <w:rPr>
          <w:rFonts w:asciiTheme="majorHAnsi" w:hAnsiTheme="majorHAnsi"/>
        </w:rPr>
        <w:t xml:space="preserve"> in tissue homogenates </w:t>
      </w:r>
      <w:r w:rsidR="00AB4290" w:rsidRPr="007E2A5E">
        <w:rPr>
          <w:rFonts w:asciiTheme="majorHAnsi" w:hAnsiTheme="majorHAnsi"/>
        </w:rPr>
        <w:t xml:space="preserve">is </w:t>
      </w:r>
      <w:r w:rsidR="0042034A" w:rsidRPr="007E2A5E">
        <w:rPr>
          <w:rFonts w:asciiTheme="majorHAnsi" w:hAnsiTheme="majorHAnsi"/>
        </w:rPr>
        <w:t>o</w:t>
      </w:r>
      <w:r w:rsidR="002E0F8B" w:rsidRPr="007E2A5E">
        <w:rPr>
          <w:rFonts w:asciiTheme="majorHAnsi" w:hAnsiTheme="majorHAnsi"/>
        </w:rPr>
        <w:t xml:space="preserve">f </w:t>
      </w:r>
      <w:r w:rsidR="00EC3325">
        <w:rPr>
          <w:rFonts w:asciiTheme="majorHAnsi" w:hAnsiTheme="majorHAnsi"/>
        </w:rPr>
        <w:t xml:space="preserve">relatively </w:t>
      </w:r>
      <w:r w:rsidR="002E0F8B" w:rsidRPr="007E2A5E">
        <w:rPr>
          <w:rFonts w:asciiTheme="majorHAnsi" w:hAnsiTheme="majorHAnsi"/>
        </w:rPr>
        <w:t xml:space="preserve">limited value in the absence of pharmacodynamic </w:t>
      </w:r>
      <w:r w:rsidR="0042034A" w:rsidRPr="007E2A5E">
        <w:rPr>
          <w:rFonts w:asciiTheme="majorHAnsi" w:hAnsiTheme="majorHAnsi"/>
        </w:rPr>
        <w:t>data</w:t>
      </w:r>
      <w:r w:rsidR="005C7EF0" w:rsidRPr="007E2A5E">
        <w:rPr>
          <w:rFonts w:asciiTheme="majorHAnsi" w:hAnsiTheme="majorHAnsi"/>
        </w:rPr>
        <w:t>.</w:t>
      </w:r>
      <w:r w:rsidR="006C7B86">
        <w:rPr>
          <w:rFonts w:asciiTheme="majorHAnsi" w:hAnsiTheme="majorHAnsi"/>
        </w:rPr>
        <w:t xml:space="preserve"> </w:t>
      </w:r>
    </w:p>
    <w:p w14:paraId="3EE6A425" w14:textId="77777777" w:rsidR="0042034A" w:rsidRPr="007E2A5E" w:rsidRDefault="00D91EA0" w:rsidP="007A2846">
      <w:pPr>
        <w:pStyle w:val="ListParagraph"/>
        <w:numPr>
          <w:ilvl w:val="0"/>
          <w:numId w:val="10"/>
        </w:numPr>
        <w:spacing w:line="276" w:lineRule="auto"/>
        <w:rPr>
          <w:rFonts w:asciiTheme="majorHAnsi" w:hAnsiTheme="majorHAnsi"/>
        </w:rPr>
      </w:pPr>
      <w:r w:rsidRPr="007E2A5E">
        <w:rPr>
          <w:rFonts w:asciiTheme="majorHAnsi" w:hAnsiTheme="majorHAnsi"/>
        </w:rPr>
        <w:t xml:space="preserve">A detailed understanding of tissue </w:t>
      </w:r>
      <w:r w:rsidR="002166EF" w:rsidRPr="007E2A5E">
        <w:rPr>
          <w:rFonts w:asciiTheme="majorHAnsi" w:hAnsiTheme="majorHAnsi"/>
        </w:rPr>
        <w:t>concentrations</w:t>
      </w:r>
      <w:r w:rsidRPr="007E2A5E">
        <w:rPr>
          <w:rFonts w:asciiTheme="majorHAnsi" w:hAnsiTheme="majorHAnsi"/>
        </w:rPr>
        <w:t xml:space="preserve"> </w:t>
      </w:r>
      <w:r w:rsidR="002166EF" w:rsidRPr="007E2A5E">
        <w:rPr>
          <w:rFonts w:asciiTheme="majorHAnsi" w:hAnsiTheme="majorHAnsi"/>
        </w:rPr>
        <w:t>c</w:t>
      </w:r>
      <w:r w:rsidR="00041B07" w:rsidRPr="007E2A5E">
        <w:rPr>
          <w:rFonts w:asciiTheme="majorHAnsi" w:hAnsiTheme="majorHAnsi"/>
        </w:rPr>
        <w:t xml:space="preserve">an be helpful in understanding </w:t>
      </w:r>
      <w:r w:rsidR="00727B5A" w:rsidRPr="007E2A5E">
        <w:rPr>
          <w:rFonts w:asciiTheme="majorHAnsi" w:hAnsiTheme="majorHAnsi"/>
        </w:rPr>
        <w:t xml:space="preserve">if there is </w:t>
      </w:r>
      <w:r w:rsidR="00BA6FFA">
        <w:rPr>
          <w:rFonts w:asciiTheme="majorHAnsi" w:hAnsiTheme="majorHAnsi"/>
        </w:rPr>
        <w:t>any</w:t>
      </w:r>
      <w:r w:rsidR="00316CC7" w:rsidRPr="007E2A5E">
        <w:rPr>
          <w:rFonts w:asciiTheme="majorHAnsi" w:hAnsiTheme="majorHAnsi"/>
        </w:rPr>
        <w:t xml:space="preserve"> disconnect between plasma concentrations and the </w:t>
      </w:r>
      <w:r w:rsidR="002166EF" w:rsidRPr="007E2A5E">
        <w:rPr>
          <w:rFonts w:asciiTheme="majorHAnsi" w:hAnsiTheme="majorHAnsi"/>
        </w:rPr>
        <w:t xml:space="preserve">observed </w:t>
      </w:r>
      <w:r w:rsidR="00316CC7" w:rsidRPr="007E2A5E">
        <w:rPr>
          <w:rFonts w:asciiTheme="majorHAnsi" w:hAnsiTheme="majorHAnsi"/>
        </w:rPr>
        <w:t>antifungal effect</w:t>
      </w:r>
      <w:r w:rsidR="00727B5A" w:rsidRPr="007E2A5E">
        <w:rPr>
          <w:rFonts w:asciiTheme="majorHAnsi" w:hAnsiTheme="majorHAnsi"/>
        </w:rPr>
        <w:t>)</w:t>
      </w:r>
      <w:r w:rsidR="00CF49D4" w:rsidRPr="007E2A5E">
        <w:rPr>
          <w:rFonts w:asciiTheme="majorHAnsi" w:hAnsiTheme="majorHAnsi"/>
        </w:rPr>
        <w:t>.</w:t>
      </w:r>
    </w:p>
    <w:p w14:paraId="3133FAEE" w14:textId="77777777" w:rsidR="00902FC0" w:rsidRDefault="00902FC0" w:rsidP="007A2846">
      <w:pPr>
        <w:spacing w:line="276" w:lineRule="auto"/>
        <w:rPr>
          <w:rFonts w:asciiTheme="majorHAnsi" w:hAnsiTheme="majorHAnsi"/>
        </w:rPr>
      </w:pPr>
    </w:p>
    <w:p w14:paraId="322E4DFC" w14:textId="4087413F" w:rsidR="00E652D4" w:rsidRPr="00772C55" w:rsidRDefault="00EC3325" w:rsidP="007A2846">
      <w:pPr>
        <w:spacing w:line="276" w:lineRule="auto"/>
        <w:rPr>
          <w:rFonts w:asciiTheme="majorHAnsi" w:hAnsiTheme="majorHAnsi"/>
          <w:i/>
        </w:rPr>
      </w:pPr>
      <w:r>
        <w:rPr>
          <w:rFonts w:asciiTheme="majorHAnsi" w:hAnsiTheme="majorHAnsi"/>
          <w:i/>
        </w:rPr>
        <w:t>8</w:t>
      </w:r>
      <w:r w:rsidR="00E652D4" w:rsidRPr="00772C55">
        <w:rPr>
          <w:rFonts w:asciiTheme="majorHAnsi" w:hAnsiTheme="majorHAnsi"/>
          <w:i/>
        </w:rPr>
        <w:t>. Study design</w:t>
      </w:r>
      <w:r w:rsidR="00772C55" w:rsidRPr="00772C55">
        <w:rPr>
          <w:rFonts w:asciiTheme="majorHAnsi" w:hAnsiTheme="majorHAnsi"/>
          <w:i/>
        </w:rPr>
        <w:t>, analysis and interpretation of data</w:t>
      </w:r>
    </w:p>
    <w:p w14:paraId="05D83E79" w14:textId="77777777" w:rsidR="002448A1" w:rsidRDefault="002448A1" w:rsidP="007A2846">
      <w:pPr>
        <w:spacing w:line="276" w:lineRule="auto"/>
        <w:rPr>
          <w:rFonts w:asciiTheme="majorHAnsi" w:hAnsiTheme="majorHAnsi"/>
        </w:rPr>
      </w:pPr>
      <w:r>
        <w:rPr>
          <w:rFonts w:asciiTheme="majorHAnsi" w:hAnsiTheme="majorHAnsi"/>
        </w:rPr>
        <w:tab/>
        <w:t xml:space="preserve">There are a number of issues related to the design of studies </w:t>
      </w:r>
      <w:r w:rsidR="009E504B">
        <w:rPr>
          <w:rFonts w:asciiTheme="majorHAnsi" w:hAnsiTheme="majorHAnsi"/>
        </w:rPr>
        <w:t>that are required for a strong case that underpins confidence that the drug is effective and further clinical studies are justified.</w:t>
      </w:r>
      <w:r>
        <w:rPr>
          <w:rFonts w:asciiTheme="majorHAnsi" w:hAnsiTheme="majorHAnsi"/>
        </w:rPr>
        <w:t xml:space="preserve"> </w:t>
      </w:r>
    </w:p>
    <w:p w14:paraId="3E249339" w14:textId="77777777" w:rsidR="00073C18" w:rsidRDefault="00073C18" w:rsidP="007A2846">
      <w:pPr>
        <w:spacing w:line="276" w:lineRule="auto"/>
        <w:rPr>
          <w:rFonts w:asciiTheme="majorHAnsi" w:hAnsiTheme="majorHAnsi"/>
        </w:rPr>
      </w:pPr>
    </w:p>
    <w:p w14:paraId="53E14C99" w14:textId="77777777" w:rsidR="00E652D4" w:rsidRPr="007E2A5E" w:rsidRDefault="00E652D4" w:rsidP="007A2846">
      <w:pPr>
        <w:pStyle w:val="ListParagraph"/>
        <w:numPr>
          <w:ilvl w:val="0"/>
          <w:numId w:val="34"/>
        </w:numPr>
        <w:spacing w:line="276" w:lineRule="auto"/>
        <w:rPr>
          <w:rFonts w:asciiTheme="majorHAnsi" w:hAnsiTheme="majorHAnsi"/>
        </w:rPr>
      </w:pPr>
      <w:r w:rsidRPr="007E2A5E">
        <w:rPr>
          <w:rFonts w:asciiTheme="majorHAnsi" w:hAnsiTheme="majorHAnsi"/>
        </w:rPr>
        <w:t>Studies should involve more than one challenge strain to capture biological variability and ensure a degree of geographical representation.</w:t>
      </w:r>
      <w:r>
        <w:rPr>
          <w:rFonts w:asciiTheme="majorHAnsi" w:hAnsiTheme="majorHAnsi"/>
        </w:rPr>
        <w:t xml:space="preserve"> </w:t>
      </w:r>
      <w:r w:rsidRPr="007E2A5E">
        <w:rPr>
          <w:rFonts w:asciiTheme="majorHAnsi" w:hAnsiTheme="majorHAnsi"/>
        </w:rPr>
        <w:t>The optimal number of</w:t>
      </w:r>
      <w:r w:rsidR="000863EB">
        <w:rPr>
          <w:rFonts w:asciiTheme="majorHAnsi" w:hAnsiTheme="majorHAnsi"/>
        </w:rPr>
        <w:t xml:space="preserve"> strains is difficult to define</w:t>
      </w:r>
      <w:r w:rsidRPr="007E2A5E">
        <w:rPr>
          <w:rFonts w:asciiTheme="majorHAnsi" w:hAnsiTheme="majorHAnsi"/>
        </w:rPr>
        <w:t>.</w:t>
      </w:r>
      <w:r>
        <w:rPr>
          <w:rFonts w:asciiTheme="majorHAnsi" w:hAnsiTheme="majorHAnsi"/>
        </w:rPr>
        <w:t xml:space="preserve"> </w:t>
      </w:r>
      <w:r w:rsidRPr="007E2A5E">
        <w:rPr>
          <w:rFonts w:asciiTheme="majorHAnsi" w:hAnsiTheme="majorHAnsi"/>
        </w:rPr>
        <w:t>Such strains need to be identified appropriately, using state-of-the art microbiological techniques that may include molecular approaches.</w:t>
      </w:r>
      <w:r>
        <w:rPr>
          <w:rFonts w:asciiTheme="majorHAnsi" w:hAnsiTheme="majorHAnsi"/>
        </w:rPr>
        <w:t xml:space="preserve"> </w:t>
      </w:r>
      <w:r w:rsidRPr="007E2A5E">
        <w:rPr>
          <w:rFonts w:asciiTheme="majorHAnsi" w:hAnsiTheme="majorHAnsi"/>
        </w:rPr>
        <w:t>If antifungal resistance is part of the argument related to unmet medical need, then these strains must be included in the dataset.</w:t>
      </w:r>
      <w:r>
        <w:rPr>
          <w:rFonts w:asciiTheme="majorHAnsi" w:hAnsiTheme="majorHAnsi"/>
        </w:rPr>
        <w:t xml:space="preserve"> </w:t>
      </w:r>
    </w:p>
    <w:p w14:paraId="05445C9B" w14:textId="77777777" w:rsidR="00E652D4" w:rsidRPr="007E2A5E" w:rsidRDefault="00E652D4" w:rsidP="007A2846">
      <w:pPr>
        <w:spacing w:line="276" w:lineRule="auto"/>
        <w:ind w:firstLine="60"/>
        <w:rPr>
          <w:rFonts w:asciiTheme="majorHAnsi" w:hAnsiTheme="majorHAnsi"/>
        </w:rPr>
      </w:pPr>
    </w:p>
    <w:p w14:paraId="2AA163AD" w14:textId="08D797E3" w:rsidR="00E652D4" w:rsidRDefault="00E652D4" w:rsidP="007A2846">
      <w:pPr>
        <w:pStyle w:val="ListParagraph"/>
        <w:numPr>
          <w:ilvl w:val="0"/>
          <w:numId w:val="34"/>
        </w:numPr>
        <w:spacing w:line="276" w:lineRule="auto"/>
        <w:rPr>
          <w:rFonts w:asciiTheme="majorHAnsi" w:hAnsiTheme="majorHAnsi"/>
        </w:rPr>
      </w:pPr>
      <w:r w:rsidRPr="007E2A5E">
        <w:rPr>
          <w:rFonts w:asciiTheme="majorHAnsi" w:hAnsiTheme="majorHAnsi"/>
        </w:rPr>
        <w:t>Ideally, more than one model system should be used</w:t>
      </w:r>
      <w:r w:rsidR="00312739">
        <w:rPr>
          <w:rFonts w:asciiTheme="majorHAnsi" w:hAnsiTheme="majorHAnsi"/>
        </w:rPr>
        <w:t xml:space="preserve"> (which may include more than one type of background immunosuppression)</w:t>
      </w:r>
      <w:r w:rsidRPr="007E2A5E">
        <w:rPr>
          <w:rFonts w:asciiTheme="majorHAnsi" w:hAnsiTheme="majorHAnsi"/>
        </w:rPr>
        <w:t xml:space="preserve">, especially for an agent that is </w:t>
      </w:r>
      <w:proofErr w:type="gramStart"/>
      <w:r w:rsidRPr="007E2A5E">
        <w:rPr>
          <w:rFonts w:asciiTheme="majorHAnsi" w:hAnsiTheme="majorHAnsi"/>
        </w:rPr>
        <w:t>first-in-class</w:t>
      </w:r>
      <w:proofErr w:type="gramEnd"/>
      <w:r w:rsidRPr="007E2A5E">
        <w:rPr>
          <w:rFonts w:asciiTheme="majorHAnsi" w:hAnsiTheme="majorHAnsi"/>
        </w:rPr>
        <w:t xml:space="preserve"> for which there is no pre-existing information.</w:t>
      </w:r>
      <w:r>
        <w:rPr>
          <w:rFonts w:asciiTheme="majorHAnsi" w:hAnsiTheme="majorHAnsi"/>
        </w:rPr>
        <w:t xml:space="preserve"> </w:t>
      </w:r>
      <w:r w:rsidRPr="007E2A5E">
        <w:rPr>
          <w:rFonts w:asciiTheme="majorHAnsi" w:hAnsiTheme="majorHAnsi"/>
        </w:rPr>
        <w:t>It may be reasonable to do the majority of the work in one model system and check important conclusions about antifungal activity in another.</w:t>
      </w:r>
      <w:r>
        <w:rPr>
          <w:rFonts w:asciiTheme="majorHAnsi" w:hAnsiTheme="majorHAnsi"/>
        </w:rPr>
        <w:t xml:space="preserve"> </w:t>
      </w:r>
      <w:r w:rsidRPr="007E2A5E">
        <w:rPr>
          <w:rFonts w:asciiTheme="majorHAnsi" w:hAnsiTheme="majorHAnsi"/>
        </w:rPr>
        <w:t>An in-depth understanding of the strengths and limitations of each of the models is required.</w:t>
      </w:r>
      <w:r>
        <w:rPr>
          <w:rFonts w:asciiTheme="majorHAnsi" w:hAnsiTheme="majorHAnsi"/>
        </w:rPr>
        <w:t xml:space="preserve"> </w:t>
      </w:r>
      <w:r w:rsidRPr="007E2A5E">
        <w:rPr>
          <w:rFonts w:asciiTheme="majorHAnsi" w:hAnsiTheme="majorHAnsi"/>
        </w:rPr>
        <w:t>The use of more than one model provides an ability to cross check and internally validate key findings before proceeding to detailed clinical studies.</w:t>
      </w:r>
    </w:p>
    <w:p w14:paraId="0C79B4A0" w14:textId="77777777" w:rsidR="00E652D4" w:rsidRPr="0073162B" w:rsidRDefault="00E652D4" w:rsidP="007A2846">
      <w:pPr>
        <w:spacing w:line="276" w:lineRule="auto"/>
        <w:ind w:left="360"/>
        <w:rPr>
          <w:rFonts w:asciiTheme="majorHAnsi" w:hAnsiTheme="majorHAnsi"/>
        </w:rPr>
      </w:pPr>
    </w:p>
    <w:p w14:paraId="34130A42" w14:textId="53D087E4" w:rsidR="00E652D4" w:rsidRDefault="00E652D4" w:rsidP="007A2846">
      <w:pPr>
        <w:pStyle w:val="ListParagraph"/>
        <w:numPr>
          <w:ilvl w:val="0"/>
          <w:numId w:val="34"/>
        </w:numPr>
        <w:spacing w:line="276" w:lineRule="auto"/>
        <w:rPr>
          <w:rFonts w:asciiTheme="majorHAnsi" w:hAnsiTheme="majorHAnsi"/>
        </w:rPr>
      </w:pPr>
      <w:r w:rsidRPr="007E2A5E">
        <w:rPr>
          <w:rFonts w:asciiTheme="majorHAnsi" w:hAnsiTheme="majorHAnsi"/>
        </w:rPr>
        <w:t>The standards to which preclinical work are conducted is an important issue.</w:t>
      </w:r>
      <w:r>
        <w:rPr>
          <w:rFonts w:asciiTheme="majorHAnsi" w:hAnsiTheme="majorHAnsi"/>
        </w:rPr>
        <w:t xml:space="preserve"> </w:t>
      </w:r>
      <w:r w:rsidRPr="007E2A5E">
        <w:rPr>
          <w:rFonts w:asciiTheme="majorHAnsi" w:hAnsiTheme="majorHAnsi"/>
        </w:rPr>
        <w:t>Most (if not all) academic laboratories are not GLP</w:t>
      </w:r>
      <w:r>
        <w:rPr>
          <w:rFonts w:asciiTheme="majorHAnsi" w:hAnsiTheme="majorHAnsi"/>
        </w:rPr>
        <w:t>-</w:t>
      </w:r>
      <w:r w:rsidRPr="007E2A5E">
        <w:rPr>
          <w:rFonts w:asciiTheme="majorHAnsi" w:hAnsiTheme="majorHAnsi"/>
        </w:rPr>
        <w:t>certified, and are unlikely to ever be so.</w:t>
      </w:r>
      <w:r>
        <w:rPr>
          <w:rFonts w:asciiTheme="majorHAnsi" w:hAnsiTheme="majorHAnsi"/>
        </w:rPr>
        <w:t xml:space="preserve"> </w:t>
      </w:r>
      <w:r w:rsidRPr="007E2A5E">
        <w:rPr>
          <w:rFonts w:asciiTheme="majorHAnsi" w:hAnsiTheme="majorHAnsi"/>
        </w:rPr>
        <w:t>That does not mean, however, that work cannot be done to a satisfactorily high standard.</w:t>
      </w:r>
      <w:r>
        <w:rPr>
          <w:rFonts w:asciiTheme="majorHAnsi" w:hAnsiTheme="majorHAnsi"/>
        </w:rPr>
        <w:t xml:space="preserve"> </w:t>
      </w:r>
      <w:r w:rsidRPr="007E2A5E">
        <w:rPr>
          <w:rFonts w:asciiTheme="majorHAnsi" w:hAnsiTheme="majorHAnsi"/>
        </w:rPr>
        <w:t>More discussion is required to address this issue and agree standards that can ensure the data and conclusions generated form PK-PD studies can remain in the drug development pathway.</w:t>
      </w:r>
      <w:r w:rsidR="004A1DEF">
        <w:rPr>
          <w:rFonts w:asciiTheme="majorHAnsi" w:hAnsiTheme="majorHAnsi"/>
        </w:rPr>
        <w:t xml:space="preserve">  For example</w:t>
      </w:r>
      <w:r w:rsidR="00CE6E66">
        <w:rPr>
          <w:rFonts w:asciiTheme="majorHAnsi" w:hAnsiTheme="majorHAnsi"/>
        </w:rPr>
        <w:t xml:space="preserve">, it may be reasonable in the future to use a </w:t>
      </w:r>
      <w:r w:rsidR="00BF0A84">
        <w:rPr>
          <w:rFonts w:asciiTheme="majorHAnsi" w:hAnsiTheme="majorHAnsi"/>
        </w:rPr>
        <w:t xml:space="preserve">series of </w:t>
      </w:r>
      <w:r w:rsidR="00CE6E66">
        <w:rPr>
          <w:rFonts w:asciiTheme="majorHAnsi" w:hAnsiTheme="majorHAnsi"/>
        </w:rPr>
        <w:t xml:space="preserve">quality control </w:t>
      </w:r>
      <w:r w:rsidR="00BF0A84">
        <w:rPr>
          <w:rFonts w:asciiTheme="majorHAnsi" w:hAnsiTheme="majorHAnsi"/>
        </w:rPr>
        <w:t>measures to ensure the</w:t>
      </w:r>
      <w:r w:rsidR="00D16873">
        <w:rPr>
          <w:rFonts w:asciiTheme="majorHAnsi" w:hAnsiTheme="majorHAnsi"/>
        </w:rPr>
        <w:t xml:space="preserve"> readouts from </w:t>
      </w:r>
      <w:r w:rsidR="00E61DDB">
        <w:rPr>
          <w:rFonts w:asciiTheme="majorHAnsi" w:hAnsiTheme="majorHAnsi"/>
        </w:rPr>
        <w:t>model systems are reliable</w:t>
      </w:r>
      <w:r w:rsidR="008513AE">
        <w:rPr>
          <w:rFonts w:asciiTheme="majorHAnsi" w:hAnsiTheme="majorHAnsi"/>
        </w:rPr>
        <w:t xml:space="preserve"> (e.g. induction of logarithmic killing </w:t>
      </w:r>
      <w:r w:rsidR="007E2182">
        <w:rPr>
          <w:rFonts w:asciiTheme="majorHAnsi" w:hAnsiTheme="majorHAnsi"/>
        </w:rPr>
        <w:t xml:space="preserve">of </w:t>
      </w:r>
      <w:r w:rsidR="007E2182" w:rsidRPr="007E2182">
        <w:rPr>
          <w:rFonts w:asciiTheme="majorHAnsi" w:hAnsiTheme="majorHAnsi"/>
          <w:i/>
        </w:rPr>
        <w:t>Candida albicans</w:t>
      </w:r>
      <w:r w:rsidR="007E2182">
        <w:rPr>
          <w:rFonts w:asciiTheme="majorHAnsi" w:hAnsiTheme="majorHAnsi"/>
        </w:rPr>
        <w:t xml:space="preserve"> </w:t>
      </w:r>
      <w:r w:rsidR="00C739B7">
        <w:rPr>
          <w:rFonts w:asciiTheme="majorHAnsi" w:hAnsiTheme="majorHAnsi"/>
        </w:rPr>
        <w:t>within an specified range following administration of an echinocandin)</w:t>
      </w:r>
      <w:r w:rsidR="00E61DDB">
        <w:rPr>
          <w:rFonts w:asciiTheme="majorHAnsi" w:hAnsiTheme="majorHAnsi"/>
        </w:rPr>
        <w:t xml:space="preserve">.  </w:t>
      </w:r>
      <w:r w:rsidR="00C739B7">
        <w:rPr>
          <w:rFonts w:asciiTheme="majorHAnsi" w:hAnsiTheme="majorHAnsi"/>
        </w:rPr>
        <w:t xml:space="preserve">Such an approach would also facilitate </w:t>
      </w:r>
      <w:r w:rsidR="007E2182">
        <w:rPr>
          <w:rFonts w:asciiTheme="majorHAnsi" w:hAnsiTheme="majorHAnsi"/>
        </w:rPr>
        <w:t>inter-laboratory comparisons.</w:t>
      </w:r>
      <w:r w:rsidR="00D16873">
        <w:rPr>
          <w:rFonts w:asciiTheme="majorHAnsi" w:hAnsiTheme="majorHAnsi"/>
        </w:rPr>
        <w:t xml:space="preserve"> </w:t>
      </w:r>
      <w:r w:rsidR="00CE6E66">
        <w:rPr>
          <w:rFonts w:asciiTheme="majorHAnsi" w:hAnsiTheme="majorHAnsi"/>
        </w:rPr>
        <w:t xml:space="preserve"> </w:t>
      </w:r>
    </w:p>
    <w:p w14:paraId="597D5F4A" w14:textId="77777777" w:rsidR="00E652D4" w:rsidRPr="0073162B" w:rsidRDefault="00E652D4" w:rsidP="007A2846">
      <w:pPr>
        <w:spacing w:line="276" w:lineRule="auto"/>
        <w:ind w:left="360"/>
        <w:rPr>
          <w:rFonts w:asciiTheme="majorHAnsi" w:hAnsiTheme="majorHAnsi"/>
        </w:rPr>
      </w:pPr>
    </w:p>
    <w:p w14:paraId="39BD8781" w14:textId="77777777" w:rsidR="005914B4" w:rsidRDefault="00256E0F" w:rsidP="007A2846">
      <w:pPr>
        <w:pStyle w:val="ListParagraph"/>
        <w:numPr>
          <w:ilvl w:val="0"/>
          <w:numId w:val="34"/>
        </w:numPr>
        <w:spacing w:line="276" w:lineRule="auto"/>
        <w:rPr>
          <w:rFonts w:asciiTheme="majorHAnsi" w:hAnsiTheme="majorHAnsi"/>
        </w:rPr>
      </w:pPr>
      <w:r>
        <w:rPr>
          <w:rFonts w:asciiTheme="majorHAnsi" w:hAnsiTheme="majorHAnsi"/>
        </w:rPr>
        <w:t>O</w:t>
      </w:r>
      <w:r w:rsidR="00E652D4" w:rsidRPr="000863EB">
        <w:rPr>
          <w:rFonts w:asciiTheme="majorHAnsi" w:hAnsiTheme="majorHAnsi"/>
        </w:rPr>
        <w:t xml:space="preserve">rthogonal reasoning (i.e. getting the same answer by using a different approach or perspective) is critical. Other than using more than one strain and model (as above), other approaches that can be considered include: (1) changing the experimental conditions (e.g. background immunosuppression, length of model, delay in treatment initiation); </w:t>
      </w:r>
      <w:r w:rsidR="005914B4">
        <w:rPr>
          <w:rFonts w:asciiTheme="majorHAnsi" w:hAnsiTheme="majorHAnsi"/>
        </w:rPr>
        <w:t xml:space="preserve">and </w:t>
      </w:r>
      <w:r w:rsidR="00E652D4" w:rsidRPr="000863EB">
        <w:rPr>
          <w:rFonts w:asciiTheme="majorHAnsi" w:hAnsiTheme="majorHAnsi"/>
        </w:rPr>
        <w:t>(2) using more than one readout or biomarker (e.g. survival, histopathology, a range of biomarkers, imaging).</w:t>
      </w:r>
    </w:p>
    <w:p w14:paraId="37042FBD" w14:textId="77777777" w:rsidR="005914B4" w:rsidRDefault="005914B4" w:rsidP="007A2846">
      <w:pPr>
        <w:spacing w:line="276" w:lineRule="auto"/>
        <w:rPr>
          <w:rFonts w:asciiTheme="majorHAnsi" w:hAnsiTheme="majorHAnsi"/>
        </w:rPr>
      </w:pPr>
    </w:p>
    <w:p w14:paraId="36A83144" w14:textId="77777777" w:rsidR="005371F9" w:rsidRPr="007E2A5E" w:rsidRDefault="008473D7" w:rsidP="007A2846">
      <w:pPr>
        <w:spacing w:line="276" w:lineRule="auto"/>
        <w:rPr>
          <w:rFonts w:asciiTheme="majorHAnsi" w:hAnsiTheme="majorHAnsi"/>
        </w:rPr>
      </w:pPr>
      <w:r>
        <w:rPr>
          <w:rFonts w:asciiTheme="majorHAnsi" w:hAnsiTheme="majorHAnsi"/>
        </w:rPr>
        <w:t xml:space="preserve">7. </w:t>
      </w:r>
      <w:r w:rsidR="00EE2620" w:rsidRPr="007E2A5E">
        <w:rPr>
          <w:rFonts w:asciiTheme="majorHAnsi" w:hAnsiTheme="majorHAnsi"/>
        </w:rPr>
        <w:t>CONCLUSIONS</w:t>
      </w:r>
    </w:p>
    <w:p w14:paraId="6D76BBBE" w14:textId="77777777" w:rsidR="00EE2620" w:rsidRPr="007E2A5E" w:rsidRDefault="00B0134C" w:rsidP="007A2846">
      <w:pPr>
        <w:spacing w:line="276" w:lineRule="auto"/>
        <w:rPr>
          <w:rFonts w:asciiTheme="majorHAnsi" w:hAnsiTheme="majorHAnsi"/>
        </w:rPr>
      </w:pPr>
      <w:r>
        <w:rPr>
          <w:rFonts w:asciiTheme="majorHAnsi" w:hAnsiTheme="majorHAnsi"/>
        </w:rPr>
        <w:tab/>
        <w:t xml:space="preserve">Antifungal PK-PD is </w:t>
      </w:r>
      <w:r w:rsidR="00954643">
        <w:rPr>
          <w:rFonts w:asciiTheme="majorHAnsi" w:hAnsiTheme="majorHAnsi"/>
        </w:rPr>
        <w:t>rapidly maturing as a field of investigation.</w:t>
      </w:r>
      <w:r w:rsidR="006C7B86">
        <w:rPr>
          <w:rFonts w:asciiTheme="majorHAnsi" w:hAnsiTheme="majorHAnsi"/>
        </w:rPr>
        <w:t xml:space="preserve"> </w:t>
      </w:r>
      <w:r w:rsidR="00954643">
        <w:rPr>
          <w:rFonts w:asciiTheme="majorHAnsi" w:hAnsiTheme="majorHAnsi"/>
        </w:rPr>
        <w:t xml:space="preserve">The past decade has </w:t>
      </w:r>
      <w:r w:rsidR="0099307D">
        <w:rPr>
          <w:rFonts w:asciiTheme="majorHAnsi" w:hAnsiTheme="majorHAnsi"/>
        </w:rPr>
        <w:t>witnessed</w:t>
      </w:r>
      <w:r w:rsidR="00954643">
        <w:rPr>
          <w:rFonts w:asciiTheme="majorHAnsi" w:hAnsiTheme="majorHAnsi"/>
        </w:rPr>
        <w:t xml:space="preserve"> </w:t>
      </w:r>
      <w:r w:rsidR="0099307D">
        <w:rPr>
          <w:rFonts w:asciiTheme="majorHAnsi" w:hAnsiTheme="majorHAnsi"/>
        </w:rPr>
        <w:t>the</w:t>
      </w:r>
      <w:r w:rsidR="00954643">
        <w:rPr>
          <w:rFonts w:asciiTheme="majorHAnsi" w:hAnsiTheme="majorHAnsi"/>
        </w:rPr>
        <w:t xml:space="preserve"> development of the </w:t>
      </w:r>
      <w:r w:rsidR="0099307D">
        <w:rPr>
          <w:rFonts w:asciiTheme="majorHAnsi" w:hAnsiTheme="majorHAnsi"/>
        </w:rPr>
        <w:t xml:space="preserve">experimental </w:t>
      </w:r>
      <w:r w:rsidR="00954643">
        <w:rPr>
          <w:rFonts w:asciiTheme="majorHAnsi" w:hAnsiTheme="majorHAnsi"/>
        </w:rPr>
        <w:t xml:space="preserve">models </w:t>
      </w:r>
      <w:r w:rsidR="0099307D">
        <w:rPr>
          <w:rFonts w:asciiTheme="majorHAnsi" w:hAnsiTheme="majorHAnsi"/>
        </w:rPr>
        <w:t xml:space="preserve">and analytical techniques </w:t>
      </w:r>
      <w:r w:rsidR="00954643">
        <w:rPr>
          <w:rFonts w:asciiTheme="majorHAnsi" w:hAnsiTheme="majorHAnsi"/>
        </w:rPr>
        <w:t>required to elucidate exposure response relationships</w:t>
      </w:r>
      <w:r w:rsidR="0099307D">
        <w:rPr>
          <w:rFonts w:asciiTheme="majorHAnsi" w:hAnsiTheme="majorHAnsi"/>
        </w:rPr>
        <w:t>.</w:t>
      </w:r>
      <w:r w:rsidR="006C7B86">
        <w:rPr>
          <w:rFonts w:asciiTheme="majorHAnsi" w:hAnsiTheme="majorHAnsi"/>
        </w:rPr>
        <w:t xml:space="preserve"> </w:t>
      </w:r>
      <w:r w:rsidR="0099307D">
        <w:rPr>
          <w:rFonts w:asciiTheme="majorHAnsi" w:hAnsiTheme="majorHAnsi"/>
        </w:rPr>
        <w:t>An ability to quantify exposure</w:t>
      </w:r>
      <w:r w:rsidR="006E3D3F">
        <w:rPr>
          <w:rFonts w:asciiTheme="majorHAnsi" w:hAnsiTheme="majorHAnsi"/>
        </w:rPr>
        <w:t>-</w:t>
      </w:r>
      <w:r w:rsidR="0099307D">
        <w:rPr>
          <w:rFonts w:asciiTheme="majorHAnsi" w:hAnsiTheme="majorHAnsi"/>
        </w:rPr>
        <w:t xml:space="preserve">response relationships </w:t>
      </w:r>
      <w:r w:rsidR="0042776F">
        <w:rPr>
          <w:rFonts w:asciiTheme="majorHAnsi" w:hAnsiTheme="majorHAnsi"/>
        </w:rPr>
        <w:t>enables control of those same relationships.</w:t>
      </w:r>
      <w:r w:rsidR="006C7B86">
        <w:rPr>
          <w:rFonts w:asciiTheme="majorHAnsi" w:hAnsiTheme="majorHAnsi"/>
        </w:rPr>
        <w:t xml:space="preserve"> </w:t>
      </w:r>
      <w:r w:rsidR="0042776F">
        <w:rPr>
          <w:rFonts w:asciiTheme="majorHAnsi" w:hAnsiTheme="majorHAnsi"/>
        </w:rPr>
        <w:t xml:space="preserve">The knowledge and experience that has been gained from studying currently available antifungal agents </w:t>
      </w:r>
      <w:r w:rsidR="00BC7959">
        <w:rPr>
          <w:rFonts w:asciiTheme="majorHAnsi" w:hAnsiTheme="majorHAnsi"/>
        </w:rPr>
        <w:t>provides a platform for the development of new agents.</w:t>
      </w:r>
      <w:r w:rsidR="006C7B86">
        <w:rPr>
          <w:rFonts w:asciiTheme="majorHAnsi" w:hAnsiTheme="majorHAnsi"/>
        </w:rPr>
        <w:t xml:space="preserve"> </w:t>
      </w:r>
      <w:r w:rsidR="00BC7959">
        <w:rPr>
          <w:rFonts w:asciiTheme="majorHAnsi" w:hAnsiTheme="majorHAnsi"/>
        </w:rPr>
        <w:t xml:space="preserve">The task remains difficult: mortality is still too high, drug toxicity leads to detrimental clinical outcomes and antifungal resistance erodes the </w:t>
      </w:r>
      <w:r w:rsidR="00944787">
        <w:rPr>
          <w:rFonts w:asciiTheme="majorHAnsi" w:hAnsiTheme="majorHAnsi"/>
        </w:rPr>
        <w:t>number of agents that can be used.</w:t>
      </w:r>
      <w:r w:rsidR="006C7B86">
        <w:rPr>
          <w:rFonts w:asciiTheme="majorHAnsi" w:hAnsiTheme="majorHAnsi"/>
        </w:rPr>
        <w:t xml:space="preserve"> </w:t>
      </w:r>
      <w:r w:rsidR="00944787">
        <w:rPr>
          <w:rFonts w:asciiTheme="majorHAnsi" w:hAnsiTheme="majorHAnsi"/>
        </w:rPr>
        <w:t>Antifungal PK-PD is now ready to be harnessed to accelerate and de-risk antifungal drug development.</w:t>
      </w:r>
    </w:p>
    <w:p w14:paraId="2AE021C3" w14:textId="2F1D80FC" w:rsidR="00492784" w:rsidRDefault="00B1290A" w:rsidP="00817D12">
      <w:pPr>
        <w:spacing w:line="276" w:lineRule="auto"/>
        <w:rPr>
          <w:rFonts w:asciiTheme="majorHAnsi" w:hAnsiTheme="majorHAnsi"/>
          <w:lang w:val="en-US"/>
        </w:rPr>
      </w:pPr>
      <w:r w:rsidRPr="007E2A5E">
        <w:rPr>
          <w:rFonts w:asciiTheme="majorHAnsi" w:hAnsiTheme="majorHAnsi"/>
        </w:rPr>
        <w:br w:type="page"/>
      </w:r>
      <w:r w:rsidR="00492784">
        <w:rPr>
          <w:rFonts w:asciiTheme="majorHAnsi" w:hAnsiTheme="majorHAnsi"/>
          <w:lang w:val="en-US"/>
        </w:rPr>
        <w:t>Acknowledgements</w:t>
      </w:r>
    </w:p>
    <w:p w14:paraId="28AAEB60" w14:textId="77777777" w:rsidR="00492784" w:rsidRPr="0073162B" w:rsidRDefault="00492784" w:rsidP="00EA3E36">
      <w:pPr>
        <w:tabs>
          <w:tab w:val="left" w:pos="6379"/>
        </w:tabs>
        <w:spacing w:line="276" w:lineRule="auto"/>
        <w:rPr>
          <w:rFonts w:asciiTheme="majorHAnsi" w:hAnsiTheme="majorHAnsi"/>
          <w:lang w:val="en-US"/>
        </w:rPr>
      </w:pPr>
    </w:p>
    <w:p w14:paraId="2B977F27" w14:textId="77777777" w:rsidR="00EA3E36" w:rsidRDefault="00EA3E36" w:rsidP="00EA3E36">
      <w:pPr>
        <w:tabs>
          <w:tab w:val="left" w:pos="6379"/>
        </w:tabs>
        <w:spacing w:line="276" w:lineRule="auto"/>
        <w:rPr>
          <w:rFonts w:asciiTheme="majorHAnsi" w:hAnsiTheme="majorHAnsi"/>
          <w:lang w:val="en-US"/>
        </w:rPr>
      </w:pPr>
      <w:r w:rsidRPr="0073162B">
        <w:rPr>
          <w:rFonts w:asciiTheme="majorHAnsi" w:hAnsiTheme="majorHAnsi"/>
          <w:lang w:val="en-US"/>
        </w:rPr>
        <w:t xml:space="preserve">Funding: </w:t>
      </w:r>
    </w:p>
    <w:p w14:paraId="66348833" w14:textId="6DF5B3BD" w:rsidR="00EA3E36" w:rsidRPr="0073162B" w:rsidRDefault="00EA3E36" w:rsidP="00EA3E36">
      <w:pPr>
        <w:tabs>
          <w:tab w:val="left" w:pos="6379"/>
        </w:tabs>
        <w:spacing w:line="276" w:lineRule="auto"/>
        <w:rPr>
          <w:rFonts w:asciiTheme="majorHAnsi" w:hAnsiTheme="majorHAnsi"/>
          <w:lang w:val="en-US"/>
        </w:rPr>
      </w:pPr>
      <w:proofErr w:type="gramStart"/>
      <w:r w:rsidRPr="0073162B">
        <w:rPr>
          <w:rFonts w:asciiTheme="majorHAnsi" w:hAnsiTheme="majorHAnsi"/>
          <w:lang w:val="en-US"/>
        </w:rPr>
        <w:t>William Hope is supported by a Clinician Scientist Aw</w:t>
      </w:r>
      <w:r>
        <w:rPr>
          <w:rFonts w:asciiTheme="majorHAnsi" w:hAnsiTheme="majorHAnsi"/>
          <w:lang w:val="en-US"/>
        </w:rPr>
        <w:t>ard from the National Institute</w:t>
      </w:r>
      <w:r w:rsidRPr="0073162B">
        <w:rPr>
          <w:rFonts w:asciiTheme="majorHAnsi" w:hAnsiTheme="majorHAnsi"/>
          <w:lang w:val="en-US"/>
        </w:rPr>
        <w:t xml:space="preserve"> of Health Research (NIHR) in the United Kingdom</w:t>
      </w:r>
      <w:proofErr w:type="gramEnd"/>
      <w:r w:rsidRPr="0073162B">
        <w:rPr>
          <w:rFonts w:asciiTheme="majorHAnsi" w:hAnsiTheme="majorHAnsi"/>
          <w:lang w:val="en-US"/>
        </w:rPr>
        <w:t>.</w:t>
      </w:r>
    </w:p>
    <w:p w14:paraId="7E6F96DB" w14:textId="77777777" w:rsidR="00EA3E36" w:rsidRDefault="00EA3E36" w:rsidP="007A2846">
      <w:pPr>
        <w:spacing w:line="276" w:lineRule="auto"/>
        <w:rPr>
          <w:rFonts w:asciiTheme="majorHAnsi" w:hAnsiTheme="majorHAnsi"/>
        </w:rPr>
      </w:pPr>
    </w:p>
    <w:p w14:paraId="223EB87D" w14:textId="77777777" w:rsidR="00EA3E36" w:rsidRDefault="00EA3E36" w:rsidP="007A2846">
      <w:pPr>
        <w:spacing w:line="276" w:lineRule="auto"/>
        <w:rPr>
          <w:rFonts w:asciiTheme="majorHAnsi" w:hAnsiTheme="majorHAnsi"/>
        </w:rPr>
      </w:pPr>
    </w:p>
    <w:p w14:paraId="2C380367" w14:textId="4969A8D2" w:rsidR="00EA3E36" w:rsidRDefault="00EA3E36" w:rsidP="007A2846">
      <w:pPr>
        <w:spacing w:line="276" w:lineRule="auto"/>
        <w:rPr>
          <w:rFonts w:asciiTheme="majorHAnsi" w:hAnsiTheme="majorHAnsi"/>
        </w:rPr>
      </w:pPr>
      <w:r>
        <w:rPr>
          <w:rFonts w:asciiTheme="majorHAnsi" w:hAnsiTheme="majorHAnsi"/>
        </w:rPr>
        <w:t>Transparency Declaration:</w:t>
      </w:r>
    </w:p>
    <w:p w14:paraId="1D3B8F3D" w14:textId="25495A8D" w:rsidR="00EA3E36" w:rsidRDefault="00EA3E36" w:rsidP="007A2846">
      <w:pPr>
        <w:spacing w:line="276" w:lineRule="auto"/>
        <w:rPr>
          <w:rFonts w:asciiTheme="majorHAnsi" w:hAnsiTheme="majorHAnsi"/>
        </w:rPr>
      </w:pPr>
      <w:r w:rsidRPr="006021FC">
        <w:rPr>
          <w:rFonts w:asciiTheme="majorHAnsi" w:hAnsiTheme="majorHAnsi"/>
        </w:rPr>
        <w:t xml:space="preserve">William Hope has received research funding from Pfizer, Gilead, Astellas and F2G, and acted as a consultant and/or given talks for Pfizer, </w:t>
      </w:r>
      <w:proofErr w:type="spellStart"/>
      <w:r w:rsidRPr="006021FC">
        <w:rPr>
          <w:rFonts w:asciiTheme="majorHAnsi" w:hAnsiTheme="majorHAnsi"/>
        </w:rPr>
        <w:t>Basilea</w:t>
      </w:r>
      <w:proofErr w:type="spellEnd"/>
      <w:r w:rsidRPr="006021FC">
        <w:rPr>
          <w:rFonts w:asciiTheme="majorHAnsi" w:hAnsiTheme="majorHAnsi"/>
        </w:rPr>
        <w:t xml:space="preserve">, F2G, Nordic Pharma, </w:t>
      </w:r>
      <w:proofErr w:type="spellStart"/>
      <w:r w:rsidRPr="006021FC">
        <w:rPr>
          <w:rFonts w:asciiTheme="majorHAnsi" w:hAnsiTheme="majorHAnsi"/>
        </w:rPr>
        <w:t>Mayne</w:t>
      </w:r>
      <w:proofErr w:type="spellEnd"/>
      <w:r w:rsidRPr="006021FC">
        <w:rPr>
          <w:rFonts w:asciiTheme="majorHAnsi" w:hAnsiTheme="majorHAnsi"/>
        </w:rPr>
        <w:t xml:space="preserve"> Pharma</w:t>
      </w:r>
      <w:r>
        <w:rPr>
          <w:rFonts w:asciiTheme="majorHAnsi" w:hAnsiTheme="majorHAnsi"/>
        </w:rPr>
        <w:t xml:space="preserve">, Medicines Company, </w:t>
      </w:r>
      <w:proofErr w:type="spellStart"/>
      <w:r>
        <w:rPr>
          <w:rFonts w:asciiTheme="majorHAnsi" w:hAnsiTheme="majorHAnsi"/>
        </w:rPr>
        <w:t>Spero</w:t>
      </w:r>
      <w:proofErr w:type="spellEnd"/>
      <w:r>
        <w:rPr>
          <w:rFonts w:asciiTheme="majorHAnsi" w:hAnsiTheme="majorHAnsi"/>
        </w:rPr>
        <w:t xml:space="preserve"> Therapeutics</w:t>
      </w:r>
      <w:r w:rsidRPr="006021FC">
        <w:rPr>
          <w:rFonts w:asciiTheme="majorHAnsi" w:hAnsiTheme="majorHAnsi"/>
        </w:rPr>
        <w:t xml:space="preserve"> and </w:t>
      </w:r>
      <w:proofErr w:type="spellStart"/>
      <w:r w:rsidRPr="006021FC">
        <w:rPr>
          <w:rFonts w:asciiTheme="majorHAnsi" w:hAnsiTheme="majorHAnsi"/>
        </w:rPr>
        <w:t>Pulmocide</w:t>
      </w:r>
      <w:proofErr w:type="spellEnd"/>
      <w:r w:rsidRPr="006021FC">
        <w:rPr>
          <w:rFonts w:asciiTheme="majorHAnsi" w:hAnsiTheme="majorHAnsi"/>
          <w:lang w:val="en-US"/>
        </w:rPr>
        <w:t>. JHR</w:t>
      </w:r>
      <w:r w:rsidRPr="006C7B86">
        <w:rPr>
          <w:rFonts w:asciiTheme="majorHAnsi" w:hAnsiTheme="majorHAnsi"/>
          <w:lang w:val="en-US"/>
        </w:rPr>
        <w:t xml:space="preserve"> is an employee and shareholder of AstraZeneca Pharmaceuticals; a non-executive </w:t>
      </w:r>
      <w:r>
        <w:rPr>
          <w:rFonts w:asciiTheme="majorHAnsi" w:hAnsiTheme="majorHAnsi"/>
          <w:lang w:val="en-US"/>
        </w:rPr>
        <w:t>Director</w:t>
      </w:r>
      <w:r w:rsidRPr="006C7B86">
        <w:rPr>
          <w:rFonts w:asciiTheme="majorHAnsi" w:hAnsiTheme="majorHAnsi"/>
          <w:lang w:val="en-US"/>
        </w:rPr>
        <w:t>, Senior Advisor, and shareholder of F2G Pharmaceuticals; a consultant to and investor in Advent Life Sciences, an investor in F2G Pharmaceuticals</w:t>
      </w:r>
      <w:r>
        <w:rPr>
          <w:rFonts w:asciiTheme="majorHAnsi" w:hAnsiTheme="majorHAnsi"/>
          <w:lang w:val="en-US"/>
        </w:rPr>
        <w:t xml:space="preserve">; and a non-executive Director of </w:t>
      </w:r>
      <w:proofErr w:type="spellStart"/>
      <w:r>
        <w:rPr>
          <w:rFonts w:asciiTheme="majorHAnsi" w:hAnsiTheme="majorHAnsi"/>
          <w:lang w:val="en-US"/>
        </w:rPr>
        <w:t>Adenium</w:t>
      </w:r>
      <w:proofErr w:type="spellEnd"/>
      <w:r>
        <w:rPr>
          <w:rFonts w:asciiTheme="majorHAnsi" w:hAnsiTheme="majorHAnsi"/>
          <w:lang w:val="en-US"/>
        </w:rPr>
        <w:t xml:space="preserve"> Biotech </w:t>
      </w:r>
      <w:proofErr w:type="spellStart"/>
      <w:r>
        <w:rPr>
          <w:rFonts w:asciiTheme="majorHAnsi" w:hAnsiTheme="majorHAnsi"/>
          <w:lang w:val="en-US"/>
        </w:rPr>
        <w:t>ApS</w:t>
      </w:r>
      <w:proofErr w:type="spellEnd"/>
      <w:r w:rsidRPr="006C7B86">
        <w:rPr>
          <w:rFonts w:asciiTheme="majorHAnsi" w:hAnsiTheme="majorHAnsi"/>
          <w:lang w:val="en-US"/>
        </w:rPr>
        <w:t>.</w:t>
      </w:r>
      <w:r>
        <w:rPr>
          <w:rFonts w:asciiTheme="majorHAnsi" w:hAnsiTheme="majorHAnsi"/>
          <w:lang w:val="en-US"/>
        </w:rPr>
        <w:t xml:space="preserve">  George Drusano: no conflicts.</w:t>
      </w:r>
    </w:p>
    <w:p w14:paraId="49DE989E" w14:textId="6B2F6F46" w:rsidR="00EA3E36" w:rsidRDefault="00EA3E36">
      <w:pPr>
        <w:rPr>
          <w:rFonts w:asciiTheme="majorHAnsi" w:hAnsiTheme="majorHAnsi"/>
        </w:rPr>
      </w:pPr>
      <w:r>
        <w:rPr>
          <w:rFonts w:asciiTheme="majorHAnsi" w:hAnsiTheme="majorHAnsi"/>
        </w:rPr>
        <w:br w:type="page"/>
      </w:r>
    </w:p>
    <w:p w14:paraId="15CCAFE4" w14:textId="77777777" w:rsidR="00EA3E36" w:rsidRDefault="00EA3E36" w:rsidP="007A2846">
      <w:pPr>
        <w:spacing w:line="276" w:lineRule="auto"/>
        <w:rPr>
          <w:rFonts w:asciiTheme="majorHAnsi" w:hAnsiTheme="majorHAnsi"/>
        </w:rPr>
      </w:pPr>
    </w:p>
    <w:p w14:paraId="3CEEF2A6" w14:textId="77777777" w:rsidR="00E757EB" w:rsidRDefault="00B93ED7" w:rsidP="007A2846">
      <w:pPr>
        <w:spacing w:line="276" w:lineRule="auto"/>
        <w:rPr>
          <w:rFonts w:asciiTheme="majorHAnsi" w:hAnsiTheme="majorHAnsi"/>
        </w:rPr>
      </w:pPr>
      <w:r>
        <w:rPr>
          <w:rFonts w:asciiTheme="majorHAnsi" w:hAnsiTheme="majorHAnsi"/>
        </w:rPr>
        <w:t>REFERENCES</w:t>
      </w:r>
    </w:p>
    <w:p w14:paraId="35DFAE09" w14:textId="77777777" w:rsidR="00E757EB" w:rsidRDefault="00E757EB" w:rsidP="007A2846">
      <w:pPr>
        <w:spacing w:line="276" w:lineRule="auto"/>
        <w:rPr>
          <w:rFonts w:asciiTheme="majorHAnsi" w:hAnsiTheme="majorHAnsi"/>
        </w:rPr>
      </w:pPr>
    </w:p>
    <w:p w14:paraId="3F25621F" w14:textId="3565CA3C" w:rsidR="00D1426F" w:rsidRPr="00D1426F" w:rsidRDefault="00C12366" w:rsidP="00D1426F">
      <w:pPr>
        <w:widowControl w:val="0"/>
        <w:autoSpaceDE w:val="0"/>
        <w:autoSpaceDN w:val="0"/>
        <w:adjustRightInd w:val="0"/>
        <w:spacing w:after="140"/>
        <w:rPr>
          <w:rFonts w:ascii="Calibri" w:hAnsi="Calibri"/>
          <w:noProof/>
          <w:lang w:val="en-US"/>
        </w:rPr>
      </w:pPr>
      <w:r>
        <w:rPr>
          <w:rFonts w:asciiTheme="majorHAnsi" w:hAnsiTheme="majorHAnsi"/>
        </w:rPr>
        <w:fldChar w:fldCharType="begin" w:fldLock="1"/>
      </w:r>
      <w:r>
        <w:rPr>
          <w:rFonts w:asciiTheme="majorHAnsi" w:hAnsiTheme="majorHAnsi"/>
        </w:rPr>
        <w:instrText xml:space="preserve">ADDIN Mendeley Bibliography CSL_BIBLIOGRAPHY </w:instrText>
      </w:r>
      <w:r>
        <w:rPr>
          <w:rFonts w:asciiTheme="majorHAnsi" w:hAnsiTheme="majorHAnsi"/>
        </w:rPr>
        <w:fldChar w:fldCharType="separate"/>
      </w:r>
      <w:r w:rsidR="00D1426F" w:rsidRPr="00D1426F">
        <w:rPr>
          <w:rFonts w:ascii="Calibri" w:hAnsi="Calibri"/>
          <w:noProof/>
          <w:lang w:val="en-US"/>
        </w:rPr>
        <w:t xml:space="preserve">1. Hope WW, Drusano GL. Antifungal pharmacokinetics and pharmacodynamics: bridging from the bench to bedside. </w:t>
      </w:r>
      <w:r w:rsidR="00D1426F" w:rsidRPr="00D1426F">
        <w:rPr>
          <w:rFonts w:ascii="Calibri" w:hAnsi="Calibri"/>
          <w:i/>
          <w:iCs/>
          <w:noProof/>
          <w:lang w:val="en-US"/>
        </w:rPr>
        <w:t>Clin Microbiol Infect</w:t>
      </w:r>
      <w:r w:rsidR="00D1426F" w:rsidRPr="00D1426F">
        <w:rPr>
          <w:rFonts w:ascii="Calibri" w:hAnsi="Calibri"/>
          <w:noProof/>
          <w:lang w:val="en-US"/>
        </w:rPr>
        <w:t xml:space="preserve"> 2009; </w:t>
      </w:r>
      <w:r w:rsidR="00D1426F" w:rsidRPr="00D1426F">
        <w:rPr>
          <w:rFonts w:ascii="Calibri" w:hAnsi="Calibri"/>
          <w:b/>
          <w:bCs/>
          <w:noProof/>
          <w:lang w:val="en-US"/>
        </w:rPr>
        <w:t>15</w:t>
      </w:r>
      <w:r w:rsidR="00D1426F" w:rsidRPr="00D1426F">
        <w:rPr>
          <w:rFonts w:ascii="Calibri" w:hAnsi="Calibri"/>
          <w:noProof/>
          <w:lang w:val="en-US"/>
        </w:rPr>
        <w:t>: 602–12.</w:t>
      </w:r>
    </w:p>
    <w:p w14:paraId="18320E9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 Peck CC, Rubin DB, Sheiner LB. Hypothesis: a single clinical trial plus causal evidence of effectiveness is sufficient for drug approval. </w:t>
      </w:r>
      <w:r w:rsidRPr="00D1426F">
        <w:rPr>
          <w:rFonts w:ascii="Calibri" w:hAnsi="Calibri"/>
          <w:i/>
          <w:iCs/>
          <w:noProof/>
          <w:lang w:val="en-US"/>
        </w:rPr>
        <w:t>Clin Pharmacol Ther</w:t>
      </w:r>
      <w:r w:rsidRPr="00D1426F">
        <w:rPr>
          <w:rFonts w:ascii="Calibri" w:hAnsi="Calibri"/>
          <w:noProof/>
          <w:lang w:val="en-US"/>
        </w:rPr>
        <w:t xml:space="preserve"> 2003; </w:t>
      </w:r>
      <w:r w:rsidRPr="00D1426F">
        <w:rPr>
          <w:rFonts w:ascii="Calibri" w:hAnsi="Calibri"/>
          <w:b/>
          <w:bCs/>
          <w:noProof/>
          <w:lang w:val="en-US"/>
        </w:rPr>
        <w:t>73</w:t>
      </w:r>
      <w:r w:rsidRPr="00D1426F">
        <w:rPr>
          <w:rFonts w:ascii="Calibri" w:hAnsi="Calibri"/>
          <w:noProof/>
          <w:lang w:val="en-US"/>
        </w:rPr>
        <w:t>: 481–90.</w:t>
      </w:r>
    </w:p>
    <w:p w14:paraId="53675E39"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 Denning DW, Hope WW. Therapy for fungal diseases: opportunities and priorities. </w:t>
      </w:r>
      <w:r w:rsidRPr="00D1426F">
        <w:rPr>
          <w:rFonts w:ascii="Calibri" w:hAnsi="Calibri"/>
          <w:i/>
          <w:iCs/>
          <w:noProof/>
          <w:lang w:val="en-US"/>
        </w:rPr>
        <w:t>Trends Microbiol</w:t>
      </w:r>
      <w:r w:rsidRPr="00D1426F">
        <w:rPr>
          <w:rFonts w:ascii="Calibri" w:hAnsi="Calibri"/>
          <w:noProof/>
          <w:lang w:val="en-US"/>
        </w:rPr>
        <w:t xml:space="preserve"> 2010; </w:t>
      </w:r>
      <w:r w:rsidRPr="00D1426F">
        <w:rPr>
          <w:rFonts w:ascii="Calibri" w:hAnsi="Calibri"/>
          <w:b/>
          <w:bCs/>
          <w:noProof/>
          <w:lang w:val="en-US"/>
        </w:rPr>
        <w:t>18</w:t>
      </w:r>
      <w:r w:rsidRPr="00D1426F">
        <w:rPr>
          <w:rFonts w:ascii="Calibri" w:hAnsi="Calibri"/>
          <w:noProof/>
          <w:lang w:val="en-US"/>
        </w:rPr>
        <w:t>: 195–204.</w:t>
      </w:r>
    </w:p>
    <w:p w14:paraId="3F968B9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 Walsh TJ, Goodman JL, Pappas P, </w:t>
      </w:r>
      <w:r w:rsidRPr="00D1426F">
        <w:rPr>
          <w:rFonts w:ascii="Calibri" w:hAnsi="Calibri"/>
          <w:i/>
          <w:iCs/>
          <w:noProof/>
          <w:lang w:val="en-US"/>
        </w:rPr>
        <w:t>et al.</w:t>
      </w:r>
      <w:r w:rsidRPr="00D1426F">
        <w:rPr>
          <w:rFonts w:ascii="Calibri" w:hAnsi="Calibri"/>
          <w:noProof/>
          <w:lang w:val="en-US"/>
        </w:rPr>
        <w:t xml:space="preserve"> Safety, tolerance, and pharmacokinetics of high-dose liposomal amphotericin B (AmBisome) in patients infected with </w:t>
      </w:r>
      <w:r w:rsidRPr="00C717F1">
        <w:rPr>
          <w:rFonts w:ascii="Calibri" w:hAnsi="Calibri"/>
          <w:i/>
          <w:noProof/>
          <w:lang w:val="en-US"/>
        </w:rPr>
        <w:t>Aspergillus</w:t>
      </w:r>
      <w:r w:rsidRPr="00D1426F">
        <w:rPr>
          <w:rFonts w:ascii="Calibri" w:hAnsi="Calibri"/>
          <w:noProof/>
          <w:lang w:val="en-US"/>
        </w:rPr>
        <w:t xml:space="preserve"> species and other filamentous fungi: maximum tolerated dose study. </w:t>
      </w:r>
      <w:r w:rsidRPr="00D1426F">
        <w:rPr>
          <w:rFonts w:ascii="Calibri" w:hAnsi="Calibri"/>
          <w:i/>
          <w:iCs/>
          <w:noProof/>
          <w:lang w:val="en-US"/>
        </w:rPr>
        <w:t>Antimicrob Agents Chemother</w:t>
      </w:r>
      <w:r w:rsidRPr="00D1426F">
        <w:rPr>
          <w:rFonts w:ascii="Calibri" w:hAnsi="Calibri"/>
          <w:noProof/>
          <w:lang w:val="en-US"/>
        </w:rPr>
        <w:t xml:space="preserve"> 2001; </w:t>
      </w:r>
      <w:r w:rsidRPr="00D1426F">
        <w:rPr>
          <w:rFonts w:ascii="Calibri" w:hAnsi="Calibri"/>
          <w:b/>
          <w:bCs/>
          <w:noProof/>
          <w:lang w:val="en-US"/>
        </w:rPr>
        <w:t>45</w:t>
      </w:r>
      <w:r w:rsidRPr="00D1426F">
        <w:rPr>
          <w:rFonts w:ascii="Calibri" w:hAnsi="Calibri"/>
          <w:noProof/>
          <w:lang w:val="en-US"/>
        </w:rPr>
        <w:t>: 3487–96.</w:t>
      </w:r>
    </w:p>
    <w:p w14:paraId="0D762CB9"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 Ellis M, Spence D, de Pauw B, </w:t>
      </w:r>
      <w:r w:rsidRPr="00D1426F">
        <w:rPr>
          <w:rFonts w:ascii="Calibri" w:hAnsi="Calibri"/>
          <w:i/>
          <w:iCs/>
          <w:noProof/>
          <w:lang w:val="en-US"/>
        </w:rPr>
        <w:t>et al.</w:t>
      </w:r>
      <w:r w:rsidRPr="00D1426F">
        <w:rPr>
          <w:rFonts w:ascii="Calibri" w:hAnsi="Calibri"/>
          <w:noProof/>
          <w:lang w:val="en-US"/>
        </w:rPr>
        <w:t xml:space="preserve"> An EORTC international multicenter randomized trial (EORTC number 19923) comparing two dosages of liposomal amphotericin B for treatment of invasive aspergillosis. </w:t>
      </w:r>
      <w:r w:rsidRPr="00D1426F">
        <w:rPr>
          <w:rFonts w:ascii="Calibri" w:hAnsi="Calibri"/>
          <w:i/>
          <w:iCs/>
          <w:noProof/>
          <w:lang w:val="en-US"/>
        </w:rPr>
        <w:t>Clin Infect Dis</w:t>
      </w:r>
      <w:r w:rsidRPr="00D1426F">
        <w:rPr>
          <w:rFonts w:ascii="Calibri" w:hAnsi="Calibri"/>
          <w:noProof/>
          <w:lang w:val="en-US"/>
        </w:rPr>
        <w:t xml:space="preserve"> 1998; </w:t>
      </w:r>
      <w:r w:rsidRPr="00D1426F">
        <w:rPr>
          <w:rFonts w:ascii="Calibri" w:hAnsi="Calibri"/>
          <w:b/>
          <w:bCs/>
          <w:noProof/>
          <w:lang w:val="en-US"/>
        </w:rPr>
        <w:t>27</w:t>
      </w:r>
      <w:r w:rsidRPr="00D1426F">
        <w:rPr>
          <w:rFonts w:ascii="Calibri" w:hAnsi="Calibri"/>
          <w:noProof/>
          <w:lang w:val="en-US"/>
        </w:rPr>
        <w:t>: 1406–12.</w:t>
      </w:r>
    </w:p>
    <w:p w14:paraId="099E7B45"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 Cornely OA, Maertens J, Bresnik M, </w:t>
      </w:r>
      <w:r w:rsidRPr="00D1426F">
        <w:rPr>
          <w:rFonts w:ascii="Calibri" w:hAnsi="Calibri"/>
          <w:i/>
          <w:iCs/>
          <w:noProof/>
          <w:lang w:val="en-US"/>
        </w:rPr>
        <w:t>et al.</w:t>
      </w:r>
      <w:r w:rsidRPr="00D1426F">
        <w:rPr>
          <w:rFonts w:ascii="Calibri" w:hAnsi="Calibri"/>
          <w:noProof/>
          <w:lang w:val="en-US"/>
        </w:rPr>
        <w:t xml:space="preserve"> Liposomal amphotericin B as initial therapy for invasive mold infection: a randomized trial comparing a high-loading dose regimen with standard dosing (AmBiLoad trial). </w:t>
      </w:r>
      <w:r w:rsidRPr="00D1426F">
        <w:rPr>
          <w:rFonts w:ascii="Calibri" w:hAnsi="Calibri"/>
          <w:i/>
          <w:iCs/>
          <w:noProof/>
          <w:lang w:val="en-US"/>
        </w:rPr>
        <w:t>Clin Infect Dis</w:t>
      </w:r>
      <w:r w:rsidRPr="00D1426F">
        <w:rPr>
          <w:rFonts w:ascii="Calibri" w:hAnsi="Calibri"/>
          <w:noProof/>
          <w:lang w:val="en-US"/>
        </w:rPr>
        <w:t xml:space="preserve"> 2007; </w:t>
      </w:r>
      <w:r w:rsidRPr="00D1426F">
        <w:rPr>
          <w:rFonts w:ascii="Calibri" w:hAnsi="Calibri"/>
          <w:b/>
          <w:bCs/>
          <w:noProof/>
          <w:lang w:val="en-US"/>
        </w:rPr>
        <w:t>44</w:t>
      </w:r>
      <w:r w:rsidRPr="00D1426F">
        <w:rPr>
          <w:rFonts w:ascii="Calibri" w:hAnsi="Calibri"/>
          <w:noProof/>
          <w:lang w:val="en-US"/>
        </w:rPr>
        <w:t>: 1289–97.</w:t>
      </w:r>
    </w:p>
    <w:p w14:paraId="1FEBB32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7. Al-Nakeeb Z, Petraitis V, Goodwin J, </w:t>
      </w:r>
      <w:r w:rsidRPr="00D1426F">
        <w:rPr>
          <w:rFonts w:ascii="Calibri" w:hAnsi="Calibri"/>
          <w:i/>
          <w:iCs/>
          <w:noProof/>
          <w:lang w:val="en-US"/>
        </w:rPr>
        <w:t>et al.</w:t>
      </w:r>
      <w:r w:rsidRPr="00D1426F">
        <w:rPr>
          <w:rFonts w:ascii="Calibri" w:hAnsi="Calibri"/>
          <w:noProof/>
          <w:lang w:val="en-US"/>
        </w:rPr>
        <w:t xml:space="preserve"> Pharmacodynamics of amphotericin B deoxycholate, amphotericin B lipid complex, and liposomal amphotericin B against </w:t>
      </w:r>
      <w:r w:rsidRPr="00C717F1">
        <w:rPr>
          <w:rFonts w:ascii="Calibri" w:hAnsi="Calibri"/>
          <w:i/>
          <w:noProof/>
          <w:lang w:val="en-US"/>
        </w:rPr>
        <w:t>Aspergillus fumigatus</w:t>
      </w:r>
      <w:r w:rsidRPr="00D1426F">
        <w:rPr>
          <w:rFonts w:ascii="Calibri" w:hAnsi="Calibri"/>
          <w:noProof/>
          <w:lang w:val="en-US"/>
        </w:rPr>
        <w:t xml:space="preserve">. </w:t>
      </w:r>
      <w:r w:rsidRPr="00D1426F">
        <w:rPr>
          <w:rFonts w:ascii="Calibri" w:hAnsi="Calibri"/>
          <w:i/>
          <w:iCs/>
          <w:noProof/>
          <w:lang w:val="en-US"/>
        </w:rPr>
        <w:t>Antimicrob Agents Chemother</w:t>
      </w:r>
      <w:r w:rsidRPr="00D1426F">
        <w:rPr>
          <w:rFonts w:ascii="Calibri" w:hAnsi="Calibri"/>
          <w:noProof/>
          <w:lang w:val="en-US"/>
        </w:rPr>
        <w:t xml:space="preserve"> 2015; </w:t>
      </w:r>
      <w:r w:rsidRPr="00D1426F">
        <w:rPr>
          <w:rFonts w:ascii="Calibri" w:hAnsi="Calibri"/>
          <w:b/>
          <w:bCs/>
          <w:noProof/>
          <w:lang w:val="en-US"/>
        </w:rPr>
        <w:t>59</w:t>
      </w:r>
      <w:r w:rsidRPr="00D1426F">
        <w:rPr>
          <w:rFonts w:ascii="Calibri" w:hAnsi="Calibri"/>
          <w:noProof/>
          <w:lang w:val="en-US"/>
        </w:rPr>
        <w:t>: 2735–45.</w:t>
      </w:r>
    </w:p>
    <w:p w14:paraId="30458629"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8. Drusano GL. Antimicrobial pharmacodynamics: critical interactions of ‘bug and drug’. </w:t>
      </w:r>
      <w:r w:rsidRPr="00D1426F">
        <w:rPr>
          <w:rFonts w:ascii="Calibri" w:hAnsi="Calibri"/>
          <w:i/>
          <w:iCs/>
          <w:noProof/>
          <w:lang w:val="en-US"/>
        </w:rPr>
        <w:t>Nat Rev Microbiol</w:t>
      </w:r>
      <w:r w:rsidRPr="00D1426F">
        <w:rPr>
          <w:rFonts w:ascii="Calibri" w:hAnsi="Calibri"/>
          <w:noProof/>
          <w:lang w:val="en-US"/>
        </w:rPr>
        <w:t xml:space="preserve"> 2004; </w:t>
      </w:r>
      <w:r w:rsidRPr="00D1426F">
        <w:rPr>
          <w:rFonts w:ascii="Calibri" w:hAnsi="Calibri"/>
          <w:b/>
          <w:bCs/>
          <w:noProof/>
          <w:lang w:val="en-US"/>
        </w:rPr>
        <w:t>2</w:t>
      </w:r>
      <w:r w:rsidRPr="00D1426F">
        <w:rPr>
          <w:rFonts w:ascii="Calibri" w:hAnsi="Calibri"/>
          <w:noProof/>
          <w:lang w:val="en-US"/>
        </w:rPr>
        <w:t>: 289–300.</w:t>
      </w:r>
    </w:p>
    <w:p w14:paraId="7638B14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9. Hope WW, Drusano GL, Moore CB, </w:t>
      </w:r>
      <w:r w:rsidRPr="00D1426F">
        <w:rPr>
          <w:rFonts w:ascii="Calibri" w:hAnsi="Calibri"/>
          <w:i/>
          <w:iCs/>
          <w:noProof/>
          <w:lang w:val="en-US"/>
        </w:rPr>
        <w:t>et al.</w:t>
      </w:r>
      <w:r w:rsidRPr="00D1426F">
        <w:rPr>
          <w:rFonts w:ascii="Calibri" w:hAnsi="Calibri"/>
          <w:noProof/>
          <w:lang w:val="en-US"/>
        </w:rPr>
        <w:t xml:space="preserve"> Effect of neutropenia and treatment delay on the response to antifungal agents in experimental disseminated candidiasis. </w:t>
      </w:r>
      <w:r w:rsidRPr="00D1426F">
        <w:rPr>
          <w:rFonts w:ascii="Calibri" w:hAnsi="Calibri"/>
          <w:i/>
          <w:iCs/>
          <w:noProof/>
          <w:lang w:val="en-US"/>
        </w:rPr>
        <w:t>Antimicrob Agents Chemother</w:t>
      </w:r>
      <w:r w:rsidRPr="00D1426F">
        <w:rPr>
          <w:rFonts w:ascii="Calibri" w:hAnsi="Calibri"/>
          <w:noProof/>
          <w:lang w:val="en-US"/>
        </w:rPr>
        <w:t xml:space="preserve"> 2007; </w:t>
      </w:r>
      <w:r w:rsidRPr="00D1426F">
        <w:rPr>
          <w:rFonts w:ascii="Calibri" w:hAnsi="Calibri"/>
          <w:b/>
          <w:bCs/>
          <w:noProof/>
          <w:lang w:val="en-US"/>
        </w:rPr>
        <w:t>51</w:t>
      </w:r>
      <w:r w:rsidRPr="00D1426F">
        <w:rPr>
          <w:rFonts w:ascii="Calibri" w:hAnsi="Calibri"/>
          <w:noProof/>
          <w:lang w:val="en-US"/>
        </w:rPr>
        <w:t>: 285–95.</w:t>
      </w:r>
    </w:p>
    <w:p w14:paraId="77F6D214"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10. Petraitis V, Petraitiene R, Groll  a H, </w:t>
      </w:r>
      <w:r w:rsidRPr="00D1426F">
        <w:rPr>
          <w:rFonts w:ascii="Calibri" w:hAnsi="Calibri"/>
          <w:i/>
          <w:iCs/>
          <w:noProof/>
          <w:lang w:val="en-US"/>
        </w:rPr>
        <w:t>et al.</w:t>
      </w:r>
      <w:r w:rsidRPr="00D1426F">
        <w:rPr>
          <w:rFonts w:ascii="Calibri" w:hAnsi="Calibri"/>
          <w:noProof/>
          <w:lang w:val="en-US"/>
        </w:rPr>
        <w:t xml:space="preserve"> Antifungal efficacy, safety, and single-dose pharmacokinetics of LY303366, a novel echinocandin B, in experimental pulmonary aspergillosis in persistently neutropenic rabbits. </w:t>
      </w:r>
      <w:r w:rsidRPr="00D1426F">
        <w:rPr>
          <w:rFonts w:ascii="Calibri" w:hAnsi="Calibri"/>
          <w:i/>
          <w:iCs/>
          <w:noProof/>
          <w:lang w:val="en-US"/>
        </w:rPr>
        <w:t>Antimicrob Agents Chemother</w:t>
      </w:r>
      <w:r w:rsidRPr="00D1426F">
        <w:rPr>
          <w:rFonts w:ascii="Calibri" w:hAnsi="Calibri"/>
          <w:noProof/>
          <w:lang w:val="en-US"/>
        </w:rPr>
        <w:t xml:space="preserve"> 1998; </w:t>
      </w:r>
      <w:r w:rsidRPr="00D1426F">
        <w:rPr>
          <w:rFonts w:ascii="Calibri" w:hAnsi="Calibri"/>
          <w:b/>
          <w:bCs/>
          <w:noProof/>
          <w:lang w:val="en-US"/>
        </w:rPr>
        <w:t>42</w:t>
      </w:r>
      <w:r w:rsidRPr="00D1426F">
        <w:rPr>
          <w:rFonts w:ascii="Calibri" w:hAnsi="Calibri"/>
          <w:noProof/>
          <w:lang w:val="en-US"/>
        </w:rPr>
        <w:t>: 2898–905.</w:t>
      </w:r>
    </w:p>
    <w:p w14:paraId="52E633E3"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11. Livermore JL, Felton TW, Abbott J, </w:t>
      </w:r>
      <w:r w:rsidRPr="00D1426F">
        <w:rPr>
          <w:rFonts w:ascii="Calibri" w:hAnsi="Calibri"/>
          <w:i/>
          <w:iCs/>
          <w:noProof/>
          <w:lang w:val="en-US"/>
        </w:rPr>
        <w:t>et al.</w:t>
      </w:r>
      <w:r w:rsidRPr="00D1426F">
        <w:rPr>
          <w:rFonts w:ascii="Calibri" w:hAnsi="Calibri"/>
          <w:noProof/>
          <w:lang w:val="en-US"/>
        </w:rPr>
        <w:t xml:space="preserve"> Pharmacokinetics and pharmacodynamics of anidulafungin for experimental </w:t>
      </w:r>
      <w:r w:rsidRPr="00C717F1">
        <w:rPr>
          <w:rFonts w:ascii="Calibri" w:hAnsi="Calibri"/>
          <w:i/>
          <w:noProof/>
          <w:lang w:val="en-US"/>
        </w:rPr>
        <w:t>Candida</w:t>
      </w:r>
      <w:r w:rsidRPr="00D1426F">
        <w:rPr>
          <w:rFonts w:ascii="Calibri" w:hAnsi="Calibri"/>
          <w:noProof/>
          <w:lang w:val="en-US"/>
        </w:rPr>
        <w:t xml:space="preserve"> endophthalmitis: insights into the utility of echinocandins for treatment of a potentially sight-threatening infection.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281–8.</w:t>
      </w:r>
    </w:p>
    <w:p w14:paraId="64617796"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12. Petraitiene R, Petraitis V, Hope W, </w:t>
      </w:r>
      <w:r w:rsidRPr="00D1426F">
        <w:rPr>
          <w:rFonts w:ascii="Calibri" w:hAnsi="Calibri"/>
          <w:i/>
          <w:iCs/>
          <w:noProof/>
          <w:lang w:val="en-US"/>
        </w:rPr>
        <w:t>et al.</w:t>
      </w:r>
      <w:r w:rsidRPr="00D1426F">
        <w:rPr>
          <w:rFonts w:ascii="Calibri" w:hAnsi="Calibri"/>
          <w:noProof/>
          <w:lang w:val="en-US"/>
        </w:rPr>
        <w:t xml:space="preserve"> (1→ 3)-β-D-Glucan in cerebrospinal fluid is a surrogate marker for detection and therapeutic response of hematogenous </w:t>
      </w:r>
      <w:r w:rsidRPr="00C717F1">
        <w:rPr>
          <w:rFonts w:ascii="Calibri" w:hAnsi="Calibri"/>
          <w:i/>
          <w:noProof/>
          <w:lang w:val="en-US"/>
        </w:rPr>
        <w:t>Candida</w:t>
      </w:r>
      <w:r w:rsidRPr="00D1426F">
        <w:rPr>
          <w:rFonts w:ascii="Calibri" w:hAnsi="Calibri"/>
          <w:noProof/>
          <w:lang w:val="en-US"/>
        </w:rPr>
        <w:t xml:space="preserve"> meningoencephalitis. </w:t>
      </w:r>
      <w:r w:rsidRPr="00D1426F">
        <w:rPr>
          <w:rFonts w:ascii="Calibri" w:hAnsi="Calibri"/>
          <w:i/>
          <w:iCs/>
          <w:noProof/>
          <w:lang w:val="en-US"/>
        </w:rPr>
        <w:t>Int J Infect Dis</w:t>
      </w:r>
      <w:r w:rsidRPr="00D1426F">
        <w:rPr>
          <w:rFonts w:ascii="Calibri" w:hAnsi="Calibri"/>
          <w:noProof/>
          <w:lang w:val="en-US"/>
        </w:rPr>
        <w:t xml:space="preserve"> 2008; </w:t>
      </w:r>
      <w:r w:rsidRPr="00D1426F">
        <w:rPr>
          <w:rFonts w:ascii="Calibri" w:hAnsi="Calibri"/>
          <w:b/>
          <w:bCs/>
          <w:noProof/>
          <w:lang w:val="en-US"/>
        </w:rPr>
        <w:t>12</w:t>
      </w:r>
      <w:r w:rsidRPr="00D1426F">
        <w:rPr>
          <w:rFonts w:ascii="Calibri" w:hAnsi="Calibri"/>
          <w:noProof/>
          <w:lang w:val="en-US"/>
        </w:rPr>
        <w:t>: S48–9.</w:t>
      </w:r>
    </w:p>
    <w:p w14:paraId="0A359375"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13. Wiederhold NP, Najvar LK, Bocanegra RA, </w:t>
      </w:r>
      <w:r w:rsidRPr="00D1426F">
        <w:rPr>
          <w:rFonts w:ascii="Calibri" w:hAnsi="Calibri"/>
          <w:i/>
          <w:iCs/>
          <w:noProof/>
          <w:lang w:val="en-US"/>
        </w:rPr>
        <w:t>et al.</w:t>
      </w:r>
      <w:r w:rsidRPr="00D1426F">
        <w:rPr>
          <w:rFonts w:ascii="Calibri" w:hAnsi="Calibri"/>
          <w:noProof/>
          <w:lang w:val="en-US"/>
        </w:rPr>
        <w:t xml:space="preserve"> Caspofungin dose escalation for invasive candidiasis due to resistant </w:t>
      </w:r>
      <w:r w:rsidRPr="00C717F1">
        <w:rPr>
          <w:rFonts w:ascii="Calibri" w:hAnsi="Calibri"/>
          <w:i/>
          <w:noProof/>
          <w:lang w:val="en-US"/>
        </w:rPr>
        <w:t>Candida albicans</w:t>
      </w:r>
      <w:r w:rsidRPr="00D1426F">
        <w:rPr>
          <w:rFonts w:ascii="Calibri" w:hAnsi="Calibri"/>
          <w:noProof/>
          <w:lang w:val="en-US"/>
        </w:rPr>
        <w:t xml:space="preserve">. </w:t>
      </w:r>
      <w:r w:rsidRPr="00D1426F">
        <w:rPr>
          <w:rFonts w:ascii="Calibri" w:hAnsi="Calibri"/>
          <w:i/>
          <w:iCs/>
          <w:noProof/>
          <w:lang w:val="en-US"/>
        </w:rPr>
        <w:t>Antimicrob Agents Chemother</w:t>
      </w:r>
      <w:r w:rsidRPr="00D1426F">
        <w:rPr>
          <w:rFonts w:ascii="Calibri" w:hAnsi="Calibri"/>
          <w:noProof/>
          <w:lang w:val="en-US"/>
        </w:rPr>
        <w:t xml:space="preserve"> 2011; </w:t>
      </w:r>
      <w:r w:rsidRPr="00D1426F">
        <w:rPr>
          <w:rFonts w:ascii="Calibri" w:hAnsi="Calibri"/>
          <w:b/>
          <w:bCs/>
          <w:noProof/>
          <w:lang w:val="en-US"/>
        </w:rPr>
        <w:t>55</w:t>
      </w:r>
      <w:r w:rsidRPr="00D1426F">
        <w:rPr>
          <w:rFonts w:ascii="Calibri" w:hAnsi="Calibri"/>
          <w:noProof/>
          <w:lang w:val="en-US"/>
        </w:rPr>
        <w:t>: 3254–60.</w:t>
      </w:r>
    </w:p>
    <w:p w14:paraId="44669A70"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14. Petraitiene R, Petraitis V, Hope WW, </w:t>
      </w:r>
      <w:r w:rsidRPr="00D1426F">
        <w:rPr>
          <w:rFonts w:ascii="Calibri" w:hAnsi="Calibri"/>
          <w:i/>
          <w:iCs/>
          <w:noProof/>
          <w:lang w:val="en-US"/>
        </w:rPr>
        <w:t>et al.</w:t>
      </w:r>
      <w:r w:rsidRPr="00D1426F">
        <w:rPr>
          <w:rFonts w:ascii="Calibri" w:hAnsi="Calibri"/>
          <w:noProof/>
          <w:lang w:val="en-US"/>
        </w:rPr>
        <w:t xml:space="preserve"> Intermittent dosing of micafungin Is effective for treatment of experimental disseminated candidiasis in persistently neutropenic rabbits. </w:t>
      </w:r>
      <w:r w:rsidRPr="00D1426F">
        <w:rPr>
          <w:rFonts w:ascii="Calibri" w:hAnsi="Calibri"/>
          <w:i/>
          <w:iCs/>
          <w:noProof/>
          <w:lang w:val="en-US"/>
        </w:rPr>
        <w:t>Clin Infect Dis</w:t>
      </w:r>
      <w:r w:rsidRPr="00D1426F">
        <w:rPr>
          <w:rFonts w:ascii="Calibri" w:hAnsi="Calibri"/>
          <w:noProof/>
          <w:lang w:val="en-US"/>
        </w:rPr>
        <w:t xml:space="preserve"> 2015; </w:t>
      </w:r>
      <w:r w:rsidRPr="00D1426F">
        <w:rPr>
          <w:rFonts w:ascii="Calibri" w:hAnsi="Calibri"/>
          <w:b/>
          <w:bCs/>
          <w:noProof/>
          <w:lang w:val="en-US"/>
        </w:rPr>
        <w:t>61</w:t>
      </w:r>
      <w:r w:rsidRPr="00D1426F">
        <w:rPr>
          <w:rFonts w:ascii="Calibri" w:hAnsi="Calibri"/>
          <w:noProof/>
          <w:lang w:val="en-US"/>
        </w:rPr>
        <w:t>: S643–51.</w:t>
      </w:r>
    </w:p>
    <w:p w14:paraId="2F3F979A"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15. Louie A, Drusano GL, Banerjee P, </w:t>
      </w:r>
      <w:r w:rsidRPr="00D1426F">
        <w:rPr>
          <w:rFonts w:ascii="Calibri" w:hAnsi="Calibri"/>
          <w:i/>
          <w:iCs/>
          <w:noProof/>
          <w:lang w:val="en-US"/>
        </w:rPr>
        <w:t>et al.</w:t>
      </w:r>
      <w:r w:rsidRPr="00D1426F">
        <w:rPr>
          <w:rFonts w:ascii="Calibri" w:hAnsi="Calibri"/>
          <w:noProof/>
          <w:lang w:val="en-US"/>
        </w:rPr>
        <w:t xml:space="preserve"> Pharmacodynamics of fluconazole in a murine model of systemic candidiasis. </w:t>
      </w:r>
      <w:r w:rsidRPr="00D1426F">
        <w:rPr>
          <w:rFonts w:ascii="Calibri" w:hAnsi="Calibri"/>
          <w:i/>
          <w:iCs/>
          <w:noProof/>
          <w:lang w:val="en-US"/>
        </w:rPr>
        <w:t>Antimicrob Agents Chemother</w:t>
      </w:r>
      <w:r w:rsidRPr="00D1426F">
        <w:rPr>
          <w:rFonts w:ascii="Calibri" w:hAnsi="Calibri"/>
          <w:noProof/>
          <w:lang w:val="en-US"/>
        </w:rPr>
        <w:t xml:space="preserve"> 1998; </w:t>
      </w:r>
      <w:r w:rsidRPr="00D1426F">
        <w:rPr>
          <w:rFonts w:ascii="Calibri" w:hAnsi="Calibri"/>
          <w:b/>
          <w:bCs/>
          <w:noProof/>
          <w:lang w:val="en-US"/>
        </w:rPr>
        <w:t>42</w:t>
      </w:r>
      <w:r w:rsidRPr="00D1426F">
        <w:rPr>
          <w:rFonts w:ascii="Calibri" w:hAnsi="Calibri"/>
          <w:noProof/>
          <w:lang w:val="en-US"/>
        </w:rPr>
        <w:t>: 1105–9.</w:t>
      </w:r>
    </w:p>
    <w:p w14:paraId="35A7AB6A"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16. Troke PF, Hockey HP, Hope WW. Observational study of the clinical efficacy of voriconazole and its relationship to plasma concentrations in patients. </w:t>
      </w:r>
      <w:r w:rsidRPr="00D1426F">
        <w:rPr>
          <w:rFonts w:ascii="Calibri" w:hAnsi="Calibri"/>
          <w:i/>
          <w:iCs/>
          <w:noProof/>
          <w:lang w:val="en-US"/>
        </w:rPr>
        <w:t>Antimicrob Agents Chemother</w:t>
      </w:r>
      <w:r w:rsidRPr="00D1426F">
        <w:rPr>
          <w:rFonts w:ascii="Calibri" w:hAnsi="Calibri"/>
          <w:noProof/>
          <w:lang w:val="en-US"/>
        </w:rPr>
        <w:t xml:space="preserve"> 2011; </w:t>
      </w:r>
      <w:r w:rsidRPr="00D1426F">
        <w:rPr>
          <w:rFonts w:ascii="Calibri" w:hAnsi="Calibri"/>
          <w:b/>
          <w:bCs/>
          <w:noProof/>
          <w:lang w:val="en-US"/>
        </w:rPr>
        <w:t>55</w:t>
      </w:r>
      <w:r w:rsidRPr="00D1426F">
        <w:rPr>
          <w:rFonts w:ascii="Calibri" w:hAnsi="Calibri"/>
          <w:noProof/>
          <w:lang w:val="en-US"/>
        </w:rPr>
        <w:t>: 4782–8.</w:t>
      </w:r>
    </w:p>
    <w:p w14:paraId="7C67CB6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17. Andes D, van Ogtrop M. Characterization and quantitation of the pharmacodynamics of fluconazole in a neutropenic murine disseminated candidiasis infection model. </w:t>
      </w:r>
      <w:r w:rsidRPr="00D1426F">
        <w:rPr>
          <w:rFonts w:ascii="Calibri" w:hAnsi="Calibri"/>
          <w:i/>
          <w:iCs/>
          <w:noProof/>
          <w:lang w:val="en-US"/>
        </w:rPr>
        <w:t>Antimicrob Agents Chemother</w:t>
      </w:r>
      <w:r w:rsidRPr="00D1426F">
        <w:rPr>
          <w:rFonts w:ascii="Calibri" w:hAnsi="Calibri"/>
          <w:noProof/>
          <w:lang w:val="en-US"/>
        </w:rPr>
        <w:t xml:space="preserve"> 1999; </w:t>
      </w:r>
      <w:r w:rsidRPr="00D1426F">
        <w:rPr>
          <w:rFonts w:ascii="Calibri" w:hAnsi="Calibri"/>
          <w:b/>
          <w:bCs/>
          <w:noProof/>
          <w:lang w:val="en-US"/>
        </w:rPr>
        <w:t>43</w:t>
      </w:r>
      <w:r w:rsidRPr="00D1426F">
        <w:rPr>
          <w:rFonts w:ascii="Calibri" w:hAnsi="Calibri"/>
          <w:noProof/>
          <w:lang w:val="en-US"/>
        </w:rPr>
        <w:t>: 2116–20.</w:t>
      </w:r>
    </w:p>
    <w:p w14:paraId="34F2728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18. Andes D, Marchillo K, Stamstad T, </w:t>
      </w:r>
      <w:r w:rsidRPr="00D1426F">
        <w:rPr>
          <w:rFonts w:ascii="Calibri" w:hAnsi="Calibri"/>
          <w:i/>
          <w:iCs/>
          <w:noProof/>
          <w:lang w:val="en-US"/>
        </w:rPr>
        <w:t>et al.</w:t>
      </w:r>
      <w:r w:rsidRPr="00D1426F">
        <w:rPr>
          <w:rFonts w:ascii="Calibri" w:hAnsi="Calibri"/>
          <w:noProof/>
          <w:lang w:val="en-US"/>
        </w:rPr>
        <w:t xml:space="preserve"> In vivo pharmacokinetics and pharmacodynamics of a new triazole, voriconazole, in a murine candidiasis model. </w:t>
      </w:r>
      <w:r w:rsidRPr="00D1426F">
        <w:rPr>
          <w:rFonts w:ascii="Calibri" w:hAnsi="Calibri"/>
          <w:i/>
          <w:iCs/>
          <w:noProof/>
          <w:lang w:val="en-US"/>
        </w:rPr>
        <w:t>Antimicrob Agents Chemother</w:t>
      </w:r>
      <w:r w:rsidRPr="00D1426F">
        <w:rPr>
          <w:rFonts w:ascii="Calibri" w:hAnsi="Calibri"/>
          <w:noProof/>
          <w:lang w:val="en-US"/>
        </w:rPr>
        <w:t xml:space="preserve"> 2003; </w:t>
      </w:r>
      <w:r w:rsidRPr="00D1426F">
        <w:rPr>
          <w:rFonts w:ascii="Calibri" w:hAnsi="Calibri"/>
          <w:b/>
          <w:bCs/>
          <w:noProof/>
          <w:lang w:val="en-US"/>
        </w:rPr>
        <w:t>47</w:t>
      </w:r>
      <w:r w:rsidRPr="00D1426F">
        <w:rPr>
          <w:rFonts w:ascii="Calibri" w:hAnsi="Calibri"/>
          <w:noProof/>
          <w:lang w:val="en-US"/>
        </w:rPr>
        <w:t>: 3165–9.</w:t>
      </w:r>
    </w:p>
    <w:p w14:paraId="5421601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19. Andes D, Marchillo K, Conklin R, </w:t>
      </w:r>
      <w:r w:rsidRPr="00D1426F">
        <w:rPr>
          <w:rFonts w:ascii="Calibri" w:hAnsi="Calibri"/>
          <w:i/>
          <w:iCs/>
          <w:noProof/>
          <w:lang w:val="en-US"/>
        </w:rPr>
        <w:t>et al.</w:t>
      </w:r>
      <w:r w:rsidRPr="00D1426F">
        <w:rPr>
          <w:rFonts w:ascii="Calibri" w:hAnsi="Calibri"/>
          <w:noProof/>
          <w:lang w:val="en-US"/>
        </w:rPr>
        <w:t xml:space="preserve"> Pharmacodynamics of a new triazole, posaconazole, in a murine model of disseminated candidiasis. </w:t>
      </w:r>
      <w:r w:rsidRPr="00D1426F">
        <w:rPr>
          <w:rFonts w:ascii="Calibri" w:hAnsi="Calibri"/>
          <w:i/>
          <w:iCs/>
          <w:noProof/>
          <w:lang w:val="en-US"/>
        </w:rPr>
        <w:t>Antimicrob Agents Chemother</w:t>
      </w:r>
      <w:r w:rsidRPr="00D1426F">
        <w:rPr>
          <w:rFonts w:ascii="Calibri" w:hAnsi="Calibri"/>
          <w:noProof/>
          <w:lang w:val="en-US"/>
        </w:rPr>
        <w:t xml:space="preserve"> 2004; </w:t>
      </w:r>
      <w:r w:rsidRPr="00D1426F">
        <w:rPr>
          <w:rFonts w:ascii="Calibri" w:hAnsi="Calibri"/>
          <w:b/>
          <w:bCs/>
          <w:noProof/>
          <w:lang w:val="en-US"/>
        </w:rPr>
        <w:t>48</w:t>
      </w:r>
      <w:r w:rsidRPr="00D1426F">
        <w:rPr>
          <w:rFonts w:ascii="Calibri" w:hAnsi="Calibri"/>
          <w:noProof/>
          <w:lang w:val="en-US"/>
        </w:rPr>
        <w:t>: 137–42.</w:t>
      </w:r>
    </w:p>
    <w:p w14:paraId="1F713106"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20. Louie A, Deziel M, Liu W, </w:t>
      </w:r>
      <w:r w:rsidRPr="00D1426F">
        <w:rPr>
          <w:rFonts w:ascii="Calibri" w:hAnsi="Calibri"/>
          <w:i/>
          <w:iCs/>
          <w:noProof/>
          <w:lang w:val="en-US"/>
        </w:rPr>
        <w:t>et al.</w:t>
      </w:r>
      <w:r w:rsidRPr="00D1426F">
        <w:rPr>
          <w:rFonts w:ascii="Calibri" w:hAnsi="Calibri"/>
          <w:noProof/>
          <w:lang w:val="en-US"/>
        </w:rPr>
        <w:t xml:space="preserve"> Pharmacodynamics of caspofungin in a murine model of systemic candidiasis: importance of persistence of caspofungin in tissues to understanding drug activity. </w:t>
      </w:r>
      <w:r w:rsidRPr="00D1426F">
        <w:rPr>
          <w:rFonts w:ascii="Calibri" w:hAnsi="Calibri"/>
          <w:i/>
          <w:iCs/>
          <w:noProof/>
          <w:lang w:val="en-US"/>
        </w:rPr>
        <w:t>Antimicrob Agents Chemother</w:t>
      </w:r>
      <w:r w:rsidRPr="00D1426F">
        <w:rPr>
          <w:rFonts w:ascii="Calibri" w:hAnsi="Calibri"/>
          <w:noProof/>
          <w:lang w:val="en-US"/>
        </w:rPr>
        <w:t xml:space="preserve"> 2005; </w:t>
      </w:r>
      <w:r w:rsidRPr="00D1426F">
        <w:rPr>
          <w:rFonts w:ascii="Calibri" w:hAnsi="Calibri"/>
          <w:b/>
          <w:bCs/>
          <w:noProof/>
          <w:lang w:val="en-US"/>
        </w:rPr>
        <w:t>49</w:t>
      </w:r>
      <w:r w:rsidRPr="00D1426F">
        <w:rPr>
          <w:rFonts w:ascii="Calibri" w:hAnsi="Calibri"/>
          <w:noProof/>
          <w:lang w:val="en-US"/>
        </w:rPr>
        <w:t>: 5058–68.</w:t>
      </w:r>
    </w:p>
    <w:p w14:paraId="547269A7"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21. Andes D, Marchillo K, Lowther J, </w:t>
      </w:r>
      <w:r w:rsidRPr="00D1426F">
        <w:rPr>
          <w:rFonts w:ascii="Calibri" w:hAnsi="Calibri"/>
          <w:i/>
          <w:iCs/>
          <w:noProof/>
          <w:lang w:val="en-US"/>
        </w:rPr>
        <w:t>et al.</w:t>
      </w:r>
      <w:r w:rsidRPr="00D1426F">
        <w:rPr>
          <w:rFonts w:ascii="Calibri" w:hAnsi="Calibri"/>
          <w:noProof/>
          <w:lang w:val="en-US"/>
        </w:rPr>
        <w:t xml:space="preserve"> In vivo pharmacodynamics of HMR 3270, a glucan synthase inhibitor, in a murine candidiasis model. </w:t>
      </w:r>
      <w:r w:rsidRPr="00D1426F">
        <w:rPr>
          <w:rFonts w:ascii="Calibri" w:hAnsi="Calibri"/>
          <w:i/>
          <w:iCs/>
          <w:noProof/>
          <w:lang w:val="en-US"/>
        </w:rPr>
        <w:t>Antimicrob Agents Chemother</w:t>
      </w:r>
      <w:r w:rsidRPr="00D1426F">
        <w:rPr>
          <w:rFonts w:ascii="Calibri" w:hAnsi="Calibri"/>
          <w:noProof/>
          <w:lang w:val="en-US"/>
        </w:rPr>
        <w:t xml:space="preserve"> 2003; </w:t>
      </w:r>
      <w:r w:rsidRPr="00D1426F">
        <w:rPr>
          <w:rFonts w:ascii="Calibri" w:hAnsi="Calibri"/>
          <w:b/>
          <w:bCs/>
          <w:noProof/>
          <w:lang w:val="en-US"/>
        </w:rPr>
        <w:t>47</w:t>
      </w:r>
      <w:r w:rsidRPr="00D1426F">
        <w:rPr>
          <w:rFonts w:ascii="Calibri" w:hAnsi="Calibri"/>
          <w:noProof/>
          <w:lang w:val="en-US"/>
        </w:rPr>
        <w:t>: 1187–92.</w:t>
      </w:r>
    </w:p>
    <w:p w14:paraId="444C078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22. Andes DR, Diekema DJ, Pfaller MA, </w:t>
      </w:r>
      <w:r w:rsidRPr="00D1426F">
        <w:rPr>
          <w:rFonts w:ascii="Calibri" w:hAnsi="Calibri"/>
          <w:i/>
          <w:iCs/>
          <w:noProof/>
          <w:lang w:val="en-US"/>
        </w:rPr>
        <w:t>et al.</w:t>
      </w:r>
      <w:r w:rsidRPr="00D1426F">
        <w:rPr>
          <w:rFonts w:ascii="Calibri" w:hAnsi="Calibri"/>
          <w:noProof/>
          <w:lang w:val="en-US"/>
        </w:rPr>
        <w:t xml:space="preserve"> In vivo pharmacodynamic target investigation for micafungin against </w:t>
      </w:r>
      <w:r w:rsidRPr="00D15A1B">
        <w:rPr>
          <w:rFonts w:ascii="Calibri" w:hAnsi="Calibri"/>
          <w:i/>
          <w:noProof/>
          <w:lang w:val="en-US"/>
        </w:rPr>
        <w:t>Candida albicans</w:t>
      </w:r>
      <w:r w:rsidRPr="00D1426F">
        <w:rPr>
          <w:rFonts w:ascii="Calibri" w:hAnsi="Calibri"/>
          <w:noProof/>
          <w:lang w:val="en-US"/>
        </w:rPr>
        <w:t xml:space="preserve"> and </w:t>
      </w:r>
      <w:r w:rsidRPr="00D15A1B">
        <w:rPr>
          <w:rFonts w:ascii="Calibri" w:hAnsi="Calibri"/>
          <w:i/>
          <w:noProof/>
          <w:lang w:val="en-US"/>
        </w:rPr>
        <w:t>C. glabrata</w:t>
      </w:r>
      <w:r w:rsidRPr="00D1426F">
        <w:rPr>
          <w:rFonts w:ascii="Calibri" w:hAnsi="Calibri"/>
          <w:noProof/>
          <w:lang w:val="en-US"/>
        </w:rPr>
        <w:t xml:space="preserve"> in a neutropenic murine candidiasis model. </w:t>
      </w:r>
      <w:r w:rsidRPr="00D1426F">
        <w:rPr>
          <w:rFonts w:ascii="Calibri" w:hAnsi="Calibri"/>
          <w:i/>
          <w:iCs/>
          <w:noProof/>
          <w:lang w:val="en-US"/>
        </w:rPr>
        <w:t>Antimicrob Agents Chemother</w:t>
      </w:r>
      <w:r w:rsidRPr="00D1426F">
        <w:rPr>
          <w:rFonts w:ascii="Calibri" w:hAnsi="Calibri"/>
          <w:noProof/>
          <w:lang w:val="en-US"/>
        </w:rPr>
        <w:t xml:space="preserve"> 2008; </w:t>
      </w:r>
      <w:r w:rsidRPr="00D1426F">
        <w:rPr>
          <w:rFonts w:ascii="Calibri" w:hAnsi="Calibri"/>
          <w:b/>
          <w:bCs/>
          <w:noProof/>
          <w:lang w:val="en-US"/>
        </w:rPr>
        <w:t>52</w:t>
      </w:r>
      <w:r w:rsidRPr="00D1426F">
        <w:rPr>
          <w:rFonts w:ascii="Calibri" w:hAnsi="Calibri"/>
          <w:noProof/>
          <w:lang w:val="en-US"/>
        </w:rPr>
        <w:t>: 3497–503.</w:t>
      </w:r>
    </w:p>
    <w:p w14:paraId="33C9BA6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23. Howard SJ, Livermore J, Sharp A, </w:t>
      </w:r>
      <w:r w:rsidRPr="00D1426F">
        <w:rPr>
          <w:rFonts w:ascii="Calibri" w:hAnsi="Calibri"/>
          <w:i/>
          <w:iCs/>
          <w:noProof/>
          <w:lang w:val="en-US"/>
        </w:rPr>
        <w:t>et al.</w:t>
      </w:r>
      <w:r w:rsidRPr="00D1426F">
        <w:rPr>
          <w:rFonts w:ascii="Calibri" w:hAnsi="Calibri"/>
          <w:noProof/>
          <w:lang w:val="en-US"/>
        </w:rPr>
        <w:t xml:space="preserve"> Pharmacodynamics of echinocandins against </w:t>
      </w:r>
      <w:r w:rsidRPr="00D15A1B">
        <w:rPr>
          <w:rFonts w:ascii="Calibri" w:hAnsi="Calibri"/>
          <w:i/>
          <w:noProof/>
          <w:lang w:val="en-US"/>
        </w:rPr>
        <w:t>Candida glabrata</w:t>
      </w:r>
      <w:r w:rsidRPr="00D1426F">
        <w:rPr>
          <w:rFonts w:ascii="Calibri" w:hAnsi="Calibri"/>
          <w:noProof/>
          <w:lang w:val="en-US"/>
        </w:rPr>
        <w:t xml:space="preserve">: requirement for dosage escalation to achieve maximal antifungal activity in neutropenic hosts. </w:t>
      </w:r>
      <w:r w:rsidRPr="00D1426F">
        <w:rPr>
          <w:rFonts w:ascii="Calibri" w:hAnsi="Calibri"/>
          <w:i/>
          <w:iCs/>
          <w:noProof/>
          <w:lang w:val="en-US"/>
        </w:rPr>
        <w:t>Antimicrob Agents Chemother</w:t>
      </w:r>
      <w:r w:rsidRPr="00D1426F">
        <w:rPr>
          <w:rFonts w:ascii="Calibri" w:hAnsi="Calibri"/>
          <w:noProof/>
          <w:lang w:val="en-US"/>
        </w:rPr>
        <w:t xml:space="preserve"> 2011; </w:t>
      </w:r>
      <w:r w:rsidRPr="00D1426F">
        <w:rPr>
          <w:rFonts w:ascii="Calibri" w:hAnsi="Calibri"/>
          <w:b/>
          <w:bCs/>
          <w:noProof/>
          <w:lang w:val="en-US"/>
        </w:rPr>
        <w:t>55</w:t>
      </w:r>
      <w:r w:rsidRPr="00D1426F">
        <w:rPr>
          <w:rFonts w:ascii="Calibri" w:hAnsi="Calibri"/>
          <w:noProof/>
          <w:lang w:val="en-US"/>
        </w:rPr>
        <w:t>: 4880–7.</w:t>
      </w:r>
    </w:p>
    <w:p w14:paraId="5D0104F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24. Gumbo T, Drusano GL, Liu W, </w:t>
      </w:r>
      <w:r w:rsidRPr="00D1426F">
        <w:rPr>
          <w:rFonts w:ascii="Calibri" w:hAnsi="Calibri"/>
          <w:i/>
          <w:iCs/>
          <w:noProof/>
          <w:lang w:val="en-US"/>
        </w:rPr>
        <w:t>et al.</w:t>
      </w:r>
      <w:r w:rsidRPr="00D1426F">
        <w:rPr>
          <w:rFonts w:ascii="Calibri" w:hAnsi="Calibri"/>
          <w:noProof/>
          <w:lang w:val="en-US"/>
        </w:rPr>
        <w:t xml:space="preserve"> Once-weekly micafungin therapy is as effective as daily therapy for disseminated candidiasis in mice with persistent neutropenia. </w:t>
      </w:r>
      <w:r w:rsidRPr="00D1426F">
        <w:rPr>
          <w:rFonts w:ascii="Calibri" w:hAnsi="Calibri"/>
          <w:i/>
          <w:iCs/>
          <w:noProof/>
          <w:lang w:val="en-US"/>
        </w:rPr>
        <w:t>Antimicrob Agents Chemother</w:t>
      </w:r>
      <w:r w:rsidRPr="00D1426F">
        <w:rPr>
          <w:rFonts w:ascii="Calibri" w:hAnsi="Calibri"/>
          <w:noProof/>
          <w:lang w:val="en-US"/>
        </w:rPr>
        <w:t xml:space="preserve"> 2007; </w:t>
      </w:r>
      <w:r w:rsidRPr="00D1426F">
        <w:rPr>
          <w:rFonts w:ascii="Calibri" w:hAnsi="Calibri"/>
          <w:b/>
          <w:bCs/>
          <w:noProof/>
          <w:lang w:val="en-US"/>
        </w:rPr>
        <w:t>51</w:t>
      </w:r>
      <w:r w:rsidRPr="00D1426F">
        <w:rPr>
          <w:rFonts w:ascii="Calibri" w:hAnsi="Calibri"/>
          <w:noProof/>
          <w:lang w:val="en-US"/>
        </w:rPr>
        <w:t>: 968–74.</w:t>
      </w:r>
    </w:p>
    <w:p w14:paraId="0B295C9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25. Slater JL, Howard SJ, Sharp A, </w:t>
      </w:r>
      <w:r w:rsidRPr="00D1426F">
        <w:rPr>
          <w:rFonts w:ascii="Calibri" w:hAnsi="Calibri"/>
          <w:i/>
          <w:iCs/>
          <w:noProof/>
          <w:lang w:val="en-US"/>
        </w:rPr>
        <w:t>et al.</w:t>
      </w:r>
      <w:r w:rsidRPr="00D1426F">
        <w:rPr>
          <w:rFonts w:ascii="Calibri" w:hAnsi="Calibri"/>
          <w:noProof/>
          <w:lang w:val="en-US"/>
        </w:rPr>
        <w:t xml:space="preserve"> Disseminated candidiasis caused by </w:t>
      </w:r>
      <w:r w:rsidRPr="00D15A1B">
        <w:rPr>
          <w:rFonts w:ascii="Calibri" w:hAnsi="Calibri"/>
          <w:i/>
          <w:noProof/>
          <w:lang w:val="en-US"/>
        </w:rPr>
        <w:t>Candida albicans</w:t>
      </w:r>
      <w:r w:rsidRPr="00D1426F">
        <w:rPr>
          <w:rFonts w:ascii="Calibri" w:hAnsi="Calibri"/>
          <w:noProof/>
          <w:lang w:val="en-US"/>
        </w:rPr>
        <w:t xml:space="preserve"> with amino acid substitutions in Fks1 at position Ser645 cannot be successfully treated with micafungin. </w:t>
      </w:r>
      <w:r w:rsidRPr="00D1426F">
        <w:rPr>
          <w:rFonts w:ascii="Calibri" w:hAnsi="Calibri"/>
          <w:i/>
          <w:iCs/>
          <w:noProof/>
          <w:lang w:val="en-US"/>
        </w:rPr>
        <w:t>Antimicrob Agents Chemother</w:t>
      </w:r>
      <w:r w:rsidRPr="00D1426F">
        <w:rPr>
          <w:rFonts w:ascii="Calibri" w:hAnsi="Calibri"/>
          <w:noProof/>
          <w:lang w:val="en-US"/>
        </w:rPr>
        <w:t xml:space="preserve"> 2011; </w:t>
      </w:r>
      <w:r w:rsidRPr="00D1426F">
        <w:rPr>
          <w:rFonts w:ascii="Calibri" w:hAnsi="Calibri"/>
          <w:b/>
          <w:bCs/>
          <w:noProof/>
          <w:lang w:val="en-US"/>
        </w:rPr>
        <w:t>55</w:t>
      </w:r>
      <w:r w:rsidRPr="00D1426F">
        <w:rPr>
          <w:rFonts w:ascii="Calibri" w:hAnsi="Calibri"/>
          <w:noProof/>
          <w:lang w:val="en-US"/>
        </w:rPr>
        <w:t>: 3075–83.</w:t>
      </w:r>
    </w:p>
    <w:p w14:paraId="4CD2D2CB"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26. Arendrup MC, Perlin DS, Jensen RH, </w:t>
      </w:r>
      <w:r w:rsidRPr="00D1426F">
        <w:rPr>
          <w:rFonts w:ascii="Calibri" w:hAnsi="Calibri"/>
          <w:i/>
          <w:iCs/>
          <w:noProof/>
          <w:lang w:val="en-US"/>
        </w:rPr>
        <w:t>et al.</w:t>
      </w:r>
      <w:r w:rsidRPr="00D1426F">
        <w:rPr>
          <w:rFonts w:ascii="Calibri" w:hAnsi="Calibri"/>
          <w:noProof/>
          <w:lang w:val="en-US"/>
        </w:rPr>
        <w:t xml:space="preserve"> Differential in vivo activities of anidulafungin, caspofungin, and micafungin against </w:t>
      </w:r>
      <w:r w:rsidRPr="00D15A1B">
        <w:rPr>
          <w:rFonts w:ascii="Calibri" w:hAnsi="Calibri"/>
          <w:i/>
          <w:noProof/>
          <w:lang w:val="en-US"/>
        </w:rPr>
        <w:t>Candida glabrata</w:t>
      </w:r>
      <w:r w:rsidRPr="00D1426F">
        <w:rPr>
          <w:rFonts w:ascii="Calibri" w:hAnsi="Calibri"/>
          <w:noProof/>
          <w:lang w:val="en-US"/>
        </w:rPr>
        <w:t xml:space="preserve"> isolates with and without FKS resistance mutations. </w:t>
      </w:r>
      <w:r w:rsidRPr="00D1426F">
        <w:rPr>
          <w:rFonts w:ascii="Calibri" w:hAnsi="Calibri"/>
          <w:i/>
          <w:iCs/>
          <w:noProof/>
          <w:lang w:val="en-US"/>
        </w:rPr>
        <w:t>Antimicrob Agents Chemother</w:t>
      </w:r>
      <w:r w:rsidRPr="00D1426F">
        <w:rPr>
          <w:rFonts w:ascii="Calibri" w:hAnsi="Calibri"/>
          <w:noProof/>
          <w:lang w:val="en-US"/>
        </w:rPr>
        <w:t xml:space="preserve"> 2012; </w:t>
      </w:r>
      <w:r w:rsidRPr="00D1426F">
        <w:rPr>
          <w:rFonts w:ascii="Calibri" w:hAnsi="Calibri"/>
          <w:b/>
          <w:bCs/>
          <w:noProof/>
          <w:lang w:val="en-US"/>
        </w:rPr>
        <w:t>56</w:t>
      </w:r>
      <w:r w:rsidRPr="00D1426F">
        <w:rPr>
          <w:rFonts w:ascii="Calibri" w:hAnsi="Calibri"/>
          <w:noProof/>
          <w:lang w:val="en-US"/>
        </w:rPr>
        <w:t>: 2435–42.</w:t>
      </w:r>
    </w:p>
    <w:p w14:paraId="4EED94D4"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27. Hope WW, Mickiene D, Petraitis V, </w:t>
      </w:r>
      <w:r w:rsidRPr="00D1426F">
        <w:rPr>
          <w:rFonts w:ascii="Calibri" w:hAnsi="Calibri"/>
          <w:i/>
          <w:iCs/>
          <w:noProof/>
          <w:lang w:val="en-US"/>
        </w:rPr>
        <w:t>et al.</w:t>
      </w:r>
      <w:r w:rsidRPr="00D1426F">
        <w:rPr>
          <w:rFonts w:ascii="Calibri" w:hAnsi="Calibri"/>
          <w:noProof/>
          <w:lang w:val="en-US"/>
        </w:rPr>
        <w:t xml:space="preserve"> The pharmacokinetics and pharmacodynamics of micafungin in experimental hematogenous </w:t>
      </w:r>
      <w:r w:rsidRPr="00D15A1B">
        <w:rPr>
          <w:rFonts w:ascii="Calibri" w:hAnsi="Calibri"/>
          <w:i/>
          <w:noProof/>
          <w:lang w:val="en-US"/>
        </w:rPr>
        <w:t>Candida</w:t>
      </w:r>
      <w:r w:rsidRPr="00D1426F">
        <w:rPr>
          <w:rFonts w:ascii="Calibri" w:hAnsi="Calibri"/>
          <w:noProof/>
          <w:lang w:val="en-US"/>
        </w:rPr>
        <w:t xml:space="preserve"> meningoencephalitis: implications for echinocandin therapy in neonates. </w:t>
      </w:r>
      <w:r w:rsidRPr="00D1426F">
        <w:rPr>
          <w:rFonts w:ascii="Calibri" w:hAnsi="Calibri"/>
          <w:i/>
          <w:iCs/>
          <w:noProof/>
          <w:lang w:val="en-US"/>
        </w:rPr>
        <w:t>J Infect Dis</w:t>
      </w:r>
      <w:r w:rsidRPr="00D1426F">
        <w:rPr>
          <w:rFonts w:ascii="Calibri" w:hAnsi="Calibri"/>
          <w:noProof/>
          <w:lang w:val="en-US"/>
        </w:rPr>
        <w:t xml:space="preserve"> 2008; </w:t>
      </w:r>
      <w:r w:rsidRPr="00D1426F">
        <w:rPr>
          <w:rFonts w:ascii="Calibri" w:hAnsi="Calibri"/>
          <w:b/>
          <w:bCs/>
          <w:noProof/>
          <w:lang w:val="en-US"/>
        </w:rPr>
        <w:t>197</w:t>
      </w:r>
      <w:r w:rsidRPr="00D1426F">
        <w:rPr>
          <w:rFonts w:ascii="Calibri" w:hAnsi="Calibri"/>
          <w:noProof/>
          <w:lang w:val="en-US"/>
        </w:rPr>
        <w:t>: 163–71.</w:t>
      </w:r>
    </w:p>
    <w:p w14:paraId="0B73761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28. Warn PA, Livermore J, Howard S, </w:t>
      </w:r>
      <w:r w:rsidRPr="00D1426F">
        <w:rPr>
          <w:rFonts w:ascii="Calibri" w:hAnsi="Calibri"/>
          <w:i/>
          <w:iCs/>
          <w:noProof/>
          <w:lang w:val="en-US"/>
        </w:rPr>
        <w:t>et al.</w:t>
      </w:r>
      <w:r w:rsidRPr="00D1426F">
        <w:rPr>
          <w:rFonts w:ascii="Calibri" w:hAnsi="Calibri"/>
          <w:noProof/>
          <w:lang w:val="en-US"/>
        </w:rPr>
        <w:t xml:space="preserve"> Anidulafungin for neonatal hematogenous </w:t>
      </w:r>
      <w:r w:rsidRPr="00D15A1B">
        <w:rPr>
          <w:rFonts w:ascii="Calibri" w:hAnsi="Calibri"/>
          <w:i/>
          <w:noProof/>
          <w:lang w:val="en-US"/>
        </w:rPr>
        <w:t>Candida</w:t>
      </w:r>
      <w:r w:rsidRPr="00D1426F">
        <w:rPr>
          <w:rFonts w:ascii="Calibri" w:hAnsi="Calibri"/>
          <w:noProof/>
          <w:lang w:val="en-US"/>
        </w:rPr>
        <w:t xml:space="preserve"> meningoencephalitis: identification of candidate regimens for humans using a translational pharmacological approach. </w:t>
      </w:r>
      <w:r w:rsidRPr="00D1426F">
        <w:rPr>
          <w:rFonts w:ascii="Calibri" w:hAnsi="Calibri"/>
          <w:i/>
          <w:iCs/>
          <w:noProof/>
          <w:lang w:val="en-US"/>
        </w:rPr>
        <w:t>Antimicrob Agents Chemother</w:t>
      </w:r>
      <w:r w:rsidRPr="00D1426F">
        <w:rPr>
          <w:rFonts w:ascii="Calibri" w:hAnsi="Calibri"/>
          <w:noProof/>
          <w:lang w:val="en-US"/>
        </w:rPr>
        <w:t xml:space="preserve"> 2012; </w:t>
      </w:r>
      <w:r w:rsidRPr="00D1426F">
        <w:rPr>
          <w:rFonts w:ascii="Calibri" w:hAnsi="Calibri"/>
          <w:b/>
          <w:bCs/>
          <w:noProof/>
          <w:lang w:val="en-US"/>
        </w:rPr>
        <w:t>56</w:t>
      </w:r>
      <w:r w:rsidRPr="00D1426F">
        <w:rPr>
          <w:rFonts w:ascii="Calibri" w:hAnsi="Calibri"/>
          <w:noProof/>
          <w:lang w:val="en-US"/>
        </w:rPr>
        <w:t>: 708–14.</w:t>
      </w:r>
    </w:p>
    <w:p w14:paraId="6786FBF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29. Andes D, van Ogtrop M. In vivo characterization of the pharmacodynamics of flucytosine in a neutropenic murine disseminated candidiasis model. </w:t>
      </w:r>
      <w:r w:rsidRPr="00D1426F">
        <w:rPr>
          <w:rFonts w:ascii="Calibri" w:hAnsi="Calibri"/>
          <w:i/>
          <w:iCs/>
          <w:noProof/>
          <w:lang w:val="en-US"/>
        </w:rPr>
        <w:t>Antimicrob Agents Chemother</w:t>
      </w:r>
      <w:r w:rsidRPr="00D1426F">
        <w:rPr>
          <w:rFonts w:ascii="Calibri" w:hAnsi="Calibri"/>
          <w:noProof/>
          <w:lang w:val="en-US"/>
        </w:rPr>
        <w:t xml:space="preserve"> 2000; </w:t>
      </w:r>
      <w:r w:rsidRPr="00D1426F">
        <w:rPr>
          <w:rFonts w:ascii="Calibri" w:hAnsi="Calibri"/>
          <w:b/>
          <w:bCs/>
          <w:noProof/>
          <w:lang w:val="en-US"/>
        </w:rPr>
        <w:t>44</w:t>
      </w:r>
      <w:r w:rsidRPr="00D1426F">
        <w:rPr>
          <w:rFonts w:ascii="Calibri" w:hAnsi="Calibri"/>
          <w:noProof/>
          <w:lang w:val="en-US"/>
        </w:rPr>
        <w:t>: 938–42.</w:t>
      </w:r>
    </w:p>
    <w:p w14:paraId="407E27B9"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30. Hope WW, Warn PA, Sharp A, </w:t>
      </w:r>
      <w:r w:rsidRPr="00D1426F">
        <w:rPr>
          <w:rFonts w:ascii="Calibri" w:hAnsi="Calibri"/>
          <w:i/>
          <w:iCs/>
          <w:noProof/>
          <w:lang w:val="en-US"/>
        </w:rPr>
        <w:t>et al.</w:t>
      </w:r>
      <w:r w:rsidRPr="00D1426F">
        <w:rPr>
          <w:rFonts w:ascii="Calibri" w:hAnsi="Calibri"/>
          <w:noProof/>
          <w:lang w:val="en-US"/>
        </w:rPr>
        <w:t xml:space="preserve"> Derivation of an in vivo drug exposure breakpoint for flucytosine against </w:t>
      </w:r>
      <w:r w:rsidRPr="00D15A1B">
        <w:rPr>
          <w:rFonts w:ascii="Calibri" w:hAnsi="Calibri"/>
          <w:i/>
          <w:noProof/>
          <w:lang w:val="en-US"/>
        </w:rPr>
        <w:t>Candida albicans</w:t>
      </w:r>
      <w:r w:rsidRPr="00D1426F">
        <w:rPr>
          <w:rFonts w:ascii="Calibri" w:hAnsi="Calibri"/>
          <w:noProof/>
          <w:lang w:val="en-US"/>
        </w:rPr>
        <w:t xml:space="preserve"> and Impact of the MIC, growth rate, and resistance genotype on the antifungal effect. </w:t>
      </w:r>
      <w:r w:rsidRPr="00D1426F">
        <w:rPr>
          <w:rFonts w:ascii="Calibri" w:hAnsi="Calibri"/>
          <w:i/>
          <w:iCs/>
          <w:noProof/>
          <w:lang w:val="en-US"/>
        </w:rPr>
        <w:t>Antimicrob Agents Chemother</w:t>
      </w:r>
      <w:r w:rsidRPr="00D1426F">
        <w:rPr>
          <w:rFonts w:ascii="Calibri" w:hAnsi="Calibri"/>
          <w:noProof/>
          <w:lang w:val="en-US"/>
        </w:rPr>
        <w:t xml:space="preserve"> 2006; </w:t>
      </w:r>
      <w:r w:rsidRPr="00D1426F">
        <w:rPr>
          <w:rFonts w:ascii="Calibri" w:hAnsi="Calibri"/>
          <w:b/>
          <w:bCs/>
          <w:noProof/>
          <w:lang w:val="en-US"/>
        </w:rPr>
        <w:t>50</w:t>
      </w:r>
      <w:r w:rsidRPr="00D1426F">
        <w:rPr>
          <w:rFonts w:ascii="Calibri" w:hAnsi="Calibri"/>
          <w:noProof/>
          <w:lang w:val="en-US"/>
        </w:rPr>
        <w:t>: 3680–8.</w:t>
      </w:r>
    </w:p>
    <w:p w14:paraId="42C6C5FD" w14:textId="2955D5DD"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31. Sheppard DC, Graybill JR, Najvar LK, </w:t>
      </w:r>
      <w:r w:rsidRPr="00D1426F">
        <w:rPr>
          <w:rFonts w:ascii="Calibri" w:hAnsi="Calibri"/>
          <w:i/>
          <w:iCs/>
          <w:noProof/>
          <w:lang w:val="en-US"/>
        </w:rPr>
        <w:t>et al.</w:t>
      </w:r>
      <w:r w:rsidRPr="00D1426F">
        <w:rPr>
          <w:rFonts w:ascii="Calibri" w:hAnsi="Calibri"/>
          <w:noProof/>
          <w:lang w:val="en-US"/>
        </w:rPr>
        <w:t xml:space="preserve"> Standardization of an </w:t>
      </w:r>
      <w:r w:rsidR="007305EC">
        <w:rPr>
          <w:rFonts w:ascii="Calibri" w:hAnsi="Calibri"/>
          <w:noProof/>
          <w:lang w:val="en-US"/>
        </w:rPr>
        <w:t>e</w:t>
      </w:r>
      <w:r w:rsidRPr="00D1426F">
        <w:rPr>
          <w:rFonts w:ascii="Calibri" w:hAnsi="Calibri"/>
          <w:noProof/>
          <w:lang w:val="en-US"/>
        </w:rPr>
        <w:t xml:space="preserve">xperimental </w:t>
      </w:r>
      <w:r w:rsidR="007305EC">
        <w:rPr>
          <w:rFonts w:ascii="Calibri" w:hAnsi="Calibri"/>
          <w:noProof/>
          <w:lang w:val="en-US"/>
        </w:rPr>
        <w:t>m</w:t>
      </w:r>
      <w:r w:rsidRPr="00D1426F">
        <w:rPr>
          <w:rFonts w:ascii="Calibri" w:hAnsi="Calibri"/>
          <w:noProof/>
          <w:lang w:val="en-US"/>
        </w:rPr>
        <w:t xml:space="preserve">urine </w:t>
      </w:r>
      <w:r w:rsidR="007305EC">
        <w:rPr>
          <w:rFonts w:ascii="Calibri" w:hAnsi="Calibri"/>
          <w:noProof/>
          <w:lang w:val="en-US"/>
        </w:rPr>
        <w:t>m</w:t>
      </w:r>
      <w:r w:rsidRPr="00D1426F">
        <w:rPr>
          <w:rFonts w:ascii="Calibri" w:hAnsi="Calibri"/>
          <w:noProof/>
          <w:lang w:val="en-US"/>
        </w:rPr>
        <w:t xml:space="preserve">odel of </w:t>
      </w:r>
      <w:r w:rsidR="007305EC">
        <w:rPr>
          <w:rFonts w:ascii="Calibri" w:hAnsi="Calibri"/>
          <w:noProof/>
          <w:lang w:val="en-US"/>
        </w:rPr>
        <w:t>i</w:t>
      </w:r>
      <w:r w:rsidRPr="00D1426F">
        <w:rPr>
          <w:rFonts w:ascii="Calibri" w:hAnsi="Calibri"/>
          <w:noProof/>
          <w:lang w:val="en-US"/>
        </w:rPr>
        <w:t xml:space="preserve">nvasive </w:t>
      </w:r>
      <w:r w:rsidR="007305EC">
        <w:rPr>
          <w:rFonts w:ascii="Calibri" w:hAnsi="Calibri"/>
          <w:noProof/>
          <w:lang w:val="en-US"/>
        </w:rPr>
        <w:t>p</w:t>
      </w:r>
      <w:r w:rsidRPr="00D1426F">
        <w:rPr>
          <w:rFonts w:ascii="Calibri" w:hAnsi="Calibri"/>
          <w:noProof/>
          <w:lang w:val="en-US"/>
        </w:rPr>
        <w:t xml:space="preserve">ulmonary </w:t>
      </w:r>
      <w:r w:rsidR="007305EC">
        <w:rPr>
          <w:rFonts w:ascii="Calibri" w:hAnsi="Calibri"/>
          <w:noProof/>
          <w:lang w:val="en-US"/>
        </w:rPr>
        <w:t>a</w:t>
      </w:r>
      <w:r w:rsidRPr="00D1426F">
        <w:rPr>
          <w:rFonts w:ascii="Calibri" w:hAnsi="Calibri"/>
          <w:noProof/>
          <w:lang w:val="en-US"/>
        </w:rPr>
        <w:t xml:space="preserve">spergillosis. 2006; </w:t>
      </w:r>
      <w:r w:rsidRPr="00D1426F">
        <w:rPr>
          <w:rFonts w:ascii="Calibri" w:hAnsi="Calibri"/>
          <w:b/>
          <w:bCs/>
          <w:noProof/>
          <w:lang w:val="en-US"/>
        </w:rPr>
        <w:t>50</w:t>
      </w:r>
      <w:r w:rsidRPr="00D1426F">
        <w:rPr>
          <w:rFonts w:ascii="Calibri" w:hAnsi="Calibri"/>
          <w:noProof/>
          <w:lang w:val="en-US"/>
        </w:rPr>
        <w:t>: 3501–3.</w:t>
      </w:r>
    </w:p>
    <w:p w14:paraId="5EA6565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32. Sheppard DC, Rieg G, Chiang LY, </w:t>
      </w:r>
      <w:r w:rsidRPr="00D1426F">
        <w:rPr>
          <w:rFonts w:ascii="Calibri" w:hAnsi="Calibri"/>
          <w:i/>
          <w:iCs/>
          <w:noProof/>
          <w:lang w:val="en-US"/>
        </w:rPr>
        <w:t>et al.</w:t>
      </w:r>
      <w:r w:rsidRPr="00D1426F">
        <w:rPr>
          <w:rFonts w:ascii="Calibri" w:hAnsi="Calibri"/>
          <w:noProof/>
          <w:lang w:val="en-US"/>
        </w:rPr>
        <w:t xml:space="preserve"> Novel inhalational murine model of invasive pulmonary aspergillosis. </w:t>
      </w:r>
      <w:r w:rsidRPr="00D1426F">
        <w:rPr>
          <w:rFonts w:ascii="Calibri" w:hAnsi="Calibri"/>
          <w:i/>
          <w:iCs/>
          <w:noProof/>
          <w:lang w:val="en-US"/>
        </w:rPr>
        <w:t>Antimicrob Agents Chemother</w:t>
      </w:r>
      <w:r w:rsidRPr="00D1426F">
        <w:rPr>
          <w:rFonts w:ascii="Calibri" w:hAnsi="Calibri"/>
          <w:noProof/>
          <w:lang w:val="en-US"/>
        </w:rPr>
        <w:t xml:space="preserve"> 2004; </w:t>
      </w:r>
      <w:r w:rsidRPr="00D1426F">
        <w:rPr>
          <w:rFonts w:ascii="Calibri" w:hAnsi="Calibri"/>
          <w:b/>
          <w:bCs/>
          <w:noProof/>
          <w:lang w:val="en-US"/>
        </w:rPr>
        <w:t>48</w:t>
      </w:r>
      <w:r w:rsidRPr="00D1426F">
        <w:rPr>
          <w:rFonts w:ascii="Calibri" w:hAnsi="Calibri"/>
          <w:noProof/>
          <w:lang w:val="en-US"/>
        </w:rPr>
        <w:t>: 1908–11.</w:t>
      </w:r>
    </w:p>
    <w:p w14:paraId="2E4A78B5"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33. Hope WW, Petraitis V, Petraitiene R, </w:t>
      </w:r>
      <w:r w:rsidRPr="00D1426F">
        <w:rPr>
          <w:rFonts w:ascii="Calibri" w:hAnsi="Calibri"/>
          <w:i/>
          <w:iCs/>
          <w:noProof/>
          <w:lang w:val="en-US"/>
        </w:rPr>
        <w:t>et al.</w:t>
      </w:r>
      <w:r w:rsidRPr="00D1426F">
        <w:rPr>
          <w:rFonts w:ascii="Calibri" w:hAnsi="Calibri"/>
          <w:noProof/>
          <w:lang w:val="en-US"/>
        </w:rPr>
        <w:t xml:space="preserve"> The initial 96 hours of invasive pulmonary aspergillosis: histopathology, comparative kinetics of galactomannan and (1-&gt;3) β-d-glucan and consequences of delayed antifungal therapy. </w:t>
      </w:r>
      <w:r w:rsidRPr="00D1426F">
        <w:rPr>
          <w:rFonts w:ascii="Calibri" w:hAnsi="Calibri"/>
          <w:i/>
          <w:iCs/>
          <w:noProof/>
          <w:lang w:val="en-US"/>
        </w:rPr>
        <w:t>Antimicrob Agents Chemother</w:t>
      </w:r>
      <w:r w:rsidRPr="00D1426F">
        <w:rPr>
          <w:rFonts w:ascii="Calibri" w:hAnsi="Calibri"/>
          <w:noProof/>
          <w:lang w:val="en-US"/>
        </w:rPr>
        <w:t xml:space="preserve"> 2010; </w:t>
      </w:r>
      <w:r w:rsidRPr="00D1426F">
        <w:rPr>
          <w:rFonts w:ascii="Calibri" w:hAnsi="Calibri"/>
          <w:b/>
          <w:bCs/>
          <w:noProof/>
          <w:lang w:val="en-US"/>
        </w:rPr>
        <w:t>54</w:t>
      </w:r>
      <w:r w:rsidRPr="00D1426F">
        <w:rPr>
          <w:rFonts w:ascii="Calibri" w:hAnsi="Calibri"/>
          <w:noProof/>
          <w:lang w:val="en-US"/>
        </w:rPr>
        <w:t>: 4879–86.</w:t>
      </w:r>
    </w:p>
    <w:p w14:paraId="7A058753"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34. Lepak AJ, Marchillo K, Vanhecker J, </w:t>
      </w:r>
      <w:r w:rsidRPr="00D1426F">
        <w:rPr>
          <w:rFonts w:ascii="Calibri" w:hAnsi="Calibri"/>
          <w:i/>
          <w:iCs/>
          <w:noProof/>
          <w:lang w:val="en-US"/>
        </w:rPr>
        <w:t>et al.</w:t>
      </w:r>
      <w:r w:rsidRPr="00D1426F">
        <w:rPr>
          <w:rFonts w:ascii="Calibri" w:hAnsi="Calibri"/>
          <w:noProof/>
          <w:lang w:val="en-US"/>
        </w:rPr>
        <w:t xml:space="preserve"> Isavuconazole (BAL4815) pharmacodynamic target determination in an in vivo murine model of invasive pulmonary aspergillosis against wild-type and cyp51 mutant isolates of </w:t>
      </w:r>
      <w:r w:rsidRPr="000C06A2">
        <w:rPr>
          <w:rFonts w:ascii="Calibri" w:hAnsi="Calibri"/>
          <w:i/>
          <w:noProof/>
          <w:lang w:val="en-US"/>
        </w:rPr>
        <w:t>Aspergillus fumigatus</w:t>
      </w:r>
      <w:r w:rsidRPr="00D1426F">
        <w:rPr>
          <w:rFonts w:ascii="Calibri" w:hAnsi="Calibri"/>
          <w:noProof/>
          <w:lang w:val="en-US"/>
        </w:rPr>
        <w:t xml:space="preserve">.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6284–9.</w:t>
      </w:r>
    </w:p>
    <w:p w14:paraId="4125779C"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35. Hope WW, Kruhlak MJ, Lyman CA, </w:t>
      </w:r>
      <w:r w:rsidRPr="00D1426F">
        <w:rPr>
          <w:rFonts w:ascii="Calibri" w:hAnsi="Calibri"/>
          <w:i/>
          <w:iCs/>
          <w:noProof/>
          <w:lang w:val="en-US"/>
        </w:rPr>
        <w:t>et al.</w:t>
      </w:r>
      <w:r w:rsidRPr="00D1426F">
        <w:rPr>
          <w:rFonts w:ascii="Calibri" w:hAnsi="Calibri"/>
          <w:noProof/>
          <w:lang w:val="en-US"/>
        </w:rPr>
        <w:t xml:space="preserve"> Pathogenesis of </w:t>
      </w:r>
      <w:r w:rsidRPr="000C06A2">
        <w:rPr>
          <w:rFonts w:ascii="Calibri" w:hAnsi="Calibri"/>
          <w:i/>
          <w:noProof/>
          <w:lang w:val="en-US"/>
        </w:rPr>
        <w:t>Aspergillus fumigatus</w:t>
      </w:r>
      <w:r w:rsidRPr="00D1426F">
        <w:rPr>
          <w:rFonts w:ascii="Calibri" w:hAnsi="Calibri"/>
          <w:noProof/>
          <w:lang w:val="en-US"/>
        </w:rPr>
        <w:t xml:space="preserve"> and the kinetics of galactomannan in an in vitro model of early invasive pulmonary aspergillosis: implications for antifungal therapy. </w:t>
      </w:r>
      <w:r w:rsidRPr="00D1426F">
        <w:rPr>
          <w:rFonts w:ascii="Calibri" w:hAnsi="Calibri"/>
          <w:i/>
          <w:iCs/>
          <w:noProof/>
          <w:lang w:val="en-US"/>
        </w:rPr>
        <w:t>J Infect Dis</w:t>
      </w:r>
      <w:r w:rsidRPr="00D1426F">
        <w:rPr>
          <w:rFonts w:ascii="Calibri" w:hAnsi="Calibri"/>
          <w:noProof/>
          <w:lang w:val="en-US"/>
        </w:rPr>
        <w:t xml:space="preserve"> 2007; </w:t>
      </w:r>
      <w:r w:rsidRPr="00D1426F">
        <w:rPr>
          <w:rFonts w:ascii="Calibri" w:hAnsi="Calibri"/>
          <w:b/>
          <w:bCs/>
          <w:noProof/>
          <w:lang w:val="en-US"/>
        </w:rPr>
        <w:t>195</w:t>
      </w:r>
      <w:r w:rsidRPr="00D1426F">
        <w:rPr>
          <w:rFonts w:ascii="Calibri" w:hAnsi="Calibri"/>
          <w:noProof/>
          <w:lang w:val="en-US"/>
        </w:rPr>
        <w:t>: 455–66.</w:t>
      </w:r>
    </w:p>
    <w:p w14:paraId="556A6A45"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36. Wiederhold NP, Kontoyiannis DP, Chi J, </w:t>
      </w:r>
      <w:r w:rsidRPr="00D1426F">
        <w:rPr>
          <w:rFonts w:ascii="Calibri" w:hAnsi="Calibri"/>
          <w:i/>
          <w:iCs/>
          <w:noProof/>
          <w:lang w:val="en-US"/>
        </w:rPr>
        <w:t>et al.</w:t>
      </w:r>
      <w:r w:rsidRPr="00D1426F">
        <w:rPr>
          <w:rFonts w:ascii="Calibri" w:hAnsi="Calibri"/>
          <w:noProof/>
          <w:lang w:val="en-US"/>
        </w:rPr>
        <w:t xml:space="preserve"> Pharmacodynamics of caspofungin in a murine model of invasive pulmonary aspergillosis : evidence of concentration-dependent activity. 2004; </w:t>
      </w:r>
      <w:r w:rsidRPr="00D1426F">
        <w:rPr>
          <w:rFonts w:ascii="Calibri" w:hAnsi="Calibri"/>
          <w:b/>
          <w:bCs/>
          <w:noProof/>
          <w:lang w:val="en-US"/>
        </w:rPr>
        <w:t>190</w:t>
      </w:r>
      <w:r w:rsidRPr="00D1426F">
        <w:rPr>
          <w:rFonts w:ascii="Calibri" w:hAnsi="Calibri"/>
          <w:noProof/>
          <w:lang w:val="en-US"/>
        </w:rPr>
        <w:t>: 1464–71.</w:t>
      </w:r>
    </w:p>
    <w:p w14:paraId="6E7BC7A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37. Hope WW, Walsh TJ, Denning DW. Laboratory diagnosis of invasive aspergillosis. </w:t>
      </w:r>
      <w:r w:rsidRPr="00D1426F">
        <w:rPr>
          <w:rFonts w:ascii="Calibri" w:hAnsi="Calibri"/>
          <w:i/>
          <w:iCs/>
          <w:noProof/>
          <w:lang w:val="en-US"/>
        </w:rPr>
        <w:t>Lancet Infect Dis</w:t>
      </w:r>
      <w:r w:rsidRPr="00D1426F">
        <w:rPr>
          <w:rFonts w:ascii="Calibri" w:hAnsi="Calibri"/>
          <w:noProof/>
          <w:lang w:val="en-US"/>
        </w:rPr>
        <w:t xml:space="preserve"> 2005; </w:t>
      </w:r>
      <w:r w:rsidRPr="00D1426F">
        <w:rPr>
          <w:rFonts w:ascii="Calibri" w:hAnsi="Calibri"/>
          <w:b/>
          <w:bCs/>
          <w:noProof/>
          <w:lang w:val="en-US"/>
        </w:rPr>
        <w:t>5</w:t>
      </w:r>
      <w:r w:rsidRPr="00D1426F">
        <w:rPr>
          <w:rFonts w:ascii="Calibri" w:hAnsi="Calibri"/>
          <w:noProof/>
          <w:lang w:val="en-US"/>
        </w:rPr>
        <w:t>: 609–22.</w:t>
      </w:r>
    </w:p>
    <w:p w14:paraId="1DA77C2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38. Seyedmousavi S, Meletiadis J, Melchers WJG, </w:t>
      </w:r>
      <w:r w:rsidRPr="00D1426F">
        <w:rPr>
          <w:rFonts w:ascii="Calibri" w:hAnsi="Calibri"/>
          <w:i/>
          <w:iCs/>
          <w:noProof/>
          <w:lang w:val="en-US"/>
        </w:rPr>
        <w:t>et al.</w:t>
      </w:r>
      <w:r w:rsidRPr="00D1426F">
        <w:rPr>
          <w:rFonts w:ascii="Calibri" w:hAnsi="Calibri"/>
          <w:noProof/>
          <w:lang w:val="en-US"/>
        </w:rPr>
        <w:t xml:space="preserve"> In vitro interaction of voriconazole and anidulafungin against triazole-resistant </w:t>
      </w:r>
      <w:r w:rsidRPr="000C06A2">
        <w:rPr>
          <w:rFonts w:ascii="Calibri" w:hAnsi="Calibri"/>
          <w:i/>
          <w:noProof/>
          <w:lang w:val="en-US"/>
        </w:rPr>
        <w:t>Aspergillus fumigatus</w:t>
      </w:r>
      <w:r w:rsidRPr="00D1426F">
        <w:rPr>
          <w:rFonts w:ascii="Calibri" w:hAnsi="Calibri"/>
          <w:noProof/>
          <w:lang w:val="en-US"/>
        </w:rPr>
        <w:t xml:space="preserve">.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796–803.</w:t>
      </w:r>
    </w:p>
    <w:p w14:paraId="3D51E0D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39. Seyedmousavi S, Brüggemann RJM, Melchers WJG, </w:t>
      </w:r>
      <w:r w:rsidRPr="00D1426F">
        <w:rPr>
          <w:rFonts w:ascii="Calibri" w:hAnsi="Calibri"/>
          <w:i/>
          <w:iCs/>
          <w:noProof/>
          <w:lang w:val="en-US"/>
        </w:rPr>
        <w:t>et al.</w:t>
      </w:r>
      <w:r w:rsidRPr="00D1426F">
        <w:rPr>
          <w:rFonts w:ascii="Calibri" w:hAnsi="Calibri"/>
          <w:noProof/>
          <w:lang w:val="en-US"/>
        </w:rPr>
        <w:t xml:space="preserve"> Pharmacodynamics of anidulafungin against clinical </w:t>
      </w:r>
      <w:r w:rsidRPr="000C06A2">
        <w:rPr>
          <w:rFonts w:ascii="Calibri" w:hAnsi="Calibri"/>
          <w:i/>
          <w:noProof/>
          <w:lang w:val="en-US"/>
        </w:rPr>
        <w:t>Aspergillus fumigatus</w:t>
      </w:r>
      <w:r w:rsidRPr="00D1426F">
        <w:rPr>
          <w:rFonts w:ascii="Calibri" w:hAnsi="Calibri"/>
          <w:noProof/>
          <w:lang w:val="en-US"/>
        </w:rPr>
        <w:t xml:space="preserve"> isolates in a nonneutropenic murine model of disseminated aspergillosis.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303–8.</w:t>
      </w:r>
    </w:p>
    <w:p w14:paraId="092AA22C"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40. Jeans AR, Howard SJ, Al-Nakeeb Z, </w:t>
      </w:r>
      <w:r w:rsidRPr="00D1426F">
        <w:rPr>
          <w:rFonts w:ascii="Calibri" w:hAnsi="Calibri"/>
          <w:i/>
          <w:iCs/>
          <w:noProof/>
          <w:lang w:val="en-US"/>
        </w:rPr>
        <w:t>et al.</w:t>
      </w:r>
      <w:r w:rsidRPr="00D1426F">
        <w:rPr>
          <w:rFonts w:ascii="Calibri" w:hAnsi="Calibri"/>
          <w:noProof/>
          <w:lang w:val="en-US"/>
        </w:rPr>
        <w:t xml:space="preserve"> Pharmacodynamics of voriconazole in a dynamic in vitro model of invasive pulmonary aspergillosis: implications for in vitro susceptibility breakpoints. </w:t>
      </w:r>
      <w:r w:rsidRPr="00D1426F">
        <w:rPr>
          <w:rFonts w:ascii="Calibri" w:hAnsi="Calibri"/>
          <w:i/>
          <w:iCs/>
          <w:noProof/>
          <w:lang w:val="en-US"/>
        </w:rPr>
        <w:t>J Infect Dis</w:t>
      </w:r>
      <w:r w:rsidRPr="00D1426F">
        <w:rPr>
          <w:rFonts w:ascii="Calibri" w:hAnsi="Calibri"/>
          <w:noProof/>
          <w:lang w:val="en-US"/>
        </w:rPr>
        <w:t xml:space="preserve"> 2012; </w:t>
      </w:r>
      <w:r w:rsidRPr="00D1426F">
        <w:rPr>
          <w:rFonts w:ascii="Calibri" w:hAnsi="Calibri"/>
          <w:b/>
          <w:bCs/>
          <w:noProof/>
          <w:lang w:val="en-US"/>
        </w:rPr>
        <w:t>206</w:t>
      </w:r>
      <w:r w:rsidRPr="00D1426F">
        <w:rPr>
          <w:rFonts w:ascii="Calibri" w:hAnsi="Calibri"/>
          <w:noProof/>
          <w:lang w:val="en-US"/>
        </w:rPr>
        <w:t>: 442–52.</w:t>
      </w:r>
    </w:p>
    <w:p w14:paraId="439C2935"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41. Meletiadis J, Al-Saigh R, Velegraki A, </w:t>
      </w:r>
      <w:r w:rsidRPr="00D1426F">
        <w:rPr>
          <w:rFonts w:ascii="Calibri" w:hAnsi="Calibri"/>
          <w:i/>
          <w:iCs/>
          <w:noProof/>
          <w:lang w:val="en-US"/>
        </w:rPr>
        <w:t>et al.</w:t>
      </w:r>
      <w:r w:rsidRPr="00D1426F">
        <w:rPr>
          <w:rFonts w:ascii="Calibri" w:hAnsi="Calibri"/>
          <w:noProof/>
          <w:lang w:val="en-US"/>
        </w:rPr>
        <w:t xml:space="preserve"> Pharmacodynamic effects of simulated standard doses of antifungal drugs against </w:t>
      </w:r>
      <w:r w:rsidRPr="000C06A2">
        <w:rPr>
          <w:rFonts w:ascii="Calibri" w:hAnsi="Calibri"/>
          <w:i/>
          <w:noProof/>
          <w:lang w:val="en-US"/>
        </w:rPr>
        <w:t>Aspergillus</w:t>
      </w:r>
      <w:r w:rsidRPr="00D1426F">
        <w:rPr>
          <w:rFonts w:ascii="Calibri" w:hAnsi="Calibri"/>
          <w:noProof/>
          <w:lang w:val="en-US"/>
        </w:rPr>
        <w:t xml:space="preserve"> species in a new in vitro pharmacokinetic/pharmacodynamic model. </w:t>
      </w:r>
      <w:r w:rsidRPr="00D1426F">
        <w:rPr>
          <w:rFonts w:ascii="Calibri" w:hAnsi="Calibri"/>
          <w:i/>
          <w:iCs/>
          <w:noProof/>
          <w:lang w:val="en-US"/>
        </w:rPr>
        <w:t>Antimicrob Agents Chemother</w:t>
      </w:r>
      <w:r w:rsidRPr="00D1426F">
        <w:rPr>
          <w:rFonts w:ascii="Calibri" w:hAnsi="Calibri"/>
          <w:noProof/>
          <w:lang w:val="en-US"/>
        </w:rPr>
        <w:t xml:space="preserve"> 2012; </w:t>
      </w:r>
      <w:r w:rsidRPr="00D1426F">
        <w:rPr>
          <w:rFonts w:ascii="Calibri" w:hAnsi="Calibri"/>
          <w:b/>
          <w:bCs/>
          <w:noProof/>
          <w:lang w:val="en-US"/>
        </w:rPr>
        <w:t>56</w:t>
      </w:r>
      <w:r w:rsidRPr="00D1426F">
        <w:rPr>
          <w:rFonts w:ascii="Calibri" w:hAnsi="Calibri"/>
          <w:noProof/>
          <w:lang w:val="en-US"/>
        </w:rPr>
        <w:t>: 403–10.</w:t>
      </w:r>
    </w:p>
    <w:p w14:paraId="58E5AB1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42. Wiederhold NP, Tam VH, Chi J, </w:t>
      </w:r>
      <w:r w:rsidRPr="00D1426F">
        <w:rPr>
          <w:rFonts w:ascii="Calibri" w:hAnsi="Calibri"/>
          <w:i/>
          <w:iCs/>
          <w:noProof/>
          <w:lang w:val="en-US"/>
        </w:rPr>
        <w:t>et al.</w:t>
      </w:r>
      <w:r w:rsidRPr="00D1426F">
        <w:rPr>
          <w:rFonts w:ascii="Calibri" w:hAnsi="Calibri"/>
          <w:noProof/>
          <w:lang w:val="en-US"/>
        </w:rPr>
        <w:t xml:space="preserve"> Pharmacodynamic activity of amphotericin B deoxycholate is associated with peak plasma concentrations in a neutropenic murine model of invasive pulmonary aspergillosis. </w:t>
      </w:r>
      <w:r w:rsidRPr="00D1426F">
        <w:rPr>
          <w:rFonts w:ascii="Calibri" w:hAnsi="Calibri"/>
          <w:i/>
          <w:iCs/>
          <w:noProof/>
          <w:lang w:val="en-US"/>
        </w:rPr>
        <w:t>Antimicrob Agents Chemother</w:t>
      </w:r>
      <w:r w:rsidRPr="00D1426F">
        <w:rPr>
          <w:rFonts w:ascii="Calibri" w:hAnsi="Calibri"/>
          <w:noProof/>
          <w:lang w:val="en-US"/>
        </w:rPr>
        <w:t xml:space="preserve"> 2006; </w:t>
      </w:r>
      <w:r w:rsidRPr="00D1426F">
        <w:rPr>
          <w:rFonts w:ascii="Calibri" w:hAnsi="Calibri"/>
          <w:b/>
          <w:bCs/>
          <w:noProof/>
          <w:lang w:val="en-US"/>
        </w:rPr>
        <w:t>50</w:t>
      </w:r>
      <w:r w:rsidRPr="00D1426F">
        <w:rPr>
          <w:rFonts w:ascii="Calibri" w:hAnsi="Calibri"/>
          <w:noProof/>
          <w:lang w:val="en-US"/>
        </w:rPr>
        <w:t>: 469–73.</w:t>
      </w:r>
    </w:p>
    <w:p w14:paraId="7DE0C30D" w14:textId="1673DBF1"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43. Seyedmousavi S, Brüggemann RJM, Meis JF, </w:t>
      </w:r>
      <w:r w:rsidRPr="00D1426F">
        <w:rPr>
          <w:rFonts w:ascii="Calibri" w:hAnsi="Calibri"/>
          <w:i/>
          <w:iCs/>
          <w:noProof/>
          <w:lang w:val="en-US"/>
        </w:rPr>
        <w:t>et al.</w:t>
      </w:r>
      <w:r w:rsidRPr="00D1426F">
        <w:rPr>
          <w:rFonts w:ascii="Calibri" w:hAnsi="Calibri"/>
          <w:noProof/>
          <w:lang w:val="en-US"/>
        </w:rPr>
        <w:t xml:space="preserve"> Pharmacodynamics of </w:t>
      </w:r>
      <w:r w:rsidR="000C06A2">
        <w:rPr>
          <w:rFonts w:ascii="Calibri" w:hAnsi="Calibri"/>
          <w:noProof/>
          <w:lang w:val="en-US"/>
        </w:rPr>
        <w:t>i</w:t>
      </w:r>
      <w:r w:rsidRPr="00D1426F">
        <w:rPr>
          <w:rFonts w:ascii="Calibri" w:hAnsi="Calibri"/>
          <w:noProof/>
          <w:lang w:val="en-US"/>
        </w:rPr>
        <w:t xml:space="preserve">savuconazole in an </w:t>
      </w:r>
      <w:r w:rsidRPr="000C06A2">
        <w:rPr>
          <w:rFonts w:ascii="Calibri" w:hAnsi="Calibri"/>
          <w:i/>
          <w:noProof/>
          <w:lang w:val="en-US"/>
        </w:rPr>
        <w:t>Aspergillus fumigatus</w:t>
      </w:r>
      <w:r w:rsidRPr="00D1426F">
        <w:rPr>
          <w:rFonts w:ascii="Calibri" w:hAnsi="Calibri"/>
          <w:noProof/>
          <w:lang w:val="en-US"/>
        </w:rPr>
        <w:t xml:space="preserve"> </w:t>
      </w:r>
      <w:r w:rsidR="000C06A2">
        <w:rPr>
          <w:rFonts w:ascii="Calibri" w:hAnsi="Calibri"/>
          <w:noProof/>
          <w:lang w:val="en-US"/>
        </w:rPr>
        <w:t>m</w:t>
      </w:r>
      <w:r w:rsidRPr="00D1426F">
        <w:rPr>
          <w:rFonts w:ascii="Calibri" w:hAnsi="Calibri"/>
          <w:noProof/>
          <w:lang w:val="en-US"/>
        </w:rPr>
        <w:t xml:space="preserve">ouse </w:t>
      </w:r>
      <w:r w:rsidR="000C06A2">
        <w:rPr>
          <w:rFonts w:ascii="Calibri" w:hAnsi="Calibri"/>
          <w:noProof/>
          <w:lang w:val="en-US"/>
        </w:rPr>
        <w:t>i</w:t>
      </w:r>
      <w:r w:rsidRPr="00D1426F">
        <w:rPr>
          <w:rFonts w:ascii="Calibri" w:hAnsi="Calibri"/>
          <w:noProof/>
          <w:lang w:val="en-US"/>
        </w:rPr>
        <w:t xml:space="preserve">nfection </w:t>
      </w:r>
      <w:r w:rsidR="000C06A2">
        <w:rPr>
          <w:rFonts w:ascii="Calibri" w:hAnsi="Calibri"/>
          <w:noProof/>
          <w:lang w:val="en-US"/>
        </w:rPr>
        <w:t>m</w:t>
      </w:r>
      <w:r w:rsidRPr="00D1426F">
        <w:rPr>
          <w:rFonts w:ascii="Calibri" w:hAnsi="Calibri"/>
          <w:noProof/>
          <w:lang w:val="en-US"/>
        </w:rPr>
        <w:t xml:space="preserve">odel. </w:t>
      </w:r>
      <w:r w:rsidRPr="00D1426F">
        <w:rPr>
          <w:rFonts w:ascii="Calibri" w:hAnsi="Calibri"/>
          <w:i/>
          <w:iCs/>
          <w:noProof/>
          <w:lang w:val="en-US"/>
        </w:rPr>
        <w:t>Antimicrob Agents Chemother</w:t>
      </w:r>
      <w:r w:rsidRPr="00D1426F">
        <w:rPr>
          <w:rFonts w:ascii="Calibri" w:hAnsi="Calibri"/>
          <w:noProof/>
          <w:lang w:val="en-US"/>
        </w:rPr>
        <w:t xml:space="preserve"> 2015; </w:t>
      </w:r>
      <w:r w:rsidRPr="00D1426F">
        <w:rPr>
          <w:rFonts w:ascii="Calibri" w:hAnsi="Calibri"/>
          <w:b/>
          <w:bCs/>
          <w:noProof/>
          <w:lang w:val="en-US"/>
        </w:rPr>
        <w:t>59</w:t>
      </w:r>
      <w:r w:rsidRPr="00D1426F">
        <w:rPr>
          <w:rFonts w:ascii="Calibri" w:hAnsi="Calibri"/>
          <w:noProof/>
          <w:lang w:val="en-US"/>
        </w:rPr>
        <w:t>: 2855–66.</w:t>
      </w:r>
    </w:p>
    <w:p w14:paraId="32A7D10B" w14:textId="1C28041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44. Hope WW, Livermore J, Goodwin J, </w:t>
      </w:r>
      <w:r w:rsidRPr="00D1426F">
        <w:rPr>
          <w:rFonts w:ascii="Calibri" w:hAnsi="Calibri"/>
          <w:i/>
          <w:iCs/>
          <w:noProof/>
          <w:lang w:val="en-US"/>
        </w:rPr>
        <w:t>et al.</w:t>
      </w:r>
      <w:r w:rsidRPr="00D1426F">
        <w:rPr>
          <w:rFonts w:ascii="Calibri" w:hAnsi="Calibri"/>
          <w:noProof/>
          <w:lang w:val="en-US"/>
        </w:rPr>
        <w:t xml:space="preserve"> Pharmacokinetics and Pharmacodynamics (PK-PD) of F901318 Against </w:t>
      </w:r>
      <w:r w:rsidRPr="000C06A2">
        <w:rPr>
          <w:rFonts w:ascii="Calibri" w:hAnsi="Calibri"/>
          <w:i/>
          <w:noProof/>
          <w:lang w:val="en-US"/>
        </w:rPr>
        <w:t>Aspergillus fumigatus</w:t>
      </w:r>
      <w:r w:rsidRPr="00D1426F">
        <w:rPr>
          <w:rFonts w:ascii="Calibri" w:hAnsi="Calibri"/>
          <w:noProof/>
          <w:lang w:val="en-US"/>
        </w:rPr>
        <w:t xml:space="preserve">. </w:t>
      </w:r>
      <w:r w:rsidRPr="00D1426F">
        <w:rPr>
          <w:rFonts w:ascii="Calibri" w:hAnsi="Calibri"/>
          <w:i/>
          <w:iCs/>
          <w:noProof/>
          <w:lang w:val="en-US"/>
        </w:rPr>
        <w:t>Intersci Conf Antimicrob Agents Chemother San Diego, USA</w:t>
      </w:r>
      <w:r w:rsidRPr="00D1426F">
        <w:rPr>
          <w:rFonts w:ascii="Calibri" w:hAnsi="Calibri"/>
          <w:noProof/>
          <w:lang w:val="en-US"/>
        </w:rPr>
        <w:t xml:space="preserve"> 2015; </w:t>
      </w:r>
      <w:r w:rsidRPr="00D1426F">
        <w:rPr>
          <w:rFonts w:ascii="Calibri" w:hAnsi="Calibri"/>
          <w:b/>
          <w:bCs/>
          <w:noProof/>
          <w:lang w:val="en-US"/>
        </w:rPr>
        <w:t>Abstract M</w:t>
      </w:r>
      <w:r w:rsidR="00146A8D">
        <w:rPr>
          <w:rFonts w:ascii="Calibri" w:hAnsi="Calibri"/>
          <w:b/>
          <w:bCs/>
          <w:noProof/>
          <w:lang w:val="en-US"/>
        </w:rPr>
        <w:t>-394</w:t>
      </w:r>
      <w:r w:rsidRPr="00D1426F">
        <w:rPr>
          <w:rFonts w:ascii="Calibri" w:hAnsi="Calibri"/>
          <w:noProof/>
          <w:lang w:val="en-US"/>
        </w:rPr>
        <w:t>.</w:t>
      </w:r>
    </w:p>
    <w:p w14:paraId="6B0B6EA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45. Howard SJ, Lestner JM, Sharp A, </w:t>
      </w:r>
      <w:r w:rsidRPr="00D1426F">
        <w:rPr>
          <w:rFonts w:ascii="Calibri" w:hAnsi="Calibri"/>
          <w:i/>
          <w:iCs/>
          <w:noProof/>
          <w:lang w:val="en-US"/>
        </w:rPr>
        <w:t>et al.</w:t>
      </w:r>
      <w:r w:rsidRPr="00D1426F">
        <w:rPr>
          <w:rFonts w:ascii="Calibri" w:hAnsi="Calibri"/>
          <w:noProof/>
          <w:lang w:val="en-US"/>
        </w:rPr>
        <w:t xml:space="preserve"> Pharmacokinetics and Pharmacodynamics of Posaconazole for Invasive Pulmonary Aspergillosis: Clinical Implications for Antifungal Therapy. </w:t>
      </w:r>
      <w:r w:rsidRPr="00D1426F">
        <w:rPr>
          <w:rFonts w:ascii="Calibri" w:hAnsi="Calibri"/>
          <w:i/>
          <w:iCs/>
          <w:noProof/>
          <w:lang w:val="en-US"/>
        </w:rPr>
        <w:t>J Infect Dis</w:t>
      </w:r>
      <w:r w:rsidRPr="00D1426F">
        <w:rPr>
          <w:rFonts w:ascii="Calibri" w:hAnsi="Calibri"/>
          <w:noProof/>
          <w:lang w:val="en-US"/>
        </w:rPr>
        <w:t xml:space="preserve"> 2011; </w:t>
      </w:r>
      <w:r w:rsidRPr="00D1426F">
        <w:rPr>
          <w:rFonts w:ascii="Calibri" w:hAnsi="Calibri"/>
          <w:b/>
          <w:bCs/>
          <w:noProof/>
          <w:lang w:val="en-US"/>
        </w:rPr>
        <w:t>203</w:t>
      </w:r>
      <w:r w:rsidRPr="00D1426F">
        <w:rPr>
          <w:rFonts w:ascii="Calibri" w:hAnsi="Calibri"/>
          <w:noProof/>
          <w:lang w:val="en-US"/>
        </w:rPr>
        <w:t>: 1324–32.</w:t>
      </w:r>
    </w:p>
    <w:p w14:paraId="30A01C50"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46. Lepak AJ, Marchillo K, Vanhecker J, </w:t>
      </w:r>
      <w:r w:rsidRPr="00D1426F">
        <w:rPr>
          <w:rFonts w:ascii="Calibri" w:hAnsi="Calibri"/>
          <w:i/>
          <w:iCs/>
          <w:noProof/>
          <w:lang w:val="en-US"/>
        </w:rPr>
        <w:t>et al.</w:t>
      </w:r>
      <w:r w:rsidRPr="00D1426F">
        <w:rPr>
          <w:rFonts w:ascii="Calibri" w:hAnsi="Calibri"/>
          <w:noProof/>
          <w:lang w:val="en-US"/>
        </w:rPr>
        <w:t xml:space="preserve"> Posaconazole pharmacodynamic target determination against wild-type and Cyp51 mutant isolates of </w:t>
      </w:r>
      <w:r w:rsidRPr="00146A8D">
        <w:rPr>
          <w:rFonts w:ascii="Calibri" w:hAnsi="Calibri"/>
          <w:i/>
          <w:noProof/>
          <w:lang w:val="en-US"/>
        </w:rPr>
        <w:t xml:space="preserve">Aspergillus fumigatus </w:t>
      </w:r>
      <w:r w:rsidRPr="00D1426F">
        <w:rPr>
          <w:rFonts w:ascii="Calibri" w:hAnsi="Calibri"/>
          <w:noProof/>
          <w:lang w:val="en-US"/>
        </w:rPr>
        <w:t xml:space="preserve">in an in vivo model of invasive pulmonary aspergillosis.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579–85.</w:t>
      </w:r>
    </w:p>
    <w:p w14:paraId="096AEC6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47. Mavridou E, Bruggemann RJ, Melchers WJG, </w:t>
      </w:r>
      <w:r w:rsidRPr="00D1426F">
        <w:rPr>
          <w:rFonts w:ascii="Calibri" w:hAnsi="Calibri"/>
          <w:i/>
          <w:iCs/>
          <w:noProof/>
          <w:lang w:val="en-US"/>
        </w:rPr>
        <w:t>et al.</w:t>
      </w:r>
      <w:r w:rsidRPr="00D1426F">
        <w:rPr>
          <w:rFonts w:ascii="Calibri" w:hAnsi="Calibri"/>
          <w:noProof/>
          <w:lang w:val="en-US"/>
        </w:rPr>
        <w:t xml:space="preserve"> Efficacy of posaconazole against three clinical </w:t>
      </w:r>
      <w:r w:rsidRPr="00146A8D">
        <w:rPr>
          <w:rFonts w:ascii="Calibri" w:hAnsi="Calibri"/>
          <w:i/>
          <w:noProof/>
          <w:lang w:val="en-US"/>
        </w:rPr>
        <w:t>Aspergillus fumigatus</w:t>
      </w:r>
      <w:r w:rsidRPr="00D1426F">
        <w:rPr>
          <w:rFonts w:ascii="Calibri" w:hAnsi="Calibri"/>
          <w:noProof/>
          <w:lang w:val="en-US"/>
        </w:rPr>
        <w:t xml:space="preserve"> isolates with mutations in the cyp51A gene. </w:t>
      </w:r>
      <w:r w:rsidRPr="00D1426F">
        <w:rPr>
          <w:rFonts w:ascii="Calibri" w:hAnsi="Calibri"/>
          <w:i/>
          <w:iCs/>
          <w:noProof/>
          <w:lang w:val="en-US"/>
        </w:rPr>
        <w:t>Antimicrob Agents Chemother</w:t>
      </w:r>
      <w:r w:rsidRPr="00D1426F">
        <w:rPr>
          <w:rFonts w:ascii="Calibri" w:hAnsi="Calibri"/>
          <w:noProof/>
          <w:lang w:val="en-US"/>
        </w:rPr>
        <w:t xml:space="preserve"> 2010; </w:t>
      </w:r>
      <w:r w:rsidRPr="00D1426F">
        <w:rPr>
          <w:rFonts w:ascii="Calibri" w:hAnsi="Calibri"/>
          <w:b/>
          <w:bCs/>
          <w:noProof/>
          <w:lang w:val="en-US"/>
        </w:rPr>
        <w:t>54</w:t>
      </w:r>
      <w:r w:rsidRPr="00D1426F">
        <w:rPr>
          <w:rFonts w:ascii="Calibri" w:hAnsi="Calibri"/>
          <w:noProof/>
          <w:lang w:val="en-US"/>
        </w:rPr>
        <w:t>: 860–5.</w:t>
      </w:r>
    </w:p>
    <w:p w14:paraId="65FCD063"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48. Hope WW, Cuenca-Estrella M, Lass-Florl C, </w:t>
      </w:r>
      <w:r w:rsidRPr="00D1426F">
        <w:rPr>
          <w:rFonts w:ascii="Calibri" w:hAnsi="Calibri"/>
          <w:i/>
          <w:iCs/>
          <w:noProof/>
          <w:lang w:val="en-US"/>
        </w:rPr>
        <w:t>et al.</w:t>
      </w:r>
      <w:r w:rsidRPr="00D1426F">
        <w:rPr>
          <w:rFonts w:ascii="Calibri" w:hAnsi="Calibri"/>
          <w:noProof/>
          <w:lang w:val="en-US"/>
        </w:rPr>
        <w:t xml:space="preserve"> EUCAST technical note on voriconazole and </w:t>
      </w:r>
      <w:r w:rsidRPr="00146A8D">
        <w:rPr>
          <w:rFonts w:ascii="Calibri" w:hAnsi="Calibri"/>
          <w:i/>
          <w:noProof/>
          <w:lang w:val="en-US"/>
        </w:rPr>
        <w:t>Aspergillus</w:t>
      </w:r>
      <w:r w:rsidRPr="00D1426F">
        <w:rPr>
          <w:rFonts w:ascii="Calibri" w:hAnsi="Calibri"/>
          <w:noProof/>
          <w:lang w:val="en-US"/>
        </w:rPr>
        <w:t xml:space="preserve"> spp. </w:t>
      </w:r>
      <w:r w:rsidRPr="00D1426F">
        <w:rPr>
          <w:rFonts w:ascii="Calibri" w:hAnsi="Calibri"/>
          <w:i/>
          <w:iCs/>
          <w:noProof/>
          <w:lang w:val="en-US"/>
        </w:rPr>
        <w:t>Clin Microbiol Infect</w:t>
      </w:r>
      <w:r w:rsidRPr="00D1426F">
        <w:rPr>
          <w:rFonts w:ascii="Calibri" w:hAnsi="Calibri"/>
          <w:noProof/>
          <w:lang w:val="en-US"/>
        </w:rPr>
        <w:t xml:space="preserve"> 2013; </w:t>
      </w:r>
      <w:r w:rsidRPr="00D1426F">
        <w:rPr>
          <w:rFonts w:ascii="Calibri" w:hAnsi="Calibri"/>
          <w:b/>
          <w:bCs/>
          <w:noProof/>
          <w:lang w:val="en-US"/>
        </w:rPr>
        <w:t>19</w:t>
      </w:r>
      <w:r w:rsidRPr="00D1426F">
        <w:rPr>
          <w:rFonts w:ascii="Calibri" w:hAnsi="Calibri"/>
          <w:noProof/>
          <w:lang w:val="en-US"/>
        </w:rPr>
        <w:t>: E278–80.</w:t>
      </w:r>
    </w:p>
    <w:p w14:paraId="2ED3480C" w14:textId="43403CB6"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49. Box H, Livermore J, Johnson A, </w:t>
      </w:r>
      <w:r w:rsidRPr="00D1426F">
        <w:rPr>
          <w:rFonts w:ascii="Calibri" w:hAnsi="Calibri"/>
          <w:i/>
          <w:iCs/>
          <w:noProof/>
          <w:lang w:val="en-US"/>
        </w:rPr>
        <w:t>et al.</w:t>
      </w:r>
      <w:r w:rsidRPr="00D1426F">
        <w:rPr>
          <w:rFonts w:ascii="Calibri" w:hAnsi="Calibri"/>
          <w:noProof/>
          <w:lang w:val="en-US"/>
        </w:rPr>
        <w:t xml:space="preserve"> Pharmacodynamics of </w:t>
      </w:r>
      <w:r w:rsidR="00E07412">
        <w:rPr>
          <w:rFonts w:ascii="Calibri" w:hAnsi="Calibri"/>
          <w:noProof/>
          <w:lang w:val="en-US"/>
        </w:rPr>
        <w:t>i</w:t>
      </w:r>
      <w:r w:rsidRPr="00D1426F">
        <w:rPr>
          <w:rFonts w:ascii="Calibri" w:hAnsi="Calibri"/>
          <w:noProof/>
          <w:lang w:val="en-US"/>
        </w:rPr>
        <w:t xml:space="preserve">savuconazole in a </w:t>
      </w:r>
      <w:r w:rsidR="00E07412">
        <w:rPr>
          <w:rFonts w:ascii="Calibri" w:hAnsi="Calibri"/>
          <w:noProof/>
          <w:lang w:val="en-US"/>
        </w:rPr>
        <w:t>d</w:t>
      </w:r>
      <w:r w:rsidRPr="00D1426F">
        <w:rPr>
          <w:rFonts w:ascii="Calibri" w:hAnsi="Calibri"/>
          <w:noProof/>
          <w:lang w:val="en-US"/>
        </w:rPr>
        <w:t xml:space="preserve">ynamic </w:t>
      </w:r>
      <w:r w:rsidR="00E07412">
        <w:rPr>
          <w:rFonts w:ascii="Calibri" w:hAnsi="Calibri"/>
          <w:noProof/>
          <w:lang w:val="en-US"/>
        </w:rPr>
        <w:t>i</w:t>
      </w:r>
      <w:r w:rsidRPr="00D1426F">
        <w:rPr>
          <w:rFonts w:ascii="Calibri" w:hAnsi="Calibri"/>
          <w:noProof/>
          <w:lang w:val="en-US"/>
        </w:rPr>
        <w:t xml:space="preserve">n vitro </w:t>
      </w:r>
      <w:r w:rsidR="00E07412">
        <w:rPr>
          <w:rFonts w:ascii="Calibri" w:hAnsi="Calibri"/>
          <w:noProof/>
          <w:lang w:val="en-US"/>
        </w:rPr>
        <w:t>m</w:t>
      </w:r>
      <w:r w:rsidRPr="00D1426F">
        <w:rPr>
          <w:rFonts w:ascii="Calibri" w:hAnsi="Calibri"/>
          <w:noProof/>
          <w:lang w:val="en-US"/>
        </w:rPr>
        <w:t xml:space="preserve">odel of </w:t>
      </w:r>
      <w:r w:rsidR="00E07412">
        <w:rPr>
          <w:rFonts w:ascii="Calibri" w:hAnsi="Calibri"/>
          <w:noProof/>
          <w:lang w:val="en-US"/>
        </w:rPr>
        <w:t>i</w:t>
      </w:r>
      <w:r w:rsidRPr="00D1426F">
        <w:rPr>
          <w:rFonts w:ascii="Calibri" w:hAnsi="Calibri"/>
          <w:noProof/>
          <w:lang w:val="en-US"/>
        </w:rPr>
        <w:t xml:space="preserve">nvasive </w:t>
      </w:r>
      <w:r w:rsidR="00E07412">
        <w:rPr>
          <w:rFonts w:ascii="Calibri" w:hAnsi="Calibri"/>
          <w:noProof/>
          <w:lang w:val="en-US"/>
        </w:rPr>
        <w:t>p</w:t>
      </w:r>
      <w:r w:rsidRPr="00D1426F">
        <w:rPr>
          <w:rFonts w:ascii="Calibri" w:hAnsi="Calibri"/>
          <w:noProof/>
          <w:lang w:val="en-US"/>
        </w:rPr>
        <w:t xml:space="preserve">ulmonary </w:t>
      </w:r>
      <w:r w:rsidR="00E07412">
        <w:rPr>
          <w:rFonts w:ascii="Calibri" w:hAnsi="Calibri"/>
          <w:noProof/>
          <w:lang w:val="en-US"/>
        </w:rPr>
        <w:t>a</w:t>
      </w:r>
      <w:r w:rsidRPr="00D1426F">
        <w:rPr>
          <w:rFonts w:ascii="Calibri" w:hAnsi="Calibri"/>
          <w:noProof/>
          <w:lang w:val="en-US"/>
        </w:rPr>
        <w:t xml:space="preserve">spergillosis. </w:t>
      </w:r>
      <w:r w:rsidRPr="00D1426F">
        <w:rPr>
          <w:rFonts w:ascii="Calibri" w:hAnsi="Calibri"/>
          <w:i/>
          <w:iCs/>
          <w:noProof/>
          <w:lang w:val="en-US"/>
        </w:rPr>
        <w:t>Antimicrob Agents Chemother</w:t>
      </w:r>
      <w:r w:rsidRPr="00D1426F">
        <w:rPr>
          <w:rFonts w:ascii="Calibri" w:hAnsi="Calibri"/>
          <w:noProof/>
          <w:lang w:val="en-US"/>
        </w:rPr>
        <w:t xml:space="preserve"> 2015; </w:t>
      </w:r>
      <w:r w:rsidRPr="00D1426F">
        <w:rPr>
          <w:rFonts w:ascii="Calibri" w:hAnsi="Calibri"/>
          <w:b/>
          <w:bCs/>
          <w:noProof/>
          <w:lang w:val="en-US"/>
        </w:rPr>
        <w:t>60</w:t>
      </w:r>
      <w:r w:rsidRPr="00D1426F">
        <w:rPr>
          <w:rFonts w:ascii="Calibri" w:hAnsi="Calibri"/>
          <w:noProof/>
          <w:lang w:val="en-US"/>
        </w:rPr>
        <w:t>: 278–87.</w:t>
      </w:r>
    </w:p>
    <w:p w14:paraId="7A7FC547"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50. O’Connor L, Livermore J, Sharp AD, </w:t>
      </w:r>
      <w:r w:rsidRPr="00D1426F">
        <w:rPr>
          <w:rFonts w:ascii="Calibri" w:hAnsi="Calibri"/>
          <w:i/>
          <w:iCs/>
          <w:noProof/>
          <w:lang w:val="en-US"/>
        </w:rPr>
        <w:t>et al.</w:t>
      </w:r>
      <w:r w:rsidRPr="00D1426F">
        <w:rPr>
          <w:rFonts w:ascii="Calibri" w:hAnsi="Calibri"/>
          <w:noProof/>
          <w:lang w:val="en-US"/>
        </w:rPr>
        <w:t xml:space="preserve"> Pharmacodynamics of liposomal amphotericin B and flucytosine for cryptococcal meningoencephalitis: safe and effective regimens for immunocompromised patients. </w:t>
      </w:r>
      <w:r w:rsidRPr="00D1426F">
        <w:rPr>
          <w:rFonts w:ascii="Calibri" w:hAnsi="Calibri"/>
          <w:i/>
          <w:iCs/>
          <w:noProof/>
          <w:lang w:val="en-US"/>
        </w:rPr>
        <w:t>J Infect Dis</w:t>
      </w:r>
      <w:r w:rsidRPr="00D1426F">
        <w:rPr>
          <w:rFonts w:ascii="Calibri" w:hAnsi="Calibri"/>
          <w:noProof/>
          <w:lang w:val="en-US"/>
        </w:rPr>
        <w:t xml:space="preserve"> 2013; </w:t>
      </w:r>
      <w:r w:rsidRPr="00D1426F">
        <w:rPr>
          <w:rFonts w:ascii="Calibri" w:hAnsi="Calibri"/>
          <w:b/>
          <w:bCs/>
          <w:noProof/>
          <w:lang w:val="en-US"/>
        </w:rPr>
        <w:t>208</w:t>
      </w:r>
      <w:r w:rsidRPr="00D1426F">
        <w:rPr>
          <w:rFonts w:ascii="Calibri" w:hAnsi="Calibri"/>
          <w:noProof/>
          <w:lang w:val="en-US"/>
        </w:rPr>
        <w:t>: 351–61.</w:t>
      </w:r>
    </w:p>
    <w:p w14:paraId="12C03B9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51. Sudan A, Livermore J, Howard SJ, </w:t>
      </w:r>
      <w:r w:rsidRPr="00D1426F">
        <w:rPr>
          <w:rFonts w:ascii="Calibri" w:hAnsi="Calibri"/>
          <w:i/>
          <w:iCs/>
          <w:noProof/>
          <w:lang w:val="en-US"/>
        </w:rPr>
        <w:t>et al.</w:t>
      </w:r>
      <w:r w:rsidRPr="00D1426F">
        <w:rPr>
          <w:rFonts w:ascii="Calibri" w:hAnsi="Calibri"/>
          <w:noProof/>
          <w:lang w:val="en-US"/>
        </w:rPr>
        <w:t xml:space="preserve"> Pharmacokinetics and pharmacodynamics of fluconazole for cryptococcal meningoencephalitis: implications for antifungal therapy and in vitro susceptibility breakpoints. </w:t>
      </w:r>
      <w:r w:rsidRPr="00D1426F">
        <w:rPr>
          <w:rFonts w:ascii="Calibri" w:hAnsi="Calibri"/>
          <w:i/>
          <w:iCs/>
          <w:noProof/>
          <w:lang w:val="en-US"/>
        </w:rPr>
        <w:t>Antimicrob Agents Chemother</w:t>
      </w:r>
      <w:r w:rsidRPr="00D1426F">
        <w:rPr>
          <w:rFonts w:ascii="Calibri" w:hAnsi="Calibri"/>
          <w:noProof/>
          <w:lang w:val="en-US"/>
        </w:rPr>
        <w:t xml:space="preserve"> 2013; </w:t>
      </w:r>
      <w:r w:rsidRPr="00D1426F">
        <w:rPr>
          <w:rFonts w:ascii="Calibri" w:hAnsi="Calibri"/>
          <w:b/>
          <w:bCs/>
          <w:noProof/>
          <w:lang w:val="en-US"/>
        </w:rPr>
        <w:t>57</w:t>
      </w:r>
      <w:r w:rsidRPr="00D1426F">
        <w:rPr>
          <w:rFonts w:ascii="Calibri" w:hAnsi="Calibri"/>
          <w:noProof/>
          <w:lang w:val="en-US"/>
        </w:rPr>
        <w:t>: 2793–800.</w:t>
      </w:r>
    </w:p>
    <w:p w14:paraId="73BAE100"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52. Livermore J, Howard SJ, Sharp AD, </w:t>
      </w:r>
      <w:r w:rsidRPr="00D1426F">
        <w:rPr>
          <w:rFonts w:ascii="Calibri" w:hAnsi="Calibri"/>
          <w:i/>
          <w:iCs/>
          <w:noProof/>
          <w:lang w:val="en-US"/>
        </w:rPr>
        <w:t>et al.</w:t>
      </w:r>
      <w:r w:rsidRPr="00D1426F">
        <w:rPr>
          <w:rFonts w:ascii="Calibri" w:hAnsi="Calibri"/>
          <w:noProof/>
          <w:lang w:val="en-US"/>
        </w:rPr>
        <w:t xml:space="preserve"> Efficacy of an abbreviated induction regimen of amphotericin B deoxycholate for cryptococcal meningoencephalitis: 3 days of therapy is equivalent to 14 days. </w:t>
      </w:r>
      <w:r w:rsidRPr="00D1426F">
        <w:rPr>
          <w:rFonts w:ascii="Calibri" w:hAnsi="Calibri"/>
          <w:i/>
          <w:iCs/>
          <w:noProof/>
          <w:lang w:val="en-US"/>
        </w:rPr>
        <w:t>MBio</w:t>
      </w:r>
      <w:r w:rsidRPr="00D1426F">
        <w:rPr>
          <w:rFonts w:ascii="Calibri" w:hAnsi="Calibri"/>
          <w:noProof/>
          <w:lang w:val="en-US"/>
        </w:rPr>
        <w:t xml:space="preserve"> 2014; </w:t>
      </w:r>
      <w:r w:rsidRPr="00D1426F">
        <w:rPr>
          <w:rFonts w:ascii="Calibri" w:hAnsi="Calibri"/>
          <w:b/>
          <w:bCs/>
          <w:noProof/>
          <w:lang w:val="en-US"/>
        </w:rPr>
        <w:t>5</w:t>
      </w:r>
      <w:r w:rsidRPr="00D1426F">
        <w:rPr>
          <w:rFonts w:ascii="Calibri" w:hAnsi="Calibri"/>
          <w:noProof/>
          <w:lang w:val="en-US"/>
        </w:rPr>
        <w:t>: e00725–13.</w:t>
      </w:r>
    </w:p>
    <w:p w14:paraId="6356B256"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53. Perfect JR, Lang SD, Durack DT. Chronic cryptococcal meningitis: a new experimental model in rabbits. </w:t>
      </w:r>
      <w:r w:rsidRPr="00D1426F">
        <w:rPr>
          <w:rFonts w:ascii="Calibri" w:hAnsi="Calibri"/>
          <w:i/>
          <w:iCs/>
          <w:noProof/>
          <w:lang w:val="en-US"/>
        </w:rPr>
        <w:t>Am J Pathol</w:t>
      </w:r>
      <w:r w:rsidRPr="00D1426F">
        <w:rPr>
          <w:rFonts w:ascii="Calibri" w:hAnsi="Calibri"/>
          <w:noProof/>
          <w:lang w:val="en-US"/>
        </w:rPr>
        <w:t xml:space="preserve"> 1980; </w:t>
      </w:r>
      <w:r w:rsidRPr="00D1426F">
        <w:rPr>
          <w:rFonts w:ascii="Calibri" w:hAnsi="Calibri"/>
          <w:b/>
          <w:bCs/>
          <w:noProof/>
          <w:lang w:val="en-US"/>
        </w:rPr>
        <w:t>101</w:t>
      </w:r>
      <w:r w:rsidRPr="00D1426F">
        <w:rPr>
          <w:rFonts w:ascii="Calibri" w:hAnsi="Calibri"/>
          <w:noProof/>
          <w:lang w:val="en-US"/>
        </w:rPr>
        <w:t>: 177–94.</w:t>
      </w:r>
    </w:p>
    <w:p w14:paraId="10047878"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54. Larsen RA, Bauer M, Weiner JM, </w:t>
      </w:r>
      <w:r w:rsidRPr="00D1426F">
        <w:rPr>
          <w:rFonts w:ascii="Calibri" w:hAnsi="Calibri"/>
          <w:i/>
          <w:iCs/>
          <w:noProof/>
          <w:lang w:val="en-US"/>
        </w:rPr>
        <w:t>et al.</w:t>
      </w:r>
      <w:r w:rsidRPr="00D1426F">
        <w:rPr>
          <w:rFonts w:ascii="Calibri" w:hAnsi="Calibri"/>
          <w:noProof/>
          <w:lang w:val="en-US"/>
        </w:rPr>
        <w:t xml:space="preserve"> Effect of fluconazole on fungicidal activity of flucytosine in murine cryptococcal meningitis. </w:t>
      </w:r>
      <w:r w:rsidRPr="00D1426F">
        <w:rPr>
          <w:rFonts w:ascii="Calibri" w:hAnsi="Calibri"/>
          <w:i/>
          <w:iCs/>
          <w:noProof/>
          <w:lang w:val="en-US"/>
        </w:rPr>
        <w:t>Antimicrob Agents Chemother</w:t>
      </w:r>
      <w:r w:rsidRPr="00D1426F">
        <w:rPr>
          <w:rFonts w:ascii="Calibri" w:hAnsi="Calibri"/>
          <w:noProof/>
          <w:lang w:val="en-US"/>
        </w:rPr>
        <w:t xml:space="preserve"> 1996; </w:t>
      </w:r>
      <w:r w:rsidRPr="00D1426F">
        <w:rPr>
          <w:rFonts w:ascii="Calibri" w:hAnsi="Calibri"/>
          <w:b/>
          <w:bCs/>
          <w:noProof/>
          <w:lang w:val="en-US"/>
        </w:rPr>
        <w:t>40</w:t>
      </w:r>
      <w:r w:rsidRPr="00D1426F">
        <w:rPr>
          <w:rFonts w:ascii="Calibri" w:hAnsi="Calibri"/>
          <w:noProof/>
          <w:lang w:val="en-US"/>
        </w:rPr>
        <w:t>: 2178–82.</w:t>
      </w:r>
    </w:p>
    <w:p w14:paraId="168E444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55. Larsen RA, Bauer M, Thomas AM, </w:t>
      </w:r>
      <w:r w:rsidRPr="00D1426F">
        <w:rPr>
          <w:rFonts w:ascii="Calibri" w:hAnsi="Calibri"/>
          <w:i/>
          <w:iCs/>
          <w:noProof/>
          <w:lang w:val="en-US"/>
        </w:rPr>
        <w:t>et al.</w:t>
      </w:r>
      <w:r w:rsidRPr="00D1426F">
        <w:rPr>
          <w:rFonts w:ascii="Calibri" w:hAnsi="Calibri"/>
          <w:noProof/>
          <w:lang w:val="en-US"/>
        </w:rPr>
        <w:t xml:space="preserve"> Correspondence of in vitro and in vivo fluconazole dose-response curves for </w:t>
      </w:r>
      <w:r w:rsidRPr="00E07412">
        <w:rPr>
          <w:rFonts w:ascii="Calibri" w:hAnsi="Calibri"/>
          <w:i/>
          <w:noProof/>
          <w:lang w:val="en-US"/>
        </w:rPr>
        <w:t>Cryptococcus neoformans</w:t>
      </w:r>
      <w:r w:rsidRPr="00D1426F">
        <w:rPr>
          <w:rFonts w:ascii="Calibri" w:hAnsi="Calibri"/>
          <w:noProof/>
          <w:lang w:val="en-US"/>
        </w:rPr>
        <w:t xml:space="preserve">. </w:t>
      </w:r>
      <w:r w:rsidRPr="00D1426F">
        <w:rPr>
          <w:rFonts w:ascii="Calibri" w:hAnsi="Calibri"/>
          <w:i/>
          <w:iCs/>
          <w:noProof/>
          <w:lang w:val="en-US"/>
        </w:rPr>
        <w:t>Antimicrob Agents Chemother</w:t>
      </w:r>
      <w:r w:rsidRPr="00D1426F">
        <w:rPr>
          <w:rFonts w:ascii="Calibri" w:hAnsi="Calibri"/>
          <w:noProof/>
          <w:lang w:val="en-US"/>
        </w:rPr>
        <w:t xml:space="preserve"> 2005; </w:t>
      </w:r>
      <w:r w:rsidRPr="00D1426F">
        <w:rPr>
          <w:rFonts w:ascii="Calibri" w:hAnsi="Calibri"/>
          <w:b/>
          <w:bCs/>
          <w:noProof/>
          <w:lang w:val="en-US"/>
        </w:rPr>
        <w:t>49</w:t>
      </w:r>
      <w:r w:rsidRPr="00D1426F">
        <w:rPr>
          <w:rFonts w:ascii="Calibri" w:hAnsi="Calibri"/>
          <w:noProof/>
          <w:lang w:val="en-US"/>
        </w:rPr>
        <w:t>: 3297–301.</w:t>
      </w:r>
    </w:p>
    <w:p w14:paraId="6ADEF3F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56. Thomas AM, Najvar L, Graybill JR, </w:t>
      </w:r>
      <w:r w:rsidRPr="00D1426F">
        <w:rPr>
          <w:rFonts w:ascii="Calibri" w:hAnsi="Calibri"/>
          <w:i/>
          <w:iCs/>
          <w:noProof/>
          <w:lang w:val="en-US"/>
        </w:rPr>
        <w:t>et al.</w:t>
      </w:r>
      <w:r w:rsidRPr="00D1426F">
        <w:rPr>
          <w:rFonts w:ascii="Calibri" w:hAnsi="Calibri"/>
          <w:noProof/>
          <w:lang w:val="en-US"/>
        </w:rPr>
        <w:t xml:space="preserve"> Effect of severity of meningitis on fungicidal activity of flucytosine combined with fluconazole in a murine model of cryptococcal meningitis. </w:t>
      </w:r>
      <w:r w:rsidRPr="00D1426F">
        <w:rPr>
          <w:rFonts w:ascii="Calibri" w:hAnsi="Calibri"/>
          <w:i/>
          <w:iCs/>
          <w:noProof/>
          <w:lang w:val="en-US"/>
        </w:rPr>
        <w:t>Antimicrob Agents Chemother</w:t>
      </w:r>
      <w:r w:rsidRPr="00D1426F">
        <w:rPr>
          <w:rFonts w:ascii="Calibri" w:hAnsi="Calibri"/>
          <w:noProof/>
          <w:lang w:val="en-US"/>
        </w:rPr>
        <w:t xml:space="preserve"> 1997; </w:t>
      </w:r>
      <w:r w:rsidRPr="00D1426F">
        <w:rPr>
          <w:rFonts w:ascii="Calibri" w:hAnsi="Calibri"/>
          <w:b/>
          <w:bCs/>
          <w:noProof/>
          <w:lang w:val="en-US"/>
        </w:rPr>
        <w:t>41</w:t>
      </w:r>
      <w:r w:rsidRPr="00D1426F">
        <w:rPr>
          <w:rFonts w:ascii="Calibri" w:hAnsi="Calibri"/>
          <w:noProof/>
          <w:lang w:val="en-US"/>
        </w:rPr>
        <w:t>: 1589–93.</w:t>
      </w:r>
    </w:p>
    <w:p w14:paraId="0643560E"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57. Food and Drug Administration. Drugs Intended to Treat Life-threatening and Severely Debilitating Illnesses. </w:t>
      </w:r>
      <w:r w:rsidRPr="00D1426F">
        <w:rPr>
          <w:rFonts w:ascii="Calibri" w:hAnsi="Calibri"/>
          <w:i/>
          <w:iCs/>
          <w:noProof/>
          <w:lang w:val="en-US"/>
        </w:rPr>
        <w:t>http://www.accessdata.fda.gov/scripts/cdrh/cfdocs/cfcfr/CFRSearch.cfm?CFRPart=312&amp;showFR=1&amp;subpartNode=21:501135</w:t>
      </w:r>
      <w:r w:rsidRPr="00D1426F">
        <w:rPr>
          <w:rFonts w:ascii="Calibri" w:hAnsi="Calibri"/>
          <w:noProof/>
          <w:lang w:val="en-US"/>
        </w:rPr>
        <w:t>.</w:t>
      </w:r>
    </w:p>
    <w:p w14:paraId="60491773"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58. European Medicines Agency. Pilot project on adaptive licensing. </w:t>
      </w:r>
      <w:r w:rsidRPr="00D1426F">
        <w:rPr>
          <w:rFonts w:ascii="Calibri" w:hAnsi="Calibri"/>
          <w:i/>
          <w:iCs/>
          <w:noProof/>
          <w:lang w:val="en-US"/>
        </w:rPr>
        <w:t>http://www.ema.europa.eu/docs/en_GB/document_library/Other/2014/03/WC500163409.pdf</w:t>
      </w:r>
      <w:r w:rsidRPr="00D1426F">
        <w:rPr>
          <w:rFonts w:ascii="Calibri" w:hAnsi="Calibri"/>
          <w:noProof/>
          <w:lang w:val="en-US"/>
        </w:rPr>
        <w:t xml:space="preserve"> 2014.</w:t>
      </w:r>
    </w:p>
    <w:p w14:paraId="6F1571B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59. Food and Drug Administration. Guidance for Industry: Expedited Programs for Serious Conditions – Drugs and Biologics. </w:t>
      </w:r>
      <w:r w:rsidRPr="00D1426F">
        <w:rPr>
          <w:rFonts w:ascii="Calibri" w:hAnsi="Calibri"/>
          <w:i/>
          <w:iCs/>
          <w:noProof/>
          <w:lang w:val="en-US"/>
        </w:rPr>
        <w:t>http://www.fda.gov/downloads/drugs/guidancecomplianceregulatoryinformation/guidances/ucm358301.pdf</w:t>
      </w:r>
      <w:r w:rsidRPr="00D1426F">
        <w:rPr>
          <w:rFonts w:ascii="Calibri" w:hAnsi="Calibri"/>
          <w:noProof/>
          <w:lang w:val="en-US"/>
        </w:rPr>
        <w:t xml:space="preserve"> 2014.</w:t>
      </w:r>
    </w:p>
    <w:p w14:paraId="24B94D22"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60. European Medicines Agency. Guideline on the clinical evaluation of antifungal agents for the treatment and prophylaxis of invasive fungal disease. 2010.</w:t>
      </w:r>
    </w:p>
    <w:p w14:paraId="73D0D35C"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61. European Medicines Agency. Addendum to the guideline on the evaluation of medicinal products indicated for treatment of bacterial infections. </w:t>
      </w:r>
      <w:r w:rsidRPr="00D1426F">
        <w:rPr>
          <w:rFonts w:ascii="Calibri" w:hAnsi="Calibri"/>
          <w:i/>
          <w:iCs/>
          <w:noProof/>
          <w:lang w:val="en-US"/>
        </w:rPr>
        <w:t>http://www.ema.europa.eu/docs/en_GB/document_library/Scientific_guideline/2009/09/WC500003417.pdf</w:t>
      </w:r>
      <w:r w:rsidRPr="00D1426F">
        <w:rPr>
          <w:rFonts w:ascii="Calibri" w:hAnsi="Calibri"/>
          <w:noProof/>
          <w:lang w:val="en-US"/>
        </w:rPr>
        <w:t xml:space="preserve"> 2013.</w:t>
      </w:r>
    </w:p>
    <w:p w14:paraId="2D49719A"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62. European Medicines Agency. Guideline on the use of Pharmacokinetics and Pharmacodynamics in the Development of Antibacterial Medicinal Products. 2015.</w:t>
      </w:r>
    </w:p>
    <w:p w14:paraId="7597DA1D"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63. Clinical Laboratory Standards Institute. </w:t>
      </w:r>
      <w:r w:rsidRPr="00D1426F">
        <w:rPr>
          <w:rFonts w:ascii="Calibri" w:hAnsi="Calibri"/>
          <w:i/>
          <w:iCs/>
          <w:noProof/>
          <w:lang w:val="en-US"/>
        </w:rPr>
        <w:t>Reference method for broth dilution antifungal susceptibility testing of yeasts. Approved standard. M27-A3.</w:t>
      </w:r>
      <w:r w:rsidRPr="00D1426F">
        <w:rPr>
          <w:rFonts w:ascii="Calibri" w:hAnsi="Calibri"/>
          <w:noProof/>
          <w:lang w:val="en-US"/>
        </w:rPr>
        <w:t xml:space="preserve"> Wayne, PA; 2008.</w:t>
      </w:r>
    </w:p>
    <w:p w14:paraId="5D977B13"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64. Clinical Laboratory Standards Institute. </w:t>
      </w:r>
      <w:r w:rsidRPr="00D1426F">
        <w:rPr>
          <w:rFonts w:ascii="Calibri" w:hAnsi="Calibri"/>
          <w:i/>
          <w:iCs/>
          <w:noProof/>
          <w:lang w:val="en-US"/>
        </w:rPr>
        <w:t>Reference method for broth dilution antifungal susceptibility testing of filamentous fungi. Approved standard. M38-A2.</w:t>
      </w:r>
      <w:r w:rsidRPr="00D1426F">
        <w:rPr>
          <w:rFonts w:ascii="Calibri" w:hAnsi="Calibri"/>
          <w:noProof/>
          <w:lang w:val="en-US"/>
        </w:rPr>
        <w:t xml:space="preserve"> Wayne, PA: CLSI; 2008.</w:t>
      </w:r>
    </w:p>
    <w:p w14:paraId="17598184"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65. EUCAST. EUCAST DEFINITIVE DOCUMENT E.DEF 9.3 Method for the determination of broth dilution minimum inhibitory concentrations of antifungal agents for conidia forming moulds. </w:t>
      </w:r>
      <w:r w:rsidRPr="00D1426F">
        <w:rPr>
          <w:rFonts w:ascii="Calibri" w:hAnsi="Calibri"/>
          <w:i/>
          <w:iCs/>
          <w:noProof/>
          <w:lang w:val="en-US"/>
        </w:rPr>
        <w:t>http://www.eucast.org/fileadmin/src/media/PDFs/EUCAST_files/AFST/Files/EUCAST_E_Def_9_3_Mould_testing_definitive.pdf</w:t>
      </w:r>
      <w:r w:rsidRPr="00D1426F">
        <w:rPr>
          <w:rFonts w:ascii="Calibri" w:hAnsi="Calibri"/>
          <w:noProof/>
          <w:lang w:val="en-US"/>
        </w:rPr>
        <w:t>.</w:t>
      </w:r>
    </w:p>
    <w:p w14:paraId="5FCA50DC"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66. Arendrup MC, Cuenca-Estrella M, Lass-Flörl C, </w:t>
      </w:r>
      <w:r w:rsidRPr="00D1426F">
        <w:rPr>
          <w:rFonts w:ascii="Calibri" w:hAnsi="Calibri"/>
          <w:i/>
          <w:iCs/>
          <w:noProof/>
          <w:lang w:val="en-US"/>
        </w:rPr>
        <w:t>et al.</w:t>
      </w:r>
      <w:r w:rsidRPr="00D1426F">
        <w:rPr>
          <w:rFonts w:ascii="Calibri" w:hAnsi="Calibri"/>
          <w:noProof/>
          <w:lang w:val="en-US"/>
        </w:rPr>
        <w:t xml:space="preserve"> EUCAST technical note on the EUCAST definitive document EDef 7.2: method for the determination of broth dilution minimum inhibitory concentrations of antifungal agents for yeasts EDef 7.2 (EUCAST-AFST). </w:t>
      </w:r>
      <w:r w:rsidRPr="00D1426F">
        <w:rPr>
          <w:rFonts w:ascii="Calibri" w:hAnsi="Calibri"/>
          <w:i/>
          <w:iCs/>
          <w:noProof/>
          <w:lang w:val="en-US"/>
        </w:rPr>
        <w:t>Clin Microbiol Infect</w:t>
      </w:r>
      <w:r w:rsidRPr="00D1426F">
        <w:rPr>
          <w:rFonts w:ascii="Calibri" w:hAnsi="Calibri"/>
          <w:noProof/>
          <w:lang w:val="en-US"/>
        </w:rPr>
        <w:t xml:space="preserve"> 2012; </w:t>
      </w:r>
      <w:r w:rsidRPr="00D1426F">
        <w:rPr>
          <w:rFonts w:ascii="Calibri" w:hAnsi="Calibri"/>
          <w:b/>
          <w:bCs/>
          <w:noProof/>
          <w:lang w:val="en-US"/>
        </w:rPr>
        <w:t>18</w:t>
      </w:r>
      <w:r w:rsidRPr="00D1426F">
        <w:rPr>
          <w:rFonts w:ascii="Calibri" w:hAnsi="Calibri"/>
          <w:noProof/>
          <w:lang w:val="en-US"/>
        </w:rPr>
        <w:t>: E246–7.</w:t>
      </w:r>
    </w:p>
    <w:p w14:paraId="6F8CF2B1"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67. Turnidge J, Kahlmeter G, Kronvall G. Statistical characterisation of bacterial wild-type MIC value distributions and the determination of epidemiological cut-off values. </w:t>
      </w:r>
      <w:r w:rsidRPr="00D1426F">
        <w:rPr>
          <w:rFonts w:ascii="Calibri" w:hAnsi="Calibri"/>
          <w:i/>
          <w:iCs/>
          <w:noProof/>
          <w:lang w:val="en-US"/>
        </w:rPr>
        <w:t>Clin Microbiol Infect</w:t>
      </w:r>
      <w:r w:rsidRPr="00D1426F">
        <w:rPr>
          <w:rFonts w:ascii="Calibri" w:hAnsi="Calibri"/>
          <w:noProof/>
          <w:lang w:val="en-US"/>
        </w:rPr>
        <w:t xml:space="preserve"> 2006; </w:t>
      </w:r>
      <w:r w:rsidRPr="00D1426F">
        <w:rPr>
          <w:rFonts w:ascii="Calibri" w:hAnsi="Calibri"/>
          <w:b/>
          <w:bCs/>
          <w:noProof/>
          <w:lang w:val="en-US"/>
        </w:rPr>
        <w:t>12</w:t>
      </w:r>
      <w:r w:rsidRPr="00D1426F">
        <w:rPr>
          <w:rFonts w:ascii="Calibri" w:hAnsi="Calibri"/>
          <w:noProof/>
          <w:lang w:val="en-US"/>
        </w:rPr>
        <w:t>: 418–25.</w:t>
      </w:r>
    </w:p>
    <w:p w14:paraId="0D476A4A" w14:textId="77777777" w:rsidR="00D1426F" w:rsidRPr="00D1426F" w:rsidRDefault="00D1426F" w:rsidP="00D1426F">
      <w:pPr>
        <w:widowControl w:val="0"/>
        <w:autoSpaceDE w:val="0"/>
        <w:autoSpaceDN w:val="0"/>
        <w:adjustRightInd w:val="0"/>
        <w:spacing w:after="140"/>
        <w:rPr>
          <w:rFonts w:ascii="Calibri" w:hAnsi="Calibri"/>
          <w:noProof/>
          <w:lang w:val="en-US"/>
        </w:rPr>
      </w:pPr>
      <w:r w:rsidRPr="00D1426F">
        <w:rPr>
          <w:rFonts w:ascii="Calibri" w:hAnsi="Calibri"/>
          <w:noProof/>
          <w:lang w:val="en-US"/>
        </w:rPr>
        <w:t xml:space="preserve">68. Lestner J, Hope WW. Itraconazole: an update on pharmacology and clinical use for treatment of invasive and allergic fungal infections. </w:t>
      </w:r>
      <w:r w:rsidRPr="00D1426F">
        <w:rPr>
          <w:rFonts w:ascii="Calibri" w:hAnsi="Calibri"/>
          <w:i/>
          <w:iCs/>
          <w:noProof/>
          <w:lang w:val="en-US"/>
        </w:rPr>
        <w:t>Expert Opin Drug Metab Toxicol</w:t>
      </w:r>
      <w:r w:rsidRPr="00D1426F">
        <w:rPr>
          <w:rFonts w:ascii="Calibri" w:hAnsi="Calibri"/>
          <w:noProof/>
          <w:lang w:val="en-US"/>
        </w:rPr>
        <w:t xml:space="preserve"> 2013; </w:t>
      </w:r>
      <w:r w:rsidRPr="00D1426F">
        <w:rPr>
          <w:rFonts w:ascii="Calibri" w:hAnsi="Calibri"/>
          <w:b/>
          <w:bCs/>
          <w:noProof/>
          <w:lang w:val="en-US"/>
        </w:rPr>
        <w:t>9</w:t>
      </w:r>
      <w:r w:rsidRPr="00D1426F">
        <w:rPr>
          <w:rFonts w:ascii="Calibri" w:hAnsi="Calibri"/>
          <w:noProof/>
          <w:lang w:val="en-US"/>
        </w:rPr>
        <w:t>: 911–26.</w:t>
      </w:r>
    </w:p>
    <w:p w14:paraId="07C54146" w14:textId="77777777" w:rsidR="00D1426F" w:rsidRPr="00D1426F" w:rsidRDefault="00D1426F" w:rsidP="00D1426F">
      <w:pPr>
        <w:widowControl w:val="0"/>
        <w:autoSpaceDE w:val="0"/>
        <w:autoSpaceDN w:val="0"/>
        <w:adjustRightInd w:val="0"/>
        <w:spacing w:after="140"/>
        <w:rPr>
          <w:rFonts w:ascii="Calibri" w:hAnsi="Calibri"/>
          <w:noProof/>
        </w:rPr>
      </w:pPr>
      <w:r w:rsidRPr="00D1426F">
        <w:rPr>
          <w:rFonts w:ascii="Calibri" w:hAnsi="Calibri"/>
          <w:noProof/>
          <w:lang w:val="en-US"/>
        </w:rPr>
        <w:t xml:space="preserve">69. Felton T, Troke PF, Hope WW. Tissue penetration of antifungal agents. </w:t>
      </w:r>
      <w:r w:rsidRPr="00D1426F">
        <w:rPr>
          <w:rFonts w:ascii="Calibri" w:hAnsi="Calibri"/>
          <w:i/>
          <w:iCs/>
          <w:noProof/>
          <w:lang w:val="en-US"/>
        </w:rPr>
        <w:t>Clin Microbiol Rev</w:t>
      </w:r>
      <w:r w:rsidRPr="00D1426F">
        <w:rPr>
          <w:rFonts w:ascii="Calibri" w:hAnsi="Calibri"/>
          <w:noProof/>
          <w:lang w:val="en-US"/>
        </w:rPr>
        <w:t xml:space="preserve"> 2014; </w:t>
      </w:r>
      <w:r w:rsidRPr="00D1426F">
        <w:rPr>
          <w:rFonts w:ascii="Calibri" w:hAnsi="Calibri"/>
          <w:b/>
          <w:bCs/>
          <w:noProof/>
          <w:lang w:val="en-US"/>
        </w:rPr>
        <w:t>27</w:t>
      </w:r>
      <w:r w:rsidRPr="00D1426F">
        <w:rPr>
          <w:rFonts w:ascii="Calibri" w:hAnsi="Calibri"/>
          <w:noProof/>
          <w:lang w:val="en-US"/>
        </w:rPr>
        <w:t>: 68–88.</w:t>
      </w:r>
    </w:p>
    <w:p w14:paraId="2C246656" w14:textId="3E2A3BFD" w:rsidR="00E757EB" w:rsidRDefault="00C12366" w:rsidP="00D1426F">
      <w:pPr>
        <w:widowControl w:val="0"/>
        <w:autoSpaceDE w:val="0"/>
        <w:autoSpaceDN w:val="0"/>
        <w:adjustRightInd w:val="0"/>
        <w:spacing w:after="140"/>
        <w:rPr>
          <w:rFonts w:asciiTheme="majorHAnsi" w:hAnsiTheme="majorHAnsi"/>
        </w:rPr>
      </w:pPr>
      <w:r>
        <w:rPr>
          <w:rFonts w:asciiTheme="majorHAnsi" w:hAnsiTheme="majorHAnsi"/>
        </w:rPr>
        <w:fldChar w:fldCharType="end"/>
      </w:r>
    </w:p>
    <w:p w14:paraId="0B76C34B" w14:textId="77777777" w:rsidR="009A1CC2" w:rsidRDefault="009A1CC2" w:rsidP="009E6997">
      <w:pPr>
        <w:widowControl w:val="0"/>
        <w:autoSpaceDE w:val="0"/>
        <w:autoSpaceDN w:val="0"/>
        <w:adjustRightInd w:val="0"/>
        <w:spacing w:after="140" w:line="276" w:lineRule="auto"/>
        <w:ind w:left="640" w:hanging="640"/>
        <w:rPr>
          <w:rFonts w:asciiTheme="majorHAnsi" w:hAnsiTheme="majorHAnsi"/>
        </w:rPr>
      </w:pPr>
    </w:p>
    <w:p w14:paraId="662EC3C0" w14:textId="77777777" w:rsidR="009A1CC2" w:rsidRDefault="009A1CC2" w:rsidP="009E6997">
      <w:pPr>
        <w:widowControl w:val="0"/>
        <w:autoSpaceDE w:val="0"/>
        <w:autoSpaceDN w:val="0"/>
        <w:adjustRightInd w:val="0"/>
        <w:spacing w:after="140" w:line="276" w:lineRule="auto"/>
        <w:ind w:left="640" w:hanging="640"/>
        <w:rPr>
          <w:rFonts w:asciiTheme="majorHAnsi" w:hAnsiTheme="majorHAnsi"/>
        </w:rPr>
      </w:pPr>
    </w:p>
    <w:p w14:paraId="2B187CBC" w14:textId="77777777" w:rsidR="009A1CC2" w:rsidRDefault="009A1CC2">
      <w:pPr>
        <w:rPr>
          <w:rFonts w:asciiTheme="majorHAnsi" w:hAnsiTheme="majorHAnsi"/>
        </w:rPr>
      </w:pPr>
      <w:r>
        <w:rPr>
          <w:rFonts w:asciiTheme="majorHAnsi" w:hAnsiTheme="majorHAnsi"/>
        </w:rPr>
        <w:br w:type="page"/>
      </w:r>
    </w:p>
    <w:p w14:paraId="4CD5C943" w14:textId="77777777" w:rsidR="001617D1" w:rsidRDefault="001617D1">
      <w:pPr>
        <w:rPr>
          <w:rFonts w:asciiTheme="majorHAnsi" w:hAnsiTheme="majorHAnsi"/>
        </w:rPr>
      </w:pPr>
    </w:p>
    <w:tbl>
      <w:tblPr>
        <w:tblStyle w:val="TableGrid"/>
        <w:tblW w:w="0" w:type="auto"/>
        <w:tblLook w:val="04A0" w:firstRow="1" w:lastRow="0" w:firstColumn="1" w:lastColumn="0" w:noHBand="0" w:noVBand="1"/>
      </w:tblPr>
      <w:tblGrid>
        <w:gridCol w:w="2918"/>
        <w:gridCol w:w="5604"/>
      </w:tblGrid>
      <w:tr w:rsidR="009A1CC2" w14:paraId="2B34352E" w14:textId="77777777" w:rsidTr="00D833F0">
        <w:tc>
          <w:tcPr>
            <w:tcW w:w="0" w:type="auto"/>
          </w:tcPr>
          <w:p w14:paraId="657605EC" w14:textId="77777777" w:rsidR="009A1CC2" w:rsidRPr="009A1CC2" w:rsidRDefault="009A1CC2" w:rsidP="009A1CC2">
            <w:pPr>
              <w:rPr>
                <w:sz w:val="20"/>
                <w:szCs w:val="20"/>
              </w:rPr>
            </w:pPr>
            <w:r w:rsidRPr="009A1CC2">
              <w:rPr>
                <w:sz w:val="20"/>
                <w:szCs w:val="20"/>
              </w:rPr>
              <w:t>Key Strategic Steps for Preclinical Antifungal Development</w:t>
            </w:r>
          </w:p>
        </w:tc>
        <w:tc>
          <w:tcPr>
            <w:tcW w:w="0" w:type="auto"/>
          </w:tcPr>
          <w:p w14:paraId="7BCE0F77" w14:textId="77777777" w:rsidR="009A1CC2" w:rsidRPr="009A1CC2" w:rsidRDefault="009A1CC2" w:rsidP="009A1CC2">
            <w:pPr>
              <w:rPr>
                <w:sz w:val="20"/>
                <w:szCs w:val="20"/>
              </w:rPr>
            </w:pPr>
            <w:r w:rsidRPr="009A1CC2">
              <w:rPr>
                <w:sz w:val="20"/>
                <w:szCs w:val="20"/>
              </w:rPr>
              <w:t>Comments</w:t>
            </w:r>
          </w:p>
        </w:tc>
      </w:tr>
      <w:tr w:rsidR="009A1CC2" w14:paraId="0AFF0B8D" w14:textId="77777777" w:rsidTr="00D833F0">
        <w:tc>
          <w:tcPr>
            <w:tcW w:w="0" w:type="auto"/>
          </w:tcPr>
          <w:p w14:paraId="0CE8DD63" w14:textId="77777777" w:rsidR="009A1CC2" w:rsidRPr="009A1CC2" w:rsidRDefault="009A1CC2" w:rsidP="009A1CC2">
            <w:pPr>
              <w:rPr>
                <w:sz w:val="20"/>
                <w:szCs w:val="20"/>
              </w:rPr>
            </w:pPr>
            <w:r w:rsidRPr="009A1CC2">
              <w:rPr>
                <w:sz w:val="20"/>
                <w:szCs w:val="20"/>
              </w:rPr>
              <w:t>Identification of the dosage that is likely to be associated with near maximal antifungal activity</w:t>
            </w:r>
          </w:p>
          <w:p w14:paraId="5C81D0DE" w14:textId="77777777" w:rsidR="009A1CC2" w:rsidRPr="009A1CC2" w:rsidRDefault="009A1CC2" w:rsidP="009A1CC2">
            <w:pPr>
              <w:rPr>
                <w:sz w:val="20"/>
                <w:szCs w:val="20"/>
              </w:rPr>
            </w:pPr>
          </w:p>
        </w:tc>
        <w:tc>
          <w:tcPr>
            <w:tcW w:w="0" w:type="auto"/>
          </w:tcPr>
          <w:p w14:paraId="7B36AD6F" w14:textId="77777777" w:rsidR="009A1CC2" w:rsidRPr="009A1CC2" w:rsidRDefault="009A1CC2" w:rsidP="009A1CC2">
            <w:pPr>
              <w:pStyle w:val="ListParagraph"/>
              <w:numPr>
                <w:ilvl w:val="0"/>
                <w:numId w:val="36"/>
              </w:numPr>
              <w:rPr>
                <w:sz w:val="20"/>
                <w:szCs w:val="20"/>
              </w:rPr>
            </w:pPr>
            <w:r w:rsidRPr="009A1CC2">
              <w:rPr>
                <w:sz w:val="20"/>
                <w:szCs w:val="20"/>
              </w:rPr>
              <w:t>Define drug exposure that produces effects that at least match or exceed those induced by positive controls (benchmarking)</w:t>
            </w:r>
          </w:p>
          <w:p w14:paraId="7BA884E4" w14:textId="77777777" w:rsidR="009A1CC2" w:rsidRPr="009A1CC2" w:rsidRDefault="009A1CC2" w:rsidP="009A1CC2">
            <w:pPr>
              <w:pStyle w:val="ListParagraph"/>
              <w:numPr>
                <w:ilvl w:val="0"/>
                <w:numId w:val="36"/>
              </w:numPr>
              <w:rPr>
                <w:sz w:val="20"/>
                <w:szCs w:val="20"/>
              </w:rPr>
            </w:pPr>
            <w:r w:rsidRPr="009A1CC2">
              <w:rPr>
                <w:sz w:val="20"/>
                <w:szCs w:val="20"/>
              </w:rPr>
              <w:t>Drug exposure quantified in terms of the relevant pharmacodynamic index enables results to be bridged to humans</w:t>
            </w:r>
          </w:p>
        </w:tc>
      </w:tr>
      <w:tr w:rsidR="009A1CC2" w14:paraId="611746E3" w14:textId="77777777" w:rsidTr="00D833F0">
        <w:tc>
          <w:tcPr>
            <w:tcW w:w="0" w:type="auto"/>
          </w:tcPr>
          <w:p w14:paraId="756AE946" w14:textId="77777777" w:rsidR="009A1CC2" w:rsidRPr="009A1CC2" w:rsidRDefault="009A1CC2" w:rsidP="009A1CC2">
            <w:pPr>
              <w:rPr>
                <w:sz w:val="20"/>
                <w:szCs w:val="20"/>
              </w:rPr>
            </w:pPr>
            <w:r w:rsidRPr="009A1CC2">
              <w:rPr>
                <w:sz w:val="20"/>
                <w:szCs w:val="20"/>
              </w:rPr>
              <w:t xml:space="preserve">Identification of the schedule of drug administration </w:t>
            </w:r>
          </w:p>
          <w:p w14:paraId="21842675" w14:textId="77777777" w:rsidR="009A1CC2" w:rsidRPr="009A1CC2" w:rsidRDefault="009A1CC2" w:rsidP="009A1CC2">
            <w:pPr>
              <w:rPr>
                <w:sz w:val="20"/>
                <w:szCs w:val="20"/>
              </w:rPr>
            </w:pPr>
          </w:p>
        </w:tc>
        <w:tc>
          <w:tcPr>
            <w:tcW w:w="0" w:type="auto"/>
          </w:tcPr>
          <w:p w14:paraId="65C40C13" w14:textId="6C88868F" w:rsidR="009A1CC2" w:rsidRPr="009A1CC2" w:rsidRDefault="009A1CC2" w:rsidP="009A1CC2">
            <w:pPr>
              <w:pStyle w:val="ListParagraph"/>
              <w:numPr>
                <w:ilvl w:val="0"/>
                <w:numId w:val="35"/>
              </w:numPr>
              <w:rPr>
                <w:sz w:val="20"/>
                <w:szCs w:val="20"/>
              </w:rPr>
            </w:pPr>
            <w:r w:rsidRPr="009A1CC2">
              <w:rPr>
                <w:sz w:val="20"/>
                <w:szCs w:val="20"/>
              </w:rPr>
              <w:t xml:space="preserve">In later phase clinical studies only a small number of </w:t>
            </w:r>
            <w:r w:rsidR="007F31AD">
              <w:rPr>
                <w:sz w:val="20"/>
                <w:szCs w:val="20"/>
              </w:rPr>
              <w:t>regimens</w:t>
            </w:r>
            <w:r w:rsidRPr="009A1CC2">
              <w:rPr>
                <w:sz w:val="20"/>
                <w:szCs w:val="20"/>
              </w:rPr>
              <w:t xml:space="preserve"> are studied providing little opportunity to break the covariance that exists between the different pharmacodynamic indices</w:t>
            </w:r>
          </w:p>
          <w:p w14:paraId="2D10303C" w14:textId="77777777" w:rsidR="009A1CC2" w:rsidRPr="009A1CC2" w:rsidRDefault="009A1CC2" w:rsidP="009A1CC2">
            <w:pPr>
              <w:pStyle w:val="ListParagraph"/>
              <w:numPr>
                <w:ilvl w:val="0"/>
                <w:numId w:val="35"/>
              </w:numPr>
              <w:rPr>
                <w:sz w:val="20"/>
                <w:szCs w:val="20"/>
              </w:rPr>
            </w:pPr>
            <w:r w:rsidRPr="009A1CC2">
              <w:rPr>
                <w:sz w:val="20"/>
                <w:szCs w:val="20"/>
              </w:rPr>
              <w:t>Dose fractionation studies are performed in preclinical models</w:t>
            </w:r>
          </w:p>
        </w:tc>
      </w:tr>
      <w:tr w:rsidR="009A1CC2" w14:paraId="79F6D7C1" w14:textId="77777777" w:rsidTr="00D833F0">
        <w:tc>
          <w:tcPr>
            <w:tcW w:w="0" w:type="auto"/>
          </w:tcPr>
          <w:p w14:paraId="55074B2E" w14:textId="77777777" w:rsidR="009A1CC2" w:rsidRPr="009A1CC2" w:rsidRDefault="009A1CC2" w:rsidP="009A1CC2">
            <w:pPr>
              <w:rPr>
                <w:sz w:val="20"/>
                <w:szCs w:val="20"/>
              </w:rPr>
            </w:pPr>
            <w:r w:rsidRPr="009A1CC2">
              <w:rPr>
                <w:sz w:val="20"/>
                <w:szCs w:val="20"/>
              </w:rPr>
              <w:t>Demonstration of antifungal activity against isolates resistant to other antifungal classes</w:t>
            </w:r>
          </w:p>
        </w:tc>
        <w:tc>
          <w:tcPr>
            <w:tcW w:w="0" w:type="auto"/>
          </w:tcPr>
          <w:p w14:paraId="13DBFFF3" w14:textId="354F77D9" w:rsidR="009A1CC2" w:rsidRPr="009A1CC2" w:rsidRDefault="009A1CC2" w:rsidP="009A1CC2">
            <w:pPr>
              <w:pStyle w:val="ListParagraph"/>
              <w:numPr>
                <w:ilvl w:val="0"/>
                <w:numId w:val="37"/>
              </w:numPr>
              <w:rPr>
                <w:sz w:val="20"/>
                <w:szCs w:val="20"/>
              </w:rPr>
            </w:pPr>
            <w:r w:rsidRPr="009A1CC2">
              <w:rPr>
                <w:sz w:val="20"/>
                <w:szCs w:val="20"/>
              </w:rPr>
              <w:t xml:space="preserve">A range of isolates with well defined resistance mechanisms </w:t>
            </w:r>
            <w:r w:rsidR="00A155BD">
              <w:rPr>
                <w:sz w:val="20"/>
                <w:szCs w:val="20"/>
              </w:rPr>
              <w:t xml:space="preserve">to other agents </w:t>
            </w:r>
            <w:r w:rsidRPr="009A1CC2">
              <w:rPr>
                <w:sz w:val="20"/>
                <w:szCs w:val="20"/>
              </w:rPr>
              <w:t>should be studied in experimental models to demonstrate exposure response relationships are indistinguishable from the wild type</w:t>
            </w:r>
            <w:r w:rsidR="00A155BD">
              <w:rPr>
                <w:sz w:val="20"/>
                <w:szCs w:val="20"/>
              </w:rPr>
              <w:t xml:space="preserve"> and there is no evidence of cross resistance</w:t>
            </w:r>
          </w:p>
        </w:tc>
      </w:tr>
      <w:tr w:rsidR="009A1CC2" w14:paraId="6C1E036F" w14:textId="77777777" w:rsidTr="00D833F0">
        <w:tc>
          <w:tcPr>
            <w:tcW w:w="0" w:type="auto"/>
          </w:tcPr>
          <w:p w14:paraId="0DBFF616" w14:textId="77777777" w:rsidR="009A1CC2" w:rsidRPr="009A1CC2" w:rsidRDefault="009A1CC2" w:rsidP="009A1CC2">
            <w:pPr>
              <w:rPr>
                <w:sz w:val="20"/>
                <w:szCs w:val="20"/>
              </w:rPr>
            </w:pPr>
            <w:r w:rsidRPr="009A1CC2">
              <w:rPr>
                <w:sz w:val="20"/>
                <w:szCs w:val="20"/>
              </w:rPr>
              <w:t>Establishing a relationship between drug exposure and clinically relevant biomarkers that can be used in early clinical phases of antifungal drug development</w:t>
            </w:r>
          </w:p>
        </w:tc>
        <w:tc>
          <w:tcPr>
            <w:tcW w:w="0" w:type="auto"/>
          </w:tcPr>
          <w:p w14:paraId="18505DEC" w14:textId="77777777" w:rsidR="009A1CC2" w:rsidRPr="009A1CC2" w:rsidRDefault="009A1CC2" w:rsidP="009A1CC2">
            <w:pPr>
              <w:pStyle w:val="ListParagraph"/>
              <w:numPr>
                <w:ilvl w:val="0"/>
                <w:numId w:val="37"/>
              </w:numPr>
              <w:rPr>
                <w:sz w:val="20"/>
                <w:szCs w:val="20"/>
              </w:rPr>
            </w:pPr>
            <w:r w:rsidRPr="009A1CC2">
              <w:rPr>
                <w:sz w:val="20"/>
                <w:szCs w:val="20"/>
              </w:rPr>
              <w:t>As biomarkers for invasive fungal disease become better defined they can be used to aid the design and potentially as endpoints for phase II clinical trials.</w:t>
            </w:r>
          </w:p>
          <w:p w14:paraId="5E2FD57D" w14:textId="357C69A2" w:rsidR="009A1CC2" w:rsidRPr="009A1CC2" w:rsidRDefault="009A1CC2" w:rsidP="009A1CC2">
            <w:pPr>
              <w:pStyle w:val="ListParagraph"/>
              <w:numPr>
                <w:ilvl w:val="0"/>
                <w:numId w:val="37"/>
              </w:numPr>
              <w:rPr>
                <w:sz w:val="20"/>
                <w:szCs w:val="20"/>
              </w:rPr>
            </w:pPr>
            <w:r w:rsidRPr="009A1CC2">
              <w:rPr>
                <w:sz w:val="20"/>
                <w:szCs w:val="20"/>
              </w:rPr>
              <w:t>Current examples include log</w:t>
            </w:r>
            <w:r w:rsidRPr="009A1CC2">
              <w:rPr>
                <w:sz w:val="20"/>
                <w:szCs w:val="20"/>
                <w:vertAlign w:val="subscript"/>
              </w:rPr>
              <w:t>10</w:t>
            </w:r>
            <w:r w:rsidRPr="009A1CC2">
              <w:rPr>
                <w:sz w:val="20"/>
                <w:szCs w:val="20"/>
              </w:rPr>
              <w:t>CFU/mL CSF for cryptococcal meningitis, galactomannan for invasive aspergillosis and 1,3-</w:t>
            </w:r>
            <w:r w:rsidRPr="009A1CC2">
              <w:rPr>
                <w:rFonts w:ascii="Cambria" w:hAnsi="Cambria"/>
                <w:sz w:val="20"/>
                <w:szCs w:val="20"/>
              </w:rPr>
              <w:t>ß</w:t>
            </w:r>
            <w:r w:rsidRPr="009A1CC2">
              <w:rPr>
                <w:sz w:val="20"/>
                <w:szCs w:val="20"/>
              </w:rPr>
              <w:t xml:space="preserve">-D </w:t>
            </w:r>
            <w:proofErr w:type="spellStart"/>
            <w:r w:rsidRPr="009A1CC2">
              <w:rPr>
                <w:sz w:val="20"/>
                <w:szCs w:val="20"/>
              </w:rPr>
              <w:t>glucan</w:t>
            </w:r>
            <w:proofErr w:type="spellEnd"/>
            <w:r w:rsidRPr="009A1CC2">
              <w:rPr>
                <w:sz w:val="20"/>
                <w:szCs w:val="20"/>
              </w:rPr>
              <w:t xml:space="preserve"> for </w:t>
            </w:r>
            <w:r w:rsidR="00E27419">
              <w:rPr>
                <w:sz w:val="20"/>
                <w:szCs w:val="20"/>
              </w:rPr>
              <w:t xml:space="preserve">both </w:t>
            </w:r>
            <w:r w:rsidRPr="009A1CC2">
              <w:rPr>
                <w:sz w:val="20"/>
                <w:szCs w:val="20"/>
              </w:rPr>
              <w:t>disseminated candidiasis and invasive aspergillosis</w:t>
            </w:r>
          </w:p>
        </w:tc>
      </w:tr>
      <w:tr w:rsidR="009A1CC2" w14:paraId="1661EE48" w14:textId="77777777" w:rsidTr="00D833F0">
        <w:trPr>
          <w:trHeight w:val="1117"/>
        </w:trPr>
        <w:tc>
          <w:tcPr>
            <w:tcW w:w="0" w:type="auto"/>
          </w:tcPr>
          <w:p w14:paraId="5676B029" w14:textId="77777777" w:rsidR="009A1CC2" w:rsidRPr="009A1CC2" w:rsidRDefault="009A1CC2" w:rsidP="009A1CC2">
            <w:pPr>
              <w:rPr>
                <w:sz w:val="20"/>
                <w:szCs w:val="20"/>
              </w:rPr>
            </w:pPr>
            <w:r w:rsidRPr="009A1CC2">
              <w:rPr>
                <w:sz w:val="20"/>
                <w:szCs w:val="20"/>
              </w:rPr>
              <w:t>Provide an understanding of the predictive value of the MIC</w:t>
            </w:r>
          </w:p>
        </w:tc>
        <w:tc>
          <w:tcPr>
            <w:tcW w:w="0" w:type="auto"/>
          </w:tcPr>
          <w:p w14:paraId="2250F208" w14:textId="20D88141" w:rsidR="009A1CC2" w:rsidRPr="009A1CC2" w:rsidRDefault="009A1CC2" w:rsidP="00B50702">
            <w:pPr>
              <w:pStyle w:val="ListParagraph"/>
              <w:numPr>
                <w:ilvl w:val="0"/>
                <w:numId w:val="38"/>
              </w:numPr>
              <w:rPr>
                <w:sz w:val="20"/>
                <w:szCs w:val="20"/>
              </w:rPr>
            </w:pPr>
            <w:r w:rsidRPr="009A1CC2">
              <w:rPr>
                <w:sz w:val="20"/>
                <w:szCs w:val="20"/>
              </w:rPr>
              <w:t xml:space="preserve">Establishing in vitro susceptibility breakpoints is a regulatory requirement.  An understanding of the predictive power of the MIC generally comes from preclinical models where the portion of observed variance that can be ascribed to MIC </w:t>
            </w:r>
            <w:r w:rsidR="00B50702">
              <w:rPr>
                <w:sz w:val="20"/>
                <w:szCs w:val="20"/>
              </w:rPr>
              <w:t>is</w:t>
            </w:r>
            <w:r w:rsidRPr="009A1CC2">
              <w:rPr>
                <w:sz w:val="20"/>
                <w:szCs w:val="20"/>
              </w:rPr>
              <w:t xml:space="preserve"> determined</w:t>
            </w:r>
          </w:p>
        </w:tc>
      </w:tr>
      <w:tr w:rsidR="009A1CC2" w14:paraId="2D99DE6B" w14:textId="77777777" w:rsidTr="00D833F0">
        <w:trPr>
          <w:trHeight w:val="1117"/>
        </w:trPr>
        <w:tc>
          <w:tcPr>
            <w:tcW w:w="0" w:type="auto"/>
          </w:tcPr>
          <w:p w14:paraId="45FEFDAC" w14:textId="77777777" w:rsidR="009A1CC2" w:rsidRPr="009A1CC2" w:rsidRDefault="009A1CC2" w:rsidP="009A1CC2">
            <w:pPr>
              <w:rPr>
                <w:sz w:val="20"/>
                <w:szCs w:val="20"/>
              </w:rPr>
            </w:pPr>
            <w:r w:rsidRPr="009A1CC2">
              <w:rPr>
                <w:sz w:val="20"/>
                <w:szCs w:val="20"/>
              </w:rPr>
              <w:t>Demonstration of antifungal activity at the relevant effect site</w:t>
            </w:r>
          </w:p>
        </w:tc>
        <w:tc>
          <w:tcPr>
            <w:tcW w:w="0" w:type="auto"/>
          </w:tcPr>
          <w:p w14:paraId="62568E31" w14:textId="757F9045" w:rsidR="009A1CC2" w:rsidRPr="009A1CC2" w:rsidRDefault="009A1CC2" w:rsidP="009A1CC2">
            <w:pPr>
              <w:pStyle w:val="ListParagraph"/>
              <w:numPr>
                <w:ilvl w:val="0"/>
                <w:numId w:val="38"/>
              </w:numPr>
              <w:rPr>
                <w:sz w:val="20"/>
                <w:szCs w:val="20"/>
              </w:rPr>
            </w:pPr>
            <w:r w:rsidRPr="009A1CC2">
              <w:rPr>
                <w:sz w:val="20"/>
                <w:szCs w:val="20"/>
              </w:rPr>
              <w:t>Demonstrating antifungal activity in a preclinical model at the same site of infection as is intended for patients (e.g. lung or central nervous system) is powerful evidence for</w:t>
            </w:r>
            <w:r w:rsidR="00B50702">
              <w:rPr>
                <w:sz w:val="20"/>
                <w:szCs w:val="20"/>
              </w:rPr>
              <w:t xml:space="preserve"> likely</w:t>
            </w:r>
            <w:r w:rsidRPr="009A1CC2">
              <w:rPr>
                <w:sz w:val="20"/>
                <w:szCs w:val="20"/>
              </w:rPr>
              <w:t xml:space="preserve"> effect </w:t>
            </w:r>
            <w:r w:rsidR="00B50702">
              <w:rPr>
                <w:sz w:val="20"/>
                <w:szCs w:val="20"/>
              </w:rPr>
              <w:t xml:space="preserve">in humans </w:t>
            </w:r>
            <w:r w:rsidRPr="009A1CC2">
              <w:rPr>
                <w:sz w:val="20"/>
                <w:szCs w:val="20"/>
              </w:rPr>
              <w:t xml:space="preserve">and minimises the chance of clinical failure because of unanticipated issues with drug penetration or activity at the effect site </w:t>
            </w:r>
          </w:p>
        </w:tc>
      </w:tr>
    </w:tbl>
    <w:p w14:paraId="02F688F0" w14:textId="77777777" w:rsidR="009A1CC2" w:rsidRDefault="009A1CC2" w:rsidP="009E6997">
      <w:pPr>
        <w:widowControl w:val="0"/>
        <w:autoSpaceDE w:val="0"/>
        <w:autoSpaceDN w:val="0"/>
        <w:adjustRightInd w:val="0"/>
        <w:spacing w:after="140" w:line="276" w:lineRule="auto"/>
        <w:ind w:left="640" w:hanging="640"/>
        <w:rPr>
          <w:rFonts w:asciiTheme="majorHAnsi" w:hAnsiTheme="majorHAnsi"/>
          <w:sz w:val="20"/>
          <w:szCs w:val="20"/>
        </w:rPr>
      </w:pPr>
    </w:p>
    <w:p w14:paraId="46F01F67" w14:textId="77777777" w:rsidR="009A1CC2" w:rsidRDefault="009A1CC2" w:rsidP="009A1CC2">
      <w:r w:rsidRPr="009A1CC2">
        <w:rPr>
          <w:rFonts w:asciiTheme="majorHAnsi" w:hAnsiTheme="majorHAnsi"/>
        </w:rPr>
        <w:t>Table 1</w:t>
      </w:r>
      <w:r>
        <w:rPr>
          <w:rFonts w:asciiTheme="majorHAnsi" w:hAnsiTheme="majorHAnsi"/>
        </w:rPr>
        <w:t xml:space="preserve">. Summary of the </w:t>
      </w:r>
      <w:r>
        <w:t>key id</w:t>
      </w:r>
      <w:r w:rsidR="00AD2491">
        <w:t>eas for use of pharmacokinetics-pharmacodynamics</w:t>
      </w:r>
      <w:r>
        <w:t xml:space="preserve"> in antifungal drug development that substantially de-risk clinical studies</w:t>
      </w:r>
    </w:p>
    <w:p w14:paraId="04F17F73" w14:textId="77777777" w:rsidR="009A1CC2" w:rsidRDefault="009A1CC2" w:rsidP="009E6997">
      <w:pPr>
        <w:widowControl w:val="0"/>
        <w:autoSpaceDE w:val="0"/>
        <w:autoSpaceDN w:val="0"/>
        <w:adjustRightInd w:val="0"/>
        <w:spacing w:after="140" w:line="276" w:lineRule="auto"/>
        <w:ind w:left="640" w:hanging="640"/>
        <w:rPr>
          <w:rFonts w:asciiTheme="majorHAnsi" w:hAnsiTheme="majorHAnsi"/>
        </w:rPr>
      </w:pPr>
    </w:p>
    <w:p w14:paraId="3FB31EC4" w14:textId="77777777" w:rsidR="00AD2491" w:rsidRDefault="00AD2491" w:rsidP="009E6997">
      <w:pPr>
        <w:widowControl w:val="0"/>
        <w:autoSpaceDE w:val="0"/>
        <w:autoSpaceDN w:val="0"/>
        <w:adjustRightInd w:val="0"/>
        <w:spacing w:after="140" w:line="276" w:lineRule="auto"/>
        <w:ind w:left="640" w:hanging="640"/>
        <w:rPr>
          <w:rFonts w:asciiTheme="majorHAnsi" w:hAnsiTheme="majorHAnsi"/>
        </w:rPr>
      </w:pPr>
    </w:p>
    <w:p w14:paraId="55B023B0" w14:textId="77777777" w:rsidR="00AD2491" w:rsidRDefault="00AD2491" w:rsidP="009E6997">
      <w:pPr>
        <w:widowControl w:val="0"/>
        <w:autoSpaceDE w:val="0"/>
        <w:autoSpaceDN w:val="0"/>
        <w:adjustRightInd w:val="0"/>
        <w:spacing w:after="140" w:line="276" w:lineRule="auto"/>
        <w:ind w:left="640" w:hanging="640"/>
        <w:rPr>
          <w:rFonts w:asciiTheme="majorHAnsi" w:hAnsiTheme="majorHAnsi"/>
        </w:rPr>
      </w:pPr>
    </w:p>
    <w:p w14:paraId="6155F2A6" w14:textId="77777777" w:rsidR="00AD2491" w:rsidRDefault="00AD2491" w:rsidP="009E6997">
      <w:pPr>
        <w:widowControl w:val="0"/>
        <w:autoSpaceDE w:val="0"/>
        <w:autoSpaceDN w:val="0"/>
        <w:adjustRightInd w:val="0"/>
        <w:spacing w:after="140" w:line="276" w:lineRule="auto"/>
        <w:ind w:left="640" w:hanging="640"/>
        <w:rPr>
          <w:rFonts w:asciiTheme="majorHAnsi" w:hAnsiTheme="majorHAnsi"/>
        </w:rPr>
      </w:pPr>
    </w:p>
    <w:p w14:paraId="394AB0BB" w14:textId="77777777" w:rsidR="00AD2491" w:rsidRDefault="00AD2491" w:rsidP="009E6997">
      <w:pPr>
        <w:widowControl w:val="0"/>
        <w:autoSpaceDE w:val="0"/>
        <w:autoSpaceDN w:val="0"/>
        <w:adjustRightInd w:val="0"/>
        <w:spacing w:after="140" w:line="276" w:lineRule="auto"/>
        <w:ind w:left="640" w:hanging="640"/>
        <w:rPr>
          <w:rFonts w:asciiTheme="majorHAnsi" w:hAnsiTheme="majorHAnsi"/>
        </w:rPr>
      </w:pPr>
    </w:p>
    <w:p w14:paraId="016ADB64" w14:textId="24B03F4D" w:rsidR="00AD2491" w:rsidRPr="008340F3" w:rsidRDefault="00AD2491" w:rsidP="00D833F0">
      <w:pPr>
        <w:pageBreakBefore/>
        <w:widowControl w:val="0"/>
        <w:autoSpaceDE w:val="0"/>
        <w:autoSpaceDN w:val="0"/>
        <w:adjustRightInd w:val="0"/>
        <w:spacing w:after="140" w:line="276" w:lineRule="auto"/>
        <w:ind w:left="634" w:hanging="634"/>
        <w:rPr>
          <w:rFonts w:asciiTheme="majorHAnsi" w:hAnsiTheme="majorHAnsi"/>
          <w:color w:val="FF0000"/>
        </w:rPr>
      </w:pPr>
    </w:p>
    <w:tbl>
      <w:tblPr>
        <w:tblStyle w:val="TableGrid"/>
        <w:tblW w:w="0" w:type="auto"/>
        <w:tblLook w:val="04A0" w:firstRow="1" w:lastRow="0" w:firstColumn="1" w:lastColumn="0" w:noHBand="0" w:noVBand="1"/>
      </w:tblPr>
      <w:tblGrid>
        <w:gridCol w:w="2221"/>
        <w:gridCol w:w="3176"/>
        <w:gridCol w:w="3125"/>
      </w:tblGrid>
      <w:tr w:rsidR="00AD2491" w14:paraId="32FDABB3" w14:textId="77777777" w:rsidTr="00D833F0">
        <w:trPr>
          <w:tblHeader/>
        </w:trPr>
        <w:tc>
          <w:tcPr>
            <w:tcW w:w="0" w:type="auto"/>
          </w:tcPr>
          <w:p w14:paraId="7B6F3C8D" w14:textId="77777777" w:rsidR="00AD2491" w:rsidRPr="00AD2491" w:rsidRDefault="00AD2491" w:rsidP="00AD2491">
            <w:pPr>
              <w:rPr>
                <w:sz w:val="20"/>
                <w:szCs w:val="20"/>
              </w:rPr>
            </w:pPr>
          </w:p>
        </w:tc>
        <w:tc>
          <w:tcPr>
            <w:tcW w:w="0" w:type="auto"/>
          </w:tcPr>
          <w:p w14:paraId="7572FA63" w14:textId="77777777" w:rsidR="00AD2491" w:rsidRPr="00AD2491" w:rsidRDefault="00AD2491" w:rsidP="00AD2491">
            <w:pPr>
              <w:rPr>
                <w:sz w:val="20"/>
                <w:szCs w:val="20"/>
              </w:rPr>
            </w:pPr>
            <w:r w:rsidRPr="00AD2491">
              <w:rPr>
                <w:sz w:val="20"/>
                <w:szCs w:val="20"/>
              </w:rPr>
              <w:t>Key Endpoints and Outputs</w:t>
            </w:r>
          </w:p>
        </w:tc>
        <w:tc>
          <w:tcPr>
            <w:tcW w:w="0" w:type="auto"/>
          </w:tcPr>
          <w:p w14:paraId="56FC956F" w14:textId="77777777" w:rsidR="00AD2491" w:rsidRPr="00AD2491" w:rsidRDefault="00AD2491" w:rsidP="00AD2491">
            <w:pPr>
              <w:rPr>
                <w:sz w:val="20"/>
                <w:szCs w:val="20"/>
              </w:rPr>
            </w:pPr>
            <w:r w:rsidRPr="00AD2491">
              <w:rPr>
                <w:sz w:val="20"/>
                <w:szCs w:val="20"/>
              </w:rPr>
              <w:t>Relevant Considerations</w:t>
            </w:r>
          </w:p>
        </w:tc>
      </w:tr>
      <w:tr w:rsidR="00AD2491" w14:paraId="5DBB0C66" w14:textId="77777777" w:rsidTr="00D833F0">
        <w:tc>
          <w:tcPr>
            <w:tcW w:w="0" w:type="auto"/>
          </w:tcPr>
          <w:p w14:paraId="48B0CCD7" w14:textId="77777777" w:rsidR="00AD2491" w:rsidRPr="00AD2491" w:rsidRDefault="00AD2491" w:rsidP="00AD2491">
            <w:pPr>
              <w:rPr>
                <w:sz w:val="20"/>
                <w:szCs w:val="20"/>
              </w:rPr>
            </w:pPr>
            <w:r w:rsidRPr="00AD2491">
              <w:rPr>
                <w:sz w:val="20"/>
                <w:szCs w:val="20"/>
              </w:rPr>
              <w:t>In vitro susceptibility testing</w:t>
            </w:r>
          </w:p>
          <w:p w14:paraId="41AF33A4" w14:textId="77777777" w:rsidR="00AD2491" w:rsidRPr="00AD2491" w:rsidRDefault="00AD2491" w:rsidP="00AD2491">
            <w:pPr>
              <w:rPr>
                <w:sz w:val="20"/>
                <w:szCs w:val="20"/>
              </w:rPr>
            </w:pPr>
          </w:p>
        </w:tc>
        <w:tc>
          <w:tcPr>
            <w:tcW w:w="0" w:type="auto"/>
          </w:tcPr>
          <w:p w14:paraId="795CE4C1" w14:textId="77777777" w:rsidR="00AD2491" w:rsidRPr="00AD2491" w:rsidRDefault="00AD2491" w:rsidP="00AD2491">
            <w:pPr>
              <w:pStyle w:val="ListParagraph"/>
              <w:numPr>
                <w:ilvl w:val="0"/>
                <w:numId w:val="38"/>
              </w:numPr>
              <w:rPr>
                <w:sz w:val="20"/>
                <w:szCs w:val="20"/>
              </w:rPr>
            </w:pPr>
            <w:r w:rsidRPr="00AD2491">
              <w:rPr>
                <w:sz w:val="20"/>
                <w:szCs w:val="20"/>
              </w:rPr>
              <w:t>Establishment of the test methodology and QCs</w:t>
            </w:r>
          </w:p>
          <w:p w14:paraId="7BC0B992" w14:textId="77777777" w:rsidR="00AD2491" w:rsidRPr="00AD2491" w:rsidRDefault="00AD2491" w:rsidP="00AD2491">
            <w:pPr>
              <w:pStyle w:val="ListParagraph"/>
              <w:numPr>
                <w:ilvl w:val="0"/>
                <w:numId w:val="38"/>
              </w:numPr>
              <w:rPr>
                <w:sz w:val="20"/>
                <w:szCs w:val="20"/>
              </w:rPr>
            </w:pPr>
            <w:r w:rsidRPr="00AD2491">
              <w:rPr>
                <w:sz w:val="20"/>
                <w:szCs w:val="20"/>
              </w:rPr>
              <w:t>Definition of the wild-type population</w:t>
            </w:r>
          </w:p>
          <w:p w14:paraId="2B9C00D0" w14:textId="77777777" w:rsidR="00AD2491" w:rsidRPr="00AD2491" w:rsidRDefault="00AD2491" w:rsidP="00AD2491">
            <w:pPr>
              <w:pStyle w:val="ListParagraph"/>
              <w:numPr>
                <w:ilvl w:val="0"/>
                <w:numId w:val="38"/>
              </w:numPr>
              <w:rPr>
                <w:sz w:val="20"/>
                <w:szCs w:val="20"/>
              </w:rPr>
            </w:pPr>
            <w:r w:rsidRPr="00AD2491">
              <w:rPr>
                <w:sz w:val="20"/>
                <w:szCs w:val="20"/>
              </w:rPr>
              <w:t>Use both CLSI and EUCAST methodology</w:t>
            </w:r>
          </w:p>
          <w:p w14:paraId="1AD7FF43" w14:textId="77777777" w:rsidR="00AD2491" w:rsidRPr="00AD2491" w:rsidRDefault="00AD2491" w:rsidP="00AD2491">
            <w:pPr>
              <w:pStyle w:val="ListParagraph"/>
              <w:numPr>
                <w:ilvl w:val="0"/>
                <w:numId w:val="38"/>
              </w:numPr>
              <w:rPr>
                <w:sz w:val="20"/>
                <w:szCs w:val="20"/>
              </w:rPr>
            </w:pPr>
            <w:r w:rsidRPr="00AD2491">
              <w:rPr>
                <w:sz w:val="20"/>
                <w:szCs w:val="20"/>
              </w:rPr>
              <w:t>Early engagement with experts/ laboratories with expertise in in vitro susceptibility testing</w:t>
            </w:r>
          </w:p>
        </w:tc>
        <w:tc>
          <w:tcPr>
            <w:tcW w:w="0" w:type="auto"/>
          </w:tcPr>
          <w:p w14:paraId="6B685CB1" w14:textId="77777777" w:rsidR="00AD2491" w:rsidRPr="00AD2491" w:rsidRDefault="00AD2491" w:rsidP="00AD2491">
            <w:pPr>
              <w:pStyle w:val="ListParagraph"/>
              <w:numPr>
                <w:ilvl w:val="0"/>
                <w:numId w:val="38"/>
              </w:numPr>
              <w:rPr>
                <w:sz w:val="20"/>
                <w:szCs w:val="20"/>
              </w:rPr>
            </w:pPr>
            <w:r w:rsidRPr="00AD2491">
              <w:rPr>
                <w:sz w:val="20"/>
                <w:szCs w:val="20"/>
              </w:rPr>
              <w:t>Number of organisms required for each species is not defined, but &gt;100 is reasonable to ensure the wild-type population is robustly defined</w:t>
            </w:r>
          </w:p>
          <w:p w14:paraId="1DB8EAB7" w14:textId="77777777" w:rsidR="00AD2491" w:rsidRPr="00AD2491" w:rsidRDefault="00AD2491" w:rsidP="00AD2491">
            <w:pPr>
              <w:pStyle w:val="ListParagraph"/>
              <w:numPr>
                <w:ilvl w:val="0"/>
                <w:numId w:val="38"/>
              </w:numPr>
              <w:rPr>
                <w:sz w:val="20"/>
                <w:szCs w:val="20"/>
              </w:rPr>
            </w:pPr>
            <w:r w:rsidRPr="00AD2491">
              <w:rPr>
                <w:sz w:val="20"/>
                <w:szCs w:val="20"/>
              </w:rPr>
              <w:t>In vitro susceptibility against laboratory generated or engineered mutants helpful</w:t>
            </w:r>
          </w:p>
          <w:p w14:paraId="5A111E0F" w14:textId="77777777" w:rsidR="00AD2491" w:rsidRPr="00AD2491" w:rsidRDefault="00AD2491" w:rsidP="00AD2491">
            <w:pPr>
              <w:pStyle w:val="ListParagraph"/>
              <w:numPr>
                <w:ilvl w:val="0"/>
                <w:numId w:val="38"/>
              </w:numPr>
              <w:rPr>
                <w:sz w:val="20"/>
                <w:szCs w:val="20"/>
              </w:rPr>
            </w:pPr>
            <w:r w:rsidRPr="00AD2491">
              <w:rPr>
                <w:sz w:val="20"/>
                <w:szCs w:val="20"/>
              </w:rPr>
              <w:t>In vitro susceptibility against panels of isolates that are resistant to other antifungal classes is required</w:t>
            </w:r>
          </w:p>
        </w:tc>
      </w:tr>
      <w:tr w:rsidR="00AD2491" w14:paraId="68E8B9AF" w14:textId="77777777" w:rsidTr="00D833F0">
        <w:tc>
          <w:tcPr>
            <w:tcW w:w="0" w:type="auto"/>
          </w:tcPr>
          <w:p w14:paraId="6BD794EC" w14:textId="77777777" w:rsidR="00AD2491" w:rsidRPr="00AD2491" w:rsidRDefault="00AD2491" w:rsidP="00AD2491">
            <w:pPr>
              <w:rPr>
                <w:sz w:val="20"/>
                <w:szCs w:val="20"/>
              </w:rPr>
            </w:pPr>
            <w:r w:rsidRPr="00AD2491">
              <w:rPr>
                <w:sz w:val="20"/>
                <w:szCs w:val="20"/>
              </w:rPr>
              <w:t>Protein Binding</w:t>
            </w:r>
          </w:p>
        </w:tc>
        <w:tc>
          <w:tcPr>
            <w:tcW w:w="0" w:type="auto"/>
          </w:tcPr>
          <w:p w14:paraId="487902D7" w14:textId="77777777" w:rsidR="00AD2491" w:rsidRPr="00AD2491" w:rsidRDefault="00AD2491" w:rsidP="00AD2491">
            <w:pPr>
              <w:pStyle w:val="ListParagraph"/>
              <w:numPr>
                <w:ilvl w:val="0"/>
                <w:numId w:val="39"/>
              </w:numPr>
              <w:rPr>
                <w:sz w:val="20"/>
                <w:szCs w:val="20"/>
              </w:rPr>
            </w:pPr>
            <w:r w:rsidRPr="00AD2491">
              <w:rPr>
                <w:sz w:val="20"/>
                <w:szCs w:val="20"/>
              </w:rPr>
              <w:t>An estimate of protein binding is required for confidence in bridging from experimental systems to humans</w:t>
            </w:r>
          </w:p>
        </w:tc>
        <w:tc>
          <w:tcPr>
            <w:tcW w:w="0" w:type="auto"/>
          </w:tcPr>
          <w:p w14:paraId="656EDB87" w14:textId="20E15582" w:rsidR="00AD2491" w:rsidRPr="00AD2491" w:rsidRDefault="00AD2491" w:rsidP="00AD2491">
            <w:pPr>
              <w:pStyle w:val="ListParagraph"/>
              <w:numPr>
                <w:ilvl w:val="0"/>
                <w:numId w:val="39"/>
              </w:numPr>
              <w:rPr>
                <w:sz w:val="20"/>
                <w:szCs w:val="20"/>
              </w:rPr>
            </w:pPr>
            <w:r w:rsidRPr="00AD2491">
              <w:rPr>
                <w:sz w:val="20"/>
                <w:szCs w:val="20"/>
              </w:rPr>
              <w:t>Different methods yield different estimates</w:t>
            </w:r>
            <w:r>
              <w:rPr>
                <w:sz w:val="20"/>
                <w:szCs w:val="20"/>
              </w:rPr>
              <w:t xml:space="preserve"> of protein binding</w:t>
            </w:r>
          </w:p>
        </w:tc>
      </w:tr>
      <w:tr w:rsidR="00AD2491" w14:paraId="66F292E0" w14:textId="77777777" w:rsidTr="00D833F0">
        <w:tc>
          <w:tcPr>
            <w:tcW w:w="0" w:type="auto"/>
          </w:tcPr>
          <w:p w14:paraId="43286124" w14:textId="77777777" w:rsidR="00AD2491" w:rsidRPr="00AD2491" w:rsidRDefault="00AD2491" w:rsidP="00AD2491">
            <w:pPr>
              <w:rPr>
                <w:sz w:val="20"/>
                <w:szCs w:val="20"/>
              </w:rPr>
            </w:pPr>
            <w:r w:rsidRPr="00AD2491">
              <w:rPr>
                <w:sz w:val="20"/>
                <w:szCs w:val="20"/>
              </w:rPr>
              <w:t>Characterisation of Exposure-response relationships</w:t>
            </w:r>
          </w:p>
        </w:tc>
        <w:tc>
          <w:tcPr>
            <w:tcW w:w="0" w:type="auto"/>
          </w:tcPr>
          <w:p w14:paraId="7F237180" w14:textId="77777777" w:rsidR="00AD2491" w:rsidRPr="00AD2491" w:rsidRDefault="00AD2491" w:rsidP="00AD2491">
            <w:pPr>
              <w:pStyle w:val="ListParagraph"/>
              <w:numPr>
                <w:ilvl w:val="0"/>
                <w:numId w:val="39"/>
              </w:numPr>
              <w:rPr>
                <w:sz w:val="20"/>
                <w:szCs w:val="20"/>
              </w:rPr>
            </w:pPr>
            <w:r w:rsidRPr="00AD2491">
              <w:rPr>
                <w:sz w:val="20"/>
                <w:szCs w:val="20"/>
              </w:rPr>
              <w:t>Often requires multiple experiments to define exposure response relationships with an adequate degree of resolution and statistical confidence</w:t>
            </w:r>
          </w:p>
        </w:tc>
        <w:tc>
          <w:tcPr>
            <w:tcW w:w="0" w:type="auto"/>
          </w:tcPr>
          <w:p w14:paraId="0DC62A06" w14:textId="77777777" w:rsidR="00AD2491" w:rsidRPr="00AD2491" w:rsidRDefault="00AD2491" w:rsidP="00AD2491">
            <w:pPr>
              <w:pStyle w:val="ListParagraph"/>
              <w:numPr>
                <w:ilvl w:val="0"/>
                <w:numId w:val="39"/>
              </w:numPr>
              <w:rPr>
                <w:sz w:val="20"/>
                <w:szCs w:val="20"/>
              </w:rPr>
            </w:pPr>
            <w:r w:rsidRPr="00AD2491">
              <w:rPr>
                <w:sz w:val="20"/>
                <w:szCs w:val="20"/>
              </w:rPr>
              <w:t>Experiments generally begin with dosages that stretch over several orders of magnitude before refinement to relevant areas</w:t>
            </w:r>
          </w:p>
          <w:p w14:paraId="0646D8AA" w14:textId="77777777" w:rsidR="00AD2491" w:rsidRPr="00AD2491" w:rsidRDefault="00AD2491" w:rsidP="00AD2491">
            <w:pPr>
              <w:pStyle w:val="ListParagraph"/>
              <w:numPr>
                <w:ilvl w:val="0"/>
                <w:numId w:val="39"/>
              </w:numPr>
              <w:rPr>
                <w:sz w:val="20"/>
                <w:szCs w:val="20"/>
              </w:rPr>
            </w:pPr>
            <w:r w:rsidRPr="00AD2491">
              <w:rPr>
                <w:sz w:val="20"/>
                <w:szCs w:val="20"/>
              </w:rPr>
              <w:t>If exposure response relationships are steep it may be difficult to get robust estimates of EC50</w:t>
            </w:r>
          </w:p>
        </w:tc>
      </w:tr>
      <w:tr w:rsidR="00AD2491" w14:paraId="5A7A5248" w14:textId="77777777" w:rsidTr="00D833F0">
        <w:tc>
          <w:tcPr>
            <w:tcW w:w="0" w:type="auto"/>
          </w:tcPr>
          <w:p w14:paraId="02F98028" w14:textId="77777777" w:rsidR="00AD2491" w:rsidRPr="00AD2491" w:rsidRDefault="00AD2491" w:rsidP="00AD2491">
            <w:pPr>
              <w:rPr>
                <w:sz w:val="20"/>
                <w:szCs w:val="20"/>
              </w:rPr>
            </w:pPr>
            <w:r w:rsidRPr="00AD2491">
              <w:rPr>
                <w:sz w:val="20"/>
                <w:szCs w:val="20"/>
              </w:rPr>
              <w:t>Dose fractionation studies</w:t>
            </w:r>
          </w:p>
        </w:tc>
        <w:tc>
          <w:tcPr>
            <w:tcW w:w="0" w:type="auto"/>
          </w:tcPr>
          <w:p w14:paraId="38B63DC6" w14:textId="77777777" w:rsidR="00AD2491" w:rsidRPr="001617F3" w:rsidRDefault="001617F3" w:rsidP="001617F3">
            <w:pPr>
              <w:pStyle w:val="ListParagraph"/>
              <w:numPr>
                <w:ilvl w:val="0"/>
                <w:numId w:val="39"/>
              </w:numPr>
              <w:rPr>
                <w:sz w:val="20"/>
                <w:szCs w:val="20"/>
              </w:rPr>
            </w:pPr>
            <w:r>
              <w:rPr>
                <w:sz w:val="20"/>
                <w:szCs w:val="20"/>
              </w:rPr>
              <w:t>Elucidation</w:t>
            </w:r>
            <w:r w:rsidR="00AD2491" w:rsidRPr="001617F3">
              <w:rPr>
                <w:sz w:val="20"/>
                <w:szCs w:val="20"/>
              </w:rPr>
              <w:t xml:space="preserve"> of the relevant pharmacodynamic index </w:t>
            </w:r>
          </w:p>
        </w:tc>
        <w:tc>
          <w:tcPr>
            <w:tcW w:w="0" w:type="auto"/>
          </w:tcPr>
          <w:p w14:paraId="426C9419" w14:textId="77777777" w:rsidR="00AD2491" w:rsidRPr="00AD2491" w:rsidRDefault="00AD2491" w:rsidP="00AD2491">
            <w:pPr>
              <w:pStyle w:val="ListParagraph"/>
              <w:numPr>
                <w:ilvl w:val="0"/>
                <w:numId w:val="39"/>
              </w:numPr>
              <w:rPr>
                <w:sz w:val="20"/>
                <w:szCs w:val="20"/>
              </w:rPr>
            </w:pPr>
            <w:r w:rsidRPr="00AD2491">
              <w:rPr>
                <w:sz w:val="20"/>
                <w:szCs w:val="20"/>
              </w:rPr>
              <w:t>Dose fractionation studies require a detailed understanding of experimental design and considerable expertise in PK-PD experimentation and modelling</w:t>
            </w:r>
          </w:p>
        </w:tc>
      </w:tr>
      <w:tr w:rsidR="00AD2491" w14:paraId="6895EE83" w14:textId="77777777" w:rsidTr="00D833F0">
        <w:tc>
          <w:tcPr>
            <w:tcW w:w="0" w:type="auto"/>
          </w:tcPr>
          <w:p w14:paraId="21B36DC6" w14:textId="77777777" w:rsidR="00AD2491" w:rsidRPr="00AD2491" w:rsidRDefault="00AD2491" w:rsidP="00CF4381">
            <w:pPr>
              <w:rPr>
                <w:sz w:val="20"/>
                <w:szCs w:val="20"/>
              </w:rPr>
            </w:pPr>
            <w:r w:rsidRPr="00AD2491">
              <w:rPr>
                <w:sz w:val="20"/>
                <w:szCs w:val="20"/>
              </w:rPr>
              <w:t xml:space="preserve">Determination of the </w:t>
            </w:r>
            <w:r w:rsidR="00CF4381">
              <w:rPr>
                <w:sz w:val="20"/>
                <w:szCs w:val="20"/>
              </w:rPr>
              <w:t>m</w:t>
            </w:r>
            <w:r w:rsidRPr="00AD2491">
              <w:rPr>
                <w:sz w:val="20"/>
                <w:szCs w:val="20"/>
              </w:rPr>
              <w:t xml:space="preserve">agnitude of </w:t>
            </w:r>
            <w:r w:rsidR="00CF4381">
              <w:rPr>
                <w:sz w:val="20"/>
                <w:szCs w:val="20"/>
              </w:rPr>
              <w:t>r</w:t>
            </w:r>
            <w:r w:rsidRPr="00AD2491">
              <w:rPr>
                <w:sz w:val="20"/>
                <w:szCs w:val="20"/>
              </w:rPr>
              <w:t xml:space="preserve">elevant </w:t>
            </w:r>
            <w:r w:rsidR="00CF4381">
              <w:rPr>
                <w:sz w:val="20"/>
                <w:szCs w:val="20"/>
              </w:rPr>
              <w:t>p</w:t>
            </w:r>
            <w:r w:rsidRPr="00AD2491">
              <w:rPr>
                <w:sz w:val="20"/>
                <w:szCs w:val="20"/>
              </w:rPr>
              <w:t xml:space="preserve">harmacodynamic </w:t>
            </w:r>
            <w:r w:rsidR="00CF4381">
              <w:rPr>
                <w:sz w:val="20"/>
                <w:szCs w:val="20"/>
              </w:rPr>
              <w:t>i</w:t>
            </w:r>
            <w:r w:rsidRPr="00AD2491">
              <w:rPr>
                <w:sz w:val="20"/>
                <w:szCs w:val="20"/>
              </w:rPr>
              <w:t>ndex that is relevant for bridging to humans</w:t>
            </w:r>
          </w:p>
        </w:tc>
        <w:tc>
          <w:tcPr>
            <w:tcW w:w="0" w:type="auto"/>
          </w:tcPr>
          <w:p w14:paraId="7B8701B1" w14:textId="77777777" w:rsidR="00AD2491" w:rsidRPr="001617F3" w:rsidRDefault="001617F3" w:rsidP="001617F3">
            <w:pPr>
              <w:pStyle w:val="ListParagraph"/>
              <w:numPr>
                <w:ilvl w:val="0"/>
                <w:numId w:val="39"/>
              </w:numPr>
              <w:rPr>
                <w:sz w:val="20"/>
                <w:szCs w:val="20"/>
              </w:rPr>
            </w:pPr>
            <w:r>
              <w:rPr>
                <w:sz w:val="20"/>
                <w:szCs w:val="20"/>
              </w:rPr>
              <w:t>O</w:t>
            </w:r>
            <w:r w:rsidR="00AD2491" w:rsidRPr="001617F3">
              <w:rPr>
                <w:sz w:val="20"/>
                <w:szCs w:val="20"/>
              </w:rPr>
              <w:t xml:space="preserve">verall drug exposure value that can be used for bridging to patients and </w:t>
            </w:r>
            <w:r>
              <w:rPr>
                <w:sz w:val="20"/>
                <w:szCs w:val="20"/>
              </w:rPr>
              <w:t xml:space="preserve">aid in the </w:t>
            </w:r>
            <w:r w:rsidR="00AD2491" w:rsidRPr="001617F3">
              <w:rPr>
                <w:sz w:val="20"/>
                <w:szCs w:val="20"/>
              </w:rPr>
              <w:t>selection of the regimen for phase II clinical trials</w:t>
            </w:r>
          </w:p>
        </w:tc>
        <w:tc>
          <w:tcPr>
            <w:tcW w:w="0" w:type="auto"/>
          </w:tcPr>
          <w:p w14:paraId="0558EF6C" w14:textId="77777777" w:rsidR="00AD2491" w:rsidRPr="00AD2491" w:rsidRDefault="00AD2491" w:rsidP="00AD2491">
            <w:pPr>
              <w:pStyle w:val="ListParagraph"/>
              <w:numPr>
                <w:ilvl w:val="0"/>
                <w:numId w:val="40"/>
              </w:numPr>
              <w:rPr>
                <w:sz w:val="20"/>
                <w:szCs w:val="20"/>
              </w:rPr>
            </w:pPr>
            <w:r w:rsidRPr="00AD2491">
              <w:rPr>
                <w:sz w:val="20"/>
                <w:szCs w:val="20"/>
              </w:rPr>
              <w:t xml:space="preserve">Requires analysis of multiple strains </w:t>
            </w:r>
          </w:p>
          <w:p w14:paraId="3FE5A91F" w14:textId="77777777" w:rsidR="00AD2491" w:rsidRPr="00AD2491" w:rsidRDefault="00AD2491" w:rsidP="00AD2491">
            <w:pPr>
              <w:pStyle w:val="ListParagraph"/>
              <w:numPr>
                <w:ilvl w:val="0"/>
                <w:numId w:val="40"/>
              </w:numPr>
              <w:rPr>
                <w:sz w:val="20"/>
                <w:szCs w:val="20"/>
              </w:rPr>
            </w:pPr>
            <w:r w:rsidRPr="00AD2491">
              <w:rPr>
                <w:sz w:val="20"/>
                <w:szCs w:val="20"/>
              </w:rPr>
              <w:t>Requires justification of the model endpoint that defines success, which in turn requires the model outputs to be benchmarked against a positive control</w:t>
            </w:r>
          </w:p>
        </w:tc>
      </w:tr>
      <w:tr w:rsidR="00AD2491" w14:paraId="36D58D39" w14:textId="77777777" w:rsidTr="00D833F0">
        <w:tc>
          <w:tcPr>
            <w:tcW w:w="0" w:type="auto"/>
          </w:tcPr>
          <w:p w14:paraId="5AEC1924" w14:textId="77777777" w:rsidR="00AD2491" w:rsidRPr="00AD2491" w:rsidRDefault="00AD2491" w:rsidP="00AD2491">
            <w:pPr>
              <w:rPr>
                <w:sz w:val="20"/>
                <w:szCs w:val="20"/>
              </w:rPr>
            </w:pPr>
            <w:r w:rsidRPr="00AD2491">
              <w:rPr>
                <w:sz w:val="20"/>
                <w:szCs w:val="20"/>
              </w:rPr>
              <w:t>Pharmacodynamic studies in isolates resistant to other antifungal classes</w:t>
            </w:r>
          </w:p>
        </w:tc>
        <w:tc>
          <w:tcPr>
            <w:tcW w:w="0" w:type="auto"/>
          </w:tcPr>
          <w:p w14:paraId="2E8D5617" w14:textId="77777777" w:rsidR="00AD2491" w:rsidRPr="00AD2491" w:rsidRDefault="001617F3" w:rsidP="00F43D26">
            <w:pPr>
              <w:pStyle w:val="ListParagraph"/>
              <w:numPr>
                <w:ilvl w:val="0"/>
                <w:numId w:val="40"/>
              </w:numPr>
              <w:rPr>
                <w:sz w:val="20"/>
                <w:szCs w:val="20"/>
              </w:rPr>
            </w:pPr>
            <w:r>
              <w:rPr>
                <w:sz w:val="20"/>
                <w:szCs w:val="20"/>
              </w:rPr>
              <w:t xml:space="preserve">Demonstration of lack of cross resistance is a critical component for </w:t>
            </w:r>
            <w:r w:rsidR="00B4516F">
              <w:rPr>
                <w:sz w:val="20"/>
                <w:szCs w:val="20"/>
              </w:rPr>
              <w:t xml:space="preserve">development of </w:t>
            </w:r>
            <w:r>
              <w:rPr>
                <w:sz w:val="20"/>
                <w:szCs w:val="20"/>
              </w:rPr>
              <w:t>a new agent</w:t>
            </w:r>
          </w:p>
        </w:tc>
        <w:tc>
          <w:tcPr>
            <w:tcW w:w="0" w:type="auto"/>
          </w:tcPr>
          <w:p w14:paraId="7F2C8C4A" w14:textId="77777777" w:rsidR="001617F3" w:rsidRDefault="001617F3" w:rsidP="001617F3">
            <w:pPr>
              <w:pStyle w:val="ListParagraph"/>
              <w:numPr>
                <w:ilvl w:val="0"/>
                <w:numId w:val="40"/>
              </w:numPr>
              <w:rPr>
                <w:sz w:val="20"/>
                <w:szCs w:val="20"/>
              </w:rPr>
            </w:pPr>
            <w:r w:rsidRPr="00AD2491">
              <w:rPr>
                <w:sz w:val="20"/>
                <w:szCs w:val="20"/>
              </w:rPr>
              <w:t xml:space="preserve">Requires specific studies in isolates with well-defined resistance mechanisms (ideally at a molecular level).  </w:t>
            </w:r>
          </w:p>
          <w:p w14:paraId="6B0EEE36" w14:textId="77777777" w:rsidR="00AD2491" w:rsidRPr="004D2203" w:rsidRDefault="001617F3" w:rsidP="001617F3">
            <w:pPr>
              <w:pStyle w:val="ListParagraph"/>
              <w:numPr>
                <w:ilvl w:val="0"/>
                <w:numId w:val="40"/>
              </w:numPr>
              <w:rPr>
                <w:sz w:val="20"/>
                <w:szCs w:val="20"/>
              </w:rPr>
            </w:pPr>
            <w:r w:rsidRPr="004D2203">
              <w:rPr>
                <w:sz w:val="20"/>
                <w:szCs w:val="20"/>
              </w:rPr>
              <w:t>Incorporation of a positive control to show failure of the comparator compound is required</w:t>
            </w:r>
          </w:p>
        </w:tc>
      </w:tr>
      <w:tr w:rsidR="00AD2491" w14:paraId="7FC2C37F" w14:textId="77777777" w:rsidTr="00D833F0">
        <w:tc>
          <w:tcPr>
            <w:tcW w:w="0" w:type="auto"/>
          </w:tcPr>
          <w:p w14:paraId="39978412" w14:textId="77777777" w:rsidR="00AD2491" w:rsidRPr="00AD2491" w:rsidRDefault="00AD2491" w:rsidP="00AD2491">
            <w:pPr>
              <w:rPr>
                <w:sz w:val="20"/>
                <w:szCs w:val="20"/>
              </w:rPr>
            </w:pPr>
            <w:r w:rsidRPr="00AD2491">
              <w:rPr>
                <w:sz w:val="20"/>
                <w:szCs w:val="20"/>
              </w:rPr>
              <w:t>Confirmatory Studies</w:t>
            </w:r>
          </w:p>
        </w:tc>
        <w:tc>
          <w:tcPr>
            <w:tcW w:w="0" w:type="auto"/>
          </w:tcPr>
          <w:p w14:paraId="04B28182" w14:textId="77777777" w:rsidR="00AD2491" w:rsidRPr="00F43D26" w:rsidRDefault="00F43D26" w:rsidP="00F43D26">
            <w:pPr>
              <w:pStyle w:val="ListParagraph"/>
              <w:numPr>
                <w:ilvl w:val="0"/>
                <w:numId w:val="40"/>
              </w:numPr>
              <w:rPr>
                <w:sz w:val="20"/>
                <w:szCs w:val="20"/>
              </w:rPr>
            </w:pPr>
            <w:r w:rsidRPr="00F43D26">
              <w:rPr>
                <w:sz w:val="20"/>
                <w:szCs w:val="20"/>
              </w:rPr>
              <w:t>A number of</w:t>
            </w:r>
            <w:r w:rsidR="00AD2491" w:rsidRPr="00F43D26">
              <w:rPr>
                <w:sz w:val="20"/>
                <w:szCs w:val="20"/>
              </w:rPr>
              <w:t xml:space="preserve"> model readouts may be considered</w:t>
            </w:r>
          </w:p>
          <w:p w14:paraId="4F1EF8F8" w14:textId="77777777" w:rsidR="00AD2491" w:rsidRPr="00F43D26" w:rsidRDefault="00AD2491" w:rsidP="00F43D26">
            <w:pPr>
              <w:pStyle w:val="ListParagraph"/>
              <w:numPr>
                <w:ilvl w:val="0"/>
                <w:numId w:val="40"/>
              </w:numPr>
              <w:rPr>
                <w:sz w:val="20"/>
                <w:szCs w:val="20"/>
              </w:rPr>
            </w:pPr>
            <w:r w:rsidRPr="00F43D26">
              <w:rPr>
                <w:sz w:val="20"/>
                <w:szCs w:val="20"/>
              </w:rPr>
              <w:t xml:space="preserve">Consider studies in other model systems to explore </w:t>
            </w:r>
          </w:p>
        </w:tc>
        <w:tc>
          <w:tcPr>
            <w:tcW w:w="0" w:type="auto"/>
          </w:tcPr>
          <w:p w14:paraId="72422A64" w14:textId="77777777" w:rsidR="00AD2491" w:rsidRPr="00F43D26" w:rsidRDefault="00AD2491" w:rsidP="00F43D26">
            <w:pPr>
              <w:pStyle w:val="ListParagraph"/>
              <w:numPr>
                <w:ilvl w:val="0"/>
                <w:numId w:val="40"/>
              </w:numPr>
              <w:rPr>
                <w:sz w:val="20"/>
                <w:szCs w:val="20"/>
              </w:rPr>
            </w:pPr>
            <w:r w:rsidRPr="00F43D26">
              <w:rPr>
                <w:sz w:val="20"/>
                <w:szCs w:val="20"/>
              </w:rPr>
              <w:t>Models and ideas need to be "stressed" to ensure they bear scrutiny and can therefore be relied upon for bridging to humans</w:t>
            </w:r>
          </w:p>
          <w:p w14:paraId="6F613889" w14:textId="77777777" w:rsidR="00AD2491" w:rsidRPr="00AD2491" w:rsidRDefault="00AD2491" w:rsidP="00AD2491">
            <w:pPr>
              <w:rPr>
                <w:sz w:val="20"/>
                <w:szCs w:val="20"/>
              </w:rPr>
            </w:pPr>
          </w:p>
        </w:tc>
      </w:tr>
      <w:tr w:rsidR="00AD2491" w14:paraId="450041BB" w14:textId="77777777" w:rsidTr="00D833F0">
        <w:tc>
          <w:tcPr>
            <w:tcW w:w="0" w:type="auto"/>
          </w:tcPr>
          <w:p w14:paraId="6DD2D658" w14:textId="77777777" w:rsidR="00AD2491" w:rsidRPr="00AD2491" w:rsidRDefault="00AD2491" w:rsidP="00CF4381">
            <w:pPr>
              <w:rPr>
                <w:sz w:val="20"/>
                <w:szCs w:val="20"/>
              </w:rPr>
            </w:pPr>
            <w:r w:rsidRPr="00AD2491">
              <w:rPr>
                <w:sz w:val="20"/>
                <w:szCs w:val="20"/>
              </w:rPr>
              <w:t xml:space="preserve">Other </w:t>
            </w:r>
            <w:r w:rsidR="00CF4381">
              <w:rPr>
                <w:sz w:val="20"/>
                <w:szCs w:val="20"/>
              </w:rPr>
              <w:t>p</w:t>
            </w:r>
            <w:r w:rsidRPr="00AD2491">
              <w:rPr>
                <w:sz w:val="20"/>
                <w:szCs w:val="20"/>
              </w:rPr>
              <w:t xml:space="preserve">oints for </w:t>
            </w:r>
            <w:r w:rsidR="00CF4381">
              <w:rPr>
                <w:sz w:val="20"/>
                <w:szCs w:val="20"/>
              </w:rPr>
              <w:t>c</w:t>
            </w:r>
            <w:r w:rsidRPr="00AD2491">
              <w:rPr>
                <w:sz w:val="20"/>
                <w:szCs w:val="20"/>
              </w:rPr>
              <w:t>onsideration depending on the compound and disease in question</w:t>
            </w:r>
          </w:p>
        </w:tc>
        <w:tc>
          <w:tcPr>
            <w:tcW w:w="0" w:type="auto"/>
          </w:tcPr>
          <w:p w14:paraId="4C75EDDF" w14:textId="77777777" w:rsidR="00AD2491" w:rsidRPr="00F43D26" w:rsidRDefault="00AD2491" w:rsidP="00F43D26">
            <w:pPr>
              <w:pStyle w:val="ListParagraph"/>
              <w:numPr>
                <w:ilvl w:val="0"/>
                <w:numId w:val="41"/>
              </w:numPr>
              <w:rPr>
                <w:sz w:val="20"/>
                <w:szCs w:val="20"/>
              </w:rPr>
            </w:pPr>
            <w:r w:rsidRPr="00F43D26">
              <w:rPr>
                <w:sz w:val="20"/>
                <w:szCs w:val="20"/>
              </w:rPr>
              <w:t>Resistance studies, tissue PK, impact of immune function on antifungal activity</w:t>
            </w:r>
          </w:p>
        </w:tc>
        <w:tc>
          <w:tcPr>
            <w:tcW w:w="0" w:type="auto"/>
          </w:tcPr>
          <w:p w14:paraId="6333603F" w14:textId="77777777" w:rsidR="00AD2491" w:rsidRPr="00F43D26" w:rsidRDefault="00F43D26" w:rsidP="00F43D26">
            <w:pPr>
              <w:pStyle w:val="ListParagraph"/>
              <w:numPr>
                <w:ilvl w:val="0"/>
                <w:numId w:val="40"/>
              </w:numPr>
              <w:rPr>
                <w:sz w:val="20"/>
                <w:szCs w:val="20"/>
              </w:rPr>
            </w:pPr>
            <w:r w:rsidRPr="00F43D26">
              <w:rPr>
                <w:sz w:val="20"/>
                <w:szCs w:val="20"/>
              </w:rPr>
              <w:t xml:space="preserve">Aid in a more complete understanding of </w:t>
            </w:r>
            <w:r>
              <w:rPr>
                <w:sz w:val="20"/>
                <w:szCs w:val="20"/>
              </w:rPr>
              <w:t>drug activity</w:t>
            </w:r>
          </w:p>
        </w:tc>
      </w:tr>
    </w:tbl>
    <w:p w14:paraId="35E66B8A" w14:textId="77777777" w:rsidR="00AD2491" w:rsidRPr="009A1CC2" w:rsidRDefault="00CF4381" w:rsidP="009E6997">
      <w:pPr>
        <w:widowControl w:val="0"/>
        <w:autoSpaceDE w:val="0"/>
        <w:autoSpaceDN w:val="0"/>
        <w:adjustRightInd w:val="0"/>
        <w:spacing w:after="140" w:line="276" w:lineRule="auto"/>
        <w:ind w:left="640" w:hanging="640"/>
        <w:rPr>
          <w:rFonts w:asciiTheme="majorHAnsi" w:hAnsiTheme="majorHAnsi"/>
        </w:rPr>
      </w:pPr>
      <w:r>
        <w:rPr>
          <w:rFonts w:asciiTheme="majorHAnsi" w:hAnsiTheme="majorHAnsi"/>
        </w:rPr>
        <w:t xml:space="preserve">Table 2. Proposed </w:t>
      </w:r>
      <w:r>
        <w:t>components of a preclinical antifungal PK-PD package</w:t>
      </w:r>
    </w:p>
    <w:sectPr w:rsidR="00AD2491" w:rsidRPr="009A1CC2" w:rsidSect="00CE18F1">
      <w:footerReference w:type="even" r:id="rId8"/>
      <w:footerReference w:type="default" r:id="rId9"/>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C3D5" w14:textId="77777777" w:rsidR="00E07412" w:rsidRDefault="00E07412" w:rsidP="004122A0">
      <w:r>
        <w:separator/>
      </w:r>
    </w:p>
  </w:endnote>
  <w:endnote w:type="continuationSeparator" w:id="0">
    <w:p w14:paraId="0F442756" w14:textId="77777777" w:rsidR="00E07412" w:rsidRDefault="00E07412" w:rsidP="0041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1C03" w14:textId="77777777" w:rsidR="00E07412" w:rsidRDefault="00E07412" w:rsidP="00412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A72A3" w14:textId="77777777" w:rsidR="00E07412" w:rsidRDefault="00E07412" w:rsidP="004122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76ED" w14:textId="77777777" w:rsidR="00E07412" w:rsidRDefault="00E07412" w:rsidP="00412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F22">
      <w:rPr>
        <w:rStyle w:val="PageNumber"/>
        <w:noProof/>
      </w:rPr>
      <w:t>19</w:t>
    </w:r>
    <w:r>
      <w:rPr>
        <w:rStyle w:val="PageNumber"/>
      </w:rPr>
      <w:fldChar w:fldCharType="end"/>
    </w:r>
  </w:p>
  <w:p w14:paraId="0BFB3738" w14:textId="77777777" w:rsidR="00E07412" w:rsidRDefault="00E07412" w:rsidP="004122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6758" w14:textId="77777777" w:rsidR="00E07412" w:rsidRDefault="00E07412" w:rsidP="004122A0">
      <w:r>
        <w:separator/>
      </w:r>
    </w:p>
  </w:footnote>
  <w:footnote w:type="continuationSeparator" w:id="0">
    <w:p w14:paraId="1DCA4CD5" w14:textId="77777777" w:rsidR="00E07412" w:rsidRDefault="00E07412" w:rsidP="00412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B35"/>
    <w:multiLevelType w:val="hybridMultilevel"/>
    <w:tmpl w:val="B3EE452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119B"/>
    <w:multiLevelType w:val="hybridMultilevel"/>
    <w:tmpl w:val="C7D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2520E"/>
    <w:multiLevelType w:val="hybridMultilevel"/>
    <w:tmpl w:val="67DA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96CB2"/>
    <w:multiLevelType w:val="hybridMultilevel"/>
    <w:tmpl w:val="41B6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52B9F"/>
    <w:multiLevelType w:val="hybridMultilevel"/>
    <w:tmpl w:val="76B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477E9"/>
    <w:multiLevelType w:val="hybridMultilevel"/>
    <w:tmpl w:val="142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57785"/>
    <w:multiLevelType w:val="hybridMultilevel"/>
    <w:tmpl w:val="F1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B2B03"/>
    <w:multiLevelType w:val="hybridMultilevel"/>
    <w:tmpl w:val="88B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F73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F67E53"/>
    <w:multiLevelType w:val="hybridMultilevel"/>
    <w:tmpl w:val="9B6269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B665F"/>
    <w:multiLevelType w:val="hybridMultilevel"/>
    <w:tmpl w:val="056AF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81352"/>
    <w:multiLevelType w:val="hybridMultilevel"/>
    <w:tmpl w:val="4FACF7C8"/>
    <w:lvl w:ilvl="0" w:tplc="09927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019B4"/>
    <w:multiLevelType w:val="hybridMultilevel"/>
    <w:tmpl w:val="BF46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50B8A"/>
    <w:multiLevelType w:val="hybridMultilevel"/>
    <w:tmpl w:val="4C3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E499F"/>
    <w:multiLevelType w:val="hybridMultilevel"/>
    <w:tmpl w:val="25463F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B6A8F"/>
    <w:multiLevelType w:val="hybridMultilevel"/>
    <w:tmpl w:val="43E4D6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14DE9"/>
    <w:multiLevelType w:val="hybridMultilevel"/>
    <w:tmpl w:val="6F6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D32CA"/>
    <w:multiLevelType w:val="hybridMultilevel"/>
    <w:tmpl w:val="63B472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12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C13677"/>
    <w:multiLevelType w:val="hybridMultilevel"/>
    <w:tmpl w:val="25463F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E619D"/>
    <w:multiLevelType w:val="hybridMultilevel"/>
    <w:tmpl w:val="331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82773"/>
    <w:multiLevelType w:val="hybridMultilevel"/>
    <w:tmpl w:val="1DA48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549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294343"/>
    <w:multiLevelType w:val="hybridMultilevel"/>
    <w:tmpl w:val="4AF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8250D"/>
    <w:multiLevelType w:val="hybridMultilevel"/>
    <w:tmpl w:val="E48E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12226"/>
    <w:multiLevelType w:val="hybridMultilevel"/>
    <w:tmpl w:val="DD4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A4D5D"/>
    <w:multiLevelType w:val="hybridMultilevel"/>
    <w:tmpl w:val="7A207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F333E"/>
    <w:multiLevelType w:val="hybridMultilevel"/>
    <w:tmpl w:val="70D8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B7B97"/>
    <w:multiLevelType w:val="hybridMultilevel"/>
    <w:tmpl w:val="4F4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64926"/>
    <w:multiLevelType w:val="hybridMultilevel"/>
    <w:tmpl w:val="DCF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41FC1"/>
    <w:multiLevelType w:val="hybridMultilevel"/>
    <w:tmpl w:val="DF0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749ED"/>
    <w:multiLevelType w:val="hybridMultilevel"/>
    <w:tmpl w:val="12A8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D7D92"/>
    <w:multiLevelType w:val="hybridMultilevel"/>
    <w:tmpl w:val="760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D7C70"/>
    <w:multiLevelType w:val="hybridMultilevel"/>
    <w:tmpl w:val="2D62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D3B9F"/>
    <w:multiLevelType w:val="hybridMultilevel"/>
    <w:tmpl w:val="EAC64E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75578"/>
    <w:multiLevelType w:val="hybridMultilevel"/>
    <w:tmpl w:val="244C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D4158"/>
    <w:multiLevelType w:val="hybridMultilevel"/>
    <w:tmpl w:val="43E4D6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24FE4"/>
    <w:multiLevelType w:val="hybridMultilevel"/>
    <w:tmpl w:val="2FEA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A7D18"/>
    <w:multiLevelType w:val="hybridMultilevel"/>
    <w:tmpl w:val="84C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C5E51"/>
    <w:multiLevelType w:val="hybridMultilevel"/>
    <w:tmpl w:val="E7040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27D98"/>
    <w:multiLevelType w:val="hybridMultilevel"/>
    <w:tmpl w:val="18805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27"/>
  </w:num>
  <w:num w:numId="4">
    <w:abstractNumId w:val="6"/>
  </w:num>
  <w:num w:numId="5">
    <w:abstractNumId w:val="11"/>
  </w:num>
  <w:num w:numId="6">
    <w:abstractNumId w:val="3"/>
  </w:num>
  <w:num w:numId="7">
    <w:abstractNumId w:val="31"/>
  </w:num>
  <w:num w:numId="8">
    <w:abstractNumId w:val="37"/>
  </w:num>
  <w:num w:numId="9">
    <w:abstractNumId w:val="24"/>
  </w:num>
  <w:num w:numId="10">
    <w:abstractNumId w:val="30"/>
  </w:num>
  <w:num w:numId="11">
    <w:abstractNumId w:val="35"/>
  </w:num>
  <w:num w:numId="12">
    <w:abstractNumId w:val="16"/>
  </w:num>
  <w:num w:numId="13">
    <w:abstractNumId w:val="8"/>
  </w:num>
  <w:num w:numId="14">
    <w:abstractNumId w:val="18"/>
  </w:num>
  <w:num w:numId="15">
    <w:abstractNumId w:val="22"/>
  </w:num>
  <w:num w:numId="16">
    <w:abstractNumId w:val="0"/>
  </w:num>
  <w:num w:numId="17">
    <w:abstractNumId w:val="26"/>
  </w:num>
  <w:num w:numId="18">
    <w:abstractNumId w:val="1"/>
  </w:num>
  <w:num w:numId="19">
    <w:abstractNumId w:val="29"/>
  </w:num>
  <w:num w:numId="20">
    <w:abstractNumId w:val="5"/>
  </w:num>
  <w:num w:numId="21">
    <w:abstractNumId w:val="4"/>
  </w:num>
  <w:num w:numId="22">
    <w:abstractNumId w:val="40"/>
  </w:num>
  <w:num w:numId="23">
    <w:abstractNumId w:val="33"/>
  </w:num>
  <w:num w:numId="24">
    <w:abstractNumId w:val="34"/>
  </w:num>
  <w:num w:numId="25">
    <w:abstractNumId w:val="14"/>
  </w:num>
  <w:num w:numId="26">
    <w:abstractNumId w:val="9"/>
  </w:num>
  <w:num w:numId="27">
    <w:abstractNumId w:val="28"/>
  </w:num>
  <w:num w:numId="28">
    <w:abstractNumId w:val="36"/>
  </w:num>
  <w:num w:numId="29">
    <w:abstractNumId w:val="19"/>
  </w:num>
  <w:num w:numId="30">
    <w:abstractNumId w:val="23"/>
  </w:num>
  <w:num w:numId="31">
    <w:abstractNumId w:val="10"/>
  </w:num>
  <w:num w:numId="32">
    <w:abstractNumId w:val="15"/>
  </w:num>
  <w:num w:numId="33">
    <w:abstractNumId w:val="17"/>
  </w:num>
  <w:num w:numId="34">
    <w:abstractNumId w:val="38"/>
  </w:num>
  <w:num w:numId="35">
    <w:abstractNumId w:val="7"/>
  </w:num>
  <w:num w:numId="36">
    <w:abstractNumId w:val="2"/>
  </w:num>
  <w:num w:numId="37">
    <w:abstractNumId w:val="25"/>
  </w:num>
  <w:num w:numId="38">
    <w:abstractNumId w:val="32"/>
  </w:num>
  <w:num w:numId="39">
    <w:abstractNumId w:val="12"/>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oNotDisplayPageBoundaries/>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4"/>
    <w:rsid w:val="0000068A"/>
    <w:rsid w:val="00000DBB"/>
    <w:rsid w:val="00000EE1"/>
    <w:rsid w:val="00000F5E"/>
    <w:rsid w:val="0000195B"/>
    <w:rsid w:val="00001FB3"/>
    <w:rsid w:val="00002030"/>
    <w:rsid w:val="00002098"/>
    <w:rsid w:val="00002221"/>
    <w:rsid w:val="00004053"/>
    <w:rsid w:val="00004956"/>
    <w:rsid w:val="00004BA8"/>
    <w:rsid w:val="00005548"/>
    <w:rsid w:val="00005D0D"/>
    <w:rsid w:val="0001101C"/>
    <w:rsid w:val="00014F79"/>
    <w:rsid w:val="00015127"/>
    <w:rsid w:val="00017E4C"/>
    <w:rsid w:val="0002034D"/>
    <w:rsid w:val="000206E7"/>
    <w:rsid w:val="00022338"/>
    <w:rsid w:val="000256D3"/>
    <w:rsid w:val="00026043"/>
    <w:rsid w:val="000303DB"/>
    <w:rsid w:val="0003053E"/>
    <w:rsid w:val="00032577"/>
    <w:rsid w:val="000327CE"/>
    <w:rsid w:val="000332A2"/>
    <w:rsid w:val="0003457E"/>
    <w:rsid w:val="000358D0"/>
    <w:rsid w:val="0003720B"/>
    <w:rsid w:val="00041B07"/>
    <w:rsid w:val="00046521"/>
    <w:rsid w:val="00046BA8"/>
    <w:rsid w:val="000471F9"/>
    <w:rsid w:val="0005159D"/>
    <w:rsid w:val="000519F4"/>
    <w:rsid w:val="0005310B"/>
    <w:rsid w:val="000536B7"/>
    <w:rsid w:val="00054191"/>
    <w:rsid w:val="000542A5"/>
    <w:rsid w:val="0005433E"/>
    <w:rsid w:val="00054ACB"/>
    <w:rsid w:val="00054BA9"/>
    <w:rsid w:val="000564D0"/>
    <w:rsid w:val="00056862"/>
    <w:rsid w:val="00064359"/>
    <w:rsid w:val="00065A8D"/>
    <w:rsid w:val="00067B52"/>
    <w:rsid w:val="00067EDC"/>
    <w:rsid w:val="00070A7C"/>
    <w:rsid w:val="00070BAE"/>
    <w:rsid w:val="00071BCF"/>
    <w:rsid w:val="00071BF1"/>
    <w:rsid w:val="00073C0F"/>
    <w:rsid w:val="00073C18"/>
    <w:rsid w:val="000744E1"/>
    <w:rsid w:val="000774FA"/>
    <w:rsid w:val="00077C81"/>
    <w:rsid w:val="00077CAE"/>
    <w:rsid w:val="00080DCF"/>
    <w:rsid w:val="00082039"/>
    <w:rsid w:val="00082137"/>
    <w:rsid w:val="00084566"/>
    <w:rsid w:val="00084745"/>
    <w:rsid w:val="00084D45"/>
    <w:rsid w:val="00084FFC"/>
    <w:rsid w:val="0008534E"/>
    <w:rsid w:val="00085C93"/>
    <w:rsid w:val="000863EB"/>
    <w:rsid w:val="0008670F"/>
    <w:rsid w:val="00090312"/>
    <w:rsid w:val="00090427"/>
    <w:rsid w:val="00090E06"/>
    <w:rsid w:val="00092ADA"/>
    <w:rsid w:val="00093E95"/>
    <w:rsid w:val="0009483F"/>
    <w:rsid w:val="0009516B"/>
    <w:rsid w:val="00095550"/>
    <w:rsid w:val="000964E5"/>
    <w:rsid w:val="000A2839"/>
    <w:rsid w:val="000A2F08"/>
    <w:rsid w:val="000A434D"/>
    <w:rsid w:val="000A4904"/>
    <w:rsid w:val="000A569F"/>
    <w:rsid w:val="000A5F8C"/>
    <w:rsid w:val="000A6CF1"/>
    <w:rsid w:val="000A7673"/>
    <w:rsid w:val="000A7D18"/>
    <w:rsid w:val="000B00FC"/>
    <w:rsid w:val="000B0889"/>
    <w:rsid w:val="000B1958"/>
    <w:rsid w:val="000B2B98"/>
    <w:rsid w:val="000B2F0C"/>
    <w:rsid w:val="000B3913"/>
    <w:rsid w:val="000B3C34"/>
    <w:rsid w:val="000B4612"/>
    <w:rsid w:val="000B4809"/>
    <w:rsid w:val="000B5055"/>
    <w:rsid w:val="000B527C"/>
    <w:rsid w:val="000B5EDB"/>
    <w:rsid w:val="000B61EB"/>
    <w:rsid w:val="000C06A2"/>
    <w:rsid w:val="000C08CE"/>
    <w:rsid w:val="000C2F01"/>
    <w:rsid w:val="000C45CC"/>
    <w:rsid w:val="000C4C34"/>
    <w:rsid w:val="000D050D"/>
    <w:rsid w:val="000D20D0"/>
    <w:rsid w:val="000D287F"/>
    <w:rsid w:val="000D3884"/>
    <w:rsid w:val="000D49F4"/>
    <w:rsid w:val="000E1FBD"/>
    <w:rsid w:val="000E304E"/>
    <w:rsid w:val="000E3DC6"/>
    <w:rsid w:val="000E4282"/>
    <w:rsid w:val="000E4489"/>
    <w:rsid w:val="000F0A8A"/>
    <w:rsid w:val="000F15E5"/>
    <w:rsid w:val="000F2009"/>
    <w:rsid w:val="000F210A"/>
    <w:rsid w:val="000F2C85"/>
    <w:rsid w:val="000F3630"/>
    <w:rsid w:val="000F3DF2"/>
    <w:rsid w:val="000F5770"/>
    <w:rsid w:val="000F5EF0"/>
    <w:rsid w:val="000F7577"/>
    <w:rsid w:val="000F7F19"/>
    <w:rsid w:val="001000C0"/>
    <w:rsid w:val="00100916"/>
    <w:rsid w:val="00101B84"/>
    <w:rsid w:val="00101DEF"/>
    <w:rsid w:val="00103193"/>
    <w:rsid w:val="00103CBF"/>
    <w:rsid w:val="00104614"/>
    <w:rsid w:val="00104C0C"/>
    <w:rsid w:val="00105BCD"/>
    <w:rsid w:val="001060C5"/>
    <w:rsid w:val="0010612D"/>
    <w:rsid w:val="00106ABB"/>
    <w:rsid w:val="00107B45"/>
    <w:rsid w:val="00107C1E"/>
    <w:rsid w:val="00112263"/>
    <w:rsid w:val="001132CC"/>
    <w:rsid w:val="001142F0"/>
    <w:rsid w:val="00115276"/>
    <w:rsid w:val="00116616"/>
    <w:rsid w:val="00116C69"/>
    <w:rsid w:val="00117EA8"/>
    <w:rsid w:val="0012015D"/>
    <w:rsid w:val="0012091E"/>
    <w:rsid w:val="00120E55"/>
    <w:rsid w:val="00122C97"/>
    <w:rsid w:val="0012373C"/>
    <w:rsid w:val="00123C37"/>
    <w:rsid w:val="0012465A"/>
    <w:rsid w:val="00124F3D"/>
    <w:rsid w:val="00126C04"/>
    <w:rsid w:val="00126E9C"/>
    <w:rsid w:val="00131718"/>
    <w:rsid w:val="001319A1"/>
    <w:rsid w:val="00132291"/>
    <w:rsid w:val="001324F2"/>
    <w:rsid w:val="00133E7A"/>
    <w:rsid w:val="0013556D"/>
    <w:rsid w:val="0013575C"/>
    <w:rsid w:val="001357AE"/>
    <w:rsid w:val="00136C03"/>
    <w:rsid w:val="00136DA6"/>
    <w:rsid w:val="00136DB8"/>
    <w:rsid w:val="00136E7D"/>
    <w:rsid w:val="00137010"/>
    <w:rsid w:val="00137843"/>
    <w:rsid w:val="001403EF"/>
    <w:rsid w:val="00142582"/>
    <w:rsid w:val="00142BFD"/>
    <w:rsid w:val="00142EF4"/>
    <w:rsid w:val="001447AE"/>
    <w:rsid w:val="00144D8E"/>
    <w:rsid w:val="00145183"/>
    <w:rsid w:val="001467C8"/>
    <w:rsid w:val="00146A8D"/>
    <w:rsid w:val="0014720F"/>
    <w:rsid w:val="00150191"/>
    <w:rsid w:val="00152B86"/>
    <w:rsid w:val="00154F75"/>
    <w:rsid w:val="00155E46"/>
    <w:rsid w:val="001617CC"/>
    <w:rsid w:val="001617D1"/>
    <w:rsid w:val="001617F3"/>
    <w:rsid w:val="00163DC2"/>
    <w:rsid w:val="00165D0B"/>
    <w:rsid w:val="00166240"/>
    <w:rsid w:val="001670FC"/>
    <w:rsid w:val="00167C5F"/>
    <w:rsid w:val="001706B3"/>
    <w:rsid w:val="001709B6"/>
    <w:rsid w:val="00171304"/>
    <w:rsid w:val="001723E3"/>
    <w:rsid w:val="00172885"/>
    <w:rsid w:val="001733C6"/>
    <w:rsid w:val="001742B6"/>
    <w:rsid w:val="001744A7"/>
    <w:rsid w:val="0017735C"/>
    <w:rsid w:val="00177BB5"/>
    <w:rsid w:val="00180095"/>
    <w:rsid w:val="0018135C"/>
    <w:rsid w:val="00182D77"/>
    <w:rsid w:val="0018489F"/>
    <w:rsid w:val="001862EE"/>
    <w:rsid w:val="0018632E"/>
    <w:rsid w:val="0018633C"/>
    <w:rsid w:val="00187BE5"/>
    <w:rsid w:val="00187DBD"/>
    <w:rsid w:val="0019089B"/>
    <w:rsid w:val="00190FEC"/>
    <w:rsid w:val="001922E4"/>
    <w:rsid w:val="00192F00"/>
    <w:rsid w:val="0019304E"/>
    <w:rsid w:val="001934AC"/>
    <w:rsid w:val="00193E45"/>
    <w:rsid w:val="001941BC"/>
    <w:rsid w:val="00194BB9"/>
    <w:rsid w:val="001955E5"/>
    <w:rsid w:val="001963F0"/>
    <w:rsid w:val="001A03E8"/>
    <w:rsid w:val="001A0A49"/>
    <w:rsid w:val="001A2377"/>
    <w:rsid w:val="001A252A"/>
    <w:rsid w:val="001A5DBA"/>
    <w:rsid w:val="001A7992"/>
    <w:rsid w:val="001B035A"/>
    <w:rsid w:val="001B1F8A"/>
    <w:rsid w:val="001B3671"/>
    <w:rsid w:val="001B4A75"/>
    <w:rsid w:val="001B4AE4"/>
    <w:rsid w:val="001B6621"/>
    <w:rsid w:val="001B6B2A"/>
    <w:rsid w:val="001B7B82"/>
    <w:rsid w:val="001C0D57"/>
    <w:rsid w:val="001C19A2"/>
    <w:rsid w:val="001C37C0"/>
    <w:rsid w:val="001C4F3C"/>
    <w:rsid w:val="001C5FA9"/>
    <w:rsid w:val="001C7BD1"/>
    <w:rsid w:val="001D0BCC"/>
    <w:rsid w:val="001D0E8C"/>
    <w:rsid w:val="001D5A36"/>
    <w:rsid w:val="001D6CB2"/>
    <w:rsid w:val="001D7821"/>
    <w:rsid w:val="001E0C0A"/>
    <w:rsid w:val="001E11EF"/>
    <w:rsid w:val="001E17B3"/>
    <w:rsid w:val="001E2BE5"/>
    <w:rsid w:val="001E3279"/>
    <w:rsid w:val="001E3A15"/>
    <w:rsid w:val="001E49C0"/>
    <w:rsid w:val="001E4ECA"/>
    <w:rsid w:val="001E5179"/>
    <w:rsid w:val="001E5709"/>
    <w:rsid w:val="001E5A88"/>
    <w:rsid w:val="001E631D"/>
    <w:rsid w:val="001E6FF6"/>
    <w:rsid w:val="001E7E69"/>
    <w:rsid w:val="001F0811"/>
    <w:rsid w:val="001F1795"/>
    <w:rsid w:val="001F31C4"/>
    <w:rsid w:val="001F5130"/>
    <w:rsid w:val="001F5AB4"/>
    <w:rsid w:val="002034DD"/>
    <w:rsid w:val="00204CF3"/>
    <w:rsid w:val="00204EF0"/>
    <w:rsid w:val="00205A74"/>
    <w:rsid w:val="00205ECF"/>
    <w:rsid w:val="00206A12"/>
    <w:rsid w:val="00211054"/>
    <w:rsid w:val="0021370C"/>
    <w:rsid w:val="00214E07"/>
    <w:rsid w:val="00215700"/>
    <w:rsid w:val="002162C6"/>
    <w:rsid w:val="002165EB"/>
    <w:rsid w:val="002166EF"/>
    <w:rsid w:val="0021687A"/>
    <w:rsid w:val="00216944"/>
    <w:rsid w:val="00216A07"/>
    <w:rsid w:val="00217259"/>
    <w:rsid w:val="0021790F"/>
    <w:rsid w:val="002201FC"/>
    <w:rsid w:val="00221A40"/>
    <w:rsid w:val="002227AD"/>
    <w:rsid w:val="00222E2D"/>
    <w:rsid w:val="002264FE"/>
    <w:rsid w:val="00227A61"/>
    <w:rsid w:val="00230676"/>
    <w:rsid w:val="002319BB"/>
    <w:rsid w:val="0023208A"/>
    <w:rsid w:val="00232FC2"/>
    <w:rsid w:val="00233AC5"/>
    <w:rsid w:val="00234978"/>
    <w:rsid w:val="0023567E"/>
    <w:rsid w:val="002365E7"/>
    <w:rsid w:val="00236A6D"/>
    <w:rsid w:val="00237455"/>
    <w:rsid w:val="00237FA9"/>
    <w:rsid w:val="00240797"/>
    <w:rsid w:val="00240B51"/>
    <w:rsid w:val="00241BE8"/>
    <w:rsid w:val="00243A0A"/>
    <w:rsid w:val="002445C1"/>
    <w:rsid w:val="0024488D"/>
    <w:rsid w:val="002448A1"/>
    <w:rsid w:val="00245810"/>
    <w:rsid w:val="0024643C"/>
    <w:rsid w:val="0024672B"/>
    <w:rsid w:val="0024748F"/>
    <w:rsid w:val="00250541"/>
    <w:rsid w:val="00251015"/>
    <w:rsid w:val="0025112E"/>
    <w:rsid w:val="00251C76"/>
    <w:rsid w:val="002524FD"/>
    <w:rsid w:val="002525FC"/>
    <w:rsid w:val="00254228"/>
    <w:rsid w:val="00255B26"/>
    <w:rsid w:val="002569BF"/>
    <w:rsid w:val="00256C8E"/>
    <w:rsid w:val="00256E0F"/>
    <w:rsid w:val="00257E7A"/>
    <w:rsid w:val="00260241"/>
    <w:rsid w:val="0026033C"/>
    <w:rsid w:val="00260E04"/>
    <w:rsid w:val="00261ED3"/>
    <w:rsid w:val="002622DC"/>
    <w:rsid w:val="00265557"/>
    <w:rsid w:val="002708AE"/>
    <w:rsid w:val="00270CB9"/>
    <w:rsid w:val="00271A64"/>
    <w:rsid w:val="00272161"/>
    <w:rsid w:val="00272AB2"/>
    <w:rsid w:val="00272CC9"/>
    <w:rsid w:val="00273993"/>
    <w:rsid w:val="00273B9D"/>
    <w:rsid w:val="00274D6F"/>
    <w:rsid w:val="00274F55"/>
    <w:rsid w:val="0027583E"/>
    <w:rsid w:val="00275D8D"/>
    <w:rsid w:val="00276B7D"/>
    <w:rsid w:val="002800C7"/>
    <w:rsid w:val="0028051F"/>
    <w:rsid w:val="00281E26"/>
    <w:rsid w:val="002838C9"/>
    <w:rsid w:val="00284D78"/>
    <w:rsid w:val="00284EF6"/>
    <w:rsid w:val="00285C2B"/>
    <w:rsid w:val="00286019"/>
    <w:rsid w:val="0028742E"/>
    <w:rsid w:val="00290780"/>
    <w:rsid w:val="00290EF9"/>
    <w:rsid w:val="00292BE5"/>
    <w:rsid w:val="00294C3F"/>
    <w:rsid w:val="00296560"/>
    <w:rsid w:val="00296843"/>
    <w:rsid w:val="00296857"/>
    <w:rsid w:val="002A00B6"/>
    <w:rsid w:val="002A53DC"/>
    <w:rsid w:val="002A731C"/>
    <w:rsid w:val="002A7E09"/>
    <w:rsid w:val="002A7EC7"/>
    <w:rsid w:val="002B10B0"/>
    <w:rsid w:val="002B23F7"/>
    <w:rsid w:val="002B2489"/>
    <w:rsid w:val="002B2749"/>
    <w:rsid w:val="002B35D0"/>
    <w:rsid w:val="002B3C17"/>
    <w:rsid w:val="002B6B41"/>
    <w:rsid w:val="002C15C4"/>
    <w:rsid w:val="002C20E7"/>
    <w:rsid w:val="002C31DD"/>
    <w:rsid w:val="002C374F"/>
    <w:rsid w:val="002C3C7E"/>
    <w:rsid w:val="002C418D"/>
    <w:rsid w:val="002C562D"/>
    <w:rsid w:val="002C5D99"/>
    <w:rsid w:val="002C7C55"/>
    <w:rsid w:val="002D1F65"/>
    <w:rsid w:val="002D2359"/>
    <w:rsid w:val="002D276D"/>
    <w:rsid w:val="002D283C"/>
    <w:rsid w:val="002D44DE"/>
    <w:rsid w:val="002D454A"/>
    <w:rsid w:val="002D48C0"/>
    <w:rsid w:val="002D4D5B"/>
    <w:rsid w:val="002D538D"/>
    <w:rsid w:val="002D73F4"/>
    <w:rsid w:val="002D7F12"/>
    <w:rsid w:val="002E0F8B"/>
    <w:rsid w:val="002E479F"/>
    <w:rsid w:val="002E53FB"/>
    <w:rsid w:val="002E73E5"/>
    <w:rsid w:val="002E78C9"/>
    <w:rsid w:val="002F15FD"/>
    <w:rsid w:val="002F33EB"/>
    <w:rsid w:val="002F440E"/>
    <w:rsid w:val="002F4961"/>
    <w:rsid w:val="002F4BB3"/>
    <w:rsid w:val="002F5D69"/>
    <w:rsid w:val="002F6211"/>
    <w:rsid w:val="002F6852"/>
    <w:rsid w:val="002F6E46"/>
    <w:rsid w:val="002F7985"/>
    <w:rsid w:val="00300A8B"/>
    <w:rsid w:val="00300C7E"/>
    <w:rsid w:val="00301401"/>
    <w:rsid w:val="00302159"/>
    <w:rsid w:val="00302419"/>
    <w:rsid w:val="0030322D"/>
    <w:rsid w:val="00303CB8"/>
    <w:rsid w:val="0030544C"/>
    <w:rsid w:val="0030622E"/>
    <w:rsid w:val="0030787F"/>
    <w:rsid w:val="00307D52"/>
    <w:rsid w:val="00307E76"/>
    <w:rsid w:val="00307FF3"/>
    <w:rsid w:val="00311D00"/>
    <w:rsid w:val="003126D9"/>
    <w:rsid w:val="00312739"/>
    <w:rsid w:val="003127DD"/>
    <w:rsid w:val="003136C2"/>
    <w:rsid w:val="00313A16"/>
    <w:rsid w:val="003141EE"/>
    <w:rsid w:val="003147FC"/>
    <w:rsid w:val="003156C0"/>
    <w:rsid w:val="00315D49"/>
    <w:rsid w:val="003166E9"/>
    <w:rsid w:val="00316CC7"/>
    <w:rsid w:val="00316EC4"/>
    <w:rsid w:val="0031705B"/>
    <w:rsid w:val="003172C6"/>
    <w:rsid w:val="00317B57"/>
    <w:rsid w:val="00320A5D"/>
    <w:rsid w:val="00321215"/>
    <w:rsid w:val="00321CED"/>
    <w:rsid w:val="00321EE7"/>
    <w:rsid w:val="00322392"/>
    <w:rsid w:val="00323149"/>
    <w:rsid w:val="00325145"/>
    <w:rsid w:val="0032567E"/>
    <w:rsid w:val="00325938"/>
    <w:rsid w:val="00326B79"/>
    <w:rsid w:val="00330D98"/>
    <w:rsid w:val="00330E86"/>
    <w:rsid w:val="0033130C"/>
    <w:rsid w:val="00332346"/>
    <w:rsid w:val="003328E9"/>
    <w:rsid w:val="00332E72"/>
    <w:rsid w:val="003334E2"/>
    <w:rsid w:val="00333959"/>
    <w:rsid w:val="003356B2"/>
    <w:rsid w:val="0033661C"/>
    <w:rsid w:val="00337A48"/>
    <w:rsid w:val="00342629"/>
    <w:rsid w:val="003426EE"/>
    <w:rsid w:val="00342D98"/>
    <w:rsid w:val="003430F9"/>
    <w:rsid w:val="00343992"/>
    <w:rsid w:val="00344598"/>
    <w:rsid w:val="003454A7"/>
    <w:rsid w:val="003522A2"/>
    <w:rsid w:val="003530E1"/>
    <w:rsid w:val="0035556E"/>
    <w:rsid w:val="0035573D"/>
    <w:rsid w:val="00355774"/>
    <w:rsid w:val="003564C8"/>
    <w:rsid w:val="00360C31"/>
    <w:rsid w:val="00362160"/>
    <w:rsid w:val="00362180"/>
    <w:rsid w:val="0036434C"/>
    <w:rsid w:val="003649F9"/>
    <w:rsid w:val="003658C5"/>
    <w:rsid w:val="00365C78"/>
    <w:rsid w:val="00365E1A"/>
    <w:rsid w:val="00367F32"/>
    <w:rsid w:val="00370781"/>
    <w:rsid w:val="00370AAE"/>
    <w:rsid w:val="00370E7D"/>
    <w:rsid w:val="00370FEF"/>
    <w:rsid w:val="00372435"/>
    <w:rsid w:val="00372895"/>
    <w:rsid w:val="00375C76"/>
    <w:rsid w:val="0038011A"/>
    <w:rsid w:val="003810C4"/>
    <w:rsid w:val="003822FA"/>
    <w:rsid w:val="0038411C"/>
    <w:rsid w:val="003852C0"/>
    <w:rsid w:val="0038725D"/>
    <w:rsid w:val="003903A0"/>
    <w:rsid w:val="0039097D"/>
    <w:rsid w:val="00390CD5"/>
    <w:rsid w:val="0039260F"/>
    <w:rsid w:val="0039277A"/>
    <w:rsid w:val="00393E4A"/>
    <w:rsid w:val="0039468C"/>
    <w:rsid w:val="003948DC"/>
    <w:rsid w:val="003957EB"/>
    <w:rsid w:val="00397598"/>
    <w:rsid w:val="0039761F"/>
    <w:rsid w:val="0039771A"/>
    <w:rsid w:val="003A0E5A"/>
    <w:rsid w:val="003A20C9"/>
    <w:rsid w:val="003A2F4F"/>
    <w:rsid w:val="003A3BD6"/>
    <w:rsid w:val="003A3D07"/>
    <w:rsid w:val="003A5522"/>
    <w:rsid w:val="003A5A21"/>
    <w:rsid w:val="003A6D60"/>
    <w:rsid w:val="003A7E2B"/>
    <w:rsid w:val="003B0353"/>
    <w:rsid w:val="003B1335"/>
    <w:rsid w:val="003B192A"/>
    <w:rsid w:val="003B354A"/>
    <w:rsid w:val="003B45DC"/>
    <w:rsid w:val="003B47F6"/>
    <w:rsid w:val="003B5B3A"/>
    <w:rsid w:val="003B5B4B"/>
    <w:rsid w:val="003B6AC1"/>
    <w:rsid w:val="003C1CD4"/>
    <w:rsid w:val="003C4614"/>
    <w:rsid w:val="003C5C14"/>
    <w:rsid w:val="003D020B"/>
    <w:rsid w:val="003D0437"/>
    <w:rsid w:val="003D066F"/>
    <w:rsid w:val="003D1715"/>
    <w:rsid w:val="003D1C20"/>
    <w:rsid w:val="003D466A"/>
    <w:rsid w:val="003D4CBF"/>
    <w:rsid w:val="003D6AA4"/>
    <w:rsid w:val="003E0072"/>
    <w:rsid w:val="003E00F1"/>
    <w:rsid w:val="003E0E1A"/>
    <w:rsid w:val="003E2B1E"/>
    <w:rsid w:val="003E2D3B"/>
    <w:rsid w:val="003E3596"/>
    <w:rsid w:val="003E7EE9"/>
    <w:rsid w:val="003F0162"/>
    <w:rsid w:val="003F0B89"/>
    <w:rsid w:val="003F0EF1"/>
    <w:rsid w:val="003F1F13"/>
    <w:rsid w:val="003F3FD7"/>
    <w:rsid w:val="003F46A2"/>
    <w:rsid w:val="003F483D"/>
    <w:rsid w:val="003F499C"/>
    <w:rsid w:val="003F618B"/>
    <w:rsid w:val="003F7189"/>
    <w:rsid w:val="00401F16"/>
    <w:rsid w:val="00402076"/>
    <w:rsid w:val="00402C85"/>
    <w:rsid w:val="0040426C"/>
    <w:rsid w:val="004044ED"/>
    <w:rsid w:val="00404B22"/>
    <w:rsid w:val="004122A0"/>
    <w:rsid w:val="0041293E"/>
    <w:rsid w:val="00412A44"/>
    <w:rsid w:val="0041338C"/>
    <w:rsid w:val="00413942"/>
    <w:rsid w:val="004142D7"/>
    <w:rsid w:val="00414717"/>
    <w:rsid w:val="004163C4"/>
    <w:rsid w:val="00416D98"/>
    <w:rsid w:val="00416F15"/>
    <w:rsid w:val="0042034A"/>
    <w:rsid w:val="00420850"/>
    <w:rsid w:val="0042092A"/>
    <w:rsid w:val="00421AE0"/>
    <w:rsid w:val="00421E83"/>
    <w:rsid w:val="00422A09"/>
    <w:rsid w:val="0042354A"/>
    <w:rsid w:val="00423F53"/>
    <w:rsid w:val="0042628D"/>
    <w:rsid w:val="0042776F"/>
    <w:rsid w:val="00427EA3"/>
    <w:rsid w:val="00430316"/>
    <w:rsid w:val="0043306A"/>
    <w:rsid w:val="00433380"/>
    <w:rsid w:val="0043513A"/>
    <w:rsid w:val="00435763"/>
    <w:rsid w:val="00436F30"/>
    <w:rsid w:val="00437311"/>
    <w:rsid w:val="00440C95"/>
    <w:rsid w:val="0044285A"/>
    <w:rsid w:val="0044305E"/>
    <w:rsid w:val="00443DB5"/>
    <w:rsid w:val="004457A9"/>
    <w:rsid w:val="00446368"/>
    <w:rsid w:val="00447163"/>
    <w:rsid w:val="00447B3D"/>
    <w:rsid w:val="00447E91"/>
    <w:rsid w:val="00450E9A"/>
    <w:rsid w:val="0045167E"/>
    <w:rsid w:val="00451EE2"/>
    <w:rsid w:val="00452FD1"/>
    <w:rsid w:val="0045316E"/>
    <w:rsid w:val="00456240"/>
    <w:rsid w:val="00457644"/>
    <w:rsid w:val="00457A5B"/>
    <w:rsid w:val="00457B99"/>
    <w:rsid w:val="0046181C"/>
    <w:rsid w:val="00463256"/>
    <w:rsid w:val="004635C8"/>
    <w:rsid w:val="00463765"/>
    <w:rsid w:val="00467527"/>
    <w:rsid w:val="004706E9"/>
    <w:rsid w:val="00471807"/>
    <w:rsid w:val="00471C99"/>
    <w:rsid w:val="00473B0E"/>
    <w:rsid w:val="004760FC"/>
    <w:rsid w:val="004763CC"/>
    <w:rsid w:val="0047692E"/>
    <w:rsid w:val="00480190"/>
    <w:rsid w:val="0048183F"/>
    <w:rsid w:val="00482565"/>
    <w:rsid w:val="004863CF"/>
    <w:rsid w:val="00486602"/>
    <w:rsid w:val="00491336"/>
    <w:rsid w:val="00492784"/>
    <w:rsid w:val="00492913"/>
    <w:rsid w:val="00493E7C"/>
    <w:rsid w:val="00494C76"/>
    <w:rsid w:val="00494E6A"/>
    <w:rsid w:val="004955D2"/>
    <w:rsid w:val="00495787"/>
    <w:rsid w:val="00496195"/>
    <w:rsid w:val="004961F6"/>
    <w:rsid w:val="004A14F8"/>
    <w:rsid w:val="004A1D4D"/>
    <w:rsid w:val="004A1DEF"/>
    <w:rsid w:val="004A22E5"/>
    <w:rsid w:val="004A2354"/>
    <w:rsid w:val="004A2B49"/>
    <w:rsid w:val="004A341B"/>
    <w:rsid w:val="004A6C97"/>
    <w:rsid w:val="004B07FF"/>
    <w:rsid w:val="004B1C84"/>
    <w:rsid w:val="004B2DCB"/>
    <w:rsid w:val="004B6BBB"/>
    <w:rsid w:val="004C0B31"/>
    <w:rsid w:val="004C18D7"/>
    <w:rsid w:val="004C23E7"/>
    <w:rsid w:val="004C42A6"/>
    <w:rsid w:val="004C51F2"/>
    <w:rsid w:val="004C7600"/>
    <w:rsid w:val="004D1ABE"/>
    <w:rsid w:val="004D1DC6"/>
    <w:rsid w:val="004D2203"/>
    <w:rsid w:val="004D2B19"/>
    <w:rsid w:val="004D2C70"/>
    <w:rsid w:val="004D32CF"/>
    <w:rsid w:val="004D359E"/>
    <w:rsid w:val="004D7E12"/>
    <w:rsid w:val="004E0814"/>
    <w:rsid w:val="004E1A65"/>
    <w:rsid w:val="004E2D42"/>
    <w:rsid w:val="004E3070"/>
    <w:rsid w:val="004E33AF"/>
    <w:rsid w:val="004E3B41"/>
    <w:rsid w:val="004E5EB1"/>
    <w:rsid w:val="004E6109"/>
    <w:rsid w:val="004E7C82"/>
    <w:rsid w:val="004E7E7C"/>
    <w:rsid w:val="004F0180"/>
    <w:rsid w:val="004F1249"/>
    <w:rsid w:val="004F1263"/>
    <w:rsid w:val="004F1815"/>
    <w:rsid w:val="004F1978"/>
    <w:rsid w:val="004F2C4D"/>
    <w:rsid w:val="004F2FC5"/>
    <w:rsid w:val="004F32DA"/>
    <w:rsid w:val="004F7C38"/>
    <w:rsid w:val="00501803"/>
    <w:rsid w:val="00501AE9"/>
    <w:rsid w:val="00503762"/>
    <w:rsid w:val="0050473E"/>
    <w:rsid w:val="00504D90"/>
    <w:rsid w:val="005065B6"/>
    <w:rsid w:val="00506AD7"/>
    <w:rsid w:val="00507251"/>
    <w:rsid w:val="00511608"/>
    <w:rsid w:val="005116C1"/>
    <w:rsid w:val="00511F5F"/>
    <w:rsid w:val="005128F1"/>
    <w:rsid w:val="00512F81"/>
    <w:rsid w:val="0051405A"/>
    <w:rsid w:val="00514D08"/>
    <w:rsid w:val="00514DE4"/>
    <w:rsid w:val="00515DD1"/>
    <w:rsid w:val="00515F74"/>
    <w:rsid w:val="00515FA5"/>
    <w:rsid w:val="00517C13"/>
    <w:rsid w:val="005201CF"/>
    <w:rsid w:val="00520501"/>
    <w:rsid w:val="00520FE7"/>
    <w:rsid w:val="00521461"/>
    <w:rsid w:val="00523458"/>
    <w:rsid w:val="00523990"/>
    <w:rsid w:val="00526832"/>
    <w:rsid w:val="005268DD"/>
    <w:rsid w:val="00526C3D"/>
    <w:rsid w:val="00527CEF"/>
    <w:rsid w:val="00530FD9"/>
    <w:rsid w:val="005339CB"/>
    <w:rsid w:val="005370C0"/>
    <w:rsid w:val="0053711C"/>
    <w:rsid w:val="005371F9"/>
    <w:rsid w:val="0054262D"/>
    <w:rsid w:val="00545E08"/>
    <w:rsid w:val="00546109"/>
    <w:rsid w:val="00546326"/>
    <w:rsid w:val="005465BF"/>
    <w:rsid w:val="00546D58"/>
    <w:rsid w:val="00546E70"/>
    <w:rsid w:val="005471CD"/>
    <w:rsid w:val="0054770F"/>
    <w:rsid w:val="00547EB8"/>
    <w:rsid w:val="00547F8D"/>
    <w:rsid w:val="005521D9"/>
    <w:rsid w:val="0055236B"/>
    <w:rsid w:val="005526DC"/>
    <w:rsid w:val="00552996"/>
    <w:rsid w:val="0055325D"/>
    <w:rsid w:val="00554D28"/>
    <w:rsid w:val="005552DD"/>
    <w:rsid w:val="00560BAF"/>
    <w:rsid w:val="005623F9"/>
    <w:rsid w:val="00562868"/>
    <w:rsid w:val="00563292"/>
    <w:rsid w:val="00563C2C"/>
    <w:rsid w:val="00564545"/>
    <w:rsid w:val="00565042"/>
    <w:rsid w:val="00565F65"/>
    <w:rsid w:val="00567606"/>
    <w:rsid w:val="005703F4"/>
    <w:rsid w:val="0057138F"/>
    <w:rsid w:val="00572480"/>
    <w:rsid w:val="00573422"/>
    <w:rsid w:val="005765E2"/>
    <w:rsid w:val="00577291"/>
    <w:rsid w:val="00577EF6"/>
    <w:rsid w:val="005801C9"/>
    <w:rsid w:val="005804BE"/>
    <w:rsid w:val="00580696"/>
    <w:rsid w:val="005809ED"/>
    <w:rsid w:val="00580F13"/>
    <w:rsid w:val="00582216"/>
    <w:rsid w:val="0058402F"/>
    <w:rsid w:val="00584B2D"/>
    <w:rsid w:val="00584FD8"/>
    <w:rsid w:val="0058612B"/>
    <w:rsid w:val="00587610"/>
    <w:rsid w:val="00587A37"/>
    <w:rsid w:val="00587BFA"/>
    <w:rsid w:val="0059013B"/>
    <w:rsid w:val="005914B4"/>
    <w:rsid w:val="00591E6D"/>
    <w:rsid w:val="00592F94"/>
    <w:rsid w:val="00593294"/>
    <w:rsid w:val="0059349A"/>
    <w:rsid w:val="00595F4A"/>
    <w:rsid w:val="005A09E3"/>
    <w:rsid w:val="005A1CA9"/>
    <w:rsid w:val="005A2A6D"/>
    <w:rsid w:val="005A3AF3"/>
    <w:rsid w:val="005A5CA0"/>
    <w:rsid w:val="005B2589"/>
    <w:rsid w:val="005B2F30"/>
    <w:rsid w:val="005B39E9"/>
    <w:rsid w:val="005B55AF"/>
    <w:rsid w:val="005B5AF4"/>
    <w:rsid w:val="005B5D65"/>
    <w:rsid w:val="005B6089"/>
    <w:rsid w:val="005B7F9F"/>
    <w:rsid w:val="005C08EA"/>
    <w:rsid w:val="005C258B"/>
    <w:rsid w:val="005C27B3"/>
    <w:rsid w:val="005C4B4F"/>
    <w:rsid w:val="005C5816"/>
    <w:rsid w:val="005C7049"/>
    <w:rsid w:val="005C79A5"/>
    <w:rsid w:val="005C7AA3"/>
    <w:rsid w:val="005C7EF0"/>
    <w:rsid w:val="005D00D6"/>
    <w:rsid w:val="005D03A1"/>
    <w:rsid w:val="005D0D28"/>
    <w:rsid w:val="005D370A"/>
    <w:rsid w:val="005D3C93"/>
    <w:rsid w:val="005D47F7"/>
    <w:rsid w:val="005D5B5F"/>
    <w:rsid w:val="005D5C03"/>
    <w:rsid w:val="005D661F"/>
    <w:rsid w:val="005D6623"/>
    <w:rsid w:val="005D7AF6"/>
    <w:rsid w:val="005E18CA"/>
    <w:rsid w:val="005E1C11"/>
    <w:rsid w:val="005E2097"/>
    <w:rsid w:val="005E272D"/>
    <w:rsid w:val="005E46AF"/>
    <w:rsid w:val="005E4841"/>
    <w:rsid w:val="005E4D80"/>
    <w:rsid w:val="005E5426"/>
    <w:rsid w:val="005E60E9"/>
    <w:rsid w:val="005E6DF6"/>
    <w:rsid w:val="005E7B4C"/>
    <w:rsid w:val="005F04C1"/>
    <w:rsid w:val="005F0659"/>
    <w:rsid w:val="005F0EA9"/>
    <w:rsid w:val="005F0EB4"/>
    <w:rsid w:val="005F268B"/>
    <w:rsid w:val="005F37A9"/>
    <w:rsid w:val="005F52CA"/>
    <w:rsid w:val="005F68DA"/>
    <w:rsid w:val="005F69EC"/>
    <w:rsid w:val="005F6FD9"/>
    <w:rsid w:val="00600243"/>
    <w:rsid w:val="0060147E"/>
    <w:rsid w:val="006021FC"/>
    <w:rsid w:val="006040A4"/>
    <w:rsid w:val="006107A1"/>
    <w:rsid w:val="00611427"/>
    <w:rsid w:val="00611475"/>
    <w:rsid w:val="00611847"/>
    <w:rsid w:val="006119B4"/>
    <w:rsid w:val="00611D0E"/>
    <w:rsid w:val="00614D72"/>
    <w:rsid w:val="0061516F"/>
    <w:rsid w:val="00615E34"/>
    <w:rsid w:val="0062135C"/>
    <w:rsid w:val="006213F6"/>
    <w:rsid w:val="0062151E"/>
    <w:rsid w:val="0062185B"/>
    <w:rsid w:val="006218FC"/>
    <w:rsid w:val="00621918"/>
    <w:rsid w:val="0062234B"/>
    <w:rsid w:val="00622BE9"/>
    <w:rsid w:val="00625A6B"/>
    <w:rsid w:val="00626A41"/>
    <w:rsid w:val="0063264A"/>
    <w:rsid w:val="0063337B"/>
    <w:rsid w:val="006339CF"/>
    <w:rsid w:val="00633BE7"/>
    <w:rsid w:val="006350D3"/>
    <w:rsid w:val="006420FD"/>
    <w:rsid w:val="006425F1"/>
    <w:rsid w:val="0064265C"/>
    <w:rsid w:val="00643F68"/>
    <w:rsid w:val="00646B0B"/>
    <w:rsid w:val="006474FE"/>
    <w:rsid w:val="00647643"/>
    <w:rsid w:val="006513F2"/>
    <w:rsid w:val="0065244D"/>
    <w:rsid w:val="00652B8E"/>
    <w:rsid w:val="006550FA"/>
    <w:rsid w:val="00655203"/>
    <w:rsid w:val="0065550E"/>
    <w:rsid w:val="0065560D"/>
    <w:rsid w:val="0065637B"/>
    <w:rsid w:val="00657FAF"/>
    <w:rsid w:val="00660212"/>
    <w:rsid w:val="0066088F"/>
    <w:rsid w:val="00663458"/>
    <w:rsid w:val="006636E7"/>
    <w:rsid w:val="00663A75"/>
    <w:rsid w:val="00664CDA"/>
    <w:rsid w:val="00665DD2"/>
    <w:rsid w:val="006703EE"/>
    <w:rsid w:val="00671A34"/>
    <w:rsid w:val="00674A72"/>
    <w:rsid w:val="00674AF0"/>
    <w:rsid w:val="00680DEB"/>
    <w:rsid w:val="00684CA2"/>
    <w:rsid w:val="006851BC"/>
    <w:rsid w:val="00685364"/>
    <w:rsid w:val="006857FB"/>
    <w:rsid w:val="006859E5"/>
    <w:rsid w:val="00685C44"/>
    <w:rsid w:val="0069054D"/>
    <w:rsid w:val="00691554"/>
    <w:rsid w:val="00691BE7"/>
    <w:rsid w:val="00691FC5"/>
    <w:rsid w:val="00693724"/>
    <w:rsid w:val="00694489"/>
    <w:rsid w:val="00695338"/>
    <w:rsid w:val="00695507"/>
    <w:rsid w:val="006A2570"/>
    <w:rsid w:val="006A379C"/>
    <w:rsid w:val="006A4350"/>
    <w:rsid w:val="006A4F2E"/>
    <w:rsid w:val="006A6926"/>
    <w:rsid w:val="006A78D0"/>
    <w:rsid w:val="006A7CDB"/>
    <w:rsid w:val="006B00F7"/>
    <w:rsid w:val="006B015D"/>
    <w:rsid w:val="006B0D0B"/>
    <w:rsid w:val="006B173C"/>
    <w:rsid w:val="006B1BF1"/>
    <w:rsid w:val="006B3F6E"/>
    <w:rsid w:val="006B44F7"/>
    <w:rsid w:val="006C2389"/>
    <w:rsid w:val="006C3646"/>
    <w:rsid w:val="006C3B74"/>
    <w:rsid w:val="006C7B86"/>
    <w:rsid w:val="006C7C3B"/>
    <w:rsid w:val="006D2209"/>
    <w:rsid w:val="006D2323"/>
    <w:rsid w:val="006D2B84"/>
    <w:rsid w:val="006D4D5F"/>
    <w:rsid w:val="006D512B"/>
    <w:rsid w:val="006D615B"/>
    <w:rsid w:val="006D76F1"/>
    <w:rsid w:val="006D7FAA"/>
    <w:rsid w:val="006E1AA4"/>
    <w:rsid w:val="006E3706"/>
    <w:rsid w:val="006E3D3F"/>
    <w:rsid w:val="006E56BC"/>
    <w:rsid w:val="006E5AF5"/>
    <w:rsid w:val="006E5C25"/>
    <w:rsid w:val="006E67AD"/>
    <w:rsid w:val="006E6FF7"/>
    <w:rsid w:val="006E7677"/>
    <w:rsid w:val="006E7821"/>
    <w:rsid w:val="006F01BC"/>
    <w:rsid w:val="006F0759"/>
    <w:rsid w:val="006F07B4"/>
    <w:rsid w:val="006F0DEE"/>
    <w:rsid w:val="006F2161"/>
    <w:rsid w:val="006F4F48"/>
    <w:rsid w:val="006F5874"/>
    <w:rsid w:val="006F7455"/>
    <w:rsid w:val="007001D4"/>
    <w:rsid w:val="00700434"/>
    <w:rsid w:val="00700AE0"/>
    <w:rsid w:val="0070157F"/>
    <w:rsid w:val="0070432F"/>
    <w:rsid w:val="0070487C"/>
    <w:rsid w:val="00705720"/>
    <w:rsid w:val="0070611D"/>
    <w:rsid w:val="007074E6"/>
    <w:rsid w:val="007108B1"/>
    <w:rsid w:val="00711448"/>
    <w:rsid w:val="0071241C"/>
    <w:rsid w:val="00713206"/>
    <w:rsid w:val="0071413C"/>
    <w:rsid w:val="00714D5F"/>
    <w:rsid w:val="007156C6"/>
    <w:rsid w:val="0071666E"/>
    <w:rsid w:val="007171EF"/>
    <w:rsid w:val="00717B1E"/>
    <w:rsid w:val="00720440"/>
    <w:rsid w:val="00722532"/>
    <w:rsid w:val="00722A83"/>
    <w:rsid w:val="00723F01"/>
    <w:rsid w:val="007247DC"/>
    <w:rsid w:val="00724CAA"/>
    <w:rsid w:val="0072572F"/>
    <w:rsid w:val="00725939"/>
    <w:rsid w:val="00726A48"/>
    <w:rsid w:val="00726A98"/>
    <w:rsid w:val="00727143"/>
    <w:rsid w:val="00727940"/>
    <w:rsid w:val="00727B5A"/>
    <w:rsid w:val="007305EC"/>
    <w:rsid w:val="00730EAD"/>
    <w:rsid w:val="0073162B"/>
    <w:rsid w:val="007321DF"/>
    <w:rsid w:val="007337DA"/>
    <w:rsid w:val="00735FAB"/>
    <w:rsid w:val="00736025"/>
    <w:rsid w:val="00736266"/>
    <w:rsid w:val="00740FDB"/>
    <w:rsid w:val="00743B55"/>
    <w:rsid w:val="0074424D"/>
    <w:rsid w:val="00744984"/>
    <w:rsid w:val="0074504D"/>
    <w:rsid w:val="007451B8"/>
    <w:rsid w:val="0074548A"/>
    <w:rsid w:val="00746065"/>
    <w:rsid w:val="00746380"/>
    <w:rsid w:val="00746772"/>
    <w:rsid w:val="00746F69"/>
    <w:rsid w:val="00746FEF"/>
    <w:rsid w:val="00747238"/>
    <w:rsid w:val="00750A58"/>
    <w:rsid w:val="00750B3F"/>
    <w:rsid w:val="00750D4C"/>
    <w:rsid w:val="0075162B"/>
    <w:rsid w:val="00753919"/>
    <w:rsid w:val="00754A00"/>
    <w:rsid w:val="00755E21"/>
    <w:rsid w:val="007566E2"/>
    <w:rsid w:val="007567B2"/>
    <w:rsid w:val="00756CBF"/>
    <w:rsid w:val="00756E29"/>
    <w:rsid w:val="00760D0E"/>
    <w:rsid w:val="0076148A"/>
    <w:rsid w:val="007634B4"/>
    <w:rsid w:val="007640EE"/>
    <w:rsid w:val="007648CD"/>
    <w:rsid w:val="00764DD8"/>
    <w:rsid w:val="00765153"/>
    <w:rsid w:val="007664C9"/>
    <w:rsid w:val="007665D6"/>
    <w:rsid w:val="00766E39"/>
    <w:rsid w:val="00766F88"/>
    <w:rsid w:val="007676F4"/>
    <w:rsid w:val="00767778"/>
    <w:rsid w:val="0076797A"/>
    <w:rsid w:val="00770545"/>
    <w:rsid w:val="00770909"/>
    <w:rsid w:val="0077138F"/>
    <w:rsid w:val="00771482"/>
    <w:rsid w:val="00772045"/>
    <w:rsid w:val="00772C55"/>
    <w:rsid w:val="007733CF"/>
    <w:rsid w:val="007758B3"/>
    <w:rsid w:val="007766AB"/>
    <w:rsid w:val="0077681F"/>
    <w:rsid w:val="0077699C"/>
    <w:rsid w:val="00776ADF"/>
    <w:rsid w:val="00776F2A"/>
    <w:rsid w:val="0077762B"/>
    <w:rsid w:val="00777FF8"/>
    <w:rsid w:val="007801E1"/>
    <w:rsid w:val="007815AB"/>
    <w:rsid w:val="00783FBB"/>
    <w:rsid w:val="0078507B"/>
    <w:rsid w:val="0078518E"/>
    <w:rsid w:val="00785BD6"/>
    <w:rsid w:val="00786B25"/>
    <w:rsid w:val="0078700E"/>
    <w:rsid w:val="00787ADC"/>
    <w:rsid w:val="007905F8"/>
    <w:rsid w:val="00791DD2"/>
    <w:rsid w:val="007921A9"/>
    <w:rsid w:val="00793D6C"/>
    <w:rsid w:val="007940A7"/>
    <w:rsid w:val="007948B4"/>
    <w:rsid w:val="00794B18"/>
    <w:rsid w:val="00795983"/>
    <w:rsid w:val="00796F68"/>
    <w:rsid w:val="00797BA0"/>
    <w:rsid w:val="00797C8B"/>
    <w:rsid w:val="007A04CF"/>
    <w:rsid w:val="007A2846"/>
    <w:rsid w:val="007A3B11"/>
    <w:rsid w:val="007A72EC"/>
    <w:rsid w:val="007B03F0"/>
    <w:rsid w:val="007B115B"/>
    <w:rsid w:val="007B33EC"/>
    <w:rsid w:val="007B4323"/>
    <w:rsid w:val="007B55AB"/>
    <w:rsid w:val="007B5FD1"/>
    <w:rsid w:val="007B63BD"/>
    <w:rsid w:val="007B6DCF"/>
    <w:rsid w:val="007B6F81"/>
    <w:rsid w:val="007B76A5"/>
    <w:rsid w:val="007C0989"/>
    <w:rsid w:val="007C120C"/>
    <w:rsid w:val="007C1322"/>
    <w:rsid w:val="007C4A42"/>
    <w:rsid w:val="007C6AE4"/>
    <w:rsid w:val="007D0CF8"/>
    <w:rsid w:val="007D0D8B"/>
    <w:rsid w:val="007D1BCC"/>
    <w:rsid w:val="007D2E50"/>
    <w:rsid w:val="007D3163"/>
    <w:rsid w:val="007D49CA"/>
    <w:rsid w:val="007D5492"/>
    <w:rsid w:val="007D7F22"/>
    <w:rsid w:val="007E1E16"/>
    <w:rsid w:val="007E2182"/>
    <w:rsid w:val="007E23CF"/>
    <w:rsid w:val="007E2776"/>
    <w:rsid w:val="007E28AA"/>
    <w:rsid w:val="007E2A5E"/>
    <w:rsid w:val="007E78CE"/>
    <w:rsid w:val="007F2347"/>
    <w:rsid w:val="007F267C"/>
    <w:rsid w:val="007F2710"/>
    <w:rsid w:val="007F31AD"/>
    <w:rsid w:val="007F3B02"/>
    <w:rsid w:val="007F5A65"/>
    <w:rsid w:val="007F5CCB"/>
    <w:rsid w:val="007F7E0F"/>
    <w:rsid w:val="00800013"/>
    <w:rsid w:val="008018BF"/>
    <w:rsid w:val="00803215"/>
    <w:rsid w:val="00803F8F"/>
    <w:rsid w:val="00804D2E"/>
    <w:rsid w:val="00804FF8"/>
    <w:rsid w:val="00807B11"/>
    <w:rsid w:val="00811D0F"/>
    <w:rsid w:val="008148D0"/>
    <w:rsid w:val="00814964"/>
    <w:rsid w:val="00815DFF"/>
    <w:rsid w:val="008165D5"/>
    <w:rsid w:val="00816C28"/>
    <w:rsid w:val="008170E9"/>
    <w:rsid w:val="00817D12"/>
    <w:rsid w:val="00820504"/>
    <w:rsid w:val="00820ACC"/>
    <w:rsid w:val="008220D2"/>
    <w:rsid w:val="0082247F"/>
    <w:rsid w:val="00822CD0"/>
    <w:rsid w:val="008243A5"/>
    <w:rsid w:val="00824BF9"/>
    <w:rsid w:val="00825069"/>
    <w:rsid w:val="00825473"/>
    <w:rsid w:val="00831E6B"/>
    <w:rsid w:val="008326AF"/>
    <w:rsid w:val="008330E1"/>
    <w:rsid w:val="008340F3"/>
    <w:rsid w:val="00834758"/>
    <w:rsid w:val="00834EE1"/>
    <w:rsid w:val="00836008"/>
    <w:rsid w:val="0083614C"/>
    <w:rsid w:val="00842BF5"/>
    <w:rsid w:val="00844209"/>
    <w:rsid w:val="00844454"/>
    <w:rsid w:val="00846ABD"/>
    <w:rsid w:val="00846D1D"/>
    <w:rsid w:val="008473D7"/>
    <w:rsid w:val="00850834"/>
    <w:rsid w:val="008513AE"/>
    <w:rsid w:val="008519A0"/>
    <w:rsid w:val="00852849"/>
    <w:rsid w:val="00852D7E"/>
    <w:rsid w:val="00852F45"/>
    <w:rsid w:val="008563A0"/>
    <w:rsid w:val="008569C3"/>
    <w:rsid w:val="00856A31"/>
    <w:rsid w:val="008618B4"/>
    <w:rsid w:val="00861BFC"/>
    <w:rsid w:val="00862888"/>
    <w:rsid w:val="008629AC"/>
    <w:rsid w:val="00865410"/>
    <w:rsid w:val="0086780D"/>
    <w:rsid w:val="00867E77"/>
    <w:rsid w:val="00867F9A"/>
    <w:rsid w:val="00870253"/>
    <w:rsid w:val="00870285"/>
    <w:rsid w:val="0087135B"/>
    <w:rsid w:val="008714C7"/>
    <w:rsid w:val="00871A7B"/>
    <w:rsid w:val="00871CA4"/>
    <w:rsid w:val="0087308B"/>
    <w:rsid w:val="0087482C"/>
    <w:rsid w:val="00875A5C"/>
    <w:rsid w:val="00875E0E"/>
    <w:rsid w:val="00877A0F"/>
    <w:rsid w:val="00880744"/>
    <w:rsid w:val="00882017"/>
    <w:rsid w:val="00882246"/>
    <w:rsid w:val="0088230B"/>
    <w:rsid w:val="00883286"/>
    <w:rsid w:val="00883A94"/>
    <w:rsid w:val="00885097"/>
    <w:rsid w:val="00885661"/>
    <w:rsid w:val="008857F9"/>
    <w:rsid w:val="00885AAB"/>
    <w:rsid w:val="0088796E"/>
    <w:rsid w:val="00890BE6"/>
    <w:rsid w:val="00893085"/>
    <w:rsid w:val="008936D2"/>
    <w:rsid w:val="008941AF"/>
    <w:rsid w:val="008941C3"/>
    <w:rsid w:val="00895060"/>
    <w:rsid w:val="008957E1"/>
    <w:rsid w:val="00895F59"/>
    <w:rsid w:val="00897C59"/>
    <w:rsid w:val="00897CB9"/>
    <w:rsid w:val="00897DC5"/>
    <w:rsid w:val="008A00C1"/>
    <w:rsid w:val="008A01E2"/>
    <w:rsid w:val="008A058A"/>
    <w:rsid w:val="008A32B7"/>
    <w:rsid w:val="008A3657"/>
    <w:rsid w:val="008A3EE3"/>
    <w:rsid w:val="008A4138"/>
    <w:rsid w:val="008A47D5"/>
    <w:rsid w:val="008A51B8"/>
    <w:rsid w:val="008A5B86"/>
    <w:rsid w:val="008A648B"/>
    <w:rsid w:val="008A6E73"/>
    <w:rsid w:val="008A722D"/>
    <w:rsid w:val="008B2109"/>
    <w:rsid w:val="008B2545"/>
    <w:rsid w:val="008B4701"/>
    <w:rsid w:val="008B4FEF"/>
    <w:rsid w:val="008B54CD"/>
    <w:rsid w:val="008B61C3"/>
    <w:rsid w:val="008B65EE"/>
    <w:rsid w:val="008C0106"/>
    <w:rsid w:val="008C1187"/>
    <w:rsid w:val="008C12D5"/>
    <w:rsid w:val="008C146A"/>
    <w:rsid w:val="008C1DBD"/>
    <w:rsid w:val="008C2827"/>
    <w:rsid w:val="008C36D4"/>
    <w:rsid w:val="008C4E63"/>
    <w:rsid w:val="008C58BB"/>
    <w:rsid w:val="008C5A99"/>
    <w:rsid w:val="008C5D8E"/>
    <w:rsid w:val="008C70CF"/>
    <w:rsid w:val="008D0015"/>
    <w:rsid w:val="008D081B"/>
    <w:rsid w:val="008D0933"/>
    <w:rsid w:val="008D0E77"/>
    <w:rsid w:val="008D2579"/>
    <w:rsid w:val="008D272B"/>
    <w:rsid w:val="008D3FC7"/>
    <w:rsid w:val="008D4E4B"/>
    <w:rsid w:val="008D4F9F"/>
    <w:rsid w:val="008D5DC6"/>
    <w:rsid w:val="008E1FFA"/>
    <w:rsid w:val="008E208B"/>
    <w:rsid w:val="008E39CB"/>
    <w:rsid w:val="008E39F9"/>
    <w:rsid w:val="008E4D99"/>
    <w:rsid w:val="008E4F83"/>
    <w:rsid w:val="008E6C64"/>
    <w:rsid w:val="008F2345"/>
    <w:rsid w:val="008F3966"/>
    <w:rsid w:val="008F453A"/>
    <w:rsid w:val="008F4E65"/>
    <w:rsid w:val="008F5099"/>
    <w:rsid w:val="008F55FF"/>
    <w:rsid w:val="008F59C3"/>
    <w:rsid w:val="008F5BEA"/>
    <w:rsid w:val="008F6501"/>
    <w:rsid w:val="00902FC0"/>
    <w:rsid w:val="00906A82"/>
    <w:rsid w:val="00907DCC"/>
    <w:rsid w:val="00910E1C"/>
    <w:rsid w:val="00914833"/>
    <w:rsid w:val="00914EBA"/>
    <w:rsid w:val="00915323"/>
    <w:rsid w:val="009163B5"/>
    <w:rsid w:val="00917592"/>
    <w:rsid w:val="00923092"/>
    <w:rsid w:val="0092414E"/>
    <w:rsid w:val="00924716"/>
    <w:rsid w:val="00925053"/>
    <w:rsid w:val="0092578B"/>
    <w:rsid w:val="00926044"/>
    <w:rsid w:val="009260AC"/>
    <w:rsid w:val="009268C6"/>
    <w:rsid w:val="009273A7"/>
    <w:rsid w:val="00930995"/>
    <w:rsid w:val="00930E07"/>
    <w:rsid w:val="00932E48"/>
    <w:rsid w:val="00933445"/>
    <w:rsid w:val="00933D9B"/>
    <w:rsid w:val="00934CE0"/>
    <w:rsid w:val="009364D5"/>
    <w:rsid w:val="009416DA"/>
    <w:rsid w:val="00944267"/>
    <w:rsid w:val="009446E3"/>
    <w:rsid w:val="00944787"/>
    <w:rsid w:val="00945BF5"/>
    <w:rsid w:val="00946E86"/>
    <w:rsid w:val="00946EF1"/>
    <w:rsid w:val="0095045E"/>
    <w:rsid w:val="00950E4E"/>
    <w:rsid w:val="00951112"/>
    <w:rsid w:val="00951369"/>
    <w:rsid w:val="00951CE4"/>
    <w:rsid w:val="0095217B"/>
    <w:rsid w:val="009523FD"/>
    <w:rsid w:val="00952DBE"/>
    <w:rsid w:val="009532C0"/>
    <w:rsid w:val="00954643"/>
    <w:rsid w:val="00954750"/>
    <w:rsid w:val="00955267"/>
    <w:rsid w:val="00955CA3"/>
    <w:rsid w:val="00957E71"/>
    <w:rsid w:val="00957F22"/>
    <w:rsid w:val="0096015F"/>
    <w:rsid w:val="00960409"/>
    <w:rsid w:val="0096203E"/>
    <w:rsid w:val="00963257"/>
    <w:rsid w:val="009638CF"/>
    <w:rsid w:val="009654E2"/>
    <w:rsid w:val="0096584B"/>
    <w:rsid w:val="00965DE5"/>
    <w:rsid w:val="00970694"/>
    <w:rsid w:val="009706E7"/>
    <w:rsid w:val="00970855"/>
    <w:rsid w:val="00970C3C"/>
    <w:rsid w:val="00973D50"/>
    <w:rsid w:val="009817B7"/>
    <w:rsid w:val="00981BDF"/>
    <w:rsid w:val="00981F77"/>
    <w:rsid w:val="009823DD"/>
    <w:rsid w:val="009829C6"/>
    <w:rsid w:val="00984825"/>
    <w:rsid w:val="0098511D"/>
    <w:rsid w:val="00985FB7"/>
    <w:rsid w:val="009866C3"/>
    <w:rsid w:val="00987AA5"/>
    <w:rsid w:val="00990941"/>
    <w:rsid w:val="009921B1"/>
    <w:rsid w:val="0099268A"/>
    <w:rsid w:val="009926B6"/>
    <w:rsid w:val="00992AD2"/>
    <w:rsid w:val="0099307D"/>
    <w:rsid w:val="0099346F"/>
    <w:rsid w:val="00993905"/>
    <w:rsid w:val="009956F0"/>
    <w:rsid w:val="00996149"/>
    <w:rsid w:val="009975E6"/>
    <w:rsid w:val="00997D34"/>
    <w:rsid w:val="009A0227"/>
    <w:rsid w:val="009A167B"/>
    <w:rsid w:val="009A1CC2"/>
    <w:rsid w:val="009A3FF4"/>
    <w:rsid w:val="009A4D4B"/>
    <w:rsid w:val="009B01D6"/>
    <w:rsid w:val="009B125A"/>
    <w:rsid w:val="009B35A1"/>
    <w:rsid w:val="009B4A13"/>
    <w:rsid w:val="009B79B7"/>
    <w:rsid w:val="009B7ECA"/>
    <w:rsid w:val="009C00C8"/>
    <w:rsid w:val="009C0815"/>
    <w:rsid w:val="009C0EAF"/>
    <w:rsid w:val="009C1955"/>
    <w:rsid w:val="009C257C"/>
    <w:rsid w:val="009C4CBB"/>
    <w:rsid w:val="009C6588"/>
    <w:rsid w:val="009C7A0E"/>
    <w:rsid w:val="009C7D8F"/>
    <w:rsid w:val="009D04EC"/>
    <w:rsid w:val="009D2517"/>
    <w:rsid w:val="009D2C46"/>
    <w:rsid w:val="009D3DD6"/>
    <w:rsid w:val="009D3F15"/>
    <w:rsid w:val="009D6C99"/>
    <w:rsid w:val="009D6E47"/>
    <w:rsid w:val="009D758A"/>
    <w:rsid w:val="009D7691"/>
    <w:rsid w:val="009D78B8"/>
    <w:rsid w:val="009E02C8"/>
    <w:rsid w:val="009E1606"/>
    <w:rsid w:val="009E2703"/>
    <w:rsid w:val="009E3D2A"/>
    <w:rsid w:val="009E48B2"/>
    <w:rsid w:val="009E5032"/>
    <w:rsid w:val="009E504B"/>
    <w:rsid w:val="009E6234"/>
    <w:rsid w:val="009E6997"/>
    <w:rsid w:val="009E742B"/>
    <w:rsid w:val="009E7DD8"/>
    <w:rsid w:val="009F04B8"/>
    <w:rsid w:val="009F2E7D"/>
    <w:rsid w:val="009F3C6B"/>
    <w:rsid w:val="009F3CD8"/>
    <w:rsid w:val="009F3D59"/>
    <w:rsid w:val="009F4FB5"/>
    <w:rsid w:val="009F5B0F"/>
    <w:rsid w:val="009F5C94"/>
    <w:rsid w:val="009F7263"/>
    <w:rsid w:val="009F72D0"/>
    <w:rsid w:val="009F7B8F"/>
    <w:rsid w:val="009F7E7D"/>
    <w:rsid w:val="00A00BFB"/>
    <w:rsid w:val="00A016F7"/>
    <w:rsid w:val="00A02E05"/>
    <w:rsid w:val="00A02E88"/>
    <w:rsid w:val="00A04504"/>
    <w:rsid w:val="00A053EF"/>
    <w:rsid w:val="00A06919"/>
    <w:rsid w:val="00A06CDF"/>
    <w:rsid w:val="00A06DF9"/>
    <w:rsid w:val="00A0743E"/>
    <w:rsid w:val="00A1345D"/>
    <w:rsid w:val="00A14829"/>
    <w:rsid w:val="00A15509"/>
    <w:rsid w:val="00A155BD"/>
    <w:rsid w:val="00A15901"/>
    <w:rsid w:val="00A15C75"/>
    <w:rsid w:val="00A1603B"/>
    <w:rsid w:val="00A22011"/>
    <w:rsid w:val="00A23AB7"/>
    <w:rsid w:val="00A23CE0"/>
    <w:rsid w:val="00A24929"/>
    <w:rsid w:val="00A25D08"/>
    <w:rsid w:val="00A26FAB"/>
    <w:rsid w:val="00A27F1E"/>
    <w:rsid w:val="00A31BA0"/>
    <w:rsid w:val="00A32ADE"/>
    <w:rsid w:val="00A3594A"/>
    <w:rsid w:val="00A408C4"/>
    <w:rsid w:val="00A40EF3"/>
    <w:rsid w:val="00A41134"/>
    <w:rsid w:val="00A416FB"/>
    <w:rsid w:val="00A41AAF"/>
    <w:rsid w:val="00A42C53"/>
    <w:rsid w:val="00A42EE6"/>
    <w:rsid w:val="00A43A90"/>
    <w:rsid w:val="00A44FF9"/>
    <w:rsid w:val="00A4681D"/>
    <w:rsid w:val="00A46BBB"/>
    <w:rsid w:val="00A47164"/>
    <w:rsid w:val="00A5067D"/>
    <w:rsid w:val="00A511D3"/>
    <w:rsid w:val="00A523C2"/>
    <w:rsid w:val="00A5254A"/>
    <w:rsid w:val="00A52FBC"/>
    <w:rsid w:val="00A537CE"/>
    <w:rsid w:val="00A5607E"/>
    <w:rsid w:val="00A56774"/>
    <w:rsid w:val="00A56A8B"/>
    <w:rsid w:val="00A57C9D"/>
    <w:rsid w:val="00A60F3D"/>
    <w:rsid w:val="00A62683"/>
    <w:rsid w:val="00A632E3"/>
    <w:rsid w:val="00A65CDD"/>
    <w:rsid w:val="00A6603B"/>
    <w:rsid w:val="00A66C35"/>
    <w:rsid w:val="00A66CCE"/>
    <w:rsid w:val="00A67078"/>
    <w:rsid w:val="00A67122"/>
    <w:rsid w:val="00A67989"/>
    <w:rsid w:val="00A67F37"/>
    <w:rsid w:val="00A704B7"/>
    <w:rsid w:val="00A73AC1"/>
    <w:rsid w:val="00A73F1A"/>
    <w:rsid w:val="00A74F79"/>
    <w:rsid w:val="00A75ADA"/>
    <w:rsid w:val="00A800E2"/>
    <w:rsid w:val="00A82787"/>
    <w:rsid w:val="00A85CBC"/>
    <w:rsid w:val="00A90579"/>
    <w:rsid w:val="00A92534"/>
    <w:rsid w:val="00A94B09"/>
    <w:rsid w:val="00A9599D"/>
    <w:rsid w:val="00A95AAC"/>
    <w:rsid w:val="00AA2D70"/>
    <w:rsid w:val="00AA382C"/>
    <w:rsid w:val="00AA4538"/>
    <w:rsid w:val="00AA4E7D"/>
    <w:rsid w:val="00AA67B9"/>
    <w:rsid w:val="00AA78CC"/>
    <w:rsid w:val="00AB16BB"/>
    <w:rsid w:val="00AB41B1"/>
    <w:rsid w:val="00AB4290"/>
    <w:rsid w:val="00AB5F14"/>
    <w:rsid w:val="00AB71C1"/>
    <w:rsid w:val="00AB7BBF"/>
    <w:rsid w:val="00AC104A"/>
    <w:rsid w:val="00AC110E"/>
    <w:rsid w:val="00AC1212"/>
    <w:rsid w:val="00AC209A"/>
    <w:rsid w:val="00AC3030"/>
    <w:rsid w:val="00AC3B6C"/>
    <w:rsid w:val="00AC46B2"/>
    <w:rsid w:val="00AC69B2"/>
    <w:rsid w:val="00AD0141"/>
    <w:rsid w:val="00AD0664"/>
    <w:rsid w:val="00AD1120"/>
    <w:rsid w:val="00AD2065"/>
    <w:rsid w:val="00AD22B9"/>
    <w:rsid w:val="00AD2491"/>
    <w:rsid w:val="00AD27F2"/>
    <w:rsid w:val="00AD43AF"/>
    <w:rsid w:val="00AD4F57"/>
    <w:rsid w:val="00AD525C"/>
    <w:rsid w:val="00AD59D7"/>
    <w:rsid w:val="00AD5ED6"/>
    <w:rsid w:val="00AD5ED8"/>
    <w:rsid w:val="00AD7BFC"/>
    <w:rsid w:val="00AE07FD"/>
    <w:rsid w:val="00AE0905"/>
    <w:rsid w:val="00AE0F76"/>
    <w:rsid w:val="00AE1FD9"/>
    <w:rsid w:val="00AE42CA"/>
    <w:rsid w:val="00AE45EB"/>
    <w:rsid w:val="00AE4FD1"/>
    <w:rsid w:val="00AE4FD4"/>
    <w:rsid w:val="00AE79DD"/>
    <w:rsid w:val="00AE7CC9"/>
    <w:rsid w:val="00AF0D3D"/>
    <w:rsid w:val="00AF1780"/>
    <w:rsid w:val="00AF3B54"/>
    <w:rsid w:val="00AF40B4"/>
    <w:rsid w:val="00AF4EDE"/>
    <w:rsid w:val="00AF528E"/>
    <w:rsid w:val="00AF686E"/>
    <w:rsid w:val="00AF6904"/>
    <w:rsid w:val="00AF7983"/>
    <w:rsid w:val="00B00E79"/>
    <w:rsid w:val="00B0134C"/>
    <w:rsid w:val="00B02402"/>
    <w:rsid w:val="00B02C1F"/>
    <w:rsid w:val="00B0534B"/>
    <w:rsid w:val="00B05B11"/>
    <w:rsid w:val="00B068D6"/>
    <w:rsid w:val="00B075FD"/>
    <w:rsid w:val="00B10BA6"/>
    <w:rsid w:val="00B1290A"/>
    <w:rsid w:val="00B13790"/>
    <w:rsid w:val="00B17891"/>
    <w:rsid w:val="00B229DB"/>
    <w:rsid w:val="00B23FF6"/>
    <w:rsid w:val="00B2404D"/>
    <w:rsid w:val="00B2536C"/>
    <w:rsid w:val="00B25913"/>
    <w:rsid w:val="00B25C33"/>
    <w:rsid w:val="00B2664F"/>
    <w:rsid w:val="00B26D77"/>
    <w:rsid w:val="00B26D93"/>
    <w:rsid w:val="00B2738D"/>
    <w:rsid w:val="00B27C6E"/>
    <w:rsid w:val="00B27F49"/>
    <w:rsid w:val="00B30169"/>
    <w:rsid w:val="00B302B8"/>
    <w:rsid w:val="00B3077D"/>
    <w:rsid w:val="00B31440"/>
    <w:rsid w:val="00B31DAA"/>
    <w:rsid w:val="00B33AFA"/>
    <w:rsid w:val="00B33FBE"/>
    <w:rsid w:val="00B353DF"/>
    <w:rsid w:val="00B37AD2"/>
    <w:rsid w:val="00B37AFE"/>
    <w:rsid w:val="00B4045C"/>
    <w:rsid w:val="00B40619"/>
    <w:rsid w:val="00B40F3C"/>
    <w:rsid w:val="00B4116D"/>
    <w:rsid w:val="00B41845"/>
    <w:rsid w:val="00B41D35"/>
    <w:rsid w:val="00B4204C"/>
    <w:rsid w:val="00B42FCA"/>
    <w:rsid w:val="00B435AC"/>
    <w:rsid w:val="00B43B01"/>
    <w:rsid w:val="00B43B91"/>
    <w:rsid w:val="00B4470D"/>
    <w:rsid w:val="00B448FF"/>
    <w:rsid w:val="00B4516F"/>
    <w:rsid w:val="00B460EB"/>
    <w:rsid w:val="00B46694"/>
    <w:rsid w:val="00B46AEE"/>
    <w:rsid w:val="00B50702"/>
    <w:rsid w:val="00B50BDB"/>
    <w:rsid w:val="00B53F51"/>
    <w:rsid w:val="00B55197"/>
    <w:rsid w:val="00B56345"/>
    <w:rsid w:val="00B564DB"/>
    <w:rsid w:val="00B567C9"/>
    <w:rsid w:val="00B56A97"/>
    <w:rsid w:val="00B56BD8"/>
    <w:rsid w:val="00B57118"/>
    <w:rsid w:val="00B602B3"/>
    <w:rsid w:val="00B60CB3"/>
    <w:rsid w:val="00B6105A"/>
    <w:rsid w:val="00B6223E"/>
    <w:rsid w:val="00B63DF9"/>
    <w:rsid w:val="00B646C8"/>
    <w:rsid w:val="00B669C7"/>
    <w:rsid w:val="00B67B13"/>
    <w:rsid w:val="00B67CAD"/>
    <w:rsid w:val="00B716CB"/>
    <w:rsid w:val="00B71E1E"/>
    <w:rsid w:val="00B7248F"/>
    <w:rsid w:val="00B74AF6"/>
    <w:rsid w:val="00B7657A"/>
    <w:rsid w:val="00B765F4"/>
    <w:rsid w:val="00B76733"/>
    <w:rsid w:val="00B77476"/>
    <w:rsid w:val="00B77CB5"/>
    <w:rsid w:val="00B802A3"/>
    <w:rsid w:val="00B80ACA"/>
    <w:rsid w:val="00B8118F"/>
    <w:rsid w:val="00B818EB"/>
    <w:rsid w:val="00B81E4E"/>
    <w:rsid w:val="00B82CFE"/>
    <w:rsid w:val="00B837A9"/>
    <w:rsid w:val="00B83A0C"/>
    <w:rsid w:val="00B84962"/>
    <w:rsid w:val="00B8510B"/>
    <w:rsid w:val="00B855FE"/>
    <w:rsid w:val="00B87684"/>
    <w:rsid w:val="00B911A2"/>
    <w:rsid w:val="00B91962"/>
    <w:rsid w:val="00B9269F"/>
    <w:rsid w:val="00B93ED7"/>
    <w:rsid w:val="00B945C4"/>
    <w:rsid w:val="00B94817"/>
    <w:rsid w:val="00B94C7D"/>
    <w:rsid w:val="00B9506D"/>
    <w:rsid w:val="00B953EE"/>
    <w:rsid w:val="00B95C7F"/>
    <w:rsid w:val="00B95E4A"/>
    <w:rsid w:val="00B9655F"/>
    <w:rsid w:val="00BA0F76"/>
    <w:rsid w:val="00BA19CA"/>
    <w:rsid w:val="00BA2F1A"/>
    <w:rsid w:val="00BA4047"/>
    <w:rsid w:val="00BA449B"/>
    <w:rsid w:val="00BA543F"/>
    <w:rsid w:val="00BA619B"/>
    <w:rsid w:val="00BA6FFA"/>
    <w:rsid w:val="00BA7292"/>
    <w:rsid w:val="00BA7E37"/>
    <w:rsid w:val="00BB0B16"/>
    <w:rsid w:val="00BB0B98"/>
    <w:rsid w:val="00BB1756"/>
    <w:rsid w:val="00BB3BB4"/>
    <w:rsid w:val="00BB527F"/>
    <w:rsid w:val="00BB5367"/>
    <w:rsid w:val="00BB59E0"/>
    <w:rsid w:val="00BB5C05"/>
    <w:rsid w:val="00BB6581"/>
    <w:rsid w:val="00BB6EDF"/>
    <w:rsid w:val="00BB76AC"/>
    <w:rsid w:val="00BB79A2"/>
    <w:rsid w:val="00BC0D95"/>
    <w:rsid w:val="00BC12F8"/>
    <w:rsid w:val="00BC5279"/>
    <w:rsid w:val="00BC7959"/>
    <w:rsid w:val="00BD07E3"/>
    <w:rsid w:val="00BD1147"/>
    <w:rsid w:val="00BD11E0"/>
    <w:rsid w:val="00BD191F"/>
    <w:rsid w:val="00BD23C6"/>
    <w:rsid w:val="00BD3EAD"/>
    <w:rsid w:val="00BD587E"/>
    <w:rsid w:val="00BD6113"/>
    <w:rsid w:val="00BD696A"/>
    <w:rsid w:val="00BD6C66"/>
    <w:rsid w:val="00BE36FD"/>
    <w:rsid w:val="00BE3A1C"/>
    <w:rsid w:val="00BE5984"/>
    <w:rsid w:val="00BF0A84"/>
    <w:rsid w:val="00BF0F9C"/>
    <w:rsid w:val="00BF164C"/>
    <w:rsid w:val="00BF20B8"/>
    <w:rsid w:val="00BF2810"/>
    <w:rsid w:val="00BF44B4"/>
    <w:rsid w:val="00BF5F94"/>
    <w:rsid w:val="00BF64FD"/>
    <w:rsid w:val="00BF6565"/>
    <w:rsid w:val="00BF6C1F"/>
    <w:rsid w:val="00BF6DE6"/>
    <w:rsid w:val="00C004E2"/>
    <w:rsid w:val="00C00FF5"/>
    <w:rsid w:val="00C0133B"/>
    <w:rsid w:val="00C01A6F"/>
    <w:rsid w:val="00C02E51"/>
    <w:rsid w:val="00C04B7A"/>
    <w:rsid w:val="00C07104"/>
    <w:rsid w:val="00C076FF"/>
    <w:rsid w:val="00C077FB"/>
    <w:rsid w:val="00C07E86"/>
    <w:rsid w:val="00C116F8"/>
    <w:rsid w:val="00C11A54"/>
    <w:rsid w:val="00C12366"/>
    <w:rsid w:val="00C12C0E"/>
    <w:rsid w:val="00C14531"/>
    <w:rsid w:val="00C14940"/>
    <w:rsid w:val="00C14BDD"/>
    <w:rsid w:val="00C15229"/>
    <w:rsid w:val="00C1589B"/>
    <w:rsid w:val="00C17F4A"/>
    <w:rsid w:val="00C216FC"/>
    <w:rsid w:val="00C21C0B"/>
    <w:rsid w:val="00C220A0"/>
    <w:rsid w:val="00C226A1"/>
    <w:rsid w:val="00C232C0"/>
    <w:rsid w:val="00C23B6D"/>
    <w:rsid w:val="00C2518B"/>
    <w:rsid w:val="00C2587C"/>
    <w:rsid w:val="00C263F0"/>
    <w:rsid w:val="00C26610"/>
    <w:rsid w:val="00C26C1D"/>
    <w:rsid w:val="00C306C9"/>
    <w:rsid w:val="00C311D1"/>
    <w:rsid w:val="00C3350B"/>
    <w:rsid w:val="00C35894"/>
    <w:rsid w:val="00C35D6A"/>
    <w:rsid w:val="00C375E9"/>
    <w:rsid w:val="00C37A71"/>
    <w:rsid w:val="00C435D7"/>
    <w:rsid w:val="00C45919"/>
    <w:rsid w:val="00C477D7"/>
    <w:rsid w:val="00C508E1"/>
    <w:rsid w:val="00C53E72"/>
    <w:rsid w:val="00C53F9E"/>
    <w:rsid w:val="00C55AD7"/>
    <w:rsid w:val="00C5644C"/>
    <w:rsid w:val="00C568E6"/>
    <w:rsid w:val="00C5746F"/>
    <w:rsid w:val="00C57547"/>
    <w:rsid w:val="00C602B1"/>
    <w:rsid w:val="00C61371"/>
    <w:rsid w:val="00C62F66"/>
    <w:rsid w:val="00C65837"/>
    <w:rsid w:val="00C66AC2"/>
    <w:rsid w:val="00C7052E"/>
    <w:rsid w:val="00C717F1"/>
    <w:rsid w:val="00C72302"/>
    <w:rsid w:val="00C723C7"/>
    <w:rsid w:val="00C72D88"/>
    <w:rsid w:val="00C72EAA"/>
    <w:rsid w:val="00C739B7"/>
    <w:rsid w:val="00C73F83"/>
    <w:rsid w:val="00C740E8"/>
    <w:rsid w:val="00C75248"/>
    <w:rsid w:val="00C769BA"/>
    <w:rsid w:val="00C77DE2"/>
    <w:rsid w:val="00C80687"/>
    <w:rsid w:val="00C80723"/>
    <w:rsid w:val="00C81A5C"/>
    <w:rsid w:val="00C81E70"/>
    <w:rsid w:val="00C824AE"/>
    <w:rsid w:val="00C82D18"/>
    <w:rsid w:val="00C85429"/>
    <w:rsid w:val="00C86C86"/>
    <w:rsid w:val="00C90228"/>
    <w:rsid w:val="00C93520"/>
    <w:rsid w:val="00C93873"/>
    <w:rsid w:val="00C939F7"/>
    <w:rsid w:val="00C93C0E"/>
    <w:rsid w:val="00C94081"/>
    <w:rsid w:val="00C94BF6"/>
    <w:rsid w:val="00C95449"/>
    <w:rsid w:val="00C956B3"/>
    <w:rsid w:val="00C95796"/>
    <w:rsid w:val="00C95E2B"/>
    <w:rsid w:val="00C95EE6"/>
    <w:rsid w:val="00C96310"/>
    <w:rsid w:val="00CA07F2"/>
    <w:rsid w:val="00CA08FB"/>
    <w:rsid w:val="00CA2EB6"/>
    <w:rsid w:val="00CA3A33"/>
    <w:rsid w:val="00CA40A8"/>
    <w:rsid w:val="00CA4285"/>
    <w:rsid w:val="00CA6421"/>
    <w:rsid w:val="00CA6A1C"/>
    <w:rsid w:val="00CA6BD1"/>
    <w:rsid w:val="00CA70B0"/>
    <w:rsid w:val="00CA7CC1"/>
    <w:rsid w:val="00CB03C5"/>
    <w:rsid w:val="00CB1A88"/>
    <w:rsid w:val="00CB1E93"/>
    <w:rsid w:val="00CB413C"/>
    <w:rsid w:val="00CB531C"/>
    <w:rsid w:val="00CB6145"/>
    <w:rsid w:val="00CC0216"/>
    <w:rsid w:val="00CC4F7F"/>
    <w:rsid w:val="00CC5878"/>
    <w:rsid w:val="00CC69C9"/>
    <w:rsid w:val="00CC6A02"/>
    <w:rsid w:val="00CC6E77"/>
    <w:rsid w:val="00CD1B54"/>
    <w:rsid w:val="00CD3891"/>
    <w:rsid w:val="00CD3B64"/>
    <w:rsid w:val="00CD430F"/>
    <w:rsid w:val="00CD53EE"/>
    <w:rsid w:val="00CD574E"/>
    <w:rsid w:val="00CD5A55"/>
    <w:rsid w:val="00CD62A5"/>
    <w:rsid w:val="00CD65B9"/>
    <w:rsid w:val="00CD7C8F"/>
    <w:rsid w:val="00CD7D93"/>
    <w:rsid w:val="00CD7F07"/>
    <w:rsid w:val="00CE07A2"/>
    <w:rsid w:val="00CE136F"/>
    <w:rsid w:val="00CE15D9"/>
    <w:rsid w:val="00CE18F1"/>
    <w:rsid w:val="00CE22FE"/>
    <w:rsid w:val="00CE2D9B"/>
    <w:rsid w:val="00CE3983"/>
    <w:rsid w:val="00CE4DA1"/>
    <w:rsid w:val="00CE4E5F"/>
    <w:rsid w:val="00CE4EC5"/>
    <w:rsid w:val="00CE5A57"/>
    <w:rsid w:val="00CE5F15"/>
    <w:rsid w:val="00CE6E66"/>
    <w:rsid w:val="00CF0F5A"/>
    <w:rsid w:val="00CF35DD"/>
    <w:rsid w:val="00CF42E1"/>
    <w:rsid w:val="00CF4381"/>
    <w:rsid w:val="00CF49D4"/>
    <w:rsid w:val="00CF4E2A"/>
    <w:rsid w:val="00CF525B"/>
    <w:rsid w:val="00CF5D12"/>
    <w:rsid w:val="00CF5E4B"/>
    <w:rsid w:val="00CF768E"/>
    <w:rsid w:val="00CF76DB"/>
    <w:rsid w:val="00D006CA"/>
    <w:rsid w:val="00D0220B"/>
    <w:rsid w:val="00D02CC6"/>
    <w:rsid w:val="00D0423B"/>
    <w:rsid w:val="00D053A9"/>
    <w:rsid w:val="00D057A5"/>
    <w:rsid w:val="00D06E2A"/>
    <w:rsid w:val="00D06EE8"/>
    <w:rsid w:val="00D074D7"/>
    <w:rsid w:val="00D075A0"/>
    <w:rsid w:val="00D07F1F"/>
    <w:rsid w:val="00D1098B"/>
    <w:rsid w:val="00D13655"/>
    <w:rsid w:val="00D1426F"/>
    <w:rsid w:val="00D15A1B"/>
    <w:rsid w:val="00D15D6D"/>
    <w:rsid w:val="00D16873"/>
    <w:rsid w:val="00D210A2"/>
    <w:rsid w:val="00D255B4"/>
    <w:rsid w:val="00D26284"/>
    <w:rsid w:val="00D26B15"/>
    <w:rsid w:val="00D26C54"/>
    <w:rsid w:val="00D278BC"/>
    <w:rsid w:val="00D27A33"/>
    <w:rsid w:val="00D27F05"/>
    <w:rsid w:val="00D30DAB"/>
    <w:rsid w:val="00D315CD"/>
    <w:rsid w:val="00D31F7A"/>
    <w:rsid w:val="00D32346"/>
    <w:rsid w:val="00D32FEB"/>
    <w:rsid w:val="00D341ED"/>
    <w:rsid w:val="00D347CD"/>
    <w:rsid w:val="00D34E5C"/>
    <w:rsid w:val="00D35FB3"/>
    <w:rsid w:val="00D36F58"/>
    <w:rsid w:val="00D37865"/>
    <w:rsid w:val="00D40F2C"/>
    <w:rsid w:val="00D41829"/>
    <w:rsid w:val="00D42567"/>
    <w:rsid w:val="00D45430"/>
    <w:rsid w:val="00D45983"/>
    <w:rsid w:val="00D4656B"/>
    <w:rsid w:val="00D518A3"/>
    <w:rsid w:val="00D519C9"/>
    <w:rsid w:val="00D51DF1"/>
    <w:rsid w:val="00D53B47"/>
    <w:rsid w:val="00D53DC2"/>
    <w:rsid w:val="00D55BD8"/>
    <w:rsid w:val="00D56620"/>
    <w:rsid w:val="00D614D4"/>
    <w:rsid w:val="00D618B5"/>
    <w:rsid w:val="00D630DB"/>
    <w:rsid w:val="00D6430D"/>
    <w:rsid w:val="00D64BEA"/>
    <w:rsid w:val="00D64E56"/>
    <w:rsid w:val="00D656C0"/>
    <w:rsid w:val="00D65C2A"/>
    <w:rsid w:val="00D671BD"/>
    <w:rsid w:val="00D6738A"/>
    <w:rsid w:val="00D700DB"/>
    <w:rsid w:val="00D709E1"/>
    <w:rsid w:val="00D709ED"/>
    <w:rsid w:val="00D7214D"/>
    <w:rsid w:val="00D7552B"/>
    <w:rsid w:val="00D75823"/>
    <w:rsid w:val="00D7628F"/>
    <w:rsid w:val="00D77715"/>
    <w:rsid w:val="00D81BBB"/>
    <w:rsid w:val="00D833F0"/>
    <w:rsid w:val="00D84281"/>
    <w:rsid w:val="00D842CE"/>
    <w:rsid w:val="00D8475F"/>
    <w:rsid w:val="00D863EC"/>
    <w:rsid w:val="00D8654E"/>
    <w:rsid w:val="00D871B5"/>
    <w:rsid w:val="00D87C27"/>
    <w:rsid w:val="00D87E70"/>
    <w:rsid w:val="00D90DC6"/>
    <w:rsid w:val="00D91EA0"/>
    <w:rsid w:val="00D932DD"/>
    <w:rsid w:val="00D93CDC"/>
    <w:rsid w:val="00D94741"/>
    <w:rsid w:val="00D94878"/>
    <w:rsid w:val="00D94938"/>
    <w:rsid w:val="00D9516C"/>
    <w:rsid w:val="00D95D7B"/>
    <w:rsid w:val="00D96964"/>
    <w:rsid w:val="00D96CE0"/>
    <w:rsid w:val="00D97607"/>
    <w:rsid w:val="00D97871"/>
    <w:rsid w:val="00DA06C7"/>
    <w:rsid w:val="00DA2800"/>
    <w:rsid w:val="00DA4A38"/>
    <w:rsid w:val="00DA747F"/>
    <w:rsid w:val="00DB15F8"/>
    <w:rsid w:val="00DB29D7"/>
    <w:rsid w:val="00DB2DC0"/>
    <w:rsid w:val="00DB450F"/>
    <w:rsid w:val="00DB45C4"/>
    <w:rsid w:val="00DB52D9"/>
    <w:rsid w:val="00DC20D9"/>
    <w:rsid w:val="00DC3DE1"/>
    <w:rsid w:val="00DC70D3"/>
    <w:rsid w:val="00DC752D"/>
    <w:rsid w:val="00DC79BF"/>
    <w:rsid w:val="00DD253E"/>
    <w:rsid w:val="00DD27C6"/>
    <w:rsid w:val="00DD5569"/>
    <w:rsid w:val="00DD73ED"/>
    <w:rsid w:val="00DD7A97"/>
    <w:rsid w:val="00DD7DD7"/>
    <w:rsid w:val="00DF103A"/>
    <w:rsid w:val="00DF10F5"/>
    <w:rsid w:val="00DF1F2F"/>
    <w:rsid w:val="00DF2E4D"/>
    <w:rsid w:val="00DF3751"/>
    <w:rsid w:val="00DF6BDF"/>
    <w:rsid w:val="00DF73CB"/>
    <w:rsid w:val="00DF7979"/>
    <w:rsid w:val="00E00BCA"/>
    <w:rsid w:val="00E02938"/>
    <w:rsid w:val="00E068DC"/>
    <w:rsid w:val="00E06F58"/>
    <w:rsid w:val="00E07412"/>
    <w:rsid w:val="00E12241"/>
    <w:rsid w:val="00E13A96"/>
    <w:rsid w:val="00E14B82"/>
    <w:rsid w:val="00E1739C"/>
    <w:rsid w:val="00E17A7C"/>
    <w:rsid w:val="00E20474"/>
    <w:rsid w:val="00E20821"/>
    <w:rsid w:val="00E21CFD"/>
    <w:rsid w:val="00E2459E"/>
    <w:rsid w:val="00E24627"/>
    <w:rsid w:val="00E27419"/>
    <w:rsid w:val="00E30412"/>
    <w:rsid w:val="00E308E8"/>
    <w:rsid w:val="00E3125C"/>
    <w:rsid w:val="00E332D1"/>
    <w:rsid w:val="00E33E3D"/>
    <w:rsid w:val="00E35A58"/>
    <w:rsid w:val="00E3600A"/>
    <w:rsid w:val="00E37306"/>
    <w:rsid w:val="00E379B8"/>
    <w:rsid w:val="00E37CA7"/>
    <w:rsid w:val="00E37D3F"/>
    <w:rsid w:val="00E40713"/>
    <w:rsid w:val="00E41DAE"/>
    <w:rsid w:val="00E41EC4"/>
    <w:rsid w:val="00E4211C"/>
    <w:rsid w:val="00E43F11"/>
    <w:rsid w:val="00E44A38"/>
    <w:rsid w:val="00E45773"/>
    <w:rsid w:val="00E465A6"/>
    <w:rsid w:val="00E46632"/>
    <w:rsid w:val="00E500AE"/>
    <w:rsid w:val="00E50A86"/>
    <w:rsid w:val="00E513E7"/>
    <w:rsid w:val="00E51A52"/>
    <w:rsid w:val="00E53758"/>
    <w:rsid w:val="00E54011"/>
    <w:rsid w:val="00E54BBD"/>
    <w:rsid w:val="00E54CF6"/>
    <w:rsid w:val="00E55441"/>
    <w:rsid w:val="00E558B0"/>
    <w:rsid w:val="00E56CC8"/>
    <w:rsid w:val="00E573BB"/>
    <w:rsid w:val="00E6017B"/>
    <w:rsid w:val="00E601B3"/>
    <w:rsid w:val="00E61723"/>
    <w:rsid w:val="00E61A14"/>
    <w:rsid w:val="00E61DDB"/>
    <w:rsid w:val="00E61F87"/>
    <w:rsid w:val="00E6231A"/>
    <w:rsid w:val="00E62345"/>
    <w:rsid w:val="00E62360"/>
    <w:rsid w:val="00E62798"/>
    <w:rsid w:val="00E64476"/>
    <w:rsid w:val="00E64759"/>
    <w:rsid w:val="00E64C4E"/>
    <w:rsid w:val="00E652D4"/>
    <w:rsid w:val="00E703B9"/>
    <w:rsid w:val="00E70FBD"/>
    <w:rsid w:val="00E728D5"/>
    <w:rsid w:val="00E72DC5"/>
    <w:rsid w:val="00E7329F"/>
    <w:rsid w:val="00E73601"/>
    <w:rsid w:val="00E73D47"/>
    <w:rsid w:val="00E74586"/>
    <w:rsid w:val="00E757EB"/>
    <w:rsid w:val="00E76CEC"/>
    <w:rsid w:val="00E7788A"/>
    <w:rsid w:val="00E8034D"/>
    <w:rsid w:val="00E81213"/>
    <w:rsid w:val="00E82094"/>
    <w:rsid w:val="00E8255F"/>
    <w:rsid w:val="00E828DC"/>
    <w:rsid w:val="00E82C47"/>
    <w:rsid w:val="00E835B1"/>
    <w:rsid w:val="00E84ACD"/>
    <w:rsid w:val="00E85D0D"/>
    <w:rsid w:val="00E86508"/>
    <w:rsid w:val="00E868F7"/>
    <w:rsid w:val="00E86A34"/>
    <w:rsid w:val="00E87AAB"/>
    <w:rsid w:val="00E87D23"/>
    <w:rsid w:val="00E90859"/>
    <w:rsid w:val="00E90E07"/>
    <w:rsid w:val="00E9270E"/>
    <w:rsid w:val="00E92C39"/>
    <w:rsid w:val="00E93828"/>
    <w:rsid w:val="00E9439C"/>
    <w:rsid w:val="00E96E53"/>
    <w:rsid w:val="00E97BD3"/>
    <w:rsid w:val="00EA04A8"/>
    <w:rsid w:val="00EA1FE8"/>
    <w:rsid w:val="00EA284B"/>
    <w:rsid w:val="00EA3147"/>
    <w:rsid w:val="00EA38D8"/>
    <w:rsid w:val="00EA3E36"/>
    <w:rsid w:val="00EA5D48"/>
    <w:rsid w:val="00EA5DA6"/>
    <w:rsid w:val="00EB068B"/>
    <w:rsid w:val="00EB15EB"/>
    <w:rsid w:val="00EB2ADB"/>
    <w:rsid w:val="00EB33D4"/>
    <w:rsid w:val="00EB3D77"/>
    <w:rsid w:val="00EB4C62"/>
    <w:rsid w:val="00EB5078"/>
    <w:rsid w:val="00EB57B4"/>
    <w:rsid w:val="00EB5F14"/>
    <w:rsid w:val="00EB74D7"/>
    <w:rsid w:val="00EB76ED"/>
    <w:rsid w:val="00EC0AFC"/>
    <w:rsid w:val="00EC12A1"/>
    <w:rsid w:val="00EC250F"/>
    <w:rsid w:val="00EC3325"/>
    <w:rsid w:val="00EC3A1F"/>
    <w:rsid w:val="00EC59C5"/>
    <w:rsid w:val="00ED07E5"/>
    <w:rsid w:val="00ED123C"/>
    <w:rsid w:val="00ED141E"/>
    <w:rsid w:val="00ED181D"/>
    <w:rsid w:val="00ED2DA5"/>
    <w:rsid w:val="00ED2EB0"/>
    <w:rsid w:val="00ED381F"/>
    <w:rsid w:val="00ED41AC"/>
    <w:rsid w:val="00ED4941"/>
    <w:rsid w:val="00ED6140"/>
    <w:rsid w:val="00ED6B46"/>
    <w:rsid w:val="00ED6FA6"/>
    <w:rsid w:val="00ED7030"/>
    <w:rsid w:val="00ED72E7"/>
    <w:rsid w:val="00EE25D8"/>
    <w:rsid w:val="00EE2620"/>
    <w:rsid w:val="00EE2DE6"/>
    <w:rsid w:val="00EE3068"/>
    <w:rsid w:val="00EE4AF6"/>
    <w:rsid w:val="00EE5AAD"/>
    <w:rsid w:val="00EE644B"/>
    <w:rsid w:val="00EE6C2F"/>
    <w:rsid w:val="00EE7F1F"/>
    <w:rsid w:val="00EF2A23"/>
    <w:rsid w:val="00EF3B25"/>
    <w:rsid w:val="00EF5578"/>
    <w:rsid w:val="00EF5A48"/>
    <w:rsid w:val="00EF7FC8"/>
    <w:rsid w:val="00F002F6"/>
    <w:rsid w:val="00F003EE"/>
    <w:rsid w:val="00F00867"/>
    <w:rsid w:val="00F01BB2"/>
    <w:rsid w:val="00F04894"/>
    <w:rsid w:val="00F06063"/>
    <w:rsid w:val="00F0634F"/>
    <w:rsid w:val="00F065DC"/>
    <w:rsid w:val="00F06629"/>
    <w:rsid w:val="00F11DC0"/>
    <w:rsid w:val="00F12F9B"/>
    <w:rsid w:val="00F13FCA"/>
    <w:rsid w:val="00F140DA"/>
    <w:rsid w:val="00F14D0F"/>
    <w:rsid w:val="00F155BA"/>
    <w:rsid w:val="00F15639"/>
    <w:rsid w:val="00F176A5"/>
    <w:rsid w:val="00F20623"/>
    <w:rsid w:val="00F20AF0"/>
    <w:rsid w:val="00F21368"/>
    <w:rsid w:val="00F2281B"/>
    <w:rsid w:val="00F24B1A"/>
    <w:rsid w:val="00F26090"/>
    <w:rsid w:val="00F27826"/>
    <w:rsid w:val="00F27C9D"/>
    <w:rsid w:val="00F31366"/>
    <w:rsid w:val="00F3204B"/>
    <w:rsid w:val="00F323A2"/>
    <w:rsid w:val="00F33ECC"/>
    <w:rsid w:val="00F3478D"/>
    <w:rsid w:val="00F34E69"/>
    <w:rsid w:val="00F36003"/>
    <w:rsid w:val="00F36CC5"/>
    <w:rsid w:val="00F37137"/>
    <w:rsid w:val="00F378B8"/>
    <w:rsid w:val="00F420A3"/>
    <w:rsid w:val="00F426C4"/>
    <w:rsid w:val="00F43734"/>
    <w:rsid w:val="00F43D26"/>
    <w:rsid w:val="00F46AB3"/>
    <w:rsid w:val="00F47D89"/>
    <w:rsid w:val="00F535FD"/>
    <w:rsid w:val="00F53739"/>
    <w:rsid w:val="00F5462B"/>
    <w:rsid w:val="00F549DB"/>
    <w:rsid w:val="00F54A15"/>
    <w:rsid w:val="00F555BF"/>
    <w:rsid w:val="00F558C8"/>
    <w:rsid w:val="00F5614B"/>
    <w:rsid w:val="00F56748"/>
    <w:rsid w:val="00F57104"/>
    <w:rsid w:val="00F574B6"/>
    <w:rsid w:val="00F5796D"/>
    <w:rsid w:val="00F57C6F"/>
    <w:rsid w:val="00F60FCD"/>
    <w:rsid w:val="00F6104F"/>
    <w:rsid w:val="00F63281"/>
    <w:rsid w:val="00F65375"/>
    <w:rsid w:val="00F662DB"/>
    <w:rsid w:val="00F66CD8"/>
    <w:rsid w:val="00F67192"/>
    <w:rsid w:val="00F675AB"/>
    <w:rsid w:val="00F7358E"/>
    <w:rsid w:val="00F73D4B"/>
    <w:rsid w:val="00F74242"/>
    <w:rsid w:val="00F756EF"/>
    <w:rsid w:val="00F76C31"/>
    <w:rsid w:val="00F7767C"/>
    <w:rsid w:val="00F77C14"/>
    <w:rsid w:val="00F80526"/>
    <w:rsid w:val="00F80A7F"/>
    <w:rsid w:val="00F81AC5"/>
    <w:rsid w:val="00F824B5"/>
    <w:rsid w:val="00F826E7"/>
    <w:rsid w:val="00F832BC"/>
    <w:rsid w:val="00F84E8A"/>
    <w:rsid w:val="00F86621"/>
    <w:rsid w:val="00F86781"/>
    <w:rsid w:val="00F867CA"/>
    <w:rsid w:val="00F904BD"/>
    <w:rsid w:val="00F90FD1"/>
    <w:rsid w:val="00F9122F"/>
    <w:rsid w:val="00F9168F"/>
    <w:rsid w:val="00F92E61"/>
    <w:rsid w:val="00F93762"/>
    <w:rsid w:val="00F94E7B"/>
    <w:rsid w:val="00F96419"/>
    <w:rsid w:val="00FA31F9"/>
    <w:rsid w:val="00FA45D0"/>
    <w:rsid w:val="00FA6FBB"/>
    <w:rsid w:val="00FA7998"/>
    <w:rsid w:val="00FB01FB"/>
    <w:rsid w:val="00FB0435"/>
    <w:rsid w:val="00FB3D3A"/>
    <w:rsid w:val="00FB438D"/>
    <w:rsid w:val="00FB539B"/>
    <w:rsid w:val="00FB7041"/>
    <w:rsid w:val="00FC0F42"/>
    <w:rsid w:val="00FC23A9"/>
    <w:rsid w:val="00FC3E88"/>
    <w:rsid w:val="00FC4092"/>
    <w:rsid w:val="00FC7342"/>
    <w:rsid w:val="00FD08A2"/>
    <w:rsid w:val="00FD335C"/>
    <w:rsid w:val="00FD3D6E"/>
    <w:rsid w:val="00FD423D"/>
    <w:rsid w:val="00FD4D0B"/>
    <w:rsid w:val="00FD61C0"/>
    <w:rsid w:val="00FD6872"/>
    <w:rsid w:val="00FD72BC"/>
    <w:rsid w:val="00FE09AE"/>
    <w:rsid w:val="00FE2379"/>
    <w:rsid w:val="00FE3232"/>
    <w:rsid w:val="00FE5EFF"/>
    <w:rsid w:val="00FE72C5"/>
    <w:rsid w:val="00FE7362"/>
    <w:rsid w:val="00FF1AFD"/>
    <w:rsid w:val="00FF1D0D"/>
    <w:rsid w:val="00FF2406"/>
    <w:rsid w:val="00FF2A55"/>
    <w:rsid w:val="00FF3241"/>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8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04"/>
    <w:pPr>
      <w:ind w:left="720"/>
      <w:contextualSpacing/>
    </w:pPr>
  </w:style>
  <w:style w:type="table" w:styleId="TableGrid">
    <w:name w:val="Table Grid"/>
    <w:basedOn w:val="TableNormal"/>
    <w:uiPriority w:val="59"/>
    <w:rsid w:val="0053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043"/>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043"/>
    <w:rPr>
      <w:rFonts w:ascii="Lucida Grande" w:hAnsi="Lucida Grande"/>
      <w:sz w:val="18"/>
      <w:szCs w:val="18"/>
      <w:lang w:val="en-GB"/>
    </w:rPr>
  </w:style>
  <w:style w:type="paragraph" w:customStyle="1" w:styleId="Default">
    <w:name w:val="Default"/>
    <w:rsid w:val="00182D77"/>
    <w:pPr>
      <w:widowControl w:val="0"/>
      <w:autoSpaceDE w:val="0"/>
      <w:autoSpaceDN w:val="0"/>
      <w:adjustRightInd w:val="0"/>
    </w:pPr>
    <w:rPr>
      <w:rFonts w:ascii="Verdana" w:hAnsi="Verdana" w:cs="Verdana"/>
      <w:color w:val="000000"/>
    </w:rPr>
  </w:style>
  <w:style w:type="paragraph" w:styleId="NormalWeb">
    <w:name w:val="Normal (Web)"/>
    <w:basedOn w:val="Normal"/>
    <w:uiPriority w:val="99"/>
    <w:unhideWhenUsed/>
    <w:rsid w:val="009B01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01D6"/>
    <w:rPr>
      <w:color w:val="0000FF" w:themeColor="hyperlink"/>
      <w:u w:val="single"/>
    </w:rPr>
  </w:style>
  <w:style w:type="character" w:styleId="CommentReference">
    <w:name w:val="annotation reference"/>
    <w:basedOn w:val="DefaultParagraphFont"/>
    <w:uiPriority w:val="99"/>
    <w:semiHidden/>
    <w:unhideWhenUsed/>
    <w:rsid w:val="006C7B86"/>
    <w:rPr>
      <w:sz w:val="16"/>
      <w:szCs w:val="16"/>
    </w:rPr>
  </w:style>
  <w:style w:type="paragraph" w:styleId="CommentText">
    <w:name w:val="annotation text"/>
    <w:basedOn w:val="Normal"/>
    <w:link w:val="CommentTextChar"/>
    <w:uiPriority w:val="99"/>
    <w:semiHidden/>
    <w:unhideWhenUsed/>
    <w:rsid w:val="006C7B86"/>
    <w:rPr>
      <w:sz w:val="20"/>
      <w:szCs w:val="20"/>
    </w:rPr>
  </w:style>
  <w:style w:type="character" w:customStyle="1" w:styleId="CommentTextChar">
    <w:name w:val="Comment Text Char"/>
    <w:basedOn w:val="DefaultParagraphFont"/>
    <w:link w:val="CommentText"/>
    <w:uiPriority w:val="99"/>
    <w:semiHidden/>
    <w:rsid w:val="006C7B86"/>
    <w:rPr>
      <w:sz w:val="20"/>
      <w:szCs w:val="20"/>
      <w:lang w:val="en-GB"/>
    </w:rPr>
  </w:style>
  <w:style w:type="paragraph" w:styleId="CommentSubject">
    <w:name w:val="annotation subject"/>
    <w:basedOn w:val="CommentText"/>
    <w:next w:val="CommentText"/>
    <w:link w:val="CommentSubjectChar"/>
    <w:uiPriority w:val="99"/>
    <w:semiHidden/>
    <w:unhideWhenUsed/>
    <w:rsid w:val="006C7B86"/>
    <w:rPr>
      <w:b/>
      <w:bCs/>
    </w:rPr>
  </w:style>
  <w:style w:type="character" w:customStyle="1" w:styleId="CommentSubjectChar">
    <w:name w:val="Comment Subject Char"/>
    <w:basedOn w:val="CommentTextChar"/>
    <w:link w:val="CommentSubject"/>
    <w:uiPriority w:val="99"/>
    <w:semiHidden/>
    <w:rsid w:val="006C7B86"/>
    <w:rPr>
      <w:b/>
      <w:bCs/>
      <w:sz w:val="20"/>
      <w:szCs w:val="20"/>
      <w:lang w:val="en-GB"/>
    </w:rPr>
  </w:style>
  <w:style w:type="character" w:styleId="FollowedHyperlink">
    <w:name w:val="FollowedHyperlink"/>
    <w:basedOn w:val="DefaultParagraphFont"/>
    <w:uiPriority w:val="99"/>
    <w:semiHidden/>
    <w:unhideWhenUsed/>
    <w:rsid w:val="005C08EA"/>
    <w:rPr>
      <w:color w:val="800080" w:themeColor="followedHyperlink"/>
      <w:u w:val="single"/>
    </w:rPr>
  </w:style>
  <w:style w:type="paragraph" w:styleId="Footer">
    <w:name w:val="footer"/>
    <w:basedOn w:val="Normal"/>
    <w:link w:val="FooterChar"/>
    <w:uiPriority w:val="99"/>
    <w:unhideWhenUsed/>
    <w:rsid w:val="004122A0"/>
    <w:pPr>
      <w:tabs>
        <w:tab w:val="center" w:pos="4320"/>
        <w:tab w:val="right" w:pos="8640"/>
      </w:tabs>
    </w:pPr>
  </w:style>
  <w:style w:type="character" w:customStyle="1" w:styleId="FooterChar">
    <w:name w:val="Footer Char"/>
    <w:basedOn w:val="DefaultParagraphFont"/>
    <w:link w:val="Footer"/>
    <w:uiPriority w:val="99"/>
    <w:rsid w:val="004122A0"/>
    <w:rPr>
      <w:lang w:val="en-GB"/>
    </w:rPr>
  </w:style>
  <w:style w:type="character" w:styleId="PageNumber">
    <w:name w:val="page number"/>
    <w:basedOn w:val="DefaultParagraphFont"/>
    <w:uiPriority w:val="99"/>
    <w:semiHidden/>
    <w:unhideWhenUsed/>
    <w:rsid w:val="004122A0"/>
  </w:style>
  <w:style w:type="character" w:styleId="LineNumber">
    <w:name w:val="line number"/>
    <w:basedOn w:val="DefaultParagraphFont"/>
    <w:uiPriority w:val="99"/>
    <w:semiHidden/>
    <w:unhideWhenUsed/>
    <w:rsid w:val="004122A0"/>
  </w:style>
  <w:style w:type="paragraph" w:styleId="Revision">
    <w:name w:val="Revision"/>
    <w:hidden/>
    <w:uiPriority w:val="99"/>
    <w:semiHidden/>
    <w:rsid w:val="00C216F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04"/>
    <w:pPr>
      <w:ind w:left="720"/>
      <w:contextualSpacing/>
    </w:pPr>
  </w:style>
  <w:style w:type="table" w:styleId="TableGrid">
    <w:name w:val="Table Grid"/>
    <w:basedOn w:val="TableNormal"/>
    <w:uiPriority w:val="59"/>
    <w:rsid w:val="0053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043"/>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043"/>
    <w:rPr>
      <w:rFonts w:ascii="Lucida Grande" w:hAnsi="Lucida Grande"/>
      <w:sz w:val="18"/>
      <w:szCs w:val="18"/>
      <w:lang w:val="en-GB"/>
    </w:rPr>
  </w:style>
  <w:style w:type="paragraph" w:customStyle="1" w:styleId="Default">
    <w:name w:val="Default"/>
    <w:rsid w:val="00182D77"/>
    <w:pPr>
      <w:widowControl w:val="0"/>
      <w:autoSpaceDE w:val="0"/>
      <w:autoSpaceDN w:val="0"/>
      <w:adjustRightInd w:val="0"/>
    </w:pPr>
    <w:rPr>
      <w:rFonts w:ascii="Verdana" w:hAnsi="Verdana" w:cs="Verdana"/>
      <w:color w:val="000000"/>
    </w:rPr>
  </w:style>
  <w:style w:type="paragraph" w:styleId="NormalWeb">
    <w:name w:val="Normal (Web)"/>
    <w:basedOn w:val="Normal"/>
    <w:uiPriority w:val="99"/>
    <w:unhideWhenUsed/>
    <w:rsid w:val="009B01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01D6"/>
    <w:rPr>
      <w:color w:val="0000FF" w:themeColor="hyperlink"/>
      <w:u w:val="single"/>
    </w:rPr>
  </w:style>
  <w:style w:type="character" w:styleId="CommentReference">
    <w:name w:val="annotation reference"/>
    <w:basedOn w:val="DefaultParagraphFont"/>
    <w:uiPriority w:val="99"/>
    <w:semiHidden/>
    <w:unhideWhenUsed/>
    <w:rsid w:val="006C7B86"/>
    <w:rPr>
      <w:sz w:val="16"/>
      <w:szCs w:val="16"/>
    </w:rPr>
  </w:style>
  <w:style w:type="paragraph" w:styleId="CommentText">
    <w:name w:val="annotation text"/>
    <w:basedOn w:val="Normal"/>
    <w:link w:val="CommentTextChar"/>
    <w:uiPriority w:val="99"/>
    <w:semiHidden/>
    <w:unhideWhenUsed/>
    <w:rsid w:val="006C7B86"/>
    <w:rPr>
      <w:sz w:val="20"/>
      <w:szCs w:val="20"/>
    </w:rPr>
  </w:style>
  <w:style w:type="character" w:customStyle="1" w:styleId="CommentTextChar">
    <w:name w:val="Comment Text Char"/>
    <w:basedOn w:val="DefaultParagraphFont"/>
    <w:link w:val="CommentText"/>
    <w:uiPriority w:val="99"/>
    <w:semiHidden/>
    <w:rsid w:val="006C7B86"/>
    <w:rPr>
      <w:sz w:val="20"/>
      <w:szCs w:val="20"/>
      <w:lang w:val="en-GB"/>
    </w:rPr>
  </w:style>
  <w:style w:type="paragraph" w:styleId="CommentSubject">
    <w:name w:val="annotation subject"/>
    <w:basedOn w:val="CommentText"/>
    <w:next w:val="CommentText"/>
    <w:link w:val="CommentSubjectChar"/>
    <w:uiPriority w:val="99"/>
    <w:semiHidden/>
    <w:unhideWhenUsed/>
    <w:rsid w:val="006C7B86"/>
    <w:rPr>
      <w:b/>
      <w:bCs/>
    </w:rPr>
  </w:style>
  <w:style w:type="character" w:customStyle="1" w:styleId="CommentSubjectChar">
    <w:name w:val="Comment Subject Char"/>
    <w:basedOn w:val="CommentTextChar"/>
    <w:link w:val="CommentSubject"/>
    <w:uiPriority w:val="99"/>
    <w:semiHidden/>
    <w:rsid w:val="006C7B86"/>
    <w:rPr>
      <w:b/>
      <w:bCs/>
      <w:sz w:val="20"/>
      <w:szCs w:val="20"/>
      <w:lang w:val="en-GB"/>
    </w:rPr>
  </w:style>
  <w:style w:type="character" w:styleId="FollowedHyperlink">
    <w:name w:val="FollowedHyperlink"/>
    <w:basedOn w:val="DefaultParagraphFont"/>
    <w:uiPriority w:val="99"/>
    <w:semiHidden/>
    <w:unhideWhenUsed/>
    <w:rsid w:val="005C08EA"/>
    <w:rPr>
      <w:color w:val="800080" w:themeColor="followedHyperlink"/>
      <w:u w:val="single"/>
    </w:rPr>
  </w:style>
  <w:style w:type="paragraph" w:styleId="Footer">
    <w:name w:val="footer"/>
    <w:basedOn w:val="Normal"/>
    <w:link w:val="FooterChar"/>
    <w:uiPriority w:val="99"/>
    <w:unhideWhenUsed/>
    <w:rsid w:val="004122A0"/>
    <w:pPr>
      <w:tabs>
        <w:tab w:val="center" w:pos="4320"/>
        <w:tab w:val="right" w:pos="8640"/>
      </w:tabs>
    </w:pPr>
  </w:style>
  <w:style w:type="character" w:customStyle="1" w:styleId="FooterChar">
    <w:name w:val="Footer Char"/>
    <w:basedOn w:val="DefaultParagraphFont"/>
    <w:link w:val="Footer"/>
    <w:uiPriority w:val="99"/>
    <w:rsid w:val="004122A0"/>
    <w:rPr>
      <w:lang w:val="en-GB"/>
    </w:rPr>
  </w:style>
  <w:style w:type="character" w:styleId="PageNumber">
    <w:name w:val="page number"/>
    <w:basedOn w:val="DefaultParagraphFont"/>
    <w:uiPriority w:val="99"/>
    <w:semiHidden/>
    <w:unhideWhenUsed/>
    <w:rsid w:val="004122A0"/>
  </w:style>
  <w:style w:type="character" w:styleId="LineNumber">
    <w:name w:val="line number"/>
    <w:basedOn w:val="DefaultParagraphFont"/>
    <w:uiPriority w:val="99"/>
    <w:semiHidden/>
    <w:unhideWhenUsed/>
    <w:rsid w:val="004122A0"/>
  </w:style>
  <w:style w:type="paragraph" w:styleId="Revision">
    <w:name w:val="Revision"/>
    <w:hidden/>
    <w:uiPriority w:val="99"/>
    <w:semiHidden/>
    <w:rsid w:val="00C216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247">
      <w:bodyDiv w:val="1"/>
      <w:marLeft w:val="0"/>
      <w:marRight w:val="0"/>
      <w:marTop w:val="0"/>
      <w:marBottom w:val="0"/>
      <w:divBdr>
        <w:top w:val="none" w:sz="0" w:space="0" w:color="auto"/>
        <w:left w:val="none" w:sz="0" w:space="0" w:color="auto"/>
        <w:bottom w:val="none" w:sz="0" w:space="0" w:color="auto"/>
        <w:right w:val="none" w:sz="0" w:space="0" w:color="auto"/>
      </w:divBdr>
    </w:div>
    <w:div w:id="407388700">
      <w:bodyDiv w:val="1"/>
      <w:marLeft w:val="0"/>
      <w:marRight w:val="0"/>
      <w:marTop w:val="0"/>
      <w:marBottom w:val="0"/>
      <w:divBdr>
        <w:top w:val="none" w:sz="0" w:space="0" w:color="auto"/>
        <w:left w:val="none" w:sz="0" w:space="0" w:color="auto"/>
        <w:bottom w:val="none" w:sz="0" w:space="0" w:color="auto"/>
        <w:right w:val="none" w:sz="0" w:space="0" w:color="auto"/>
      </w:divBdr>
    </w:div>
    <w:div w:id="557014764">
      <w:bodyDiv w:val="1"/>
      <w:marLeft w:val="0"/>
      <w:marRight w:val="0"/>
      <w:marTop w:val="0"/>
      <w:marBottom w:val="0"/>
      <w:divBdr>
        <w:top w:val="none" w:sz="0" w:space="0" w:color="auto"/>
        <w:left w:val="none" w:sz="0" w:space="0" w:color="auto"/>
        <w:bottom w:val="none" w:sz="0" w:space="0" w:color="auto"/>
        <w:right w:val="none" w:sz="0" w:space="0" w:color="auto"/>
      </w:divBdr>
    </w:div>
    <w:div w:id="645400769">
      <w:bodyDiv w:val="1"/>
      <w:marLeft w:val="0"/>
      <w:marRight w:val="0"/>
      <w:marTop w:val="0"/>
      <w:marBottom w:val="0"/>
      <w:divBdr>
        <w:top w:val="none" w:sz="0" w:space="0" w:color="auto"/>
        <w:left w:val="none" w:sz="0" w:space="0" w:color="auto"/>
        <w:bottom w:val="none" w:sz="0" w:space="0" w:color="auto"/>
        <w:right w:val="none" w:sz="0" w:space="0" w:color="auto"/>
      </w:divBdr>
      <w:divsChild>
        <w:div w:id="117839522">
          <w:marLeft w:val="0"/>
          <w:marRight w:val="0"/>
          <w:marTop w:val="0"/>
          <w:marBottom w:val="0"/>
          <w:divBdr>
            <w:top w:val="none" w:sz="0" w:space="0" w:color="auto"/>
            <w:left w:val="none" w:sz="0" w:space="0" w:color="auto"/>
            <w:bottom w:val="none" w:sz="0" w:space="0" w:color="auto"/>
            <w:right w:val="none" w:sz="0" w:space="0" w:color="auto"/>
          </w:divBdr>
          <w:divsChild>
            <w:div w:id="1113548999">
              <w:marLeft w:val="0"/>
              <w:marRight w:val="0"/>
              <w:marTop w:val="0"/>
              <w:marBottom w:val="0"/>
              <w:divBdr>
                <w:top w:val="none" w:sz="0" w:space="0" w:color="auto"/>
                <w:left w:val="none" w:sz="0" w:space="0" w:color="auto"/>
                <w:bottom w:val="none" w:sz="0" w:space="0" w:color="auto"/>
                <w:right w:val="none" w:sz="0" w:space="0" w:color="auto"/>
              </w:divBdr>
              <w:divsChild>
                <w:div w:id="115414625">
                  <w:marLeft w:val="0"/>
                  <w:marRight w:val="0"/>
                  <w:marTop w:val="0"/>
                  <w:marBottom w:val="0"/>
                  <w:divBdr>
                    <w:top w:val="none" w:sz="0" w:space="0" w:color="auto"/>
                    <w:left w:val="none" w:sz="0" w:space="0" w:color="auto"/>
                    <w:bottom w:val="none" w:sz="0" w:space="0" w:color="auto"/>
                    <w:right w:val="none" w:sz="0" w:space="0" w:color="auto"/>
                  </w:divBdr>
                  <w:divsChild>
                    <w:div w:id="876625037">
                      <w:marLeft w:val="0"/>
                      <w:marRight w:val="0"/>
                      <w:marTop w:val="0"/>
                      <w:marBottom w:val="0"/>
                      <w:divBdr>
                        <w:top w:val="none" w:sz="0" w:space="0" w:color="auto"/>
                        <w:left w:val="none" w:sz="0" w:space="0" w:color="auto"/>
                        <w:bottom w:val="none" w:sz="0" w:space="0" w:color="auto"/>
                        <w:right w:val="none" w:sz="0" w:space="0" w:color="auto"/>
                      </w:divBdr>
                      <w:divsChild>
                        <w:div w:id="171072174">
                          <w:marLeft w:val="0"/>
                          <w:marRight w:val="0"/>
                          <w:marTop w:val="0"/>
                          <w:marBottom w:val="0"/>
                          <w:divBdr>
                            <w:top w:val="none" w:sz="0" w:space="0" w:color="auto"/>
                            <w:left w:val="none" w:sz="0" w:space="0" w:color="auto"/>
                            <w:bottom w:val="none" w:sz="0" w:space="0" w:color="auto"/>
                            <w:right w:val="none" w:sz="0" w:space="0" w:color="auto"/>
                          </w:divBdr>
                          <w:divsChild>
                            <w:div w:id="808740313">
                              <w:marLeft w:val="0"/>
                              <w:marRight w:val="0"/>
                              <w:marTop w:val="0"/>
                              <w:marBottom w:val="0"/>
                              <w:divBdr>
                                <w:top w:val="none" w:sz="0" w:space="0" w:color="auto"/>
                                <w:left w:val="none" w:sz="0" w:space="0" w:color="auto"/>
                                <w:bottom w:val="none" w:sz="0" w:space="0" w:color="auto"/>
                                <w:right w:val="none" w:sz="0" w:space="0" w:color="auto"/>
                              </w:divBdr>
                              <w:divsChild>
                                <w:div w:id="770391613">
                                  <w:marLeft w:val="0"/>
                                  <w:marRight w:val="0"/>
                                  <w:marTop w:val="0"/>
                                  <w:marBottom w:val="0"/>
                                  <w:divBdr>
                                    <w:top w:val="none" w:sz="0" w:space="0" w:color="auto"/>
                                    <w:left w:val="none" w:sz="0" w:space="0" w:color="auto"/>
                                    <w:bottom w:val="none" w:sz="0" w:space="0" w:color="auto"/>
                                    <w:right w:val="none" w:sz="0" w:space="0" w:color="auto"/>
                                  </w:divBdr>
                                  <w:divsChild>
                                    <w:div w:id="926498269">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658730550">
                                              <w:marLeft w:val="0"/>
                                              <w:marRight w:val="0"/>
                                              <w:marTop w:val="0"/>
                                              <w:marBottom w:val="0"/>
                                              <w:divBdr>
                                                <w:top w:val="none" w:sz="0" w:space="0" w:color="auto"/>
                                                <w:left w:val="none" w:sz="0" w:space="0" w:color="auto"/>
                                                <w:bottom w:val="none" w:sz="0" w:space="0" w:color="auto"/>
                                                <w:right w:val="none" w:sz="0" w:space="0" w:color="auto"/>
                                              </w:divBdr>
                                              <w:divsChild>
                                                <w:div w:id="2041587471">
                                                  <w:marLeft w:val="0"/>
                                                  <w:marRight w:val="0"/>
                                                  <w:marTop w:val="0"/>
                                                  <w:marBottom w:val="0"/>
                                                  <w:divBdr>
                                                    <w:top w:val="none" w:sz="0" w:space="0" w:color="auto"/>
                                                    <w:left w:val="none" w:sz="0" w:space="0" w:color="auto"/>
                                                    <w:bottom w:val="none" w:sz="0" w:space="0" w:color="auto"/>
                                                    <w:right w:val="none" w:sz="0" w:space="0" w:color="auto"/>
                                                  </w:divBdr>
                                                  <w:divsChild>
                                                    <w:div w:id="1101219769">
                                                      <w:marLeft w:val="0"/>
                                                      <w:marRight w:val="0"/>
                                                      <w:marTop w:val="0"/>
                                                      <w:marBottom w:val="0"/>
                                                      <w:divBdr>
                                                        <w:top w:val="none" w:sz="0" w:space="0" w:color="auto"/>
                                                        <w:left w:val="none" w:sz="0" w:space="0" w:color="auto"/>
                                                        <w:bottom w:val="none" w:sz="0" w:space="0" w:color="auto"/>
                                                        <w:right w:val="none" w:sz="0" w:space="0" w:color="auto"/>
                                                      </w:divBdr>
                                                      <w:divsChild>
                                                        <w:div w:id="114368242">
                                                          <w:marLeft w:val="0"/>
                                                          <w:marRight w:val="0"/>
                                                          <w:marTop w:val="0"/>
                                                          <w:marBottom w:val="0"/>
                                                          <w:divBdr>
                                                            <w:top w:val="none" w:sz="0" w:space="0" w:color="auto"/>
                                                            <w:left w:val="none" w:sz="0" w:space="0" w:color="auto"/>
                                                            <w:bottom w:val="none" w:sz="0" w:space="0" w:color="auto"/>
                                                            <w:right w:val="none" w:sz="0" w:space="0" w:color="auto"/>
                                                          </w:divBdr>
                                                          <w:divsChild>
                                                            <w:div w:id="1063061451">
                                                              <w:marLeft w:val="0"/>
                                                              <w:marRight w:val="0"/>
                                                              <w:marTop w:val="0"/>
                                                              <w:marBottom w:val="0"/>
                                                              <w:divBdr>
                                                                <w:top w:val="none" w:sz="0" w:space="0" w:color="auto"/>
                                                                <w:left w:val="none" w:sz="0" w:space="0" w:color="auto"/>
                                                                <w:bottom w:val="none" w:sz="0" w:space="0" w:color="auto"/>
                                                                <w:right w:val="none" w:sz="0" w:space="0" w:color="auto"/>
                                                              </w:divBdr>
                                                              <w:divsChild>
                                                                <w:div w:id="1621104659">
                                                                  <w:marLeft w:val="0"/>
                                                                  <w:marRight w:val="0"/>
                                                                  <w:marTop w:val="0"/>
                                                                  <w:marBottom w:val="0"/>
                                                                  <w:divBdr>
                                                                    <w:top w:val="none" w:sz="0" w:space="0" w:color="auto"/>
                                                                    <w:left w:val="none" w:sz="0" w:space="0" w:color="auto"/>
                                                                    <w:bottom w:val="none" w:sz="0" w:space="0" w:color="auto"/>
                                                                    <w:right w:val="none" w:sz="0" w:space="0" w:color="auto"/>
                                                                  </w:divBdr>
                                                                  <w:divsChild>
                                                                    <w:div w:id="1044065864">
                                                                      <w:marLeft w:val="0"/>
                                                                      <w:marRight w:val="0"/>
                                                                      <w:marTop w:val="0"/>
                                                                      <w:marBottom w:val="0"/>
                                                                      <w:divBdr>
                                                                        <w:top w:val="none" w:sz="0" w:space="0" w:color="auto"/>
                                                                        <w:left w:val="none" w:sz="0" w:space="0" w:color="auto"/>
                                                                        <w:bottom w:val="none" w:sz="0" w:space="0" w:color="auto"/>
                                                                        <w:right w:val="none" w:sz="0" w:space="0" w:color="auto"/>
                                                                      </w:divBdr>
                                                                      <w:divsChild>
                                                                        <w:div w:id="1147436579">
                                                                          <w:marLeft w:val="0"/>
                                                                          <w:marRight w:val="0"/>
                                                                          <w:marTop w:val="0"/>
                                                                          <w:marBottom w:val="0"/>
                                                                          <w:divBdr>
                                                                            <w:top w:val="none" w:sz="0" w:space="0" w:color="auto"/>
                                                                            <w:left w:val="none" w:sz="0" w:space="0" w:color="auto"/>
                                                                            <w:bottom w:val="none" w:sz="0" w:space="0" w:color="auto"/>
                                                                            <w:right w:val="none" w:sz="0" w:space="0" w:color="auto"/>
                                                                          </w:divBdr>
                                                                          <w:divsChild>
                                                                            <w:div w:id="1022130323">
                                                                              <w:marLeft w:val="0"/>
                                                                              <w:marRight w:val="0"/>
                                                                              <w:marTop w:val="0"/>
                                                                              <w:marBottom w:val="0"/>
                                                                              <w:divBdr>
                                                                                <w:top w:val="none" w:sz="0" w:space="0" w:color="auto"/>
                                                                                <w:left w:val="none" w:sz="0" w:space="0" w:color="auto"/>
                                                                                <w:bottom w:val="none" w:sz="0" w:space="0" w:color="auto"/>
                                                                                <w:right w:val="none" w:sz="0" w:space="0" w:color="auto"/>
                                                                              </w:divBdr>
                                                                              <w:divsChild>
                                                                                <w:div w:id="1850098599">
                                                                                  <w:marLeft w:val="0"/>
                                                                                  <w:marRight w:val="0"/>
                                                                                  <w:marTop w:val="0"/>
                                                                                  <w:marBottom w:val="0"/>
                                                                                  <w:divBdr>
                                                                                    <w:top w:val="none" w:sz="0" w:space="0" w:color="auto"/>
                                                                                    <w:left w:val="none" w:sz="0" w:space="0" w:color="auto"/>
                                                                                    <w:bottom w:val="none" w:sz="0" w:space="0" w:color="auto"/>
                                                                                    <w:right w:val="none" w:sz="0" w:space="0" w:color="auto"/>
                                                                                  </w:divBdr>
                                                                                  <w:divsChild>
                                                                                    <w:div w:id="1218855723">
                                                                                      <w:marLeft w:val="0"/>
                                                                                      <w:marRight w:val="0"/>
                                                                                      <w:marTop w:val="0"/>
                                                                                      <w:marBottom w:val="0"/>
                                                                                      <w:divBdr>
                                                                                        <w:top w:val="none" w:sz="0" w:space="0" w:color="auto"/>
                                                                                        <w:left w:val="none" w:sz="0" w:space="0" w:color="auto"/>
                                                                                        <w:bottom w:val="none" w:sz="0" w:space="0" w:color="auto"/>
                                                                                        <w:right w:val="none" w:sz="0" w:space="0" w:color="auto"/>
                                                                                      </w:divBdr>
                                                                                    </w:div>
                                                                                    <w:div w:id="1224217632">
                                                                                      <w:marLeft w:val="0"/>
                                                                                      <w:marRight w:val="0"/>
                                                                                      <w:marTop w:val="0"/>
                                                                                      <w:marBottom w:val="0"/>
                                                                                      <w:divBdr>
                                                                                        <w:top w:val="none" w:sz="0" w:space="0" w:color="auto"/>
                                                                                        <w:left w:val="none" w:sz="0" w:space="0" w:color="auto"/>
                                                                                        <w:bottom w:val="none" w:sz="0" w:space="0" w:color="auto"/>
                                                                                        <w:right w:val="none" w:sz="0" w:space="0" w:color="auto"/>
                                                                                      </w:divBdr>
                                                                                      <w:divsChild>
                                                                                        <w:div w:id="19093693">
                                                                                          <w:marLeft w:val="0"/>
                                                                                          <w:marRight w:val="0"/>
                                                                                          <w:marTop w:val="0"/>
                                                                                          <w:marBottom w:val="0"/>
                                                                                          <w:divBdr>
                                                                                            <w:top w:val="none" w:sz="0" w:space="0" w:color="auto"/>
                                                                                            <w:left w:val="none" w:sz="0" w:space="0" w:color="auto"/>
                                                                                            <w:bottom w:val="none" w:sz="0" w:space="0" w:color="auto"/>
                                                                                            <w:right w:val="none" w:sz="0" w:space="0" w:color="auto"/>
                                                                                          </w:divBdr>
                                                                                          <w:divsChild>
                                                                                            <w:div w:id="4133820">
                                                                                              <w:marLeft w:val="0"/>
                                                                                              <w:marRight w:val="0"/>
                                                                                              <w:marTop w:val="0"/>
                                                                                              <w:marBottom w:val="0"/>
                                                                                              <w:divBdr>
                                                                                                <w:top w:val="none" w:sz="0" w:space="0" w:color="auto"/>
                                                                                                <w:left w:val="none" w:sz="0" w:space="0" w:color="auto"/>
                                                                                                <w:bottom w:val="none" w:sz="0" w:space="0" w:color="auto"/>
                                                                                                <w:right w:val="none" w:sz="0" w:space="0" w:color="auto"/>
                                                                                              </w:divBdr>
                                                                                              <w:divsChild>
                                                                                                <w:div w:id="493881853">
                                                                                                  <w:marLeft w:val="0"/>
                                                                                                  <w:marRight w:val="0"/>
                                                                                                  <w:marTop w:val="0"/>
                                                                                                  <w:marBottom w:val="0"/>
                                                                                                  <w:divBdr>
                                                                                                    <w:top w:val="none" w:sz="0" w:space="0" w:color="auto"/>
                                                                                                    <w:left w:val="none" w:sz="0" w:space="0" w:color="auto"/>
                                                                                                    <w:bottom w:val="none" w:sz="0" w:space="0" w:color="auto"/>
                                                                                                    <w:right w:val="none" w:sz="0" w:space="0" w:color="auto"/>
                                                                                                  </w:divBdr>
                                                                                                  <w:divsChild>
                                                                                                    <w:div w:id="135492272">
                                                                                                      <w:marLeft w:val="0"/>
                                                                                                      <w:marRight w:val="0"/>
                                                                                                      <w:marTop w:val="0"/>
                                                                                                      <w:marBottom w:val="0"/>
                                                                                                      <w:divBdr>
                                                                                                        <w:top w:val="none" w:sz="0" w:space="0" w:color="auto"/>
                                                                                                        <w:left w:val="none" w:sz="0" w:space="0" w:color="auto"/>
                                                                                                        <w:bottom w:val="none" w:sz="0" w:space="0" w:color="auto"/>
                                                                                                        <w:right w:val="none" w:sz="0" w:space="0" w:color="auto"/>
                                                                                                      </w:divBdr>
                                                                                                      <w:divsChild>
                                                                                                        <w:div w:id="1056978101">
                                                                                                          <w:marLeft w:val="0"/>
                                                                                                          <w:marRight w:val="0"/>
                                                                                                          <w:marTop w:val="0"/>
                                                                                                          <w:marBottom w:val="0"/>
                                                                                                          <w:divBdr>
                                                                                                            <w:top w:val="none" w:sz="0" w:space="0" w:color="auto"/>
                                                                                                            <w:left w:val="none" w:sz="0" w:space="0" w:color="auto"/>
                                                                                                            <w:bottom w:val="none" w:sz="0" w:space="0" w:color="auto"/>
                                                                                                            <w:right w:val="none" w:sz="0" w:space="0" w:color="auto"/>
                                                                                                          </w:divBdr>
                                                                                                          <w:divsChild>
                                                                                                            <w:div w:id="838930399">
                                                                                                              <w:marLeft w:val="0"/>
                                                                                                              <w:marRight w:val="0"/>
                                                                                                              <w:marTop w:val="0"/>
                                                                                                              <w:marBottom w:val="0"/>
                                                                                                              <w:divBdr>
                                                                                                                <w:top w:val="none" w:sz="0" w:space="0" w:color="auto"/>
                                                                                                                <w:left w:val="none" w:sz="0" w:space="0" w:color="auto"/>
                                                                                                                <w:bottom w:val="none" w:sz="0" w:space="0" w:color="auto"/>
                                                                                                                <w:right w:val="none" w:sz="0" w:space="0" w:color="auto"/>
                                                                                                              </w:divBdr>
                                                                                                              <w:divsChild>
                                                                                                                <w:div w:id="989331533">
                                                                                                                  <w:marLeft w:val="0"/>
                                                                                                                  <w:marRight w:val="0"/>
                                                                                                                  <w:marTop w:val="0"/>
                                                                                                                  <w:marBottom w:val="0"/>
                                                                                                                  <w:divBdr>
                                                                                                                    <w:top w:val="none" w:sz="0" w:space="0" w:color="auto"/>
                                                                                                                    <w:left w:val="none" w:sz="0" w:space="0" w:color="auto"/>
                                                                                                                    <w:bottom w:val="none" w:sz="0" w:space="0" w:color="auto"/>
                                                                                                                    <w:right w:val="none" w:sz="0" w:space="0" w:color="auto"/>
                                                                                                                  </w:divBdr>
                                                                                                                  <w:divsChild>
                                                                                                                    <w:div w:id="938374826">
                                                                                                                      <w:marLeft w:val="0"/>
                                                                                                                      <w:marRight w:val="0"/>
                                                                                                                      <w:marTop w:val="0"/>
                                                                                                                      <w:marBottom w:val="0"/>
                                                                                                                      <w:divBdr>
                                                                                                                        <w:top w:val="none" w:sz="0" w:space="0" w:color="auto"/>
                                                                                                                        <w:left w:val="none" w:sz="0" w:space="0" w:color="auto"/>
                                                                                                                        <w:bottom w:val="none" w:sz="0" w:space="0" w:color="auto"/>
                                                                                                                        <w:right w:val="none" w:sz="0" w:space="0" w:color="auto"/>
                                                                                                                      </w:divBdr>
                                                                                                                      <w:divsChild>
                                                                                                                        <w:div w:id="1142773094">
                                                                                                                          <w:marLeft w:val="0"/>
                                                                                                                          <w:marRight w:val="0"/>
                                                                                                                          <w:marTop w:val="0"/>
                                                                                                                          <w:marBottom w:val="0"/>
                                                                                                                          <w:divBdr>
                                                                                                                            <w:top w:val="none" w:sz="0" w:space="0" w:color="auto"/>
                                                                                                                            <w:left w:val="none" w:sz="0" w:space="0" w:color="auto"/>
                                                                                                                            <w:bottom w:val="none" w:sz="0" w:space="0" w:color="auto"/>
                                                                                                                            <w:right w:val="none" w:sz="0" w:space="0" w:color="auto"/>
                                                                                                                          </w:divBdr>
                                                                                                                          <w:divsChild>
                                                                                                                            <w:div w:id="1480153008">
                                                                                                                              <w:marLeft w:val="0"/>
                                                                                                                              <w:marRight w:val="0"/>
                                                                                                                              <w:marTop w:val="0"/>
                                                                                                                              <w:marBottom w:val="0"/>
                                                                                                                              <w:divBdr>
                                                                                                                                <w:top w:val="none" w:sz="0" w:space="0" w:color="auto"/>
                                                                                                                                <w:left w:val="none" w:sz="0" w:space="0" w:color="auto"/>
                                                                                                                                <w:bottom w:val="none" w:sz="0" w:space="0" w:color="auto"/>
                                                                                                                                <w:right w:val="none" w:sz="0" w:space="0" w:color="auto"/>
                                                                                                                              </w:divBdr>
                                                                                                                              <w:divsChild>
                                                                                                                                <w:div w:id="1432049200">
                                                                                                                                  <w:marLeft w:val="0"/>
                                                                                                                                  <w:marRight w:val="0"/>
                                                                                                                                  <w:marTop w:val="0"/>
                                                                                                                                  <w:marBottom w:val="0"/>
                                                                                                                                  <w:divBdr>
                                                                                                                                    <w:top w:val="none" w:sz="0" w:space="0" w:color="auto"/>
                                                                                                                                    <w:left w:val="none" w:sz="0" w:space="0" w:color="auto"/>
                                                                                                                                    <w:bottom w:val="none" w:sz="0" w:space="0" w:color="auto"/>
                                                                                                                                    <w:right w:val="none" w:sz="0" w:space="0" w:color="auto"/>
                                                                                                                                  </w:divBdr>
                                                                                                                                  <w:divsChild>
                                                                                                                                    <w:div w:id="567426114">
                                                                                                                                      <w:marLeft w:val="0"/>
                                                                                                                                      <w:marRight w:val="0"/>
                                                                                                                                      <w:marTop w:val="0"/>
                                                                                                                                      <w:marBottom w:val="0"/>
                                                                                                                                      <w:divBdr>
                                                                                                                                        <w:top w:val="none" w:sz="0" w:space="0" w:color="auto"/>
                                                                                                                                        <w:left w:val="none" w:sz="0" w:space="0" w:color="auto"/>
                                                                                                                                        <w:bottom w:val="none" w:sz="0" w:space="0" w:color="auto"/>
                                                                                                                                        <w:right w:val="none" w:sz="0" w:space="0" w:color="auto"/>
                                                                                                                                      </w:divBdr>
                                                                                                                                      <w:divsChild>
                                                                                                                                        <w:div w:id="451171834">
                                                                                                                                          <w:marLeft w:val="0"/>
                                                                                                                                          <w:marRight w:val="0"/>
                                                                                                                                          <w:marTop w:val="0"/>
                                                                                                                                          <w:marBottom w:val="0"/>
                                                                                                                                          <w:divBdr>
                                                                                                                                            <w:top w:val="none" w:sz="0" w:space="0" w:color="auto"/>
                                                                                                                                            <w:left w:val="none" w:sz="0" w:space="0" w:color="auto"/>
                                                                                                                                            <w:bottom w:val="none" w:sz="0" w:space="0" w:color="auto"/>
                                                                                                                                            <w:right w:val="none" w:sz="0" w:space="0" w:color="auto"/>
                                                                                                                                          </w:divBdr>
                                                                                                                                          <w:divsChild>
                                                                                                                                            <w:div w:id="1343779016">
                                                                                                                                              <w:marLeft w:val="0"/>
                                                                                                                                              <w:marRight w:val="0"/>
                                                                                                                                              <w:marTop w:val="0"/>
                                                                                                                                              <w:marBottom w:val="0"/>
                                                                                                                                              <w:divBdr>
                                                                                                                                                <w:top w:val="none" w:sz="0" w:space="0" w:color="auto"/>
                                                                                                                                                <w:left w:val="none" w:sz="0" w:space="0" w:color="auto"/>
                                                                                                                                                <w:bottom w:val="none" w:sz="0" w:space="0" w:color="auto"/>
                                                                                                                                                <w:right w:val="none" w:sz="0" w:space="0" w:color="auto"/>
                                                                                                                                              </w:divBdr>
                                                                                                                                              <w:divsChild>
                                                                                                                                                <w:div w:id="1290236713">
                                                                                                                                                  <w:marLeft w:val="0"/>
                                                                                                                                                  <w:marRight w:val="0"/>
                                                                                                                                                  <w:marTop w:val="0"/>
                                                                                                                                                  <w:marBottom w:val="0"/>
                                                                                                                                                  <w:divBdr>
                                                                                                                                                    <w:top w:val="none" w:sz="0" w:space="0" w:color="auto"/>
                                                                                                                                                    <w:left w:val="none" w:sz="0" w:space="0" w:color="auto"/>
                                                                                                                                                    <w:bottom w:val="none" w:sz="0" w:space="0" w:color="auto"/>
                                                                                                                                                    <w:right w:val="none" w:sz="0" w:space="0" w:color="auto"/>
                                                                                                                                                  </w:divBdr>
                                                                                                                                                  <w:divsChild>
                                                                                                                                                    <w:div w:id="511260825">
                                                                                                                                                      <w:marLeft w:val="0"/>
                                                                                                                                                      <w:marRight w:val="0"/>
                                                                                                                                                      <w:marTop w:val="0"/>
                                                                                                                                                      <w:marBottom w:val="0"/>
                                                                                                                                                      <w:divBdr>
                                                                                                                                                        <w:top w:val="none" w:sz="0" w:space="0" w:color="auto"/>
                                                                                                                                                        <w:left w:val="none" w:sz="0" w:space="0" w:color="auto"/>
                                                                                                                                                        <w:bottom w:val="none" w:sz="0" w:space="0" w:color="auto"/>
                                                                                                                                                        <w:right w:val="none" w:sz="0" w:space="0" w:color="auto"/>
                                                                                                                                                      </w:divBdr>
                                                                                                                                                      <w:divsChild>
                                                                                                                                                        <w:div w:id="839587821">
                                                                                                                                                          <w:marLeft w:val="0"/>
                                                                                                                                                          <w:marRight w:val="0"/>
                                                                                                                                                          <w:marTop w:val="0"/>
                                                                                                                                                          <w:marBottom w:val="0"/>
                                                                                                                                                          <w:divBdr>
                                                                                                                                                            <w:top w:val="none" w:sz="0" w:space="0" w:color="auto"/>
                                                                                                                                                            <w:left w:val="none" w:sz="0" w:space="0" w:color="auto"/>
                                                                                                                                                            <w:bottom w:val="none" w:sz="0" w:space="0" w:color="auto"/>
                                                                                                                                                            <w:right w:val="none" w:sz="0" w:space="0" w:color="auto"/>
                                                                                                                                                          </w:divBdr>
                                                                                                                                                          <w:divsChild>
                                                                                                                                                            <w:div w:id="353656223">
                                                                                                                                                              <w:marLeft w:val="0"/>
                                                                                                                                                              <w:marRight w:val="0"/>
                                                                                                                                                              <w:marTop w:val="0"/>
                                                                                                                                                              <w:marBottom w:val="0"/>
                                                                                                                                                              <w:divBdr>
                                                                                                                                                                <w:top w:val="none" w:sz="0" w:space="0" w:color="auto"/>
                                                                                                                                                                <w:left w:val="none" w:sz="0" w:space="0" w:color="auto"/>
                                                                                                                                                                <w:bottom w:val="none" w:sz="0" w:space="0" w:color="auto"/>
                                                                                                                                                                <w:right w:val="none" w:sz="0" w:space="0" w:color="auto"/>
                                                                                                                                                              </w:divBdr>
                                                                                                                                                              <w:divsChild>
                                                                                                                                                                <w:div w:id="998313430">
                                                                                                                                                                  <w:marLeft w:val="0"/>
                                                                                                                                                                  <w:marRight w:val="0"/>
                                                                                                                                                                  <w:marTop w:val="0"/>
                                                                                                                                                                  <w:marBottom w:val="0"/>
                                                                                                                                                                  <w:divBdr>
                                                                                                                                                                    <w:top w:val="none" w:sz="0" w:space="0" w:color="auto"/>
                                                                                                                                                                    <w:left w:val="none" w:sz="0" w:space="0" w:color="auto"/>
                                                                                                                                                                    <w:bottom w:val="none" w:sz="0" w:space="0" w:color="auto"/>
                                                                                                                                                                    <w:right w:val="none" w:sz="0" w:space="0" w:color="auto"/>
                                                                                                                                                                  </w:divBdr>
                                                                                                                                                                  <w:divsChild>
                                                                                                                                                                    <w:div w:id="215312147">
                                                                                                                                                                      <w:marLeft w:val="0"/>
                                                                                                                                                                      <w:marRight w:val="0"/>
                                                                                                                                                                      <w:marTop w:val="0"/>
                                                                                                                                                                      <w:marBottom w:val="0"/>
                                                                                                                                                                      <w:divBdr>
                                                                                                                                                                        <w:top w:val="none" w:sz="0" w:space="0" w:color="auto"/>
                                                                                                                                                                        <w:left w:val="none" w:sz="0" w:space="0" w:color="auto"/>
                                                                                                                                                                        <w:bottom w:val="none" w:sz="0" w:space="0" w:color="auto"/>
                                                                                                                                                                        <w:right w:val="none" w:sz="0" w:space="0" w:color="auto"/>
                                                                                                                                                                      </w:divBdr>
                                                                                                                                                                      <w:divsChild>
                                                                                                                                                                        <w:div w:id="1988124947">
                                                                                                                                                                          <w:marLeft w:val="0"/>
                                                                                                                                                                          <w:marRight w:val="0"/>
                                                                                                                                                                          <w:marTop w:val="0"/>
                                                                                                                                                                          <w:marBottom w:val="0"/>
                                                                                                                                                                          <w:divBdr>
                                                                                                                                                                            <w:top w:val="none" w:sz="0" w:space="0" w:color="auto"/>
                                                                                                                                                                            <w:left w:val="none" w:sz="0" w:space="0" w:color="auto"/>
                                                                                                                                                                            <w:bottom w:val="none" w:sz="0" w:space="0" w:color="auto"/>
                                                                                                                                                                            <w:right w:val="none" w:sz="0" w:space="0" w:color="auto"/>
                                                                                                                                                                          </w:divBdr>
                                                                                                                                                                          <w:divsChild>
                                                                                                                                                                            <w:div w:id="1058015411">
                                                                                                                                                                              <w:marLeft w:val="0"/>
                                                                                                                                                                              <w:marRight w:val="0"/>
                                                                                                                                                                              <w:marTop w:val="0"/>
                                                                                                                                                                              <w:marBottom w:val="0"/>
                                                                                                                                                                              <w:divBdr>
                                                                                                                                                                                <w:top w:val="none" w:sz="0" w:space="0" w:color="auto"/>
                                                                                                                                                                                <w:left w:val="none" w:sz="0" w:space="0" w:color="auto"/>
                                                                                                                                                                                <w:bottom w:val="none" w:sz="0" w:space="0" w:color="auto"/>
                                                                                                                                                                                <w:right w:val="none" w:sz="0" w:space="0" w:color="auto"/>
                                                                                                                                                                              </w:divBdr>
                                                                                                                                                                              <w:divsChild>
                                                                                                                                                                                <w:div w:id="342709501">
                                                                                                                                                                                  <w:marLeft w:val="0"/>
                                                                                                                                                                                  <w:marRight w:val="0"/>
                                                                                                                                                                                  <w:marTop w:val="0"/>
                                                                                                                                                                                  <w:marBottom w:val="0"/>
                                                                                                                                                                                  <w:divBdr>
                                                                                                                                                                                    <w:top w:val="none" w:sz="0" w:space="0" w:color="auto"/>
                                                                                                                                                                                    <w:left w:val="none" w:sz="0" w:space="0" w:color="auto"/>
                                                                                                                                                                                    <w:bottom w:val="none" w:sz="0" w:space="0" w:color="auto"/>
                                                                                                                                                                                    <w:right w:val="none" w:sz="0" w:space="0" w:color="auto"/>
                                                                                                                                                                                  </w:divBdr>
                                                                                                                                                                                  <w:divsChild>
                                                                                                                                                                                    <w:div w:id="1622803983">
                                                                                                                                                                                      <w:marLeft w:val="0"/>
                                                                                                                                                                                      <w:marRight w:val="0"/>
                                                                                                                                                                                      <w:marTop w:val="0"/>
                                                                                                                                                                                      <w:marBottom w:val="0"/>
                                                                                                                                                                                      <w:divBdr>
                                                                                                                                                                                        <w:top w:val="none" w:sz="0" w:space="0" w:color="auto"/>
                                                                                                                                                                                        <w:left w:val="none" w:sz="0" w:space="0" w:color="auto"/>
                                                                                                                                                                                        <w:bottom w:val="none" w:sz="0" w:space="0" w:color="auto"/>
                                                                                                                                                                                        <w:right w:val="none" w:sz="0" w:space="0" w:color="auto"/>
                                                                                                                                                                                      </w:divBdr>
                                                                                                                                                                                      <w:divsChild>
                                                                                                                                                                                        <w:div w:id="1031764060">
                                                                                                                                                                                          <w:marLeft w:val="0"/>
                                                                                                                                                                                          <w:marRight w:val="0"/>
                                                                                                                                                                                          <w:marTop w:val="0"/>
                                                                                                                                                                                          <w:marBottom w:val="0"/>
                                                                                                                                                                                          <w:divBdr>
                                                                                                                                                                                            <w:top w:val="none" w:sz="0" w:space="0" w:color="auto"/>
                                                                                                                                                                                            <w:left w:val="none" w:sz="0" w:space="0" w:color="auto"/>
                                                                                                                                                                                            <w:bottom w:val="none" w:sz="0" w:space="0" w:color="auto"/>
                                                                                                                                                                                            <w:right w:val="none" w:sz="0" w:space="0" w:color="auto"/>
                                                                                                                                                                                          </w:divBdr>
                                                                                                                                                                                          <w:divsChild>
                                                                                                                                                                                            <w:div w:id="1528059198">
                                                                                                                                                                                              <w:marLeft w:val="0"/>
                                                                                                                                                                                              <w:marRight w:val="0"/>
                                                                                                                                                                                              <w:marTop w:val="0"/>
                                                                                                                                                                                              <w:marBottom w:val="0"/>
                                                                                                                                                                                              <w:divBdr>
                                                                                                                                                                                                <w:top w:val="none" w:sz="0" w:space="0" w:color="auto"/>
                                                                                                                                                                                                <w:left w:val="none" w:sz="0" w:space="0" w:color="auto"/>
                                                                                                                                                                                                <w:bottom w:val="none" w:sz="0" w:space="0" w:color="auto"/>
                                                                                                                                                                                                <w:right w:val="none" w:sz="0" w:space="0" w:color="auto"/>
                                                                                                                                                                                              </w:divBdr>
                                                                                                                                                                                              <w:divsChild>
                                                                                                                                                                                                <w:div w:id="1392579478">
                                                                                                                                                                                                  <w:marLeft w:val="0"/>
                                                                                                                                                                                                  <w:marRight w:val="0"/>
                                                                                                                                                                                                  <w:marTop w:val="0"/>
                                                                                                                                                                                                  <w:marBottom w:val="0"/>
                                                                                                                                                                                                  <w:divBdr>
                                                                                                                                                                                                    <w:top w:val="none" w:sz="0" w:space="0" w:color="auto"/>
                                                                                                                                                                                                    <w:left w:val="none" w:sz="0" w:space="0" w:color="auto"/>
                                                                                                                                                                                                    <w:bottom w:val="none" w:sz="0" w:space="0" w:color="auto"/>
                                                                                                                                                                                                    <w:right w:val="none" w:sz="0" w:space="0" w:color="auto"/>
                                                                                                                                                                                                  </w:divBdr>
                                                                                                                                                                                                  <w:divsChild>
                                                                                                                                                                                                    <w:div w:id="1918056731">
                                                                                                                                                                                                      <w:marLeft w:val="0"/>
                                                                                                                                                                                                      <w:marRight w:val="0"/>
                                                                                                                                                                                                      <w:marTop w:val="0"/>
                                                                                                                                                                                                      <w:marBottom w:val="0"/>
                                                                                                                                                                                                      <w:divBdr>
                                                                                                                                                                                                        <w:top w:val="none" w:sz="0" w:space="0" w:color="auto"/>
                                                                                                                                                                                                        <w:left w:val="none" w:sz="0" w:space="0" w:color="auto"/>
                                                                                                                                                                                                        <w:bottom w:val="none" w:sz="0" w:space="0" w:color="auto"/>
                                                                                                                                                                                                        <w:right w:val="none" w:sz="0" w:space="0" w:color="auto"/>
                                                                                                                                                                                                      </w:divBdr>
                                                                                                                                                                                                      <w:divsChild>
                                                                                                                                                                                                        <w:div w:id="1013843656">
                                                                                                                                                                                                          <w:marLeft w:val="0"/>
                                                                                                                                                                                                          <w:marRight w:val="0"/>
                                                                                                                                                                                                          <w:marTop w:val="0"/>
                                                                                                                                                                                                          <w:marBottom w:val="0"/>
                                                                                                                                                                                                          <w:divBdr>
                                                                                                                                                                                                            <w:top w:val="none" w:sz="0" w:space="0" w:color="auto"/>
                                                                                                                                                                                                            <w:left w:val="none" w:sz="0" w:space="0" w:color="auto"/>
                                                                                                                                                                                                            <w:bottom w:val="none" w:sz="0" w:space="0" w:color="auto"/>
                                                                                                                                                                                                            <w:right w:val="none" w:sz="0" w:space="0" w:color="auto"/>
                                                                                                                                                                                                          </w:divBdr>
                                                                                                                                                                                                          <w:divsChild>
                                                                                                                                                                                                            <w:div w:id="185798779">
                                                                                                                                                                                                              <w:marLeft w:val="0"/>
                                                                                                                                                                                                              <w:marRight w:val="0"/>
                                                                                                                                                                                                              <w:marTop w:val="0"/>
                                                                                                                                                                                                              <w:marBottom w:val="0"/>
                                                                                                                                                                                                              <w:divBdr>
                                                                                                                                                                                                                <w:top w:val="none" w:sz="0" w:space="0" w:color="auto"/>
                                                                                                                                                                                                                <w:left w:val="none" w:sz="0" w:space="0" w:color="auto"/>
                                                                                                                                                                                                                <w:bottom w:val="none" w:sz="0" w:space="0" w:color="auto"/>
                                                                                                                                                                                                                <w:right w:val="none" w:sz="0" w:space="0" w:color="auto"/>
                                                                                                                                                                                                              </w:divBdr>
                                                                                                                                                                                                              <w:divsChild>
                                                                                                                                                                                                                <w:div w:id="515313229">
                                                                                                                                                                                                                  <w:marLeft w:val="0"/>
                                                                                                                                                                                                                  <w:marRight w:val="0"/>
                                                                                                                                                                                                                  <w:marTop w:val="0"/>
                                                                                                                                                                                                                  <w:marBottom w:val="0"/>
                                                                                                                                                                                                                  <w:divBdr>
                                                                                                                                                                                                                    <w:top w:val="none" w:sz="0" w:space="0" w:color="auto"/>
                                                                                                                                                                                                                    <w:left w:val="none" w:sz="0" w:space="0" w:color="auto"/>
                                                                                                                                                                                                                    <w:bottom w:val="none" w:sz="0" w:space="0" w:color="auto"/>
                                                                                                                                                                                                                    <w:right w:val="none" w:sz="0" w:space="0" w:color="auto"/>
                                                                                                                                                                                                                  </w:divBdr>
                                                                                                                                                                                                                  <w:divsChild>
                                                                                                                                                                                                                    <w:div w:id="1586765686">
                                                                                                                                                                                                                      <w:marLeft w:val="0"/>
                                                                                                                                                                                                                      <w:marRight w:val="0"/>
                                                                                                                                                                                                                      <w:marTop w:val="0"/>
                                                                                                                                                                                                                      <w:marBottom w:val="0"/>
                                                                                                                                                                                                                      <w:divBdr>
                                                                                                                                                                                                                        <w:top w:val="none" w:sz="0" w:space="0" w:color="auto"/>
                                                                                                                                                                                                                        <w:left w:val="none" w:sz="0" w:space="0" w:color="auto"/>
                                                                                                                                                                                                                        <w:bottom w:val="none" w:sz="0" w:space="0" w:color="auto"/>
                                                                                                                                                                                                                        <w:right w:val="none" w:sz="0" w:space="0" w:color="auto"/>
                                                                                                                                                                                                                      </w:divBdr>
                                                                                                                                                                                                                      <w:divsChild>
                                                                                                                                                                                                                        <w:div w:id="916482042">
                                                                                                                                                                                                                          <w:marLeft w:val="0"/>
                                                                                                                                                                                                                          <w:marRight w:val="0"/>
                                                                                                                                                                                                                          <w:marTop w:val="0"/>
                                                                                                                                                                                                                          <w:marBottom w:val="0"/>
                                                                                                                                                                                                                          <w:divBdr>
                                                                                                                                                                                                                            <w:top w:val="none" w:sz="0" w:space="0" w:color="auto"/>
                                                                                                                                                                                                                            <w:left w:val="none" w:sz="0" w:space="0" w:color="auto"/>
                                                                                                                                                                                                                            <w:bottom w:val="none" w:sz="0" w:space="0" w:color="auto"/>
                                                                                                                                                                                                                            <w:right w:val="none" w:sz="0" w:space="0" w:color="auto"/>
                                                                                                                                                                                                                          </w:divBdr>
                                                                                                                                                                                                                          <w:divsChild>
                                                                                                                                                                                                                            <w:div w:id="1221939974">
                                                                                                                                                                                                                              <w:marLeft w:val="0"/>
                                                                                                                                                                                                                              <w:marRight w:val="0"/>
                                                                                                                                                                                                                              <w:marTop w:val="0"/>
                                                                                                                                                                                                                              <w:marBottom w:val="0"/>
                                                                                                                                                                                                                              <w:divBdr>
                                                                                                                                                                                                                                <w:top w:val="none" w:sz="0" w:space="0" w:color="auto"/>
                                                                                                                                                                                                                                <w:left w:val="none" w:sz="0" w:space="0" w:color="auto"/>
                                                                                                                                                                                                                                <w:bottom w:val="none" w:sz="0" w:space="0" w:color="auto"/>
                                                                                                                                                                                                                                <w:right w:val="none" w:sz="0" w:space="0" w:color="auto"/>
                                                                                                                                                                                                                              </w:divBdr>
                                                                                                                                                                                                                              <w:divsChild>
                                                                                                                                                                                                                                <w:div w:id="313948974">
                                                                                                                                                                                                                                  <w:marLeft w:val="0"/>
                                                                                                                                                                                                                                  <w:marRight w:val="0"/>
                                                                                                                                                                                                                                  <w:marTop w:val="0"/>
                                                                                                                                                                                                                                  <w:marBottom w:val="0"/>
                                                                                                                                                                                                                                  <w:divBdr>
                                                                                                                                                                                                                                    <w:top w:val="none" w:sz="0" w:space="0" w:color="auto"/>
                                                                                                                                                                                                                                    <w:left w:val="none" w:sz="0" w:space="0" w:color="auto"/>
                                                                                                                                                                                                                                    <w:bottom w:val="none" w:sz="0" w:space="0" w:color="auto"/>
                                                                                                                                                                                                                                    <w:right w:val="none" w:sz="0" w:space="0" w:color="auto"/>
                                                                                                                                                                                                                                  </w:divBdr>
                                                                                                                                                                                                                                  <w:divsChild>
                                                                                                                                                                                                                                    <w:div w:id="1052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132003">
      <w:bodyDiv w:val="1"/>
      <w:marLeft w:val="0"/>
      <w:marRight w:val="0"/>
      <w:marTop w:val="0"/>
      <w:marBottom w:val="0"/>
      <w:divBdr>
        <w:top w:val="none" w:sz="0" w:space="0" w:color="auto"/>
        <w:left w:val="none" w:sz="0" w:space="0" w:color="auto"/>
        <w:bottom w:val="none" w:sz="0" w:space="0" w:color="auto"/>
        <w:right w:val="none" w:sz="0" w:space="0" w:color="auto"/>
      </w:divBdr>
      <w:divsChild>
        <w:div w:id="1863585587">
          <w:marLeft w:val="0"/>
          <w:marRight w:val="0"/>
          <w:marTop w:val="0"/>
          <w:marBottom w:val="0"/>
          <w:divBdr>
            <w:top w:val="none" w:sz="0" w:space="0" w:color="auto"/>
            <w:left w:val="none" w:sz="0" w:space="0" w:color="auto"/>
            <w:bottom w:val="none" w:sz="0" w:space="0" w:color="auto"/>
            <w:right w:val="none" w:sz="0" w:space="0" w:color="auto"/>
          </w:divBdr>
        </w:div>
        <w:div w:id="688800920">
          <w:marLeft w:val="0"/>
          <w:marRight w:val="0"/>
          <w:marTop w:val="0"/>
          <w:marBottom w:val="0"/>
          <w:divBdr>
            <w:top w:val="none" w:sz="0" w:space="0" w:color="auto"/>
            <w:left w:val="none" w:sz="0" w:space="0" w:color="auto"/>
            <w:bottom w:val="none" w:sz="0" w:space="0" w:color="auto"/>
            <w:right w:val="none" w:sz="0" w:space="0" w:color="auto"/>
          </w:divBdr>
        </w:div>
        <w:div w:id="460001774">
          <w:marLeft w:val="0"/>
          <w:marRight w:val="0"/>
          <w:marTop w:val="0"/>
          <w:marBottom w:val="0"/>
          <w:divBdr>
            <w:top w:val="none" w:sz="0" w:space="0" w:color="auto"/>
            <w:left w:val="none" w:sz="0" w:space="0" w:color="auto"/>
            <w:bottom w:val="none" w:sz="0" w:space="0" w:color="auto"/>
            <w:right w:val="none" w:sz="0" w:space="0" w:color="auto"/>
          </w:divBdr>
        </w:div>
        <w:div w:id="1667588974">
          <w:marLeft w:val="0"/>
          <w:marRight w:val="0"/>
          <w:marTop w:val="0"/>
          <w:marBottom w:val="0"/>
          <w:divBdr>
            <w:top w:val="none" w:sz="0" w:space="0" w:color="auto"/>
            <w:left w:val="none" w:sz="0" w:space="0" w:color="auto"/>
            <w:bottom w:val="none" w:sz="0" w:space="0" w:color="auto"/>
            <w:right w:val="none" w:sz="0" w:space="0" w:color="auto"/>
          </w:divBdr>
        </w:div>
        <w:div w:id="308561311">
          <w:marLeft w:val="0"/>
          <w:marRight w:val="0"/>
          <w:marTop w:val="0"/>
          <w:marBottom w:val="0"/>
          <w:divBdr>
            <w:top w:val="none" w:sz="0" w:space="0" w:color="auto"/>
            <w:left w:val="none" w:sz="0" w:space="0" w:color="auto"/>
            <w:bottom w:val="none" w:sz="0" w:space="0" w:color="auto"/>
            <w:right w:val="none" w:sz="0" w:space="0" w:color="auto"/>
          </w:divBdr>
        </w:div>
        <w:div w:id="2074501042">
          <w:marLeft w:val="0"/>
          <w:marRight w:val="0"/>
          <w:marTop w:val="0"/>
          <w:marBottom w:val="0"/>
          <w:divBdr>
            <w:top w:val="none" w:sz="0" w:space="0" w:color="auto"/>
            <w:left w:val="none" w:sz="0" w:space="0" w:color="auto"/>
            <w:bottom w:val="none" w:sz="0" w:space="0" w:color="auto"/>
            <w:right w:val="none" w:sz="0" w:space="0" w:color="auto"/>
          </w:divBdr>
        </w:div>
        <w:div w:id="1655063351">
          <w:marLeft w:val="0"/>
          <w:marRight w:val="0"/>
          <w:marTop w:val="0"/>
          <w:marBottom w:val="0"/>
          <w:divBdr>
            <w:top w:val="none" w:sz="0" w:space="0" w:color="auto"/>
            <w:left w:val="none" w:sz="0" w:space="0" w:color="auto"/>
            <w:bottom w:val="none" w:sz="0" w:space="0" w:color="auto"/>
            <w:right w:val="none" w:sz="0" w:space="0" w:color="auto"/>
          </w:divBdr>
        </w:div>
        <w:div w:id="1047922115">
          <w:marLeft w:val="0"/>
          <w:marRight w:val="0"/>
          <w:marTop w:val="0"/>
          <w:marBottom w:val="0"/>
          <w:divBdr>
            <w:top w:val="none" w:sz="0" w:space="0" w:color="auto"/>
            <w:left w:val="none" w:sz="0" w:space="0" w:color="auto"/>
            <w:bottom w:val="none" w:sz="0" w:space="0" w:color="auto"/>
            <w:right w:val="none" w:sz="0" w:space="0" w:color="auto"/>
          </w:divBdr>
        </w:div>
        <w:div w:id="48575874">
          <w:marLeft w:val="0"/>
          <w:marRight w:val="0"/>
          <w:marTop w:val="0"/>
          <w:marBottom w:val="0"/>
          <w:divBdr>
            <w:top w:val="none" w:sz="0" w:space="0" w:color="auto"/>
            <w:left w:val="none" w:sz="0" w:space="0" w:color="auto"/>
            <w:bottom w:val="none" w:sz="0" w:space="0" w:color="auto"/>
            <w:right w:val="none" w:sz="0" w:space="0" w:color="auto"/>
          </w:divBdr>
        </w:div>
        <w:div w:id="1311904747">
          <w:marLeft w:val="0"/>
          <w:marRight w:val="0"/>
          <w:marTop w:val="0"/>
          <w:marBottom w:val="0"/>
          <w:divBdr>
            <w:top w:val="none" w:sz="0" w:space="0" w:color="auto"/>
            <w:left w:val="none" w:sz="0" w:space="0" w:color="auto"/>
            <w:bottom w:val="none" w:sz="0" w:space="0" w:color="auto"/>
            <w:right w:val="none" w:sz="0" w:space="0" w:color="auto"/>
          </w:divBdr>
        </w:div>
        <w:div w:id="474612532">
          <w:marLeft w:val="0"/>
          <w:marRight w:val="0"/>
          <w:marTop w:val="0"/>
          <w:marBottom w:val="0"/>
          <w:divBdr>
            <w:top w:val="none" w:sz="0" w:space="0" w:color="auto"/>
            <w:left w:val="none" w:sz="0" w:space="0" w:color="auto"/>
            <w:bottom w:val="none" w:sz="0" w:space="0" w:color="auto"/>
            <w:right w:val="none" w:sz="0" w:space="0" w:color="auto"/>
          </w:divBdr>
        </w:div>
        <w:div w:id="1796362460">
          <w:marLeft w:val="0"/>
          <w:marRight w:val="0"/>
          <w:marTop w:val="0"/>
          <w:marBottom w:val="0"/>
          <w:divBdr>
            <w:top w:val="none" w:sz="0" w:space="0" w:color="auto"/>
            <w:left w:val="none" w:sz="0" w:space="0" w:color="auto"/>
            <w:bottom w:val="none" w:sz="0" w:space="0" w:color="auto"/>
            <w:right w:val="none" w:sz="0" w:space="0" w:color="auto"/>
          </w:divBdr>
        </w:div>
        <w:div w:id="769862685">
          <w:marLeft w:val="0"/>
          <w:marRight w:val="0"/>
          <w:marTop w:val="0"/>
          <w:marBottom w:val="0"/>
          <w:divBdr>
            <w:top w:val="none" w:sz="0" w:space="0" w:color="auto"/>
            <w:left w:val="none" w:sz="0" w:space="0" w:color="auto"/>
            <w:bottom w:val="none" w:sz="0" w:space="0" w:color="auto"/>
            <w:right w:val="none" w:sz="0" w:space="0" w:color="auto"/>
          </w:divBdr>
        </w:div>
        <w:div w:id="1943148718">
          <w:marLeft w:val="0"/>
          <w:marRight w:val="0"/>
          <w:marTop w:val="0"/>
          <w:marBottom w:val="0"/>
          <w:divBdr>
            <w:top w:val="none" w:sz="0" w:space="0" w:color="auto"/>
            <w:left w:val="none" w:sz="0" w:space="0" w:color="auto"/>
            <w:bottom w:val="none" w:sz="0" w:space="0" w:color="auto"/>
            <w:right w:val="none" w:sz="0" w:space="0" w:color="auto"/>
          </w:divBdr>
        </w:div>
        <w:div w:id="1605726851">
          <w:marLeft w:val="0"/>
          <w:marRight w:val="0"/>
          <w:marTop w:val="0"/>
          <w:marBottom w:val="0"/>
          <w:divBdr>
            <w:top w:val="none" w:sz="0" w:space="0" w:color="auto"/>
            <w:left w:val="none" w:sz="0" w:space="0" w:color="auto"/>
            <w:bottom w:val="none" w:sz="0" w:space="0" w:color="auto"/>
            <w:right w:val="none" w:sz="0" w:space="0" w:color="auto"/>
          </w:divBdr>
        </w:div>
        <w:div w:id="623583766">
          <w:marLeft w:val="0"/>
          <w:marRight w:val="0"/>
          <w:marTop w:val="0"/>
          <w:marBottom w:val="0"/>
          <w:divBdr>
            <w:top w:val="none" w:sz="0" w:space="0" w:color="auto"/>
            <w:left w:val="none" w:sz="0" w:space="0" w:color="auto"/>
            <w:bottom w:val="none" w:sz="0" w:space="0" w:color="auto"/>
            <w:right w:val="none" w:sz="0" w:space="0" w:color="auto"/>
          </w:divBdr>
        </w:div>
        <w:div w:id="1043017721">
          <w:marLeft w:val="0"/>
          <w:marRight w:val="0"/>
          <w:marTop w:val="0"/>
          <w:marBottom w:val="0"/>
          <w:divBdr>
            <w:top w:val="none" w:sz="0" w:space="0" w:color="auto"/>
            <w:left w:val="none" w:sz="0" w:space="0" w:color="auto"/>
            <w:bottom w:val="none" w:sz="0" w:space="0" w:color="auto"/>
            <w:right w:val="none" w:sz="0" w:space="0" w:color="auto"/>
          </w:divBdr>
        </w:div>
        <w:div w:id="2123764212">
          <w:marLeft w:val="0"/>
          <w:marRight w:val="0"/>
          <w:marTop w:val="0"/>
          <w:marBottom w:val="0"/>
          <w:divBdr>
            <w:top w:val="none" w:sz="0" w:space="0" w:color="auto"/>
            <w:left w:val="none" w:sz="0" w:space="0" w:color="auto"/>
            <w:bottom w:val="none" w:sz="0" w:space="0" w:color="auto"/>
            <w:right w:val="none" w:sz="0" w:space="0" w:color="auto"/>
          </w:divBdr>
        </w:div>
        <w:div w:id="1339962400">
          <w:marLeft w:val="0"/>
          <w:marRight w:val="0"/>
          <w:marTop w:val="0"/>
          <w:marBottom w:val="0"/>
          <w:divBdr>
            <w:top w:val="none" w:sz="0" w:space="0" w:color="auto"/>
            <w:left w:val="none" w:sz="0" w:space="0" w:color="auto"/>
            <w:bottom w:val="none" w:sz="0" w:space="0" w:color="auto"/>
            <w:right w:val="none" w:sz="0" w:space="0" w:color="auto"/>
          </w:divBdr>
        </w:div>
        <w:div w:id="1177187551">
          <w:marLeft w:val="0"/>
          <w:marRight w:val="0"/>
          <w:marTop w:val="0"/>
          <w:marBottom w:val="0"/>
          <w:divBdr>
            <w:top w:val="none" w:sz="0" w:space="0" w:color="auto"/>
            <w:left w:val="none" w:sz="0" w:space="0" w:color="auto"/>
            <w:bottom w:val="none" w:sz="0" w:space="0" w:color="auto"/>
            <w:right w:val="none" w:sz="0" w:space="0" w:color="auto"/>
          </w:divBdr>
        </w:div>
        <w:div w:id="816647358">
          <w:marLeft w:val="0"/>
          <w:marRight w:val="0"/>
          <w:marTop w:val="0"/>
          <w:marBottom w:val="0"/>
          <w:divBdr>
            <w:top w:val="none" w:sz="0" w:space="0" w:color="auto"/>
            <w:left w:val="none" w:sz="0" w:space="0" w:color="auto"/>
            <w:bottom w:val="none" w:sz="0" w:space="0" w:color="auto"/>
            <w:right w:val="none" w:sz="0" w:space="0" w:color="auto"/>
          </w:divBdr>
        </w:div>
        <w:div w:id="1761372805">
          <w:marLeft w:val="0"/>
          <w:marRight w:val="0"/>
          <w:marTop w:val="0"/>
          <w:marBottom w:val="0"/>
          <w:divBdr>
            <w:top w:val="none" w:sz="0" w:space="0" w:color="auto"/>
            <w:left w:val="none" w:sz="0" w:space="0" w:color="auto"/>
            <w:bottom w:val="none" w:sz="0" w:space="0" w:color="auto"/>
            <w:right w:val="none" w:sz="0" w:space="0" w:color="auto"/>
          </w:divBdr>
        </w:div>
        <w:div w:id="585530822">
          <w:marLeft w:val="0"/>
          <w:marRight w:val="0"/>
          <w:marTop w:val="0"/>
          <w:marBottom w:val="0"/>
          <w:divBdr>
            <w:top w:val="none" w:sz="0" w:space="0" w:color="auto"/>
            <w:left w:val="none" w:sz="0" w:space="0" w:color="auto"/>
            <w:bottom w:val="none" w:sz="0" w:space="0" w:color="auto"/>
            <w:right w:val="none" w:sz="0" w:space="0" w:color="auto"/>
          </w:divBdr>
        </w:div>
        <w:div w:id="1171528814">
          <w:marLeft w:val="0"/>
          <w:marRight w:val="0"/>
          <w:marTop w:val="0"/>
          <w:marBottom w:val="0"/>
          <w:divBdr>
            <w:top w:val="none" w:sz="0" w:space="0" w:color="auto"/>
            <w:left w:val="none" w:sz="0" w:space="0" w:color="auto"/>
            <w:bottom w:val="none" w:sz="0" w:space="0" w:color="auto"/>
            <w:right w:val="none" w:sz="0" w:space="0" w:color="auto"/>
          </w:divBdr>
        </w:div>
        <w:div w:id="1153258006">
          <w:marLeft w:val="0"/>
          <w:marRight w:val="0"/>
          <w:marTop w:val="0"/>
          <w:marBottom w:val="0"/>
          <w:divBdr>
            <w:top w:val="none" w:sz="0" w:space="0" w:color="auto"/>
            <w:left w:val="none" w:sz="0" w:space="0" w:color="auto"/>
            <w:bottom w:val="none" w:sz="0" w:space="0" w:color="auto"/>
            <w:right w:val="none" w:sz="0" w:space="0" w:color="auto"/>
          </w:divBdr>
        </w:div>
      </w:divsChild>
    </w:div>
    <w:div w:id="198889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55978</Words>
  <Characters>319079</Characters>
  <Application>Microsoft Macintosh Word</Application>
  <DocSecurity>0</DocSecurity>
  <Lines>2658</Lines>
  <Paragraphs>748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374309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Hope</dc:creator>
  <cp:lastModifiedBy>William Hope</cp:lastModifiedBy>
  <cp:revision>3</cp:revision>
  <cp:lastPrinted>2016-03-10T14:52:00Z</cp:lastPrinted>
  <dcterms:created xsi:type="dcterms:W3CDTF">2016-06-23T10:57:00Z</dcterms:created>
  <dcterms:modified xsi:type="dcterms:W3CDTF">2016-06-23T11:01:00Z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william.hope@liverpool.ac.uk@www.mendeley.com</vt:lpwstr>
  </property>
  <property fmtid="{D5CDD505-2E9C-101B-9397-08002B2CF9AE}" pid="4" name="Mendeley Citation Style_1">
    <vt:lpwstr>http://csl.mendeley.com/styles/111843481/journal-of-antimicrobial-chemotherapy</vt:lpwstr>
  </property>
  <property fmtid="{D5CDD505-2E9C-101B-9397-08002B2CF9AE}" pid="5" name="Mendeley Recent Style Id 0_1">
    <vt:lpwstr>http://csl.mendeley.com/styles/111843481/american-society-for-microbiology-ed</vt:lpwstr>
  </property>
  <property fmtid="{D5CDD505-2E9C-101B-9397-08002B2CF9AE}" pid="6" name="Mendeley Recent Style Name 0_1">
    <vt:lpwstr>American Society for Microbiology - William Hope</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http://www.zotero.org/styles/antimicrobial-agents-and-chemotherapy</vt:lpwstr>
  </property>
  <property fmtid="{D5CDD505-2E9C-101B-9397-08002B2CF9AE}" pid="10" name="Mendeley Recent Style Name 2_1">
    <vt:lpwstr>Antimicrobial Agents and Chemotherapy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http://www.zotero.org/styles/journal-of-antimicrobial-chemotherapy</vt:lpwstr>
  </property>
  <property fmtid="{D5CDD505-2E9C-101B-9397-08002B2CF9AE}" pid="18" name="Mendeley Recent Style Name 6_1">
    <vt:lpwstr>Journal of Antimicrobial Chemotherapy</vt:lpwstr>
  </property>
  <property fmtid="{D5CDD505-2E9C-101B-9397-08002B2CF9AE}" pid="19" name="Mendeley Recent Style Id 7_1">
    <vt:lpwstr>http://csl.mendeley.com/styles/111843481/journal-of-antimicrobial-chemotherapy</vt:lpwstr>
  </property>
  <property fmtid="{D5CDD505-2E9C-101B-9397-08002B2CF9AE}" pid="20" name="Mendeley Recent Style Name 7_1">
    <vt:lpwstr>Journal of Antimicrobial Chemotherapy - William Hope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