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2B908" w14:textId="0F802379" w:rsidR="00FC6262" w:rsidRPr="007C5CC0" w:rsidRDefault="00FC6262" w:rsidP="007C5CC0">
      <w:pPr>
        <w:tabs>
          <w:tab w:val="left" w:pos="6379"/>
        </w:tabs>
        <w:rPr>
          <w:rFonts w:ascii="Calibri" w:hAnsi="Calibri"/>
          <w:sz w:val="24"/>
          <w:szCs w:val="24"/>
          <w:lang w:val="en-US"/>
        </w:rPr>
      </w:pPr>
    </w:p>
    <w:p w14:paraId="02313E4D" w14:textId="13A5A389" w:rsidR="002F0973" w:rsidRPr="00801528" w:rsidRDefault="00E339D5" w:rsidP="007C5CC0">
      <w:pPr>
        <w:tabs>
          <w:tab w:val="left" w:pos="6379"/>
        </w:tabs>
        <w:rPr>
          <w:rFonts w:ascii="Calibri" w:hAnsi="Calibri"/>
          <w:sz w:val="32"/>
          <w:szCs w:val="32"/>
          <w:lang w:val="en-US"/>
        </w:rPr>
      </w:pPr>
      <w:r w:rsidRPr="00801528">
        <w:rPr>
          <w:rFonts w:ascii="Calibri" w:hAnsi="Calibri"/>
          <w:bCs/>
          <w:sz w:val="32"/>
          <w:szCs w:val="32"/>
        </w:rPr>
        <w:t xml:space="preserve">Voriconazole </w:t>
      </w:r>
      <w:r w:rsidR="007273C1">
        <w:rPr>
          <w:rFonts w:ascii="Calibri" w:hAnsi="Calibri"/>
          <w:bCs/>
          <w:sz w:val="32"/>
          <w:szCs w:val="32"/>
        </w:rPr>
        <w:t>Pharmacokinetics</w:t>
      </w:r>
      <w:r w:rsidR="00E34BB0" w:rsidRPr="00801528">
        <w:rPr>
          <w:rFonts w:ascii="Calibri" w:hAnsi="Calibri"/>
          <w:bCs/>
          <w:sz w:val="32"/>
          <w:szCs w:val="32"/>
        </w:rPr>
        <w:t xml:space="preserve"> </w:t>
      </w:r>
      <w:r w:rsidR="00E34BB0" w:rsidRPr="00D12E84">
        <w:rPr>
          <w:rFonts w:ascii="Calibri" w:hAnsi="Calibri"/>
          <w:bCs/>
          <w:sz w:val="32"/>
          <w:szCs w:val="32"/>
        </w:rPr>
        <w:t xml:space="preserve">Following </w:t>
      </w:r>
      <w:proofErr w:type="spellStart"/>
      <w:r w:rsidR="00E852E5" w:rsidRPr="00654F58">
        <w:rPr>
          <w:rFonts w:ascii="Calibri" w:hAnsi="Calibri"/>
          <w:bCs/>
          <w:sz w:val="32"/>
          <w:szCs w:val="32"/>
        </w:rPr>
        <w:t>Hematopoitic</w:t>
      </w:r>
      <w:proofErr w:type="spellEnd"/>
      <w:r w:rsidR="00E852E5" w:rsidRPr="00654F58">
        <w:rPr>
          <w:rFonts w:ascii="Calibri" w:hAnsi="Calibri"/>
          <w:bCs/>
          <w:sz w:val="32"/>
          <w:szCs w:val="32"/>
        </w:rPr>
        <w:t xml:space="preserve"> Stem Cell Transplantation</w:t>
      </w:r>
      <w:r w:rsidR="00E34BB0" w:rsidRPr="00B37E9D">
        <w:rPr>
          <w:rFonts w:ascii="Calibri" w:hAnsi="Calibri"/>
          <w:bCs/>
          <w:sz w:val="32"/>
          <w:szCs w:val="32"/>
        </w:rPr>
        <w:t>: Results</w:t>
      </w:r>
      <w:r w:rsidR="00E34BB0" w:rsidRPr="006411BF">
        <w:rPr>
          <w:rFonts w:ascii="Calibri" w:hAnsi="Calibri"/>
          <w:bCs/>
          <w:sz w:val="32"/>
          <w:szCs w:val="32"/>
        </w:rPr>
        <w:t xml:space="preserve"> From the </w:t>
      </w:r>
      <w:r w:rsidR="00F13DA8" w:rsidRPr="00D13501">
        <w:rPr>
          <w:rFonts w:ascii="Calibri" w:hAnsi="Calibri"/>
          <w:sz w:val="32"/>
          <w:szCs w:val="32"/>
          <w:lang w:val="en-US"/>
        </w:rPr>
        <w:t>BMT CTN 0101 T</w:t>
      </w:r>
      <w:r w:rsidR="00E34BB0" w:rsidRPr="00352EBE">
        <w:rPr>
          <w:rFonts w:ascii="Calibri" w:hAnsi="Calibri"/>
          <w:sz w:val="32"/>
          <w:szCs w:val="32"/>
          <w:lang w:val="en-US"/>
        </w:rPr>
        <w:t>rial</w:t>
      </w:r>
      <w:r w:rsidRPr="00801528">
        <w:rPr>
          <w:rFonts w:ascii="Calibri" w:hAnsi="Calibri"/>
          <w:bCs/>
          <w:sz w:val="32"/>
          <w:szCs w:val="32"/>
        </w:rPr>
        <w:t xml:space="preserve"> </w:t>
      </w:r>
    </w:p>
    <w:p w14:paraId="362FD402" w14:textId="77777777" w:rsidR="002F0973" w:rsidRPr="007C5CC0" w:rsidRDefault="002F0973" w:rsidP="007C5CC0">
      <w:pPr>
        <w:tabs>
          <w:tab w:val="left" w:pos="6379"/>
        </w:tabs>
        <w:rPr>
          <w:rFonts w:ascii="Calibri" w:hAnsi="Calibri"/>
          <w:sz w:val="24"/>
          <w:szCs w:val="24"/>
          <w:lang w:val="en-US"/>
        </w:rPr>
      </w:pPr>
    </w:p>
    <w:p w14:paraId="63E527DE" w14:textId="35869B22" w:rsidR="00E339D5" w:rsidRPr="00360D1B" w:rsidRDefault="00E339D5" w:rsidP="007C5CC0">
      <w:pPr>
        <w:tabs>
          <w:tab w:val="left" w:pos="6379"/>
        </w:tabs>
        <w:rPr>
          <w:rFonts w:ascii="Calibri" w:hAnsi="Calibri"/>
          <w:sz w:val="24"/>
          <w:szCs w:val="24"/>
        </w:rPr>
      </w:pPr>
      <w:r w:rsidRPr="007C5CC0">
        <w:rPr>
          <w:rFonts w:ascii="Calibri" w:hAnsi="Calibri"/>
          <w:sz w:val="24"/>
          <w:szCs w:val="24"/>
        </w:rPr>
        <w:t>W</w:t>
      </w:r>
      <w:r w:rsidR="00B865E3">
        <w:rPr>
          <w:rFonts w:ascii="Calibri" w:hAnsi="Calibri"/>
          <w:sz w:val="24"/>
          <w:szCs w:val="24"/>
        </w:rPr>
        <w:t>illiam</w:t>
      </w:r>
      <w:r w:rsidRPr="007C5CC0">
        <w:rPr>
          <w:rFonts w:ascii="Calibri" w:hAnsi="Calibri"/>
          <w:sz w:val="24"/>
          <w:szCs w:val="24"/>
        </w:rPr>
        <w:t xml:space="preserve"> W. Hope</w:t>
      </w:r>
      <w:r w:rsidRPr="007C5CC0">
        <w:rPr>
          <w:rFonts w:ascii="Calibri" w:hAnsi="Calibri"/>
          <w:sz w:val="24"/>
          <w:szCs w:val="24"/>
          <w:vertAlign w:val="superscript"/>
        </w:rPr>
        <w:t>1</w:t>
      </w:r>
      <w:r w:rsidRPr="007C5CC0">
        <w:rPr>
          <w:rFonts w:ascii="Calibri" w:hAnsi="Calibri"/>
          <w:sz w:val="24"/>
          <w:szCs w:val="24"/>
        </w:rPr>
        <w:t>, T</w:t>
      </w:r>
      <w:r w:rsidR="00B865E3">
        <w:rPr>
          <w:rFonts w:ascii="Calibri" w:hAnsi="Calibri"/>
          <w:sz w:val="24"/>
          <w:szCs w:val="24"/>
        </w:rPr>
        <w:t>homas</w:t>
      </w:r>
      <w:r w:rsidRPr="007C5CC0">
        <w:rPr>
          <w:rFonts w:ascii="Calibri" w:hAnsi="Calibri"/>
          <w:sz w:val="24"/>
          <w:szCs w:val="24"/>
        </w:rPr>
        <w:t xml:space="preserve"> J. Walsh</w:t>
      </w:r>
      <w:r w:rsidRPr="007C5CC0">
        <w:rPr>
          <w:rFonts w:ascii="Calibri" w:hAnsi="Calibri"/>
          <w:sz w:val="24"/>
          <w:szCs w:val="24"/>
          <w:vertAlign w:val="superscript"/>
        </w:rPr>
        <w:t>2</w:t>
      </w:r>
      <w:r w:rsidR="00B865E3">
        <w:rPr>
          <w:rFonts w:ascii="Calibri" w:hAnsi="Calibri"/>
          <w:sz w:val="24"/>
          <w:szCs w:val="24"/>
        </w:rPr>
        <w:t>, Joanne</w:t>
      </w:r>
      <w:r w:rsidRPr="007C5CC0">
        <w:rPr>
          <w:rFonts w:ascii="Calibri" w:hAnsi="Calibri"/>
          <w:sz w:val="24"/>
          <w:szCs w:val="24"/>
        </w:rPr>
        <w:t xml:space="preserve"> Goodwin</w:t>
      </w:r>
      <w:r w:rsidRPr="007C5CC0">
        <w:rPr>
          <w:rFonts w:ascii="Calibri" w:hAnsi="Calibri"/>
          <w:sz w:val="24"/>
          <w:szCs w:val="24"/>
          <w:vertAlign w:val="superscript"/>
        </w:rPr>
        <w:t>1</w:t>
      </w:r>
      <w:r w:rsidR="00B865E3">
        <w:rPr>
          <w:rFonts w:ascii="Calibri" w:hAnsi="Calibri"/>
          <w:sz w:val="24"/>
          <w:szCs w:val="24"/>
        </w:rPr>
        <w:t>, Charles</w:t>
      </w:r>
      <w:r w:rsidRPr="007C5CC0">
        <w:rPr>
          <w:rFonts w:ascii="Calibri" w:hAnsi="Calibri"/>
          <w:sz w:val="24"/>
          <w:szCs w:val="24"/>
        </w:rPr>
        <w:t xml:space="preserve"> </w:t>
      </w:r>
      <w:r w:rsidR="00C57E9A">
        <w:rPr>
          <w:rFonts w:ascii="Calibri" w:hAnsi="Calibri"/>
          <w:sz w:val="24"/>
          <w:szCs w:val="24"/>
        </w:rPr>
        <w:t xml:space="preserve">A. </w:t>
      </w:r>
      <w:r w:rsidRPr="007C5CC0">
        <w:rPr>
          <w:rFonts w:ascii="Calibri" w:hAnsi="Calibri"/>
          <w:sz w:val="24"/>
          <w:szCs w:val="24"/>
        </w:rPr>
        <w:t>Peloquin</w:t>
      </w:r>
      <w:r w:rsidRPr="007C5CC0">
        <w:rPr>
          <w:rFonts w:ascii="Calibri" w:hAnsi="Calibri"/>
          <w:sz w:val="24"/>
          <w:szCs w:val="24"/>
          <w:vertAlign w:val="superscript"/>
        </w:rPr>
        <w:t>3</w:t>
      </w:r>
      <w:r w:rsidR="00B865E3">
        <w:rPr>
          <w:rFonts w:ascii="Calibri" w:hAnsi="Calibri"/>
          <w:sz w:val="24"/>
          <w:szCs w:val="24"/>
        </w:rPr>
        <w:t>, Alan</w:t>
      </w:r>
      <w:r w:rsidRPr="007C5CC0">
        <w:rPr>
          <w:rFonts w:ascii="Calibri" w:hAnsi="Calibri"/>
          <w:sz w:val="24"/>
          <w:szCs w:val="24"/>
        </w:rPr>
        <w:t xml:space="preserve"> Howard</w:t>
      </w:r>
      <w:r w:rsidRPr="007C5CC0">
        <w:rPr>
          <w:rFonts w:ascii="Calibri" w:hAnsi="Calibri"/>
          <w:sz w:val="24"/>
          <w:szCs w:val="24"/>
          <w:vertAlign w:val="superscript"/>
        </w:rPr>
        <w:t>4</w:t>
      </w:r>
      <w:r w:rsidR="00F13791">
        <w:rPr>
          <w:rFonts w:ascii="Calibri" w:hAnsi="Calibri"/>
          <w:sz w:val="24"/>
          <w:szCs w:val="24"/>
        </w:rPr>
        <w:t>, Joanne</w:t>
      </w:r>
      <w:r w:rsidRPr="007C5CC0">
        <w:rPr>
          <w:rFonts w:ascii="Calibri" w:hAnsi="Calibri"/>
          <w:sz w:val="24"/>
          <w:szCs w:val="24"/>
        </w:rPr>
        <w:t xml:space="preserve"> Kurtzberg</w:t>
      </w:r>
      <w:r w:rsidRPr="007C5CC0">
        <w:rPr>
          <w:rFonts w:ascii="Calibri" w:hAnsi="Calibri"/>
          <w:sz w:val="24"/>
          <w:szCs w:val="24"/>
          <w:vertAlign w:val="superscript"/>
        </w:rPr>
        <w:t>5</w:t>
      </w:r>
      <w:r w:rsidR="00B865E3">
        <w:rPr>
          <w:rFonts w:ascii="Calibri" w:hAnsi="Calibri"/>
          <w:sz w:val="24"/>
          <w:szCs w:val="24"/>
        </w:rPr>
        <w:t>, Alan</w:t>
      </w:r>
      <w:r w:rsidRPr="007C5CC0">
        <w:rPr>
          <w:rFonts w:ascii="Calibri" w:hAnsi="Calibri"/>
          <w:sz w:val="24"/>
          <w:szCs w:val="24"/>
        </w:rPr>
        <w:t xml:space="preserve"> Men</w:t>
      </w:r>
      <w:r w:rsidR="005D26C1">
        <w:rPr>
          <w:rFonts w:ascii="Calibri" w:hAnsi="Calibri"/>
          <w:sz w:val="24"/>
          <w:szCs w:val="24"/>
        </w:rPr>
        <w:t>d</w:t>
      </w:r>
      <w:r w:rsidRPr="007C5CC0">
        <w:rPr>
          <w:rFonts w:ascii="Calibri" w:hAnsi="Calibri"/>
          <w:sz w:val="24"/>
          <w:szCs w:val="24"/>
        </w:rPr>
        <w:t>izabal</w:t>
      </w:r>
      <w:r w:rsidRPr="007C5CC0">
        <w:rPr>
          <w:rFonts w:ascii="Calibri" w:hAnsi="Calibri"/>
          <w:sz w:val="24"/>
          <w:szCs w:val="24"/>
          <w:vertAlign w:val="superscript"/>
        </w:rPr>
        <w:t>6</w:t>
      </w:r>
      <w:r w:rsidRPr="007C5CC0">
        <w:rPr>
          <w:rFonts w:ascii="Calibri" w:hAnsi="Calibri"/>
          <w:sz w:val="24"/>
          <w:szCs w:val="24"/>
        </w:rPr>
        <w:t>, D. Confer</w:t>
      </w:r>
      <w:r w:rsidRPr="007C5CC0">
        <w:rPr>
          <w:rFonts w:ascii="Calibri" w:hAnsi="Calibri"/>
          <w:sz w:val="24"/>
          <w:szCs w:val="24"/>
          <w:vertAlign w:val="superscript"/>
        </w:rPr>
        <w:t>7</w:t>
      </w:r>
      <w:r w:rsidR="00B865E3">
        <w:rPr>
          <w:rFonts w:ascii="Calibri" w:hAnsi="Calibri"/>
          <w:sz w:val="24"/>
          <w:szCs w:val="24"/>
        </w:rPr>
        <w:t xml:space="preserve">, </w:t>
      </w:r>
      <w:r w:rsidR="00056819">
        <w:rPr>
          <w:rFonts w:ascii="Calibri" w:hAnsi="Calibri"/>
          <w:sz w:val="24"/>
          <w:szCs w:val="24"/>
        </w:rPr>
        <w:t>Jürgen</w:t>
      </w:r>
      <w:r w:rsidRPr="007C5CC0">
        <w:rPr>
          <w:rFonts w:ascii="Calibri" w:hAnsi="Calibri"/>
          <w:sz w:val="24"/>
          <w:szCs w:val="24"/>
        </w:rPr>
        <w:t xml:space="preserve"> Bulitta</w:t>
      </w:r>
      <w:r w:rsidRPr="007C5CC0">
        <w:rPr>
          <w:rFonts w:ascii="Calibri" w:hAnsi="Calibri"/>
          <w:sz w:val="24"/>
          <w:szCs w:val="24"/>
          <w:vertAlign w:val="superscript"/>
        </w:rPr>
        <w:t>8</w:t>
      </w:r>
      <w:r w:rsidR="00B865E3">
        <w:rPr>
          <w:rFonts w:ascii="Calibri" w:hAnsi="Calibri"/>
          <w:sz w:val="24"/>
          <w:szCs w:val="24"/>
        </w:rPr>
        <w:t xml:space="preserve">, Lindsey </w:t>
      </w:r>
      <w:r w:rsidRPr="007C5CC0">
        <w:rPr>
          <w:rFonts w:ascii="Calibri" w:hAnsi="Calibri"/>
          <w:sz w:val="24"/>
          <w:szCs w:val="24"/>
        </w:rPr>
        <w:t>Baden</w:t>
      </w:r>
      <w:r w:rsidR="00022FB4">
        <w:rPr>
          <w:rFonts w:ascii="Calibri" w:hAnsi="Calibri"/>
          <w:sz w:val="24"/>
          <w:szCs w:val="24"/>
          <w:vertAlign w:val="superscript"/>
        </w:rPr>
        <w:t>9</w:t>
      </w:r>
      <w:r w:rsidR="00B865E3">
        <w:rPr>
          <w:rFonts w:ascii="Calibri" w:hAnsi="Calibri"/>
          <w:sz w:val="24"/>
          <w:szCs w:val="24"/>
        </w:rPr>
        <w:t xml:space="preserve">, </w:t>
      </w:r>
      <w:r w:rsidR="00AF44E0">
        <w:rPr>
          <w:rFonts w:ascii="Calibri" w:hAnsi="Calibri"/>
          <w:sz w:val="24"/>
          <w:szCs w:val="24"/>
        </w:rPr>
        <w:t>Michael</w:t>
      </w:r>
      <w:r w:rsidR="00AF44E0" w:rsidRPr="007C5CC0">
        <w:rPr>
          <w:rFonts w:ascii="Calibri" w:hAnsi="Calibri"/>
          <w:sz w:val="24"/>
          <w:szCs w:val="24"/>
        </w:rPr>
        <w:t xml:space="preserve"> </w:t>
      </w:r>
      <w:r w:rsidR="00122F74">
        <w:rPr>
          <w:rFonts w:ascii="Calibri" w:hAnsi="Calibri"/>
          <w:sz w:val="24"/>
          <w:szCs w:val="24"/>
        </w:rPr>
        <w:t xml:space="preserve">N. </w:t>
      </w:r>
      <w:r w:rsidR="000F3590" w:rsidRPr="007C5CC0">
        <w:rPr>
          <w:rFonts w:ascii="Calibri" w:hAnsi="Calibri"/>
          <w:sz w:val="24"/>
          <w:szCs w:val="24"/>
        </w:rPr>
        <w:t>Neely</w:t>
      </w:r>
      <w:r w:rsidR="000F3590">
        <w:rPr>
          <w:rFonts w:ascii="Calibri" w:hAnsi="Calibri"/>
          <w:sz w:val="24"/>
          <w:szCs w:val="24"/>
          <w:vertAlign w:val="superscript"/>
        </w:rPr>
        <w:t xml:space="preserve">10 </w:t>
      </w:r>
      <w:r w:rsidR="00B865E3">
        <w:rPr>
          <w:rFonts w:ascii="Calibri" w:hAnsi="Calibri"/>
          <w:sz w:val="24"/>
          <w:szCs w:val="24"/>
        </w:rPr>
        <w:t>John</w:t>
      </w:r>
      <w:r w:rsidRPr="007C5CC0">
        <w:rPr>
          <w:rFonts w:ascii="Calibri" w:hAnsi="Calibri"/>
          <w:sz w:val="24"/>
          <w:szCs w:val="24"/>
        </w:rPr>
        <w:t xml:space="preserve"> R. Wingard</w:t>
      </w:r>
      <w:r w:rsidRPr="007C5CC0">
        <w:rPr>
          <w:rFonts w:ascii="Calibri" w:hAnsi="Calibri"/>
          <w:sz w:val="24"/>
          <w:szCs w:val="24"/>
          <w:vertAlign w:val="superscript"/>
        </w:rPr>
        <w:t>3</w:t>
      </w:r>
      <w:r w:rsidR="00360D1B">
        <w:rPr>
          <w:rFonts w:ascii="Calibri" w:hAnsi="Calibri"/>
          <w:sz w:val="24"/>
          <w:szCs w:val="24"/>
        </w:rPr>
        <w:t xml:space="preserve"> for the Blood and Marrow Transplant Clinical Trials Network</w:t>
      </w:r>
    </w:p>
    <w:p w14:paraId="69376A01" w14:textId="42B3DF37" w:rsidR="00E339D5" w:rsidRPr="007C5CC0" w:rsidRDefault="00E339D5" w:rsidP="007C5CC0">
      <w:pPr>
        <w:tabs>
          <w:tab w:val="left" w:pos="6379"/>
        </w:tabs>
        <w:rPr>
          <w:rFonts w:ascii="Calibri" w:hAnsi="Calibri"/>
          <w:sz w:val="24"/>
          <w:szCs w:val="24"/>
        </w:rPr>
      </w:pPr>
      <w:r w:rsidRPr="00FF2892">
        <w:rPr>
          <w:rFonts w:ascii="Calibri" w:hAnsi="Calibri"/>
          <w:sz w:val="24"/>
          <w:szCs w:val="24"/>
          <w:vertAlign w:val="superscript"/>
        </w:rPr>
        <w:t>1</w:t>
      </w:r>
      <w:r w:rsidR="00FF2892">
        <w:rPr>
          <w:rFonts w:ascii="Calibri" w:hAnsi="Calibri"/>
          <w:sz w:val="24"/>
          <w:szCs w:val="24"/>
        </w:rPr>
        <w:t xml:space="preserve">Department of Molecular and Clinical Pharmacology, </w:t>
      </w:r>
      <w:r w:rsidRPr="00FF2892">
        <w:rPr>
          <w:rFonts w:ascii="Calibri" w:hAnsi="Calibri"/>
          <w:sz w:val="24"/>
          <w:szCs w:val="24"/>
        </w:rPr>
        <w:t>Univ</w:t>
      </w:r>
      <w:r w:rsidR="003D7B3C" w:rsidRPr="00FF2892">
        <w:rPr>
          <w:rFonts w:ascii="Calibri" w:hAnsi="Calibri"/>
          <w:sz w:val="24"/>
          <w:szCs w:val="24"/>
        </w:rPr>
        <w:t>ersity</w:t>
      </w:r>
      <w:r w:rsidRPr="007C5CC0">
        <w:rPr>
          <w:rFonts w:ascii="Calibri" w:hAnsi="Calibri"/>
          <w:sz w:val="24"/>
          <w:szCs w:val="24"/>
        </w:rPr>
        <w:t xml:space="preserve"> of Liverpool, Liverpool, UK, </w:t>
      </w:r>
      <w:r w:rsidRPr="007C5CC0">
        <w:rPr>
          <w:rFonts w:ascii="Calibri" w:hAnsi="Calibri"/>
          <w:sz w:val="24"/>
          <w:szCs w:val="24"/>
          <w:vertAlign w:val="superscript"/>
        </w:rPr>
        <w:t>2</w:t>
      </w:r>
      <w:r w:rsidR="00345F93">
        <w:rPr>
          <w:rFonts w:ascii="Calibri" w:hAnsi="Calibri"/>
          <w:sz w:val="24"/>
          <w:szCs w:val="24"/>
        </w:rPr>
        <w:t>Transplantation-Oncology Infectious Diseases Program, D</w:t>
      </w:r>
      <w:r w:rsidR="002B6F27">
        <w:rPr>
          <w:rFonts w:ascii="Calibri" w:hAnsi="Calibri"/>
          <w:sz w:val="24"/>
          <w:szCs w:val="24"/>
        </w:rPr>
        <w:t>epartments of Medicine</w:t>
      </w:r>
      <w:proofErr w:type="gramStart"/>
      <w:r w:rsidR="002B6F27">
        <w:rPr>
          <w:rFonts w:ascii="Calibri" w:hAnsi="Calibri"/>
          <w:sz w:val="24"/>
          <w:szCs w:val="24"/>
        </w:rPr>
        <w:t>,  Pediatrics</w:t>
      </w:r>
      <w:proofErr w:type="gramEnd"/>
      <w:r w:rsidR="002B6F27">
        <w:rPr>
          <w:rFonts w:ascii="Calibri" w:hAnsi="Calibri"/>
          <w:sz w:val="24"/>
          <w:szCs w:val="24"/>
        </w:rPr>
        <w:t>, and Microbiol</w:t>
      </w:r>
      <w:r w:rsidR="00345F93">
        <w:rPr>
          <w:rFonts w:ascii="Calibri" w:hAnsi="Calibri"/>
          <w:sz w:val="24"/>
          <w:szCs w:val="24"/>
        </w:rPr>
        <w:t>ogy &amp; Immunology, Weill Cornell</w:t>
      </w:r>
      <w:r w:rsidR="002B6F27">
        <w:rPr>
          <w:rFonts w:ascii="Calibri" w:hAnsi="Calibri"/>
          <w:sz w:val="24"/>
          <w:szCs w:val="24"/>
        </w:rPr>
        <w:t xml:space="preserve"> Medicine of Cornell University, New York, NY,</w:t>
      </w:r>
      <w:r w:rsidRPr="007C5CC0">
        <w:rPr>
          <w:rFonts w:ascii="Calibri" w:hAnsi="Calibri"/>
          <w:sz w:val="24"/>
          <w:szCs w:val="24"/>
        </w:rPr>
        <w:t xml:space="preserve"> USA, </w:t>
      </w:r>
      <w:r w:rsidRPr="007C5CC0">
        <w:rPr>
          <w:rFonts w:ascii="Calibri" w:hAnsi="Calibri"/>
          <w:sz w:val="24"/>
          <w:szCs w:val="24"/>
          <w:vertAlign w:val="superscript"/>
        </w:rPr>
        <w:t>3</w:t>
      </w:r>
      <w:r w:rsidR="003D7B3C" w:rsidRPr="007C5CC0">
        <w:rPr>
          <w:rFonts w:ascii="Calibri" w:hAnsi="Calibri"/>
          <w:sz w:val="24"/>
          <w:szCs w:val="24"/>
        </w:rPr>
        <w:t>Univ</w:t>
      </w:r>
      <w:r w:rsidR="003D7B3C">
        <w:rPr>
          <w:rFonts w:ascii="Calibri" w:hAnsi="Calibri"/>
          <w:sz w:val="24"/>
          <w:szCs w:val="24"/>
        </w:rPr>
        <w:t>ersity</w:t>
      </w:r>
      <w:r w:rsidRPr="007C5CC0">
        <w:rPr>
          <w:rFonts w:ascii="Calibri" w:hAnsi="Calibri"/>
          <w:sz w:val="24"/>
          <w:szCs w:val="24"/>
        </w:rPr>
        <w:t xml:space="preserve"> of Florida, Gainesville, FL, </w:t>
      </w:r>
      <w:r w:rsidRPr="007C5CC0">
        <w:rPr>
          <w:rFonts w:ascii="Calibri" w:hAnsi="Calibri"/>
          <w:sz w:val="24"/>
          <w:szCs w:val="24"/>
          <w:vertAlign w:val="superscript"/>
        </w:rPr>
        <w:t>4</w:t>
      </w:r>
      <w:r w:rsidR="005C596E">
        <w:rPr>
          <w:rFonts w:ascii="Calibri" w:hAnsi="Calibri"/>
          <w:sz w:val="24"/>
          <w:szCs w:val="24"/>
        </w:rPr>
        <w:t>Center for International Blood and Marrow Transplant Research</w:t>
      </w:r>
      <w:r w:rsidRPr="007C5CC0">
        <w:rPr>
          <w:rFonts w:ascii="Calibri" w:hAnsi="Calibri"/>
          <w:sz w:val="24"/>
          <w:szCs w:val="24"/>
        </w:rPr>
        <w:t xml:space="preserve">, Minneapolis, MN, </w:t>
      </w:r>
      <w:r w:rsidRPr="007C5CC0">
        <w:rPr>
          <w:rFonts w:ascii="Calibri" w:hAnsi="Calibri"/>
          <w:sz w:val="24"/>
          <w:szCs w:val="24"/>
          <w:vertAlign w:val="superscript"/>
        </w:rPr>
        <w:t>5</w:t>
      </w:r>
      <w:r w:rsidRPr="007C5CC0">
        <w:rPr>
          <w:rFonts w:ascii="Calibri" w:hAnsi="Calibri"/>
          <w:sz w:val="24"/>
          <w:szCs w:val="24"/>
        </w:rPr>
        <w:t xml:space="preserve">Duke </w:t>
      </w:r>
      <w:r w:rsidR="003D7B3C" w:rsidRPr="007C5CC0">
        <w:rPr>
          <w:rFonts w:ascii="Calibri" w:hAnsi="Calibri"/>
          <w:sz w:val="24"/>
          <w:szCs w:val="24"/>
        </w:rPr>
        <w:t>Univ</w:t>
      </w:r>
      <w:r w:rsidR="003D7B3C">
        <w:rPr>
          <w:rFonts w:ascii="Calibri" w:hAnsi="Calibri"/>
          <w:sz w:val="24"/>
          <w:szCs w:val="24"/>
        </w:rPr>
        <w:t>ersity</w:t>
      </w:r>
      <w:r w:rsidRPr="007C5CC0">
        <w:rPr>
          <w:rFonts w:ascii="Calibri" w:hAnsi="Calibri"/>
          <w:sz w:val="24"/>
          <w:szCs w:val="24"/>
        </w:rPr>
        <w:t>,</w:t>
      </w:r>
      <w:r w:rsidR="008C0C24">
        <w:rPr>
          <w:rFonts w:ascii="Calibri" w:hAnsi="Calibri"/>
          <w:sz w:val="24"/>
          <w:szCs w:val="24"/>
        </w:rPr>
        <w:t xml:space="preserve"> </w:t>
      </w:r>
      <w:r w:rsidRPr="007C5CC0">
        <w:rPr>
          <w:rFonts w:ascii="Calibri" w:hAnsi="Calibri"/>
          <w:sz w:val="24"/>
          <w:szCs w:val="24"/>
        </w:rPr>
        <w:t xml:space="preserve">Durham, NC, </w:t>
      </w:r>
      <w:r w:rsidRPr="007C5CC0">
        <w:rPr>
          <w:rFonts w:ascii="Calibri" w:hAnsi="Calibri"/>
          <w:sz w:val="24"/>
          <w:szCs w:val="24"/>
          <w:vertAlign w:val="superscript"/>
        </w:rPr>
        <w:t>6</w:t>
      </w:r>
      <w:r w:rsidRPr="007C5CC0">
        <w:rPr>
          <w:rFonts w:ascii="Calibri" w:hAnsi="Calibri"/>
          <w:sz w:val="24"/>
          <w:szCs w:val="24"/>
        </w:rPr>
        <w:t>E</w:t>
      </w:r>
      <w:r w:rsidR="00F176FC">
        <w:rPr>
          <w:rFonts w:ascii="Calibri" w:hAnsi="Calibri"/>
          <w:sz w:val="24"/>
          <w:szCs w:val="24"/>
        </w:rPr>
        <w:t>mmes</w:t>
      </w:r>
      <w:r w:rsidRPr="007C5CC0">
        <w:rPr>
          <w:rFonts w:ascii="Calibri" w:hAnsi="Calibri"/>
          <w:sz w:val="24"/>
          <w:szCs w:val="24"/>
        </w:rPr>
        <w:t xml:space="preserve"> Corp., Rockville, MD, </w:t>
      </w:r>
      <w:r w:rsidRPr="007C5CC0">
        <w:rPr>
          <w:rFonts w:ascii="Calibri" w:hAnsi="Calibri"/>
          <w:sz w:val="24"/>
          <w:szCs w:val="24"/>
          <w:vertAlign w:val="superscript"/>
        </w:rPr>
        <w:t>7</w:t>
      </w:r>
      <w:r w:rsidRPr="007C5CC0">
        <w:rPr>
          <w:rFonts w:ascii="Calibri" w:hAnsi="Calibri"/>
          <w:sz w:val="24"/>
          <w:szCs w:val="24"/>
        </w:rPr>
        <w:t>Nat</w:t>
      </w:r>
      <w:r w:rsidR="00FF2892">
        <w:rPr>
          <w:rFonts w:ascii="Calibri" w:hAnsi="Calibri"/>
          <w:sz w:val="24"/>
          <w:szCs w:val="24"/>
        </w:rPr>
        <w:t>ional</w:t>
      </w:r>
      <w:r w:rsidRPr="007C5CC0">
        <w:rPr>
          <w:rFonts w:ascii="Calibri" w:hAnsi="Calibri"/>
          <w:sz w:val="24"/>
          <w:szCs w:val="24"/>
        </w:rPr>
        <w:t xml:space="preserve">. Marrow Donor Program, Minneapolis, </w:t>
      </w:r>
      <w:r w:rsidRPr="000F10BE">
        <w:rPr>
          <w:rFonts w:ascii="Calibri" w:hAnsi="Calibri"/>
          <w:sz w:val="24"/>
          <w:szCs w:val="24"/>
        </w:rPr>
        <w:t xml:space="preserve">MN, </w:t>
      </w:r>
      <w:r w:rsidR="000F10BE" w:rsidRPr="00352EBE">
        <w:rPr>
          <w:rFonts w:ascii="Calibri" w:hAnsi="Calibri"/>
          <w:sz w:val="24"/>
          <w:szCs w:val="24"/>
          <w:vertAlign w:val="superscript"/>
        </w:rPr>
        <w:t>8</w:t>
      </w:r>
      <w:r w:rsidR="000F10BE" w:rsidRPr="00352EBE">
        <w:rPr>
          <w:sz w:val="24"/>
          <w:szCs w:val="24"/>
        </w:rPr>
        <w:t>Center for Pharmacometrics and Systems Pharmacology, Department of Pharm</w:t>
      </w:r>
      <w:r w:rsidR="005E2E11" w:rsidRPr="005E2E11">
        <w:rPr>
          <w:sz w:val="24"/>
          <w:szCs w:val="24"/>
        </w:rPr>
        <w:t xml:space="preserve">aceutics, College of Pharmacy, </w:t>
      </w:r>
      <w:r w:rsidR="000F10BE" w:rsidRPr="00352EBE">
        <w:rPr>
          <w:sz w:val="24"/>
          <w:szCs w:val="24"/>
        </w:rPr>
        <w:t xml:space="preserve">University of Florida, </w:t>
      </w:r>
      <w:proofErr w:type="spellStart"/>
      <w:r w:rsidR="000F10BE" w:rsidRPr="00352EBE">
        <w:rPr>
          <w:sz w:val="24"/>
          <w:szCs w:val="24"/>
        </w:rPr>
        <w:t>Orlando</w:t>
      </w:r>
      <w:proofErr w:type="spellEnd"/>
      <w:r w:rsidR="000F10BE" w:rsidRPr="00352EBE">
        <w:rPr>
          <w:sz w:val="24"/>
          <w:szCs w:val="24"/>
        </w:rPr>
        <w:t>,</w:t>
      </w:r>
      <w:r w:rsidR="000F10BE">
        <w:t xml:space="preserve"> FL, USA</w:t>
      </w:r>
      <w:r w:rsidRPr="007C5CC0">
        <w:rPr>
          <w:rFonts w:ascii="Calibri" w:hAnsi="Calibri"/>
          <w:sz w:val="24"/>
          <w:szCs w:val="24"/>
        </w:rPr>
        <w:t xml:space="preserve">, </w:t>
      </w:r>
      <w:r w:rsidRPr="007C5CC0">
        <w:rPr>
          <w:rFonts w:ascii="Calibri" w:hAnsi="Calibri"/>
          <w:sz w:val="24"/>
          <w:szCs w:val="24"/>
          <w:vertAlign w:val="superscript"/>
        </w:rPr>
        <w:t>9</w:t>
      </w:r>
      <w:r w:rsidR="00CE388E" w:rsidRPr="007C5CC0">
        <w:rPr>
          <w:rFonts w:ascii="Calibri" w:hAnsi="Calibri"/>
          <w:sz w:val="24"/>
          <w:szCs w:val="24"/>
        </w:rPr>
        <w:t>Dana-Farber Cancer Inst</w:t>
      </w:r>
      <w:r w:rsidR="007D4FC2">
        <w:rPr>
          <w:rFonts w:ascii="Calibri" w:hAnsi="Calibri"/>
          <w:sz w:val="24"/>
          <w:szCs w:val="24"/>
        </w:rPr>
        <w:t>itute</w:t>
      </w:r>
      <w:r w:rsidR="00CE388E" w:rsidRPr="007C5CC0">
        <w:rPr>
          <w:rFonts w:ascii="Calibri" w:hAnsi="Calibri"/>
          <w:sz w:val="24"/>
          <w:szCs w:val="24"/>
        </w:rPr>
        <w:t>, Boston, MA</w:t>
      </w:r>
      <w:r w:rsidRPr="007C5CC0">
        <w:rPr>
          <w:rFonts w:ascii="Calibri" w:hAnsi="Calibri"/>
          <w:sz w:val="24"/>
          <w:szCs w:val="24"/>
        </w:rPr>
        <w:t xml:space="preserve">, </w:t>
      </w:r>
      <w:r w:rsidRPr="007C5CC0">
        <w:rPr>
          <w:rFonts w:ascii="Calibri" w:hAnsi="Calibri"/>
          <w:sz w:val="24"/>
          <w:szCs w:val="24"/>
          <w:vertAlign w:val="superscript"/>
        </w:rPr>
        <w:t>10</w:t>
      </w:r>
      <w:r w:rsidR="00CE388E" w:rsidRPr="007C5CC0">
        <w:rPr>
          <w:rFonts w:ascii="Calibri" w:hAnsi="Calibri"/>
          <w:sz w:val="24"/>
          <w:szCs w:val="24"/>
        </w:rPr>
        <w:t>U</w:t>
      </w:r>
      <w:r w:rsidR="007D4FC2">
        <w:rPr>
          <w:rFonts w:ascii="Calibri" w:hAnsi="Calibri"/>
          <w:sz w:val="24"/>
          <w:szCs w:val="24"/>
        </w:rPr>
        <w:t>niversity of Southern California</w:t>
      </w:r>
      <w:r w:rsidR="00CE388E" w:rsidRPr="007C5CC0">
        <w:rPr>
          <w:rFonts w:ascii="Calibri" w:hAnsi="Calibri"/>
          <w:sz w:val="24"/>
          <w:szCs w:val="24"/>
        </w:rPr>
        <w:t>, Los</w:t>
      </w:r>
      <w:r w:rsidR="00CE388E">
        <w:rPr>
          <w:rFonts w:ascii="Calibri" w:hAnsi="Calibri"/>
          <w:sz w:val="24"/>
          <w:szCs w:val="24"/>
        </w:rPr>
        <w:t xml:space="preserve"> </w:t>
      </w:r>
      <w:r w:rsidR="00CE388E" w:rsidRPr="007C5CC0">
        <w:rPr>
          <w:rFonts w:ascii="Calibri" w:hAnsi="Calibri"/>
          <w:sz w:val="24"/>
          <w:szCs w:val="24"/>
        </w:rPr>
        <w:t xml:space="preserve">Angeles, CA </w:t>
      </w:r>
    </w:p>
    <w:p w14:paraId="0DEA99F5" w14:textId="77777777" w:rsidR="002F0973" w:rsidRPr="007C5CC0" w:rsidRDefault="002F0973" w:rsidP="007C5CC0">
      <w:pPr>
        <w:tabs>
          <w:tab w:val="left" w:pos="6379"/>
        </w:tabs>
        <w:rPr>
          <w:rFonts w:ascii="Calibri" w:hAnsi="Calibri"/>
          <w:sz w:val="24"/>
          <w:szCs w:val="24"/>
          <w:lang w:val="en-US"/>
        </w:rPr>
      </w:pPr>
    </w:p>
    <w:p w14:paraId="7C210D90" w14:textId="77777777" w:rsidR="002F0973"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Corresponding author:</w:t>
      </w:r>
    </w:p>
    <w:p w14:paraId="1B124B0B" w14:textId="77777777" w:rsidR="0003499A"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William Hope</w:t>
      </w:r>
    </w:p>
    <w:p w14:paraId="27D5B70B" w14:textId="77777777" w:rsidR="0003499A"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Antimicrobial Pharmacodynamics and Therapeutics</w:t>
      </w:r>
    </w:p>
    <w:p w14:paraId="4CDBF6DD" w14:textId="77777777" w:rsidR="0003499A"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University of Liverpool</w:t>
      </w:r>
    </w:p>
    <w:p w14:paraId="2D9A5C45" w14:textId="77777777" w:rsidR="0003499A"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1.09 Sherrington Building</w:t>
      </w:r>
    </w:p>
    <w:p w14:paraId="15D290B2" w14:textId="77777777" w:rsidR="0003499A"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Ashton Street</w:t>
      </w:r>
    </w:p>
    <w:p w14:paraId="4A05B708" w14:textId="77777777" w:rsidR="0003499A" w:rsidRPr="007C5CC0"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Liverpool L69 3GE, United Kingdom</w:t>
      </w:r>
    </w:p>
    <w:p w14:paraId="584B9ADA" w14:textId="77777777" w:rsidR="002F0973" w:rsidRPr="007C5CC0" w:rsidRDefault="0003499A" w:rsidP="0003499A">
      <w:pPr>
        <w:tabs>
          <w:tab w:val="left" w:pos="6379"/>
        </w:tabs>
        <w:spacing w:line="240" w:lineRule="auto"/>
        <w:rPr>
          <w:rFonts w:ascii="Calibri" w:hAnsi="Calibri"/>
          <w:sz w:val="24"/>
          <w:szCs w:val="24"/>
          <w:lang w:val="en-US"/>
        </w:rPr>
      </w:pPr>
      <w:proofErr w:type="gramStart"/>
      <w:r>
        <w:rPr>
          <w:rFonts w:ascii="Calibri" w:hAnsi="Calibri"/>
          <w:sz w:val="24"/>
          <w:szCs w:val="24"/>
          <w:lang w:val="en-US"/>
        </w:rPr>
        <w:t>email</w:t>
      </w:r>
      <w:proofErr w:type="gramEnd"/>
      <w:r>
        <w:rPr>
          <w:rFonts w:ascii="Calibri" w:hAnsi="Calibri"/>
          <w:sz w:val="24"/>
          <w:szCs w:val="24"/>
          <w:lang w:val="en-US"/>
        </w:rPr>
        <w:t>: william.hope@liverpool.ac.uk</w:t>
      </w:r>
    </w:p>
    <w:p w14:paraId="67807B14" w14:textId="77777777" w:rsidR="002F0973" w:rsidRPr="007C5CC0" w:rsidRDefault="0003499A" w:rsidP="0003499A">
      <w:pPr>
        <w:tabs>
          <w:tab w:val="left" w:pos="6379"/>
        </w:tabs>
        <w:spacing w:line="240" w:lineRule="auto"/>
        <w:rPr>
          <w:rFonts w:ascii="Calibri" w:hAnsi="Calibri"/>
          <w:sz w:val="24"/>
          <w:szCs w:val="24"/>
          <w:lang w:val="en-US"/>
        </w:rPr>
      </w:pPr>
      <w:r>
        <w:rPr>
          <w:rFonts w:ascii="Calibri" w:hAnsi="Calibri"/>
          <w:sz w:val="24"/>
          <w:szCs w:val="24"/>
          <w:lang w:val="en-US"/>
        </w:rPr>
        <w:t>Telephone: +44 (</w:t>
      </w:r>
      <w:proofErr w:type="gramStart"/>
      <w:r>
        <w:rPr>
          <w:rFonts w:ascii="Calibri" w:hAnsi="Calibri"/>
          <w:sz w:val="24"/>
          <w:szCs w:val="24"/>
          <w:lang w:val="en-US"/>
        </w:rPr>
        <w:t>0)151</w:t>
      </w:r>
      <w:proofErr w:type="gramEnd"/>
      <w:r>
        <w:rPr>
          <w:rFonts w:ascii="Calibri" w:hAnsi="Calibri"/>
          <w:sz w:val="24"/>
          <w:szCs w:val="24"/>
          <w:lang w:val="en-US"/>
        </w:rPr>
        <w:t xml:space="preserve"> 794 5941</w:t>
      </w:r>
    </w:p>
    <w:p w14:paraId="73A789F8" w14:textId="7DE62F1E" w:rsidR="00684880" w:rsidRDefault="00684880">
      <w:pPr>
        <w:rPr>
          <w:rFonts w:ascii="Calibri" w:hAnsi="Calibri"/>
          <w:sz w:val="24"/>
          <w:szCs w:val="24"/>
          <w:lang w:val="en-US"/>
        </w:rPr>
      </w:pPr>
      <w:r>
        <w:rPr>
          <w:rFonts w:ascii="Calibri" w:hAnsi="Calibri"/>
          <w:sz w:val="24"/>
          <w:szCs w:val="24"/>
          <w:lang w:val="en-US"/>
        </w:rPr>
        <w:br w:type="page"/>
      </w:r>
    </w:p>
    <w:p w14:paraId="2226606A" w14:textId="77777777" w:rsidR="002F0973" w:rsidRDefault="00B40FAA" w:rsidP="007C5CC0">
      <w:pPr>
        <w:tabs>
          <w:tab w:val="left" w:pos="6379"/>
        </w:tabs>
        <w:rPr>
          <w:rFonts w:ascii="Calibri" w:hAnsi="Calibri"/>
          <w:sz w:val="24"/>
          <w:szCs w:val="24"/>
          <w:lang w:val="en-US"/>
        </w:rPr>
      </w:pPr>
      <w:r>
        <w:rPr>
          <w:rFonts w:ascii="Calibri" w:hAnsi="Calibri"/>
          <w:sz w:val="24"/>
          <w:szCs w:val="24"/>
          <w:lang w:val="en-US"/>
        </w:rPr>
        <w:lastRenderedPageBreak/>
        <w:t>ABSTRACT</w:t>
      </w:r>
    </w:p>
    <w:p w14:paraId="31DB5070" w14:textId="77777777" w:rsidR="00A46297" w:rsidRDefault="004639B7" w:rsidP="007C5CC0">
      <w:pPr>
        <w:tabs>
          <w:tab w:val="left" w:pos="6379"/>
        </w:tabs>
        <w:rPr>
          <w:rFonts w:ascii="Calibri" w:hAnsi="Calibri"/>
          <w:sz w:val="24"/>
          <w:szCs w:val="24"/>
          <w:lang w:val="en-US"/>
        </w:rPr>
      </w:pPr>
      <w:r>
        <w:rPr>
          <w:rFonts w:ascii="Calibri" w:hAnsi="Calibri"/>
          <w:sz w:val="24"/>
          <w:szCs w:val="24"/>
          <w:lang w:val="en-US"/>
        </w:rPr>
        <w:t>Objectives</w:t>
      </w:r>
      <w:r w:rsidR="00A46297">
        <w:rPr>
          <w:rFonts w:ascii="Calibri" w:hAnsi="Calibri"/>
          <w:sz w:val="24"/>
          <w:szCs w:val="24"/>
          <w:lang w:val="en-US"/>
        </w:rPr>
        <w:t xml:space="preserve">: </w:t>
      </w:r>
      <w:r w:rsidR="005A62BD">
        <w:rPr>
          <w:rFonts w:ascii="Calibri" w:hAnsi="Calibri"/>
          <w:sz w:val="24"/>
          <w:szCs w:val="24"/>
          <w:lang w:val="en-US"/>
        </w:rPr>
        <w:t xml:space="preserve">Voriconazole is </w:t>
      </w:r>
      <w:r w:rsidR="00A63931">
        <w:rPr>
          <w:rFonts w:ascii="Calibri" w:hAnsi="Calibri"/>
          <w:sz w:val="24"/>
          <w:szCs w:val="24"/>
          <w:lang w:val="en-US"/>
        </w:rPr>
        <w:t xml:space="preserve">a first-line agent for the </w:t>
      </w:r>
      <w:r w:rsidR="00470687">
        <w:rPr>
          <w:rFonts w:ascii="Calibri" w:hAnsi="Calibri"/>
          <w:sz w:val="24"/>
          <w:szCs w:val="24"/>
          <w:lang w:val="en-US"/>
        </w:rPr>
        <w:t xml:space="preserve">prevention and </w:t>
      </w:r>
      <w:r w:rsidR="00A63931">
        <w:rPr>
          <w:rFonts w:ascii="Calibri" w:hAnsi="Calibri"/>
          <w:sz w:val="24"/>
          <w:szCs w:val="24"/>
          <w:lang w:val="en-US"/>
        </w:rPr>
        <w:t xml:space="preserve">treatment of a number of invasive fungal diseases. </w:t>
      </w:r>
      <w:r w:rsidR="008E2618">
        <w:rPr>
          <w:rFonts w:ascii="Calibri" w:hAnsi="Calibri"/>
          <w:sz w:val="24"/>
          <w:szCs w:val="24"/>
          <w:lang w:val="en-US"/>
        </w:rPr>
        <w:t xml:space="preserve"> </w:t>
      </w:r>
      <w:r w:rsidR="003120B7">
        <w:rPr>
          <w:rFonts w:ascii="Calibri" w:hAnsi="Calibri"/>
          <w:sz w:val="24"/>
          <w:szCs w:val="24"/>
          <w:lang w:val="en-US"/>
        </w:rPr>
        <w:t xml:space="preserve">Relatively little is known about the relationship between </w:t>
      </w:r>
      <w:r w:rsidR="00B14B9A">
        <w:rPr>
          <w:rFonts w:ascii="Calibri" w:hAnsi="Calibri"/>
          <w:sz w:val="24"/>
          <w:szCs w:val="24"/>
          <w:lang w:val="en-US"/>
        </w:rPr>
        <w:t>drug exposure and the prevention of invasive fungal infections.</w:t>
      </w:r>
      <w:r w:rsidR="00846F89">
        <w:rPr>
          <w:rFonts w:ascii="Calibri" w:hAnsi="Calibri"/>
          <w:sz w:val="24"/>
          <w:szCs w:val="24"/>
          <w:lang w:val="en-US"/>
        </w:rPr>
        <w:t xml:space="preserve"> </w:t>
      </w:r>
      <w:r w:rsidR="00470687">
        <w:rPr>
          <w:rFonts w:ascii="Calibri" w:hAnsi="Calibri"/>
          <w:sz w:val="24"/>
          <w:szCs w:val="24"/>
          <w:lang w:val="en-US"/>
        </w:rPr>
        <w:t xml:space="preserve"> </w:t>
      </w:r>
    </w:p>
    <w:p w14:paraId="2534806A" w14:textId="3B5C03CD" w:rsidR="00FF22C9" w:rsidRDefault="00A46297" w:rsidP="007C5CC0">
      <w:pPr>
        <w:tabs>
          <w:tab w:val="left" w:pos="6379"/>
        </w:tabs>
        <w:rPr>
          <w:rFonts w:ascii="Calibri" w:hAnsi="Calibri"/>
          <w:sz w:val="24"/>
          <w:szCs w:val="24"/>
          <w:lang w:val="en-US"/>
        </w:rPr>
      </w:pPr>
      <w:r>
        <w:rPr>
          <w:rFonts w:ascii="Calibri" w:hAnsi="Calibri"/>
          <w:sz w:val="24"/>
          <w:szCs w:val="24"/>
          <w:lang w:val="en-US"/>
        </w:rPr>
        <w:t xml:space="preserve">Patients and Methods: </w:t>
      </w:r>
      <w:r w:rsidR="00B20DEF">
        <w:rPr>
          <w:rFonts w:ascii="Calibri" w:hAnsi="Calibri"/>
          <w:sz w:val="24"/>
          <w:szCs w:val="24"/>
          <w:lang w:val="en-US"/>
        </w:rPr>
        <w:t xml:space="preserve">A pharmacokinetic-pharmacodynamic </w:t>
      </w:r>
      <w:r>
        <w:rPr>
          <w:rFonts w:ascii="Calibri" w:hAnsi="Calibri"/>
          <w:sz w:val="24"/>
          <w:szCs w:val="24"/>
          <w:lang w:val="en-US"/>
        </w:rPr>
        <w:t xml:space="preserve">(PK-PD) </w:t>
      </w:r>
      <w:r w:rsidR="00B20DEF">
        <w:rPr>
          <w:rFonts w:ascii="Calibri" w:hAnsi="Calibri"/>
          <w:sz w:val="24"/>
          <w:szCs w:val="24"/>
          <w:lang w:val="en-US"/>
        </w:rPr>
        <w:t>sub</w:t>
      </w:r>
      <w:r w:rsidR="0008500A">
        <w:rPr>
          <w:rFonts w:ascii="Calibri" w:hAnsi="Calibri"/>
          <w:sz w:val="24"/>
          <w:szCs w:val="24"/>
          <w:lang w:val="en-US"/>
        </w:rPr>
        <w:t>-</w:t>
      </w:r>
      <w:r w:rsidR="00B20DEF">
        <w:rPr>
          <w:rFonts w:ascii="Calibri" w:hAnsi="Calibri"/>
          <w:sz w:val="24"/>
          <w:szCs w:val="24"/>
          <w:lang w:val="en-US"/>
        </w:rPr>
        <w:t>study</w:t>
      </w:r>
      <w:r w:rsidR="0008500A">
        <w:rPr>
          <w:rFonts w:ascii="Calibri" w:hAnsi="Calibri"/>
          <w:sz w:val="24"/>
          <w:szCs w:val="24"/>
          <w:lang w:val="en-US"/>
        </w:rPr>
        <w:t xml:space="preserve"> was performed as part of </w:t>
      </w:r>
      <w:r w:rsidR="001168F9">
        <w:rPr>
          <w:rFonts w:ascii="Calibri" w:hAnsi="Calibri"/>
          <w:sz w:val="24"/>
          <w:szCs w:val="24"/>
          <w:lang w:val="en-US"/>
        </w:rPr>
        <w:t xml:space="preserve">the BMT CTN 0101 trial, which was </w:t>
      </w:r>
      <w:r w:rsidR="0008500A">
        <w:rPr>
          <w:rFonts w:ascii="Calibri" w:hAnsi="Calibri"/>
          <w:sz w:val="24"/>
          <w:szCs w:val="24"/>
          <w:lang w:val="en-US"/>
        </w:rPr>
        <w:t>a randomi</w:t>
      </w:r>
      <w:r w:rsidR="00FF4005">
        <w:rPr>
          <w:rFonts w:ascii="Calibri" w:hAnsi="Calibri"/>
          <w:sz w:val="24"/>
          <w:szCs w:val="24"/>
          <w:lang w:val="en-US"/>
        </w:rPr>
        <w:t>s</w:t>
      </w:r>
      <w:r w:rsidR="0008500A">
        <w:rPr>
          <w:rFonts w:ascii="Calibri" w:hAnsi="Calibri"/>
          <w:sz w:val="24"/>
          <w:szCs w:val="24"/>
          <w:lang w:val="en-US"/>
        </w:rPr>
        <w:t xml:space="preserve">ed clinical trial comparing voriconazole with fluconazole for the prevention of invasive fungal infections in </w:t>
      </w:r>
      <w:r w:rsidR="008E2618">
        <w:rPr>
          <w:rFonts w:ascii="Calibri" w:hAnsi="Calibri"/>
          <w:sz w:val="24"/>
          <w:szCs w:val="24"/>
          <w:lang w:val="en-US"/>
        </w:rPr>
        <w:t xml:space="preserve">HSCT </w:t>
      </w:r>
      <w:r w:rsidR="0008500A">
        <w:rPr>
          <w:rFonts w:ascii="Calibri" w:hAnsi="Calibri"/>
          <w:sz w:val="24"/>
          <w:szCs w:val="24"/>
          <w:lang w:val="en-US"/>
        </w:rPr>
        <w:t>recipients</w:t>
      </w:r>
      <w:r w:rsidR="000E59E2">
        <w:rPr>
          <w:rFonts w:ascii="Calibri" w:hAnsi="Calibri"/>
          <w:sz w:val="24"/>
          <w:szCs w:val="24"/>
          <w:lang w:val="en-US"/>
        </w:rPr>
        <w:t xml:space="preserve">.  </w:t>
      </w:r>
      <w:r w:rsidR="00667489">
        <w:rPr>
          <w:rFonts w:ascii="Calibri" w:hAnsi="Calibri"/>
          <w:sz w:val="24"/>
          <w:szCs w:val="24"/>
          <w:lang w:val="en-US"/>
        </w:rPr>
        <w:t xml:space="preserve">A previously </w:t>
      </w:r>
      <w:r w:rsidR="00A572BA">
        <w:rPr>
          <w:rFonts w:ascii="Calibri" w:hAnsi="Calibri"/>
          <w:sz w:val="24"/>
          <w:szCs w:val="24"/>
          <w:lang w:val="en-US"/>
        </w:rPr>
        <w:t>described</w:t>
      </w:r>
      <w:r w:rsidR="00667489">
        <w:rPr>
          <w:rFonts w:ascii="Calibri" w:hAnsi="Calibri"/>
          <w:sz w:val="24"/>
          <w:szCs w:val="24"/>
          <w:lang w:val="en-US"/>
        </w:rPr>
        <w:t xml:space="preserve"> population PK model was used to calculate the </w:t>
      </w:r>
      <w:r w:rsidR="00460718">
        <w:rPr>
          <w:rFonts w:ascii="Calibri" w:hAnsi="Calibri"/>
          <w:sz w:val="24"/>
          <w:szCs w:val="24"/>
          <w:lang w:val="en-US"/>
        </w:rPr>
        <w:t>maximum a poster</w:t>
      </w:r>
      <w:r w:rsidR="003E370B">
        <w:rPr>
          <w:rFonts w:ascii="Calibri" w:hAnsi="Calibri"/>
          <w:sz w:val="24"/>
          <w:szCs w:val="24"/>
          <w:lang w:val="en-US"/>
        </w:rPr>
        <w:t>iori (</w:t>
      </w:r>
      <w:r w:rsidR="00667489">
        <w:rPr>
          <w:rFonts w:ascii="Calibri" w:hAnsi="Calibri"/>
          <w:sz w:val="24"/>
          <w:szCs w:val="24"/>
          <w:lang w:val="en-US"/>
        </w:rPr>
        <w:t>MAP</w:t>
      </w:r>
      <w:r w:rsidR="003E370B">
        <w:rPr>
          <w:rFonts w:ascii="Calibri" w:hAnsi="Calibri"/>
          <w:sz w:val="24"/>
          <w:szCs w:val="24"/>
          <w:lang w:val="en-US"/>
        </w:rPr>
        <w:t>)</w:t>
      </w:r>
      <w:r w:rsidR="00667489">
        <w:rPr>
          <w:rFonts w:ascii="Calibri" w:hAnsi="Calibri"/>
          <w:sz w:val="24"/>
          <w:szCs w:val="24"/>
          <w:lang w:val="en-US"/>
        </w:rPr>
        <w:t xml:space="preserve"> Bayesian estimates for </w:t>
      </w:r>
      <w:r w:rsidR="000E59E2">
        <w:rPr>
          <w:rFonts w:ascii="Calibri" w:hAnsi="Calibri"/>
          <w:sz w:val="24"/>
          <w:szCs w:val="24"/>
          <w:lang w:val="en-US"/>
        </w:rPr>
        <w:t xml:space="preserve">187 </w:t>
      </w:r>
      <w:r w:rsidR="00667489">
        <w:rPr>
          <w:rFonts w:ascii="Calibri" w:hAnsi="Calibri"/>
          <w:sz w:val="24"/>
          <w:szCs w:val="24"/>
          <w:lang w:val="en-US"/>
        </w:rPr>
        <w:t>patient</w:t>
      </w:r>
      <w:r w:rsidR="000E59E2">
        <w:rPr>
          <w:rFonts w:ascii="Calibri" w:hAnsi="Calibri"/>
          <w:sz w:val="24"/>
          <w:szCs w:val="24"/>
          <w:lang w:val="en-US"/>
        </w:rPr>
        <w:t>s</w:t>
      </w:r>
      <w:r w:rsidR="00CA7A7A">
        <w:rPr>
          <w:rFonts w:ascii="Calibri" w:hAnsi="Calibri"/>
          <w:sz w:val="24"/>
          <w:szCs w:val="24"/>
          <w:lang w:val="en-US"/>
        </w:rPr>
        <w:t>.</w:t>
      </w:r>
      <w:r w:rsidR="00C95A42">
        <w:rPr>
          <w:rFonts w:ascii="Calibri" w:hAnsi="Calibri"/>
          <w:sz w:val="24"/>
          <w:szCs w:val="24"/>
          <w:lang w:val="en-US"/>
        </w:rPr>
        <w:t xml:space="preserve"> </w:t>
      </w:r>
      <w:r w:rsidR="00460718">
        <w:rPr>
          <w:rFonts w:ascii="Calibri" w:hAnsi="Calibri"/>
          <w:sz w:val="24"/>
          <w:szCs w:val="24"/>
          <w:lang w:val="en-US"/>
        </w:rPr>
        <w:t xml:space="preserve"> </w:t>
      </w:r>
      <w:r w:rsidR="00C417E4">
        <w:rPr>
          <w:rFonts w:ascii="Calibri" w:hAnsi="Calibri"/>
          <w:sz w:val="24"/>
          <w:szCs w:val="24"/>
          <w:lang w:val="en-US"/>
        </w:rPr>
        <w:t xml:space="preserve">Drug exposure </w:t>
      </w:r>
      <w:r w:rsidR="00460718">
        <w:rPr>
          <w:rFonts w:ascii="Calibri" w:hAnsi="Calibri"/>
          <w:sz w:val="24"/>
          <w:szCs w:val="24"/>
          <w:lang w:val="en-US"/>
        </w:rPr>
        <w:t xml:space="preserve">in each patient </w:t>
      </w:r>
      <w:r w:rsidR="008E2618">
        <w:rPr>
          <w:rFonts w:ascii="Calibri" w:hAnsi="Calibri"/>
          <w:sz w:val="24"/>
          <w:szCs w:val="24"/>
          <w:lang w:val="en-US"/>
        </w:rPr>
        <w:t xml:space="preserve">was </w:t>
      </w:r>
      <w:r w:rsidR="00C417E4">
        <w:rPr>
          <w:rFonts w:ascii="Calibri" w:hAnsi="Calibri"/>
          <w:sz w:val="24"/>
          <w:szCs w:val="24"/>
          <w:lang w:val="en-US"/>
        </w:rPr>
        <w:t xml:space="preserve">quantified in terms of the </w:t>
      </w:r>
      <w:r w:rsidR="00460718">
        <w:rPr>
          <w:rFonts w:ascii="Calibri" w:hAnsi="Calibri"/>
          <w:sz w:val="24"/>
          <w:szCs w:val="24"/>
          <w:lang w:val="en-US"/>
        </w:rPr>
        <w:t xml:space="preserve">average </w:t>
      </w:r>
      <w:r w:rsidR="00C417E4">
        <w:rPr>
          <w:rFonts w:ascii="Calibri" w:hAnsi="Calibri"/>
          <w:sz w:val="24"/>
          <w:szCs w:val="24"/>
          <w:lang w:val="en-US"/>
        </w:rPr>
        <w:t xml:space="preserve">AUC and </w:t>
      </w:r>
      <w:r w:rsidR="00460718">
        <w:rPr>
          <w:rFonts w:ascii="Calibri" w:hAnsi="Calibri"/>
          <w:sz w:val="24"/>
          <w:szCs w:val="24"/>
          <w:lang w:val="en-US"/>
        </w:rPr>
        <w:t xml:space="preserve">average </w:t>
      </w:r>
      <w:r w:rsidR="00C417E4">
        <w:rPr>
          <w:rFonts w:ascii="Calibri" w:hAnsi="Calibri"/>
          <w:sz w:val="24"/>
          <w:szCs w:val="24"/>
          <w:lang w:val="en-US"/>
        </w:rPr>
        <w:t>trough concentrations</w:t>
      </w:r>
      <w:r w:rsidR="00985C33">
        <w:rPr>
          <w:rFonts w:ascii="Calibri" w:hAnsi="Calibri"/>
          <w:sz w:val="24"/>
          <w:szCs w:val="24"/>
          <w:lang w:val="en-US"/>
        </w:rPr>
        <w:t xml:space="preserve">. </w:t>
      </w:r>
      <w:r w:rsidR="000E45DC">
        <w:rPr>
          <w:rFonts w:ascii="Calibri" w:hAnsi="Calibri"/>
          <w:sz w:val="24"/>
          <w:szCs w:val="24"/>
          <w:lang w:val="en-US"/>
        </w:rPr>
        <w:t xml:space="preserve"> </w:t>
      </w:r>
      <w:r w:rsidR="00757EC7">
        <w:rPr>
          <w:rFonts w:ascii="Calibri" w:hAnsi="Calibri"/>
          <w:sz w:val="24"/>
          <w:szCs w:val="24"/>
          <w:lang w:val="en-US"/>
        </w:rPr>
        <w:t>The relationship</w:t>
      </w:r>
      <w:r w:rsidR="00302805">
        <w:rPr>
          <w:rFonts w:ascii="Calibri" w:hAnsi="Calibri"/>
          <w:sz w:val="24"/>
          <w:szCs w:val="24"/>
          <w:lang w:val="en-US"/>
        </w:rPr>
        <w:t xml:space="preserve"> </w:t>
      </w:r>
      <w:r w:rsidR="00757EC7">
        <w:rPr>
          <w:rFonts w:ascii="Calibri" w:hAnsi="Calibri"/>
          <w:sz w:val="24"/>
          <w:szCs w:val="24"/>
          <w:lang w:val="en-US"/>
        </w:rPr>
        <w:t>between drug exposure and the probability of breakthrough infection was investigated using logistic regression</w:t>
      </w:r>
      <w:r w:rsidR="006E13BB">
        <w:rPr>
          <w:rFonts w:ascii="Calibri" w:hAnsi="Calibri"/>
          <w:sz w:val="24"/>
          <w:szCs w:val="24"/>
          <w:lang w:val="en-US"/>
        </w:rPr>
        <w:t xml:space="preserve">.  The AUC and trough concentrations in patients with and without breakthrough infection were compared. </w:t>
      </w:r>
      <w:r w:rsidR="0002679A">
        <w:rPr>
          <w:rFonts w:ascii="Calibri" w:hAnsi="Calibri"/>
          <w:sz w:val="24"/>
          <w:szCs w:val="24"/>
          <w:lang w:val="en-US"/>
        </w:rPr>
        <w:t xml:space="preserve"> </w:t>
      </w:r>
    </w:p>
    <w:p w14:paraId="647CF0AD" w14:textId="1BDC7444" w:rsidR="00A17F85" w:rsidRDefault="00FF22C9" w:rsidP="007C5CC0">
      <w:pPr>
        <w:tabs>
          <w:tab w:val="left" w:pos="6379"/>
        </w:tabs>
        <w:rPr>
          <w:rFonts w:ascii="Calibri" w:hAnsi="Calibri"/>
          <w:sz w:val="24"/>
          <w:szCs w:val="24"/>
          <w:lang w:val="en-US"/>
        </w:rPr>
      </w:pPr>
      <w:r>
        <w:rPr>
          <w:rFonts w:ascii="Calibri" w:hAnsi="Calibri"/>
          <w:sz w:val="24"/>
          <w:szCs w:val="24"/>
          <w:lang w:val="en-US"/>
        </w:rPr>
        <w:t xml:space="preserve">Results: </w:t>
      </w:r>
      <w:r w:rsidR="0002679A">
        <w:rPr>
          <w:rFonts w:ascii="Calibri" w:hAnsi="Calibri"/>
          <w:sz w:val="24"/>
          <w:szCs w:val="24"/>
          <w:lang w:val="en-US"/>
        </w:rPr>
        <w:t xml:space="preserve">Pharmacokinetic data from each patient were readily described </w:t>
      </w:r>
      <w:r w:rsidR="002E4410">
        <w:rPr>
          <w:rFonts w:ascii="Calibri" w:hAnsi="Calibri"/>
          <w:sz w:val="24"/>
          <w:szCs w:val="24"/>
          <w:lang w:val="en-US"/>
        </w:rPr>
        <w:t>using</w:t>
      </w:r>
      <w:r w:rsidR="0002679A">
        <w:rPr>
          <w:rFonts w:ascii="Calibri" w:hAnsi="Calibri"/>
          <w:sz w:val="24"/>
          <w:szCs w:val="24"/>
          <w:lang w:val="en-US"/>
        </w:rPr>
        <w:t xml:space="preserve"> the MAP Bayesian estimates. </w:t>
      </w:r>
      <w:r w:rsidR="000D7810">
        <w:rPr>
          <w:rFonts w:ascii="Calibri" w:hAnsi="Calibri"/>
          <w:sz w:val="24"/>
          <w:szCs w:val="24"/>
          <w:lang w:val="en-US"/>
        </w:rPr>
        <w:t xml:space="preserve"> </w:t>
      </w:r>
      <w:r w:rsidR="00A77105">
        <w:rPr>
          <w:rFonts w:ascii="Calibri" w:hAnsi="Calibri"/>
          <w:sz w:val="24"/>
          <w:szCs w:val="24"/>
          <w:lang w:val="en-US"/>
        </w:rPr>
        <w:t xml:space="preserve">There were only 5 patients that had a breakthrough </w:t>
      </w:r>
      <w:r w:rsidR="00804BB3">
        <w:rPr>
          <w:rFonts w:ascii="Calibri" w:hAnsi="Calibri"/>
          <w:sz w:val="24"/>
          <w:szCs w:val="24"/>
          <w:lang w:val="en-US"/>
        </w:rPr>
        <w:t xml:space="preserve">infection </w:t>
      </w:r>
      <w:r w:rsidR="000A5FA2">
        <w:rPr>
          <w:rFonts w:ascii="Calibri" w:hAnsi="Calibri"/>
          <w:sz w:val="24"/>
          <w:szCs w:val="24"/>
          <w:lang w:val="en-US"/>
        </w:rPr>
        <w:t xml:space="preserve">while receiving voriconazole </w:t>
      </w:r>
      <w:r w:rsidR="00804BB3">
        <w:rPr>
          <w:rFonts w:ascii="Calibri" w:hAnsi="Calibri"/>
          <w:sz w:val="24"/>
          <w:szCs w:val="24"/>
          <w:lang w:val="en-US"/>
        </w:rPr>
        <w:t xml:space="preserve">in the first 100 days </w:t>
      </w:r>
      <w:r w:rsidR="000A5FA2">
        <w:rPr>
          <w:rFonts w:ascii="Calibri" w:hAnsi="Calibri"/>
          <w:sz w:val="24"/>
          <w:szCs w:val="24"/>
          <w:lang w:val="en-US"/>
        </w:rPr>
        <w:t>post HSCT</w:t>
      </w:r>
      <w:r w:rsidR="00804BB3">
        <w:rPr>
          <w:rFonts w:ascii="Calibri" w:hAnsi="Calibri"/>
          <w:sz w:val="24"/>
          <w:szCs w:val="24"/>
          <w:lang w:val="en-US"/>
        </w:rPr>
        <w:t xml:space="preserve">.  For these patients, there </w:t>
      </w:r>
      <w:r w:rsidR="00020CC0">
        <w:rPr>
          <w:rFonts w:ascii="Calibri" w:hAnsi="Calibri"/>
          <w:sz w:val="24"/>
          <w:szCs w:val="24"/>
          <w:lang w:val="en-US"/>
        </w:rPr>
        <w:t xml:space="preserve">was no statistically significant relationship between </w:t>
      </w:r>
      <w:r w:rsidR="00083FAF">
        <w:rPr>
          <w:rFonts w:ascii="Calibri" w:hAnsi="Calibri"/>
          <w:sz w:val="24"/>
          <w:szCs w:val="24"/>
          <w:lang w:val="en-US"/>
        </w:rPr>
        <w:t xml:space="preserve">the </w:t>
      </w:r>
      <w:r w:rsidR="003E370B">
        <w:rPr>
          <w:rFonts w:ascii="Calibri" w:hAnsi="Calibri"/>
          <w:sz w:val="24"/>
          <w:szCs w:val="24"/>
          <w:lang w:val="en-US"/>
        </w:rPr>
        <w:t xml:space="preserve">average </w:t>
      </w:r>
      <w:r w:rsidR="00083FAF">
        <w:rPr>
          <w:rFonts w:ascii="Calibri" w:hAnsi="Calibri"/>
          <w:sz w:val="24"/>
          <w:szCs w:val="24"/>
          <w:lang w:val="en-US"/>
        </w:rPr>
        <w:t xml:space="preserve">AUC </w:t>
      </w:r>
      <w:r w:rsidR="003E370B">
        <w:rPr>
          <w:rFonts w:ascii="Calibri" w:hAnsi="Calibri"/>
          <w:sz w:val="24"/>
          <w:szCs w:val="24"/>
          <w:lang w:val="en-US"/>
        </w:rPr>
        <w:t>or average trough concentration</w:t>
      </w:r>
      <w:r w:rsidR="00083FAF">
        <w:rPr>
          <w:rFonts w:ascii="Calibri" w:hAnsi="Calibri"/>
          <w:sz w:val="24"/>
          <w:szCs w:val="24"/>
          <w:lang w:val="en-US"/>
        </w:rPr>
        <w:t xml:space="preserve"> and the </w:t>
      </w:r>
      <w:r w:rsidR="00C51830">
        <w:rPr>
          <w:rFonts w:ascii="Calibri" w:hAnsi="Calibri"/>
          <w:sz w:val="24"/>
          <w:szCs w:val="24"/>
          <w:lang w:val="en-US"/>
        </w:rPr>
        <w:t>probability</w:t>
      </w:r>
      <w:r w:rsidR="00083FAF">
        <w:rPr>
          <w:rFonts w:ascii="Calibri" w:hAnsi="Calibri"/>
          <w:sz w:val="24"/>
          <w:szCs w:val="24"/>
          <w:lang w:val="en-US"/>
        </w:rPr>
        <w:t xml:space="preserve"> of breakthrough infection</w:t>
      </w:r>
      <w:r w:rsidR="00C51830">
        <w:rPr>
          <w:rFonts w:ascii="Calibri" w:hAnsi="Calibri"/>
          <w:sz w:val="24"/>
          <w:szCs w:val="24"/>
          <w:lang w:val="en-US"/>
        </w:rPr>
        <w:t xml:space="preserve"> (</w:t>
      </w:r>
      <w:r w:rsidR="00642D47">
        <w:rPr>
          <w:rFonts w:ascii="Calibri" w:hAnsi="Calibri"/>
          <w:sz w:val="24"/>
          <w:szCs w:val="24"/>
          <w:lang w:val="en-US"/>
        </w:rPr>
        <w:t>odds ratio</w:t>
      </w:r>
      <w:r w:rsidR="00C51830">
        <w:rPr>
          <w:rFonts w:ascii="Calibri" w:hAnsi="Calibri"/>
          <w:sz w:val="24"/>
          <w:szCs w:val="24"/>
          <w:lang w:val="en-US"/>
        </w:rPr>
        <w:t xml:space="preserve"> (95% </w:t>
      </w:r>
      <w:r w:rsidR="00C25D3F">
        <w:rPr>
          <w:rFonts w:ascii="Calibri" w:hAnsi="Calibri"/>
          <w:sz w:val="24"/>
          <w:szCs w:val="24"/>
          <w:lang w:val="en-US"/>
        </w:rPr>
        <w:t>CI</w:t>
      </w:r>
      <w:r w:rsidR="00C51830">
        <w:rPr>
          <w:rFonts w:ascii="Calibri" w:hAnsi="Calibri"/>
          <w:sz w:val="24"/>
          <w:szCs w:val="24"/>
          <w:lang w:val="en-US"/>
        </w:rPr>
        <w:t>) 1.</w:t>
      </w:r>
      <w:r w:rsidR="008176E4">
        <w:rPr>
          <w:rFonts w:ascii="Calibri" w:hAnsi="Calibri"/>
          <w:sz w:val="24"/>
          <w:szCs w:val="24"/>
          <w:lang w:val="en-US"/>
        </w:rPr>
        <w:t xml:space="preserve">026 </w:t>
      </w:r>
      <w:r w:rsidR="00D37789">
        <w:rPr>
          <w:rFonts w:ascii="Calibri" w:hAnsi="Calibri"/>
          <w:sz w:val="24"/>
          <w:szCs w:val="24"/>
          <w:lang w:val="en-US"/>
        </w:rPr>
        <w:t>(0.</w:t>
      </w:r>
      <w:r w:rsidR="008176E4">
        <w:rPr>
          <w:rFonts w:ascii="Calibri" w:hAnsi="Calibri"/>
          <w:sz w:val="24"/>
          <w:szCs w:val="24"/>
          <w:lang w:val="en-US"/>
        </w:rPr>
        <w:t>956</w:t>
      </w:r>
      <w:r w:rsidR="00D37789">
        <w:rPr>
          <w:rFonts w:ascii="Calibri" w:hAnsi="Calibri"/>
          <w:sz w:val="24"/>
          <w:szCs w:val="24"/>
          <w:lang w:val="en-US"/>
        </w:rPr>
        <w:t>-1.</w:t>
      </w:r>
      <w:r w:rsidR="008176E4">
        <w:rPr>
          <w:rFonts w:ascii="Calibri" w:hAnsi="Calibri"/>
          <w:sz w:val="24"/>
          <w:szCs w:val="24"/>
          <w:lang w:val="en-US"/>
        </w:rPr>
        <w:t>102</w:t>
      </w:r>
      <w:r w:rsidR="00D37789">
        <w:rPr>
          <w:rFonts w:ascii="Calibri" w:hAnsi="Calibri"/>
          <w:sz w:val="24"/>
          <w:szCs w:val="24"/>
          <w:lang w:val="en-US"/>
        </w:rPr>
        <w:t xml:space="preserve">) </w:t>
      </w:r>
      <w:r w:rsidR="00C51830">
        <w:rPr>
          <w:rFonts w:ascii="Calibri" w:hAnsi="Calibri"/>
          <w:sz w:val="24"/>
          <w:szCs w:val="24"/>
          <w:lang w:val="en-US"/>
        </w:rPr>
        <w:t>and 1.</w:t>
      </w:r>
      <w:r w:rsidR="008176E4">
        <w:rPr>
          <w:rFonts w:ascii="Calibri" w:hAnsi="Calibri"/>
          <w:sz w:val="24"/>
          <w:szCs w:val="24"/>
          <w:lang w:val="en-US"/>
        </w:rPr>
        <w:t xml:space="preserve">108 </w:t>
      </w:r>
      <w:r w:rsidR="00D37789">
        <w:rPr>
          <w:rFonts w:ascii="Calibri" w:hAnsi="Calibri"/>
          <w:sz w:val="24"/>
          <w:szCs w:val="24"/>
          <w:lang w:val="en-US"/>
        </w:rPr>
        <w:t>(0.</w:t>
      </w:r>
      <w:r w:rsidR="008176E4">
        <w:rPr>
          <w:rFonts w:ascii="Calibri" w:hAnsi="Calibri"/>
          <w:sz w:val="24"/>
          <w:szCs w:val="24"/>
          <w:lang w:val="en-US"/>
        </w:rPr>
        <w:t>475</w:t>
      </w:r>
      <w:r w:rsidR="00D37789">
        <w:rPr>
          <w:rFonts w:ascii="Calibri" w:hAnsi="Calibri"/>
          <w:sz w:val="24"/>
          <w:szCs w:val="24"/>
          <w:lang w:val="en-US"/>
        </w:rPr>
        <w:t>-</w:t>
      </w:r>
      <w:r w:rsidR="008176E4">
        <w:rPr>
          <w:rFonts w:ascii="Calibri" w:hAnsi="Calibri"/>
          <w:sz w:val="24"/>
          <w:szCs w:val="24"/>
          <w:lang w:val="en-US"/>
        </w:rPr>
        <w:t>2.581</w:t>
      </w:r>
      <w:r w:rsidR="00D37789">
        <w:rPr>
          <w:rFonts w:ascii="Calibri" w:hAnsi="Calibri"/>
          <w:sz w:val="24"/>
          <w:szCs w:val="24"/>
          <w:lang w:val="en-US"/>
        </w:rPr>
        <w:t>), respectively</w:t>
      </w:r>
      <w:r w:rsidR="00201A44">
        <w:rPr>
          <w:rFonts w:ascii="Calibri" w:hAnsi="Calibri"/>
          <w:sz w:val="24"/>
          <w:szCs w:val="24"/>
          <w:lang w:val="en-US"/>
        </w:rPr>
        <w:t>)</w:t>
      </w:r>
      <w:r w:rsidR="00083FAF">
        <w:rPr>
          <w:rFonts w:ascii="Calibri" w:hAnsi="Calibri"/>
          <w:sz w:val="24"/>
          <w:szCs w:val="24"/>
          <w:lang w:val="en-US"/>
        </w:rPr>
        <w:t>.</w:t>
      </w:r>
      <w:r w:rsidR="00D37789">
        <w:rPr>
          <w:rFonts w:ascii="Calibri" w:hAnsi="Calibri"/>
          <w:sz w:val="24"/>
          <w:szCs w:val="24"/>
          <w:lang w:val="en-US"/>
        </w:rPr>
        <w:t xml:space="preserve">  The p-value </w:t>
      </w:r>
      <w:r w:rsidR="00A77105">
        <w:rPr>
          <w:rFonts w:ascii="Calibri" w:hAnsi="Calibri"/>
          <w:sz w:val="24"/>
          <w:szCs w:val="24"/>
          <w:lang w:val="en-US"/>
        </w:rPr>
        <w:t xml:space="preserve">for these estimates </w:t>
      </w:r>
      <w:r w:rsidR="00D37789">
        <w:rPr>
          <w:rFonts w:ascii="Calibri" w:hAnsi="Calibri"/>
          <w:sz w:val="24"/>
          <w:szCs w:val="24"/>
          <w:lang w:val="en-US"/>
        </w:rPr>
        <w:t>was 0.</w:t>
      </w:r>
      <w:r w:rsidR="000F6305">
        <w:rPr>
          <w:rFonts w:ascii="Calibri" w:hAnsi="Calibri"/>
          <w:sz w:val="24"/>
          <w:szCs w:val="24"/>
          <w:lang w:val="en-US"/>
        </w:rPr>
        <w:t xml:space="preserve">474 </w:t>
      </w:r>
      <w:r w:rsidR="00D37789">
        <w:rPr>
          <w:rFonts w:ascii="Calibri" w:hAnsi="Calibri"/>
          <w:sz w:val="24"/>
          <w:szCs w:val="24"/>
          <w:lang w:val="en-US"/>
        </w:rPr>
        <w:t>and 0.</w:t>
      </w:r>
      <w:r w:rsidR="000F6305">
        <w:rPr>
          <w:rFonts w:ascii="Calibri" w:hAnsi="Calibri"/>
          <w:sz w:val="24"/>
          <w:szCs w:val="24"/>
          <w:lang w:val="en-US"/>
        </w:rPr>
        <w:t>813</w:t>
      </w:r>
      <w:r w:rsidR="00D37789">
        <w:rPr>
          <w:rFonts w:ascii="Calibri" w:hAnsi="Calibri"/>
          <w:sz w:val="24"/>
          <w:szCs w:val="24"/>
          <w:lang w:val="en-US"/>
        </w:rPr>
        <w:t xml:space="preserve">, respectively. </w:t>
      </w:r>
      <w:r w:rsidR="00804BB3">
        <w:rPr>
          <w:rFonts w:ascii="Calibri" w:hAnsi="Calibri"/>
          <w:sz w:val="24"/>
          <w:szCs w:val="24"/>
          <w:lang w:val="en-US"/>
        </w:rPr>
        <w:t xml:space="preserve"> </w:t>
      </w:r>
    </w:p>
    <w:p w14:paraId="354D7BD4" w14:textId="77921FD6" w:rsidR="00B40FAA" w:rsidRDefault="00A17F85" w:rsidP="007C5CC0">
      <w:pPr>
        <w:tabs>
          <w:tab w:val="left" w:pos="6379"/>
        </w:tabs>
        <w:rPr>
          <w:rFonts w:ascii="Calibri" w:hAnsi="Calibri"/>
          <w:sz w:val="24"/>
          <w:szCs w:val="24"/>
          <w:lang w:val="en-US"/>
        </w:rPr>
      </w:pPr>
      <w:r>
        <w:rPr>
          <w:rFonts w:ascii="Calibri" w:hAnsi="Calibri"/>
          <w:sz w:val="24"/>
          <w:szCs w:val="24"/>
          <w:lang w:val="en-US"/>
        </w:rPr>
        <w:t xml:space="preserve">Conclusions: </w:t>
      </w:r>
      <w:r w:rsidR="00E34ECF">
        <w:rPr>
          <w:rFonts w:ascii="Calibri" w:hAnsi="Calibri"/>
          <w:sz w:val="24"/>
          <w:szCs w:val="24"/>
          <w:lang w:val="en-US"/>
        </w:rPr>
        <w:t>Given the</w:t>
      </w:r>
      <w:r w:rsidR="00A90375">
        <w:rPr>
          <w:rFonts w:ascii="Calibri" w:hAnsi="Calibri"/>
          <w:sz w:val="24"/>
          <w:szCs w:val="24"/>
          <w:lang w:val="en-US"/>
        </w:rPr>
        <w:t xml:space="preserve"> </w:t>
      </w:r>
      <w:r w:rsidR="00D12E84">
        <w:rPr>
          <w:rFonts w:ascii="Calibri" w:hAnsi="Calibri"/>
          <w:sz w:val="24"/>
          <w:szCs w:val="24"/>
          <w:lang w:val="en-US"/>
        </w:rPr>
        <w:t xml:space="preserve">very </w:t>
      </w:r>
      <w:r w:rsidR="00A90375">
        <w:rPr>
          <w:rFonts w:ascii="Calibri" w:hAnsi="Calibri"/>
          <w:sz w:val="24"/>
          <w:szCs w:val="24"/>
          <w:lang w:val="en-US"/>
        </w:rPr>
        <w:t xml:space="preserve">small number of proven/probable infections, </w:t>
      </w:r>
      <w:r w:rsidR="00E34ECF">
        <w:rPr>
          <w:rFonts w:ascii="Calibri" w:hAnsi="Calibri"/>
          <w:sz w:val="24"/>
          <w:szCs w:val="24"/>
          <w:lang w:val="en-US"/>
        </w:rPr>
        <w:t xml:space="preserve">it was difficult to identify any differences in drug exposure </w:t>
      </w:r>
      <w:r w:rsidR="00F13FCB">
        <w:rPr>
          <w:rFonts w:ascii="Calibri" w:hAnsi="Calibri"/>
          <w:sz w:val="24"/>
          <w:szCs w:val="24"/>
          <w:lang w:val="en-US"/>
        </w:rPr>
        <w:t xml:space="preserve">in HSCT recipients with and without breakthrough fungal infections.  </w:t>
      </w:r>
    </w:p>
    <w:p w14:paraId="78944C21" w14:textId="77777777" w:rsidR="00B40FAA" w:rsidRDefault="00B40FAA" w:rsidP="007C5CC0">
      <w:pPr>
        <w:tabs>
          <w:tab w:val="left" w:pos="6379"/>
        </w:tabs>
        <w:rPr>
          <w:rFonts w:ascii="Calibri" w:hAnsi="Calibri"/>
          <w:sz w:val="24"/>
          <w:szCs w:val="24"/>
          <w:lang w:val="en-US"/>
        </w:rPr>
      </w:pPr>
    </w:p>
    <w:p w14:paraId="6C397F34" w14:textId="77777777" w:rsidR="00B40FAA" w:rsidRDefault="00B40FAA" w:rsidP="005A4E5E">
      <w:pPr>
        <w:rPr>
          <w:rFonts w:ascii="Calibri" w:hAnsi="Calibri"/>
          <w:sz w:val="24"/>
          <w:szCs w:val="24"/>
          <w:lang w:val="en-US"/>
        </w:rPr>
      </w:pPr>
      <w:r>
        <w:rPr>
          <w:rFonts w:ascii="Calibri" w:hAnsi="Calibri"/>
          <w:sz w:val="24"/>
          <w:szCs w:val="24"/>
          <w:lang w:val="en-US"/>
        </w:rPr>
        <w:br w:type="page"/>
      </w:r>
    </w:p>
    <w:p w14:paraId="74D1D969" w14:textId="77777777" w:rsidR="00B40FAA" w:rsidRPr="007C5CC0" w:rsidRDefault="00B40FAA" w:rsidP="005A4E5E">
      <w:pPr>
        <w:tabs>
          <w:tab w:val="left" w:pos="6379"/>
        </w:tabs>
        <w:rPr>
          <w:rFonts w:ascii="Calibri" w:hAnsi="Calibri"/>
          <w:sz w:val="24"/>
          <w:szCs w:val="24"/>
          <w:lang w:val="en-US"/>
        </w:rPr>
      </w:pPr>
      <w:r>
        <w:rPr>
          <w:rFonts w:ascii="Calibri" w:hAnsi="Calibri"/>
          <w:sz w:val="24"/>
          <w:szCs w:val="24"/>
          <w:lang w:val="en-US"/>
        </w:rPr>
        <w:lastRenderedPageBreak/>
        <w:t>INTRODUCTION</w:t>
      </w:r>
    </w:p>
    <w:p w14:paraId="318E8429" w14:textId="4E644D20" w:rsidR="00B65F2E" w:rsidRPr="005E0624" w:rsidRDefault="00B65F2E" w:rsidP="005A4E5E">
      <w:pPr>
        <w:rPr>
          <w:sz w:val="24"/>
          <w:szCs w:val="24"/>
          <w:lang w:val="en-US"/>
        </w:rPr>
      </w:pPr>
      <w:r w:rsidRPr="005E0624">
        <w:rPr>
          <w:sz w:val="24"/>
          <w:szCs w:val="24"/>
          <w:lang w:val="en-US"/>
        </w:rPr>
        <w:tab/>
        <w:t xml:space="preserve">Voriconazole is a second-generation triazole </w:t>
      </w:r>
      <w:r w:rsidR="00632BB6">
        <w:rPr>
          <w:sz w:val="24"/>
          <w:szCs w:val="24"/>
          <w:lang w:val="en-US"/>
        </w:rPr>
        <w:t xml:space="preserve">antifungal agent </w:t>
      </w:r>
      <w:r w:rsidR="00044C2D">
        <w:rPr>
          <w:sz w:val="24"/>
          <w:szCs w:val="24"/>
          <w:lang w:val="en-US"/>
        </w:rPr>
        <w:t>with</w:t>
      </w:r>
      <w:r w:rsidR="00096B6D">
        <w:rPr>
          <w:sz w:val="24"/>
          <w:szCs w:val="24"/>
          <w:lang w:val="en-US"/>
        </w:rPr>
        <w:t xml:space="preserve"> </w:t>
      </w:r>
      <w:r w:rsidRPr="005E0624">
        <w:rPr>
          <w:sz w:val="24"/>
          <w:szCs w:val="24"/>
          <w:lang w:val="en-US"/>
        </w:rPr>
        <w:t>activity against a range of medically important opportunistic fungal pathogens</w:t>
      </w:r>
      <w:r w:rsidR="00610755">
        <w:rPr>
          <w:sz w:val="24"/>
          <w:szCs w:val="24"/>
          <w:lang w:val="en-US"/>
        </w:rPr>
        <w:t>.</w:t>
      </w:r>
      <w:r w:rsidR="001C605F">
        <w:rPr>
          <w:sz w:val="24"/>
          <w:szCs w:val="24"/>
          <w:lang w:val="en-US"/>
        </w:rPr>
        <w:fldChar w:fldCharType="begin" w:fldLock="1"/>
      </w:r>
      <w:r w:rsidR="00610755">
        <w:rPr>
          <w:sz w:val="24"/>
          <w:szCs w:val="24"/>
          <w:lang w:val="en-US"/>
        </w:rPr>
        <w:instrText>ADDIN CSL_CITATION { "citationItems" : [ { "id" : "ITEM-1", "itemData" : { "DOI" : "10.1016/j.tim.2010.02.004", "ISBN" : "1878-4380 (Electronic)\\r0966-842X (Linking)", "ISSN" : "0966842X", "PMID" : "20207544", "abstract" : "This article provides a perspective on the current status of drug therapy for invasive fungal diseases, together with priorities for the future development of novel compounds. Key opportunities for new drugs include production of orally bioavailable agents for the treatment of invasive aspergillosis, invasive candidiasis, cryptococcal meningitis and mucosal and urinary Candida infections. Orally bioavailable agents for the treatment of chronic pulmonary and allergic aspergillosis are also required, as well as new potent drugs against a range of medically important moulds. Antifungal resistance is a problem in certain contexts, but is generally less of a problem than bacterial infections. Earlier and more complete mycological diagnosis and improvements in underlying risk estimation will improve outcomes. The limitations of the current antifungal agents and opportunities for new developments are discussed. ?? 2010 Elsevier Ltd.", "author" : [ { "dropping-particle" : "", "family" : "Denning", "given" : "David W.", "non-dropping-particle" : "", "parse-names" : false, "suffix" : "" }, { "dropping-particle" : "", "family" : "Hope", "given" : "William W.", "non-dropping-particle" : "", "parse-names" : false, "suffix" : "" } ], "container-title" : "Trends in Microbiology", "id" : "ITEM-1", "issue" : "5", "issued" : { "date-parts" : [ [ "2010" ] ] }, "page" : "195-204", "title" : "Therapy for fungal diseases: Opportunities and priorities", "type" : "article-journal", "volume" : "18" }, "uris" : [ "http://www.mendeley.com/documents/?uuid=4a86236d-0e19-4356-9718-2a0d31893aa0" ] } ], "mendeley" : { "formattedCitation" : "&lt;sup&gt;1&lt;/sup&gt;", "plainTextFormattedCitation" : "1", "previouslyFormattedCitation" : "&lt;sup&gt;1&lt;/sup&gt;" }, "properties" : { "noteIndex" : 0 }, "schema" : "https://github.com/citation-style-language/schema/raw/master/csl-citation.json" }</w:instrText>
      </w:r>
      <w:r w:rsidR="001C605F">
        <w:rPr>
          <w:sz w:val="24"/>
          <w:szCs w:val="24"/>
          <w:lang w:val="en-US"/>
        </w:rPr>
        <w:fldChar w:fldCharType="separate"/>
      </w:r>
      <w:r w:rsidR="00610755" w:rsidRPr="00610755">
        <w:rPr>
          <w:noProof/>
          <w:sz w:val="24"/>
          <w:szCs w:val="24"/>
          <w:vertAlign w:val="superscript"/>
          <w:lang w:val="en-US"/>
        </w:rPr>
        <w:t>1</w:t>
      </w:r>
      <w:r w:rsidR="001C605F">
        <w:rPr>
          <w:sz w:val="24"/>
          <w:szCs w:val="24"/>
          <w:lang w:val="en-US"/>
        </w:rPr>
        <w:fldChar w:fldCharType="end"/>
      </w:r>
      <w:proofErr w:type="gramStart"/>
      <w:r w:rsidRPr="005E0624">
        <w:rPr>
          <w:sz w:val="24"/>
          <w:szCs w:val="24"/>
          <w:lang w:val="en-US"/>
        </w:rPr>
        <w:t xml:space="preserve">  Voriconazole</w:t>
      </w:r>
      <w:proofErr w:type="gramEnd"/>
      <w:r w:rsidRPr="005E0624">
        <w:rPr>
          <w:sz w:val="24"/>
          <w:szCs w:val="24"/>
          <w:lang w:val="en-US"/>
        </w:rPr>
        <w:t xml:space="preserve"> is a first-line agent for </w:t>
      </w:r>
      <w:r w:rsidR="00632BB6">
        <w:rPr>
          <w:sz w:val="24"/>
          <w:szCs w:val="24"/>
          <w:lang w:val="en-US"/>
        </w:rPr>
        <w:t xml:space="preserve">the </w:t>
      </w:r>
      <w:r w:rsidRPr="005E0624">
        <w:rPr>
          <w:sz w:val="24"/>
          <w:szCs w:val="24"/>
          <w:lang w:val="en-US"/>
        </w:rPr>
        <w:t>treatment of invasive aspergillosis</w:t>
      </w:r>
      <w:r w:rsidR="00F566C4">
        <w:rPr>
          <w:sz w:val="24"/>
          <w:szCs w:val="24"/>
          <w:lang w:val="en-US"/>
        </w:rPr>
        <w:fldChar w:fldCharType="begin" w:fldLock="1"/>
      </w:r>
      <w:r w:rsidR="00610755">
        <w:rPr>
          <w:sz w:val="24"/>
          <w:szCs w:val="24"/>
          <w:lang w:val="en-US"/>
        </w:rPr>
        <w:instrText>ADDIN CSL_CITATION { "citationItems" : [ { "id" : "ITEM-1", "itemData" : { "PMID" : "10770732", "abstract" : "Aspergillosis comprises a variety of manifestations of infection. These guidelines are directed to 3 principal entities: invasive aspergillosis, involving several organ systems (particularly pulmonary disease); pulmonary aspergilloma; and allergic bronchopulmonary aspergillosis. The recommendations are distilled in this summary, but the reader is encouraged to review the more extensive discussions in subsequent sections, which show the strength of the recommendations and the quality of the evidence, and the original publications cited in detail. Invasive aspergillosis. Because it is highly lethal in the immunocompromised host, even in the face of therapy, work-up must be prompt and aggressive, and therapy may need to be initiated upon suspicion of the diagnosis, without definitive proof (BIII). Intravenous therapy should be used initially in rapidly progressing disease (BIII). The largest therapeutic experience is with amphotericin B deoxycholate, which should be given at maximum tolerated doses (e.g., 1-1.5 mg/kg/d) and should be continued, despite modest increases in serum creatinine levels (BIII). Lipid formulations of amphotericin are indicated for the patient who has impaired renal function or who develops nephrotoxicity while receiving deoxycholate amphotericin (AII). Oral itraconazole is an alternative for patients who can take oral medication, are likely to be adherent, can be demonstrated (by serum level monitoring) to absorb the drug, and lack the potential for interaction with other drugs (BII). Oral itraconazole is attractive for continuing therapy in the patient who responds to initial iv therapy (CIII). Therapy should be prolonged beyond resolution of disease and reversible underlying predispositions (BIII). Adjunctive therapy (particularly surgery and combination chemotherapy, also immunotherapy), may be useful in certain situations (CIII). Aspergilloma. The optimal treatment strategy for aspergilloma is unknown. Therapy is predominantly directed at preventing life-threatening hemoptysis. Surgical removal of aspergilloma is definitive treatment, but because of significant morbidity and mortality it should be reserved for high-risk patients such as those with episodes of life-threatening hemoptysis, and considered for patients with underlying sarcoidosis, immunocompromised patients, and those with increasing Aspergillus-specific IgG titers (CIII). Surgical candidates would need to have adequate pulmonary function to undergo the operation. \u2026", "author" : [ { "dropping-particle" : "", "family" : "Stevens", "given" : "D A", "non-dropping-particle" : "", "parse-names" : false, "suffix" : "" }, { "dropping-particle" : "", "family" : "Kan", "given" : "V L", "non-dropping-particle" : "", "parse-names" : false, "suffix" : "" }, { "dropping-particle" : "", "family" : "Judson", "given" : "M A", "non-dropping-particle" : "", "parse-names" : false, "suffix" : "" }, { "dropping-particle" : "", "family" : "Morrison", "given" : "V A", "non-dropping-particle" : "", "parse-names" : false, "suffix" : "" }, { "dropping-particle" : "", "family" : "Dummer", "given" : "S", "non-dropping-particle" : "", "parse-names" : false, "suffix" : "" }, { "dropping-particle" : "", "family" : "Denning", "given" : "D W", "non-dropping-particle" : "", "parse-names" : false, "suffix" : "" }, { "dropping-particle" : "", "family" : "Bennett", "given" : "J E", "non-dropping-particle" : "", "parse-names" : false, "suffix" : "" }, { "dropping-particle" : "", "family" : "Walsh", "given" : "T J", "non-dropping-particle" : "", "parse-names" : false, "suffix" : "" }, { "dropping-particle" : "", "family" : "Patterson", "given" : "T F", "non-dropping-particle" : "", "parse-names" : false, "suffix" : "" }, { "dropping-particle" : "", "family" : "Pankey", "given" : "G A", "non-dropping-particle" : "", "parse-names" : false, "suffix" : "" } ], "container-title" : "Clin Infect Dis", "id" : "ITEM-1", "issue" : "4", "issued" : { "date-parts" : [ [ "2000" ] ] }, "note" : "1058-4838 (Print)\nGuideline\nJournal Article\nPractice Guideline", "page" : "696-709", "title" : "Practice guidelines for diseases caused by Aspergillus. Infectious Diseases Society of America", "type" : "article-journal", "volume" : "30" }, "uris" : [ "http://www.mendeley.com/documents/?uuid=9a830afd-844a-4961-a4d2-886b88abac3f" ] } ], "mendeley" : { "formattedCitation" : "&lt;sup&gt;2&lt;/sup&gt;", "plainTextFormattedCitation" : "2", "previouslyFormattedCitation" : "&lt;sup&gt;2&lt;/sup&gt;" }, "properties" : { "noteIndex" : 0 }, "schema" : "https://github.com/citation-style-language/schema/raw/master/csl-citation.json" }</w:instrText>
      </w:r>
      <w:r w:rsidR="00F566C4">
        <w:rPr>
          <w:sz w:val="24"/>
          <w:szCs w:val="24"/>
          <w:lang w:val="en-US"/>
        </w:rPr>
        <w:fldChar w:fldCharType="separate"/>
      </w:r>
      <w:r w:rsidR="00610755" w:rsidRPr="00610755">
        <w:rPr>
          <w:noProof/>
          <w:sz w:val="24"/>
          <w:szCs w:val="24"/>
          <w:vertAlign w:val="superscript"/>
          <w:lang w:val="en-US"/>
        </w:rPr>
        <w:t>2</w:t>
      </w:r>
      <w:r w:rsidR="00F566C4">
        <w:rPr>
          <w:sz w:val="24"/>
          <w:szCs w:val="24"/>
          <w:lang w:val="en-US"/>
        </w:rPr>
        <w:fldChar w:fldCharType="end"/>
      </w:r>
      <w:r w:rsidRPr="005E0624">
        <w:rPr>
          <w:sz w:val="24"/>
          <w:szCs w:val="24"/>
          <w:lang w:val="en-US"/>
        </w:rPr>
        <w:t xml:space="preserve">, which is largely based on </w:t>
      </w:r>
      <w:r w:rsidR="00096B6D">
        <w:rPr>
          <w:sz w:val="24"/>
          <w:szCs w:val="24"/>
          <w:lang w:val="en-US"/>
        </w:rPr>
        <w:t xml:space="preserve">the results of a </w:t>
      </w:r>
      <w:r w:rsidRPr="005E0624">
        <w:rPr>
          <w:sz w:val="24"/>
          <w:szCs w:val="24"/>
          <w:lang w:val="en-US"/>
        </w:rPr>
        <w:t>large randomized clinical trial comparing voriconazole with amphotericin B deoxycholate</w:t>
      </w:r>
      <w:r w:rsidR="00610755">
        <w:rPr>
          <w:sz w:val="24"/>
          <w:szCs w:val="24"/>
          <w:lang w:val="en-US"/>
        </w:rPr>
        <w:t>.</w:t>
      </w:r>
      <w:r w:rsidR="001C605F">
        <w:rPr>
          <w:sz w:val="24"/>
          <w:szCs w:val="24"/>
          <w:lang w:val="en-US"/>
        </w:rPr>
        <w:fldChar w:fldCharType="begin" w:fldLock="1"/>
      </w:r>
      <w:r w:rsidR="00610755">
        <w:rPr>
          <w:sz w:val="24"/>
          <w:szCs w:val="24"/>
          <w:lang w:val="en-US"/>
        </w:rPr>
        <w:instrText>ADDIN CSL_CITATION { "citationItems" : [ { "id" : "ITEM-1", "itemData" : { "PMID" : "12167683", "abstract" : "BACKGROUND: Voriconazole is a broad-spectrum triazole that is active against aspergillus species. We conducted a randomized trial to compare voriconazole with amphotericin B for primary therapy of invasive aspergillosis. METHODS: In this randomized, unblinded trial, patients received either intravenous voriconazole (two doses of 6 mg per kilogram of body weight on day 1, then 4 mg per kilogram twice daily for at least seven days) followed by 200 mg orally twice daily or intravenous amphotericin B deoxycholate (1 to 1.5 mg per kilogram per day). Other licensed antifungal treatments were allowed if the initial therapy failed or if the patient had an intolerance to the first drug used. A complete or partial response was considered to be a successful outcome. RESULTS: A total of 144 patients in the voriconazole group and 133 patients in the amphotericin B group with definite or probable aspergillosis received at least one dose of treatment. In most of the patients, the underlying condition was allogeneic hematopoietic-cell transplantation, acute leukemia, or other hematologic diseases. At week 12, there were successful outcomes in 52.8 percent of the patients in the voriconazole group (complete responses in 20.8 percent and partial responses in 31.9 percent) and 31.6 percent of those in the amphotericin B group (complete responses in 16.5 percent and partial responses in 15.0 percent; absolute difference, 21.2 percentage points; 95 percent confidence interval, 10.4 to 32.9). The survival rate at 12 weeks was 70.8 percent in the voriconazole group and 57.9 percent in the amphotericin B group (hazard ratio, 0.59; 95 percent confidence interval, 0.40 to 0.88). Voriconazole-treated patients had significantly fewer severe drug-related adverse events, but transient visual disturbances were common with voriconazole (occurring in 44.8 percent of patients). CONCLUSIONS: In patients with invasive aspergillosis, initial therapy with voriconazole led to better responses and improved survival and resulted in fewer severe side effects than the standard approach of initial therapy with amphotericin B.", "author" : [ { "dropping-particle" : "", "family" : "Herbrecht", "given" : "R", "non-dropping-particle" : "", "parse-names" : false, "suffix" : "" }, { "dropping-particle" : "", "family" : "Denning", "given" : "D W", "non-dropping-particle" : "", "parse-names" : false, "suffix" : "" }, { "dropping-particle" : "", "family" : "Patterson", "given" : "T F", "non-dropping-particle" : "", "parse-names" : false, "suffix" : "" }, { "dropping-particle" : "", "family" : "Bennett", "given" : "J E", "non-dropping-particle" : "", "parse-names" : false, "suffix" : "" }, { "dropping-particle" : "", "family" : "Greene", "given" : "R E", "non-dropping-particle" : "", "parse-names" : false, "suffix" : "" }, { "dropping-particle" : "", "family" : "Oestmann", "given" : "J W", "non-dropping-particle" : "", "parse-names" : false, "suffix" : "" }, { "dropping-particle" : "V", "family" : "Kern", "given" : "W", "non-dropping-particle" : "", "parse-names" : false, "suffix" : "" }, { "dropping-particle" : "", "family" : "Marr", "given" : "K A", "non-dropping-particle" : "", "parse-names" : false, "suffix" : "" }, { "dropping-particle" : "", "family" : "Ribaud", "given" : "P", "non-dropping-particle" : "", "parse-names" : false, "suffix" : "" }, { "dropping-particle" : "", "family" : "Lortholary", "given" : "O", "non-dropping-particle" : "", "parse-names" : false, "suffix" : "" }, { "dropping-particle" : "", "family" : "Sylvester", "given" : "R", "non-dropping-particle" : "", "parse-names" : false, "suffix" : "" }, { "dropping-particle" : "", "family" : "Rubin", "given" : "R H", "non-dropping-particle" : "", "parse-names" : false, "suffix" : "" }, { "dropping-particle" : "", "family" : "Wingard", "given" : "J R", "non-dropping-particle" : "", "parse-names" : false, "suffix" : "" }, { "dropping-particle" : "", "family" : "Stark", "given" : "P", "non-dropping-particle" : "", "parse-names" : false, "suffix" : "" }, { "dropping-particle" : "", "family" : "Durand", "given" : "C", "non-dropping-particle" : "", "parse-names" : false, "suffix" : "" }, { "dropping-particle" : "", "family" : "Caillot", "given" : "D", "non-dropping-particle" : "", "parse-names" : false, "suffix" : "" }, { "dropping-particle" : "", "family" : "Thiel", "given" : "E", "non-dropping-particle" : "", "parse-names" : false, "suffix" : "" }, { "dropping-particle" : "", "family" : "Chandrasekar", "given" : "P H", "non-dropping-particle" : "", "parse-names" : false, "suffix" : "" }, { "dropping-particle" : "", "family" : "Hodges", "given" : "M R", "non-dropping-particle" : "", "parse-names" : false, "suffix" : "" }, { "dropping-particle" : "", "family" : "Schlamm", "given" : "H T", "non-dropping-particle" : "", "parse-names" : false, "suffix" : "" }, { "dropping-particle" : "", "family" : "Troke", "given" : "P F", "non-dropping-particle" : "", "parse-names" : false, "suffix" : "" }, { "dropping-particle" : "", "family" : "Pauw", "given" : "B", "non-dropping-particle" : "de", "parse-names" : false, "suffix" : "" } ], "container-title" : "N Engl J Med", "id" : "ITEM-1", "issue" : "6", "issued" : { "date-parts" : [ [ "2002" ] ] }, "note" : "1533-4406 (Electronic)\nClinical Trial\nJournal Article\nMulticenter Study\nRandomized Controlled Trial", "page" : "408-415", "title" : "Voriconazole versus amphotericin B for primary therapy of invasive aspergillosis", "type" : "article-journal", "volume" : "347" }, "uris" : [ "http://www.mendeley.com/documents/?uuid=e37cfd5f-68b2-49c6-94bd-c1842bb8f55e" ] } ], "mendeley" : { "formattedCitation" : "&lt;sup&gt;3&lt;/sup&gt;", "plainTextFormattedCitation" : "3", "previouslyFormattedCitation" : "&lt;sup&gt;3&lt;/sup&gt;" }, "properties" : { "noteIndex" : 0 }, "schema" : "https://github.com/citation-style-language/schema/raw/master/csl-citation.json" }</w:instrText>
      </w:r>
      <w:r w:rsidR="001C605F">
        <w:rPr>
          <w:sz w:val="24"/>
          <w:szCs w:val="24"/>
          <w:lang w:val="en-US"/>
        </w:rPr>
        <w:fldChar w:fldCharType="separate"/>
      </w:r>
      <w:r w:rsidR="00610755" w:rsidRPr="00610755">
        <w:rPr>
          <w:noProof/>
          <w:sz w:val="24"/>
          <w:szCs w:val="24"/>
          <w:vertAlign w:val="superscript"/>
          <w:lang w:val="en-US"/>
        </w:rPr>
        <w:t>3</w:t>
      </w:r>
      <w:r w:rsidR="001C605F">
        <w:rPr>
          <w:sz w:val="24"/>
          <w:szCs w:val="24"/>
          <w:lang w:val="en-US"/>
        </w:rPr>
        <w:fldChar w:fldCharType="end"/>
      </w:r>
      <w:proofErr w:type="gramStart"/>
      <w:r w:rsidRPr="005E0624">
        <w:rPr>
          <w:sz w:val="24"/>
          <w:szCs w:val="24"/>
          <w:lang w:val="en-US"/>
        </w:rPr>
        <w:t xml:space="preserve">  The</w:t>
      </w:r>
      <w:proofErr w:type="gramEnd"/>
      <w:r w:rsidRPr="005E0624">
        <w:rPr>
          <w:sz w:val="24"/>
          <w:szCs w:val="24"/>
          <w:lang w:val="en-US"/>
        </w:rPr>
        <w:t xml:space="preserve"> efficacy of voriconazole has als</w:t>
      </w:r>
      <w:r w:rsidR="00096B6D">
        <w:rPr>
          <w:sz w:val="24"/>
          <w:szCs w:val="24"/>
          <w:lang w:val="en-US"/>
        </w:rPr>
        <w:t xml:space="preserve">o been established for other invasive </w:t>
      </w:r>
      <w:r w:rsidR="008306AA">
        <w:rPr>
          <w:sz w:val="24"/>
          <w:szCs w:val="24"/>
          <w:lang w:val="en-US"/>
        </w:rPr>
        <w:t xml:space="preserve">fungal </w:t>
      </w:r>
      <w:r w:rsidR="00096B6D">
        <w:rPr>
          <w:sz w:val="24"/>
          <w:szCs w:val="24"/>
          <w:lang w:val="en-US"/>
        </w:rPr>
        <w:t>diseases</w:t>
      </w:r>
      <w:r w:rsidRPr="005E0624">
        <w:rPr>
          <w:sz w:val="24"/>
          <w:szCs w:val="24"/>
          <w:lang w:val="en-US"/>
        </w:rPr>
        <w:t xml:space="preserve"> </w:t>
      </w:r>
      <w:r w:rsidR="00A505D9">
        <w:rPr>
          <w:sz w:val="24"/>
          <w:szCs w:val="24"/>
          <w:lang w:val="en-US"/>
        </w:rPr>
        <w:t xml:space="preserve">(IFDs) </w:t>
      </w:r>
      <w:r w:rsidRPr="00A339F5">
        <w:rPr>
          <w:sz w:val="24"/>
          <w:szCs w:val="24"/>
          <w:lang w:val="en-US"/>
        </w:rPr>
        <w:t xml:space="preserve">such as </w:t>
      </w:r>
      <w:r w:rsidR="00096B6D" w:rsidRPr="00A339F5">
        <w:rPr>
          <w:sz w:val="24"/>
          <w:szCs w:val="24"/>
          <w:lang w:val="en-US"/>
        </w:rPr>
        <w:t>those caused by</w:t>
      </w:r>
      <w:r w:rsidR="00CF48E1" w:rsidRPr="00A339F5">
        <w:rPr>
          <w:sz w:val="24"/>
          <w:szCs w:val="24"/>
          <w:lang w:val="en-US"/>
        </w:rPr>
        <w:t xml:space="preserve"> </w:t>
      </w:r>
      <w:r w:rsidR="00CF48E1" w:rsidRPr="00E35A47">
        <w:rPr>
          <w:i/>
          <w:sz w:val="24"/>
          <w:szCs w:val="24"/>
          <w:lang w:val="en-US"/>
        </w:rPr>
        <w:t>Candida</w:t>
      </w:r>
      <w:r w:rsidR="00CF48E1" w:rsidRPr="00A339F5">
        <w:rPr>
          <w:sz w:val="24"/>
          <w:szCs w:val="24"/>
          <w:lang w:val="en-US"/>
        </w:rPr>
        <w:t xml:space="preserve"> spp.</w:t>
      </w:r>
      <w:r w:rsidR="009074CB" w:rsidRPr="00A339F5">
        <w:rPr>
          <w:sz w:val="24"/>
          <w:szCs w:val="24"/>
          <w:lang w:val="en-US"/>
        </w:rPr>
        <w:fldChar w:fldCharType="begin" w:fldLock="1"/>
      </w:r>
      <w:r w:rsidR="00610755">
        <w:rPr>
          <w:sz w:val="24"/>
          <w:szCs w:val="24"/>
          <w:lang w:val="en-US"/>
        </w:rPr>
        <w:instrText>ADDIN CSL_CITATION { "citationItems" : [ { "id" : "ITEM-1", "itemData" : { "PMID" : "16243088", "abstract" : "BACKGROUND: Voriconazole has proven efficacy against invasive aspergillosis and oesophageal candidiasis. This multicentre, randomised, non-inferiority study compared voriconazole with a regimen of amphotericin B followed by fluconazole for the treatment of candidaemia in non-neutropenic patients. METHODS: Non-neutropenic patients with a positive blood culture for a species of candida and clinical evidence of infection were enrolled. Patients were randomly assigned, in a 2:1 ratio, either voriconazole (n=283) or amphotericin B followed by fluconazole (n=139). The primary efficacy analysis was based on clinical and mycological response 12 weeks after the end of treatment, assessed by an independent data-review committee unaware of treatment assignment. FINDINGS: Of 422 patients randomised, 370 were included in the modified intention-to-treat population. Voriconazole was non-inferior to amphotericin B/fluconazole in the primary efficacy analysis, with successful outcomes in 41% of patients in both treatment groups (95% CI for difference -10.6% to 10.6%). At the last evaluable assessment, outcome was successful in 162 (65%) patients assigned voriconazole and 87 (71%) assigned amphotericin B/fluconazole (p=0.25). Voriconazole cleared blood cultures as quickly as amphotericin B/fluconazole (median time to negative blood culture, 2.0 days). Treatment discontinuations due to all-cause adverse events were more frequent in the voriconazole group, although most discontinuations were due to non-drug-related events and there were significantly fewer serious adverse events and cases of renal toxicity than in the amphotericin B/fluconazole group. INTERPRETATION: Voriconazole was as effective as the regimen of amphotericin B followed by fluconazole in the treatment of candidaemia in non-neutropenic patients, and with fewer toxic effects. RELEVANCE TO PRACTICE: There are several options for treatment of candidaemia in non-neutropenic patients, including amphotericin B, fluconazole, voriconazole, and echinocandins. Voriconazole can be given both as initial intravenous treatment and as an oral stepdown agent.", "author" : [ { "dropping-particle" : "", "family" : "Kullberg", "given" : "B J", "non-dropping-particle" : "", "parse-names" : false, "suffix" : "" }, { "dropping-particle" : "", "family" : "Sobel", "given" : "J D", "non-dropping-particle" : "", "parse-names" : false, "suffix" : "" }, { "dropping-particle" : "", "family" : "Ruhnke", "given" : "M", "non-dropping-particle" : "", "parse-names" : false, "suffix" : "" }, { "dropping-particle" : "", "family" : "Pappas", "given" : "P G", "non-dropping-particle" : "", "parse-names" : false, "suffix" : "" }, { "dropping-particle" : "", "family" : "Viscoli", "given" : "C", "non-dropping-particle" : "", "parse-names" : false, "suffix" : "" }, { "dropping-particle" : "", "family" : "Rex", "given" : "J H", "non-dropping-particle" : "", "parse-names" : false, "suffix" : "" }, { "dropping-particle" : "", "family" : "Cleary", "given" : "J D", "non-dropping-particle" : "", "parse-names" : false, "suffix" : "" }, { "dropping-particle" : "", "family" : "Rubinstein", "given" : "E", "non-dropping-particle" : "", "parse-names" : false, "suffix" : "" }, { "dropping-particle" : "", "family" : "Church", "given" : "L W", "non-dropping-particle" : "", "parse-names" : false, "suffix" : "" }, { "dropping-particle" : "", "family" : "Brown", "given" : "J M", "non-dropping-particle" : "", "parse-names" : false, "suffix" : "" }, { "dropping-particle" : "", "family" : "Schlamm", "given" : "H T", "non-dropping-particle" : "", "parse-names" : false, "suffix" : "" }, { "dropping-particle" : "", "family" : "Oborska", "given" : "I T", "non-dropping-particle" : "", "parse-names" : false, "suffix" : "" }, { "dropping-particle" : "", "family" : "Hilton", "given" : "F", "non-dropping-particle" : "", "parse-names" : false, "suffix" : "" }, { "dropping-particle" : "", "family" : "Hodges", "given" : "M R", "non-dropping-particle" : "", "parse-names" : false, "suffix" : "" } ], "container-title" : "Lancet", "id" : "ITEM-1", "issue" : "9495", "issued" : { "date-parts" : [ [ "2005" ] ] }, "note" : "1474-547X (Electronic)\nClinical Trial\nComparative Study\nJournal Article\nMulticenter Study\nRandomized Controlled Trial\nResearch Support, Non-U.S. Gov't", "page" : "1435-1442", "title" : "Voriconazole versus a regimen of amphotericin B followed by fluconazole for candidaemia in non-neutropenic patients: a randomised non-inferiority trial", "type" : "article-journal", "volume" : "366" }, "uris" : [ "http://www.mendeley.com/documents/?uuid=37bc60a6-0727-4917-a705-13bc6121c59b" ] } ], "mendeley" : { "formattedCitation" : "&lt;sup&gt;4&lt;/sup&gt;", "plainTextFormattedCitation" : "4", "previouslyFormattedCitation" : "&lt;sup&gt;4&lt;/sup&gt;" }, "properties" : { "noteIndex" : 0 }, "schema" : "https://github.com/citation-style-language/schema/raw/master/csl-citation.json" }</w:instrText>
      </w:r>
      <w:r w:rsidR="009074CB" w:rsidRPr="00A339F5">
        <w:rPr>
          <w:sz w:val="24"/>
          <w:szCs w:val="24"/>
          <w:lang w:val="en-US"/>
        </w:rPr>
        <w:fldChar w:fldCharType="separate"/>
      </w:r>
      <w:r w:rsidR="00610755" w:rsidRPr="00610755">
        <w:rPr>
          <w:noProof/>
          <w:sz w:val="24"/>
          <w:szCs w:val="24"/>
          <w:vertAlign w:val="superscript"/>
          <w:lang w:val="en-US"/>
        </w:rPr>
        <w:t>4</w:t>
      </w:r>
      <w:r w:rsidR="009074CB" w:rsidRPr="00A339F5">
        <w:rPr>
          <w:sz w:val="24"/>
          <w:szCs w:val="24"/>
          <w:lang w:val="en-US"/>
        </w:rPr>
        <w:fldChar w:fldCharType="end"/>
      </w:r>
      <w:r w:rsidR="00CF48E1" w:rsidRPr="00A339F5">
        <w:rPr>
          <w:sz w:val="24"/>
          <w:szCs w:val="24"/>
          <w:lang w:val="en-US"/>
        </w:rPr>
        <w:t>,</w:t>
      </w:r>
      <w:r w:rsidR="00096B6D" w:rsidRPr="00A339F5">
        <w:rPr>
          <w:sz w:val="24"/>
          <w:szCs w:val="24"/>
          <w:lang w:val="en-US"/>
        </w:rPr>
        <w:t xml:space="preserve"> </w:t>
      </w:r>
      <w:r w:rsidRPr="00A339F5">
        <w:rPr>
          <w:i/>
          <w:sz w:val="24"/>
          <w:szCs w:val="24"/>
          <w:lang w:val="en-US"/>
        </w:rPr>
        <w:t>Fusarium</w:t>
      </w:r>
      <w:r w:rsidR="00F566C4" w:rsidRPr="00A339F5">
        <w:rPr>
          <w:i/>
          <w:sz w:val="24"/>
          <w:szCs w:val="24"/>
          <w:lang w:val="en-US"/>
        </w:rPr>
        <w:t xml:space="preserve"> </w:t>
      </w:r>
      <w:r w:rsidR="00F566C4" w:rsidRPr="00A339F5">
        <w:rPr>
          <w:sz w:val="24"/>
          <w:szCs w:val="24"/>
          <w:lang w:val="en-US"/>
        </w:rPr>
        <w:t>spp.</w:t>
      </w:r>
      <w:r w:rsidR="001C605F" w:rsidRPr="00A339F5">
        <w:rPr>
          <w:sz w:val="24"/>
          <w:szCs w:val="24"/>
          <w:lang w:val="en-US"/>
        </w:rPr>
        <w:fldChar w:fldCharType="begin" w:fldLock="1"/>
      </w:r>
      <w:r w:rsidR="00610755">
        <w:rPr>
          <w:sz w:val="24"/>
          <w:szCs w:val="24"/>
          <w:lang w:val="en-US"/>
        </w:rPr>
        <w:instrText>ADDIN CSL_CITATION { "citationItems" : [ { "id" : "ITEM-1", "itemData" : { "DOI" : "AAC.00286-10 [pii] 10.1128/AAC.00286-10", "ISBN" : "1098-6596 (Electronic) 0066-4804 (Linking)", "PMID" : "20625156", "abstract" : "The outcomes for 73 invasive fusariosis patients treated with voriconazole were investigated. Patients with proven (n = 67) or probable (n = 6) infections were identified from the voriconazole clinical database (n = 39) and the French National Reference Center for Mycoses and Antifungals database (n = 34). Investigator-determined success was a complete or partial response. Survival was determined from day 1 of voriconazole therapy to the last day known alive. Patients were 2 to 79 years old (median, 43 years), and 66% were male. Identified Fusarium species (62%) were F. solani, F. moniliforme, F. proliferatum, and F. oxysporum. Underlying conditions analyzed included hematopoietic stem cell transplant (HSCT; 18%), hematologic malignancy (HM; 60%), chronic immunosuppression (CI; 12%), or other condition (OC; 10%). Infection sites were brain (5%), disseminated excluding brain (67%), lungs/sinus (15%), and other (12%). Most patients (64%) were or had recently been neutropenic (&lt;500 cells/mm(3)). Therapy duration was 1 to 480 days (median, 57 days), with a 47% success rate. Baseline neutropenia impacted success adversely (P &lt;/= 0.03). Success varied by underlying condition (HSCT, 38%; HM, 45%; CI, 44%; OC, 71%) and infection site (brain, 0%; disseminated, 45%; other, 56%; lung/sinus, 64%) (P &gt; 0.05). Combination therapy (13 patients) was no better than treatment with voriconazole alone. Overall, 59% of the patients died (49% died of fusariosis), and 90-day survival was 42%. Site of infection influenced survival (P = 0.02). Median survival (in days) by species was as follows: F. solani, 213; F. oxysporum, 112; Fusarium spp., 101; F. proliferatum, 84; F. moniliforme, 76. We conclude that voriconazole is a therapeutic option for invasive fusariosis.", "author" : [ { "dropping-particle" : "", "family" : "Lortholary", "given" : "O", "non-dropping-particle" : "", "parse-names" : false, "suffix" : "" }, { "dropping-particle" : "", "family" : "Obenga", "given" : "G", "non-dropping-particle" : "", "parse-names" : false, "suffix" : "" }, { "dropping-particle" : "", "family" : "Biswas", "given" : "P", "non-dropping-particle" : "", "parse-names" : false, "suffix" : "" }, { "dropping-particle" : "", "family" : "Caillot", "given" : "D", "non-dropping-particle" : "", "parse-names" : false, "suffix" : "" }, { "dropping-particle" : "", "family" : "Chachaty", "given" : "E", "non-dropping-particle" : "", "parse-names" : false, "suffix" : "" }, { "dropping-particle" : "", "family" : "Bienvenu", "given" : "A L", "non-dropping-particle" : "", "parse-names" : false, "suffix" : "" }, { "dropping-particle" : "", "family" : "Cornet", "given" : "M", "non-dropping-particle" : "", "parse-names" : false, "suffix" : "" }, { "dropping-particle" : "", "family" : "Greene", "given" : "J", "non-dropping-particle" : "", "parse-names" : false, "suffix" : "" }, { "dropping-particle" : "", "family" : "Herbrecht", "given" : "R", "non-dropping-particle" : "", "parse-names" : false, "suffix" : "" }, { "dropping-particle" : "", "family" : "Lacroix", "given" : "C", "non-dropping-particle" : "", "parse-names" : false, "suffix" : "" }, { "dropping-particle" : "", "family" : "Grenouillet", "given" : "F", "non-dropping-particle" : "", "parse-names" : false, "suffix" : "" }, { "dropping-particle" : "", "family" : "Raad", "given" : "I", "non-dropping-particle" : "", "parse-names" : false, "suffix" : "" }, { "dropping-particle" : "", "family" : "Sitbon", "given" : "K", "non-dropping-particle" : "", "parse-names" : false, "suffix" : "" }, { "dropping-particle" : "", "family" : "Troke", "given" : "P", "non-dropping-particle" : "", "parse-names" : false, "suffix" : "" } ], "container-title" : "Antimicrob Agents Chemother", "id" : "ITEM-1", "issue" : "10", "issued" : { "date-parts" : [ [ "2010" ] ] }, "language" : "eng", "note" : "Lortholary, Olivier\nObenga, Gaelle\nBiswas, Pinaki\nCaillot, Denis\nChachaty, Elisabeth\nBienvenu, Anne-Lise\nCornet, Muriel\nGreene, John\nHerbrecht, Raoul\nLacroix, Claire\nGrenouillet, Frederic\nRaad, Issam\nSitbon, Karine\nTroke, Peter\nFrench Mycoses Study Group\nResearch Support, Non-U.S. Gov't\nUnited States\nAntimicrobial agents and chemotherapy\nAntimicrob Agents Chemother. 2010 Oct;54(10):4446-50. Epub 2010 Jul 12.", "page" : "4446-4450", "title" : "International retrospective analysis of 73 cases of invasive fusariosis treated with voriconazole", "type" : "article-journal", "volume" : "54" }, "uris" : [ "http://www.mendeley.com/documents/?uuid=809eb51e-0c4a-48ee-9415-c966567c0cff" ] } ], "mendeley" : { "formattedCitation" : "&lt;sup&gt;5&lt;/sup&gt;", "plainTextFormattedCitation" : "5", "previouslyFormattedCitation" : "&lt;sup&gt;5&lt;/sup&gt;" }, "properties" : { "noteIndex" : 0 }, "schema" : "https://github.com/citation-style-language/schema/raw/master/csl-citation.json" }</w:instrText>
      </w:r>
      <w:r w:rsidR="001C605F" w:rsidRPr="00A339F5">
        <w:rPr>
          <w:sz w:val="24"/>
          <w:szCs w:val="24"/>
          <w:lang w:val="en-US"/>
        </w:rPr>
        <w:fldChar w:fldCharType="separate"/>
      </w:r>
      <w:r w:rsidR="00610755" w:rsidRPr="00610755">
        <w:rPr>
          <w:noProof/>
          <w:sz w:val="24"/>
          <w:szCs w:val="24"/>
          <w:vertAlign w:val="superscript"/>
          <w:lang w:val="en-US"/>
        </w:rPr>
        <w:t>5</w:t>
      </w:r>
      <w:r w:rsidR="001C605F" w:rsidRPr="00A339F5">
        <w:rPr>
          <w:sz w:val="24"/>
          <w:szCs w:val="24"/>
          <w:lang w:val="en-US"/>
        </w:rPr>
        <w:fldChar w:fldCharType="end"/>
      </w:r>
      <w:r w:rsidR="00F566C4" w:rsidRPr="00A339F5">
        <w:rPr>
          <w:sz w:val="24"/>
          <w:szCs w:val="24"/>
          <w:lang w:val="en-US"/>
        </w:rPr>
        <w:t xml:space="preserve"> and </w:t>
      </w:r>
      <w:r w:rsidR="00F566C4" w:rsidRPr="00E35A47">
        <w:rPr>
          <w:i/>
          <w:sz w:val="24"/>
          <w:szCs w:val="24"/>
          <w:lang w:val="en-US"/>
        </w:rPr>
        <w:t xml:space="preserve">Scedosporium </w:t>
      </w:r>
      <w:r w:rsidR="009751D7" w:rsidRPr="00E35A47">
        <w:rPr>
          <w:sz w:val="24"/>
          <w:szCs w:val="24"/>
          <w:lang w:val="en-US"/>
        </w:rPr>
        <w:t>spp</w:t>
      </w:r>
      <w:r w:rsidR="009751D7" w:rsidRPr="00A339F5">
        <w:rPr>
          <w:i/>
          <w:sz w:val="24"/>
          <w:szCs w:val="24"/>
          <w:lang w:val="en-US"/>
        </w:rPr>
        <w:t>.</w:t>
      </w:r>
      <w:r w:rsidR="0051739C" w:rsidRPr="00E35A47">
        <w:rPr>
          <w:sz w:val="24"/>
          <w:szCs w:val="24"/>
          <w:lang w:val="en-US"/>
        </w:rPr>
        <w:fldChar w:fldCharType="begin" w:fldLock="1"/>
      </w:r>
      <w:r w:rsidR="00610755">
        <w:rPr>
          <w:sz w:val="24"/>
          <w:szCs w:val="24"/>
          <w:lang w:val="en-US"/>
        </w:rPr>
        <w:instrText>ADDIN CSL_CITATION { "citationItems" : [ { "id" : "ITEM-1", "itemData" : { "DOI" : "10.1128/AAC.01388-07", "ISSN" : "00664804", "PMID" : "18212110", "abstract" : "The efficacy of voriconazole in 107 patients with scedosporiosis was analyzed. Principal infection sites were the lungs/sinuses (24%), central nervous system (CNS) (20%), and bone (18%), while 21% of patients had disseminated infection. Solid organ transplantation (22%), hematological malignancy (21%), and surgery/trauma (15%) were the predominant underlying conditions. A successful therapeutic response was achieved in 57% of patients (median, 103 therapy days), with &gt; 98% of those responding receiving &gt; or = 28 days of therapy. Patients receiving primary therapy showed a 61% response versus 56% for the others. The best therapeutic responses were seen for skin/subcutaneous (91%) or bone (79%) infections, and the lowest for CNS infections (43%). Patients without major immune suppression (72%) or those with solid organ transplantation (63%) or various hematological conditions (60%) showed the best responses by underlying condition. Median known survival time was 133 days (therapy successes, 252 days; failures, 21 days). In all, 43 (40%) patients died, 73% due to scedosporiosis. Patients with Scedosporium prolificans infection had significantly reduced survival times (P = 0.0259) and were more likely to die from fungal infection (P = 0.002) than were Scedosporium apiospermum-infected patients. In a subset of 43 patients where voriconazole baseline MICs were available, response to voriconazole was higher for S. apiospermum-infected patients (54% response; MIC(50), 0.25 microg/ml) than for S. prolificans-infected patients (40% response; MIC(50), 4.0 microg/ml). Voriconazole demonstrated clinically useful activity in the treatment of both S. apiospermum and S. prolificans infections and was well tolerated.", "author" : [ { "dropping-particle" : "", "family" : "Troke", "given" : "Peter", "non-dropping-particle" : "", "parse-names" : false, "suffix" : "" }, { "dropping-particle" : "", "family" : "Aguirrebengoa", "given" : "Koldo", "non-dropping-particle" : "", "parse-names" : false, "suffix" : "" }, { "dropping-particle" : "", "family" : "Arteaga", "given" : "Carmen", "non-dropping-particle" : "", "parse-names" : false, "suffix" : "" }, { "dropping-particle" : "", "family" : "Ellis", "given" : "David", "non-dropping-particle" : "", "parse-names" : false, "suffix" : "" }, { "dropping-particle" : "", "family" : "Heath", "given" : "Christopher H.", "non-dropping-particle" : "", "parse-names" : false, "suffix" : "" }, { "dropping-particle" : "", "family" : "Lutsar", "given" : "Irja", "non-dropping-particle" : "", "parse-names" : false, "suffix" : "" }, { "dropping-particle" : "", "family" : "Rovira", "given" : "Montserrat", "non-dropping-particle" : "", "parse-names" : false, "suffix" : "" }, { "dropping-particle" : "", "family" : "Nguyen", "given" : "Quoc", "non-dropping-particle" : "", "parse-names" : false, "suffix" : "" }, { "dropping-particle" : "", "family" : "Slavin", "given" : "Monica", "non-dropping-particle" : "", "parse-names" : false, "suffix" : "" }, { "dropping-particle" : "", "family" : "Chen", "given" : "Sharon C A", "non-dropping-particle" : "", "parse-names" : false, "suffix" : "" } ], "container-title" : "Antimicrobial Agents and Chemotherapy", "id" : "ITEM-1", "issued" : { "date-parts" : [ [ "2008" ] ] }, "page" : "1743-1750", "title" : "Treatment of scedosporiosis with voriconazole: Clinical experience with 107 patients", "type" : "article-journal", "volume" : "52" }, "uris" : [ "http://www.mendeley.com/documents/?uuid=819b6e52-4616-4799-a57c-ab8c02396905" ] } ], "mendeley" : { "formattedCitation" : "&lt;sup&gt;6&lt;/sup&gt;", "plainTextFormattedCitation" : "6", "previouslyFormattedCitation" : "&lt;sup&gt;6&lt;/sup&gt;" }, "properties" : { "noteIndex" : 0 }, "schema" : "https://github.com/citation-style-language/schema/raw/master/csl-citation.json" }</w:instrText>
      </w:r>
      <w:r w:rsidR="0051739C" w:rsidRPr="00E35A47">
        <w:rPr>
          <w:sz w:val="24"/>
          <w:szCs w:val="24"/>
          <w:lang w:val="en-US"/>
        </w:rPr>
        <w:fldChar w:fldCharType="separate"/>
      </w:r>
      <w:r w:rsidR="00610755" w:rsidRPr="00610755">
        <w:rPr>
          <w:noProof/>
          <w:sz w:val="24"/>
          <w:szCs w:val="24"/>
          <w:vertAlign w:val="superscript"/>
          <w:lang w:val="en-US"/>
        </w:rPr>
        <w:t>6</w:t>
      </w:r>
      <w:r w:rsidR="0051739C" w:rsidRPr="00E35A47">
        <w:rPr>
          <w:sz w:val="24"/>
          <w:szCs w:val="24"/>
          <w:lang w:val="en-US"/>
        </w:rPr>
        <w:fldChar w:fldCharType="end"/>
      </w:r>
      <w:proofErr w:type="gramStart"/>
      <w:r w:rsidR="00096B6D">
        <w:rPr>
          <w:sz w:val="24"/>
          <w:szCs w:val="24"/>
          <w:lang w:val="en-US"/>
        </w:rPr>
        <w:t xml:space="preserve"> </w:t>
      </w:r>
      <w:r w:rsidRPr="005E0624">
        <w:rPr>
          <w:sz w:val="24"/>
          <w:szCs w:val="24"/>
          <w:lang w:val="en-US"/>
        </w:rPr>
        <w:t xml:space="preserve"> </w:t>
      </w:r>
      <w:r w:rsidR="00096B6D">
        <w:rPr>
          <w:sz w:val="24"/>
          <w:szCs w:val="24"/>
          <w:lang w:val="en-US"/>
        </w:rPr>
        <w:t>Voriconazole</w:t>
      </w:r>
      <w:proofErr w:type="gramEnd"/>
      <w:r w:rsidR="00096B6D">
        <w:rPr>
          <w:sz w:val="24"/>
          <w:szCs w:val="24"/>
          <w:lang w:val="en-US"/>
        </w:rPr>
        <w:t xml:space="preserve"> </w:t>
      </w:r>
      <w:r w:rsidR="00571362">
        <w:rPr>
          <w:sz w:val="24"/>
          <w:szCs w:val="24"/>
          <w:lang w:val="en-US"/>
        </w:rPr>
        <w:t xml:space="preserve">is also the agent of choice for </w:t>
      </w:r>
      <w:r w:rsidR="00F566C4">
        <w:rPr>
          <w:sz w:val="24"/>
          <w:szCs w:val="24"/>
          <w:lang w:val="en-US"/>
        </w:rPr>
        <w:t>certain</w:t>
      </w:r>
      <w:r w:rsidR="00096B6D">
        <w:rPr>
          <w:sz w:val="24"/>
          <w:szCs w:val="24"/>
          <w:lang w:val="en-US"/>
        </w:rPr>
        <w:t xml:space="preserve"> </w:t>
      </w:r>
      <w:r w:rsidR="00DE1CBA">
        <w:rPr>
          <w:sz w:val="24"/>
          <w:szCs w:val="24"/>
          <w:lang w:val="en-US"/>
        </w:rPr>
        <w:t xml:space="preserve">specific </w:t>
      </w:r>
      <w:r w:rsidR="00632BB6">
        <w:rPr>
          <w:sz w:val="24"/>
          <w:szCs w:val="24"/>
          <w:lang w:val="en-US"/>
        </w:rPr>
        <w:t xml:space="preserve">clinical </w:t>
      </w:r>
      <w:r w:rsidR="001A006C">
        <w:rPr>
          <w:sz w:val="24"/>
          <w:szCs w:val="24"/>
          <w:lang w:val="en-US"/>
        </w:rPr>
        <w:t>conditions</w:t>
      </w:r>
      <w:r w:rsidR="001A006C" w:rsidRPr="005E0624">
        <w:rPr>
          <w:sz w:val="24"/>
          <w:szCs w:val="24"/>
          <w:lang w:val="en-US"/>
        </w:rPr>
        <w:t xml:space="preserve"> </w:t>
      </w:r>
      <w:r w:rsidRPr="005E0624">
        <w:rPr>
          <w:sz w:val="24"/>
          <w:szCs w:val="24"/>
          <w:lang w:val="en-US"/>
        </w:rPr>
        <w:t>such as osteo</w:t>
      </w:r>
      <w:r w:rsidR="00DE1CBA">
        <w:rPr>
          <w:sz w:val="24"/>
          <w:szCs w:val="24"/>
          <w:lang w:val="en-US"/>
        </w:rPr>
        <w:t>articular aspergillosis</w:t>
      </w:r>
      <w:r w:rsidR="00BB1AFE">
        <w:rPr>
          <w:sz w:val="24"/>
          <w:szCs w:val="24"/>
          <w:lang w:val="en-US"/>
        </w:rPr>
        <w:fldChar w:fldCharType="begin" w:fldLock="1"/>
      </w:r>
      <w:r w:rsidR="00610755">
        <w:rPr>
          <w:sz w:val="24"/>
          <w:szCs w:val="24"/>
          <w:lang w:val="en-US"/>
        </w:rPr>
        <w:instrText>ADDIN CSL_CITATION { "citationItems" : [ { "id" : "ITEM-1", "itemData" : { "PMID" : "15791514", "abstract" : "BACKGROUND; Bone aspergillosis remains a rare but potentially devastating fungal disease. Although voriconazole is effective for invasive pulmonary aspergillosis, evidence of its efficacy for aspergillosis located in bone is limited. METHODS: We report our experience with voriconazole in 4 cases of invasive bone aspergillosis. In addition, all cases of probable and definite bone aspergillosis from the Pfizer clinical database were reviewed and analyzed to determine the safety and efficacy of voriconazole treatment. Global response was evaluated at the end of therapy on the basis of a composite assessment of overall clinical, radiological, and mycological responses. RESULTS: Twenty patients are described, of whom 18 had definite bone involvement diagnosed (spondylodiskitis in 9, sternum/rib osteomyelitis in 6, and peripheral bone involvement in 5). Of 20 patients, 14 were immunocompromised. Oral or intravenous voriconazole was given as salvage therapy for 18 patients; 2 patients received voriconazole as first-line therapy. Median duration of voriconazole treatment was 83.5 days (range, 4-395 days). Global response at end of therapy was satisfactory in 11 (55%) of 20 patients, including complete responses in 4 patients and partial responses in 7 patients; there were no relapses of infection in the 4 patients with complete response to therapy with voriconazole. Treatment was generally well tolerated. CONCLUSIONS: Long-term voriconazole treatment is a new therapeutic option for invasive aspergillosis with bone involvement.", "author" : [ { "dropping-particle" : "", "family" : "Mouas", "given" : "H", "non-dropping-particle" : "", "parse-names" : false, "suffix" : "" }, { "dropping-particle" : "", "family" : "Lutsar", "given" : "I", "non-dropping-particle" : "", "parse-names" : false, "suffix" : "" }, { "dropping-particle" : "", "family" : "Dupont", "given" : "B", "non-dropping-particle" : "", "parse-names" : false, "suffix" : "" }, { "dropping-particle" : "", "family" : "Fain", "given" : "O", "non-dropping-particle" : "", "parse-names" : false, "suffix" : "" }, { "dropping-particle" : "", "family" : "Herbrecht", "given" : "R", "non-dropping-particle" : "", "parse-names" : false, "suffix" : "" }, { "dropping-particle" : "", "family" : "Lescure", "given" : "F X", "non-dropping-particle" : "", "parse-names" : false, "suffix" : "" }, { "dropping-particle" : "", "family" : "Lortholary", "given" : "O", "non-dropping-particle" : "", "parse-names" : false, "suffix" : "" } ], "container-title" : "Clin Infect Dis", "id" : "ITEM-1", "issue" : "8", "issued" : { "date-parts" : [ [ "2005" ] ] }, "note" : "1537-6591 (Electronic)\nCase Reports\nClinical Trial\nJournal Article", "page" : "1141-1147", "title" : "Voriconazole for invasive bone aspergillosis: a worldwide experience of 20 cases", "type" : "article-journal", "volume" : "40" }, "uris" : [ "http://www.mendeley.com/documents/?uuid=6704e9b0-519c-4624-8c6f-614514661a02" ] } ], "mendeley" : { "formattedCitation" : "&lt;sup&gt;7&lt;/sup&gt;", "plainTextFormattedCitation" : "7", "previouslyFormattedCitation" : "&lt;sup&gt;7&lt;/sup&gt;" }, "properties" : { "noteIndex" : 0 }, "schema" : "https://github.com/citation-style-language/schema/raw/master/csl-citation.json" }</w:instrText>
      </w:r>
      <w:r w:rsidR="00BB1AFE">
        <w:rPr>
          <w:sz w:val="24"/>
          <w:szCs w:val="24"/>
          <w:lang w:val="en-US"/>
        </w:rPr>
        <w:fldChar w:fldCharType="separate"/>
      </w:r>
      <w:r w:rsidR="00610755" w:rsidRPr="00610755">
        <w:rPr>
          <w:noProof/>
          <w:sz w:val="24"/>
          <w:szCs w:val="24"/>
          <w:vertAlign w:val="superscript"/>
          <w:lang w:val="en-US"/>
        </w:rPr>
        <w:t>7</w:t>
      </w:r>
      <w:r w:rsidR="00BB1AFE">
        <w:rPr>
          <w:sz w:val="24"/>
          <w:szCs w:val="24"/>
          <w:lang w:val="en-US"/>
        </w:rPr>
        <w:fldChar w:fldCharType="end"/>
      </w:r>
      <w:r w:rsidR="00BB1AFE">
        <w:rPr>
          <w:sz w:val="24"/>
          <w:szCs w:val="24"/>
          <w:lang w:val="en-US"/>
        </w:rPr>
        <w:t xml:space="preserve"> </w:t>
      </w:r>
      <w:r w:rsidRPr="005E0624">
        <w:rPr>
          <w:sz w:val="24"/>
          <w:szCs w:val="24"/>
          <w:lang w:val="en-US"/>
        </w:rPr>
        <w:t xml:space="preserve">and </w:t>
      </w:r>
      <w:r w:rsidR="00DE1CBA">
        <w:rPr>
          <w:sz w:val="24"/>
          <w:szCs w:val="24"/>
          <w:lang w:val="en-US"/>
        </w:rPr>
        <w:t>cerebral</w:t>
      </w:r>
      <w:r w:rsidRPr="005E0624">
        <w:rPr>
          <w:sz w:val="24"/>
          <w:szCs w:val="24"/>
          <w:lang w:val="en-US"/>
        </w:rPr>
        <w:t xml:space="preserve"> aspergillosis</w:t>
      </w:r>
      <w:r w:rsidR="00610755">
        <w:rPr>
          <w:sz w:val="24"/>
          <w:szCs w:val="24"/>
          <w:lang w:val="en-US"/>
        </w:rPr>
        <w:t>.</w:t>
      </w:r>
      <w:r w:rsidR="001C605F">
        <w:rPr>
          <w:sz w:val="24"/>
          <w:szCs w:val="24"/>
          <w:lang w:val="en-US"/>
        </w:rPr>
        <w:fldChar w:fldCharType="begin" w:fldLock="1"/>
      </w:r>
      <w:r w:rsidR="00610755">
        <w:rPr>
          <w:sz w:val="24"/>
          <w:szCs w:val="24"/>
          <w:lang w:val="en-US"/>
        </w:rPr>
        <w:instrText>ADDIN CSL_CITATION { "citationItems" : [ { "id" : "ITEM-1", "itemData" : { "PMID" : "15998833", "abstract" : "The mortality of central nervous system (CNS) aspergillosis approaches 100%, requiring improved therapies. Voriconazole gives superior efficacy and survival in invasive aspergillosis, compared with amphotericin B. Also, in contrast to other antifungal drugs, voriconazole penetrates well into the CNS. We evaluated, retrospectively, the outcome and survival of 81 patients who were treated with voriconazole for definite (n = 48) or probable (n = 33) CNS aspergillosis. Complete and partial responses were recorded in 35% of patients and varied by the underlying disease group: hematologic malignancies (54%), other underlying conditions (50%), chronic immunosuppression (45%), solid organ transplantation (36%), and hematopoietic stem cell transplantation (16%). Thirty-one percent of patients survived CNS aspergillosis for a median observation time of 390 days. There were 31 patients who underwent neurosurgical procedures, including craniotomy/abscess resection (n = 14), abscess drainage (n = 12), ventricular shunt (n = 4), and Ommaya-reservoir (n = 1). Multifactorial analysis revealed that neurosurgery was associated with improved survival (P = .02). Patients who underwent hematopoietic stem cell transplantation had a poorer survival (P = .02), but 7 (22%) of 32 survived for a median of 203 days. We conclude from this large cohort of patients that voriconazole treatment together with neurosurgical management, whenever feasible, is currently the best approach to treat patients with CNS aspergillosis.", "author" : [ { "dropping-particle" : "", "family" : "Schwartz", "given" : "S", "non-dropping-particle" : "", "parse-names" : false, "suffix" : "" }, { "dropping-particle" : "", "family" : "Ruhnke", "given" : "M", "non-dropping-particle" : "", "parse-names" : false, "suffix" : "" }, { "dropping-particle" : "", "family" : "Ribaud", "given" : "P", "non-dropping-particle" : "", "parse-names" : false, "suffix" : "" }, { "dropping-particle" : "", "family" : "Corey", "given" : "L", "non-dropping-particle" : "", "parse-names" : false, "suffix" : "" }, { "dropping-particle" : "", "family" : "Driscoll", "given" : "T", "non-dropping-particle" : "", "parse-names" : false, "suffix" : "" }, { "dropping-particle" : "", "family" : "Cornely", "given" : "O A", "non-dropping-particle" : "", "parse-names" : false, "suffix" : "" }, { "dropping-particle" : "", "family" : "Schuler", "given" : "U", "non-dropping-particle" : "", "parse-names" : false, "suffix" : "" }, { "dropping-particle" : "", "family" : "Lutsar", "given" : "I", "non-dropping-particle" : "", "parse-names" : false, "suffix" : "" }, { "dropping-particle" : "", "family" : "Troke", "given" : "P", "non-dropping-particle" : "", "parse-names" : false, "suffix" : "" }, { "dropping-particle" : "", "family" : "Thiel", "given" : "E", "non-dropping-particle" : "", "parse-names" : false, "suffix" : "" } ], "container-title" : "Blood", "id" : "ITEM-1", "issue" : "8", "issued" : { "date-parts" : [ [ "2005" ] ] }, "note" : "0006-4971 (Print)\nJournal Article\nResearch Support, Non-U.S. Gov&amp;#039;t", "page" : "2641-2645", "title" : "Improved outcome in central nervous system aspergillosis, using voriconazole treatment", "type" : "article-journal", "volume" : "106" }, "uris" : [ "http://www.mendeley.com/documents/?uuid=e5988a2f-a033-40be-a345-c4324aaad4ed" ] } ], "mendeley" : { "formattedCitation" : "&lt;sup&gt;8&lt;/sup&gt;", "plainTextFormattedCitation" : "8", "previouslyFormattedCitation" : "&lt;sup&gt;8&lt;/sup&gt;" }, "properties" : { "noteIndex" : 0 }, "schema" : "https://github.com/citation-style-language/schema/raw/master/csl-citation.json" }</w:instrText>
      </w:r>
      <w:r w:rsidR="001C605F">
        <w:rPr>
          <w:sz w:val="24"/>
          <w:szCs w:val="24"/>
          <w:lang w:val="en-US"/>
        </w:rPr>
        <w:fldChar w:fldCharType="separate"/>
      </w:r>
      <w:r w:rsidR="00610755" w:rsidRPr="00610755">
        <w:rPr>
          <w:noProof/>
          <w:sz w:val="24"/>
          <w:szCs w:val="24"/>
          <w:vertAlign w:val="superscript"/>
          <w:lang w:val="en-US"/>
        </w:rPr>
        <w:t>8</w:t>
      </w:r>
      <w:r w:rsidR="001C605F">
        <w:rPr>
          <w:sz w:val="24"/>
          <w:szCs w:val="24"/>
          <w:lang w:val="en-US"/>
        </w:rPr>
        <w:fldChar w:fldCharType="end"/>
      </w:r>
      <w:proofErr w:type="gramStart"/>
      <w:r w:rsidRPr="005E0624">
        <w:rPr>
          <w:sz w:val="24"/>
          <w:szCs w:val="24"/>
          <w:lang w:val="en-US"/>
        </w:rPr>
        <w:t xml:space="preserve">  More</w:t>
      </w:r>
      <w:proofErr w:type="gramEnd"/>
      <w:r w:rsidRPr="005E0624">
        <w:rPr>
          <w:sz w:val="24"/>
          <w:szCs w:val="24"/>
          <w:lang w:val="en-US"/>
        </w:rPr>
        <w:t xml:space="preserve"> recently, the </w:t>
      </w:r>
      <w:r w:rsidR="00D2558E">
        <w:rPr>
          <w:sz w:val="24"/>
          <w:szCs w:val="24"/>
          <w:lang w:val="en-US"/>
        </w:rPr>
        <w:t xml:space="preserve">safety and </w:t>
      </w:r>
      <w:r w:rsidR="00984C87">
        <w:rPr>
          <w:sz w:val="24"/>
          <w:szCs w:val="24"/>
          <w:lang w:val="en-US"/>
        </w:rPr>
        <w:t>efficacy</w:t>
      </w:r>
      <w:r w:rsidR="00984C87" w:rsidRPr="005E0624">
        <w:rPr>
          <w:sz w:val="24"/>
          <w:szCs w:val="24"/>
          <w:lang w:val="en-US"/>
        </w:rPr>
        <w:t xml:space="preserve"> </w:t>
      </w:r>
      <w:r w:rsidRPr="005E0624">
        <w:rPr>
          <w:sz w:val="24"/>
          <w:szCs w:val="24"/>
          <w:lang w:val="en-US"/>
        </w:rPr>
        <w:t xml:space="preserve">of voriconazole for </w:t>
      </w:r>
      <w:r w:rsidR="00432A0E">
        <w:rPr>
          <w:sz w:val="24"/>
          <w:szCs w:val="24"/>
          <w:lang w:val="en-US"/>
        </w:rPr>
        <w:t>the prevention of IFDs</w:t>
      </w:r>
      <w:r w:rsidR="00432A0E" w:rsidRPr="005E0624">
        <w:rPr>
          <w:sz w:val="24"/>
          <w:szCs w:val="24"/>
          <w:lang w:val="en-US"/>
        </w:rPr>
        <w:t xml:space="preserve"> </w:t>
      </w:r>
      <w:r w:rsidRPr="005E0624">
        <w:rPr>
          <w:sz w:val="24"/>
          <w:szCs w:val="24"/>
          <w:lang w:val="en-US"/>
        </w:rPr>
        <w:t xml:space="preserve">in patients receiving </w:t>
      </w:r>
      <w:r w:rsidR="00632BB6" w:rsidRPr="005E0624">
        <w:rPr>
          <w:sz w:val="24"/>
          <w:szCs w:val="24"/>
          <w:lang w:val="en-US"/>
        </w:rPr>
        <w:t>hematopoietic</w:t>
      </w:r>
      <w:r w:rsidRPr="005E0624">
        <w:rPr>
          <w:sz w:val="24"/>
          <w:szCs w:val="24"/>
          <w:lang w:val="en-US"/>
        </w:rPr>
        <w:t xml:space="preserve"> stem cell transplantation has been demonstrated in </w:t>
      </w:r>
      <w:r w:rsidR="00632697">
        <w:rPr>
          <w:sz w:val="24"/>
          <w:szCs w:val="24"/>
          <w:lang w:val="en-US"/>
        </w:rPr>
        <w:t>several</w:t>
      </w:r>
      <w:r w:rsidR="00632697" w:rsidRPr="005E0624">
        <w:rPr>
          <w:sz w:val="24"/>
          <w:szCs w:val="24"/>
          <w:lang w:val="en-US"/>
        </w:rPr>
        <w:t xml:space="preserve"> </w:t>
      </w:r>
      <w:r w:rsidRPr="005E0624">
        <w:rPr>
          <w:sz w:val="24"/>
          <w:szCs w:val="24"/>
          <w:lang w:val="en-US"/>
        </w:rPr>
        <w:t>clinical trial</w:t>
      </w:r>
      <w:r w:rsidR="008A19E5">
        <w:rPr>
          <w:sz w:val="24"/>
          <w:szCs w:val="24"/>
          <w:lang w:val="en-US"/>
        </w:rPr>
        <w:t>s</w:t>
      </w:r>
      <w:r w:rsidR="00610755">
        <w:rPr>
          <w:sz w:val="24"/>
          <w:szCs w:val="24"/>
          <w:lang w:val="en-US"/>
        </w:rPr>
        <w:t>.</w:t>
      </w:r>
      <w:r w:rsidR="00CD175A">
        <w:rPr>
          <w:sz w:val="24"/>
          <w:szCs w:val="24"/>
          <w:lang w:val="en-US"/>
        </w:rPr>
        <w:fldChar w:fldCharType="begin" w:fldLock="1"/>
      </w:r>
      <w:r w:rsidR="00610755">
        <w:rPr>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"id" : "ITEM-2", "itemData" : { "DOI" : "10.1111/j.1365-2141.2011.08838.x", "ISBN" : "1365-2141 (Electronic) 0007-1048 (Linking)", "PMID" : "21880032", "abstract" : "Antifungal prophylaxis for allogeneic haematopoietic stem-cell transplant (alloHCT) recipients should prevent invasive mould and yeast infections (IFIs) and be well tolerated. This prospective, randomized, open-label, multicentre study compared the efficacy and safety of voriconazole (234 patients) versus itraconazole (255 patients) in alloHCT recipients. The primary composite endpoint, success of prophylaxis, incorporated ability to tolerate study drug for &gt;/=100 d (with &lt;/=14 d interruption) with survival to day 180 without proven/probable IFI. Success of prophylaxis was significantly higher with voriconazole than itraconazole (48.7% vs. 33.2%, P &lt; 0.01); more voriconazole patients tolerated prophylaxis for 100 d (53.6% vs. 39.0%, P &lt; 0.01; median total duration 96 vs. 68 d). The most common (&gt;10%) treatment-related adverse events were vomiting (16.6%), nausea (15.8%) and diarrhoea (10.4%) for itraconazole, and hepatotoxicity/liver function abnormality (12.9%) for voriconazole. More itraconazole patients received other systemic antifungals (41.9% vs. 29.9%, P &lt; 0.01). There was no difference in incidence of proven/probable IFI (1.3% vs. 2.1%) or survival to day 180 (81.9% vs. 80.9%) for voriconazole and itraconazole respectively. Voriconazole was superior to itraconazole as antifungal prophylaxis after alloHCT, based on differences in the primary composite endpoint. Voriconazole could be given for significantly longer durations, with less need for other systemic antifungals.", "author" : [ { "dropping-particle" : "", "family" : "Marks", "given" : "D I", "non-dropping-particle" : "", "parse-names" : false, "suffix" : "" }, { "dropping-particle" : "", "family" : "Pagliuca", "given" : "A", "non-dropping-particle" : "", "parse-names" : false, "suffix" : "" }, { "dropping-particle" : "", "family" : "Kibbler", "given" : "C C", "non-dropping-particle" : "", "parse-names" : false, "suffix" : "" }, { "dropping-particle" : "", "family" : "Glasmacher", "given" : "A", "non-dropping-particle" : "", "parse-names" : false, "suffix" : "" }, { "dropping-particle" : "", "family" : "Heussel", "given" : "C P", "non-dropping-particle" : "", "parse-names" : false, "suffix" : "" }, { "dropping-particle" : "", "family" : "Kantecki", "given" : "M", "non-dropping-particle" : "", "parse-names" : false, "suffix" : "" }, { "dropping-particle" : "", "family" : "Miller", "given" : "P J", "non-dropping-particle" : "", "parse-names" : false, "suffix" : "" }, { "dropping-particle" : "", "family" : "Ribaud", "given" : "P", "non-dropping-particle" : "", "parse-names" : false, "suffix" : "" }, { "dropping-particle" : "", "family" : "Schlamm", "given" : "H T", "non-dropping-particle" : "", "parse-names" : false, "suffix" : "" }, { "dropping-particle" : "", "family" : "Solano", "given" : "C", "non-dropping-particle" : "", "parse-names" : false, "suffix" : "" }, { "dropping-particle" : "", "family" : "Cook", "given" : "G", "non-dropping-particle" : "", "parse-names" : false, "suffix" : "" } ], "container-title" : "Br J Haematol", "id" : "ITEM-2", "issue" : "3", "issued" : { "date-parts" : [ [ "2011" ] ] }, "language" : "Eng", "note" : "for the IMPROVIT Study Group\nJournal article\nBritish journal of haematology\nBr J Haematol. 2011 Nov;155(3):318-327. doi: 10.1111/j.1365-2141.2011.08838.x. Epub 2011 Aug 22.", "page" : "318-327", "title" : "Voriconazole versus itraconazole for antifungal prophylaxis following allogeneic haematopoietic stem-cell transplantation", "type" : "article-journal", "volume" : "155" }, "uris" : [ "http://www.mendeley.com/documents/?uuid=eef995fa-66da-46c5-b075-13df8b840c00" ] } ], "mendeley" : { "formattedCitation" : "&lt;sup&gt;9,10&lt;/sup&gt;", "plainTextFormattedCitation" : "9,10", "previouslyFormattedCitation" : "&lt;sup&gt;9,10&lt;/sup&gt;" }, "properties" : { "noteIndex" : 0 }, "schema" : "https://github.com/citation-style-language/schema/raw/master/csl-citation.json" }</w:instrText>
      </w:r>
      <w:r w:rsidR="00CD175A">
        <w:rPr>
          <w:sz w:val="24"/>
          <w:szCs w:val="24"/>
          <w:lang w:val="en-US"/>
        </w:rPr>
        <w:fldChar w:fldCharType="separate"/>
      </w:r>
      <w:r w:rsidR="00610755" w:rsidRPr="00610755">
        <w:rPr>
          <w:noProof/>
          <w:sz w:val="24"/>
          <w:szCs w:val="24"/>
          <w:vertAlign w:val="superscript"/>
          <w:lang w:val="en-US"/>
        </w:rPr>
        <w:t>9,10</w:t>
      </w:r>
      <w:r w:rsidR="00CD175A">
        <w:rPr>
          <w:sz w:val="24"/>
          <w:szCs w:val="24"/>
          <w:lang w:val="en-US"/>
        </w:rPr>
        <w:fldChar w:fldCharType="end"/>
      </w:r>
      <w:r w:rsidRPr="005E0624">
        <w:rPr>
          <w:sz w:val="24"/>
          <w:szCs w:val="24"/>
          <w:lang w:val="en-US"/>
        </w:rPr>
        <w:t xml:space="preserve">  </w:t>
      </w:r>
    </w:p>
    <w:p w14:paraId="4370EBD7" w14:textId="3F5F9660" w:rsidR="00B65F2E" w:rsidRPr="005E0624" w:rsidRDefault="00B65F2E" w:rsidP="005A4E5E">
      <w:pPr>
        <w:ind w:firstLine="720"/>
        <w:rPr>
          <w:sz w:val="24"/>
          <w:szCs w:val="24"/>
          <w:lang w:val="en-US"/>
        </w:rPr>
      </w:pPr>
      <w:r w:rsidRPr="005E0624">
        <w:rPr>
          <w:sz w:val="24"/>
          <w:szCs w:val="24"/>
          <w:lang w:val="en-US"/>
        </w:rPr>
        <w:t xml:space="preserve">Voriconazole </w:t>
      </w:r>
      <w:r w:rsidR="005A6D40">
        <w:rPr>
          <w:sz w:val="24"/>
          <w:szCs w:val="24"/>
          <w:lang w:val="en-US"/>
        </w:rPr>
        <w:t>is</w:t>
      </w:r>
      <w:r w:rsidR="001A4E9B">
        <w:rPr>
          <w:sz w:val="24"/>
          <w:szCs w:val="24"/>
          <w:lang w:val="en-US"/>
        </w:rPr>
        <w:t xml:space="preserve"> </w:t>
      </w:r>
      <w:r w:rsidRPr="005E0624">
        <w:rPr>
          <w:sz w:val="24"/>
          <w:szCs w:val="24"/>
          <w:lang w:val="en-US"/>
        </w:rPr>
        <w:t>a</w:t>
      </w:r>
      <w:r w:rsidR="00984C87">
        <w:rPr>
          <w:sz w:val="24"/>
          <w:szCs w:val="24"/>
          <w:lang w:val="en-US"/>
        </w:rPr>
        <w:t xml:space="preserve"> challenging </w:t>
      </w:r>
      <w:r w:rsidRPr="005E0624">
        <w:rPr>
          <w:sz w:val="24"/>
          <w:szCs w:val="24"/>
          <w:lang w:val="en-US"/>
        </w:rPr>
        <w:t>agent</w:t>
      </w:r>
      <w:r w:rsidR="00D2558E">
        <w:rPr>
          <w:sz w:val="24"/>
          <w:szCs w:val="24"/>
          <w:lang w:val="en-US"/>
        </w:rPr>
        <w:t xml:space="preserve"> for routine </w:t>
      </w:r>
      <w:r w:rsidR="001D587E">
        <w:rPr>
          <w:sz w:val="24"/>
          <w:szCs w:val="24"/>
          <w:lang w:val="en-US"/>
        </w:rPr>
        <w:t xml:space="preserve">use in </w:t>
      </w:r>
      <w:r w:rsidR="00D2558E">
        <w:rPr>
          <w:sz w:val="24"/>
          <w:szCs w:val="24"/>
          <w:lang w:val="en-US"/>
        </w:rPr>
        <w:t xml:space="preserve">clinical </w:t>
      </w:r>
      <w:r w:rsidR="001D587E">
        <w:rPr>
          <w:sz w:val="24"/>
          <w:szCs w:val="24"/>
          <w:lang w:val="en-US"/>
        </w:rPr>
        <w:t>settings</w:t>
      </w:r>
      <w:r w:rsidR="00485CE6">
        <w:rPr>
          <w:sz w:val="24"/>
          <w:szCs w:val="24"/>
          <w:lang w:val="en-US"/>
        </w:rPr>
        <w:t>—it</w:t>
      </w:r>
      <w:r w:rsidR="00881554">
        <w:rPr>
          <w:sz w:val="24"/>
          <w:szCs w:val="24"/>
          <w:lang w:val="en-US"/>
        </w:rPr>
        <w:t xml:space="preserve"> </w:t>
      </w:r>
      <w:r w:rsidR="0044769E">
        <w:rPr>
          <w:sz w:val="24"/>
          <w:szCs w:val="24"/>
          <w:lang w:val="en-US"/>
        </w:rPr>
        <w:t xml:space="preserve">is </w:t>
      </w:r>
      <w:r w:rsidR="00E35241">
        <w:rPr>
          <w:sz w:val="24"/>
          <w:szCs w:val="24"/>
          <w:lang w:val="en-US"/>
        </w:rPr>
        <w:t>complicated</w:t>
      </w:r>
      <w:r w:rsidR="0044769E">
        <w:rPr>
          <w:sz w:val="24"/>
          <w:szCs w:val="24"/>
          <w:lang w:val="en-US"/>
        </w:rPr>
        <w:t xml:space="preserve"> by highly variable </w:t>
      </w:r>
      <w:r w:rsidR="00632BB6">
        <w:rPr>
          <w:sz w:val="24"/>
          <w:szCs w:val="24"/>
          <w:lang w:val="en-US"/>
        </w:rPr>
        <w:t>pharmacokinetics</w:t>
      </w:r>
      <w:r w:rsidR="00024741">
        <w:rPr>
          <w:sz w:val="24"/>
          <w:szCs w:val="24"/>
          <w:lang w:val="en-US"/>
        </w:rPr>
        <w:t xml:space="preserve"> (</w:t>
      </w:r>
      <w:r w:rsidR="00881554">
        <w:rPr>
          <w:sz w:val="24"/>
          <w:szCs w:val="24"/>
          <w:lang w:val="en-US"/>
        </w:rPr>
        <w:t xml:space="preserve">e.g. </w:t>
      </w:r>
      <w:r w:rsidR="00024741">
        <w:rPr>
          <w:sz w:val="24"/>
          <w:szCs w:val="24"/>
          <w:lang w:val="en-US"/>
        </w:rPr>
        <w:t>100-fold variability in systemic drug exposure)</w:t>
      </w:r>
      <w:r w:rsidR="00632BB6">
        <w:rPr>
          <w:sz w:val="24"/>
          <w:szCs w:val="24"/>
          <w:lang w:val="en-US"/>
        </w:rPr>
        <w:t xml:space="preserve">, </w:t>
      </w:r>
      <w:r w:rsidR="00881554">
        <w:rPr>
          <w:sz w:val="24"/>
          <w:szCs w:val="24"/>
          <w:lang w:val="en-US"/>
        </w:rPr>
        <w:t>classical</w:t>
      </w:r>
      <w:r w:rsidR="00632BB6">
        <w:rPr>
          <w:sz w:val="24"/>
          <w:szCs w:val="24"/>
          <w:lang w:val="en-US"/>
        </w:rPr>
        <w:t xml:space="preserve"> nonlinear (Michaelis-Menten) </w:t>
      </w:r>
      <w:r w:rsidR="00CE2B54">
        <w:rPr>
          <w:sz w:val="24"/>
          <w:szCs w:val="24"/>
          <w:lang w:val="en-US"/>
        </w:rPr>
        <w:t>elimination</w:t>
      </w:r>
      <w:r w:rsidR="00024741">
        <w:rPr>
          <w:sz w:val="24"/>
          <w:szCs w:val="24"/>
          <w:lang w:val="en-US"/>
        </w:rPr>
        <w:t>, a multitude of drug-drug in</w:t>
      </w:r>
      <w:r w:rsidR="006E7BB6">
        <w:rPr>
          <w:sz w:val="24"/>
          <w:szCs w:val="24"/>
          <w:lang w:val="en-US"/>
        </w:rPr>
        <w:t>teractions and a</w:t>
      </w:r>
      <w:r w:rsidR="000E0E7B">
        <w:rPr>
          <w:sz w:val="24"/>
          <w:szCs w:val="24"/>
          <w:lang w:val="en-US"/>
        </w:rPr>
        <w:t>n increasingly well understood toxicity profile</w:t>
      </w:r>
      <w:r w:rsidR="00AF7AC6">
        <w:rPr>
          <w:sz w:val="24"/>
          <w:szCs w:val="24"/>
          <w:lang w:val="en-US"/>
        </w:rPr>
        <w:fldChar w:fldCharType="begin" w:fldLock="1"/>
      </w:r>
      <w:r w:rsidR="00610755">
        <w:rPr>
          <w:sz w:val="24"/>
          <w:szCs w:val="24"/>
          <w:lang w:val="en-US"/>
        </w:rPr>
        <w:instrText>ADDIN CSL_CITATION { "citationItems" : [ { "id" : "ITEM-1", "itemData" : { "DOI" : "10.1016/j.tim.2010.02.004", "ISBN" : "1878-4380 (Electronic)\\r0966-842X (Linking)", "ISSN" : "0966842X", "PMID" : "20207544", "abstract" : "This article provides a perspective on the current status of drug therapy for invasive fungal diseases, together with priorities for the future development of novel compounds. Key opportunities for new drugs include production of orally bioavailable agents for the treatment of invasive aspergillosis, invasive candidiasis, cryptococcal meningitis and mucosal and urinary Candida infections. Orally bioavailable agents for the treatment of chronic pulmonary and allergic aspergillosis are also required, as well as new potent drugs against a range of medically important moulds. Antifungal resistance is a problem in certain contexts, but is generally less of a problem than bacterial infections. Earlier and more complete mycological diagnosis and improvements in underlying risk estimation will improve outcomes. The limitations of the current antifungal agents and opportunities for new developments are discussed. ?? 2010 Elsevier Ltd.", "author" : [ { "dropping-particle" : "", "family" : "Denning", "given" : "David W.", "non-dropping-particle" : "", "parse-names" : false, "suffix" : "" }, { "dropping-particle" : "", "family" : "Hope", "given" : "William W.", "non-dropping-particle" : "", "parse-names" : false, "suffix" : "" } ], "container-title" : "Trends in Microbiology", "id" : "ITEM-1", "issue" : "5", "issued" : { "date-parts" : [ [ "2010" ] ] }, "page" : "195-204", "title" : "Therapy for fungal diseases: Opportunities and priorities", "type" : "article-journal", "volume" : "18" }, "uris" : [ "http://www.mendeley.com/documents/?uuid=4a86236d-0e19-4356-9718-2a0d31893aa0" ] } ], "mendeley" : { "formattedCitation" : "&lt;sup&gt;1&lt;/sup&gt;", "plainTextFormattedCitation" : "1", "previouslyFormattedCitation" : "&lt;sup&gt;1&lt;/sup&gt;" }, "properties" : { "noteIndex" : 0 }, "schema" : "https://github.com/citation-style-language/schema/raw/master/csl-citation.json" }</w:instrText>
      </w:r>
      <w:r w:rsidR="00AF7AC6">
        <w:rPr>
          <w:sz w:val="24"/>
          <w:szCs w:val="24"/>
          <w:lang w:val="en-US"/>
        </w:rPr>
        <w:fldChar w:fldCharType="separate"/>
      </w:r>
      <w:r w:rsidR="00610755" w:rsidRPr="00610755">
        <w:rPr>
          <w:noProof/>
          <w:sz w:val="24"/>
          <w:szCs w:val="24"/>
          <w:vertAlign w:val="superscript"/>
          <w:lang w:val="en-US"/>
        </w:rPr>
        <w:t>1</w:t>
      </w:r>
      <w:r w:rsidR="00AF7AC6">
        <w:rPr>
          <w:sz w:val="24"/>
          <w:szCs w:val="24"/>
          <w:lang w:val="en-US"/>
        </w:rPr>
        <w:fldChar w:fldCharType="end"/>
      </w:r>
      <w:r w:rsidR="00024741">
        <w:rPr>
          <w:sz w:val="24"/>
          <w:szCs w:val="24"/>
          <w:lang w:val="en-US"/>
        </w:rPr>
        <w:t xml:space="preserve">. </w:t>
      </w:r>
      <w:r w:rsidR="00D17C72">
        <w:rPr>
          <w:sz w:val="24"/>
          <w:szCs w:val="24"/>
          <w:lang w:val="en-US"/>
        </w:rPr>
        <w:t xml:space="preserve"> Many</w:t>
      </w:r>
      <w:r w:rsidR="006E7BB6">
        <w:rPr>
          <w:sz w:val="24"/>
          <w:szCs w:val="24"/>
          <w:lang w:val="en-US"/>
        </w:rPr>
        <w:t xml:space="preserve"> </w:t>
      </w:r>
      <w:r w:rsidR="006E7BB6" w:rsidRPr="00A339F5">
        <w:rPr>
          <w:sz w:val="24"/>
          <w:szCs w:val="24"/>
          <w:lang w:val="en-US"/>
        </w:rPr>
        <w:t xml:space="preserve">experimental and clinical </w:t>
      </w:r>
      <w:r w:rsidR="00642D47">
        <w:rPr>
          <w:sz w:val="24"/>
          <w:szCs w:val="24"/>
          <w:lang w:val="en-US"/>
        </w:rPr>
        <w:t>pharmacokinetic-pharmacodynamic (</w:t>
      </w:r>
      <w:r w:rsidR="006E7BB6" w:rsidRPr="00A339F5">
        <w:rPr>
          <w:sz w:val="24"/>
          <w:szCs w:val="24"/>
          <w:lang w:val="en-US"/>
        </w:rPr>
        <w:t>PK-PD</w:t>
      </w:r>
      <w:r w:rsidR="00642D47">
        <w:rPr>
          <w:sz w:val="24"/>
          <w:szCs w:val="24"/>
          <w:lang w:val="en-US"/>
        </w:rPr>
        <w:t>)</w:t>
      </w:r>
      <w:r w:rsidR="006E7BB6" w:rsidRPr="00A339F5">
        <w:rPr>
          <w:sz w:val="24"/>
          <w:szCs w:val="24"/>
          <w:lang w:val="en-US"/>
        </w:rPr>
        <w:t xml:space="preserve"> studies </w:t>
      </w:r>
      <w:r w:rsidR="00C8207F" w:rsidRPr="00A339F5">
        <w:rPr>
          <w:sz w:val="24"/>
          <w:szCs w:val="24"/>
          <w:lang w:val="en-US"/>
        </w:rPr>
        <w:t xml:space="preserve">consistently suggest </w:t>
      </w:r>
      <w:r w:rsidR="006E7BB6" w:rsidRPr="00A339F5">
        <w:rPr>
          <w:sz w:val="24"/>
          <w:szCs w:val="24"/>
          <w:lang w:val="en-US"/>
        </w:rPr>
        <w:t xml:space="preserve">there are </w:t>
      </w:r>
      <w:r w:rsidR="00C8207F" w:rsidRPr="00A339F5">
        <w:rPr>
          <w:sz w:val="24"/>
          <w:szCs w:val="24"/>
          <w:lang w:val="en-US"/>
        </w:rPr>
        <w:t>important</w:t>
      </w:r>
      <w:r w:rsidR="0044769E" w:rsidRPr="00A339F5">
        <w:rPr>
          <w:sz w:val="24"/>
          <w:szCs w:val="24"/>
          <w:lang w:val="en-US"/>
        </w:rPr>
        <w:t xml:space="preserve"> </w:t>
      </w:r>
      <w:r w:rsidR="006E7BB6" w:rsidRPr="00A339F5">
        <w:rPr>
          <w:sz w:val="24"/>
          <w:szCs w:val="24"/>
          <w:lang w:val="en-US"/>
        </w:rPr>
        <w:t>drug exposure</w:t>
      </w:r>
      <w:r w:rsidR="00C8207F" w:rsidRPr="00A339F5">
        <w:rPr>
          <w:sz w:val="24"/>
          <w:szCs w:val="24"/>
          <w:lang w:val="en-US"/>
        </w:rPr>
        <w:t>-</w:t>
      </w:r>
      <w:r w:rsidR="006E7BB6" w:rsidRPr="00A339F5">
        <w:rPr>
          <w:sz w:val="24"/>
          <w:szCs w:val="24"/>
          <w:lang w:val="en-US"/>
        </w:rPr>
        <w:t xml:space="preserve">response </w:t>
      </w:r>
      <w:r w:rsidR="00C8207F" w:rsidRPr="00A339F5">
        <w:rPr>
          <w:sz w:val="24"/>
          <w:szCs w:val="24"/>
          <w:lang w:val="en-US"/>
        </w:rPr>
        <w:t xml:space="preserve">and toxicity </w:t>
      </w:r>
      <w:r w:rsidR="006E7BB6" w:rsidRPr="00A339F5">
        <w:rPr>
          <w:sz w:val="24"/>
          <w:szCs w:val="24"/>
          <w:lang w:val="en-US"/>
        </w:rPr>
        <w:t>relationships</w:t>
      </w:r>
      <w:r w:rsidR="00D15397" w:rsidRPr="00A339F5">
        <w:rPr>
          <w:sz w:val="24"/>
          <w:szCs w:val="24"/>
          <w:lang w:val="en-US"/>
        </w:rPr>
        <w:t xml:space="preserve"> that underpin </w:t>
      </w:r>
      <w:r w:rsidR="00E35241" w:rsidRPr="00A339F5">
        <w:rPr>
          <w:sz w:val="24"/>
          <w:szCs w:val="24"/>
          <w:lang w:val="en-US"/>
        </w:rPr>
        <w:t>clinical efficacy and safety</w:t>
      </w:r>
      <w:r w:rsidR="000C1C06">
        <w:rPr>
          <w:sz w:val="24"/>
          <w:szCs w:val="24"/>
          <w:lang w:val="en-US"/>
        </w:rPr>
        <w:t>.</w:t>
      </w:r>
      <w:r w:rsidR="00E35241" w:rsidRPr="00E35A47">
        <w:rPr>
          <w:sz w:val="24"/>
          <w:szCs w:val="24"/>
          <w:lang w:val="en-US"/>
        </w:rPr>
        <w:fldChar w:fldCharType="begin" w:fldLock="1"/>
      </w:r>
      <w:r w:rsidR="00610755">
        <w:rPr>
          <w:sz w:val="24"/>
          <w:szCs w:val="24"/>
          <w:lang w:val="en-US"/>
        </w:rPr>
        <w:instrText>ADDIN CSL_CITATION { "citationItems" : [ { "id" : "ITEM-1", "itemData" : { "DOI" : "10.1128/AAC.01083-10", "ISSN" : "1098-6596", "PMID" : "21768513", "abstract" : "Voriconazole is approved for treating invasive fungal infections. We examined voriconazole exposure-response relationships for patients from nine published clinical trials. The relationship between the mean voriconazole plasma concentration (C(avg)) and clinical response and between the free C(avg)/MIC ratio versus the clinical response were explored using logistic regression. The impact of covariates on response was also assessed. Monte Carlo simulation was used to estimate the relationship between the trough concentration/MIC ratio and the probability of response. The covariates individually related to response were as follows: study (P &lt; 0.001), therapy (primary/salvage, P &lt; 0.001), primary diagnosis (P &lt; 0.001), race (P = 0.004), baseline bilirubin (P &lt; 0.001), baseline alkaline phosphatase (P = 0.014), and pathogen (yeast/mold, P &lt; 0.001). The C(avg) for 72% of the patients was 0.5 to 5.0 \u03bcg/ml, with the maximum response rate (74%) at 3.0 to 4.0 \u03bcg/ml. The C(avg) showed a nonlinear relationship to response (P &lt; 0.003), with a lower probability at the extremes. For patients with C(avg) &lt; 0.5 \u03bcg/ml, the response rate was 57%. The lowest response rate (56%) was seen with a C(avg) \u2265 5.0 \u03bcg/ml (18% of patients) and was associated with significantly lower mold infection responses compared to yeasts (P &lt; 0.001) but not with voriconazole toxicity. Higher free C(avg)/MIC ratios were associated with a progressively higher probability of response. Monte Carlo simulation suggested that a trough/MIC ratio of 2 to 5 is associated with a near-maximal probability of response. The probability of response is lower at the extremes of C(avg). Patients with higher free C(avg)/MIC ratios have a higher probability of clinical response. A trough/MIC ratio of 2 to 5 can be used as a target for therapeutic drug monitoring.", "author" : [ { "dropping-particle" : "", "family" : "Troke", "given" : "Peter F", "non-dropping-particle" : "", "parse-names" : false, "suffix" : "" }, { "dropping-particle" : "", "family" : "Hockey", "given" : "Hans P", "non-dropping-particle" : "", "parse-names" : false, "suffix" : "" }, { "dropping-particle" : "", "family" : "Hope", "given" : "William W", "non-dropping-particle" : "", "parse-names" : false, "suffix" : "" } ], "container-title" : "Antimicrobial agents and chemotherapy", "id" : "ITEM-1", "issue" : "10", "issued" : { "date-parts" : [ [ "2011", "10" ] ] }, "page" : "4782-8", "title" : "Observational study of the clinical efficacy of voriconazole and its relationship to plasma concentrations in patients.", "type" : "article-journal", "volume" : "55" }, "uris" : [ "http://www.mendeley.com/documents/?uuid=b374b850-b6a4-44d2-92be-0a485ee3d2e4" ] }, { "id" : "ITEM-2", "itemData" : { "DOI" : "10.1093/infdis/jis372", "ISBN" : "1537-6613 (Electronic) 0022-1899 (Linking)", "PMID" : "22634880", "abstract" : "BACKGROUND: Voriconazole is a first-line agent for the treatment of invasive pulmonary aspergillosis (IPA). There are increasing reports of Aspergillus fumigatus isolates with reduced susceptibility to voriconazole. METHODS: An in vitro dynamic model of IPA was developed that enabled simulation of human-like voriconazole pharmacokinetics. Galactomannan was used as a biomarker. The pharmacodynamics of voriconazole against wild-type and 3 resistant strains of A. fumigatus were defined. The results were bridged to humans to provide decision support for setting breakpoints for voriconazole using Clinical Laboratory Standards Institute (CLSI) and European Committee of Antimicrobial Susceptibility Testing (EUCAST) methodologies. RESULTS: Isolates with higher minimum inhibitory concentrations (MICs) required higher area under the concentration time curves (AUCs) to achieve suppression of galactomannan. Using CLSI and EUCAST methodologies, the AUC:MIC values that achieved suppression of galactomannan were 55 and 32.1, respectively. Using CLSI and EUCAST methodologies, the trough concentration:MIC values that achieved suppression of galactomannan were 1.68 and 1, respectively. Potential CLSI breakpoints for voriconazole are &lt;/= 0.5 mg/L for susceptible and &gt;1 mg/L for resistant. Potential EUCAST breakpoints for voriconazole are &lt;/=1 mg/L for susceptible and &gt;2 mg/L for resistant. CONCLUSIONS: This dynamic model of IPA is a useful tool to address many remaining questions related to antifungal treatment of Aspergillus spp.", "author" : [ { "dropping-particle" : "", "family" : "Jeans", "given" : "A R", "non-dropping-particle" : "", "parse-names" : false, "suffix" : "" }, { "dropping-particle" : "", "family" : "Howard", "given" : "S J", "non-dropping-particle" : "", "parse-names" : false, "suffix" : "" }, { "dropping-particle" : "", "family" : "Al-Nakeeb", "given" : "Z", "non-dropping-particle" : "", "parse-names" : false, "suffix" : "" }, { "dropping-particle" : "", "family" : "Goodwin", "given" : "J", "non-dropping-particle" : "", "parse-names" : false, "suffix" : "" }, { "dropping-particle" : "", "family" : "Gregson", "given" : "L", "non-dropping-particle" : "", "parse-names" : false, "suffix" : "" }, { "dropping-particle" : "", "family" : "Majithiya", "given" : "J B", "non-dropping-particle" : "", "parse-names" : false, "suffix" : "" }, { "dropping-particle" : "", "family" : "Lass-Florl", "given" : "C", "non-dropping-particle" : "", "parse-names" : false, "suffix" : "" }, { "dropping-particle" : "", "family" : "Cuenca-Estrella", "given" : "M", "non-dropping-particle" : "", "parse-names" : false, "suffix" : "" }, { "dropping-particle" : "", "family" : "Arendrup", "given" : "M C", "non-dropping-particle" : "", "parse-names" : false, "suffix" : "" }, { "dropping-particle" : "", "family" : "Warn", "given" : "P A", "non-dropping-particle" : "", "parse-names" : false, "suffix" : "" }, { "dropping-particle" : "", "family" : "Hope", "given" : "W W", "non-dropping-particle" : "", "parse-names" : false, "suffix" : "" } ], "container-title" : "J Infect Dis", "id" : "ITEM-2", "issue" : "3", "issued" : { "date-parts" : [ [ "2012" ] ] }, "language" : "eng", "note" : "Jeans, Adam R\nHoward, Susan J\nAl-Nakeeb, Zaid\nGoodwin, Joanne\nGregson, Lea\nMajithiya, Jayesh B\nLass-Florl, Cornelia\nCuenca-Estrella, Manuel\nArendrup, Maiken C\nWarn, Peter A\nHope, William W\nJ Infect Dis. 2012 Aug 1;206(3):442-52. doi: 10.1093/infdis/jis372. Epub 2012 May 25.", "page" : "442-452", "title" : "Pharmacodynamics of voriconazole in a dynamic in vitro model of invasive pulmonary aspergillosis: implications for in vitro susceptibility breakpoints", "type" : "article-journal", "volume" : "206" }, "uris" : [ "http://www.mendeley.com/documents/?uuid=422260d9-d1ad-4e5e-928b-6be2e600aae7" ] }, { "id" : "ITEM-3", "itemData" : { "DOI" : "10.1086/524669", "ISBN" : "1537-6591 (Electronic) 1058-4838 (Linking)", "PMID" : "18171251", "abstract" : "BACKGROUND: Voriconazole is the therapy of choice for aspergillosis and a new treatment option for candidiasis. Liver disease, age, genetic polymorphism of the cytochrome CYP2C19, and comedications influence voriconazole metabolism. Large variations in voriconazole pharmacokinetics may be associated with decreased efficacy or with toxicity. METHODS: This study was conducted to assess the utility of measuring voriconazole blood levels with individualized dose adjustments. RESULTS: A total of 181 measurements with high-pressure liquid chromatography were performed during 2388 treatment days in 52 patients. A large variability in voriconazole trough blood levels was observed, ranging from &lt;or=1 mg/L (the minimum inhibitory concentration at which, for most fungal pathogens, 90% of isolates are susceptible) in 25% of cases to &gt;5.5 mg/L (a level possibly associated with toxicity) in 31% of cases. Lack of response to therapy was more frequent in patients with voriconazole levels &lt;or=1 mg/L (6 [46%] of 13 patients, including 5 patients with aspergillosis, 4 of whom were treated orally with a median dosage of 6 mg/kg per day) than in those with voriconazole levels &gt;1 mg/L (15 [12%] of 39 patients; P=.02). Blood levels &gt;1 mg/L were reached after increasing the voriconazole dosage, with complete resolution of infection in all 6 cases. Among 16 patients with voriconazole trough blood levels &gt;5.5 mg/L, 5 patients (31%) presented with an encephalopathy, including 4 patients who were treated intravenously with a median voriconazole dosage of 8 mg/kg per day, whereas none of the patients with levels &lt;or=5.5 mg/L presented with neurological toxicity (P=.002). Comedication with omeprazole possibly contributed to voriconazole accumulation in 4 patients. In all cases, discontinuation of therapy resulted in prompt and complete neurological recovery. CONCLUSIONS: Voriconazole therapeutic drug monitoring improves the efficacy and safety of therapy in severely ill patients with invasive mycoses.", "author" : [ { "dropping-particle" : "", "family" : "Pascual", "given" : "A", "non-dropping-particle" : "", "parse-names" : false, "suffix" : "" }, { "dropping-particle" : "", "family" : "Calandra", "given" : "T", "non-dropping-particle" : "", "parse-names" : false, "suffix" : "" }, { "dropping-particle" : "", "family" : "Bolay", "given" : "S", "non-dropping-particle" : "", "parse-names" : false, "suffix" : "" }, { "dropping-particle" : "", "family" : "Buclin", "given" : "T", "non-dropping-particle" : "", "parse-names" : false, "suffix" : "" }, { "dropping-particle" : "", "family" : "Bille", "given" : "J", "non-dropping-particle" : "", "parse-names" : false, "suffix" : "" }, { "dropping-particle" : "", "family" : "Marchetti", "given" : "O", "non-dropping-particle" : "", "parse-names" : false, "suffix" : "" } ], "container-title" : "Clin Infect Dis", "id" : "ITEM-3", "issue" : "2", "issued" : { "date-parts" : [ [ "2008" ] ] }, "language" : "eng", "note" : "Pascual, Andres\nCalandra, Thierry\nBolay, Saskia\nBuclin, Thierry\nBille, Jacques\nMarchetti, Oscar\nClin Infect Dis. 2008 Jan 15;46(2):201-11. doi: 10.1086/524669.", "page" : "201-211", "title" : "Voriconazole therapeutic drug monitoring in patients with invasive mycoses improves efficacy and safety outcomes", "type" : "article-journal", "volume" : "46" }, "uris" : [ "http://www.mendeley.com/documents/?uuid=0c54fbcd-5c0f-4364-97cf-5e2594c37442" ] }, { "id" : "ITEM-4", "itemData" : { "PMID" : "16569888", "abstract" : "We report on 28 patients who underwent voriconazole monitoring because of disease progression or toxicity. A relationship (P&lt;0.025) between disease progression and drug concentration was detected. Favorable responses were observed in 10/10 patients with concentrations above 2.05 microg/ml, while disease progressed in 44% (n=18) of patients with concentrations below 2.05 microg/ml.", "author" : [ { "dropping-particle" : "", "family" : "Smith", "given" : "J", "non-dropping-particle" : "", "parse-names" : false, "suffix" : "" }, { "dropping-particle" : "", "family" : "Safdar", "given" : "N", "non-dropping-particle" : "", "parse-names" : false, "suffix" : "" }, { "dropping-particle" : "", "family" : "Knasinski", "given" : "V", "non-dropping-particle" : "", "parse-names" : false, "suffix" : "" }, { "dropping-particle" : "", "family" : "Simmons", "given" : "W", "non-dropping-particle" : "", "parse-names" : false, "suffix" : "" }, { "dropping-particle" : "", "family" : "Bhavnani", "given" : "S M", "non-dropping-particle" : "", "parse-names" : false, "suffix" : "" }, { "dropping-particle" : "", "family" : "Ambrose", "given" : "P G", "non-dropping-particle" : "", "parse-names" : false, "suffix" : "" }, { "dropping-particle" : "", "family" : "Andes", "given" : "D", "non-dropping-particle" : "", "parse-names" : false, "suffix" : "" } ], "container-title" : "Antimicrob Agents Chemother", "id" : "ITEM-4", "issue" : "4", "issued" : { "date-parts" : [ [ "2006" ] ] }, "note" : "0066-4804 (Print)\nJournal Article", "page" : "1570-1572", "title" : "Voriconazole therapeutic drug monitoring", "type" : "article-journal", "volume" : "50" }, "uris" : [ "http://www.mendeley.com/documents/?uuid=dbcf0b48-eba9-4254-9fb7-24cdbecb228e" ] } ], "mendeley" : { "formattedCitation" : "&lt;sup&gt;11\u201314&lt;/sup&gt;", "plainTextFormattedCitation" : "11\u201314", "previouslyFormattedCitation" : "&lt;sup&gt;11\u201314&lt;/sup&gt;" }, "properties" : { "noteIndex" : 0 }, "schema" : "https://github.com/citation-style-language/schema/raw/master/csl-citation.json" }</w:instrText>
      </w:r>
      <w:r w:rsidR="00E35241" w:rsidRPr="00E35A47">
        <w:rPr>
          <w:sz w:val="24"/>
          <w:szCs w:val="24"/>
          <w:lang w:val="en-US"/>
        </w:rPr>
        <w:fldChar w:fldCharType="separate"/>
      </w:r>
      <w:r w:rsidR="00610755" w:rsidRPr="00610755">
        <w:rPr>
          <w:noProof/>
          <w:sz w:val="24"/>
          <w:szCs w:val="24"/>
          <w:vertAlign w:val="superscript"/>
          <w:lang w:val="en-US"/>
        </w:rPr>
        <w:t>11–14</w:t>
      </w:r>
      <w:r w:rsidR="00E35241" w:rsidRPr="00E35A47">
        <w:rPr>
          <w:sz w:val="24"/>
          <w:szCs w:val="24"/>
          <w:lang w:val="en-US"/>
        </w:rPr>
        <w:fldChar w:fldCharType="end"/>
      </w:r>
      <w:proofErr w:type="gramStart"/>
      <w:r w:rsidR="00C8207F" w:rsidRPr="00A339F5">
        <w:rPr>
          <w:sz w:val="24"/>
          <w:szCs w:val="24"/>
          <w:lang w:val="en-US"/>
        </w:rPr>
        <w:t xml:space="preserve">  An</w:t>
      </w:r>
      <w:proofErr w:type="gramEnd"/>
      <w:r w:rsidR="00C8207F" w:rsidRPr="00A339F5">
        <w:rPr>
          <w:sz w:val="24"/>
          <w:szCs w:val="24"/>
          <w:lang w:val="en-US"/>
        </w:rPr>
        <w:t xml:space="preserve"> in depth</w:t>
      </w:r>
      <w:r w:rsidR="0003215B" w:rsidRPr="00A339F5">
        <w:rPr>
          <w:sz w:val="24"/>
          <w:szCs w:val="24"/>
          <w:lang w:val="en-US"/>
        </w:rPr>
        <w:t xml:space="preserve"> understanding of these relationships is</w:t>
      </w:r>
      <w:r w:rsidR="000432D4" w:rsidRPr="00A339F5">
        <w:rPr>
          <w:sz w:val="24"/>
          <w:szCs w:val="24"/>
          <w:lang w:val="en-US"/>
        </w:rPr>
        <w:t xml:space="preserve"> required for the</w:t>
      </w:r>
      <w:r w:rsidR="00740E30" w:rsidRPr="00A339F5">
        <w:rPr>
          <w:sz w:val="24"/>
          <w:szCs w:val="24"/>
          <w:lang w:val="en-US"/>
        </w:rPr>
        <w:t xml:space="preserve"> </w:t>
      </w:r>
      <w:r w:rsidR="00A41BB0" w:rsidRPr="00A339F5">
        <w:rPr>
          <w:sz w:val="24"/>
          <w:szCs w:val="24"/>
          <w:lang w:val="en-US"/>
        </w:rPr>
        <w:t>safe</w:t>
      </w:r>
      <w:r w:rsidR="00BF5E04" w:rsidRPr="00A339F5">
        <w:rPr>
          <w:sz w:val="24"/>
          <w:szCs w:val="24"/>
          <w:lang w:val="en-US"/>
        </w:rPr>
        <w:t xml:space="preserve"> </w:t>
      </w:r>
      <w:r w:rsidR="001B0B21" w:rsidRPr="00A339F5">
        <w:rPr>
          <w:sz w:val="24"/>
          <w:szCs w:val="24"/>
          <w:lang w:val="en-US"/>
        </w:rPr>
        <w:t xml:space="preserve">and </w:t>
      </w:r>
      <w:r w:rsidR="00A41BB0" w:rsidRPr="00A339F5">
        <w:rPr>
          <w:sz w:val="24"/>
          <w:szCs w:val="24"/>
          <w:lang w:val="en-US"/>
        </w:rPr>
        <w:t>effective</w:t>
      </w:r>
      <w:r w:rsidR="00740E30">
        <w:rPr>
          <w:sz w:val="24"/>
          <w:szCs w:val="24"/>
          <w:lang w:val="en-US"/>
        </w:rPr>
        <w:t xml:space="preserve"> use of voriconazole</w:t>
      </w:r>
      <w:r w:rsidR="000C1C06">
        <w:rPr>
          <w:sz w:val="24"/>
          <w:szCs w:val="24"/>
          <w:lang w:val="en-US"/>
        </w:rPr>
        <w:t>.</w:t>
      </w:r>
      <w:r w:rsidR="00AF7AC6">
        <w:rPr>
          <w:sz w:val="24"/>
          <w:szCs w:val="24"/>
          <w:lang w:val="en-US"/>
        </w:rPr>
        <w:fldChar w:fldCharType="begin" w:fldLock="1"/>
      </w:r>
      <w:r w:rsidR="00610755">
        <w:rPr>
          <w:sz w:val="24"/>
          <w:szCs w:val="24"/>
          <w:lang w:val="en-US"/>
        </w:rPr>
        <w:instrText>ADDIN CSL_CITATION { "citationItems" : [ { "id" : "ITEM-1", "itemData" : { "DOI" : "10.1128/AAC.01083-10", "ISSN" : "1098-6596", "PMID" : "21768513", "abstract" : "Voriconazole is approved for treating invasive fungal infections. We examined voriconazole exposure-response relationships for patients from nine published clinical trials. The relationship between the mean voriconazole plasma concentration (C(avg)) and clinical response and between the free C(avg)/MIC ratio versus the clinical response were explored using logistic regression. The impact of covariates on response was also assessed. Monte Carlo simulation was used to estimate the relationship between the trough concentration/MIC ratio and the probability of response. The covariates individually related to response were as follows: study (P &lt; 0.001), therapy (primary/salvage, P &lt; 0.001), primary diagnosis (P &lt; 0.001), race (P = 0.004), baseline bilirubin (P &lt; 0.001), baseline alkaline phosphatase (P = 0.014), and pathogen (yeast/mold, P &lt; 0.001). The C(avg) for 72% of the patients was 0.5 to 5.0 \u03bcg/ml, with the maximum response rate (74%) at 3.0 to 4.0 \u03bcg/ml. The C(avg) showed a nonlinear relationship to response (P &lt; 0.003), with a lower probability at the extremes. For patients with C(avg) &lt; 0.5 \u03bcg/ml, the response rate was 57%. The lowest response rate (56%) was seen with a C(avg) \u2265 5.0 \u03bcg/ml (18% of patients) and was associated with significantly lower mold infection responses compared to yeasts (P &lt; 0.001) but not with voriconazole toxicity. Higher free C(avg)/MIC ratios were associated with a progressively higher probability of response. Monte Carlo simulation suggested that a trough/MIC ratio of 2 to 5 is associated with a near-maximal probability of response. The probability of response is lower at the extremes of C(avg). Patients with higher free C(avg)/MIC ratios have a higher probability of clinical response. A trough/MIC ratio of 2 to 5 can be used as a target for therapeutic drug monitoring.", "author" : [ { "dropping-particle" : "", "family" : "Troke", "given" : "Peter F", "non-dropping-particle" : "", "parse-names" : false, "suffix" : "" }, { "dropping-particle" : "", "family" : "Hockey", "given" : "Hans P", "non-dropping-particle" : "", "parse-names" : false, "suffix" : "" }, { "dropping-particle" : "", "family" : "Hope", "given" : "William W", "non-dropping-particle" : "", "parse-names" : false, "suffix" : "" } ], "container-title" : "Antimicrobial agents and chemotherapy", "id" : "ITEM-1", "issue" : "10", "issued" : { "date-parts" : [ [ "2011", "10" ] ] }, "page" : "4782-8", "title" : "Observational study of the clinical efficacy of voriconazole and its relationship to plasma concentrations in patients.", "type" : "article-journal", "volume" : "55" }, "uris" : [ "http://www.mendeley.com/documents/?uuid=b374b850-b6a4-44d2-92be-0a485ee3d2e4" ] } ], "mendeley" : { "formattedCitation" : "&lt;sup&gt;11&lt;/sup&gt;", "plainTextFormattedCitation" : "11", "previouslyFormattedCitation" : "&lt;sup&gt;11&lt;/sup&gt;" }, "properties" : { "noteIndex" : 0 }, "schema" : "https://github.com/citation-style-language/schema/raw/master/csl-citation.json" }</w:instrText>
      </w:r>
      <w:r w:rsidR="00AF7AC6">
        <w:rPr>
          <w:sz w:val="24"/>
          <w:szCs w:val="24"/>
          <w:lang w:val="en-US"/>
        </w:rPr>
        <w:fldChar w:fldCharType="separate"/>
      </w:r>
      <w:r w:rsidR="00610755" w:rsidRPr="00610755">
        <w:rPr>
          <w:noProof/>
          <w:sz w:val="24"/>
          <w:szCs w:val="24"/>
          <w:vertAlign w:val="superscript"/>
          <w:lang w:val="en-US"/>
        </w:rPr>
        <w:t>11</w:t>
      </w:r>
      <w:r w:rsidR="00AF7AC6">
        <w:rPr>
          <w:sz w:val="24"/>
          <w:szCs w:val="24"/>
          <w:lang w:val="en-US"/>
        </w:rPr>
        <w:fldChar w:fldCharType="end"/>
      </w:r>
      <w:proofErr w:type="gramStart"/>
      <w:r w:rsidR="006E7BB6">
        <w:rPr>
          <w:sz w:val="24"/>
          <w:szCs w:val="24"/>
          <w:lang w:val="en-US"/>
        </w:rPr>
        <w:t xml:space="preserve">  Therapeutic</w:t>
      </w:r>
      <w:proofErr w:type="gramEnd"/>
      <w:r w:rsidR="006E7BB6">
        <w:rPr>
          <w:sz w:val="24"/>
          <w:szCs w:val="24"/>
          <w:lang w:val="en-US"/>
        </w:rPr>
        <w:t xml:space="preserve"> drug monitoring is </w:t>
      </w:r>
      <w:r w:rsidR="000432D4">
        <w:rPr>
          <w:sz w:val="24"/>
          <w:szCs w:val="24"/>
          <w:lang w:val="en-US"/>
        </w:rPr>
        <w:t xml:space="preserve">increasingly </w:t>
      </w:r>
      <w:r w:rsidR="006E7BB6">
        <w:rPr>
          <w:sz w:val="24"/>
          <w:szCs w:val="24"/>
          <w:lang w:val="en-US"/>
        </w:rPr>
        <w:t>considered a standard of care</w:t>
      </w:r>
      <w:r w:rsidR="000C1C06">
        <w:rPr>
          <w:sz w:val="24"/>
          <w:szCs w:val="24"/>
          <w:lang w:val="en-US"/>
        </w:rPr>
        <w:t>.</w:t>
      </w:r>
      <w:r w:rsidR="007A49FF">
        <w:rPr>
          <w:sz w:val="24"/>
          <w:szCs w:val="24"/>
          <w:lang w:val="en-US"/>
        </w:rPr>
        <w:fldChar w:fldCharType="begin" w:fldLock="1"/>
      </w:r>
      <w:r w:rsidR="00610755">
        <w:rPr>
          <w:sz w:val="24"/>
          <w:szCs w:val="24"/>
          <w:lang w:val="en-US"/>
        </w:rPr>
        <w:instrText>ADDIN CSL_CITATION { "citationItems" : [ { "id" : "ITEM-1", "itemData" : { "DOI" : "10.1093/jac/dkt508", "ISBN" : "4411339226", "ISSN" : "1460-2091", "PMID" : "24379304", "abstract" : "The burden of human disease related to medically important fungal pathogens is substantial. An improved understanding of antifungal pharmacology and antifungal pharmacokinetics-pharmacodynamics has resulted in therapeutic drug monitoring (TDM) becoming a valuable adjunct to the routine administration of some antifungal agents. TDM may increase the probability of a successful outcome, prevent drug-related toxicity and potentially prevent the emergence of antifungal drug resistance. Much of the evidence that supports TDM is circumstantial. This document reviews the available literature and provides a series of recommendations for TDM of antifungal agents.", "author" : [ { "dropping-particle" : "", "family" : "Ashbee", "given" : "H Ruth", "non-dropping-particle" : "", "parse-names" : false, "suffix" : "" }, { "dropping-particle" : "", "family" : "Barnes", "given" : "Rosemary A", "non-dropping-particle" : "", "parse-names" : false, "suffix" : "" }, { "dropping-particle" : "", "family" : "Johnson", "given" : "Elizabeth M", "non-dropping-particle" : "", "parse-names" : false, "suffix" : "" }, { "dropping-particle" : "", "family" : "Richardson", "given" : "Malcolm D", "non-dropping-particle" : "", "parse-names" : false, "suffix" : "" }, { "dropping-particle" : "", "family" : "Gorton", "given" : "Rebecca", "non-dropping-particle" : "", "parse-names" : false, "suffix" : "" }, { "dropping-particle" : "", "family" : "Hope", "given" : "William W", "non-dropping-particle" : "", "parse-names" : false, "suffix" : "" } ], "container-title" : "The Journal of antimicrobial chemotherapy", "id" : "ITEM-1", "issued" : { "date-parts" : [ [ "2014" ] ] }, "page" : "1162-76", "title" : "Therapeutic drug monitoring (TDM) of antifungal agents: guidelines from the British Society for Medical Mycology.", "type" : "article-journal", "volume" : "69" }, "uris" : [ "http://www.mendeley.com/documents/?uuid=41beac2a-e948-40ac-b7e3-5a39a897e012" ] }, { "id" : "ITEM-2", "itemData" : { "DOI" : "10.1128/AAC.00705-08", "ISSN" : "1098-6596", "PMID" : "18955533", "author" : [ { "dropping-particle" : "", "family" : "Andes", "given" : "David", "non-dropping-particle" : "", "parse-names" : false, "suffix" : "" }, { "dropping-particle" : "", "family" : "Pascual", "given" : "Andres", "non-dropping-particle" : "", "parse-names" : false, "suffix" : "" }, { "dropping-particle" : "", "family" : "Marchetti", "given" : "Oscar", "non-dropping-particle" : "", "parse-names" : false, "suffix" : "" } ], "container-title" : "Antimicrobial agents and chemotherapy", "id" : "ITEM-2", "issue" : "1", "issued" : { "date-parts" : [ [ "2009", "1" ] ] }, "page" : "24-34", "title" : "Antifungal therapeutic drug monitoring: established and emerging indications.", "type" : "article-journal", "volume" : "53" }, "uris" : [ "http://www.mendeley.com/documents/?uuid=b88a0be7-0842-4852-9fea-a74e44e925a3" ] } ], "mendeley" : { "formattedCitation" : "&lt;sup&gt;15,16&lt;/sup&gt;", "plainTextFormattedCitation" : "15,16", "previouslyFormattedCitation" : "&lt;sup&gt;15,16&lt;/sup&gt;" }, "properties" : { "noteIndex" : 0 }, "schema" : "https://github.com/citation-style-language/schema/raw/master/csl-citation.json" }</w:instrText>
      </w:r>
      <w:r w:rsidR="007A49FF">
        <w:rPr>
          <w:sz w:val="24"/>
          <w:szCs w:val="24"/>
          <w:lang w:val="en-US"/>
        </w:rPr>
        <w:fldChar w:fldCharType="separate"/>
      </w:r>
      <w:r w:rsidR="00610755" w:rsidRPr="00610755">
        <w:rPr>
          <w:noProof/>
          <w:sz w:val="24"/>
          <w:szCs w:val="24"/>
          <w:vertAlign w:val="superscript"/>
          <w:lang w:val="en-US"/>
        </w:rPr>
        <w:t>15,16</w:t>
      </w:r>
      <w:r w:rsidR="007A49FF">
        <w:rPr>
          <w:sz w:val="24"/>
          <w:szCs w:val="24"/>
          <w:lang w:val="en-US"/>
        </w:rPr>
        <w:fldChar w:fldCharType="end"/>
      </w:r>
      <w:proofErr w:type="gramStart"/>
      <w:r w:rsidR="006E7BB6">
        <w:rPr>
          <w:sz w:val="24"/>
          <w:szCs w:val="24"/>
          <w:lang w:val="en-US"/>
        </w:rPr>
        <w:t xml:space="preserve">  While</w:t>
      </w:r>
      <w:proofErr w:type="gramEnd"/>
      <w:r w:rsidR="006E7BB6">
        <w:rPr>
          <w:sz w:val="24"/>
          <w:szCs w:val="24"/>
          <w:lang w:val="en-US"/>
        </w:rPr>
        <w:t xml:space="preserve"> </w:t>
      </w:r>
      <w:r w:rsidR="001E51B0">
        <w:rPr>
          <w:sz w:val="24"/>
          <w:szCs w:val="24"/>
          <w:lang w:val="en-US"/>
        </w:rPr>
        <w:t>the arguments for the use of TDM are</w:t>
      </w:r>
      <w:r w:rsidR="006E7BB6">
        <w:rPr>
          <w:sz w:val="24"/>
          <w:szCs w:val="24"/>
          <w:lang w:val="en-US"/>
        </w:rPr>
        <w:t xml:space="preserve"> robust for established invasive disease, the relevance </w:t>
      </w:r>
      <w:r w:rsidR="00AF7AC6">
        <w:rPr>
          <w:sz w:val="24"/>
          <w:szCs w:val="24"/>
          <w:lang w:val="en-US"/>
        </w:rPr>
        <w:t xml:space="preserve">of </w:t>
      </w:r>
      <w:r w:rsidR="007A49FF">
        <w:rPr>
          <w:sz w:val="24"/>
          <w:szCs w:val="24"/>
          <w:lang w:val="en-US"/>
        </w:rPr>
        <w:t xml:space="preserve">routine </w:t>
      </w:r>
      <w:r w:rsidR="00AC1312">
        <w:rPr>
          <w:sz w:val="24"/>
          <w:szCs w:val="24"/>
          <w:lang w:val="en-US"/>
        </w:rPr>
        <w:t xml:space="preserve">use of </w:t>
      </w:r>
      <w:r w:rsidR="00D15397">
        <w:rPr>
          <w:sz w:val="24"/>
          <w:szCs w:val="24"/>
          <w:lang w:val="en-US"/>
        </w:rPr>
        <w:t xml:space="preserve">voriconazole </w:t>
      </w:r>
      <w:r w:rsidR="00AF7AC6">
        <w:rPr>
          <w:sz w:val="24"/>
          <w:szCs w:val="24"/>
          <w:lang w:val="en-US"/>
        </w:rPr>
        <w:t xml:space="preserve">TDM </w:t>
      </w:r>
      <w:r w:rsidR="006E7BB6">
        <w:rPr>
          <w:sz w:val="24"/>
          <w:szCs w:val="24"/>
          <w:lang w:val="en-US"/>
        </w:rPr>
        <w:t xml:space="preserve">for prophylaxis remains </w:t>
      </w:r>
      <w:r w:rsidR="001E51B0">
        <w:rPr>
          <w:sz w:val="24"/>
          <w:szCs w:val="24"/>
          <w:lang w:val="en-US"/>
        </w:rPr>
        <w:t xml:space="preserve">much </w:t>
      </w:r>
      <w:r w:rsidR="006E7BB6">
        <w:rPr>
          <w:sz w:val="24"/>
          <w:szCs w:val="24"/>
          <w:lang w:val="en-US"/>
        </w:rPr>
        <w:t>less clear.</w:t>
      </w:r>
    </w:p>
    <w:p w14:paraId="5E1473DD" w14:textId="504A5B8D" w:rsidR="00B65F2E" w:rsidRPr="005E0624" w:rsidRDefault="00B65F2E" w:rsidP="005A4E5E">
      <w:pPr>
        <w:ind w:firstLine="720"/>
        <w:rPr>
          <w:sz w:val="24"/>
          <w:szCs w:val="24"/>
          <w:lang w:val="en-US"/>
        </w:rPr>
      </w:pPr>
      <w:r w:rsidRPr="005E0624">
        <w:rPr>
          <w:sz w:val="24"/>
          <w:szCs w:val="24"/>
          <w:lang w:val="en-US"/>
        </w:rPr>
        <w:t>Here, we present the results of a PK-PD analysis performed as a sub</w:t>
      </w:r>
      <w:r w:rsidR="00632BB6">
        <w:rPr>
          <w:sz w:val="24"/>
          <w:szCs w:val="24"/>
          <w:lang w:val="en-US"/>
        </w:rPr>
        <w:t>-</w:t>
      </w:r>
      <w:r w:rsidRPr="005E0624">
        <w:rPr>
          <w:sz w:val="24"/>
          <w:szCs w:val="24"/>
          <w:lang w:val="en-US"/>
        </w:rPr>
        <w:t>study of the larger phase III clinical trial</w:t>
      </w:r>
      <w:r w:rsidR="00632BB6">
        <w:rPr>
          <w:sz w:val="24"/>
          <w:szCs w:val="24"/>
          <w:lang w:val="en-US"/>
        </w:rPr>
        <w:t xml:space="preserve"> in which the efficacy of fluconazole and voriconazole for patients with HSCT was </w:t>
      </w:r>
      <w:r w:rsidR="00D17C72">
        <w:rPr>
          <w:sz w:val="24"/>
          <w:szCs w:val="24"/>
          <w:lang w:val="en-US"/>
        </w:rPr>
        <w:t xml:space="preserve">prospectively </w:t>
      </w:r>
      <w:r w:rsidR="00632BB6">
        <w:rPr>
          <w:sz w:val="24"/>
          <w:szCs w:val="24"/>
          <w:lang w:val="en-US"/>
        </w:rPr>
        <w:t>compared</w:t>
      </w:r>
      <w:r w:rsidR="000C1C06">
        <w:rPr>
          <w:sz w:val="24"/>
          <w:szCs w:val="24"/>
          <w:lang w:val="en-US"/>
        </w:rPr>
        <w:t>.</w:t>
      </w:r>
      <w:r w:rsidR="001436C1">
        <w:rPr>
          <w:sz w:val="24"/>
          <w:szCs w:val="24"/>
          <w:lang w:val="en-US"/>
        </w:rPr>
        <w:fldChar w:fldCharType="begin" w:fldLock="1"/>
      </w:r>
      <w:r w:rsidR="00610755">
        <w:rPr>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"mendeley" : { "formattedCitation" : "&lt;sup&gt;9&lt;/sup&gt;", "plainTextFormattedCitation" : "9", "previouslyFormattedCitation" : "&lt;sup&gt;9&lt;/sup&gt;" }, "properties" : { "noteIndex" : 0 }, "schema" : "https://github.com/citation-style-language/schema/raw/master/csl-citation.json" }</w:instrText>
      </w:r>
      <w:r w:rsidR="001436C1">
        <w:rPr>
          <w:sz w:val="24"/>
          <w:szCs w:val="24"/>
          <w:lang w:val="en-US"/>
        </w:rPr>
        <w:fldChar w:fldCharType="separate"/>
      </w:r>
      <w:r w:rsidR="00610755" w:rsidRPr="00610755">
        <w:rPr>
          <w:noProof/>
          <w:sz w:val="24"/>
          <w:szCs w:val="24"/>
          <w:vertAlign w:val="superscript"/>
          <w:lang w:val="en-US"/>
        </w:rPr>
        <w:t>9</w:t>
      </w:r>
      <w:r w:rsidR="001436C1">
        <w:rPr>
          <w:sz w:val="24"/>
          <w:szCs w:val="24"/>
          <w:lang w:val="en-US"/>
        </w:rPr>
        <w:fldChar w:fldCharType="end"/>
      </w:r>
      <w:proofErr w:type="gramStart"/>
      <w:r w:rsidRPr="005E0624">
        <w:rPr>
          <w:sz w:val="24"/>
          <w:szCs w:val="24"/>
          <w:lang w:val="en-US"/>
        </w:rPr>
        <w:t xml:space="preserve">  </w:t>
      </w:r>
      <w:r w:rsidR="00F131A3">
        <w:rPr>
          <w:sz w:val="24"/>
          <w:szCs w:val="24"/>
          <w:lang w:val="en-US"/>
        </w:rPr>
        <w:t>In</w:t>
      </w:r>
      <w:proofErr w:type="gramEnd"/>
      <w:r w:rsidR="00F131A3">
        <w:rPr>
          <w:sz w:val="24"/>
          <w:szCs w:val="24"/>
          <w:lang w:val="en-US"/>
        </w:rPr>
        <w:t xml:space="preserve"> that study, p</w:t>
      </w:r>
      <w:r w:rsidR="00F131A3" w:rsidRPr="005E0624">
        <w:rPr>
          <w:sz w:val="24"/>
          <w:szCs w:val="24"/>
          <w:lang w:val="en-US"/>
        </w:rPr>
        <w:t xml:space="preserve">atients </w:t>
      </w:r>
      <w:r w:rsidR="00632BB6">
        <w:rPr>
          <w:sz w:val="24"/>
          <w:szCs w:val="24"/>
          <w:lang w:val="en-US"/>
        </w:rPr>
        <w:t xml:space="preserve">received standard regimens of </w:t>
      </w:r>
      <w:r w:rsidR="00F131A3">
        <w:rPr>
          <w:sz w:val="24"/>
          <w:szCs w:val="24"/>
          <w:lang w:val="en-US"/>
        </w:rPr>
        <w:t>both fluconazole and voriconazole</w:t>
      </w:r>
      <w:r w:rsidR="00206379">
        <w:rPr>
          <w:sz w:val="24"/>
          <w:szCs w:val="24"/>
          <w:lang w:val="en-US"/>
        </w:rPr>
        <w:t>.  Serum concentrations of</w:t>
      </w:r>
      <w:r w:rsidR="00632BB6">
        <w:rPr>
          <w:sz w:val="24"/>
          <w:szCs w:val="24"/>
          <w:lang w:val="en-US"/>
        </w:rPr>
        <w:t xml:space="preserve"> voriconazole (and fluconazole) </w:t>
      </w:r>
      <w:r w:rsidR="00206379">
        <w:rPr>
          <w:sz w:val="24"/>
          <w:szCs w:val="24"/>
          <w:lang w:val="en-US"/>
        </w:rPr>
        <w:t xml:space="preserve">were determined </w:t>
      </w:r>
      <w:r w:rsidR="00632BB6">
        <w:rPr>
          <w:sz w:val="24"/>
          <w:szCs w:val="24"/>
          <w:lang w:val="en-US"/>
        </w:rPr>
        <w:t>using a sparse sampling strategy</w:t>
      </w:r>
      <w:r w:rsidRPr="005E0624">
        <w:rPr>
          <w:sz w:val="24"/>
          <w:szCs w:val="24"/>
          <w:lang w:val="en-US"/>
        </w:rPr>
        <w:t xml:space="preserve">.  The </w:t>
      </w:r>
      <w:r w:rsidR="00DE0AC3">
        <w:rPr>
          <w:sz w:val="24"/>
          <w:szCs w:val="24"/>
          <w:lang w:val="en-US"/>
        </w:rPr>
        <w:t xml:space="preserve">maximum a posteriori (MAP) Bayesian estimates of </w:t>
      </w:r>
      <w:r w:rsidR="00206379">
        <w:rPr>
          <w:sz w:val="24"/>
          <w:szCs w:val="24"/>
          <w:lang w:val="en-US"/>
        </w:rPr>
        <w:t>pharmacokinetics of voriconazole</w:t>
      </w:r>
      <w:r w:rsidR="00206379" w:rsidRPr="005E0624">
        <w:rPr>
          <w:sz w:val="24"/>
          <w:szCs w:val="24"/>
          <w:lang w:val="en-US"/>
        </w:rPr>
        <w:t xml:space="preserve"> </w:t>
      </w:r>
      <w:r w:rsidR="00623D02">
        <w:rPr>
          <w:sz w:val="24"/>
          <w:szCs w:val="24"/>
          <w:lang w:val="en-US"/>
        </w:rPr>
        <w:t xml:space="preserve">for patients in the prophylaxis study </w:t>
      </w:r>
      <w:r w:rsidR="00623D02" w:rsidRPr="005E0624">
        <w:rPr>
          <w:sz w:val="24"/>
          <w:szCs w:val="24"/>
          <w:lang w:val="en-US"/>
        </w:rPr>
        <w:t>w</w:t>
      </w:r>
      <w:r w:rsidR="00623D02">
        <w:rPr>
          <w:sz w:val="24"/>
          <w:szCs w:val="24"/>
          <w:lang w:val="en-US"/>
        </w:rPr>
        <w:t>ere</w:t>
      </w:r>
      <w:r w:rsidR="00623D02" w:rsidRPr="005E0624">
        <w:rPr>
          <w:sz w:val="24"/>
          <w:szCs w:val="24"/>
          <w:lang w:val="en-US"/>
        </w:rPr>
        <w:t xml:space="preserve"> </w:t>
      </w:r>
      <w:r w:rsidR="00206379">
        <w:rPr>
          <w:sz w:val="24"/>
          <w:szCs w:val="24"/>
          <w:lang w:val="en-US"/>
        </w:rPr>
        <w:t xml:space="preserve">estimated </w:t>
      </w:r>
      <w:r w:rsidR="00623D02">
        <w:rPr>
          <w:sz w:val="24"/>
          <w:szCs w:val="24"/>
          <w:lang w:val="en-US"/>
        </w:rPr>
        <w:t xml:space="preserve">using a previously described population pharmacokinetic </w:t>
      </w:r>
      <w:r w:rsidR="005438F3">
        <w:rPr>
          <w:sz w:val="24"/>
          <w:szCs w:val="24"/>
          <w:lang w:val="en-US"/>
        </w:rPr>
        <w:t xml:space="preserve">model fitted to </w:t>
      </w:r>
      <w:r w:rsidR="00623D02">
        <w:rPr>
          <w:sz w:val="24"/>
          <w:szCs w:val="24"/>
          <w:lang w:val="en-US"/>
        </w:rPr>
        <w:t xml:space="preserve">data </w:t>
      </w:r>
      <w:r w:rsidR="000A1D69">
        <w:rPr>
          <w:sz w:val="24"/>
          <w:szCs w:val="24"/>
          <w:lang w:val="en-US"/>
        </w:rPr>
        <w:t xml:space="preserve">that was </w:t>
      </w:r>
      <w:r w:rsidR="00632BB6">
        <w:rPr>
          <w:sz w:val="24"/>
          <w:szCs w:val="24"/>
          <w:lang w:val="en-US"/>
        </w:rPr>
        <w:t>obtained from</w:t>
      </w:r>
      <w:r w:rsidRPr="005E0624">
        <w:rPr>
          <w:sz w:val="24"/>
          <w:szCs w:val="24"/>
          <w:lang w:val="en-US"/>
        </w:rPr>
        <w:t xml:space="preserve"> </w:t>
      </w:r>
      <w:r w:rsidR="00632BB6">
        <w:rPr>
          <w:sz w:val="24"/>
          <w:szCs w:val="24"/>
          <w:lang w:val="en-US"/>
        </w:rPr>
        <w:t>both healthy volunteers and from patients enrolled in earlier clinical trials</w:t>
      </w:r>
      <w:r w:rsidR="000C1C06">
        <w:rPr>
          <w:sz w:val="24"/>
          <w:szCs w:val="24"/>
          <w:lang w:val="en-US"/>
        </w:rPr>
        <w:t>.</w:t>
      </w:r>
      <w:r w:rsidR="00B16E42">
        <w:rPr>
          <w:sz w:val="24"/>
          <w:szCs w:val="24"/>
          <w:lang w:val="en-US"/>
        </w:rPr>
        <w:fldChar w:fldCharType="begin" w:fldLock="1"/>
      </w:r>
      <w:r w:rsidR="00610755">
        <w:rPr>
          <w:sz w:val="24"/>
          <w:szCs w:val="24"/>
          <w:lang w:val="en-US"/>
        </w:rPr>
        <w:instrText>ADDIN CSL_CITATION { "citationItems" : [ { "id" : "ITEM-1", "itemData" : { "PMID" : "12167683", "abstract" : "BACKGROUND: Voriconazole is a broad-spectrum triazole that is active against aspergillus species. We conducted a randomized trial to compare voriconazole with amphotericin B for primary therapy of invasive aspergillosis. METHODS: In this randomized, unblinded trial, patients received either intravenous voriconazole (two doses of 6 mg per kilogram of body weight on day 1, then 4 mg per kilogram twice daily for at least seven days) followed by 200 mg orally twice daily or intravenous amphotericin B deoxycholate (1 to 1.5 mg per kilogram per day). Other licensed antifungal treatments were allowed if the initial therapy failed or if the patient had an intolerance to the first drug used. A complete or partial response was considered to be a successful outcome. RESULTS: A total of 144 patients in the voriconazole group and 133 patients in the amphotericin B group with definite or probable aspergillosis received at least one dose of treatment. In most of the patients, the underlying condition was allogeneic hematopoietic-cell transplantation, acute leukemia, or other hematologic diseases. At week 12, there were successful outcomes in 52.8 percent of the patients in the voriconazole group (complete responses in 20.8 percent and partial responses in 31.9 percent) and 31.6 percent of those in the amphotericin B group (complete responses in 16.5 percent and partial responses in 15.0 percent; absolute difference, 21.2 percentage points; 95 percent confidence interval, 10.4 to 32.9). The survival rate at 12 weeks was 70.8 percent in the voriconazole group and 57.9 percent in the amphotericin B group (hazard ratio, 0.59; 95 percent confidence interval, 0.40 to 0.88). Voriconazole-treated patients had significantly fewer severe drug-related adverse events, but transient visual disturbances were common with voriconazole (occurring in 44.8 percent of patients). CONCLUSIONS: In patients with invasive aspergillosis, initial therapy with voriconazole led to better responses and improved survival and resulted in fewer severe side effects than the standard approach of initial therapy with amphotericin B.", "author" : [ { "dropping-particle" : "", "family" : "Herbrecht", "given" : "R", "non-dropping-particle" : "", "parse-names" : false, "suffix" : "" }, { "dropping-particle" : "", "family" : "Denning", "given" : "D W", "non-dropping-particle" : "", "parse-names" : false, "suffix" : "" }, { "dropping-particle" : "", "family" : "Patterson", "given" : "T F", "non-dropping-particle" : "", "parse-names" : false, "suffix" : "" }, { "dropping-particle" : "", "family" : "Bennett", "given" : "J E", "non-dropping-particle" : "", "parse-names" : false, "suffix" : "" }, { "dropping-particle" : "", "family" : "Greene", "given" : "R E", "non-dropping-particle" : "", "parse-names" : false, "suffix" : "" }, { "dropping-particle" : "", "family" : "Oestmann", "given" : "J W", "non-dropping-particle" : "", "parse-names" : false, "suffix" : "" }, { "dropping-particle" : "V", "family" : "Kern", "given" : "W", "non-dropping-particle" : "", "parse-names" : false, "suffix" : "" }, { "dropping-particle" : "", "family" : "Marr", "given" : "K A", "non-dropping-particle" : "", "parse-names" : false, "suffix" : "" }, { "dropping-particle" : "", "family" : "Ribaud", "given" : "P", "non-dropping-particle" : "", "parse-names" : false, "suffix" : "" }, { "dropping-particle" : "", "family" : "Lortholary", "given" : "O", "non-dropping-particle" : "", "parse-names" : false, "suffix" : "" }, { "dropping-particle" : "", "family" : "Sylvester", "given" : "R", "non-dropping-particle" : "", "parse-names" : false, "suffix" : "" }, { "dropping-particle" : "", "family" : "Rubin", "given" : "R H", "non-dropping-particle" : "", "parse-names" : false, "suffix" : "" }, { "dropping-particle" : "", "family" : "Wingard", "given" : "J R", "non-dropping-particle" : "", "parse-names" : false, "suffix" : "" }, { "dropping-particle" : "", "family" : "Stark", "given" : "P", "non-dropping-particle" : "", "parse-names" : false, "suffix" : "" }, { "dropping-particle" : "", "family" : "Durand", "given" : "C", "non-dropping-particle" : "", "parse-names" : false, "suffix" : "" }, { "dropping-particle" : "", "family" : "Caillot", "given" : "D", "non-dropping-particle" : "", "parse-names" : false, "suffix" : "" }, { "dropping-particle" : "", "family" : "Thiel", "given" : "E", "non-dropping-particle" : "", "parse-names" : false, "suffix" : "" }, { "dropping-particle" : "", "family" : "Chandrasekar", "given" : "P H", "non-dropping-particle" : "", "parse-names" : false, "suffix" : "" }, { "dropping-particle" : "", "family" : "Hodges", "given" : "M R", "non-dropping-particle" : "", "parse-names" : false, "suffix" : "" }, { "dropping-particle" : "", "family" : "Schlamm", "given" : "H T", "non-dropping-particle" : "", "parse-names" : false, "suffix" : "" }, { "dropping-particle" : "", "family" : "Troke", "given" : "P F", "non-dropping-particle" : "", "parse-names" : false, "suffix" : "" }, { "dropping-particle" : "", "family" : "Pauw", "given" : "B", "non-dropping-particle" : "de", "parse-names" : false, "suffix" : "" } ], "container-title" : "N Engl J Med", "id" : "ITEM-1", "issue" : "6", "issued" : { "date-parts" : [ [ "2002" ] ] }, "note" : "1533-4406 (Electronic)\nClinical Trial\nJournal Article\nMulticenter Study\nRandomized Controlled Trial", "page" : "408-415", "title" : "Voriconazole versus amphotericin B for primary therapy of invasive aspergillosis", "type" : "article-journal", "volume" : "347" }, "uris" : [ "http://www.mendeley.com/documents/?uuid=e37cfd5f-68b2-49c6-94bd-c1842bb8f55e" ] } ], "mendeley" : { "formattedCitation" : "&lt;sup&gt;3&lt;/sup&gt;", "plainTextFormattedCitation" : "3", "previouslyFormattedCitation" : "&lt;sup&gt;3&lt;/sup&gt;" }, "properties" : { "noteIndex" : 0 }, "schema" : "https://github.com/citation-style-language/schema/raw/master/csl-citation.json" }</w:instrText>
      </w:r>
      <w:r w:rsidR="00B16E42">
        <w:rPr>
          <w:sz w:val="24"/>
          <w:szCs w:val="24"/>
          <w:lang w:val="en-US"/>
        </w:rPr>
        <w:fldChar w:fldCharType="separate"/>
      </w:r>
      <w:r w:rsidR="00610755" w:rsidRPr="00610755">
        <w:rPr>
          <w:noProof/>
          <w:sz w:val="24"/>
          <w:szCs w:val="24"/>
          <w:vertAlign w:val="superscript"/>
          <w:lang w:val="en-US"/>
        </w:rPr>
        <w:t>3</w:t>
      </w:r>
      <w:r w:rsidR="00B16E42">
        <w:rPr>
          <w:sz w:val="24"/>
          <w:szCs w:val="24"/>
          <w:lang w:val="en-US"/>
        </w:rPr>
        <w:fldChar w:fldCharType="end"/>
      </w:r>
      <w:proofErr w:type="gramStart"/>
      <w:r w:rsidR="006F4987">
        <w:rPr>
          <w:sz w:val="24"/>
          <w:szCs w:val="24"/>
          <w:lang w:val="en-US"/>
        </w:rPr>
        <w:t xml:space="preserve">  Such</w:t>
      </w:r>
      <w:proofErr w:type="gramEnd"/>
      <w:r w:rsidR="006F4987">
        <w:rPr>
          <w:sz w:val="24"/>
          <w:szCs w:val="24"/>
          <w:lang w:val="en-US"/>
        </w:rPr>
        <w:t xml:space="preserve"> an approach </w:t>
      </w:r>
      <w:r w:rsidR="001652E3">
        <w:rPr>
          <w:sz w:val="24"/>
          <w:szCs w:val="24"/>
          <w:lang w:val="en-US"/>
        </w:rPr>
        <w:t xml:space="preserve">provided </w:t>
      </w:r>
      <w:r w:rsidR="006F4987">
        <w:rPr>
          <w:sz w:val="24"/>
          <w:szCs w:val="24"/>
          <w:lang w:val="en-US"/>
        </w:rPr>
        <w:t>tractable estimates of drug exposure in patients receiving voriconazole as prophylaxis for invasive fungal infections</w:t>
      </w:r>
      <w:r w:rsidR="00AC755B">
        <w:rPr>
          <w:sz w:val="24"/>
          <w:szCs w:val="24"/>
          <w:lang w:val="en-US"/>
        </w:rPr>
        <w:t xml:space="preserve">, and was the first-critical step in </w:t>
      </w:r>
      <w:r w:rsidR="009021E5">
        <w:rPr>
          <w:sz w:val="24"/>
          <w:szCs w:val="24"/>
          <w:lang w:val="en-US"/>
        </w:rPr>
        <w:t>investigating</w:t>
      </w:r>
      <w:r w:rsidR="00AC755B">
        <w:rPr>
          <w:sz w:val="24"/>
          <w:szCs w:val="24"/>
          <w:lang w:val="en-US"/>
        </w:rPr>
        <w:t xml:space="preserve"> </w:t>
      </w:r>
      <w:r w:rsidR="009021E5">
        <w:rPr>
          <w:sz w:val="24"/>
          <w:szCs w:val="24"/>
          <w:lang w:val="en-US"/>
        </w:rPr>
        <w:t>a</w:t>
      </w:r>
      <w:r w:rsidR="00AE40F3">
        <w:rPr>
          <w:sz w:val="24"/>
          <w:szCs w:val="24"/>
          <w:lang w:val="en-US"/>
        </w:rPr>
        <w:t>ny</w:t>
      </w:r>
      <w:r w:rsidR="009021E5">
        <w:rPr>
          <w:sz w:val="24"/>
          <w:szCs w:val="24"/>
          <w:lang w:val="en-US"/>
        </w:rPr>
        <w:t xml:space="preserve"> potential</w:t>
      </w:r>
      <w:r w:rsidR="00AC755B">
        <w:rPr>
          <w:sz w:val="24"/>
          <w:szCs w:val="24"/>
          <w:lang w:val="en-US"/>
        </w:rPr>
        <w:t xml:space="preserve"> link between </w:t>
      </w:r>
      <w:r w:rsidR="00F92A3B">
        <w:rPr>
          <w:sz w:val="24"/>
          <w:szCs w:val="24"/>
          <w:lang w:val="en-US"/>
        </w:rPr>
        <w:t>drug exposure and prevention of invasive fungal infection</w:t>
      </w:r>
      <w:r w:rsidR="009021E5">
        <w:rPr>
          <w:sz w:val="24"/>
          <w:szCs w:val="24"/>
          <w:lang w:val="en-US"/>
        </w:rPr>
        <w:t>s</w:t>
      </w:r>
      <w:r w:rsidR="006F4987">
        <w:rPr>
          <w:sz w:val="24"/>
          <w:szCs w:val="24"/>
          <w:lang w:val="en-US"/>
        </w:rPr>
        <w:t xml:space="preserve">.  </w:t>
      </w:r>
    </w:p>
    <w:p w14:paraId="51ADE08B" w14:textId="77777777" w:rsidR="0054476F" w:rsidRDefault="0054476F">
      <w:pPr>
        <w:rPr>
          <w:rFonts w:ascii="Calibri" w:hAnsi="Calibri"/>
          <w:sz w:val="24"/>
          <w:szCs w:val="24"/>
          <w:lang w:val="en-US"/>
        </w:rPr>
      </w:pPr>
    </w:p>
    <w:p w14:paraId="168C069F" w14:textId="77777777" w:rsidR="00B40FAA" w:rsidRDefault="00B40FAA">
      <w:pPr>
        <w:rPr>
          <w:rFonts w:ascii="Calibri" w:hAnsi="Calibri"/>
          <w:sz w:val="24"/>
          <w:szCs w:val="24"/>
          <w:lang w:val="en-US"/>
        </w:rPr>
      </w:pPr>
      <w:r>
        <w:rPr>
          <w:rFonts w:ascii="Calibri" w:hAnsi="Calibri"/>
          <w:sz w:val="24"/>
          <w:szCs w:val="24"/>
          <w:lang w:val="en-US"/>
        </w:rPr>
        <w:br w:type="page"/>
      </w:r>
    </w:p>
    <w:p w14:paraId="14E6B83D" w14:textId="77777777" w:rsidR="002F0973" w:rsidRPr="007C5CC0" w:rsidRDefault="00B40FAA" w:rsidP="007C5CC0">
      <w:pPr>
        <w:tabs>
          <w:tab w:val="left" w:pos="6379"/>
        </w:tabs>
        <w:rPr>
          <w:rFonts w:ascii="Calibri" w:hAnsi="Calibri"/>
          <w:sz w:val="24"/>
          <w:szCs w:val="24"/>
          <w:lang w:val="en-US"/>
        </w:rPr>
      </w:pPr>
      <w:r>
        <w:rPr>
          <w:rFonts w:ascii="Calibri" w:hAnsi="Calibri"/>
          <w:sz w:val="24"/>
          <w:szCs w:val="24"/>
          <w:lang w:val="en-US"/>
        </w:rPr>
        <w:lastRenderedPageBreak/>
        <w:t>METHODS</w:t>
      </w:r>
    </w:p>
    <w:p w14:paraId="7236B1A8" w14:textId="77777777" w:rsidR="002F0973" w:rsidRPr="00B40FAA" w:rsidRDefault="002F0973" w:rsidP="007C5CC0">
      <w:pPr>
        <w:tabs>
          <w:tab w:val="left" w:pos="6379"/>
        </w:tabs>
        <w:rPr>
          <w:rFonts w:ascii="Calibri" w:hAnsi="Calibri"/>
          <w:b/>
          <w:i/>
          <w:sz w:val="24"/>
          <w:szCs w:val="24"/>
          <w:lang w:val="en-US"/>
        </w:rPr>
      </w:pPr>
      <w:r w:rsidRPr="00B40FAA">
        <w:rPr>
          <w:rFonts w:ascii="Calibri" w:hAnsi="Calibri"/>
          <w:b/>
          <w:i/>
          <w:sz w:val="24"/>
          <w:szCs w:val="24"/>
          <w:lang w:val="en-US"/>
        </w:rPr>
        <w:t>Patients</w:t>
      </w:r>
    </w:p>
    <w:p w14:paraId="3D79F5FA" w14:textId="544EFBB8" w:rsidR="00C03AEE" w:rsidRPr="00517CCF" w:rsidRDefault="00C03AEE" w:rsidP="00517CCF">
      <w:pPr>
        <w:tabs>
          <w:tab w:val="left" w:pos="567"/>
        </w:tabs>
        <w:rPr>
          <w:sz w:val="24"/>
          <w:szCs w:val="24"/>
          <w:lang w:val="en-US"/>
        </w:rPr>
      </w:pPr>
      <w:r>
        <w:rPr>
          <w:rFonts w:ascii="Calibri" w:hAnsi="Calibri"/>
          <w:sz w:val="24"/>
          <w:szCs w:val="24"/>
          <w:lang w:val="en-US"/>
        </w:rPr>
        <w:tab/>
      </w:r>
      <w:r w:rsidR="009878F0">
        <w:rPr>
          <w:rFonts w:ascii="Calibri" w:hAnsi="Calibri"/>
          <w:sz w:val="24"/>
          <w:szCs w:val="24"/>
          <w:lang w:val="en-US"/>
        </w:rPr>
        <w:t>The demographic and clinical details of</w:t>
      </w:r>
      <w:r>
        <w:rPr>
          <w:rFonts w:ascii="Calibri" w:hAnsi="Calibri"/>
          <w:sz w:val="24"/>
          <w:szCs w:val="24"/>
          <w:lang w:val="en-US"/>
        </w:rPr>
        <w:t xml:space="preserve"> the patients </w:t>
      </w:r>
      <w:r w:rsidR="009878F0">
        <w:rPr>
          <w:rFonts w:ascii="Calibri" w:hAnsi="Calibri"/>
          <w:sz w:val="24"/>
          <w:szCs w:val="24"/>
          <w:lang w:val="en-US"/>
        </w:rPr>
        <w:t xml:space="preserve">used in this study </w:t>
      </w:r>
      <w:r w:rsidR="0004021A">
        <w:rPr>
          <w:rFonts w:ascii="Calibri" w:hAnsi="Calibri"/>
          <w:sz w:val="24"/>
          <w:szCs w:val="24"/>
          <w:lang w:val="en-US"/>
        </w:rPr>
        <w:t>who were</w:t>
      </w:r>
      <w:r w:rsidR="009878F0">
        <w:rPr>
          <w:rFonts w:ascii="Calibri" w:hAnsi="Calibri"/>
          <w:sz w:val="24"/>
          <w:szCs w:val="24"/>
          <w:lang w:val="en-US"/>
        </w:rPr>
        <w:t xml:space="preserve"> originally enrolled </w:t>
      </w:r>
      <w:r>
        <w:rPr>
          <w:rFonts w:ascii="Calibri" w:hAnsi="Calibri"/>
          <w:sz w:val="24"/>
          <w:szCs w:val="24"/>
          <w:lang w:val="en-US"/>
        </w:rPr>
        <w:t xml:space="preserve">in </w:t>
      </w:r>
      <w:r w:rsidR="00B62D01">
        <w:rPr>
          <w:rFonts w:ascii="Calibri" w:hAnsi="Calibri"/>
          <w:sz w:val="24"/>
          <w:szCs w:val="24"/>
          <w:lang w:val="en-US"/>
        </w:rPr>
        <w:t xml:space="preserve">a </w:t>
      </w:r>
      <w:r>
        <w:rPr>
          <w:rFonts w:ascii="Calibri" w:hAnsi="Calibri"/>
          <w:sz w:val="24"/>
          <w:szCs w:val="24"/>
          <w:lang w:val="en-US"/>
        </w:rPr>
        <w:t xml:space="preserve">study </w:t>
      </w:r>
      <w:r w:rsidR="00B62D01">
        <w:rPr>
          <w:rFonts w:ascii="Calibri" w:hAnsi="Calibri"/>
          <w:sz w:val="24"/>
          <w:szCs w:val="24"/>
          <w:lang w:val="en-US"/>
        </w:rPr>
        <w:t>by</w:t>
      </w:r>
      <w:r>
        <w:rPr>
          <w:rFonts w:ascii="Calibri" w:hAnsi="Calibri"/>
          <w:sz w:val="24"/>
          <w:szCs w:val="24"/>
          <w:lang w:val="en-US"/>
        </w:rPr>
        <w:t xml:space="preserve"> Wingard </w:t>
      </w:r>
      <w:r w:rsidRPr="009878F0">
        <w:rPr>
          <w:rFonts w:ascii="Calibri" w:hAnsi="Calibri"/>
          <w:i/>
          <w:sz w:val="24"/>
          <w:szCs w:val="24"/>
          <w:lang w:val="en-US"/>
        </w:rPr>
        <w:t>et al</w:t>
      </w:r>
      <w:r w:rsidR="00581681">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"mendeley" : { "formattedCitation" : "&lt;sup&gt;9&lt;/sup&gt;", "plainTextFormattedCitation" : "9", "previouslyFormattedCitation" : "&lt;sup&gt;9&lt;/sup&gt;" }, "properties" : { "noteIndex" : 0 }, "schema" : "https://github.com/citation-style-language/schema/raw/master/csl-citation.json" }</w:instrText>
      </w:r>
      <w:r w:rsidR="00581681">
        <w:rPr>
          <w:rFonts w:ascii="Calibri" w:hAnsi="Calibri"/>
          <w:sz w:val="24"/>
          <w:szCs w:val="24"/>
          <w:lang w:val="en-US"/>
        </w:rPr>
        <w:fldChar w:fldCharType="separate"/>
      </w:r>
      <w:r w:rsidR="00610755" w:rsidRPr="00610755">
        <w:rPr>
          <w:rFonts w:ascii="Calibri" w:hAnsi="Calibri"/>
          <w:noProof/>
          <w:sz w:val="24"/>
          <w:szCs w:val="24"/>
          <w:vertAlign w:val="superscript"/>
          <w:lang w:val="en-US"/>
        </w:rPr>
        <w:t>9</w:t>
      </w:r>
      <w:r w:rsidR="00581681">
        <w:rPr>
          <w:rFonts w:ascii="Calibri" w:hAnsi="Calibri"/>
          <w:sz w:val="24"/>
          <w:szCs w:val="24"/>
          <w:lang w:val="en-US"/>
        </w:rPr>
        <w:fldChar w:fldCharType="end"/>
      </w:r>
      <w:r w:rsidR="00581681">
        <w:rPr>
          <w:rFonts w:ascii="Calibri" w:hAnsi="Calibri"/>
          <w:sz w:val="24"/>
          <w:szCs w:val="24"/>
          <w:lang w:val="en-US"/>
        </w:rPr>
        <w:t xml:space="preserve"> </w:t>
      </w:r>
      <w:r>
        <w:rPr>
          <w:rFonts w:ascii="Calibri" w:hAnsi="Calibri"/>
          <w:sz w:val="24"/>
          <w:szCs w:val="24"/>
          <w:lang w:val="en-US"/>
        </w:rPr>
        <w:t xml:space="preserve">are summarized in </w:t>
      </w:r>
      <w:r w:rsidRPr="00517CCF">
        <w:rPr>
          <w:sz w:val="24"/>
          <w:szCs w:val="24"/>
          <w:lang w:val="en-US"/>
        </w:rPr>
        <w:t xml:space="preserve">Table 1.  In the original </w:t>
      </w:r>
      <w:r w:rsidR="0004021A">
        <w:rPr>
          <w:sz w:val="24"/>
          <w:szCs w:val="24"/>
          <w:lang w:val="en-US"/>
        </w:rPr>
        <w:t>randomized control trial</w:t>
      </w:r>
      <w:r w:rsidR="00614F14">
        <w:rPr>
          <w:sz w:val="24"/>
          <w:szCs w:val="24"/>
          <w:lang w:val="en-US"/>
        </w:rPr>
        <w:t xml:space="preserve"> that compared voriconazole with fluconazole</w:t>
      </w:r>
      <w:r w:rsidRPr="00517CCF">
        <w:rPr>
          <w:sz w:val="24"/>
          <w:szCs w:val="24"/>
          <w:lang w:val="en-US"/>
        </w:rPr>
        <w:t xml:space="preserve">, </w:t>
      </w:r>
      <w:r w:rsidR="0004021A">
        <w:rPr>
          <w:sz w:val="24"/>
          <w:szCs w:val="24"/>
          <w:lang w:val="en-US"/>
        </w:rPr>
        <w:t xml:space="preserve">a total of 305 </w:t>
      </w:r>
      <w:r w:rsidRPr="00517CCF">
        <w:rPr>
          <w:sz w:val="24"/>
          <w:szCs w:val="24"/>
          <w:lang w:val="en-US"/>
        </w:rPr>
        <w:t>patients receiv</w:t>
      </w:r>
      <w:r w:rsidR="0004021A">
        <w:rPr>
          <w:sz w:val="24"/>
          <w:szCs w:val="24"/>
          <w:lang w:val="en-US"/>
        </w:rPr>
        <w:t>ed</w:t>
      </w:r>
      <w:r w:rsidRPr="00517CCF">
        <w:rPr>
          <w:sz w:val="24"/>
          <w:szCs w:val="24"/>
          <w:lang w:val="en-US"/>
        </w:rPr>
        <w:t xml:space="preserve"> voriconazole</w:t>
      </w:r>
      <w:r w:rsidR="009E0FC8">
        <w:rPr>
          <w:sz w:val="24"/>
          <w:szCs w:val="24"/>
          <w:lang w:val="en-US"/>
        </w:rPr>
        <w:t xml:space="preserve">.  </w:t>
      </w:r>
      <w:r w:rsidR="00C239F3">
        <w:rPr>
          <w:sz w:val="24"/>
          <w:szCs w:val="24"/>
          <w:lang w:val="en-US"/>
        </w:rPr>
        <w:t xml:space="preserve">Of these </w:t>
      </w:r>
      <w:r w:rsidR="00614F14">
        <w:rPr>
          <w:sz w:val="24"/>
          <w:szCs w:val="24"/>
          <w:lang w:val="en-US"/>
        </w:rPr>
        <w:t xml:space="preserve">305 </w:t>
      </w:r>
      <w:r w:rsidR="00C239F3">
        <w:rPr>
          <w:sz w:val="24"/>
          <w:szCs w:val="24"/>
          <w:lang w:val="en-US"/>
        </w:rPr>
        <w:t>patients</w:t>
      </w:r>
      <w:r w:rsidR="00614F14">
        <w:rPr>
          <w:sz w:val="24"/>
          <w:szCs w:val="24"/>
          <w:lang w:val="en-US"/>
        </w:rPr>
        <w:t>,</w:t>
      </w:r>
      <w:r w:rsidR="00C239F3">
        <w:rPr>
          <w:sz w:val="24"/>
          <w:szCs w:val="24"/>
          <w:lang w:val="en-US"/>
        </w:rPr>
        <w:t xml:space="preserve"> pharmacokinetic data was </w:t>
      </w:r>
      <w:r w:rsidR="00614F14">
        <w:rPr>
          <w:sz w:val="24"/>
          <w:szCs w:val="24"/>
          <w:lang w:val="en-US"/>
        </w:rPr>
        <w:t xml:space="preserve">only </w:t>
      </w:r>
      <w:r w:rsidR="00C239F3">
        <w:rPr>
          <w:sz w:val="24"/>
          <w:szCs w:val="24"/>
          <w:lang w:val="en-US"/>
        </w:rPr>
        <w:t>available for 198</w:t>
      </w:r>
      <w:r w:rsidR="00614F14">
        <w:rPr>
          <w:sz w:val="24"/>
          <w:szCs w:val="24"/>
          <w:lang w:val="en-US"/>
        </w:rPr>
        <w:t xml:space="preserve"> patients</w:t>
      </w:r>
      <w:r w:rsidR="00C239F3">
        <w:rPr>
          <w:sz w:val="24"/>
          <w:szCs w:val="24"/>
          <w:lang w:val="en-US"/>
        </w:rPr>
        <w:t xml:space="preserve">.  </w:t>
      </w:r>
      <w:r w:rsidR="00581B57">
        <w:rPr>
          <w:sz w:val="24"/>
          <w:szCs w:val="24"/>
          <w:lang w:val="en-US"/>
        </w:rPr>
        <w:t>T</w:t>
      </w:r>
      <w:r w:rsidR="00C239F3">
        <w:rPr>
          <w:sz w:val="24"/>
          <w:szCs w:val="24"/>
          <w:lang w:val="en-US"/>
        </w:rPr>
        <w:t xml:space="preserve">here were 11 </w:t>
      </w:r>
      <w:r w:rsidRPr="00517CCF">
        <w:rPr>
          <w:sz w:val="24"/>
          <w:szCs w:val="24"/>
          <w:lang w:val="en-US"/>
        </w:rPr>
        <w:t>patients</w:t>
      </w:r>
      <w:r w:rsidR="009E0FC8">
        <w:rPr>
          <w:sz w:val="24"/>
          <w:szCs w:val="24"/>
          <w:lang w:val="en-US"/>
        </w:rPr>
        <w:t xml:space="preserve"> </w:t>
      </w:r>
      <w:r w:rsidR="00581B57">
        <w:rPr>
          <w:sz w:val="24"/>
          <w:szCs w:val="24"/>
          <w:lang w:val="en-US"/>
        </w:rPr>
        <w:t xml:space="preserve">who were </w:t>
      </w:r>
      <w:r w:rsidRPr="00517CCF">
        <w:rPr>
          <w:sz w:val="24"/>
          <w:szCs w:val="24"/>
          <w:lang w:val="en-US"/>
        </w:rPr>
        <w:t>&lt;12 year</w:t>
      </w:r>
      <w:r w:rsidR="00581B57">
        <w:rPr>
          <w:sz w:val="24"/>
          <w:szCs w:val="24"/>
          <w:lang w:val="en-US"/>
        </w:rPr>
        <w:t>s of age</w:t>
      </w:r>
      <w:r w:rsidRPr="00517CCF">
        <w:rPr>
          <w:sz w:val="24"/>
          <w:szCs w:val="24"/>
          <w:lang w:val="en-US"/>
        </w:rPr>
        <w:t xml:space="preserve"> </w:t>
      </w:r>
      <w:r w:rsidR="00C239F3">
        <w:rPr>
          <w:sz w:val="24"/>
          <w:szCs w:val="24"/>
          <w:lang w:val="en-US"/>
        </w:rPr>
        <w:t xml:space="preserve">who </w:t>
      </w:r>
      <w:r w:rsidR="009E0FC8">
        <w:rPr>
          <w:sz w:val="24"/>
          <w:szCs w:val="24"/>
          <w:lang w:val="en-US"/>
        </w:rPr>
        <w:t>were</w:t>
      </w:r>
      <w:r w:rsidRPr="00517CCF">
        <w:rPr>
          <w:sz w:val="24"/>
          <w:szCs w:val="24"/>
          <w:lang w:val="en-US"/>
        </w:rPr>
        <w:t xml:space="preserve"> excluded from </w:t>
      </w:r>
      <w:r w:rsidR="009E0FC8">
        <w:rPr>
          <w:sz w:val="24"/>
          <w:szCs w:val="24"/>
          <w:lang w:val="en-US"/>
        </w:rPr>
        <w:t xml:space="preserve">the </w:t>
      </w:r>
      <w:r w:rsidR="00581B57">
        <w:rPr>
          <w:sz w:val="24"/>
          <w:szCs w:val="24"/>
          <w:lang w:val="en-US"/>
        </w:rPr>
        <w:t xml:space="preserve">pharmacokinetic </w:t>
      </w:r>
      <w:r w:rsidR="009E0FC8">
        <w:rPr>
          <w:sz w:val="24"/>
          <w:szCs w:val="24"/>
          <w:lang w:val="en-US"/>
        </w:rPr>
        <w:t xml:space="preserve">analysis </w:t>
      </w:r>
      <w:r w:rsidR="00581B57">
        <w:rPr>
          <w:sz w:val="24"/>
          <w:szCs w:val="24"/>
          <w:lang w:val="en-US"/>
        </w:rPr>
        <w:t xml:space="preserve">and </w:t>
      </w:r>
      <w:r w:rsidR="00F26706">
        <w:rPr>
          <w:sz w:val="24"/>
          <w:szCs w:val="24"/>
          <w:lang w:val="en-US"/>
        </w:rPr>
        <w:t xml:space="preserve">the </w:t>
      </w:r>
      <w:r w:rsidR="00581B57">
        <w:rPr>
          <w:sz w:val="24"/>
          <w:szCs w:val="24"/>
          <w:lang w:val="en-US"/>
        </w:rPr>
        <w:t>population PK model</w:t>
      </w:r>
      <w:r w:rsidR="002345F6">
        <w:rPr>
          <w:sz w:val="24"/>
          <w:szCs w:val="24"/>
          <w:lang w:val="en-US"/>
        </w:rPr>
        <w:t xml:space="preserve"> </w:t>
      </w:r>
      <w:r w:rsidR="009E0FC8">
        <w:rPr>
          <w:sz w:val="24"/>
          <w:szCs w:val="24"/>
          <w:lang w:val="en-US"/>
        </w:rPr>
        <w:t xml:space="preserve">because the pharmacokinetics in younger children </w:t>
      </w:r>
      <w:r w:rsidR="00DA7365">
        <w:rPr>
          <w:sz w:val="24"/>
          <w:szCs w:val="24"/>
          <w:lang w:val="en-US"/>
        </w:rPr>
        <w:t xml:space="preserve">is </w:t>
      </w:r>
      <w:r w:rsidR="00F26706">
        <w:rPr>
          <w:sz w:val="24"/>
          <w:szCs w:val="24"/>
          <w:lang w:val="en-US"/>
        </w:rPr>
        <w:t xml:space="preserve">known to be </w:t>
      </w:r>
      <w:r w:rsidR="002345F6">
        <w:rPr>
          <w:sz w:val="24"/>
          <w:szCs w:val="24"/>
          <w:lang w:val="en-US"/>
        </w:rPr>
        <w:t xml:space="preserve">markedly </w:t>
      </w:r>
      <w:r w:rsidR="009E0FC8">
        <w:rPr>
          <w:sz w:val="24"/>
          <w:szCs w:val="24"/>
          <w:lang w:val="en-US"/>
        </w:rPr>
        <w:t>different from adolescents and adults</w:t>
      </w:r>
      <w:r w:rsidR="000C1C06">
        <w:rPr>
          <w:sz w:val="24"/>
          <w:szCs w:val="24"/>
          <w:lang w:val="en-US"/>
        </w:rPr>
        <w:t>.</w:t>
      </w:r>
      <w:r w:rsidR="009E098D">
        <w:rPr>
          <w:sz w:val="24"/>
          <w:szCs w:val="24"/>
          <w:lang w:val="en-US"/>
        </w:rPr>
        <w:fldChar w:fldCharType="begin" w:fldLock="1"/>
      </w:r>
      <w:r w:rsidR="00610755">
        <w:rPr>
          <w:sz w:val="24"/>
          <w:szCs w:val="24"/>
          <w:lang w:val="en-US"/>
        </w:rPr>
        <w:instrText>ADDIN CSL_CITATION { "citationItems" : [ { "id" : "ITEM-1", "itemData" : { "DOI" : "AAC.00702-11 [pii] 10.1128/AAC.00702-11", "ISBN" : "1098-6596 (Electronic) 0066-4804 (Linking)", "PMID" : "22064545", "abstract" : "Voriconazole is a first-line agent for the treatment of invasive fungal infections. The pharmacology of voriconazole is characterized by extensive interindividual variability and nonlinear pharmacokinetics. The population pharmacokinetics of voriconazole in 64 adults is described. The patient population consisted of 21 healthy volunteers, who received a range of intravenous (i.v.) and oral voriconazole regimens, and 43 patients with proven or probable invasive aspergillosis, who received the currently licensed dosage. Voriconazole concentrations were measured using high-performance liquid chromatography (HPLC). The pharmacokinetic data were modeled using a nonparametric methodology and with a nonlinear pharmacokinetic structural model. The extent and consequences of pharmacokinetic variability were explored using Monte Carlo simulation. The relationship between drug exposure and clinical response was explored using logistic regression. Optimal sampling times were identified using D-optimal design. The fit of the nonlinear model was acceptable. Data from the healthy volunteers provided robust estimates for K(m) and the maximum rate of enzyme activity (V(max)). The Bayesian parameter estimates were more variable and statistically different in patients than in volunteers. There was a linear relationship between the trough concentration and area under the concentration-time curve (AUC(0-12)). There was no relationship between the AUC(0-12) and clinical response. The original parameter values were readily recapitulated using Monte Carlo simulation. Initial i.v. dosing resulted in higher AUC(0-12) and trough concentrations compared with oral dosing. Sample collection times of 1, 2, 3, 4, 8, and 12 h after an i.v. infusion are maximally informative times for future pharmacokinetic studies.", "author" : [ { "dropping-particle" : "", "family" : "Hope", "given" : "W W", "non-dropping-particle" : "", "parse-names" : false, "suffix" : "" } ], "container-title" : "Antimicrob Agents Chemother", "id" : "ITEM-1", "issue" : "1", "issued" : { "date-parts" : [ [ "2012" ] ] }, "language" : "eng", "note" : "Hope, William W\nResearch Support, Non-U.S. Gov't\nUnited States\nAntimicrobial agents and chemotherapy\nAntimicrob Agents Chemother. 2012 Jan;56(1):526-31. Epub 2011 Nov 7.", "page" : "526-531", "title" : "Population pharmacokinetics of voriconazole in adults", "type" : "article-journal", "volume" : "56" }, "uris" : [ "http://www.mendeley.com/documents/?uuid=5a774715-1a93-4ec7-8c42-a917cd5edb27" ] }, { "id" : "ITEM-2", "itemData" : { "ISBN" : "0066-4804", "ISSN" : "1098-6596", "abstract" : "Despite the documented benefit of voriconazole therapeutic drug monitoring, nonlinear pharmacokinetics make the timing of steady-state trough sampling and appropriate dose adjustments unpredictable by conventional methods. We developed a nonparametric population model with data from 141 previously richly sampled children and adults. We then used it in our multiple-model Bayesian adaptive control algorithm to predict measured concentrations and doses in a separate cohort of 33 pediatric patients aged 8 months to 17 years who were receiving voriconazole and enrolled in a pharmacokinetic study. Using all available samples to estimate the individual Bayesian posterior parameter values, the median percent prediction bias relative to a measured target trough concentration in the patients was 1.1% (interquartile range, -17.1 to 10%). Compared to the actual dose that resulted in the target concentration, the percent bias of the predicted dose was -0.7% (interquartile range, -7 to 20%). Using only trough concentrations to generate the Bayesian posterior parameter values, the target bias was 6.4% (interquartile range, -1.4 to 14.7%; P = 0.16 versus the full posterior parameter value) and the dose bias was -6.7% (interquartile range, -18.7 to 2.4%; P = 0.15). Use of a sample collected at an optimal time of 4 h after a dose, in addition to the trough concentration, resulted in a nonsignificantly improved target bias of 3.8% (interquartile range, -13.1 to 18%; P = 0.32) and a dose bias of -3.5% (interquartile range, -18 to 14%; P = 0.33). With the nonparametric population model and trough concentrations, our control algorithm can accurately manage voriconazole therapy in children independently of steady-state conditions, and it is generalizable to any drug with a nonparametric pharmacokinetic model. (This study has been registered at ClinicalTrials.gov under registration no. NCT01976078.). Copyright \u00a9 2015, American Society for Microbiology. All Rights Reserved.", "author" : [ { "dropping-particle" : "", "family" : "Neely", "given" : "Michael", "non-dropping-particle" : "", "parse-names" : false, "suffix" : "" }, { "dropping-particle" : "", "family" : "Margol", "given" : "Ashley", "non-dropping-particle" : "", "parse-names" : false, "suffix" : "" }, { "dropping-particle" : "", "family" : "Fu", "given" : "Xiaowei", "non-dropping-particle" : "", "parse-names" : false, "suffix" : "" }, { "dropping-particle" : "", "family" : "Guilder", "given" : "Michael", "non-dropping-particle" : "van", "parse-names" : false, "suffix" : "" }, { "dropping-particle" : "", "family" : "Bayard", "given" : "David", "non-dropping-particle" : "", "parse-names" : false, "suffix" : "" }, { "dropping-particle" : "", "family" : "Schumitzky", "given" : "Alan", "non-dropping-particle" : "", "parse-names" : false, "suffix" : "" }, { "dropping-particle" : "", "family" : "Orbach", "given" : "Regina", "non-dropping-particle" : "", "parse-names" : false, "suffix" : "" }, { "dropping-particle" : "", "family" : "Liu", "given" : "Siyu", "non-dropping-particle" : "", "parse-names" : false, "suffix" : "" }, { "dropping-particle" : "", "family" : "Louie", "given" : "Stan", "non-dropping-particle" : "", "parse-names" : false, "suffix" : "" }, { "dropping-particle" : "", "family" : "Hope", "given" : "William", "non-dropping-particle" : "", "parse-names" : false, "suffix" : "" }, { "dropping-particle" : "", "family" : "M.", "given" : "Neely", "non-dropping-particle" : "", "parse-names" : false, "suffix" : "" }, { "dropping-particle" : "", "family" : "A.", "given" : "Margol", "non-dropping-particle" : "", "parse-names" : false, "suffix" : "" }, { "dropping-particle" : "", "family" : "X.", "given" : "Fu", "non-dropping-particle" : "", "parse-names" : false, "suffix" : "" }, { "dropping-particle" : "", "family" : "M.", "given" : "Van Guilder", "non-dropping-particle" : "", "parse-names" : false, "suffix" : "" }, { "dropping-particle" : "", "family" : "D.", "given" : "Bayard", "non-dropping-particle" : "", "parse-names" : false, "suffix" : "" }, { "dropping-particle" : "", "family" : "A.", "given" : "Schumitzky", "non-dropping-particle" : "", "parse-names" : false, "suffix" : "" }, { "dropping-particle" : "", "family" : "R.", "given" : "Orbach", "non-dropping-particle" : "", "parse-names" : false, "suffix" : "" }, { "dropping-particle" : "", "family" : "S.", "given" : "Louie Liu", "non-dropping-particle" : "", "parse-names" : false, "suffix" : "" }, { "dropping-particle" : "", "family" : "S.", "given" : "Louie Liu", "non-dropping-particle" : "", "parse-names" : false, "suffix" : "" }, { "dropping-particle" : "", "family" : "W.", "given" : "Hope", "non-dropping-particle" : "", "parse-names" : false, "suffix" : "" } ], "container-title" : "Antimicrobial agents and chemotherapy", "id" : "ITEM-2", "issue" : "6", "issued" : { "date-parts" : [ [ "2015" ] ] }, "page" : "3090-3097", "title" : "Achieving target voriconazole concentrations more accurately in children and adolescents", "type" : "article-journal", "volume" : "59" }, "uris" : [ "http://www.mendeley.com/documents/?uuid=3fc810de-800f-4106-a1ae-302a357d7cbb" ] } ], "mendeley" : { "formattedCitation" : "&lt;sup&gt;17,18&lt;/sup&gt;", "plainTextFormattedCitation" : "17,18", "previouslyFormattedCitation" : "&lt;sup&gt;17,18&lt;/sup&gt;" }, "properties" : { "noteIndex" : 0 }, "schema" : "https://github.com/citation-style-language/schema/raw/master/csl-citation.json" }</w:instrText>
      </w:r>
      <w:r w:rsidR="009E098D">
        <w:rPr>
          <w:sz w:val="24"/>
          <w:szCs w:val="24"/>
          <w:lang w:val="en-US"/>
        </w:rPr>
        <w:fldChar w:fldCharType="separate"/>
      </w:r>
      <w:r w:rsidR="00610755" w:rsidRPr="00610755">
        <w:rPr>
          <w:noProof/>
          <w:sz w:val="24"/>
          <w:szCs w:val="24"/>
          <w:vertAlign w:val="superscript"/>
          <w:lang w:val="en-US"/>
        </w:rPr>
        <w:t>17,18</w:t>
      </w:r>
      <w:r w:rsidR="009E098D">
        <w:rPr>
          <w:sz w:val="24"/>
          <w:szCs w:val="24"/>
          <w:lang w:val="en-US"/>
        </w:rPr>
        <w:fldChar w:fldCharType="end"/>
      </w:r>
      <w:proofErr w:type="gramStart"/>
      <w:r w:rsidR="009E0FC8">
        <w:rPr>
          <w:sz w:val="24"/>
          <w:szCs w:val="24"/>
          <w:lang w:val="en-US"/>
        </w:rPr>
        <w:t xml:space="preserve">  </w:t>
      </w:r>
      <w:r w:rsidR="00C239F3">
        <w:rPr>
          <w:sz w:val="24"/>
          <w:szCs w:val="24"/>
          <w:lang w:val="en-US"/>
        </w:rPr>
        <w:t>Therefore</w:t>
      </w:r>
      <w:proofErr w:type="gramEnd"/>
      <w:r w:rsidR="00C239F3">
        <w:rPr>
          <w:sz w:val="24"/>
          <w:szCs w:val="24"/>
          <w:lang w:val="en-US"/>
        </w:rPr>
        <w:t>, t</w:t>
      </w:r>
      <w:r w:rsidRPr="00517CCF">
        <w:rPr>
          <w:sz w:val="24"/>
          <w:szCs w:val="24"/>
          <w:lang w:val="en-US"/>
        </w:rPr>
        <w:t xml:space="preserve">he final number of patients available for </w:t>
      </w:r>
      <w:r w:rsidR="009E0FC8">
        <w:rPr>
          <w:sz w:val="24"/>
          <w:szCs w:val="24"/>
          <w:lang w:val="en-US"/>
        </w:rPr>
        <w:t xml:space="preserve">PK-PD </w:t>
      </w:r>
      <w:r w:rsidRPr="00517CCF">
        <w:rPr>
          <w:sz w:val="24"/>
          <w:szCs w:val="24"/>
          <w:lang w:val="en-US"/>
        </w:rPr>
        <w:t xml:space="preserve">analysis </w:t>
      </w:r>
      <w:r w:rsidR="00C239F3">
        <w:rPr>
          <w:sz w:val="24"/>
          <w:szCs w:val="24"/>
          <w:lang w:val="en-US"/>
        </w:rPr>
        <w:t xml:space="preserve">from </w:t>
      </w:r>
      <w:r w:rsidR="00DA7365">
        <w:rPr>
          <w:sz w:val="24"/>
          <w:szCs w:val="24"/>
          <w:lang w:val="en-US"/>
        </w:rPr>
        <w:t xml:space="preserve">the study of </w:t>
      </w:r>
      <w:r w:rsidR="00C239F3">
        <w:rPr>
          <w:sz w:val="24"/>
          <w:szCs w:val="24"/>
          <w:lang w:val="en-US"/>
        </w:rPr>
        <w:t xml:space="preserve">Wingard </w:t>
      </w:r>
      <w:r w:rsidR="00C239F3" w:rsidRPr="00E35A47">
        <w:rPr>
          <w:i/>
          <w:sz w:val="24"/>
          <w:szCs w:val="24"/>
          <w:lang w:val="en-US"/>
        </w:rPr>
        <w:t>et al</w:t>
      </w:r>
      <w:r w:rsidR="00581681">
        <w:rPr>
          <w:sz w:val="24"/>
          <w:szCs w:val="24"/>
          <w:lang w:val="en-US"/>
        </w:rPr>
        <w:fldChar w:fldCharType="begin" w:fldLock="1"/>
      </w:r>
      <w:r w:rsidR="00610755">
        <w:rPr>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"mendeley" : { "formattedCitation" : "&lt;sup&gt;9&lt;/sup&gt;", "plainTextFormattedCitation" : "9", "previouslyFormattedCitation" : "&lt;sup&gt;9&lt;/sup&gt;" }, "properties" : { "noteIndex" : 0 }, "schema" : "https://github.com/citation-style-language/schema/raw/master/csl-citation.json" }</w:instrText>
      </w:r>
      <w:r w:rsidR="00581681">
        <w:rPr>
          <w:sz w:val="24"/>
          <w:szCs w:val="24"/>
          <w:lang w:val="en-US"/>
        </w:rPr>
        <w:fldChar w:fldCharType="separate"/>
      </w:r>
      <w:r w:rsidR="00610755" w:rsidRPr="00610755">
        <w:rPr>
          <w:noProof/>
          <w:sz w:val="24"/>
          <w:szCs w:val="24"/>
          <w:vertAlign w:val="superscript"/>
          <w:lang w:val="en-US"/>
        </w:rPr>
        <w:t>9</w:t>
      </w:r>
      <w:r w:rsidR="00581681">
        <w:rPr>
          <w:sz w:val="24"/>
          <w:szCs w:val="24"/>
          <w:lang w:val="en-US"/>
        </w:rPr>
        <w:fldChar w:fldCharType="end"/>
      </w:r>
      <w:r w:rsidR="00581681">
        <w:rPr>
          <w:sz w:val="24"/>
          <w:szCs w:val="24"/>
          <w:lang w:val="en-US"/>
        </w:rPr>
        <w:t xml:space="preserve"> </w:t>
      </w:r>
      <w:r w:rsidRPr="00517CCF">
        <w:rPr>
          <w:sz w:val="24"/>
          <w:szCs w:val="24"/>
          <w:lang w:val="en-US"/>
        </w:rPr>
        <w:t>was 187.</w:t>
      </w:r>
    </w:p>
    <w:p w14:paraId="0ADE5722" w14:textId="77777777" w:rsidR="002F0973" w:rsidRPr="00517CCF" w:rsidRDefault="002F0973" w:rsidP="00517CCF">
      <w:pPr>
        <w:tabs>
          <w:tab w:val="left" w:pos="6379"/>
        </w:tabs>
        <w:rPr>
          <w:sz w:val="24"/>
          <w:szCs w:val="24"/>
          <w:lang w:val="en-US"/>
        </w:rPr>
      </w:pPr>
    </w:p>
    <w:p w14:paraId="0EC168A1" w14:textId="77777777" w:rsidR="002F0973" w:rsidRPr="00517CCF" w:rsidRDefault="002F0973" w:rsidP="00517CCF">
      <w:pPr>
        <w:tabs>
          <w:tab w:val="left" w:pos="6379"/>
        </w:tabs>
        <w:rPr>
          <w:b/>
          <w:i/>
          <w:sz w:val="24"/>
          <w:szCs w:val="24"/>
          <w:lang w:val="en-US"/>
        </w:rPr>
      </w:pPr>
      <w:r w:rsidRPr="00517CCF">
        <w:rPr>
          <w:b/>
          <w:i/>
          <w:sz w:val="24"/>
          <w:szCs w:val="24"/>
          <w:lang w:val="en-US"/>
        </w:rPr>
        <w:t>Study Design</w:t>
      </w:r>
    </w:p>
    <w:p w14:paraId="675EBAB3" w14:textId="51C3F6A8" w:rsidR="00267CEB" w:rsidRPr="007C5CC0" w:rsidRDefault="00A520AC" w:rsidP="009E0FC8">
      <w:pPr>
        <w:tabs>
          <w:tab w:val="left" w:pos="567"/>
        </w:tabs>
        <w:rPr>
          <w:rFonts w:ascii="Calibri" w:hAnsi="Calibri"/>
          <w:sz w:val="24"/>
          <w:szCs w:val="24"/>
          <w:lang w:val="en-US"/>
        </w:rPr>
      </w:pPr>
      <w:r>
        <w:rPr>
          <w:sz w:val="24"/>
          <w:szCs w:val="24"/>
          <w:lang w:val="en-US"/>
        </w:rPr>
        <w:tab/>
      </w:r>
      <w:r w:rsidR="009E0FC8">
        <w:rPr>
          <w:sz w:val="24"/>
          <w:szCs w:val="24"/>
          <w:lang w:val="en-US"/>
        </w:rPr>
        <w:t xml:space="preserve">The study of Wingard </w:t>
      </w:r>
      <w:r w:rsidR="009E0FC8" w:rsidRPr="007A0978">
        <w:rPr>
          <w:i/>
          <w:sz w:val="24"/>
          <w:szCs w:val="24"/>
          <w:lang w:val="en-US"/>
        </w:rPr>
        <w:t>et al</w:t>
      </w:r>
      <w:r w:rsidR="00803B5D">
        <w:rPr>
          <w:sz w:val="24"/>
          <w:szCs w:val="24"/>
          <w:lang w:val="en-US"/>
        </w:rPr>
        <w:fldChar w:fldCharType="begin" w:fldLock="1"/>
      </w:r>
      <w:r w:rsidR="00610755">
        <w:rPr>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"mendeley" : { "formattedCitation" : "&lt;sup&gt;9&lt;/sup&gt;", "plainTextFormattedCitation" : "9", "previouslyFormattedCitation" : "&lt;sup&gt;9&lt;/sup&gt;" }, "properties" : { "noteIndex" : 0 }, "schema" : "https://github.com/citation-style-language/schema/raw/master/csl-citation.json" }</w:instrText>
      </w:r>
      <w:r w:rsidR="00803B5D">
        <w:rPr>
          <w:sz w:val="24"/>
          <w:szCs w:val="24"/>
          <w:lang w:val="en-US"/>
        </w:rPr>
        <w:fldChar w:fldCharType="separate"/>
      </w:r>
      <w:r w:rsidR="00610755" w:rsidRPr="00610755">
        <w:rPr>
          <w:noProof/>
          <w:sz w:val="24"/>
          <w:szCs w:val="24"/>
          <w:vertAlign w:val="superscript"/>
          <w:lang w:val="en-US"/>
        </w:rPr>
        <w:t>9</w:t>
      </w:r>
      <w:r w:rsidR="00803B5D">
        <w:rPr>
          <w:sz w:val="24"/>
          <w:szCs w:val="24"/>
          <w:lang w:val="en-US"/>
        </w:rPr>
        <w:fldChar w:fldCharType="end"/>
      </w:r>
      <w:r w:rsidR="00803B5D">
        <w:rPr>
          <w:sz w:val="24"/>
          <w:szCs w:val="24"/>
          <w:lang w:val="en-US"/>
        </w:rPr>
        <w:t xml:space="preserve"> </w:t>
      </w:r>
      <w:r w:rsidR="009E0FC8">
        <w:rPr>
          <w:sz w:val="24"/>
          <w:szCs w:val="24"/>
          <w:lang w:val="en-US"/>
        </w:rPr>
        <w:t>was a</w:t>
      </w:r>
      <w:r w:rsidR="00E26DC5" w:rsidRPr="00517CCF">
        <w:rPr>
          <w:sz w:val="24"/>
          <w:szCs w:val="24"/>
          <w:lang w:val="en-US"/>
        </w:rPr>
        <w:t xml:space="preserve"> </w:t>
      </w:r>
      <w:r w:rsidR="009E0FC8">
        <w:rPr>
          <w:sz w:val="24"/>
          <w:szCs w:val="24"/>
          <w:lang w:val="en-US"/>
        </w:rPr>
        <w:t>p</w:t>
      </w:r>
      <w:r w:rsidR="00E26DC5" w:rsidRPr="00517CCF">
        <w:rPr>
          <w:sz w:val="24"/>
          <w:szCs w:val="24"/>
          <w:lang w:val="en-US"/>
        </w:rPr>
        <w:t>hase III randomized double-blind trial multi</w:t>
      </w:r>
      <w:r w:rsidR="00EE3A1E" w:rsidRPr="00517CCF">
        <w:rPr>
          <w:sz w:val="24"/>
          <w:szCs w:val="24"/>
          <w:lang w:val="en-US"/>
        </w:rPr>
        <w:t>-</w:t>
      </w:r>
      <w:r w:rsidR="006D5D3C" w:rsidRPr="00517CCF">
        <w:rPr>
          <w:sz w:val="24"/>
          <w:szCs w:val="24"/>
          <w:lang w:val="en-US"/>
        </w:rPr>
        <w:t>center</w:t>
      </w:r>
      <w:r w:rsidR="00E26DC5" w:rsidRPr="00517CCF">
        <w:rPr>
          <w:sz w:val="24"/>
          <w:szCs w:val="24"/>
          <w:lang w:val="en-US"/>
        </w:rPr>
        <w:t xml:space="preserve"> prospective trial that compared the efficacy of fluconazole</w:t>
      </w:r>
      <w:r w:rsidR="00E26DC5" w:rsidRPr="007C5CC0">
        <w:rPr>
          <w:rFonts w:ascii="Calibri" w:hAnsi="Calibri"/>
          <w:sz w:val="24"/>
          <w:szCs w:val="24"/>
          <w:lang w:val="en-US"/>
        </w:rPr>
        <w:t xml:space="preserve"> with voriconazole for the prevention of invasive fungal </w:t>
      </w:r>
      <w:r w:rsidR="005C4CFF">
        <w:rPr>
          <w:rFonts w:ascii="Calibri" w:hAnsi="Calibri"/>
          <w:sz w:val="24"/>
          <w:szCs w:val="24"/>
          <w:lang w:val="en-US"/>
        </w:rPr>
        <w:t xml:space="preserve">diseases </w:t>
      </w:r>
      <w:r w:rsidR="009E0FC8">
        <w:rPr>
          <w:rFonts w:ascii="Calibri" w:hAnsi="Calibri"/>
          <w:sz w:val="24"/>
          <w:szCs w:val="24"/>
          <w:lang w:val="en-US"/>
        </w:rPr>
        <w:t>(IF</w:t>
      </w:r>
      <w:r w:rsidR="005C4CFF">
        <w:rPr>
          <w:rFonts w:ascii="Calibri" w:hAnsi="Calibri"/>
          <w:sz w:val="24"/>
          <w:szCs w:val="24"/>
          <w:lang w:val="en-US"/>
        </w:rPr>
        <w:t>D</w:t>
      </w:r>
      <w:r w:rsidR="009E0FC8">
        <w:rPr>
          <w:rFonts w:ascii="Calibri" w:hAnsi="Calibri"/>
          <w:sz w:val="24"/>
          <w:szCs w:val="24"/>
          <w:lang w:val="en-US"/>
        </w:rPr>
        <w:t>s)</w:t>
      </w:r>
      <w:r w:rsidR="00E26DC5" w:rsidRPr="007C5CC0">
        <w:rPr>
          <w:rFonts w:ascii="Calibri" w:hAnsi="Calibri"/>
          <w:sz w:val="24"/>
          <w:szCs w:val="24"/>
          <w:lang w:val="en-US"/>
        </w:rPr>
        <w:t xml:space="preserve"> in allogeneic transplant recipients.  Patients were randomized 1:1 to </w:t>
      </w:r>
      <w:r w:rsidR="00267CEB" w:rsidRPr="007C5CC0">
        <w:rPr>
          <w:rFonts w:ascii="Calibri" w:hAnsi="Calibri"/>
          <w:sz w:val="24"/>
          <w:szCs w:val="24"/>
          <w:lang w:val="en-US"/>
        </w:rPr>
        <w:t xml:space="preserve">receive fluconazole or </w:t>
      </w:r>
      <w:r w:rsidR="00E26DC5" w:rsidRPr="007C5CC0">
        <w:rPr>
          <w:rFonts w:ascii="Calibri" w:hAnsi="Calibri"/>
          <w:sz w:val="24"/>
          <w:szCs w:val="24"/>
          <w:lang w:val="en-US"/>
        </w:rPr>
        <w:t>voriconazole.</w:t>
      </w:r>
      <w:r w:rsidR="00267CEB" w:rsidRPr="007C5CC0">
        <w:rPr>
          <w:rFonts w:ascii="Calibri" w:hAnsi="Calibri"/>
          <w:sz w:val="24"/>
          <w:szCs w:val="24"/>
          <w:lang w:val="en-US"/>
        </w:rPr>
        <w:t xml:space="preserve"> </w:t>
      </w:r>
      <w:r w:rsidR="009E0FC8">
        <w:rPr>
          <w:rFonts w:ascii="Calibri" w:hAnsi="Calibri"/>
          <w:sz w:val="24"/>
          <w:szCs w:val="24"/>
          <w:lang w:val="en-US"/>
        </w:rPr>
        <w:t xml:space="preserve"> </w:t>
      </w:r>
      <w:r w:rsidR="00267CEB" w:rsidRPr="007C5CC0">
        <w:rPr>
          <w:rFonts w:ascii="Calibri" w:hAnsi="Calibri"/>
          <w:sz w:val="24"/>
          <w:szCs w:val="24"/>
          <w:lang w:val="en-US"/>
        </w:rPr>
        <w:t xml:space="preserve">Voriconazole was administered i.v. </w:t>
      </w:r>
      <w:proofErr w:type="gramStart"/>
      <w:r w:rsidR="00FD6A8E">
        <w:rPr>
          <w:rFonts w:ascii="Calibri" w:hAnsi="Calibri"/>
          <w:sz w:val="24"/>
          <w:szCs w:val="24"/>
          <w:lang w:val="en-US"/>
        </w:rPr>
        <w:t>over</w:t>
      </w:r>
      <w:proofErr w:type="gramEnd"/>
      <w:r w:rsidR="00FD6A8E">
        <w:rPr>
          <w:rFonts w:ascii="Calibri" w:hAnsi="Calibri"/>
          <w:sz w:val="24"/>
          <w:szCs w:val="24"/>
          <w:lang w:val="en-US"/>
        </w:rPr>
        <w:t xml:space="preserve"> 2 hours </w:t>
      </w:r>
      <w:r w:rsidR="00267CEB" w:rsidRPr="007C5CC0">
        <w:rPr>
          <w:rFonts w:ascii="Calibri" w:hAnsi="Calibri"/>
          <w:sz w:val="24"/>
          <w:szCs w:val="24"/>
          <w:lang w:val="en-US"/>
        </w:rPr>
        <w:t xml:space="preserve">or orally 200 mg </w:t>
      </w:r>
      <w:r w:rsidR="00053781">
        <w:rPr>
          <w:rFonts w:ascii="Calibri" w:hAnsi="Calibri"/>
          <w:sz w:val="24"/>
          <w:szCs w:val="24"/>
          <w:lang w:val="en-US"/>
        </w:rPr>
        <w:t>q12h</w:t>
      </w:r>
      <w:r w:rsidR="00267CEB" w:rsidRPr="007C5CC0">
        <w:rPr>
          <w:rFonts w:ascii="Calibri" w:hAnsi="Calibri"/>
          <w:sz w:val="24"/>
          <w:szCs w:val="24"/>
          <w:lang w:val="en-US"/>
        </w:rPr>
        <w:t xml:space="preserve">.  </w:t>
      </w:r>
      <w:r w:rsidR="00A8664E">
        <w:rPr>
          <w:rFonts w:ascii="Calibri" w:hAnsi="Calibri"/>
          <w:sz w:val="24"/>
          <w:szCs w:val="24"/>
          <w:lang w:val="en-US"/>
        </w:rPr>
        <w:t xml:space="preserve">A loading regimen was not used.  </w:t>
      </w:r>
      <w:r w:rsidR="00267CEB" w:rsidRPr="007C5CC0">
        <w:rPr>
          <w:rFonts w:ascii="Calibri" w:hAnsi="Calibri"/>
          <w:sz w:val="24"/>
          <w:szCs w:val="24"/>
          <w:lang w:val="en-US"/>
        </w:rPr>
        <w:t xml:space="preserve">The drug was administered orally </w:t>
      </w:r>
      <w:r w:rsidR="00602EE1" w:rsidRPr="007C5CC0">
        <w:rPr>
          <w:rFonts w:ascii="Calibri" w:hAnsi="Calibri"/>
          <w:sz w:val="24"/>
          <w:szCs w:val="24"/>
          <w:lang w:val="en-US"/>
        </w:rPr>
        <w:t xml:space="preserve">whenever possible.  </w:t>
      </w:r>
      <w:r w:rsidR="007B7377" w:rsidRPr="007C5CC0">
        <w:rPr>
          <w:rFonts w:ascii="Calibri" w:hAnsi="Calibri"/>
          <w:sz w:val="24"/>
          <w:szCs w:val="24"/>
          <w:lang w:val="en-US"/>
        </w:rPr>
        <w:t xml:space="preserve">In circumstances when that was not possible (e.g. severe mucositis) </w:t>
      </w:r>
      <w:r w:rsidR="00602EE1" w:rsidRPr="007C5CC0">
        <w:rPr>
          <w:rFonts w:ascii="Calibri" w:hAnsi="Calibri"/>
          <w:sz w:val="24"/>
          <w:szCs w:val="24"/>
          <w:lang w:val="en-US"/>
        </w:rPr>
        <w:t xml:space="preserve">voriconazole was </w:t>
      </w:r>
      <w:r w:rsidR="000D48EB" w:rsidRPr="007C5CC0">
        <w:rPr>
          <w:rFonts w:ascii="Calibri" w:hAnsi="Calibri"/>
          <w:sz w:val="24"/>
          <w:szCs w:val="24"/>
          <w:lang w:val="en-US"/>
        </w:rPr>
        <w:t>administered</w:t>
      </w:r>
      <w:r w:rsidR="00602EE1" w:rsidRPr="007C5CC0">
        <w:rPr>
          <w:rFonts w:ascii="Calibri" w:hAnsi="Calibri"/>
          <w:sz w:val="24"/>
          <w:szCs w:val="24"/>
          <w:lang w:val="en-US"/>
        </w:rPr>
        <w:t xml:space="preserve"> i.v.  The voriconazole dosage was not altered according to renal function.  Voriconazole was administered at least one hour before or one hour after food.  </w:t>
      </w:r>
      <w:r w:rsidR="005614A6">
        <w:rPr>
          <w:rFonts w:ascii="Calibri" w:hAnsi="Calibri"/>
          <w:sz w:val="24"/>
          <w:szCs w:val="24"/>
          <w:lang w:val="en-US"/>
        </w:rPr>
        <w:t>Voriconazole was continued from days 0 until 100 post-transplantation</w:t>
      </w:r>
      <w:r w:rsidR="00CF11BC">
        <w:rPr>
          <w:rFonts w:ascii="Calibri" w:hAnsi="Calibri"/>
          <w:sz w:val="24"/>
          <w:szCs w:val="24"/>
          <w:lang w:val="en-US"/>
        </w:rPr>
        <w:t xml:space="preserve"> after which patients were observed</w:t>
      </w:r>
      <w:r w:rsidR="00E944F2">
        <w:rPr>
          <w:rFonts w:ascii="Calibri" w:hAnsi="Calibri"/>
          <w:sz w:val="24"/>
          <w:szCs w:val="24"/>
          <w:lang w:val="en-US"/>
        </w:rPr>
        <w:t xml:space="preserve"> until day </w:t>
      </w:r>
      <w:r w:rsidR="00B01FAB">
        <w:rPr>
          <w:rFonts w:ascii="Calibri" w:hAnsi="Calibri"/>
          <w:sz w:val="24"/>
          <w:szCs w:val="24"/>
          <w:lang w:val="en-US"/>
        </w:rPr>
        <w:t>+</w:t>
      </w:r>
      <w:r w:rsidR="00E944F2">
        <w:rPr>
          <w:rFonts w:ascii="Calibri" w:hAnsi="Calibri"/>
          <w:sz w:val="24"/>
          <w:szCs w:val="24"/>
          <w:lang w:val="en-US"/>
        </w:rPr>
        <w:t>360</w:t>
      </w:r>
      <w:r w:rsidR="00CF11BC">
        <w:rPr>
          <w:rFonts w:ascii="Calibri" w:hAnsi="Calibri"/>
          <w:sz w:val="24"/>
          <w:szCs w:val="24"/>
          <w:lang w:val="en-US"/>
        </w:rPr>
        <w:t>.</w:t>
      </w:r>
    </w:p>
    <w:p w14:paraId="382D629C" w14:textId="77777777" w:rsidR="00EE3A1E" w:rsidRPr="007C5CC0" w:rsidRDefault="00EE3A1E" w:rsidP="007C5CC0">
      <w:pPr>
        <w:tabs>
          <w:tab w:val="left" w:pos="6379"/>
        </w:tabs>
        <w:rPr>
          <w:rFonts w:ascii="Calibri" w:hAnsi="Calibri"/>
          <w:sz w:val="24"/>
          <w:szCs w:val="24"/>
          <w:lang w:val="en-US"/>
        </w:rPr>
      </w:pPr>
    </w:p>
    <w:p w14:paraId="402CBEA2" w14:textId="77777777" w:rsidR="008E2C4C" w:rsidRPr="007C5CC0" w:rsidRDefault="008E2C4C" w:rsidP="007C5CC0">
      <w:pPr>
        <w:tabs>
          <w:tab w:val="left" w:pos="6379"/>
        </w:tabs>
        <w:rPr>
          <w:rFonts w:ascii="Calibri" w:hAnsi="Calibri"/>
          <w:b/>
          <w:i/>
          <w:sz w:val="24"/>
          <w:szCs w:val="24"/>
          <w:lang w:val="en-US"/>
        </w:rPr>
      </w:pPr>
      <w:r w:rsidRPr="007C5CC0">
        <w:rPr>
          <w:rFonts w:ascii="Calibri" w:hAnsi="Calibri"/>
          <w:b/>
          <w:i/>
          <w:sz w:val="24"/>
          <w:szCs w:val="24"/>
          <w:lang w:val="en-US"/>
        </w:rPr>
        <w:t>Pharmacokinetic Sampling</w:t>
      </w:r>
    </w:p>
    <w:p w14:paraId="265856A8" w14:textId="19F7FBA9" w:rsidR="008E2C4C" w:rsidRDefault="00F00B62" w:rsidP="00B40FAA">
      <w:pPr>
        <w:tabs>
          <w:tab w:val="left" w:pos="567"/>
        </w:tabs>
        <w:rPr>
          <w:rFonts w:ascii="Calibri" w:hAnsi="Calibri"/>
          <w:sz w:val="24"/>
          <w:szCs w:val="24"/>
          <w:lang w:val="en-US"/>
        </w:rPr>
      </w:pPr>
      <w:r>
        <w:rPr>
          <w:rFonts w:ascii="Calibri" w:hAnsi="Calibri"/>
          <w:sz w:val="24"/>
          <w:szCs w:val="24"/>
          <w:lang w:val="en-US"/>
        </w:rPr>
        <w:tab/>
      </w:r>
      <w:r w:rsidR="00DB0281">
        <w:rPr>
          <w:rFonts w:ascii="Calibri" w:hAnsi="Calibri"/>
          <w:sz w:val="24"/>
          <w:szCs w:val="24"/>
          <w:lang w:val="en-US"/>
        </w:rPr>
        <w:t>T</w:t>
      </w:r>
      <w:r w:rsidR="001634D2">
        <w:rPr>
          <w:rFonts w:ascii="Calibri" w:hAnsi="Calibri"/>
          <w:sz w:val="24"/>
          <w:szCs w:val="24"/>
          <w:lang w:val="en-US"/>
        </w:rPr>
        <w:t xml:space="preserve">here were two sampling </w:t>
      </w:r>
      <w:r w:rsidR="00346B38">
        <w:rPr>
          <w:rFonts w:ascii="Calibri" w:hAnsi="Calibri"/>
          <w:sz w:val="24"/>
          <w:szCs w:val="24"/>
          <w:lang w:val="en-US"/>
        </w:rPr>
        <w:t xml:space="preserve">days </w:t>
      </w:r>
      <w:r w:rsidR="001634D2">
        <w:rPr>
          <w:rFonts w:ascii="Calibri" w:hAnsi="Calibri"/>
          <w:sz w:val="24"/>
          <w:szCs w:val="24"/>
          <w:lang w:val="en-US"/>
        </w:rPr>
        <w:t xml:space="preserve">on day </w:t>
      </w:r>
      <w:r w:rsidR="00A378E8">
        <w:rPr>
          <w:rFonts w:ascii="Calibri" w:hAnsi="Calibri"/>
          <w:sz w:val="24"/>
          <w:szCs w:val="24"/>
          <w:lang w:val="en-US"/>
        </w:rPr>
        <w:t>+</w:t>
      </w:r>
      <w:r w:rsidR="001634D2">
        <w:rPr>
          <w:rFonts w:ascii="Calibri" w:hAnsi="Calibri"/>
          <w:sz w:val="24"/>
          <w:szCs w:val="24"/>
          <w:lang w:val="en-US"/>
        </w:rPr>
        <w:t xml:space="preserve">14 and day </w:t>
      </w:r>
      <w:r w:rsidR="00A378E8">
        <w:rPr>
          <w:rFonts w:ascii="Calibri" w:hAnsi="Calibri"/>
          <w:sz w:val="24"/>
          <w:szCs w:val="24"/>
          <w:lang w:val="en-US"/>
        </w:rPr>
        <w:t>+</w:t>
      </w:r>
      <w:r w:rsidR="001634D2">
        <w:rPr>
          <w:rFonts w:ascii="Calibri" w:hAnsi="Calibri"/>
          <w:sz w:val="24"/>
          <w:szCs w:val="24"/>
          <w:lang w:val="en-US"/>
        </w:rPr>
        <w:t>28</w:t>
      </w:r>
      <w:r w:rsidR="00346B38">
        <w:rPr>
          <w:rFonts w:ascii="Calibri" w:hAnsi="Calibri"/>
          <w:sz w:val="24"/>
          <w:szCs w:val="24"/>
          <w:lang w:val="en-US"/>
        </w:rPr>
        <w:t>, with day 0 being the day of transplantation</w:t>
      </w:r>
      <w:r w:rsidR="001634D2">
        <w:rPr>
          <w:rFonts w:ascii="Calibri" w:hAnsi="Calibri"/>
          <w:sz w:val="24"/>
          <w:szCs w:val="24"/>
          <w:lang w:val="en-US"/>
        </w:rPr>
        <w:t xml:space="preserve">.  On each sampling day, there were two sampling windows that encompassed early and late periods in the dosing interval.  </w:t>
      </w:r>
      <w:r w:rsidR="00CE2B54">
        <w:rPr>
          <w:rFonts w:ascii="Calibri" w:hAnsi="Calibri"/>
          <w:sz w:val="24"/>
          <w:szCs w:val="24"/>
          <w:lang w:val="en-US"/>
        </w:rPr>
        <w:t>Sampling times were distributed throughout the dosing interval to inform the time course of drug concentrations via a population modeling approach. This choice supported estimation of PK parameters via population modeling.</w:t>
      </w:r>
      <w:r w:rsidR="00FD6A8E">
        <w:rPr>
          <w:rFonts w:ascii="Calibri" w:hAnsi="Calibri"/>
          <w:sz w:val="24"/>
          <w:szCs w:val="24"/>
          <w:lang w:val="en-US"/>
        </w:rPr>
        <w:t xml:space="preserve"> </w:t>
      </w:r>
      <w:r w:rsidR="00CE2B54">
        <w:rPr>
          <w:rFonts w:ascii="Calibri" w:hAnsi="Calibri"/>
          <w:sz w:val="24"/>
          <w:szCs w:val="24"/>
          <w:lang w:val="en-US"/>
        </w:rPr>
        <w:t xml:space="preserve"> </w:t>
      </w:r>
      <w:r w:rsidR="0098642F">
        <w:rPr>
          <w:rFonts w:ascii="Calibri" w:hAnsi="Calibri"/>
          <w:sz w:val="24"/>
          <w:szCs w:val="24"/>
          <w:lang w:val="en-US"/>
        </w:rPr>
        <w:t xml:space="preserve">In this study, 350 samples were </w:t>
      </w:r>
      <w:r w:rsidR="008C12D1">
        <w:rPr>
          <w:rFonts w:ascii="Calibri" w:hAnsi="Calibri"/>
          <w:sz w:val="24"/>
          <w:szCs w:val="24"/>
          <w:lang w:val="en-US"/>
        </w:rPr>
        <w:t>available for analysis</w:t>
      </w:r>
      <w:r w:rsidR="0098642F">
        <w:rPr>
          <w:rFonts w:ascii="Calibri" w:hAnsi="Calibri"/>
          <w:sz w:val="24"/>
          <w:szCs w:val="24"/>
          <w:lang w:val="en-US"/>
        </w:rPr>
        <w:t xml:space="preserve">.  Of these, 213 (60.9%) </w:t>
      </w:r>
      <w:r w:rsidR="00086DB4">
        <w:rPr>
          <w:rFonts w:ascii="Calibri" w:hAnsi="Calibri"/>
          <w:sz w:val="24"/>
          <w:szCs w:val="24"/>
          <w:lang w:val="en-US"/>
        </w:rPr>
        <w:t>were sampled between time 0-6 h post dose; 97 (27.7%) between 6-12 hours; 36</w:t>
      </w:r>
      <w:r w:rsidR="009A0517">
        <w:rPr>
          <w:rFonts w:ascii="Calibri" w:hAnsi="Calibri"/>
          <w:sz w:val="24"/>
          <w:szCs w:val="24"/>
          <w:lang w:val="en-US"/>
        </w:rPr>
        <w:t xml:space="preserve"> (10.3%) between 12-18 hours and 4 samples were taken &gt;18 hours post dose.</w:t>
      </w:r>
    </w:p>
    <w:p w14:paraId="7A2F246E" w14:textId="77777777" w:rsidR="00A378E8" w:rsidRDefault="00A378E8" w:rsidP="00B40FAA">
      <w:pPr>
        <w:tabs>
          <w:tab w:val="left" w:pos="567"/>
        </w:tabs>
        <w:rPr>
          <w:rFonts w:ascii="Calibri" w:hAnsi="Calibri"/>
          <w:sz w:val="24"/>
          <w:szCs w:val="24"/>
          <w:lang w:val="en-US"/>
        </w:rPr>
      </w:pPr>
    </w:p>
    <w:p w14:paraId="1C31360A" w14:textId="77777777" w:rsidR="00B1263C" w:rsidRDefault="00B1263C" w:rsidP="00B40FAA">
      <w:pPr>
        <w:tabs>
          <w:tab w:val="left" w:pos="567"/>
        </w:tabs>
        <w:rPr>
          <w:rFonts w:ascii="Calibri" w:hAnsi="Calibri"/>
          <w:sz w:val="24"/>
          <w:szCs w:val="24"/>
          <w:lang w:val="en-US"/>
        </w:rPr>
      </w:pPr>
    </w:p>
    <w:p w14:paraId="7A537373" w14:textId="77777777" w:rsidR="00CC3967" w:rsidRPr="00793719" w:rsidRDefault="00CC3967" w:rsidP="00CC3967">
      <w:pPr>
        <w:tabs>
          <w:tab w:val="left" w:pos="6379"/>
        </w:tabs>
        <w:rPr>
          <w:rFonts w:ascii="Calibri" w:hAnsi="Calibri"/>
          <w:b/>
          <w:i/>
          <w:sz w:val="24"/>
          <w:szCs w:val="24"/>
          <w:lang w:val="en-US"/>
        </w:rPr>
      </w:pPr>
      <w:r w:rsidRPr="00793719">
        <w:rPr>
          <w:rFonts w:ascii="Calibri" w:hAnsi="Calibri"/>
          <w:b/>
          <w:i/>
          <w:sz w:val="24"/>
          <w:szCs w:val="24"/>
          <w:lang w:val="en-US"/>
        </w:rPr>
        <w:lastRenderedPageBreak/>
        <w:t>Measurement of Voriconazole</w:t>
      </w:r>
    </w:p>
    <w:p w14:paraId="6E80E920" w14:textId="7AF6F46C" w:rsidR="00CC3967" w:rsidRDefault="00CC3967" w:rsidP="00CC3967">
      <w:pPr>
        <w:ind w:firstLine="720"/>
        <w:rPr>
          <w:sz w:val="24"/>
          <w:szCs w:val="24"/>
        </w:rPr>
      </w:pPr>
      <w:r w:rsidRPr="00793719">
        <w:rPr>
          <w:sz w:val="24"/>
          <w:szCs w:val="24"/>
        </w:rPr>
        <w:t xml:space="preserve">Voriconazole </w:t>
      </w:r>
      <w:r>
        <w:rPr>
          <w:sz w:val="24"/>
          <w:szCs w:val="24"/>
        </w:rPr>
        <w:t>concentrations</w:t>
      </w:r>
      <w:r w:rsidRPr="00793719">
        <w:rPr>
          <w:sz w:val="24"/>
          <w:szCs w:val="24"/>
        </w:rPr>
        <w:t xml:space="preserve"> in plasma were measured using high performance liquid chromatography (HPLC) with a Shimadzu Prominence (Shimadzu, Milton Keynes, UK).  </w:t>
      </w:r>
      <w:r>
        <w:rPr>
          <w:sz w:val="24"/>
          <w:szCs w:val="24"/>
        </w:rPr>
        <w:t>Thirty</w:t>
      </w:r>
      <w:r w:rsidRPr="00793719">
        <w:rPr>
          <w:sz w:val="24"/>
          <w:szCs w:val="24"/>
        </w:rPr>
        <w:t xml:space="preserve"> µL of extracted sample was injected onto a </w:t>
      </w:r>
      <w:proofErr w:type="spellStart"/>
      <w:r w:rsidRPr="00793719">
        <w:rPr>
          <w:sz w:val="24"/>
          <w:szCs w:val="24"/>
        </w:rPr>
        <w:t>Kinetex</w:t>
      </w:r>
      <w:proofErr w:type="spellEnd"/>
      <w:r w:rsidRPr="00793719">
        <w:rPr>
          <w:sz w:val="24"/>
          <w:szCs w:val="24"/>
        </w:rPr>
        <w:t xml:space="preserve"> 2.6 µ</w:t>
      </w:r>
      <w:r>
        <w:rPr>
          <w:sz w:val="24"/>
          <w:szCs w:val="24"/>
        </w:rPr>
        <w:t>m</w:t>
      </w:r>
      <w:r w:rsidRPr="00793719">
        <w:rPr>
          <w:sz w:val="24"/>
          <w:szCs w:val="24"/>
        </w:rPr>
        <w:t xml:space="preserve"> C18 100A </w:t>
      </w:r>
      <w:proofErr w:type="gramStart"/>
      <w:r w:rsidRPr="00793719">
        <w:rPr>
          <w:sz w:val="24"/>
          <w:szCs w:val="24"/>
        </w:rPr>
        <w:t>75 x</w:t>
      </w:r>
      <w:proofErr w:type="gramEnd"/>
      <w:r w:rsidRPr="00793719">
        <w:rPr>
          <w:sz w:val="24"/>
          <w:szCs w:val="24"/>
        </w:rPr>
        <w:t xml:space="preserve"> 4.6mm (</w:t>
      </w:r>
      <w:proofErr w:type="spellStart"/>
      <w:r w:rsidRPr="00793719">
        <w:rPr>
          <w:sz w:val="24"/>
          <w:szCs w:val="24"/>
        </w:rPr>
        <w:t>Phenomonex</w:t>
      </w:r>
      <w:proofErr w:type="spellEnd"/>
      <w:r w:rsidRPr="00793719">
        <w:rPr>
          <w:sz w:val="24"/>
          <w:szCs w:val="24"/>
        </w:rPr>
        <w:t xml:space="preserve">, Macclesfield, UK). </w:t>
      </w:r>
      <w:r>
        <w:rPr>
          <w:sz w:val="24"/>
          <w:szCs w:val="24"/>
        </w:rPr>
        <w:t xml:space="preserve"> </w:t>
      </w:r>
      <w:r w:rsidRPr="00793719">
        <w:rPr>
          <w:sz w:val="24"/>
          <w:szCs w:val="24"/>
        </w:rPr>
        <w:t xml:space="preserve">A standard curve encompassing 0.0625–8 mg/L was constructed in </w:t>
      </w:r>
      <w:r>
        <w:rPr>
          <w:sz w:val="24"/>
          <w:szCs w:val="24"/>
        </w:rPr>
        <w:t>plasma using</w:t>
      </w:r>
      <w:r w:rsidRPr="00793719">
        <w:rPr>
          <w:sz w:val="24"/>
          <w:szCs w:val="24"/>
        </w:rPr>
        <w:t xml:space="preserve"> stock solutions of </w:t>
      </w:r>
      <w:r>
        <w:rPr>
          <w:sz w:val="24"/>
          <w:szCs w:val="24"/>
        </w:rPr>
        <w:t>v</w:t>
      </w:r>
      <w:r w:rsidRPr="00793719">
        <w:rPr>
          <w:sz w:val="24"/>
          <w:szCs w:val="24"/>
        </w:rPr>
        <w:t xml:space="preserve">oriconazole 1000 mg/L </w:t>
      </w:r>
      <w:r>
        <w:rPr>
          <w:sz w:val="24"/>
          <w:szCs w:val="24"/>
        </w:rPr>
        <w:t xml:space="preserve">dissolved </w:t>
      </w:r>
      <w:r w:rsidRPr="00793719">
        <w:rPr>
          <w:sz w:val="24"/>
          <w:szCs w:val="24"/>
        </w:rPr>
        <w:t xml:space="preserve">in methanol (Fisher Scientific, Loughborough, UK).  The internal standard was </w:t>
      </w:r>
      <w:r>
        <w:rPr>
          <w:sz w:val="24"/>
          <w:szCs w:val="24"/>
        </w:rPr>
        <w:t>d</w:t>
      </w:r>
      <w:r w:rsidRPr="00793719">
        <w:rPr>
          <w:sz w:val="24"/>
          <w:szCs w:val="24"/>
        </w:rPr>
        <w:t xml:space="preserve">iazepam 1 µg/L (Sigma-Aldrich, Dorset, UK).  </w:t>
      </w:r>
      <w:r>
        <w:rPr>
          <w:sz w:val="24"/>
          <w:szCs w:val="24"/>
        </w:rPr>
        <w:t>A</w:t>
      </w:r>
      <w:r w:rsidRPr="00793719">
        <w:rPr>
          <w:sz w:val="24"/>
          <w:szCs w:val="24"/>
        </w:rPr>
        <w:t xml:space="preserve"> gradient method </w:t>
      </w:r>
      <w:r>
        <w:rPr>
          <w:sz w:val="24"/>
          <w:szCs w:val="24"/>
        </w:rPr>
        <w:t xml:space="preserve">was used:  the initial </w:t>
      </w:r>
      <w:r w:rsidRPr="00793719">
        <w:rPr>
          <w:sz w:val="24"/>
          <w:szCs w:val="24"/>
        </w:rPr>
        <w:t xml:space="preserve">concentrations </w:t>
      </w:r>
      <w:r>
        <w:rPr>
          <w:sz w:val="24"/>
          <w:szCs w:val="24"/>
        </w:rPr>
        <w:t>were</w:t>
      </w:r>
      <w:r w:rsidRPr="00793719">
        <w:rPr>
          <w:sz w:val="24"/>
          <w:szCs w:val="24"/>
        </w:rPr>
        <w:t xml:space="preserve"> 80% 0.1% </w:t>
      </w:r>
      <w:r w:rsidR="004833D0">
        <w:rPr>
          <w:sz w:val="24"/>
          <w:szCs w:val="24"/>
        </w:rPr>
        <w:t>tri</w:t>
      </w:r>
      <w:r w:rsidR="00A6494F">
        <w:rPr>
          <w:sz w:val="24"/>
          <w:szCs w:val="24"/>
        </w:rPr>
        <w:t>fluoro</w:t>
      </w:r>
      <w:r w:rsidR="004833D0">
        <w:rPr>
          <w:sz w:val="24"/>
          <w:szCs w:val="24"/>
        </w:rPr>
        <w:t xml:space="preserve">acetic </w:t>
      </w:r>
      <w:r w:rsidR="00A6494F">
        <w:rPr>
          <w:sz w:val="24"/>
          <w:szCs w:val="24"/>
        </w:rPr>
        <w:t>acid (</w:t>
      </w:r>
      <w:r w:rsidRPr="00793719">
        <w:rPr>
          <w:sz w:val="24"/>
          <w:szCs w:val="24"/>
        </w:rPr>
        <w:t>TFA</w:t>
      </w:r>
      <w:r w:rsidR="00A6494F">
        <w:rPr>
          <w:sz w:val="24"/>
          <w:szCs w:val="24"/>
        </w:rPr>
        <w:t>)</w:t>
      </w:r>
      <w:r w:rsidRPr="00793719">
        <w:rPr>
          <w:sz w:val="24"/>
          <w:szCs w:val="24"/>
        </w:rPr>
        <w:t xml:space="preserve"> in water</w:t>
      </w:r>
      <w:r>
        <w:rPr>
          <w:sz w:val="24"/>
          <w:szCs w:val="24"/>
        </w:rPr>
        <w:t>,</w:t>
      </w:r>
      <w:r w:rsidRPr="00793719">
        <w:rPr>
          <w:sz w:val="24"/>
          <w:szCs w:val="24"/>
        </w:rPr>
        <w:t xml:space="preserve"> and 20% 0.1% TFA in </w:t>
      </w:r>
      <w:r>
        <w:rPr>
          <w:sz w:val="24"/>
          <w:szCs w:val="24"/>
        </w:rPr>
        <w:t>a</w:t>
      </w:r>
      <w:r w:rsidRPr="00793719">
        <w:rPr>
          <w:sz w:val="24"/>
          <w:szCs w:val="24"/>
        </w:rPr>
        <w:t>cetonitrile (Fisher Scientific, Loughborough, UK) changing to 35% and 65%</w:t>
      </w:r>
      <w:r>
        <w:rPr>
          <w:sz w:val="24"/>
          <w:szCs w:val="24"/>
        </w:rPr>
        <w:t>,</w:t>
      </w:r>
      <w:r w:rsidRPr="00793719">
        <w:rPr>
          <w:sz w:val="24"/>
          <w:szCs w:val="24"/>
        </w:rPr>
        <w:t xml:space="preserve"> respectively over 10 minutes</w:t>
      </w:r>
      <w:r>
        <w:rPr>
          <w:sz w:val="24"/>
          <w:szCs w:val="24"/>
        </w:rPr>
        <w:t xml:space="preserve">.  The </w:t>
      </w:r>
      <w:r w:rsidRPr="00793719">
        <w:rPr>
          <w:sz w:val="24"/>
          <w:szCs w:val="24"/>
        </w:rPr>
        <w:t xml:space="preserve">overall run time </w:t>
      </w:r>
      <w:r>
        <w:rPr>
          <w:sz w:val="24"/>
          <w:szCs w:val="24"/>
        </w:rPr>
        <w:t>was</w:t>
      </w:r>
      <w:r w:rsidRPr="00793719">
        <w:rPr>
          <w:sz w:val="24"/>
          <w:szCs w:val="24"/>
        </w:rPr>
        <w:t xml:space="preserve"> 13 minutes and flow rate </w:t>
      </w:r>
      <w:r>
        <w:rPr>
          <w:sz w:val="24"/>
          <w:szCs w:val="24"/>
        </w:rPr>
        <w:t>was</w:t>
      </w:r>
      <w:r w:rsidRPr="00793719">
        <w:rPr>
          <w:sz w:val="24"/>
          <w:szCs w:val="24"/>
        </w:rPr>
        <w:t xml:space="preserve"> 1 mL/min.  Voriconazole and the internal standard were detected using UV </w:t>
      </w:r>
      <w:r>
        <w:rPr>
          <w:sz w:val="24"/>
          <w:szCs w:val="24"/>
        </w:rPr>
        <w:t xml:space="preserve">light </w:t>
      </w:r>
      <w:r w:rsidRPr="00793719">
        <w:rPr>
          <w:sz w:val="24"/>
          <w:szCs w:val="24"/>
        </w:rPr>
        <w:t>at 254nm; they eluted after 5.9 and 4.7</w:t>
      </w:r>
      <w:r>
        <w:rPr>
          <w:sz w:val="24"/>
          <w:szCs w:val="24"/>
        </w:rPr>
        <w:t xml:space="preserve"> minutes,</w:t>
      </w:r>
      <w:r w:rsidRPr="00793719">
        <w:rPr>
          <w:sz w:val="24"/>
          <w:szCs w:val="24"/>
        </w:rPr>
        <w:t xml:space="preserve"> respectively</w:t>
      </w:r>
      <w:r w:rsidRPr="00793719">
        <w:rPr>
          <w:color w:val="FFFF00"/>
          <w:sz w:val="24"/>
          <w:szCs w:val="24"/>
        </w:rPr>
        <w:t xml:space="preserve">. </w:t>
      </w:r>
      <w:r w:rsidRPr="00793719">
        <w:rPr>
          <w:sz w:val="24"/>
          <w:szCs w:val="24"/>
        </w:rPr>
        <w:t xml:space="preserve">The </w:t>
      </w:r>
      <w:r w:rsidR="00A6494F">
        <w:rPr>
          <w:sz w:val="24"/>
          <w:szCs w:val="24"/>
        </w:rPr>
        <w:t>coefficient of variation (</w:t>
      </w:r>
      <w:r w:rsidRPr="00793719">
        <w:rPr>
          <w:sz w:val="24"/>
          <w:szCs w:val="24"/>
        </w:rPr>
        <w:t>CV%</w:t>
      </w:r>
      <w:r w:rsidR="00A6494F">
        <w:rPr>
          <w:sz w:val="24"/>
          <w:szCs w:val="24"/>
        </w:rPr>
        <w:t>)</w:t>
      </w:r>
      <w:r w:rsidRPr="00793719">
        <w:rPr>
          <w:sz w:val="24"/>
          <w:szCs w:val="24"/>
        </w:rPr>
        <w:t xml:space="preserve"> was &lt;9% over the concentration range 0.0625 – 8 mg/L. The limit of detection was 0.0625 mg/L.  The intra and inter-day variation was &lt;9%.</w:t>
      </w:r>
    </w:p>
    <w:p w14:paraId="194438C7" w14:textId="77777777" w:rsidR="00CC3967" w:rsidRPr="007C5CC0" w:rsidRDefault="00CC3967" w:rsidP="00B40FAA">
      <w:pPr>
        <w:tabs>
          <w:tab w:val="left" w:pos="567"/>
        </w:tabs>
        <w:rPr>
          <w:rFonts w:ascii="Calibri" w:hAnsi="Calibri"/>
          <w:sz w:val="24"/>
          <w:szCs w:val="24"/>
          <w:lang w:val="en-US"/>
        </w:rPr>
      </w:pPr>
    </w:p>
    <w:p w14:paraId="18D8DAE7" w14:textId="77777777" w:rsidR="002F0973" w:rsidRPr="001634D2" w:rsidRDefault="002F0973" w:rsidP="007C5CC0">
      <w:pPr>
        <w:tabs>
          <w:tab w:val="left" w:pos="0"/>
        </w:tabs>
        <w:rPr>
          <w:rFonts w:ascii="Calibri" w:hAnsi="Calibri"/>
          <w:b/>
          <w:i/>
          <w:sz w:val="24"/>
          <w:szCs w:val="24"/>
          <w:lang w:val="en-US"/>
        </w:rPr>
      </w:pPr>
      <w:r w:rsidRPr="001634D2">
        <w:rPr>
          <w:rFonts w:ascii="Calibri" w:hAnsi="Calibri"/>
          <w:b/>
          <w:i/>
          <w:sz w:val="24"/>
          <w:szCs w:val="24"/>
          <w:lang w:val="en-US"/>
        </w:rPr>
        <w:t>Population Pharmacokinetic Modelling</w:t>
      </w:r>
    </w:p>
    <w:p w14:paraId="5252959A" w14:textId="68D3A3E0" w:rsidR="00EE3A1E" w:rsidRDefault="003948E2" w:rsidP="00352EBE">
      <w:pPr>
        <w:pStyle w:val="NormalWeb"/>
        <w:spacing w:line="276" w:lineRule="auto"/>
        <w:ind w:firstLine="680"/>
        <w:rPr>
          <w:rFonts w:ascii="Calibri" w:hAnsi="Calibri"/>
          <w:lang w:val="en-US"/>
        </w:rPr>
      </w:pPr>
      <w:r>
        <w:rPr>
          <w:rFonts w:ascii="Calibri" w:hAnsi="Calibri"/>
          <w:lang w:val="en-US"/>
        </w:rPr>
        <w:t>A previously published population PK model</w:t>
      </w:r>
      <w:r w:rsidR="0045259C">
        <w:rPr>
          <w:rFonts w:ascii="Calibri" w:hAnsi="Calibri"/>
          <w:lang w:val="en-US"/>
        </w:rPr>
        <w:fldChar w:fldCharType="begin" w:fldLock="1"/>
      </w:r>
      <w:r w:rsidR="0045259C">
        <w:rPr>
          <w:rFonts w:ascii="Calibri" w:hAnsi="Calibri"/>
          <w:lang w:val="en-US"/>
        </w:rPr>
        <w:instrText>ADDIN CSL_CITATION { "citationItems" : [ { "id" : "ITEM-1", "itemData" : { "DOI" : "AAC.00702-11 [pii] 10.1128/AAC.00702-11", "ISBN" : "1098-6596 (Electronic) 0066-4804 (Linking)", "PMID" : "22064545", "abstract" : "Voriconazole is a first-line agent for the treatment of invasive fungal infections. The pharmacology of voriconazole is characterized by extensive interindividual variability and nonlinear pharmacokinetics. The population pharmacokinetics of voriconazole in 64 adults is described. The patient population consisted of 21 healthy volunteers, who received a range of intravenous (i.v.) and oral voriconazole regimens, and 43 patients with proven or probable invasive aspergillosis, who received the currently licensed dosage. Voriconazole concentrations were measured using high-performance liquid chromatography (HPLC). The pharmacokinetic data were modeled using a nonparametric methodology and with a nonlinear pharmacokinetic structural model. The extent and consequences of pharmacokinetic variability were explored using Monte Carlo simulation. The relationship between drug exposure and clinical response was explored using logistic regression. Optimal sampling times were identified using D-optimal design. The fit of the nonlinear model was acceptable. Data from the healthy volunteers provided robust estimates for K(m) and the maximum rate of enzyme activity (V(max)). The Bayesian parameter estimates were more variable and statistically different in patients than in volunteers. There was a linear relationship between the trough concentration and area under the concentration-time curve (AUC(0-12)). There was no relationship between the AUC(0-12) and clinical response. The original parameter values were readily recapitulated using Monte Carlo simulation. Initial i.v. dosing resulted in higher AUC(0-12) and trough concentrations compared with oral dosing. Sample collection times of 1, 2, 3, 4, 8, and 12 h after an i.v. infusion are maximally informative times for future pharmacokinetic studies.", "author" : [ { "dropping-particle" : "", "family" : "Hope", "given" : "W W", "non-dropping-particle" : "", "parse-names" : false, "suffix" : "" } ], "container-title" : "Antimicrob Agents Chemother", "id" : "ITEM-1", "issue" : "1", "issued" : { "date-parts" : [ [ "2012" ] ] }, "language" : "eng", "note" : "Hope, William W\nResearch Support, Non-U.S. Gov't\nUnited States\nAntimicrobial agents and chemotherapy\nAntimicrob Agents Chemother. 2012 Jan;56(1):526-31. Epub 2011 Nov 7.", "page" : "526-531", "title" : "Population pharmacokinetics of voriconazole in adults", "type" : "article-journal", "volume" : "56" }, "uris" : [ "http://www.mendeley.com/documents/?uuid=5a774715-1a93-4ec7-8c42-a917cd5edb27" ] } ], "mendeley" : { "formattedCitation" : "&lt;sup&gt;17&lt;/sup&gt;", "plainTextFormattedCitation" : "17" }, "properties" : { "noteIndex" : 0 }, "schema" : "https://github.com/citation-style-language/schema/raw/master/csl-citation.json" }</w:instrText>
      </w:r>
      <w:r w:rsidR="0045259C">
        <w:rPr>
          <w:rFonts w:ascii="Calibri" w:hAnsi="Calibri"/>
          <w:lang w:val="en-US"/>
        </w:rPr>
        <w:fldChar w:fldCharType="separate"/>
      </w:r>
      <w:r w:rsidR="0045259C" w:rsidRPr="0045259C">
        <w:rPr>
          <w:rFonts w:ascii="Calibri" w:hAnsi="Calibri"/>
          <w:noProof/>
          <w:vertAlign w:val="superscript"/>
          <w:lang w:val="en-US"/>
        </w:rPr>
        <w:t>17</w:t>
      </w:r>
      <w:r w:rsidR="0045259C">
        <w:rPr>
          <w:rFonts w:ascii="Calibri" w:hAnsi="Calibri"/>
          <w:lang w:val="en-US"/>
        </w:rPr>
        <w:fldChar w:fldCharType="end"/>
      </w:r>
      <w:r>
        <w:rPr>
          <w:rFonts w:ascii="Calibri" w:hAnsi="Calibri"/>
          <w:lang w:val="en-US"/>
        </w:rPr>
        <w:t xml:space="preserve"> was used as the Bayesian prior in the process of estimating drug exposure for the patients enrolled in the study of Wingard </w:t>
      </w:r>
      <w:r w:rsidRPr="00352EBE">
        <w:rPr>
          <w:rFonts w:ascii="Calibri" w:hAnsi="Calibri"/>
          <w:i/>
          <w:lang w:val="en-US"/>
        </w:rPr>
        <w:t>et al</w:t>
      </w:r>
      <w:r w:rsidR="00AE1A0B">
        <w:rPr>
          <w:rFonts w:ascii="Calibri" w:hAnsi="Calibri"/>
          <w:lang w:val="en-US"/>
        </w:rPr>
        <w:t xml:space="preserve">.  </w:t>
      </w:r>
      <w:r>
        <w:rPr>
          <w:rFonts w:ascii="Calibri" w:hAnsi="Calibri"/>
          <w:lang w:val="en-US"/>
        </w:rPr>
        <w:t xml:space="preserve">This approach was required because the pharmacokinetic data </w:t>
      </w:r>
      <w:r w:rsidR="00A378E8">
        <w:rPr>
          <w:rFonts w:ascii="Calibri" w:hAnsi="Calibri"/>
          <w:lang w:val="en-US"/>
        </w:rPr>
        <w:t>were sparse</w:t>
      </w:r>
      <w:r w:rsidR="00AE1A0B">
        <w:rPr>
          <w:rFonts w:ascii="Calibri" w:hAnsi="Calibri"/>
          <w:lang w:val="en-US"/>
        </w:rPr>
        <w:t xml:space="preserve"> and </w:t>
      </w:r>
      <w:r w:rsidR="002210F1">
        <w:rPr>
          <w:rFonts w:ascii="Calibri" w:hAnsi="Calibri"/>
          <w:lang w:val="en-US"/>
        </w:rPr>
        <w:t>not suitable to fit a larger model without pre</w:t>
      </w:r>
      <w:r w:rsidR="00896355">
        <w:rPr>
          <w:rFonts w:ascii="Calibri" w:hAnsi="Calibri"/>
          <w:lang w:val="en-US"/>
        </w:rPr>
        <w:t>-</w:t>
      </w:r>
      <w:r w:rsidR="002210F1">
        <w:rPr>
          <w:rFonts w:ascii="Calibri" w:hAnsi="Calibri"/>
          <w:lang w:val="en-US"/>
        </w:rPr>
        <w:t>existing information</w:t>
      </w:r>
      <w:r>
        <w:rPr>
          <w:rFonts w:ascii="Calibri" w:hAnsi="Calibri"/>
          <w:lang w:val="en-US"/>
        </w:rPr>
        <w:t>.</w:t>
      </w:r>
      <w:r w:rsidR="00BE1813">
        <w:rPr>
          <w:rFonts w:ascii="Calibri" w:hAnsi="Calibri"/>
          <w:lang w:val="en-US"/>
        </w:rPr>
        <w:t xml:space="preserve">  </w:t>
      </w:r>
      <w:r w:rsidR="00EE4BDD">
        <w:rPr>
          <w:rFonts w:ascii="Calibri" w:hAnsi="Calibri"/>
          <w:lang w:val="en-US"/>
        </w:rPr>
        <w:t xml:space="preserve">The MAP Bayesian estimates for each patient </w:t>
      </w:r>
      <w:r w:rsidR="00D755A9">
        <w:rPr>
          <w:rFonts w:ascii="Calibri" w:hAnsi="Calibri"/>
          <w:lang w:val="en-US"/>
        </w:rPr>
        <w:t>in the prophylaxis study were estimated</w:t>
      </w:r>
      <w:r w:rsidR="00EE3A1E" w:rsidRPr="007C5CC0">
        <w:rPr>
          <w:rFonts w:ascii="Calibri" w:hAnsi="Calibri"/>
          <w:lang w:val="en-US"/>
        </w:rPr>
        <w:t xml:space="preserve"> using the nonparametric </w:t>
      </w:r>
      <w:r w:rsidR="009931AA">
        <w:rPr>
          <w:rFonts w:ascii="Calibri" w:hAnsi="Calibri"/>
          <w:lang w:val="en-US"/>
        </w:rPr>
        <w:t>adaptive grid</w:t>
      </w:r>
      <w:r w:rsidR="00346B38">
        <w:rPr>
          <w:rFonts w:ascii="Calibri" w:hAnsi="Calibri"/>
          <w:lang w:val="en-US"/>
        </w:rPr>
        <w:t xml:space="preserve"> (NPAG) algorithm</w:t>
      </w:r>
      <w:r w:rsidR="009931AA">
        <w:rPr>
          <w:rFonts w:ascii="Calibri" w:hAnsi="Calibri"/>
          <w:lang w:val="en-US"/>
        </w:rPr>
        <w:t xml:space="preserve">, which is now embedded </w:t>
      </w:r>
      <w:r w:rsidR="00E855F2">
        <w:rPr>
          <w:rFonts w:ascii="Calibri" w:hAnsi="Calibri"/>
          <w:lang w:val="en-US"/>
        </w:rPr>
        <w:t xml:space="preserve">in </w:t>
      </w:r>
      <w:r w:rsidR="00346B38">
        <w:rPr>
          <w:rFonts w:ascii="Calibri" w:hAnsi="Calibri"/>
          <w:lang w:val="en-US"/>
        </w:rPr>
        <w:t xml:space="preserve">the </w:t>
      </w:r>
      <w:r w:rsidR="00EE3A1E" w:rsidRPr="007C5CC0">
        <w:rPr>
          <w:rFonts w:ascii="Calibri" w:hAnsi="Calibri"/>
          <w:lang w:val="en-US"/>
        </w:rPr>
        <w:t>Pmetrics</w:t>
      </w:r>
      <w:r w:rsidR="00346B38">
        <w:rPr>
          <w:rFonts w:ascii="Calibri" w:hAnsi="Calibri"/>
          <w:lang w:val="en-US"/>
        </w:rPr>
        <w:t xml:space="preserve"> software package for R</w:t>
      </w:r>
      <w:r w:rsidR="00896355">
        <w:rPr>
          <w:rFonts w:ascii="Calibri" w:hAnsi="Calibri"/>
          <w:lang w:val="en-US"/>
        </w:rPr>
        <w:t>.</w:t>
      </w:r>
      <w:r w:rsidR="00E855F2">
        <w:rPr>
          <w:rFonts w:ascii="Calibri" w:hAnsi="Calibri"/>
          <w:lang w:val="en-US"/>
        </w:rPr>
        <w:fldChar w:fldCharType="begin" w:fldLock="1"/>
      </w:r>
      <w:r w:rsidR="00610755">
        <w:rPr>
          <w:rFonts w:ascii="Calibri" w:hAnsi="Calibri"/>
          <w:lang w:val="en-US"/>
        </w:rPr>
        <w:instrText>ADDIN CSL_CITATION { "citationItems" : [ { "id" : "ITEM-1", "itemData" : { "DOI" : "10.1097/FTD.0b013e31825c4ba6", "ISSN" : "1536-3694", "PMID" : "22722776", "abstract" : "INTRODUCTION: Nonparametric population modeling algorithms have a theoretical superiority over parametric methods to detect pharmacokinetic and pharmacodynamic subgroups and outliers within a study population.\n\nMETHODS: The authors created \"Pmetrics,\" a new Windows and Unix R software package that updates the older MM-USCPACK software for nonparametric and parametric population modeling and simulation of pharmacokinetic and pharmacodynamic systems. The parametric iterative 2-stage Bayesian and the nonparametric adaptive grid (NPAG) approaches in Pmetrics were used to fit a simulated population with bimodal elimination (Kel) and unimodal volume of distribution (Vd), plus an extreme outlier, for a 1-compartment model of an intravenous drug.\n\nRESULTS: The true means (SD) for Kel and Vd in the population sample were 0.19 (0.17) and 102 (22.3), respectively. Those found by NPAG were 0.19 (0.16) and 104 (22.6). The iterative 2-stage Bayesian estimated them to be 0.18 (0.16) and 104 (24.4). However, given the bimodality of Kel, no subject had a value near the mean for the population. Only NPAG was able to accurately detect the bimodal distribution for Kel and to find the outlier in both the population model and in the Bayesian posterior parameter estimates.\n\nCONCLUSIONS: Built on over 3 decades of work, Pmetrics adopts a robust, reliable, and mature nonparametric approach to population modeling, which was better than the parametric method at discovering true pharmacokinetic subgroups and an outlier.", "author" : [ { "dropping-particle" : "", "family" : "Neely", "given" : "Michael N", "non-dropping-particle" : "", "parse-names" : false, "suffix" : "" }, { "dropping-particle" : "", "family" : "Guilder", "given" : "Michael G", "non-dropping-particle" : "van", "parse-names" : false, "suffix" : "" }, { "dropping-particle" : "", "family" : "Yamada", "given" : "Walter M", "non-dropping-particle" : "", "parse-names" : false, "suffix" : "" }, { "dropping-particle" : "", "family" : "Schumitzky", "given" : "Alan", "non-dropping-particle" : "", "parse-names" : false, "suffix" : "" }, { "dropping-particle" : "", "family" : "Jelliffe", "given" : "Roger W", "non-dropping-particle" : "", "parse-names" : false, "suffix" : "" } ], "container-title" : "Therapeutic drug monitoring", "id" : "ITEM-1", "issue" : "4", "issued" : { "date-parts" : [ [ "2012", "8" ] ] }, "page" : "467-76", "title" : "Accurate detection of outliers and subpopulations with Pmetrics, a nonparametric and parametric pharmacometric modeling and simulation package for R.", "type" : "article-journal", "volume" : "34" }, "uris" : [ "http://www.mendeley.com/documents/?uuid=4021f5ba-f15e-4ebb-bfda-7ecc07bba315" ] } ], "mendeley" : { "formattedCitation" : "&lt;sup&gt;19&lt;/sup&gt;", "plainTextFormattedCitation" : "19", "previouslyFormattedCitation" : "&lt;sup&gt;19&lt;/sup&gt;" }, "properties" : { "noteIndex" : 0 }, "schema" : "https://github.com/citation-style-language/schema/raw/master/csl-citation.json" }</w:instrText>
      </w:r>
      <w:r w:rsidR="00E855F2">
        <w:rPr>
          <w:rFonts w:ascii="Calibri" w:hAnsi="Calibri"/>
          <w:lang w:val="en-US"/>
        </w:rPr>
        <w:fldChar w:fldCharType="separate"/>
      </w:r>
      <w:r w:rsidR="00610755" w:rsidRPr="00610755">
        <w:rPr>
          <w:rFonts w:ascii="Calibri" w:hAnsi="Calibri"/>
          <w:noProof/>
          <w:vertAlign w:val="superscript"/>
          <w:lang w:val="en-US"/>
        </w:rPr>
        <w:t>19</w:t>
      </w:r>
      <w:r w:rsidR="00E855F2">
        <w:rPr>
          <w:rFonts w:ascii="Calibri" w:hAnsi="Calibri"/>
          <w:lang w:val="en-US"/>
        </w:rPr>
        <w:fldChar w:fldCharType="end"/>
      </w:r>
      <w:proofErr w:type="gramStart"/>
      <w:r w:rsidR="00EE3A1E" w:rsidRPr="007C5CC0">
        <w:rPr>
          <w:rFonts w:ascii="Calibri" w:hAnsi="Calibri"/>
          <w:lang w:val="en-US"/>
        </w:rPr>
        <w:t xml:space="preserve">  </w:t>
      </w:r>
      <w:r w:rsidR="000D48EB" w:rsidRPr="007C5CC0">
        <w:rPr>
          <w:rFonts w:ascii="Calibri" w:hAnsi="Calibri"/>
          <w:lang w:val="en-US"/>
        </w:rPr>
        <w:t>The</w:t>
      </w:r>
      <w:proofErr w:type="gramEnd"/>
      <w:r w:rsidR="000D48EB" w:rsidRPr="007C5CC0">
        <w:rPr>
          <w:rFonts w:ascii="Calibri" w:hAnsi="Calibri"/>
          <w:lang w:val="en-US"/>
        </w:rPr>
        <w:t xml:space="preserve"> structural model was the same as previously used to model the pharmacokinetics of voriconazole</w:t>
      </w:r>
      <w:r w:rsidR="00896355">
        <w:rPr>
          <w:rFonts w:ascii="Calibri" w:hAnsi="Calibri"/>
          <w:lang w:val="en-US"/>
        </w:rPr>
        <w:t>.</w:t>
      </w:r>
      <w:r w:rsidR="00E855F2">
        <w:rPr>
          <w:rFonts w:ascii="Calibri" w:hAnsi="Calibri"/>
          <w:lang w:val="en-US"/>
        </w:rPr>
        <w:fldChar w:fldCharType="begin" w:fldLock="1"/>
      </w:r>
      <w:r w:rsidR="00610755">
        <w:rPr>
          <w:rFonts w:ascii="Calibri" w:hAnsi="Calibri"/>
          <w:lang w:val="en-US"/>
        </w:rPr>
        <w:instrText>ADDIN CSL_CITATION { "citationItems" : [ { "id" : "ITEM-1", "itemData" : { "DOI" : "AAC.00702-11 [pii] 10.1128/AAC.00702-11", "ISBN" : "1098-6596 (Electronic) 0066-4804 (Linking)", "PMID" : "22064545", "abstract" : "Voriconazole is a first-line agent for the treatment of invasive fungal infections. The pharmacology of voriconazole is characterized by extensive interindividual variability and nonlinear pharmacokinetics. The population pharmacokinetics of voriconazole in 64 adults is described. The patient population consisted of 21 healthy volunteers, who received a range of intravenous (i.v.) and oral voriconazole regimens, and 43 patients with proven or probable invasive aspergillosis, who received the currently licensed dosage. Voriconazole concentrations were measured using high-performance liquid chromatography (HPLC). The pharmacokinetic data were modeled using a nonparametric methodology and with a nonlinear pharmacokinetic structural model. The extent and consequences of pharmacokinetic variability were explored using Monte Carlo simulation. The relationship between drug exposure and clinical response was explored using logistic regression. Optimal sampling times were identified using D-optimal design. The fit of the nonlinear model was acceptable. Data from the healthy volunteers provided robust estimates for K(m) and the maximum rate of enzyme activity (V(max)). The Bayesian parameter estimates were more variable and statistically different in patients than in volunteers. There was a linear relationship between the trough concentration and area under the concentration-time curve (AUC(0-12)). There was no relationship between the AUC(0-12) and clinical response. The original parameter values were readily recapitulated using Monte Carlo simulation. Initial i.v. dosing resulted in higher AUC(0-12) and trough concentrations compared with oral dosing. Sample collection times of 1, 2, 3, 4, 8, and 12 h after an i.v. infusion are maximally informative times for future pharmacokinetic studies.", "author" : [ { "dropping-particle" : "", "family" : "Hope", "given" : "W W", "non-dropping-particle" : "", "parse-names" : false, "suffix" : "" } ], "container-title" : "Antimicrob Agents Chemother", "id" : "ITEM-1", "issue" : "1", "issued" : { "date-parts" : [ [ "2012" ] ] }, "language" : "eng", "note" : "Hope, William W\nResearch Support, Non-U.S. Gov't\nUnited States\nAntimicrobial agents and chemotherapy\nAntimicrob Agents Chemother. 2012 Jan;56(1):526-31. Epub 2011 Nov 7.", "page" : "526-531", "title" : "Population pharmacokinetics of voriconazole in adults", "type" : "article-journal", "volume" : "56" }, "uris" : [ "http://www.mendeley.com/documents/?uuid=5a774715-1a93-4ec7-8c42-a917cd5edb27" ] } ], "mendeley" : { "formattedCitation" : "&lt;sup&gt;17&lt;/sup&gt;", "plainTextFormattedCitation" : "17", "previouslyFormattedCitation" : "&lt;sup&gt;17&lt;/sup&gt;" }, "properties" : { "noteIndex" : 0 }, "schema" : "https://github.com/citation-style-language/schema/raw/master/csl-citation.json" }</w:instrText>
      </w:r>
      <w:r w:rsidR="00E855F2">
        <w:rPr>
          <w:rFonts w:ascii="Calibri" w:hAnsi="Calibri"/>
          <w:lang w:val="en-US"/>
        </w:rPr>
        <w:fldChar w:fldCharType="separate"/>
      </w:r>
      <w:r w:rsidR="00610755" w:rsidRPr="00610755">
        <w:rPr>
          <w:rFonts w:ascii="Calibri" w:hAnsi="Calibri"/>
          <w:noProof/>
          <w:vertAlign w:val="superscript"/>
          <w:lang w:val="en-US"/>
        </w:rPr>
        <w:t>17</w:t>
      </w:r>
      <w:r w:rsidR="00E855F2">
        <w:rPr>
          <w:rFonts w:ascii="Calibri" w:hAnsi="Calibri"/>
          <w:lang w:val="en-US"/>
        </w:rPr>
        <w:fldChar w:fldCharType="end"/>
      </w:r>
      <w:proofErr w:type="gramStart"/>
      <w:r w:rsidR="000D48EB" w:rsidRPr="007C5CC0">
        <w:rPr>
          <w:rFonts w:ascii="Calibri" w:hAnsi="Calibri"/>
          <w:lang w:val="en-US"/>
        </w:rPr>
        <w:t xml:space="preserve">  The</w:t>
      </w:r>
      <w:proofErr w:type="gramEnd"/>
      <w:r w:rsidR="000D48EB" w:rsidRPr="007C5CC0">
        <w:rPr>
          <w:rFonts w:ascii="Calibri" w:hAnsi="Calibri"/>
          <w:lang w:val="en-US"/>
        </w:rPr>
        <w:t xml:space="preserve"> three ordinary differential equations were:</w:t>
      </w:r>
    </w:p>
    <w:p w14:paraId="45420BF0" w14:textId="77777777" w:rsidR="007C5CC0" w:rsidRPr="007C5CC0" w:rsidRDefault="007C5CC0" w:rsidP="007C5CC0">
      <w:pPr>
        <w:tabs>
          <w:tab w:val="left" w:pos="0"/>
        </w:tabs>
        <w:rPr>
          <w:rFonts w:ascii="Calibri" w:hAnsi="Calibri"/>
          <w:sz w:val="24"/>
          <w:szCs w:val="24"/>
          <w:lang w:val="en-US"/>
        </w:rPr>
      </w:pPr>
    </w:p>
    <w:p w14:paraId="11D0CB9C" w14:textId="25CDEA9A" w:rsidR="007C5CC0" w:rsidRPr="007C5CC0" w:rsidRDefault="00862223" w:rsidP="007C5CC0">
      <w:pPr>
        <w:rPr>
          <w:rFonts w:ascii="Calibri" w:hAnsi="Calibri"/>
          <w:sz w:val="24"/>
          <w:szCs w:val="24"/>
          <w:lang w:val="en-US"/>
        </w:rPr>
      </w:pPr>
      <m:oMathPara>
        <m:oMathParaPr>
          <m:jc m:val="left"/>
        </m:oMathParaPr>
        <m:oMath>
          <m:f>
            <m:fPr>
              <m:ctrlPr>
                <w:rPr>
                  <w:rFonts w:ascii="Cambria Math" w:hAnsi="Cambria Math"/>
                  <w:i/>
                  <w:sz w:val="24"/>
                  <w:szCs w:val="24"/>
                  <w:lang w:val="en-US"/>
                </w:rPr>
              </m:ctrlPr>
            </m:fPr>
            <m:num>
              <m:r>
                <w:rPr>
                  <w:rFonts w:ascii="Cambria Math" w:hAnsi="Cambria Math"/>
                  <w:sz w:val="24"/>
                  <w:szCs w:val="24"/>
                  <w:lang w:val="en-US"/>
                </w:rPr>
                <m:t>dX(1)</m:t>
              </m:r>
            </m:num>
            <m:den>
              <m:r>
                <w:rPr>
                  <w:rFonts w:ascii="Cambria Math" w:hAnsi="Cambria Math"/>
                  <w:sz w:val="24"/>
                  <w:szCs w:val="24"/>
                  <w:lang w:val="en-US"/>
                </w:rPr>
                <m:t>dt</m:t>
              </m:r>
            </m:den>
          </m:f>
          <m:r>
            <w:rPr>
              <w:rFonts w:ascii="Cambria Math" w:hAnsi="Cambria Math"/>
              <w:sz w:val="24"/>
              <w:szCs w:val="24"/>
              <w:lang w:val="en-US"/>
            </w:rPr>
            <m:t>=B</m:t>
          </m:r>
          <m:d>
            <m:dPr>
              <m:ctrlPr>
                <w:rPr>
                  <w:rFonts w:ascii="Cambria Math" w:hAnsi="Cambria Math"/>
                  <w:i/>
                  <w:sz w:val="24"/>
                  <w:szCs w:val="24"/>
                  <w:lang w:val="en-US"/>
                </w:rPr>
              </m:ctrlPr>
            </m:dPr>
            <m:e>
              <m:r>
                <w:rPr>
                  <w:rFonts w:ascii="Cambria Math" w:hAnsi="Cambria Math"/>
                  <w:sz w:val="24"/>
                  <w:szCs w:val="24"/>
                  <w:lang w:val="en-US"/>
                </w:rPr>
                <m:t>1</m:t>
              </m:r>
            </m:e>
          </m:d>
          <m:r>
            <w:rPr>
              <w:rFonts w:ascii="Cambria Math" w:hAnsi="Cambria Math"/>
              <w:sz w:val="24"/>
              <w:szCs w:val="24"/>
              <w:lang w:val="en-US"/>
            </w:rPr>
            <m:t>-Ka*X</m:t>
          </m:r>
          <m:d>
            <m:dPr>
              <m:ctrlPr>
                <w:rPr>
                  <w:rFonts w:ascii="Cambria Math" w:hAnsi="Cambria Math"/>
                  <w:i/>
                  <w:sz w:val="24"/>
                  <w:szCs w:val="24"/>
                  <w:lang w:val="en-US"/>
                </w:rPr>
              </m:ctrlPr>
            </m:dPr>
            <m:e>
              <m:r>
                <w:rPr>
                  <w:rFonts w:ascii="Cambria Math" w:hAnsi="Cambria Math"/>
                  <w:sz w:val="24"/>
                  <w:szCs w:val="24"/>
                  <w:lang w:val="en-US"/>
                </w:rPr>
                <m:t>1</m:t>
              </m:r>
            </m:e>
          </m:d>
        </m:oMath>
      </m:oMathPara>
    </w:p>
    <w:p w14:paraId="121FD5D9" w14:textId="620167D4" w:rsidR="007C5CC0" w:rsidRPr="007C5CC0" w:rsidRDefault="00862223" w:rsidP="007C5CC0">
      <w:pPr>
        <w:rPr>
          <w:rFonts w:ascii="Calibri" w:hAnsi="Calibri"/>
          <w:sz w:val="24"/>
          <w:szCs w:val="24"/>
          <w:lang w:val="en-US"/>
        </w:rPr>
      </w:pPr>
      <m:oMathPara>
        <m:oMathParaPr>
          <m:jc m:val="left"/>
        </m:oMathParaPr>
        <m:oMath>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dX(2)</m:t>
              </m:r>
            </m:num>
            <m:den>
              <m:r>
                <w:rPr>
                  <w:rFonts w:ascii="Cambria Math" w:eastAsia="Times New Roman" w:hAnsi="Cambria Math"/>
                  <w:sz w:val="24"/>
                  <w:szCs w:val="24"/>
                  <w:lang w:val="en-US"/>
                </w:rPr>
                <m:t>dt</m:t>
              </m:r>
            </m:den>
          </m:f>
          <m:r>
            <w:rPr>
              <w:rFonts w:ascii="Cambria Math" w:eastAsia="Times New Roman" w:hAnsi="Cambria Math"/>
              <w:sz w:val="24"/>
              <w:szCs w:val="24"/>
              <w:lang w:val="en-US"/>
            </w:rPr>
            <m:t>=-</m:t>
          </m:r>
          <m:d>
            <m:dPr>
              <m:ctrlPr>
                <w:rPr>
                  <w:rFonts w:ascii="Cambria Math" w:eastAsia="Times New Roman" w:hAnsi="Cambria Math"/>
                  <w:i/>
                  <w:sz w:val="24"/>
                  <w:szCs w:val="24"/>
                  <w:lang w:val="en-US"/>
                </w:rPr>
              </m:ctrlPr>
            </m:dPr>
            <m:e>
              <m:d>
                <m:dPr>
                  <m:ctrlPr>
                    <w:rPr>
                      <w:rFonts w:ascii="Cambria Math" w:eastAsia="Times New Roman" w:hAnsi="Cambria Math"/>
                      <w:i/>
                      <w:sz w:val="24"/>
                      <w:szCs w:val="24"/>
                      <w:lang w:val="en-US"/>
                    </w:rPr>
                  </m:ctrlPr>
                </m:dPr>
                <m:e>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Vmax</m:t>
                      </m:r>
                    </m:num>
                    <m:den>
                      <m:r>
                        <w:rPr>
                          <w:rFonts w:ascii="Cambria Math" w:eastAsia="Times New Roman" w:hAnsi="Cambria Math"/>
                          <w:sz w:val="24"/>
                          <w:szCs w:val="24"/>
                          <w:lang w:val="en-US"/>
                        </w:rPr>
                        <m:t>Km*Volume+X</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2</m:t>
                          </m:r>
                        </m:e>
                      </m:d>
                    </m:den>
                  </m:f>
                </m:e>
              </m:d>
              <m:r>
                <w:rPr>
                  <w:rFonts w:ascii="Cambria Math" w:eastAsia="Times New Roman" w:hAnsi="Cambria Math"/>
                  <w:sz w:val="24"/>
                  <w:szCs w:val="24"/>
                  <w:lang w:val="en-US"/>
                </w:rPr>
                <m:t>+Kcp</m:t>
              </m:r>
            </m:e>
          </m:d>
          <m:r>
            <w:rPr>
              <w:rFonts w:ascii="Cambria Math" w:eastAsia="Times New Roman" w:hAnsi="Cambria Math"/>
              <w:sz w:val="24"/>
              <w:szCs w:val="24"/>
              <w:lang w:val="en-US"/>
            </w:rPr>
            <m:t>*X</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2</m:t>
              </m:r>
            </m:e>
          </m:d>
          <m:r>
            <w:rPr>
              <w:rFonts w:ascii="Cambria Math" w:eastAsia="Times New Roman" w:hAnsi="Cambria Math"/>
              <w:sz w:val="24"/>
              <w:szCs w:val="24"/>
              <w:lang w:val="en-US"/>
            </w:rPr>
            <m:t>+Ka*X</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1</m:t>
              </m:r>
            </m:e>
          </m:d>
          <m:r>
            <w:rPr>
              <w:rFonts w:ascii="Cambria Math" w:eastAsia="Times New Roman" w:hAnsi="Cambria Math"/>
              <w:sz w:val="24"/>
              <w:szCs w:val="24"/>
              <w:lang w:val="en-US"/>
            </w:rPr>
            <m:t>+Kpc*X</m:t>
          </m:r>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3</m:t>
              </m:r>
            </m:e>
          </m:d>
        </m:oMath>
      </m:oMathPara>
    </w:p>
    <w:p w14:paraId="6A5BA5D2" w14:textId="536AB9D1" w:rsidR="007C5CC0" w:rsidRPr="007C5CC0" w:rsidRDefault="00862223" w:rsidP="007C5CC0">
      <w:pPr>
        <w:rPr>
          <w:rFonts w:ascii="Calibri" w:eastAsiaTheme="minorEastAsia" w:hAnsi="Calibri"/>
          <w:sz w:val="24"/>
          <w:szCs w:val="24"/>
          <w:lang w:val="en-US"/>
        </w:rPr>
      </w:pPr>
      <m:oMathPara>
        <m:oMathParaPr>
          <m:jc m:val="left"/>
        </m:oMathParaPr>
        <m:oMath>
          <m:f>
            <m:fPr>
              <m:ctrlPr>
                <w:rPr>
                  <w:rFonts w:ascii="Cambria Math" w:hAnsi="Cambria Math"/>
                  <w:i/>
                  <w:sz w:val="24"/>
                  <w:szCs w:val="24"/>
                  <w:lang w:val="en-US"/>
                </w:rPr>
              </m:ctrlPr>
            </m:fPr>
            <m:num>
              <m:r>
                <w:rPr>
                  <w:rFonts w:ascii="Cambria Math" w:hAnsi="Cambria Math"/>
                  <w:sz w:val="24"/>
                  <w:szCs w:val="24"/>
                  <w:lang w:val="en-US"/>
                </w:rPr>
                <m:t>dX(3)</m:t>
              </m:r>
            </m:num>
            <m:den>
              <m:r>
                <w:rPr>
                  <w:rFonts w:ascii="Cambria Math" w:hAnsi="Cambria Math"/>
                  <w:sz w:val="24"/>
                  <w:szCs w:val="24"/>
                  <w:lang w:val="en-US"/>
                </w:rPr>
                <m:t>dt</m:t>
              </m:r>
            </m:den>
          </m:f>
          <m:r>
            <w:rPr>
              <w:rFonts w:ascii="Cambria Math" w:hAnsi="Cambria Math"/>
              <w:sz w:val="24"/>
              <w:szCs w:val="24"/>
              <w:lang w:val="en-US"/>
            </w:rPr>
            <m:t>=Kcp*X</m:t>
          </m:r>
          <m:d>
            <m:dPr>
              <m:ctrlPr>
                <w:rPr>
                  <w:rFonts w:ascii="Cambria Math" w:hAnsi="Cambria Math"/>
                  <w:i/>
                  <w:sz w:val="24"/>
                  <w:szCs w:val="24"/>
                  <w:lang w:val="en-US"/>
                </w:rPr>
              </m:ctrlPr>
            </m:dPr>
            <m:e>
              <m:r>
                <w:rPr>
                  <w:rFonts w:ascii="Cambria Math" w:hAnsi="Cambria Math"/>
                  <w:sz w:val="24"/>
                  <w:szCs w:val="24"/>
                  <w:lang w:val="en-US"/>
                </w:rPr>
                <m:t>2</m:t>
              </m:r>
            </m:e>
          </m:d>
          <m:r>
            <w:rPr>
              <w:rFonts w:ascii="Cambria Math" w:hAnsi="Cambria Math"/>
              <w:sz w:val="24"/>
              <w:szCs w:val="24"/>
              <w:lang w:val="en-US"/>
            </w:rPr>
            <m:t>-Kpc*X(3)</m:t>
          </m:r>
        </m:oMath>
      </m:oMathPara>
    </w:p>
    <w:p w14:paraId="58F547C6" w14:textId="1A42B7CC" w:rsidR="00C66B58" w:rsidRDefault="007C5CC0" w:rsidP="007652E1">
      <w:pPr>
        <w:ind w:firstLine="680"/>
        <w:rPr>
          <w:rFonts w:ascii="Calibri" w:hAnsi="Calibri"/>
          <w:sz w:val="24"/>
          <w:szCs w:val="24"/>
          <w:lang w:val="en-US"/>
        </w:rPr>
      </w:pPr>
      <w:r w:rsidRPr="007C5CC0">
        <w:rPr>
          <w:rFonts w:ascii="Calibri" w:hAnsi="Calibri"/>
          <w:sz w:val="24"/>
          <w:szCs w:val="24"/>
          <w:lang w:val="en-US"/>
        </w:rPr>
        <w:t xml:space="preserve">Where: </w:t>
      </w:r>
      <w:proofErr w:type="gramStart"/>
      <w:r w:rsidRPr="007C5CC0">
        <w:rPr>
          <w:rFonts w:ascii="Calibri" w:hAnsi="Calibri"/>
          <w:sz w:val="24"/>
          <w:szCs w:val="24"/>
          <w:lang w:val="en-US"/>
        </w:rPr>
        <w:t>X(</w:t>
      </w:r>
      <w:proofErr w:type="gramEnd"/>
      <w:r w:rsidRPr="007C5CC0">
        <w:rPr>
          <w:rFonts w:ascii="Calibri" w:hAnsi="Calibri"/>
          <w:sz w:val="24"/>
          <w:szCs w:val="24"/>
          <w:lang w:val="en-US"/>
        </w:rPr>
        <w:t xml:space="preserve">1), X(2) and X(3) represent the amount of voriconazole (in milligrams) in the gut, central compartment and peripheral compartment, respectively.  </w:t>
      </w:r>
      <w:proofErr w:type="spellStart"/>
      <w:r w:rsidRPr="007C5CC0">
        <w:rPr>
          <w:rFonts w:ascii="Calibri" w:hAnsi="Calibri"/>
          <w:sz w:val="24"/>
          <w:szCs w:val="24"/>
          <w:lang w:val="en-US"/>
        </w:rPr>
        <w:t>Ka</w:t>
      </w:r>
      <w:proofErr w:type="spellEnd"/>
      <w:r w:rsidRPr="007C5CC0">
        <w:rPr>
          <w:rFonts w:ascii="Calibri" w:hAnsi="Calibri"/>
          <w:sz w:val="24"/>
          <w:szCs w:val="24"/>
          <w:lang w:val="en-US"/>
        </w:rPr>
        <w:t xml:space="preserve"> is the first-order rate constant connecting the gut with the central compartment.  </w:t>
      </w:r>
      <w:proofErr w:type="spellStart"/>
      <w:r w:rsidRPr="007C5CC0">
        <w:rPr>
          <w:rFonts w:ascii="Calibri" w:hAnsi="Calibri"/>
          <w:sz w:val="24"/>
          <w:szCs w:val="24"/>
          <w:lang w:val="en-US"/>
        </w:rPr>
        <w:t>Vmax</w:t>
      </w:r>
      <w:proofErr w:type="spellEnd"/>
      <w:r w:rsidRPr="007C5CC0">
        <w:rPr>
          <w:rFonts w:ascii="Calibri" w:hAnsi="Calibri"/>
          <w:sz w:val="24"/>
          <w:szCs w:val="24"/>
          <w:lang w:val="en-US"/>
        </w:rPr>
        <w:t xml:space="preserve"> is the maximum rate of </w:t>
      </w:r>
      <w:r w:rsidR="00CE2B54">
        <w:rPr>
          <w:rFonts w:ascii="Calibri" w:hAnsi="Calibri"/>
          <w:sz w:val="24"/>
          <w:szCs w:val="24"/>
          <w:lang w:val="en-US"/>
        </w:rPr>
        <w:t>elimination</w:t>
      </w:r>
      <w:r w:rsidR="00CE2B54" w:rsidRPr="007C5CC0">
        <w:rPr>
          <w:rFonts w:ascii="Calibri" w:hAnsi="Calibri"/>
          <w:sz w:val="24"/>
          <w:szCs w:val="24"/>
          <w:lang w:val="en-US"/>
        </w:rPr>
        <w:t xml:space="preserve"> </w:t>
      </w:r>
      <w:r w:rsidRPr="007C5CC0">
        <w:rPr>
          <w:rFonts w:ascii="Calibri" w:hAnsi="Calibri"/>
          <w:sz w:val="24"/>
          <w:szCs w:val="24"/>
          <w:lang w:val="en-US"/>
        </w:rPr>
        <w:t>of voriconazole (mg/h).  Km</w:t>
      </w:r>
      <w:r w:rsidR="00346B38">
        <w:rPr>
          <w:rFonts w:ascii="Calibri" w:hAnsi="Calibri"/>
          <w:sz w:val="24"/>
          <w:szCs w:val="24"/>
          <w:lang w:val="en-US"/>
        </w:rPr>
        <w:t xml:space="preserve"> (mg/L)</w:t>
      </w:r>
      <w:r w:rsidRPr="007C5CC0">
        <w:rPr>
          <w:rFonts w:ascii="Calibri" w:hAnsi="Calibri"/>
          <w:sz w:val="24"/>
          <w:szCs w:val="24"/>
          <w:lang w:val="en-US"/>
        </w:rPr>
        <w:t xml:space="preserve"> is the concentration of </w:t>
      </w:r>
      <w:r w:rsidRPr="007C5CC0">
        <w:rPr>
          <w:rFonts w:ascii="Calibri" w:hAnsi="Calibri"/>
          <w:sz w:val="24"/>
          <w:szCs w:val="24"/>
          <w:lang w:val="en-US"/>
        </w:rPr>
        <w:lastRenderedPageBreak/>
        <w:t xml:space="preserve">voriconazole in the central compartment at which clearance is half-maximal, and </w:t>
      </w:r>
      <w:proofErr w:type="spellStart"/>
      <w:r w:rsidRPr="007C5CC0">
        <w:rPr>
          <w:rFonts w:ascii="Calibri" w:hAnsi="Calibri"/>
          <w:sz w:val="24"/>
          <w:szCs w:val="24"/>
          <w:lang w:val="en-US"/>
        </w:rPr>
        <w:t>Kcp</w:t>
      </w:r>
      <w:proofErr w:type="spellEnd"/>
      <w:r w:rsidRPr="007C5CC0">
        <w:rPr>
          <w:rFonts w:ascii="Calibri" w:hAnsi="Calibri"/>
          <w:sz w:val="24"/>
          <w:szCs w:val="24"/>
          <w:lang w:val="en-US"/>
        </w:rPr>
        <w:t xml:space="preserve"> </w:t>
      </w:r>
      <w:r w:rsidR="00932DB0">
        <w:rPr>
          <w:rFonts w:ascii="Calibri" w:hAnsi="Calibri"/>
          <w:sz w:val="24"/>
          <w:szCs w:val="24"/>
          <w:lang w:val="en-US"/>
        </w:rPr>
        <w:t>(h</w:t>
      </w:r>
      <w:r w:rsidR="00932DB0" w:rsidRPr="00E35A47">
        <w:rPr>
          <w:rFonts w:ascii="Calibri" w:hAnsi="Calibri"/>
          <w:sz w:val="24"/>
          <w:szCs w:val="24"/>
          <w:vertAlign w:val="superscript"/>
          <w:lang w:val="en-US"/>
        </w:rPr>
        <w:t>-1</w:t>
      </w:r>
      <w:r w:rsidR="00932DB0">
        <w:rPr>
          <w:rFonts w:ascii="Calibri" w:hAnsi="Calibri"/>
          <w:sz w:val="24"/>
          <w:szCs w:val="24"/>
          <w:lang w:val="en-US"/>
        </w:rPr>
        <w:t xml:space="preserve">) </w:t>
      </w:r>
      <w:r w:rsidRPr="007C5CC0">
        <w:rPr>
          <w:rFonts w:ascii="Calibri" w:hAnsi="Calibri"/>
          <w:sz w:val="24"/>
          <w:szCs w:val="24"/>
          <w:lang w:val="en-US"/>
        </w:rPr>
        <w:t xml:space="preserve">and </w:t>
      </w:r>
      <w:proofErr w:type="spellStart"/>
      <w:r w:rsidRPr="007C5CC0">
        <w:rPr>
          <w:rFonts w:ascii="Calibri" w:hAnsi="Calibri"/>
          <w:sz w:val="24"/>
          <w:szCs w:val="24"/>
          <w:lang w:val="en-US"/>
        </w:rPr>
        <w:t>Kpc</w:t>
      </w:r>
      <w:proofErr w:type="spellEnd"/>
      <w:r w:rsidRPr="007C5CC0">
        <w:rPr>
          <w:rFonts w:ascii="Calibri" w:hAnsi="Calibri"/>
          <w:sz w:val="24"/>
          <w:szCs w:val="24"/>
          <w:lang w:val="en-US"/>
        </w:rPr>
        <w:t xml:space="preserve"> </w:t>
      </w:r>
      <w:r w:rsidR="00932DB0">
        <w:rPr>
          <w:rFonts w:ascii="Calibri" w:hAnsi="Calibri"/>
          <w:sz w:val="24"/>
          <w:szCs w:val="24"/>
          <w:lang w:val="en-US"/>
        </w:rPr>
        <w:t>(h</w:t>
      </w:r>
      <w:r w:rsidR="00932DB0" w:rsidRPr="009C32C1">
        <w:rPr>
          <w:rFonts w:ascii="Calibri" w:hAnsi="Calibri"/>
          <w:sz w:val="24"/>
          <w:szCs w:val="24"/>
          <w:vertAlign w:val="superscript"/>
          <w:lang w:val="en-US"/>
        </w:rPr>
        <w:t>-1</w:t>
      </w:r>
      <w:r w:rsidR="00932DB0">
        <w:rPr>
          <w:rFonts w:ascii="Calibri" w:hAnsi="Calibri"/>
          <w:sz w:val="24"/>
          <w:szCs w:val="24"/>
          <w:lang w:val="en-US"/>
        </w:rPr>
        <w:t xml:space="preserve">) </w:t>
      </w:r>
      <w:r w:rsidRPr="007C5CC0">
        <w:rPr>
          <w:rFonts w:ascii="Calibri" w:hAnsi="Calibri"/>
          <w:sz w:val="24"/>
          <w:szCs w:val="24"/>
          <w:lang w:val="en-US"/>
        </w:rPr>
        <w:t xml:space="preserve">are the first-order inter-compartmental rate constants.  </w:t>
      </w:r>
      <w:proofErr w:type="gramStart"/>
      <w:r w:rsidR="00932DB0">
        <w:rPr>
          <w:rFonts w:ascii="Calibri" w:hAnsi="Calibri"/>
          <w:sz w:val="24"/>
          <w:szCs w:val="24"/>
          <w:lang w:val="en-US"/>
        </w:rPr>
        <w:t>B</w:t>
      </w:r>
      <w:r w:rsidRPr="007C5CC0">
        <w:rPr>
          <w:rFonts w:ascii="Calibri" w:hAnsi="Calibri"/>
          <w:sz w:val="24"/>
          <w:szCs w:val="24"/>
          <w:lang w:val="en-US"/>
        </w:rPr>
        <w:t>(</w:t>
      </w:r>
      <w:proofErr w:type="gramEnd"/>
      <w:r w:rsidRPr="007C5CC0">
        <w:rPr>
          <w:rFonts w:ascii="Calibri" w:hAnsi="Calibri"/>
          <w:sz w:val="24"/>
          <w:szCs w:val="24"/>
          <w:lang w:val="en-US"/>
        </w:rPr>
        <w:t xml:space="preserve">1) represents the </w:t>
      </w:r>
      <w:r w:rsidR="00346B38">
        <w:rPr>
          <w:rFonts w:ascii="Calibri" w:hAnsi="Calibri"/>
          <w:sz w:val="24"/>
          <w:szCs w:val="24"/>
          <w:lang w:val="en-US"/>
        </w:rPr>
        <w:t xml:space="preserve">instantaneous </w:t>
      </w:r>
      <w:r w:rsidR="00932DB0">
        <w:rPr>
          <w:rFonts w:ascii="Calibri" w:hAnsi="Calibri"/>
          <w:sz w:val="24"/>
          <w:szCs w:val="24"/>
          <w:lang w:val="en-US"/>
        </w:rPr>
        <w:t>oral administration</w:t>
      </w:r>
      <w:r w:rsidRPr="007C5CC0">
        <w:rPr>
          <w:rFonts w:ascii="Calibri" w:hAnsi="Calibri"/>
          <w:sz w:val="24"/>
          <w:szCs w:val="24"/>
          <w:lang w:val="en-US"/>
        </w:rPr>
        <w:t xml:space="preserve"> of voriconazole.  Two further parameters were incorporated into this model: (1) a lag function</w:t>
      </w:r>
      <w:proofErr w:type="gramStart"/>
      <w:r w:rsidRPr="007C5CC0">
        <w:rPr>
          <w:rFonts w:ascii="Calibri" w:hAnsi="Calibri"/>
          <w:sz w:val="24"/>
          <w:szCs w:val="24"/>
          <w:lang w:val="en-US"/>
        </w:rPr>
        <w:t>;</w:t>
      </w:r>
      <w:proofErr w:type="gramEnd"/>
      <w:r w:rsidRPr="007C5CC0">
        <w:rPr>
          <w:rFonts w:ascii="Calibri" w:hAnsi="Calibri"/>
          <w:sz w:val="24"/>
          <w:szCs w:val="24"/>
          <w:lang w:val="en-US"/>
        </w:rPr>
        <w:t xml:space="preserve"> </w:t>
      </w:r>
      <w:r w:rsidR="000173A9">
        <w:rPr>
          <w:rFonts w:ascii="Calibri" w:hAnsi="Calibri"/>
          <w:sz w:val="24"/>
          <w:szCs w:val="24"/>
          <w:lang w:val="en-US"/>
        </w:rPr>
        <w:t xml:space="preserve">and </w:t>
      </w:r>
      <w:r w:rsidRPr="007C5CC0">
        <w:rPr>
          <w:rFonts w:ascii="Calibri" w:hAnsi="Calibri"/>
          <w:sz w:val="24"/>
          <w:szCs w:val="24"/>
          <w:lang w:val="en-US"/>
        </w:rPr>
        <w:t>(2) an estimate of bioavailability</w:t>
      </w:r>
      <w:r w:rsidR="00654019">
        <w:rPr>
          <w:rFonts w:ascii="Calibri" w:hAnsi="Calibri"/>
          <w:sz w:val="24"/>
          <w:szCs w:val="24"/>
          <w:lang w:val="en-US"/>
        </w:rPr>
        <w:t xml:space="preserve">.  </w:t>
      </w:r>
      <w:r w:rsidR="00726215">
        <w:rPr>
          <w:rFonts w:ascii="Calibri" w:hAnsi="Calibri"/>
          <w:sz w:val="24"/>
          <w:szCs w:val="24"/>
          <w:lang w:val="en-US"/>
        </w:rPr>
        <w:t>The majority</w:t>
      </w:r>
      <w:r w:rsidR="00654019">
        <w:rPr>
          <w:rFonts w:ascii="Calibri" w:hAnsi="Calibri"/>
          <w:sz w:val="24"/>
          <w:szCs w:val="24"/>
          <w:lang w:val="en-US"/>
        </w:rPr>
        <w:t xml:space="preserve"> information related to these parameters was contained in the Bayesian prior</w:t>
      </w:r>
      <w:r w:rsidR="00726215">
        <w:rPr>
          <w:rFonts w:ascii="Calibri" w:hAnsi="Calibri"/>
          <w:sz w:val="24"/>
          <w:szCs w:val="24"/>
          <w:lang w:val="en-US"/>
        </w:rPr>
        <w:t xml:space="preserve">, </w:t>
      </w:r>
      <w:r w:rsidR="00F16510">
        <w:rPr>
          <w:rFonts w:ascii="Calibri" w:hAnsi="Calibri"/>
          <w:sz w:val="24"/>
          <w:szCs w:val="24"/>
          <w:lang w:val="en-US"/>
        </w:rPr>
        <w:t>which was</w:t>
      </w:r>
      <w:r w:rsidR="00726215">
        <w:rPr>
          <w:rFonts w:ascii="Calibri" w:hAnsi="Calibri"/>
          <w:sz w:val="24"/>
          <w:szCs w:val="24"/>
          <w:lang w:val="en-US"/>
        </w:rPr>
        <w:t xml:space="preserve"> </w:t>
      </w:r>
      <w:r w:rsidR="00F16510">
        <w:rPr>
          <w:rFonts w:ascii="Calibri" w:hAnsi="Calibri"/>
          <w:sz w:val="24"/>
          <w:szCs w:val="24"/>
          <w:lang w:val="en-US"/>
        </w:rPr>
        <w:t>made</w:t>
      </w:r>
      <w:r w:rsidRPr="007C5CC0">
        <w:rPr>
          <w:rFonts w:ascii="Calibri" w:hAnsi="Calibri"/>
          <w:sz w:val="24"/>
          <w:szCs w:val="24"/>
          <w:lang w:val="en-US"/>
        </w:rPr>
        <w:t xml:space="preserve"> possible </w:t>
      </w:r>
      <w:r w:rsidR="00F16510">
        <w:rPr>
          <w:rFonts w:ascii="Calibri" w:hAnsi="Calibri"/>
          <w:sz w:val="24"/>
          <w:szCs w:val="24"/>
          <w:lang w:val="en-US"/>
        </w:rPr>
        <w:t>by the</w:t>
      </w:r>
      <w:r w:rsidRPr="007C5CC0">
        <w:rPr>
          <w:rFonts w:ascii="Calibri" w:hAnsi="Calibri"/>
          <w:sz w:val="24"/>
          <w:szCs w:val="24"/>
          <w:lang w:val="en-US"/>
        </w:rPr>
        <w:t xml:space="preserve"> concomitant oral and i.v. </w:t>
      </w:r>
      <w:proofErr w:type="gramStart"/>
      <w:r w:rsidRPr="007C5CC0">
        <w:rPr>
          <w:rFonts w:ascii="Calibri" w:hAnsi="Calibri"/>
          <w:sz w:val="24"/>
          <w:szCs w:val="24"/>
          <w:lang w:val="en-US"/>
        </w:rPr>
        <w:t>input</w:t>
      </w:r>
      <w:proofErr w:type="gramEnd"/>
      <w:r w:rsidR="00726215">
        <w:rPr>
          <w:rFonts w:ascii="Calibri" w:hAnsi="Calibri"/>
          <w:sz w:val="24"/>
          <w:szCs w:val="24"/>
          <w:lang w:val="en-US"/>
        </w:rPr>
        <w:t xml:space="preserve"> in the earlier studies</w:t>
      </w:r>
      <w:r w:rsidRPr="007C5CC0">
        <w:rPr>
          <w:rFonts w:ascii="Calibri" w:hAnsi="Calibri"/>
          <w:sz w:val="24"/>
          <w:szCs w:val="24"/>
          <w:lang w:val="en-US"/>
        </w:rPr>
        <w:t xml:space="preserve">.  </w:t>
      </w:r>
      <w:r w:rsidR="00EF3E0C">
        <w:rPr>
          <w:rFonts w:ascii="Calibri" w:hAnsi="Calibri"/>
          <w:sz w:val="24"/>
          <w:szCs w:val="24"/>
          <w:lang w:val="en-US"/>
        </w:rPr>
        <w:t>The estimate</w:t>
      </w:r>
      <w:r w:rsidR="000173A9">
        <w:rPr>
          <w:rFonts w:ascii="Calibri" w:hAnsi="Calibri"/>
          <w:sz w:val="24"/>
          <w:szCs w:val="24"/>
          <w:lang w:val="en-US"/>
        </w:rPr>
        <w:t xml:space="preserve"> for </w:t>
      </w:r>
      <w:r w:rsidR="00EF3E0C">
        <w:rPr>
          <w:rFonts w:ascii="Calibri" w:hAnsi="Calibri"/>
          <w:sz w:val="24"/>
          <w:szCs w:val="24"/>
          <w:lang w:val="en-US"/>
        </w:rPr>
        <w:t>time lag was</w:t>
      </w:r>
      <w:r w:rsidR="000173A9">
        <w:rPr>
          <w:rFonts w:ascii="Calibri" w:hAnsi="Calibri"/>
          <w:sz w:val="24"/>
          <w:szCs w:val="24"/>
          <w:lang w:val="en-US"/>
        </w:rPr>
        <w:t xml:space="preserve"> </w:t>
      </w:r>
      <w:r w:rsidR="00250D1D">
        <w:rPr>
          <w:rFonts w:ascii="Calibri" w:hAnsi="Calibri"/>
          <w:sz w:val="24"/>
          <w:szCs w:val="24"/>
          <w:lang w:val="en-US"/>
        </w:rPr>
        <w:t xml:space="preserve">primarily </w:t>
      </w:r>
      <w:r w:rsidR="000173A9">
        <w:rPr>
          <w:rFonts w:ascii="Calibri" w:hAnsi="Calibri"/>
          <w:sz w:val="24"/>
          <w:szCs w:val="24"/>
          <w:lang w:val="en-US"/>
        </w:rPr>
        <w:t xml:space="preserve">enabled by data from </w:t>
      </w:r>
      <w:r w:rsidR="00250D1D">
        <w:rPr>
          <w:rFonts w:ascii="Calibri" w:hAnsi="Calibri"/>
          <w:sz w:val="24"/>
          <w:szCs w:val="24"/>
          <w:lang w:val="en-US"/>
        </w:rPr>
        <w:t xml:space="preserve">the healthy volunteer studies where there was intensive sampling </w:t>
      </w:r>
      <w:r w:rsidR="00C66B58">
        <w:rPr>
          <w:rFonts w:ascii="Calibri" w:hAnsi="Calibri"/>
          <w:sz w:val="24"/>
          <w:szCs w:val="24"/>
          <w:lang w:val="en-US"/>
        </w:rPr>
        <w:t xml:space="preserve">immediately after oral drug </w:t>
      </w:r>
      <w:r w:rsidR="00F810DA">
        <w:rPr>
          <w:rFonts w:ascii="Calibri" w:hAnsi="Calibri"/>
          <w:sz w:val="24"/>
          <w:szCs w:val="24"/>
          <w:lang w:val="en-US"/>
        </w:rPr>
        <w:t xml:space="preserve">administration.  The estimate for oral bioavailability was </w:t>
      </w:r>
      <w:r w:rsidR="00B059F4">
        <w:rPr>
          <w:rFonts w:ascii="Calibri" w:hAnsi="Calibri"/>
          <w:sz w:val="24"/>
          <w:szCs w:val="24"/>
          <w:lang w:val="en-US"/>
        </w:rPr>
        <w:t>enabled by both the healthy volunteer studies and phase III clinical trial</w:t>
      </w:r>
      <w:r w:rsidR="000C34BF">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"PMID" : "12167683", "abstract" : "BACKGROUND: Voriconazole is a broad-spectrum triazole that is active against aspergillus species. We conducted a randomized trial to compare voriconazole with amphotericin B for primary therapy of invasive aspergillosis. METHODS: In this randomized, unblinded trial, patients received either intravenous voriconazole (two doses of 6 mg per kilogram of body weight on day 1, then 4 mg per kilogram twice daily for at least seven days) followed by 200 mg orally twice daily or intravenous amphotericin B deoxycholate (1 to 1.5 mg per kilogram per day). Other licensed antifungal treatments were allowed if the initial therapy failed or if the patient had an intolerance to the first drug used. A complete or partial response was considered to be a successful outcome. RESULTS: A total of 144 patients in the voriconazole group and 133 patients in the amphotericin B group with definite or probable aspergillosis received at least one dose of treatment. In most of the patients, the underlying condition was allogeneic hematopoietic-cell transplantation, acute leukemia, or other hematologic diseases. At week 12, there were successful outcomes in 52.8 percent of the patients in the voriconazole group (complete responses in 20.8 percent and partial responses in 31.9 percent) and 31.6 percent of those in the amphotericin B group (complete responses in 16.5 percent and partial responses in 15.0 percent; absolute difference, 21.2 percentage points; 95 percent confidence interval, 10.4 to 32.9). The survival rate at 12 weeks was 70.8 percent in the voriconazole group and 57.9 percent in the amphotericin B group (hazard ratio, 0.59; 95 percent confidence interval, 0.40 to 0.88). Voriconazole-treated patients had significantly fewer severe drug-related adverse events, but transient visual disturbances were common with voriconazole (occurring in 44.8 percent of patients). CONCLUSIONS: In patients with invasive aspergillosis, initial therapy with voriconazole led to better responses and improved survival and resulted in fewer severe side effects than the standard approach of initial therapy with amphotericin B.", "author" : [ { "dropping-particle" : "", "family" : "Herbrecht", "given" : "R", "non-dropping-particle" : "", "parse-names" : false, "suffix" : "" }, { "dropping-particle" : "", "family" : "Denning", "given" : "D W", "non-dropping-particle" : "", "parse-names" : false, "suffix" : "" }, { "dropping-particle" : "", "family" : "Patterson", "given" : "T F", "non-dropping-particle" : "", "parse-names" : false, "suffix" : "" }, { "dropping-particle" : "", "family" : "Bennett", "given" : "J E", "non-dropping-particle" : "", "parse-names" : false, "suffix" : "" }, { "dropping-particle" : "", "family" : "Greene", "given" : "R E", "non-dropping-particle" : "", "parse-names" : false, "suffix" : "" }, { "dropping-particle" : "", "family" : "Oestmann", "given" : "J W", "non-dropping-particle" : "", "parse-names" : false, "suffix" : "" }, { "dropping-particle" : "V", "family" : "Kern", "given" : "W", "non-dropping-particle" : "", "parse-names" : false, "suffix" : "" }, { "dropping-particle" : "", "family" : "Marr", "given" : "K A", "non-dropping-particle" : "", "parse-names" : false, "suffix" : "" }, { "dropping-particle" : "", "family" : "Ribaud", "given" : "P", "non-dropping-particle" : "", "parse-names" : false, "suffix" : "" }, { "dropping-particle" : "", "family" : "Lortholary", "given" : "O", "non-dropping-particle" : "", "parse-names" : false, "suffix" : "" }, { "dropping-particle" : "", "family" : "Sylvester", "given" : "R", "non-dropping-particle" : "", "parse-names" : false, "suffix" : "" }, { "dropping-particle" : "", "family" : "Rubin", "given" : "R H", "non-dropping-particle" : "", "parse-names" : false, "suffix" : "" }, { "dropping-particle" : "", "family" : "Wingard", "given" : "J R", "non-dropping-particle" : "", "parse-names" : false, "suffix" : "" }, { "dropping-particle" : "", "family" : "Stark", "given" : "P", "non-dropping-particle" : "", "parse-names" : false, "suffix" : "" }, { "dropping-particle" : "", "family" : "Durand", "given" : "C", "non-dropping-particle" : "", "parse-names" : false, "suffix" : "" }, { "dropping-particle" : "", "family" : "Caillot", "given" : "D", "non-dropping-particle" : "", "parse-names" : false, "suffix" : "" }, { "dropping-particle" : "", "family" : "Thiel", "given" : "E", "non-dropping-particle" : "", "parse-names" : false, "suffix" : "" }, { "dropping-particle" : "", "family" : "Chandrasekar", "given" : "P H", "non-dropping-particle" : "", "parse-names" : false, "suffix" : "" }, { "dropping-particle" : "", "family" : "Hodges", "given" : "M R", "non-dropping-particle" : "", "parse-names" : false, "suffix" : "" }, { "dropping-particle" : "", "family" : "Schlamm", "given" : "H T", "non-dropping-particle" : "", "parse-names" : false, "suffix" : "" }, { "dropping-particle" : "", "family" : "Troke", "given" : "P F", "non-dropping-particle" : "", "parse-names" : false, "suffix" : "" }, { "dropping-particle" : "", "family" : "Pauw", "given" : "B", "non-dropping-particle" : "de", "parse-names" : false, "suffix" : "" } ], "container-title" : "N Engl J Med", "id" : "ITEM-1", "issue" : "6", "issued" : { "date-parts" : [ [ "2002" ] ] }, "note" : "1533-4406 (Electronic)\nClinical Trial\nJournal Article\nMulticenter Study\nRandomized Controlled Trial", "page" : "408-415", "title" : "Voriconazole versus amphotericin B for primary therapy of invasive aspergillosis", "type" : "article-journal", "volume" : "347" }, "uris" : [ "http://www.mendeley.com/documents/?uuid=e37cfd5f-68b2-49c6-94bd-c1842bb8f55e" ] } ], "mendeley" : { "formattedCitation" : "&lt;sup&gt;3&lt;/sup&gt;", "plainTextFormattedCitation" : "3", "previouslyFormattedCitation" : "&lt;sup&gt;3&lt;/sup&gt;" }, "properties" : { "noteIndex" : 0 }, "schema" : "https://github.com/citation-style-language/schema/raw/master/csl-citation.json" }</w:instrText>
      </w:r>
      <w:r w:rsidR="000C34BF">
        <w:rPr>
          <w:rFonts w:ascii="Calibri" w:hAnsi="Calibri"/>
          <w:sz w:val="24"/>
          <w:szCs w:val="24"/>
          <w:lang w:val="en-US"/>
        </w:rPr>
        <w:fldChar w:fldCharType="separate"/>
      </w:r>
      <w:r w:rsidR="00610755" w:rsidRPr="00610755">
        <w:rPr>
          <w:rFonts w:ascii="Calibri" w:hAnsi="Calibri"/>
          <w:noProof/>
          <w:sz w:val="24"/>
          <w:szCs w:val="24"/>
          <w:vertAlign w:val="superscript"/>
          <w:lang w:val="en-US"/>
        </w:rPr>
        <w:t>3</w:t>
      </w:r>
      <w:r w:rsidR="000C34BF">
        <w:rPr>
          <w:rFonts w:ascii="Calibri" w:hAnsi="Calibri"/>
          <w:sz w:val="24"/>
          <w:szCs w:val="24"/>
          <w:lang w:val="en-US"/>
        </w:rPr>
        <w:fldChar w:fldCharType="end"/>
      </w:r>
      <w:r w:rsidR="00B059F4">
        <w:rPr>
          <w:rFonts w:ascii="Calibri" w:hAnsi="Calibri"/>
          <w:sz w:val="24"/>
          <w:szCs w:val="24"/>
          <w:lang w:val="en-US"/>
        </w:rPr>
        <w:t xml:space="preserve"> where there was switching </w:t>
      </w:r>
      <w:r w:rsidR="000C34BF">
        <w:rPr>
          <w:rFonts w:ascii="Calibri" w:hAnsi="Calibri"/>
          <w:sz w:val="24"/>
          <w:szCs w:val="24"/>
          <w:lang w:val="en-US"/>
        </w:rPr>
        <w:t>between</w:t>
      </w:r>
      <w:r w:rsidR="00B059F4">
        <w:rPr>
          <w:rFonts w:ascii="Calibri" w:hAnsi="Calibri"/>
          <w:sz w:val="24"/>
          <w:szCs w:val="24"/>
          <w:lang w:val="en-US"/>
        </w:rPr>
        <w:t xml:space="preserve"> the</w:t>
      </w:r>
      <w:r w:rsidR="00C66B58">
        <w:rPr>
          <w:rFonts w:ascii="Calibri" w:hAnsi="Calibri"/>
          <w:sz w:val="24"/>
          <w:szCs w:val="24"/>
          <w:lang w:val="en-US"/>
        </w:rPr>
        <w:t xml:space="preserve"> i.v. </w:t>
      </w:r>
      <w:proofErr w:type="gramStart"/>
      <w:r w:rsidR="00B059F4">
        <w:rPr>
          <w:rFonts w:ascii="Calibri" w:hAnsi="Calibri"/>
          <w:sz w:val="24"/>
          <w:szCs w:val="24"/>
          <w:lang w:val="en-US"/>
        </w:rPr>
        <w:t>and</w:t>
      </w:r>
      <w:proofErr w:type="gramEnd"/>
      <w:r w:rsidR="00C66B58">
        <w:rPr>
          <w:rFonts w:ascii="Calibri" w:hAnsi="Calibri"/>
          <w:sz w:val="24"/>
          <w:szCs w:val="24"/>
          <w:lang w:val="en-US"/>
        </w:rPr>
        <w:t xml:space="preserve"> oral </w:t>
      </w:r>
      <w:r w:rsidR="000C34BF">
        <w:rPr>
          <w:rFonts w:ascii="Calibri" w:hAnsi="Calibri"/>
          <w:sz w:val="24"/>
          <w:szCs w:val="24"/>
          <w:lang w:val="en-US"/>
        </w:rPr>
        <w:t>dosing</w:t>
      </w:r>
      <w:r w:rsidR="00C66B58">
        <w:rPr>
          <w:rFonts w:ascii="Calibri" w:hAnsi="Calibri"/>
          <w:sz w:val="24"/>
          <w:szCs w:val="24"/>
          <w:lang w:val="en-US"/>
        </w:rPr>
        <w:t xml:space="preserve">.  </w:t>
      </w:r>
    </w:p>
    <w:p w14:paraId="54CF52A4" w14:textId="0418584B" w:rsidR="007C5CC0" w:rsidRPr="007C5CC0" w:rsidRDefault="007C5CC0" w:rsidP="007652E1">
      <w:pPr>
        <w:ind w:firstLine="680"/>
        <w:rPr>
          <w:rFonts w:ascii="Calibri" w:hAnsi="Calibri"/>
          <w:sz w:val="24"/>
          <w:szCs w:val="24"/>
          <w:lang w:val="en-US"/>
        </w:rPr>
      </w:pPr>
      <w:r w:rsidRPr="007C5CC0">
        <w:rPr>
          <w:rFonts w:ascii="Calibri" w:hAnsi="Calibri"/>
          <w:sz w:val="24"/>
          <w:szCs w:val="24"/>
          <w:lang w:val="en-US"/>
        </w:rPr>
        <w:t>Equations 1, 2 and 3 describe the rate of change of the amount of voriconazole in the gut, central compartment and peripheral compartment, respectively.  The data were weighted by the inverse of the estimated assay variance.  The fit of the model to the data was assessed using the log likelihood</w:t>
      </w:r>
      <w:r w:rsidR="003F24E4">
        <w:rPr>
          <w:rFonts w:ascii="Calibri" w:hAnsi="Calibri"/>
          <w:sz w:val="24"/>
          <w:szCs w:val="24"/>
          <w:lang w:val="en-US"/>
        </w:rPr>
        <w:t xml:space="preserve"> </w:t>
      </w:r>
      <w:proofErr w:type="gramStart"/>
      <w:r w:rsidR="003F24E4">
        <w:rPr>
          <w:rFonts w:ascii="Calibri" w:hAnsi="Calibri"/>
          <w:sz w:val="24"/>
          <w:szCs w:val="24"/>
          <w:lang w:val="en-US"/>
        </w:rPr>
        <w:t>value,</w:t>
      </w:r>
      <w:proofErr w:type="gramEnd"/>
      <w:r w:rsidRPr="007C5CC0">
        <w:rPr>
          <w:rFonts w:ascii="Calibri" w:hAnsi="Calibri"/>
          <w:sz w:val="24"/>
          <w:szCs w:val="24"/>
          <w:lang w:val="en-US"/>
        </w:rPr>
        <w:t xml:space="preserve"> mean weighted error (a measure of bias) and bias-adjusted mean weighted squared error (a measure of precision).  A visual inspection and the coefficient of determination of a linear regression of the observed-versus-predicted values w</w:t>
      </w:r>
      <w:r w:rsidR="00CA4B82">
        <w:rPr>
          <w:rFonts w:ascii="Calibri" w:hAnsi="Calibri"/>
          <w:sz w:val="24"/>
          <w:szCs w:val="24"/>
          <w:lang w:val="en-US"/>
        </w:rPr>
        <w:t>ere</w:t>
      </w:r>
      <w:r w:rsidRPr="007C5CC0">
        <w:rPr>
          <w:rFonts w:ascii="Calibri" w:hAnsi="Calibri"/>
          <w:sz w:val="24"/>
          <w:szCs w:val="24"/>
          <w:lang w:val="en-US"/>
        </w:rPr>
        <w:t xml:space="preserve"> also performed.  Bayesian estimates for the parameters for the individual volunteers and patients were obtained.  </w:t>
      </w:r>
    </w:p>
    <w:p w14:paraId="30A24402" w14:textId="334169A3" w:rsidR="000D48EB" w:rsidRDefault="00C90D58" w:rsidP="00793719">
      <w:pPr>
        <w:tabs>
          <w:tab w:val="left" w:pos="6379"/>
        </w:tabs>
        <w:ind w:firstLine="720"/>
        <w:rPr>
          <w:rFonts w:ascii="Calibri" w:hAnsi="Calibri"/>
          <w:sz w:val="24"/>
          <w:szCs w:val="24"/>
          <w:lang w:val="en-US"/>
        </w:rPr>
      </w:pPr>
      <w:r>
        <w:rPr>
          <w:rFonts w:ascii="Calibri" w:hAnsi="Calibri"/>
          <w:sz w:val="24"/>
          <w:szCs w:val="24"/>
          <w:lang w:val="en-US"/>
        </w:rPr>
        <w:t>A</w:t>
      </w:r>
      <w:r w:rsidR="008250D4" w:rsidRPr="007C5CC0">
        <w:rPr>
          <w:rFonts w:ascii="Calibri" w:hAnsi="Calibri"/>
          <w:sz w:val="24"/>
          <w:szCs w:val="24"/>
          <w:lang w:val="en-US"/>
        </w:rPr>
        <w:t xml:space="preserve">ny </w:t>
      </w:r>
      <w:r w:rsidR="00BF2EF7" w:rsidRPr="007C5CC0">
        <w:rPr>
          <w:rFonts w:ascii="Calibri" w:hAnsi="Calibri"/>
          <w:sz w:val="24"/>
          <w:szCs w:val="24"/>
          <w:lang w:val="en-US"/>
        </w:rPr>
        <w:t xml:space="preserve">switch </w:t>
      </w:r>
      <w:r w:rsidR="008250D4">
        <w:rPr>
          <w:rFonts w:ascii="Calibri" w:hAnsi="Calibri"/>
          <w:sz w:val="24"/>
          <w:szCs w:val="24"/>
          <w:lang w:val="en-US"/>
        </w:rPr>
        <w:t xml:space="preserve">from oral </w:t>
      </w:r>
      <w:r w:rsidR="00BF2EF7" w:rsidRPr="007C5CC0">
        <w:rPr>
          <w:rFonts w:ascii="Calibri" w:hAnsi="Calibri"/>
          <w:sz w:val="24"/>
          <w:szCs w:val="24"/>
          <w:lang w:val="en-US"/>
        </w:rPr>
        <w:t xml:space="preserve">to i.v. </w:t>
      </w:r>
      <w:proofErr w:type="gramStart"/>
      <w:r w:rsidR="00BF2EF7" w:rsidRPr="007C5CC0">
        <w:rPr>
          <w:rFonts w:ascii="Calibri" w:hAnsi="Calibri"/>
          <w:sz w:val="24"/>
          <w:szCs w:val="24"/>
          <w:lang w:val="en-US"/>
        </w:rPr>
        <w:t>therapy</w:t>
      </w:r>
      <w:proofErr w:type="gramEnd"/>
      <w:r w:rsidR="00BF2EF7" w:rsidRPr="007C5CC0">
        <w:rPr>
          <w:rFonts w:ascii="Calibri" w:hAnsi="Calibri"/>
          <w:sz w:val="24"/>
          <w:szCs w:val="24"/>
          <w:lang w:val="en-US"/>
        </w:rPr>
        <w:t xml:space="preserve"> </w:t>
      </w:r>
      <w:r w:rsidR="00BE1813">
        <w:rPr>
          <w:rFonts w:ascii="Calibri" w:hAnsi="Calibri"/>
          <w:sz w:val="24"/>
          <w:szCs w:val="24"/>
          <w:lang w:val="en-US"/>
        </w:rPr>
        <w:t xml:space="preserve">that had occurred </w:t>
      </w:r>
      <w:r w:rsidR="000761EB">
        <w:rPr>
          <w:rFonts w:ascii="Calibri" w:hAnsi="Calibri"/>
          <w:sz w:val="24"/>
          <w:szCs w:val="24"/>
          <w:lang w:val="en-US"/>
        </w:rPr>
        <w:t>because of</w:t>
      </w:r>
      <w:r w:rsidR="008B7540">
        <w:rPr>
          <w:rFonts w:ascii="Calibri" w:hAnsi="Calibri"/>
          <w:sz w:val="24"/>
          <w:szCs w:val="24"/>
          <w:lang w:val="en-US"/>
        </w:rPr>
        <w:t xml:space="preserve"> significant mucositis </w:t>
      </w:r>
      <w:r w:rsidR="00BF2EF7" w:rsidRPr="007C5CC0">
        <w:rPr>
          <w:rFonts w:ascii="Calibri" w:hAnsi="Calibri"/>
          <w:sz w:val="24"/>
          <w:szCs w:val="24"/>
          <w:lang w:val="en-US"/>
        </w:rPr>
        <w:t>was not collected</w:t>
      </w:r>
      <w:r w:rsidR="00F00B62">
        <w:rPr>
          <w:rFonts w:ascii="Calibri" w:hAnsi="Calibri"/>
          <w:sz w:val="24"/>
          <w:szCs w:val="24"/>
          <w:lang w:val="en-US"/>
        </w:rPr>
        <w:t xml:space="preserve"> on the clinical report forms.  A</w:t>
      </w:r>
      <w:r w:rsidR="00BF2EF7" w:rsidRPr="007C5CC0">
        <w:rPr>
          <w:rFonts w:ascii="Calibri" w:hAnsi="Calibri"/>
          <w:sz w:val="24"/>
          <w:szCs w:val="24"/>
          <w:lang w:val="en-US"/>
        </w:rPr>
        <w:t xml:space="preserve"> retrospective search of all patients’ medical records was infeasible.  To circumvent this problem,</w:t>
      </w:r>
      <w:r w:rsidR="00C162B1" w:rsidRPr="007C5CC0">
        <w:rPr>
          <w:rFonts w:ascii="Calibri" w:hAnsi="Calibri"/>
          <w:sz w:val="24"/>
          <w:szCs w:val="24"/>
          <w:lang w:val="en-US"/>
        </w:rPr>
        <w:t xml:space="preserve"> all drug input</w:t>
      </w:r>
      <w:r w:rsidR="00597C19">
        <w:rPr>
          <w:rFonts w:ascii="Calibri" w:hAnsi="Calibri"/>
          <w:sz w:val="24"/>
          <w:szCs w:val="24"/>
          <w:lang w:val="en-US"/>
        </w:rPr>
        <w:t>s</w:t>
      </w:r>
      <w:r w:rsidR="00E508C8" w:rsidRPr="007C5CC0">
        <w:rPr>
          <w:rFonts w:ascii="Calibri" w:hAnsi="Calibri"/>
          <w:sz w:val="24"/>
          <w:szCs w:val="24"/>
          <w:lang w:val="en-US"/>
        </w:rPr>
        <w:t xml:space="preserve"> </w:t>
      </w:r>
      <w:r w:rsidR="00597C19">
        <w:rPr>
          <w:rFonts w:ascii="Calibri" w:hAnsi="Calibri"/>
          <w:sz w:val="24"/>
          <w:szCs w:val="24"/>
          <w:lang w:val="en-US"/>
        </w:rPr>
        <w:t xml:space="preserve">were modeled as if they had been administered </w:t>
      </w:r>
      <w:r w:rsidR="00E508C8" w:rsidRPr="007C5CC0">
        <w:rPr>
          <w:rFonts w:ascii="Calibri" w:hAnsi="Calibri"/>
          <w:sz w:val="24"/>
          <w:szCs w:val="24"/>
          <w:lang w:val="en-US"/>
        </w:rPr>
        <w:t>into the gut</w:t>
      </w:r>
      <w:r w:rsidR="00C162B1" w:rsidRPr="007C5CC0">
        <w:rPr>
          <w:rFonts w:ascii="Calibri" w:hAnsi="Calibri"/>
          <w:sz w:val="24"/>
          <w:szCs w:val="24"/>
          <w:lang w:val="en-US"/>
        </w:rPr>
        <w:t xml:space="preserve">, regardless of whether </w:t>
      </w:r>
      <w:r w:rsidR="001634D2">
        <w:rPr>
          <w:rFonts w:ascii="Calibri" w:hAnsi="Calibri"/>
          <w:sz w:val="24"/>
          <w:szCs w:val="24"/>
          <w:lang w:val="en-US"/>
        </w:rPr>
        <w:t>voriconazole had</w:t>
      </w:r>
      <w:r w:rsidR="00C162B1" w:rsidRPr="007C5CC0">
        <w:rPr>
          <w:rFonts w:ascii="Calibri" w:hAnsi="Calibri"/>
          <w:sz w:val="24"/>
          <w:szCs w:val="24"/>
          <w:lang w:val="en-US"/>
        </w:rPr>
        <w:t xml:space="preserve"> been adm</w:t>
      </w:r>
      <w:r w:rsidR="001634D2">
        <w:rPr>
          <w:rFonts w:ascii="Calibri" w:hAnsi="Calibri"/>
          <w:sz w:val="24"/>
          <w:szCs w:val="24"/>
          <w:lang w:val="en-US"/>
        </w:rPr>
        <w:t>inister</w:t>
      </w:r>
      <w:r w:rsidR="00C162B1" w:rsidRPr="007C5CC0">
        <w:rPr>
          <w:rFonts w:ascii="Calibri" w:hAnsi="Calibri"/>
          <w:sz w:val="24"/>
          <w:szCs w:val="24"/>
          <w:lang w:val="en-US"/>
        </w:rPr>
        <w:t>ed orally or i.v.</w:t>
      </w:r>
      <w:r w:rsidR="001634D2">
        <w:rPr>
          <w:rFonts w:ascii="Calibri" w:hAnsi="Calibri"/>
          <w:sz w:val="24"/>
          <w:szCs w:val="24"/>
          <w:lang w:val="en-US"/>
        </w:rPr>
        <w:t xml:space="preserve"> </w:t>
      </w:r>
      <w:proofErr w:type="gramStart"/>
      <w:r w:rsidR="001634D2">
        <w:rPr>
          <w:rFonts w:ascii="Calibri" w:hAnsi="Calibri"/>
          <w:sz w:val="24"/>
          <w:szCs w:val="24"/>
          <w:lang w:val="en-US"/>
        </w:rPr>
        <w:t>for</w:t>
      </w:r>
      <w:proofErr w:type="gramEnd"/>
      <w:r w:rsidR="001634D2">
        <w:rPr>
          <w:rFonts w:ascii="Calibri" w:hAnsi="Calibri"/>
          <w:sz w:val="24"/>
          <w:szCs w:val="24"/>
          <w:lang w:val="en-US"/>
        </w:rPr>
        <w:t xml:space="preserve"> all or </w:t>
      </w:r>
      <w:r w:rsidR="0084385C">
        <w:rPr>
          <w:rFonts w:ascii="Calibri" w:hAnsi="Calibri"/>
          <w:sz w:val="24"/>
          <w:szCs w:val="24"/>
          <w:lang w:val="en-US"/>
        </w:rPr>
        <w:t xml:space="preserve">(more likely) </w:t>
      </w:r>
      <w:r w:rsidR="001634D2">
        <w:rPr>
          <w:rFonts w:ascii="Calibri" w:hAnsi="Calibri"/>
          <w:sz w:val="24"/>
          <w:szCs w:val="24"/>
          <w:lang w:val="en-US"/>
        </w:rPr>
        <w:t xml:space="preserve">part of the treatment period.  </w:t>
      </w:r>
      <w:r w:rsidR="004F3500">
        <w:rPr>
          <w:rFonts w:ascii="Calibri" w:hAnsi="Calibri"/>
          <w:sz w:val="24"/>
          <w:szCs w:val="24"/>
          <w:lang w:val="en-US"/>
        </w:rPr>
        <w:t>Thus, there may be some</w:t>
      </w:r>
      <w:r w:rsidR="001634D2">
        <w:rPr>
          <w:rFonts w:ascii="Calibri" w:hAnsi="Calibri"/>
          <w:sz w:val="24"/>
          <w:szCs w:val="24"/>
          <w:lang w:val="en-US"/>
        </w:rPr>
        <w:t xml:space="preserve"> </w:t>
      </w:r>
      <w:r w:rsidR="001634D2" w:rsidRPr="00793719">
        <w:rPr>
          <w:rFonts w:ascii="Calibri" w:hAnsi="Calibri"/>
          <w:sz w:val="24"/>
          <w:szCs w:val="24"/>
          <w:lang w:val="en-US"/>
        </w:rPr>
        <w:t xml:space="preserve">impact on estimates </w:t>
      </w:r>
      <w:r w:rsidR="004F3500">
        <w:rPr>
          <w:rFonts w:ascii="Calibri" w:hAnsi="Calibri"/>
          <w:sz w:val="24"/>
          <w:szCs w:val="24"/>
          <w:lang w:val="en-US"/>
        </w:rPr>
        <w:t>for</w:t>
      </w:r>
      <w:r w:rsidR="001634D2" w:rsidRPr="00793719">
        <w:rPr>
          <w:rFonts w:ascii="Calibri" w:hAnsi="Calibri"/>
          <w:sz w:val="24"/>
          <w:szCs w:val="24"/>
          <w:lang w:val="en-US"/>
        </w:rPr>
        <w:t xml:space="preserve"> </w:t>
      </w:r>
      <w:proofErr w:type="spellStart"/>
      <w:r w:rsidR="001634D2" w:rsidRPr="00793719">
        <w:rPr>
          <w:rFonts w:ascii="Calibri" w:hAnsi="Calibri"/>
          <w:sz w:val="24"/>
          <w:szCs w:val="24"/>
          <w:lang w:val="en-US"/>
        </w:rPr>
        <w:t>Ka</w:t>
      </w:r>
      <w:proofErr w:type="spellEnd"/>
      <w:r w:rsidR="001634D2" w:rsidRPr="00793719">
        <w:rPr>
          <w:rFonts w:ascii="Calibri" w:hAnsi="Calibri"/>
          <w:sz w:val="24"/>
          <w:szCs w:val="24"/>
          <w:lang w:val="en-US"/>
        </w:rPr>
        <w:t xml:space="preserve"> and oral bioavailability, which may potentially deviate from the “true” </w:t>
      </w:r>
      <w:r w:rsidR="000761EB">
        <w:rPr>
          <w:rFonts w:ascii="Calibri" w:hAnsi="Calibri"/>
          <w:sz w:val="24"/>
          <w:szCs w:val="24"/>
          <w:lang w:val="en-US"/>
        </w:rPr>
        <w:t>values for these parameters</w:t>
      </w:r>
      <w:r w:rsidR="001634D2" w:rsidRPr="00793719">
        <w:rPr>
          <w:rFonts w:ascii="Calibri" w:hAnsi="Calibri"/>
          <w:sz w:val="24"/>
          <w:szCs w:val="24"/>
          <w:lang w:val="en-US"/>
        </w:rPr>
        <w:t>.</w:t>
      </w:r>
    </w:p>
    <w:p w14:paraId="0CD9F37D" w14:textId="77777777" w:rsidR="007A0416" w:rsidRDefault="007A0416" w:rsidP="00793719">
      <w:pPr>
        <w:tabs>
          <w:tab w:val="left" w:pos="6379"/>
        </w:tabs>
        <w:ind w:firstLine="720"/>
        <w:rPr>
          <w:rFonts w:ascii="Calibri" w:hAnsi="Calibri"/>
          <w:sz w:val="24"/>
          <w:szCs w:val="24"/>
          <w:lang w:val="en-US"/>
        </w:rPr>
      </w:pPr>
    </w:p>
    <w:p w14:paraId="5D11BF58" w14:textId="77777777" w:rsidR="00602EE1" w:rsidRPr="00793719" w:rsidRDefault="00602EE1" w:rsidP="00793719">
      <w:pPr>
        <w:tabs>
          <w:tab w:val="left" w:pos="680"/>
        </w:tabs>
        <w:rPr>
          <w:rFonts w:ascii="Calibri" w:hAnsi="Calibri"/>
          <w:b/>
          <w:i/>
          <w:sz w:val="24"/>
          <w:szCs w:val="24"/>
          <w:lang w:val="en-US"/>
        </w:rPr>
      </w:pPr>
      <w:r w:rsidRPr="00793719">
        <w:rPr>
          <w:rFonts w:ascii="Calibri" w:hAnsi="Calibri"/>
          <w:b/>
          <w:i/>
          <w:sz w:val="24"/>
          <w:szCs w:val="24"/>
          <w:lang w:val="en-US"/>
        </w:rPr>
        <w:t>Monitoring for Invasive Fungal Infections</w:t>
      </w:r>
    </w:p>
    <w:p w14:paraId="0CE67BA6" w14:textId="4F28A591" w:rsidR="00602EE1" w:rsidRDefault="0081242F" w:rsidP="00793719">
      <w:pPr>
        <w:rPr>
          <w:rFonts w:ascii="Calibri" w:hAnsi="Calibri"/>
          <w:sz w:val="24"/>
          <w:szCs w:val="24"/>
          <w:lang w:val="en-US"/>
        </w:rPr>
      </w:pPr>
      <w:r>
        <w:rPr>
          <w:rFonts w:ascii="Calibri" w:hAnsi="Calibri"/>
          <w:sz w:val="24"/>
          <w:szCs w:val="24"/>
          <w:lang w:val="en-US"/>
        </w:rPr>
        <w:tab/>
        <w:t>Patients were screened twice weekly with galactomannan to day +60, and then weekly until day +100.  A positive galactomannan or other clinical features of IF</w:t>
      </w:r>
      <w:r w:rsidR="00760C2A">
        <w:rPr>
          <w:rFonts w:ascii="Calibri" w:hAnsi="Calibri"/>
          <w:sz w:val="24"/>
          <w:szCs w:val="24"/>
          <w:lang w:val="en-US"/>
        </w:rPr>
        <w:t>D</w:t>
      </w:r>
      <w:r>
        <w:rPr>
          <w:rFonts w:ascii="Calibri" w:hAnsi="Calibri"/>
          <w:sz w:val="24"/>
          <w:szCs w:val="24"/>
          <w:lang w:val="en-US"/>
        </w:rPr>
        <w:t xml:space="preserve"> triggered a mandatory work-up for the presence of an IF</w:t>
      </w:r>
      <w:r w:rsidR="00760C2A">
        <w:rPr>
          <w:rFonts w:ascii="Calibri" w:hAnsi="Calibri"/>
          <w:sz w:val="24"/>
          <w:szCs w:val="24"/>
          <w:lang w:val="en-US"/>
        </w:rPr>
        <w:t>D</w:t>
      </w:r>
      <w:r>
        <w:rPr>
          <w:rFonts w:ascii="Calibri" w:hAnsi="Calibri"/>
          <w:sz w:val="24"/>
          <w:szCs w:val="24"/>
          <w:lang w:val="en-US"/>
        </w:rPr>
        <w:t xml:space="preserve"> (e.g. CT scans, bronchoscopy).</w:t>
      </w:r>
      <w:r w:rsidR="004248FC">
        <w:rPr>
          <w:rFonts w:ascii="Calibri" w:hAnsi="Calibri"/>
          <w:sz w:val="24"/>
          <w:szCs w:val="24"/>
          <w:lang w:val="en-US"/>
        </w:rPr>
        <w:t xml:space="preserve"> </w:t>
      </w:r>
    </w:p>
    <w:p w14:paraId="1923CB5B" w14:textId="77777777" w:rsidR="00F53770" w:rsidRDefault="00F53770" w:rsidP="00793719">
      <w:pPr>
        <w:rPr>
          <w:rFonts w:ascii="Calibri" w:hAnsi="Calibri"/>
          <w:sz w:val="24"/>
          <w:szCs w:val="24"/>
          <w:lang w:val="en-US"/>
        </w:rPr>
      </w:pPr>
    </w:p>
    <w:p w14:paraId="18FBB4C1" w14:textId="65649912" w:rsidR="00EE3A1E" w:rsidRPr="00646FC5" w:rsidRDefault="00EE3A1E" w:rsidP="007C5CC0">
      <w:pPr>
        <w:tabs>
          <w:tab w:val="left" w:pos="6379"/>
        </w:tabs>
        <w:rPr>
          <w:rFonts w:ascii="Calibri" w:hAnsi="Calibri"/>
          <w:b/>
          <w:i/>
          <w:sz w:val="24"/>
          <w:szCs w:val="24"/>
          <w:lang w:val="en-US"/>
        </w:rPr>
      </w:pPr>
      <w:r w:rsidRPr="00646FC5">
        <w:rPr>
          <w:rFonts w:ascii="Calibri" w:hAnsi="Calibri"/>
          <w:b/>
          <w:i/>
          <w:sz w:val="24"/>
          <w:szCs w:val="24"/>
          <w:lang w:val="en-US"/>
        </w:rPr>
        <w:t xml:space="preserve">Study Definitions of Invasive Fungal </w:t>
      </w:r>
      <w:r w:rsidR="00FA00B0">
        <w:rPr>
          <w:rFonts w:ascii="Calibri" w:hAnsi="Calibri"/>
          <w:b/>
          <w:i/>
          <w:sz w:val="24"/>
          <w:szCs w:val="24"/>
          <w:lang w:val="en-US"/>
        </w:rPr>
        <w:t>Disease</w:t>
      </w:r>
    </w:p>
    <w:p w14:paraId="0B521BCC" w14:textId="48DB3A86" w:rsidR="00EE3A1E" w:rsidRPr="00DE1CBA" w:rsidRDefault="00581117" w:rsidP="00E35A47">
      <w:pPr>
        <w:divId w:val="2127893226"/>
        <w:rPr>
          <w:rFonts w:ascii="Calibri" w:hAnsi="Calibri"/>
          <w:lang w:val="en-US"/>
        </w:rPr>
      </w:pPr>
      <w:r w:rsidRPr="00E35A47">
        <w:rPr>
          <w:rFonts w:ascii="Calibri" w:hAnsi="Calibri"/>
          <w:sz w:val="24"/>
          <w:szCs w:val="24"/>
          <w:lang w:val="en-US"/>
        </w:rPr>
        <w:tab/>
      </w:r>
      <w:r w:rsidR="00CB69B8" w:rsidRPr="00E35A47">
        <w:rPr>
          <w:rFonts w:ascii="Calibri" w:hAnsi="Calibri"/>
          <w:sz w:val="24"/>
          <w:szCs w:val="24"/>
          <w:lang w:val="en-US"/>
        </w:rPr>
        <w:t xml:space="preserve">The EORTC/ MSG criteria were used to classify patients as having proven, probable, possible or </w:t>
      </w:r>
      <w:r w:rsidR="00646FC5">
        <w:rPr>
          <w:rFonts w:ascii="Calibri" w:hAnsi="Calibri"/>
          <w:sz w:val="24"/>
          <w:szCs w:val="24"/>
          <w:lang w:val="en-US"/>
        </w:rPr>
        <w:t xml:space="preserve">having </w:t>
      </w:r>
      <w:r w:rsidR="00CB69B8" w:rsidRPr="00E35A47">
        <w:rPr>
          <w:rFonts w:ascii="Calibri" w:hAnsi="Calibri"/>
          <w:sz w:val="24"/>
          <w:szCs w:val="24"/>
          <w:lang w:val="en-US"/>
        </w:rPr>
        <w:t>no infection</w:t>
      </w:r>
      <w:r w:rsidR="0089403E">
        <w:rPr>
          <w:rFonts w:ascii="Calibri" w:hAnsi="Calibri"/>
          <w:sz w:val="24"/>
          <w:szCs w:val="24"/>
          <w:lang w:val="en-US"/>
        </w:rPr>
        <w:t>.</w:t>
      </w:r>
      <w:r w:rsidR="00BD554F" w:rsidRPr="00E35A47">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"10.1086/588660", "ISBN" : "1537-6591 (Electronic) 1058-4838 (Linking)", "PMID" : "18462102", "abstract" : "BACKGROUND: Invasive fungal diseases are important causes of morbidity and mortality. Clarity and uniformity in defining these infections are important factors in improving the quality of clinical studies. A standard set of definitions strengthens the consistency and reproducibility of such studies. METHODS: After the introduction of the original European Organization for Research and Treatment of Cancer/Invasive Fungal Infections Cooperative Group and the National Institute of Allergy and Infectious Diseases Mycoses Study Group (EORTC/MSG) Consensus Group definitions, advances in diagnostic technology and the recognition of areas in need of improvement led to a revision of this document. The revision process started with a meeting of participants in 2003, to decide on the process and to draft the proposal. This was followed by several rounds of consultation until a final draft was approved in 2005. This was made available for 6 months to allow public comment, and then the manuscript was prepared and approved. RESULTS: The revised definitions retain the original classifications of \"proven,\" \"probable,\" and \"possible\" invasive fungal disease, but the definition of \"probable\" has been expanded, whereas the scope of the category \"possible\" has been diminished. The category of proven invasive fungal disease can apply to any patient, regardless of whether the patient is immunocompromised, whereas the probable and possible categories are proposed for immunocompromised patients only. CONCLUSIONS: These revised definitions of invasive fungal disease are intended to advance clinical and epidemiological research and may serve as a useful model for defining other infections in high-risk patients.", "author" : [ { "dropping-particle" : "", "family" : "Pauw", "given" : "B", "non-dropping-particle" : "De", "parse-names" : false, "suffix" : "" }, { "dropping-particle" : "", "family" : "Walsh", "given" : "Thomas J", "non-dropping-particle" : "", "parse-names" : false, "suffix" : "" }, { "dropping-particle" : "", "family" : "Donnelly", "given" : "J Peter", "non-dropping-particle" : "", "parse-names" : false, "suffix" : "" }, { "dropping-particle" : "", "family" : "Stevens", "given" : "David A", "non-dropping-particle" : "", "parse-names" : false, "suffix" : "" }, { "dropping-particle" : "", "family" : "Edwards", "given" : "John E", "non-dropping-particle" : "", "parse-names" : false, "suffix" : "" }, { "dropping-particle" : "", "family" : "Calandra", "given" : "Thierry", "non-dropping-particle" : "", "parse-names" : false, "suffix" : "" }, { "dropping-particle" : "", "family" : "Pappas", "given" : "Peter G", "non-dropping-particle" : "", "parse-names" : false, "suffix" : "" }, { "dropping-particle" : "", "family" : "Maertens", "given" : "Johan", "non-dropping-particle" : "", "parse-names" : false, "suffix" : "" }, { "dropping-particle" : "", "family" : "Lortholary", "given" : "Olivier", "non-dropping-particle" : "", "parse-names" : false, "suffix" : "" }, { "dropping-particle" : "", "family" : "Kauffman", "given" : "Carol A", "non-dropping-particle" : "", "parse-names" : false, "suffix" : "" }, { "dropping-particle" : "", "family" : "Denning", "given" : "David W", "non-dropping-particle" : "", "parse-names" : false, "suffix" : "" }, { "dropping-particle" : "", "family" : "Patterson", "given" : "Thomas F", "non-dropping-particle" : "", "parse-names" : false, "suffix" : "" }, { "dropping-particle" : "", "family" : "Maschmeyer", "given" : "Georg", "non-dropping-particle" : "", "parse-names" : false, "suffix" : "" }, { "dropping-particle" : "", "family" : "Bille", "given" : "Jacques", "non-dropping-particle" : "", "parse-names" : false, "suffix" : "" }, { "dropping-particle" : "", "family" : "Dismukes", "given" : "William E", "non-dropping-particle" : "", "parse-names" : false, "suffix" : "" }, { "dropping-particle" : "", "family" : "Herbrecht", "given" : "Raoul", "non-dropping-particle" : "", "parse-names" : false, "suffix" : "" }, { "dropping-particle" : "", "family" : "Hope", "given" : "William W", "non-dropping-particle" : "", "parse-names" : false, "suffix" : "" }, { "dropping-particle" : "", "family" : "Kibbler", "given" : "Christopher C", "non-dropping-particle" : "", "parse-names" : false, "suffix" : "" }, { "dropping-particle" : "", "family" : "Kullberg", "given" : "Bart Jan", "non-dropping-particle" : "", "parse-names" : false, "suffix" : "" }, { "dropping-particle" : "", "family" : "Marr", "given" : "Kieren A", "non-dropping-particle" : "", "parse-names" : false, "suffix" : "" }, { "dropping-particle" : "", "family" : "Munoz", "given" : "P", "non-dropping-particle" : "", "parse-names" : false, "suffix" : "" }, { "dropping-particle" : "", "family" : "Odds", "given" : "Frank C", "non-dropping-particle" : "", "parse-names" : false, "suffix" : "" }, { "dropping-particle" : "", "family" : "Perfect", "given" : "John R", "non-dropping-particle" : "", "parse-names" : false, "suffix" : "" }, { "dropping-particle" : "", "family" : "Restrepo", "given" : "Angela", "non-dropping-particle" : "", "parse-names" : false, "suffix" : "" }, { "dropping-particle" : "", "family" : "Ruhnke", "given" : "Markus", "non-dropping-particle" : "", "parse-names" : false, "suffix" : "" }, { "dropping-particle" : "", "family" : "Segal", "given" : "Brahm H", "non-dropping-particle" : "", "parse-names" : false, "suffix" : "" }, { "dropping-particle" : "", "family" : "Sobel", "given" : "Jack D", "non-dropping-particle" : "", "parse-names" : false, "suffix" : "" }, { "dropping-particle" : "", "family" : "Sorrell", "given" : "Tania C", "non-dropping-particle" : "", "parse-names" : false, "suffix" : "" }, { "dropping-particle" : "", "family" : "Viscoli", "given" : "Claudio", "non-dropping-particle" : "", "parse-names" : false, "suffix" : "" }, { "dropping-particle" : "", "family" : "Wingard", "given" : "John R", "non-dropping-particle" : "", "parse-names" : false, "suffix" : "" }, { "dropping-particle" : "", "family" : "Zaoutis", "given" : "Theoklis", "non-dropping-particle" : "", "parse-names" : false, "suffix" : "" }, { "dropping-particle" : "", "family" : "Bennett", "given" : "John E", "non-dropping-particle" : "", "parse-names" : false, "suffix" : "" }, { "dropping-particle" : "De", "family" : "Pauw", "given" : "Ben", "non-dropping-particle" : "", "parse-names" : false, "suffix" : "" }, { "dropping-particle" : "", "family" : "Mun", "given" : "Patricia", "non-dropping-particle" : "", "parse-names" : false, "suffix" : "" } ], "container-title" : "Clin Infect Dis", "id" : "ITEM-1", "issue" : "12", "issued" : { "date-parts" : [ [ "2008" ] ] }, "note" : "From Duplicate 1 ( \n\n\n\n\n\n\n\nRevised definitions of invasive fungal disease from the European Organization for Research and Treatment of Cancer/Invasive Fungal Infections Cooperative Group and the National Institute of Allergy and Infectious Diseases Mycoses Study Group (EORTC/MSG) Consensus Group\n\n\n\n\n\n\n\n- De Pauw, B; Walsh, T J; Donnelly, J P; Stevens, D A; Edwards, J E; Calandra, T; Pappas, P G; Maertens, J; Lortholary, O; Kauffman, C A; Denning, D W; Patterson, T F; Maschmeyer, G; Bille, J; Dismukes, W E; Herbrecht, R; Hope, W W; Kibbler, C C; Kullberg, B J; Marr, K A; Munoz, P; Odds, F C; Perfect, J R; Restrepo, A; Ruhnke, M; Segal, B H; Sobel, J D; Sorrell, T C; Viscoli, C; Wingard, J R; Zaoutis, T; Bennett, J E )\nAnd Duplicate 3 ( \n\n\n\n\n\n\n\nRevised definitions of invasive fungal disease from the European Organization for Research and Treatment of Cancer/Invasive Fungal Infections Cooperative Group and the National Institute of Allergy and Infectious Diseases Mycoses Study Group (EORTC/MSG) Consensus Group\n\n\n\n\n\n\n\n- De Pauw, B; Walsh, T J; Donnelly, J P; Stevens, D A; Edwards, J E; Calandra, T; Pappas, P G; Maertens, J; Lortholary, O; Kauffman, C A; Denning, D W; Patterson, T F; Maschmeyer, G; Bille, J; Dismukes, W E; Herbrecht, R; Hope, W W; Kibbler, C C; Kullberg, B J; Marr, K A; Munoz, P; Odds, F C; Perfect, J R; Restrepo, A; Ruhnke, M; Segal, B H; Sobel, J D; Sorrell, T C; Viscoli, C; Wingard, J R; Zaoutis, T; Bennett, J E )\n\n\n\n\n\n\n\nDe Pauw, Ben\nWalsh, Thomas J\nDonnelly, J Peter\nStevens, David A\nEdwards, John E\nCalandra, Thierry\nPappas, Peter G\nMaertens, Johan\nLortholary, Olivier\nKauffman, Carol A\nDenning, David W\nPatterson, Thomas F\nMaschmeyer, Georg\nBille, Jacques\nDismukes, William E\nHerbrecht, Raoul\nHope, William W\nKibbler, Christopher C\nKullberg, Bart Jan\nMarr, Kieren A\nMunoz, Patricia\nOdds, Frank C\nPerfect, John R\nRestrepo, Angela\nRuhnke, Markus\nSegal, Brahm H\nSobel, Jack D\nSorrell, Tania C\nViscoli, Claudio\nWingard, John R\nZaoutis, Theoklis\nBennett, John E\nEuropean Organization for Research and Treatment of Cancer/Invasive Fungal Infections Cooperative Group\nNational Institute of Allergy and Infectious Diseases Mycoses Study Group (EORTC/MSG) Consensus Group\nZ01 AI000654-16/AI/NIAID NIH HHS/\nClin Infect Dis. 2008 Jun 15;46(12):1813-21. doi: 10.1086/588660.", "page" : "1813-1821", "title" : "Revised definitions of invasive fungal disease from the European Organization for Research and Treatment of Cancer/Invasive Fungal Infections Cooperative Group and the National Institute of Allergy and Infectious Diseases Mycoses Study Group (EORTC/MSG)", "type" : "article-journal", "volume" : "46" }, "uris" : [ "http://www.mendeley.com/documents/?uuid=0db98364-dd7b-42fa-b85d-2423becddd2b" ] } ], "mendeley" : { "formattedCitation" : "&lt;sup&gt;20&lt;/sup&gt;", "plainTextFormattedCitation" : "20", "previouslyFormattedCitation" : "&lt;sup&gt;20&lt;/sup&gt;" }, "properties" : { "noteIndex" : 0 }, "schema" : "https://github.com/citation-style-language/schema/raw/master/csl-citation.json" }</w:instrText>
      </w:r>
      <w:r w:rsidR="00BD554F" w:rsidRPr="00E35A47">
        <w:rPr>
          <w:rFonts w:ascii="Calibri" w:hAnsi="Calibri"/>
          <w:sz w:val="24"/>
          <w:szCs w:val="24"/>
          <w:lang w:val="en-US"/>
        </w:rPr>
        <w:fldChar w:fldCharType="separate"/>
      </w:r>
      <w:r w:rsidR="00610755" w:rsidRPr="00610755">
        <w:rPr>
          <w:rFonts w:ascii="Calibri" w:hAnsi="Calibri"/>
          <w:noProof/>
          <w:sz w:val="24"/>
          <w:szCs w:val="24"/>
          <w:vertAlign w:val="superscript"/>
          <w:lang w:val="en-US"/>
        </w:rPr>
        <w:t>20</w:t>
      </w:r>
      <w:r w:rsidR="00BD554F" w:rsidRPr="00E35A47">
        <w:rPr>
          <w:rFonts w:ascii="Calibri" w:hAnsi="Calibri"/>
          <w:sz w:val="24"/>
          <w:szCs w:val="24"/>
          <w:lang w:val="en-US"/>
        </w:rPr>
        <w:fldChar w:fldCharType="end"/>
      </w:r>
      <w:proofErr w:type="gramStart"/>
      <w:r w:rsidR="00BD554F" w:rsidRPr="00E35A47">
        <w:rPr>
          <w:rFonts w:ascii="Calibri" w:hAnsi="Calibri"/>
          <w:sz w:val="24"/>
          <w:szCs w:val="24"/>
          <w:lang w:val="en-US"/>
        </w:rPr>
        <w:t xml:space="preserve"> </w:t>
      </w:r>
      <w:r w:rsidR="00646FC5">
        <w:rPr>
          <w:rFonts w:ascii="Calibri" w:hAnsi="Calibri"/>
          <w:sz w:val="24"/>
          <w:szCs w:val="24"/>
          <w:lang w:val="en-US"/>
        </w:rPr>
        <w:t xml:space="preserve"> </w:t>
      </w:r>
      <w:r w:rsidR="00C162B1" w:rsidRPr="00E35A47">
        <w:rPr>
          <w:rFonts w:ascii="Calibri" w:hAnsi="Calibri"/>
          <w:sz w:val="24"/>
          <w:szCs w:val="24"/>
          <w:lang w:val="en-US"/>
        </w:rPr>
        <w:t>An</w:t>
      </w:r>
      <w:proofErr w:type="gramEnd"/>
      <w:r w:rsidR="00C162B1" w:rsidRPr="00E35A47">
        <w:rPr>
          <w:rFonts w:ascii="Calibri" w:hAnsi="Calibri"/>
          <w:sz w:val="24"/>
          <w:szCs w:val="24"/>
          <w:lang w:val="en-US"/>
        </w:rPr>
        <w:t xml:space="preserve"> additional </w:t>
      </w:r>
      <w:r w:rsidR="00ED0F3E">
        <w:rPr>
          <w:rFonts w:ascii="Calibri" w:hAnsi="Calibri"/>
          <w:sz w:val="24"/>
          <w:szCs w:val="24"/>
          <w:lang w:val="en-US"/>
        </w:rPr>
        <w:t>classification</w:t>
      </w:r>
      <w:r w:rsidR="00ED0F3E" w:rsidRPr="00E35A47">
        <w:rPr>
          <w:rFonts w:ascii="Calibri" w:hAnsi="Calibri"/>
          <w:sz w:val="24"/>
          <w:szCs w:val="24"/>
          <w:lang w:val="en-US"/>
        </w:rPr>
        <w:t xml:space="preserve"> </w:t>
      </w:r>
      <w:r w:rsidR="00C162B1" w:rsidRPr="00E35A47">
        <w:rPr>
          <w:rFonts w:ascii="Calibri" w:hAnsi="Calibri"/>
          <w:sz w:val="24"/>
          <w:szCs w:val="24"/>
          <w:lang w:val="en-US"/>
        </w:rPr>
        <w:t xml:space="preserve">of “presumptive” fungal infection was used and defined in the original </w:t>
      </w:r>
      <w:r w:rsidR="00C12133">
        <w:rPr>
          <w:rFonts w:ascii="Calibri" w:hAnsi="Calibri"/>
          <w:sz w:val="24"/>
          <w:szCs w:val="24"/>
          <w:lang w:val="en-US"/>
        </w:rPr>
        <w:t>study protocol</w:t>
      </w:r>
      <w:r w:rsidR="00C162B1" w:rsidRPr="00E35A47">
        <w:rPr>
          <w:rFonts w:ascii="Calibri" w:hAnsi="Calibri"/>
          <w:sz w:val="24"/>
          <w:szCs w:val="24"/>
          <w:lang w:val="en-US"/>
        </w:rPr>
        <w:t>.</w:t>
      </w:r>
      <w:r w:rsidR="0081242F" w:rsidRPr="00E35A47">
        <w:rPr>
          <w:rFonts w:ascii="Calibri" w:hAnsi="Calibri"/>
          <w:sz w:val="24"/>
          <w:szCs w:val="24"/>
          <w:lang w:val="en-US"/>
        </w:rPr>
        <w:t xml:space="preserve">  Presumptive fungal infection was defined as at least one host criterion for </w:t>
      </w:r>
      <w:r w:rsidR="00DF3044" w:rsidRPr="00E35A47">
        <w:rPr>
          <w:rFonts w:ascii="Calibri" w:hAnsi="Calibri"/>
          <w:sz w:val="24"/>
          <w:szCs w:val="24"/>
          <w:lang w:val="en-US"/>
        </w:rPr>
        <w:t>IF</w:t>
      </w:r>
      <w:r w:rsidR="00DF3044">
        <w:rPr>
          <w:rFonts w:ascii="Calibri" w:hAnsi="Calibri"/>
          <w:sz w:val="24"/>
          <w:szCs w:val="24"/>
          <w:lang w:val="en-US"/>
        </w:rPr>
        <w:t>D</w:t>
      </w:r>
      <w:r w:rsidR="00DF3044" w:rsidRPr="00E35A47">
        <w:rPr>
          <w:rFonts w:ascii="Calibri" w:hAnsi="Calibri"/>
          <w:sz w:val="24"/>
          <w:szCs w:val="24"/>
          <w:lang w:val="en-US"/>
        </w:rPr>
        <w:t xml:space="preserve"> </w:t>
      </w:r>
      <w:r w:rsidR="00B62D01">
        <w:rPr>
          <w:rFonts w:ascii="Calibri" w:hAnsi="Calibri"/>
          <w:sz w:val="24"/>
          <w:szCs w:val="24"/>
          <w:lang w:val="en-US"/>
        </w:rPr>
        <w:t>plus</w:t>
      </w:r>
      <w:r w:rsidR="0081242F" w:rsidRPr="00E35A47">
        <w:rPr>
          <w:rFonts w:ascii="Calibri" w:hAnsi="Calibri"/>
          <w:sz w:val="24"/>
          <w:szCs w:val="24"/>
          <w:lang w:val="en-US"/>
        </w:rPr>
        <w:t xml:space="preserve"> one clinical criterion, </w:t>
      </w:r>
      <w:r w:rsidR="00B62D01">
        <w:rPr>
          <w:rFonts w:ascii="Calibri" w:hAnsi="Calibri"/>
          <w:sz w:val="24"/>
          <w:szCs w:val="24"/>
          <w:lang w:val="en-US"/>
        </w:rPr>
        <w:t xml:space="preserve">plus a </w:t>
      </w:r>
      <w:r w:rsidR="00B62D01">
        <w:rPr>
          <w:rFonts w:ascii="Calibri" w:hAnsi="Calibri"/>
          <w:sz w:val="24"/>
          <w:szCs w:val="24"/>
          <w:lang w:val="en-US"/>
        </w:rPr>
        <w:lastRenderedPageBreak/>
        <w:t xml:space="preserve">bronchoscopic evaluation that did not reveal a bacterial or other infectious etiology </w:t>
      </w:r>
      <w:r w:rsidR="0081242F" w:rsidRPr="00E35A47">
        <w:rPr>
          <w:rFonts w:ascii="Calibri" w:hAnsi="Calibri"/>
          <w:sz w:val="24"/>
          <w:szCs w:val="24"/>
          <w:lang w:val="en-US"/>
        </w:rPr>
        <w:t xml:space="preserve">but did not </w:t>
      </w:r>
      <w:r w:rsidR="00B62D01">
        <w:rPr>
          <w:rFonts w:ascii="Calibri" w:hAnsi="Calibri"/>
          <w:sz w:val="24"/>
          <w:szCs w:val="24"/>
          <w:lang w:val="en-US"/>
        </w:rPr>
        <w:t>have a specific mycological finding</w:t>
      </w:r>
      <w:r w:rsidR="0081242F" w:rsidRPr="00E35A47">
        <w:rPr>
          <w:rFonts w:ascii="Calibri" w:hAnsi="Calibri"/>
          <w:sz w:val="24"/>
          <w:szCs w:val="24"/>
          <w:lang w:val="en-US"/>
        </w:rPr>
        <w:t xml:space="preserve">.  The clinical criteria for lower respiratory tract infection included the presence of radiological features that tend to be more specific </w:t>
      </w:r>
      <w:r w:rsidR="00831A71">
        <w:rPr>
          <w:rFonts w:ascii="Calibri" w:hAnsi="Calibri"/>
          <w:sz w:val="24"/>
          <w:szCs w:val="24"/>
          <w:lang w:val="en-US"/>
        </w:rPr>
        <w:t>for an</w:t>
      </w:r>
      <w:r w:rsidR="00831A71" w:rsidRPr="00E35A47">
        <w:rPr>
          <w:rFonts w:ascii="Calibri" w:hAnsi="Calibri"/>
          <w:sz w:val="24"/>
          <w:szCs w:val="24"/>
          <w:lang w:val="en-US"/>
        </w:rPr>
        <w:t xml:space="preserve"> </w:t>
      </w:r>
      <w:r w:rsidR="00760C2A" w:rsidRPr="00E35A47">
        <w:rPr>
          <w:rFonts w:ascii="Calibri" w:hAnsi="Calibri"/>
          <w:sz w:val="24"/>
          <w:szCs w:val="24"/>
          <w:lang w:val="en-US"/>
        </w:rPr>
        <w:t>IF</w:t>
      </w:r>
      <w:r w:rsidR="00760C2A">
        <w:rPr>
          <w:rFonts w:ascii="Calibri" w:hAnsi="Calibri"/>
          <w:sz w:val="24"/>
          <w:szCs w:val="24"/>
          <w:lang w:val="en-US"/>
        </w:rPr>
        <w:t>D</w:t>
      </w:r>
      <w:r w:rsidR="00760C2A" w:rsidRPr="00E35A47">
        <w:rPr>
          <w:rFonts w:ascii="Calibri" w:hAnsi="Calibri"/>
          <w:sz w:val="24"/>
          <w:szCs w:val="24"/>
          <w:lang w:val="en-US"/>
        </w:rPr>
        <w:t xml:space="preserve"> </w:t>
      </w:r>
      <w:r w:rsidR="0081242F" w:rsidRPr="00E35A47">
        <w:rPr>
          <w:rFonts w:ascii="Calibri" w:hAnsi="Calibri"/>
          <w:sz w:val="24"/>
          <w:szCs w:val="24"/>
          <w:lang w:val="en-US"/>
        </w:rPr>
        <w:t>(i.e. halo sign, wedge-shaped infiltrate or an air crescent sign), or if a nonspecific pulmonary infiltrate</w:t>
      </w:r>
      <w:r w:rsidR="00D9385E" w:rsidRPr="00E35A47">
        <w:rPr>
          <w:rFonts w:ascii="Calibri" w:hAnsi="Calibri"/>
          <w:sz w:val="24"/>
          <w:szCs w:val="24"/>
          <w:lang w:val="en-US"/>
        </w:rPr>
        <w:t xml:space="preserve"> was present </w:t>
      </w:r>
      <w:r w:rsidR="004248FC" w:rsidRPr="00E35A47">
        <w:rPr>
          <w:rFonts w:ascii="Calibri" w:hAnsi="Calibri"/>
          <w:sz w:val="24"/>
          <w:szCs w:val="24"/>
          <w:lang w:val="en-US"/>
        </w:rPr>
        <w:t xml:space="preserve">then </w:t>
      </w:r>
      <w:r w:rsidR="00D9385E" w:rsidRPr="00E35A47">
        <w:rPr>
          <w:rFonts w:ascii="Calibri" w:hAnsi="Calibri"/>
          <w:sz w:val="24"/>
          <w:szCs w:val="24"/>
          <w:lang w:val="en-US"/>
        </w:rPr>
        <w:t xml:space="preserve">that needed to </w:t>
      </w:r>
      <w:r w:rsidR="0081242F" w:rsidRPr="00E35A47">
        <w:rPr>
          <w:rFonts w:ascii="Calibri" w:hAnsi="Calibri"/>
          <w:sz w:val="24"/>
          <w:szCs w:val="24"/>
          <w:lang w:val="en-US"/>
        </w:rPr>
        <w:t>be accompanied by clinical features</w:t>
      </w:r>
      <w:r w:rsidR="00D9385E" w:rsidRPr="00E35A47">
        <w:rPr>
          <w:rFonts w:ascii="Calibri" w:hAnsi="Calibri"/>
          <w:sz w:val="24"/>
          <w:szCs w:val="24"/>
          <w:lang w:val="en-US"/>
        </w:rPr>
        <w:t xml:space="preserve"> such as pleural pain, pleural rub or hemoptysis.  </w:t>
      </w:r>
    </w:p>
    <w:p w14:paraId="0B19B045" w14:textId="77777777" w:rsidR="00C162B1" w:rsidRPr="001634D2" w:rsidRDefault="00C162B1" w:rsidP="007C5CC0">
      <w:pPr>
        <w:tabs>
          <w:tab w:val="left" w:pos="6379"/>
        </w:tabs>
        <w:rPr>
          <w:rFonts w:ascii="Calibri" w:hAnsi="Calibri"/>
          <w:b/>
          <w:i/>
          <w:sz w:val="24"/>
          <w:szCs w:val="24"/>
          <w:lang w:val="en-US"/>
        </w:rPr>
      </w:pPr>
      <w:r w:rsidRPr="001634D2">
        <w:rPr>
          <w:rFonts w:ascii="Calibri" w:hAnsi="Calibri"/>
          <w:b/>
          <w:i/>
          <w:sz w:val="24"/>
          <w:szCs w:val="24"/>
          <w:lang w:val="en-US"/>
        </w:rPr>
        <w:t>Pharmacokinetic and Pharmacodynamic Modeling</w:t>
      </w:r>
    </w:p>
    <w:p w14:paraId="738BF538" w14:textId="3589AE6A" w:rsidR="00C162B1" w:rsidRPr="007C5CC0" w:rsidRDefault="00F00B62" w:rsidP="00F00B62">
      <w:pPr>
        <w:tabs>
          <w:tab w:val="left" w:pos="567"/>
        </w:tabs>
        <w:rPr>
          <w:rFonts w:ascii="Calibri" w:hAnsi="Calibri"/>
          <w:sz w:val="24"/>
          <w:szCs w:val="24"/>
          <w:lang w:val="en-US"/>
        </w:rPr>
      </w:pPr>
      <w:r>
        <w:rPr>
          <w:rFonts w:ascii="Calibri" w:hAnsi="Calibri"/>
          <w:sz w:val="24"/>
          <w:szCs w:val="24"/>
          <w:lang w:val="en-US"/>
        </w:rPr>
        <w:tab/>
      </w:r>
      <w:r w:rsidR="00DF7476">
        <w:rPr>
          <w:rFonts w:ascii="Calibri" w:hAnsi="Calibri"/>
          <w:sz w:val="24"/>
          <w:szCs w:val="24"/>
          <w:lang w:val="en-US"/>
        </w:rPr>
        <w:t>In the original clinical trial</w:t>
      </w:r>
      <w:r w:rsidR="00DF7476" w:rsidRPr="007C5CC0">
        <w:rPr>
          <w:rFonts w:ascii="Calibri" w:hAnsi="Calibri"/>
          <w:sz w:val="24"/>
          <w:szCs w:val="24"/>
          <w:lang w:val="en-US"/>
        </w:rPr>
        <w:t xml:space="preserve"> </w:t>
      </w:r>
      <w:r w:rsidR="00BA336A" w:rsidRPr="007C5CC0">
        <w:rPr>
          <w:rFonts w:ascii="Calibri" w:hAnsi="Calibri"/>
          <w:sz w:val="24"/>
          <w:szCs w:val="24"/>
          <w:lang w:val="en-US"/>
        </w:rPr>
        <w:t>Data Review Committee (DRC)</w:t>
      </w:r>
      <w:r w:rsidR="00BA336A">
        <w:rPr>
          <w:rFonts w:ascii="Calibri" w:hAnsi="Calibri"/>
          <w:sz w:val="24"/>
          <w:szCs w:val="24"/>
          <w:lang w:val="en-US"/>
        </w:rPr>
        <w:t xml:space="preserve"> </w:t>
      </w:r>
      <w:r w:rsidR="00B67024">
        <w:rPr>
          <w:rFonts w:ascii="Calibri" w:hAnsi="Calibri"/>
          <w:sz w:val="24"/>
          <w:szCs w:val="24"/>
          <w:lang w:val="en-US"/>
        </w:rPr>
        <w:t>classified t</w:t>
      </w:r>
      <w:r w:rsidR="00B67024" w:rsidRPr="007C5CC0">
        <w:rPr>
          <w:rFonts w:ascii="Calibri" w:hAnsi="Calibri"/>
          <w:sz w:val="24"/>
          <w:szCs w:val="24"/>
          <w:lang w:val="en-US"/>
        </w:rPr>
        <w:t xml:space="preserve">he </w:t>
      </w:r>
      <w:r w:rsidR="00C162B1" w:rsidRPr="007C5CC0">
        <w:rPr>
          <w:rFonts w:ascii="Calibri" w:hAnsi="Calibri"/>
          <w:sz w:val="24"/>
          <w:szCs w:val="24"/>
          <w:lang w:val="en-US"/>
        </w:rPr>
        <w:t xml:space="preserve">clinical outcome of </w:t>
      </w:r>
      <w:r w:rsidR="00BA336A">
        <w:rPr>
          <w:rFonts w:ascii="Calibri" w:hAnsi="Calibri"/>
          <w:sz w:val="24"/>
          <w:szCs w:val="24"/>
          <w:lang w:val="en-US"/>
        </w:rPr>
        <w:t>each</w:t>
      </w:r>
      <w:r w:rsidR="00BA336A" w:rsidRPr="007C5CC0">
        <w:rPr>
          <w:rFonts w:ascii="Calibri" w:hAnsi="Calibri"/>
          <w:sz w:val="24"/>
          <w:szCs w:val="24"/>
          <w:lang w:val="en-US"/>
        </w:rPr>
        <w:t xml:space="preserve"> </w:t>
      </w:r>
      <w:r w:rsidR="00C162B1" w:rsidRPr="007C5CC0">
        <w:rPr>
          <w:rFonts w:ascii="Calibri" w:hAnsi="Calibri"/>
          <w:sz w:val="24"/>
          <w:szCs w:val="24"/>
          <w:lang w:val="en-US"/>
        </w:rPr>
        <w:t>patient</w:t>
      </w:r>
      <w:r w:rsidR="00BA336A">
        <w:rPr>
          <w:rFonts w:ascii="Calibri" w:hAnsi="Calibri"/>
          <w:sz w:val="24"/>
          <w:szCs w:val="24"/>
          <w:lang w:val="en-US"/>
        </w:rPr>
        <w:t xml:space="preserve"> </w:t>
      </w:r>
      <w:r w:rsidR="004248FC" w:rsidRPr="007C5CC0">
        <w:rPr>
          <w:rFonts w:ascii="Calibri" w:hAnsi="Calibri"/>
          <w:sz w:val="24"/>
          <w:szCs w:val="24"/>
          <w:lang w:val="en-US"/>
        </w:rPr>
        <w:t>at day +180</w:t>
      </w:r>
      <w:r w:rsidR="004248FC">
        <w:rPr>
          <w:rFonts w:ascii="Calibri" w:hAnsi="Calibri"/>
          <w:sz w:val="24"/>
          <w:szCs w:val="24"/>
          <w:lang w:val="en-US"/>
        </w:rPr>
        <w:t xml:space="preserve"> </w:t>
      </w:r>
      <w:r w:rsidR="0084385C">
        <w:rPr>
          <w:rFonts w:ascii="Calibri" w:hAnsi="Calibri"/>
          <w:sz w:val="24"/>
          <w:szCs w:val="24"/>
          <w:lang w:val="en-US"/>
        </w:rPr>
        <w:t xml:space="preserve">as </w:t>
      </w:r>
      <w:r w:rsidR="004248FC">
        <w:rPr>
          <w:rFonts w:ascii="Calibri" w:hAnsi="Calibri"/>
          <w:sz w:val="24"/>
          <w:szCs w:val="24"/>
          <w:lang w:val="en-US"/>
        </w:rPr>
        <w:t>either</w:t>
      </w:r>
      <w:r w:rsidR="00C162B1" w:rsidRPr="007C5CC0">
        <w:rPr>
          <w:rFonts w:ascii="Calibri" w:hAnsi="Calibri"/>
          <w:sz w:val="24"/>
          <w:szCs w:val="24"/>
          <w:lang w:val="en-US"/>
        </w:rPr>
        <w:t xml:space="preserve"> </w:t>
      </w:r>
      <w:r w:rsidR="0084385C">
        <w:rPr>
          <w:rFonts w:ascii="Calibri" w:hAnsi="Calibri"/>
          <w:sz w:val="24"/>
          <w:szCs w:val="24"/>
          <w:lang w:val="en-US"/>
        </w:rPr>
        <w:t>having or no</w:t>
      </w:r>
      <w:r w:rsidR="00A1287B">
        <w:rPr>
          <w:rFonts w:ascii="Calibri" w:hAnsi="Calibri"/>
          <w:sz w:val="24"/>
          <w:szCs w:val="24"/>
          <w:lang w:val="en-US"/>
        </w:rPr>
        <w:t>t</w:t>
      </w:r>
      <w:r w:rsidR="0084385C">
        <w:rPr>
          <w:rFonts w:ascii="Calibri" w:hAnsi="Calibri"/>
          <w:sz w:val="24"/>
          <w:szCs w:val="24"/>
          <w:lang w:val="en-US"/>
        </w:rPr>
        <w:t xml:space="preserve"> having an</w:t>
      </w:r>
      <w:r w:rsidR="00C45C50" w:rsidRPr="007C5CC0">
        <w:rPr>
          <w:rFonts w:ascii="Calibri" w:hAnsi="Calibri"/>
          <w:sz w:val="24"/>
          <w:szCs w:val="24"/>
          <w:lang w:val="en-US"/>
        </w:rPr>
        <w:t xml:space="preserve"> </w:t>
      </w:r>
      <w:r w:rsidR="00760C2A" w:rsidRPr="007C5CC0">
        <w:rPr>
          <w:rFonts w:ascii="Calibri" w:hAnsi="Calibri"/>
          <w:sz w:val="24"/>
          <w:szCs w:val="24"/>
          <w:lang w:val="en-US"/>
        </w:rPr>
        <w:t>IF</w:t>
      </w:r>
      <w:r w:rsidR="00760C2A">
        <w:rPr>
          <w:rFonts w:ascii="Calibri" w:hAnsi="Calibri"/>
          <w:sz w:val="24"/>
          <w:szCs w:val="24"/>
          <w:lang w:val="en-US"/>
        </w:rPr>
        <w:t>D</w:t>
      </w:r>
      <w:r w:rsidR="00406786" w:rsidRPr="007C5CC0">
        <w:rPr>
          <w:rFonts w:ascii="Calibri" w:hAnsi="Calibri"/>
          <w:sz w:val="24"/>
          <w:szCs w:val="24"/>
          <w:lang w:val="en-US"/>
        </w:rPr>
        <w:t>.</w:t>
      </w:r>
      <w:r w:rsidR="00B549D5">
        <w:rPr>
          <w:rFonts w:ascii="Calibri" w:hAnsi="Calibri"/>
          <w:sz w:val="24"/>
          <w:szCs w:val="24"/>
          <w:lang w:val="en-US"/>
        </w:rPr>
        <w:t xml:space="preserve">  For the</w:t>
      </w:r>
      <w:r w:rsidR="008635EF">
        <w:rPr>
          <w:rFonts w:ascii="Calibri" w:hAnsi="Calibri"/>
          <w:sz w:val="24"/>
          <w:szCs w:val="24"/>
          <w:lang w:val="en-US"/>
        </w:rPr>
        <w:t xml:space="preserve"> purposes of these analyses</w:t>
      </w:r>
      <w:r w:rsidR="00B549D5">
        <w:rPr>
          <w:rFonts w:ascii="Calibri" w:hAnsi="Calibri"/>
          <w:sz w:val="24"/>
          <w:szCs w:val="24"/>
          <w:lang w:val="en-US"/>
        </w:rPr>
        <w:t xml:space="preserve">, only patients experiencing an </w:t>
      </w:r>
      <w:r w:rsidR="00760C2A">
        <w:rPr>
          <w:rFonts w:ascii="Calibri" w:hAnsi="Calibri"/>
          <w:sz w:val="24"/>
          <w:szCs w:val="24"/>
          <w:lang w:val="en-US"/>
        </w:rPr>
        <w:t>IFD</w:t>
      </w:r>
      <w:r w:rsidR="0089403E">
        <w:rPr>
          <w:rFonts w:ascii="Calibri" w:hAnsi="Calibri"/>
          <w:sz w:val="24"/>
          <w:szCs w:val="24"/>
          <w:lang w:val="en-US"/>
        </w:rPr>
        <w:t xml:space="preserve"> </w:t>
      </w:r>
      <w:r w:rsidR="00B549D5">
        <w:rPr>
          <w:rFonts w:ascii="Calibri" w:hAnsi="Calibri"/>
          <w:sz w:val="24"/>
          <w:szCs w:val="24"/>
          <w:lang w:val="en-US"/>
        </w:rPr>
        <w:t>while receiving voriconazole were considered</w:t>
      </w:r>
      <w:r w:rsidR="00D00372">
        <w:rPr>
          <w:rFonts w:ascii="Calibri" w:hAnsi="Calibri"/>
          <w:sz w:val="24"/>
          <w:szCs w:val="24"/>
          <w:lang w:val="en-US"/>
        </w:rPr>
        <w:t xml:space="preserve"> (i.e. patients with an </w:t>
      </w:r>
      <w:r w:rsidR="00760C2A">
        <w:rPr>
          <w:rFonts w:ascii="Calibri" w:hAnsi="Calibri"/>
          <w:sz w:val="24"/>
          <w:szCs w:val="24"/>
          <w:lang w:val="en-US"/>
        </w:rPr>
        <w:t xml:space="preserve">IFD </w:t>
      </w:r>
      <w:r w:rsidR="00D00372">
        <w:rPr>
          <w:rFonts w:ascii="Calibri" w:hAnsi="Calibri"/>
          <w:sz w:val="24"/>
          <w:szCs w:val="24"/>
          <w:lang w:val="en-US"/>
        </w:rPr>
        <w:t>occurring after day +100 were excluded</w:t>
      </w:r>
      <w:r w:rsidR="0090112D">
        <w:rPr>
          <w:rFonts w:ascii="Calibri" w:hAnsi="Calibri"/>
          <w:sz w:val="24"/>
          <w:szCs w:val="24"/>
          <w:lang w:val="en-US"/>
        </w:rPr>
        <w:t>, which occurred in 5 of the 10 patients with breakthrough infection</w:t>
      </w:r>
      <w:r w:rsidR="00D00372">
        <w:rPr>
          <w:rFonts w:ascii="Calibri" w:hAnsi="Calibri"/>
          <w:sz w:val="24"/>
          <w:szCs w:val="24"/>
          <w:lang w:val="en-US"/>
        </w:rPr>
        <w:t>)</w:t>
      </w:r>
      <w:r w:rsidR="00B549D5">
        <w:rPr>
          <w:rFonts w:ascii="Calibri" w:hAnsi="Calibri"/>
          <w:sz w:val="24"/>
          <w:szCs w:val="24"/>
          <w:lang w:val="en-US"/>
        </w:rPr>
        <w:t>.</w:t>
      </w:r>
    </w:p>
    <w:p w14:paraId="5B4B6159" w14:textId="67AF93F1" w:rsidR="00406786" w:rsidRDefault="00F00B62" w:rsidP="00F00B62">
      <w:pPr>
        <w:tabs>
          <w:tab w:val="left" w:pos="567"/>
        </w:tabs>
        <w:rPr>
          <w:rFonts w:ascii="Calibri" w:hAnsi="Calibri"/>
          <w:sz w:val="24"/>
          <w:szCs w:val="24"/>
          <w:lang w:val="en-US"/>
        </w:rPr>
      </w:pPr>
      <w:r>
        <w:rPr>
          <w:rFonts w:ascii="Calibri" w:hAnsi="Calibri"/>
          <w:sz w:val="24"/>
          <w:szCs w:val="24"/>
          <w:lang w:val="en-US"/>
        </w:rPr>
        <w:tab/>
      </w:r>
      <w:r w:rsidR="00406786" w:rsidRPr="007C5CC0">
        <w:rPr>
          <w:rFonts w:ascii="Calibri" w:hAnsi="Calibri"/>
          <w:sz w:val="24"/>
          <w:szCs w:val="24"/>
          <w:lang w:val="en-US"/>
        </w:rPr>
        <w:t xml:space="preserve">The relationship between both the </w:t>
      </w:r>
      <w:r w:rsidR="009B64D4">
        <w:rPr>
          <w:rFonts w:ascii="Calibri" w:hAnsi="Calibri"/>
          <w:sz w:val="24"/>
          <w:szCs w:val="24"/>
          <w:lang w:val="en-US"/>
        </w:rPr>
        <w:t xml:space="preserve">average </w:t>
      </w:r>
      <w:r w:rsidR="000761EB">
        <w:rPr>
          <w:rFonts w:ascii="Calibri" w:hAnsi="Calibri"/>
          <w:sz w:val="24"/>
          <w:szCs w:val="24"/>
          <w:lang w:val="en-US"/>
        </w:rPr>
        <w:t>model-</w:t>
      </w:r>
      <w:r w:rsidR="00B67024">
        <w:rPr>
          <w:rFonts w:ascii="Calibri" w:hAnsi="Calibri"/>
          <w:sz w:val="24"/>
          <w:szCs w:val="24"/>
          <w:lang w:val="en-US"/>
        </w:rPr>
        <w:t xml:space="preserve">predicted </w:t>
      </w:r>
      <w:r w:rsidR="00406786" w:rsidRPr="007C5CC0">
        <w:rPr>
          <w:rFonts w:ascii="Calibri" w:hAnsi="Calibri"/>
          <w:sz w:val="24"/>
          <w:szCs w:val="24"/>
          <w:lang w:val="en-US"/>
        </w:rPr>
        <w:t xml:space="preserve">trough concentration (a clinically tractable measure of drug exposure) and the </w:t>
      </w:r>
      <w:r w:rsidR="001454E6">
        <w:rPr>
          <w:rFonts w:ascii="Calibri" w:hAnsi="Calibri"/>
          <w:sz w:val="24"/>
          <w:szCs w:val="24"/>
          <w:lang w:val="en-US"/>
        </w:rPr>
        <w:t xml:space="preserve">average </w:t>
      </w:r>
      <w:r w:rsidR="000761EB">
        <w:rPr>
          <w:rFonts w:ascii="Calibri" w:hAnsi="Calibri"/>
          <w:sz w:val="24"/>
          <w:szCs w:val="24"/>
          <w:lang w:val="en-US"/>
        </w:rPr>
        <w:t>model-</w:t>
      </w:r>
      <w:r w:rsidR="00B67024">
        <w:rPr>
          <w:rFonts w:ascii="Calibri" w:hAnsi="Calibri"/>
          <w:sz w:val="24"/>
          <w:szCs w:val="24"/>
          <w:lang w:val="en-US"/>
        </w:rPr>
        <w:t xml:space="preserve">predicted </w:t>
      </w:r>
      <w:r w:rsidR="00406786" w:rsidRPr="007C5CC0">
        <w:rPr>
          <w:rFonts w:ascii="Calibri" w:hAnsi="Calibri"/>
          <w:sz w:val="24"/>
          <w:szCs w:val="24"/>
          <w:lang w:val="en-US"/>
        </w:rPr>
        <w:t>AUC</w:t>
      </w:r>
      <w:r w:rsidR="007C5CC0" w:rsidRPr="007C5CC0">
        <w:rPr>
          <w:rFonts w:ascii="Calibri" w:hAnsi="Calibri"/>
          <w:sz w:val="24"/>
          <w:szCs w:val="24"/>
          <w:vertAlign w:val="subscript"/>
          <w:lang w:val="en-US"/>
        </w:rPr>
        <w:t>0-12</w:t>
      </w:r>
      <w:r w:rsidR="00406786" w:rsidRPr="007C5CC0">
        <w:rPr>
          <w:rFonts w:ascii="Calibri" w:hAnsi="Calibri"/>
          <w:sz w:val="24"/>
          <w:szCs w:val="24"/>
          <w:lang w:val="en-US"/>
        </w:rPr>
        <w:t xml:space="preserve"> (a more precise, but less readily </w:t>
      </w:r>
      <w:r w:rsidR="000761EB">
        <w:rPr>
          <w:rFonts w:ascii="Calibri" w:hAnsi="Calibri"/>
          <w:sz w:val="24"/>
          <w:szCs w:val="24"/>
          <w:lang w:val="en-US"/>
        </w:rPr>
        <w:t xml:space="preserve">clinically </w:t>
      </w:r>
      <w:r w:rsidR="00406786" w:rsidRPr="007C5CC0">
        <w:rPr>
          <w:rFonts w:ascii="Calibri" w:hAnsi="Calibri"/>
          <w:sz w:val="24"/>
          <w:szCs w:val="24"/>
          <w:lang w:val="en-US"/>
        </w:rPr>
        <w:t>accessible measure of drug exposure)</w:t>
      </w:r>
      <w:r w:rsidR="001634D2">
        <w:rPr>
          <w:rFonts w:ascii="Calibri" w:hAnsi="Calibri"/>
          <w:sz w:val="24"/>
          <w:szCs w:val="24"/>
          <w:lang w:val="en-US"/>
        </w:rPr>
        <w:t xml:space="preserve"> </w:t>
      </w:r>
      <w:r w:rsidR="009B64D4">
        <w:rPr>
          <w:rFonts w:ascii="Calibri" w:hAnsi="Calibri"/>
          <w:sz w:val="24"/>
          <w:szCs w:val="24"/>
          <w:lang w:val="en-US"/>
        </w:rPr>
        <w:t>was</w:t>
      </w:r>
      <w:r w:rsidR="001634D2">
        <w:rPr>
          <w:rFonts w:ascii="Calibri" w:hAnsi="Calibri"/>
          <w:sz w:val="24"/>
          <w:szCs w:val="24"/>
          <w:lang w:val="en-US"/>
        </w:rPr>
        <w:t xml:space="preserve"> determined from the estimates for the Bayesian posterior </w:t>
      </w:r>
      <w:r w:rsidR="00B67024">
        <w:rPr>
          <w:rFonts w:ascii="Calibri" w:hAnsi="Calibri"/>
          <w:sz w:val="24"/>
          <w:szCs w:val="24"/>
          <w:lang w:val="en-US"/>
        </w:rPr>
        <w:t xml:space="preserve">pharmacokinetic </w:t>
      </w:r>
      <w:r w:rsidR="001634D2">
        <w:rPr>
          <w:rFonts w:ascii="Calibri" w:hAnsi="Calibri"/>
          <w:sz w:val="24"/>
          <w:szCs w:val="24"/>
          <w:lang w:val="en-US"/>
        </w:rPr>
        <w:t xml:space="preserve">values for each patient. Thus, the estimate </w:t>
      </w:r>
      <w:r w:rsidR="00701123">
        <w:rPr>
          <w:rFonts w:ascii="Calibri" w:hAnsi="Calibri"/>
          <w:sz w:val="24"/>
          <w:szCs w:val="24"/>
          <w:lang w:val="en-US"/>
        </w:rPr>
        <w:t xml:space="preserve">of drug exposure </w:t>
      </w:r>
      <w:r w:rsidR="001634D2">
        <w:rPr>
          <w:rFonts w:ascii="Calibri" w:hAnsi="Calibri"/>
          <w:sz w:val="24"/>
          <w:szCs w:val="24"/>
          <w:lang w:val="en-US"/>
        </w:rPr>
        <w:t xml:space="preserve">for each patient was </w:t>
      </w:r>
      <w:r w:rsidR="00701123">
        <w:rPr>
          <w:rFonts w:ascii="Calibri" w:hAnsi="Calibri"/>
          <w:sz w:val="24"/>
          <w:szCs w:val="24"/>
          <w:lang w:val="en-US"/>
        </w:rPr>
        <w:t xml:space="preserve">made using </w:t>
      </w:r>
      <w:r w:rsidR="001634D2">
        <w:rPr>
          <w:rFonts w:ascii="Calibri" w:hAnsi="Calibri"/>
          <w:sz w:val="24"/>
          <w:szCs w:val="24"/>
          <w:lang w:val="en-US"/>
        </w:rPr>
        <w:t xml:space="preserve">the population pharmacokinetic model rather than from the raw data.  The latter was infeasible because of the relative paucity of samples (n=4 per patient) and the absence of a sampling </w:t>
      </w:r>
      <w:r w:rsidR="00F355E0">
        <w:rPr>
          <w:rFonts w:ascii="Calibri" w:hAnsi="Calibri"/>
          <w:sz w:val="24"/>
          <w:szCs w:val="24"/>
          <w:lang w:val="en-US"/>
        </w:rPr>
        <w:t xml:space="preserve">strategy </w:t>
      </w:r>
      <w:r w:rsidR="001634D2">
        <w:rPr>
          <w:rFonts w:ascii="Calibri" w:hAnsi="Calibri"/>
          <w:sz w:val="24"/>
          <w:szCs w:val="24"/>
          <w:lang w:val="en-US"/>
        </w:rPr>
        <w:t xml:space="preserve">to obtain Cmin </w:t>
      </w:r>
      <w:r w:rsidR="00A1287B">
        <w:rPr>
          <w:rFonts w:ascii="Calibri" w:hAnsi="Calibri"/>
          <w:sz w:val="24"/>
          <w:szCs w:val="24"/>
          <w:lang w:val="en-US"/>
        </w:rPr>
        <w:t xml:space="preserve">or </w:t>
      </w:r>
      <w:r w:rsidR="007C32D6">
        <w:rPr>
          <w:rFonts w:ascii="Calibri" w:hAnsi="Calibri"/>
          <w:sz w:val="24"/>
          <w:szCs w:val="24"/>
          <w:lang w:val="en-US"/>
        </w:rPr>
        <w:t xml:space="preserve">an </w:t>
      </w:r>
      <w:r w:rsidR="00A1287B">
        <w:rPr>
          <w:rFonts w:ascii="Calibri" w:hAnsi="Calibri"/>
          <w:sz w:val="24"/>
          <w:szCs w:val="24"/>
          <w:lang w:val="en-US"/>
        </w:rPr>
        <w:t xml:space="preserve">estimate </w:t>
      </w:r>
      <w:r w:rsidR="007C32D6">
        <w:rPr>
          <w:rFonts w:ascii="Calibri" w:hAnsi="Calibri"/>
          <w:sz w:val="24"/>
          <w:szCs w:val="24"/>
          <w:lang w:val="en-US"/>
        </w:rPr>
        <w:t xml:space="preserve">of </w:t>
      </w:r>
      <w:r w:rsidR="00A1287B">
        <w:rPr>
          <w:rFonts w:ascii="Calibri" w:hAnsi="Calibri"/>
          <w:sz w:val="24"/>
          <w:szCs w:val="24"/>
          <w:lang w:val="en-US"/>
        </w:rPr>
        <w:t xml:space="preserve">AUC </w:t>
      </w:r>
      <w:r w:rsidR="00701123">
        <w:rPr>
          <w:rFonts w:ascii="Calibri" w:hAnsi="Calibri"/>
          <w:sz w:val="24"/>
          <w:szCs w:val="24"/>
          <w:lang w:val="en-US"/>
        </w:rPr>
        <w:t xml:space="preserve">directly from the patient’s PK data </w:t>
      </w:r>
      <w:r w:rsidR="001634D2">
        <w:rPr>
          <w:rFonts w:ascii="Calibri" w:hAnsi="Calibri"/>
          <w:sz w:val="24"/>
          <w:szCs w:val="24"/>
          <w:lang w:val="en-US"/>
        </w:rPr>
        <w:t>(</w:t>
      </w:r>
      <w:r w:rsidR="00C759CA">
        <w:rPr>
          <w:rFonts w:ascii="Calibri" w:hAnsi="Calibri"/>
          <w:sz w:val="24"/>
          <w:szCs w:val="24"/>
          <w:lang w:val="en-US"/>
        </w:rPr>
        <w:t xml:space="preserve">i.e. </w:t>
      </w:r>
      <w:r w:rsidR="001634D2">
        <w:rPr>
          <w:rFonts w:ascii="Calibri" w:hAnsi="Calibri"/>
          <w:sz w:val="24"/>
          <w:szCs w:val="24"/>
          <w:lang w:val="en-US"/>
        </w:rPr>
        <w:t>the</w:t>
      </w:r>
      <w:r>
        <w:rPr>
          <w:rFonts w:ascii="Calibri" w:hAnsi="Calibri"/>
          <w:sz w:val="24"/>
          <w:szCs w:val="24"/>
          <w:lang w:val="en-US"/>
        </w:rPr>
        <w:t xml:space="preserve"> intention </w:t>
      </w:r>
      <w:r w:rsidR="001634D2">
        <w:rPr>
          <w:rFonts w:ascii="Calibri" w:hAnsi="Calibri"/>
          <w:sz w:val="24"/>
          <w:szCs w:val="24"/>
          <w:lang w:val="en-US"/>
        </w:rPr>
        <w:t xml:space="preserve">was </w:t>
      </w:r>
      <w:r w:rsidR="00F355E0">
        <w:rPr>
          <w:rFonts w:ascii="Calibri" w:hAnsi="Calibri"/>
          <w:sz w:val="24"/>
          <w:szCs w:val="24"/>
          <w:lang w:val="en-US"/>
        </w:rPr>
        <w:t xml:space="preserve">always </w:t>
      </w:r>
      <w:r w:rsidR="001634D2">
        <w:rPr>
          <w:rFonts w:ascii="Calibri" w:hAnsi="Calibri"/>
          <w:sz w:val="24"/>
          <w:szCs w:val="24"/>
          <w:lang w:val="en-US"/>
        </w:rPr>
        <w:t xml:space="preserve">to use the </w:t>
      </w:r>
      <w:r>
        <w:rPr>
          <w:rFonts w:ascii="Calibri" w:hAnsi="Calibri"/>
          <w:sz w:val="24"/>
          <w:szCs w:val="24"/>
          <w:lang w:val="en-US"/>
        </w:rPr>
        <w:t>population pharmacokinetic</w:t>
      </w:r>
      <w:r w:rsidR="001634D2">
        <w:rPr>
          <w:rFonts w:ascii="Calibri" w:hAnsi="Calibri"/>
          <w:sz w:val="24"/>
          <w:szCs w:val="24"/>
          <w:lang w:val="en-US"/>
        </w:rPr>
        <w:t xml:space="preserve"> model to determine drug exposure in individual patients rather than </w:t>
      </w:r>
      <w:r>
        <w:rPr>
          <w:rFonts w:ascii="Calibri" w:hAnsi="Calibri"/>
          <w:sz w:val="24"/>
          <w:szCs w:val="24"/>
          <w:lang w:val="en-US"/>
        </w:rPr>
        <w:t xml:space="preserve">use </w:t>
      </w:r>
      <w:r w:rsidR="001634D2">
        <w:rPr>
          <w:rFonts w:ascii="Calibri" w:hAnsi="Calibri"/>
          <w:sz w:val="24"/>
          <w:szCs w:val="24"/>
          <w:lang w:val="en-US"/>
        </w:rPr>
        <w:t>the raw data</w:t>
      </w:r>
      <w:r w:rsidR="00C759CA">
        <w:rPr>
          <w:rFonts w:ascii="Calibri" w:hAnsi="Calibri"/>
          <w:sz w:val="24"/>
          <w:szCs w:val="24"/>
          <w:lang w:val="en-US"/>
        </w:rPr>
        <w:t>, and the study was designed accordingly</w:t>
      </w:r>
      <w:r w:rsidR="001634D2">
        <w:rPr>
          <w:rFonts w:ascii="Calibri" w:hAnsi="Calibri"/>
          <w:sz w:val="24"/>
          <w:szCs w:val="24"/>
          <w:lang w:val="en-US"/>
        </w:rPr>
        <w:t xml:space="preserve">).  </w:t>
      </w:r>
      <w:r w:rsidR="00B42902">
        <w:rPr>
          <w:rFonts w:ascii="Calibri" w:hAnsi="Calibri"/>
          <w:sz w:val="24"/>
          <w:szCs w:val="24"/>
          <w:lang w:val="en-US"/>
        </w:rPr>
        <w:t>Using the “</w:t>
      </w:r>
      <w:proofErr w:type="spellStart"/>
      <w:r w:rsidR="00B42902">
        <w:rPr>
          <w:rFonts w:ascii="Calibri" w:hAnsi="Calibri"/>
          <w:sz w:val="24"/>
          <w:szCs w:val="24"/>
          <w:lang w:val="en-US"/>
        </w:rPr>
        <w:t>makeAUC</w:t>
      </w:r>
      <w:proofErr w:type="spellEnd"/>
      <w:r w:rsidR="00B42902">
        <w:rPr>
          <w:rFonts w:ascii="Calibri" w:hAnsi="Calibri"/>
          <w:sz w:val="24"/>
          <w:szCs w:val="24"/>
          <w:lang w:val="en-US"/>
        </w:rPr>
        <w:t>” function in Pmetrics, which estimates the AUC using the trapezoidal rule, t</w:t>
      </w:r>
      <w:r w:rsidR="001634D2">
        <w:rPr>
          <w:rFonts w:ascii="Calibri" w:hAnsi="Calibri"/>
          <w:sz w:val="24"/>
          <w:szCs w:val="24"/>
          <w:lang w:val="en-US"/>
        </w:rPr>
        <w:t>he AUC</w:t>
      </w:r>
      <w:r w:rsidR="001634D2" w:rsidRPr="001634D2">
        <w:rPr>
          <w:rFonts w:ascii="Calibri" w:hAnsi="Calibri"/>
          <w:sz w:val="24"/>
          <w:szCs w:val="24"/>
          <w:vertAlign w:val="subscript"/>
          <w:lang w:val="en-US"/>
        </w:rPr>
        <w:t>0-12</w:t>
      </w:r>
      <w:r w:rsidR="001634D2">
        <w:rPr>
          <w:rFonts w:ascii="Calibri" w:hAnsi="Calibri"/>
          <w:sz w:val="24"/>
          <w:szCs w:val="24"/>
          <w:lang w:val="en-US"/>
        </w:rPr>
        <w:t xml:space="preserve"> </w:t>
      </w:r>
      <w:r w:rsidR="00B42902">
        <w:rPr>
          <w:rFonts w:ascii="Calibri" w:hAnsi="Calibri"/>
          <w:sz w:val="24"/>
          <w:szCs w:val="24"/>
          <w:lang w:val="en-US"/>
        </w:rPr>
        <w:t xml:space="preserve">for each subject </w:t>
      </w:r>
      <w:r w:rsidR="001634D2">
        <w:rPr>
          <w:rFonts w:ascii="Calibri" w:hAnsi="Calibri"/>
          <w:sz w:val="24"/>
          <w:szCs w:val="24"/>
          <w:lang w:val="en-US"/>
        </w:rPr>
        <w:t xml:space="preserve">was </w:t>
      </w:r>
      <w:r w:rsidR="00A40BE5">
        <w:rPr>
          <w:rFonts w:ascii="Calibri" w:hAnsi="Calibri"/>
          <w:sz w:val="24"/>
          <w:szCs w:val="24"/>
          <w:lang w:val="en-US"/>
        </w:rPr>
        <w:t xml:space="preserve">precisely determined </w:t>
      </w:r>
      <w:r w:rsidR="00B42902">
        <w:rPr>
          <w:rFonts w:ascii="Calibri" w:hAnsi="Calibri"/>
          <w:sz w:val="24"/>
          <w:szCs w:val="24"/>
          <w:lang w:val="en-US"/>
        </w:rPr>
        <w:t xml:space="preserve">from concentrations predicted every 12 minutes from the </w:t>
      </w:r>
      <w:r w:rsidR="000A6F14">
        <w:rPr>
          <w:rFonts w:ascii="Calibri" w:hAnsi="Calibri"/>
          <w:sz w:val="24"/>
          <w:szCs w:val="24"/>
          <w:lang w:val="en-US"/>
        </w:rPr>
        <w:t xml:space="preserve">mean </w:t>
      </w:r>
      <w:r w:rsidR="00B42902">
        <w:rPr>
          <w:rFonts w:ascii="Calibri" w:hAnsi="Calibri"/>
          <w:sz w:val="24"/>
          <w:szCs w:val="24"/>
          <w:lang w:val="en-US"/>
        </w:rPr>
        <w:t xml:space="preserve">individual, Bayesian posterior parameter values.  </w:t>
      </w:r>
    </w:p>
    <w:p w14:paraId="75E284D8" w14:textId="5AE1E055" w:rsidR="00E438E0" w:rsidRPr="007C5CC0" w:rsidRDefault="00E438E0" w:rsidP="00E438E0">
      <w:pPr>
        <w:tabs>
          <w:tab w:val="left" w:pos="709"/>
        </w:tabs>
        <w:rPr>
          <w:rFonts w:ascii="Calibri" w:hAnsi="Calibri"/>
          <w:sz w:val="24"/>
          <w:szCs w:val="24"/>
          <w:lang w:val="en-US"/>
        </w:rPr>
      </w:pPr>
      <w:r>
        <w:rPr>
          <w:rFonts w:ascii="Calibri" w:hAnsi="Calibri"/>
          <w:sz w:val="24"/>
          <w:szCs w:val="24"/>
          <w:lang w:val="en-US"/>
        </w:rPr>
        <w:tab/>
        <w:t>The relationship between the AUC</w:t>
      </w:r>
      <w:r w:rsidRPr="00E438E0">
        <w:rPr>
          <w:rFonts w:ascii="Calibri" w:hAnsi="Calibri"/>
          <w:sz w:val="24"/>
          <w:szCs w:val="24"/>
          <w:vertAlign w:val="subscript"/>
          <w:lang w:val="en-US"/>
        </w:rPr>
        <w:t>0-12</w:t>
      </w:r>
      <w:r>
        <w:rPr>
          <w:rFonts w:ascii="Calibri" w:hAnsi="Calibri"/>
          <w:sz w:val="24"/>
          <w:szCs w:val="24"/>
          <w:lang w:val="en-US"/>
        </w:rPr>
        <w:t xml:space="preserve"> and trough concentration</w:t>
      </w:r>
      <w:r w:rsidR="00F355E0">
        <w:rPr>
          <w:rFonts w:ascii="Calibri" w:hAnsi="Calibri"/>
          <w:sz w:val="24"/>
          <w:szCs w:val="24"/>
          <w:lang w:val="en-US"/>
        </w:rPr>
        <w:t xml:space="preserve"> was explored</w:t>
      </w:r>
      <w:r>
        <w:rPr>
          <w:rFonts w:ascii="Calibri" w:hAnsi="Calibri"/>
          <w:sz w:val="24"/>
          <w:szCs w:val="24"/>
          <w:lang w:val="en-US"/>
        </w:rPr>
        <w:t xml:space="preserve">.  This was done because the AUC is </w:t>
      </w:r>
      <w:r w:rsidR="003D7103">
        <w:rPr>
          <w:rFonts w:ascii="Calibri" w:hAnsi="Calibri"/>
          <w:sz w:val="24"/>
          <w:szCs w:val="24"/>
          <w:lang w:val="en-US"/>
        </w:rPr>
        <w:t xml:space="preserve">the </w:t>
      </w:r>
      <w:r>
        <w:rPr>
          <w:rFonts w:ascii="Calibri" w:hAnsi="Calibri"/>
          <w:sz w:val="24"/>
          <w:szCs w:val="24"/>
          <w:lang w:val="en-US"/>
        </w:rPr>
        <w:t xml:space="preserve">likely pharmacodynamic index that best links drug exposure with the observed effect, and </w:t>
      </w:r>
      <w:r w:rsidR="00A1287B">
        <w:rPr>
          <w:rFonts w:ascii="Calibri" w:hAnsi="Calibri"/>
          <w:sz w:val="24"/>
          <w:szCs w:val="24"/>
          <w:lang w:val="en-US"/>
        </w:rPr>
        <w:t>is therefore the most robust way</w:t>
      </w:r>
      <w:r>
        <w:rPr>
          <w:rFonts w:ascii="Calibri" w:hAnsi="Calibri"/>
          <w:sz w:val="24"/>
          <w:szCs w:val="24"/>
          <w:lang w:val="en-US"/>
        </w:rPr>
        <w:t xml:space="preserve"> to resolve drug exposure-effect relationships.  </w:t>
      </w:r>
      <w:r w:rsidR="008F04F9">
        <w:rPr>
          <w:rFonts w:ascii="Calibri" w:hAnsi="Calibri"/>
          <w:sz w:val="24"/>
          <w:szCs w:val="24"/>
          <w:lang w:val="en-US"/>
        </w:rPr>
        <w:t xml:space="preserve">The validity of the AUC as the relevant pharmacodynamic index </w:t>
      </w:r>
      <w:r w:rsidR="003D7103">
        <w:rPr>
          <w:rFonts w:ascii="Calibri" w:hAnsi="Calibri"/>
          <w:sz w:val="24"/>
          <w:szCs w:val="24"/>
          <w:lang w:val="en-US"/>
        </w:rPr>
        <w:t xml:space="preserve">has been demonstrated for </w:t>
      </w:r>
      <w:r w:rsidR="003D7103" w:rsidRPr="00E35A47">
        <w:rPr>
          <w:rFonts w:ascii="Calibri" w:hAnsi="Calibri"/>
          <w:i/>
          <w:sz w:val="24"/>
          <w:szCs w:val="24"/>
          <w:lang w:val="en-US"/>
        </w:rPr>
        <w:t>Candida albicans</w:t>
      </w:r>
      <w:r w:rsidR="003D7103">
        <w:rPr>
          <w:rFonts w:ascii="Calibri" w:hAnsi="Calibri"/>
          <w:sz w:val="24"/>
          <w:szCs w:val="24"/>
          <w:lang w:val="en-US"/>
        </w:rPr>
        <w:t xml:space="preserve">, but not </w:t>
      </w:r>
      <w:r w:rsidR="003D7103" w:rsidRPr="00E35A47">
        <w:rPr>
          <w:rFonts w:ascii="Calibri" w:hAnsi="Calibri"/>
          <w:i/>
          <w:sz w:val="24"/>
          <w:szCs w:val="24"/>
          <w:lang w:val="en-US"/>
        </w:rPr>
        <w:t>Aspergillus</w:t>
      </w:r>
      <w:r w:rsidR="003D7103">
        <w:rPr>
          <w:rFonts w:ascii="Calibri" w:hAnsi="Calibri"/>
          <w:sz w:val="24"/>
          <w:szCs w:val="24"/>
          <w:lang w:val="en-US"/>
        </w:rPr>
        <w:t xml:space="preserve"> spp.</w:t>
      </w:r>
      <w:r w:rsidR="007C32D6">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"PMID" : "14506026", "abstract" : "In vivo studies have described the pharmacodynamic (PD) characteristics of several triazoles. These investigations have demonstrated that the 24-h area under the concentration-time curve (AUC)/MIC ratio is the critical pharmacokinetic (PK)-PD parameter associated with treatment efficacy. Further analyses from these in vivo studies have demonstrated that a triazole free drug 24-h AUC/MIC of 20 to 25 is predictive of treatment success. We used a neutropenic murine model of disseminated Candida albicans infection to similarly characterize the PK-PD of the new triazole voriconazole. PK and PD parameters (percentage of time that the concentration remains above the MIC [T &gt; MIC], AUC/MIC ratio, and peak level in serum/MIC ratio) were correlated with in vivo efficacy, as measured by the organism number in kidney cultures after 24 h of therapy. Voriconazole kinetics and protein binding were studied in infected neutropenic mice. Peak level/dose and AUC/dose values ranged from 0.1 to 0.2 and 0.1 to 0.7, respectively. The serum elimination half-life ranged from 0.7 to 2.9 h. The level of protein binding in mouse serum was 78%. Treatment efficacy with the four dosing intervals studied was similar, supporting the AUC/MIC ratio as the PK-PD parameter predictive of efficacy. Nonlinear regression analysis also suggested that the AUC/MIC ratio was strongly predictive of treatment outcomes (R(2) for AUC/MIC ratio = 82%, R(2) for peak level/MIC ratio = 63%, R(2) for T &gt; MIC = 75%). Similar studies were conducted with nine additional C. albicans isolates with various voriconazole susceptibilities (MICs, 0.007 to 0.25 micro g/ml) to determine if a similar 24-h AUC/MIC ratio was associated with efficacy. The voriconazole free drug AUC/MIC ratios were similar for all of the organisms studied (range, 11 to 58; mean +/- standard deviation, 24 +/- 17 [P = 0.45]). These AUC/MIC ratios observed for free drug are similar to those observed for other triazoles in this model.", "author" : [ { "dropping-particle" : "", "family" : "Andes", "given" : "D", "non-dropping-particle" : "", "parse-names" : false, "suffix" : "" }, { "dropping-particle" : "", "family" : "Marchillo", "given" : "K", "non-dropping-particle" : "", "parse-names" : false, "suffix" : "" }, { "dropping-particle" : "", "family" : "Stamstad", "given" : "T", "non-dropping-particle" : "", "parse-names" : false, "suffix" : "" }, { "dropping-particle" : "", "family" : "Conklin", "given" : "R", "non-dropping-particle" : "", "parse-names" : false, "suffix" : "" } ], "container-title" : "Antimicrob Agents Chemother", "id" : "ITEM-1", "issue" : "10", "issued" : { "date-parts" : [ [ "2003" ] ] }, "note" : "0066-4804\nJournal Article", "page" : "3165-3169", "title" : "In vivo pharmacokinetics and pharmacodynamics of a new triazole, voriconazole, in a murine candidiasis model", "type" : "article-journal", "volume" : "47" }, "uris" : [ "http://www.mendeley.com/documents/?uuid=0c45489b-62f4-4e8f-b0a9-29ec096343a9" ] } ], "mendeley" : { "formattedCitation" : "&lt;sup&gt;21&lt;/sup&gt;", "plainTextFormattedCitation" : "21", "previouslyFormattedCitation" : "&lt;sup&gt;21&lt;/sup&gt;" }, "properties" : { "noteIndex" : 0 }, "schema" : "https://github.com/citation-style-language/schema/raw/master/csl-citation.json" }</w:instrText>
      </w:r>
      <w:r w:rsidR="007C32D6">
        <w:rPr>
          <w:rFonts w:ascii="Calibri" w:hAnsi="Calibri"/>
          <w:sz w:val="24"/>
          <w:szCs w:val="24"/>
          <w:lang w:val="en-US"/>
        </w:rPr>
        <w:fldChar w:fldCharType="separate"/>
      </w:r>
      <w:r w:rsidR="00610755" w:rsidRPr="00610755">
        <w:rPr>
          <w:rFonts w:ascii="Calibri" w:hAnsi="Calibri"/>
          <w:noProof/>
          <w:sz w:val="24"/>
          <w:szCs w:val="24"/>
          <w:vertAlign w:val="superscript"/>
          <w:lang w:val="en-US"/>
        </w:rPr>
        <w:t>21</w:t>
      </w:r>
      <w:r w:rsidR="007C32D6">
        <w:rPr>
          <w:rFonts w:ascii="Calibri" w:hAnsi="Calibri"/>
          <w:sz w:val="24"/>
          <w:szCs w:val="24"/>
          <w:lang w:val="en-US"/>
        </w:rPr>
        <w:fldChar w:fldCharType="end"/>
      </w:r>
      <w:r w:rsidR="003D7103">
        <w:rPr>
          <w:rFonts w:ascii="Calibri" w:hAnsi="Calibri"/>
          <w:sz w:val="24"/>
          <w:szCs w:val="24"/>
          <w:lang w:val="en-US"/>
        </w:rPr>
        <w:t xml:space="preserve"> </w:t>
      </w:r>
      <w:r w:rsidR="00AB0E95">
        <w:rPr>
          <w:rFonts w:ascii="Calibri" w:hAnsi="Calibri"/>
          <w:sz w:val="24"/>
          <w:szCs w:val="24"/>
          <w:lang w:val="en-US"/>
        </w:rPr>
        <w:t>However, i</w:t>
      </w:r>
      <w:r>
        <w:rPr>
          <w:rFonts w:ascii="Calibri" w:hAnsi="Calibri"/>
          <w:sz w:val="24"/>
          <w:szCs w:val="24"/>
          <w:lang w:val="en-US"/>
        </w:rPr>
        <w:t xml:space="preserve">n routine clinical settings the </w:t>
      </w:r>
      <w:r w:rsidR="008C5614">
        <w:rPr>
          <w:rFonts w:ascii="Calibri" w:hAnsi="Calibri"/>
          <w:sz w:val="24"/>
          <w:szCs w:val="24"/>
          <w:lang w:val="en-US"/>
        </w:rPr>
        <w:t xml:space="preserve">AUC may be difficult to estimate, and the trough concentration </w:t>
      </w:r>
      <w:r w:rsidR="00AB0E95">
        <w:rPr>
          <w:rFonts w:ascii="Calibri" w:hAnsi="Calibri"/>
          <w:sz w:val="24"/>
          <w:szCs w:val="24"/>
          <w:lang w:val="en-US"/>
        </w:rPr>
        <w:t xml:space="preserve">is frequently used </w:t>
      </w:r>
      <w:r w:rsidR="008C5614">
        <w:rPr>
          <w:rFonts w:ascii="Calibri" w:hAnsi="Calibri"/>
          <w:sz w:val="24"/>
          <w:szCs w:val="24"/>
          <w:lang w:val="en-US"/>
        </w:rPr>
        <w:t>as a surrogate.</w:t>
      </w:r>
      <w:r w:rsidR="00A1287B">
        <w:rPr>
          <w:rFonts w:ascii="Calibri" w:hAnsi="Calibri"/>
          <w:sz w:val="24"/>
          <w:szCs w:val="24"/>
          <w:lang w:val="en-US"/>
        </w:rPr>
        <w:t xml:space="preserve"> </w:t>
      </w:r>
      <w:r w:rsidR="000A6F14">
        <w:rPr>
          <w:rFonts w:ascii="Calibri" w:hAnsi="Calibri"/>
          <w:sz w:val="24"/>
          <w:szCs w:val="24"/>
          <w:lang w:val="en-US"/>
        </w:rPr>
        <w:t xml:space="preserve"> </w:t>
      </w:r>
      <w:r w:rsidR="00B250BC">
        <w:rPr>
          <w:rFonts w:ascii="Calibri" w:hAnsi="Calibri"/>
          <w:sz w:val="24"/>
          <w:szCs w:val="24"/>
          <w:lang w:val="en-US"/>
        </w:rPr>
        <w:t>To obtain an estimate of overall drug exposure, we determined the model predicted average AUC</w:t>
      </w:r>
      <w:r w:rsidR="00B250BC" w:rsidRPr="00851FDC">
        <w:rPr>
          <w:rFonts w:ascii="Calibri" w:hAnsi="Calibri"/>
          <w:sz w:val="24"/>
          <w:szCs w:val="24"/>
          <w:vertAlign w:val="subscript"/>
          <w:lang w:val="en-US"/>
        </w:rPr>
        <w:t>0-12</w:t>
      </w:r>
      <w:r w:rsidR="00B250BC">
        <w:rPr>
          <w:rFonts w:ascii="Calibri" w:hAnsi="Calibri"/>
          <w:sz w:val="24"/>
          <w:szCs w:val="24"/>
          <w:lang w:val="en-US"/>
        </w:rPr>
        <w:t xml:space="preserve"> and </w:t>
      </w:r>
      <w:r w:rsidR="001454E6">
        <w:rPr>
          <w:rFonts w:ascii="Calibri" w:hAnsi="Calibri"/>
          <w:sz w:val="24"/>
          <w:szCs w:val="24"/>
          <w:lang w:val="en-US"/>
        </w:rPr>
        <w:t xml:space="preserve">average </w:t>
      </w:r>
      <w:r w:rsidR="00B250BC">
        <w:rPr>
          <w:rFonts w:ascii="Calibri" w:hAnsi="Calibri"/>
          <w:sz w:val="24"/>
          <w:szCs w:val="24"/>
          <w:lang w:val="en-US"/>
        </w:rPr>
        <w:t>Cmin for each patient.  This approac</w:t>
      </w:r>
      <w:r w:rsidR="0016191D">
        <w:rPr>
          <w:rFonts w:ascii="Calibri" w:hAnsi="Calibri"/>
          <w:sz w:val="24"/>
          <w:szCs w:val="24"/>
          <w:lang w:val="en-US"/>
        </w:rPr>
        <w:t xml:space="preserve">h circumvented the problem of nonlinear PK where some patients with saturated clearance pathways </w:t>
      </w:r>
      <w:r w:rsidR="004B180C">
        <w:rPr>
          <w:rFonts w:ascii="Calibri" w:hAnsi="Calibri"/>
          <w:sz w:val="24"/>
          <w:szCs w:val="24"/>
          <w:lang w:val="en-US"/>
        </w:rPr>
        <w:t>may progressively accumulate drug</w:t>
      </w:r>
      <w:r w:rsidR="001454E6">
        <w:rPr>
          <w:rFonts w:ascii="Calibri" w:hAnsi="Calibri"/>
          <w:sz w:val="24"/>
          <w:szCs w:val="24"/>
          <w:lang w:val="en-US"/>
        </w:rPr>
        <w:t xml:space="preserve"> leading to uncertainty as to which is the </w:t>
      </w:r>
      <w:r w:rsidR="00B24FC0">
        <w:rPr>
          <w:rFonts w:ascii="Calibri" w:hAnsi="Calibri"/>
          <w:sz w:val="24"/>
          <w:szCs w:val="24"/>
          <w:lang w:val="en-US"/>
        </w:rPr>
        <w:t>“</w:t>
      </w:r>
      <w:r w:rsidR="001454E6">
        <w:rPr>
          <w:rFonts w:ascii="Calibri" w:hAnsi="Calibri"/>
          <w:sz w:val="24"/>
          <w:szCs w:val="24"/>
          <w:lang w:val="en-US"/>
        </w:rPr>
        <w:t>best</w:t>
      </w:r>
      <w:r w:rsidR="00B24FC0">
        <w:rPr>
          <w:rFonts w:ascii="Calibri" w:hAnsi="Calibri"/>
          <w:sz w:val="24"/>
          <w:szCs w:val="24"/>
          <w:lang w:val="en-US"/>
        </w:rPr>
        <w:t xml:space="preserve">” AUC or Cmin </w:t>
      </w:r>
      <w:r w:rsidR="00476806">
        <w:rPr>
          <w:rFonts w:ascii="Calibri" w:hAnsi="Calibri"/>
          <w:sz w:val="24"/>
          <w:szCs w:val="24"/>
          <w:lang w:val="en-US"/>
        </w:rPr>
        <w:t>that is best linked with clinical outcome</w:t>
      </w:r>
      <w:r w:rsidR="004B180C">
        <w:rPr>
          <w:rFonts w:ascii="Calibri" w:hAnsi="Calibri"/>
          <w:sz w:val="24"/>
          <w:szCs w:val="24"/>
          <w:lang w:val="en-US"/>
        </w:rPr>
        <w:t>.</w:t>
      </w:r>
      <w:r w:rsidR="009A7AC5" w:rsidRPr="007C5CC0">
        <w:rPr>
          <w:rFonts w:ascii="Calibri" w:hAnsi="Calibri"/>
          <w:sz w:val="24"/>
          <w:szCs w:val="24"/>
          <w:lang w:val="en-US"/>
        </w:rPr>
        <w:t xml:space="preserve"> </w:t>
      </w:r>
      <w:r w:rsidR="009A7AC5">
        <w:rPr>
          <w:rFonts w:ascii="Calibri" w:hAnsi="Calibri"/>
          <w:sz w:val="24"/>
          <w:szCs w:val="24"/>
          <w:lang w:val="en-US"/>
        </w:rPr>
        <w:t xml:space="preserve"> </w:t>
      </w:r>
    </w:p>
    <w:p w14:paraId="0E0F59CB" w14:textId="44100D53" w:rsidR="002F0973" w:rsidRDefault="007652E1" w:rsidP="007652E1">
      <w:pPr>
        <w:tabs>
          <w:tab w:val="left" w:pos="680"/>
        </w:tabs>
        <w:rPr>
          <w:rFonts w:ascii="Calibri" w:hAnsi="Calibri"/>
          <w:sz w:val="24"/>
          <w:szCs w:val="24"/>
          <w:lang w:val="en-US"/>
        </w:rPr>
      </w:pPr>
      <w:r>
        <w:rPr>
          <w:rFonts w:ascii="Calibri" w:hAnsi="Calibri"/>
          <w:sz w:val="24"/>
          <w:szCs w:val="24"/>
          <w:lang w:val="en-US"/>
        </w:rPr>
        <w:tab/>
      </w:r>
      <w:r w:rsidR="001634D2">
        <w:rPr>
          <w:rFonts w:ascii="Calibri" w:hAnsi="Calibri"/>
          <w:sz w:val="24"/>
          <w:szCs w:val="24"/>
          <w:lang w:val="en-US"/>
        </w:rPr>
        <w:t xml:space="preserve">Two approaches were used in an attempt to link drug exposure with clinical outcome.  </w:t>
      </w:r>
      <w:r w:rsidR="00373964">
        <w:rPr>
          <w:rFonts w:ascii="Calibri" w:hAnsi="Calibri"/>
          <w:sz w:val="24"/>
          <w:szCs w:val="24"/>
          <w:lang w:val="en-US"/>
        </w:rPr>
        <w:t>In the first, logis</w:t>
      </w:r>
      <w:r w:rsidR="001634D2">
        <w:rPr>
          <w:rFonts w:ascii="Calibri" w:hAnsi="Calibri"/>
          <w:sz w:val="24"/>
          <w:szCs w:val="24"/>
          <w:lang w:val="en-US"/>
        </w:rPr>
        <w:t>tic regression was used to examine a</w:t>
      </w:r>
      <w:r w:rsidR="004248FC">
        <w:rPr>
          <w:rFonts w:ascii="Calibri" w:hAnsi="Calibri"/>
          <w:sz w:val="24"/>
          <w:szCs w:val="24"/>
          <w:lang w:val="en-US"/>
        </w:rPr>
        <w:t>ny</w:t>
      </w:r>
      <w:r w:rsidR="001634D2">
        <w:rPr>
          <w:rFonts w:ascii="Calibri" w:hAnsi="Calibri"/>
          <w:sz w:val="24"/>
          <w:szCs w:val="24"/>
          <w:lang w:val="en-US"/>
        </w:rPr>
        <w:t xml:space="preserve"> potential relationship </w:t>
      </w:r>
      <w:r w:rsidR="001634D2">
        <w:rPr>
          <w:rFonts w:ascii="Calibri" w:hAnsi="Calibri"/>
          <w:sz w:val="24"/>
          <w:szCs w:val="24"/>
          <w:lang w:val="en-US"/>
        </w:rPr>
        <w:lastRenderedPageBreak/>
        <w:t xml:space="preserve">between the </w:t>
      </w:r>
      <w:r w:rsidR="004B180C">
        <w:rPr>
          <w:rFonts w:ascii="Calibri" w:hAnsi="Calibri"/>
          <w:sz w:val="24"/>
          <w:szCs w:val="24"/>
          <w:lang w:val="en-US"/>
        </w:rPr>
        <w:t xml:space="preserve">average </w:t>
      </w:r>
      <w:r w:rsidR="001634D2">
        <w:rPr>
          <w:rFonts w:ascii="Calibri" w:hAnsi="Calibri"/>
          <w:sz w:val="24"/>
          <w:szCs w:val="24"/>
          <w:lang w:val="en-US"/>
        </w:rPr>
        <w:t>AUC</w:t>
      </w:r>
      <w:r w:rsidR="001634D2" w:rsidRPr="00E104E7">
        <w:rPr>
          <w:rFonts w:ascii="Calibri" w:hAnsi="Calibri"/>
          <w:sz w:val="24"/>
          <w:szCs w:val="24"/>
          <w:vertAlign w:val="subscript"/>
          <w:lang w:val="en-US"/>
        </w:rPr>
        <w:t>0-12</w:t>
      </w:r>
      <w:r w:rsidR="001634D2">
        <w:rPr>
          <w:rFonts w:ascii="Calibri" w:hAnsi="Calibri"/>
          <w:sz w:val="24"/>
          <w:szCs w:val="24"/>
          <w:lang w:val="en-US"/>
        </w:rPr>
        <w:t xml:space="preserve"> with the probability of an IF</w:t>
      </w:r>
      <w:r w:rsidR="003D004B">
        <w:rPr>
          <w:rFonts w:ascii="Calibri" w:hAnsi="Calibri"/>
          <w:sz w:val="24"/>
          <w:szCs w:val="24"/>
          <w:lang w:val="en-US"/>
        </w:rPr>
        <w:t>D</w:t>
      </w:r>
      <w:r w:rsidR="001634D2">
        <w:rPr>
          <w:rFonts w:ascii="Calibri" w:hAnsi="Calibri"/>
          <w:sz w:val="24"/>
          <w:szCs w:val="24"/>
          <w:lang w:val="en-US"/>
        </w:rPr>
        <w:t xml:space="preserve"> being diagnosed.  This analysis was performed in SYSTAT</w:t>
      </w:r>
      <w:r w:rsidR="00F355E0">
        <w:rPr>
          <w:rFonts w:ascii="Calibri" w:hAnsi="Calibri"/>
          <w:sz w:val="24"/>
          <w:szCs w:val="24"/>
          <w:lang w:val="en-US"/>
        </w:rPr>
        <w:t xml:space="preserve"> version 11</w:t>
      </w:r>
      <w:r w:rsidR="001634D2">
        <w:rPr>
          <w:rFonts w:ascii="Calibri" w:hAnsi="Calibri"/>
          <w:sz w:val="24"/>
          <w:szCs w:val="24"/>
          <w:lang w:val="en-US"/>
        </w:rPr>
        <w:t xml:space="preserve">.  To further investigate any </w:t>
      </w:r>
      <w:r w:rsidR="00F355E0">
        <w:rPr>
          <w:rFonts w:ascii="Calibri" w:hAnsi="Calibri"/>
          <w:sz w:val="24"/>
          <w:szCs w:val="24"/>
          <w:lang w:val="en-US"/>
        </w:rPr>
        <w:t xml:space="preserve">possible </w:t>
      </w:r>
      <w:r w:rsidR="001634D2">
        <w:rPr>
          <w:rFonts w:ascii="Calibri" w:hAnsi="Calibri"/>
          <w:sz w:val="24"/>
          <w:szCs w:val="24"/>
          <w:lang w:val="en-US"/>
        </w:rPr>
        <w:t>relationship</w:t>
      </w:r>
      <w:r w:rsidR="00F355E0">
        <w:rPr>
          <w:rFonts w:ascii="Calibri" w:hAnsi="Calibri"/>
          <w:sz w:val="24"/>
          <w:szCs w:val="24"/>
          <w:lang w:val="en-US"/>
        </w:rPr>
        <w:t xml:space="preserve"> between drug exposure and clinical outcome</w:t>
      </w:r>
      <w:r w:rsidR="001634D2">
        <w:rPr>
          <w:rFonts w:ascii="Calibri" w:hAnsi="Calibri"/>
          <w:sz w:val="24"/>
          <w:szCs w:val="24"/>
          <w:lang w:val="en-US"/>
        </w:rPr>
        <w:t xml:space="preserve">, the </w:t>
      </w:r>
      <w:r w:rsidR="007F7921">
        <w:rPr>
          <w:rFonts w:ascii="Calibri" w:hAnsi="Calibri"/>
          <w:sz w:val="24"/>
          <w:szCs w:val="24"/>
          <w:lang w:val="en-US"/>
        </w:rPr>
        <w:t>average</w:t>
      </w:r>
      <w:r w:rsidR="001634D2">
        <w:rPr>
          <w:rFonts w:ascii="Calibri" w:hAnsi="Calibri"/>
          <w:sz w:val="24"/>
          <w:szCs w:val="24"/>
          <w:lang w:val="en-US"/>
        </w:rPr>
        <w:t xml:space="preserve"> AUC</w:t>
      </w:r>
      <w:r w:rsidR="001634D2" w:rsidRPr="002A40D6">
        <w:rPr>
          <w:rFonts w:ascii="Calibri" w:hAnsi="Calibri"/>
          <w:sz w:val="24"/>
          <w:szCs w:val="24"/>
          <w:vertAlign w:val="subscript"/>
          <w:lang w:val="en-US"/>
        </w:rPr>
        <w:t>0-12</w:t>
      </w:r>
      <w:r w:rsidR="00E438E0">
        <w:rPr>
          <w:rFonts w:ascii="Calibri" w:hAnsi="Calibri"/>
          <w:sz w:val="24"/>
          <w:szCs w:val="24"/>
          <w:lang w:val="en-US"/>
        </w:rPr>
        <w:t xml:space="preserve"> </w:t>
      </w:r>
      <w:r w:rsidR="007F7921">
        <w:rPr>
          <w:rFonts w:ascii="Calibri" w:hAnsi="Calibri"/>
          <w:sz w:val="24"/>
          <w:szCs w:val="24"/>
          <w:lang w:val="en-US"/>
        </w:rPr>
        <w:t xml:space="preserve">and </w:t>
      </w:r>
      <w:proofErr w:type="spellStart"/>
      <w:r w:rsidR="003D004B">
        <w:rPr>
          <w:rFonts w:ascii="Calibri" w:hAnsi="Calibri"/>
          <w:sz w:val="24"/>
          <w:szCs w:val="24"/>
          <w:lang w:val="en-US"/>
        </w:rPr>
        <w:t>Cmin</w:t>
      </w:r>
      <w:proofErr w:type="spellEnd"/>
      <w:r w:rsidR="003D004B">
        <w:rPr>
          <w:rFonts w:ascii="Calibri" w:hAnsi="Calibri"/>
          <w:sz w:val="24"/>
          <w:szCs w:val="24"/>
          <w:lang w:val="en-US"/>
        </w:rPr>
        <w:t xml:space="preserve"> </w:t>
      </w:r>
      <w:r w:rsidR="00E438E0">
        <w:rPr>
          <w:rFonts w:ascii="Calibri" w:hAnsi="Calibri"/>
          <w:sz w:val="24"/>
          <w:szCs w:val="24"/>
          <w:lang w:val="en-US"/>
        </w:rPr>
        <w:t>were</w:t>
      </w:r>
      <w:r w:rsidR="001634D2">
        <w:rPr>
          <w:rFonts w:ascii="Calibri" w:hAnsi="Calibri"/>
          <w:sz w:val="24"/>
          <w:szCs w:val="24"/>
          <w:lang w:val="en-US"/>
        </w:rPr>
        <w:t xml:space="preserve"> </w:t>
      </w:r>
      <w:r w:rsidR="00E438E0">
        <w:rPr>
          <w:rFonts w:ascii="Calibri" w:hAnsi="Calibri"/>
          <w:sz w:val="24"/>
          <w:szCs w:val="24"/>
          <w:lang w:val="en-US"/>
        </w:rPr>
        <w:t xml:space="preserve">compared in patients with and without </w:t>
      </w:r>
      <w:r w:rsidR="003D004B">
        <w:rPr>
          <w:rFonts w:ascii="Calibri" w:hAnsi="Calibri"/>
          <w:sz w:val="24"/>
          <w:szCs w:val="24"/>
          <w:lang w:val="en-US"/>
        </w:rPr>
        <w:t xml:space="preserve">IFD </w:t>
      </w:r>
      <w:r w:rsidR="00E438E0">
        <w:rPr>
          <w:rFonts w:ascii="Calibri" w:hAnsi="Calibri"/>
          <w:sz w:val="24"/>
          <w:szCs w:val="24"/>
          <w:lang w:val="en-US"/>
        </w:rPr>
        <w:t>(i.e. failure and success</w:t>
      </w:r>
      <w:r w:rsidR="00F355E0">
        <w:rPr>
          <w:rFonts w:ascii="Calibri" w:hAnsi="Calibri"/>
          <w:sz w:val="24"/>
          <w:szCs w:val="24"/>
          <w:lang w:val="en-US"/>
        </w:rPr>
        <w:t xml:space="preserve"> of prophylaxis</w:t>
      </w:r>
      <w:r w:rsidR="00E438E0">
        <w:rPr>
          <w:rFonts w:ascii="Calibri" w:hAnsi="Calibri"/>
          <w:sz w:val="24"/>
          <w:szCs w:val="24"/>
          <w:lang w:val="en-US"/>
        </w:rPr>
        <w:t>, respectively).  Potential differenc</w:t>
      </w:r>
      <w:r w:rsidR="00517CCF">
        <w:rPr>
          <w:rFonts w:ascii="Calibri" w:hAnsi="Calibri"/>
          <w:sz w:val="24"/>
          <w:szCs w:val="24"/>
          <w:lang w:val="en-US"/>
        </w:rPr>
        <w:t xml:space="preserve">es </w:t>
      </w:r>
      <w:r w:rsidR="00F355E0">
        <w:rPr>
          <w:rFonts w:ascii="Calibri" w:hAnsi="Calibri"/>
          <w:sz w:val="24"/>
          <w:szCs w:val="24"/>
          <w:lang w:val="en-US"/>
        </w:rPr>
        <w:t xml:space="preserve">in measures of drug exposure </w:t>
      </w:r>
      <w:r w:rsidR="00517CCF">
        <w:rPr>
          <w:rFonts w:ascii="Calibri" w:hAnsi="Calibri"/>
          <w:sz w:val="24"/>
          <w:szCs w:val="24"/>
          <w:lang w:val="en-US"/>
        </w:rPr>
        <w:t xml:space="preserve">were explored using </w:t>
      </w:r>
      <w:r w:rsidR="00F355E0">
        <w:rPr>
          <w:rFonts w:ascii="Calibri" w:hAnsi="Calibri"/>
          <w:sz w:val="24"/>
          <w:szCs w:val="24"/>
          <w:lang w:val="en-US"/>
        </w:rPr>
        <w:t xml:space="preserve">the </w:t>
      </w:r>
      <w:r w:rsidR="007F7921">
        <w:rPr>
          <w:rFonts w:ascii="Calibri" w:hAnsi="Calibri"/>
          <w:sz w:val="24"/>
          <w:szCs w:val="24"/>
          <w:lang w:val="en-US"/>
        </w:rPr>
        <w:t>Mann-Whitney U</w:t>
      </w:r>
      <w:r w:rsidR="00F355E0">
        <w:rPr>
          <w:rFonts w:ascii="Calibri" w:hAnsi="Calibri"/>
          <w:sz w:val="24"/>
          <w:szCs w:val="24"/>
          <w:lang w:val="en-US"/>
        </w:rPr>
        <w:t xml:space="preserve"> test</w:t>
      </w:r>
      <w:r w:rsidR="00E438E0">
        <w:rPr>
          <w:rFonts w:ascii="Calibri" w:hAnsi="Calibri"/>
          <w:sz w:val="24"/>
          <w:szCs w:val="24"/>
          <w:lang w:val="en-US"/>
        </w:rPr>
        <w:t>.</w:t>
      </w:r>
    </w:p>
    <w:p w14:paraId="7DF47604" w14:textId="77777777" w:rsidR="006433F4" w:rsidRDefault="006433F4">
      <w:pPr>
        <w:rPr>
          <w:rFonts w:ascii="Calibri" w:hAnsi="Calibri"/>
          <w:sz w:val="24"/>
          <w:szCs w:val="24"/>
          <w:lang w:val="en-US"/>
        </w:rPr>
      </w:pPr>
      <w:r>
        <w:rPr>
          <w:rFonts w:ascii="Calibri" w:hAnsi="Calibri"/>
          <w:sz w:val="24"/>
          <w:szCs w:val="24"/>
          <w:lang w:val="en-US"/>
        </w:rPr>
        <w:br w:type="page"/>
      </w:r>
    </w:p>
    <w:p w14:paraId="5EB2D027" w14:textId="77777777" w:rsidR="002F0973" w:rsidRPr="007C5CC0" w:rsidRDefault="00602EE1" w:rsidP="007C5CC0">
      <w:pPr>
        <w:tabs>
          <w:tab w:val="left" w:pos="6379"/>
        </w:tabs>
        <w:rPr>
          <w:rFonts w:ascii="Calibri" w:hAnsi="Calibri"/>
          <w:b/>
          <w:sz w:val="24"/>
          <w:szCs w:val="24"/>
          <w:lang w:val="en-US"/>
        </w:rPr>
      </w:pPr>
      <w:r w:rsidRPr="007C5CC0">
        <w:rPr>
          <w:rFonts w:ascii="Calibri" w:hAnsi="Calibri"/>
          <w:b/>
          <w:sz w:val="24"/>
          <w:szCs w:val="24"/>
          <w:lang w:val="en-US"/>
        </w:rPr>
        <w:lastRenderedPageBreak/>
        <w:t>RESULTS</w:t>
      </w:r>
    </w:p>
    <w:p w14:paraId="0CE84D53" w14:textId="77777777" w:rsidR="00667E9A" w:rsidRPr="00E608A8" w:rsidRDefault="00667E9A" w:rsidP="007C5CC0">
      <w:pPr>
        <w:tabs>
          <w:tab w:val="left" w:pos="6379"/>
        </w:tabs>
        <w:rPr>
          <w:rFonts w:ascii="Calibri" w:hAnsi="Calibri"/>
          <w:b/>
          <w:i/>
          <w:sz w:val="24"/>
          <w:szCs w:val="24"/>
          <w:lang w:val="en-US"/>
        </w:rPr>
      </w:pPr>
      <w:r w:rsidRPr="00E608A8">
        <w:rPr>
          <w:rFonts w:ascii="Calibri" w:hAnsi="Calibri"/>
          <w:b/>
          <w:i/>
          <w:sz w:val="24"/>
          <w:szCs w:val="24"/>
          <w:lang w:val="en-US"/>
        </w:rPr>
        <w:t>Patient Demographics</w:t>
      </w:r>
    </w:p>
    <w:p w14:paraId="46EB24DF" w14:textId="4D058450" w:rsidR="000D48EB" w:rsidRPr="0060540F" w:rsidRDefault="009E37B2" w:rsidP="007C5CC0">
      <w:pPr>
        <w:tabs>
          <w:tab w:val="left" w:pos="6379"/>
        </w:tabs>
        <w:ind w:firstLine="720"/>
        <w:rPr>
          <w:rFonts w:ascii="Calibri" w:hAnsi="Calibri"/>
          <w:sz w:val="24"/>
          <w:szCs w:val="24"/>
          <w:lang w:val="en-US"/>
        </w:rPr>
      </w:pPr>
      <w:r w:rsidRPr="007C5CC0">
        <w:rPr>
          <w:rFonts w:ascii="Calibri" w:hAnsi="Calibri"/>
          <w:sz w:val="24"/>
          <w:szCs w:val="24"/>
          <w:lang w:val="en-US"/>
        </w:rPr>
        <w:t xml:space="preserve">A total of </w:t>
      </w:r>
      <w:r w:rsidR="007A0416">
        <w:rPr>
          <w:rFonts w:ascii="Calibri" w:hAnsi="Calibri"/>
          <w:sz w:val="24"/>
          <w:szCs w:val="24"/>
          <w:lang w:val="en-US"/>
        </w:rPr>
        <w:t>187</w:t>
      </w:r>
      <w:r w:rsidR="007B7377" w:rsidRPr="007C5CC0">
        <w:rPr>
          <w:rFonts w:ascii="Calibri" w:hAnsi="Calibri"/>
          <w:sz w:val="24"/>
          <w:szCs w:val="24"/>
          <w:lang w:val="en-US"/>
        </w:rPr>
        <w:t xml:space="preserve"> patients </w:t>
      </w:r>
      <w:r w:rsidR="00D85522">
        <w:rPr>
          <w:rFonts w:ascii="Calibri" w:hAnsi="Calibri"/>
          <w:sz w:val="24"/>
          <w:szCs w:val="24"/>
          <w:lang w:val="en-US"/>
        </w:rPr>
        <w:t>&gt;12 years had undergone</w:t>
      </w:r>
      <w:r w:rsidR="00D85522" w:rsidRPr="007C5CC0">
        <w:rPr>
          <w:rFonts w:ascii="Calibri" w:hAnsi="Calibri"/>
          <w:sz w:val="24"/>
          <w:szCs w:val="24"/>
          <w:lang w:val="en-US"/>
        </w:rPr>
        <w:t xml:space="preserve"> </w:t>
      </w:r>
      <w:r w:rsidR="007B7377" w:rsidRPr="007C5CC0">
        <w:rPr>
          <w:rFonts w:ascii="Calibri" w:hAnsi="Calibri"/>
          <w:sz w:val="24"/>
          <w:szCs w:val="24"/>
          <w:lang w:val="en-US"/>
        </w:rPr>
        <w:t>allogeneic transplantation</w:t>
      </w:r>
      <w:r w:rsidR="00D85522">
        <w:rPr>
          <w:rFonts w:ascii="Calibri" w:hAnsi="Calibri"/>
          <w:sz w:val="24"/>
          <w:szCs w:val="24"/>
          <w:lang w:val="en-US"/>
        </w:rPr>
        <w:t xml:space="preserve">, </w:t>
      </w:r>
      <w:r w:rsidR="007B7377" w:rsidRPr="007C5CC0">
        <w:rPr>
          <w:rFonts w:ascii="Calibri" w:hAnsi="Calibri"/>
          <w:sz w:val="24"/>
          <w:szCs w:val="24"/>
          <w:lang w:val="en-US"/>
        </w:rPr>
        <w:t>receiv</w:t>
      </w:r>
      <w:r w:rsidR="00D85522">
        <w:rPr>
          <w:rFonts w:ascii="Calibri" w:hAnsi="Calibri"/>
          <w:sz w:val="24"/>
          <w:szCs w:val="24"/>
          <w:lang w:val="en-US"/>
        </w:rPr>
        <w:t>ed</w:t>
      </w:r>
      <w:r w:rsidR="007B7377" w:rsidRPr="007C5CC0">
        <w:rPr>
          <w:rFonts w:ascii="Calibri" w:hAnsi="Calibri"/>
          <w:sz w:val="24"/>
          <w:szCs w:val="24"/>
          <w:lang w:val="en-US"/>
        </w:rPr>
        <w:t xml:space="preserve"> voriconazole </w:t>
      </w:r>
      <w:r w:rsidR="00D85522">
        <w:rPr>
          <w:rFonts w:ascii="Calibri" w:hAnsi="Calibri"/>
          <w:sz w:val="24"/>
          <w:szCs w:val="24"/>
          <w:lang w:val="en-US"/>
        </w:rPr>
        <w:t>and</w:t>
      </w:r>
      <w:r w:rsidR="007B7377" w:rsidRPr="007C5CC0">
        <w:rPr>
          <w:rFonts w:ascii="Calibri" w:hAnsi="Calibri"/>
          <w:sz w:val="24"/>
          <w:szCs w:val="24"/>
          <w:lang w:val="en-US"/>
        </w:rPr>
        <w:t xml:space="preserve"> </w:t>
      </w:r>
      <w:r w:rsidR="007A0416">
        <w:rPr>
          <w:rFonts w:ascii="Calibri" w:hAnsi="Calibri"/>
          <w:sz w:val="24"/>
          <w:szCs w:val="24"/>
          <w:lang w:val="en-US"/>
        </w:rPr>
        <w:t xml:space="preserve">had PK </w:t>
      </w:r>
      <w:r w:rsidR="00D85522">
        <w:rPr>
          <w:rFonts w:ascii="Calibri" w:hAnsi="Calibri"/>
          <w:sz w:val="24"/>
          <w:szCs w:val="24"/>
          <w:lang w:val="en-US"/>
        </w:rPr>
        <w:t>samples available for analysis</w:t>
      </w:r>
      <w:r w:rsidR="007B7377" w:rsidRPr="007C5CC0">
        <w:rPr>
          <w:rFonts w:ascii="Calibri" w:hAnsi="Calibri"/>
          <w:sz w:val="24"/>
          <w:szCs w:val="24"/>
          <w:lang w:val="en-US"/>
        </w:rPr>
        <w:t xml:space="preserve">.  </w:t>
      </w:r>
      <w:r w:rsidR="000D48EB" w:rsidRPr="007C5CC0">
        <w:rPr>
          <w:rFonts w:ascii="Calibri" w:hAnsi="Calibri"/>
          <w:sz w:val="24"/>
          <w:szCs w:val="24"/>
          <w:lang w:val="en-US"/>
        </w:rPr>
        <w:t xml:space="preserve">The patient demographics </w:t>
      </w:r>
      <w:r w:rsidR="00096217">
        <w:rPr>
          <w:rFonts w:ascii="Calibri" w:hAnsi="Calibri"/>
          <w:sz w:val="24"/>
          <w:szCs w:val="24"/>
          <w:lang w:val="en-US"/>
        </w:rPr>
        <w:t xml:space="preserve">of the 187 patients </w:t>
      </w:r>
      <w:r w:rsidR="000D48EB" w:rsidRPr="007C5CC0">
        <w:rPr>
          <w:rFonts w:ascii="Calibri" w:hAnsi="Calibri"/>
          <w:sz w:val="24"/>
          <w:szCs w:val="24"/>
          <w:lang w:val="en-US"/>
        </w:rPr>
        <w:t>are summarized in Table 1.</w:t>
      </w:r>
      <w:r w:rsidR="00096217">
        <w:rPr>
          <w:rFonts w:ascii="Calibri" w:hAnsi="Calibri"/>
          <w:sz w:val="24"/>
          <w:szCs w:val="24"/>
          <w:lang w:val="en-US"/>
        </w:rPr>
        <w:t xml:space="preserve">  There were 1</w:t>
      </w:r>
      <w:r w:rsidR="00083B95">
        <w:rPr>
          <w:rFonts w:ascii="Calibri" w:hAnsi="Calibri"/>
          <w:sz w:val="24"/>
          <w:szCs w:val="24"/>
          <w:lang w:val="en-US"/>
        </w:rPr>
        <w:t>0</w:t>
      </w:r>
      <w:r w:rsidR="00096217">
        <w:rPr>
          <w:rFonts w:ascii="Calibri" w:hAnsi="Calibri"/>
          <w:sz w:val="24"/>
          <w:szCs w:val="24"/>
          <w:lang w:val="en-US"/>
        </w:rPr>
        <w:t>/187 (</w:t>
      </w:r>
      <w:r w:rsidR="00254602">
        <w:rPr>
          <w:rFonts w:ascii="Calibri" w:hAnsi="Calibri"/>
          <w:sz w:val="24"/>
          <w:szCs w:val="24"/>
          <w:lang w:val="en-US"/>
        </w:rPr>
        <w:t>5.</w:t>
      </w:r>
      <w:r w:rsidR="005A161C">
        <w:rPr>
          <w:rFonts w:ascii="Calibri" w:hAnsi="Calibri"/>
          <w:sz w:val="24"/>
          <w:szCs w:val="24"/>
          <w:lang w:val="en-US"/>
        </w:rPr>
        <w:t>3</w:t>
      </w:r>
      <w:r w:rsidR="00096217">
        <w:rPr>
          <w:rFonts w:ascii="Calibri" w:hAnsi="Calibri"/>
          <w:sz w:val="24"/>
          <w:szCs w:val="24"/>
          <w:lang w:val="en-US"/>
        </w:rPr>
        <w:t xml:space="preserve">%) of proven, probable or presumptive </w:t>
      </w:r>
      <w:r w:rsidR="003D004B">
        <w:rPr>
          <w:rFonts w:ascii="Calibri" w:hAnsi="Calibri"/>
          <w:sz w:val="24"/>
          <w:szCs w:val="24"/>
          <w:lang w:val="en-US"/>
        </w:rPr>
        <w:t xml:space="preserve">IFDs </w:t>
      </w:r>
      <w:r w:rsidR="00096217">
        <w:rPr>
          <w:rFonts w:ascii="Calibri" w:hAnsi="Calibri"/>
          <w:sz w:val="24"/>
          <w:szCs w:val="24"/>
          <w:lang w:val="en-US"/>
        </w:rPr>
        <w:t>up to day +180 of the study.</w:t>
      </w:r>
      <w:r w:rsidR="005A161C">
        <w:rPr>
          <w:rFonts w:ascii="Calibri" w:hAnsi="Calibri"/>
          <w:sz w:val="24"/>
          <w:szCs w:val="24"/>
          <w:lang w:val="en-US"/>
        </w:rPr>
        <w:t xml:space="preserve">  Possible </w:t>
      </w:r>
      <w:r w:rsidR="00760C2A">
        <w:rPr>
          <w:rFonts w:ascii="Calibri" w:hAnsi="Calibri"/>
          <w:sz w:val="24"/>
          <w:szCs w:val="24"/>
          <w:lang w:val="en-US"/>
        </w:rPr>
        <w:t xml:space="preserve">IFDs </w:t>
      </w:r>
      <w:r w:rsidR="005A161C">
        <w:rPr>
          <w:rFonts w:ascii="Calibri" w:hAnsi="Calibri"/>
          <w:sz w:val="24"/>
          <w:szCs w:val="24"/>
          <w:lang w:val="en-US"/>
        </w:rPr>
        <w:t>were not included as part of these analyses.</w:t>
      </w:r>
      <w:r w:rsidR="00B24FC0">
        <w:rPr>
          <w:rFonts w:ascii="Calibri" w:hAnsi="Calibri"/>
          <w:sz w:val="24"/>
          <w:szCs w:val="24"/>
          <w:lang w:val="en-US"/>
        </w:rPr>
        <w:t xml:space="preserve">  Of the 10 patients, 5 had a breakthrough infection after voriconazole was stopped </w:t>
      </w:r>
      <w:r w:rsidR="00E15646">
        <w:rPr>
          <w:rFonts w:ascii="Calibri" w:hAnsi="Calibri"/>
          <w:sz w:val="24"/>
          <w:szCs w:val="24"/>
          <w:lang w:val="en-US"/>
        </w:rPr>
        <w:t xml:space="preserve">at day +100 </w:t>
      </w:r>
      <w:r w:rsidR="00B24FC0">
        <w:rPr>
          <w:rFonts w:ascii="Calibri" w:hAnsi="Calibri"/>
          <w:sz w:val="24"/>
          <w:szCs w:val="24"/>
          <w:lang w:val="en-US"/>
        </w:rPr>
        <w:t>and were excluded from this analysis.</w:t>
      </w:r>
      <w:r w:rsidR="00FE6F74">
        <w:rPr>
          <w:rFonts w:ascii="Calibri" w:hAnsi="Calibri"/>
          <w:sz w:val="24"/>
          <w:szCs w:val="24"/>
          <w:lang w:val="en-US"/>
        </w:rPr>
        <w:t xml:space="preserve">  The time to breakthrough infection for the 10 patients is shown in Figure 1.</w:t>
      </w:r>
      <w:r w:rsidR="001907BF">
        <w:rPr>
          <w:rFonts w:ascii="Calibri" w:hAnsi="Calibri"/>
          <w:sz w:val="24"/>
          <w:szCs w:val="24"/>
          <w:lang w:val="en-US"/>
        </w:rPr>
        <w:t xml:space="preserve">  The mic</w:t>
      </w:r>
      <w:r w:rsidR="005A7CA9">
        <w:rPr>
          <w:rFonts w:ascii="Calibri" w:hAnsi="Calibri"/>
          <w:sz w:val="24"/>
          <w:szCs w:val="24"/>
          <w:lang w:val="en-US"/>
        </w:rPr>
        <w:t xml:space="preserve">robiological diagnoses of the </w:t>
      </w:r>
      <w:r w:rsidR="00547EDA">
        <w:rPr>
          <w:rFonts w:ascii="Calibri" w:hAnsi="Calibri"/>
          <w:sz w:val="24"/>
          <w:szCs w:val="24"/>
          <w:lang w:val="en-US"/>
        </w:rPr>
        <w:t>five</w:t>
      </w:r>
      <w:r w:rsidR="001907BF">
        <w:rPr>
          <w:rFonts w:ascii="Calibri" w:hAnsi="Calibri"/>
          <w:sz w:val="24"/>
          <w:szCs w:val="24"/>
          <w:lang w:val="en-US"/>
        </w:rPr>
        <w:t xml:space="preserve"> patients </w:t>
      </w:r>
      <w:r w:rsidR="005A7CA9">
        <w:rPr>
          <w:rFonts w:ascii="Calibri" w:hAnsi="Calibri"/>
          <w:sz w:val="24"/>
          <w:szCs w:val="24"/>
          <w:lang w:val="en-US"/>
        </w:rPr>
        <w:t xml:space="preserve">with infection while receiving voriconazole therapy up until day +100 post HSCT </w:t>
      </w:r>
      <w:r w:rsidR="001907BF">
        <w:rPr>
          <w:rFonts w:ascii="Calibri" w:hAnsi="Calibri"/>
          <w:sz w:val="24"/>
          <w:szCs w:val="24"/>
          <w:lang w:val="en-US"/>
        </w:rPr>
        <w:t xml:space="preserve">were: (1) disseminated </w:t>
      </w:r>
      <w:r w:rsidR="001907BF" w:rsidRPr="00352EBE">
        <w:rPr>
          <w:rFonts w:ascii="Calibri" w:hAnsi="Calibri"/>
          <w:i/>
          <w:sz w:val="24"/>
          <w:szCs w:val="24"/>
          <w:lang w:val="en-US"/>
        </w:rPr>
        <w:t>Rhizopus</w:t>
      </w:r>
      <w:r w:rsidR="001907BF">
        <w:rPr>
          <w:rFonts w:ascii="Calibri" w:hAnsi="Calibri"/>
          <w:sz w:val="24"/>
          <w:szCs w:val="24"/>
          <w:lang w:val="en-US"/>
        </w:rPr>
        <w:t xml:space="preserve"> infection</w:t>
      </w:r>
      <w:r w:rsidR="00AB59AB">
        <w:rPr>
          <w:rFonts w:ascii="Calibri" w:hAnsi="Calibri"/>
          <w:sz w:val="24"/>
          <w:szCs w:val="24"/>
          <w:lang w:val="en-US"/>
        </w:rPr>
        <w:t xml:space="preserve"> (n=1)</w:t>
      </w:r>
      <w:r w:rsidR="001907BF">
        <w:rPr>
          <w:rFonts w:ascii="Calibri" w:hAnsi="Calibri"/>
          <w:sz w:val="24"/>
          <w:szCs w:val="24"/>
          <w:lang w:val="en-US"/>
        </w:rPr>
        <w:t>; (2)</w:t>
      </w:r>
      <w:r w:rsidR="003C50D9">
        <w:rPr>
          <w:rFonts w:ascii="Calibri" w:hAnsi="Calibri"/>
          <w:sz w:val="24"/>
          <w:szCs w:val="24"/>
          <w:lang w:val="en-US"/>
        </w:rPr>
        <w:t xml:space="preserve"> </w:t>
      </w:r>
      <w:r w:rsidR="003C50D9" w:rsidRPr="00352EBE">
        <w:rPr>
          <w:rFonts w:ascii="Calibri" w:hAnsi="Calibri"/>
          <w:i/>
          <w:sz w:val="24"/>
          <w:szCs w:val="24"/>
          <w:lang w:val="en-US"/>
        </w:rPr>
        <w:t>Candida glabrata</w:t>
      </w:r>
      <w:r w:rsidR="003C50D9">
        <w:rPr>
          <w:rFonts w:ascii="Calibri" w:hAnsi="Calibri"/>
          <w:sz w:val="24"/>
          <w:szCs w:val="24"/>
          <w:lang w:val="en-US"/>
        </w:rPr>
        <w:t xml:space="preserve"> bloodstream infection (no </w:t>
      </w:r>
      <w:r w:rsidR="003C50D9" w:rsidRPr="00352EBE">
        <w:rPr>
          <w:rFonts w:ascii="Calibri" w:hAnsi="Calibri"/>
          <w:i/>
          <w:sz w:val="24"/>
          <w:szCs w:val="24"/>
          <w:lang w:val="en-US"/>
        </w:rPr>
        <w:t>in vitro</w:t>
      </w:r>
      <w:r w:rsidR="003C50D9">
        <w:rPr>
          <w:rFonts w:ascii="Calibri" w:hAnsi="Calibri"/>
          <w:sz w:val="24"/>
          <w:szCs w:val="24"/>
          <w:lang w:val="en-US"/>
        </w:rPr>
        <w:t xml:space="preserve"> susceptibility testing performed);</w:t>
      </w:r>
      <w:r w:rsidR="00E94C3C">
        <w:rPr>
          <w:rFonts w:ascii="Calibri" w:hAnsi="Calibri"/>
          <w:sz w:val="24"/>
          <w:szCs w:val="24"/>
          <w:lang w:val="en-US"/>
        </w:rPr>
        <w:t xml:space="preserve"> (</w:t>
      </w:r>
      <w:r w:rsidR="007C5468">
        <w:rPr>
          <w:rFonts w:ascii="Calibri" w:hAnsi="Calibri"/>
          <w:sz w:val="24"/>
          <w:szCs w:val="24"/>
          <w:lang w:val="en-US"/>
        </w:rPr>
        <w:t>3</w:t>
      </w:r>
      <w:r w:rsidR="00117CB2">
        <w:rPr>
          <w:rFonts w:ascii="Calibri" w:hAnsi="Calibri"/>
          <w:sz w:val="24"/>
          <w:szCs w:val="24"/>
          <w:lang w:val="en-US"/>
        </w:rPr>
        <w:t xml:space="preserve">) a patient with positive serum </w:t>
      </w:r>
      <w:r w:rsidR="00117CB2" w:rsidRPr="005E2E11">
        <w:rPr>
          <w:rFonts w:ascii="Calibri" w:hAnsi="Calibri"/>
          <w:sz w:val="24"/>
          <w:szCs w:val="24"/>
          <w:lang w:val="en-US"/>
        </w:rPr>
        <w:t>galactomannan and pulmonary infilt</w:t>
      </w:r>
      <w:r w:rsidR="00547EDA" w:rsidRPr="005E2E11">
        <w:rPr>
          <w:rFonts w:ascii="Calibri" w:hAnsi="Calibri"/>
          <w:sz w:val="24"/>
          <w:szCs w:val="24"/>
          <w:lang w:val="en-US"/>
        </w:rPr>
        <w:t>r</w:t>
      </w:r>
      <w:r w:rsidR="00117CB2" w:rsidRPr="005E2E11">
        <w:rPr>
          <w:rFonts w:ascii="Calibri" w:hAnsi="Calibri"/>
          <w:sz w:val="24"/>
          <w:szCs w:val="24"/>
          <w:lang w:val="en-US"/>
        </w:rPr>
        <w:t xml:space="preserve">ates; </w:t>
      </w:r>
      <w:r w:rsidR="007C5468" w:rsidRPr="005E2E11">
        <w:rPr>
          <w:rFonts w:ascii="Calibri" w:hAnsi="Calibri"/>
          <w:sz w:val="24"/>
          <w:szCs w:val="24"/>
          <w:lang w:val="en-US"/>
        </w:rPr>
        <w:t xml:space="preserve">(4) </w:t>
      </w:r>
      <w:r w:rsidR="007C5468" w:rsidRPr="005E2E11">
        <w:rPr>
          <w:rFonts w:ascii="Calibri" w:hAnsi="Calibri"/>
          <w:i/>
          <w:sz w:val="24"/>
          <w:szCs w:val="24"/>
          <w:lang w:val="en-US"/>
        </w:rPr>
        <w:t>Candida glabrata</w:t>
      </w:r>
      <w:r w:rsidR="007C5468" w:rsidRPr="005E2E11">
        <w:rPr>
          <w:rFonts w:ascii="Calibri" w:hAnsi="Calibri"/>
          <w:sz w:val="24"/>
          <w:szCs w:val="24"/>
          <w:lang w:val="en-US"/>
        </w:rPr>
        <w:t xml:space="preserve"> isolated from </w:t>
      </w:r>
      <w:r w:rsidR="007C5468" w:rsidRPr="0060540F">
        <w:rPr>
          <w:rFonts w:ascii="Calibri" w:hAnsi="Calibri"/>
          <w:sz w:val="24"/>
          <w:szCs w:val="24"/>
          <w:lang w:val="en-US"/>
        </w:rPr>
        <w:t xml:space="preserve">bronchoalveolar lavage </w:t>
      </w:r>
      <w:r w:rsidR="00B205E0">
        <w:rPr>
          <w:rFonts w:ascii="Calibri" w:hAnsi="Calibri"/>
          <w:sz w:val="24"/>
          <w:szCs w:val="24"/>
          <w:lang w:val="en-US"/>
        </w:rPr>
        <w:t xml:space="preserve">(BAL) </w:t>
      </w:r>
      <w:r w:rsidR="007C5468" w:rsidRPr="0060540F">
        <w:rPr>
          <w:rFonts w:ascii="Calibri" w:hAnsi="Calibri"/>
          <w:sz w:val="24"/>
          <w:szCs w:val="24"/>
          <w:lang w:val="en-US"/>
        </w:rPr>
        <w:t xml:space="preserve">fluid (n=1); </w:t>
      </w:r>
      <w:r w:rsidR="00547EDA" w:rsidRPr="0060540F">
        <w:rPr>
          <w:rFonts w:ascii="Calibri" w:hAnsi="Calibri"/>
          <w:sz w:val="24"/>
          <w:szCs w:val="24"/>
          <w:lang w:val="en-US"/>
        </w:rPr>
        <w:t xml:space="preserve">and </w:t>
      </w:r>
      <w:r w:rsidR="00117CB2" w:rsidRPr="0060540F">
        <w:rPr>
          <w:rFonts w:ascii="Calibri" w:hAnsi="Calibri"/>
          <w:sz w:val="24"/>
          <w:szCs w:val="24"/>
          <w:lang w:val="en-US"/>
        </w:rPr>
        <w:t>(5)</w:t>
      </w:r>
      <w:r w:rsidR="006A77E0" w:rsidRPr="0060540F">
        <w:rPr>
          <w:rFonts w:ascii="Calibri" w:hAnsi="Calibri"/>
          <w:sz w:val="24"/>
          <w:szCs w:val="24"/>
          <w:lang w:val="en-US"/>
        </w:rPr>
        <w:t xml:space="preserve"> growth of </w:t>
      </w:r>
      <w:r w:rsidR="006A77E0" w:rsidRPr="0060540F">
        <w:rPr>
          <w:rFonts w:ascii="Calibri" w:hAnsi="Calibri"/>
          <w:i/>
          <w:sz w:val="24"/>
          <w:szCs w:val="24"/>
          <w:lang w:val="en-US"/>
        </w:rPr>
        <w:t>Beauveria</w:t>
      </w:r>
      <w:r w:rsidR="006A77E0" w:rsidRPr="0060540F">
        <w:rPr>
          <w:rFonts w:ascii="Calibri" w:hAnsi="Calibri"/>
          <w:sz w:val="24"/>
          <w:szCs w:val="24"/>
          <w:lang w:val="en-US"/>
        </w:rPr>
        <w:t xml:space="preserve"> spp. from BAL fluid</w:t>
      </w:r>
      <w:r w:rsidR="00232358" w:rsidRPr="0060540F">
        <w:rPr>
          <w:rFonts w:ascii="Calibri" w:hAnsi="Calibri"/>
          <w:sz w:val="24"/>
          <w:szCs w:val="24"/>
          <w:lang w:val="en-US"/>
        </w:rPr>
        <w:t xml:space="preserve">.  </w:t>
      </w:r>
      <w:r w:rsidR="005E2E11" w:rsidRPr="0060540F">
        <w:rPr>
          <w:rFonts w:ascii="Calibri" w:hAnsi="Calibri" w:cs="Calibri"/>
          <w:sz w:val="24"/>
          <w:szCs w:val="24"/>
          <w:lang w:val="en-US"/>
        </w:rPr>
        <w:t>Cases 4 and 5 were classified as presumptive IF</w:t>
      </w:r>
      <w:r w:rsidR="00760C2A">
        <w:rPr>
          <w:rFonts w:ascii="Calibri" w:hAnsi="Calibri" w:cs="Calibri"/>
          <w:sz w:val="24"/>
          <w:szCs w:val="24"/>
          <w:lang w:val="en-US"/>
        </w:rPr>
        <w:t>D</w:t>
      </w:r>
      <w:r w:rsidR="005E2E11" w:rsidRPr="0060540F">
        <w:rPr>
          <w:rFonts w:ascii="Calibri" w:hAnsi="Calibri" w:cs="Calibri"/>
          <w:sz w:val="24"/>
          <w:szCs w:val="24"/>
          <w:lang w:val="en-US"/>
        </w:rPr>
        <w:t xml:space="preserve"> </w:t>
      </w:r>
      <w:r w:rsidR="0060540F" w:rsidRPr="0060540F">
        <w:rPr>
          <w:rFonts w:ascii="Calibri" w:hAnsi="Calibri" w:cs="Calibri"/>
          <w:sz w:val="24"/>
          <w:szCs w:val="24"/>
          <w:lang w:val="en-US"/>
        </w:rPr>
        <w:t>because</w:t>
      </w:r>
      <w:r w:rsidR="005E2E11" w:rsidRPr="0060540F">
        <w:rPr>
          <w:rFonts w:ascii="Calibri" w:hAnsi="Calibri" w:cs="Calibri"/>
          <w:sz w:val="24"/>
          <w:szCs w:val="24"/>
          <w:lang w:val="en-US"/>
        </w:rPr>
        <w:t xml:space="preserve"> no clinically relevant pathogen was identified, but the host and clinical criteria were met for </w:t>
      </w:r>
      <w:r w:rsidR="00815256" w:rsidRPr="0060540F">
        <w:rPr>
          <w:rFonts w:ascii="Calibri" w:hAnsi="Calibri" w:cs="Calibri"/>
          <w:sz w:val="24"/>
          <w:szCs w:val="24"/>
          <w:lang w:val="en-US"/>
        </w:rPr>
        <w:t>IF</w:t>
      </w:r>
      <w:r w:rsidR="00815256">
        <w:rPr>
          <w:rFonts w:ascii="Calibri" w:hAnsi="Calibri" w:cs="Calibri"/>
          <w:sz w:val="24"/>
          <w:szCs w:val="24"/>
          <w:lang w:val="en-US"/>
        </w:rPr>
        <w:t>D</w:t>
      </w:r>
      <w:r w:rsidR="00815256" w:rsidRPr="0060540F">
        <w:rPr>
          <w:rFonts w:ascii="Calibri" w:hAnsi="Calibri" w:cs="Calibri"/>
          <w:sz w:val="24"/>
          <w:szCs w:val="24"/>
          <w:lang w:val="en-US"/>
        </w:rPr>
        <w:t xml:space="preserve"> </w:t>
      </w:r>
      <w:r w:rsidR="005E2E11" w:rsidRPr="0060540F">
        <w:rPr>
          <w:rFonts w:ascii="Calibri" w:hAnsi="Calibri" w:cs="Calibri"/>
          <w:sz w:val="24"/>
          <w:szCs w:val="24"/>
          <w:lang w:val="en-US"/>
        </w:rPr>
        <w:t>and the patient underwent bronchoscopic evaluation to exclude bacteria and other clinically relevant pathogens. </w:t>
      </w:r>
    </w:p>
    <w:p w14:paraId="45F24FEF" w14:textId="77777777" w:rsidR="000D48EB" w:rsidRPr="007C5CC0" w:rsidRDefault="000D48EB" w:rsidP="007C5CC0">
      <w:pPr>
        <w:tabs>
          <w:tab w:val="left" w:pos="6379"/>
        </w:tabs>
        <w:ind w:firstLine="720"/>
        <w:rPr>
          <w:rFonts w:ascii="Calibri" w:hAnsi="Calibri"/>
          <w:sz w:val="24"/>
          <w:szCs w:val="24"/>
          <w:lang w:val="en-US"/>
        </w:rPr>
      </w:pPr>
    </w:p>
    <w:p w14:paraId="7BF16441" w14:textId="05F2720F" w:rsidR="00667E9A" w:rsidRPr="007C5CC0" w:rsidRDefault="000D48EB" w:rsidP="007C5CC0">
      <w:pPr>
        <w:tabs>
          <w:tab w:val="left" w:pos="6379"/>
        </w:tabs>
        <w:rPr>
          <w:rFonts w:ascii="Calibri" w:hAnsi="Calibri"/>
          <w:b/>
          <w:i/>
          <w:sz w:val="24"/>
          <w:szCs w:val="24"/>
          <w:lang w:val="en-US"/>
        </w:rPr>
      </w:pPr>
      <w:r w:rsidRPr="007C5CC0">
        <w:rPr>
          <w:rFonts w:ascii="Calibri" w:hAnsi="Calibri"/>
          <w:b/>
          <w:i/>
          <w:sz w:val="24"/>
          <w:szCs w:val="24"/>
          <w:lang w:val="en-US"/>
        </w:rPr>
        <w:t>Population Pharmacokinetic Model</w:t>
      </w:r>
      <w:r w:rsidR="00CE03AC">
        <w:rPr>
          <w:rFonts w:ascii="Calibri" w:hAnsi="Calibri"/>
          <w:b/>
          <w:i/>
          <w:sz w:val="24"/>
          <w:szCs w:val="24"/>
          <w:lang w:val="en-US"/>
        </w:rPr>
        <w:t>ling</w:t>
      </w:r>
    </w:p>
    <w:p w14:paraId="76A0090C" w14:textId="3A1E2092" w:rsidR="009E37B2" w:rsidRPr="007C5CC0" w:rsidRDefault="00B93B26" w:rsidP="008518A7">
      <w:pPr>
        <w:tabs>
          <w:tab w:val="left" w:pos="709"/>
        </w:tabs>
        <w:rPr>
          <w:rFonts w:ascii="Calibri" w:hAnsi="Calibri"/>
          <w:sz w:val="24"/>
          <w:szCs w:val="24"/>
          <w:lang w:val="en-US"/>
        </w:rPr>
      </w:pPr>
      <w:r w:rsidRPr="007C5CC0">
        <w:rPr>
          <w:rFonts w:ascii="Calibri" w:hAnsi="Calibri"/>
          <w:sz w:val="24"/>
          <w:szCs w:val="24"/>
          <w:lang w:val="en-US"/>
        </w:rPr>
        <w:tab/>
      </w:r>
      <w:r w:rsidR="000D48EB" w:rsidRPr="007C5CC0">
        <w:rPr>
          <w:rFonts w:ascii="Calibri" w:hAnsi="Calibri"/>
          <w:sz w:val="24"/>
          <w:szCs w:val="24"/>
          <w:lang w:val="en-US"/>
        </w:rPr>
        <w:t xml:space="preserve">The fit of the population pharmacokinetic model </w:t>
      </w:r>
      <w:r w:rsidR="008E2C4C" w:rsidRPr="007C5CC0">
        <w:rPr>
          <w:rFonts w:ascii="Calibri" w:hAnsi="Calibri"/>
          <w:sz w:val="24"/>
          <w:szCs w:val="24"/>
          <w:lang w:val="en-US"/>
        </w:rPr>
        <w:t xml:space="preserve">to the data </w:t>
      </w:r>
      <w:r w:rsidR="00CE03AC">
        <w:rPr>
          <w:rFonts w:ascii="Calibri" w:hAnsi="Calibri"/>
          <w:sz w:val="24"/>
          <w:szCs w:val="24"/>
          <w:lang w:val="en-US"/>
        </w:rPr>
        <w:t xml:space="preserve">from the 187 patients receiving voriconazole </w:t>
      </w:r>
      <w:r w:rsidR="000D48EB" w:rsidRPr="007C5CC0">
        <w:rPr>
          <w:rFonts w:ascii="Calibri" w:hAnsi="Calibri"/>
          <w:sz w:val="24"/>
          <w:szCs w:val="24"/>
          <w:lang w:val="en-US"/>
        </w:rPr>
        <w:t>was acceptable</w:t>
      </w:r>
      <w:r w:rsidR="00B65651">
        <w:rPr>
          <w:rFonts w:ascii="Calibri" w:hAnsi="Calibri"/>
          <w:sz w:val="24"/>
          <w:szCs w:val="24"/>
          <w:lang w:val="en-US"/>
        </w:rPr>
        <w:t xml:space="preserve"> (Figure </w:t>
      </w:r>
      <w:r w:rsidR="00FE6F74">
        <w:rPr>
          <w:rFonts w:ascii="Calibri" w:hAnsi="Calibri"/>
          <w:sz w:val="24"/>
          <w:szCs w:val="24"/>
          <w:lang w:val="en-US"/>
        </w:rPr>
        <w:t>2</w:t>
      </w:r>
      <w:r w:rsidR="00B65651">
        <w:rPr>
          <w:rFonts w:ascii="Calibri" w:hAnsi="Calibri"/>
          <w:sz w:val="24"/>
          <w:szCs w:val="24"/>
          <w:lang w:val="en-US"/>
        </w:rPr>
        <w:t>)</w:t>
      </w:r>
      <w:r w:rsidR="000D48EB" w:rsidRPr="007C5CC0">
        <w:rPr>
          <w:rFonts w:ascii="Calibri" w:hAnsi="Calibri"/>
          <w:sz w:val="24"/>
          <w:szCs w:val="24"/>
          <w:lang w:val="en-US"/>
        </w:rPr>
        <w:t xml:space="preserve">.  The </w:t>
      </w:r>
      <w:r w:rsidR="00C95FC7">
        <w:rPr>
          <w:rFonts w:ascii="Calibri" w:hAnsi="Calibri"/>
          <w:sz w:val="24"/>
          <w:szCs w:val="24"/>
          <w:lang w:val="en-US"/>
        </w:rPr>
        <w:t xml:space="preserve">mean and median </w:t>
      </w:r>
      <w:r w:rsidR="000D48EB" w:rsidRPr="007C5CC0">
        <w:rPr>
          <w:rFonts w:ascii="Calibri" w:hAnsi="Calibri"/>
          <w:sz w:val="24"/>
          <w:szCs w:val="24"/>
          <w:lang w:val="en-US"/>
        </w:rPr>
        <w:t xml:space="preserve">parameter values from </w:t>
      </w:r>
      <w:r w:rsidR="00C95FC7">
        <w:rPr>
          <w:rFonts w:ascii="Calibri" w:hAnsi="Calibri"/>
          <w:sz w:val="24"/>
          <w:szCs w:val="24"/>
          <w:lang w:val="en-US"/>
        </w:rPr>
        <w:t>each patient</w:t>
      </w:r>
      <w:r w:rsidR="000D48EB" w:rsidRPr="007C5CC0">
        <w:rPr>
          <w:rFonts w:ascii="Calibri" w:hAnsi="Calibri"/>
          <w:sz w:val="24"/>
          <w:szCs w:val="24"/>
          <w:lang w:val="en-US"/>
        </w:rPr>
        <w:t xml:space="preserve"> </w:t>
      </w:r>
      <w:r w:rsidR="00C95FC7">
        <w:rPr>
          <w:rFonts w:ascii="Calibri" w:hAnsi="Calibri"/>
          <w:sz w:val="24"/>
          <w:szCs w:val="24"/>
          <w:lang w:val="en-US"/>
        </w:rPr>
        <w:t>were both assessed in terms of their ability to account for the observed data</w:t>
      </w:r>
      <w:r w:rsidR="000D48EB" w:rsidRPr="007C5CC0">
        <w:rPr>
          <w:rFonts w:ascii="Calibri" w:hAnsi="Calibri"/>
          <w:sz w:val="24"/>
          <w:szCs w:val="24"/>
          <w:lang w:val="en-US"/>
        </w:rPr>
        <w:t xml:space="preserve">.  </w:t>
      </w:r>
      <w:r w:rsidR="00FF47F2">
        <w:rPr>
          <w:rFonts w:ascii="Calibri" w:hAnsi="Calibri"/>
          <w:sz w:val="24"/>
          <w:szCs w:val="24"/>
          <w:lang w:val="en-US"/>
        </w:rPr>
        <w:t xml:space="preserve">Both gave comparable results, but the means </w:t>
      </w:r>
      <w:r w:rsidR="00076269">
        <w:rPr>
          <w:rFonts w:ascii="Calibri" w:hAnsi="Calibri"/>
          <w:sz w:val="24"/>
          <w:szCs w:val="24"/>
          <w:lang w:val="en-US"/>
        </w:rPr>
        <w:t>performed</w:t>
      </w:r>
      <w:r w:rsidR="00FF47F2">
        <w:rPr>
          <w:rFonts w:ascii="Calibri" w:hAnsi="Calibri"/>
          <w:sz w:val="24"/>
          <w:szCs w:val="24"/>
          <w:lang w:val="en-US"/>
        </w:rPr>
        <w:t xml:space="preserve"> slightly </w:t>
      </w:r>
      <w:proofErr w:type="gramStart"/>
      <w:r w:rsidR="00FF47F2">
        <w:rPr>
          <w:rFonts w:ascii="Calibri" w:hAnsi="Calibri"/>
          <w:sz w:val="24"/>
          <w:szCs w:val="24"/>
          <w:lang w:val="en-US"/>
        </w:rPr>
        <w:t>better</w:t>
      </w:r>
      <w:proofErr w:type="gramEnd"/>
      <w:r w:rsidR="00FF47F2">
        <w:rPr>
          <w:rFonts w:ascii="Calibri" w:hAnsi="Calibri"/>
          <w:sz w:val="24"/>
          <w:szCs w:val="24"/>
          <w:lang w:val="en-US"/>
        </w:rPr>
        <w:t xml:space="preserve"> (same coefficient of determination, but slightly better slope for the linear regression of the observed-predicted values</w:t>
      </w:r>
      <w:r w:rsidR="00F6780E">
        <w:rPr>
          <w:rFonts w:ascii="Calibri" w:hAnsi="Calibri"/>
          <w:sz w:val="24"/>
          <w:szCs w:val="24"/>
          <w:lang w:val="en-US"/>
        </w:rPr>
        <w:t xml:space="preserve">).  </w:t>
      </w:r>
      <w:r w:rsidR="00F6780E" w:rsidRPr="007C5CC0">
        <w:rPr>
          <w:rFonts w:ascii="Calibri" w:hAnsi="Calibri"/>
          <w:sz w:val="24"/>
          <w:szCs w:val="24"/>
          <w:lang w:val="en-US"/>
        </w:rPr>
        <w:t xml:space="preserve">The linear regression of the observed-predicted values was given by </w:t>
      </w:r>
      <w:r w:rsidR="008E48BE">
        <w:rPr>
          <w:rFonts w:ascii="Calibri" w:hAnsi="Calibri"/>
          <w:sz w:val="24"/>
          <w:szCs w:val="24"/>
          <w:lang w:val="en-US"/>
        </w:rPr>
        <w:t xml:space="preserve">the following: </w:t>
      </w:r>
      <w:r w:rsidR="00F6780E" w:rsidRPr="007C5CC0">
        <w:rPr>
          <w:rFonts w:ascii="Calibri" w:hAnsi="Calibri"/>
          <w:sz w:val="24"/>
          <w:szCs w:val="24"/>
          <w:lang w:val="en-US"/>
        </w:rPr>
        <w:t>Observed=</w:t>
      </w:r>
      <w:r w:rsidR="00F6780E">
        <w:rPr>
          <w:rFonts w:ascii="Calibri" w:hAnsi="Calibri"/>
          <w:sz w:val="24"/>
          <w:szCs w:val="24"/>
          <w:lang w:val="en-US"/>
        </w:rPr>
        <w:t>-0.0</w:t>
      </w:r>
      <w:r w:rsidR="00BB0D3C">
        <w:rPr>
          <w:rFonts w:ascii="Calibri" w:hAnsi="Calibri"/>
          <w:sz w:val="24"/>
          <w:szCs w:val="24"/>
          <w:lang w:val="en-US"/>
        </w:rPr>
        <w:t>27</w:t>
      </w:r>
      <w:r w:rsidR="00F6780E" w:rsidRPr="007C5CC0">
        <w:rPr>
          <w:rFonts w:ascii="Calibri" w:hAnsi="Calibri"/>
          <w:sz w:val="24"/>
          <w:szCs w:val="24"/>
          <w:lang w:val="en-US"/>
        </w:rPr>
        <w:t>+</w:t>
      </w:r>
      <w:r w:rsidR="00F6780E">
        <w:rPr>
          <w:rFonts w:ascii="Calibri" w:hAnsi="Calibri"/>
          <w:sz w:val="24"/>
          <w:szCs w:val="24"/>
          <w:lang w:val="en-US"/>
        </w:rPr>
        <w:t>1.1</w:t>
      </w:r>
      <w:r w:rsidR="00BB0D3C">
        <w:rPr>
          <w:rFonts w:ascii="Calibri" w:hAnsi="Calibri"/>
          <w:sz w:val="24"/>
          <w:szCs w:val="24"/>
          <w:lang w:val="en-US"/>
        </w:rPr>
        <w:t>0</w:t>
      </w:r>
      <w:r w:rsidR="00F6780E">
        <w:rPr>
          <w:rFonts w:ascii="Calibri" w:hAnsi="Calibri"/>
          <w:sz w:val="24"/>
          <w:szCs w:val="24"/>
          <w:lang w:val="en-US"/>
        </w:rPr>
        <w:t>*Predicted</w:t>
      </w:r>
      <w:proofErr w:type="gramStart"/>
      <w:r w:rsidR="00F6780E">
        <w:rPr>
          <w:rFonts w:ascii="Calibri" w:hAnsi="Calibri"/>
          <w:sz w:val="24"/>
          <w:szCs w:val="24"/>
          <w:lang w:val="en-US"/>
        </w:rPr>
        <w:t>;</w:t>
      </w:r>
      <w:proofErr w:type="gramEnd"/>
      <w:r w:rsidR="00F6780E">
        <w:rPr>
          <w:rFonts w:ascii="Calibri" w:hAnsi="Calibri"/>
          <w:sz w:val="24"/>
          <w:szCs w:val="24"/>
          <w:lang w:val="en-US"/>
        </w:rPr>
        <w:t xml:space="preserve"> </w:t>
      </w:r>
      <w:r w:rsidR="00F6780E" w:rsidRPr="00851FDC">
        <w:rPr>
          <w:rFonts w:ascii="Calibri" w:hAnsi="Calibri"/>
          <w:i/>
          <w:sz w:val="24"/>
          <w:szCs w:val="24"/>
          <w:lang w:val="en-US"/>
        </w:rPr>
        <w:t>r</w:t>
      </w:r>
      <w:r w:rsidR="00F6780E" w:rsidRPr="00851FDC">
        <w:rPr>
          <w:rFonts w:ascii="Calibri" w:hAnsi="Calibri"/>
          <w:i/>
          <w:sz w:val="24"/>
          <w:szCs w:val="24"/>
          <w:vertAlign w:val="superscript"/>
          <w:lang w:val="en-US"/>
        </w:rPr>
        <w:t>2</w:t>
      </w:r>
      <w:r w:rsidR="00F6780E">
        <w:rPr>
          <w:rFonts w:ascii="Calibri" w:hAnsi="Calibri"/>
          <w:sz w:val="24"/>
          <w:szCs w:val="24"/>
          <w:lang w:val="en-US"/>
        </w:rPr>
        <w:t>=0.77.  Thus,</w:t>
      </w:r>
      <w:r w:rsidR="00FF47F2">
        <w:rPr>
          <w:rFonts w:ascii="Calibri" w:hAnsi="Calibri"/>
          <w:sz w:val="24"/>
          <w:szCs w:val="24"/>
          <w:lang w:val="en-US"/>
        </w:rPr>
        <w:t xml:space="preserve"> </w:t>
      </w:r>
      <w:r w:rsidR="00F6780E">
        <w:rPr>
          <w:rFonts w:ascii="Calibri" w:hAnsi="Calibri"/>
          <w:sz w:val="24"/>
          <w:szCs w:val="24"/>
          <w:lang w:val="en-US"/>
        </w:rPr>
        <w:t>t</w:t>
      </w:r>
      <w:r w:rsidR="00F6780E" w:rsidRPr="007C5CC0">
        <w:rPr>
          <w:rFonts w:ascii="Calibri" w:hAnsi="Calibri"/>
          <w:sz w:val="24"/>
          <w:szCs w:val="24"/>
          <w:lang w:val="en-US"/>
        </w:rPr>
        <w:t xml:space="preserve">he </w:t>
      </w:r>
      <w:r w:rsidR="00BB0D3C">
        <w:rPr>
          <w:rFonts w:ascii="Calibri" w:hAnsi="Calibri"/>
          <w:sz w:val="24"/>
          <w:szCs w:val="24"/>
          <w:lang w:val="en-US"/>
        </w:rPr>
        <w:t>individual</w:t>
      </w:r>
      <w:r w:rsidR="008E2C4C" w:rsidRPr="007C5CC0">
        <w:rPr>
          <w:rFonts w:ascii="Calibri" w:hAnsi="Calibri"/>
          <w:sz w:val="24"/>
          <w:szCs w:val="24"/>
          <w:lang w:val="en-US"/>
        </w:rPr>
        <w:t xml:space="preserve"> parameter </w:t>
      </w:r>
      <w:r w:rsidR="00BB0D3C">
        <w:rPr>
          <w:rFonts w:ascii="Calibri" w:hAnsi="Calibri"/>
          <w:sz w:val="24"/>
          <w:szCs w:val="24"/>
          <w:lang w:val="en-US"/>
        </w:rPr>
        <w:t>estimates</w:t>
      </w:r>
      <w:r w:rsidR="008E2C4C" w:rsidRPr="007C5CC0">
        <w:rPr>
          <w:rFonts w:ascii="Calibri" w:hAnsi="Calibri"/>
          <w:sz w:val="24"/>
          <w:szCs w:val="24"/>
          <w:lang w:val="en-US"/>
        </w:rPr>
        <w:t xml:space="preserve"> were used </w:t>
      </w:r>
      <w:r w:rsidR="00F6780E">
        <w:rPr>
          <w:rFonts w:ascii="Calibri" w:hAnsi="Calibri"/>
          <w:sz w:val="24"/>
          <w:szCs w:val="24"/>
          <w:lang w:val="en-US"/>
        </w:rPr>
        <w:t>to calculate the drug exposure experienced by each patient</w:t>
      </w:r>
      <w:r w:rsidR="008E2C4C" w:rsidRPr="007C5CC0">
        <w:rPr>
          <w:rFonts w:ascii="Calibri" w:hAnsi="Calibri"/>
          <w:sz w:val="24"/>
          <w:szCs w:val="24"/>
          <w:lang w:val="en-US"/>
        </w:rPr>
        <w:t>.</w:t>
      </w:r>
      <w:r w:rsidR="006B027C">
        <w:rPr>
          <w:rFonts w:ascii="Calibri" w:hAnsi="Calibri"/>
          <w:sz w:val="24"/>
          <w:szCs w:val="24"/>
          <w:lang w:val="en-US"/>
        </w:rPr>
        <w:t xml:space="preserve">  The distribution of the </w:t>
      </w:r>
      <w:r w:rsidR="00DA6827">
        <w:rPr>
          <w:rFonts w:ascii="Calibri" w:hAnsi="Calibri"/>
          <w:sz w:val="24"/>
          <w:szCs w:val="24"/>
          <w:lang w:val="en-US"/>
        </w:rPr>
        <w:t xml:space="preserve">mean </w:t>
      </w:r>
      <w:r w:rsidR="006B027C">
        <w:rPr>
          <w:rFonts w:ascii="Calibri" w:hAnsi="Calibri"/>
          <w:sz w:val="24"/>
          <w:szCs w:val="24"/>
          <w:lang w:val="en-US"/>
        </w:rPr>
        <w:t xml:space="preserve">parameter estimates </w:t>
      </w:r>
      <w:r w:rsidR="00D81C51">
        <w:rPr>
          <w:rFonts w:ascii="Calibri" w:hAnsi="Calibri"/>
          <w:sz w:val="24"/>
          <w:szCs w:val="24"/>
          <w:lang w:val="en-US"/>
        </w:rPr>
        <w:t xml:space="preserve">and measures of central tendency </w:t>
      </w:r>
      <w:r w:rsidR="006B027C">
        <w:rPr>
          <w:rFonts w:ascii="Calibri" w:hAnsi="Calibri"/>
          <w:sz w:val="24"/>
          <w:szCs w:val="24"/>
          <w:lang w:val="en-US"/>
        </w:rPr>
        <w:t xml:space="preserve">for the population of 187 patients is shown in Figure </w:t>
      </w:r>
      <w:r w:rsidR="00912D33">
        <w:rPr>
          <w:rFonts w:ascii="Calibri" w:hAnsi="Calibri"/>
          <w:sz w:val="24"/>
          <w:szCs w:val="24"/>
          <w:lang w:val="en-US"/>
        </w:rPr>
        <w:t>3</w:t>
      </w:r>
      <w:r w:rsidR="006B027C">
        <w:rPr>
          <w:rFonts w:ascii="Calibri" w:hAnsi="Calibri"/>
          <w:sz w:val="24"/>
          <w:szCs w:val="24"/>
          <w:lang w:val="en-US"/>
        </w:rPr>
        <w:t>.</w:t>
      </w:r>
    </w:p>
    <w:p w14:paraId="7487FFE0" w14:textId="77777777" w:rsidR="008C5614" w:rsidRDefault="008C5614" w:rsidP="007C5CC0">
      <w:pPr>
        <w:tabs>
          <w:tab w:val="left" w:pos="6379"/>
        </w:tabs>
        <w:rPr>
          <w:rFonts w:ascii="Calibri" w:hAnsi="Calibri"/>
          <w:sz w:val="24"/>
          <w:szCs w:val="24"/>
          <w:lang w:val="en-US"/>
        </w:rPr>
      </w:pPr>
    </w:p>
    <w:p w14:paraId="51C7C445" w14:textId="77777777" w:rsidR="00C239F3" w:rsidRPr="00C239F3" w:rsidRDefault="00C239F3" w:rsidP="007C5CC0">
      <w:pPr>
        <w:tabs>
          <w:tab w:val="left" w:pos="6379"/>
        </w:tabs>
        <w:rPr>
          <w:rFonts w:ascii="Calibri" w:hAnsi="Calibri"/>
          <w:b/>
          <w:i/>
          <w:sz w:val="24"/>
          <w:szCs w:val="24"/>
          <w:lang w:val="en-US"/>
        </w:rPr>
      </w:pPr>
      <w:r w:rsidRPr="00C239F3">
        <w:rPr>
          <w:rFonts w:ascii="Calibri" w:hAnsi="Calibri"/>
          <w:b/>
          <w:i/>
          <w:sz w:val="24"/>
          <w:szCs w:val="24"/>
          <w:lang w:val="en-US"/>
        </w:rPr>
        <w:t>Relationship between drug exposure and efficacy of prophylaxis</w:t>
      </w:r>
    </w:p>
    <w:p w14:paraId="77C170F7" w14:textId="67B1C9ED" w:rsidR="00C239F3" w:rsidRDefault="00473F20" w:rsidP="00627EFE">
      <w:pPr>
        <w:rPr>
          <w:rFonts w:ascii="Calibri" w:hAnsi="Calibri"/>
          <w:sz w:val="24"/>
          <w:szCs w:val="24"/>
          <w:lang w:val="en-US"/>
        </w:rPr>
      </w:pPr>
      <w:r>
        <w:rPr>
          <w:rFonts w:ascii="Calibri" w:hAnsi="Calibri"/>
          <w:sz w:val="24"/>
          <w:szCs w:val="24"/>
          <w:lang w:val="en-US"/>
        </w:rPr>
        <w:tab/>
      </w:r>
      <w:r w:rsidR="008E48BE">
        <w:rPr>
          <w:rFonts w:ascii="Calibri" w:hAnsi="Calibri"/>
          <w:sz w:val="24"/>
          <w:szCs w:val="24"/>
          <w:lang w:val="en-US"/>
        </w:rPr>
        <w:t xml:space="preserve">The absence of any relationship </w:t>
      </w:r>
      <w:r>
        <w:rPr>
          <w:rFonts w:ascii="Calibri" w:hAnsi="Calibri"/>
          <w:sz w:val="24"/>
          <w:szCs w:val="24"/>
          <w:lang w:val="en-US"/>
        </w:rPr>
        <w:t>between drug exposure and prevention of IF</w:t>
      </w:r>
      <w:r w:rsidR="008A11F8">
        <w:rPr>
          <w:rFonts w:ascii="Calibri" w:hAnsi="Calibri"/>
          <w:sz w:val="24"/>
          <w:szCs w:val="24"/>
          <w:lang w:val="en-US"/>
        </w:rPr>
        <w:t>D</w:t>
      </w:r>
      <w:r>
        <w:rPr>
          <w:rFonts w:ascii="Calibri" w:hAnsi="Calibri"/>
          <w:sz w:val="24"/>
          <w:szCs w:val="24"/>
          <w:lang w:val="en-US"/>
        </w:rPr>
        <w:t xml:space="preserve">s </w:t>
      </w:r>
      <w:r w:rsidR="008E48BE">
        <w:rPr>
          <w:rFonts w:ascii="Calibri" w:hAnsi="Calibri"/>
          <w:sz w:val="24"/>
          <w:szCs w:val="24"/>
          <w:lang w:val="en-US"/>
        </w:rPr>
        <w:t>was confirmed using two</w:t>
      </w:r>
      <w:r w:rsidR="00627EFE">
        <w:rPr>
          <w:rFonts w:ascii="Calibri" w:hAnsi="Calibri"/>
          <w:sz w:val="24"/>
          <w:szCs w:val="24"/>
          <w:lang w:val="en-US"/>
        </w:rPr>
        <w:t xml:space="preserve"> logistic regression models </w:t>
      </w:r>
      <w:r w:rsidR="008E48BE">
        <w:rPr>
          <w:rFonts w:ascii="Calibri" w:hAnsi="Calibri"/>
          <w:sz w:val="24"/>
          <w:szCs w:val="24"/>
          <w:lang w:val="en-US"/>
        </w:rPr>
        <w:t xml:space="preserve">that </w:t>
      </w:r>
      <w:r w:rsidR="00627EFE">
        <w:rPr>
          <w:rFonts w:ascii="Calibri" w:hAnsi="Calibri"/>
          <w:sz w:val="24"/>
          <w:szCs w:val="24"/>
          <w:lang w:val="en-US"/>
        </w:rPr>
        <w:t xml:space="preserve">are </w:t>
      </w:r>
      <w:r w:rsidR="008E48BE">
        <w:rPr>
          <w:rFonts w:ascii="Calibri" w:hAnsi="Calibri"/>
          <w:sz w:val="24"/>
          <w:szCs w:val="24"/>
          <w:lang w:val="en-US"/>
        </w:rPr>
        <w:t xml:space="preserve">summarized </w:t>
      </w:r>
      <w:r w:rsidR="00627EFE">
        <w:rPr>
          <w:rFonts w:ascii="Calibri" w:hAnsi="Calibri"/>
          <w:sz w:val="24"/>
          <w:szCs w:val="24"/>
          <w:lang w:val="en-US"/>
        </w:rPr>
        <w:t xml:space="preserve">in Table </w:t>
      </w:r>
      <w:r w:rsidR="00A30B45">
        <w:rPr>
          <w:rFonts w:ascii="Calibri" w:hAnsi="Calibri"/>
          <w:sz w:val="24"/>
          <w:szCs w:val="24"/>
          <w:lang w:val="en-US"/>
        </w:rPr>
        <w:t>2</w:t>
      </w:r>
      <w:r w:rsidR="00627EFE">
        <w:rPr>
          <w:rFonts w:ascii="Calibri" w:hAnsi="Calibri"/>
          <w:sz w:val="24"/>
          <w:szCs w:val="24"/>
          <w:lang w:val="en-US"/>
        </w:rPr>
        <w:t xml:space="preserve">.  </w:t>
      </w:r>
      <w:r w:rsidR="00D81C51">
        <w:rPr>
          <w:rFonts w:ascii="Calibri" w:hAnsi="Calibri"/>
          <w:sz w:val="24"/>
          <w:szCs w:val="24"/>
          <w:lang w:val="en-US"/>
        </w:rPr>
        <w:t>The p-</w:t>
      </w:r>
      <w:r w:rsidR="00BF0151">
        <w:rPr>
          <w:rFonts w:ascii="Calibri" w:hAnsi="Calibri"/>
          <w:sz w:val="24"/>
          <w:szCs w:val="24"/>
          <w:lang w:val="en-US"/>
        </w:rPr>
        <w:t xml:space="preserve">values </w:t>
      </w:r>
      <w:r w:rsidR="00135173">
        <w:rPr>
          <w:rFonts w:ascii="Calibri" w:hAnsi="Calibri"/>
          <w:sz w:val="24"/>
          <w:szCs w:val="24"/>
          <w:lang w:val="en-US"/>
        </w:rPr>
        <w:t xml:space="preserve">for </w:t>
      </w:r>
      <w:r w:rsidR="00076269">
        <w:rPr>
          <w:rFonts w:ascii="Calibri" w:hAnsi="Calibri"/>
          <w:sz w:val="24"/>
          <w:szCs w:val="24"/>
          <w:lang w:val="en-US"/>
        </w:rPr>
        <w:t>average Cmin</w:t>
      </w:r>
      <w:r w:rsidR="00135173">
        <w:rPr>
          <w:rFonts w:ascii="Calibri" w:hAnsi="Calibri"/>
          <w:sz w:val="24"/>
          <w:szCs w:val="24"/>
          <w:lang w:val="en-US"/>
        </w:rPr>
        <w:t xml:space="preserve"> and </w:t>
      </w:r>
      <w:r w:rsidR="00076269">
        <w:rPr>
          <w:rFonts w:ascii="Calibri" w:hAnsi="Calibri"/>
          <w:sz w:val="24"/>
          <w:szCs w:val="24"/>
          <w:lang w:val="en-US"/>
        </w:rPr>
        <w:t xml:space="preserve">average </w:t>
      </w:r>
      <w:r w:rsidR="00135173">
        <w:rPr>
          <w:rFonts w:ascii="Calibri" w:hAnsi="Calibri"/>
          <w:sz w:val="24"/>
          <w:szCs w:val="24"/>
          <w:lang w:val="en-US"/>
        </w:rPr>
        <w:t>AUC</w:t>
      </w:r>
      <w:r w:rsidR="00135173" w:rsidRPr="00B96BA7">
        <w:rPr>
          <w:rFonts w:ascii="Calibri" w:hAnsi="Calibri"/>
          <w:sz w:val="24"/>
          <w:szCs w:val="24"/>
          <w:vertAlign w:val="subscript"/>
          <w:lang w:val="en-US"/>
        </w:rPr>
        <w:t>0-12</w:t>
      </w:r>
      <w:r w:rsidR="00135173" w:rsidRPr="00851FDC">
        <w:rPr>
          <w:rFonts w:ascii="Calibri" w:hAnsi="Calibri"/>
          <w:sz w:val="24"/>
          <w:szCs w:val="24"/>
          <w:lang w:val="en-US"/>
        </w:rPr>
        <w:t xml:space="preserve"> </w:t>
      </w:r>
      <w:r w:rsidR="00BF0151">
        <w:rPr>
          <w:rFonts w:ascii="Calibri" w:hAnsi="Calibri"/>
          <w:sz w:val="24"/>
          <w:szCs w:val="24"/>
          <w:lang w:val="en-US"/>
        </w:rPr>
        <w:t>were 0.</w:t>
      </w:r>
      <w:r w:rsidR="00076269">
        <w:rPr>
          <w:rFonts w:ascii="Calibri" w:hAnsi="Calibri"/>
          <w:sz w:val="24"/>
          <w:szCs w:val="24"/>
          <w:lang w:val="en-US"/>
        </w:rPr>
        <w:t>813</w:t>
      </w:r>
      <w:r w:rsidR="00BF0151">
        <w:rPr>
          <w:rFonts w:ascii="Calibri" w:hAnsi="Calibri"/>
          <w:sz w:val="24"/>
          <w:szCs w:val="24"/>
          <w:lang w:val="en-US"/>
        </w:rPr>
        <w:t xml:space="preserve"> </w:t>
      </w:r>
      <w:r w:rsidR="00D81C51">
        <w:rPr>
          <w:rFonts w:ascii="Calibri" w:hAnsi="Calibri"/>
          <w:sz w:val="24"/>
          <w:szCs w:val="24"/>
          <w:lang w:val="en-US"/>
        </w:rPr>
        <w:t>and 0.</w:t>
      </w:r>
      <w:r w:rsidR="00076269">
        <w:rPr>
          <w:rFonts w:ascii="Calibri" w:hAnsi="Calibri"/>
          <w:sz w:val="24"/>
          <w:szCs w:val="24"/>
          <w:lang w:val="en-US"/>
        </w:rPr>
        <w:t>474</w:t>
      </w:r>
      <w:r w:rsidR="00D81C51">
        <w:rPr>
          <w:rFonts w:ascii="Calibri" w:hAnsi="Calibri"/>
          <w:sz w:val="24"/>
          <w:szCs w:val="24"/>
          <w:lang w:val="en-US"/>
        </w:rPr>
        <w:t>, respectively (</w:t>
      </w:r>
      <w:r w:rsidR="00BF0151">
        <w:rPr>
          <w:rFonts w:ascii="Calibri" w:hAnsi="Calibri"/>
          <w:sz w:val="24"/>
          <w:szCs w:val="24"/>
          <w:lang w:val="en-US"/>
        </w:rPr>
        <w:t>Table 2</w:t>
      </w:r>
      <w:r w:rsidR="00D81C51">
        <w:rPr>
          <w:rFonts w:ascii="Calibri" w:hAnsi="Calibri"/>
          <w:sz w:val="24"/>
          <w:szCs w:val="24"/>
          <w:lang w:val="en-US"/>
        </w:rPr>
        <w:t>)</w:t>
      </w:r>
      <w:r w:rsidR="00BF0151">
        <w:rPr>
          <w:rFonts w:ascii="Calibri" w:hAnsi="Calibri"/>
          <w:sz w:val="24"/>
          <w:szCs w:val="24"/>
          <w:lang w:val="en-US"/>
        </w:rPr>
        <w:t xml:space="preserve">.  </w:t>
      </w:r>
      <w:r w:rsidR="00627EFE">
        <w:rPr>
          <w:rFonts w:ascii="Calibri" w:hAnsi="Calibri"/>
          <w:sz w:val="24"/>
          <w:szCs w:val="24"/>
          <w:lang w:val="en-US"/>
        </w:rPr>
        <w:t>The odds ratio</w:t>
      </w:r>
      <w:r w:rsidR="00135173">
        <w:rPr>
          <w:rFonts w:ascii="Calibri" w:hAnsi="Calibri"/>
          <w:sz w:val="24"/>
          <w:szCs w:val="24"/>
          <w:lang w:val="en-US"/>
        </w:rPr>
        <w:t>s</w:t>
      </w:r>
      <w:r w:rsidR="00627EFE">
        <w:rPr>
          <w:rFonts w:ascii="Calibri" w:hAnsi="Calibri"/>
          <w:sz w:val="24"/>
          <w:szCs w:val="24"/>
          <w:lang w:val="en-US"/>
        </w:rPr>
        <w:t xml:space="preserve"> for </w:t>
      </w:r>
      <w:r w:rsidR="008E48BE">
        <w:rPr>
          <w:rFonts w:ascii="Calibri" w:hAnsi="Calibri"/>
          <w:sz w:val="24"/>
          <w:szCs w:val="24"/>
          <w:lang w:val="en-US"/>
        </w:rPr>
        <w:t>both models</w:t>
      </w:r>
      <w:r w:rsidR="00236B8D">
        <w:rPr>
          <w:rFonts w:ascii="Calibri" w:hAnsi="Calibri"/>
          <w:sz w:val="24"/>
          <w:szCs w:val="24"/>
          <w:lang w:val="en-US"/>
        </w:rPr>
        <w:t xml:space="preserve"> </w:t>
      </w:r>
      <w:r w:rsidR="00135173">
        <w:rPr>
          <w:rFonts w:ascii="Calibri" w:hAnsi="Calibri"/>
          <w:sz w:val="24"/>
          <w:szCs w:val="24"/>
          <w:lang w:val="en-US"/>
        </w:rPr>
        <w:t xml:space="preserve">were </w:t>
      </w:r>
      <w:r w:rsidR="00627EFE">
        <w:rPr>
          <w:rFonts w:ascii="Calibri" w:hAnsi="Calibri"/>
          <w:sz w:val="24"/>
          <w:szCs w:val="24"/>
          <w:lang w:val="en-US"/>
        </w:rPr>
        <w:t>close to 1</w:t>
      </w:r>
      <w:r w:rsidR="00A30B45">
        <w:rPr>
          <w:rFonts w:ascii="Calibri" w:hAnsi="Calibri"/>
          <w:sz w:val="24"/>
          <w:szCs w:val="24"/>
          <w:lang w:val="en-US"/>
        </w:rPr>
        <w:t xml:space="preserve"> for both measures of drug exposure</w:t>
      </w:r>
      <w:r w:rsidR="00627EFE">
        <w:rPr>
          <w:rFonts w:ascii="Calibri" w:hAnsi="Calibri"/>
          <w:sz w:val="24"/>
          <w:szCs w:val="24"/>
          <w:lang w:val="en-US"/>
        </w:rPr>
        <w:t>, and the 95% confidence interval crosse</w:t>
      </w:r>
      <w:r w:rsidR="00AE2BE0">
        <w:rPr>
          <w:rFonts w:ascii="Calibri" w:hAnsi="Calibri"/>
          <w:sz w:val="24"/>
          <w:szCs w:val="24"/>
          <w:lang w:val="en-US"/>
        </w:rPr>
        <w:t>d</w:t>
      </w:r>
      <w:r w:rsidR="00627EFE">
        <w:rPr>
          <w:rFonts w:ascii="Calibri" w:hAnsi="Calibri"/>
          <w:sz w:val="24"/>
          <w:szCs w:val="24"/>
          <w:lang w:val="en-US"/>
        </w:rPr>
        <w:t xml:space="preserve"> </w:t>
      </w:r>
      <w:r w:rsidR="00F915F9">
        <w:rPr>
          <w:rFonts w:ascii="Calibri" w:hAnsi="Calibri"/>
          <w:sz w:val="24"/>
          <w:szCs w:val="24"/>
          <w:lang w:val="en-US"/>
        </w:rPr>
        <w:t xml:space="preserve">one </w:t>
      </w:r>
      <w:r w:rsidR="00732BC5">
        <w:rPr>
          <w:rFonts w:ascii="Calibri" w:hAnsi="Calibri"/>
          <w:sz w:val="24"/>
          <w:szCs w:val="24"/>
          <w:lang w:val="en-US"/>
        </w:rPr>
        <w:t>in both cases</w:t>
      </w:r>
      <w:r w:rsidR="00627EFE">
        <w:rPr>
          <w:rFonts w:ascii="Calibri" w:hAnsi="Calibri"/>
          <w:sz w:val="24"/>
          <w:szCs w:val="24"/>
          <w:lang w:val="en-US"/>
        </w:rPr>
        <w:t>.</w:t>
      </w:r>
    </w:p>
    <w:p w14:paraId="5317B521" w14:textId="5BDA3339" w:rsidR="00627EFE" w:rsidRDefault="00627EFE" w:rsidP="00627EFE">
      <w:pPr>
        <w:rPr>
          <w:rFonts w:ascii="Calibri" w:hAnsi="Calibri"/>
          <w:sz w:val="24"/>
          <w:szCs w:val="24"/>
          <w:lang w:val="en-US"/>
        </w:rPr>
      </w:pPr>
      <w:r>
        <w:rPr>
          <w:rFonts w:ascii="Calibri" w:hAnsi="Calibri"/>
          <w:sz w:val="24"/>
          <w:szCs w:val="24"/>
          <w:lang w:val="en-US"/>
        </w:rPr>
        <w:lastRenderedPageBreak/>
        <w:tab/>
      </w:r>
      <w:r w:rsidR="00B024A5">
        <w:rPr>
          <w:rFonts w:ascii="Calibri" w:hAnsi="Calibri"/>
          <w:sz w:val="24"/>
          <w:szCs w:val="24"/>
          <w:lang w:val="en-US"/>
        </w:rPr>
        <w:t xml:space="preserve">There was not a statistically significant relationship between drug exposure quantified either in terms of the </w:t>
      </w:r>
      <w:r w:rsidR="00537B66">
        <w:rPr>
          <w:rFonts w:ascii="Calibri" w:hAnsi="Calibri"/>
          <w:sz w:val="24"/>
          <w:szCs w:val="24"/>
          <w:lang w:val="en-US"/>
        </w:rPr>
        <w:t xml:space="preserve">model predicted </w:t>
      </w:r>
      <w:r w:rsidR="00B024A5">
        <w:rPr>
          <w:rFonts w:ascii="Calibri" w:hAnsi="Calibri"/>
          <w:sz w:val="24"/>
          <w:szCs w:val="24"/>
          <w:lang w:val="en-US"/>
        </w:rPr>
        <w:t>average AUC</w:t>
      </w:r>
      <w:r w:rsidR="00B024A5" w:rsidRPr="00627EFE">
        <w:rPr>
          <w:rFonts w:ascii="Calibri" w:hAnsi="Calibri"/>
          <w:sz w:val="24"/>
          <w:szCs w:val="24"/>
          <w:vertAlign w:val="subscript"/>
          <w:lang w:val="en-US"/>
        </w:rPr>
        <w:t>0-12</w:t>
      </w:r>
      <w:r w:rsidR="00B024A5">
        <w:rPr>
          <w:rFonts w:ascii="Calibri" w:hAnsi="Calibri"/>
          <w:sz w:val="24"/>
          <w:szCs w:val="24"/>
          <w:lang w:val="en-US"/>
        </w:rPr>
        <w:t xml:space="preserve"> or average </w:t>
      </w:r>
      <w:r w:rsidR="00076269">
        <w:rPr>
          <w:rFonts w:ascii="Calibri" w:hAnsi="Calibri"/>
          <w:sz w:val="24"/>
          <w:szCs w:val="24"/>
          <w:lang w:val="en-US"/>
        </w:rPr>
        <w:t>Cmin</w:t>
      </w:r>
      <w:r w:rsidR="00B024A5">
        <w:rPr>
          <w:rFonts w:ascii="Calibri" w:hAnsi="Calibri"/>
          <w:sz w:val="24"/>
          <w:szCs w:val="24"/>
          <w:lang w:val="en-US"/>
        </w:rPr>
        <w:t xml:space="preserve"> and the ultimate clinical outcome</w:t>
      </w:r>
      <w:r w:rsidR="00EC0499">
        <w:rPr>
          <w:rFonts w:ascii="Calibri" w:hAnsi="Calibri"/>
          <w:sz w:val="24"/>
          <w:szCs w:val="24"/>
          <w:lang w:val="en-US"/>
        </w:rPr>
        <w:t xml:space="preserve"> as defined by the presence of an IF</w:t>
      </w:r>
      <w:r w:rsidR="00537B66">
        <w:rPr>
          <w:rFonts w:ascii="Calibri" w:hAnsi="Calibri"/>
          <w:sz w:val="24"/>
          <w:szCs w:val="24"/>
          <w:lang w:val="en-US"/>
        </w:rPr>
        <w:t>D</w:t>
      </w:r>
      <w:r w:rsidR="00B024A5">
        <w:rPr>
          <w:rFonts w:ascii="Calibri" w:hAnsi="Calibri"/>
          <w:sz w:val="24"/>
          <w:szCs w:val="24"/>
          <w:lang w:val="en-US"/>
        </w:rPr>
        <w:t>.  The mean and median ± standard deviation AUC</w:t>
      </w:r>
      <w:r w:rsidR="00B024A5" w:rsidRPr="00B96BA7">
        <w:rPr>
          <w:rFonts w:ascii="Calibri" w:hAnsi="Calibri"/>
          <w:sz w:val="24"/>
          <w:szCs w:val="24"/>
          <w:vertAlign w:val="subscript"/>
          <w:lang w:val="en-US"/>
        </w:rPr>
        <w:t>0-12</w:t>
      </w:r>
      <w:r w:rsidR="00B024A5">
        <w:rPr>
          <w:rFonts w:ascii="Calibri" w:hAnsi="Calibri"/>
          <w:sz w:val="24"/>
          <w:szCs w:val="24"/>
          <w:lang w:val="en-US"/>
        </w:rPr>
        <w:t xml:space="preserve"> in patients with breakthrough IF</w:t>
      </w:r>
      <w:r w:rsidR="008A11F8">
        <w:rPr>
          <w:rFonts w:ascii="Calibri" w:hAnsi="Calibri"/>
          <w:sz w:val="24"/>
          <w:szCs w:val="24"/>
          <w:lang w:val="en-US"/>
        </w:rPr>
        <w:t>D</w:t>
      </w:r>
      <w:r w:rsidR="00B024A5">
        <w:rPr>
          <w:rFonts w:ascii="Calibri" w:hAnsi="Calibri"/>
          <w:sz w:val="24"/>
          <w:szCs w:val="24"/>
          <w:lang w:val="en-US"/>
        </w:rPr>
        <w:t xml:space="preserve"> was </w:t>
      </w:r>
      <w:r w:rsidR="00F31051">
        <w:rPr>
          <w:rFonts w:ascii="Calibri" w:hAnsi="Calibri"/>
          <w:sz w:val="24"/>
          <w:szCs w:val="24"/>
          <w:lang w:val="en-US"/>
        </w:rPr>
        <w:t>15.91</w:t>
      </w:r>
      <w:r w:rsidR="00B024A5">
        <w:rPr>
          <w:rFonts w:ascii="Calibri" w:hAnsi="Calibri"/>
          <w:sz w:val="24"/>
          <w:szCs w:val="24"/>
          <w:lang w:val="en-US"/>
        </w:rPr>
        <w:t xml:space="preserve"> and 15.</w:t>
      </w:r>
      <w:r w:rsidR="00F31051">
        <w:rPr>
          <w:rFonts w:ascii="Calibri" w:hAnsi="Calibri"/>
          <w:sz w:val="24"/>
          <w:szCs w:val="24"/>
          <w:lang w:val="en-US"/>
        </w:rPr>
        <w:t>98</w:t>
      </w:r>
      <w:r w:rsidR="00B024A5">
        <w:rPr>
          <w:rFonts w:ascii="Calibri" w:hAnsi="Calibri"/>
          <w:sz w:val="24"/>
          <w:szCs w:val="24"/>
          <w:lang w:val="en-US"/>
        </w:rPr>
        <w:t xml:space="preserve"> ± </w:t>
      </w:r>
      <w:r w:rsidR="00F31051">
        <w:rPr>
          <w:rFonts w:ascii="Calibri" w:hAnsi="Calibri"/>
          <w:sz w:val="24"/>
          <w:szCs w:val="24"/>
          <w:lang w:val="en-US"/>
        </w:rPr>
        <w:t>11.37</w:t>
      </w:r>
      <w:r w:rsidR="00B024A5">
        <w:rPr>
          <w:rFonts w:ascii="Calibri" w:hAnsi="Calibri"/>
          <w:sz w:val="24"/>
          <w:szCs w:val="24"/>
          <w:lang w:val="en-US"/>
        </w:rPr>
        <w:t xml:space="preserve"> </w:t>
      </w:r>
      <w:proofErr w:type="spellStart"/>
      <w:r w:rsidR="00B024A5">
        <w:rPr>
          <w:rFonts w:ascii="Calibri" w:hAnsi="Calibri"/>
          <w:sz w:val="24"/>
          <w:szCs w:val="24"/>
          <w:lang w:val="en-US"/>
        </w:rPr>
        <w:t>mg.h</w:t>
      </w:r>
      <w:proofErr w:type="spellEnd"/>
      <w:r w:rsidR="00B024A5">
        <w:rPr>
          <w:rFonts w:ascii="Calibri" w:hAnsi="Calibri"/>
          <w:sz w:val="24"/>
          <w:szCs w:val="24"/>
          <w:lang w:val="en-US"/>
        </w:rPr>
        <w:t xml:space="preserve">/L, respectively.  These values were close to the estimates for patients without </w:t>
      </w:r>
      <w:r w:rsidR="001232AE">
        <w:rPr>
          <w:rFonts w:ascii="Calibri" w:hAnsi="Calibri"/>
          <w:sz w:val="24"/>
          <w:szCs w:val="24"/>
          <w:lang w:val="en-US"/>
        </w:rPr>
        <w:t xml:space="preserve">IFD </w:t>
      </w:r>
      <w:r w:rsidR="00B024A5">
        <w:rPr>
          <w:rFonts w:ascii="Calibri" w:hAnsi="Calibri"/>
          <w:sz w:val="24"/>
          <w:szCs w:val="24"/>
          <w:lang w:val="en-US"/>
        </w:rPr>
        <w:t>(21.</w:t>
      </w:r>
      <w:r w:rsidR="00FD0B36">
        <w:rPr>
          <w:rFonts w:ascii="Calibri" w:hAnsi="Calibri"/>
          <w:sz w:val="24"/>
          <w:szCs w:val="24"/>
          <w:lang w:val="en-US"/>
        </w:rPr>
        <w:t>62</w:t>
      </w:r>
      <w:r w:rsidR="00B024A5">
        <w:rPr>
          <w:rFonts w:ascii="Calibri" w:hAnsi="Calibri"/>
          <w:sz w:val="24"/>
          <w:szCs w:val="24"/>
          <w:lang w:val="en-US"/>
        </w:rPr>
        <w:t xml:space="preserve"> and 15.</w:t>
      </w:r>
      <w:r w:rsidR="00FD0B36">
        <w:rPr>
          <w:rFonts w:ascii="Calibri" w:hAnsi="Calibri"/>
          <w:sz w:val="24"/>
          <w:szCs w:val="24"/>
          <w:lang w:val="en-US"/>
        </w:rPr>
        <w:t>25</w:t>
      </w:r>
      <w:r w:rsidR="00B024A5">
        <w:rPr>
          <w:rFonts w:ascii="Calibri" w:hAnsi="Calibri"/>
          <w:sz w:val="24"/>
          <w:szCs w:val="24"/>
          <w:lang w:val="en-US"/>
        </w:rPr>
        <w:t xml:space="preserve"> ± 17.</w:t>
      </w:r>
      <w:r w:rsidR="00FD0B36">
        <w:rPr>
          <w:rFonts w:ascii="Calibri" w:hAnsi="Calibri"/>
          <w:sz w:val="24"/>
          <w:szCs w:val="24"/>
          <w:lang w:val="en-US"/>
        </w:rPr>
        <w:t>96</w:t>
      </w:r>
      <w:r w:rsidR="00B024A5">
        <w:rPr>
          <w:rFonts w:ascii="Calibri" w:hAnsi="Calibri"/>
          <w:sz w:val="24"/>
          <w:szCs w:val="24"/>
          <w:lang w:val="en-US"/>
        </w:rPr>
        <w:t xml:space="preserve"> </w:t>
      </w:r>
      <w:proofErr w:type="spellStart"/>
      <w:r w:rsidR="00B024A5">
        <w:rPr>
          <w:rFonts w:ascii="Calibri" w:hAnsi="Calibri"/>
          <w:sz w:val="24"/>
          <w:szCs w:val="24"/>
          <w:lang w:val="en-US"/>
        </w:rPr>
        <w:t>mg.h</w:t>
      </w:r>
      <w:proofErr w:type="spellEnd"/>
      <w:r w:rsidR="00B024A5">
        <w:rPr>
          <w:rFonts w:ascii="Calibri" w:hAnsi="Calibri"/>
          <w:sz w:val="24"/>
          <w:szCs w:val="24"/>
          <w:lang w:val="en-US"/>
        </w:rPr>
        <w:t xml:space="preserve">/L, respectively).  Similarly, the mean and median ± standard deviation trough </w:t>
      </w:r>
      <w:r w:rsidR="00437B2F">
        <w:rPr>
          <w:rFonts w:ascii="Calibri" w:hAnsi="Calibri"/>
          <w:sz w:val="24"/>
          <w:szCs w:val="24"/>
          <w:lang w:val="en-US"/>
        </w:rPr>
        <w:t>concentrations i</w:t>
      </w:r>
      <w:r w:rsidR="001232AE">
        <w:rPr>
          <w:rFonts w:ascii="Calibri" w:hAnsi="Calibri"/>
          <w:sz w:val="24"/>
          <w:szCs w:val="24"/>
          <w:lang w:val="en-US"/>
        </w:rPr>
        <w:t>n patients with breakthrough IFD</w:t>
      </w:r>
      <w:r w:rsidR="00437B2F">
        <w:rPr>
          <w:rFonts w:ascii="Calibri" w:hAnsi="Calibri"/>
          <w:sz w:val="24"/>
          <w:szCs w:val="24"/>
          <w:lang w:val="en-US"/>
        </w:rPr>
        <w:t xml:space="preserve"> were</w:t>
      </w:r>
      <w:r w:rsidR="00B024A5">
        <w:rPr>
          <w:rFonts w:ascii="Calibri" w:hAnsi="Calibri"/>
          <w:sz w:val="24"/>
          <w:szCs w:val="24"/>
          <w:lang w:val="en-US"/>
        </w:rPr>
        <w:t xml:space="preserve"> 1.</w:t>
      </w:r>
      <w:r w:rsidR="007972BE">
        <w:rPr>
          <w:rFonts w:ascii="Calibri" w:hAnsi="Calibri"/>
          <w:sz w:val="24"/>
          <w:szCs w:val="24"/>
          <w:lang w:val="en-US"/>
        </w:rPr>
        <w:t>39</w:t>
      </w:r>
      <w:r w:rsidR="00B024A5">
        <w:rPr>
          <w:rFonts w:ascii="Calibri" w:hAnsi="Calibri"/>
          <w:sz w:val="24"/>
          <w:szCs w:val="24"/>
          <w:lang w:val="en-US"/>
        </w:rPr>
        <w:t xml:space="preserve"> and 1.</w:t>
      </w:r>
      <w:r w:rsidR="007972BE">
        <w:rPr>
          <w:rFonts w:ascii="Calibri" w:hAnsi="Calibri"/>
          <w:sz w:val="24"/>
          <w:szCs w:val="24"/>
          <w:lang w:val="en-US"/>
        </w:rPr>
        <w:t>04</w:t>
      </w:r>
      <w:r w:rsidR="00B024A5">
        <w:rPr>
          <w:rFonts w:ascii="Calibri" w:hAnsi="Calibri"/>
          <w:sz w:val="24"/>
          <w:szCs w:val="24"/>
          <w:lang w:val="en-US"/>
        </w:rPr>
        <w:t xml:space="preserve"> ± 1.</w:t>
      </w:r>
      <w:r w:rsidR="007972BE">
        <w:rPr>
          <w:rFonts w:ascii="Calibri" w:hAnsi="Calibri"/>
          <w:sz w:val="24"/>
          <w:szCs w:val="24"/>
          <w:lang w:val="en-US"/>
        </w:rPr>
        <w:t>02</w:t>
      </w:r>
      <w:r w:rsidR="00B024A5">
        <w:rPr>
          <w:rFonts w:ascii="Calibri" w:hAnsi="Calibri"/>
          <w:sz w:val="24"/>
          <w:szCs w:val="24"/>
          <w:lang w:val="en-US"/>
        </w:rPr>
        <w:t xml:space="preserve"> mg/L, respectively, while </w:t>
      </w:r>
      <w:r w:rsidR="00CD3868">
        <w:rPr>
          <w:rFonts w:ascii="Calibri" w:hAnsi="Calibri"/>
          <w:sz w:val="24"/>
          <w:szCs w:val="24"/>
          <w:lang w:val="en-US"/>
        </w:rPr>
        <w:t xml:space="preserve">very similar </w:t>
      </w:r>
      <w:r w:rsidR="00B024A5">
        <w:rPr>
          <w:rFonts w:ascii="Calibri" w:hAnsi="Calibri"/>
          <w:sz w:val="24"/>
          <w:szCs w:val="24"/>
          <w:lang w:val="en-US"/>
        </w:rPr>
        <w:t>values for patients without IF</w:t>
      </w:r>
      <w:r w:rsidR="001232AE">
        <w:rPr>
          <w:rFonts w:ascii="Calibri" w:hAnsi="Calibri"/>
          <w:sz w:val="24"/>
          <w:szCs w:val="24"/>
          <w:lang w:val="en-US"/>
        </w:rPr>
        <w:t>D</w:t>
      </w:r>
      <w:r w:rsidR="00B024A5">
        <w:rPr>
          <w:rFonts w:ascii="Calibri" w:hAnsi="Calibri"/>
          <w:sz w:val="24"/>
          <w:szCs w:val="24"/>
          <w:lang w:val="en-US"/>
        </w:rPr>
        <w:t xml:space="preserve"> were 1.</w:t>
      </w:r>
      <w:r w:rsidR="007972BE">
        <w:rPr>
          <w:rFonts w:ascii="Calibri" w:hAnsi="Calibri"/>
          <w:sz w:val="24"/>
          <w:szCs w:val="24"/>
          <w:lang w:val="en-US"/>
        </w:rPr>
        <w:t>51</w:t>
      </w:r>
      <w:r w:rsidR="00B024A5">
        <w:rPr>
          <w:rFonts w:ascii="Calibri" w:hAnsi="Calibri"/>
          <w:sz w:val="24"/>
          <w:szCs w:val="24"/>
          <w:lang w:val="en-US"/>
        </w:rPr>
        <w:t xml:space="preserve"> and 1.0</w:t>
      </w:r>
      <w:r w:rsidR="007972BE">
        <w:rPr>
          <w:rFonts w:ascii="Calibri" w:hAnsi="Calibri"/>
          <w:sz w:val="24"/>
          <w:szCs w:val="24"/>
          <w:lang w:val="en-US"/>
        </w:rPr>
        <w:t>8</w:t>
      </w:r>
      <w:r w:rsidR="00B024A5">
        <w:rPr>
          <w:rFonts w:ascii="Calibri" w:hAnsi="Calibri"/>
          <w:sz w:val="24"/>
          <w:szCs w:val="24"/>
          <w:lang w:val="en-US"/>
        </w:rPr>
        <w:t xml:space="preserve"> ± 1.2</w:t>
      </w:r>
      <w:r w:rsidR="007972BE">
        <w:rPr>
          <w:rFonts w:ascii="Calibri" w:hAnsi="Calibri"/>
          <w:sz w:val="24"/>
          <w:szCs w:val="24"/>
          <w:lang w:val="en-US"/>
        </w:rPr>
        <w:t>6</w:t>
      </w:r>
      <w:r w:rsidR="00B024A5">
        <w:rPr>
          <w:rFonts w:ascii="Calibri" w:hAnsi="Calibri"/>
          <w:sz w:val="24"/>
          <w:szCs w:val="24"/>
          <w:lang w:val="en-US"/>
        </w:rPr>
        <w:t xml:space="preserve"> mg/L, respectively. </w:t>
      </w:r>
      <w:r w:rsidR="0021168D">
        <w:rPr>
          <w:rFonts w:ascii="Calibri" w:hAnsi="Calibri"/>
          <w:sz w:val="24"/>
          <w:szCs w:val="24"/>
          <w:lang w:val="en-US"/>
        </w:rPr>
        <w:t xml:space="preserve"> </w:t>
      </w:r>
      <w:r w:rsidR="00CD3868">
        <w:rPr>
          <w:rFonts w:ascii="Calibri" w:hAnsi="Calibri"/>
          <w:sz w:val="24"/>
          <w:szCs w:val="24"/>
          <w:lang w:val="en-US"/>
        </w:rPr>
        <w:t xml:space="preserve">As expected based on prior studies, between patient variability in PK and </w:t>
      </w:r>
      <w:r w:rsidR="001232AE">
        <w:rPr>
          <w:rFonts w:ascii="Calibri" w:hAnsi="Calibri"/>
          <w:sz w:val="24"/>
          <w:szCs w:val="24"/>
          <w:lang w:val="en-US"/>
        </w:rPr>
        <w:t>resultant</w:t>
      </w:r>
      <w:r w:rsidR="00CD3868">
        <w:rPr>
          <w:rFonts w:ascii="Calibri" w:hAnsi="Calibri"/>
          <w:sz w:val="24"/>
          <w:szCs w:val="24"/>
          <w:lang w:val="en-US"/>
        </w:rPr>
        <w:t xml:space="preserve"> drug exposure was high. </w:t>
      </w:r>
      <w:r w:rsidR="0021168D">
        <w:rPr>
          <w:rFonts w:ascii="Calibri" w:hAnsi="Calibri"/>
          <w:sz w:val="24"/>
          <w:szCs w:val="24"/>
          <w:lang w:val="en-US"/>
        </w:rPr>
        <w:t xml:space="preserve"> </w:t>
      </w:r>
      <w:r w:rsidR="002A4CBF">
        <w:rPr>
          <w:rFonts w:ascii="Calibri" w:hAnsi="Calibri"/>
          <w:sz w:val="24"/>
          <w:szCs w:val="24"/>
          <w:lang w:val="en-US"/>
        </w:rPr>
        <w:t>T</w:t>
      </w:r>
      <w:r w:rsidR="00C430CF">
        <w:rPr>
          <w:rFonts w:ascii="Calibri" w:hAnsi="Calibri"/>
          <w:sz w:val="24"/>
          <w:szCs w:val="24"/>
          <w:lang w:val="en-US"/>
        </w:rPr>
        <w:t xml:space="preserve">here were no statistically significant differences </w:t>
      </w:r>
      <w:r w:rsidR="00E0545F">
        <w:rPr>
          <w:rFonts w:ascii="Calibri" w:hAnsi="Calibri"/>
          <w:sz w:val="24"/>
          <w:szCs w:val="24"/>
          <w:lang w:val="en-US"/>
        </w:rPr>
        <w:t xml:space="preserve">between the </w:t>
      </w:r>
      <w:r w:rsidR="00F05E50">
        <w:rPr>
          <w:rFonts w:ascii="Calibri" w:hAnsi="Calibri"/>
          <w:sz w:val="24"/>
          <w:szCs w:val="24"/>
          <w:lang w:val="en-US"/>
        </w:rPr>
        <w:t xml:space="preserve">model predicted </w:t>
      </w:r>
      <w:r w:rsidR="00E0545F">
        <w:rPr>
          <w:rFonts w:ascii="Calibri" w:hAnsi="Calibri"/>
          <w:sz w:val="24"/>
          <w:szCs w:val="24"/>
          <w:lang w:val="en-US"/>
        </w:rPr>
        <w:t xml:space="preserve">average </w:t>
      </w:r>
      <w:r w:rsidR="00E0545F" w:rsidRPr="007052F8">
        <w:rPr>
          <w:rFonts w:ascii="Calibri" w:hAnsi="Calibri"/>
          <w:sz w:val="24"/>
          <w:szCs w:val="24"/>
          <w:lang w:val="en-US"/>
        </w:rPr>
        <w:t>AUC</w:t>
      </w:r>
      <w:r w:rsidR="00E0545F" w:rsidRPr="00851FDC">
        <w:rPr>
          <w:rFonts w:ascii="Calibri" w:hAnsi="Calibri"/>
          <w:sz w:val="24"/>
          <w:szCs w:val="24"/>
          <w:vertAlign w:val="subscript"/>
          <w:lang w:val="en-US"/>
        </w:rPr>
        <w:t>0-12</w:t>
      </w:r>
      <w:r w:rsidR="00E0545F">
        <w:rPr>
          <w:rFonts w:ascii="Calibri" w:hAnsi="Calibri"/>
          <w:sz w:val="24"/>
          <w:szCs w:val="24"/>
          <w:lang w:val="en-US"/>
        </w:rPr>
        <w:t xml:space="preserve"> and average Cmin </w:t>
      </w:r>
      <w:r w:rsidR="00C430CF">
        <w:rPr>
          <w:rFonts w:ascii="Calibri" w:hAnsi="Calibri"/>
          <w:sz w:val="24"/>
          <w:szCs w:val="24"/>
          <w:lang w:val="en-US"/>
        </w:rPr>
        <w:t xml:space="preserve">when assessed using the </w:t>
      </w:r>
      <w:r w:rsidR="009F10AA">
        <w:rPr>
          <w:rFonts w:ascii="Calibri" w:hAnsi="Calibri"/>
          <w:sz w:val="24"/>
          <w:szCs w:val="24"/>
          <w:lang w:val="en-US"/>
        </w:rPr>
        <w:t>Mann-Whitney U</w:t>
      </w:r>
      <w:r w:rsidR="00C430CF">
        <w:rPr>
          <w:rFonts w:ascii="Calibri" w:hAnsi="Calibri"/>
          <w:sz w:val="24"/>
          <w:szCs w:val="24"/>
          <w:lang w:val="en-US"/>
        </w:rPr>
        <w:t xml:space="preserve"> test</w:t>
      </w:r>
      <w:r w:rsidR="00B024A5">
        <w:rPr>
          <w:rFonts w:ascii="Calibri" w:hAnsi="Calibri"/>
          <w:sz w:val="24"/>
          <w:szCs w:val="24"/>
          <w:lang w:val="en-US"/>
        </w:rPr>
        <w:t xml:space="preserve"> </w:t>
      </w:r>
      <w:r w:rsidR="00E0545F">
        <w:rPr>
          <w:rFonts w:ascii="Calibri" w:hAnsi="Calibri"/>
          <w:sz w:val="24"/>
          <w:szCs w:val="24"/>
          <w:lang w:val="en-US"/>
        </w:rPr>
        <w:t xml:space="preserve">with a p-value of 0.475 and 0.945, respectively </w:t>
      </w:r>
      <w:r w:rsidR="00B024A5">
        <w:rPr>
          <w:rFonts w:ascii="Calibri" w:hAnsi="Calibri"/>
          <w:sz w:val="24"/>
          <w:szCs w:val="24"/>
          <w:lang w:val="en-US"/>
        </w:rPr>
        <w:t xml:space="preserve">(Figure </w:t>
      </w:r>
      <w:r w:rsidR="00912D33">
        <w:rPr>
          <w:rFonts w:ascii="Calibri" w:hAnsi="Calibri"/>
          <w:sz w:val="24"/>
          <w:szCs w:val="24"/>
          <w:lang w:val="en-US"/>
        </w:rPr>
        <w:t>4</w:t>
      </w:r>
      <w:r w:rsidR="00B024A5">
        <w:rPr>
          <w:rFonts w:ascii="Calibri" w:hAnsi="Calibri"/>
          <w:sz w:val="24"/>
          <w:szCs w:val="24"/>
          <w:lang w:val="en-US"/>
        </w:rPr>
        <w:t>)</w:t>
      </w:r>
      <w:r w:rsidR="00C430CF">
        <w:rPr>
          <w:rFonts w:ascii="Calibri" w:hAnsi="Calibri"/>
          <w:sz w:val="24"/>
          <w:szCs w:val="24"/>
          <w:lang w:val="en-US"/>
        </w:rPr>
        <w:t>.</w:t>
      </w:r>
    </w:p>
    <w:p w14:paraId="4F8CA780" w14:textId="7213E804" w:rsidR="00EC0499" w:rsidRDefault="00EC0499">
      <w:pPr>
        <w:rPr>
          <w:rFonts w:ascii="Calibri" w:hAnsi="Calibri"/>
          <w:sz w:val="24"/>
          <w:szCs w:val="24"/>
          <w:lang w:val="en-US"/>
        </w:rPr>
      </w:pPr>
      <w:r>
        <w:rPr>
          <w:rFonts w:ascii="Calibri" w:hAnsi="Calibri"/>
          <w:sz w:val="24"/>
          <w:szCs w:val="24"/>
          <w:lang w:val="en-US"/>
        </w:rPr>
        <w:br w:type="page"/>
      </w:r>
    </w:p>
    <w:p w14:paraId="1F3EE468" w14:textId="77777777" w:rsidR="00C162B1" w:rsidRPr="00517CCF" w:rsidRDefault="00CE3DA1" w:rsidP="007C5CC0">
      <w:pPr>
        <w:tabs>
          <w:tab w:val="left" w:pos="6379"/>
        </w:tabs>
        <w:rPr>
          <w:rFonts w:ascii="Calibri" w:hAnsi="Calibri"/>
          <w:b/>
          <w:sz w:val="24"/>
          <w:szCs w:val="24"/>
          <w:lang w:val="en-US"/>
        </w:rPr>
      </w:pPr>
      <w:r w:rsidRPr="00517CCF">
        <w:rPr>
          <w:rFonts w:ascii="Calibri" w:hAnsi="Calibri"/>
          <w:b/>
          <w:sz w:val="24"/>
          <w:szCs w:val="24"/>
          <w:lang w:val="en-US"/>
        </w:rPr>
        <w:lastRenderedPageBreak/>
        <w:t>DISCUSSION</w:t>
      </w:r>
    </w:p>
    <w:p w14:paraId="6F631879" w14:textId="781CE04E" w:rsidR="009A071C" w:rsidRDefault="00CE3DA1" w:rsidP="00CE3DA1">
      <w:pPr>
        <w:rPr>
          <w:rFonts w:ascii="Calibri" w:hAnsi="Calibri"/>
          <w:sz w:val="24"/>
          <w:szCs w:val="24"/>
          <w:lang w:val="en-US"/>
        </w:rPr>
      </w:pPr>
      <w:r>
        <w:rPr>
          <w:rFonts w:ascii="Calibri" w:hAnsi="Calibri"/>
          <w:sz w:val="24"/>
          <w:szCs w:val="24"/>
          <w:lang w:val="en-US"/>
        </w:rPr>
        <w:tab/>
      </w:r>
      <w:r w:rsidR="009A6067">
        <w:rPr>
          <w:rFonts w:ascii="Calibri" w:hAnsi="Calibri"/>
          <w:sz w:val="24"/>
          <w:szCs w:val="24"/>
          <w:lang w:val="en-US"/>
        </w:rPr>
        <w:t xml:space="preserve">Voriconazole is extensively used </w:t>
      </w:r>
      <w:r w:rsidR="00FA7EB2">
        <w:rPr>
          <w:rFonts w:ascii="Calibri" w:hAnsi="Calibri"/>
          <w:sz w:val="24"/>
          <w:szCs w:val="24"/>
          <w:lang w:val="en-US"/>
        </w:rPr>
        <w:t xml:space="preserve">for the </w:t>
      </w:r>
      <w:r w:rsidR="009A6067">
        <w:rPr>
          <w:rFonts w:ascii="Calibri" w:hAnsi="Calibri"/>
          <w:sz w:val="24"/>
          <w:szCs w:val="24"/>
          <w:lang w:val="en-US"/>
        </w:rPr>
        <w:t>treat</w:t>
      </w:r>
      <w:r w:rsidR="00FA7EB2">
        <w:rPr>
          <w:rFonts w:ascii="Calibri" w:hAnsi="Calibri"/>
          <w:sz w:val="24"/>
          <w:szCs w:val="24"/>
          <w:lang w:val="en-US"/>
        </w:rPr>
        <w:t xml:space="preserve">ment of </w:t>
      </w:r>
      <w:r w:rsidR="00195072">
        <w:rPr>
          <w:rFonts w:ascii="Calibri" w:hAnsi="Calibri"/>
          <w:sz w:val="24"/>
          <w:szCs w:val="24"/>
          <w:lang w:val="en-US"/>
        </w:rPr>
        <w:t>established</w:t>
      </w:r>
      <w:r w:rsidR="00382C22">
        <w:rPr>
          <w:rFonts w:ascii="Calibri" w:hAnsi="Calibri"/>
          <w:sz w:val="24"/>
          <w:szCs w:val="24"/>
          <w:lang w:val="en-US"/>
        </w:rPr>
        <w:t xml:space="preserve"> IF</w:t>
      </w:r>
      <w:r w:rsidR="008A11F8">
        <w:rPr>
          <w:rFonts w:ascii="Calibri" w:hAnsi="Calibri"/>
          <w:sz w:val="24"/>
          <w:szCs w:val="24"/>
          <w:lang w:val="en-US"/>
        </w:rPr>
        <w:t>D</w:t>
      </w:r>
      <w:r w:rsidR="00382C22">
        <w:rPr>
          <w:rFonts w:ascii="Calibri" w:hAnsi="Calibri"/>
          <w:sz w:val="24"/>
          <w:szCs w:val="24"/>
          <w:lang w:val="en-US"/>
        </w:rPr>
        <w:t>s</w:t>
      </w:r>
      <w:r w:rsidR="009A6067">
        <w:rPr>
          <w:rFonts w:ascii="Calibri" w:hAnsi="Calibri"/>
          <w:sz w:val="24"/>
          <w:szCs w:val="24"/>
          <w:lang w:val="en-US"/>
        </w:rPr>
        <w:t xml:space="preserve"> in a range of clinical contexts</w:t>
      </w:r>
      <w:r w:rsidR="00CA4576">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"PMID" : "16243088", "abstract" : "BACKGROUND: Voriconazole has proven efficacy against invasive aspergillosis and oesophageal candidiasis. This multicentre, randomised, non-inferiority study compared voriconazole with a regimen of amphotericin B followed by fluconazole for the treatment of candidaemia in non-neutropenic patients. METHODS: Non-neutropenic patients with a positive blood culture for a species of candida and clinical evidence of infection were enrolled. Patients were randomly assigned, in a 2:1 ratio, either voriconazole (n=283) or amphotericin B followed by fluconazole (n=139). The primary efficacy analysis was based on clinical and mycological response 12 weeks after the end of treatment, assessed by an independent data-review committee unaware of treatment assignment. FINDINGS: Of 422 patients randomised, 370 were included in the modified intention-to-treat population. Voriconazole was non-inferior to amphotericin B/fluconazole in the primary efficacy analysis, with successful outcomes in 41% of patients in both treatment groups (95% CI for difference -10.6% to 10.6%). At the last evaluable assessment, outcome was successful in 162 (65%) patients assigned voriconazole and 87 (71%) assigned amphotericin B/fluconazole (p=0.25). Voriconazole cleared blood cultures as quickly as amphotericin B/fluconazole (median time to negative blood culture, 2.0 days). Treatment discontinuations due to all-cause adverse events were more frequent in the voriconazole group, although most discontinuations were due to non-drug-related events and there were significantly fewer serious adverse events and cases of renal toxicity than in the amphotericin B/fluconazole group. INTERPRETATION: Voriconazole was as effective as the regimen of amphotericin B followed by fluconazole in the treatment of candidaemia in non-neutropenic patients, and with fewer toxic effects. RELEVANCE TO PRACTICE: There are several options for treatment of candidaemia in non-neutropenic patients, including amphotericin B, fluconazole, voriconazole, and echinocandins. Voriconazole can be given both as initial intravenous treatment and as an oral stepdown agent.", "author" : [ { "dropping-particle" : "", "family" : "Kullberg", "given" : "B J", "non-dropping-particle" : "", "parse-names" : false, "suffix" : "" }, { "dropping-particle" : "", "family" : "Sobel", "given" : "J D", "non-dropping-particle" : "", "parse-names" : false, "suffix" : "" }, { "dropping-particle" : "", "family" : "Ruhnke", "given" : "M", "non-dropping-particle" : "", "parse-names" : false, "suffix" : "" }, { "dropping-particle" : "", "family" : "Pappas", "given" : "P G", "non-dropping-particle" : "", "parse-names" : false, "suffix" : "" }, { "dropping-particle" : "", "family" : "Viscoli", "given" : "C", "non-dropping-particle" : "", "parse-names" : false, "suffix" : "" }, { "dropping-particle" : "", "family" : "Rex", "given" : "J H", "non-dropping-particle" : "", "parse-names" : false, "suffix" : "" }, { "dropping-particle" : "", "family" : "Cleary", "given" : "J D", "non-dropping-particle" : "", "parse-names" : false, "suffix" : "" }, { "dropping-particle" : "", "family" : "Rubinstein", "given" : "E", "non-dropping-particle" : "", "parse-names" : false, "suffix" : "" }, { "dropping-particle" : "", "family" : "Church", "given" : "L W", "non-dropping-particle" : "", "parse-names" : false, "suffix" : "" }, { "dropping-particle" : "", "family" : "Brown", "given" : "J M", "non-dropping-particle" : "", "parse-names" : false, "suffix" : "" }, { "dropping-particle" : "", "family" : "Schlamm", "given" : "H T", "non-dropping-particle" : "", "parse-names" : false, "suffix" : "" }, { "dropping-particle" : "", "family" : "Oborska", "given" : "I T", "non-dropping-particle" : "", "parse-names" : false, "suffix" : "" }, { "dropping-particle" : "", "family" : "Hilton", "given" : "F", "non-dropping-particle" : "", "parse-names" : false, "suffix" : "" }, { "dropping-particle" : "", "family" : "Hodges", "given" : "M R", "non-dropping-particle" : "", "parse-names" : false, "suffix" : "" } ], "container-title" : "Lancet", "id" : "ITEM-1", "issue" : "9495", "issued" : { "date-parts" : [ [ "2005" ] ] }, "note" : "1474-547X (Electronic)\nClinical Trial\nComparative Study\nJournal Article\nMulticenter Study\nRandomized Controlled Trial\nResearch Support, Non-U.S. Gov't", "page" : "1435-1442", "title" : "Voriconazole versus a regimen of amphotericin B followed by fluconazole for candidaemia in non-neutropenic patients: a randomised non-inferiority trial", "type" : "article-journal", "volume" : "366" }, "uris" : [ "http://www.mendeley.com/documents/?uuid=37bc60a6-0727-4917-a705-13bc6121c59b" ] }, { "id" : "ITEM-2", "itemData" : { "PMID" : "15791514", "abstract" : "BACKGROUND; Bone aspergillosis remains a rare but potentially devastating fungal disease. Although voriconazole is effective for invasive pulmonary aspergillosis, evidence of its efficacy for aspergillosis located in bone is limited. METHODS: We report our experience with voriconazole in 4 cases of invasive bone aspergillosis. In addition, all cases of probable and definite bone aspergillosis from the Pfizer clinical database were reviewed and analyzed to determine the safety and efficacy of voriconazole treatment. Global response was evaluated at the end of therapy on the basis of a composite assessment of overall clinical, radiological, and mycological responses. RESULTS: Twenty patients are described, of whom 18 had definite bone involvement diagnosed (spondylodiskitis in 9, sternum/rib osteomyelitis in 6, and peripheral bone involvement in 5). Of 20 patients, 14 were immunocompromised. Oral or intravenous voriconazole was given as salvage therapy for 18 patients; 2 patients received voriconazole as first-line therapy. Median duration of voriconazole treatment was 83.5 days (range, 4-395 days). Global response at end of therapy was satisfactory in 11 (55%) of 20 patients, including complete responses in 4 patients and partial responses in 7 patients; there were no relapses of infection in the 4 patients with complete response to therapy with voriconazole. Treatment was generally well tolerated. CONCLUSIONS: Long-term voriconazole treatment is a new therapeutic option for invasive aspergillosis with bone involvement.", "author" : [ { "dropping-particle" : "", "family" : "Mouas", "given" : "H", "non-dropping-particle" : "", "parse-names" : false, "suffix" : "" }, { "dropping-particle" : "", "family" : "Lutsar", "given" : "I", "non-dropping-particle" : "", "parse-names" : false, "suffix" : "" }, { "dropping-particle" : "", "family" : "Dupont", "given" : "B", "non-dropping-particle" : "", "parse-names" : false, "suffix" : "" }, { "dropping-particle" : "", "family" : "Fain", "given" : "O", "non-dropping-particle" : "", "parse-names" : false, "suffix" : "" }, { "dropping-particle" : "", "family" : "Herbrecht", "given" : "R", "non-dropping-particle" : "", "parse-names" : false, "suffix" : "" }, { "dropping-particle" : "", "family" : "Lescure", "given" : "F X", "non-dropping-particle" : "", "parse-names" : false, "suffix" : "" }, { "dropping-particle" : "", "family" : "Lortholary", "given" : "O", "non-dropping-particle" : "", "parse-names" : false, "suffix" : "" } ], "container-title" : "Clin Infect Dis", "id" : "ITEM-2", "issue" : "8", "issued" : { "date-parts" : [ [ "2005" ] ] }, "note" : "1537-6591 (Electronic)\nCase Reports\nClinical Trial\nJournal Article", "page" : "1141-1147", "title" : "Voriconazole for invasive bone aspergillosis: a worldwide experience of 20 cases", "type" : "article-journal", "volume" : "40" }, "uris" : [ "http://www.mendeley.com/documents/?uuid=6704e9b0-519c-4624-8c6f-614514661a02" ] }, { "id" : "ITEM-3", "itemData" : { "PMID" : "12167683", "abstract" : "BACKGROUND: Voriconazole is a broad-spectrum triazole that is active against aspergillus species. We conducted a randomized trial to compare voriconazole with amphotericin B for primary therapy of invasive aspergillosis. METHODS: In this randomized, unblinded trial, patients received either intravenous voriconazole (two doses of 6 mg per kilogram of body weight on day 1, then 4 mg per kilogram twice daily for at least seven days) followed by 200 mg orally twice daily or intravenous amphotericin B deoxycholate (1 to 1.5 mg per kilogram per day). Other licensed antifungal treatments were allowed if the initial therapy failed or if the patient had an intolerance to the first drug used. A complete or partial response was considered to be a successful outcome. RESULTS: A total of 144 patients in the voriconazole group and 133 patients in the amphotericin B group with definite or probable aspergillosis received at least one dose of treatment. In most of the patients, the underlying condition was allogeneic hematopoietic-cell transplantation, acute leukemia, or other hematologic diseases. At week 12, there were successful outcomes in 52.8 percent of the patients in the voriconazole group (complete responses in 20.8 percent and partial responses in 31.9 percent) and 31.6 percent of those in the amphotericin B group (complete responses in 16.5 percent and partial responses in 15.0 percent; absolute difference, 21.2 percentage points; 95 percent confidence interval, 10.4 to 32.9). The survival rate at 12 weeks was 70.8 percent in the voriconazole group and 57.9 percent in the amphotericin B group (hazard ratio, 0.59; 95 percent confidence interval, 0.40 to 0.88). Voriconazole-treated patients had significantly fewer severe drug-related adverse events, but transient visual disturbances were common with voriconazole (occurring in 44.8 percent of patients). CONCLUSIONS: In patients with invasive aspergillosis, initial therapy with voriconazole led to better responses and improved survival and resulted in fewer severe side effects than the standard approach of initial therapy with amphotericin B.", "author" : [ { "dropping-particle" : "", "family" : "Herbrecht", "given" : "R", "non-dropping-particle" : "", "parse-names" : false, "suffix" : "" }, { "dropping-particle" : "", "family" : "Denning", "given" : "D W", "non-dropping-particle" : "", "parse-names" : false, "suffix" : "" }, { "dropping-particle" : "", "family" : "Patterson", "given" : "T F", "non-dropping-particle" : "", "parse-names" : false, "suffix" : "" }, { "dropping-particle" : "", "family" : "Bennett", "given" : "J E", "non-dropping-particle" : "", "parse-names" : false, "suffix" : "" }, { "dropping-particle" : "", "family" : "Greene", "given" : "R E", "non-dropping-particle" : "", "parse-names" : false, "suffix" : "" }, { "dropping-particle" : "", "family" : "Oestmann", "given" : "J W", "non-dropping-particle" : "", "parse-names" : false, "suffix" : "" }, { "dropping-particle" : "V", "family" : "Kern", "given" : "W", "non-dropping-particle" : "", "parse-names" : false, "suffix" : "" }, { "dropping-particle" : "", "family" : "Marr", "given" : "K A", "non-dropping-particle" : "", "parse-names" : false, "suffix" : "" }, { "dropping-particle" : "", "family" : "Ribaud", "given" : "P", "non-dropping-particle" : "", "parse-names" : false, "suffix" : "" }, { "dropping-particle" : "", "family" : "Lortholary", "given" : "O", "non-dropping-particle" : "", "parse-names" : false, "suffix" : "" }, { "dropping-particle" : "", "family" : "Sylvester", "given" : "R", "non-dropping-particle" : "", "parse-names" : false, "suffix" : "" }, { "dropping-particle" : "", "family" : "Rubin", "given" : "R H", "non-dropping-particle" : "", "parse-names" : false, "suffix" : "" }, { "dropping-particle" : "", "family" : "Wingard", "given" : "J R", "non-dropping-particle" : "", "parse-names" : false, "suffix" : "" }, { "dropping-particle" : "", "family" : "Stark", "given" : "P", "non-dropping-particle" : "", "parse-names" : false, "suffix" : "" }, { "dropping-particle" : "", "family" : "Durand", "given" : "C", "non-dropping-particle" : "", "parse-names" : false, "suffix" : "" }, { "dropping-particle" : "", "family" : "Caillot", "given" : "D", "non-dropping-particle" : "", "parse-names" : false, "suffix" : "" }, { "dropping-particle" : "", "family" : "Thiel", "given" : "E", "non-dropping-particle" : "", "parse-names" : false, "suffix" : "" }, { "dropping-particle" : "", "family" : "Chandrasekar", "given" : "P H", "non-dropping-particle" : "", "parse-names" : false, "suffix" : "" }, { "dropping-particle" : "", "family" : "Hodges", "given" : "M R", "non-dropping-particle" : "", "parse-names" : false, "suffix" : "" }, { "dropping-particle" : "", "family" : "Schlamm", "given" : "H T", "non-dropping-particle" : "", "parse-names" : false, "suffix" : "" }, { "dropping-particle" : "", "family" : "Troke", "given" : "P F", "non-dropping-particle" : "", "parse-names" : false, "suffix" : "" }, { "dropping-particle" : "", "family" : "Pauw", "given" : "B", "non-dropping-particle" : "de", "parse-names" : false, "suffix" : "" } ], "container-title" : "N Engl J Med", "id" : "ITEM-3", "issue" : "6", "issued" : { "date-parts" : [ [ "2002" ] ] }, "note" : "1533-4406 (Electronic)\nClinical Trial\nJournal Article\nMulticenter Study\nRandomized Controlled Trial", "page" : "408-415", "title" : "Voriconazole versus amphotericin B for primary therapy of invasive aspergillosis", "type" : "article-journal", "volume" : "347" }, "uris" : [ "http://www.mendeley.com/documents/?uuid=e37cfd5f-68b2-49c6-94bd-c1842bb8f55e" ] } ], "mendeley" : { "formattedCitation" : "&lt;sup&gt;3,4,7&lt;/sup&gt;", "plainTextFormattedCitation" : "3,4,7", "previouslyFormattedCitation" : "&lt;sup&gt;3,4,7&lt;/sup&gt;" }, "properties" : { "noteIndex" : 0 }, "schema" : "https://github.com/citation-style-language/schema/raw/master/csl-citation.json" }</w:instrText>
      </w:r>
      <w:r w:rsidR="00CA4576">
        <w:rPr>
          <w:rFonts w:ascii="Calibri" w:hAnsi="Calibri"/>
          <w:sz w:val="24"/>
          <w:szCs w:val="24"/>
          <w:lang w:val="en-US"/>
        </w:rPr>
        <w:fldChar w:fldCharType="separate"/>
      </w:r>
      <w:r w:rsidR="00610755" w:rsidRPr="00610755">
        <w:rPr>
          <w:rFonts w:ascii="Calibri" w:hAnsi="Calibri"/>
          <w:noProof/>
          <w:sz w:val="24"/>
          <w:szCs w:val="24"/>
          <w:vertAlign w:val="superscript"/>
          <w:lang w:val="en-US"/>
        </w:rPr>
        <w:t>3,4,7</w:t>
      </w:r>
      <w:r w:rsidR="00CA4576">
        <w:rPr>
          <w:rFonts w:ascii="Calibri" w:hAnsi="Calibri"/>
          <w:sz w:val="24"/>
          <w:szCs w:val="24"/>
          <w:lang w:val="en-US"/>
        </w:rPr>
        <w:fldChar w:fldCharType="end"/>
      </w:r>
      <w:r w:rsidR="00195072">
        <w:rPr>
          <w:rFonts w:ascii="Calibri" w:hAnsi="Calibri"/>
          <w:sz w:val="24"/>
          <w:szCs w:val="24"/>
          <w:lang w:val="en-US"/>
        </w:rPr>
        <w:t xml:space="preserve">.  </w:t>
      </w:r>
      <w:r w:rsidR="00556AF0">
        <w:rPr>
          <w:rFonts w:ascii="Calibri" w:hAnsi="Calibri"/>
          <w:sz w:val="24"/>
          <w:szCs w:val="24"/>
          <w:lang w:val="en-US"/>
        </w:rPr>
        <w:t>T</w:t>
      </w:r>
      <w:r w:rsidR="009A6067">
        <w:rPr>
          <w:rFonts w:ascii="Calibri" w:hAnsi="Calibri"/>
          <w:sz w:val="24"/>
          <w:szCs w:val="24"/>
          <w:lang w:val="en-US"/>
        </w:rPr>
        <w:t xml:space="preserve">he </w:t>
      </w:r>
      <w:r w:rsidR="00195072">
        <w:rPr>
          <w:rFonts w:ascii="Calibri" w:hAnsi="Calibri"/>
          <w:sz w:val="24"/>
          <w:szCs w:val="24"/>
          <w:lang w:val="en-US"/>
        </w:rPr>
        <w:t xml:space="preserve">clinical </w:t>
      </w:r>
      <w:r w:rsidR="009A6067">
        <w:rPr>
          <w:rFonts w:ascii="Calibri" w:hAnsi="Calibri"/>
          <w:sz w:val="24"/>
          <w:szCs w:val="24"/>
          <w:lang w:val="en-US"/>
        </w:rPr>
        <w:t>efficacy of voriconazole has been established for prevention of IF</w:t>
      </w:r>
      <w:r w:rsidR="001232AE">
        <w:rPr>
          <w:rFonts w:ascii="Calibri" w:hAnsi="Calibri"/>
          <w:sz w:val="24"/>
          <w:szCs w:val="24"/>
          <w:lang w:val="en-US"/>
        </w:rPr>
        <w:t>D</w:t>
      </w:r>
      <w:r w:rsidR="009A6067">
        <w:rPr>
          <w:rFonts w:ascii="Calibri" w:hAnsi="Calibri"/>
          <w:sz w:val="24"/>
          <w:szCs w:val="24"/>
          <w:lang w:val="en-US"/>
        </w:rPr>
        <w:t xml:space="preserve">s in profoundly immunocompromised patients with prolonged neutropenia and following </w:t>
      </w:r>
      <w:r w:rsidR="00697788">
        <w:rPr>
          <w:rFonts w:ascii="Calibri" w:hAnsi="Calibri"/>
          <w:sz w:val="24"/>
          <w:szCs w:val="24"/>
          <w:lang w:val="en-US"/>
        </w:rPr>
        <w:t>hematopoietic</w:t>
      </w:r>
      <w:r w:rsidR="009A6067">
        <w:rPr>
          <w:rFonts w:ascii="Calibri" w:hAnsi="Calibri"/>
          <w:sz w:val="24"/>
          <w:szCs w:val="24"/>
          <w:lang w:val="en-US"/>
        </w:rPr>
        <w:t xml:space="preserve"> stem cell transplantation</w:t>
      </w:r>
      <w:r w:rsidR="00CA4576">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"id" : "ITEM-2", "itemData" : { "DOI" : "10.1111/j.1365-2141.2011.08838.x", "ISBN" : "1365-2141 (Electronic) 0007-1048 (Linking)", "PMID" : "21880032", "abstract" : "Antifungal prophylaxis for allogeneic haematopoietic stem-cell transplant (alloHCT) recipients should prevent invasive mould and yeast infections (IFIs) and be well tolerated. This prospective, randomized, open-label, multicentre study compared the efficacy and safety of voriconazole (234 patients) versus itraconazole (255 patients) in alloHCT recipients. The primary composite endpoint, success of prophylaxis, incorporated ability to tolerate study drug for &gt;/=100 d (with &lt;/=14 d interruption) with survival to day 180 without proven/probable IFI. Success of prophylaxis was significantly higher with voriconazole than itraconazole (48.7% vs. 33.2%, P &lt; 0.01); more voriconazole patients tolerated prophylaxis for 100 d (53.6% vs. 39.0%, P &lt; 0.01; median total duration 96 vs. 68 d). The most common (&gt;10%) treatment-related adverse events were vomiting (16.6%), nausea (15.8%) and diarrhoea (10.4%) for itraconazole, and hepatotoxicity/liver function abnormality (12.9%) for voriconazole. More itraconazole patients received other systemic antifungals (41.9% vs. 29.9%, P &lt; 0.01). There was no difference in incidence of proven/probable IFI (1.3% vs. 2.1%) or survival to day 180 (81.9% vs. 80.9%) for voriconazole and itraconazole respectively. Voriconazole was superior to itraconazole as antifungal prophylaxis after alloHCT, based on differences in the primary composite endpoint. Voriconazole could be given for significantly longer durations, with less need for other systemic antifungals.", "author" : [ { "dropping-particle" : "", "family" : "Marks", "given" : "D I", "non-dropping-particle" : "", "parse-names" : false, "suffix" : "" }, { "dropping-particle" : "", "family" : "Pagliuca", "given" : "A", "non-dropping-particle" : "", "parse-names" : false, "suffix" : "" }, { "dropping-particle" : "", "family" : "Kibbler", "given" : "C C", "non-dropping-particle" : "", "parse-names" : false, "suffix" : "" }, { "dropping-particle" : "", "family" : "Glasmacher", "given" : "A", "non-dropping-particle" : "", "parse-names" : false, "suffix" : "" }, { "dropping-particle" : "", "family" : "Heussel", "given" : "C P", "non-dropping-particle" : "", "parse-names" : false, "suffix" : "" }, { "dropping-particle" : "", "family" : "Kantecki", "given" : "M", "non-dropping-particle" : "", "parse-names" : false, "suffix" : "" }, { "dropping-particle" : "", "family" : "Miller", "given" : "P J", "non-dropping-particle" : "", "parse-names" : false, "suffix" : "" }, { "dropping-particle" : "", "family" : "Ribaud", "given" : "P", "non-dropping-particle" : "", "parse-names" : false, "suffix" : "" }, { "dropping-particle" : "", "family" : "Schlamm", "given" : "H T", "non-dropping-particle" : "", "parse-names" : false, "suffix" : "" }, { "dropping-particle" : "", "family" : "Solano", "given" : "C", "non-dropping-particle" : "", "parse-names" : false, "suffix" : "" }, { "dropping-particle" : "", "family" : "Cook", "given" : "G", "non-dropping-particle" : "", "parse-names" : false, "suffix" : "" } ], "container-title" : "Br J Haematol", "id" : "ITEM-2", "issue" : "3", "issued" : { "date-parts" : [ [ "2011" ] ] }, "language" : "Eng", "note" : "for the IMPROVIT Study Group\nJournal article\nBritish journal of haematology\nBr J Haematol. 2011 Nov;155(3):318-327. doi: 10.1111/j.1365-2141.2011.08838.x. Epub 2011 Aug 22.", "page" : "318-327", "title" : "Voriconazole versus itraconazole for antifungal prophylaxis following allogeneic haematopoietic stem-cell transplantation", "type" : "article-journal", "volume" : "155" }, "uris" : [ "http://www.mendeley.com/documents/?uuid=eef995fa-66da-46c5-b075-13df8b840c00" ] } ], "mendeley" : { "formattedCitation" : "&lt;sup&gt;9,10&lt;/sup&gt;", "plainTextFormattedCitation" : "9,10", "previouslyFormattedCitation" : "&lt;sup&gt;9,10&lt;/sup&gt;" }, "properties" : { "noteIndex" : 0 }, "schema" : "https://github.com/citation-style-language/schema/raw/master/csl-citation.json" }</w:instrText>
      </w:r>
      <w:r w:rsidR="00CA4576">
        <w:rPr>
          <w:rFonts w:ascii="Calibri" w:hAnsi="Calibri"/>
          <w:sz w:val="24"/>
          <w:szCs w:val="24"/>
          <w:lang w:val="en-US"/>
        </w:rPr>
        <w:fldChar w:fldCharType="separate"/>
      </w:r>
      <w:r w:rsidR="00610755" w:rsidRPr="00610755">
        <w:rPr>
          <w:rFonts w:ascii="Calibri" w:hAnsi="Calibri"/>
          <w:noProof/>
          <w:sz w:val="24"/>
          <w:szCs w:val="24"/>
          <w:vertAlign w:val="superscript"/>
          <w:lang w:val="en-US"/>
        </w:rPr>
        <w:t>9,10</w:t>
      </w:r>
      <w:r w:rsidR="00CA4576">
        <w:rPr>
          <w:rFonts w:ascii="Calibri" w:hAnsi="Calibri"/>
          <w:sz w:val="24"/>
          <w:szCs w:val="24"/>
          <w:lang w:val="en-US"/>
        </w:rPr>
        <w:fldChar w:fldCharType="end"/>
      </w:r>
      <w:r w:rsidR="009A6067">
        <w:rPr>
          <w:rFonts w:ascii="Calibri" w:hAnsi="Calibri"/>
          <w:sz w:val="24"/>
          <w:szCs w:val="24"/>
          <w:lang w:val="en-US"/>
        </w:rPr>
        <w:t xml:space="preserve">. </w:t>
      </w:r>
      <w:r w:rsidR="008A1D15">
        <w:rPr>
          <w:rFonts w:ascii="Calibri" w:hAnsi="Calibri"/>
          <w:sz w:val="24"/>
          <w:szCs w:val="24"/>
          <w:lang w:val="en-US"/>
        </w:rPr>
        <w:t xml:space="preserve"> </w:t>
      </w:r>
      <w:r w:rsidR="009A6067">
        <w:rPr>
          <w:rFonts w:ascii="Calibri" w:hAnsi="Calibri"/>
          <w:sz w:val="24"/>
          <w:szCs w:val="24"/>
          <w:lang w:val="en-US"/>
        </w:rPr>
        <w:t xml:space="preserve">Therapeutic drug monitoring </w:t>
      </w:r>
      <w:r w:rsidR="00E668EE">
        <w:rPr>
          <w:rFonts w:ascii="Calibri" w:hAnsi="Calibri"/>
          <w:sz w:val="24"/>
          <w:szCs w:val="24"/>
          <w:lang w:val="en-US"/>
        </w:rPr>
        <w:t>i</w:t>
      </w:r>
      <w:r w:rsidR="009A6067">
        <w:rPr>
          <w:rFonts w:ascii="Calibri" w:hAnsi="Calibri"/>
          <w:sz w:val="24"/>
          <w:szCs w:val="24"/>
          <w:lang w:val="en-US"/>
        </w:rPr>
        <w:t xml:space="preserve">s </w:t>
      </w:r>
      <w:r w:rsidR="00E668EE">
        <w:rPr>
          <w:rFonts w:ascii="Calibri" w:hAnsi="Calibri"/>
          <w:sz w:val="24"/>
          <w:szCs w:val="24"/>
          <w:lang w:val="en-US"/>
        </w:rPr>
        <w:t>increasingly</w:t>
      </w:r>
      <w:r w:rsidR="005C30A0">
        <w:rPr>
          <w:rFonts w:ascii="Calibri" w:hAnsi="Calibri"/>
          <w:sz w:val="24"/>
          <w:szCs w:val="24"/>
          <w:lang w:val="en-US"/>
        </w:rPr>
        <w:t xml:space="preserve"> </w:t>
      </w:r>
      <w:r w:rsidR="009A6067">
        <w:rPr>
          <w:rFonts w:ascii="Calibri" w:hAnsi="Calibri"/>
          <w:sz w:val="24"/>
          <w:szCs w:val="24"/>
          <w:lang w:val="en-US"/>
        </w:rPr>
        <w:t>advocated</w:t>
      </w:r>
      <w:r w:rsidR="005C30A0">
        <w:rPr>
          <w:rFonts w:ascii="Calibri" w:hAnsi="Calibri"/>
          <w:sz w:val="24"/>
          <w:szCs w:val="24"/>
          <w:lang w:val="en-US"/>
        </w:rPr>
        <w:t xml:space="preserve"> </w:t>
      </w:r>
      <w:r w:rsidR="00E668EE">
        <w:rPr>
          <w:rFonts w:ascii="Calibri" w:hAnsi="Calibri"/>
          <w:sz w:val="24"/>
          <w:szCs w:val="24"/>
          <w:lang w:val="en-US"/>
        </w:rPr>
        <w:t>as a standard of care</w:t>
      </w:r>
      <w:r w:rsidR="004248FC">
        <w:rPr>
          <w:rFonts w:ascii="Calibri" w:hAnsi="Calibri"/>
          <w:sz w:val="24"/>
          <w:szCs w:val="24"/>
          <w:lang w:val="en-US"/>
        </w:rPr>
        <w:t xml:space="preserve"> for patients with established infection</w:t>
      </w:r>
      <w:r w:rsidR="00CA4576">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"10.1093/jac/dkt508", "ISBN" : "4411339226", "ISSN" : "1460-2091", "PMID" : "24379304", "abstract" : "The burden of human disease related to medically important fungal pathogens is substantial. An improved understanding of antifungal pharmacology and antifungal pharmacokinetics-pharmacodynamics has resulted in therapeutic drug monitoring (TDM) becoming a valuable adjunct to the routine administration of some antifungal agents. TDM may increase the probability of a successful outcome, prevent drug-related toxicity and potentially prevent the emergence of antifungal drug resistance. Much of the evidence that supports TDM is circumstantial. This document reviews the available literature and provides a series of recommendations for TDM of antifungal agents.", "author" : [ { "dropping-particle" : "", "family" : "Ashbee", "given" : "H Ruth", "non-dropping-particle" : "", "parse-names" : false, "suffix" : "" }, { "dropping-particle" : "", "family" : "Barnes", "given" : "Rosemary A", "non-dropping-particle" : "", "parse-names" : false, "suffix" : "" }, { "dropping-particle" : "", "family" : "Johnson", "given" : "Elizabeth M", "non-dropping-particle" : "", "parse-names" : false, "suffix" : "" }, { "dropping-particle" : "", "family" : "Richardson", "given" : "Malcolm D", "non-dropping-particle" : "", "parse-names" : false, "suffix" : "" }, { "dropping-particle" : "", "family" : "Gorton", "given" : "Rebecca", "non-dropping-particle" : "", "parse-names" : false, "suffix" : "" }, { "dropping-particle" : "", "family" : "Hope", "given" : "William W", "non-dropping-particle" : "", "parse-names" : false, "suffix" : "" } ], "container-title" : "The Journal of antimicrobial chemotherapy", "id" : "ITEM-1", "issued" : { "date-parts" : [ [ "2014" ] ] }, "page" : "1162-76", "title" : "Therapeutic drug monitoring (TDM) of antifungal agents: guidelines from the British Society for Medical Mycology.", "type" : "article-journal", "volume" : "69" }, "uris" : [ "http://www.mendeley.com/documents/?uuid=41beac2a-e948-40ac-b7e3-5a39a897e012" ] } ], "mendeley" : { "formattedCitation" : "&lt;sup&gt;15&lt;/sup&gt;", "plainTextFormattedCitation" : "15", "previouslyFormattedCitation" : "&lt;sup&gt;15&lt;/sup&gt;" }, "properties" : { "noteIndex" : 0 }, "schema" : "https://github.com/citation-style-language/schema/raw/master/csl-citation.json" }</w:instrText>
      </w:r>
      <w:r w:rsidR="00CA4576">
        <w:rPr>
          <w:rFonts w:ascii="Calibri" w:hAnsi="Calibri"/>
          <w:sz w:val="24"/>
          <w:szCs w:val="24"/>
          <w:lang w:val="en-US"/>
        </w:rPr>
        <w:fldChar w:fldCharType="separate"/>
      </w:r>
      <w:r w:rsidR="00610755" w:rsidRPr="00610755">
        <w:rPr>
          <w:rFonts w:ascii="Calibri" w:hAnsi="Calibri"/>
          <w:noProof/>
          <w:sz w:val="24"/>
          <w:szCs w:val="24"/>
          <w:vertAlign w:val="superscript"/>
          <w:lang w:val="en-US"/>
        </w:rPr>
        <w:t>15</w:t>
      </w:r>
      <w:r w:rsidR="00CA4576">
        <w:rPr>
          <w:rFonts w:ascii="Calibri" w:hAnsi="Calibri"/>
          <w:sz w:val="24"/>
          <w:szCs w:val="24"/>
          <w:lang w:val="en-US"/>
        </w:rPr>
        <w:fldChar w:fldCharType="end"/>
      </w:r>
      <w:r w:rsidR="00946375">
        <w:rPr>
          <w:rFonts w:ascii="Calibri" w:hAnsi="Calibri"/>
          <w:sz w:val="24"/>
          <w:szCs w:val="24"/>
          <w:lang w:val="en-US"/>
        </w:rPr>
        <w:t>.</w:t>
      </w:r>
      <w:r w:rsidR="00CA4576">
        <w:rPr>
          <w:rFonts w:ascii="Calibri" w:hAnsi="Calibri"/>
          <w:sz w:val="24"/>
          <w:szCs w:val="24"/>
          <w:lang w:val="en-US"/>
        </w:rPr>
        <w:t xml:space="preserve">  </w:t>
      </w:r>
      <w:r w:rsidR="00946375">
        <w:rPr>
          <w:rFonts w:ascii="Calibri" w:hAnsi="Calibri"/>
          <w:sz w:val="24"/>
          <w:szCs w:val="24"/>
          <w:lang w:val="en-US"/>
        </w:rPr>
        <w:t xml:space="preserve">The </w:t>
      </w:r>
      <w:r w:rsidR="005C30A0">
        <w:rPr>
          <w:rFonts w:ascii="Calibri" w:hAnsi="Calibri"/>
          <w:sz w:val="24"/>
          <w:szCs w:val="24"/>
          <w:lang w:val="en-US"/>
        </w:rPr>
        <w:t xml:space="preserve">evidence for </w:t>
      </w:r>
      <w:r w:rsidR="004248FC">
        <w:rPr>
          <w:rFonts w:ascii="Calibri" w:hAnsi="Calibri"/>
          <w:sz w:val="24"/>
          <w:szCs w:val="24"/>
          <w:lang w:val="en-US"/>
        </w:rPr>
        <w:t xml:space="preserve">the routine use of </w:t>
      </w:r>
      <w:r w:rsidR="005C30A0">
        <w:rPr>
          <w:rFonts w:ascii="Calibri" w:hAnsi="Calibri"/>
          <w:sz w:val="24"/>
          <w:szCs w:val="24"/>
          <w:lang w:val="en-US"/>
        </w:rPr>
        <w:t xml:space="preserve">TDM for voriconazole </w:t>
      </w:r>
      <w:r w:rsidR="004248FC">
        <w:rPr>
          <w:rFonts w:ascii="Calibri" w:hAnsi="Calibri"/>
          <w:sz w:val="24"/>
          <w:szCs w:val="24"/>
          <w:lang w:val="en-US"/>
        </w:rPr>
        <w:t>when used for the prevention of IF</w:t>
      </w:r>
      <w:r w:rsidR="008A11F8">
        <w:rPr>
          <w:rFonts w:ascii="Calibri" w:hAnsi="Calibri"/>
          <w:sz w:val="24"/>
          <w:szCs w:val="24"/>
          <w:lang w:val="en-US"/>
        </w:rPr>
        <w:t>D</w:t>
      </w:r>
      <w:r w:rsidR="004248FC">
        <w:rPr>
          <w:rFonts w:ascii="Calibri" w:hAnsi="Calibri"/>
          <w:sz w:val="24"/>
          <w:szCs w:val="24"/>
          <w:lang w:val="en-US"/>
        </w:rPr>
        <w:t>s in at-risk patients</w:t>
      </w:r>
      <w:r w:rsidR="005C30A0">
        <w:rPr>
          <w:rFonts w:ascii="Calibri" w:hAnsi="Calibri"/>
          <w:sz w:val="24"/>
          <w:szCs w:val="24"/>
          <w:lang w:val="en-US"/>
        </w:rPr>
        <w:t xml:space="preserve"> is less clear.</w:t>
      </w:r>
      <w:r w:rsidR="001513DB">
        <w:rPr>
          <w:rFonts w:ascii="Calibri" w:hAnsi="Calibri"/>
          <w:sz w:val="24"/>
          <w:szCs w:val="24"/>
          <w:lang w:val="en-US"/>
        </w:rPr>
        <w:t xml:space="preserve">  </w:t>
      </w:r>
    </w:p>
    <w:p w14:paraId="0F85CBE3" w14:textId="5ACCEC54" w:rsidR="00AD097D" w:rsidRDefault="009A071C" w:rsidP="00CE3DA1">
      <w:pPr>
        <w:rPr>
          <w:rFonts w:ascii="Calibri" w:hAnsi="Calibri"/>
          <w:sz w:val="24"/>
          <w:szCs w:val="24"/>
          <w:lang w:val="en-US"/>
        </w:rPr>
      </w:pPr>
      <w:r>
        <w:rPr>
          <w:rFonts w:ascii="Calibri" w:hAnsi="Calibri"/>
          <w:sz w:val="24"/>
          <w:szCs w:val="24"/>
          <w:lang w:val="en-US"/>
        </w:rPr>
        <w:tab/>
      </w:r>
      <w:r w:rsidR="00147D68">
        <w:rPr>
          <w:rFonts w:ascii="Calibri" w:hAnsi="Calibri"/>
          <w:sz w:val="24"/>
          <w:szCs w:val="24"/>
          <w:lang w:val="en-US"/>
        </w:rPr>
        <w:t>In this study, t</w:t>
      </w:r>
      <w:r>
        <w:rPr>
          <w:rFonts w:ascii="Calibri" w:hAnsi="Calibri"/>
          <w:sz w:val="24"/>
          <w:szCs w:val="24"/>
          <w:lang w:val="en-US"/>
        </w:rPr>
        <w:t xml:space="preserve">here was no </w:t>
      </w:r>
      <w:r w:rsidR="00147D68">
        <w:rPr>
          <w:rFonts w:ascii="Calibri" w:hAnsi="Calibri"/>
          <w:sz w:val="24"/>
          <w:szCs w:val="24"/>
          <w:lang w:val="en-US"/>
        </w:rPr>
        <w:t xml:space="preserve">observed </w:t>
      </w:r>
      <w:r w:rsidR="0052189E">
        <w:rPr>
          <w:rFonts w:ascii="Calibri" w:hAnsi="Calibri"/>
          <w:sz w:val="24"/>
          <w:szCs w:val="24"/>
          <w:lang w:val="en-US"/>
        </w:rPr>
        <w:t xml:space="preserve">relationship between drug exposure and the probability of breakthrough </w:t>
      </w:r>
      <w:r w:rsidR="003C4BA3">
        <w:rPr>
          <w:rFonts w:ascii="Calibri" w:hAnsi="Calibri"/>
          <w:sz w:val="24"/>
          <w:szCs w:val="24"/>
          <w:lang w:val="en-US"/>
        </w:rPr>
        <w:t xml:space="preserve">invasive </w:t>
      </w:r>
      <w:r w:rsidR="0099121C">
        <w:rPr>
          <w:rFonts w:ascii="Calibri" w:hAnsi="Calibri"/>
          <w:sz w:val="24"/>
          <w:szCs w:val="24"/>
          <w:lang w:val="en-US"/>
        </w:rPr>
        <w:t xml:space="preserve">fungal </w:t>
      </w:r>
      <w:r w:rsidR="0052189E">
        <w:rPr>
          <w:rFonts w:ascii="Calibri" w:hAnsi="Calibri"/>
          <w:sz w:val="24"/>
          <w:szCs w:val="24"/>
          <w:lang w:val="en-US"/>
        </w:rPr>
        <w:t>infection</w:t>
      </w:r>
      <w:r w:rsidR="003C4BA3">
        <w:rPr>
          <w:rFonts w:ascii="Calibri" w:hAnsi="Calibri"/>
          <w:sz w:val="24"/>
          <w:szCs w:val="24"/>
          <w:lang w:val="en-US"/>
        </w:rPr>
        <w:t>s</w:t>
      </w:r>
      <w:r w:rsidR="0052189E">
        <w:rPr>
          <w:rFonts w:ascii="Calibri" w:hAnsi="Calibri"/>
          <w:sz w:val="24"/>
          <w:szCs w:val="24"/>
          <w:lang w:val="en-US"/>
        </w:rPr>
        <w:t>.</w:t>
      </w:r>
      <w:r>
        <w:rPr>
          <w:rFonts w:ascii="Calibri" w:hAnsi="Calibri"/>
          <w:sz w:val="24"/>
          <w:szCs w:val="24"/>
          <w:lang w:val="en-US"/>
        </w:rPr>
        <w:t xml:space="preserve">  </w:t>
      </w:r>
      <w:r w:rsidR="004E300F">
        <w:rPr>
          <w:rFonts w:ascii="Calibri" w:hAnsi="Calibri"/>
          <w:sz w:val="24"/>
          <w:szCs w:val="24"/>
          <w:lang w:val="en-US"/>
        </w:rPr>
        <w:t xml:space="preserve">Perhaps </w:t>
      </w:r>
      <w:r>
        <w:rPr>
          <w:rFonts w:ascii="Calibri" w:hAnsi="Calibri"/>
          <w:sz w:val="24"/>
          <w:szCs w:val="24"/>
          <w:lang w:val="en-US"/>
        </w:rPr>
        <w:t xml:space="preserve">this should not be surprising given the </w:t>
      </w:r>
      <w:r w:rsidR="00375FC0">
        <w:rPr>
          <w:rFonts w:ascii="Calibri" w:hAnsi="Calibri"/>
          <w:sz w:val="24"/>
          <w:szCs w:val="24"/>
          <w:lang w:val="en-US"/>
        </w:rPr>
        <w:t xml:space="preserve">relatively </w:t>
      </w:r>
      <w:r>
        <w:rPr>
          <w:rFonts w:ascii="Calibri" w:hAnsi="Calibri"/>
          <w:sz w:val="24"/>
          <w:szCs w:val="24"/>
          <w:lang w:val="en-US"/>
        </w:rPr>
        <w:t xml:space="preserve">small numbers of </w:t>
      </w:r>
      <w:r w:rsidR="00D95ADE">
        <w:rPr>
          <w:rFonts w:ascii="Calibri" w:hAnsi="Calibri"/>
          <w:sz w:val="24"/>
          <w:szCs w:val="24"/>
          <w:lang w:val="en-US"/>
        </w:rPr>
        <w:t xml:space="preserve">patients with </w:t>
      </w:r>
      <w:r>
        <w:rPr>
          <w:rFonts w:ascii="Calibri" w:hAnsi="Calibri"/>
          <w:sz w:val="24"/>
          <w:szCs w:val="24"/>
          <w:lang w:val="en-US"/>
        </w:rPr>
        <w:t xml:space="preserve">breakthrough </w:t>
      </w:r>
      <w:r w:rsidR="002C38BC">
        <w:rPr>
          <w:rFonts w:ascii="Calibri" w:hAnsi="Calibri"/>
          <w:sz w:val="24"/>
          <w:szCs w:val="24"/>
          <w:lang w:val="en-US"/>
        </w:rPr>
        <w:t xml:space="preserve">fungal </w:t>
      </w:r>
      <w:r>
        <w:rPr>
          <w:rFonts w:ascii="Calibri" w:hAnsi="Calibri"/>
          <w:sz w:val="24"/>
          <w:szCs w:val="24"/>
          <w:lang w:val="en-US"/>
        </w:rPr>
        <w:t>infection</w:t>
      </w:r>
      <w:r w:rsidR="00D95ADE">
        <w:rPr>
          <w:rFonts w:ascii="Calibri" w:hAnsi="Calibri"/>
          <w:sz w:val="24"/>
          <w:szCs w:val="24"/>
          <w:lang w:val="en-US"/>
        </w:rPr>
        <w:t xml:space="preserve">.  A power calculation suggests that a much larger number of patients are required to </w:t>
      </w:r>
      <w:r w:rsidR="00B7035E">
        <w:rPr>
          <w:rFonts w:ascii="Calibri" w:hAnsi="Calibri"/>
          <w:sz w:val="24"/>
          <w:szCs w:val="24"/>
          <w:lang w:val="en-US"/>
        </w:rPr>
        <w:t>achieve</w:t>
      </w:r>
      <w:r w:rsidR="00D95ADE">
        <w:rPr>
          <w:rFonts w:ascii="Calibri" w:hAnsi="Calibri"/>
          <w:sz w:val="24"/>
          <w:szCs w:val="24"/>
          <w:lang w:val="en-US"/>
        </w:rPr>
        <w:t xml:space="preserve"> </w:t>
      </w:r>
      <w:r w:rsidR="00F879CE">
        <w:rPr>
          <w:rFonts w:ascii="Calibri" w:hAnsi="Calibri"/>
          <w:sz w:val="24"/>
          <w:szCs w:val="24"/>
          <w:lang w:val="en-US"/>
        </w:rPr>
        <w:t xml:space="preserve">any </w:t>
      </w:r>
      <w:r w:rsidR="00D95ADE">
        <w:rPr>
          <w:rFonts w:ascii="Calibri" w:hAnsi="Calibri"/>
          <w:sz w:val="24"/>
          <w:szCs w:val="24"/>
          <w:lang w:val="en-US"/>
        </w:rPr>
        <w:t xml:space="preserve">confidence about </w:t>
      </w:r>
      <w:r w:rsidR="00F879CE">
        <w:rPr>
          <w:rFonts w:ascii="Calibri" w:hAnsi="Calibri"/>
          <w:sz w:val="24"/>
          <w:szCs w:val="24"/>
          <w:lang w:val="en-US"/>
        </w:rPr>
        <w:t>potential</w:t>
      </w:r>
      <w:r w:rsidR="00D95ADE">
        <w:rPr>
          <w:rFonts w:ascii="Calibri" w:hAnsi="Calibri"/>
          <w:sz w:val="24"/>
          <w:szCs w:val="24"/>
          <w:lang w:val="en-US"/>
        </w:rPr>
        <w:t xml:space="preserve"> differences in drug exposure </w:t>
      </w:r>
      <w:r w:rsidR="00F87872">
        <w:rPr>
          <w:rFonts w:ascii="Calibri" w:hAnsi="Calibri"/>
          <w:sz w:val="24"/>
          <w:szCs w:val="24"/>
          <w:lang w:val="en-US"/>
        </w:rPr>
        <w:t>in</w:t>
      </w:r>
      <w:r w:rsidR="00147D68">
        <w:rPr>
          <w:rFonts w:ascii="Calibri" w:hAnsi="Calibri"/>
          <w:sz w:val="24"/>
          <w:szCs w:val="24"/>
          <w:lang w:val="en-US"/>
        </w:rPr>
        <w:t xml:space="preserve"> those with and without breakthrough infection.  For example, even </w:t>
      </w:r>
      <w:r w:rsidR="00005CB3">
        <w:rPr>
          <w:rFonts w:ascii="Calibri" w:hAnsi="Calibri"/>
          <w:sz w:val="24"/>
          <w:szCs w:val="24"/>
          <w:lang w:val="en-US"/>
        </w:rPr>
        <w:t xml:space="preserve">if </w:t>
      </w:r>
      <w:r w:rsidR="00147D68">
        <w:rPr>
          <w:rFonts w:ascii="Calibri" w:hAnsi="Calibri"/>
          <w:sz w:val="24"/>
          <w:szCs w:val="24"/>
          <w:lang w:val="en-US"/>
        </w:rPr>
        <w:t xml:space="preserve">a </w:t>
      </w:r>
      <w:r w:rsidR="00E86FA2">
        <w:rPr>
          <w:rFonts w:ascii="Calibri" w:hAnsi="Calibri"/>
          <w:sz w:val="24"/>
          <w:szCs w:val="24"/>
          <w:lang w:val="en-US"/>
        </w:rPr>
        <w:t xml:space="preserve">large </w:t>
      </w:r>
      <w:r w:rsidR="00005CB3">
        <w:rPr>
          <w:rFonts w:ascii="Calibri" w:hAnsi="Calibri"/>
          <w:sz w:val="24"/>
          <w:szCs w:val="24"/>
          <w:lang w:val="en-US"/>
        </w:rPr>
        <w:t xml:space="preserve">true </w:t>
      </w:r>
      <w:r w:rsidR="00147D68">
        <w:rPr>
          <w:rFonts w:ascii="Calibri" w:hAnsi="Calibri"/>
          <w:sz w:val="24"/>
          <w:szCs w:val="24"/>
          <w:lang w:val="en-US"/>
        </w:rPr>
        <w:t>difference in drug exposure (</w:t>
      </w:r>
      <w:r w:rsidR="00005CB3">
        <w:rPr>
          <w:rFonts w:ascii="Calibri" w:hAnsi="Calibri"/>
          <w:sz w:val="24"/>
          <w:szCs w:val="24"/>
          <w:lang w:val="en-US"/>
        </w:rPr>
        <w:t>e.g. average trough concentration of 1.5 versus 0.75</w:t>
      </w:r>
      <w:r w:rsidR="002C38BC">
        <w:rPr>
          <w:rFonts w:ascii="Calibri" w:hAnsi="Calibri"/>
          <w:sz w:val="24"/>
          <w:szCs w:val="24"/>
          <w:lang w:val="en-US"/>
        </w:rPr>
        <w:t xml:space="preserve"> mg/L</w:t>
      </w:r>
      <w:r w:rsidR="00005CB3">
        <w:rPr>
          <w:rFonts w:ascii="Calibri" w:hAnsi="Calibri"/>
          <w:sz w:val="24"/>
          <w:szCs w:val="24"/>
          <w:lang w:val="en-US"/>
        </w:rPr>
        <w:t xml:space="preserve"> for therapeutic success versus failure, respectively</w:t>
      </w:r>
      <w:r w:rsidR="00147D68">
        <w:rPr>
          <w:rFonts w:ascii="Calibri" w:hAnsi="Calibri"/>
          <w:sz w:val="24"/>
          <w:szCs w:val="24"/>
          <w:lang w:val="en-US"/>
        </w:rPr>
        <w:t xml:space="preserve">) </w:t>
      </w:r>
      <w:r w:rsidR="008E5A75">
        <w:rPr>
          <w:rFonts w:ascii="Calibri" w:hAnsi="Calibri"/>
          <w:sz w:val="24"/>
          <w:szCs w:val="24"/>
          <w:lang w:val="en-US"/>
        </w:rPr>
        <w:t>is present</w:t>
      </w:r>
      <w:r w:rsidR="00147D68">
        <w:rPr>
          <w:rFonts w:ascii="Calibri" w:hAnsi="Calibri"/>
          <w:sz w:val="24"/>
          <w:szCs w:val="24"/>
          <w:lang w:val="en-US"/>
        </w:rPr>
        <w:t xml:space="preserve"> </w:t>
      </w:r>
      <w:r w:rsidR="008E5A75">
        <w:rPr>
          <w:rFonts w:ascii="Calibri" w:hAnsi="Calibri"/>
          <w:sz w:val="24"/>
          <w:szCs w:val="24"/>
          <w:lang w:val="en-US"/>
        </w:rPr>
        <w:t xml:space="preserve">then approximately 45 patients with breakthrough infection on voriconazole </w:t>
      </w:r>
      <w:r w:rsidR="0051023A">
        <w:rPr>
          <w:rFonts w:ascii="Calibri" w:hAnsi="Calibri"/>
          <w:sz w:val="24"/>
          <w:szCs w:val="24"/>
          <w:lang w:val="en-US"/>
        </w:rPr>
        <w:t>are</w:t>
      </w:r>
      <w:r w:rsidR="008E5A75">
        <w:rPr>
          <w:rFonts w:ascii="Calibri" w:hAnsi="Calibri"/>
          <w:sz w:val="24"/>
          <w:szCs w:val="24"/>
          <w:lang w:val="en-US"/>
        </w:rPr>
        <w:t xml:space="preserve"> </w:t>
      </w:r>
      <w:r w:rsidR="00130F85">
        <w:rPr>
          <w:rFonts w:ascii="Calibri" w:hAnsi="Calibri"/>
          <w:sz w:val="24"/>
          <w:szCs w:val="24"/>
          <w:lang w:val="en-US"/>
        </w:rPr>
        <w:t>required</w:t>
      </w:r>
      <w:r w:rsidR="0051023A">
        <w:rPr>
          <w:rFonts w:ascii="Calibri" w:hAnsi="Calibri"/>
          <w:sz w:val="24"/>
          <w:szCs w:val="24"/>
          <w:lang w:val="en-US"/>
        </w:rPr>
        <w:t xml:space="preserve"> </w:t>
      </w:r>
      <w:r w:rsidR="00F87872">
        <w:rPr>
          <w:rFonts w:ascii="Calibri" w:hAnsi="Calibri"/>
          <w:sz w:val="24"/>
          <w:szCs w:val="24"/>
          <w:lang w:val="en-US"/>
        </w:rPr>
        <w:t>to establish statistically significant differences between these groups</w:t>
      </w:r>
      <w:r w:rsidR="00130F85">
        <w:rPr>
          <w:rFonts w:ascii="Calibri" w:hAnsi="Calibri"/>
          <w:sz w:val="24"/>
          <w:szCs w:val="24"/>
          <w:lang w:val="en-US"/>
        </w:rPr>
        <w:t xml:space="preserve">.  Since only a small proportion of patients receiving voriconazole have a breakthrough </w:t>
      </w:r>
      <w:r w:rsidR="0051023A">
        <w:rPr>
          <w:rFonts w:ascii="Calibri" w:hAnsi="Calibri"/>
          <w:sz w:val="24"/>
          <w:szCs w:val="24"/>
          <w:lang w:val="en-US"/>
        </w:rPr>
        <w:t xml:space="preserve">infection this would require approximately 1700 </w:t>
      </w:r>
      <w:r w:rsidR="00E86FA2">
        <w:rPr>
          <w:rFonts w:ascii="Calibri" w:hAnsi="Calibri"/>
          <w:sz w:val="24"/>
          <w:szCs w:val="24"/>
          <w:lang w:val="en-US"/>
        </w:rPr>
        <w:t xml:space="preserve">HSCT </w:t>
      </w:r>
      <w:r w:rsidR="0051023A">
        <w:rPr>
          <w:rFonts w:ascii="Calibri" w:hAnsi="Calibri"/>
          <w:sz w:val="24"/>
          <w:szCs w:val="24"/>
          <w:lang w:val="en-US"/>
        </w:rPr>
        <w:t>patients</w:t>
      </w:r>
      <w:r w:rsidR="00E86FA2">
        <w:rPr>
          <w:rFonts w:ascii="Calibri" w:hAnsi="Calibri"/>
          <w:sz w:val="24"/>
          <w:szCs w:val="24"/>
          <w:lang w:val="en-US"/>
        </w:rPr>
        <w:t xml:space="preserve"> and 3400 HSCT patients for a two-armed </w:t>
      </w:r>
      <w:r w:rsidR="00202CEA">
        <w:rPr>
          <w:rFonts w:ascii="Calibri" w:hAnsi="Calibri"/>
          <w:sz w:val="24"/>
          <w:szCs w:val="24"/>
          <w:lang w:val="en-US"/>
        </w:rPr>
        <w:t xml:space="preserve">comparative </w:t>
      </w:r>
      <w:r w:rsidR="00E86FA2">
        <w:rPr>
          <w:rFonts w:ascii="Calibri" w:hAnsi="Calibri"/>
          <w:sz w:val="24"/>
          <w:szCs w:val="24"/>
          <w:lang w:val="en-US"/>
        </w:rPr>
        <w:t>study.  Such numbers are clearly not tenable</w:t>
      </w:r>
      <w:r w:rsidR="00556D77">
        <w:rPr>
          <w:rFonts w:ascii="Calibri" w:hAnsi="Calibri"/>
          <w:sz w:val="24"/>
          <w:szCs w:val="24"/>
          <w:lang w:val="en-US"/>
        </w:rPr>
        <w:t xml:space="preserve"> in a clinical trial </w:t>
      </w:r>
      <w:r w:rsidR="00B7035E">
        <w:rPr>
          <w:rFonts w:ascii="Calibri" w:hAnsi="Calibri"/>
          <w:sz w:val="24"/>
          <w:szCs w:val="24"/>
          <w:lang w:val="en-US"/>
        </w:rPr>
        <w:t>that requires</w:t>
      </w:r>
      <w:r w:rsidR="00556D77">
        <w:rPr>
          <w:rFonts w:ascii="Calibri" w:hAnsi="Calibri"/>
          <w:sz w:val="24"/>
          <w:szCs w:val="24"/>
          <w:lang w:val="en-US"/>
        </w:rPr>
        <w:t xml:space="preserve"> several blood samples </w:t>
      </w:r>
      <w:r w:rsidR="00B7035E">
        <w:rPr>
          <w:rFonts w:ascii="Calibri" w:hAnsi="Calibri"/>
          <w:sz w:val="24"/>
          <w:szCs w:val="24"/>
          <w:lang w:val="en-US"/>
        </w:rPr>
        <w:t xml:space="preserve">to be obtained </w:t>
      </w:r>
      <w:r w:rsidR="00556D77">
        <w:rPr>
          <w:rFonts w:ascii="Calibri" w:hAnsi="Calibri"/>
          <w:sz w:val="24"/>
          <w:szCs w:val="24"/>
          <w:lang w:val="en-US"/>
        </w:rPr>
        <w:t>per patient</w:t>
      </w:r>
      <w:r w:rsidR="006E4F96">
        <w:rPr>
          <w:rFonts w:ascii="Calibri" w:hAnsi="Calibri"/>
          <w:sz w:val="24"/>
          <w:szCs w:val="24"/>
          <w:lang w:val="en-US"/>
        </w:rPr>
        <w:t>.</w:t>
      </w:r>
      <w:r w:rsidR="000C7F10">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"blood-2010-02-268151 [pii] 10.1182/blood-2010-02-268151", "ISBN" : "1528-0020 (Electronic) 0006-4971 (Linking)", "PMID" : "20826719", "abstract" : "Invasive fungal infection (IFI) is a serious threat after allogeneic hematopoietic cell transplant (HCT). This multicenter, randomized, double-blind trial compared fluconazole (N = 295) versus voriconazole (N = 305) for the prevention of IFI in the context of a structured fungal screening program. Patients undergoing myeloablative allogeneic HCT were randomized before HCT to receive study drugs for 100 days, or for 180 days in higher-risk patients. Serum galactomannan was assayed twice weekly for 60 days, then at least weekly until day 100. Positive galactomannan or suggestive signs triggered mandatory evaluation for IFI. The primary endpoint was freedom from IFI or death (fungal-free survival; FFS) at 180 days. Despite trends to fewer IFIs (7.3% vs 11.2%; P = .12), Aspergillus infections (9 vs 17; P = .09), and less frequent empiric antifungal therapy (24.1% vs 30.2%, P = .11) with voriconazole, FFS rates (75% vs 78%; P = .49) at 180 days were similar with fluconazole and voriconazole, respectively. Relapse-free and overall survival and the incidence of severe adverse events were also similar. This study demonstrates that in the context of intensive monitoring and structured empiric antifungal therapy, 6-month FFS and overall survival did not differ in allogeneic HCT recipients given prophylactic fluconazole or voriconazole. This trial was registered at www.clinicaltrials.gov as NCT00075803.", "author" : [ { "dropping-particle" : "", "family" : "Wingard", "given" : "J R", "non-dropping-particle" : "", "parse-names" : false, "suffix" : "" }, { "dropping-particle" : "", "family" : "Carter", "given" : "S L", "non-dropping-particle" : "", "parse-names" : false, "suffix" : "" }, { "dropping-particle" : "", "family" : "Walsh", "given" : "T J", "non-dropping-particle" : "", "parse-names" : false, "suffix" : "" }, { "dropping-particle" : "", "family" : "Kurtzberg", "given" : "J", "non-dropping-particle" : "", "parse-names" : false, "suffix" : "" }, { "dropping-particle" : "", "family" : "Small", "given" : "T N", "non-dropping-particle" : "", "parse-names" : false, "suffix" : "" }, { "dropping-particle" : "", "family" : "Baden", "given" : "L R", "non-dropping-particle" : "", "parse-names" : false, "suffix" : "" }, { "dropping-particle" : "", "family" : "Gersten", "given" : "I D", "non-dropping-particle" : "", "parse-names" : false, "suffix" : "" }, { "dropping-particle" : "", "family" : "Mendizabal", "given" : "A M", "non-dropping-particle" : "", "parse-names" : false, "suffix" : "" }, { "dropping-particle" : "", "family" : "Leather", "given" : "H L", "non-dropping-particle" : "", "parse-names" : false, "suffix" : "" }, { "dropping-particle" : "", "family" : "Confer", "given" : "D L", "non-dropping-particle" : "", "parse-names" : false, "suffix" : "" }, { "dropping-particle" : "", "family" : "Maziarz", "given" : "R T", "non-dropping-particle" : "", "parse-names" : false, "suffix" : "" }, { "dropping-particle" : "", "family" : "Stadtmauer", "given" : "E A", "non-dropping-particle" : "", "parse-names" : false, "suffix" : "" }, { "dropping-particle" : "", "family" : "Bolanos-Meade", "given" : "J", "non-dropping-particle" : "", "parse-names" : false, "suffix" : "" }, { "dropping-particle" : "", "family" : "Brown", "given" : "J", "non-dropping-particle" : "", "parse-names" : false, "suffix" : "" }, { "dropping-particle" : "", "family" : "Dipersio", "given" : "J F", "non-dropping-particle" : "", "parse-names" : false, "suffix" : "" }, { "dropping-particle" : "", "family" : "Boeckh", "given" : "M", "non-dropping-particle" : "", "parse-names" : false, "suffix" : "" }, { "dropping-particle" : "", "family" : "Marr", "given" : "K A", "non-dropping-particle" : "", "parse-names" : false, "suffix" : "" } ], "container-title" : "Blood", "id" : "ITEM-1", "issue" : "24", "issued" : { "date-parts" : [ [ "2010" ] ] }, "language" : "eng", "note" : "Wingard, John R\nCarter, Shelly L\nWalsh, Thomas J\nKurtzberg, Joanne\nSmall, Trudy N\nBaden, Lindsey R\nGersten, Iris D\nMendizabal, Adam M\nLeather, Helen L\nConfer, Dennis L\nMaziarz, Richard T\nStadtmauer, Edward A\nBolanos-Meade, Javier\nBrown, Janice\nDipersio, John F\nBoeckh, Michael\nMarr, Kieren A\nBlood and Marrow Transplant Clinical Trials Network\nU01-8L069294/PHS HHS/United States\nComparative Study\nMulticenter Study\nRandomized Controlled Trial\nResearch Support, N.I.H., Extramural\nResearch Support, Non-U.S. Gov't\nUnited States\nBlood\nBlood. 2010 Dec 9;116(24):5111-8. Epub 2010 Sep 8.", "page" : "5111-5118", "title" : "Randomized, double-blind trial of fluconazole versus voriconazole for prevention of invasive fungal infection after allogeneic hematopoietic cell transplantation", "type" : "article-journal", "volume" : "116" }, "uris" : [ "http://www.mendeley.com/documents/?uuid=6711d1f8-a8ef-4716-a92f-115811dd092d" ] } ], "mendeley" : { "formattedCitation" : "&lt;sup&gt;9&lt;/sup&gt;", "plainTextFormattedCitation" : "9", "previouslyFormattedCitation" : "&lt;sup&gt;9&lt;/sup&gt;" }, "properties" : { "noteIndex" : 0 }, "schema" : "https://github.com/citation-style-language/schema/raw/master/csl-citation.json" }</w:instrText>
      </w:r>
      <w:r w:rsidR="000C7F10">
        <w:rPr>
          <w:rFonts w:ascii="Calibri" w:hAnsi="Calibri"/>
          <w:sz w:val="24"/>
          <w:szCs w:val="24"/>
          <w:lang w:val="en-US"/>
        </w:rPr>
        <w:fldChar w:fldCharType="separate"/>
      </w:r>
      <w:r w:rsidR="00610755" w:rsidRPr="00610755">
        <w:rPr>
          <w:rFonts w:ascii="Calibri" w:hAnsi="Calibri"/>
          <w:noProof/>
          <w:sz w:val="24"/>
          <w:szCs w:val="24"/>
          <w:vertAlign w:val="superscript"/>
          <w:lang w:val="en-US"/>
        </w:rPr>
        <w:t>9</w:t>
      </w:r>
      <w:r w:rsidR="000C7F10">
        <w:rPr>
          <w:rFonts w:ascii="Calibri" w:hAnsi="Calibri"/>
          <w:sz w:val="24"/>
          <w:szCs w:val="24"/>
          <w:lang w:val="en-US"/>
        </w:rPr>
        <w:fldChar w:fldCharType="end"/>
      </w:r>
    </w:p>
    <w:p w14:paraId="02356471" w14:textId="31A9EEE8" w:rsidR="00635E31" w:rsidRDefault="00635E31" w:rsidP="00CE3DA1">
      <w:pPr>
        <w:rPr>
          <w:rFonts w:ascii="Calibri" w:hAnsi="Calibri"/>
          <w:sz w:val="24"/>
          <w:szCs w:val="24"/>
          <w:lang w:val="en-US"/>
        </w:rPr>
      </w:pPr>
      <w:r>
        <w:rPr>
          <w:rFonts w:ascii="Calibri" w:hAnsi="Calibri"/>
          <w:sz w:val="24"/>
          <w:szCs w:val="24"/>
          <w:lang w:val="en-US"/>
        </w:rPr>
        <w:tab/>
      </w:r>
      <w:r w:rsidR="00B50E3F">
        <w:rPr>
          <w:rFonts w:ascii="Calibri" w:hAnsi="Calibri"/>
          <w:sz w:val="24"/>
          <w:szCs w:val="24"/>
          <w:lang w:val="en-US"/>
        </w:rPr>
        <w:t xml:space="preserve">There are surprisingly few patients </w:t>
      </w:r>
      <w:r w:rsidR="006705E6">
        <w:rPr>
          <w:rFonts w:ascii="Calibri" w:hAnsi="Calibri"/>
          <w:sz w:val="24"/>
          <w:szCs w:val="24"/>
          <w:lang w:val="en-US"/>
        </w:rPr>
        <w:t xml:space="preserve">that have had exposure response relationships studied </w:t>
      </w:r>
      <w:r w:rsidR="00714A9E">
        <w:rPr>
          <w:rFonts w:ascii="Calibri" w:hAnsi="Calibri"/>
          <w:sz w:val="24"/>
          <w:szCs w:val="24"/>
          <w:lang w:val="en-US"/>
        </w:rPr>
        <w:t>while receiving voriconazole for</w:t>
      </w:r>
      <w:r w:rsidR="006705E6">
        <w:rPr>
          <w:rFonts w:ascii="Calibri" w:hAnsi="Calibri"/>
          <w:sz w:val="24"/>
          <w:szCs w:val="24"/>
          <w:lang w:val="en-US"/>
        </w:rPr>
        <w:t xml:space="preserve"> </w:t>
      </w:r>
      <w:r w:rsidR="00051BEA">
        <w:rPr>
          <w:rFonts w:ascii="Calibri" w:hAnsi="Calibri"/>
          <w:sz w:val="24"/>
          <w:szCs w:val="24"/>
          <w:lang w:val="en-US"/>
        </w:rPr>
        <w:t>prophylaxis</w:t>
      </w:r>
      <w:r w:rsidR="00CF09F9">
        <w:rPr>
          <w:rFonts w:ascii="Calibri" w:hAnsi="Calibri"/>
          <w:sz w:val="24"/>
          <w:szCs w:val="24"/>
          <w:lang w:val="en-US"/>
        </w:rPr>
        <w:t xml:space="preserve">.  The vast majority of data </w:t>
      </w:r>
      <w:r w:rsidR="007A6408">
        <w:rPr>
          <w:rFonts w:ascii="Calibri" w:hAnsi="Calibri"/>
          <w:sz w:val="24"/>
          <w:szCs w:val="24"/>
          <w:lang w:val="en-US"/>
        </w:rPr>
        <w:t xml:space="preserve">that supports therapeutic drug monitoring of voriconazole </w:t>
      </w:r>
      <w:r w:rsidR="00CF09F9">
        <w:rPr>
          <w:rFonts w:ascii="Calibri" w:hAnsi="Calibri"/>
          <w:sz w:val="24"/>
          <w:szCs w:val="24"/>
          <w:lang w:val="en-US"/>
        </w:rPr>
        <w:t>come</w:t>
      </w:r>
      <w:r w:rsidR="007A6408">
        <w:rPr>
          <w:rFonts w:ascii="Calibri" w:hAnsi="Calibri"/>
          <w:sz w:val="24"/>
          <w:szCs w:val="24"/>
          <w:lang w:val="en-US"/>
        </w:rPr>
        <w:t>s</w:t>
      </w:r>
      <w:r w:rsidR="00CF09F9">
        <w:rPr>
          <w:rFonts w:ascii="Calibri" w:hAnsi="Calibri"/>
          <w:sz w:val="24"/>
          <w:szCs w:val="24"/>
          <w:lang w:val="en-US"/>
        </w:rPr>
        <w:t xml:space="preserve"> from patients with established disease.  </w:t>
      </w:r>
      <w:r w:rsidR="006705E6">
        <w:rPr>
          <w:rFonts w:ascii="Calibri" w:hAnsi="Calibri"/>
          <w:sz w:val="24"/>
          <w:szCs w:val="24"/>
          <w:lang w:val="en-US"/>
        </w:rPr>
        <w:t>A</w:t>
      </w:r>
      <w:r w:rsidR="00CF09F9">
        <w:rPr>
          <w:rFonts w:ascii="Calibri" w:hAnsi="Calibri"/>
          <w:sz w:val="24"/>
          <w:szCs w:val="24"/>
          <w:lang w:val="en-US"/>
        </w:rPr>
        <w:t xml:space="preserve"> </w:t>
      </w:r>
      <w:r w:rsidR="008752D7">
        <w:rPr>
          <w:rFonts w:ascii="Calibri" w:hAnsi="Calibri"/>
          <w:sz w:val="24"/>
          <w:szCs w:val="24"/>
          <w:lang w:val="en-US"/>
        </w:rPr>
        <w:t xml:space="preserve">retrospective </w:t>
      </w:r>
      <w:r w:rsidR="00CF09F9">
        <w:rPr>
          <w:rFonts w:ascii="Calibri" w:hAnsi="Calibri"/>
          <w:sz w:val="24"/>
          <w:szCs w:val="24"/>
          <w:lang w:val="en-US"/>
        </w:rPr>
        <w:t xml:space="preserve">study by </w:t>
      </w:r>
      <w:proofErr w:type="spellStart"/>
      <w:r w:rsidR="00CF09F9">
        <w:rPr>
          <w:rFonts w:ascii="Calibri" w:hAnsi="Calibri"/>
          <w:sz w:val="24"/>
          <w:szCs w:val="24"/>
          <w:lang w:val="en-US"/>
        </w:rPr>
        <w:t>Trifilio</w:t>
      </w:r>
      <w:proofErr w:type="spellEnd"/>
      <w:r w:rsidR="00CF09F9">
        <w:rPr>
          <w:rFonts w:ascii="Calibri" w:hAnsi="Calibri"/>
          <w:sz w:val="24"/>
          <w:szCs w:val="24"/>
          <w:lang w:val="en-US"/>
        </w:rPr>
        <w:t xml:space="preserve"> </w:t>
      </w:r>
      <w:r w:rsidR="00CF09F9" w:rsidRPr="00352EBE">
        <w:rPr>
          <w:rFonts w:ascii="Calibri" w:hAnsi="Calibri"/>
          <w:i/>
          <w:sz w:val="24"/>
          <w:szCs w:val="24"/>
          <w:lang w:val="en-US"/>
        </w:rPr>
        <w:t>et al</w:t>
      </w:r>
      <w:r w:rsidR="00B37E9D">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"10.1038/sj.bmt.1705754", "author" : [ { "dropping-particle" : "", "family" : "Trifilio", "given" : "S", "non-dropping-particle" : "", "parse-names" : false, "suffix" : "" }, { "dropping-particle" : "", "family" : "Singhal", "given" : "S", "non-dropping-particle" : "", "parse-names" : false, "suffix" : "" }, { "dropping-particle" : "", "family" : "Williams", "given" : "S", "non-dropping-particle" : "", "parse-names" : false, "suffix" : "" }, { "dropping-particle" : "", "family" : "Frankfurt", "given" : "O", "non-dropping-particle" : "", "parse-names" : false, "suffix" : "" }, { "dropping-particle" : "", "family" : "Gordon", "given" : "L", "non-dropping-particle" : "", "parse-names" : false, "suffix" : "" }, { "dropping-particle" : "", "family" : "Evens", "given" : "A", "non-dropping-particle" : "", "parse-names" : false, "suffix" : "" }, { "dropping-particle" : "", "family" : "Winter", "given" : "J", "non-dropping-particle" : "", "parse-names" : false, "suffix" : "" }, { "dropping-particle" : "", "family" : "Tallman", "given" : "M", "non-dropping-particle" : "", "parse-names" : false, "suffix" : "" } ], "id" : "ITEM-1", "issued" : { "date-parts" : [ [ "2007" ] ] }, "page" : "1-6", "title" : "Breakthrough fungal infections after allogeneic hematopoietic stem cell transplantation in patients on prophylactic voriconazole", "type" : "article-journal" }, "uris" : [ "http://www.mendeley.com/documents/?uuid=93539b83-e1dc-4dbe-b363-fea40e9b81e2" ] } ], "mendeley" : { "formattedCitation" : "&lt;sup&gt;22&lt;/sup&gt;", "plainTextFormattedCitation" : "22", "previouslyFormattedCitation" : "&lt;sup&gt;22&lt;/sup&gt;" }, "properties" : { "noteIndex" : 0 }, "schema" : "https://github.com/citation-style-language/schema/raw/master/csl-citation.json" }</w:instrText>
      </w:r>
      <w:r w:rsidR="00B37E9D">
        <w:rPr>
          <w:rFonts w:ascii="Calibri" w:hAnsi="Calibri"/>
          <w:sz w:val="24"/>
          <w:szCs w:val="24"/>
          <w:lang w:val="en-US"/>
        </w:rPr>
        <w:fldChar w:fldCharType="separate"/>
      </w:r>
      <w:r w:rsidR="00610755" w:rsidRPr="00610755">
        <w:rPr>
          <w:rFonts w:ascii="Calibri" w:hAnsi="Calibri"/>
          <w:noProof/>
          <w:sz w:val="24"/>
          <w:szCs w:val="24"/>
          <w:vertAlign w:val="superscript"/>
          <w:lang w:val="en-US"/>
        </w:rPr>
        <w:t>22</w:t>
      </w:r>
      <w:r w:rsidR="00B37E9D">
        <w:rPr>
          <w:rFonts w:ascii="Calibri" w:hAnsi="Calibri"/>
          <w:sz w:val="24"/>
          <w:szCs w:val="24"/>
          <w:lang w:val="en-US"/>
        </w:rPr>
        <w:fldChar w:fldCharType="end"/>
      </w:r>
      <w:r w:rsidR="009B45DF">
        <w:rPr>
          <w:rFonts w:ascii="Calibri" w:hAnsi="Calibri"/>
          <w:sz w:val="24"/>
          <w:szCs w:val="24"/>
          <w:lang w:val="en-US"/>
        </w:rPr>
        <w:t xml:space="preserve"> </w:t>
      </w:r>
      <w:r w:rsidR="00466379">
        <w:rPr>
          <w:rFonts w:ascii="Calibri" w:hAnsi="Calibri"/>
          <w:sz w:val="24"/>
          <w:szCs w:val="24"/>
          <w:lang w:val="en-US"/>
        </w:rPr>
        <w:t>describe</w:t>
      </w:r>
      <w:r w:rsidR="006705E6">
        <w:rPr>
          <w:rFonts w:ascii="Calibri" w:hAnsi="Calibri"/>
          <w:sz w:val="24"/>
          <w:szCs w:val="24"/>
          <w:lang w:val="en-US"/>
        </w:rPr>
        <w:t>s</w:t>
      </w:r>
      <w:r w:rsidR="00466379">
        <w:rPr>
          <w:rFonts w:ascii="Calibri" w:hAnsi="Calibri"/>
          <w:sz w:val="24"/>
          <w:szCs w:val="24"/>
          <w:lang w:val="en-US"/>
        </w:rPr>
        <w:t xml:space="preserve"> </w:t>
      </w:r>
      <w:r w:rsidR="008162A2">
        <w:rPr>
          <w:rFonts w:ascii="Calibri" w:hAnsi="Calibri"/>
          <w:sz w:val="24"/>
          <w:szCs w:val="24"/>
          <w:lang w:val="en-US"/>
        </w:rPr>
        <w:t>10/71</w:t>
      </w:r>
      <w:r w:rsidR="00466379">
        <w:rPr>
          <w:rFonts w:ascii="Calibri" w:hAnsi="Calibri"/>
          <w:sz w:val="24"/>
          <w:szCs w:val="24"/>
          <w:lang w:val="en-US"/>
        </w:rPr>
        <w:t xml:space="preserve"> patients</w:t>
      </w:r>
      <w:r w:rsidR="008162A2">
        <w:rPr>
          <w:rFonts w:ascii="Calibri" w:hAnsi="Calibri"/>
          <w:sz w:val="24"/>
          <w:szCs w:val="24"/>
          <w:lang w:val="en-US"/>
        </w:rPr>
        <w:t xml:space="preserve"> </w:t>
      </w:r>
      <w:r w:rsidR="00222058">
        <w:rPr>
          <w:rFonts w:ascii="Calibri" w:hAnsi="Calibri"/>
          <w:sz w:val="24"/>
          <w:szCs w:val="24"/>
          <w:lang w:val="en-US"/>
        </w:rPr>
        <w:t xml:space="preserve">receiving voriconazole </w:t>
      </w:r>
      <w:r w:rsidR="008162A2">
        <w:rPr>
          <w:rFonts w:ascii="Calibri" w:hAnsi="Calibri"/>
          <w:sz w:val="24"/>
          <w:szCs w:val="24"/>
          <w:lang w:val="en-US"/>
        </w:rPr>
        <w:t>with breakthrough infection</w:t>
      </w:r>
      <w:r w:rsidR="008752D7">
        <w:rPr>
          <w:rFonts w:ascii="Calibri" w:hAnsi="Calibri"/>
          <w:sz w:val="24"/>
          <w:szCs w:val="24"/>
          <w:lang w:val="en-US"/>
        </w:rPr>
        <w:t xml:space="preserve"> caused by </w:t>
      </w:r>
      <w:r w:rsidR="008752D7" w:rsidRPr="00352EBE">
        <w:rPr>
          <w:rFonts w:ascii="Calibri" w:hAnsi="Calibri"/>
          <w:i/>
          <w:sz w:val="24"/>
          <w:szCs w:val="24"/>
          <w:lang w:val="en-US"/>
        </w:rPr>
        <w:t>Candida</w:t>
      </w:r>
      <w:r w:rsidR="008752D7">
        <w:rPr>
          <w:rFonts w:ascii="Calibri" w:hAnsi="Calibri"/>
          <w:sz w:val="24"/>
          <w:szCs w:val="24"/>
          <w:lang w:val="en-US"/>
        </w:rPr>
        <w:t xml:space="preserve"> spp. (</w:t>
      </w:r>
      <w:r w:rsidR="00222058">
        <w:rPr>
          <w:rFonts w:ascii="Calibri" w:hAnsi="Calibri"/>
          <w:sz w:val="24"/>
          <w:szCs w:val="24"/>
          <w:lang w:val="en-US"/>
        </w:rPr>
        <w:t>n=</w:t>
      </w:r>
      <w:r w:rsidR="008752D7">
        <w:rPr>
          <w:rFonts w:ascii="Calibri" w:hAnsi="Calibri"/>
          <w:sz w:val="24"/>
          <w:szCs w:val="24"/>
          <w:lang w:val="en-US"/>
        </w:rPr>
        <w:t>6) and Mucorales (</w:t>
      </w:r>
      <w:r w:rsidR="00222058">
        <w:rPr>
          <w:rFonts w:ascii="Calibri" w:hAnsi="Calibri"/>
          <w:sz w:val="24"/>
          <w:szCs w:val="24"/>
          <w:lang w:val="en-US"/>
        </w:rPr>
        <w:t>n=</w:t>
      </w:r>
      <w:r w:rsidR="008752D7">
        <w:rPr>
          <w:rFonts w:ascii="Calibri" w:hAnsi="Calibri"/>
          <w:sz w:val="24"/>
          <w:szCs w:val="24"/>
          <w:lang w:val="en-US"/>
        </w:rPr>
        <w:t xml:space="preserve">4).  </w:t>
      </w:r>
      <w:r w:rsidR="00222058">
        <w:rPr>
          <w:rFonts w:ascii="Calibri" w:hAnsi="Calibri"/>
          <w:sz w:val="24"/>
          <w:szCs w:val="24"/>
          <w:lang w:val="en-US"/>
        </w:rPr>
        <w:t xml:space="preserve">Patients with </w:t>
      </w:r>
      <w:r w:rsidR="00222058" w:rsidRPr="00352EBE">
        <w:rPr>
          <w:rFonts w:ascii="Calibri" w:hAnsi="Calibri"/>
          <w:i/>
          <w:sz w:val="24"/>
          <w:szCs w:val="24"/>
          <w:lang w:val="en-US"/>
        </w:rPr>
        <w:t>Candida</w:t>
      </w:r>
      <w:r w:rsidR="00222058">
        <w:rPr>
          <w:rFonts w:ascii="Calibri" w:hAnsi="Calibri"/>
          <w:sz w:val="24"/>
          <w:szCs w:val="24"/>
          <w:lang w:val="en-US"/>
        </w:rPr>
        <w:t xml:space="preserve"> infection had lower voriconazole concentrations than other patients.  </w:t>
      </w:r>
      <w:r w:rsidR="008752D7">
        <w:rPr>
          <w:rFonts w:ascii="Calibri" w:hAnsi="Calibri"/>
          <w:sz w:val="24"/>
          <w:szCs w:val="24"/>
          <w:lang w:val="en-US"/>
        </w:rPr>
        <w:t xml:space="preserve">There were no cases caused by </w:t>
      </w:r>
      <w:r w:rsidR="008752D7" w:rsidRPr="00352EBE">
        <w:rPr>
          <w:rFonts w:ascii="Calibri" w:hAnsi="Calibri"/>
          <w:i/>
          <w:sz w:val="24"/>
          <w:szCs w:val="24"/>
          <w:lang w:val="en-US"/>
        </w:rPr>
        <w:t>Aspergillus</w:t>
      </w:r>
      <w:r w:rsidR="008752D7">
        <w:rPr>
          <w:rFonts w:ascii="Calibri" w:hAnsi="Calibri"/>
          <w:sz w:val="24"/>
          <w:szCs w:val="24"/>
          <w:lang w:val="en-US"/>
        </w:rPr>
        <w:t xml:space="preserve"> spp.</w:t>
      </w:r>
      <w:r w:rsidR="001C2D38">
        <w:rPr>
          <w:rFonts w:ascii="Calibri" w:hAnsi="Calibri"/>
          <w:sz w:val="24"/>
          <w:szCs w:val="24"/>
          <w:lang w:val="en-US"/>
        </w:rPr>
        <w:t xml:space="preserve"> </w:t>
      </w:r>
      <w:r w:rsidR="00114778">
        <w:rPr>
          <w:rFonts w:ascii="Calibri" w:hAnsi="Calibri"/>
          <w:sz w:val="24"/>
          <w:szCs w:val="24"/>
          <w:lang w:val="en-US"/>
        </w:rPr>
        <w:t xml:space="preserve">in that study. </w:t>
      </w:r>
      <w:r w:rsidR="001C2D38">
        <w:rPr>
          <w:rFonts w:ascii="Calibri" w:hAnsi="Calibri"/>
          <w:sz w:val="24"/>
          <w:szCs w:val="24"/>
          <w:lang w:val="en-US"/>
        </w:rPr>
        <w:t xml:space="preserve"> </w:t>
      </w:r>
      <w:r w:rsidR="00592626">
        <w:rPr>
          <w:rFonts w:ascii="Calibri" w:hAnsi="Calibri"/>
          <w:sz w:val="24"/>
          <w:szCs w:val="24"/>
          <w:lang w:val="en-US"/>
        </w:rPr>
        <w:t>The absence of any observed relationship between voriconazole drug exposure and breakthrough IFD</w:t>
      </w:r>
      <w:r w:rsidR="00114778">
        <w:rPr>
          <w:rFonts w:ascii="Calibri" w:hAnsi="Calibri"/>
          <w:sz w:val="24"/>
          <w:szCs w:val="24"/>
          <w:lang w:val="en-US"/>
        </w:rPr>
        <w:t xml:space="preserve"> in the current study is reminiscent of the </w:t>
      </w:r>
      <w:r w:rsidR="00222058">
        <w:rPr>
          <w:rFonts w:ascii="Calibri" w:hAnsi="Calibri"/>
          <w:sz w:val="24"/>
          <w:szCs w:val="24"/>
          <w:lang w:val="en-US"/>
        </w:rPr>
        <w:t xml:space="preserve">large randomized </w:t>
      </w:r>
      <w:r w:rsidR="00114778">
        <w:rPr>
          <w:rFonts w:ascii="Calibri" w:hAnsi="Calibri"/>
          <w:sz w:val="24"/>
          <w:szCs w:val="24"/>
          <w:lang w:val="en-US"/>
        </w:rPr>
        <w:t>prophylaxis studies involving posaconazole</w:t>
      </w:r>
      <w:r w:rsidR="00B37E9D">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"PMID" : "17251530", "abstract" : "BACKGROUND: Invasive fungal infections are an important cause of morbidity and mortality after allogeneic hematopoietic stem-cell transplantation. METHODS: In an international, randomized, double-blind trial, we compared oral posaconazole with oral fluconazole for prophylaxis against invasive fungal infections in patients with graft-versus-host disease (GVHD) who were receiving immunosuppressive therapy. The primary end point was the incidence of proven or probable invasive fungal infections from randomization to day 112 of the fixed treatment period of the study. RESULTS: Of a total of 600 patients, 301 were assigned to posaconazole and 299 to fluconazole. At the end of the fixed 112-day treatment period, posaconazole was found to be as effective as fluconazole in preventing all invasive fungal infections (incidence, 5.3% and 9.0%, respectively; odds ratio, 0.56; 95 percent confidence interval [CI], 0.30 to 1.07; P=0.07) and was superior to fluconazole in preventing proven or probable invasive aspergillosis (2.3% vs. 7.0%; odds ratio, 0.31; 95% CI, 0.13 to 0.75; P=0.006). While patients were receiving study medications (exposure period), in the posaconazole group, as compared with the fluconazole group, there were fewer breakthrough invasive fungal infections (2.4% vs. 7.6%, P=0.004), particularly invasive aspergillosis (1.0% vs. 5.9%, P=0.001). Overall mortality was similar in the two groups, but the number of deaths from invasive fungal infections was lower in the posaconazole group (1%, vs. 4% in the fluconazole group; P=0.046). The incidence of treatment-related adverse events was similar in the two groups (36% in the posaconazole group and 38% in the fluconazole group), and the rates of treatment-related serious adverse events were 13% and 10%, respectively. CONCLUSIONS: Posaconazole was similar to fluconazole for prophylaxis against fungal infections among patients with GVHD. It was superior in preventing invasive aspergillosis and reducing the rate of deaths related to fungal infections. (ClinicalTrials.gov number, NCT00034645 [ClinicalTrials.gov].).", "author" : [ { "dropping-particle" : "", "family" : "Ullmann", "given" : "A J", "non-dropping-particle" : "", "parse-names" : false, "suffix" : "" }, { "dropping-particle" : "", "family" : "Lipton", "given" : "J H", "non-dropping-particle" : "", "parse-names" : false, "suffix" : "" }, { "dropping-particle" : "", "family" : "Vesole", "given" : "D H", "non-dropping-particle" : "", "parse-names" : false, "suffix" : "" }, { "dropping-particle" : "", "family" : "Chandrasekar", "given" : "P", "non-dropping-particle" : "", "parse-names" : false, "suffix" : "" }, { "dropping-particle" : "", "family" : "Langston", "given" : "A", "non-dropping-particle" : "", "parse-names" : false, "suffix" : "" }, { "dropping-particle" : "", "family" : "Tarantolo", "given" : "S R", "non-dropping-particle" : "", "parse-names" : false, "suffix" : "" }, { "dropping-particle" : "", "family" : "Greinix", "given" : "H", "non-dropping-particle" : "", "parse-names" : false, "suffix" : "" }, { "dropping-particle" : "", "family" : "Morais de Azevedo", "given" : "W", "non-dropping-particle" : "", "parse-names" : false, "suffix" : "" }, { "dropping-particle" : "", "family" : "Reddy", "given" : "V", "non-dropping-particle" : "", "parse-names" : false, "suffix" : "" }, { "dropping-particle" : "", "family" : "Boparai", "given" : "N", "non-dropping-particle" : "", "parse-names" : false, "suffix" : "" }, { "dropping-particle" : "", "family" : "Pedicone", "given" : "L", "non-dropping-particle" : "", "parse-names" : false, "suffix" : "" }, { "dropping-particle" : "", "family" : "Patino", "given" : "H", "non-dropping-particle" : "", "parse-names" : false, "suffix" : "" }, { "dropping-particle" : "", "family" : "Durrant", "given" : "S", "non-dropping-particle" : "", "parse-names" : false, "suffix" : "" } ], "container-title" : "N Engl J Med", "id" : "ITEM-1", "issue" : "4", "issued" : { "date-parts" : [ [ "2007" ] ] }, "note" : "1533-4406 (Electronic)\nClinical Trial, Phase III\nComparative Study\nJournal Article\nMulticenter Study\nRandomized Controlled Trial\nResearch Support, Non-U.S. Gov&amp;#039;t", "page" : "335-347", "title" : "Posaconazole or fluconazole for prophylaxis in severe graft-versus-host disease", "type" : "article-journal", "volume" : "356" }, "uris" : [ "http://www.mendeley.com/documents/?uuid=83d1c292-6208-4c7b-a388-7cb0ca3cb43a" ] }, { "id" : "ITEM-2", "itemData" : { "PMID" : "17251531", "abstract" : "BACKGROUND: Patients with neutropenia resulting from chemotherapy for acute myelogenous leukemia or the myelodysplastic syndrome are at high risk for difficult-to-treat and often fatal invasive fungal infections. METHODS: In this randomized, multicenter study involving evaluators who were unaware of treatment assignments, we compared the efficacy and safety of posaconazole with those of fluconazole or itraconazole as prophylaxis for patients with prolonged neutropenia. Patients received prophylaxis with each cycle of chemotherapy until recovery from neutropenia and complete remission, until occurrence of an invasive fungal infection, or for up to 12 weeks, whichever came first. We compared the incidence of proven or probable invasive fungal infections during treatment (the primary end point) between the posaconazole and fluconazole or itraconazole groups; death from any cause and time to death were secondary end points. RESULTS: A total of 304 patients were randomly assigned to receive posaconazole, and 298 patients were randomly assigned to receive fluconazole (240) or itraconazole (58). Proven or probable invasive fungal infections were reported in 7 patients (2%) in the posaconazole group and 25 patients (8%) in the fluconazole or itraconazole group (absolute reduction in the posaconazole group, -6%; 95% confidence interval, -9.7 to -2.5%; P&lt;0.001), fulfilling statistical criteria for superiority. Significantly fewer patients in the posaconazole group had invasive aspergillosis (2 [1%] vs. 20 [7%], P&lt;0.001). Survival was significantly longer among recipients of posaconazole than among recipients of fluconazole or itraconazole (P=0.04). Serious adverse events possibly or probably related to treatment were reported by 19 patients (6%) in the posaconazole group and 6 patients (2%) in the fluconazole or itraconazole group (P=0.01). The most common treatment-related adverse events in both groups were gastrointestinal tract disturbances. CONCLUSIONS: In patients undergoing chemotherapy for acute myelogenous leukemia or the myelodysplastic syndrome, posaconazole prevented invasive fungal infections more effectively than did either fluconazole or itraconazole and improved overall survival. There were more serious adverse events possibly or probably related to treatment in the posaconazole group. (ClinicalTrials.gov number, NCT00044486 [ClinicalTrials.gov].).", "author" : [ { "dropping-particle" : "", "family" : "Cornely", "given" : "O A", "non-dropping-particle" : "", "parse-names" : false, "suffix" : "" }, { "dropping-particle" : "", "family" : "Maertens", "given" : "J", "non-dropping-particle" : "", "parse-names" : false, "suffix" : "" }, { "dropping-particle" : "", "family" : "Winston", "given" : "D J", "non-dropping-particle" : "", "parse-names" : false, "suffix" : "" }, { "dropping-particle" : "", "family" : "Perfect", "given" : "John", "non-dropping-particle" : "", "parse-names" : false, "suffix" : "" }, { "dropping-particle" : "", "family" : "Ullmann", "given" : "Andrew J", "non-dropping-particle" : "", "parse-names" : false, "suffix" : "" }, { "dropping-particle" : "", "family" : "Walsh", "given" : "Thomas J", "non-dropping-particle" : "", "parse-names" : false, "suffix" : "" }, { "dropping-particle" : "", "family" : "Helfgott", "given" : "David", "non-dropping-particle" : "", "parse-names" : false, "suffix" : "" }, { "dropping-particle" : "", "family" : "Holowiecki", "given" : "Jerzy", "non-dropping-particle" : "", "parse-names" : false, "suffix" : "" }, { "dropping-particle" : "", "family" : "Stockelberg", "given" : "Dick", "non-dropping-particle" : "", "parse-names" : false, "suffix" : "" }, { "dropping-particle" : "", "family" : "Goh", "given" : "Yeow-tee T", "non-dropping-particle" : "", "parse-names" : false, "suffix" : "" }, { "dropping-particle" : "", "family" : "Petrini", "given" : "Mario", "non-dropping-particle" : "", "parse-names" : false, "suffix" : "" }, { "dropping-particle" : "", "family" : "Hardalo", "given" : "Cathy", "non-dropping-particle" : "", "parse-names" : false, "suffix" : "" }, { "dropping-particle" : "", "family" : "Suresh", "given" : "Ramachandran", "non-dropping-particle" : "", "parse-names" : false, "suffix" : "" }, { "dropping-particle" : "", "family" : "Angulo-Gonzalez", "given" : "David", "non-dropping-particle" : "", "parse-names" : false, "suffix" : "" }, { "dropping-particle" : "", "family" : "Ph", "given" : "D", "non-dropping-particle" : "", "parse-names" : false, "suffix" : "" } ], "container-title" : "N Engl J Med", "id" : "ITEM-2", "issue" : "4", "issued" : { "date-parts" : [ [ "2007" ] ] }, "note" : "\n        From Duplicate 2 ( \n        \n          Posaconazole vs. fluconazole or itraconazole prophylaxis in patients with neutropenia\n        \n         - Cornely, O A; Maertens, J; Winston, D J; Perfect, J; Ullmann, A J; Walsh, T J; Helfgott, D; Holowiecki, J; Stockelberg, D; Goh, Y T; Petrini, M; Hardalo, C; Suresh, R; Angulo-Gonzalez, D )\n\n        \n        \n1533-4406 (Electronic)\nComparative Study\nJournal Article\nMulticenter Study\nRandomized Controlled Trial\nResearch Support, Non-U.S. Gov&amp;#039;t\n\n        \n\n      ", "page" : "348-359", "title" : "Posaconazole vs. fluconazole or itraconazole prophylaxis in patients with neutropenia", "type" : "article-journal", "volume" : "356" }, "uris" : [ "http://www.mendeley.com/documents/?uuid=17997928-2288-414a-a9b3-9a0a4efe7b82" ] } ], "mendeley" : { "formattedCitation" : "&lt;sup&gt;23,24&lt;/sup&gt;", "plainTextFormattedCitation" : "23,24", "previouslyFormattedCitation" : "&lt;sup&gt;23,24&lt;/sup&gt;" }, "properties" : { "noteIndex" : 0 }, "schema" : "https://github.com/citation-style-language/schema/raw/master/csl-citation.json" }</w:instrText>
      </w:r>
      <w:r w:rsidR="00B37E9D">
        <w:rPr>
          <w:rFonts w:ascii="Calibri" w:hAnsi="Calibri"/>
          <w:sz w:val="24"/>
          <w:szCs w:val="24"/>
          <w:lang w:val="en-US"/>
        </w:rPr>
        <w:fldChar w:fldCharType="separate"/>
      </w:r>
      <w:r w:rsidR="00610755" w:rsidRPr="00610755">
        <w:rPr>
          <w:rFonts w:ascii="Calibri" w:hAnsi="Calibri"/>
          <w:noProof/>
          <w:sz w:val="24"/>
          <w:szCs w:val="24"/>
          <w:vertAlign w:val="superscript"/>
          <w:lang w:val="en-US"/>
        </w:rPr>
        <w:t>23,24</w:t>
      </w:r>
      <w:r w:rsidR="00B37E9D">
        <w:rPr>
          <w:rFonts w:ascii="Calibri" w:hAnsi="Calibri"/>
          <w:sz w:val="24"/>
          <w:szCs w:val="24"/>
          <w:lang w:val="en-US"/>
        </w:rPr>
        <w:fldChar w:fldCharType="end"/>
      </w:r>
      <w:r w:rsidR="00B37E9D">
        <w:rPr>
          <w:rFonts w:ascii="Calibri" w:hAnsi="Calibri"/>
          <w:sz w:val="24"/>
          <w:szCs w:val="24"/>
          <w:lang w:val="en-US"/>
        </w:rPr>
        <w:t xml:space="preserve"> </w:t>
      </w:r>
      <w:r w:rsidR="00BE1D6A">
        <w:rPr>
          <w:rFonts w:ascii="Calibri" w:hAnsi="Calibri"/>
          <w:sz w:val="24"/>
          <w:szCs w:val="24"/>
          <w:lang w:val="en-US"/>
        </w:rPr>
        <w:t>in which there is no relationship between serum drug exposure (quantified in terms of average concentrations and Cmin) and the probability of breakthrough infections</w:t>
      </w:r>
      <w:r w:rsidR="006E4F96">
        <w:rPr>
          <w:rFonts w:ascii="Calibri" w:hAnsi="Calibri"/>
          <w:sz w:val="24"/>
          <w:szCs w:val="24"/>
          <w:lang w:val="en-US"/>
        </w:rPr>
        <w:t>.</w:t>
      </w:r>
      <w:r w:rsidR="006411BF">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"clpt201064 [pii] 10.1038/clpt.2010.64", "ISBN" : "1532-6535 (Electronic) 0009-9236 (Linking)", "ISSN" : "0009-9236", "PMID" : "20505665", "abstract" : "The purpose of this article is to report the exposure-response (E-R) relationship of posaconazole oral suspension (POS) for prophylaxis against invasive fungal infections (IFIs), on the basis of the US Food and Drug Administration (FDA) clinical pharmacology review of two randomized, active-controlled clinical studies. Posaconazole average steady state plasma concentrations (C(avg)) ranged from 22 to 3,650 ng/ml after administration of POS 200 mg three times daily (t.i.d.). In a double-blind, randomized clinical trial, the quartile ranges of C(avg) with midpoint values of 289, 736, 1,239, and 2,607 ng/ml had clinical failure rates of 44, 21, 18, and 18%, respectively, indicating an inverse association between C(avg) and clinical failure rate. There were no significant relationships between C(avg) and posaconazole-related major adverse events. Determining posaconazole concentrations in plasma will aid in assessing the need for either POS dose adjustment (e.g., increasing the POS dose) or switching to another systemic antifungal drug, thereby improving the effectiveness of prophylaxis against IFIs.", "author" : [ { "dropping-particle" : "", "family" : "Jang", "given" : "S H", "non-dropping-particle" : "", "parse-names" : false, "suffix" : "" }, { "dropping-particle" : "", "family" : "Colangelo", "given" : "P M", "non-dropping-particle" : "", "parse-names" : false, "suffix" : "" }, { "dropping-particle" : "", "family" : "Gobburu", "given" : "J V S", "non-dropping-particle" : "", "parse-names" : false, "suffix" : "" } ], "container-title" : "Clin Pharmacol Ther", "id" : "ITEM-1", "issue" : "1", "issued" : { "date-parts" : [ [ "2010" ] ] }, "language" : "eng", "note" : "From Duplicate 1 ( \n\nExposure-response of posaconazole used for prophylaxis against invasive fungal infections: evaluating the need to adjust doses based on drug concentrations in plasma\n\n- Jang, S H; Colangelo, P M; Gobburu, J V )\n\n\n\nJang, S H\nColangelo, P M\nGobburu, J V S\nMulticenter Study\nRandomized Controlled Trial\nUnited States\nClinical pharmacology and therapeutics\nClin Pharmacol Ther. 2010 Jul;88(1):115-9. Epub 2010 May 26.", "page" : "115-119", "publisher" : "Nature Publishing Group", "title" : "Exposure-response of posaconazole used for prophylaxis against invasive fungal infections: evaluating the need to adjust doses based on drug concentrations in plasma", "type" : "article-journal", "volume" : "88" }, "uris" : [ "http://www.mendeley.com/documents/?uuid=bcfae028-51dd-4bf6-b90e-de6774ab3de8" ] } ], "mendeley" : { "formattedCitation" : "&lt;sup&gt;25&lt;/sup&gt;", "plainTextFormattedCitation" : "25", "previouslyFormattedCitation" : "&lt;sup&gt;25&lt;/sup&gt;" }, "properties" : { "noteIndex" : 0 }, "schema" : "https://github.com/citation-style-language/schema/raw/master/csl-citation.json" }</w:instrText>
      </w:r>
      <w:r w:rsidR="006411BF">
        <w:rPr>
          <w:rFonts w:ascii="Calibri" w:hAnsi="Calibri"/>
          <w:sz w:val="24"/>
          <w:szCs w:val="24"/>
          <w:lang w:val="en-US"/>
        </w:rPr>
        <w:fldChar w:fldCharType="separate"/>
      </w:r>
      <w:r w:rsidR="00610755" w:rsidRPr="00610755">
        <w:rPr>
          <w:rFonts w:ascii="Calibri" w:hAnsi="Calibri"/>
          <w:noProof/>
          <w:sz w:val="24"/>
          <w:szCs w:val="24"/>
          <w:vertAlign w:val="superscript"/>
          <w:lang w:val="en-US"/>
        </w:rPr>
        <w:t>25</w:t>
      </w:r>
      <w:r w:rsidR="006411BF">
        <w:rPr>
          <w:rFonts w:ascii="Calibri" w:hAnsi="Calibri"/>
          <w:sz w:val="24"/>
          <w:szCs w:val="24"/>
          <w:lang w:val="en-US"/>
        </w:rPr>
        <w:fldChar w:fldCharType="end"/>
      </w:r>
      <w:proofErr w:type="gramStart"/>
      <w:r w:rsidR="00BE1D6A">
        <w:rPr>
          <w:rFonts w:ascii="Calibri" w:hAnsi="Calibri"/>
          <w:sz w:val="24"/>
          <w:szCs w:val="24"/>
          <w:lang w:val="en-US"/>
        </w:rPr>
        <w:t xml:space="preserve">  </w:t>
      </w:r>
      <w:r w:rsidR="008E08AB">
        <w:rPr>
          <w:rFonts w:ascii="Calibri" w:hAnsi="Calibri"/>
          <w:sz w:val="24"/>
          <w:szCs w:val="24"/>
          <w:lang w:val="en-US"/>
        </w:rPr>
        <w:t>In</w:t>
      </w:r>
      <w:proofErr w:type="gramEnd"/>
      <w:r w:rsidR="008E08AB">
        <w:rPr>
          <w:rFonts w:ascii="Calibri" w:hAnsi="Calibri"/>
          <w:sz w:val="24"/>
          <w:szCs w:val="24"/>
          <w:lang w:val="en-US"/>
        </w:rPr>
        <w:t xml:space="preserve"> the </w:t>
      </w:r>
      <w:r w:rsidR="00F05E50">
        <w:rPr>
          <w:rFonts w:ascii="Calibri" w:hAnsi="Calibri"/>
          <w:sz w:val="24"/>
          <w:szCs w:val="24"/>
          <w:lang w:val="en-US"/>
        </w:rPr>
        <w:t>analysis</w:t>
      </w:r>
      <w:r w:rsidR="00285545">
        <w:rPr>
          <w:rFonts w:ascii="Calibri" w:hAnsi="Calibri"/>
          <w:sz w:val="24"/>
          <w:szCs w:val="24"/>
          <w:lang w:val="en-US"/>
        </w:rPr>
        <w:t xml:space="preserve"> of Jang et al </w:t>
      </w:r>
      <w:r w:rsidR="00BE1D6A">
        <w:rPr>
          <w:rFonts w:ascii="Calibri" w:hAnsi="Calibri"/>
          <w:sz w:val="24"/>
          <w:szCs w:val="24"/>
          <w:lang w:val="en-US"/>
        </w:rPr>
        <w:t xml:space="preserve">a composite </w:t>
      </w:r>
      <w:r w:rsidR="000E2385">
        <w:rPr>
          <w:rFonts w:ascii="Calibri" w:hAnsi="Calibri"/>
          <w:sz w:val="24"/>
          <w:szCs w:val="24"/>
          <w:lang w:val="en-US"/>
        </w:rPr>
        <w:t>endpoint</w:t>
      </w:r>
      <w:r w:rsidR="00732198">
        <w:rPr>
          <w:rFonts w:ascii="Calibri" w:hAnsi="Calibri"/>
          <w:sz w:val="24"/>
          <w:szCs w:val="24"/>
          <w:lang w:val="en-US"/>
        </w:rPr>
        <w:t xml:space="preserve"> </w:t>
      </w:r>
      <w:r w:rsidR="000E2385">
        <w:rPr>
          <w:rFonts w:ascii="Calibri" w:hAnsi="Calibri"/>
          <w:sz w:val="24"/>
          <w:szCs w:val="24"/>
          <w:lang w:val="en-US"/>
        </w:rPr>
        <w:t xml:space="preserve">was used for the logistic regression modelling </w:t>
      </w:r>
      <w:r w:rsidR="0027726A">
        <w:rPr>
          <w:rFonts w:ascii="Calibri" w:hAnsi="Calibri"/>
          <w:sz w:val="24"/>
          <w:szCs w:val="24"/>
          <w:lang w:val="en-US"/>
        </w:rPr>
        <w:t xml:space="preserve">that comprised proven/probable </w:t>
      </w:r>
      <w:r w:rsidR="00020576">
        <w:rPr>
          <w:rFonts w:ascii="Calibri" w:hAnsi="Calibri"/>
          <w:sz w:val="24"/>
          <w:szCs w:val="24"/>
          <w:lang w:val="en-US"/>
        </w:rPr>
        <w:t>IFDs</w:t>
      </w:r>
      <w:r w:rsidR="0027726A">
        <w:rPr>
          <w:rFonts w:ascii="Calibri" w:hAnsi="Calibri"/>
          <w:sz w:val="24"/>
          <w:szCs w:val="24"/>
          <w:lang w:val="en-US"/>
        </w:rPr>
        <w:t>, the need to administer &gt;5 days of empiric treatment with a systemic antifungal agent</w:t>
      </w:r>
      <w:r w:rsidR="000E2385">
        <w:rPr>
          <w:rFonts w:ascii="Calibri" w:hAnsi="Calibri"/>
          <w:sz w:val="24"/>
          <w:szCs w:val="24"/>
          <w:lang w:val="en-US"/>
        </w:rPr>
        <w:t xml:space="preserve"> other than posaconazole</w:t>
      </w:r>
      <w:r w:rsidR="00D70A51">
        <w:rPr>
          <w:rFonts w:ascii="Calibri" w:hAnsi="Calibri"/>
          <w:sz w:val="24"/>
          <w:szCs w:val="24"/>
          <w:lang w:val="en-US"/>
        </w:rPr>
        <w:t>, all cause mortality, discontinuation of study drug and loss to follow-up</w:t>
      </w:r>
      <w:r w:rsidR="006E4F96">
        <w:rPr>
          <w:rFonts w:ascii="Calibri" w:hAnsi="Calibri"/>
          <w:sz w:val="24"/>
          <w:szCs w:val="24"/>
          <w:lang w:val="en-US"/>
        </w:rPr>
        <w:t>.</w:t>
      </w:r>
      <w:r w:rsidR="00A379DD">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"clpt201064 [pii] 10.1038/clpt.2010.64", "ISBN" : "1532-6535 (Electronic) 0009-9236 (Linking)", "ISSN" : "0009-9236", "PMID" : "20505665", "abstract" : "The purpose of this article is to report the exposure-response (E-R) relationship of posaconazole oral suspension (POS) for prophylaxis against invasive fungal infections (IFIs), on the basis of the US Food and Drug Administration (FDA) clinical pharmacology review of two randomized, active-controlled clinical studies. Posaconazole average steady state plasma concentrations (C(avg)) ranged from 22 to 3,650 ng/ml after administration of POS 200 mg three times daily (t.i.d.). In a double-blind, randomized clinical trial, the quartile ranges of C(avg) with midpoint values of 289, 736, 1,239, and 2,607 ng/ml had clinical failure rates of 44, 21, 18, and 18%, respectively, indicating an inverse association between C(avg) and clinical failure rate. There were no significant relationships between C(avg) and posaconazole-related major adverse events. Determining posaconazole concentrations in plasma will aid in assessing the need for either POS dose adjustment (e.g., increasing the POS dose) or switching to another systemic antifungal drug, thereby improving the effectiveness of prophylaxis against IFIs.", "author" : [ { "dropping-particle" : "", "family" : "Jang", "given" : "S H", "non-dropping-particle" : "", "parse-names" : false, "suffix" : "" }, { "dropping-particle" : "", "family" : "Colangelo", "given" : "P M", "non-dropping-particle" : "", "parse-names" : false, "suffix" : "" }, { "dropping-particle" : "", "family" : "Gobburu", "given" : "J V S", "non-dropping-particle" : "", "parse-names" : false, "suffix" : "" } ], "container-title" : "Clin Pharmacol Ther", "id" : "ITEM-1", "issue" : "1", "issued" : { "date-parts" : [ [ "2010" ] ] }, "language" : "eng", "note" : "From Duplicate 1 ( \n\nExposure-response of posaconazole used for prophylaxis against invasive fungal infections: evaluating the need to adjust doses based on drug concentrations in plasma\n\n- Jang, S H; Colangelo, P M; Gobburu, J V )\n\n\n\nJang, S H\nColangelo, P M\nGobburu, J V S\nMulticenter Study\nRandomized Controlled Trial\nUnited States\nClinical pharmacology and therapeutics\nClin Pharmacol Ther. 2010 Jul;88(1):115-9. Epub 2010 May 26.", "page" : "115-119", "publisher" : "Nature Publishing Group", "title" : "Exposure-response of posaconazole used for prophylaxis against invasive fungal infections: evaluating the need to adjust doses based on drug concentrations in plasma", "type" : "article-journal", "volume" : "88" }, "uris" : [ "http://www.mendeley.com/documents/?uuid=bcfae028-51dd-4bf6-b90e-de6774ab3de8" ] } ], "mendeley" : { "formattedCitation" : "&lt;sup&gt;25&lt;/sup&gt;", "plainTextFormattedCitation" : "25", "previouslyFormattedCitation" : "&lt;sup&gt;25&lt;/sup&gt;" }, "properties" : { "noteIndex" : 0 }, "schema" : "https://github.com/citation-style-language/schema/raw/master/csl-citation.json" }</w:instrText>
      </w:r>
      <w:r w:rsidR="00A379DD">
        <w:rPr>
          <w:rFonts w:ascii="Calibri" w:hAnsi="Calibri"/>
          <w:sz w:val="24"/>
          <w:szCs w:val="24"/>
          <w:lang w:val="en-US"/>
        </w:rPr>
        <w:fldChar w:fldCharType="separate"/>
      </w:r>
      <w:r w:rsidR="00610755" w:rsidRPr="00610755">
        <w:rPr>
          <w:rFonts w:ascii="Calibri" w:hAnsi="Calibri"/>
          <w:noProof/>
          <w:sz w:val="24"/>
          <w:szCs w:val="24"/>
          <w:vertAlign w:val="superscript"/>
          <w:lang w:val="en-US"/>
        </w:rPr>
        <w:t>25</w:t>
      </w:r>
      <w:r w:rsidR="00A379DD">
        <w:rPr>
          <w:rFonts w:ascii="Calibri" w:hAnsi="Calibri"/>
          <w:sz w:val="24"/>
          <w:szCs w:val="24"/>
          <w:lang w:val="en-US"/>
        </w:rPr>
        <w:fldChar w:fldCharType="end"/>
      </w:r>
      <w:proofErr w:type="gramStart"/>
      <w:r w:rsidR="00732198">
        <w:rPr>
          <w:rFonts w:ascii="Calibri" w:hAnsi="Calibri"/>
          <w:sz w:val="24"/>
          <w:szCs w:val="24"/>
          <w:lang w:val="en-US"/>
        </w:rPr>
        <w:t xml:space="preserve">  Despite</w:t>
      </w:r>
      <w:proofErr w:type="gramEnd"/>
      <w:r w:rsidR="00732198">
        <w:rPr>
          <w:rFonts w:ascii="Calibri" w:hAnsi="Calibri"/>
          <w:sz w:val="24"/>
          <w:szCs w:val="24"/>
          <w:lang w:val="en-US"/>
        </w:rPr>
        <w:t xml:space="preserve"> </w:t>
      </w:r>
      <w:r w:rsidR="00285545">
        <w:rPr>
          <w:rFonts w:ascii="Calibri" w:hAnsi="Calibri"/>
          <w:sz w:val="24"/>
          <w:szCs w:val="24"/>
          <w:lang w:val="en-US"/>
        </w:rPr>
        <w:t>the use of a composite endpoint and the absence of any relationship when proven/probable IFDs were used as an outcome measure</w:t>
      </w:r>
      <w:r w:rsidR="00732198">
        <w:rPr>
          <w:rFonts w:ascii="Calibri" w:hAnsi="Calibri"/>
          <w:sz w:val="24"/>
          <w:szCs w:val="24"/>
          <w:lang w:val="en-US"/>
        </w:rPr>
        <w:t xml:space="preserve">, </w:t>
      </w:r>
      <w:r w:rsidR="00802276">
        <w:rPr>
          <w:rFonts w:ascii="Calibri" w:hAnsi="Calibri"/>
          <w:sz w:val="24"/>
          <w:szCs w:val="24"/>
          <w:lang w:val="en-US"/>
        </w:rPr>
        <w:t>TDM is often advocated as an adju</w:t>
      </w:r>
      <w:r w:rsidR="006C53EB">
        <w:rPr>
          <w:rFonts w:ascii="Calibri" w:hAnsi="Calibri"/>
          <w:sz w:val="24"/>
          <w:szCs w:val="24"/>
          <w:lang w:val="en-US"/>
        </w:rPr>
        <w:t>n</w:t>
      </w:r>
      <w:r w:rsidR="00802276">
        <w:rPr>
          <w:rFonts w:ascii="Calibri" w:hAnsi="Calibri"/>
          <w:sz w:val="24"/>
          <w:szCs w:val="24"/>
          <w:lang w:val="en-US"/>
        </w:rPr>
        <w:t xml:space="preserve">ct </w:t>
      </w:r>
      <w:r w:rsidR="006C53EB">
        <w:rPr>
          <w:rFonts w:ascii="Calibri" w:hAnsi="Calibri"/>
          <w:sz w:val="24"/>
          <w:szCs w:val="24"/>
          <w:lang w:val="en-US"/>
        </w:rPr>
        <w:t>to the use of posaconazole for prophylaxis</w:t>
      </w:r>
      <w:r w:rsidR="002A5468">
        <w:rPr>
          <w:rFonts w:ascii="Calibri" w:hAnsi="Calibri"/>
          <w:sz w:val="24"/>
          <w:szCs w:val="24"/>
          <w:lang w:val="en-US"/>
        </w:rPr>
        <w:t>.</w:t>
      </w:r>
      <w:r w:rsidR="006411BF">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"10.1093/jac/dkt508", "ISBN" : "4411339226", "ISSN" : "1460-2091", "PMID" : "24379304", "abstract" : "The burden of human disease related to medically important fungal pathogens is substantial. An improved understanding of antifungal pharmacology and antifungal pharmacokinetics-pharmacodynamics has resulted in therapeutic drug monitoring (TDM) becoming a valuable adjunct to the routine administration of some antifungal agents. TDM may increase the probability of a successful outcome, prevent drug-related toxicity and potentially prevent the emergence of antifungal drug resistance. Much of the evidence that supports TDM is circumstantial. This document reviews the available literature and provides a series of recommendations for TDM of antifungal agents.", "author" : [ { "dropping-particle" : "", "family" : "Ashbee", "given" : "H Ruth", "non-dropping-particle" : "", "parse-names" : false, "suffix" : "" }, { "dropping-particle" : "", "family" : "Barnes", "given" : "Rosemary A", "non-dropping-particle" : "", "parse-names" : false, "suffix" : "" }, { "dropping-particle" : "", "family" : "Johnson", "given" : "Elizabeth M", "non-dropping-particle" : "", "parse-names" : false, "suffix" : "" }, { "dropping-particle" : "", "family" : "Richardson", "given" : "Malcolm D", "non-dropping-particle" : "", "parse-names" : false, "suffix" : "" }, { "dropping-particle" : "", "family" : "Gorton", "given" : "Rebecca", "non-dropping-particle" : "", "parse-names" : false, "suffix" : "" }, { "dropping-particle" : "", "family" : "Hope", "given" : "William W", "non-dropping-particle" : "", "parse-names" : false, "suffix" : "" } ], "container-title" : "The Journal of antimicrobial chemotherapy", "id" : "ITEM-1", "issued" : { "date-parts" : [ [ "2014" ] ] }, "page" : "1162-76", "title" : "Therapeutic drug monitoring (TDM) of antifungal agents: guidelines from the British Society for Medical Mycology.", "type" : "article-journal", "volume" : "69" }, "uris" : [ "http://www.mendeley.com/documents/?uuid=41beac2a-e948-40ac-b7e3-5a39a897e012" ] } ], "mendeley" : { "formattedCitation" : "&lt;sup&gt;15&lt;/sup&gt;", "plainTextFormattedCitation" : "15", "previouslyFormattedCitation" : "&lt;sup&gt;15&lt;/sup&gt;" }, "properties" : { "noteIndex" : 0 }, "schema" : "https://github.com/citation-style-language/schema/raw/master/csl-citation.json" }</w:instrText>
      </w:r>
      <w:r w:rsidR="006411BF">
        <w:rPr>
          <w:rFonts w:ascii="Calibri" w:hAnsi="Calibri"/>
          <w:sz w:val="24"/>
          <w:szCs w:val="24"/>
          <w:lang w:val="en-US"/>
        </w:rPr>
        <w:fldChar w:fldCharType="separate"/>
      </w:r>
      <w:r w:rsidR="00610755" w:rsidRPr="00610755">
        <w:rPr>
          <w:rFonts w:ascii="Calibri" w:hAnsi="Calibri"/>
          <w:noProof/>
          <w:sz w:val="24"/>
          <w:szCs w:val="24"/>
          <w:vertAlign w:val="superscript"/>
          <w:lang w:val="en-US"/>
        </w:rPr>
        <w:t>15</w:t>
      </w:r>
      <w:r w:rsidR="006411BF">
        <w:rPr>
          <w:rFonts w:ascii="Calibri" w:hAnsi="Calibri"/>
          <w:sz w:val="24"/>
          <w:szCs w:val="24"/>
          <w:lang w:val="en-US"/>
        </w:rPr>
        <w:fldChar w:fldCharType="end"/>
      </w:r>
    </w:p>
    <w:p w14:paraId="65F83FEF" w14:textId="517809DC" w:rsidR="00C341B6" w:rsidRDefault="00626735" w:rsidP="00F40CE9">
      <w:pPr>
        <w:ind w:firstLine="680"/>
        <w:rPr>
          <w:rFonts w:ascii="Calibri" w:hAnsi="Calibri"/>
          <w:sz w:val="24"/>
          <w:szCs w:val="24"/>
          <w:lang w:val="en-US"/>
        </w:rPr>
      </w:pPr>
      <w:r>
        <w:rPr>
          <w:rFonts w:ascii="Calibri" w:hAnsi="Calibri"/>
          <w:sz w:val="24"/>
          <w:szCs w:val="24"/>
          <w:lang w:val="en-US"/>
        </w:rPr>
        <w:lastRenderedPageBreak/>
        <w:t>The</w:t>
      </w:r>
      <w:r w:rsidR="00096B6D">
        <w:rPr>
          <w:rFonts w:ascii="Calibri" w:hAnsi="Calibri"/>
          <w:sz w:val="24"/>
          <w:szCs w:val="24"/>
          <w:lang w:val="en-US"/>
        </w:rPr>
        <w:t xml:space="preserve"> </w:t>
      </w:r>
      <w:r w:rsidR="00C341B6">
        <w:rPr>
          <w:rFonts w:ascii="Calibri" w:hAnsi="Calibri"/>
          <w:sz w:val="24"/>
          <w:szCs w:val="24"/>
          <w:lang w:val="en-US"/>
        </w:rPr>
        <w:t>negative findings</w:t>
      </w:r>
      <w:r w:rsidR="001E36CB">
        <w:rPr>
          <w:rFonts w:ascii="Calibri" w:hAnsi="Calibri"/>
          <w:sz w:val="24"/>
          <w:szCs w:val="24"/>
          <w:lang w:val="en-US"/>
        </w:rPr>
        <w:t xml:space="preserve"> </w:t>
      </w:r>
      <w:r w:rsidR="00096B6D">
        <w:rPr>
          <w:rFonts w:ascii="Calibri" w:hAnsi="Calibri"/>
          <w:sz w:val="24"/>
          <w:szCs w:val="24"/>
          <w:lang w:val="en-US"/>
        </w:rPr>
        <w:t>in this study</w:t>
      </w:r>
      <w:r>
        <w:rPr>
          <w:rFonts w:ascii="Calibri" w:hAnsi="Calibri"/>
          <w:sz w:val="24"/>
          <w:szCs w:val="24"/>
          <w:lang w:val="en-US"/>
        </w:rPr>
        <w:t xml:space="preserve"> raise several interesting points</w:t>
      </w:r>
      <w:r w:rsidR="00096B6D">
        <w:rPr>
          <w:rFonts w:ascii="Calibri" w:hAnsi="Calibri"/>
          <w:sz w:val="24"/>
          <w:szCs w:val="24"/>
          <w:lang w:val="en-US"/>
        </w:rPr>
        <w:t xml:space="preserve">.  </w:t>
      </w:r>
      <w:r>
        <w:rPr>
          <w:rFonts w:ascii="Calibri" w:hAnsi="Calibri"/>
          <w:sz w:val="24"/>
          <w:szCs w:val="24"/>
          <w:lang w:val="en-US"/>
        </w:rPr>
        <w:t>Firstly, i</w:t>
      </w:r>
      <w:r w:rsidR="00096B6D">
        <w:rPr>
          <w:rFonts w:ascii="Calibri" w:hAnsi="Calibri"/>
          <w:sz w:val="24"/>
          <w:szCs w:val="24"/>
          <w:lang w:val="en-US"/>
        </w:rPr>
        <w:t>t is well established</w:t>
      </w:r>
      <w:r w:rsidR="007D37F2">
        <w:rPr>
          <w:rFonts w:ascii="Calibri" w:hAnsi="Calibri"/>
          <w:sz w:val="24"/>
          <w:szCs w:val="24"/>
          <w:lang w:val="en-US"/>
        </w:rPr>
        <w:t xml:space="preserve"> that voriconazole is an effective agent to treat established </w:t>
      </w:r>
      <w:r w:rsidR="00AE7A49">
        <w:rPr>
          <w:rFonts w:ascii="Calibri" w:hAnsi="Calibri"/>
          <w:sz w:val="24"/>
          <w:szCs w:val="24"/>
          <w:lang w:val="en-US"/>
        </w:rPr>
        <w:t>IFDs</w:t>
      </w:r>
      <w:r w:rsidR="007D37F2">
        <w:rPr>
          <w:rFonts w:ascii="Calibri" w:hAnsi="Calibri"/>
          <w:sz w:val="24"/>
          <w:szCs w:val="24"/>
          <w:lang w:val="en-US"/>
        </w:rPr>
        <w:t xml:space="preserve">, </w:t>
      </w:r>
      <w:r w:rsidR="00096B6D">
        <w:rPr>
          <w:rFonts w:ascii="Calibri" w:hAnsi="Calibri"/>
          <w:sz w:val="24"/>
          <w:szCs w:val="24"/>
          <w:lang w:val="en-US"/>
        </w:rPr>
        <w:t xml:space="preserve">such as those caused by </w:t>
      </w:r>
      <w:r w:rsidR="00096B6D" w:rsidRPr="00096B6D">
        <w:rPr>
          <w:rFonts w:ascii="Calibri" w:hAnsi="Calibri"/>
          <w:i/>
          <w:sz w:val="24"/>
          <w:szCs w:val="24"/>
          <w:lang w:val="en-US"/>
        </w:rPr>
        <w:t>Candida</w:t>
      </w:r>
      <w:r w:rsidR="00096B6D">
        <w:rPr>
          <w:rFonts w:ascii="Calibri" w:hAnsi="Calibri"/>
          <w:sz w:val="24"/>
          <w:szCs w:val="24"/>
          <w:lang w:val="en-US"/>
        </w:rPr>
        <w:t xml:space="preserve"> spp. and </w:t>
      </w:r>
      <w:r w:rsidR="00096B6D" w:rsidRPr="00096B6D">
        <w:rPr>
          <w:rFonts w:ascii="Calibri" w:hAnsi="Calibri"/>
          <w:i/>
          <w:sz w:val="24"/>
          <w:szCs w:val="24"/>
          <w:lang w:val="en-US"/>
        </w:rPr>
        <w:t>Aspergillus</w:t>
      </w:r>
      <w:r w:rsidR="00096B6D">
        <w:rPr>
          <w:rFonts w:ascii="Calibri" w:hAnsi="Calibri"/>
          <w:sz w:val="24"/>
          <w:szCs w:val="24"/>
          <w:lang w:val="en-US"/>
        </w:rPr>
        <w:t xml:space="preserve"> spp</w:t>
      </w:r>
      <w:r w:rsidR="000A5707">
        <w:rPr>
          <w:rFonts w:ascii="Calibri" w:hAnsi="Calibri"/>
          <w:sz w:val="24"/>
          <w:szCs w:val="24"/>
          <w:lang w:val="en-US"/>
        </w:rPr>
        <w:t>.</w:t>
      </w:r>
      <w:r w:rsidR="00F57600">
        <w:rPr>
          <w:rFonts w:ascii="Calibri" w:hAnsi="Calibri"/>
          <w:sz w:val="24"/>
          <w:szCs w:val="24"/>
          <w:lang w:val="en-US"/>
        </w:rPr>
        <w:fldChar w:fldCharType="begin" w:fldLock="1"/>
      </w:r>
      <w:r w:rsidR="00610755">
        <w:rPr>
          <w:rFonts w:ascii="Calibri" w:hAnsi="Calibri"/>
          <w:sz w:val="24"/>
          <w:szCs w:val="24"/>
          <w:lang w:val="en-US"/>
        </w:rPr>
        <w:instrText>ADDIN CSL_CITATION { "citationItems" : [ { "id" : "ITEM-1", "itemData" : { "DOI" : "10.1016/j.tim.2010.02.004", "ISBN" : "1878-4380 (Electronic)\\r0966-842X (Linking)", "ISSN" : "0966842X", "PMID" : "20207544", "abstract" : "This article provides a perspective on the current status of drug therapy for invasive fungal diseases, together with priorities for the future development of novel compounds. Key opportunities for new drugs include production of orally bioavailable agents for the treatment of invasive aspergillosis, invasive candidiasis, cryptococcal meningitis and mucosal and urinary Candida infections. Orally bioavailable agents for the treatment of chronic pulmonary and allergic aspergillosis are also required, as well as new potent drugs against a range of medically important moulds. Antifungal resistance is a problem in certain contexts, but is generally less of a problem than bacterial infections. Earlier and more complete mycological diagnosis and improvements in underlying risk estimation will improve outcomes. The limitations of the current antifungal agents and opportunities for new developments are discussed. ?? 2010 Elsevier Ltd.", "author" : [ { "dropping-particle" : "", "family" : "Denning", "given" : "David W.", "non-dropping-particle" : "", "parse-names" : false, "suffix" : "" }, { "dropping-particle" : "", "family" : "Hope", "given" : "William W.", "non-dropping-particle" : "", "parse-names" : false, "suffix" : "" } ], "container-title" : "Trends in Microbiology", "id" : "ITEM-1", "issue" : "5", "issued" : { "date-parts" : [ [ "2010" ] ] }, "page" : "195-204", "title" : "Therapy for fungal diseases: Opportunities and priorities", "type" : "article-journal", "volume" : "18" }, "uris" : [ "http://www.mendeley.com/documents/?uuid=4a86236d-0e19-4356-9718-2a0d31893aa0" ] } ], "mendeley" : { "formattedCitation" : "&lt;sup&gt;1&lt;/sup&gt;", "plainTextFormattedCitation" : "1", "previouslyFormattedCitation" : "&lt;sup&gt;1&lt;/sup&gt;" }, "properties" : { "noteIndex" : 0 }, "schema" : "https://github.com/citation-style-language/schema/raw/master/csl-citation.json" }</w:instrText>
      </w:r>
      <w:r w:rsidR="00F57600">
        <w:rPr>
          <w:rFonts w:ascii="Calibri" w:hAnsi="Calibri"/>
          <w:sz w:val="24"/>
          <w:szCs w:val="24"/>
          <w:lang w:val="en-US"/>
        </w:rPr>
        <w:fldChar w:fldCharType="separate"/>
      </w:r>
      <w:r w:rsidR="00610755" w:rsidRPr="00610755">
        <w:rPr>
          <w:rFonts w:ascii="Calibri" w:hAnsi="Calibri"/>
          <w:noProof/>
          <w:sz w:val="24"/>
          <w:szCs w:val="24"/>
          <w:vertAlign w:val="superscript"/>
          <w:lang w:val="en-US"/>
        </w:rPr>
        <w:t>1</w:t>
      </w:r>
      <w:r w:rsidR="00F57600">
        <w:rPr>
          <w:rFonts w:ascii="Calibri" w:hAnsi="Calibri"/>
          <w:sz w:val="24"/>
          <w:szCs w:val="24"/>
          <w:lang w:val="en-US"/>
        </w:rPr>
        <w:fldChar w:fldCharType="end"/>
      </w:r>
      <w:proofErr w:type="gramStart"/>
      <w:r w:rsidR="00096B6D">
        <w:rPr>
          <w:rFonts w:ascii="Calibri" w:hAnsi="Calibri"/>
          <w:sz w:val="24"/>
          <w:szCs w:val="24"/>
          <w:lang w:val="en-US"/>
        </w:rPr>
        <w:t xml:space="preserve"> </w:t>
      </w:r>
      <w:r w:rsidR="007231E5">
        <w:rPr>
          <w:rFonts w:ascii="Calibri" w:hAnsi="Calibri"/>
          <w:sz w:val="24"/>
          <w:szCs w:val="24"/>
          <w:lang w:val="en-US"/>
        </w:rPr>
        <w:t xml:space="preserve"> </w:t>
      </w:r>
      <w:proofErr w:type="gramEnd"/>
      <w:r w:rsidR="00985672">
        <w:rPr>
          <w:rFonts w:ascii="Calibri" w:hAnsi="Calibri"/>
          <w:sz w:val="24"/>
          <w:szCs w:val="24"/>
          <w:lang w:val="en-US"/>
        </w:rPr>
        <w:t xml:space="preserve">Conceivably, there are a number of </w:t>
      </w:r>
      <w:r w:rsidR="005308FB">
        <w:rPr>
          <w:rFonts w:ascii="Calibri" w:hAnsi="Calibri"/>
          <w:sz w:val="24"/>
          <w:szCs w:val="24"/>
          <w:lang w:val="en-US"/>
        </w:rPr>
        <w:t xml:space="preserve">idiosyncrasies </w:t>
      </w:r>
      <w:r w:rsidR="000A19DB">
        <w:rPr>
          <w:rFonts w:ascii="Calibri" w:hAnsi="Calibri"/>
          <w:sz w:val="24"/>
          <w:szCs w:val="24"/>
          <w:lang w:val="en-US"/>
        </w:rPr>
        <w:t xml:space="preserve">that could have an impact of the efficacy of an agent when used </w:t>
      </w:r>
      <w:r w:rsidR="00955461">
        <w:rPr>
          <w:rFonts w:ascii="Calibri" w:hAnsi="Calibri"/>
          <w:sz w:val="24"/>
          <w:szCs w:val="24"/>
          <w:lang w:val="en-US"/>
        </w:rPr>
        <w:t>for</w:t>
      </w:r>
      <w:r w:rsidR="000A19DB">
        <w:rPr>
          <w:rFonts w:ascii="Calibri" w:hAnsi="Calibri"/>
          <w:sz w:val="24"/>
          <w:szCs w:val="24"/>
          <w:lang w:val="en-US"/>
        </w:rPr>
        <w:t xml:space="preserve"> prophylaxis versus when </w:t>
      </w:r>
      <w:r w:rsidR="00F57600">
        <w:rPr>
          <w:rFonts w:ascii="Calibri" w:hAnsi="Calibri"/>
          <w:sz w:val="24"/>
          <w:szCs w:val="24"/>
          <w:lang w:val="en-US"/>
        </w:rPr>
        <w:t xml:space="preserve">it is </w:t>
      </w:r>
      <w:r w:rsidR="000A19DB">
        <w:rPr>
          <w:rFonts w:ascii="Calibri" w:hAnsi="Calibri"/>
          <w:sz w:val="24"/>
          <w:szCs w:val="24"/>
          <w:lang w:val="en-US"/>
        </w:rPr>
        <w:t xml:space="preserve">used to treat established disease (e.g. time to </w:t>
      </w:r>
      <w:r w:rsidR="007E671A">
        <w:rPr>
          <w:rFonts w:ascii="Calibri" w:hAnsi="Calibri"/>
          <w:sz w:val="24"/>
          <w:szCs w:val="24"/>
          <w:lang w:val="en-US"/>
        </w:rPr>
        <w:t xml:space="preserve">generate protective concentrations </w:t>
      </w:r>
      <w:r w:rsidR="001B616C">
        <w:rPr>
          <w:rFonts w:ascii="Calibri" w:hAnsi="Calibri"/>
          <w:sz w:val="24"/>
          <w:szCs w:val="24"/>
          <w:lang w:val="en-US"/>
        </w:rPr>
        <w:t>at the initial site of infection, parti</w:t>
      </w:r>
      <w:r w:rsidR="00D34968">
        <w:rPr>
          <w:rFonts w:ascii="Calibri" w:hAnsi="Calibri"/>
          <w:sz w:val="24"/>
          <w:szCs w:val="24"/>
          <w:lang w:val="en-US"/>
        </w:rPr>
        <w:t>ti</w:t>
      </w:r>
      <w:r w:rsidR="001B616C">
        <w:rPr>
          <w:rFonts w:ascii="Calibri" w:hAnsi="Calibri"/>
          <w:sz w:val="24"/>
          <w:szCs w:val="24"/>
          <w:lang w:val="en-US"/>
        </w:rPr>
        <w:t xml:space="preserve">oning </w:t>
      </w:r>
      <w:r w:rsidR="00D34968">
        <w:rPr>
          <w:rFonts w:ascii="Calibri" w:hAnsi="Calibri"/>
          <w:sz w:val="24"/>
          <w:szCs w:val="24"/>
          <w:lang w:val="en-US"/>
        </w:rPr>
        <w:t>into relevant tissue and cellular sub</w:t>
      </w:r>
      <w:r w:rsidR="00F57600">
        <w:rPr>
          <w:rFonts w:ascii="Calibri" w:hAnsi="Calibri"/>
          <w:sz w:val="24"/>
          <w:szCs w:val="24"/>
          <w:lang w:val="en-US"/>
        </w:rPr>
        <w:t>-</w:t>
      </w:r>
      <w:r w:rsidR="00D34968">
        <w:rPr>
          <w:rFonts w:ascii="Calibri" w:hAnsi="Calibri"/>
          <w:sz w:val="24"/>
          <w:szCs w:val="24"/>
          <w:lang w:val="en-US"/>
        </w:rPr>
        <w:t>compartments</w:t>
      </w:r>
      <w:r w:rsidR="000A5707">
        <w:rPr>
          <w:rFonts w:ascii="Calibri" w:hAnsi="Calibri"/>
          <w:sz w:val="24"/>
          <w:szCs w:val="24"/>
          <w:lang w:val="en-US"/>
        </w:rPr>
        <w:t xml:space="preserve"> that are </w:t>
      </w:r>
      <w:r w:rsidR="003B686C">
        <w:rPr>
          <w:rFonts w:ascii="Calibri" w:hAnsi="Calibri"/>
          <w:sz w:val="24"/>
          <w:szCs w:val="24"/>
          <w:lang w:val="en-US"/>
        </w:rPr>
        <w:t>relevant</w:t>
      </w:r>
      <w:r w:rsidR="000A5707">
        <w:rPr>
          <w:rFonts w:ascii="Calibri" w:hAnsi="Calibri"/>
          <w:sz w:val="24"/>
          <w:szCs w:val="24"/>
          <w:lang w:val="en-US"/>
        </w:rPr>
        <w:t xml:space="preserve"> in early phases of</w:t>
      </w:r>
      <w:r w:rsidR="0028074E">
        <w:rPr>
          <w:rFonts w:ascii="Calibri" w:hAnsi="Calibri"/>
          <w:sz w:val="24"/>
          <w:szCs w:val="24"/>
          <w:lang w:val="en-US"/>
        </w:rPr>
        <w:t xml:space="preserve"> fungal </w:t>
      </w:r>
      <w:r w:rsidR="000A5707">
        <w:rPr>
          <w:rFonts w:ascii="Calibri" w:hAnsi="Calibri"/>
          <w:sz w:val="24"/>
          <w:szCs w:val="24"/>
          <w:lang w:val="en-US"/>
        </w:rPr>
        <w:t>infection</w:t>
      </w:r>
      <w:r w:rsidR="007E671A">
        <w:rPr>
          <w:rFonts w:ascii="Calibri" w:hAnsi="Calibri"/>
          <w:sz w:val="24"/>
          <w:szCs w:val="24"/>
          <w:lang w:val="en-US"/>
        </w:rPr>
        <w:t>)</w:t>
      </w:r>
      <w:r w:rsidR="00ED4655">
        <w:rPr>
          <w:rFonts w:ascii="Calibri" w:hAnsi="Calibri"/>
          <w:sz w:val="24"/>
          <w:szCs w:val="24"/>
          <w:lang w:val="en-US"/>
        </w:rPr>
        <w:t>.</w:t>
      </w:r>
      <w:r w:rsidR="007E671A">
        <w:rPr>
          <w:rFonts w:ascii="Calibri" w:hAnsi="Calibri"/>
          <w:sz w:val="24"/>
          <w:szCs w:val="24"/>
          <w:lang w:val="en-US"/>
        </w:rPr>
        <w:t xml:space="preserve">  </w:t>
      </w:r>
      <w:r w:rsidR="002D566B">
        <w:rPr>
          <w:rFonts w:ascii="Calibri" w:hAnsi="Calibri"/>
          <w:sz w:val="24"/>
          <w:szCs w:val="24"/>
          <w:lang w:val="en-US"/>
        </w:rPr>
        <w:t xml:space="preserve">The clinical trial </w:t>
      </w:r>
      <w:r w:rsidR="00096B6D">
        <w:rPr>
          <w:rFonts w:ascii="Calibri" w:hAnsi="Calibri"/>
          <w:sz w:val="24"/>
          <w:szCs w:val="24"/>
          <w:lang w:val="en-US"/>
        </w:rPr>
        <w:t xml:space="preserve">of Wingard </w:t>
      </w:r>
      <w:r w:rsidR="00096B6D" w:rsidRPr="00E35A47">
        <w:rPr>
          <w:rFonts w:ascii="Calibri" w:hAnsi="Calibri"/>
          <w:i/>
          <w:sz w:val="24"/>
          <w:szCs w:val="24"/>
          <w:lang w:val="en-US"/>
        </w:rPr>
        <w:t xml:space="preserve">et al </w:t>
      </w:r>
      <w:r w:rsidR="002D566B">
        <w:rPr>
          <w:rFonts w:ascii="Calibri" w:hAnsi="Calibri"/>
          <w:sz w:val="24"/>
          <w:szCs w:val="24"/>
          <w:lang w:val="en-US"/>
        </w:rPr>
        <w:t>suggests that the use of voriconazole</w:t>
      </w:r>
      <w:r w:rsidR="007D37F2">
        <w:rPr>
          <w:rFonts w:ascii="Calibri" w:hAnsi="Calibri"/>
          <w:sz w:val="24"/>
          <w:szCs w:val="24"/>
          <w:lang w:val="en-US"/>
        </w:rPr>
        <w:t xml:space="preserve"> is </w:t>
      </w:r>
      <w:r w:rsidR="002D566B">
        <w:rPr>
          <w:rFonts w:ascii="Calibri" w:hAnsi="Calibri"/>
          <w:sz w:val="24"/>
          <w:szCs w:val="24"/>
          <w:lang w:val="en-US"/>
        </w:rPr>
        <w:t xml:space="preserve">at least non-inferior to </w:t>
      </w:r>
      <w:r w:rsidR="007E671A">
        <w:rPr>
          <w:rFonts w:ascii="Calibri" w:hAnsi="Calibri"/>
          <w:sz w:val="24"/>
          <w:szCs w:val="24"/>
          <w:lang w:val="en-US"/>
        </w:rPr>
        <w:t xml:space="preserve">a </w:t>
      </w:r>
      <w:r w:rsidR="002D566B">
        <w:rPr>
          <w:rFonts w:ascii="Calibri" w:hAnsi="Calibri"/>
          <w:sz w:val="24"/>
          <w:szCs w:val="24"/>
          <w:lang w:val="en-US"/>
        </w:rPr>
        <w:t>standard-of-</w:t>
      </w:r>
      <w:r w:rsidR="007D37F2">
        <w:rPr>
          <w:rFonts w:ascii="Calibri" w:hAnsi="Calibri"/>
          <w:sz w:val="24"/>
          <w:szCs w:val="24"/>
          <w:lang w:val="en-US"/>
        </w:rPr>
        <w:t>car</w:t>
      </w:r>
      <w:r w:rsidR="00B7142A">
        <w:rPr>
          <w:rFonts w:ascii="Calibri" w:hAnsi="Calibri"/>
          <w:sz w:val="24"/>
          <w:szCs w:val="24"/>
          <w:lang w:val="en-US"/>
        </w:rPr>
        <w:t>e</w:t>
      </w:r>
      <w:r w:rsidR="002D566B">
        <w:rPr>
          <w:rFonts w:ascii="Calibri" w:hAnsi="Calibri"/>
          <w:sz w:val="24"/>
          <w:szCs w:val="24"/>
          <w:lang w:val="en-US"/>
        </w:rPr>
        <w:t xml:space="preserve"> (fluconazole)</w:t>
      </w:r>
      <w:r w:rsidR="00B7142A">
        <w:rPr>
          <w:rFonts w:ascii="Calibri" w:hAnsi="Calibri"/>
          <w:sz w:val="24"/>
          <w:szCs w:val="24"/>
          <w:lang w:val="en-US"/>
        </w:rPr>
        <w:t xml:space="preserve">, although </w:t>
      </w:r>
      <w:r w:rsidR="002D566B">
        <w:rPr>
          <w:rFonts w:ascii="Calibri" w:hAnsi="Calibri"/>
          <w:sz w:val="24"/>
          <w:szCs w:val="24"/>
          <w:lang w:val="en-US"/>
        </w:rPr>
        <w:t>its</w:t>
      </w:r>
      <w:r w:rsidR="007D37F2">
        <w:rPr>
          <w:rFonts w:ascii="Calibri" w:hAnsi="Calibri"/>
          <w:sz w:val="24"/>
          <w:szCs w:val="24"/>
          <w:lang w:val="en-US"/>
        </w:rPr>
        <w:t xml:space="preserve"> absolute benefit </w:t>
      </w:r>
      <w:r w:rsidR="00096B6D">
        <w:rPr>
          <w:rFonts w:ascii="Calibri" w:hAnsi="Calibri"/>
          <w:sz w:val="24"/>
          <w:szCs w:val="24"/>
          <w:lang w:val="en-US"/>
        </w:rPr>
        <w:t>in terms of preventing IF</w:t>
      </w:r>
      <w:r w:rsidR="00550DD4">
        <w:rPr>
          <w:rFonts w:ascii="Calibri" w:hAnsi="Calibri"/>
          <w:sz w:val="24"/>
          <w:szCs w:val="24"/>
          <w:lang w:val="en-US"/>
        </w:rPr>
        <w:t>D</w:t>
      </w:r>
      <w:r w:rsidR="00096B6D">
        <w:rPr>
          <w:rFonts w:ascii="Calibri" w:hAnsi="Calibri"/>
          <w:sz w:val="24"/>
          <w:szCs w:val="24"/>
          <w:lang w:val="en-US"/>
        </w:rPr>
        <w:t xml:space="preserve">s </w:t>
      </w:r>
      <w:r w:rsidR="00AC202E">
        <w:rPr>
          <w:rFonts w:ascii="Calibri" w:hAnsi="Calibri"/>
          <w:sz w:val="24"/>
          <w:szCs w:val="24"/>
          <w:lang w:val="en-US"/>
        </w:rPr>
        <w:t xml:space="preserve">cannot be quantified </w:t>
      </w:r>
      <w:r w:rsidR="007D37F2">
        <w:rPr>
          <w:rFonts w:ascii="Calibri" w:hAnsi="Calibri"/>
          <w:sz w:val="24"/>
          <w:szCs w:val="24"/>
          <w:lang w:val="en-US"/>
        </w:rPr>
        <w:t xml:space="preserve">because voriconazole has not </w:t>
      </w:r>
      <w:r w:rsidR="00261CBA">
        <w:rPr>
          <w:rFonts w:ascii="Calibri" w:hAnsi="Calibri"/>
          <w:sz w:val="24"/>
          <w:szCs w:val="24"/>
          <w:lang w:val="en-US"/>
        </w:rPr>
        <w:t xml:space="preserve">been </w:t>
      </w:r>
      <w:r w:rsidR="003B686C">
        <w:rPr>
          <w:rFonts w:ascii="Calibri" w:hAnsi="Calibri"/>
          <w:sz w:val="24"/>
          <w:szCs w:val="24"/>
          <w:lang w:val="en-US"/>
        </w:rPr>
        <w:t>(</w:t>
      </w:r>
      <w:r w:rsidR="007E671A">
        <w:rPr>
          <w:rFonts w:ascii="Calibri" w:hAnsi="Calibri"/>
          <w:sz w:val="24"/>
          <w:szCs w:val="24"/>
          <w:lang w:val="en-US"/>
        </w:rPr>
        <w:t xml:space="preserve">and never will </w:t>
      </w:r>
      <w:r w:rsidR="007D37F2">
        <w:rPr>
          <w:rFonts w:ascii="Calibri" w:hAnsi="Calibri"/>
          <w:sz w:val="24"/>
          <w:szCs w:val="24"/>
          <w:lang w:val="en-US"/>
        </w:rPr>
        <w:t>be</w:t>
      </w:r>
      <w:r w:rsidR="003B686C">
        <w:rPr>
          <w:rFonts w:ascii="Calibri" w:hAnsi="Calibri"/>
          <w:sz w:val="24"/>
          <w:szCs w:val="24"/>
          <w:lang w:val="en-US"/>
        </w:rPr>
        <w:t>)</w:t>
      </w:r>
      <w:r w:rsidR="007D37F2">
        <w:rPr>
          <w:rFonts w:ascii="Calibri" w:hAnsi="Calibri"/>
          <w:sz w:val="24"/>
          <w:szCs w:val="24"/>
          <w:lang w:val="en-US"/>
        </w:rPr>
        <w:t xml:space="preserve"> compared with placebo.  </w:t>
      </w:r>
      <w:r w:rsidR="007A0978">
        <w:rPr>
          <w:rFonts w:ascii="Calibri" w:hAnsi="Calibri"/>
          <w:sz w:val="24"/>
          <w:szCs w:val="24"/>
          <w:lang w:val="en-US"/>
        </w:rPr>
        <w:t>If an assumption is made that voriconazole prevents at least a proportion of IF</w:t>
      </w:r>
      <w:r w:rsidR="001C1CED">
        <w:rPr>
          <w:rFonts w:ascii="Calibri" w:hAnsi="Calibri"/>
          <w:sz w:val="24"/>
          <w:szCs w:val="24"/>
          <w:lang w:val="en-US"/>
        </w:rPr>
        <w:t>D</w:t>
      </w:r>
      <w:r w:rsidR="007A0978">
        <w:rPr>
          <w:rFonts w:ascii="Calibri" w:hAnsi="Calibri"/>
          <w:sz w:val="24"/>
          <w:szCs w:val="24"/>
          <w:lang w:val="en-US"/>
        </w:rPr>
        <w:t>s t</w:t>
      </w:r>
      <w:r w:rsidR="007D37F2">
        <w:rPr>
          <w:rFonts w:ascii="Calibri" w:hAnsi="Calibri"/>
          <w:sz w:val="24"/>
          <w:szCs w:val="24"/>
          <w:lang w:val="en-US"/>
        </w:rPr>
        <w:t xml:space="preserve">here must be exposure response relationships </w:t>
      </w:r>
      <w:r w:rsidR="0002222A">
        <w:rPr>
          <w:rFonts w:ascii="Calibri" w:hAnsi="Calibri"/>
          <w:sz w:val="24"/>
          <w:szCs w:val="24"/>
          <w:lang w:val="en-US"/>
        </w:rPr>
        <w:t xml:space="preserve">that are operational </w:t>
      </w:r>
      <w:r w:rsidR="007D37F2">
        <w:rPr>
          <w:rFonts w:ascii="Calibri" w:hAnsi="Calibri"/>
          <w:sz w:val="24"/>
          <w:szCs w:val="24"/>
          <w:lang w:val="en-US"/>
        </w:rPr>
        <w:t>at least at some level</w:t>
      </w:r>
      <w:r w:rsidR="00261CBA">
        <w:rPr>
          <w:rFonts w:ascii="Calibri" w:hAnsi="Calibri"/>
          <w:sz w:val="24"/>
          <w:szCs w:val="24"/>
          <w:lang w:val="en-US"/>
        </w:rPr>
        <w:t xml:space="preserve"> for the patient groups of interest</w:t>
      </w:r>
      <w:r w:rsidR="007D37F2">
        <w:rPr>
          <w:rFonts w:ascii="Calibri" w:hAnsi="Calibri"/>
          <w:sz w:val="24"/>
          <w:szCs w:val="24"/>
          <w:lang w:val="en-US"/>
        </w:rPr>
        <w:t>.  Nevertheless</w:t>
      </w:r>
      <w:r w:rsidR="0002222A">
        <w:rPr>
          <w:rFonts w:ascii="Calibri" w:hAnsi="Calibri"/>
          <w:sz w:val="24"/>
          <w:szCs w:val="24"/>
          <w:lang w:val="en-US"/>
        </w:rPr>
        <w:t>, these relationships</w:t>
      </w:r>
      <w:r w:rsidR="007D37F2">
        <w:rPr>
          <w:rFonts w:ascii="Calibri" w:hAnsi="Calibri"/>
          <w:sz w:val="24"/>
          <w:szCs w:val="24"/>
          <w:lang w:val="en-US"/>
        </w:rPr>
        <w:t xml:space="preserve"> </w:t>
      </w:r>
      <w:r w:rsidR="0002222A">
        <w:rPr>
          <w:rFonts w:ascii="Calibri" w:hAnsi="Calibri"/>
          <w:sz w:val="24"/>
          <w:szCs w:val="24"/>
          <w:lang w:val="en-US"/>
        </w:rPr>
        <w:t>are</w:t>
      </w:r>
      <w:r w:rsidR="007D37F2">
        <w:rPr>
          <w:rFonts w:ascii="Calibri" w:hAnsi="Calibri"/>
          <w:sz w:val="24"/>
          <w:szCs w:val="24"/>
          <w:lang w:val="en-US"/>
        </w:rPr>
        <w:t xml:space="preserve"> not immediately apparent in this stud</w:t>
      </w:r>
      <w:r w:rsidR="0002222A">
        <w:rPr>
          <w:rFonts w:ascii="Calibri" w:hAnsi="Calibri"/>
          <w:sz w:val="24"/>
          <w:szCs w:val="24"/>
          <w:lang w:val="en-US"/>
        </w:rPr>
        <w:t>y</w:t>
      </w:r>
      <w:r w:rsidR="00261CBA">
        <w:rPr>
          <w:rFonts w:ascii="Calibri" w:hAnsi="Calibri"/>
          <w:sz w:val="24"/>
          <w:szCs w:val="24"/>
          <w:lang w:val="en-US"/>
        </w:rPr>
        <w:t xml:space="preserve"> despite our sample size of 187 patients included in the population PK</w:t>
      </w:r>
      <w:r w:rsidR="00550DD4">
        <w:rPr>
          <w:rFonts w:ascii="Calibri" w:hAnsi="Calibri"/>
          <w:sz w:val="24"/>
          <w:szCs w:val="24"/>
          <w:lang w:val="en-US"/>
        </w:rPr>
        <w:t>-</w:t>
      </w:r>
      <w:r w:rsidR="00261CBA">
        <w:rPr>
          <w:rFonts w:ascii="Calibri" w:hAnsi="Calibri"/>
          <w:sz w:val="24"/>
          <w:szCs w:val="24"/>
          <w:lang w:val="en-US"/>
        </w:rPr>
        <w:t>PD analysis</w:t>
      </w:r>
      <w:r w:rsidR="0002222A">
        <w:rPr>
          <w:rFonts w:ascii="Calibri" w:hAnsi="Calibri"/>
          <w:sz w:val="24"/>
          <w:szCs w:val="24"/>
          <w:lang w:val="en-US"/>
        </w:rPr>
        <w:t>.  T</w:t>
      </w:r>
      <w:r w:rsidR="007D37F2">
        <w:rPr>
          <w:rFonts w:ascii="Calibri" w:hAnsi="Calibri"/>
          <w:sz w:val="24"/>
          <w:szCs w:val="24"/>
          <w:lang w:val="en-US"/>
        </w:rPr>
        <w:t>he potential reason</w:t>
      </w:r>
      <w:r w:rsidR="00974C7E">
        <w:rPr>
          <w:rFonts w:ascii="Calibri" w:hAnsi="Calibri"/>
          <w:sz w:val="24"/>
          <w:szCs w:val="24"/>
          <w:lang w:val="en-US"/>
        </w:rPr>
        <w:t>(s)</w:t>
      </w:r>
      <w:r w:rsidR="007D37F2">
        <w:rPr>
          <w:rFonts w:ascii="Calibri" w:hAnsi="Calibri"/>
          <w:sz w:val="24"/>
          <w:szCs w:val="24"/>
          <w:lang w:val="en-US"/>
        </w:rPr>
        <w:t xml:space="preserve"> for this include</w:t>
      </w:r>
      <w:r w:rsidR="00974C7E">
        <w:rPr>
          <w:rFonts w:ascii="Calibri" w:hAnsi="Calibri"/>
          <w:sz w:val="24"/>
          <w:szCs w:val="24"/>
          <w:lang w:val="en-US"/>
        </w:rPr>
        <w:t>(</w:t>
      </w:r>
      <w:r w:rsidR="007D37F2">
        <w:rPr>
          <w:rFonts w:ascii="Calibri" w:hAnsi="Calibri"/>
          <w:sz w:val="24"/>
          <w:szCs w:val="24"/>
          <w:lang w:val="en-US"/>
        </w:rPr>
        <w:t>s</w:t>
      </w:r>
      <w:r w:rsidR="00974C7E">
        <w:rPr>
          <w:rFonts w:ascii="Calibri" w:hAnsi="Calibri"/>
          <w:sz w:val="24"/>
          <w:szCs w:val="24"/>
          <w:lang w:val="en-US"/>
        </w:rPr>
        <w:t>)</w:t>
      </w:r>
      <w:r w:rsidR="0002222A">
        <w:rPr>
          <w:rFonts w:ascii="Calibri" w:hAnsi="Calibri"/>
          <w:sz w:val="24"/>
          <w:szCs w:val="24"/>
          <w:lang w:val="en-US"/>
        </w:rPr>
        <w:t xml:space="preserve"> one or more of the following</w:t>
      </w:r>
      <w:r w:rsidR="007D37F2">
        <w:rPr>
          <w:rFonts w:ascii="Calibri" w:hAnsi="Calibri"/>
          <w:sz w:val="24"/>
          <w:szCs w:val="24"/>
          <w:lang w:val="en-US"/>
        </w:rPr>
        <w:t xml:space="preserve">: (1) </w:t>
      </w:r>
      <w:r w:rsidR="0002222A">
        <w:rPr>
          <w:rFonts w:ascii="Calibri" w:hAnsi="Calibri"/>
          <w:sz w:val="24"/>
          <w:szCs w:val="24"/>
          <w:lang w:val="en-US"/>
        </w:rPr>
        <w:t xml:space="preserve">a dosage of voriconazole 200 mg </w:t>
      </w:r>
      <w:r w:rsidR="00053781">
        <w:rPr>
          <w:rFonts w:ascii="Calibri" w:hAnsi="Calibri"/>
          <w:sz w:val="24"/>
          <w:szCs w:val="24"/>
          <w:lang w:val="en-US"/>
        </w:rPr>
        <w:t>q12h</w:t>
      </w:r>
      <w:r w:rsidR="0002222A">
        <w:rPr>
          <w:rFonts w:ascii="Calibri" w:hAnsi="Calibri"/>
          <w:sz w:val="24"/>
          <w:szCs w:val="24"/>
          <w:lang w:val="en-US"/>
        </w:rPr>
        <w:t xml:space="preserve"> (i.v. or oral) results in drug exposure </w:t>
      </w:r>
      <w:r w:rsidR="007D37F2">
        <w:rPr>
          <w:rFonts w:ascii="Calibri" w:hAnsi="Calibri"/>
          <w:sz w:val="24"/>
          <w:szCs w:val="24"/>
          <w:lang w:val="en-US"/>
        </w:rPr>
        <w:t xml:space="preserve">that </w:t>
      </w:r>
      <w:r w:rsidR="0002222A">
        <w:rPr>
          <w:rFonts w:ascii="Calibri" w:hAnsi="Calibri"/>
          <w:sz w:val="24"/>
          <w:szCs w:val="24"/>
          <w:lang w:val="en-US"/>
        </w:rPr>
        <w:t>induces</w:t>
      </w:r>
      <w:r w:rsidR="007D37F2">
        <w:rPr>
          <w:rFonts w:ascii="Calibri" w:hAnsi="Calibri"/>
          <w:sz w:val="24"/>
          <w:szCs w:val="24"/>
          <w:lang w:val="en-US"/>
        </w:rPr>
        <w:t xml:space="preserve"> near-maximal antifungal activity</w:t>
      </w:r>
      <w:r w:rsidR="007B18B9">
        <w:rPr>
          <w:rFonts w:ascii="Calibri" w:hAnsi="Calibri"/>
          <w:sz w:val="24"/>
          <w:szCs w:val="24"/>
          <w:lang w:val="en-US"/>
        </w:rPr>
        <w:t xml:space="preserve"> and </w:t>
      </w:r>
      <w:r w:rsidR="00550DD4">
        <w:rPr>
          <w:rFonts w:ascii="Calibri" w:hAnsi="Calibri"/>
          <w:sz w:val="24"/>
          <w:szCs w:val="24"/>
          <w:lang w:val="en-US"/>
        </w:rPr>
        <w:t xml:space="preserve">is </w:t>
      </w:r>
      <w:r w:rsidR="00836EBB">
        <w:rPr>
          <w:rFonts w:ascii="Calibri" w:hAnsi="Calibri"/>
          <w:sz w:val="24"/>
          <w:szCs w:val="24"/>
          <w:lang w:val="en-US"/>
        </w:rPr>
        <w:t xml:space="preserve">also completely effective for </w:t>
      </w:r>
      <w:r w:rsidR="007B18B9">
        <w:rPr>
          <w:rFonts w:ascii="Calibri" w:hAnsi="Calibri"/>
          <w:sz w:val="24"/>
          <w:szCs w:val="24"/>
          <w:lang w:val="en-US"/>
        </w:rPr>
        <w:t>prophylaxis</w:t>
      </w:r>
      <w:r w:rsidR="00096B6D">
        <w:rPr>
          <w:rFonts w:ascii="Calibri" w:hAnsi="Calibri"/>
          <w:sz w:val="24"/>
          <w:szCs w:val="24"/>
          <w:lang w:val="en-US"/>
        </w:rPr>
        <w:t xml:space="preserve">.  There are too few concentration-dependent therapeutic failures to </w:t>
      </w:r>
      <w:r w:rsidR="006E7349">
        <w:rPr>
          <w:rFonts w:ascii="Calibri" w:hAnsi="Calibri"/>
          <w:sz w:val="24"/>
          <w:szCs w:val="24"/>
          <w:lang w:val="en-US"/>
        </w:rPr>
        <w:t>enable</w:t>
      </w:r>
      <w:r w:rsidR="00974C7E">
        <w:rPr>
          <w:rFonts w:ascii="Calibri" w:hAnsi="Calibri"/>
          <w:sz w:val="24"/>
          <w:szCs w:val="24"/>
          <w:lang w:val="en-US"/>
        </w:rPr>
        <w:t xml:space="preserve"> </w:t>
      </w:r>
      <w:r w:rsidR="00096B6D">
        <w:rPr>
          <w:rFonts w:ascii="Calibri" w:hAnsi="Calibri"/>
          <w:sz w:val="24"/>
          <w:szCs w:val="24"/>
          <w:lang w:val="en-US"/>
        </w:rPr>
        <w:t>a</w:t>
      </w:r>
      <w:r w:rsidR="00C32D32">
        <w:rPr>
          <w:rFonts w:ascii="Calibri" w:hAnsi="Calibri"/>
          <w:sz w:val="24"/>
          <w:szCs w:val="24"/>
          <w:lang w:val="en-US"/>
        </w:rPr>
        <w:t>ny</w:t>
      </w:r>
      <w:r w:rsidR="00096B6D">
        <w:rPr>
          <w:rFonts w:ascii="Calibri" w:hAnsi="Calibri"/>
          <w:sz w:val="24"/>
          <w:szCs w:val="24"/>
          <w:lang w:val="en-US"/>
        </w:rPr>
        <w:t xml:space="preserve"> cut-off value</w:t>
      </w:r>
      <w:r w:rsidR="00974C7E">
        <w:rPr>
          <w:rFonts w:ascii="Calibri" w:hAnsi="Calibri"/>
          <w:sz w:val="24"/>
          <w:szCs w:val="24"/>
          <w:lang w:val="en-US"/>
        </w:rPr>
        <w:t xml:space="preserve"> </w:t>
      </w:r>
      <w:r w:rsidR="006E7349">
        <w:rPr>
          <w:rFonts w:ascii="Calibri" w:hAnsi="Calibri"/>
          <w:sz w:val="24"/>
          <w:szCs w:val="24"/>
          <w:lang w:val="en-US"/>
        </w:rPr>
        <w:t>to be observed</w:t>
      </w:r>
      <w:r w:rsidR="007D37F2">
        <w:rPr>
          <w:rFonts w:ascii="Calibri" w:hAnsi="Calibri"/>
          <w:sz w:val="24"/>
          <w:szCs w:val="24"/>
          <w:lang w:val="en-US"/>
        </w:rPr>
        <w:t xml:space="preserve">; (2) </w:t>
      </w:r>
      <w:r w:rsidR="006E7349">
        <w:rPr>
          <w:rFonts w:ascii="Calibri" w:hAnsi="Calibri"/>
          <w:sz w:val="24"/>
          <w:szCs w:val="24"/>
          <w:lang w:val="en-US"/>
        </w:rPr>
        <w:t xml:space="preserve">the </w:t>
      </w:r>
      <w:r w:rsidR="007D37F2">
        <w:rPr>
          <w:rFonts w:ascii="Calibri" w:hAnsi="Calibri"/>
          <w:sz w:val="24"/>
          <w:szCs w:val="24"/>
          <w:lang w:val="en-US"/>
        </w:rPr>
        <w:t xml:space="preserve">number of </w:t>
      </w:r>
      <w:r w:rsidR="008A11F8">
        <w:rPr>
          <w:rFonts w:ascii="Calibri" w:hAnsi="Calibri"/>
          <w:sz w:val="24"/>
          <w:szCs w:val="24"/>
          <w:lang w:val="en-US"/>
        </w:rPr>
        <w:t xml:space="preserve">IFDs </w:t>
      </w:r>
      <w:r w:rsidR="007D37F2">
        <w:rPr>
          <w:rFonts w:ascii="Calibri" w:hAnsi="Calibri"/>
          <w:sz w:val="24"/>
          <w:szCs w:val="24"/>
          <w:lang w:val="en-US"/>
        </w:rPr>
        <w:t xml:space="preserve">diagnosed with an adequate degree of certainty is too small to detect </w:t>
      </w:r>
      <w:r w:rsidR="007B18B9">
        <w:rPr>
          <w:rFonts w:ascii="Calibri" w:hAnsi="Calibri"/>
          <w:sz w:val="24"/>
          <w:szCs w:val="24"/>
          <w:lang w:val="en-US"/>
        </w:rPr>
        <w:t xml:space="preserve">a </w:t>
      </w:r>
      <w:r w:rsidR="007D37F2">
        <w:rPr>
          <w:rFonts w:ascii="Calibri" w:hAnsi="Calibri"/>
          <w:sz w:val="24"/>
          <w:szCs w:val="24"/>
          <w:lang w:val="en-US"/>
        </w:rPr>
        <w:t>relationship</w:t>
      </w:r>
      <w:r w:rsidR="005F03C7">
        <w:rPr>
          <w:rFonts w:ascii="Calibri" w:hAnsi="Calibri"/>
          <w:sz w:val="24"/>
          <w:szCs w:val="24"/>
          <w:lang w:val="en-US"/>
        </w:rPr>
        <w:t xml:space="preserve"> between drug exposure an</w:t>
      </w:r>
      <w:r w:rsidR="003B686C">
        <w:rPr>
          <w:rFonts w:ascii="Calibri" w:hAnsi="Calibri"/>
          <w:sz w:val="24"/>
          <w:szCs w:val="24"/>
          <w:lang w:val="en-US"/>
        </w:rPr>
        <w:t>d</w:t>
      </w:r>
      <w:r w:rsidR="005F03C7">
        <w:rPr>
          <w:rFonts w:ascii="Calibri" w:hAnsi="Calibri"/>
          <w:sz w:val="24"/>
          <w:szCs w:val="24"/>
          <w:lang w:val="en-US"/>
        </w:rPr>
        <w:t xml:space="preserve"> clinical outcome</w:t>
      </w:r>
      <w:r w:rsidR="00C32D32">
        <w:rPr>
          <w:rFonts w:ascii="Calibri" w:hAnsi="Calibri"/>
          <w:sz w:val="24"/>
          <w:szCs w:val="24"/>
          <w:lang w:val="en-US"/>
        </w:rPr>
        <w:t xml:space="preserve"> (i.e. the study is under</w:t>
      </w:r>
      <w:r w:rsidR="007B18B9">
        <w:rPr>
          <w:rFonts w:ascii="Calibri" w:hAnsi="Calibri"/>
          <w:sz w:val="24"/>
          <w:szCs w:val="24"/>
          <w:lang w:val="en-US"/>
        </w:rPr>
        <w:t>-</w:t>
      </w:r>
      <w:r w:rsidR="00C32D32">
        <w:rPr>
          <w:rFonts w:ascii="Calibri" w:hAnsi="Calibri"/>
          <w:sz w:val="24"/>
          <w:szCs w:val="24"/>
          <w:lang w:val="en-US"/>
        </w:rPr>
        <w:t>powered)</w:t>
      </w:r>
      <w:r w:rsidR="009D6725">
        <w:rPr>
          <w:rFonts w:ascii="Calibri" w:hAnsi="Calibri"/>
          <w:sz w:val="24"/>
          <w:szCs w:val="24"/>
          <w:lang w:val="en-US"/>
        </w:rPr>
        <w:t xml:space="preserve">. </w:t>
      </w:r>
      <w:r w:rsidR="007D37F2">
        <w:rPr>
          <w:rFonts w:ascii="Calibri" w:hAnsi="Calibri"/>
          <w:sz w:val="24"/>
          <w:szCs w:val="24"/>
          <w:lang w:val="en-US"/>
        </w:rPr>
        <w:t xml:space="preserve"> </w:t>
      </w:r>
      <w:r w:rsidR="009D6725">
        <w:rPr>
          <w:rFonts w:ascii="Calibri" w:hAnsi="Calibri"/>
          <w:sz w:val="24"/>
          <w:szCs w:val="24"/>
          <w:lang w:val="en-US"/>
        </w:rPr>
        <w:t>Related to this point is the fact that PK were only available in a subset of voriconazole patients</w:t>
      </w:r>
      <w:r w:rsidR="005F3BC8">
        <w:rPr>
          <w:rFonts w:ascii="Calibri" w:hAnsi="Calibri"/>
          <w:sz w:val="24"/>
          <w:szCs w:val="24"/>
          <w:lang w:val="en-US"/>
        </w:rPr>
        <w:t>, which compromised the ability of the study to detect any differences and may have inadvertently introduced an element of bias;</w:t>
      </w:r>
      <w:r w:rsidR="009D6725">
        <w:rPr>
          <w:rFonts w:ascii="Calibri" w:hAnsi="Calibri"/>
          <w:sz w:val="24"/>
          <w:szCs w:val="24"/>
          <w:lang w:val="en-US"/>
        </w:rPr>
        <w:t xml:space="preserve"> </w:t>
      </w:r>
      <w:r w:rsidR="007D37F2">
        <w:rPr>
          <w:rFonts w:ascii="Calibri" w:hAnsi="Calibri"/>
          <w:sz w:val="24"/>
          <w:szCs w:val="24"/>
          <w:lang w:val="en-US"/>
        </w:rPr>
        <w:t xml:space="preserve">(3) </w:t>
      </w:r>
      <w:r w:rsidR="00CA7548">
        <w:rPr>
          <w:rFonts w:ascii="Calibri" w:hAnsi="Calibri"/>
          <w:sz w:val="24"/>
          <w:szCs w:val="24"/>
          <w:lang w:val="en-US"/>
        </w:rPr>
        <w:t>undetected</w:t>
      </w:r>
      <w:r w:rsidR="007D37F2">
        <w:rPr>
          <w:rFonts w:ascii="Calibri" w:hAnsi="Calibri"/>
          <w:sz w:val="24"/>
          <w:szCs w:val="24"/>
          <w:lang w:val="en-US"/>
        </w:rPr>
        <w:t xml:space="preserve"> and </w:t>
      </w:r>
      <w:r w:rsidR="00CA7548">
        <w:rPr>
          <w:rFonts w:ascii="Calibri" w:hAnsi="Calibri"/>
          <w:sz w:val="24"/>
          <w:szCs w:val="24"/>
          <w:lang w:val="en-US"/>
        </w:rPr>
        <w:t>anticipated</w:t>
      </w:r>
      <w:r w:rsidR="000C0295">
        <w:rPr>
          <w:rFonts w:ascii="Calibri" w:hAnsi="Calibri"/>
          <w:sz w:val="24"/>
          <w:szCs w:val="24"/>
          <w:lang w:val="en-US"/>
        </w:rPr>
        <w:t xml:space="preserve"> protocol deviations may have obscured relevant exposure response relationships</w:t>
      </w:r>
      <w:r w:rsidR="007B18B9">
        <w:rPr>
          <w:rFonts w:ascii="Calibri" w:hAnsi="Calibri"/>
          <w:sz w:val="24"/>
          <w:szCs w:val="24"/>
          <w:lang w:val="en-US"/>
        </w:rPr>
        <w:t xml:space="preserve"> in </w:t>
      </w:r>
      <w:r w:rsidR="006A3A8E">
        <w:rPr>
          <w:rFonts w:ascii="Calibri" w:hAnsi="Calibri"/>
          <w:sz w:val="24"/>
          <w:szCs w:val="24"/>
          <w:lang w:val="en-US"/>
        </w:rPr>
        <w:t>this often critically ill</w:t>
      </w:r>
      <w:r w:rsidR="007B18B9">
        <w:rPr>
          <w:rFonts w:ascii="Calibri" w:hAnsi="Calibri"/>
          <w:sz w:val="24"/>
          <w:szCs w:val="24"/>
          <w:lang w:val="en-US"/>
        </w:rPr>
        <w:t xml:space="preserve"> </w:t>
      </w:r>
      <w:r w:rsidR="006A3A8E">
        <w:rPr>
          <w:rFonts w:ascii="Calibri" w:hAnsi="Calibri"/>
          <w:sz w:val="24"/>
          <w:szCs w:val="24"/>
          <w:lang w:val="en-US"/>
        </w:rPr>
        <w:t xml:space="preserve">patient </w:t>
      </w:r>
      <w:r w:rsidR="007B18B9">
        <w:rPr>
          <w:rFonts w:ascii="Calibri" w:hAnsi="Calibri"/>
          <w:sz w:val="24"/>
          <w:szCs w:val="24"/>
          <w:lang w:val="en-US"/>
        </w:rPr>
        <w:t>population.</w:t>
      </w:r>
      <w:r w:rsidR="006A3A8E">
        <w:rPr>
          <w:rFonts w:ascii="Calibri" w:hAnsi="Calibri"/>
          <w:sz w:val="24"/>
          <w:szCs w:val="24"/>
          <w:lang w:val="en-US"/>
        </w:rPr>
        <w:t xml:space="preserve"> </w:t>
      </w:r>
      <w:r w:rsidR="007B18B9">
        <w:rPr>
          <w:rFonts w:ascii="Calibri" w:hAnsi="Calibri"/>
          <w:sz w:val="24"/>
          <w:szCs w:val="24"/>
          <w:lang w:val="en-US"/>
        </w:rPr>
        <w:t xml:space="preserve"> </w:t>
      </w:r>
      <w:r w:rsidR="000C0295">
        <w:rPr>
          <w:rFonts w:ascii="Calibri" w:hAnsi="Calibri"/>
          <w:sz w:val="24"/>
          <w:szCs w:val="24"/>
          <w:lang w:val="en-US"/>
        </w:rPr>
        <w:t xml:space="preserve">For example, </w:t>
      </w:r>
      <w:r w:rsidR="007D37F2">
        <w:rPr>
          <w:rFonts w:ascii="Calibri" w:hAnsi="Calibri"/>
          <w:sz w:val="24"/>
          <w:szCs w:val="24"/>
          <w:lang w:val="en-US"/>
        </w:rPr>
        <w:t xml:space="preserve">patients </w:t>
      </w:r>
      <w:r w:rsidR="000C0295">
        <w:rPr>
          <w:rFonts w:ascii="Calibri" w:hAnsi="Calibri"/>
          <w:sz w:val="24"/>
          <w:szCs w:val="24"/>
          <w:lang w:val="en-US"/>
        </w:rPr>
        <w:t xml:space="preserve">may have </w:t>
      </w:r>
      <w:r w:rsidR="007D37F2">
        <w:rPr>
          <w:rFonts w:ascii="Calibri" w:hAnsi="Calibri"/>
          <w:sz w:val="24"/>
          <w:szCs w:val="24"/>
          <w:lang w:val="en-US"/>
        </w:rPr>
        <w:t xml:space="preserve">stopped taking </w:t>
      </w:r>
      <w:r w:rsidR="000C0295">
        <w:rPr>
          <w:rFonts w:ascii="Calibri" w:hAnsi="Calibri"/>
          <w:sz w:val="24"/>
          <w:szCs w:val="24"/>
          <w:lang w:val="en-US"/>
        </w:rPr>
        <w:t>voriconazole</w:t>
      </w:r>
      <w:r w:rsidR="007D37F2">
        <w:rPr>
          <w:rFonts w:ascii="Calibri" w:hAnsi="Calibri"/>
          <w:sz w:val="24"/>
          <w:szCs w:val="24"/>
          <w:lang w:val="en-US"/>
        </w:rPr>
        <w:t xml:space="preserve"> immediately prior to the time their infection broke through </w:t>
      </w:r>
      <w:r w:rsidR="00024741">
        <w:rPr>
          <w:rFonts w:ascii="Calibri" w:hAnsi="Calibri"/>
          <w:sz w:val="24"/>
          <w:szCs w:val="24"/>
          <w:lang w:val="en-US"/>
        </w:rPr>
        <w:t xml:space="preserve">late in the study meaning there was a mismatch between drug exposure measured early in the </w:t>
      </w:r>
      <w:r w:rsidR="005B1515">
        <w:rPr>
          <w:rFonts w:ascii="Calibri" w:hAnsi="Calibri"/>
          <w:sz w:val="24"/>
          <w:szCs w:val="24"/>
          <w:lang w:val="en-US"/>
        </w:rPr>
        <w:t>post-transplantation period</w:t>
      </w:r>
      <w:r w:rsidR="00024741">
        <w:rPr>
          <w:rFonts w:ascii="Calibri" w:hAnsi="Calibri"/>
          <w:sz w:val="24"/>
          <w:szCs w:val="24"/>
          <w:lang w:val="en-US"/>
        </w:rPr>
        <w:t xml:space="preserve"> and the measured clinical outcome</w:t>
      </w:r>
      <w:r w:rsidR="007D37F2">
        <w:rPr>
          <w:rFonts w:ascii="Calibri" w:hAnsi="Calibri"/>
          <w:sz w:val="24"/>
          <w:szCs w:val="24"/>
          <w:lang w:val="en-US"/>
        </w:rPr>
        <w:t xml:space="preserve">; (4) </w:t>
      </w:r>
      <w:r w:rsidR="00024741">
        <w:rPr>
          <w:rFonts w:ascii="Calibri" w:hAnsi="Calibri"/>
          <w:sz w:val="24"/>
          <w:szCs w:val="24"/>
          <w:lang w:val="en-US"/>
        </w:rPr>
        <w:t xml:space="preserve">the pharmacokinetic </w:t>
      </w:r>
      <w:r w:rsidR="007D37F2">
        <w:rPr>
          <w:rFonts w:ascii="Calibri" w:hAnsi="Calibri"/>
          <w:sz w:val="24"/>
          <w:szCs w:val="24"/>
          <w:lang w:val="en-US"/>
        </w:rPr>
        <w:t xml:space="preserve">data </w:t>
      </w:r>
      <w:r w:rsidR="00F51EFB">
        <w:rPr>
          <w:rFonts w:ascii="Calibri" w:hAnsi="Calibri"/>
          <w:sz w:val="24"/>
          <w:szCs w:val="24"/>
          <w:lang w:val="en-US"/>
        </w:rPr>
        <w:t>we</w:t>
      </w:r>
      <w:r w:rsidR="00024741">
        <w:rPr>
          <w:rFonts w:ascii="Calibri" w:hAnsi="Calibri"/>
          <w:sz w:val="24"/>
          <w:szCs w:val="24"/>
          <w:lang w:val="en-US"/>
        </w:rPr>
        <w:t>re too imprecise to enable a robust estimate</w:t>
      </w:r>
      <w:r w:rsidR="007D37F2">
        <w:rPr>
          <w:rFonts w:ascii="Calibri" w:hAnsi="Calibri"/>
          <w:sz w:val="24"/>
          <w:szCs w:val="24"/>
          <w:lang w:val="en-US"/>
        </w:rPr>
        <w:t xml:space="preserve"> of the </w:t>
      </w:r>
      <w:r w:rsidR="00024741">
        <w:rPr>
          <w:rFonts w:ascii="Calibri" w:hAnsi="Calibri"/>
          <w:sz w:val="24"/>
          <w:szCs w:val="24"/>
          <w:lang w:val="en-US"/>
        </w:rPr>
        <w:t>“</w:t>
      </w:r>
      <w:r w:rsidR="00CA7548">
        <w:rPr>
          <w:rFonts w:ascii="Calibri" w:hAnsi="Calibri"/>
          <w:sz w:val="24"/>
          <w:szCs w:val="24"/>
          <w:lang w:val="en-US"/>
        </w:rPr>
        <w:t>true</w:t>
      </w:r>
      <w:r w:rsidR="00024741">
        <w:rPr>
          <w:rFonts w:ascii="Calibri" w:hAnsi="Calibri"/>
          <w:sz w:val="24"/>
          <w:szCs w:val="24"/>
          <w:lang w:val="en-US"/>
        </w:rPr>
        <w:t>”</w:t>
      </w:r>
      <w:r w:rsidR="00CA7548">
        <w:rPr>
          <w:rFonts w:ascii="Calibri" w:hAnsi="Calibri"/>
          <w:sz w:val="24"/>
          <w:szCs w:val="24"/>
          <w:lang w:val="en-US"/>
        </w:rPr>
        <w:t xml:space="preserve"> </w:t>
      </w:r>
      <w:r w:rsidR="007D37F2">
        <w:rPr>
          <w:rFonts w:ascii="Calibri" w:hAnsi="Calibri"/>
          <w:sz w:val="24"/>
          <w:szCs w:val="24"/>
          <w:lang w:val="en-US"/>
        </w:rPr>
        <w:t xml:space="preserve">AUC and </w:t>
      </w:r>
      <w:r w:rsidR="008865C6">
        <w:rPr>
          <w:rFonts w:ascii="Calibri" w:hAnsi="Calibri"/>
          <w:sz w:val="24"/>
          <w:szCs w:val="24"/>
          <w:lang w:val="en-US"/>
        </w:rPr>
        <w:t xml:space="preserve">the </w:t>
      </w:r>
      <w:r w:rsidR="0028074E">
        <w:rPr>
          <w:rFonts w:ascii="Calibri" w:hAnsi="Calibri"/>
          <w:sz w:val="24"/>
          <w:szCs w:val="24"/>
          <w:lang w:val="en-US"/>
        </w:rPr>
        <w:t xml:space="preserve">“true” </w:t>
      </w:r>
      <w:r w:rsidR="007D37F2">
        <w:rPr>
          <w:rFonts w:ascii="Calibri" w:hAnsi="Calibri"/>
          <w:sz w:val="24"/>
          <w:szCs w:val="24"/>
          <w:lang w:val="en-US"/>
        </w:rPr>
        <w:t>trough</w:t>
      </w:r>
      <w:r w:rsidR="0002222A">
        <w:rPr>
          <w:rFonts w:ascii="Calibri" w:hAnsi="Calibri"/>
          <w:sz w:val="24"/>
          <w:szCs w:val="24"/>
          <w:lang w:val="en-US"/>
        </w:rPr>
        <w:t xml:space="preserve"> </w:t>
      </w:r>
      <w:r w:rsidR="00F51EFB">
        <w:rPr>
          <w:rFonts w:ascii="Calibri" w:hAnsi="Calibri"/>
          <w:sz w:val="24"/>
          <w:szCs w:val="24"/>
          <w:lang w:val="en-US"/>
        </w:rPr>
        <w:t xml:space="preserve">concentration that was present </w:t>
      </w:r>
      <w:r w:rsidR="0002222A">
        <w:rPr>
          <w:rFonts w:ascii="Calibri" w:hAnsi="Calibri"/>
          <w:sz w:val="24"/>
          <w:szCs w:val="24"/>
          <w:lang w:val="en-US"/>
        </w:rPr>
        <w:t>in individual patients</w:t>
      </w:r>
      <w:r w:rsidR="007122B3">
        <w:rPr>
          <w:rFonts w:ascii="Calibri" w:hAnsi="Calibri"/>
          <w:sz w:val="24"/>
          <w:szCs w:val="24"/>
          <w:lang w:val="en-US"/>
        </w:rPr>
        <w:t xml:space="preserve">; and (5) </w:t>
      </w:r>
      <w:r w:rsidR="002427D2">
        <w:rPr>
          <w:rFonts w:ascii="Calibri" w:hAnsi="Calibri"/>
          <w:sz w:val="24"/>
          <w:szCs w:val="24"/>
          <w:lang w:val="en-US"/>
        </w:rPr>
        <w:t xml:space="preserve">subinhibitory effects of voriconazole on early stages of infection before development of clinically overt disease. These effects including alteration of </w:t>
      </w:r>
      <w:r w:rsidR="002427D2" w:rsidRPr="002427D2">
        <w:rPr>
          <w:rFonts w:ascii="Calibri" w:hAnsi="Calibri"/>
          <w:i/>
          <w:sz w:val="24"/>
          <w:szCs w:val="24"/>
          <w:lang w:val="en-US"/>
        </w:rPr>
        <w:t>C</w:t>
      </w:r>
      <w:r w:rsidR="002427D2" w:rsidRPr="00862223">
        <w:rPr>
          <w:rFonts w:ascii="Calibri" w:hAnsi="Calibri"/>
          <w:i/>
          <w:sz w:val="24"/>
          <w:szCs w:val="24"/>
          <w:lang w:val="en-US"/>
        </w:rPr>
        <w:t>andida</w:t>
      </w:r>
      <w:r w:rsidR="002427D2">
        <w:rPr>
          <w:rFonts w:ascii="Calibri" w:hAnsi="Calibri"/>
          <w:sz w:val="24"/>
          <w:szCs w:val="24"/>
          <w:lang w:val="en-US"/>
        </w:rPr>
        <w:t xml:space="preserve"> spp. adhesion, immunomodulatory effects, alteration of the </w:t>
      </w:r>
      <w:proofErr w:type="spellStart"/>
      <w:r w:rsidR="002427D2">
        <w:rPr>
          <w:rFonts w:ascii="Calibri" w:hAnsi="Calibri"/>
          <w:sz w:val="24"/>
          <w:szCs w:val="24"/>
          <w:lang w:val="en-US"/>
        </w:rPr>
        <w:t>vireluence</w:t>
      </w:r>
      <w:proofErr w:type="spellEnd"/>
      <w:r w:rsidR="002427D2">
        <w:rPr>
          <w:rFonts w:ascii="Calibri" w:hAnsi="Calibri"/>
          <w:sz w:val="24"/>
          <w:szCs w:val="24"/>
          <w:lang w:val="en-US"/>
        </w:rPr>
        <w:t xml:space="preserve"> and metabolism of </w:t>
      </w:r>
      <w:r w:rsidR="002427D2" w:rsidRPr="00862223">
        <w:rPr>
          <w:rFonts w:ascii="Calibri" w:hAnsi="Calibri"/>
          <w:i/>
          <w:sz w:val="24"/>
          <w:szCs w:val="24"/>
          <w:lang w:val="en-US"/>
        </w:rPr>
        <w:t>Aspergillus</w:t>
      </w:r>
      <w:r w:rsidR="002427D2">
        <w:rPr>
          <w:rFonts w:ascii="Calibri" w:hAnsi="Calibri"/>
          <w:sz w:val="24"/>
          <w:szCs w:val="24"/>
          <w:lang w:val="en-US"/>
        </w:rPr>
        <w:t xml:space="preserve"> spp.; such an effect may be difficult to discern with the sampling and numbers of breakthrough cases herein</w:t>
      </w:r>
      <w:r w:rsidR="00024741">
        <w:rPr>
          <w:rFonts w:ascii="Calibri" w:hAnsi="Calibri"/>
          <w:sz w:val="24"/>
          <w:szCs w:val="24"/>
          <w:lang w:val="en-US"/>
        </w:rPr>
        <w:t xml:space="preserve">.  </w:t>
      </w:r>
      <w:r w:rsidR="00853989">
        <w:rPr>
          <w:rFonts w:ascii="Calibri" w:hAnsi="Calibri"/>
          <w:sz w:val="24"/>
          <w:szCs w:val="24"/>
          <w:lang w:val="en-US"/>
        </w:rPr>
        <w:t xml:space="preserve">In this situation, the </w:t>
      </w:r>
      <w:r w:rsidR="00024741">
        <w:rPr>
          <w:rFonts w:ascii="Calibri" w:hAnsi="Calibri"/>
          <w:sz w:val="24"/>
          <w:szCs w:val="24"/>
          <w:lang w:val="en-US"/>
        </w:rPr>
        <w:t xml:space="preserve">sparse patient data are in effect </w:t>
      </w:r>
      <w:r w:rsidR="00CA7548">
        <w:rPr>
          <w:rFonts w:ascii="Calibri" w:hAnsi="Calibri"/>
          <w:sz w:val="24"/>
          <w:szCs w:val="24"/>
          <w:lang w:val="en-US"/>
        </w:rPr>
        <w:t xml:space="preserve">dominated by the </w:t>
      </w:r>
      <w:r w:rsidR="005B1515">
        <w:rPr>
          <w:rFonts w:ascii="Calibri" w:hAnsi="Calibri"/>
          <w:sz w:val="24"/>
          <w:szCs w:val="24"/>
          <w:lang w:val="en-US"/>
        </w:rPr>
        <w:t>parameter estimates from the Bayesian prior</w:t>
      </w:r>
      <w:r w:rsidR="00B7142A">
        <w:rPr>
          <w:rFonts w:ascii="Calibri" w:hAnsi="Calibri"/>
          <w:sz w:val="24"/>
          <w:szCs w:val="24"/>
          <w:lang w:val="en-US"/>
        </w:rPr>
        <w:t>.</w:t>
      </w:r>
      <w:r w:rsidR="00024741">
        <w:rPr>
          <w:rFonts w:ascii="Calibri" w:hAnsi="Calibri"/>
          <w:sz w:val="24"/>
          <w:szCs w:val="24"/>
          <w:lang w:val="en-US"/>
        </w:rPr>
        <w:t xml:space="preserve">  </w:t>
      </w:r>
      <w:r w:rsidR="00BC7052">
        <w:rPr>
          <w:rFonts w:ascii="Calibri" w:hAnsi="Calibri"/>
          <w:sz w:val="24"/>
          <w:szCs w:val="24"/>
          <w:lang w:val="en-US"/>
        </w:rPr>
        <w:t xml:space="preserve">Nevertheless, the </w:t>
      </w:r>
      <w:r w:rsidR="007B2FAE">
        <w:rPr>
          <w:rFonts w:ascii="Calibri" w:hAnsi="Calibri"/>
          <w:sz w:val="24"/>
          <w:szCs w:val="24"/>
          <w:lang w:val="en-US"/>
        </w:rPr>
        <w:t xml:space="preserve">use of nonparametric population PK modeling with Bayesian priors is among the most powerful data analytical methods to estimate individual drug exposures in patients with sparse PK sampling. </w:t>
      </w:r>
      <w:r w:rsidR="00121970">
        <w:rPr>
          <w:rFonts w:ascii="Calibri" w:hAnsi="Calibri"/>
          <w:sz w:val="24"/>
          <w:szCs w:val="24"/>
          <w:lang w:val="en-US"/>
        </w:rPr>
        <w:t xml:space="preserve">Each of these explanations may have contributed to the absence of any relationship between voriconazole drug exposure and clinical outcome. </w:t>
      </w:r>
      <w:r w:rsidR="00477608">
        <w:rPr>
          <w:rFonts w:ascii="Calibri" w:hAnsi="Calibri"/>
          <w:sz w:val="24"/>
          <w:szCs w:val="24"/>
          <w:lang w:val="en-US"/>
        </w:rPr>
        <w:t xml:space="preserve"> </w:t>
      </w:r>
    </w:p>
    <w:p w14:paraId="7FB99F7E" w14:textId="355FFEF2" w:rsidR="00B7142A" w:rsidRDefault="00B7142A" w:rsidP="00F40CE9">
      <w:pPr>
        <w:ind w:firstLine="680"/>
        <w:rPr>
          <w:rFonts w:ascii="Calibri" w:hAnsi="Calibri"/>
          <w:sz w:val="24"/>
          <w:szCs w:val="24"/>
          <w:lang w:val="en-US"/>
        </w:rPr>
      </w:pPr>
      <w:r>
        <w:rPr>
          <w:rFonts w:ascii="Calibri" w:hAnsi="Calibri"/>
          <w:sz w:val="24"/>
          <w:szCs w:val="24"/>
          <w:lang w:val="en-US"/>
        </w:rPr>
        <w:lastRenderedPageBreak/>
        <w:t xml:space="preserve">The absence of any </w:t>
      </w:r>
      <w:r w:rsidR="005A4E5E">
        <w:rPr>
          <w:rFonts w:ascii="Calibri" w:hAnsi="Calibri"/>
          <w:sz w:val="24"/>
          <w:szCs w:val="24"/>
          <w:lang w:val="en-US"/>
        </w:rPr>
        <w:t xml:space="preserve">demonstrable drug exposure </w:t>
      </w:r>
      <w:r>
        <w:rPr>
          <w:rFonts w:ascii="Calibri" w:hAnsi="Calibri"/>
          <w:sz w:val="24"/>
          <w:szCs w:val="24"/>
          <w:lang w:val="en-US"/>
        </w:rPr>
        <w:t xml:space="preserve">signal </w:t>
      </w:r>
      <w:r w:rsidR="00BC7052">
        <w:rPr>
          <w:rFonts w:ascii="Calibri" w:hAnsi="Calibri"/>
          <w:sz w:val="24"/>
          <w:szCs w:val="24"/>
          <w:lang w:val="en-US"/>
        </w:rPr>
        <w:t xml:space="preserve">in this study does not help address the question </w:t>
      </w:r>
      <w:r w:rsidR="0074248D">
        <w:rPr>
          <w:rFonts w:ascii="Calibri" w:hAnsi="Calibri"/>
          <w:sz w:val="24"/>
          <w:szCs w:val="24"/>
          <w:lang w:val="en-US"/>
        </w:rPr>
        <w:t>as to</w:t>
      </w:r>
      <w:r>
        <w:rPr>
          <w:rFonts w:ascii="Calibri" w:hAnsi="Calibri"/>
          <w:sz w:val="24"/>
          <w:szCs w:val="24"/>
          <w:lang w:val="en-US"/>
        </w:rPr>
        <w:t xml:space="preserve"> how (if at all) TDM should be used to manage patients </w:t>
      </w:r>
      <w:r w:rsidR="005A4E5E">
        <w:rPr>
          <w:rFonts w:ascii="Calibri" w:hAnsi="Calibri"/>
          <w:sz w:val="24"/>
          <w:szCs w:val="24"/>
          <w:lang w:val="en-US"/>
        </w:rPr>
        <w:t>post HSCT</w:t>
      </w:r>
      <w:r w:rsidR="005647FA">
        <w:rPr>
          <w:rFonts w:ascii="Calibri" w:hAnsi="Calibri"/>
          <w:sz w:val="24"/>
          <w:szCs w:val="24"/>
          <w:lang w:val="en-US"/>
        </w:rPr>
        <w:t xml:space="preserve"> who are</w:t>
      </w:r>
      <w:r w:rsidR="005A4E5E">
        <w:rPr>
          <w:rFonts w:ascii="Calibri" w:hAnsi="Calibri"/>
          <w:sz w:val="24"/>
          <w:szCs w:val="24"/>
          <w:lang w:val="en-US"/>
        </w:rPr>
        <w:t xml:space="preserve"> </w:t>
      </w:r>
      <w:r>
        <w:rPr>
          <w:rFonts w:ascii="Calibri" w:hAnsi="Calibri"/>
          <w:sz w:val="24"/>
          <w:szCs w:val="24"/>
          <w:lang w:val="en-US"/>
        </w:rPr>
        <w:t xml:space="preserve">receiving </w:t>
      </w:r>
      <w:r w:rsidR="00740F2F">
        <w:rPr>
          <w:rFonts w:ascii="Calibri" w:hAnsi="Calibri"/>
          <w:sz w:val="24"/>
          <w:szCs w:val="24"/>
          <w:lang w:val="en-US"/>
        </w:rPr>
        <w:t xml:space="preserve">voriconazole for </w:t>
      </w:r>
      <w:r>
        <w:rPr>
          <w:rFonts w:ascii="Calibri" w:hAnsi="Calibri"/>
          <w:sz w:val="24"/>
          <w:szCs w:val="24"/>
          <w:lang w:val="en-US"/>
        </w:rPr>
        <w:t xml:space="preserve">prophylaxis. </w:t>
      </w:r>
      <w:r w:rsidR="006976C8">
        <w:rPr>
          <w:rFonts w:ascii="Calibri" w:hAnsi="Calibri"/>
          <w:sz w:val="24"/>
          <w:szCs w:val="24"/>
          <w:lang w:val="en-US"/>
        </w:rPr>
        <w:t xml:space="preserve"> </w:t>
      </w:r>
      <w:r w:rsidR="008A7C3C">
        <w:rPr>
          <w:rFonts w:ascii="Calibri" w:hAnsi="Calibri"/>
          <w:sz w:val="24"/>
          <w:szCs w:val="24"/>
          <w:lang w:val="en-US"/>
        </w:rPr>
        <w:t xml:space="preserve">With all the caveats that have been mentioned, the </w:t>
      </w:r>
      <w:r w:rsidR="00455879">
        <w:rPr>
          <w:rFonts w:ascii="Calibri" w:hAnsi="Calibri"/>
          <w:sz w:val="24"/>
          <w:szCs w:val="24"/>
          <w:lang w:val="en-US"/>
        </w:rPr>
        <w:t>current study does not provide evidence that TDM should be routinely used for all patients.  There may, however</w:t>
      </w:r>
      <w:r w:rsidR="00B93E5E">
        <w:rPr>
          <w:rFonts w:ascii="Calibri" w:hAnsi="Calibri"/>
          <w:sz w:val="24"/>
          <w:szCs w:val="24"/>
          <w:lang w:val="en-US"/>
        </w:rPr>
        <w:t>,</w:t>
      </w:r>
      <w:r w:rsidR="00455879">
        <w:rPr>
          <w:rFonts w:ascii="Calibri" w:hAnsi="Calibri"/>
          <w:sz w:val="24"/>
          <w:szCs w:val="24"/>
          <w:lang w:val="en-US"/>
        </w:rPr>
        <w:t xml:space="preserve"> still be subpopulations that still benefit from TDM (e.g. patients with significant mucositis</w:t>
      </w:r>
      <w:r w:rsidR="00B93E5E">
        <w:rPr>
          <w:rFonts w:ascii="Calibri" w:hAnsi="Calibri"/>
          <w:sz w:val="24"/>
          <w:szCs w:val="24"/>
          <w:lang w:val="en-US"/>
        </w:rPr>
        <w:t xml:space="preserve">), although this study does not enable those subgroups to be better defined.  </w:t>
      </w:r>
      <w:r w:rsidR="00DD30AA">
        <w:rPr>
          <w:rFonts w:ascii="Calibri" w:hAnsi="Calibri"/>
          <w:sz w:val="24"/>
          <w:szCs w:val="24"/>
          <w:lang w:val="en-US"/>
        </w:rPr>
        <w:t xml:space="preserve">Furthermore, there is no indication whether the targets for TDM (e.g. trough concentration 2 mg/L) that have been defined in the context of established clinical disease are also appropriate for prophylaxis.  </w:t>
      </w:r>
      <w:r w:rsidR="00BD3145">
        <w:rPr>
          <w:rFonts w:ascii="Calibri" w:hAnsi="Calibri"/>
          <w:sz w:val="24"/>
          <w:szCs w:val="24"/>
          <w:lang w:val="en-US"/>
        </w:rPr>
        <w:t xml:space="preserve">Until further information is available, the use of TDM for </w:t>
      </w:r>
      <w:r w:rsidR="0021168D">
        <w:rPr>
          <w:rFonts w:ascii="Calibri" w:hAnsi="Calibri"/>
          <w:sz w:val="24"/>
          <w:szCs w:val="24"/>
          <w:lang w:val="en-US"/>
        </w:rPr>
        <w:t xml:space="preserve">voriconazole when used for </w:t>
      </w:r>
      <w:r w:rsidR="00BD3145">
        <w:rPr>
          <w:rFonts w:ascii="Calibri" w:hAnsi="Calibri"/>
          <w:sz w:val="24"/>
          <w:szCs w:val="24"/>
          <w:lang w:val="en-US"/>
        </w:rPr>
        <w:t xml:space="preserve">prophylaxis remains a matter of clinical judgment.  </w:t>
      </w:r>
    </w:p>
    <w:p w14:paraId="0F28A5A7" w14:textId="77777777" w:rsidR="00CE3DA1" w:rsidRDefault="00CE3DA1">
      <w:pPr>
        <w:rPr>
          <w:rFonts w:ascii="Calibri" w:hAnsi="Calibri"/>
          <w:sz w:val="24"/>
          <w:szCs w:val="24"/>
          <w:lang w:val="en-US"/>
        </w:rPr>
      </w:pPr>
      <w:r>
        <w:rPr>
          <w:rFonts w:ascii="Calibri" w:hAnsi="Calibri"/>
          <w:sz w:val="24"/>
          <w:szCs w:val="24"/>
          <w:lang w:val="en-US"/>
        </w:rPr>
        <w:br w:type="page"/>
      </w:r>
    </w:p>
    <w:p w14:paraId="46708C83" w14:textId="197B1DA6" w:rsidR="00A54129" w:rsidRPr="00862223" w:rsidRDefault="00556781" w:rsidP="00A54129">
      <w:pPr>
        <w:widowControl w:val="0"/>
        <w:autoSpaceDE w:val="0"/>
        <w:autoSpaceDN w:val="0"/>
        <w:adjustRightInd w:val="0"/>
        <w:spacing w:after="0" w:line="240" w:lineRule="auto"/>
        <w:rPr>
          <w:rFonts w:cs="Minion-Regular"/>
          <w:sz w:val="24"/>
          <w:szCs w:val="24"/>
          <w:lang w:val="en-US"/>
        </w:rPr>
      </w:pPr>
      <w:r>
        <w:rPr>
          <w:rFonts w:ascii="Calibri" w:hAnsi="Calibri"/>
          <w:sz w:val="24"/>
          <w:szCs w:val="24"/>
          <w:lang w:val="en-US"/>
        </w:rPr>
        <w:lastRenderedPageBreak/>
        <w:t xml:space="preserve">Funding: </w:t>
      </w:r>
      <w:proofErr w:type="gramStart"/>
      <w:r>
        <w:rPr>
          <w:rFonts w:ascii="Calibri" w:hAnsi="Calibri"/>
          <w:sz w:val="24"/>
          <w:szCs w:val="24"/>
          <w:lang w:val="en-US"/>
        </w:rPr>
        <w:t>This study was supported by internal funding from the University of Liverpool</w:t>
      </w:r>
      <w:proofErr w:type="gramEnd"/>
      <w:r w:rsidR="00E27E72">
        <w:rPr>
          <w:rFonts w:ascii="Calibri" w:hAnsi="Calibri"/>
          <w:sz w:val="24"/>
          <w:szCs w:val="24"/>
          <w:lang w:val="en-US"/>
        </w:rPr>
        <w:t xml:space="preserve">. </w:t>
      </w:r>
      <w:proofErr w:type="gramStart"/>
      <w:r w:rsidR="00E27E72">
        <w:rPr>
          <w:rFonts w:ascii="Calibri" w:hAnsi="Calibri"/>
          <w:sz w:val="24"/>
          <w:szCs w:val="24"/>
          <w:lang w:val="en-US"/>
        </w:rPr>
        <w:t>William Hope is supported by a Clinician Scientist Award from the National Institutes of Health Research (NIHR) in the United Kingdom</w:t>
      </w:r>
      <w:proofErr w:type="gramEnd"/>
      <w:r w:rsidR="00E27E72">
        <w:rPr>
          <w:rFonts w:ascii="Calibri" w:hAnsi="Calibri"/>
          <w:sz w:val="24"/>
          <w:szCs w:val="24"/>
          <w:lang w:val="en-US"/>
        </w:rPr>
        <w:t xml:space="preserve">. </w:t>
      </w:r>
      <w:proofErr w:type="gramStart"/>
      <w:r w:rsidR="00E27E72">
        <w:rPr>
          <w:rFonts w:ascii="Calibri" w:hAnsi="Calibri"/>
          <w:sz w:val="24"/>
          <w:szCs w:val="24"/>
          <w:lang w:val="en-US"/>
        </w:rPr>
        <w:t xml:space="preserve">Michael Neely is supported by National Institutes of Health </w:t>
      </w:r>
      <w:r w:rsidR="00E27E72" w:rsidRPr="000F3590">
        <w:rPr>
          <w:rFonts w:ascii="Calibri" w:hAnsi="Calibri"/>
          <w:sz w:val="24"/>
          <w:szCs w:val="24"/>
          <w:lang w:val="en-US"/>
        </w:rPr>
        <w:t>R01 HD070886</w:t>
      </w:r>
      <w:r w:rsidR="00E27E72">
        <w:rPr>
          <w:rFonts w:ascii="Calibri" w:hAnsi="Calibri"/>
          <w:sz w:val="24"/>
          <w:szCs w:val="24"/>
          <w:lang w:val="en-US"/>
        </w:rPr>
        <w:t xml:space="preserve"> and </w:t>
      </w:r>
      <w:r w:rsidR="00E27E72" w:rsidRPr="000F3590">
        <w:rPr>
          <w:rFonts w:ascii="Calibri" w:hAnsi="Calibri"/>
          <w:sz w:val="24"/>
          <w:szCs w:val="24"/>
          <w:lang w:val="en-US"/>
        </w:rPr>
        <w:t>R01 GM068968</w:t>
      </w:r>
      <w:proofErr w:type="gramEnd"/>
      <w:r w:rsidR="00E27E72">
        <w:rPr>
          <w:rFonts w:ascii="Calibri" w:hAnsi="Calibri"/>
          <w:sz w:val="24"/>
          <w:szCs w:val="24"/>
          <w:lang w:val="en-US"/>
        </w:rPr>
        <w:t>.</w:t>
      </w:r>
      <w:r w:rsidR="00A54129">
        <w:rPr>
          <w:rFonts w:ascii="Calibri" w:hAnsi="Calibri"/>
          <w:sz w:val="24"/>
          <w:szCs w:val="24"/>
          <w:lang w:val="en-US"/>
        </w:rPr>
        <w:t xml:space="preserve">  </w:t>
      </w:r>
      <w:r w:rsidR="00A54129" w:rsidRPr="00862223">
        <w:rPr>
          <w:rFonts w:cs="Minion-Regular"/>
          <w:sz w:val="24"/>
          <w:szCs w:val="24"/>
          <w:lang w:val="en-US"/>
        </w:rPr>
        <w:t>Thomas Walsh is a Scholar of t</w:t>
      </w:r>
      <w:r w:rsidR="00C7573B" w:rsidRPr="00862223">
        <w:rPr>
          <w:rFonts w:cs="Minion-Regular"/>
          <w:sz w:val="24"/>
          <w:szCs w:val="24"/>
          <w:lang w:val="en-US"/>
        </w:rPr>
        <w:t>he Henry Schueler Foundation,</w:t>
      </w:r>
      <w:r w:rsidR="00A54129" w:rsidRPr="00862223">
        <w:rPr>
          <w:rFonts w:cs="Minion-Regular"/>
          <w:sz w:val="24"/>
          <w:szCs w:val="24"/>
          <w:lang w:val="en-US"/>
        </w:rPr>
        <w:t xml:space="preserve"> a</w:t>
      </w:r>
      <w:r w:rsidR="00C7573B" w:rsidRPr="00862223">
        <w:rPr>
          <w:rFonts w:cs="Minion-Regular"/>
          <w:sz w:val="24"/>
          <w:szCs w:val="24"/>
          <w:lang w:val="en-US"/>
        </w:rPr>
        <w:t>n Investigator of</w:t>
      </w:r>
      <w:r w:rsidR="00A54129" w:rsidRPr="00862223">
        <w:rPr>
          <w:rFonts w:cs="Minion-Regular"/>
          <w:sz w:val="24"/>
          <w:szCs w:val="24"/>
          <w:lang w:val="en-US"/>
        </w:rPr>
        <w:t xml:space="preserve"> Pediatric Infectious Diseases of the Sharp Family Foundation</w:t>
      </w:r>
      <w:r w:rsidR="00C7573B" w:rsidRPr="00862223">
        <w:rPr>
          <w:rFonts w:cs="Minion-Regular"/>
          <w:sz w:val="24"/>
          <w:szCs w:val="24"/>
          <w:lang w:val="en-US"/>
        </w:rPr>
        <w:t xml:space="preserve">, </w:t>
      </w:r>
      <w:r w:rsidR="00A54129" w:rsidRPr="00862223">
        <w:rPr>
          <w:rFonts w:cs="Minion-Regular"/>
          <w:sz w:val="24"/>
          <w:szCs w:val="24"/>
          <w:lang w:val="en-US"/>
        </w:rPr>
        <w:t xml:space="preserve">and </w:t>
      </w:r>
      <w:r w:rsidR="00C7573B" w:rsidRPr="00862223">
        <w:rPr>
          <w:rFonts w:cs="Minion-Regular"/>
          <w:sz w:val="24"/>
          <w:szCs w:val="24"/>
          <w:lang w:val="en-US"/>
        </w:rPr>
        <w:t xml:space="preserve">a Scholar of the </w:t>
      </w:r>
      <w:r w:rsidR="00A54129" w:rsidRPr="00862223">
        <w:rPr>
          <w:rFonts w:cs="Minion-Regular"/>
          <w:sz w:val="24"/>
          <w:szCs w:val="24"/>
          <w:lang w:val="en-US"/>
        </w:rPr>
        <w:t xml:space="preserve">Save our </w:t>
      </w:r>
      <w:r w:rsidR="00C7573B" w:rsidRPr="00862223">
        <w:rPr>
          <w:rFonts w:cs="Minion-Regular"/>
          <w:sz w:val="24"/>
          <w:szCs w:val="24"/>
          <w:lang w:val="en-US"/>
        </w:rPr>
        <w:t>Sick Kids Foundation.</w:t>
      </w:r>
    </w:p>
    <w:p w14:paraId="3A3DE1F7" w14:textId="34EA6E6F" w:rsidR="00E27E72" w:rsidRPr="00862223" w:rsidRDefault="00E27E72" w:rsidP="00A54129">
      <w:pPr>
        <w:tabs>
          <w:tab w:val="left" w:pos="6379"/>
        </w:tabs>
        <w:spacing w:line="240" w:lineRule="auto"/>
        <w:rPr>
          <w:sz w:val="24"/>
          <w:szCs w:val="24"/>
          <w:lang w:val="en-US"/>
        </w:rPr>
      </w:pPr>
    </w:p>
    <w:p w14:paraId="3D8CB9D0" w14:textId="57F056C6" w:rsidR="00556781" w:rsidRPr="007C5CC0" w:rsidRDefault="00556781" w:rsidP="00556781">
      <w:pPr>
        <w:tabs>
          <w:tab w:val="left" w:pos="6379"/>
        </w:tabs>
        <w:spacing w:line="240" w:lineRule="auto"/>
        <w:rPr>
          <w:rFonts w:ascii="Calibri" w:hAnsi="Calibri"/>
          <w:sz w:val="24"/>
          <w:szCs w:val="24"/>
          <w:lang w:val="en-US"/>
        </w:rPr>
      </w:pPr>
    </w:p>
    <w:p w14:paraId="43D4AA45" w14:textId="0C30AAE5" w:rsidR="00684880" w:rsidRPr="007C5CC0" w:rsidRDefault="00684880" w:rsidP="00862223">
      <w:pPr>
        <w:widowControl w:val="0"/>
        <w:autoSpaceDE w:val="0"/>
        <w:autoSpaceDN w:val="0"/>
        <w:adjustRightInd w:val="0"/>
        <w:spacing w:after="0" w:line="240" w:lineRule="auto"/>
        <w:rPr>
          <w:rFonts w:ascii="Calibri" w:hAnsi="Calibri"/>
          <w:sz w:val="24"/>
          <w:szCs w:val="24"/>
          <w:lang w:val="en-US"/>
        </w:rPr>
      </w:pPr>
      <w:r>
        <w:rPr>
          <w:rFonts w:ascii="Calibri" w:hAnsi="Calibri"/>
          <w:sz w:val="24"/>
          <w:szCs w:val="24"/>
          <w:lang w:val="en-US"/>
        </w:rPr>
        <w:t xml:space="preserve">Potential conflicts of interest: William Hope has acted as a consultant and/or received research grant support from Pfizer Inc., Astellas Pharma, Gilead Sciences, F2G and </w:t>
      </w:r>
      <w:proofErr w:type="spellStart"/>
      <w:r>
        <w:rPr>
          <w:rFonts w:ascii="Calibri" w:hAnsi="Calibri"/>
          <w:sz w:val="24"/>
          <w:szCs w:val="24"/>
          <w:lang w:val="en-US"/>
        </w:rPr>
        <w:t>Pulmocide</w:t>
      </w:r>
      <w:proofErr w:type="spellEnd"/>
      <w:r w:rsidR="00556781">
        <w:rPr>
          <w:rFonts w:ascii="Calibri" w:hAnsi="Calibri"/>
          <w:sz w:val="24"/>
          <w:szCs w:val="24"/>
          <w:lang w:val="en-US"/>
        </w:rPr>
        <w:t xml:space="preserve">.  </w:t>
      </w:r>
      <w:r w:rsidR="00953544">
        <w:rPr>
          <w:rFonts w:ascii="Calibri" w:hAnsi="Calibri"/>
          <w:sz w:val="24"/>
          <w:szCs w:val="24"/>
          <w:lang w:val="en-US"/>
        </w:rPr>
        <w:t>Thomas</w:t>
      </w:r>
      <w:r w:rsidR="00C7573B">
        <w:rPr>
          <w:rFonts w:ascii="Calibri" w:hAnsi="Calibri"/>
          <w:sz w:val="24"/>
          <w:szCs w:val="24"/>
          <w:lang w:val="en-US"/>
        </w:rPr>
        <w:t xml:space="preserve"> Walsh has received </w:t>
      </w:r>
      <w:r w:rsidR="00C7573B" w:rsidRPr="00BD211B">
        <w:rPr>
          <w:rFonts w:cs="Minion-Regular"/>
          <w:sz w:val="24"/>
          <w:szCs w:val="24"/>
          <w:lang w:val="en-US"/>
        </w:rPr>
        <w:t>research grants for experimental and clinical antimicrobial pharmacotherapeutics</w:t>
      </w:r>
      <w:r w:rsidR="00C7573B">
        <w:rPr>
          <w:rFonts w:cs="Minion-Regular"/>
          <w:sz w:val="24"/>
          <w:szCs w:val="24"/>
          <w:lang w:val="en-US"/>
        </w:rPr>
        <w:t xml:space="preserve"> </w:t>
      </w:r>
      <w:r w:rsidR="00C7573B" w:rsidRPr="00BD211B">
        <w:rPr>
          <w:rFonts w:cs="Minion-Regular"/>
          <w:sz w:val="24"/>
          <w:szCs w:val="24"/>
          <w:lang w:val="en-US"/>
        </w:rPr>
        <w:t xml:space="preserve">from Novartis, Merck, Pfizer, and </w:t>
      </w:r>
      <w:r w:rsidR="00C7573B">
        <w:rPr>
          <w:rFonts w:cs="Minion-Regular"/>
          <w:sz w:val="24"/>
          <w:szCs w:val="24"/>
          <w:lang w:val="en-US"/>
        </w:rPr>
        <w:t>Astellas</w:t>
      </w:r>
      <w:r w:rsidR="00C7573B" w:rsidRPr="00BD211B">
        <w:rPr>
          <w:rFonts w:cs="Minion-Regular"/>
          <w:sz w:val="24"/>
          <w:szCs w:val="24"/>
          <w:lang w:val="en-US"/>
        </w:rPr>
        <w:t>. He</w:t>
      </w:r>
      <w:r w:rsidR="00C7573B">
        <w:rPr>
          <w:rFonts w:cs="Minion-Regular"/>
          <w:sz w:val="24"/>
          <w:szCs w:val="24"/>
          <w:lang w:val="en-US"/>
        </w:rPr>
        <w:t xml:space="preserve"> </w:t>
      </w:r>
      <w:r w:rsidR="00C7573B" w:rsidRPr="00BD211B">
        <w:rPr>
          <w:rFonts w:cs="Minion-Regular"/>
          <w:sz w:val="24"/>
          <w:szCs w:val="24"/>
          <w:lang w:val="en-US"/>
        </w:rPr>
        <w:t>has served as a consultant to Astellas, ContraFect, Drais, iCo, Novartis,</w:t>
      </w:r>
      <w:r w:rsidR="00C7573B">
        <w:rPr>
          <w:rFonts w:cs="Minion-Regular"/>
          <w:sz w:val="24"/>
          <w:szCs w:val="24"/>
          <w:lang w:val="en-US"/>
        </w:rPr>
        <w:t xml:space="preserve"> </w:t>
      </w:r>
      <w:r w:rsidR="00C7573B" w:rsidRPr="00BD211B">
        <w:rPr>
          <w:rFonts w:cs="Minion-Regular"/>
          <w:sz w:val="24"/>
          <w:szCs w:val="24"/>
          <w:lang w:val="en-US"/>
        </w:rPr>
        <w:t>Pfizer, Methylgene, SigmaTau, and Trius.</w:t>
      </w:r>
      <w:r w:rsidR="00C7573B">
        <w:rPr>
          <w:rFonts w:cs="Minion-Regular"/>
          <w:sz w:val="24"/>
          <w:szCs w:val="24"/>
          <w:lang w:val="en-US"/>
        </w:rPr>
        <w:t xml:space="preserve">  </w:t>
      </w:r>
      <w:r w:rsidR="00556781">
        <w:rPr>
          <w:rFonts w:ascii="Calibri" w:hAnsi="Calibri"/>
          <w:sz w:val="24"/>
          <w:szCs w:val="24"/>
          <w:lang w:val="en-US"/>
        </w:rPr>
        <w:t>All other authors: none to declare</w:t>
      </w:r>
      <w:r w:rsidR="00953544">
        <w:rPr>
          <w:rFonts w:ascii="Calibri" w:hAnsi="Calibri"/>
          <w:sz w:val="24"/>
          <w:szCs w:val="24"/>
          <w:lang w:val="en-US"/>
        </w:rPr>
        <w:t>.</w:t>
      </w:r>
    </w:p>
    <w:p w14:paraId="4E10A502" w14:textId="77777777" w:rsidR="00684880" w:rsidRDefault="00684880" w:rsidP="00C94C4D">
      <w:pPr>
        <w:tabs>
          <w:tab w:val="left" w:pos="6379"/>
        </w:tabs>
        <w:rPr>
          <w:rFonts w:ascii="Calibri" w:hAnsi="Calibri"/>
          <w:sz w:val="24"/>
          <w:szCs w:val="24"/>
          <w:lang w:val="en-US"/>
        </w:rPr>
      </w:pPr>
    </w:p>
    <w:p w14:paraId="1A5A5FE2" w14:textId="6806B655" w:rsidR="00684880" w:rsidRDefault="00684880">
      <w:pPr>
        <w:rPr>
          <w:rFonts w:ascii="Calibri" w:hAnsi="Calibri"/>
          <w:sz w:val="24"/>
          <w:szCs w:val="24"/>
          <w:lang w:val="en-US"/>
        </w:rPr>
      </w:pPr>
      <w:r>
        <w:rPr>
          <w:rFonts w:ascii="Calibri" w:hAnsi="Calibri"/>
          <w:sz w:val="24"/>
          <w:szCs w:val="24"/>
          <w:lang w:val="en-US"/>
        </w:rPr>
        <w:br w:type="page"/>
      </w:r>
    </w:p>
    <w:p w14:paraId="648DCE7E" w14:textId="77777777" w:rsidR="00684880" w:rsidRDefault="00684880" w:rsidP="00C94C4D">
      <w:pPr>
        <w:tabs>
          <w:tab w:val="left" w:pos="6379"/>
        </w:tabs>
        <w:rPr>
          <w:rFonts w:ascii="Calibri" w:hAnsi="Calibri"/>
          <w:sz w:val="24"/>
          <w:szCs w:val="24"/>
          <w:lang w:val="en-US"/>
        </w:rPr>
      </w:pPr>
    </w:p>
    <w:p w14:paraId="5FF9F294" w14:textId="77777777" w:rsidR="00C94C4D" w:rsidRDefault="00C94C4D" w:rsidP="00C94C4D">
      <w:pPr>
        <w:tabs>
          <w:tab w:val="left" w:pos="6379"/>
        </w:tabs>
        <w:rPr>
          <w:rFonts w:ascii="Calibri" w:hAnsi="Calibri"/>
          <w:sz w:val="24"/>
          <w:szCs w:val="24"/>
          <w:lang w:val="en-US"/>
        </w:rPr>
      </w:pPr>
      <w:r>
        <w:rPr>
          <w:rFonts w:ascii="Calibri" w:hAnsi="Calibri"/>
          <w:sz w:val="24"/>
          <w:szCs w:val="24"/>
          <w:lang w:val="en-US"/>
        </w:rPr>
        <w:t>REFERENCES</w:t>
      </w:r>
    </w:p>
    <w:p w14:paraId="12DC1294"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Pr>
          <w:rFonts w:ascii="Calibri" w:hAnsi="Calibri"/>
          <w:b/>
          <w:bCs/>
          <w:noProof/>
        </w:rPr>
        <w:fldChar w:fldCharType="begin" w:fldLock="1"/>
      </w:r>
      <w:r>
        <w:rPr>
          <w:rFonts w:ascii="Calibri" w:hAnsi="Calibri"/>
          <w:b/>
          <w:bCs/>
          <w:noProof/>
        </w:rPr>
        <w:instrText xml:space="preserve">ADDIN Mendeley Bibliography CSL_BIBLIOGRAPHY </w:instrText>
      </w:r>
      <w:r>
        <w:rPr>
          <w:rFonts w:ascii="Calibri" w:hAnsi="Calibri"/>
          <w:b/>
          <w:bCs/>
          <w:noProof/>
        </w:rPr>
        <w:fldChar w:fldCharType="separate"/>
      </w:r>
      <w:r w:rsidRPr="0045259C">
        <w:rPr>
          <w:rFonts w:ascii="Calibri" w:hAnsi="Calibri"/>
          <w:noProof/>
          <w:szCs w:val="24"/>
          <w:lang w:val="en-US"/>
        </w:rPr>
        <w:t xml:space="preserve">1. Denning DW, Hope WW. Therapy for fungal diseases: Opportunities and priorities. </w:t>
      </w:r>
      <w:r w:rsidRPr="0045259C">
        <w:rPr>
          <w:rFonts w:ascii="Calibri" w:hAnsi="Calibri"/>
          <w:i/>
          <w:iCs/>
          <w:noProof/>
          <w:szCs w:val="24"/>
          <w:lang w:val="en-US"/>
        </w:rPr>
        <w:t>Trends Microbiol</w:t>
      </w:r>
      <w:r w:rsidRPr="0045259C">
        <w:rPr>
          <w:rFonts w:ascii="Calibri" w:hAnsi="Calibri"/>
          <w:noProof/>
          <w:szCs w:val="24"/>
          <w:lang w:val="en-US"/>
        </w:rPr>
        <w:t xml:space="preserve"> 2010; </w:t>
      </w:r>
      <w:r w:rsidRPr="0045259C">
        <w:rPr>
          <w:rFonts w:ascii="Calibri" w:hAnsi="Calibri"/>
          <w:b/>
          <w:bCs/>
          <w:noProof/>
          <w:szCs w:val="24"/>
          <w:lang w:val="en-US"/>
        </w:rPr>
        <w:t>18</w:t>
      </w:r>
      <w:r w:rsidRPr="0045259C">
        <w:rPr>
          <w:rFonts w:ascii="Calibri" w:hAnsi="Calibri"/>
          <w:noProof/>
          <w:szCs w:val="24"/>
          <w:lang w:val="en-US"/>
        </w:rPr>
        <w:t>: 195–204.</w:t>
      </w:r>
    </w:p>
    <w:p w14:paraId="1FC16014"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2. Stevens DA, Kan VL, Judson MA, </w:t>
      </w:r>
      <w:r w:rsidRPr="0045259C">
        <w:rPr>
          <w:rFonts w:ascii="Calibri" w:hAnsi="Calibri"/>
          <w:i/>
          <w:iCs/>
          <w:noProof/>
          <w:szCs w:val="24"/>
          <w:lang w:val="en-US"/>
        </w:rPr>
        <w:t>et al.</w:t>
      </w:r>
      <w:r w:rsidRPr="0045259C">
        <w:rPr>
          <w:rFonts w:ascii="Calibri" w:hAnsi="Calibri"/>
          <w:noProof/>
          <w:szCs w:val="24"/>
          <w:lang w:val="en-US"/>
        </w:rPr>
        <w:t xml:space="preserve"> Practice guidelines for diseases caused by Aspergillus. Infectious Diseases Society of America. </w:t>
      </w:r>
      <w:r w:rsidRPr="0045259C">
        <w:rPr>
          <w:rFonts w:ascii="Calibri" w:hAnsi="Calibri"/>
          <w:i/>
          <w:iCs/>
          <w:noProof/>
          <w:szCs w:val="24"/>
          <w:lang w:val="en-US"/>
        </w:rPr>
        <w:t>Clin Infect Dis</w:t>
      </w:r>
      <w:r w:rsidRPr="0045259C">
        <w:rPr>
          <w:rFonts w:ascii="Calibri" w:hAnsi="Calibri"/>
          <w:noProof/>
          <w:szCs w:val="24"/>
          <w:lang w:val="en-US"/>
        </w:rPr>
        <w:t xml:space="preserve"> 2000; </w:t>
      </w:r>
      <w:r w:rsidRPr="0045259C">
        <w:rPr>
          <w:rFonts w:ascii="Calibri" w:hAnsi="Calibri"/>
          <w:b/>
          <w:bCs/>
          <w:noProof/>
          <w:szCs w:val="24"/>
          <w:lang w:val="en-US"/>
        </w:rPr>
        <w:t>30</w:t>
      </w:r>
      <w:r w:rsidRPr="0045259C">
        <w:rPr>
          <w:rFonts w:ascii="Calibri" w:hAnsi="Calibri"/>
          <w:noProof/>
          <w:szCs w:val="24"/>
          <w:lang w:val="en-US"/>
        </w:rPr>
        <w:t>: 696–709.</w:t>
      </w:r>
    </w:p>
    <w:p w14:paraId="588FAE77"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3. Herbrecht R, Denning DW, Patterson TF, </w:t>
      </w:r>
      <w:r w:rsidRPr="0045259C">
        <w:rPr>
          <w:rFonts w:ascii="Calibri" w:hAnsi="Calibri"/>
          <w:i/>
          <w:iCs/>
          <w:noProof/>
          <w:szCs w:val="24"/>
          <w:lang w:val="en-US"/>
        </w:rPr>
        <w:t>et al.</w:t>
      </w:r>
      <w:r w:rsidRPr="0045259C">
        <w:rPr>
          <w:rFonts w:ascii="Calibri" w:hAnsi="Calibri"/>
          <w:noProof/>
          <w:szCs w:val="24"/>
          <w:lang w:val="en-US"/>
        </w:rPr>
        <w:t xml:space="preserve"> Voriconazole versus amphotericin B for primary therapy of invasive aspergillosis. </w:t>
      </w:r>
      <w:r w:rsidRPr="0045259C">
        <w:rPr>
          <w:rFonts w:ascii="Calibri" w:hAnsi="Calibri"/>
          <w:i/>
          <w:iCs/>
          <w:noProof/>
          <w:szCs w:val="24"/>
          <w:lang w:val="en-US"/>
        </w:rPr>
        <w:t>N Engl J Med</w:t>
      </w:r>
      <w:r w:rsidRPr="0045259C">
        <w:rPr>
          <w:rFonts w:ascii="Calibri" w:hAnsi="Calibri"/>
          <w:noProof/>
          <w:szCs w:val="24"/>
          <w:lang w:val="en-US"/>
        </w:rPr>
        <w:t xml:space="preserve"> 2002; </w:t>
      </w:r>
      <w:r w:rsidRPr="0045259C">
        <w:rPr>
          <w:rFonts w:ascii="Calibri" w:hAnsi="Calibri"/>
          <w:b/>
          <w:bCs/>
          <w:noProof/>
          <w:szCs w:val="24"/>
          <w:lang w:val="en-US"/>
        </w:rPr>
        <w:t>347</w:t>
      </w:r>
      <w:r w:rsidRPr="0045259C">
        <w:rPr>
          <w:rFonts w:ascii="Calibri" w:hAnsi="Calibri"/>
          <w:noProof/>
          <w:szCs w:val="24"/>
          <w:lang w:val="en-US"/>
        </w:rPr>
        <w:t>: 408–15.</w:t>
      </w:r>
    </w:p>
    <w:p w14:paraId="1B24E4D9"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4. Kullberg BJ, Sobel JD, Ruhnke M, </w:t>
      </w:r>
      <w:r w:rsidRPr="0045259C">
        <w:rPr>
          <w:rFonts w:ascii="Calibri" w:hAnsi="Calibri"/>
          <w:i/>
          <w:iCs/>
          <w:noProof/>
          <w:szCs w:val="24"/>
          <w:lang w:val="en-US"/>
        </w:rPr>
        <w:t>et al.</w:t>
      </w:r>
      <w:r w:rsidRPr="0045259C">
        <w:rPr>
          <w:rFonts w:ascii="Calibri" w:hAnsi="Calibri"/>
          <w:noProof/>
          <w:szCs w:val="24"/>
          <w:lang w:val="en-US"/>
        </w:rPr>
        <w:t xml:space="preserve"> Voriconazole versus a regimen of amphotericin B followed by fluconazole for candidaemia in non-neutropenic patients: a randomised non-inferiority trial. </w:t>
      </w:r>
      <w:r w:rsidRPr="0045259C">
        <w:rPr>
          <w:rFonts w:ascii="Calibri" w:hAnsi="Calibri"/>
          <w:i/>
          <w:iCs/>
          <w:noProof/>
          <w:szCs w:val="24"/>
          <w:lang w:val="en-US"/>
        </w:rPr>
        <w:t>Lancet</w:t>
      </w:r>
      <w:r w:rsidRPr="0045259C">
        <w:rPr>
          <w:rFonts w:ascii="Calibri" w:hAnsi="Calibri"/>
          <w:noProof/>
          <w:szCs w:val="24"/>
          <w:lang w:val="en-US"/>
        </w:rPr>
        <w:t xml:space="preserve"> 2005; </w:t>
      </w:r>
      <w:r w:rsidRPr="0045259C">
        <w:rPr>
          <w:rFonts w:ascii="Calibri" w:hAnsi="Calibri"/>
          <w:b/>
          <w:bCs/>
          <w:noProof/>
          <w:szCs w:val="24"/>
          <w:lang w:val="en-US"/>
        </w:rPr>
        <w:t>366</w:t>
      </w:r>
      <w:r w:rsidRPr="0045259C">
        <w:rPr>
          <w:rFonts w:ascii="Calibri" w:hAnsi="Calibri"/>
          <w:noProof/>
          <w:szCs w:val="24"/>
          <w:lang w:val="en-US"/>
        </w:rPr>
        <w:t>: 1435–42.</w:t>
      </w:r>
    </w:p>
    <w:p w14:paraId="716C1599"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5. Lortholary O, Obenga G, Biswas P, </w:t>
      </w:r>
      <w:r w:rsidRPr="0045259C">
        <w:rPr>
          <w:rFonts w:ascii="Calibri" w:hAnsi="Calibri"/>
          <w:i/>
          <w:iCs/>
          <w:noProof/>
          <w:szCs w:val="24"/>
          <w:lang w:val="en-US"/>
        </w:rPr>
        <w:t>et al.</w:t>
      </w:r>
      <w:r w:rsidRPr="0045259C">
        <w:rPr>
          <w:rFonts w:ascii="Calibri" w:hAnsi="Calibri"/>
          <w:noProof/>
          <w:szCs w:val="24"/>
          <w:lang w:val="en-US"/>
        </w:rPr>
        <w:t xml:space="preserve"> International retrospective analysis of 73 cases of invasive fusariosis treated with voriconazole. </w:t>
      </w:r>
      <w:r w:rsidRPr="0045259C">
        <w:rPr>
          <w:rFonts w:ascii="Calibri" w:hAnsi="Calibri"/>
          <w:i/>
          <w:iCs/>
          <w:noProof/>
          <w:szCs w:val="24"/>
          <w:lang w:val="en-US"/>
        </w:rPr>
        <w:t>Antimicrob Agents Chemother</w:t>
      </w:r>
      <w:r w:rsidRPr="0045259C">
        <w:rPr>
          <w:rFonts w:ascii="Calibri" w:hAnsi="Calibri"/>
          <w:noProof/>
          <w:szCs w:val="24"/>
          <w:lang w:val="en-US"/>
        </w:rPr>
        <w:t xml:space="preserve"> 2010; </w:t>
      </w:r>
      <w:r w:rsidRPr="0045259C">
        <w:rPr>
          <w:rFonts w:ascii="Calibri" w:hAnsi="Calibri"/>
          <w:b/>
          <w:bCs/>
          <w:noProof/>
          <w:szCs w:val="24"/>
          <w:lang w:val="en-US"/>
        </w:rPr>
        <w:t>54</w:t>
      </w:r>
      <w:r w:rsidRPr="0045259C">
        <w:rPr>
          <w:rFonts w:ascii="Calibri" w:hAnsi="Calibri"/>
          <w:noProof/>
          <w:szCs w:val="24"/>
          <w:lang w:val="en-US"/>
        </w:rPr>
        <w:t>: 4446–50.</w:t>
      </w:r>
    </w:p>
    <w:p w14:paraId="5A857455"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6. Troke P, Aguirrebengoa K, Arteaga C, </w:t>
      </w:r>
      <w:r w:rsidRPr="0045259C">
        <w:rPr>
          <w:rFonts w:ascii="Calibri" w:hAnsi="Calibri"/>
          <w:i/>
          <w:iCs/>
          <w:noProof/>
          <w:szCs w:val="24"/>
          <w:lang w:val="en-US"/>
        </w:rPr>
        <w:t>et al.</w:t>
      </w:r>
      <w:r w:rsidRPr="0045259C">
        <w:rPr>
          <w:rFonts w:ascii="Calibri" w:hAnsi="Calibri"/>
          <w:noProof/>
          <w:szCs w:val="24"/>
          <w:lang w:val="en-US"/>
        </w:rPr>
        <w:t xml:space="preserve"> Treatment of scedosporiosis with voriconazole: Clinical experience with 107 patients. </w:t>
      </w:r>
      <w:r w:rsidRPr="0045259C">
        <w:rPr>
          <w:rFonts w:ascii="Calibri" w:hAnsi="Calibri"/>
          <w:i/>
          <w:iCs/>
          <w:noProof/>
          <w:szCs w:val="24"/>
          <w:lang w:val="en-US"/>
        </w:rPr>
        <w:t>Antimicrob Agents Chemother</w:t>
      </w:r>
      <w:r w:rsidRPr="0045259C">
        <w:rPr>
          <w:rFonts w:ascii="Calibri" w:hAnsi="Calibri"/>
          <w:noProof/>
          <w:szCs w:val="24"/>
          <w:lang w:val="en-US"/>
        </w:rPr>
        <w:t xml:space="preserve"> 2008; </w:t>
      </w:r>
      <w:r w:rsidRPr="0045259C">
        <w:rPr>
          <w:rFonts w:ascii="Calibri" w:hAnsi="Calibri"/>
          <w:b/>
          <w:bCs/>
          <w:noProof/>
          <w:szCs w:val="24"/>
          <w:lang w:val="en-US"/>
        </w:rPr>
        <w:t>52</w:t>
      </w:r>
      <w:r w:rsidRPr="0045259C">
        <w:rPr>
          <w:rFonts w:ascii="Calibri" w:hAnsi="Calibri"/>
          <w:noProof/>
          <w:szCs w:val="24"/>
          <w:lang w:val="en-US"/>
        </w:rPr>
        <w:t>: 1743–50.</w:t>
      </w:r>
    </w:p>
    <w:p w14:paraId="4CCCD47E"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7. Mouas H, Lutsar I, Dupont B, </w:t>
      </w:r>
      <w:r w:rsidRPr="0045259C">
        <w:rPr>
          <w:rFonts w:ascii="Calibri" w:hAnsi="Calibri"/>
          <w:i/>
          <w:iCs/>
          <w:noProof/>
          <w:szCs w:val="24"/>
          <w:lang w:val="en-US"/>
        </w:rPr>
        <w:t>et al.</w:t>
      </w:r>
      <w:r w:rsidRPr="0045259C">
        <w:rPr>
          <w:rFonts w:ascii="Calibri" w:hAnsi="Calibri"/>
          <w:noProof/>
          <w:szCs w:val="24"/>
          <w:lang w:val="en-US"/>
        </w:rPr>
        <w:t xml:space="preserve"> Voriconazole for invasive bone aspergillosis: a worldwide experience of 20 cases. </w:t>
      </w:r>
      <w:r w:rsidRPr="0045259C">
        <w:rPr>
          <w:rFonts w:ascii="Calibri" w:hAnsi="Calibri"/>
          <w:i/>
          <w:iCs/>
          <w:noProof/>
          <w:szCs w:val="24"/>
          <w:lang w:val="en-US"/>
        </w:rPr>
        <w:t>Clin Infect Dis</w:t>
      </w:r>
      <w:r w:rsidRPr="0045259C">
        <w:rPr>
          <w:rFonts w:ascii="Calibri" w:hAnsi="Calibri"/>
          <w:noProof/>
          <w:szCs w:val="24"/>
          <w:lang w:val="en-US"/>
        </w:rPr>
        <w:t xml:space="preserve"> 2005; </w:t>
      </w:r>
      <w:r w:rsidRPr="0045259C">
        <w:rPr>
          <w:rFonts w:ascii="Calibri" w:hAnsi="Calibri"/>
          <w:b/>
          <w:bCs/>
          <w:noProof/>
          <w:szCs w:val="24"/>
          <w:lang w:val="en-US"/>
        </w:rPr>
        <w:t>40</w:t>
      </w:r>
      <w:r w:rsidRPr="0045259C">
        <w:rPr>
          <w:rFonts w:ascii="Calibri" w:hAnsi="Calibri"/>
          <w:noProof/>
          <w:szCs w:val="24"/>
          <w:lang w:val="en-US"/>
        </w:rPr>
        <w:t>: 1141–7.</w:t>
      </w:r>
    </w:p>
    <w:p w14:paraId="6900CA06"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8. Schwartz S, Ruhnke M, Ribaud P, </w:t>
      </w:r>
      <w:r w:rsidRPr="0045259C">
        <w:rPr>
          <w:rFonts w:ascii="Calibri" w:hAnsi="Calibri"/>
          <w:i/>
          <w:iCs/>
          <w:noProof/>
          <w:szCs w:val="24"/>
          <w:lang w:val="en-US"/>
        </w:rPr>
        <w:t>et al.</w:t>
      </w:r>
      <w:r w:rsidRPr="0045259C">
        <w:rPr>
          <w:rFonts w:ascii="Calibri" w:hAnsi="Calibri"/>
          <w:noProof/>
          <w:szCs w:val="24"/>
          <w:lang w:val="en-US"/>
        </w:rPr>
        <w:t xml:space="preserve"> Improved outcome in central nervous system aspergillosis, using voriconazole treatment. </w:t>
      </w:r>
      <w:r w:rsidRPr="0045259C">
        <w:rPr>
          <w:rFonts w:ascii="Calibri" w:hAnsi="Calibri"/>
          <w:i/>
          <w:iCs/>
          <w:noProof/>
          <w:szCs w:val="24"/>
          <w:lang w:val="en-US"/>
        </w:rPr>
        <w:t>Blood</w:t>
      </w:r>
      <w:r w:rsidRPr="0045259C">
        <w:rPr>
          <w:rFonts w:ascii="Calibri" w:hAnsi="Calibri"/>
          <w:noProof/>
          <w:szCs w:val="24"/>
          <w:lang w:val="en-US"/>
        </w:rPr>
        <w:t xml:space="preserve"> 2005; </w:t>
      </w:r>
      <w:r w:rsidRPr="0045259C">
        <w:rPr>
          <w:rFonts w:ascii="Calibri" w:hAnsi="Calibri"/>
          <w:b/>
          <w:bCs/>
          <w:noProof/>
          <w:szCs w:val="24"/>
          <w:lang w:val="en-US"/>
        </w:rPr>
        <w:t>106</w:t>
      </w:r>
      <w:r w:rsidRPr="0045259C">
        <w:rPr>
          <w:rFonts w:ascii="Calibri" w:hAnsi="Calibri"/>
          <w:noProof/>
          <w:szCs w:val="24"/>
          <w:lang w:val="en-US"/>
        </w:rPr>
        <w:t>: 2641–5.</w:t>
      </w:r>
    </w:p>
    <w:p w14:paraId="5E5349BB"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9. Wingard JR, Carter SL, Walsh TJ, </w:t>
      </w:r>
      <w:r w:rsidRPr="0045259C">
        <w:rPr>
          <w:rFonts w:ascii="Calibri" w:hAnsi="Calibri"/>
          <w:i/>
          <w:iCs/>
          <w:noProof/>
          <w:szCs w:val="24"/>
          <w:lang w:val="en-US"/>
        </w:rPr>
        <w:t>et al.</w:t>
      </w:r>
      <w:r w:rsidRPr="0045259C">
        <w:rPr>
          <w:rFonts w:ascii="Calibri" w:hAnsi="Calibri"/>
          <w:noProof/>
          <w:szCs w:val="24"/>
          <w:lang w:val="en-US"/>
        </w:rPr>
        <w:t xml:space="preserve"> Randomized, double-blind trial of fluconazole versus voriconazole for prevention of invasive fungal infection after allogeneic hematopoietic cell transplantation. </w:t>
      </w:r>
      <w:r w:rsidRPr="0045259C">
        <w:rPr>
          <w:rFonts w:ascii="Calibri" w:hAnsi="Calibri"/>
          <w:i/>
          <w:iCs/>
          <w:noProof/>
          <w:szCs w:val="24"/>
          <w:lang w:val="en-US"/>
        </w:rPr>
        <w:t>Blood</w:t>
      </w:r>
      <w:r w:rsidRPr="0045259C">
        <w:rPr>
          <w:rFonts w:ascii="Calibri" w:hAnsi="Calibri"/>
          <w:noProof/>
          <w:szCs w:val="24"/>
          <w:lang w:val="en-US"/>
        </w:rPr>
        <w:t xml:space="preserve"> 2010; </w:t>
      </w:r>
      <w:r w:rsidRPr="0045259C">
        <w:rPr>
          <w:rFonts w:ascii="Calibri" w:hAnsi="Calibri"/>
          <w:b/>
          <w:bCs/>
          <w:noProof/>
          <w:szCs w:val="24"/>
          <w:lang w:val="en-US"/>
        </w:rPr>
        <w:t>116</w:t>
      </w:r>
      <w:r w:rsidRPr="0045259C">
        <w:rPr>
          <w:rFonts w:ascii="Calibri" w:hAnsi="Calibri"/>
          <w:noProof/>
          <w:szCs w:val="24"/>
          <w:lang w:val="en-US"/>
        </w:rPr>
        <w:t>: 5111–8.</w:t>
      </w:r>
    </w:p>
    <w:p w14:paraId="3C4066F2"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10. Marks DI, Pagliuca A, Kibbler CC, </w:t>
      </w:r>
      <w:r w:rsidRPr="0045259C">
        <w:rPr>
          <w:rFonts w:ascii="Calibri" w:hAnsi="Calibri"/>
          <w:i/>
          <w:iCs/>
          <w:noProof/>
          <w:szCs w:val="24"/>
          <w:lang w:val="en-US"/>
        </w:rPr>
        <w:t>et al.</w:t>
      </w:r>
      <w:r w:rsidRPr="0045259C">
        <w:rPr>
          <w:rFonts w:ascii="Calibri" w:hAnsi="Calibri"/>
          <w:noProof/>
          <w:szCs w:val="24"/>
          <w:lang w:val="en-US"/>
        </w:rPr>
        <w:t xml:space="preserve"> Voriconazole versus itraconazole for antifungal prophylaxis following allogeneic haematopoietic stem-cell transplantation. </w:t>
      </w:r>
      <w:r w:rsidRPr="0045259C">
        <w:rPr>
          <w:rFonts w:ascii="Calibri" w:hAnsi="Calibri"/>
          <w:i/>
          <w:iCs/>
          <w:noProof/>
          <w:szCs w:val="24"/>
          <w:lang w:val="en-US"/>
        </w:rPr>
        <w:t>Br J Haematol</w:t>
      </w:r>
      <w:r w:rsidRPr="0045259C">
        <w:rPr>
          <w:rFonts w:ascii="Calibri" w:hAnsi="Calibri"/>
          <w:noProof/>
          <w:szCs w:val="24"/>
          <w:lang w:val="en-US"/>
        </w:rPr>
        <w:t xml:space="preserve"> 2011; </w:t>
      </w:r>
      <w:r w:rsidRPr="0045259C">
        <w:rPr>
          <w:rFonts w:ascii="Calibri" w:hAnsi="Calibri"/>
          <w:b/>
          <w:bCs/>
          <w:noProof/>
          <w:szCs w:val="24"/>
          <w:lang w:val="en-US"/>
        </w:rPr>
        <w:t>155</w:t>
      </w:r>
      <w:r w:rsidRPr="0045259C">
        <w:rPr>
          <w:rFonts w:ascii="Calibri" w:hAnsi="Calibri"/>
          <w:noProof/>
          <w:szCs w:val="24"/>
          <w:lang w:val="en-US"/>
        </w:rPr>
        <w:t>: 318–27.</w:t>
      </w:r>
    </w:p>
    <w:p w14:paraId="0DBA2DDB"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11. Troke PF, Hockey HP, Hope WW. Observational study of the clinical efficacy of voriconazole and its relationship to plasma concentrations in patients. </w:t>
      </w:r>
      <w:r w:rsidRPr="0045259C">
        <w:rPr>
          <w:rFonts w:ascii="Calibri" w:hAnsi="Calibri"/>
          <w:i/>
          <w:iCs/>
          <w:noProof/>
          <w:szCs w:val="24"/>
          <w:lang w:val="en-US"/>
        </w:rPr>
        <w:t>Antimicrob Agents Chemother</w:t>
      </w:r>
      <w:r w:rsidRPr="0045259C">
        <w:rPr>
          <w:rFonts w:ascii="Calibri" w:hAnsi="Calibri"/>
          <w:noProof/>
          <w:szCs w:val="24"/>
          <w:lang w:val="en-US"/>
        </w:rPr>
        <w:t xml:space="preserve"> 2011; </w:t>
      </w:r>
      <w:r w:rsidRPr="0045259C">
        <w:rPr>
          <w:rFonts w:ascii="Calibri" w:hAnsi="Calibri"/>
          <w:b/>
          <w:bCs/>
          <w:noProof/>
          <w:szCs w:val="24"/>
          <w:lang w:val="en-US"/>
        </w:rPr>
        <w:t>55</w:t>
      </w:r>
      <w:r w:rsidRPr="0045259C">
        <w:rPr>
          <w:rFonts w:ascii="Calibri" w:hAnsi="Calibri"/>
          <w:noProof/>
          <w:szCs w:val="24"/>
          <w:lang w:val="en-US"/>
        </w:rPr>
        <w:t>: 4782–8.</w:t>
      </w:r>
    </w:p>
    <w:p w14:paraId="3A7DD92A"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12. Jeans AR, Howard SJ, Al-Nakeeb Z, </w:t>
      </w:r>
      <w:r w:rsidRPr="0045259C">
        <w:rPr>
          <w:rFonts w:ascii="Calibri" w:hAnsi="Calibri"/>
          <w:i/>
          <w:iCs/>
          <w:noProof/>
          <w:szCs w:val="24"/>
          <w:lang w:val="en-US"/>
        </w:rPr>
        <w:t>et al.</w:t>
      </w:r>
      <w:r w:rsidRPr="0045259C">
        <w:rPr>
          <w:rFonts w:ascii="Calibri" w:hAnsi="Calibri"/>
          <w:noProof/>
          <w:szCs w:val="24"/>
          <w:lang w:val="en-US"/>
        </w:rPr>
        <w:t xml:space="preserve"> Pharmacodynamics of voriconazole in a dynamic in vitro model of invasive pulmonary aspergillosis: implications for in vitro susceptibility breakpoints. </w:t>
      </w:r>
      <w:r w:rsidRPr="0045259C">
        <w:rPr>
          <w:rFonts w:ascii="Calibri" w:hAnsi="Calibri"/>
          <w:i/>
          <w:iCs/>
          <w:noProof/>
          <w:szCs w:val="24"/>
          <w:lang w:val="en-US"/>
        </w:rPr>
        <w:t>J Infect Dis</w:t>
      </w:r>
      <w:r w:rsidRPr="0045259C">
        <w:rPr>
          <w:rFonts w:ascii="Calibri" w:hAnsi="Calibri"/>
          <w:noProof/>
          <w:szCs w:val="24"/>
          <w:lang w:val="en-US"/>
        </w:rPr>
        <w:t xml:space="preserve"> 2012; </w:t>
      </w:r>
      <w:r w:rsidRPr="0045259C">
        <w:rPr>
          <w:rFonts w:ascii="Calibri" w:hAnsi="Calibri"/>
          <w:b/>
          <w:bCs/>
          <w:noProof/>
          <w:szCs w:val="24"/>
          <w:lang w:val="en-US"/>
        </w:rPr>
        <w:t>206</w:t>
      </w:r>
      <w:r w:rsidRPr="0045259C">
        <w:rPr>
          <w:rFonts w:ascii="Calibri" w:hAnsi="Calibri"/>
          <w:noProof/>
          <w:szCs w:val="24"/>
          <w:lang w:val="en-US"/>
        </w:rPr>
        <w:t>: 442–52.</w:t>
      </w:r>
    </w:p>
    <w:p w14:paraId="0900F95A" w14:textId="50496353"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13. Pascual A, Calandra T, Bolay S, </w:t>
      </w:r>
      <w:r w:rsidR="00250C22" w:rsidRPr="0045259C">
        <w:rPr>
          <w:rFonts w:ascii="Calibri" w:hAnsi="Calibri"/>
          <w:i/>
          <w:iCs/>
          <w:noProof/>
          <w:szCs w:val="24"/>
          <w:lang w:val="en-US"/>
        </w:rPr>
        <w:t>et al</w:t>
      </w:r>
      <w:r w:rsidRPr="0045259C">
        <w:rPr>
          <w:rFonts w:ascii="Calibri" w:hAnsi="Calibri"/>
          <w:noProof/>
          <w:szCs w:val="24"/>
          <w:lang w:val="en-US"/>
        </w:rPr>
        <w:t xml:space="preserve">. Voriconazole therapeutic drug monitoring in patients with invasive mycoses improves efficacy and safety outcomes. </w:t>
      </w:r>
      <w:r w:rsidRPr="0045259C">
        <w:rPr>
          <w:rFonts w:ascii="Calibri" w:hAnsi="Calibri"/>
          <w:i/>
          <w:iCs/>
          <w:noProof/>
          <w:szCs w:val="24"/>
          <w:lang w:val="en-US"/>
        </w:rPr>
        <w:t>Clin Infect Dis</w:t>
      </w:r>
      <w:r w:rsidRPr="0045259C">
        <w:rPr>
          <w:rFonts w:ascii="Calibri" w:hAnsi="Calibri"/>
          <w:noProof/>
          <w:szCs w:val="24"/>
          <w:lang w:val="en-US"/>
        </w:rPr>
        <w:t xml:space="preserve"> 2008; </w:t>
      </w:r>
      <w:r w:rsidRPr="0045259C">
        <w:rPr>
          <w:rFonts w:ascii="Calibri" w:hAnsi="Calibri"/>
          <w:b/>
          <w:bCs/>
          <w:noProof/>
          <w:szCs w:val="24"/>
          <w:lang w:val="en-US"/>
        </w:rPr>
        <w:t>46</w:t>
      </w:r>
      <w:r w:rsidRPr="0045259C">
        <w:rPr>
          <w:rFonts w:ascii="Calibri" w:hAnsi="Calibri"/>
          <w:noProof/>
          <w:szCs w:val="24"/>
          <w:lang w:val="en-US"/>
        </w:rPr>
        <w:t>: 201–11.</w:t>
      </w:r>
    </w:p>
    <w:p w14:paraId="056AA40D"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14. Smith J, Safdar N, Knasinski V, </w:t>
      </w:r>
      <w:r w:rsidRPr="0045259C">
        <w:rPr>
          <w:rFonts w:ascii="Calibri" w:hAnsi="Calibri"/>
          <w:i/>
          <w:iCs/>
          <w:noProof/>
          <w:szCs w:val="24"/>
          <w:lang w:val="en-US"/>
        </w:rPr>
        <w:t>et al.</w:t>
      </w:r>
      <w:r w:rsidRPr="0045259C">
        <w:rPr>
          <w:rFonts w:ascii="Calibri" w:hAnsi="Calibri"/>
          <w:noProof/>
          <w:szCs w:val="24"/>
          <w:lang w:val="en-US"/>
        </w:rPr>
        <w:t xml:space="preserve"> Voriconazole therapeutic drug monitoring. </w:t>
      </w:r>
      <w:r w:rsidRPr="0045259C">
        <w:rPr>
          <w:rFonts w:ascii="Calibri" w:hAnsi="Calibri"/>
          <w:i/>
          <w:iCs/>
          <w:noProof/>
          <w:szCs w:val="24"/>
          <w:lang w:val="en-US"/>
        </w:rPr>
        <w:t>Antimicrob Agents Chemother</w:t>
      </w:r>
      <w:r w:rsidRPr="0045259C">
        <w:rPr>
          <w:rFonts w:ascii="Calibri" w:hAnsi="Calibri"/>
          <w:noProof/>
          <w:szCs w:val="24"/>
          <w:lang w:val="en-US"/>
        </w:rPr>
        <w:t xml:space="preserve"> 2006; </w:t>
      </w:r>
      <w:r w:rsidRPr="0045259C">
        <w:rPr>
          <w:rFonts w:ascii="Calibri" w:hAnsi="Calibri"/>
          <w:b/>
          <w:bCs/>
          <w:noProof/>
          <w:szCs w:val="24"/>
          <w:lang w:val="en-US"/>
        </w:rPr>
        <w:t>50</w:t>
      </w:r>
      <w:r w:rsidRPr="0045259C">
        <w:rPr>
          <w:rFonts w:ascii="Calibri" w:hAnsi="Calibri"/>
          <w:noProof/>
          <w:szCs w:val="24"/>
          <w:lang w:val="en-US"/>
        </w:rPr>
        <w:t>: 1570–2.</w:t>
      </w:r>
    </w:p>
    <w:p w14:paraId="67243C98" w14:textId="2A743E85"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15. Ashbee HR, Barnes RA, Johnson EM, </w:t>
      </w:r>
      <w:r w:rsidR="00250C22" w:rsidRPr="0045259C">
        <w:rPr>
          <w:rFonts w:ascii="Calibri" w:hAnsi="Calibri"/>
          <w:i/>
          <w:iCs/>
          <w:noProof/>
          <w:szCs w:val="24"/>
          <w:lang w:val="en-US"/>
        </w:rPr>
        <w:t>et al</w:t>
      </w:r>
      <w:r w:rsidRPr="0045259C">
        <w:rPr>
          <w:rFonts w:ascii="Calibri" w:hAnsi="Calibri"/>
          <w:noProof/>
          <w:szCs w:val="24"/>
          <w:lang w:val="en-US"/>
        </w:rPr>
        <w:t xml:space="preserve">. Therapeutic drug monitoring (TDM) of antifungal agents: guidelines from the British Society for Medical Mycology. </w:t>
      </w:r>
      <w:r w:rsidRPr="0045259C">
        <w:rPr>
          <w:rFonts w:ascii="Calibri" w:hAnsi="Calibri"/>
          <w:i/>
          <w:iCs/>
          <w:noProof/>
          <w:szCs w:val="24"/>
          <w:lang w:val="en-US"/>
        </w:rPr>
        <w:t>J Antimicrob Chemother</w:t>
      </w:r>
      <w:r w:rsidRPr="0045259C">
        <w:rPr>
          <w:rFonts w:ascii="Calibri" w:hAnsi="Calibri"/>
          <w:noProof/>
          <w:szCs w:val="24"/>
          <w:lang w:val="en-US"/>
        </w:rPr>
        <w:t xml:space="preserve"> 2014; </w:t>
      </w:r>
      <w:r w:rsidRPr="0045259C">
        <w:rPr>
          <w:rFonts w:ascii="Calibri" w:hAnsi="Calibri"/>
          <w:b/>
          <w:bCs/>
          <w:noProof/>
          <w:szCs w:val="24"/>
          <w:lang w:val="en-US"/>
        </w:rPr>
        <w:t>69</w:t>
      </w:r>
      <w:r w:rsidRPr="0045259C">
        <w:rPr>
          <w:rFonts w:ascii="Calibri" w:hAnsi="Calibri"/>
          <w:noProof/>
          <w:szCs w:val="24"/>
          <w:lang w:val="en-US"/>
        </w:rPr>
        <w:t>: 1162–76.</w:t>
      </w:r>
    </w:p>
    <w:p w14:paraId="7435840F"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16. Andes D, Pascual A, Marchetti O. Antifungal therapeutic drug monitoring: established and emerging indications. </w:t>
      </w:r>
      <w:r w:rsidRPr="0045259C">
        <w:rPr>
          <w:rFonts w:ascii="Calibri" w:hAnsi="Calibri"/>
          <w:i/>
          <w:iCs/>
          <w:noProof/>
          <w:szCs w:val="24"/>
          <w:lang w:val="en-US"/>
        </w:rPr>
        <w:t>Antimicrob Agents Chemother</w:t>
      </w:r>
      <w:r w:rsidRPr="0045259C">
        <w:rPr>
          <w:rFonts w:ascii="Calibri" w:hAnsi="Calibri"/>
          <w:noProof/>
          <w:szCs w:val="24"/>
          <w:lang w:val="en-US"/>
        </w:rPr>
        <w:t xml:space="preserve"> 2009; </w:t>
      </w:r>
      <w:r w:rsidRPr="0045259C">
        <w:rPr>
          <w:rFonts w:ascii="Calibri" w:hAnsi="Calibri"/>
          <w:b/>
          <w:bCs/>
          <w:noProof/>
          <w:szCs w:val="24"/>
          <w:lang w:val="en-US"/>
        </w:rPr>
        <w:t>53</w:t>
      </w:r>
      <w:r w:rsidRPr="0045259C">
        <w:rPr>
          <w:rFonts w:ascii="Calibri" w:hAnsi="Calibri"/>
          <w:noProof/>
          <w:szCs w:val="24"/>
          <w:lang w:val="en-US"/>
        </w:rPr>
        <w:t>: 24–34.</w:t>
      </w:r>
    </w:p>
    <w:p w14:paraId="4418226B"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17. Hope WW. Population pharmacokinetics of voriconazole in adults. </w:t>
      </w:r>
      <w:r w:rsidRPr="0045259C">
        <w:rPr>
          <w:rFonts w:ascii="Calibri" w:hAnsi="Calibri"/>
          <w:i/>
          <w:iCs/>
          <w:noProof/>
          <w:szCs w:val="24"/>
          <w:lang w:val="en-US"/>
        </w:rPr>
        <w:t>Antimicrob Agents Chemother</w:t>
      </w:r>
      <w:r w:rsidRPr="0045259C">
        <w:rPr>
          <w:rFonts w:ascii="Calibri" w:hAnsi="Calibri"/>
          <w:noProof/>
          <w:szCs w:val="24"/>
          <w:lang w:val="en-US"/>
        </w:rPr>
        <w:t xml:space="preserve"> </w:t>
      </w:r>
      <w:r w:rsidRPr="0045259C">
        <w:rPr>
          <w:rFonts w:ascii="Calibri" w:hAnsi="Calibri"/>
          <w:noProof/>
          <w:szCs w:val="24"/>
          <w:lang w:val="en-US"/>
        </w:rPr>
        <w:lastRenderedPageBreak/>
        <w:t xml:space="preserve">2012; </w:t>
      </w:r>
      <w:r w:rsidRPr="0045259C">
        <w:rPr>
          <w:rFonts w:ascii="Calibri" w:hAnsi="Calibri"/>
          <w:b/>
          <w:bCs/>
          <w:noProof/>
          <w:szCs w:val="24"/>
          <w:lang w:val="en-US"/>
        </w:rPr>
        <w:t>56</w:t>
      </w:r>
      <w:r w:rsidRPr="0045259C">
        <w:rPr>
          <w:rFonts w:ascii="Calibri" w:hAnsi="Calibri"/>
          <w:noProof/>
          <w:szCs w:val="24"/>
          <w:lang w:val="en-US"/>
        </w:rPr>
        <w:t>: 526–31.</w:t>
      </w:r>
    </w:p>
    <w:p w14:paraId="6CED3D28"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18. Neely M, Margol A, Fu X, </w:t>
      </w:r>
      <w:r w:rsidRPr="0045259C">
        <w:rPr>
          <w:rFonts w:ascii="Calibri" w:hAnsi="Calibri"/>
          <w:i/>
          <w:iCs/>
          <w:noProof/>
          <w:szCs w:val="24"/>
          <w:lang w:val="en-US"/>
        </w:rPr>
        <w:t>et al.</w:t>
      </w:r>
      <w:r w:rsidRPr="0045259C">
        <w:rPr>
          <w:rFonts w:ascii="Calibri" w:hAnsi="Calibri"/>
          <w:noProof/>
          <w:szCs w:val="24"/>
          <w:lang w:val="en-US"/>
        </w:rPr>
        <w:t xml:space="preserve"> Achieving target voriconazole concentrations more accurately in children and adolescents. </w:t>
      </w:r>
      <w:r w:rsidRPr="0045259C">
        <w:rPr>
          <w:rFonts w:ascii="Calibri" w:hAnsi="Calibri"/>
          <w:i/>
          <w:iCs/>
          <w:noProof/>
          <w:szCs w:val="24"/>
          <w:lang w:val="en-US"/>
        </w:rPr>
        <w:t>Antimicrob Agents Chemother</w:t>
      </w:r>
      <w:r w:rsidRPr="0045259C">
        <w:rPr>
          <w:rFonts w:ascii="Calibri" w:hAnsi="Calibri"/>
          <w:noProof/>
          <w:szCs w:val="24"/>
          <w:lang w:val="en-US"/>
        </w:rPr>
        <w:t xml:space="preserve"> 2015; </w:t>
      </w:r>
      <w:r w:rsidRPr="0045259C">
        <w:rPr>
          <w:rFonts w:ascii="Calibri" w:hAnsi="Calibri"/>
          <w:b/>
          <w:bCs/>
          <w:noProof/>
          <w:szCs w:val="24"/>
          <w:lang w:val="en-US"/>
        </w:rPr>
        <w:t>59</w:t>
      </w:r>
      <w:r w:rsidRPr="0045259C">
        <w:rPr>
          <w:rFonts w:ascii="Calibri" w:hAnsi="Calibri"/>
          <w:noProof/>
          <w:szCs w:val="24"/>
          <w:lang w:val="en-US"/>
        </w:rPr>
        <w:t>: 3090–7.</w:t>
      </w:r>
    </w:p>
    <w:p w14:paraId="64502303" w14:textId="488F4636"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19. Neely MN, van Guilder MG, Yamada WM, </w:t>
      </w:r>
      <w:r w:rsidR="00250C22" w:rsidRPr="0045259C">
        <w:rPr>
          <w:rFonts w:ascii="Calibri" w:hAnsi="Calibri"/>
          <w:i/>
          <w:iCs/>
          <w:noProof/>
          <w:szCs w:val="24"/>
          <w:lang w:val="en-US"/>
        </w:rPr>
        <w:t>et al</w:t>
      </w:r>
      <w:r w:rsidRPr="0045259C">
        <w:rPr>
          <w:rFonts w:ascii="Calibri" w:hAnsi="Calibri"/>
          <w:noProof/>
          <w:szCs w:val="24"/>
          <w:lang w:val="en-US"/>
        </w:rPr>
        <w:t xml:space="preserve">. Accurate detection of outliers and subpopulations with Pmetrics, a nonparametric and parametric pharmacometric modeling and simulation package for R. </w:t>
      </w:r>
      <w:r w:rsidRPr="0045259C">
        <w:rPr>
          <w:rFonts w:ascii="Calibri" w:hAnsi="Calibri"/>
          <w:i/>
          <w:iCs/>
          <w:noProof/>
          <w:szCs w:val="24"/>
          <w:lang w:val="en-US"/>
        </w:rPr>
        <w:t>Ther Drug Monit</w:t>
      </w:r>
      <w:r w:rsidRPr="0045259C">
        <w:rPr>
          <w:rFonts w:ascii="Calibri" w:hAnsi="Calibri"/>
          <w:noProof/>
          <w:szCs w:val="24"/>
          <w:lang w:val="en-US"/>
        </w:rPr>
        <w:t xml:space="preserve"> 2012; </w:t>
      </w:r>
      <w:r w:rsidRPr="0045259C">
        <w:rPr>
          <w:rFonts w:ascii="Calibri" w:hAnsi="Calibri"/>
          <w:b/>
          <w:bCs/>
          <w:noProof/>
          <w:szCs w:val="24"/>
          <w:lang w:val="en-US"/>
        </w:rPr>
        <w:t>34</w:t>
      </w:r>
      <w:r w:rsidRPr="0045259C">
        <w:rPr>
          <w:rFonts w:ascii="Calibri" w:hAnsi="Calibri"/>
          <w:noProof/>
          <w:szCs w:val="24"/>
          <w:lang w:val="en-US"/>
        </w:rPr>
        <w:t>: 467–76.</w:t>
      </w:r>
    </w:p>
    <w:p w14:paraId="715C111D"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20. De Pauw B, Walsh TJ, Donnelly JP, </w:t>
      </w:r>
      <w:r w:rsidRPr="0045259C">
        <w:rPr>
          <w:rFonts w:ascii="Calibri" w:hAnsi="Calibri"/>
          <w:i/>
          <w:iCs/>
          <w:noProof/>
          <w:szCs w:val="24"/>
          <w:lang w:val="en-US"/>
        </w:rPr>
        <w:t>et al.</w:t>
      </w:r>
      <w:r w:rsidRPr="0045259C">
        <w:rPr>
          <w:rFonts w:ascii="Calibri" w:hAnsi="Calibri"/>
          <w:noProof/>
          <w:szCs w:val="24"/>
          <w:lang w:val="en-US"/>
        </w:rPr>
        <w:t xml:space="preserve"> Revised definitions of invasive fungal disease from the European Organization for Research and Treatment of Cancer/Invasive Fungal Infections Cooperative Group and the National Institute of Allergy and Infectious Diseases Mycoses Study Group (EORTC/MSG). </w:t>
      </w:r>
      <w:r w:rsidRPr="0045259C">
        <w:rPr>
          <w:rFonts w:ascii="Calibri" w:hAnsi="Calibri"/>
          <w:i/>
          <w:iCs/>
          <w:noProof/>
          <w:szCs w:val="24"/>
          <w:lang w:val="en-US"/>
        </w:rPr>
        <w:t>Clin Infect Dis</w:t>
      </w:r>
      <w:r w:rsidRPr="0045259C">
        <w:rPr>
          <w:rFonts w:ascii="Calibri" w:hAnsi="Calibri"/>
          <w:noProof/>
          <w:szCs w:val="24"/>
          <w:lang w:val="en-US"/>
        </w:rPr>
        <w:t xml:space="preserve"> 2008; </w:t>
      </w:r>
      <w:r w:rsidRPr="0045259C">
        <w:rPr>
          <w:rFonts w:ascii="Calibri" w:hAnsi="Calibri"/>
          <w:b/>
          <w:bCs/>
          <w:noProof/>
          <w:szCs w:val="24"/>
          <w:lang w:val="en-US"/>
        </w:rPr>
        <w:t>46</w:t>
      </w:r>
      <w:r w:rsidRPr="0045259C">
        <w:rPr>
          <w:rFonts w:ascii="Calibri" w:hAnsi="Calibri"/>
          <w:noProof/>
          <w:szCs w:val="24"/>
          <w:lang w:val="en-US"/>
        </w:rPr>
        <w:t>: 1813–21.</w:t>
      </w:r>
    </w:p>
    <w:p w14:paraId="74097C5E" w14:textId="3B8573EA"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21. Andes D, Marchillo K, Stamstad T, </w:t>
      </w:r>
      <w:r w:rsidR="00250C22" w:rsidRPr="0045259C">
        <w:rPr>
          <w:rFonts w:ascii="Calibri" w:hAnsi="Calibri"/>
          <w:i/>
          <w:iCs/>
          <w:noProof/>
          <w:szCs w:val="24"/>
          <w:lang w:val="en-US"/>
        </w:rPr>
        <w:t>et al</w:t>
      </w:r>
      <w:r w:rsidRPr="0045259C">
        <w:rPr>
          <w:rFonts w:ascii="Calibri" w:hAnsi="Calibri"/>
          <w:noProof/>
          <w:szCs w:val="24"/>
          <w:lang w:val="en-US"/>
        </w:rPr>
        <w:t xml:space="preserve">. In vivo pharmacokinetics and pharmacodynamics of a new triazole, voriconazole, in a murine candidiasis model. </w:t>
      </w:r>
      <w:r w:rsidRPr="0045259C">
        <w:rPr>
          <w:rFonts w:ascii="Calibri" w:hAnsi="Calibri"/>
          <w:i/>
          <w:iCs/>
          <w:noProof/>
          <w:szCs w:val="24"/>
          <w:lang w:val="en-US"/>
        </w:rPr>
        <w:t>Antimicrob Agents Chemother</w:t>
      </w:r>
      <w:r w:rsidRPr="0045259C">
        <w:rPr>
          <w:rFonts w:ascii="Calibri" w:hAnsi="Calibri"/>
          <w:noProof/>
          <w:szCs w:val="24"/>
          <w:lang w:val="en-US"/>
        </w:rPr>
        <w:t xml:space="preserve"> 2003; </w:t>
      </w:r>
      <w:r w:rsidRPr="0045259C">
        <w:rPr>
          <w:rFonts w:ascii="Calibri" w:hAnsi="Calibri"/>
          <w:b/>
          <w:bCs/>
          <w:noProof/>
          <w:szCs w:val="24"/>
          <w:lang w:val="en-US"/>
        </w:rPr>
        <w:t>47</w:t>
      </w:r>
      <w:r w:rsidRPr="0045259C">
        <w:rPr>
          <w:rFonts w:ascii="Calibri" w:hAnsi="Calibri"/>
          <w:noProof/>
          <w:szCs w:val="24"/>
          <w:lang w:val="en-US"/>
        </w:rPr>
        <w:t>: 3165–9.</w:t>
      </w:r>
    </w:p>
    <w:p w14:paraId="2AF525A6"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22. Trifilio S, Singhal S, Williams S, </w:t>
      </w:r>
      <w:r w:rsidRPr="0045259C">
        <w:rPr>
          <w:rFonts w:ascii="Calibri" w:hAnsi="Calibri"/>
          <w:i/>
          <w:iCs/>
          <w:noProof/>
          <w:szCs w:val="24"/>
          <w:lang w:val="en-US"/>
        </w:rPr>
        <w:t>et al.</w:t>
      </w:r>
      <w:r w:rsidRPr="0045259C">
        <w:rPr>
          <w:rFonts w:ascii="Calibri" w:hAnsi="Calibri"/>
          <w:noProof/>
          <w:szCs w:val="24"/>
          <w:lang w:val="en-US"/>
        </w:rPr>
        <w:t xml:space="preserve"> Breakthrough fungal infections after allogeneic hematopoietic stem cell transplantation in patients on prophylactic voriconazole. 2007: 1–6.</w:t>
      </w:r>
    </w:p>
    <w:p w14:paraId="19B222C1"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23. Ullmann AJ, Lipton JH, Vesole DH, </w:t>
      </w:r>
      <w:r w:rsidRPr="0045259C">
        <w:rPr>
          <w:rFonts w:ascii="Calibri" w:hAnsi="Calibri"/>
          <w:i/>
          <w:iCs/>
          <w:noProof/>
          <w:szCs w:val="24"/>
          <w:lang w:val="en-US"/>
        </w:rPr>
        <w:t>et al.</w:t>
      </w:r>
      <w:r w:rsidRPr="0045259C">
        <w:rPr>
          <w:rFonts w:ascii="Calibri" w:hAnsi="Calibri"/>
          <w:noProof/>
          <w:szCs w:val="24"/>
          <w:lang w:val="en-US"/>
        </w:rPr>
        <w:t xml:space="preserve"> Posaconazole or fluconazole for prophylaxis in severe graft-versus-host disease. </w:t>
      </w:r>
      <w:r w:rsidRPr="0045259C">
        <w:rPr>
          <w:rFonts w:ascii="Calibri" w:hAnsi="Calibri"/>
          <w:i/>
          <w:iCs/>
          <w:noProof/>
          <w:szCs w:val="24"/>
          <w:lang w:val="en-US"/>
        </w:rPr>
        <w:t>N Engl J Med</w:t>
      </w:r>
      <w:r w:rsidRPr="0045259C">
        <w:rPr>
          <w:rFonts w:ascii="Calibri" w:hAnsi="Calibri"/>
          <w:noProof/>
          <w:szCs w:val="24"/>
          <w:lang w:val="en-US"/>
        </w:rPr>
        <w:t xml:space="preserve"> 2007; </w:t>
      </w:r>
      <w:r w:rsidRPr="0045259C">
        <w:rPr>
          <w:rFonts w:ascii="Calibri" w:hAnsi="Calibri"/>
          <w:b/>
          <w:bCs/>
          <w:noProof/>
          <w:szCs w:val="24"/>
          <w:lang w:val="en-US"/>
        </w:rPr>
        <w:t>356</w:t>
      </w:r>
      <w:r w:rsidRPr="0045259C">
        <w:rPr>
          <w:rFonts w:ascii="Calibri" w:hAnsi="Calibri"/>
          <w:noProof/>
          <w:szCs w:val="24"/>
          <w:lang w:val="en-US"/>
        </w:rPr>
        <w:t>: 335–47.</w:t>
      </w:r>
    </w:p>
    <w:p w14:paraId="61EC0A99" w14:textId="77777777" w:rsidR="00C94C4D" w:rsidRPr="0045259C" w:rsidRDefault="00C94C4D" w:rsidP="00C94C4D">
      <w:pPr>
        <w:widowControl w:val="0"/>
        <w:autoSpaceDE w:val="0"/>
        <w:autoSpaceDN w:val="0"/>
        <w:adjustRightInd w:val="0"/>
        <w:spacing w:after="140" w:line="240" w:lineRule="auto"/>
        <w:rPr>
          <w:rFonts w:ascii="Calibri" w:hAnsi="Calibri"/>
          <w:noProof/>
          <w:szCs w:val="24"/>
          <w:lang w:val="en-US"/>
        </w:rPr>
      </w:pPr>
      <w:r w:rsidRPr="0045259C">
        <w:rPr>
          <w:rFonts w:ascii="Calibri" w:hAnsi="Calibri"/>
          <w:noProof/>
          <w:szCs w:val="24"/>
          <w:lang w:val="en-US"/>
        </w:rPr>
        <w:t xml:space="preserve">24. Cornely OA, Maertens J, Winston DJ, </w:t>
      </w:r>
      <w:r w:rsidRPr="0045259C">
        <w:rPr>
          <w:rFonts w:ascii="Calibri" w:hAnsi="Calibri"/>
          <w:i/>
          <w:iCs/>
          <w:noProof/>
          <w:szCs w:val="24"/>
          <w:lang w:val="en-US"/>
        </w:rPr>
        <w:t>et al.</w:t>
      </w:r>
      <w:r w:rsidRPr="0045259C">
        <w:rPr>
          <w:rFonts w:ascii="Calibri" w:hAnsi="Calibri"/>
          <w:noProof/>
          <w:szCs w:val="24"/>
          <w:lang w:val="en-US"/>
        </w:rPr>
        <w:t xml:space="preserve"> Posaconazole vs. fluconazole or itraconazole prophylaxis in patients with neutropenia. </w:t>
      </w:r>
      <w:r w:rsidRPr="0045259C">
        <w:rPr>
          <w:rFonts w:ascii="Calibri" w:hAnsi="Calibri"/>
          <w:i/>
          <w:iCs/>
          <w:noProof/>
          <w:szCs w:val="24"/>
          <w:lang w:val="en-US"/>
        </w:rPr>
        <w:t>N Engl J Med</w:t>
      </w:r>
      <w:r w:rsidRPr="0045259C">
        <w:rPr>
          <w:rFonts w:ascii="Calibri" w:hAnsi="Calibri"/>
          <w:noProof/>
          <w:szCs w:val="24"/>
          <w:lang w:val="en-US"/>
        </w:rPr>
        <w:t xml:space="preserve"> 2007; </w:t>
      </w:r>
      <w:r w:rsidRPr="0045259C">
        <w:rPr>
          <w:rFonts w:ascii="Calibri" w:hAnsi="Calibri"/>
          <w:b/>
          <w:bCs/>
          <w:noProof/>
          <w:szCs w:val="24"/>
          <w:lang w:val="en-US"/>
        </w:rPr>
        <w:t>356</w:t>
      </w:r>
      <w:r w:rsidRPr="0045259C">
        <w:rPr>
          <w:rFonts w:ascii="Calibri" w:hAnsi="Calibri"/>
          <w:noProof/>
          <w:szCs w:val="24"/>
          <w:lang w:val="en-US"/>
        </w:rPr>
        <w:t>: 348–59.</w:t>
      </w:r>
    </w:p>
    <w:p w14:paraId="375F6A2C" w14:textId="77777777" w:rsidR="00C94C4D" w:rsidRPr="0045259C" w:rsidRDefault="00C94C4D" w:rsidP="00C94C4D">
      <w:pPr>
        <w:widowControl w:val="0"/>
        <w:autoSpaceDE w:val="0"/>
        <w:autoSpaceDN w:val="0"/>
        <w:adjustRightInd w:val="0"/>
        <w:spacing w:after="140" w:line="240" w:lineRule="auto"/>
        <w:rPr>
          <w:rFonts w:ascii="Calibri" w:hAnsi="Calibri"/>
          <w:noProof/>
        </w:rPr>
      </w:pPr>
      <w:r w:rsidRPr="0045259C">
        <w:rPr>
          <w:rFonts w:ascii="Calibri" w:hAnsi="Calibri"/>
          <w:noProof/>
          <w:szCs w:val="24"/>
          <w:lang w:val="en-US"/>
        </w:rPr>
        <w:t xml:space="preserve">25. Jang SH, Colangelo PM, Gobburu JVS. Exposure-response of posaconazole used for prophylaxis against invasive fungal infections: evaluating the need to adjust doses based on drug concentrations in plasma. </w:t>
      </w:r>
      <w:r w:rsidRPr="0045259C">
        <w:rPr>
          <w:rFonts w:ascii="Calibri" w:hAnsi="Calibri"/>
          <w:i/>
          <w:iCs/>
          <w:noProof/>
          <w:szCs w:val="24"/>
          <w:lang w:val="en-US"/>
        </w:rPr>
        <w:t>Clin Pharmacol Ther</w:t>
      </w:r>
      <w:r w:rsidRPr="0045259C">
        <w:rPr>
          <w:rFonts w:ascii="Calibri" w:hAnsi="Calibri"/>
          <w:noProof/>
          <w:szCs w:val="24"/>
          <w:lang w:val="en-US"/>
        </w:rPr>
        <w:t xml:space="preserve"> 2010; </w:t>
      </w:r>
      <w:r w:rsidRPr="0045259C">
        <w:rPr>
          <w:rFonts w:ascii="Calibri" w:hAnsi="Calibri"/>
          <w:b/>
          <w:bCs/>
          <w:noProof/>
          <w:szCs w:val="24"/>
          <w:lang w:val="en-US"/>
        </w:rPr>
        <w:t>88</w:t>
      </w:r>
      <w:r w:rsidRPr="0045259C">
        <w:rPr>
          <w:rFonts w:ascii="Calibri" w:hAnsi="Calibri"/>
          <w:noProof/>
          <w:szCs w:val="24"/>
          <w:lang w:val="en-US"/>
        </w:rPr>
        <w:t>: 115–9.</w:t>
      </w:r>
    </w:p>
    <w:p w14:paraId="0A8A2E34" w14:textId="6278E49C" w:rsidR="00C94C4D" w:rsidRDefault="00C94C4D" w:rsidP="00C94C4D">
      <w:pPr>
        <w:rPr>
          <w:rFonts w:ascii="Calibri" w:hAnsi="Calibri"/>
          <w:sz w:val="24"/>
          <w:szCs w:val="24"/>
          <w:lang w:val="en-US"/>
        </w:rPr>
      </w:pPr>
      <w:r>
        <w:rPr>
          <w:rFonts w:ascii="Calibri" w:hAnsi="Calibri"/>
          <w:b/>
          <w:bCs/>
          <w:noProof/>
        </w:rPr>
        <w:fldChar w:fldCharType="end"/>
      </w:r>
    </w:p>
    <w:p w14:paraId="2567BB55" w14:textId="46515704" w:rsidR="00C94C4D" w:rsidRDefault="00C94C4D">
      <w:pPr>
        <w:rPr>
          <w:rFonts w:ascii="Calibri" w:hAnsi="Calibri"/>
          <w:sz w:val="24"/>
          <w:szCs w:val="24"/>
          <w:lang w:val="en-US"/>
        </w:rPr>
      </w:pPr>
      <w:r>
        <w:rPr>
          <w:rFonts w:ascii="Calibri" w:hAnsi="Calibri"/>
          <w:sz w:val="24"/>
          <w:szCs w:val="24"/>
          <w:lang w:val="en-US"/>
        </w:rPr>
        <w:br w:type="page"/>
      </w:r>
    </w:p>
    <w:p w14:paraId="398414A9" w14:textId="77777777" w:rsidR="00CE3DA1" w:rsidRPr="007C5CC0" w:rsidRDefault="00CE3DA1" w:rsidP="007C5CC0">
      <w:pPr>
        <w:tabs>
          <w:tab w:val="left" w:pos="6379"/>
        </w:tabs>
        <w:rPr>
          <w:rFonts w:ascii="Calibri" w:hAnsi="Calibri"/>
          <w:sz w:val="24"/>
          <w:szCs w:val="24"/>
          <w:lang w:val="en-US"/>
        </w:rPr>
      </w:pPr>
    </w:p>
    <w:p w14:paraId="178A602F" w14:textId="77777777" w:rsidR="00C162B1" w:rsidRPr="007C5CC0" w:rsidRDefault="00380587" w:rsidP="007C5CC0">
      <w:pPr>
        <w:tabs>
          <w:tab w:val="left" w:pos="6379"/>
        </w:tabs>
        <w:rPr>
          <w:rFonts w:ascii="Calibri" w:hAnsi="Calibri"/>
          <w:sz w:val="24"/>
          <w:szCs w:val="24"/>
          <w:lang w:val="en-US"/>
        </w:rPr>
      </w:pPr>
      <w:r>
        <w:rPr>
          <w:rFonts w:ascii="Calibri" w:hAnsi="Calibri"/>
          <w:sz w:val="24"/>
          <w:szCs w:val="24"/>
          <w:lang w:val="en-US"/>
        </w:rPr>
        <w:t xml:space="preserve">Table </w:t>
      </w:r>
      <w:proofErr w:type="gramStart"/>
      <w:r>
        <w:rPr>
          <w:rFonts w:ascii="Calibri" w:hAnsi="Calibri"/>
          <w:sz w:val="24"/>
          <w:szCs w:val="24"/>
          <w:lang w:val="en-US"/>
        </w:rPr>
        <w:t>1  Demographics</w:t>
      </w:r>
      <w:proofErr w:type="gramEnd"/>
      <w:r>
        <w:rPr>
          <w:rFonts w:ascii="Calibri" w:hAnsi="Calibri"/>
          <w:sz w:val="24"/>
          <w:szCs w:val="24"/>
          <w:lang w:val="en-US"/>
        </w:rPr>
        <w:t xml:space="preserve"> of Patients</w:t>
      </w:r>
      <w:r w:rsidR="00CA4B82">
        <w:rPr>
          <w:rFonts w:ascii="Calibri" w:hAnsi="Calibri"/>
          <w:sz w:val="24"/>
          <w:szCs w:val="24"/>
          <w:lang w:val="en-US"/>
        </w:rPr>
        <w:t xml:space="preserve"> in the Prophylaxis Study</w:t>
      </w:r>
    </w:p>
    <w:p w14:paraId="3298964F" w14:textId="77777777" w:rsidR="00C162B1" w:rsidRPr="007C5CC0" w:rsidRDefault="00C162B1" w:rsidP="007C5CC0">
      <w:pPr>
        <w:tabs>
          <w:tab w:val="left" w:pos="6379"/>
        </w:tabs>
        <w:rPr>
          <w:rFonts w:ascii="Calibri" w:hAnsi="Calibri"/>
          <w:sz w:val="24"/>
          <w:szCs w:val="24"/>
          <w:lang w:val="en-US"/>
        </w:rPr>
      </w:pPr>
    </w:p>
    <w:tbl>
      <w:tblPr>
        <w:tblStyle w:val="TableGrid"/>
        <w:tblW w:w="0" w:type="auto"/>
        <w:tblInd w:w="250" w:type="dxa"/>
        <w:tblLook w:val="04A0" w:firstRow="1" w:lastRow="0" w:firstColumn="1" w:lastColumn="0" w:noHBand="0" w:noVBand="1"/>
      </w:tblPr>
      <w:tblGrid>
        <w:gridCol w:w="4371"/>
        <w:gridCol w:w="2858"/>
      </w:tblGrid>
      <w:tr w:rsidR="001513DB" w:rsidRPr="001513DB" w14:paraId="6E73060C" w14:textId="77777777" w:rsidTr="00380587">
        <w:tc>
          <w:tcPr>
            <w:tcW w:w="4371" w:type="dxa"/>
          </w:tcPr>
          <w:p w14:paraId="22CB271F" w14:textId="77777777" w:rsidR="001513DB" w:rsidRPr="001513DB" w:rsidRDefault="001513DB" w:rsidP="007C5CC0">
            <w:pPr>
              <w:tabs>
                <w:tab w:val="left" w:pos="6379"/>
              </w:tabs>
              <w:rPr>
                <w:sz w:val="24"/>
                <w:szCs w:val="24"/>
                <w:lang w:val="en-US"/>
              </w:rPr>
            </w:pPr>
            <w:r w:rsidRPr="001513DB">
              <w:rPr>
                <w:rFonts w:eastAsia="Times New Roman" w:cs="Times New Roman"/>
                <w:bCs/>
                <w:kern w:val="24"/>
                <w:sz w:val="24"/>
                <w:szCs w:val="24"/>
                <w:lang w:eastAsia="en-GB"/>
              </w:rPr>
              <w:t>Patient Characteristics</w:t>
            </w:r>
          </w:p>
        </w:tc>
        <w:tc>
          <w:tcPr>
            <w:tcW w:w="2858" w:type="dxa"/>
          </w:tcPr>
          <w:p w14:paraId="66A8A29B" w14:textId="77777777" w:rsidR="001513DB" w:rsidRPr="0054476F" w:rsidRDefault="001513DB" w:rsidP="007C5CC0">
            <w:pPr>
              <w:tabs>
                <w:tab w:val="left" w:pos="6379"/>
              </w:tabs>
              <w:rPr>
                <w:sz w:val="24"/>
                <w:szCs w:val="24"/>
                <w:lang w:val="en-US"/>
              </w:rPr>
            </w:pPr>
          </w:p>
        </w:tc>
      </w:tr>
      <w:tr w:rsidR="001513DB" w:rsidRPr="001513DB" w14:paraId="75E662E4" w14:textId="77777777" w:rsidTr="00380587">
        <w:tc>
          <w:tcPr>
            <w:tcW w:w="4371" w:type="dxa"/>
          </w:tcPr>
          <w:p w14:paraId="4DBBF039" w14:textId="77777777" w:rsidR="001513DB" w:rsidRPr="001513DB" w:rsidRDefault="001513DB" w:rsidP="007C5CC0">
            <w:pPr>
              <w:tabs>
                <w:tab w:val="left" w:pos="6379"/>
              </w:tabs>
              <w:rPr>
                <w:sz w:val="24"/>
                <w:szCs w:val="24"/>
                <w:lang w:val="en-US"/>
              </w:rPr>
            </w:pPr>
            <w:r w:rsidRPr="001513DB">
              <w:rPr>
                <w:rFonts w:eastAsia="Times New Roman" w:cs="Times New Roman"/>
                <w:color w:val="000000" w:themeColor="dark1"/>
                <w:kern w:val="24"/>
                <w:sz w:val="24"/>
                <w:szCs w:val="24"/>
                <w:lang w:eastAsia="en-GB"/>
              </w:rPr>
              <w:t>Age, median years (range)</w:t>
            </w:r>
          </w:p>
        </w:tc>
        <w:tc>
          <w:tcPr>
            <w:tcW w:w="2858" w:type="dxa"/>
          </w:tcPr>
          <w:p w14:paraId="3DFB89E8" w14:textId="77777777" w:rsidR="001513DB" w:rsidRPr="0054476F" w:rsidRDefault="0054476F" w:rsidP="007C5CC0">
            <w:pPr>
              <w:tabs>
                <w:tab w:val="left" w:pos="6379"/>
              </w:tabs>
              <w:rPr>
                <w:sz w:val="24"/>
                <w:szCs w:val="24"/>
                <w:lang w:val="en-US"/>
              </w:rPr>
            </w:pPr>
            <w:r w:rsidRPr="0054476F">
              <w:rPr>
                <w:rFonts w:eastAsia="Times New Roman" w:cs="Times New Roman"/>
                <w:bCs/>
                <w:kern w:val="24"/>
                <w:sz w:val="24"/>
                <w:szCs w:val="24"/>
                <w:lang w:eastAsia="en-GB"/>
              </w:rPr>
              <w:t>44.23 (12.80-65.75)</w:t>
            </w:r>
          </w:p>
        </w:tc>
      </w:tr>
      <w:tr w:rsidR="001513DB" w:rsidRPr="001513DB" w14:paraId="3DC85278" w14:textId="77777777" w:rsidTr="00380587">
        <w:tc>
          <w:tcPr>
            <w:tcW w:w="4371" w:type="dxa"/>
          </w:tcPr>
          <w:p w14:paraId="226CCE53" w14:textId="77777777" w:rsidR="001513DB" w:rsidRPr="001513DB" w:rsidRDefault="001513DB" w:rsidP="00DA1F8A">
            <w:pPr>
              <w:tabs>
                <w:tab w:val="left" w:pos="6379"/>
              </w:tabs>
              <w:rPr>
                <w:sz w:val="24"/>
                <w:szCs w:val="24"/>
                <w:lang w:val="en-US"/>
              </w:rPr>
            </w:pPr>
            <w:r w:rsidRPr="001513DB">
              <w:rPr>
                <w:rFonts w:eastAsia="Times New Roman" w:cs="Times New Roman"/>
                <w:color w:val="000000" w:themeColor="dark1"/>
                <w:kern w:val="24"/>
                <w:sz w:val="24"/>
                <w:szCs w:val="24"/>
                <w:lang w:eastAsia="en-GB"/>
              </w:rPr>
              <w:t>Gender,</w:t>
            </w:r>
            <w:r w:rsidRPr="001513DB">
              <w:rPr>
                <w:rFonts w:eastAsia="Times New Roman" w:cs="Times New Roman"/>
                <w:color w:val="000000" w:themeColor="dark1"/>
                <w:kern w:val="24"/>
                <w:position w:val="1"/>
                <w:sz w:val="24"/>
                <w:szCs w:val="24"/>
                <w:lang w:eastAsia="en-GB"/>
              </w:rPr>
              <w:t xml:space="preserve"> </w:t>
            </w:r>
            <w:r w:rsidR="00DA1F8A">
              <w:rPr>
                <w:rFonts w:eastAsia="Times New Roman" w:cs="Times New Roman"/>
                <w:color w:val="000000" w:themeColor="dark1"/>
                <w:kern w:val="24"/>
                <w:position w:val="1"/>
                <w:sz w:val="24"/>
                <w:szCs w:val="24"/>
                <w:lang w:eastAsia="en-GB"/>
              </w:rPr>
              <w:t>female</w:t>
            </w:r>
            <w:r w:rsidR="00380587">
              <w:rPr>
                <w:rFonts w:eastAsia="Times New Roman" w:cs="Times New Roman"/>
                <w:color w:val="000000" w:themeColor="dark1"/>
                <w:kern w:val="24"/>
                <w:sz w:val="24"/>
                <w:szCs w:val="24"/>
                <w:lang w:eastAsia="en-GB"/>
              </w:rPr>
              <w:t>,</w:t>
            </w:r>
            <w:r w:rsidRPr="001513DB">
              <w:rPr>
                <w:rFonts w:eastAsia="Times New Roman" w:cs="Times New Roman"/>
                <w:color w:val="000000" w:themeColor="dark1"/>
                <w:kern w:val="24"/>
                <w:position w:val="1"/>
                <w:sz w:val="24"/>
                <w:szCs w:val="24"/>
                <w:lang w:eastAsia="en-GB"/>
              </w:rPr>
              <w:t xml:space="preserve"> (%)</w:t>
            </w:r>
          </w:p>
        </w:tc>
        <w:tc>
          <w:tcPr>
            <w:tcW w:w="2858" w:type="dxa"/>
          </w:tcPr>
          <w:p w14:paraId="4334059E" w14:textId="77777777" w:rsidR="001513DB" w:rsidRPr="0054476F" w:rsidRDefault="0054476F" w:rsidP="007C5CC0">
            <w:pPr>
              <w:tabs>
                <w:tab w:val="left" w:pos="6379"/>
              </w:tabs>
              <w:rPr>
                <w:sz w:val="24"/>
                <w:szCs w:val="24"/>
                <w:lang w:val="en-US"/>
              </w:rPr>
            </w:pPr>
            <w:r w:rsidRPr="0054476F">
              <w:rPr>
                <w:rFonts w:eastAsia="Times New Roman" w:cs="Times New Roman"/>
                <w:color w:val="000000" w:themeColor="dark1"/>
                <w:kern w:val="24"/>
                <w:sz w:val="24"/>
                <w:szCs w:val="24"/>
                <w:lang w:eastAsia="en-GB"/>
              </w:rPr>
              <w:t>84 (44.9)</w:t>
            </w:r>
          </w:p>
        </w:tc>
      </w:tr>
      <w:tr w:rsidR="001513DB" w:rsidRPr="001513DB" w14:paraId="28597D2E" w14:textId="77777777" w:rsidTr="00380587">
        <w:tc>
          <w:tcPr>
            <w:tcW w:w="4371" w:type="dxa"/>
          </w:tcPr>
          <w:p w14:paraId="491097CA" w14:textId="77777777" w:rsidR="001513DB" w:rsidRPr="001513DB" w:rsidRDefault="00380587" w:rsidP="007C5CC0">
            <w:pPr>
              <w:tabs>
                <w:tab w:val="left" w:pos="6379"/>
              </w:tabs>
              <w:rPr>
                <w:sz w:val="24"/>
                <w:szCs w:val="24"/>
                <w:lang w:val="en-US"/>
              </w:rPr>
            </w:pPr>
            <w:r>
              <w:rPr>
                <w:rFonts w:eastAsia="Times New Roman" w:cs="Times New Roman"/>
                <w:color w:val="000000" w:themeColor="dark1"/>
                <w:kern w:val="24"/>
                <w:sz w:val="24"/>
                <w:szCs w:val="24"/>
                <w:lang w:eastAsia="en-GB"/>
              </w:rPr>
              <w:t xml:space="preserve">Disease, </w:t>
            </w:r>
            <w:r w:rsidR="001513DB" w:rsidRPr="001513DB">
              <w:rPr>
                <w:rFonts w:eastAsia="Times New Roman" w:cs="Times New Roman"/>
                <w:color w:val="000000" w:themeColor="dark1"/>
                <w:kern w:val="24"/>
                <w:sz w:val="24"/>
                <w:szCs w:val="24"/>
                <w:lang w:eastAsia="en-GB"/>
              </w:rPr>
              <w:t>(%)</w:t>
            </w:r>
          </w:p>
        </w:tc>
        <w:tc>
          <w:tcPr>
            <w:tcW w:w="2858" w:type="dxa"/>
          </w:tcPr>
          <w:p w14:paraId="1C9C0431" w14:textId="77777777" w:rsidR="001513DB" w:rsidRPr="0054476F" w:rsidRDefault="001513DB" w:rsidP="007C5CC0">
            <w:pPr>
              <w:tabs>
                <w:tab w:val="left" w:pos="6379"/>
              </w:tabs>
              <w:rPr>
                <w:sz w:val="24"/>
                <w:szCs w:val="24"/>
                <w:lang w:val="en-US"/>
              </w:rPr>
            </w:pPr>
          </w:p>
        </w:tc>
      </w:tr>
      <w:tr w:rsidR="0054476F" w:rsidRPr="001513DB" w14:paraId="6A886A4F" w14:textId="77777777" w:rsidTr="00380587">
        <w:tc>
          <w:tcPr>
            <w:tcW w:w="4371" w:type="dxa"/>
          </w:tcPr>
          <w:p w14:paraId="0C241C17" w14:textId="77777777" w:rsidR="0054476F" w:rsidRPr="001513DB" w:rsidRDefault="0054476F" w:rsidP="001513DB">
            <w:pPr>
              <w:tabs>
                <w:tab w:val="left" w:pos="6379"/>
              </w:tabs>
              <w:rPr>
                <w:sz w:val="24"/>
                <w:szCs w:val="24"/>
                <w:lang w:val="en-US"/>
              </w:rPr>
            </w:pPr>
            <w:r w:rsidRPr="001513DB">
              <w:rPr>
                <w:sz w:val="24"/>
                <w:szCs w:val="24"/>
                <w:lang w:val="en-US"/>
              </w:rPr>
              <w:t xml:space="preserve">  </w:t>
            </w:r>
            <w:r w:rsidR="00CA4B82">
              <w:rPr>
                <w:sz w:val="24"/>
                <w:szCs w:val="24"/>
                <w:lang w:val="en-US"/>
              </w:rPr>
              <w:t xml:space="preserve"> </w:t>
            </w:r>
            <w:r w:rsidRPr="001513DB">
              <w:rPr>
                <w:sz w:val="24"/>
                <w:szCs w:val="24"/>
                <w:lang w:val="en-US"/>
              </w:rPr>
              <w:t>AML</w:t>
            </w:r>
          </w:p>
        </w:tc>
        <w:tc>
          <w:tcPr>
            <w:tcW w:w="2858" w:type="dxa"/>
          </w:tcPr>
          <w:p w14:paraId="605651AE" w14:textId="77777777" w:rsidR="0054476F" w:rsidRPr="0054476F" w:rsidRDefault="0054476F" w:rsidP="0054476F">
            <w:pPr>
              <w:tabs>
                <w:tab w:val="left" w:pos="6379"/>
              </w:tabs>
              <w:rPr>
                <w:sz w:val="24"/>
                <w:szCs w:val="24"/>
                <w:lang w:val="en-US"/>
              </w:rPr>
            </w:pPr>
            <w:r w:rsidRPr="0054476F">
              <w:rPr>
                <w:rFonts w:eastAsia="Times New Roman" w:cs="Times New Roman"/>
                <w:color w:val="000000" w:themeColor="dark1"/>
                <w:kern w:val="24"/>
                <w:sz w:val="24"/>
                <w:szCs w:val="24"/>
                <w:lang w:eastAsia="en-GB"/>
              </w:rPr>
              <w:t>78 (41.7)</w:t>
            </w:r>
          </w:p>
        </w:tc>
      </w:tr>
      <w:tr w:rsidR="0054476F" w:rsidRPr="001513DB" w14:paraId="119821DC" w14:textId="77777777" w:rsidTr="00380587">
        <w:tc>
          <w:tcPr>
            <w:tcW w:w="4371" w:type="dxa"/>
          </w:tcPr>
          <w:p w14:paraId="0E633A56" w14:textId="77777777" w:rsidR="0054476F" w:rsidRPr="001513DB" w:rsidRDefault="0054476F" w:rsidP="001513DB">
            <w:pPr>
              <w:tabs>
                <w:tab w:val="left" w:pos="6379"/>
              </w:tabs>
              <w:rPr>
                <w:sz w:val="24"/>
                <w:szCs w:val="24"/>
                <w:lang w:val="en-US"/>
              </w:rPr>
            </w:pPr>
            <w:r w:rsidRPr="001513DB">
              <w:rPr>
                <w:sz w:val="24"/>
                <w:szCs w:val="24"/>
                <w:lang w:val="en-US"/>
              </w:rPr>
              <w:t xml:space="preserve">  </w:t>
            </w:r>
            <w:r w:rsidR="00CA4B82">
              <w:rPr>
                <w:sz w:val="24"/>
                <w:szCs w:val="24"/>
                <w:lang w:val="en-US"/>
              </w:rPr>
              <w:t xml:space="preserve"> </w:t>
            </w:r>
            <w:r w:rsidRPr="001513DB">
              <w:rPr>
                <w:sz w:val="24"/>
                <w:szCs w:val="24"/>
                <w:lang w:val="en-US"/>
              </w:rPr>
              <w:t>ALL</w:t>
            </w:r>
          </w:p>
        </w:tc>
        <w:tc>
          <w:tcPr>
            <w:tcW w:w="2858" w:type="dxa"/>
          </w:tcPr>
          <w:p w14:paraId="0FC19C5C" w14:textId="77777777" w:rsidR="0054476F" w:rsidRPr="0054476F" w:rsidRDefault="0054476F" w:rsidP="0054476F">
            <w:pPr>
              <w:tabs>
                <w:tab w:val="left" w:pos="6379"/>
              </w:tabs>
              <w:rPr>
                <w:sz w:val="24"/>
                <w:szCs w:val="24"/>
                <w:lang w:val="en-US"/>
              </w:rPr>
            </w:pPr>
            <w:r w:rsidRPr="0054476F">
              <w:rPr>
                <w:rFonts w:eastAsia="Times New Roman" w:cs="Times New Roman"/>
                <w:color w:val="000000" w:themeColor="dark1"/>
                <w:kern w:val="24"/>
                <w:sz w:val="24"/>
                <w:szCs w:val="24"/>
                <w:lang w:eastAsia="en-GB"/>
              </w:rPr>
              <w:t>34 (18.2)</w:t>
            </w:r>
          </w:p>
        </w:tc>
      </w:tr>
      <w:tr w:rsidR="0054476F" w:rsidRPr="001513DB" w14:paraId="55A64508" w14:textId="77777777" w:rsidTr="00380587">
        <w:tc>
          <w:tcPr>
            <w:tcW w:w="4371" w:type="dxa"/>
          </w:tcPr>
          <w:p w14:paraId="14579D63" w14:textId="77777777" w:rsidR="0054476F" w:rsidRPr="001513DB" w:rsidRDefault="0054476F" w:rsidP="001513DB">
            <w:pPr>
              <w:tabs>
                <w:tab w:val="left" w:pos="6379"/>
              </w:tabs>
              <w:rPr>
                <w:sz w:val="24"/>
                <w:szCs w:val="24"/>
                <w:lang w:val="en-US"/>
              </w:rPr>
            </w:pPr>
            <w:r w:rsidRPr="001513DB">
              <w:rPr>
                <w:sz w:val="24"/>
                <w:szCs w:val="24"/>
                <w:lang w:val="en-US"/>
              </w:rPr>
              <w:t xml:space="preserve">  </w:t>
            </w:r>
            <w:r w:rsidR="00CA4B82">
              <w:rPr>
                <w:sz w:val="24"/>
                <w:szCs w:val="24"/>
                <w:lang w:val="en-US"/>
              </w:rPr>
              <w:t xml:space="preserve"> </w:t>
            </w:r>
            <w:r w:rsidRPr="001513DB">
              <w:rPr>
                <w:sz w:val="24"/>
                <w:szCs w:val="24"/>
                <w:lang w:val="en-US"/>
              </w:rPr>
              <w:t>CML</w:t>
            </w:r>
          </w:p>
        </w:tc>
        <w:tc>
          <w:tcPr>
            <w:tcW w:w="2858" w:type="dxa"/>
            <w:vAlign w:val="center"/>
          </w:tcPr>
          <w:p w14:paraId="003D95BE" w14:textId="77777777" w:rsidR="0054476F" w:rsidRPr="0054476F" w:rsidRDefault="0054476F" w:rsidP="0054476F">
            <w:pPr>
              <w:rPr>
                <w:rFonts w:eastAsia="Times New Roman" w:cs="Arial"/>
                <w:sz w:val="24"/>
                <w:szCs w:val="24"/>
                <w:lang w:eastAsia="en-GB"/>
              </w:rPr>
            </w:pPr>
            <w:r w:rsidRPr="0054476F">
              <w:rPr>
                <w:rFonts w:eastAsia="Times New Roman" w:cs="Times New Roman"/>
                <w:color w:val="000000" w:themeColor="dark1"/>
                <w:kern w:val="24"/>
                <w:sz w:val="24"/>
                <w:szCs w:val="24"/>
                <w:lang w:eastAsia="en-GB"/>
              </w:rPr>
              <w:t>30</w:t>
            </w:r>
            <w:r w:rsidRPr="0054476F">
              <w:rPr>
                <w:rFonts w:eastAsia="Times New Roman" w:cs="Times New Roman"/>
                <w:color w:val="000000" w:themeColor="dark1"/>
                <w:kern w:val="24"/>
                <w:position w:val="1"/>
                <w:sz w:val="24"/>
                <w:szCs w:val="24"/>
                <w:lang w:eastAsia="en-GB"/>
              </w:rPr>
              <w:t xml:space="preserve"> (16.0)</w:t>
            </w:r>
          </w:p>
        </w:tc>
      </w:tr>
      <w:tr w:rsidR="0054476F" w:rsidRPr="001513DB" w14:paraId="5CF13F5B" w14:textId="77777777" w:rsidTr="00380587">
        <w:tc>
          <w:tcPr>
            <w:tcW w:w="4371" w:type="dxa"/>
          </w:tcPr>
          <w:p w14:paraId="66B327C9" w14:textId="77777777" w:rsidR="0054476F" w:rsidRPr="001513DB" w:rsidRDefault="0054476F" w:rsidP="001513DB">
            <w:pPr>
              <w:tabs>
                <w:tab w:val="left" w:pos="6379"/>
              </w:tabs>
              <w:rPr>
                <w:sz w:val="24"/>
                <w:szCs w:val="24"/>
                <w:lang w:val="en-US"/>
              </w:rPr>
            </w:pPr>
            <w:r w:rsidRPr="001513DB">
              <w:rPr>
                <w:rFonts w:eastAsia="Times New Roman" w:cs="Times New Roman"/>
                <w:color w:val="000000" w:themeColor="dark1"/>
                <w:kern w:val="24"/>
                <w:sz w:val="24"/>
                <w:szCs w:val="24"/>
                <w:lang w:eastAsia="en-GB"/>
              </w:rPr>
              <w:t xml:space="preserve">  </w:t>
            </w:r>
            <w:r w:rsidR="00CA4B82">
              <w:rPr>
                <w:rFonts w:eastAsia="Times New Roman" w:cs="Times New Roman"/>
                <w:color w:val="000000" w:themeColor="dark1"/>
                <w:kern w:val="24"/>
                <w:sz w:val="24"/>
                <w:szCs w:val="24"/>
                <w:lang w:eastAsia="en-GB"/>
              </w:rPr>
              <w:t xml:space="preserve"> </w:t>
            </w:r>
            <w:r w:rsidRPr="001513DB">
              <w:rPr>
                <w:rFonts w:eastAsia="Times New Roman" w:cs="Times New Roman"/>
                <w:color w:val="000000" w:themeColor="dark1"/>
                <w:kern w:val="24"/>
                <w:sz w:val="24"/>
                <w:szCs w:val="24"/>
                <w:lang w:eastAsia="en-GB"/>
              </w:rPr>
              <w:t>Myelodysplasia</w:t>
            </w:r>
          </w:p>
        </w:tc>
        <w:tc>
          <w:tcPr>
            <w:tcW w:w="2858" w:type="dxa"/>
            <w:vAlign w:val="center"/>
          </w:tcPr>
          <w:p w14:paraId="020A371F" w14:textId="77777777" w:rsidR="0054476F" w:rsidRPr="0054476F" w:rsidRDefault="0054476F" w:rsidP="0054476F">
            <w:pPr>
              <w:rPr>
                <w:rFonts w:eastAsia="Times New Roman" w:cs="Arial"/>
                <w:sz w:val="24"/>
                <w:szCs w:val="24"/>
                <w:lang w:eastAsia="en-GB"/>
              </w:rPr>
            </w:pPr>
            <w:r w:rsidRPr="0054476F">
              <w:rPr>
                <w:rFonts w:eastAsia="Times New Roman" w:cs="Times New Roman"/>
                <w:color w:val="000000" w:themeColor="dark1"/>
                <w:kern w:val="24"/>
                <w:sz w:val="24"/>
                <w:szCs w:val="24"/>
                <w:lang w:eastAsia="en-GB"/>
              </w:rPr>
              <w:t>30 (16.0)</w:t>
            </w:r>
          </w:p>
        </w:tc>
      </w:tr>
      <w:tr w:rsidR="0054476F" w:rsidRPr="001513DB" w14:paraId="1373C770" w14:textId="77777777" w:rsidTr="00380587">
        <w:tc>
          <w:tcPr>
            <w:tcW w:w="4371" w:type="dxa"/>
          </w:tcPr>
          <w:p w14:paraId="2E186E83" w14:textId="77777777" w:rsidR="0054476F" w:rsidRPr="001513DB" w:rsidRDefault="0054476F" w:rsidP="001513DB">
            <w:pPr>
              <w:tabs>
                <w:tab w:val="left" w:pos="6379"/>
              </w:tabs>
              <w:rPr>
                <w:sz w:val="24"/>
                <w:szCs w:val="24"/>
                <w:lang w:val="en-US"/>
              </w:rPr>
            </w:pPr>
            <w:r w:rsidRPr="001513DB">
              <w:rPr>
                <w:rFonts w:eastAsia="Times New Roman" w:cs="Times New Roman"/>
                <w:color w:val="000000" w:themeColor="dark1"/>
                <w:kern w:val="24"/>
                <w:sz w:val="24"/>
                <w:szCs w:val="24"/>
                <w:lang w:eastAsia="en-GB"/>
              </w:rPr>
              <w:t xml:space="preserve">  </w:t>
            </w:r>
            <w:r w:rsidR="00CA4B82">
              <w:rPr>
                <w:rFonts w:eastAsia="Times New Roman" w:cs="Times New Roman"/>
                <w:color w:val="000000" w:themeColor="dark1"/>
                <w:kern w:val="24"/>
                <w:sz w:val="24"/>
                <w:szCs w:val="24"/>
                <w:lang w:eastAsia="en-GB"/>
              </w:rPr>
              <w:t xml:space="preserve"> </w:t>
            </w:r>
            <w:proofErr w:type="spellStart"/>
            <w:r w:rsidRPr="001513DB">
              <w:rPr>
                <w:rFonts w:eastAsia="Times New Roman" w:cs="Times New Roman"/>
                <w:color w:val="000000" w:themeColor="dark1"/>
                <w:kern w:val="24"/>
                <w:sz w:val="24"/>
                <w:szCs w:val="24"/>
                <w:lang w:eastAsia="en-GB"/>
              </w:rPr>
              <w:t>Bip</w:t>
            </w:r>
            <w:r w:rsidR="009B70EA">
              <w:rPr>
                <w:rFonts w:eastAsia="Times New Roman" w:cs="Times New Roman"/>
                <w:color w:val="000000" w:themeColor="dark1"/>
                <w:kern w:val="24"/>
                <w:sz w:val="24"/>
                <w:szCs w:val="24"/>
                <w:lang w:eastAsia="en-GB"/>
              </w:rPr>
              <w:t>h</w:t>
            </w:r>
            <w:r w:rsidRPr="001513DB">
              <w:rPr>
                <w:rFonts w:eastAsia="Times New Roman" w:cs="Times New Roman"/>
                <w:color w:val="000000" w:themeColor="dark1"/>
                <w:kern w:val="24"/>
                <w:sz w:val="24"/>
                <w:szCs w:val="24"/>
                <w:lang w:eastAsia="en-GB"/>
              </w:rPr>
              <w:t>enotypic</w:t>
            </w:r>
            <w:proofErr w:type="spellEnd"/>
            <w:r w:rsidRPr="001513DB">
              <w:rPr>
                <w:rFonts w:eastAsia="Times New Roman" w:cs="Times New Roman"/>
                <w:color w:val="000000" w:themeColor="dark1"/>
                <w:kern w:val="24"/>
                <w:position w:val="1"/>
                <w:sz w:val="24"/>
                <w:szCs w:val="24"/>
                <w:lang w:eastAsia="en-GB"/>
              </w:rPr>
              <w:t xml:space="preserve"> </w:t>
            </w:r>
            <w:r w:rsidRPr="001513DB">
              <w:rPr>
                <w:rFonts w:eastAsia="Times New Roman" w:cs="Times New Roman"/>
                <w:color w:val="000000" w:themeColor="dark1"/>
                <w:kern w:val="24"/>
                <w:sz w:val="24"/>
                <w:szCs w:val="24"/>
                <w:lang w:eastAsia="en-GB"/>
              </w:rPr>
              <w:t>Leukemia</w:t>
            </w:r>
          </w:p>
        </w:tc>
        <w:tc>
          <w:tcPr>
            <w:tcW w:w="2858" w:type="dxa"/>
            <w:vAlign w:val="center"/>
          </w:tcPr>
          <w:p w14:paraId="7A546A02" w14:textId="77777777" w:rsidR="0054476F" w:rsidRPr="0054476F" w:rsidRDefault="0054476F" w:rsidP="0054476F">
            <w:pPr>
              <w:rPr>
                <w:rFonts w:eastAsia="Times New Roman" w:cs="Arial"/>
                <w:sz w:val="24"/>
                <w:szCs w:val="24"/>
                <w:lang w:eastAsia="en-GB"/>
              </w:rPr>
            </w:pPr>
            <w:r w:rsidRPr="0054476F">
              <w:rPr>
                <w:rFonts w:eastAsia="Times New Roman" w:cs="Times New Roman"/>
                <w:color w:val="000000" w:themeColor="dark1"/>
                <w:kern w:val="24"/>
                <w:sz w:val="24"/>
                <w:szCs w:val="24"/>
                <w:lang w:eastAsia="en-GB"/>
              </w:rPr>
              <w:t>2 (0.01)</w:t>
            </w:r>
          </w:p>
        </w:tc>
      </w:tr>
      <w:tr w:rsidR="0054476F" w:rsidRPr="001513DB" w14:paraId="0BBB4BDE" w14:textId="77777777" w:rsidTr="00380587">
        <w:tc>
          <w:tcPr>
            <w:tcW w:w="4371" w:type="dxa"/>
          </w:tcPr>
          <w:p w14:paraId="5BB6DF24" w14:textId="77777777" w:rsidR="0054476F" w:rsidRPr="001513DB" w:rsidRDefault="0054476F" w:rsidP="001513DB">
            <w:pPr>
              <w:tabs>
                <w:tab w:val="left" w:pos="6379"/>
              </w:tabs>
              <w:rPr>
                <w:sz w:val="24"/>
                <w:szCs w:val="24"/>
                <w:lang w:val="en-US"/>
              </w:rPr>
            </w:pPr>
            <w:r w:rsidRPr="001513DB">
              <w:rPr>
                <w:rFonts w:eastAsia="Times New Roman" w:cs="Times New Roman"/>
                <w:color w:val="000000" w:themeColor="dark1"/>
                <w:kern w:val="24"/>
                <w:sz w:val="24"/>
                <w:szCs w:val="24"/>
                <w:lang w:eastAsia="en-GB"/>
              </w:rPr>
              <w:t xml:space="preserve">  </w:t>
            </w:r>
            <w:r w:rsidR="00CA4B82">
              <w:rPr>
                <w:rFonts w:eastAsia="Times New Roman" w:cs="Times New Roman"/>
                <w:color w:val="000000" w:themeColor="dark1"/>
                <w:kern w:val="24"/>
                <w:sz w:val="24"/>
                <w:szCs w:val="24"/>
                <w:lang w:eastAsia="en-GB"/>
              </w:rPr>
              <w:t xml:space="preserve"> </w:t>
            </w:r>
            <w:r w:rsidRPr="001513DB">
              <w:rPr>
                <w:rFonts w:eastAsia="Times New Roman" w:cs="Times New Roman"/>
                <w:color w:val="000000" w:themeColor="dark1"/>
                <w:kern w:val="24"/>
                <w:sz w:val="24"/>
                <w:szCs w:val="24"/>
                <w:lang w:eastAsia="en-GB"/>
              </w:rPr>
              <w:t>Lymphoma</w:t>
            </w:r>
          </w:p>
        </w:tc>
        <w:tc>
          <w:tcPr>
            <w:tcW w:w="2858" w:type="dxa"/>
            <w:vAlign w:val="center"/>
          </w:tcPr>
          <w:p w14:paraId="119B3E8C" w14:textId="77777777" w:rsidR="0054476F" w:rsidRPr="0054476F" w:rsidRDefault="0054476F" w:rsidP="0054476F">
            <w:pPr>
              <w:rPr>
                <w:rFonts w:eastAsia="Times New Roman" w:cs="Arial"/>
                <w:sz w:val="24"/>
                <w:szCs w:val="24"/>
                <w:lang w:eastAsia="en-GB"/>
              </w:rPr>
            </w:pPr>
            <w:r w:rsidRPr="0054476F">
              <w:rPr>
                <w:rFonts w:eastAsia="Times New Roman" w:cs="Times New Roman"/>
                <w:color w:val="000000" w:themeColor="dark1"/>
                <w:kern w:val="24"/>
                <w:sz w:val="24"/>
                <w:szCs w:val="24"/>
                <w:lang w:eastAsia="en-GB"/>
              </w:rPr>
              <w:t>13 (8.49)</w:t>
            </w:r>
          </w:p>
        </w:tc>
      </w:tr>
      <w:tr w:rsidR="0054476F" w:rsidRPr="001513DB" w14:paraId="0834D0F4" w14:textId="77777777" w:rsidTr="00380587">
        <w:tc>
          <w:tcPr>
            <w:tcW w:w="4371" w:type="dxa"/>
          </w:tcPr>
          <w:p w14:paraId="2B5A304F" w14:textId="77777777" w:rsidR="0054476F" w:rsidRPr="001513DB" w:rsidRDefault="0054476F" w:rsidP="007C5CC0">
            <w:pPr>
              <w:tabs>
                <w:tab w:val="left" w:pos="6379"/>
              </w:tabs>
              <w:rPr>
                <w:sz w:val="24"/>
                <w:szCs w:val="24"/>
                <w:lang w:val="en-US"/>
              </w:rPr>
            </w:pPr>
            <w:r w:rsidRPr="001513DB">
              <w:rPr>
                <w:rFonts w:eastAsia="Times New Roman" w:cs="Times New Roman"/>
                <w:color w:val="000000" w:themeColor="dark1"/>
                <w:kern w:val="24"/>
                <w:sz w:val="24"/>
                <w:szCs w:val="24"/>
                <w:lang w:eastAsia="en-GB"/>
              </w:rPr>
              <w:t>Proven,</w:t>
            </w:r>
            <w:r w:rsidRPr="001513DB">
              <w:rPr>
                <w:rFonts w:eastAsia="Times New Roman" w:cs="Times New Roman"/>
                <w:color w:val="000000" w:themeColor="dark1"/>
                <w:kern w:val="24"/>
                <w:position w:val="1"/>
                <w:sz w:val="24"/>
                <w:szCs w:val="24"/>
                <w:lang w:eastAsia="en-GB"/>
              </w:rPr>
              <w:t xml:space="preserve"> Probable or Presumptive Fungal Infection (%)</w:t>
            </w:r>
          </w:p>
        </w:tc>
        <w:tc>
          <w:tcPr>
            <w:tcW w:w="2858" w:type="dxa"/>
            <w:vAlign w:val="center"/>
          </w:tcPr>
          <w:p w14:paraId="3DFC0411" w14:textId="379CA178" w:rsidR="0054476F" w:rsidRPr="0054476F" w:rsidRDefault="0054476F" w:rsidP="0054476F">
            <w:pPr>
              <w:rPr>
                <w:rFonts w:eastAsia="Times New Roman" w:cs="Arial"/>
                <w:sz w:val="24"/>
                <w:szCs w:val="24"/>
                <w:lang w:eastAsia="en-GB"/>
              </w:rPr>
            </w:pPr>
            <w:r w:rsidRPr="0054476F">
              <w:rPr>
                <w:rFonts w:eastAsia="Times New Roman" w:cs="Times New Roman"/>
                <w:color w:val="000000" w:themeColor="dark1"/>
                <w:kern w:val="24"/>
                <w:sz w:val="24"/>
                <w:szCs w:val="24"/>
                <w:lang w:eastAsia="en-GB"/>
              </w:rPr>
              <w:t>1</w:t>
            </w:r>
            <w:r w:rsidR="00577D68">
              <w:rPr>
                <w:rFonts w:eastAsia="Times New Roman" w:cs="Times New Roman"/>
                <w:color w:val="000000" w:themeColor="dark1"/>
                <w:kern w:val="24"/>
                <w:sz w:val="24"/>
                <w:szCs w:val="24"/>
                <w:lang w:eastAsia="en-GB"/>
              </w:rPr>
              <w:t>0</w:t>
            </w:r>
            <w:r w:rsidRPr="0054476F">
              <w:rPr>
                <w:rFonts w:eastAsia="Times New Roman" w:cs="Times New Roman"/>
                <w:color w:val="000000" w:themeColor="dark1"/>
                <w:kern w:val="24"/>
                <w:sz w:val="24"/>
                <w:szCs w:val="24"/>
                <w:lang w:eastAsia="en-GB"/>
              </w:rPr>
              <w:t xml:space="preserve"> (6.95)</w:t>
            </w:r>
          </w:p>
        </w:tc>
      </w:tr>
    </w:tbl>
    <w:p w14:paraId="6D40CCC5" w14:textId="77777777" w:rsidR="00C162B1" w:rsidRPr="007C5CC0" w:rsidRDefault="00C162B1" w:rsidP="007C5CC0">
      <w:pPr>
        <w:tabs>
          <w:tab w:val="left" w:pos="6379"/>
        </w:tabs>
        <w:rPr>
          <w:rFonts w:ascii="Calibri" w:hAnsi="Calibri"/>
          <w:sz w:val="24"/>
          <w:szCs w:val="24"/>
          <w:lang w:val="en-US"/>
        </w:rPr>
      </w:pPr>
    </w:p>
    <w:p w14:paraId="69FCA13E" w14:textId="77777777" w:rsidR="00C162B1" w:rsidRPr="007C5CC0" w:rsidRDefault="00C162B1" w:rsidP="007C5CC0">
      <w:pPr>
        <w:tabs>
          <w:tab w:val="left" w:pos="6379"/>
        </w:tabs>
        <w:rPr>
          <w:rFonts w:ascii="Calibri" w:hAnsi="Calibri"/>
          <w:sz w:val="24"/>
          <w:szCs w:val="24"/>
          <w:lang w:val="en-US"/>
        </w:rPr>
      </w:pPr>
    </w:p>
    <w:p w14:paraId="1BC2B525" w14:textId="77777777" w:rsidR="00C162B1" w:rsidRPr="007C5CC0" w:rsidRDefault="00C162B1" w:rsidP="007C5CC0">
      <w:pPr>
        <w:tabs>
          <w:tab w:val="left" w:pos="6379"/>
        </w:tabs>
        <w:rPr>
          <w:rFonts w:ascii="Calibri" w:hAnsi="Calibri"/>
          <w:sz w:val="24"/>
          <w:szCs w:val="24"/>
          <w:lang w:val="en-US"/>
        </w:rPr>
      </w:pPr>
    </w:p>
    <w:p w14:paraId="17AC1C51" w14:textId="77777777" w:rsidR="00C162B1" w:rsidRPr="007C5CC0" w:rsidRDefault="00C162B1" w:rsidP="007C5CC0">
      <w:pPr>
        <w:tabs>
          <w:tab w:val="left" w:pos="6379"/>
        </w:tabs>
        <w:rPr>
          <w:rFonts w:ascii="Calibri" w:hAnsi="Calibri"/>
          <w:sz w:val="24"/>
          <w:szCs w:val="24"/>
          <w:lang w:val="en-US"/>
        </w:rPr>
      </w:pPr>
    </w:p>
    <w:p w14:paraId="40C71B07" w14:textId="77777777" w:rsidR="00C162B1" w:rsidRPr="007C5CC0" w:rsidRDefault="00C162B1" w:rsidP="007C5CC0">
      <w:pPr>
        <w:tabs>
          <w:tab w:val="left" w:pos="6379"/>
        </w:tabs>
        <w:rPr>
          <w:rFonts w:ascii="Calibri" w:hAnsi="Calibri"/>
          <w:sz w:val="24"/>
          <w:szCs w:val="24"/>
          <w:lang w:val="en-US"/>
        </w:rPr>
      </w:pPr>
    </w:p>
    <w:p w14:paraId="3164BFF3" w14:textId="77777777" w:rsidR="00C162B1" w:rsidRPr="007C5CC0" w:rsidRDefault="00C162B1" w:rsidP="007C5CC0">
      <w:pPr>
        <w:tabs>
          <w:tab w:val="left" w:pos="6379"/>
        </w:tabs>
        <w:rPr>
          <w:rFonts w:ascii="Calibri" w:hAnsi="Calibri"/>
          <w:sz w:val="24"/>
          <w:szCs w:val="24"/>
          <w:lang w:val="en-US"/>
        </w:rPr>
      </w:pPr>
    </w:p>
    <w:p w14:paraId="0124900B" w14:textId="77777777" w:rsidR="00C162B1" w:rsidRPr="007C5CC0" w:rsidRDefault="00C162B1" w:rsidP="007C5CC0">
      <w:pPr>
        <w:tabs>
          <w:tab w:val="left" w:pos="6379"/>
        </w:tabs>
        <w:rPr>
          <w:rFonts w:ascii="Calibri" w:hAnsi="Calibri"/>
          <w:sz w:val="24"/>
          <w:szCs w:val="24"/>
          <w:lang w:val="en-US"/>
        </w:rPr>
      </w:pPr>
    </w:p>
    <w:p w14:paraId="72B6A366" w14:textId="77777777" w:rsidR="00C162B1" w:rsidRPr="007C5CC0" w:rsidRDefault="00C162B1" w:rsidP="007C5CC0">
      <w:pPr>
        <w:tabs>
          <w:tab w:val="left" w:pos="6379"/>
        </w:tabs>
        <w:rPr>
          <w:rFonts w:ascii="Calibri" w:hAnsi="Calibri"/>
          <w:sz w:val="24"/>
          <w:szCs w:val="24"/>
          <w:lang w:val="en-US"/>
        </w:rPr>
      </w:pPr>
    </w:p>
    <w:p w14:paraId="63A7831B" w14:textId="77777777" w:rsidR="00C162B1" w:rsidRPr="007C5CC0" w:rsidRDefault="00C162B1" w:rsidP="007C5CC0">
      <w:pPr>
        <w:tabs>
          <w:tab w:val="left" w:pos="6379"/>
        </w:tabs>
        <w:rPr>
          <w:rFonts w:ascii="Calibri" w:hAnsi="Calibri"/>
          <w:sz w:val="24"/>
          <w:szCs w:val="24"/>
          <w:lang w:val="en-US"/>
        </w:rPr>
      </w:pPr>
    </w:p>
    <w:p w14:paraId="2C5D7C59" w14:textId="77777777" w:rsidR="00C162B1" w:rsidRPr="007C5CC0" w:rsidRDefault="00C162B1" w:rsidP="007C5CC0">
      <w:pPr>
        <w:tabs>
          <w:tab w:val="left" w:pos="6379"/>
        </w:tabs>
        <w:rPr>
          <w:rFonts w:ascii="Calibri" w:hAnsi="Calibri"/>
          <w:sz w:val="24"/>
          <w:szCs w:val="24"/>
          <w:lang w:val="en-US"/>
        </w:rPr>
      </w:pPr>
    </w:p>
    <w:p w14:paraId="19783E7F" w14:textId="77777777" w:rsidR="00105112" w:rsidRDefault="00105112">
      <w:pPr>
        <w:rPr>
          <w:rFonts w:ascii="Calibri" w:hAnsi="Calibri"/>
          <w:sz w:val="24"/>
          <w:szCs w:val="24"/>
          <w:lang w:val="en-US"/>
        </w:rPr>
      </w:pPr>
      <w:r>
        <w:rPr>
          <w:rFonts w:ascii="Calibri" w:hAnsi="Calibri"/>
          <w:sz w:val="24"/>
          <w:szCs w:val="24"/>
          <w:lang w:val="en-US"/>
        </w:rPr>
        <w:br w:type="page"/>
      </w:r>
    </w:p>
    <w:p w14:paraId="350251A6" w14:textId="77777777" w:rsidR="00C162B1" w:rsidRPr="007C5CC0" w:rsidRDefault="00C162B1" w:rsidP="007C5CC0">
      <w:pPr>
        <w:tabs>
          <w:tab w:val="left" w:pos="6379"/>
        </w:tabs>
        <w:rPr>
          <w:rFonts w:ascii="Calibri" w:hAnsi="Calibri"/>
          <w:sz w:val="24"/>
          <w:szCs w:val="24"/>
          <w:lang w:val="en-US"/>
        </w:rPr>
      </w:pPr>
    </w:p>
    <w:p w14:paraId="70F03F0D" w14:textId="37C1ED6B" w:rsidR="001513DB" w:rsidRDefault="001513DB">
      <w:pPr>
        <w:rPr>
          <w:rFonts w:ascii="Calibri" w:hAnsi="Calibri"/>
          <w:sz w:val="24"/>
          <w:szCs w:val="24"/>
          <w:lang w:val="en-US"/>
        </w:rPr>
      </w:pPr>
    </w:p>
    <w:p w14:paraId="4BAFD5B3" w14:textId="77777777" w:rsidR="00C162B1" w:rsidRPr="007C5CC0" w:rsidRDefault="00C162B1" w:rsidP="007C5CC0">
      <w:pPr>
        <w:tabs>
          <w:tab w:val="left" w:pos="6379"/>
        </w:tabs>
        <w:rPr>
          <w:rFonts w:ascii="Calibri" w:hAnsi="Calibri"/>
          <w:sz w:val="24"/>
          <w:szCs w:val="24"/>
          <w:lang w:val="en-US"/>
        </w:rPr>
      </w:pPr>
    </w:p>
    <w:tbl>
      <w:tblPr>
        <w:tblStyle w:val="TableGrid"/>
        <w:tblW w:w="0" w:type="auto"/>
        <w:tblLook w:val="04A0" w:firstRow="1" w:lastRow="0" w:firstColumn="1" w:lastColumn="0" w:noHBand="0" w:noVBand="1"/>
      </w:tblPr>
      <w:tblGrid>
        <w:gridCol w:w="3080"/>
        <w:gridCol w:w="3081"/>
        <w:gridCol w:w="1460"/>
      </w:tblGrid>
      <w:tr w:rsidR="00380587" w14:paraId="0231CA15" w14:textId="77777777" w:rsidTr="00946375">
        <w:tc>
          <w:tcPr>
            <w:tcW w:w="3080" w:type="dxa"/>
          </w:tcPr>
          <w:p w14:paraId="33A61729" w14:textId="77777777" w:rsidR="00380587" w:rsidRDefault="00380587" w:rsidP="007C5CC0">
            <w:pPr>
              <w:tabs>
                <w:tab w:val="left" w:pos="6379"/>
              </w:tabs>
              <w:rPr>
                <w:rFonts w:ascii="Calibri" w:hAnsi="Calibri"/>
                <w:sz w:val="24"/>
                <w:szCs w:val="24"/>
                <w:lang w:val="en-US"/>
              </w:rPr>
            </w:pPr>
            <w:r>
              <w:rPr>
                <w:rFonts w:ascii="Calibri" w:hAnsi="Calibri"/>
                <w:sz w:val="24"/>
                <w:szCs w:val="24"/>
                <w:lang w:val="en-US"/>
              </w:rPr>
              <w:t>Parameter</w:t>
            </w:r>
          </w:p>
        </w:tc>
        <w:tc>
          <w:tcPr>
            <w:tcW w:w="3081" w:type="dxa"/>
          </w:tcPr>
          <w:p w14:paraId="05D33F4A" w14:textId="77777777" w:rsidR="00380587" w:rsidRDefault="00380587" w:rsidP="00946375">
            <w:pPr>
              <w:tabs>
                <w:tab w:val="left" w:pos="6379"/>
              </w:tabs>
              <w:jc w:val="center"/>
              <w:rPr>
                <w:rFonts w:ascii="Calibri" w:hAnsi="Calibri"/>
                <w:sz w:val="24"/>
                <w:szCs w:val="24"/>
                <w:lang w:val="en-US"/>
              </w:rPr>
            </w:pPr>
            <w:r>
              <w:rPr>
                <w:rFonts w:ascii="Calibri" w:hAnsi="Calibri"/>
                <w:sz w:val="24"/>
                <w:szCs w:val="24"/>
                <w:lang w:val="en-US"/>
              </w:rPr>
              <w:t>Estimate</w:t>
            </w:r>
          </w:p>
        </w:tc>
        <w:tc>
          <w:tcPr>
            <w:tcW w:w="1460" w:type="dxa"/>
          </w:tcPr>
          <w:p w14:paraId="142FA0A0" w14:textId="77777777" w:rsidR="00380587" w:rsidRDefault="00380587" w:rsidP="00946375">
            <w:pPr>
              <w:tabs>
                <w:tab w:val="left" w:pos="6379"/>
              </w:tabs>
              <w:jc w:val="center"/>
              <w:rPr>
                <w:rFonts w:ascii="Calibri" w:hAnsi="Calibri"/>
                <w:sz w:val="24"/>
                <w:szCs w:val="24"/>
                <w:lang w:val="en-US"/>
              </w:rPr>
            </w:pPr>
            <w:proofErr w:type="gramStart"/>
            <w:r>
              <w:rPr>
                <w:rFonts w:ascii="Calibri" w:hAnsi="Calibri"/>
                <w:sz w:val="24"/>
                <w:szCs w:val="24"/>
                <w:lang w:val="en-US"/>
              </w:rPr>
              <w:t>p</w:t>
            </w:r>
            <w:proofErr w:type="gramEnd"/>
            <w:r>
              <w:rPr>
                <w:rFonts w:ascii="Calibri" w:hAnsi="Calibri"/>
                <w:sz w:val="24"/>
                <w:szCs w:val="24"/>
                <w:lang w:val="en-US"/>
              </w:rPr>
              <w:t>-value</w:t>
            </w:r>
          </w:p>
        </w:tc>
      </w:tr>
      <w:tr w:rsidR="00380587" w14:paraId="30E10D61" w14:textId="77777777" w:rsidTr="00946375">
        <w:tc>
          <w:tcPr>
            <w:tcW w:w="3080" w:type="dxa"/>
          </w:tcPr>
          <w:p w14:paraId="4B2244B2" w14:textId="25BDEC80" w:rsidR="00380587" w:rsidRDefault="00380587" w:rsidP="0048334C">
            <w:pPr>
              <w:tabs>
                <w:tab w:val="left" w:pos="6379"/>
              </w:tabs>
              <w:rPr>
                <w:rFonts w:ascii="Calibri" w:hAnsi="Calibri"/>
                <w:sz w:val="24"/>
                <w:szCs w:val="24"/>
                <w:lang w:val="en-US"/>
              </w:rPr>
            </w:pPr>
            <w:r>
              <w:rPr>
                <w:rFonts w:ascii="Calibri" w:hAnsi="Calibri"/>
                <w:sz w:val="24"/>
                <w:szCs w:val="24"/>
                <w:lang w:val="en-US"/>
              </w:rPr>
              <w:t xml:space="preserve">Model 1: </w:t>
            </w:r>
            <w:r w:rsidR="0048334C">
              <w:rPr>
                <w:rFonts w:ascii="Calibri" w:hAnsi="Calibri"/>
                <w:sz w:val="24"/>
                <w:szCs w:val="24"/>
                <w:lang w:val="en-US"/>
              </w:rPr>
              <w:t xml:space="preserve">Average </w:t>
            </w:r>
            <w:r w:rsidRPr="00965C27">
              <w:rPr>
                <w:rFonts w:ascii="Calibri" w:hAnsi="Calibri"/>
                <w:sz w:val="24"/>
                <w:szCs w:val="24"/>
                <w:lang w:val="en-US"/>
              </w:rPr>
              <w:t>AUC</w:t>
            </w:r>
            <w:r w:rsidR="0048334C" w:rsidRPr="00851FDC">
              <w:rPr>
                <w:rFonts w:ascii="Calibri" w:hAnsi="Calibri"/>
                <w:sz w:val="24"/>
                <w:szCs w:val="24"/>
                <w:vertAlign w:val="subscript"/>
                <w:lang w:val="en-US"/>
              </w:rPr>
              <w:t>0-12</w:t>
            </w:r>
            <w:r>
              <w:rPr>
                <w:rFonts w:ascii="Calibri" w:hAnsi="Calibri"/>
                <w:sz w:val="24"/>
                <w:szCs w:val="24"/>
                <w:lang w:val="en-US"/>
              </w:rPr>
              <w:t xml:space="preserve"> vs. Outcome</w:t>
            </w:r>
          </w:p>
        </w:tc>
        <w:tc>
          <w:tcPr>
            <w:tcW w:w="3081" w:type="dxa"/>
          </w:tcPr>
          <w:p w14:paraId="7CB23BED" w14:textId="77777777" w:rsidR="00380587" w:rsidRDefault="00380587" w:rsidP="00946375">
            <w:pPr>
              <w:tabs>
                <w:tab w:val="left" w:pos="6379"/>
              </w:tabs>
              <w:jc w:val="center"/>
              <w:rPr>
                <w:rFonts w:ascii="Calibri" w:hAnsi="Calibri"/>
                <w:sz w:val="24"/>
                <w:szCs w:val="24"/>
                <w:lang w:val="en-US"/>
              </w:rPr>
            </w:pPr>
          </w:p>
        </w:tc>
        <w:tc>
          <w:tcPr>
            <w:tcW w:w="1460" w:type="dxa"/>
          </w:tcPr>
          <w:p w14:paraId="5CB1ED14" w14:textId="77777777" w:rsidR="00380587" w:rsidRDefault="00380587" w:rsidP="00946375">
            <w:pPr>
              <w:tabs>
                <w:tab w:val="left" w:pos="6379"/>
              </w:tabs>
              <w:jc w:val="center"/>
              <w:rPr>
                <w:rFonts w:ascii="Calibri" w:hAnsi="Calibri"/>
                <w:sz w:val="24"/>
                <w:szCs w:val="24"/>
                <w:lang w:val="en-US"/>
              </w:rPr>
            </w:pPr>
          </w:p>
        </w:tc>
      </w:tr>
      <w:tr w:rsidR="00380587" w14:paraId="4EF50E0E" w14:textId="77777777" w:rsidTr="00946375">
        <w:tc>
          <w:tcPr>
            <w:tcW w:w="3080" w:type="dxa"/>
          </w:tcPr>
          <w:p w14:paraId="44CB1868" w14:textId="77777777" w:rsidR="00380587" w:rsidRDefault="00380587" w:rsidP="007C5CC0">
            <w:pPr>
              <w:tabs>
                <w:tab w:val="left" w:pos="6379"/>
              </w:tabs>
              <w:rPr>
                <w:rFonts w:ascii="Calibri" w:hAnsi="Calibri"/>
                <w:sz w:val="24"/>
                <w:szCs w:val="24"/>
                <w:lang w:val="en-US"/>
              </w:rPr>
            </w:pPr>
            <w:r>
              <w:rPr>
                <w:rFonts w:ascii="Calibri" w:hAnsi="Calibri"/>
                <w:sz w:val="24"/>
                <w:szCs w:val="24"/>
                <w:lang w:val="en-US"/>
              </w:rPr>
              <w:t xml:space="preserve">   Constant</w:t>
            </w:r>
          </w:p>
        </w:tc>
        <w:tc>
          <w:tcPr>
            <w:tcW w:w="3081" w:type="dxa"/>
          </w:tcPr>
          <w:p w14:paraId="3E742346" w14:textId="23C894F8" w:rsidR="00380587" w:rsidRDefault="00221E1C" w:rsidP="00965C27">
            <w:pPr>
              <w:tabs>
                <w:tab w:val="left" w:pos="6379"/>
              </w:tabs>
              <w:jc w:val="center"/>
              <w:rPr>
                <w:rFonts w:ascii="Calibri" w:hAnsi="Calibri"/>
                <w:sz w:val="24"/>
                <w:szCs w:val="24"/>
                <w:lang w:val="en-US"/>
              </w:rPr>
            </w:pPr>
            <w:r>
              <w:rPr>
                <w:rFonts w:ascii="Calibri" w:hAnsi="Calibri"/>
                <w:sz w:val="24"/>
                <w:szCs w:val="24"/>
                <w:lang w:val="en-US"/>
              </w:rPr>
              <w:t>3.021</w:t>
            </w:r>
          </w:p>
        </w:tc>
        <w:tc>
          <w:tcPr>
            <w:tcW w:w="1460" w:type="dxa"/>
          </w:tcPr>
          <w:p w14:paraId="087A17F0" w14:textId="77777777" w:rsidR="00380587" w:rsidRDefault="00380587" w:rsidP="00946375">
            <w:pPr>
              <w:tabs>
                <w:tab w:val="left" w:pos="6379"/>
              </w:tabs>
              <w:jc w:val="center"/>
              <w:rPr>
                <w:rFonts w:ascii="Calibri" w:hAnsi="Calibri"/>
                <w:sz w:val="24"/>
                <w:szCs w:val="24"/>
                <w:lang w:val="en-US"/>
              </w:rPr>
            </w:pPr>
            <w:r>
              <w:rPr>
                <w:rFonts w:ascii="Calibri" w:hAnsi="Calibri"/>
                <w:sz w:val="24"/>
                <w:szCs w:val="24"/>
                <w:lang w:val="en-US"/>
              </w:rPr>
              <w:t>&lt;0.001</w:t>
            </w:r>
          </w:p>
        </w:tc>
      </w:tr>
      <w:tr w:rsidR="00380587" w14:paraId="0C438DD1" w14:textId="77777777" w:rsidTr="00946375">
        <w:tc>
          <w:tcPr>
            <w:tcW w:w="3080" w:type="dxa"/>
          </w:tcPr>
          <w:p w14:paraId="2A290DF2" w14:textId="77777777" w:rsidR="00380587" w:rsidRDefault="00380587" w:rsidP="007C5CC0">
            <w:pPr>
              <w:tabs>
                <w:tab w:val="left" w:pos="6379"/>
              </w:tabs>
              <w:rPr>
                <w:rFonts w:ascii="Calibri" w:hAnsi="Calibri"/>
                <w:sz w:val="24"/>
                <w:szCs w:val="24"/>
                <w:lang w:val="en-US"/>
              </w:rPr>
            </w:pPr>
            <w:r>
              <w:rPr>
                <w:rFonts w:ascii="Calibri" w:hAnsi="Calibri"/>
                <w:sz w:val="24"/>
                <w:szCs w:val="24"/>
                <w:lang w:val="en-US"/>
              </w:rPr>
              <w:t xml:space="preserve">   AUC</w:t>
            </w:r>
            <w:r w:rsidRPr="00380587">
              <w:rPr>
                <w:rFonts w:ascii="Calibri" w:hAnsi="Calibri"/>
                <w:sz w:val="24"/>
                <w:szCs w:val="24"/>
                <w:vertAlign w:val="subscript"/>
                <w:lang w:val="en-US"/>
              </w:rPr>
              <w:t>0-12</w:t>
            </w:r>
          </w:p>
        </w:tc>
        <w:tc>
          <w:tcPr>
            <w:tcW w:w="3081" w:type="dxa"/>
          </w:tcPr>
          <w:p w14:paraId="0408D51C" w14:textId="6107BCFE" w:rsidR="00380587" w:rsidRDefault="00380587" w:rsidP="00965C27">
            <w:pPr>
              <w:tabs>
                <w:tab w:val="left" w:pos="6379"/>
              </w:tabs>
              <w:jc w:val="center"/>
              <w:rPr>
                <w:rFonts w:ascii="Calibri" w:hAnsi="Calibri"/>
                <w:sz w:val="24"/>
                <w:szCs w:val="24"/>
                <w:lang w:val="en-US"/>
              </w:rPr>
            </w:pPr>
            <w:r>
              <w:rPr>
                <w:rFonts w:ascii="Calibri" w:hAnsi="Calibri"/>
                <w:sz w:val="24"/>
                <w:szCs w:val="24"/>
                <w:lang w:val="en-US"/>
              </w:rPr>
              <w:t>0.</w:t>
            </w:r>
            <w:r w:rsidR="00965C27">
              <w:rPr>
                <w:rFonts w:ascii="Calibri" w:hAnsi="Calibri"/>
                <w:sz w:val="24"/>
                <w:szCs w:val="24"/>
                <w:lang w:val="en-US"/>
              </w:rPr>
              <w:t>0</w:t>
            </w:r>
            <w:r w:rsidR="00221E1C">
              <w:rPr>
                <w:rFonts w:ascii="Calibri" w:hAnsi="Calibri"/>
                <w:sz w:val="24"/>
                <w:szCs w:val="24"/>
                <w:lang w:val="en-US"/>
              </w:rPr>
              <w:t>26</w:t>
            </w:r>
          </w:p>
        </w:tc>
        <w:tc>
          <w:tcPr>
            <w:tcW w:w="1460" w:type="dxa"/>
          </w:tcPr>
          <w:p w14:paraId="61E43EA1" w14:textId="00EA5763" w:rsidR="00380587" w:rsidRDefault="00380587" w:rsidP="00965C27">
            <w:pPr>
              <w:tabs>
                <w:tab w:val="left" w:pos="6379"/>
              </w:tabs>
              <w:jc w:val="center"/>
              <w:rPr>
                <w:rFonts w:ascii="Calibri" w:hAnsi="Calibri"/>
                <w:sz w:val="24"/>
                <w:szCs w:val="24"/>
                <w:lang w:val="en-US"/>
              </w:rPr>
            </w:pPr>
            <w:r>
              <w:rPr>
                <w:rFonts w:ascii="Calibri" w:hAnsi="Calibri"/>
                <w:sz w:val="24"/>
                <w:szCs w:val="24"/>
                <w:lang w:val="en-US"/>
              </w:rPr>
              <w:t>0.</w:t>
            </w:r>
            <w:r w:rsidR="00CB2C01">
              <w:rPr>
                <w:rFonts w:ascii="Calibri" w:hAnsi="Calibri"/>
                <w:sz w:val="24"/>
                <w:szCs w:val="24"/>
                <w:lang w:val="en-US"/>
              </w:rPr>
              <w:t>474</w:t>
            </w:r>
          </w:p>
        </w:tc>
      </w:tr>
      <w:tr w:rsidR="00380587" w14:paraId="09A94DB3" w14:textId="77777777" w:rsidTr="00946375">
        <w:tc>
          <w:tcPr>
            <w:tcW w:w="3080" w:type="dxa"/>
          </w:tcPr>
          <w:p w14:paraId="16A450E9" w14:textId="77777777" w:rsidR="00380587" w:rsidRDefault="00380587" w:rsidP="00380587">
            <w:pPr>
              <w:tabs>
                <w:tab w:val="left" w:pos="6379"/>
              </w:tabs>
              <w:ind w:left="142"/>
              <w:rPr>
                <w:rFonts w:ascii="Calibri" w:hAnsi="Calibri"/>
                <w:sz w:val="24"/>
                <w:szCs w:val="24"/>
                <w:lang w:val="en-US"/>
              </w:rPr>
            </w:pPr>
            <w:r>
              <w:rPr>
                <w:rFonts w:ascii="Calibri" w:hAnsi="Calibri"/>
                <w:sz w:val="24"/>
                <w:szCs w:val="24"/>
                <w:lang w:val="en-US"/>
              </w:rPr>
              <w:t>Odds Ratio (95</w:t>
            </w:r>
            <w:proofErr w:type="gramStart"/>
            <w:r>
              <w:rPr>
                <w:rFonts w:ascii="Calibri" w:hAnsi="Calibri"/>
                <w:sz w:val="24"/>
                <w:szCs w:val="24"/>
                <w:lang w:val="en-US"/>
              </w:rPr>
              <w:t>%   Confidence</w:t>
            </w:r>
            <w:proofErr w:type="gramEnd"/>
            <w:r>
              <w:rPr>
                <w:rFonts w:ascii="Calibri" w:hAnsi="Calibri"/>
                <w:sz w:val="24"/>
                <w:szCs w:val="24"/>
                <w:lang w:val="en-US"/>
              </w:rPr>
              <w:t xml:space="preserve"> Interval)</w:t>
            </w:r>
          </w:p>
        </w:tc>
        <w:tc>
          <w:tcPr>
            <w:tcW w:w="3081" w:type="dxa"/>
          </w:tcPr>
          <w:p w14:paraId="38C0C726" w14:textId="5414AD96" w:rsidR="00380587" w:rsidRDefault="00380587" w:rsidP="00965C27">
            <w:pPr>
              <w:tabs>
                <w:tab w:val="left" w:pos="6379"/>
              </w:tabs>
              <w:jc w:val="center"/>
              <w:rPr>
                <w:rFonts w:ascii="Calibri" w:hAnsi="Calibri"/>
                <w:sz w:val="24"/>
                <w:szCs w:val="24"/>
                <w:lang w:val="en-US"/>
              </w:rPr>
            </w:pPr>
            <w:r>
              <w:rPr>
                <w:rFonts w:ascii="Calibri" w:hAnsi="Calibri"/>
                <w:sz w:val="24"/>
                <w:szCs w:val="24"/>
                <w:lang w:val="en-US"/>
              </w:rPr>
              <w:t>1.</w:t>
            </w:r>
            <w:r w:rsidR="00CB2C01">
              <w:rPr>
                <w:rFonts w:ascii="Calibri" w:hAnsi="Calibri"/>
                <w:sz w:val="24"/>
                <w:szCs w:val="24"/>
                <w:lang w:val="en-US"/>
              </w:rPr>
              <w:t>026</w:t>
            </w:r>
            <w:r w:rsidR="00965C27">
              <w:rPr>
                <w:rFonts w:ascii="Calibri" w:hAnsi="Calibri"/>
                <w:sz w:val="24"/>
                <w:szCs w:val="24"/>
                <w:lang w:val="en-US"/>
              </w:rPr>
              <w:t xml:space="preserve"> </w:t>
            </w:r>
            <w:r>
              <w:rPr>
                <w:rFonts w:ascii="Calibri" w:hAnsi="Calibri"/>
                <w:sz w:val="24"/>
                <w:szCs w:val="24"/>
                <w:lang w:val="en-US"/>
              </w:rPr>
              <w:t>(0.9</w:t>
            </w:r>
            <w:r w:rsidR="00E71120">
              <w:rPr>
                <w:rFonts w:ascii="Calibri" w:hAnsi="Calibri"/>
                <w:sz w:val="24"/>
                <w:szCs w:val="24"/>
                <w:lang w:val="en-US"/>
              </w:rPr>
              <w:t>56</w:t>
            </w:r>
            <w:r>
              <w:rPr>
                <w:rFonts w:ascii="Calibri" w:hAnsi="Calibri"/>
                <w:sz w:val="24"/>
                <w:szCs w:val="24"/>
                <w:lang w:val="en-US"/>
              </w:rPr>
              <w:t>-1.</w:t>
            </w:r>
            <w:r w:rsidR="00E71120">
              <w:rPr>
                <w:rFonts w:ascii="Calibri" w:hAnsi="Calibri"/>
                <w:sz w:val="24"/>
                <w:szCs w:val="24"/>
                <w:lang w:val="en-US"/>
              </w:rPr>
              <w:t>102</w:t>
            </w:r>
            <w:r>
              <w:rPr>
                <w:rFonts w:ascii="Calibri" w:hAnsi="Calibri"/>
                <w:sz w:val="24"/>
                <w:szCs w:val="24"/>
                <w:lang w:val="en-US"/>
              </w:rPr>
              <w:t>)</w:t>
            </w:r>
          </w:p>
        </w:tc>
        <w:tc>
          <w:tcPr>
            <w:tcW w:w="1460" w:type="dxa"/>
          </w:tcPr>
          <w:p w14:paraId="56A4C1BD" w14:textId="77777777" w:rsidR="00380587" w:rsidRDefault="00380587" w:rsidP="00946375">
            <w:pPr>
              <w:tabs>
                <w:tab w:val="left" w:pos="6379"/>
              </w:tabs>
              <w:jc w:val="center"/>
              <w:rPr>
                <w:rFonts w:ascii="Calibri" w:hAnsi="Calibri"/>
                <w:sz w:val="24"/>
                <w:szCs w:val="24"/>
                <w:lang w:val="en-US"/>
              </w:rPr>
            </w:pPr>
          </w:p>
        </w:tc>
      </w:tr>
      <w:tr w:rsidR="00380587" w14:paraId="034AECDE" w14:textId="77777777" w:rsidTr="00946375">
        <w:tc>
          <w:tcPr>
            <w:tcW w:w="3080" w:type="dxa"/>
          </w:tcPr>
          <w:p w14:paraId="3F167DEE" w14:textId="38542BAF" w:rsidR="00380587" w:rsidRDefault="00380587" w:rsidP="00965C27">
            <w:pPr>
              <w:tabs>
                <w:tab w:val="left" w:pos="6379"/>
              </w:tabs>
              <w:rPr>
                <w:rFonts w:ascii="Calibri" w:hAnsi="Calibri"/>
                <w:sz w:val="24"/>
                <w:szCs w:val="24"/>
                <w:lang w:val="en-US"/>
              </w:rPr>
            </w:pPr>
            <w:r>
              <w:rPr>
                <w:rFonts w:ascii="Calibri" w:hAnsi="Calibri"/>
                <w:sz w:val="24"/>
                <w:szCs w:val="24"/>
                <w:lang w:val="en-US"/>
              </w:rPr>
              <w:t xml:space="preserve">Model 2: </w:t>
            </w:r>
            <w:r w:rsidR="00965C27">
              <w:rPr>
                <w:rFonts w:ascii="Calibri" w:hAnsi="Calibri"/>
                <w:sz w:val="24"/>
                <w:szCs w:val="24"/>
                <w:lang w:val="en-US"/>
              </w:rPr>
              <w:t>Average Cmin</w:t>
            </w:r>
            <w:r>
              <w:rPr>
                <w:rFonts w:ascii="Calibri" w:hAnsi="Calibri"/>
                <w:sz w:val="24"/>
                <w:szCs w:val="24"/>
                <w:lang w:val="en-US"/>
              </w:rPr>
              <w:t xml:space="preserve"> vs. Outcome</w:t>
            </w:r>
          </w:p>
        </w:tc>
        <w:tc>
          <w:tcPr>
            <w:tcW w:w="3081" w:type="dxa"/>
          </w:tcPr>
          <w:p w14:paraId="5CE9EC40" w14:textId="77777777" w:rsidR="00380587" w:rsidRDefault="00380587" w:rsidP="00946375">
            <w:pPr>
              <w:tabs>
                <w:tab w:val="left" w:pos="6379"/>
              </w:tabs>
              <w:jc w:val="center"/>
              <w:rPr>
                <w:rFonts w:ascii="Calibri" w:hAnsi="Calibri"/>
                <w:sz w:val="24"/>
                <w:szCs w:val="24"/>
                <w:lang w:val="en-US"/>
              </w:rPr>
            </w:pPr>
          </w:p>
        </w:tc>
        <w:tc>
          <w:tcPr>
            <w:tcW w:w="1460" w:type="dxa"/>
          </w:tcPr>
          <w:p w14:paraId="15193675" w14:textId="77777777" w:rsidR="00380587" w:rsidRDefault="00380587" w:rsidP="00946375">
            <w:pPr>
              <w:tabs>
                <w:tab w:val="left" w:pos="6379"/>
              </w:tabs>
              <w:jc w:val="center"/>
              <w:rPr>
                <w:rFonts w:ascii="Calibri" w:hAnsi="Calibri"/>
                <w:sz w:val="24"/>
                <w:szCs w:val="24"/>
                <w:lang w:val="en-US"/>
              </w:rPr>
            </w:pPr>
          </w:p>
        </w:tc>
      </w:tr>
      <w:tr w:rsidR="00380587" w14:paraId="3CCABAE6" w14:textId="77777777" w:rsidTr="00946375">
        <w:tc>
          <w:tcPr>
            <w:tcW w:w="3080" w:type="dxa"/>
          </w:tcPr>
          <w:p w14:paraId="6C6DA343" w14:textId="77777777" w:rsidR="00380587" w:rsidRDefault="00380587" w:rsidP="00236B8D">
            <w:pPr>
              <w:tabs>
                <w:tab w:val="left" w:pos="6379"/>
              </w:tabs>
              <w:rPr>
                <w:rFonts w:ascii="Calibri" w:hAnsi="Calibri"/>
                <w:sz w:val="24"/>
                <w:szCs w:val="24"/>
                <w:lang w:val="en-US"/>
              </w:rPr>
            </w:pPr>
            <w:r>
              <w:rPr>
                <w:rFonts w:ascii="Calibri" w:hAnsi="Calibri"/>
                <w:sz w:val="24"/>
                <w:szCs w:val="24"/>
                <w:lang w:val="en-US"/>
              </w:rPr>
              <w:t xml:space="preserve">   Constant</w:t>
            </w:r>
          </w:p>
        </w:tc>
        <w:tc>
          <w:tcPr>
            <w:tcW w:w="3081" w:type="dxa"/>
          </w:tcPr>
          <w:p w14:paraId="451D3E66" w14:textId="101CAA66" w:rsidR="00380587" w:rsidRDefault="00965C27" w:rsidP="00946375">
            <w:pPr>
              <w:tabs>
                <w:tab w:val="left" w:pos="6379"/>
              </w:tabs>
              <w:jc w:val="center"/>
              <w:rPr>
                <w:rFonts w:ascii="Calibri" w:hAnsi="Calibri"/>
                <w:sz w:val="24"/>
                <w:szCs w:val="24"/>
                <w:lang w:val="en-US"/>
              </w:rPr>
            </w:pPr>
            <w:r>
              <w:rPr>
                <w:rFonts w:ascii="Calibri" w:hAnsi="Calibri"/>
                <w:sz w:val="24"/>
                <w:szCs w:val="24"/>
                <w:lang w:val="en-US"/>
              </w:rPr>
              <w:t>3.</w:t>
            </w:r>
            <w:r w:rsidR="00E57DBA">
              <w:rPr>
                <w:rFonts w:ascii="Calibri" w:hAnsi="Calibri"/>
                <w:sz w:val="24"/>
                <w:szCs w:val="24"/>
                <w:lang w:val="en-US"/>
              </w:rPr>
              <w:t>413</w:t>
            </w:r>
          </w:p>
        </w:tc>
        <w:tc>
          <w:tcPr>
            <w:tcW w:w="1460" w:type="dxa"/>
          </w:tcPr>
          <w:p w14:paraId="0DEF9F9B" w14:textId="77777777" w:rsidR="00380587" w:rsidRDefault="00380587" w:rsidP="00946375">
            <w:pPr>
              <w:tabs>
                <w:tab w:val="left" w:pos="6379"/>
              </w:tabs>
              <w:jc w:val="center"/>
              <w:rPr>
                <w:rFonts w:ascii="Calibri" w:hAnsi="Calibri"/>
                <w:sz w:val="24"/>
                <w:szCs w:val="24"/>
                <w:lang w:val="en-US"/>
              </w:rPr>
            </w:pPr>
            <w:r>
              <w:rPr>
                <w:rFonts w:ascii="Calibri" w:hAnsi="Calibri"/>
                <w:sz w:val="24"/>
                <w:szCs w:val="24"/>
                <w:lang w:val="en-US"/>
              </w:rPr>
              <w:t>&lt;0.001</w:t>
            </w:r>
          </w:p>
        </w:tc>
      </w:tr>
      <w:tr w:rsidR="00380587" w14:paraId="2361149D" w14:textId="77777777" w:rsidTr="00946375">
        <w:tc>
          <w:tcPr>
            <w:tcW w:w="3080" w:type="dxa"/>
          </w:tcPr>
          <w:p w14:paraId="4870EF3B" w14:textId="43BCA1CD" w:rsidR="00380587" w:rsidRDefault="00380587" w:rsidP="00820C96">
            <w:pPr>
              <w:tabs>
                <w:tab w:val="left" w:pos="6379"/>
              </w:tabs>
              <w:rPr>
                <w:rFonts w:ascii="Calibri" w:hAnsi="Calibri"/>
                <w:sz w:val="24"/>
                <w:szCs w:val="24"/>
                <w:lang w:val="en-US"/>
              </w:rPr>
            </w:pPr>
            <w:r>
              <w:rPr>
                <w:rFonts w:ascii="Calibri" w:hAnsi="Calibri"/>
                <w:sz w:val="24"/>
                <w:szCs w:val="24"/>
                <w:lang w:val="en-US"/>
              </w:rPr>
              <w:t xml:space="preserve">   </w:t>
            </w:r>
            <w:r w:rsidR="00820C96">
              <w:rPr>
                <w:rFonts w:ascii="Calibri" w:hAnsi="Calibri"/>
                <w:sz w:val="24"/>
                <w:szCs w:val="24"/>
                <w:lang w:val="en-US"/>
              </w:rPr>
              <w:t>Cmin</w:t>
            </w:r>
          </w:p>
        </w:tc>
        <w:tc>
          <w:tcPr>
            <w:tcW w:w="3081" w:type="dxa"/>
          </w:tcPr>
          <w:p w14:paraId="2F9696EE" w14:textId="009098C2" w:rsidR="00380587" w:rsidRDefault="00E57DBA" w:rsidP="00946375">
            <w:pPr>
              <w:tabs>
                <w:tab w:val="left" w:pos="6379"/>
              </w:tabs>
              <w:jc w:val="center"/>
              <w:rPr>
                <w:rFonts w:ascii="Calibri" w:hAnsi="Calibri"/>
                <w:sz w:val="24"/>
                <w:szCs w:val="24"/>
                <w:lang w:val="en-US"/>
              </w:rPr>
            </w:pPr>
            <w:r>
              <w:rPr>
                <w:rFonts w:ascii="Calibri" w:hAnsi="Calibri"/>
                <w:sz w:val="24"/>
                <w:szCs w:val="24"/>
                <w:lang w:val="en-US"/>
              </w:rPr>
              <w:t>0.102</w:t>
            </w:r>
          </w:p>
        </w:tc>
        <w:tc>
          <w:tcPr>
            <w:tcW w:w="1460" w:type="dxa"/>
          </w:tcPr>
          <w:p w14:paraId="3F2902E6" w14:textId="46410226" w:rsidR="00380587" w:rsidRDefault="00380587" w:rsidP="00820C96">
            <w:pPr>
              <w:tabs>
                <w:tab w:val="left" w:pos="6379"/>
              </w:tabs>
              <w:jc w:val="center"/>
              <w:rPr>
                <w:rFonts w:ascii="Calibri" w:hAnsi="Calibri"/>
                <w:sz w:val="24"/>
                <w:szCs w:val="24"/>
                <w:lang w:val="en-US"/>
              </w:rPr>
            </w:pPr>
            <w:r>
              <w:rPr>
                <w:rFonts w:ascii="Calibri" w:hAnsi="Calibri"/>
                <w:sz w:val="24"/>
                <w:szCs w:val="24"/>
                <w:lang w:val="en-US"/>
              </w:rPr>
              <w:t>0.</w:t>
            </w:r>
            <w:r w:rsidR="007D77C4">
              <w:rPr>
                <w:rFonts w:ascii="Calibri" w:hAnsi="Calibri"/>
                <w:sz w:val="24"/>
                <w:szCs w:val="24"/>
                <w:lang w:val="en-US"/>
              </w:rPr>
              <w:t>813</w:t>
            </w:r>
          </w:p>
        </w:tc>
      </w:tr>
      <w:tr w:rsidR="00380587" w14:paraId="548BB98A" w14:textId="77777777" w:rsidTr="00946375">
        <w:tc>
          <w:tcPr>
            <w:tcW w:w="3080" w:type="dxa"/>
          </w:tcPr>
          <w:p w14:paraId="5E608374" w14:textId="77777777" w:rsidR="00380587" w:rsidRDefault="00380587" w:rsidP="00236B8D">
            <w:pPr>
              <w:tabs>
                <w:tab w:val="left" w:pos="6379"/>
              </w:tabs>
              <w:ind w:left="142"/>
              <w:rPr>
                <w:rFonts w:ascii="Calibri" w:hAnsi="Calibri"/>
                <w:sz w:val="24"/>
                <w:szCs w:val="24"/>
                <w:lang w:val="en-US"/>
              </w:rPr>
            </w:pPr>
            <w:r>
              <w:rPr>
                <w:rFonts w:ascii="Calibri" w:hAnsi="Calibri"/>
                <w:sz w:val="24"/>
                <w:szCs w:val="24"/>
                <w:lang w:val="en-US"/>
              </w:rPr>
              <w:t>Odds Ratio (95</w:t>
            </w:r>
            <w:proofErr w:type="gramStart"/>
            <w:r>
              <w:rPr>
                <w:rFonts w:ascii="Calibri" w:hAnsi="Calibri"/>
                <w:sz w:val="24"/>
                <w:szCs w:val="24"/>
                <w:lang w:val="en-US"/>
              </w:rPr>
              <w:t>%   Confidence</w:t>
            </w:r>
            <w:proofErr w:type="gramEnd"/>
            <w:r>
              <w:rPr>
                <w:rFonts w:ascii="Calibri" w:hAnsi="Calibri"/>
                <w:sz w:val="24"/>
                <w:szCs w:val="24"/>
                <w:lang w:val="en-US"/>
              </w:rPr>
              <w:t xml:space="preserve"> Interval)</w:t>
            </w:r>
          </w:p>
        </w:tc>
        <w:tc>
          <w:tcPr>
            <w:tcW w:w="3081" w:type="dxa"/>
          </w:tcPr>
          <w:p w14:paraId="379FF0BA" w14:textId="155534D7" w:rsidR="00380587" w:rsidRDefault="00470FB3" w:rsidP="004E3A27">
            <w:pPr>
              <w:tabs>
                <w:tab w:val="left" w:pos="6379"/>
              </w:tabs>
              <w:jc w:val="center"/>
              <w:rPr>
                <w:rFonts w:ascii="Calibri" w:hAnsi="Calibri"/>
                <w:sz w:val="24"/>
                <w:szCs w:val="24"/>
                <w:lang w:val="en-US"/>
              </w:rPr>
            </w:pPr>
            <w:r>
              <w:rPr>
                <w:rFonts w:ascii="Calibri" w:hAnsi="Calibri"/>
                <w:sz w:val="24"/>
                <w:szCs w:val="24"/>
                <w:lang w:val="en-US"/>
              </w:rPr>
              <w:t>1.108</w:t>
            </w:r>
            <w:r w:rsidR="00380587">
              <w:rPr>
                <w:rFonts w:ascii="Calibri" w:hAnsi="Calibri"/>
                <w:sz w:val="24"/>
                <w:szCs w:val="24"/>
                <w:lang w:val="en-US"/>
              </w:rPr>
              <w:t xml:space="preserve"> (0.</w:t>
            </w:r>
            <w:r>
              <w:rPr>
                <w:rFonts w:ascii="Calibri" w:hAnsi="Calibri"/>
                <w:sz w:val="24"/>
                <w:szCs w:val="24"/>
                <w:lang w:val="en-US"/>
              </w:rPr>
              <w:t>475</w:t>
            </w:r>
            <w:r w:rsidR="00380587">
              <w:rPr>
                <w:rFonts w:ascii="Calibri" w:hAnsi="Calibri"/>
                <w:sz w:val="24"/>
                <w:szCs w:val="24"/>
                <w:lang w:val="en-US"/>
              </w:rPr>
              <w:t>-</w:t>
            </w:r>
            <w:r w:rsidR="004E3A27">
              <w:rPr>
                <w:rFonts w:ascii="Calibri" w:hAnsi="Calibri"/>
                <w:sz w:val="24"/>
                <w:szCs w:val="24"/>
                <w:lang w:val="en-US"/>
              </w:rPr>
              <w:t>2.581</w:t>
            </w:r>
            <w:r w:rsidR="00380587">
              <w:rPr>
                <w:rFonts w:ascii="Calibri" w:hAnsi="Calibri"/>
                <w:sz w:val="24"/>
                <w:szCs w:val="24"/>
                <w:lang w:val="en-US"/>
              </w:rPr>
              <w:t>)</w:t>
            </w:r>
          </w:p>
        </w:tc>
        <w:tc>
          <w:tcPr>
            <w:tcW w:w="1460" w:type="dxa"/>
          </w:tcPr>
          <w:p w14:paraId="0DE2E584" w14:textId="77777777" w:rsidR="00380587" w:rsidRDefault="00380587" w:rsidP="00946375">
            <w:pPr>
              <w:tabs>
                <w:tab w:val="left" w:pos="6379"/>
              </w:tabs>
              <w:jc w:val="center"/>
              <w:rPr>
                <w:rFonts w:ascii="Calibri" w:hAnsi="Calibri"/>
                <w:sz w:val="24"/>
                <w:szCs w:val="24"/>
                <w:lang w:val="en-US"/>
              </w:rPr>
            </w:pPr>
          </w:p>
        </w:tc>
      </w:tr>
    </w:tbl>
    <w:p w14:paraId="0F59D301" w14:textId="77777777" w:rsidR="00C162B1" w:rsidRPr="007C5CC0" w:rsidRDefault="00C162B1" w:rsidP="007C5CC0">
      <w:pPr>
        <w:tabs>
          <w:tab w:val="left" w:pos="6379"/>
        </w:tabs>
        <w:rPr>
          <w:rFonts w:ascii="Calibri" w:hAnsi="Calibri"/>
          <w:sz w:val="24"/>
          <w:szCs w:val="24"/>
          <w:lang w:val="en-US"/>
        </w:rPr>
      </w:pPr>
    </w:p>
    <w:p w14:paraId="0400881C" w14:textId="77777777" w:rsidR="00B7142A" w:rsidRPr="007C5CC0" w:rsidRDefault="00B7142A" w:rsidP="007C5CC0">
      <w:pPr>
        <w:tabs>
          <w:tab w:val="left" w:pos="6379"/>
        </w:tabs>
        <w:rPr>
          <w:rFonts w:ascii="Calibri" w:hAnsi="Calibri"/>
          <w:sz w:val="24"/>
          <w:szCs w:val="24"/>
          <w:lang w:val="en-US"/>
        </w:rPr>
      </w:pPr>
    </w:p>
    <w:p w14:paraId="23725D3C" w14:textId="18F0D52F" w:rsidR="00C162B1" w:rsidRPr="007C5CC0" w:rsidRDefault="00FA3067" w:rsidP="007C5CC0">
      <w:pPr>
        <w:tabs>
          <w:tab w:val="left" w:pos="6379"/>
        </w:tabs>
        <w:rPr>
          <w:rFonts w:ascii="Calibri" w:hAnsi="Calibri"/>
          <w:sz w:val="24"/>
          <w:szCs w:val="24"/>
          <w:lang w:val="en-US"/>
        </w:rPr>
      </w:pPr>
      <w:r w:rsidRPr="007C5CC0">
        <w:rPr>
          <w:rFonts w:ascii="Calibri" w:hAnsi="Calibri"/>
          <w:sz w:val="24"/>
          <w:szCs w:val="24"/>
          <w:lang w:val="en-US"/>
        </w:rPr>
        <w:t xml:space="preserve">Table </w:t>
      </w:r>
      <w:r w:rsidR="00DA0704">
        <w:rPr>
          <w:rFonts w:ascii="Calibri" w:hAnsi="Calibri"/>
          <w:sz w:val="24"/>
          <w:szCs w:val="24"/>
          <w:lang w:val="en-US"/>
        </w:rPr>
        <w:t>2</w:t>
      </w:r>
      <w:r w:rsidR="008B387E">
        <w:rPr>
          <w:rFonts w:ascii="Calibri" w:hAnsi="Calibri"/>
          <w:sz w:val="24"/>
          <w:szCs w:val="24"/>
          <w:lang w:val="en-US"/>
        </w:rPr>
        <w:t>.</w:t>
      </w:r>
      <w:r w:rsidRPr="007C5CC0">
        <w:rPr>
          <w:rFonts w:ascii="Calibri" w:hAnsi="Calibri"/>
          <w:sz w:val="24"/>
          <w:szCs w:val="24"/>
          <w:lang w:val="en-US"/>
        </w:rPr>
        <w:t xml:space="preserve"> Logistic regression model</w:t>
      </w:r>
      <w:r w:rsidR="00E339D5" w:rsidRPr="007C5CC0">
        <w:rPr>
          <w:rFonts w:ascii="Calibri" w:hAnsi="Calibri"/>
          <w:sz w:val="24"/>
          <w:szCs w:val="24"/>
          <w:lang w:val="en-US"/>
        </w:rPr>
        <w:t>s</w:t>
      </w:r>
      <w:r w:rsidRPr="007C5CC0">
        <w:rPr>
          <w:rFonts w:ascii="Calibri" w:hAnsi="Calibri"/>
          <w:sz w:val="24"/>
          <w:szCs w:val="24"/>
          <w:lang w:val="en-US"/>
        </w:rPr>
        <w:t xml:space="preserve"> </w:t>
      </w:r>
      <w:r w:rsidR="00946375">
        <w:rPr>
          <w:rFonts w:ascii="Calibri" w:hAnsi="Calibri"/>
          <w:sz w:val="24"/>
          <w:szCs w:val="24"/>
          <w:lang w:val="en-US"/>
        </w:rPr>
        <w:t xml:space="preserve">comparing drug exposure </w:t>
      </w:r>
      <w:r w:rsidR="008B387E">
        <w:rPr>
          <w:rFonts w:ascii="Calibri" w:hAnsi="Calibri"/>
          <w:sz w:val="24"/>
          <w:szCs w:val="24"/>
          <w:lang w:val="en-US"/>
        </w:rPr>
        <w:t>quantified as the average AUC</w:t>
      </w:r>
      <w:r w:rsidR="008B387E" w:rsidRPr="00851FDC">
        <w:rPr>
          <w:rFonts w:ascii="Calibri" w:hAnsi="Calibri"/>
          <w:sz w:val="24"/>
          <w:szCs w:val="24"/>
          <w:vertAlign w:val="subscript"/>
          <w:lang w:val="en-US"/>
        </w:rPr>
        <w:t>0-12</w:t>
      </w:r>
      <w:r w:rsidR="008B387E">
        <w:rPr>
          <w:rFonts w:ascii="Calibri" w:hAnsi="Calibri"/>
          <w:sz w:val="24"/>
          <w:szCs w:val="24"/>
          <w:lang w:val="en-US"/>
        </w:rPr>
        <w:t xml:space="preserve"> and Cmin </w:t>
      </w:r>
      <w:r w:rsidR="00946375">
        <w:rPr>
          <w:rFonts w:ascii="Calibri" w:hAnsi="Calibri"/>
          <w:sz w:val="24"/>
          <w:szCs w:val="24"/>
          <w:lang w:val="en-US"/>
        </w:rPr>
        <w:t>with the probability of a breakthrough fungal infection</w:t>
      </w:r>
    </w:p>
    <w:p w14:paraId="756F9013" w14:textId="77777777" w:rsidR="00FA3067" w:rsidRPr="007C5CC0" w:rsidRDefault="00FA3067" w:rsidP="007C5CC0">
      <w:pPr>
        <w:tabs>
          <w:tab w:val="left" w:pos="6379"/>
        </w:tabs>
        <w:rPr>
          <w:rFonts w:ascii="Calibri" w:hAnsi="Calibri"/>
          <w:sz w:val="24"/>
          <w:szCs w:val="24"/>
          <w:lang w:val="en-US"/>
        </w:rPr>
      </w:pPr>
    </w:p>
    <w:p w14:paraId="53F71B78" w14:textId="77777777" w:rsidR="00C162B1" w:rsidRPr="007C5CC0" w:rsidRDefault="00C162B1" w:rsidP="007C5CC0">
      <w:pPr>
        <w:tabs>
          <w:tab w:val="left" w:pos="6379"/>
        </w:tabs>
        <w:rPr>
          <w:rFonts w:ascii="Calibri" w:hAnsi="Calibri"/>
          <w:sz w:val="24"/>
          <w:szCs w:val="24"/>
          <w:lang w:val="en-US"/>
        </w:rPr>
      </w:pPr>
    </w:p>
    <w:p w14:paraId="49E59A18" w14:textId="77777777" w:rsidR="00C162B1" w:rsidRPr="007C5CC0" w:rsidRDefault="00C162B1" w:rsidP="007C5CC0">
      <w:pPr>
        <w:tabs>
          <w:tab w:val="left" w:pos="6379"/>
        </w:tabs>
        <w:rPr>
          <w:rFonts w:ascii="Calibri" w:hAnsi="Calibri"/>
          <w:sz w:val="24"/>
          <w:szCs w:val="24"/>
          <w:lang w:val="en-US"/>
        </w:rPr>
      </w:pPr>
    </w:p>
    <w:p w14:paraId="085559D9" w14:textId="77777777" w:rsidR="00FA3067" w:rsidRPr="007C5CC0" w:rsidRDefault="00FA3067" w:rsidP="007C5CC0">
      <w:pPr>
        <w:tabs>
          <w:tab w:val="left" w:pos="6379"/>
        </w:tabs>
        <w:rPr>
          <w:rFonts w:ascii="Calibri" w:hAnsi="Calibri"/>
          <w:sz w:val="24"/>
          <w:szCs w:val="24"/>
          <w:lang w:val="en-US"/>
        </w:rPr>
      </w:pPr>
      <w:r w:rsidRPr="007C5CC0">
        <w:rPr>
          <w:rFonts w:ascii="Calibri" w:hAnsi="Calibri"/>
          <w:sz w:val="24"/>
          <w:szCs w:val="24"/>
          <w:lang w:val="en-US"/>
        </w:rPr>
        <w:br w:type="page"/>
      </w:r>
    </w:p>
    <w:p w14:paraId="4F91B41F" w14:textId="1B929359" w:rsidR="0054476F" w:rsidRDefault="0054476F">
      <w:pPr>
        <w:rPr>
          <w:rFonts w:ascii="Calibri" w:hAnsi="Calibri"/>
          <w:sz w:val="24"/>
          <w:szCs w:val="24"/>
          <w:lang w:val="en-US"/>
        </w:rPr>
      </w:pPr>
    </w:p>
    <w:p w14:paraId="23B7F623" w14:textId="61885EEE" w:rsidR="00C162B1" w:rsidRDefault="00990559" w:rsidP="007C5CC0">
      <w:pPr>
        <w:tabs>
          <w:tab w:val="left" w:pos="6379"/>
        </w:tabs>
        <w:rPr>
          <w:rFonts w:ascii="Calibri" w:hAnsi="Calibri"/>
          <w:sz w:val="24"/>
          <w:szCs w:val="24"/>
          <w:lang w:val="en-US"/>
        </w:rPr>
      </w:pPr>
      <w:r w:rsidRPr="00862223">
        <w:rPr>
          <w:rFonts w:ascii="Calibri" w:hAnsi="Calibri"/>
          <w:noProof/>
          <w:sz w:val="24"/>
          <w:szCs w:val="24"/>
          <w:lang w:val="en-US"/>
        </w:rPr>
        <w:drawing>
          <wp:inline distT="0" distB="0" distL="0" distR="0" wp14:anchorId="2700F133" wp14:editId="30076E8D">
            <wp:extent cx="3096006" cy="30213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7" cstate="print">
                      <a:extLst>
                        <a:ext uri="{28A0092B-C50C-407E-A947-70E740481C1C}">
                          <a14:useLocalDpi xmlns:a14="http://schemas.microsoft.com/office/drawing/2010/main"/>
                        </a:ext>
                      </a:extLst>
                    </a:blip>
                    <a:stretch>
                      <a:fillRect/>
                    </a:stretch>
                  </pic:blipFill>
                  <pic:spPr>
                    <a:xfrm>
                      <a:off x="0" y="0"/>
                      <a:ext cx="3096006" cy="3021330"/>
                    </a:xfrm>
                    <a:prstGeom prst="rect">
                      <a:avLst/>
                    </a:prstGeom>
                  </pic:spPr>
                </pic:pic>
              </a:graphicData>
            </a:graphic>
          </wp:inline>
        </w:drawing>
      </w:r>
    </w:p>
    <w:p w14:paraId="5B0F5713" w14:textId="77777777" w:rsidR="00912D33" w:rsidRDefault="00912D33">
      <w:pPr>
        <w:rPr>
          <w:rFonts w:ascii="Calibri" w:hAnsi="Calibri"/>
          <w:sz w:val="24"/>
          <w:szCs w:val="24"/>
          <w:lang w:val="en-US"/>
        </w:rPr>
      </w:pPr>
    </w:p>
    <w:p w14:paraId="6D1721D2" w14:textId="69ECC6AC" w:rsidR="00912D33" w:rsidRDefault="00912D33">
      <w:pPr>
        <w:rPr>
          <w:rFonts w:ascii="Calibri" w:hAnsi="Calibri"/>
          <w:sz w:val="24"/>
          <w:szCs w:val="24"/>
          <w:lang w:val="en-US"/>
        </w:rPr>
      </w:pPr>
      <w:r>
        <w:rPr>
          <w:rFonts w:ascii="Calibri" w:hAnsi="Calibri"/>
          <w:sz w:val="24"/>
          <w:szCs w:val="24"/>
          <w:lang w:val="en-US"/>
        </w:rPr>
        <w:t>Figure 1</w:t>
      </w:r>
      <w:r w:rsidR="00D13501">
        <w:rPr>
          <w:rFonts w:ascii="Calibri" w:hAnsi="Calibri"/>
          <w:sz w:val="24"/>
          <w:szCs w:val="24"/>
          <w:lang w:val="en-US"/>
        </w:rPr>
        <w:t xml:space="preserve">.  </w:t>
      </w:r>
      <w:proofErr w:type="gramStart"/>
      <w:r w:rsidR="00D13501">
        <w:rPr>
          <w:rFonts w:ascii="Calibri" w:hAnsi="Calibri"/>
          <w:sz w:val="24"/>
          <w:szCs w:val="24"/>
          <w:lang w:val="en-US"/>
        </w:rPr>
        <w:t>Kaplan Mei</w:t>
      </w:r>
      <w:r w:rsidR="00BB0D3C">
        <w:rPr>
          <w:rFonts w:ascii="Calibri" w:hAnsi="Calibri"/>
          <w:sz w:val="24"/>
          <w:szCs w:val="24"/>
          <w:lang w:val="en-US"/>
        </w:rPr>
        <w:t>e</w:t>
      </w:r>
      <w:r w:rsidR="00D13501">
        <w:rPr>
          <w:rFonts w:ascii="Calibri" w:hAnsi="Calibri"/>
          <w:sz w:val="24"/>
          <w:szCs w:val="24"/>
          <w:lang w:val="en-US"/>
        </w:rPr>
        <w:t>r curve showing the time to invasive fungal infection in the 10 patients with breakthrough infection.</w:t>
      </w:r>
      <w:proofErr w:type="gramEnd"/>
      <w:r w:rsidR="00D13501">
        <w:rPr>
          <w:rFonts w:ascii="Calibri" w:hAnsi="Calibri"/>
          <w:sz w:val="24"/>
          <w:szCs w:val="24"/>
          <w:lang w:val="en-US"/>
        </w:rPr>
        <w:t xml:space="preserve">  Voriconazole was used up to day +100 post transplantation. </w:t>
      </w:r>
    </w:p>
    <w:p w14:paraId="795424F8" w14:textId="77777777" w:rsidR="00912D33" w:rsidRDefault="00912D33">
      <w:pPr>
        <w:rPr>
          <w:rFonts w:ascii="Calibri" w:hAnsi="Calibri"/>
          <w:sz w:val="24"/>
          <w:szCs w:val="24"/>
          <w:lang w:val="en-US"/>
        </w:rPr>
      </w:pPr>
    </w:p>
    <w:p w14:paraId="7BF8F759" w14:textId="32A8078A" w:rsidR="00912D33" w:rsidRDefault="00912D33">
      <w:pPr>
        <w:rPr>
          <w:rFonts w:ascii="Calibri" w:hAnsi="Calibri"/>
          <w:sz w:val="24"/>
          <w:szCs w:val="24"/>
          <w:lang w:val="en-US"/>
        </w:rPr>
      </w:pPr>
      <w:r>
        <w:rPr>
          <w:rFonts w:ascii="Calibri" w:hAnsi="Calibri"/>
          <w:sz w:val="24"/>
          <w:szCs w:val="24"/>
          <w:lang w:val="en-US"/>
        </w:rPr>
        <w:br w:type="page"/>
      </w:r>
    </w:p>
    <w:p w14:paraId="7335F4A0" w14:textId="77777777" w:rsidR="00912D33" w:rsidRDefault="00912D33" w:rsidP="007C5CC0">
      <w:pPr>
        <w:tabs>
          <w:tab w:val="left" w:pos="6379"/>
        </w:tabs>
        <w:rPr>
          <w:rFonts w:ascii="Calibri" w:hAnsi="Calibri"/>
          <w:sz w:val="24"/>
          <w:szCs w:val="24"/>
          <w:lang w:val="en-US"/>
        </w:rPr>
      </w:pPr>
    </w:p>
    <w:p w14:paraId="616F8AD4" w14:textId="77777777" w:rsidR="00912D33" w:rsidRDefault="00912D33" w:rsidP="007C5CC0">
      <w:pPr>
        <w:tabs>
          <w:tab w:val="left" w:pos="6379"/>
        </w:tabs>
        <w:rPr>
          <w:rFonts w:ascii="Calibri" w:hAnsi="Calibri"/>
          <w:sz w:val="24"/>
          <w:szCs w:val="24"/>
          <w:lang w:val="en-US"/>
        </w:rPr>
      </w:pPr>
    </w:p>
    <w:p w14:paraId="636A58BB" w14:textId="612B875C" w:rsidR="008D2509" w:rsidRPr="007C5CC0" w:rsidRDefault="00577324" w:rsidP="007C5CC0">
      <w:pPr>
        <w:tabs>
          <w:tab w:val="left" w:pos="6379"/>
        </w:tabs>
        <w:rPr>
          <w:rFonts w:ascii="Calibri" w:hAnsi="Calibri"/>
          <w:sz w:val="24"/>
          <w:szCs w:val="24"/>
          <w:lang w:val="en-US"/>
        </w:rPr>
      </w:pPr>
      <w:r w:rsidRPr="00851FDC">
        <w:rPr>
          <w:rFonts w:ascii="Calibri" w:hAnsi="Calibri"/>
          <w:noProof/>
          <w:sz w:val="24"/>
          <w:szCs w:val="24"/>
          <w:lang w:val="en-US"/>
        </w:rPr>
        <w:drawing>
          <wp:inline distT="0" distB="0" distL="0" distR="0" wp14:anchorId="3B8458E9" wp14:editId="081582EC">
            <wp:extent cx="3790862" cy="2517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ed predicted voriconazole_ed.tif"/>
                    <pic:cNvPicPr/>
                  </pic:nvPicPr>
                  <pic:blipFill>
                    <a:blip r:embed="rId8" cstate="print">
                      <a:extLst>
                        <a:ext uri="{28A0092B-C50C-407E-A947-70E740481C1C}">
                          <a14:useLocalDpi xmlns:a14="http://schemas.microsoft.com/office/drawing/2010/main"/>
                        </a:ext>
                      </a:extLst>
                    </a:blip>
                    <a:stretch>
                      <a:fillRect/>
                    </a:stretch>
                  </pic:blipFill>
                  <pic:spPr>
                    <a:xfrm>
                      <a:off x="0" y="0"/>
                      <a:ext cx="3791565" cy="2517756"/>
                    </a:xfrm>
                    <a:prstGeom prst="rect">
                      <a:avLst/>
                    </a:prstGeom>
                  </pic:spPr>
                </pic:pic>
              </a:graphicData>
            </a:graphic>
          </wp:inline>
        </w:drawing>
      </w:r>
    </w:p>
    <w:p w14:paraId="466BD7E2" w14:textId="77777777" w:rsidR="00946375" w:rsidRPr="007C5CC0" w:rsidRDefault="00946375" w:rsidP="007C5CC0">
      <w:pPr>
        <w:tabs>
          <w:tab w:val="left" w:pos="6379"/>
        </w:tabs>
        <w:rPr>
          <w:rFonts w:ascii="Calibri" w:hAnsi="Calibri"/>
          <w:sz w:val="24"/>
          <w:szCs w:val="24"/>
          <w:lang w:val="en-US"/>
        </w:rPr>
      </w:pPr>
    </w:p>
    <w:p w14:paraId="3245CBAD" w14:textId="2367CCE4" w:rsidR="00EF7FD5" w:rsidRPr="007C5CC0" w:rsidRDefault="00C162B1" w:rsidP="007C5CC0">
      <w:pPr>
        <w:tabs>
          <w:tab w:val="left" w:pos="6379"/>
        </w:tabs>
        <w:rPr>
          <w:rFonts w:ascii="Calibri" w:hAnsi="Calibri"/>
          <w:sz w:val="24"/>
          <w:szCs w:val="24"/>
          <w:lang w:val="en-US"/>
        </w:rPr>
      </w:pPr>
      <w:r w:rsidRPr="007C5CC0">
        <w:rPr>
          <w:rFonts w:ascii="Calibri" w:hAnsi="Calibri"/>
          <w:sz w:val="24"/>
          <w:szCs w:val="24"/>
          <w:lang w:val="en-US"/>
        </w:rPr>
        <w:t xml:space="preserve">Figure </w:t>
      </w:r>
      <w:r w:rsidR="00D13501">
        <w:rPr>
          <w:rFonts w:ascii="Calibri" w:hAnsi="Calibri"/>
          <w:sz w:val="24"/>
          <w:szCs w:val="24"/>
          <w:lang w:val="en-US"/>
        </w:rPr>
        <w:t>2</w:t>
      </w:r>
      <w:r w:rsidR="00B865E3">
        <w:rPr>
          <w:rFonts w:ascii="Calibri" w:hAnsi="Calibri"/>
          <w:sz w:val="24"/>
          <w:szCs w:val="24"/>
          <w:lang w:val="en-US"/>
        </w:rPr>
        <w:t xml:space="preserve">. </w:t>
      </w:r>
      <w:r w:rsidR="00B024A5">
        <w:rPr>
          <w:rFonts w:ascii="Calibri" w:hAnsi="Calibri"/>
          <w:sz w:val="24"/>
          <w:szCs w:val="24"/>
          <w:lang w:val="en-US"/>
        </w:rPr>
        <w:t xml:space="preserve">The </w:t>
      </w:r>
      <w:r w:rsidR="00DE2CA5">
        <w:rPr>
          <w:rFonts w:ascii="Calibri" w:hAnsi="Calibri"/>
          <w:sz w:val="24"/>
          <w:szCs w:val="24"/>
          <w:lang w:val="en-US"/>
        </w:rPr>
        <w:t xml:space="preserve">individually </w:t>
      </w:r>
      <w:r w:rsidR="00B024A5">
        <w:rPr>
          <w:rFonts w:ascii="Calibri" w:hAnsi="Calibri"/>
          <w:sz w:val="24"/>
          <w:szCs w:val="24"/>
          <w:lang w:val="en-US"/>
        </w:rPr>
        <w:t>observed-</w:t>
      </w:r>
      <w:r w:rsidR="00210B62">
        <w:rPr>
          <w:rFonts w:ascii="Calibri" w:hAnsi="Calibri"/>
          <w:sz w:val="24"/>
          <w:szCs w:val="24"/>
          <w:lang w:val="en-US"/>
        </w:rPr>
        <w:t>versus-</w:t>
      </w:r>
      <w:r w:rsidR="00B024A5">
        <w:rPr>
          <w:rFonts w:ascii="Calibri" w:hAnsi="Calibri"/>
          <w:sz w:val="24"/>
          <w:szCs w:val="24"/>
          <w:lang w:val="en-US"/>
        </w:rPr>
        <w:t xml:space="preserve">predicted values for 187 patients receiving voriconazole 200 mg </w:t>
      </w:r>
      <w:r w:rsidR="00053781">
        <w:rPr>
          <w:rFonts w:ascii="Calibri" w:hAnsi="Calibri"/>
          <w:sz w:val="24"/>
          <w:szCs w:val="24"/>
          <w:lang w:val="en-US"/>
        </w:rPr>
        <w:t>q12h</w:t>
      </w:r>
      <w:r w:rsidR="00691D00">
        <w:rPr>
          <w:rFonts w:ascii="Calibri" w:hAnsi="Calibri"/>
          <w:sz w:val="24"/>
          <w:szCs w:val="24"/>
          <w:lang w:val="en-US"/>
        </w:rPr>
        <w:t xml:space="preserve"> after the fit of the population model to each patient’s serum concentration data and using a previous population PK model as the Bayesian prior</w:t>
      </w:r>
      <w:r w:rsidR="00194B45">
        <w:rPr>
          <w:rFonts w:ascii="Calibri" w:hAnsi="Calibri"/>
          <w:sz w:val="24"/>
          <w:szCs w:val="24"/>
          <w:lang w:val="en-US"/>
        </w:rPr>
        <w:t>.</w:t>
      </w:r>
      <w:r w:rsidR="00691D00">
        <w:rPr>
          <w:rFonts w:ascii="Calibri" w:hAnsi="Calibri"/>
          <w:sz w:val="24"/>
          <w:szCs w:val="24"/>
          <w:lang w:val="en-US"/>
        </w:rPr>
        <w:t xml:space="preserve">  </w:t>
      </w:r>
      <w:r w:rsidR="005B4211">
        <w:rPr>
          <w:rFonts w:ascii="Calibri" w:hAnsi="Calibri"/>
          <w:sz w:val="24"/>
          <w:szCs w:val="24"/>
          <w:lang w:val="en-US"/>
        </w:rPr>
        <w:t>Observed =-0.027 + 1.10</w:t>
      </w:r>
      <w:r w:rsidR="00A25D0F">
        <w:rPr>
          <w:rFonts w:ascii="Calibri" w:hAnsi="Calibri"/>
          <w:sz w:val="24"/>
          <w:szCs w:val="24"/>
          <w:lang w:val="en-US"/>
        </w:rPr>
        <w:t>*Predicted</w:t>
      </w:r>
      <w:proofErr w:type="gramStart"/>
      <w:r w:rsidR="00A25D0F">
        <w:rPr>
          <w:rFonts w:ascii="Calibri" w:hAnsi="Calibri"/>
          <w:sz w:val="24"/>
          <w:szCs w:val="24"/>
          <w:lang w:val="en-US"/>
        </w:rPr>
        <w:t>;</w:t>
      </w:r>
      <w:proofErr w:type="gramEnd"/>
      <w:r w:rsidR="00A25D0F">
        <w:rPr>
          <w:rFonts w:ascii="Calibri" w:hAnsi="Calibri"/>
          <w:sz w:val="24"/>
          <w:szCs w:val="24"/>
          <w:lang w:val="en-US"/>
        </w:rPr>
        <w:t xml:space="preserve"> </w:t>
      </w:r>
      <w:r w:rsidR="00A25D0F" w:rsidRPr="00851FDC">
        <w:rPr>
          <w:rFonts w:ascii="Calibri" w:hAnsi="Calibri"/>
          <w:i/>
          <w:sz w:val="24"/>
          <w:szCs w:val="24"/>
          <w:lang w:val="en-US"/>
        </w:rPr>
        <w:t>r</w:t>
      </w:r>
      <w:r w:rsidR="00A25D0F" w:rsidRPr="00851FDC">
        <w:rPr>
          <w:rFonts w:ascii="Calibri" w:hAnsi="Calibri"/>
          <w:i/>
          <w:sz w:val="24"/>
          <w:szCs w:val="24"/>
          <w:vertAlign w:val="superscript"/>
          <w:lang w:val="en-US"/>
        </w:rPr>
        <w:t>2</w:t>
      </w:r>
      <w:r w:rsidR="00A25D0F">
        <w:rPr>
          <w:rFonts w:ascii="Calibri" w:hAnsi="Calibri"/>
          <w:sz w:val="24"/>
          <w:szCs w:val="24"/>
          <w:lang w:val="en-US"/>
        </w:rPr>
        <w:t xml:space="preserve"> = 0.77.  The broken line</w:t>
      </w:r>
      <w:r w:rsidR="00194B45">
        <w:rPr>
          <w:rFonts w:ascii="Calibri" w:hAnsi="Calibri"/>
          <w:sz w:val="24"/>
          <w:szCs w:val="24"/>
          <w:lang w:val="en-US"/>
        </w:rPr>
        <w:t xml:space="preserve"> </w:t>
      </w:r>
      <w:r w:rsidR="00A25D0F">
        <w:rPr>
          <w:rFonts w:ascii="Calibri" w:hAnsi="Calibri"/>
          <w:sz w:val="24"/>
          <w:szCs w:val="24"/>
          <w:lang w:val="en-US"/>
        </w:rPr>
        <w:t>is the line of identity</w:t>
      </w:r>
      <w:r w:rsidR="00BB0D3C">
        <w:rPr>
          <w:rFonts w:ascii="Calibri" w:hAnsi="Calibri"/>
          <w:sz w:val="24"/>
          <w:szCs w:val="24"/>
          <w:lang w:val="en-US"/>
        </w:rPr>
        <w:t>.</w:t>
      </w:r>
    </w:p>
    <w:p w14:paraId="3AA37CC5" w14:textId="77777777" w:rsidR="00C162B1" w:rsidRPr="007C5CC0" w:rsidRDefault="00C162B1" w:rsidP="007C5CC0">
      <w:pPr>
        <w:tabs>
          <w:tab w:val="left" w:pos="6379"/>
        </w:tabs>
        <w:rPr>
          <w:rFonts w:ascii="Calibri" w:hAnsi="Calibri"/>
          <w:sz w:val="24"/>
          <w:szCs w:val="24"/>
          <w:lang w:val="en-US"/>
        </w:rPr>
      </w:pPr>
    </w:p>
    <w:p w14:paraId="2CF67200" w14:textId="77777777" w:rsidR="00FA3067" w:rsidRPr="007C5CC0" w:rsidRDefault="00FA3067" w:rsidP="007C5CC0">
      <w:pPr>
        <w:tabs>
          <w:tab w:val="left" w:pos="6379"/>
        </w:tabs>
        <w:rPr>
          <w:rFonts w:ascii="Calibri" w:hAnsi="Calibri"/>
          <w:sz w:val="24"/>
          <w:szCs w:val="24"/>
          <w:lang w:val="en-US"/>
        </w:rPr>
      </w:pPr>
    </w:p>
    <w:p w14:paraId="05803B14" w14:textId="77777777" w:rsidR="00B865E3" w:rsidRDefault="00B865E3">
      <w:pPr>
        <w:rPr>
          <w:rFonts w:ascii="Calibri" w:hAnsi="Calibri"/>
          <w:sz w:val="24"/>
          <w:szCs w:val="24"/>
          <w:lang w:val="en-US"/>
        </w:rPr>
      </w:pPr>
      <w:r>
        <w:rPr>
          <w:rFonts w:ascii="Calibri" w:hAnsi="Calibri"/>
          <w:sz w:val="24"/>
          <w:szCs w:val="24"/>
          <w:lang w:val="en-US"/>
        </w:rPr>
        <w:br w:type="page"/>
      </w:r>
    </w:p>
    <w:p w14:paraId="23670FE9" w14:textId="77777777" w:rsidR="00FA3067" w:rsidRPr="007C5CC0" w:rsidRDefault="00FA3067" w:rsidP="007C5CC0">
      <w:pPr>
        <w:tabs>
          <w:tab w:val="left" w:pos="6379"/>
        </w:tabs>
        <w:rPr>
          <w:rFonts w:ascii="Calibri" w:hAnsi="Calibri"/>
          <w:sz w:val="24"/>
          <w:szCs w:val="24"/>
          <w:lang w:val="en-US"/>
        </w:rPr>
      </w:pPr>
    </w:p>
    <w:p w14:paraId="43DA267A" w14:textId="498206D8" w:rsidR="00FA3067" w:rsidRDefault="00CB7C93" w:rsidP="007C5CC0">
      <w:pPr>
        <w:tabs>
          <w:tab w:val="left" w:pos="6379"/>
        </w:tabs>
        <w:rPr>
          <w:rFonts w:ascii="Calibri" w:hAnsi="Calibri"/>
          <w:sz w:val="24"/>
          <w:szCs w:val="24"/>
          <w:lang w:val="en-US"/>
        </w:rPr>
      </w:pPr>
      <w:r w:rsidRPr="00851FDC">
        <w:rPr>
          <w:rFonts w:ascii="Calibri" w:hAnsi="Calibri"/>
          <w:noProof/>
          <w:sz w:val="24"/>
          <w:szCs w:val="24"/>
          <w:lang w:val="en-US"/>
        </w:rPr>
        <w:drawing>
          <wp:inline distT="0" distB="0" distL="0" distR="0" wp14:anchorId="1C4D718D" wp14:editId="401BB27A">
            <wp:extent cx="5731510" cy="263588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xx.tif"/>
                    <pic:cNvPicPr/>
                  </pic:nvPicPr>
                  <pic:blipFill>
                    <a:blip r:embed="rId9" cstate="print">
                      <a:extLst>
                        <a:ext uri="{28A0092B-C50C-407E-A947-70E740481C1C}">
                          <a14:useLocalDpi xmlns:a14="http://schemas.microsoft.com/office/drawing/2010/main"/>
                        </a:ext>
                      </a:extLst>
                    </a:blip>
                    <a:stretch>
                      <a:fillRect/>
                    </a:stretch>
                  </pic:blipFill>
                  <pic:spPr>
                    <a:xfrm>
                      <a:off x="0" y="0"/>
                      <a:ext cx="5731510" cy="2635885"/>
                    </a:xfrm>
                    <a:prstGeom prst="rect">
                      <a:avLst/>
                    </a:prstGeom>
                  </pic:spPr>
                </pic:pic>
              </a:graphicData>
            </a:graphic>
          </wp:inline>
        </w:drawing>
      </w:r>
    </w:p>
    <w:p w14:paraId="09DC769B" w14:textId="743D41C1" w:rsidR="00192C07" w:rsidRDefault="009856FD">
      <w:pPr>
        <w:rPr>
          <w:rFonts w:ascii="Calibri" w:hAnsi="Calibri"/>
          <w:sz w:val="24"/>
          <w:szCs w:val="24"/>
          <w:lang w:val="en-US"/>
        </w:rPr>
      </w:pPr>
      <w:r>
        <w:rPr>
          <w:rFonts w:ascii="Calibri" w:hAnsi="Calibri"/>
          <w:sz w:val="24"/>
          <w:szCs w:val="24"/>
          <w:lang w:val="en-US"/>
        </w:rPr>
        <w:t xml:space="preserve">Figure </w:t>
      </w:r>
      <w:r w:rsidR="00D13501">
        <w:rPr>
          <w:rFonts w:ascii="Calibri" w:hAnsi="Calibri"/>
          <w:sz w:val="24"/>
          <w:szCs w:val="24"/>
          <w:lang w:val="en-US"/>
        </w:rPr>
        <w:t xml:space="preserve">3. The </w:t>
      </w:r>
      <w:r w:rsidR="00BB7C4B">
        <w:rPr>
          <w:rFonts w:ascii="Calibri" w:hAnsi="Calibri"/>
          <w:sz w:val="24"/>
          <w:szCs w:val="24"/>
          <w:lang w:val="en-US"/>
        </w:rPr>
        <w:t xml:space="preserve">density of the parameter estimates </w:t>
      </w:r>
      <w:r w:rsidR="00906C3F">
        <w:rPr>
          <w:rFonts w:ascii="Calibri" w:hAnsi="Calibri"/>
          <w:sz w:val="24"/>
          <w:szCs w:val="24"/>
          <w:lang w:val="en-US"/>
        </w:rPr>
        <w:t xml:space="preserve">based on data from </w:t>
      </w:r>
      <w:r w:rsidR="00BB7C4B">
        <w:rPr>
          <w:rFonts w:ascii="Calibri" w:hAnsi="Calibri"/>
          <w:sz w:val="24"/>
          <w:szCs w:val="24"/>
          <w:lang w:val="en-US"/>
        </w:rPr>
        <w:t>187 patients after the MAP Bayesian analysis.</w:t>
      </w:r>
      <w:r w:rsidR="000C542D">
        <w:rPr>
          <w:rFonts w:ascii="Calibri" w:hAnsi="Calibri"/>
          <w:sz w:val="24"/>
          <w:szCs w:val="24"/>
          <w:lang w:val="en-US"/>
        </w:rPr>
        <w:t xml:space="preserve">  </w:t>
      </w:r>
      <w:proofErr w:type="spellStart"/>
      <w:r w:rsidR="000C542D">
        <w:rPr>
          <w:rFonts w:ascii="Calibri" w:hAnsi="Calibri"/>
          <w:sz w:val="24"/>
          <w:szCs w:val="24"/>
          <w:lang w:val="en-US"/>
        </w:rPr>
        <w:t>Ka</w:t>
      </w:r>
      <w:proofErr w:type="spellEnd"/>
      <w:r w:rsidR="000C542D">
        <w:rPr>
          <w:rFonts w:ascii="Calibri" w:hAnsi="Calibri"/>
          <w:sz w:val="24"/>
          <w:szCs w:val="24"/>
          <w:lang w:val="en-US"/>
        </w:rPr>
        <w:t xml:space="preserve"> (h</w:t>
      </w:r>
      <w:r w:rsidR="000C542D" w:rsidRPr="00862223">
        <w:rPr>
          <w:rFonts w:ascii="Calibri" w:hAnsi="Calibri"/>
          <w:sz w:val="24"/>
          <w:szCs w:val="24"/>
          <w:vertAlign w:val="superscript"/>
          <w:lang w:val="en-US"/>
        </w:rPr>
        <w:t>-1</w:t>
      </w:r>
      <w:r w:rsidR="000C542D">
        <w:rPr>
          <w:rFonts w:ascii="Calibri" w:hAnsi="Calibri"/>
          <w:sz w:val="24"/>
          <w:szCs w:val="24"/>
          <w:lang w:val="en-US"/>
        </w:rPr>
        <w:t xml:space="preserve">) is the first order rate constant that connects the gut to the central compartment; Lag (h) is the delay in drug absorption from the gut; Km </w:t>
      </w:r>
      <w:r w:rsidR="00DF3BC2">
        <w:rPr>
          <w:rFonts w:ascii="Calibri" w:hAnsi="Calibri"/>
          <w:sz w:val="24"/>
          <w:szCs w:val="24"/>
          <w:lang w:val="en-US"/>
        </w:rPr>
        <w:t xml:space="preserve">(mg/L) </w:t>
      </w:r>
      <w:r w:rsidR="000C542D">
        <w:rPr>
          <w:rFonts w:ascii="Calibri" w:hAnsi="Calibri"/>
          <w:sz w:val="24"/>
          <w:szCs w:val="24"/>
          <w:lang w:val="en-US"/>
        </w:rPr>
        <w:t xml:space="preserve">is the </w:t>
      </w:r>
      <w:proofErr w:type="spellStart"/>
      <w:r w:rsidR="000C542D">
        <w:rPr>
          <w:rFonts w:ascii="Calibri" w:hAnsi="Calibri"/>
          <w:sz w:val="24"/>
          <w:szCs w:val="24"/>
          <w:lang w:val="en-US"/>
        </w:rPr>
        <w:t>Michaelis</w:t>
      </w:r>
      <w:proofErr w:type="spellEnd"/>
      <w:r w:rsidR="000C542D">
        <w:rPr>
          <w:rFonts w:ascii="Calibri" w:hAnsi="Calibri"/>
          <w:sz w:val="24"/>
          <w:szCs w:val="24"/>
          <w:lang w:val="en-US"/>
        </w:rPr>
        <w:t xml:space="preserve"> constant and is the voriconazole plasma drug concentration </w:t>
      </w:r>
      <w:r w:rsidR="00DF3BC2">
        <w:rPr>
          <w:rFonts w:ascii="Calibri" w:hAnsi="Calibri"/>
          <w:sz w:val="24"/>
          <w:szCs w:val="24"/>
          <w:lang w:val="en-US"/>
        </w:rPr>
        <w:t xml:space="preserve">at which enzyme activity is half maximal; </w:t>
      </w:r>
      <w:proofErr w:type="spellStart"/>
      <w:r w:rsidR="00DF3BC2">
        <w:rPr>
          <w:rFonts w:ascii="Calibri" w:hAnsi="Calibri"/>
          <w:sz w:val="24"/>
          <w:szCs w:val="24"/>
          <w:lang w:val="en-US"/>
        </w:rPr>
        <w:t>Vmax</w:t>
      </w:r>
      <w:proofErr w:type="spellEnd"/>
      <w:r w:rsidR="00DF3BC2">
        <w:rPr>
          <w:rFonts w:ascii="Calibri" w:hAnsi="Calibri"/>
          <w:sz w:val="24"/>
          <w:szCs w:val="24"/>
          <w:lang w:val="en-US"/>
        </w:rPr>
        <w:t xml:space="preserve"> (mg/h) is the maximal rate of enzyme activity; and Volume </w:t>
      </w:r>
      <w:r w:rsidR="00905884">
        <w:rPr>
          <w:rFonts w:ascii="Calibri" w:hAnsi="Calibri"/>
          <w:sz w:val="24"/>
          <w:szCs w:val="24"/>
          <w:lang w:val="en-US"/>
        </w:rPr>
        <w:t>(liter</w:t>
      </w:r>
      <w:r w:rsidR="00DF3BC2">
        <w:rPr>
          <w:rFonts w:ascii="Calibri" w:hAnsi="Calibri"/>
          <w:sz w:val="24"/>
          <w:szCs w:val="24"/>
          <w:lang w:val="en-US"/>
        </w:rPr>
        <w:t>s) is the volume of the central compartment.</w:t>
      </w:r>
    </w:p>
    <w:p w14:paraId="3CF9146D" w14:textId="77777777" w:rsidR="00192C07" w:rsidRDefault="00192C07">
      <w:pPr>
        <w:rPr>
          <w:rFonts w:ascii="Calibri" w:hAnsi="Calibri"/>
          <w:sz w:val="24"/>
          <w:szCs w:val="24"/>
          <w:lang w:val="en-US"/>
        </w:rPr>
      </w:pPr>
    </w:p>
    <w:p w14:paraId="2796DFAB" w14:textId="77777777" w:rsidR="00192C07" w:rsidRDefault="00192C07">
      <w:pPr>
        <w:rPr>
          <w:rFonts w:ascii="Calibri" w:hAnsi="Calibri"/>
          <w:sz w:val="24"/>
          <w:szCs w:val="24"/>
          <w:lang w:val="en-US"/>
        </w:rPr>
      </w:pPr>
    </w:p>
    <w:p w14:paraId="3BBEA1B6" w14:textId="1E5592B8" w:rsidR="006B027C" w:rsidRDefault="006B027C">
      <w:pPr>
        <w:rPr>
          <w:rFonts w:ascii="Calibri" w:hAnsi="Calibri"/>
          <w:sz w:val="24"/>
          <w:szCs w:val="24"/>
          <w:lang w:val="en-US"/>
        </w:rPr>
      </w:pPr>
      <w:r>
        <w:rPr>
          <w:rFonts w:ascii="Calibri" w:hAnsi="Calibri"/>
          <w:sz w:val="24"/>
          <w:szCs w:val="24"/>
          <w:lang w:val="en-US"/>
        </w:rPr>
        <w:br w:type="page"/>
      </w:r>
    </w:p>
    <w:p w14:paraId="53EA67FF" w14:textId="77777777" w:rsidR="006B027C" w:rsidRDefault="006B027C" w:rsidP="007C5CC0">
      <w:pPr>
        <w:tabs>
          <w:tab w:val="left" w:pos="6379"/>
        </w:tabs>
        <w:rPr>
          <w:rFonts w:ascii="Calibri" w:hAnsi="Calibri"/>
          <w:sz w:val="24"/>
          <w:szCs w:val="24"/>
          <w:lang w:val="en-US"/>
        </w:rPr>
      </w:pPr>
    </w:p>
    <w:p w14:paraId="2655EC0F" w14:textId="77777777" w:rsidR="006B027C" w:rsidRPr="007C5CC0" w:rsidRDefault="006B027C" w:rsidP="007C5CC0">
      <w:pPr>
        <w:tabs>
          <w:tab w:val="left" w:pos="6379"/>
        </w:tabs>
        <w:rPr>
          <w:rFonts w:ascii="Calibri" w:hAnsi="Calibri"/>
          <w:sz w:val="24"/>
          <w:szCs w:val="24"/>
          <w:lang w:val="en-US"/>
        </w:rPr>
      </w:pPr>
    </w:p>
    <w:p w14:paraId="2302DF14" w14:textId="27866AC5" w:rsidR="00FA3067" w:rsidRPr="007C5CC0" w:rsidRDefault="00852526" w:rsidP="007C5CC0">
      <w:pPr>
        <w:tabs>
          <w:tab w:val="left" w:pos="6379"/>
        </w:tabs>
        <w:rPr>
          <w:rFonts w:ascii="Calibri" w:hAnsi="Calibri"/>
          <w:sz w:val="24"/>
          <w:szCs w:val="24"/>
          <w:lang w:val="en-US"/>
        </w:rPr>
      </w:pPr>
      <w:r w:rsidRPr="00851FDC">
        <w:rPr>
          <w:rFonts w:ascii="Calibri" w:hAnsi="Calibri"/>
          <w:noProof/>
          <w:sz w:val="24"/>
          <w:szCs w:val="24"/>
          <w:lang w:val="en-US"/>
        </w:rPr>
        <w:drawing>
          <wp:inline distT="0" distB="0" distL="0" distR="0" wp14:anchorId="5CEA6DEF" wp14:editId="65CBA292">
            <wp:extent cx="5731510" cy="172593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redo.tif"/>
                    <pic:cNvPicPr/>
                  </pic:nvPicPr>
                  <pic:blipFill>
                    <a:blip r:embed="rId10" cstate="print">
                      <a:extLst>
                        <a:ext uri="{28A0092B-C50C-407E-A947-70E740481C1C}">
                          <a14:useLocalDpi xmlns:a14="http://schemas.microsoft.com/office/drawing/2010/main"/>
                        </a:ext>
                      </a:extLst>
                    </a:blip>
                    <a:stretch>
                      <a:fillRect/>
                    </a:stretch>
                  </pic:blipFill>
                  <pic:spPr>
                    <a:xfrm>
                      <a:off x="0" y="0"/>
                      <a:ext cx="5731510" cy="1725930"/>
                    </a:xfrm>
                    <a:prstGeom prst="rect">
                      <a:avLst/>
                    </a:prstGeom>
                  </pic:spPr>
                </pic:pic>
              </a:graphicData>
            </a:graphic>
          </wp:inline>
        </w:drawing>
      </w:r>
    </w:p>
    <w:p w14:paraId="4034C40E" w14:textId="602C083D" w:rsidR="00FA3067" w:rsidRPr="007C5CC0" w:rsidRDefault="00B865E3" w:rsidP="007C5CC0">
      <w:pPr>
        <w:tabs>
          <w:tab w:val="left" w:pos="6379"/>
        </w:tabs>
        <w:rPr>
          <w:rFonts w:ascii="Calibri" w:hAnsi="Calibri"/>
          <w:sz w:val="24"/>
          <w:szCs w:val="24"/>
          <w:lang w:val="en-US"/>
        </w:rPr>
      </w:pPr>
      <w:r>
        <w:rPr>
          <w:rFonts w:ascii="Calibri" w:hAnsi="Calibri"/>
          <w:sz w:val="24"/>
          <w:szCs w:val="24"/>
          <w:lang w:val="en-US"/>
        </w:rPr>
        <w:t xml:space="preserve">Figure </w:t>
      </w:r>
      <w:r w:rsidR="00E27A10">
        <w:rPr>
          <w:rFonts w:ascii="Calibri" w:hAnsi="Calibri"/>
          <w:sz w:val="24"/>
          <w:szCs w:val="24"/>
          <w:lang w:val="en-US"/>
        </w:rPr>
        <w:t>4</w:t>
      </w:r>
      <w:r>
        <w:rPr>
          <w:rFonts w:ascii="Calibri" w:hAnsi="Calibri"/>
          <w:sz w:val="24"/>
          <w:szCs w:val="24"/>
          <w:lang w:val="en-US"/>
        </w:rPr>
        <w:t xml:space="preserve">. </w:t>
      </w:r>
      <w:r w:rsidR="007A0978">
        <w:rPr>
          <w:rFonts w:ascii="Calibri" w:hAnsi="Calibri"/>
          <w:sz w:val="24"/>
          <w:szCs w:val="24"/>
          <w:lang w:val="en-US"/>
        </w:rPr>
        <w:t>Box and whisker plots</w:t>
      </w:r>
      <w:r>
        <w:rPr>
          <w:rFonts w:ascii="Calibri" w:hAnsi="Calibri"/>
          <w:sz w:val="24"/>
          <w:szCs w:val="24"/>
          <w:lang w:val="en-US"/>
        </w:rPr>
        <w:t xml:space="preserve"> of drug exposure </w:t>
      </w:r>
      <w:r w:rsidR="007A0978">
        <w:rPr>
          <w:rFonts w:ascii="Calibri" w:hAnsi="Calibri"/>
          <w:sz w:val="24"/>
          <w:szCs w:val="24"/>
          <w:lang w:val="en-US"/>
        </w:rPr>
        <w:t>(trough concentration and AUC</w:t>
      </w:r>
      <w:r w:rsidR="007A0978" w:rsidRPr="007A0978">
        <w:rPr>
          <w:rFonts w:ascii="Calibri" w:hAnsi="Calibri"/>
          <w:sz w:val="24"/>
          <w:szCs w:val="24"/>
          <w:vertAlign w:val="subscript"/>
          <w:lang w:val="en-US"/>
        </w:rPr>
        <w:t>0-12</w:t>
      </w:r>
      <w:r w:rsidR="000E740F">
        <w:rPr>
          <w:rFonts w:ascii="Calibri" w:hAnsi="Calibri"/>
          <w:sz w:val="24"/>
          <w:szCs w:val="24"/>
          <w:lang w:val="en-US"/>
        </w:rPr>
        <w:t xml:space="preserve"> in Panels A and B, respectively</w:t>
      </w:r>
      <w:r w:rsidR="007A0978">
        <w:rPr>
          <w:rFonts w:ascii="Calibri" w:hAnsi="Calibri"/>
          <w:sz w:val="24"/>
          <w:szCs w:val="24"/>
          <w:lang w:val="en-US"/>
        </w:rPr>
        <w:t xml:space="preserve">) </w:t>
      </w:r>
      <w:r>
        <w:rPr>
          <w:rFonts w:ascii="Calibri" w:hAnsi="Calibri"/>
          <w:sz w:val="24"/>
          <w:szCs w:val="24"/>
          <w:lang w:val="en-US"/>
        </w:rPr>
        <w:t xml:space="preserve">between patients that failed therapy (“failure”) </w:t>
      </w:r>
      <w:r w:rsidR="00605206">
        <w:rPr>
          <w:rFonts w:ascii="Calibri" w:hAnsi="Calibri"/>
          <w:sz w:val="24"/>
          <w:szCs w:val="24"/>
          <w:lang w:val="en-US"/>
        </w:rPr>
        <w:t xml:space="preserve">on the left of each figure </w:t>
      </w:r>
      <w:r>
        <w:rPr>
          <w:rFonts w:ascii="Calibri" w:hAnsi="Calibri"/>
          <w:sz w:val="24"/>
          <w:szCs w:val="24"/>
          <w:lang w:val="en-US"/>
        </w:rPr>
        <w:t xml:space="preserve">and patients for whom voriconazole therapy prevented invasive fungal infection </w:t>
      </w:r>
      <w:r w:rsidR="00E668EE">
        <w:rPr>
          <w:rFonts w:ascii="Calibri" w:hAnsi="Calibri"/>
          <w:sz w:val="24"/>
          <w:szCs w:val="24"/>
          <w:lang w:val="en-US"/>
        </w:rPr>
        <w:t>up to</w:t>
      </w:r>
      <w:r>
        <w:rPr>
          <w:rFonts w:ascii="Calibri" w:hAnsi="Calibri"/>
          <w:sz w:val="24"/>
          <w:szCs w:val="24"/>
          <w:lang w:val="en-US"/>
        </w:rPr>
        <w:t xml:space="preserve"> day +</w:t>
      </w:r>
      <w:r w:rsidR="00220BD1">
        <w:rPr>
          <w:rFonts w:ascii="Calibri" w:hAnsi="Calibri"/>
          <w:sz w:val="24"/>
          <w:szCs w:val="24"/>
          <w:lang w:val="en-US"/>
        </w:rPr>
        <w:t xml:space="preserve">100 </w:t>
      </w:r>
      <w:r w:rsidR="00605206">
        <w:rPr>
          <w:rFonts w:ascii="Calibri" w:hAnsi="Calibri"/>
          <w:sz w:val="24"/>
          <w:szCs w:val="24"/>
          <w:lang w:val="en-US"/>
        </w:rPr>
        <w:t>(“success) on the right of each figure</w:t>
      </w:r>
      <w:r w:rsidR="00D74921">
        <w:rPr>
          <w:rFonts w:ascii="Calibri" w:hAnsi="Calibri"/>
          <w:sz w:val="24"/>
          <w:szCs w:val="24"/>
          <w:lang w:val="en-US"/>
        </w:rPr>
        <w:t>.</w:t>
      </w:r>
      <w:r w:rsidR="006116A1">
        <w:rPr>
          <w:rFonts w:ascii="Calibri" w:hAnsi="Calibri"/>
          <w:sz w:val="24"/>
          <w:szCs w:val="24"/>
          <w:lang w:val="en-US"/>
        </w:rPr>
        <w:t xml:space="preserve">  There were no statistically differences in drug exposure in patients with and without breakthrough infection.</w:t>
      </w:r>
      <w:bookmarkStart w:id="0" w:name="_GoBack"/>
      <w:bookmarkEnd w:id="0"/>
    </w:p>
    <w:p w14:paraId="435212FF" w14:textId="77777777" w:rsidR="00FA3067" w:rsidRPr="007C5CC0" w:rsidRDefault="00FA3067" w:rsidP="007C5CC0">
      <w:pPr>
        <w:tabs>
          <w:tab w:val="left" w:pos="6379"/>
        </w:tabs>
        <w:rPr>
          <w:rFonts w:ascii="Calibri" w:hAnsi="Calibri"/>
          <w:sz w:val="24"/>
          <w:szCs w:val="24"/>
          <w:lang w:val="en-US"/>
        </w:rPr>
      </w:pPr>
    </w:p>
    <w:p w14:paraId="3EAF862C" w14:textId="77777777" w:rsidR="00FA3067" w:rsidRPr="007C5CC0" w:rsidRDefault="00FA3067" w:rsidP="007C5CC0">
      <w:pPr>
        <w:tabs>
          <w:tab w:val="left" w:pos="6379"/>
        </w:tabs>
        <w:rPr>
          <w:rFonts w:ascii="Calibri" w:hAnsi="Calibri"/>
          <w:sz w:val="24"/>
          <w:szCs w:val="24"/>
          <w:lang w:val="en-US"/>
        </w:rPr>
      </w:pPr>
    </w:p>
    <w:p w14:paraId="6EBB0F09" w14:textId="77777777" w:rsidR="00FA3067" w:rsidRPr="007C5CC0" w:rsidRDefault="00FA3067" w:rsidP="007C5CC0">
      <w:pPr>
        <w:tabs>
          <w:tab w:val="left" w:pos="6379"/>
        </w:tabs>
        <w:rPr>
          <w:rFonts w:ascii="Calibri" w:hAnsi="Calibri"/>
          <w:sz w:val="24"/>
          <w:szCs w:val="24"/>
          <w:lang w:val="en-US"/>
        </w:rPr>
      </w:pPr>
    </w:p>
    <w:p w14:paraId="193CD04C" w14:textId="77777777" w:rsidR="00FA3067" w:rsidRPr="007C5CC0" w:rsidRDefault="00FA3067" w:rsidP="007C5CC0">
      <w:pPr>
        <w:tabs>
          <w:tab w:val="left" w:pos="6379"/>
        </w:tabs>
        <w:rPr>
          <w:rFonts w:ascii="Calibri" w:hAnsi="Calibri"/>
          <w:sz w:val="24"/>
          <w:szCs w:val="24"/>
          <w:lang w:val="en-US"/>
        </w:rPr>
      </w:pPr>
    </w:p>
    <w:p w14:paraId="4D0FA92F" w14:textId="77777777" w:rsidR="00FA3067" w:rsidRPr="007C5CC0" w:rsidRDefault="00FA3067" w:rsidP="007C5CC0">
      <w:pPr>
        <w:tabs>
          <w:tab w:val="left" w:pos="6379"/>
        </w:tabs>
        <w:rPr>
          <w:rFonts w:ascii="Calibri" w:hAnsi="Calibri"/>
          <w:sz w:val="24"/>
          <w:szCs w:val="24"/>
          <w:lang w:val="en-US"/>
        </w:rPr>
      </w:pPr>
    </w:p>
    <w:p w14:paraId="6CDA450A" w14:textId="77777777" w:rsidR="00FA3067" w:rsidRPr="007C5CC0" w:rsidRDefault="00FA3067" w:rsidP="007C5CC0">
      <w:pPr>
        <w:tabs>
          <w:tab w:val="left" w:pos="6379"/>
        </w:tabs>
        <w:rPr>
          <w:rFonts w:ascii="Calibri" w:hAnsi="Calibri"/>
          <w:sz w:val="24"/>
          <w:szCs w:val="24"/>
          <w:lang w:val="en-US"/>
        </w:rPr>
      </w:pPr>
    </w:p>
    <w:p w14:paraId="0DAFFFDD" w14:textId="77777777" w:rsidR="00FA3067" w:rsidRPr="007C5CC0" w:rsidRDefault="00FA3067" w:rsidP="007C5CC0">
      <w:pPr>
        <w:tabs>
          <w:tab w:val="left" w:pos="6379"/>
        </w:tabs>
        <w:rPr>
          <w:rFonts w:ascii="Calibri" w:hAnsi="Calibri"/>
          <w:sz w:val="24"/>
          <w:szCs w:val="24"/>
          <w:lang w:val="en-US"/>
        </w:rPr>
      </w:pPr>
    </w:p>
    <w:p w14:paraId="07EF5335" w14:textId="300F269F" w:rsidR="00BE0A79" w:rsidRPr="007C5CC0" w:rsidRDefault="00BE0A79" w:rsidP="00862223">
      <w:pPr>
        <w:rPr>
          <w:rFonts w:ascii="Calibri" w:hAnsi="Calibri"/>
          <w:lang w:val="en-US"/>
        </w:rPr>
      </w:pPr>
    </w:p>
    <w:sectPr w:rsidR="00BE0A79" w:rsidRPr="007C5CC0" w:rsidSect="004833D0">
      <w:footerReference w:type="default" r:id="rId11"/>
      <w:pgSz w:w="11906" w:h="16838" w:code="9"/>
      <w:pgMar w:top="1440" w:right="1440" w:bottom="1440" w:left="1440"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C82EA5" w15:done="0"/>
  <w15:commentEx w15:paraId="62657617" w15:done="0"/>
  <w15:commentEx w15:paraId="2E9BB0F4" w15:done="0"/>
  <w15:commentEx w15:paraId="52406C3F" w15:done="0"/>
  <w15:commentEx w15:paraId="60A3F642" w15:done="0"/>
  <w15:commentEx w15:paraId="77BC265B" w15:done="0"/>
  <w15:commentEx w15:paraId="161B9369" w15:done="0"/>
  <w15:commentEx w15:paraId="3C2973C8" w15:done="0"/>
  <w15:commentEx w15:paraId="4401591A" w15:done="0"/>
  <w15:commentEx w15:paraId="09FE046D" w15:done="0"/>
  <w15:commentEx w15:paraId="056427F6" w15:done="0"/>
  <w15:commentEx w15:paraId="0A5AA8EA" w15:done="0"/>
  <w15:commentEx w15:paraId="62C17B4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B1D6F" w14:textId="77777777" w:rsidR="00A54129" w:rsidRDefault="00A54129" w:rsidP="00B93B26">
      <w:pPr>
        <w:spacing w:after="0" w:line="240" w:lineRule="auto"/>
      </w:pPr>
      <w:r>
        <w:separator/>
      </w:r>
    </w:p>
  </w:endnote>
  <w:endnote w:type="continuationSeparator" w:id="0">
    <w:p w14:paraId="29EEEB09" w14:textId="77777777" w:rsidR="00A54129" w:rsidRDefault="00A54129" w:rsidP="00B9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00000001" w:usb1="08070000" w:usb2="00000010" w:usb3="00000000" w:csb0="00020000" w:csb1="00000000"/>
  </w:font>
  <w:font w:name="Minion-Regular">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09667"/>
      <w:docPartObj>
        <w:docPartGallery w:val="Page Numbers (Bottom of Page)"/>
        <w:docPartUnique/>
      </w:docPartObj>
    </w:sdtPr>
    <w:sdtEndPr>
      <w:rPr>
        <w:noProof/>
      </w:rPr>
    </w:sdtEndPr>
    <w:sdtContent>
      <w:p w14:paraId="49C3E9AA" w14:textId="77777777" w:rsidR="00A54129" w:rsidRDefault="00A54129">
        <w:pPr>
          <w:pStyle w:val="Footer"/>
          <w:jc w:val="right"/>
        </w:pPr>
        <w:r>
          <w:fldChar w:fldCharType="begin"/>
        </w:r>
        <w:r>
          <w:instrText xml:space="preserve"> PAGE   \* MERGEFORMAT </w:instrText>
        </w:r>
        <w:r>
          <w:fldChar w:fldCharType="separate"/>
        </w:r>
        <w:r w:rsidR="00862223">
          <w:rPr>
            <w:noProof/>
          </w:rPr>
          <w:t>20</w:t>
        </w:r>
        <w:r>
          <w:rPr>
            <w:noProof/>
          </w:rPr>
          <w:fldChar w:fldCharType="end"/>
        </w:r>
      </w:p>
    </w:sdtContent>
  </w:sdt>
  <w:p w14:paraId="7BE801E2" w14:textId="77777777" w:rsidR="00A54129" w:rsidRDefault="00A541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2024C" w14:textId="77777777" w:rsidR="00A54129" w:rsidRDefault="00A54129" w:rsidP="00B93B26">
      <w:pPr>
        <w:spacing w:after="0" w:line="240" w:lineRule="auto"/>
      </w:pPr>
      <w:r>
        <w:separator/>
      </w:r>
    </w:p>
  </w:footnote>
  <w:footnote w:type="continuationSeparator" w:id="0">
    <w:p w14:paraId="7ACD8E57" w14:textId="77777777" w:rsidR="00A54129" w:rsidRDefault="00A54129" w:rsidP="00B93B26">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rgen Bulitta">
    <w15:presenceInfo w15:providerId="Windows Live" w15:userId="091cfd48490e9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trackRevisions/>
  <w:defaultTabStop w:val="68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73"/>
    <w:rsid w:val="00005CB3"/>
    <w:rsid w:val="00016419"/>
    <w:rsid w:val="000173A9"/>
    <w:rsid w:val="00020576"/>
    <w:rsid w:val="00020CC0"/>
    <w:rsid w:val="00021C45"/>
    <w:rsid w:val="0002222A"/>
    <w:rsid w:val="00022FB4"/>
    <w:rsid w:val="00024741"/>
    <w:rsid w:val="00025E73"/>
    <w:rsid w:val="0002679A"/>
    <w:rsid w:val="0003215B"/>
    <w:rsid w:val="00034575"/>
    <w:rsid w:val="0003499A"/>
    <w:rsid w:val="0004021A"/>
    <w:rsid w:val="000432D4"/>
    <w:rsid w:val="00044C2D"/>
    <w:rsid w:val="00051BEA"/>
    <w:rsid w:val="00053781"/>
    <w:rsid w:val="00056819"/>
    <w:rsid w:val="00060059"/>
    <w:rsid w:val="000761EB"/>
    <w:rsid w:val="00076269"/>
    <w:rsid w:val="000762E2"/>
    <w:rsid w:val="00083B95"/>
    <w:rsid w:val="00083FAF"/>
    <w:rsid w:val="0008500A"/>
    <w:rsid w:val="00085948"/>
    <w:rsid w:val="00086DB4"/>
    <w:rsid w:val="00091575"/>
    <w:rsid w:val="00095C8A"/>
    <w:rsid w:val="00096217"/>
    <w:rsid w:val="00096B6D"/>
    <w:rsid w:val="000A19DB"/>
    <w:rsid w:val="000A1D69"/>
    <w:rsid w:val="000A5016"/>
    <w:rsid w:val="000A5707"/>
    <w:rsid w:val="000A5FA2"/>
    <w:rsid w:val="000A6F14"/>
    <w:rsid w:val="000B482B"/>
    <w:rsid w:val="000B4991"/>
    <w:rsid w:val="000C0295"/>
    <w:rsid w:val="000C1C06"/>
    <w:rsid w:val="000C26C6"/>
    <w:rsid w:val="000C34BF"/>
    <w:rsid w:val="000C542D"/>
    <w:rsid w:val="000C7F10"/>
    <w:rsid w:val="000D33E2"/>
    <w:rsid w:val="000D48EB"/>
    <w:rsid w:val="000D5E9A"/>
    <w:rsid w:val="000D7810"/>
    <w:rsid w:val="000E0833"/>
    <w:rsid w:val="000E0E7B"/>
    <w:rsid w:val="000E1662"/>
    <w:rsid w:val="000E2385"/>
    <w:rsid w:val="000E316E"/>
    <w:rsid w:val="000E45DC"/>
    <w:rsid w:val="000E59E2"/>
    <w:rsid w:val="000E740F"/>
    <w:rsid w:val="000F10BE"/>
    <w:rsid w:val="000F19B6"/>
    <w:rsid w:val="000F3590"/>
    <w:rsid w:val="000F6305"/>
    <w:rsid w:val="00105112"/>
    <w:rsid w:val="00105468"/>
    <w:rsid w:val="00111318"/>
    <w:rsid w:val="00112F18"/>
    <w:rsid w:val="0011423B"/>
    <w:rsid w:val="00114778"/>
    <w:rsid w:val="001151C0"/>
    <w:rsid w:val="001168F9"/>
    <w:rsid w:val="00117CB2"/>
    <w:rsid w:val="00121970"/>
    <w:rsid w:val="00122F74"/>
    <w:rsid w:val="001232AE"/>
    <w:rsid w:val="00130F85"/>
    <w:rsid w:val="00135173"/>
    <w:rsid w:val="001436C1"/>
    <w:rsid w:val="001454E6"/>
    <w:rsid w:val="00147D68"/>
    <w:rsid w:val="001513DB"/>
    <w:rsid w:val="0016191D"/>
    <w:rsid w:val="001634D2"/>
    <w:rsid w:val="001652E3"/>
    <w:rsid w:val="001676FD"/>
    <w:rsid w:val="00172DD4"/>
    <w:rsid w:val="0018120C"/>
    <w:rsid w:val="001849AB"/>
    <w:rsid w:val="001907BF"/>
    <w:rsid w:val="00192C07"/>
    <w:rsid w:val="00194B45"/>
    <w:rsid w:val="00195072"/>
    <w:rsid w:val="001A006C"/>
    <w:rsid w:val="001A34F9"/>
    <w:rsid w:val="001A4E9B"/>
    <w:rsid w:val="001B0B21"/>
    <w:rsid w:val="001B1EED"/>
    <w:rsid w:val="001B27A6"/>
    <w:rsid w:val="001B616C"/>
    <w:rsid w:val="001C1CED"/>
    <w:rsid w:val="001C2D38"/>
    <w:rsid w:val="001C605F"/>
    <w:rsid w:val="001C6CFF"/>
    <w:rsid w:val="001D2095"/>
    <w:rsid w:val="001D587E"/>
    <w:rsid w:val="001E36CB"/>
    <w:rsid w:val="001E51B0"/>
    <w:rsid w:val="00201A44"/>
    <w:rsid w:val="00202CEA"/>
    <w:rsid w:val="00206379"/>
    <w:rsid w:val="00210B62"/>
    <w:rsid w:val="0021168D"/>
    <w:rsid w:val="002155FB"/>
    <w:rsid w:val="00220BD1"/>
    <w:rsid w:val="002210F1"/>
    <w:rsid w:val="00221E1C"/>
    <w:rsid w:val="00222058"/>
    <w:rsid w:val="002248E0"/>
    <w:rsid w:val="002313F2"/>
    <w:rsid w:val="00232358"/>
    <w:rsid w:val="0023301B"/>
    <w:rsid w:val="002345F6"/>
    <w:rsid w:val="0023478F"/>
    <w:rsid w:val="00236B8D"/>
    <w:rsid w:val="002427D2"/>
    <w:rsid w:val="002434F3"/>
    <w:rsid w:val="00245A28"/>
    <w:rsid w:val="00250C22"/>
    <w:rsid w:val="00250D1D"/>
    <w:rsid w:val="00254602"/>
    <w:rsid w:val="00261CBA"/>
    <w:rsid w:val="00267CEB"/>
    <w:rsid w:val="002728CC"/>
    <w:rsid w:val="0027726A"/>
    <w:rsid w:val="0028074E"/>
    <w:rsid w:val="00285545"/>
    <w:rsid w:val="00286872"/>
    <w:rsid w:val="002A40D6"/>
    <w:rsid w:val="002A4CBF"/>
    <w:rsid w:val="002A5468"/>
    <w:rsid w:val="002A7385"/>
    <w:rsid w:val="002B54BD"/>
    <w:rsid w:val="002B6F27"/>
    <w:rsid w:val="002B74B5"/>
    <w:rsid w:val="002C2BD8"/>
    <w:rsid w:val="002C38BC"/>
    <w:rsid w:val="002C5393"/>
    <w:rsid w:val="002D566B"/>
    <w:rsid w:val="002D622F"/>
    <w:rsid w:val="002E00CD"/>
    <w:rsid w:val="002E4410"/>
    <w:rsid w:val="002F0973"/>
    <w:rsid w:val="002F36C7"/>
    <w:rsid w:val="002F6AA7"/>
    <w:rsid w:val="00302805"/>
    <w:rsid w:val="00310852"/>
    <w:rsid w:val="003120B7"/>
    <w:rsid w:val="00321640"/>
    <w:rsid w:val="00341D53"/>
    <w:rsid w:val="00345F93"/>
    <w:rsid w:val="00346B38"/>
    <w:rsid w:val="00352CE1"/>
    <w:rsid w:val="00352EBE"/>
    <w:rsid w:val="003602FD"/>
    <w:rsid w:val="00360D1B"/>
    <w:rsid w:val="00373964"/>
    <w:rsid w:val="003742DD"/>
    <w:rsid w:val="003749BD"/>
    <w:rsid w:val="00375FC0"/>
    <w:rsid w:val="00380587"/>
    <w:rsid w:val="003808F6"/>
    <w:rsid w:val="00382C22"/>
    <w:rsid w:val="00390ECA"/>
    <w:rsid w:val="003948E2"/>
    <w:rsid w:val="003B14DE"/>
    <w:rsid w:val="003B328F"/>
    <w:rsid w:val="003B46C6"/>
    <w:rsid w:val="003B686C"/>
    <w:rsid w:val="003C4BA3"/>
    <w:rsid w:val="003C4CDD"/>
    <w:rsid w:val="003C50D9"/>
    <w:rsid w:val="003D004B"/>
    <w:rsid w:val="003D182E"/>
    <w:rsid w:val="003D20C6"/>
    <w:rsid w:val="003D7103"/>
    <w:rsid w:val="003D7B3C"/>
    <w:rsid w:val="003E370B"/>
    <w:rsid w:val="003E62CD"/>
    <w:rsid w:val="003F24E4"/>
    <w:rsid w:val="003F70C3"/>
    <w:rsid w:val="004011C1"/>
    <w:rsid w:val="00406786"/>
    <w:rsid w:val="00411885"/>
    <w:rsid w:val="0041313C"/>
    <w:rsid w:val="00416362"/>
    <w:rsid w:val="004215C6"/>
    <w:rsid w:val="004248FC"/>
    <w:rsid w:val="004278E2"/>
    <w:rsid w:val="00430E22"/>
    <w:rsid w:val="00432A0E"/>
    <w:rsid w:val="00437B2F"/>
    <w:rsid w:val="00437F27"/>
    <w:rsid w:val="0044769E"/>
    <w:rsid w:val="0045259C"/>
    <w:rsid w:val="004533AF"/>
    <w:rsid w:val="004555B5"/>
    <w:rsid w:val="00455879"/>
    <w:rsid w:val="00460320"/>
    <w:rsid w:val="00460718"/>
    <w:rsid w:val="004639B7"/>
    <w:rsid w:val="00464DC1"/>
    <w:rsid w:val="00466379"/>
    <w:rsid w:val="00467E2B"/>
    <w:rsid w:val="00470687"/>
    <w:rsid w:val="00470FB3"/>
    <w:rsid w:val="00471271"/>
    <w:rsid w:val="00473F20"/>
    <w:rsid w:val="004748B4"/>
    <w:rsid w:val="00476806"/>
    <w:rsid w:val="00477608"/>
    <w:rsid w:val="0048279D"/>
    <w:rsid w:val="0048334C"/>
    <w:rsid w:val="004833D0"/>
    <w:rsid w:val="00485CE6"/>
    <w:rsid w:val="00486DE8"/>
    <w:rsid w:val="004943DC"/>
    <w:rsid w:val="004B180C"/>
    <w:rsid w:val="004B2B02"/>
    <w:rsid w:val="004B648B"/>
    <w:rsid w:val="004C55CF"/>
    <w:rsid w:val="004D7B61"/>
    <w:rsid w:val="004E300F"/>
    <w:rsid w:val="004E3A27"/>
    <w:rsid w:val="004E5E4D"/>
    <w:rsid w:val="004F2DD5"/>
    <w:rsid w:val="004F3500"/>
    <w:rsid w:val="004F5A0B"/>
    <w:rsid w:val="00501ED8"/>
    <w:rsid w:val="0050461E"/>
    <w:rsid w:val="00506D75"/>
    <w:rsid w:val="0051023A"/>
    <w:rsid w:val="0051739C"/>
    <w:rsid w:val="005174C9"/>
    <w:rsid w:val="00517CCF"/>
    <w:rsid w:val="0052189E"/>
    <w:rsid w:val="0052300D"/>
    <w:rsid w:val="005308FB"/>
    <w:rsid w:val="00533DFA"/>
    <w:rsid w:val="00537B66"/>
    <w:rsid w:val="005438F3"/>
    <w:rsid w:val="0054476F"/>
    <w:rsid w:val="00547EDA"/>
    <w:rsid w:val="00550DD4"/>
    <w:rsid w:val="00556781"/>
    <w:rsid w:val="00556AF0"/>
    <w:rsid w:val="00556D77"/>
    <w:rsid w:val="005614A6"/>
    <w:rsid w:val="005647FA"/>
    <w:rsid w:val="00571362"/>
    <w:rsid w:val="00574F49"/>
    <w:rsid w:val="00575024"/>
    <w:rsid w:val="00577324"/>
    <w:rsid w:val="00577D68"/>
    <w:rsid w:val="00581117"/>
    <w:rsid w:val="00581681"/>
    <w:rsid w:val="00581B57"/>
    <w:rsid w:val="00591138"/>
    <w:rsid w:val="00592626"/>
    <w:rsid w:val="00597C19"/>
    <w:rsid w:val="005A0D81"/>
    <w:rsid w:val="005A161C"/>
    <w:rsid w:val="005A4E5E"/>
    <w:rsid w:val="005A62BD"/>
    <w:rsid w:val="005A6D40"/>
    <w:rsid w:val="005A6DAC"/>
    <w:rsid w:val="005A7CA9"/>
    <w:rsid w:val="005B1515"/>
    <w:rsid w:val="005B4211"/>
    <w:rsid w:val="005C1F71"/>
    <w:rsid w:val="005C30A0"/>
    <w:rsid w:val="005C4CFF"/>
    <w:rsid w:val="005C596E"/>
    <w:rsid w:val="005D26C1"/>
    <w:rsid w:val="005D30E5"/>
    <w:rsid w:val="005E2E11"/>
    <w:rsid w:val="005F03C7"/>
    <w:rsid w:val="005F3BC8"/>
    <w:rsid w:val="005F434A"/>
    <w:rsid w:val="00602EE1"/>
    <w:rsid w:val="00605206"/>
    <w:rsid w:val="0060540F"/>
    <w:rsid w:val="00610755"/>
    <w:rsid w:val="006116A1"/>
    <w:rsid w:val="00614F14"/>
    <w:rsid w:val="00623D02"/>
    <w:rsid w:val="0062408B"/>
    <w:rsid w:val="00626735"/>
    <w:rsid w:val="00627EFE"/>
    <w:rsid w:val="00632697"/>
    <w:rsid w:val="00632BB6"/>
    <w:rsid w:val="00635E31"/>
    <w:rsid w:val="006403F4"/>
    <w:rsid w:val="006411BF"/>
    <w:rsid w:val="00642D47"/>
    <w:rsid w:val="006433F4"/>
    <w:rsid w:val="00646FC5"/>
    <w:rsid w:val="006513C0"/>
    <w:rsid w:val="00654019"/>
    <w:rsid w:val="00654F58"/>
    <w:rsid w:val="00664025"/>
    <w:rsid w:val="00667489"/>
    <w:rsid w:val="00667E9A"/>
    <w:rsid w:val="006705E6"/>
    <w:rsid w:val="0067445F"/>
    <w:rsid w:val="00684880"/>
    <w:rsid w:val="00691D00"/>
    <w:rsid w:val="006976C8"/>
    <w:rsid w:val="00697788"/>
    <w:rsid w:val="006A3A8E"/>
    <w:rsid w:val="006A3DBB"/>
    <w:rsid w:val="006A77E0"/>
    <w:rsid w:val="006B027C"/>
    <w:rsid w:val="006B6412"/>
    <w:rsid w:val="006C53EB"/>
    <w:rsid w:val="006D020F"/>
    <w:rsid w:val="006D5D3C"/>
    <w:rsid w:val="006D7444"/>
    <w:rsid w:val="006E13BB"/>
    <w:rsid w:val="006E4F96"/>
    <w:rsid w:val="006E7349"/>
    <w:rsid w:val="006E7BB6"/>
    <w:rsid w:val="006F17E0"/>
    <w:rsid w:val="006F4987"/>
    <w:rsid w:val="006F53C9"/>
    <w:rsid w:val="00701123"/>
    <w:rsid w:val="007052F8"/>
    <w:rsid w:val="0070727B"/>
    <w:rsid w:val="007122B3"/>
    <w:rsid w:val="00714A9E"/>
    <w:rsid w:val="007231E5"/>
    <w:rsid w:val="00726215"/>
    <w:rsid w:val="007273C1"/>
    <w:rsid w:val="00732198"/>
    <w:rsid w:val="00732430"/>
    <w:rsid w:val="00732BC5"/>
    <w:rsid w:val="00736D86"/>
    <w:rsid w:val="00737FE2"/>
    <w:rsid w:val="00740E30"/>
    <w:rsid w:val="00740F2F"/>
    <w:rsid w:val="0074248D"/>
    <w:rsid w:val="00746AA8"/>
    <w:rsid w:val="007505CF"/>
    <w:rsid w:val="00757B86"/>
    <w:rsid w:val="00757EC7"/>
    <w:rsid w:val="00760C2A"/>
    <w:rsid w:val="00764DF9"/>
    <w:rsid w:val="007652E1"/>
    <w:rsid w:val="00765535"/>
    <w:rsid w:val="00775226"/>
    <w:rsid w:val="00777D6D"/>
    <w:rsid w:val="00793719"/>
    <w:rsid w:val="007949EF"/>
    <w:rsid w:val="007956FA"/>
    <w:rsid w:val="007972BE"/>
    <w:rsid w:val="007A0416"/>
    <w:rsid w:val="007A0978"/>
    <w:rsid w:val="007A49FF"/>
    <w:rsid w:val="007A6408"/>
    <w:rsid w:val="007B18B9"/>
    <w:rsid w:val="007B2FAE"/>
    <w:rsid w:val="007B4BBD"/>
    <w:rsid w:val="007B7377"/>
    <w:rsid w:val="007C32D6"/>
    <w:rsid w:val="007C43D7"/>
    <w:rsid w:val="007C5468"/>
    <w:rsid w:val="007C5CC0"/>
    <w:rsid w:val="007D37F2"/>
    <w:rsid w:val="007D4072"/>
    <w:rsid w:val="007D4FC2"/>
    <w:rsid w:val="007D77C4"/>
    <w:rsid w:val="007E592C"/>
    <w:rsid w:val="007E5F40"/>
    <w:rsid w:val="007E65D3"/>
    <w:rsid w:val="007E671A"/>
    <w:rsid w:val="007E73E8"/>
    <w:rsid w:val="007F0918"/>
    <w:rsid w:val="007F7921"/>
    <w:rsid w:val="00801528"/>
    <w:rsid w:val="00802276"/>
    <w:rsid w:val="00803B5D"/>
    <w:rsid w:val="00804986"/>
    <w:rsid w:val="00804BB3"/>
    <w:rsid w:val="00811E0C"/>
    <w:rsid w:val="0081242F"/>
    <w:rsid w:val="00815256"/>
    <w:rsid w:val="008162A2"/>
    <w:rsid w:val="008176E4"/>
    <w:rsid w:val="008177E2"/>
    <w:rsid w:val="00820C96"/>
    <w:rsid w:val="008250D4"/>
    <w:rsid w:val="008306AA"/>
    <w:rsid w:val="00831A71"/>
    <w:rsid w:val="00833BA3"/>
    <w:rsid w:val="00835877"/>
    <w:rsid w:val="00836EBB"/>
    <w:rsid w:val="0084385C"/>
    <w:rsid w:val="00844132"/>
    <w:rsid w:val="00846F89"/>
    <w:rsid w:val="008518A7"/>
    <w:rsid w:val="00851FDC"/>
    <w:rsid w:val="00852526"/>
    <w:rsid w:val="00853989"/>
    <w:rsid w:val="00862223"/>
    <w:rsid w:val="008635EF"/>
    <w:rsid w:val="008752D7"/>
    <w:rsid w:val="00881554"/>
    <w:rsid w:val="00881BCA"/>
    <w:rsid w:val="008823EC"/>
    <w:rsid w:val="008865C6"/>
    <w:rsid w:val="0089393F"/>
    <w:rsid w:val="0089403E"/>
    <w:rsid w:val="00896355"/>
    <w:rsid w:val="008A11F8"/>
    <w:rsid w:val="008A19E5"/>
    <w:rsid w:val="008A1D15"/>
    <w:rsid w:val="008A6E8B"/>
    <w:rsid w:val="008A7C3C"/>
    <w:rsid w:val="008B387E"/>
    <w:rsid w:val="008B7540"/>
    <w:rsid w:val="008C0C24"/>
    <w:rsid w:val="008C12D1"/>
    <w:rsid w:val="008C428A"/>
    <w:rsid w:val="008C5614"/>
    <w:rsid w:val="008D2509"/>
    <w:rsid w:val="008D4B6D"/>
    <w:rsid w:val="008E08AB"/>
    <w:rsid w:val="008E2618"/>
    <w:rsid w:val="008E2C4C"/>
    <w:rsid w:val="008E48BE"/>
    <w:rsid w:val="008E5803"/>
    <w:rsid w:val="008E5A75"/>
    <w:rsid w:val="008F04F9"/>
    <w:rsid w:val="008F1ECA"/>
    <w:rsid w:val="008F33B2"/>
    <w:rsid w:val="009006C3"/>
    <w:rsid w:val="0090112D"/>
    <w:rsid w:val="009021E5"/>
    <w:rsid w:val="00903DAC"/>
    <w:rsid w:val="00905884"/>
    <w:rsid w:val="00905C6C"/>
    <w:rsid w:val="00906C3F"/>
    <w:rsid w:val="009074CB"/>
    <w:rsid w:val="009077ED"/>
    <w:rsid w:val="00912D33"/>
    <w:rsid w:val="00917814"/>
    <w:rsid w:val="0092163A"/>
    <w:rsid w:val="00932DB0"/>
    <w:rsid w:val="0093333C"/>
    <w:rsid w:val="009420BB"/>
    <w:rsid w:val="00946375"/>
    <w:rsid w:val="00953544"/>
    <w:rsid w:val="00955461"/>
    <w:rsid w:val="00962861"/>
    <w:rsid w:val="00965C27"/>
    <w:rsid w:val="00974C7E"/>
    <w:rsid w:val="009751D7"/>
    <w:rsid w:val="00977363"/>
    <w:rsid w:val="009806C6"/>
    <w:rsid w:val="00984C87"/>
    <w:rsid w:val="00985672"/>
    <w:rsid w:val="009856FD"/>
    <w:rsid w:val="00985C33"/>
    <w:rsid w:val="0098642F"/>
    <w:rsid w:val="009878F0"/>
    <w:rsid w:val="00990445"/>
    <w:rsid w:val="00990559"/>
    <w:rsid w:val="00991188"/>
    <w:rsid w:val="0099121C"/>
    <w:rsid w:val="009931AA"/>
    <w:rsid w:val="009A0517"/>
    <w:rsid w:val="009A071C"/>
    <w:rsid w:val="009A6067"/>
    <w:rsid w:val="009A7AC5"/>
    <w:rsid w:val="009B45DF"/>
    <w:rsid w:val="009B64D4"/>
    <w:rsid w:val="009B70EA"/>
    <w:rsid w:val="009B73FB"/>
    <w:rsid w:val="009B77D5"/>
    <w:rsid w:val="009C096E"/>
    <w:rsid w:val="009D6725"/>
    <w:rsid w:val="009E098D"/>
    <w:rsid w:val="009E0FC8"/>
    <w:rsid w:val="009E37B2"/>
    <w:rsid w:val="009F10AA"/>
    <w:rsid w:val="009F716B"/>
    <w:rsid w:val="00A01D21"/>
    <w:rsid w:val="00A026BD"/>
    <w:rsid w:val="00A1287B"/>
    <w:rsid w:val="00A17F85"/>
    <w:rsid w:val="00A25D0F"/>
    <w:rsid w:val="00A30B45"/>
    <w:rsid w:val="00A339F5"/>
    <w:rsid w:val="00A36EBB"/>
    <w:rsid w:val="00A378E8"/>
    <w:rsid w:val="00A379DD"/>
    <w:rsid w:val="00A40866"/>
    <w:rsid w:val="00A40BE5"/>
    <w:rsid w:val="00A41642"/>
    <w:rsid w:val="00A41BB0"/>
    <w:rsid w:val="00A442B7"/>
    <w:rsid w:val="00A46297"/>
    <w:rsid w:val="00A505D9"/>
    <w:rsid w:val="00A520AC"/>
    <w:rsid w:val="00A54129"/>
    <w:rsid w:val="00A572BA"/>
    <w:rsid w:val="00A6215E"/>
    <w:rsid w:val="00A63931"/>
    <w:rsid w:val="00A6494F"/>
    <w:rsid w:val="00A66DD0"/>
    <w:rsid w:val="00A77105"/>
    <w:rsid w:val="00A80947"/>
    <w:rsid w:val="00A8664E"/>
    <w:rsid w:val="00A90375"/>
    <w:rsid w:val="00AA163A"/>
    <w:rsid w:val="00AA3E21"/>
    <w:rsid w:val="00AB0E95"/>
    <w:rsid w:val="00AB2230"/>
    <w:rsid w:val="00AB58E8"/>
    <w:rsid w:val="00AB59AB"/>
    <w:rsid w:val="00AC1312"/>
    <w:rsid w:val="00AC202E"/>
    <w:rsid w:val="00AC3573"/>
    <w:rsid w:val="00AC35DF"/>
    <w:rsid w:val="00AC755B"/>
    <w:rsid w:val="00AC7C05"/>
    <w:rsid w:val="00AD097D"/>
    <w:rsid w:val="00AD461D"/>
    <w:rsid w:val="00AE1A0B"/>
    <w:rsid w:val="00AE2BE0"/>
    <w:rsid w:val="00AE40F3"/>
    <w:rsid w:val="00AE7A49"/>
    <w:rsid w:val="00AF0CFA"/>
    <w:rsid w:val="00AF44E0"/>
    <w:rsid w:val="00AF4989"/>
    <w:rsid w:val="00AF7AC6"/>
    <w:rsid w:val="00B0015C"/>
    <w:rsid w:val="00B01FAB"/>
    <w:rsid w:val="00B024A5"/>
    <w:rsid w:val="00B059F4"/>
    <w:rsid w:val="00B073F9"/>
    <w:rsid w:val="00B10FB2"/>
    <w:rsid w:val="00B1263C"/>
    <w:rsid w:val="00B14317"/>
    <w:rsid w:val="00B14B9A"/>
    <w:rsid w:val="00B16E42"/>
    <w:rsid w:val="00B205E0"/>
    <w:rsid w:val="00B20DEF"/>
    <w:rsid w:val="00B22B5A"/>
    <w:rsid w:val="00B24FC0"/>
    <w:rsid w:val="00B250BC"/>
    <w:rsid w:val="00B37E9D"/>
    <w:rsid w:val="00B40FAA"/>
    <w:rsid w:val="00B4210F"/>
    <w:rsid w:val="00B42902"/>
    <w:rsid w:val="00B44BB8"/>
    <w:rsid w:val="00B50E3F"/>
    <w:rsid w:val="00B50F38"/>
    <w:rsid w:val="00B549D5"/>
    <w:rsid w:val="00B56E73"/>
    <w:rsid w:val="00B573B7"/>
    <w:rsid w:val="00B61CA3"/>
    <w:rsid w:val="00B62D01"/>
    <w:rsid w:val="00B64573"/>
    <w:rsid w:val="00B6559B"/>
    <w:rsid w:val="00B65651"/>
    <w:rsid w:val="00B65F2E"/>
    <w:rsid w:val="00B67024"/>
    <w:rsid w:val="00B7035E"/>
    <w:rsid w:val="00B711D8"/>
    <w:rsid w:val="00B7142A"/>
    <w:rsid w:val="00B777C7"/>
    <w:rsid w:val="00B77886"/>
    <w:rsid w:val="00B865E3"/>
    <w:rsid w:val="00B90CF9"/>
    <w:rsid w:val="00B934D5"/>
    <w:rsid w:val="00B93B26"/>
    <w:rsid w:val="00B93E5E"/>
    <w:rsid w:val="00BA336A"/>
    <w:rsid w:val="00BA373A"/>
    <w:rsid w:val="00BA6FBA"/>
    <w:rsid w:val="00BB0BD8"/>
    <w:rsid w:val="00BB0D3C"/>
    <w:rsid w:val="00BB1AFE"/>
    <w:rsid w:val="00BB202C"/>
    <w:rsid w:val="00BB7C4B"/>
    <w:rsid w:val="00BC308F"/>
    <w:rsid w:val="00BC6AEA"/>
    <w:rsid w:val="00BC7052"/>
    <w:rsid w:val="00BD3145"/>
    <w:rsid w:val="00BD554F"/>
    <w:rsid w:val="00BE0A79"/>
    <w:rsid w:val="00BE1813"/>
    <w:rsid w:val="00BE1D6A"/>
    <w:rsid w:val="00BF0151"/>
    <w:rsid w:val="00BF02B9"/>
    <w:rsid w:val="00BF2EF7"/>
    <w:rsid w:val="00BF5E04"/>
    <w:rsid w:val="00BF653E"/>
    <w:rsid w:val="00C03AEE"/>
    <w:rsid w:val="00C11800"/>
    <w:rsid w:val="00C12133"/>
    <w:rsid w:val="00C162B1"/>
    <w:rsid w:val="00C239F3"/>
    <w:rsid w:val="00C25D3F"/>
    <w:rsid w:val="00C32813"/>
    <w:rsid w:val="00C32D32"/>
    <w:rsid w:val="00C332C7"/>
    <w:rsid w:val="00C33741"/>
    <w:rsid w:val="00C341B6"/>
    <w:rsid w:val="00C417E4"/>
    <w:rsid w:val="00C41C5C"/>
    <w:rsid w:val="00C430CF"/>
    <w:rsid w:val="00C45C50"/>
    <w:rsid w:val="00C51830"/>
    <w:rsid w:val="00C57E9A"/>
    <w:rsid w:val="00C60009"/>
    <w:rsid w:val="00C66B58"/>
    <w:rsid w:val="00C7573B"/>
    <w:rsid w:val="00C759CA"/>
    <w:rsid w:val="00C8207F"/>
    <w:rsid w:val="00C82B80"/>
    <w:rsid w:val="00C8340E"/>
    <w:rsid w:val="00C90D58"/>
    <w:rsid w:val="00C932F5"/>
    <w:rsid w:val="00C9352B"/>
    <w:rsid w:val="00C94C4D"/>
    <w:rsid w:val="00C95A42"/>
    <w:rsid w:val="00C95FC7"/>
    <w:rsid w:val="00CA0FF9"/>
    <w:rsid w:val="00CA4576"/>
    <w:rsid w:val="00CA4B82"/>
    <w:rsid w:val="00CA7548"/>
    <w:rsid w:val="00CA7A7A"/>
    <w:rsid w:val="00CB2C01"/>
    <w:rsid w:val="00CB6952"/>
    <w:rsid w:val="00CB69B8"/>
    <w:rsid w:val="00CB7C93"/>
    <w:rsid w:val="00CC3967"/>
    <w:rsid w:val="00CD175A"/>
    <w:rsid w:val="00CD1ED6"/>
    <w:rsid w:val="00CD3868"/>
    <w:rsid w:val="00CE03AC"/>
    <w:rsid w:val="00CE2B54"/>
    <w:rsid w:val="00CE388E"/>
    <w:rsid w:val="00CE3DA1"/>
    <w:rsid w:val="00CF09F9"/>
    <w:rsid w:val="00CF11BC"/>
    <w:rsid w:val="00CF48E1"/>
    <w:rsid w:val="00D00372"/>
    <w:rsid w:val="00D12E84"/>
    <w:rsid w:val="00D13501"/>
    <w:rsid w:val="00D15397"/>
    <w:rsid w:val="00D17C72"/>
    <w:rsid w:val="00D2558E"/>
    <w:rsid w:val="00D312AF"/>
    <w:rsid w:val="00D34968"/>
    <w:rsid w:val="00D37789"/>
    <w:rsid w:val="00D70A51"/>
    <w:rsid w:val="00D74921"/>
    <w:rsid w:val="00D755A9"/>
    <w:rsid w:val="00D77C38"/>
    <w:rsid w:val="00D81C51"/>
    <w:rsid w:val="00D85522"/>
    <w:rsid w:val="00D9385E"/>
    <w:rsid w:val="00D950C7"/>
    <w:rsid w:val="00D95ADE"/>
    <w:rsid w:val="00DA0704"/>
    <w:rsid w:val="00DA1F8A"/>
    <w:rsid w:val="00DA3782"/>
    <w:rsid w:val="00DA6827"/>
    <w:rsid w:val="00DA7365"/>
    <w:rsid w:val="00DB0281"/>
    <w:rsid w:val="00DB1C12"/>
    <w:rsid w:val="00DB21E8"/>
    <w:rsid w:val="00DD297B"/>
    <w:rsid w:val="00DD30AA"/>
    <w:rsid w:val="00DD679B"/>
    <w:rsid w:val="00DD7BA8"/>
    <w:rsid w:val="00DE0AC3"/>
    <w:rsid w:val="00DE1CBA"/>
    <w:rsid w:val="00DE2CA5"/>
    <w:rsid w:val="00DE7219"/>
    <w:rsid w:val="00DF0D43"/>
    <w:rsid w:val="00DF3044"/>
    <w:rsid w:val="00DF3922"/>
    <w:rsid w:val="00DF3BC2"/>
    <w:rsid w:val="00DF7476"/>
    <w:rsid w:val="00E025DC"/>
    <w:rsid w:val="00E0545F"/>
    <w:rsid w:val="00E104E7"/>
    <w:rsid w:val="00E15646"/>
    <w:rsid w:val="00E20B73"/>
    <w:rsid w:val="00E26DC5"/>
    <w:rsid w:val="00E27A10"/>
    <w:rsid w:val="00E27E72"/>
    <w:rsid w:val="00E339D5"/>
    <w:rsid w:val="00E34BB0"/>
    <w:rsid w:val="00E34ECF"/>
    <w:rsid w:val="00E35241"/>
    <w:rsid w:val="00E35A47"/>
    <w:rsid w:val="00E438E0"/>
    <w:rsid w:val="00E508C8"/>
    <w:rsid w:val="00E51FD3"/>
    <w:rsid w:val="00E56A9D"/>
    <w:rsid w:val="00E57DBA"/>
    <w:rsid w:val="00E608A8"/>
    <w:rsid w:val="00E668EE"/>
    <w:rsid w:val="00E707FD"/>
    <w:rsid w:val="00E71120"/>
    <w:rsid w:val="00E721DD"/>
    <w:rsid w:val="00E75EF4"/>
    <w:rsid w:val="00E852E5"/>
    <w:rsid w:val="00E855F2"/>
    <w:rsid w:val="00E86FA2"/>
    <w:rsid w:val="00E87CB4"/>
    <w:rsid w:val="00E944F2"/>
    <w:rsid w:val="00E94C3C"/>
    <w:rsid w:val="00E95DD5"/>
    <w:rsid w:val="00EA6984"/>
    <w:rsid w:val="00EC0499"/>
    <w:rsid w:val="00EC268B"/>
    <w:rsid w:val="00EC72E0"/>
    <w:rsid w:val="00ED0F3E"/>
    <w:rsid w:val="00ED4655"/>
    <w:rsid w:val="00ED5571"/>
    <w:rsid w:val="00EE3A1E"/>
    <w:rsid w:val="00EE4BDD"/>
    <w:rsid w:val="00EF3E0C"/>
    <w:rsid w:val="00EF4787"/>
    <w:rsid w:val="00EF7FD5"/>
    <w:rsid w:val="00F00B62"/>
    <w:rsid w:val="00F01C77"/>
    <w:rsid w:val="00F04E90"/>
    <w:rsid w:val="00F05E50"/>
    <w:rsid w:val="00F131A3"/>
    <w:rsid w:val="00F13791"/>
    <w:rsid w:val="00F13DA8"/>
    <w:rsid w:val="00F13FCB"/>
    <w:rsid w:val="00F16510"/>
    <w:rsid w:val="00F176FC"/>
    <w:rsid w:val="00F25113"/>
    <w:rsid w:val="00F26706"/>
    <w:rsid w:val="00F31051"/>
    <w:rsid w:val="00F355E0"/>
    <w:rsid w:val="00F40CE9"/>
    <w:rsid w:val="00F50492"/>
    <w:rsid w:val="00F51EFB"/>
    <w:rsid w:val="00F53770"/>
    <w:rsid w:val="00F566C4"/>
    <w:rsid w:val="00F57600"/>
    <w:rsid w:val="00F609BD"/>
    <w:rsid w:val="00F60F1F"/>
    <w:rsid w:val="00F6122C"/>
    <w:rsid w:val="00F64C83"/>
    <w:rsid w:val="00F6780E"/>
    <w:rsid w:val="00F70110"/>
    <w:rsid w:val="00F7606E"/>
    <w:rsid w:val="00F810DA"/>
    <w:rsid w:val="00F82FC6"/>
    <w:rsid w:val="00F87872"/>
    <w:rsid w:val="00F879CE"/>
    <w:rsid w:val="00F915F9"/>
    <w:rsid w:val="00F92A3B"/>
    <w:rsid w:val="00F95B4C"/>
    <w:rsid w:val="00FA00B0"/>
    <w:rsid w:val="00FA3067"/>
    <w:rsid w:val="00FA7EB2"/>
    <w:rsid w:val="00FB262E"/>
    <w:rsid w:val="00FB74F3"/>
    <w:rsid w:val="00FC5167"/>
    <w:rsid w:val="00FC6262"/>
    <w:rsid w:val="00FD0B36"/>
    <w:rsid w:val="00FD6A8E"/>
    <w:rsid w:val="00FE3FBE"/>
    <w:rsid w:val="00FE6F74"/>
    <w:rsid w:val="00FF22C9"/>
    <w:rsid w:val="00FF2892"/>
    <w:rsid w:val="00FF4005"/>
    <w:rsid w:val="00FF47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D0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6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B73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3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B26"/>
  </w:style>
  <w:style w:type="paragraph" w:styleId="Footer">
    <w:name w:val="footer"/>
    <w:basedOn w:val="Normal"/>
    <w:link w:val="FooterChar"/>
    <w:uiPriority w:val="99"/>
    <w:unhideWhenUsed/>
    <w:rsid w:val="00B93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B26"/>
  </w:style>
  <w:style w:type="paragraph" w:styleId="BalloonText">
    <w:name w:val="Balloon Text"/>
    <w:basedOn w:val="Normal"/>
    <w:link w:val="BalloonTextChar"/>
    <w:uiPriority w:val="99"/>
    <w:semiHidden/>
    <w:unhideWhenUsed/>
    <w:rsid w:val="007C5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CC0"/>
    <w:rPr>
      <w:rFonts w:ascii="Tahoma" w:hAnsi="Tahoma" w:cs="Tahoma"/>
      <w:sz w:val="16"/>
      <w:szCs w:val="16"/>
    </w:rPr>
  </w:style>
  <w:style w:type="character" w:styleId="LineNumber">
    <w:name w:val="line number"/>
    <w:basedOn w:val="DefaultParagraphFont"/>
    <w:uiPriority w:val="99"/>
    <w:semiHidden/>
    <w:unhideWhenUsed/>
    <w:rsid w:val="00E668EE"/>
  </w:style>
  <w:style w:type="character" w:styleId="CommentReference">
    <w:name w:val="annotation reference"/>
    <w:basedOn w:val="DefaultParagraphFont"/>
    <w:uiPriority w:val="99"/>
    <w:semiHidden/>
    <w:unhideWhenUsed/>
    <w:rsid w:val="00B62D01"/>
    <w:rPr>
      <w:sz w:val="16"/>
      <w:szCs w:val="16"/>
    </w:rPr>
  </w:style>
  <w:style w:type="paragraph" w:styleId="CommentText">
    <w:name w:val="annotation text"/>
    <w:basedOn w:val="Normal"/>
    <w:link w:val="CommentTextChar"/>
    <w:uiPriority w:val="99"/>
    <w:semiHidden/>
    <w:unhideWhenUsed/>
    <w:rsid w:val="00B62D01"/>
    <w:pPr>
      <w:spacing w:line="240" w:lineRule="auto"/>
    </w:pPr>
    <w:rPr>
      <w:sz w:val="20"/>
      <w:szCs w:val="20"/>
    </w:rPr>
  </w:style>
  <w:style w:type="character" w:customStyle="1" w:styleId="CommentTextChar">
    <w:name w:val="Comment Text Char"/>
    <w:basedOn w:val="DefaultParagraphFont"/>
    <w:link w:val="CommentText"/>
    <w:uiPriority w:val="99"/>
    <w:semiHidden/>
    <w:rsid w:val="00B62D01"/>
    <w:rPr>
      <w:sz w:val="20"/>
      <w:szCs w:val="20"/>
    </w:rPr>
  </w:style>
  <w:style w:type="paragraph" w:styleId="CommentSubject">
    <w:name w:val="annotation subject"/>
    <w:basedOn w:val="CommentText"/>
    <w:next w:val="CommentText"/>
    <w:link w:val="CommentSubjectChar"/>
    <w:uiPriority w:val="99"/>
    <w:semiHidden/>
    <w:unhideWhenUsed/>
    <w:rsid w:val="00B62D01"/>
    <w:rPr>
      <w:b/>
      <w:bCs/>
    </w:rPr>
  </w:style>
  <w:style w:type="character" w:customStyle="1" w:styleId="CommentSubjectChar">
    <w:name w:val="Comment Subject Char"/>
    <w:basedOn w:val="CommentTextChar"/>
    <w:link w:val="CommentSubject"/>
    <w:uiPriority w:val="99"/>
    <w:semiHidden/>
    <w:rsid w:val="00B62D01"/>
    <w:rPr>
      <w:b/>
      <w:bCs/>
      <w:sz w:val="20"/>
      <w:szCs w:val="20"/>
    </w:rPr>
  </w:style>
  <w:style w:type="paragraph" w:styleId="Revision">
    <w:name w:val="Revision"/>
    <w:hidden/>
    <w:uiPriority w:val="99"/>
    <w:semiHidden/>
    <w:rsid w:val="00BF02B9"/>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6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B73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3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B26"/>
  </w:style>
  <w:style w:type="paragraph" w:styleId="Footer">
    <w:name w:val="footer"/>
    <w:basedOn w:val="Normal"/>
    <w:link w:val="FooterChar"/>
    <w:uiPriority w:val="99"/>
    <w:unhideWhenUsed/>
    <w:rsid w:val="00B93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B26"/>
  </w:style>
  <w:style w:type="paragraph" w:styleId="BalloonText">
    <w:name w:val="Balloon Text"/>
    <w:basedOn w:val="Normal"/>
    <w:link w:val="BalloonTextChar"/>
    <w:uiPriority w:val="99"/>
    <w:semiHidden/>
    <w:unhideWhenUsed/>
    <w:rsid w:val="007C5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CC0"/>
    <w:rPr>
      <w:rFonts w:ascii="Tahoma" w:hAnsi="Tahoma" w:cs="Tahoma"/>
      <w:sz w:val="16"/>
      <w:szCs w:val="16"/>
    </w:rPr>
  </w:style>
  <w:style w:type="character" w:styleId="LineNumber">
    <w:name w:val="line number"/>
    <w:basedOn w:val="DefaultParagraphFont"/>
    <w:uiPriority w:val="99"/>
    <w:semiHidden/>
    <w:unhideWhenUsed/>
    <w:rsid w:val="00E668EE"/>
  </w:style>
  <w:style w:type="character" w:styleId="CommentReference">
    <w:name w:val="annotation reference"/>
    <w:basedOn w:val="DefaultParagraphFont"/>
    <w:uiPriority w:val="99"/>
    <w:semiHidden/>
    <w:unhideWhenUsed/>
    <w:rsid w:val="00B62D01"/>
    <w:rPr>
      <w:sz w:val="16"/>
      <w:szCs w:val="16"/>
    </w:rPr>
  </w:style>
  <w:style w:type="paragraph" w:styleId="CommentText">
    <w:name w:val="annotation text"/>
    <w:basedOn w:val="Normal"/>
    <w:link w:val="CommentTextChar"/>
    <w:uiPriority w:val="99"/>
    <w:semiHidden/>
    <w:unhideWhenUsed/>
    <w:rsid w:val="00B62D01"/>
    <w:pPr>
      <w:spacing w:line="240" w:lineRule="auto"/>
    </w:pPr>
    <w:rPr>
      <w:sz w:val="20"/>
      <w:szCs w:val="20"/>
    </w:rPr>
  </w:style>
  <w:style w:type="character" w:customStyle="1" w:styleId="CommentTextChar">
    <w:name w:val="Comment Text Char"/>
    <w:basedOn w:val="DefaultParagraphFont"/>
    <w:link w:val="CommentText"/>
    <w:uiPriority w:val="99"/>
    <w:semiHidden/>
    <w:rsid w:val="00B62D01"/>
    <w:rPr>
      <w:sz w:val="20"/>
      <w:szCs w:val="20"/>
    </w:rPr>
  </w:style>
  <w:style w:type="paragraph" w:styleId="CommentSubject">
    <w:name w:val="annotation subject"/>
    <w:basedOn w:val="CommentText"/>
    <w:next w:val="CommentText"/>
    <w:link w:val="CommentSubjectChar"/>
    <w:uiPriority w:val="99"/>
    <w:semiHidden/>
    <w:unhideWhenUsed/>
    <w:rsid w:val="00B62D01"/>
    <w:rPr>
      <w:b/>
      <w:bCs/>
    </w:rPr>
  </w:style>
  <w:style w:type="character" w:customStyle="1" w:styleId="CommentSubjectChar">
    <w:name w:val="Comment Subject Char"/>
    <w:basedOn w:val="CommentTextChar"/>
    <w:link w:val="CommentSubject"/>
    <w:uiPriority w:val="99"/>
    <w:semiHidden/>
    <w:rsid w:val="00B62D01"/>
    <w:rPr>
      <w:b/>
      <w:bCs/>
      <w:sz w:val="20"/>
      <w:szCs w:val="20"/>
    </w:rPr>
  </w:style>
  <w:style w:type="paragraph" w:styleId="Revision">
    <w:name w:val="Revision"/>
    <w:hidden/>
    <w:uiPriority w:val="99"/>
    <w:semiHidden/>
    <w:rsid w:val="00BF02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3663">
      <w:bodyDiv w:val="1"/>
      <w:marLeft w:val="0"/>
      <w:marRight w:val="0"/>
      <w:marTop w:val="0"/>
      <w:marBottom w:val="0"/>
      <w:divBdr>
        <w:top w:val="none" w:sz="0" w:space="0" w:color="auto"/>
        <w:left w:val="none" w:sz="0" w:space="0" w:color="auto"/>
        <w:bottom w:val="none" w:sz="0" w:space="0" w:color="auto"/>
        <w:right w:val="none" w:sz="0" w:space="0" w:color="auto"/>
      </w:divBdr>
      <w:divsChild>
        <w:div w:id="834805498">
          <w:marLeft w:val="0"/>
          <w:marRight w:val="0"/>
          <w:marTop w:val="0"/>
          <w:marBottom w:val="0"/>
          <w:divBdr>
            <w:top w:val="none" w:sz="0" w:space="0" w:color="auto"/>
            <w:left w:val="none" w:sz="0" w:space="0" w:color="auto"/>
            <w:bottom w:val="none" w:sz="0" w:space="0" w:color="auto"/>
            <w:right w:val="none" w:sz="0" w:space="0" w:color="auto"/>
          </w:divBdr>
          <w:divsChild>
            <w:div w:id="124741270">
              <w:marLeft w:val="0"/>
              <w:marRight w:val="0"/>
              <w:marTop w:val="0"/>
              <w:marBottom w:val="0"/>
              <w:divBdr>
                <w:top w:val="none" w:sz="0" w:space="0" w:color="auto"/>
                <w:left w:val="none" w:sz="0" w:space="0" w:color="auto"/>
                <w:bottom w:val="none" w:sz="0" w:space="0" w:color="auto"/>
                <w:right w:val="none" w:sz="0" w:space="0" w:color="auto"/>
              </w:divBdr>
              <w:divsChild>
                <w:div w:id="559557826">
                  <w:marLeft w:val="0"/>
                  <w:marRight w:val="0"/>
                  <w:marTop w:val="0"/>
                  <w:marBottom w:val="0"/>
                  <w:divBdr>
                    <w:top w:val="none" w:sz="0" w:space="0" w:color="auto"/>
                    <w:left w:val="none" w:sz="0" w:space="0" w:color="auto"/>
                    <w:bottom w:val="none" w:sz="0" w:space="0" w:color="auto"/>
                    <w:right w:val="none" w:sz="0" w:space="0" w:color="auto"/>
                  </w:divBdr>
                  <w:divsChild>
                    <w:div w:id="2106001756">
                      <w:marLeft w:val="0"/>
                      <w:marRight w:val="0"/>
                      <w:marTop w:val="0"/>
                      <w:marBottom w:val="0"/>
                      <w:divBdr>
                        <w:top w:val="none" w:sz="0" w:space="0" w:color="auto"/>
                        <w:left w:val="none" w:sz="0" w:space="0" w:color="auto"/>
                        <w:bottom w:val="none" w:sz="0" w:space="0" w:color="auto"/>
                        <w:right w:val="none" w:sz="0" w:space="0" w:color="auto"/>
                      </w:divBdr>
                      <w:divsChild>
                        <w:div w:id="1862813986">
                          <w:marLeft w:val="0"/>
                          <w:marRight w:val="0"/>
                          <w:marTop w:val="0"/>
                          <w:marBottom w:val="0"/>
                          <w:divBdr>
                            <w:top w:val="none" w:sz="0" w:space="0" w:color="auto"/>
                            <w:left w:val="none" w:sz="0" w:space="0" w:color="auto"/>
                            <w:bottom w:val="none" w:sz="0" w:space="0" w:color="auto"/>
                            <w:right w:val="none" w:sz="0" w:space="0" w:color="auto"/>
                          </w:divBdr>
                          <w:divsChild>
                            <w:div w:id="1937204271">
                              <w:marLeft w:val="0"/>
                              <w:marRight w:val="0"/>
                              <w:marTop w:val="0"/>
                              <w:marBottom w:val="0"/>
                              <w:divBdr>
                                <w:top w:val="none" w:sz="0" w:space="0" w:color="auto"/>
                                <w:left w:val="none" w:sz="0" w:space="0" w:color="auto"/>
                                <w:bottom w:val="none" w:sz="0" w:space="0" w:color="auto"/>
                                <w:right w:val="none" w:sz="0" w:space="0" w:color="auto"/>
                              </w:divBdr>
                              <w:divsChild>
                                <w:div w:id="856886060">
                                  <w:marLeft w:val="0"/>
                                  <w:marRight w:val="0"/>
                                  <w:marTop w:val="0"/>
                                  <w:marBottom w:val="0"/>
                                  <w:divBdr>
                                    <w:top w:val="none" w:sz="0" w:space="0" w:color="auto"/>
                                    <w:left w:val="none" w:sz="0" w:space="0" w:color="auto"/>
                                    <w:bottom w:val="none" w:sz="0" w:space="0" w:color="auto"/>
                                    <w:right w:val="none" w:sz="0" w:space="0" w:color="auto"/>
                                  </w:divBdr>
                                  <w:divsChild>
                                    <w:div w:id="848760266">
                                      <w:marLeft w:val="0"/>
                                      <w:marRight w:val="0"/>
                                      <w:marTop w:val="0"/>
                                      <w:marBottom w:val="0"/>
                                      <w:divBdr>
                                        <w:top w:val="none" w:sz="0" w:space="0" w:color="auto"/>
                                        <w:left w:val="none" w:sz="0" w:space="0" w:color="auto"/>
                                        <w:bottom w:val="none" w:sz="0" w:space="0" w:color="auto"/>
                                        <w:right w:val="none" w:sz="0" w:space="0" w:color="auto"/>
                                      </w:divBdr>
                                      <w:divsChild>
                                        <w:div w:id="1537278218">
                                          <w:marLeft w:val="0"/>
                                          <w:marRight w:val="0"/>
                                          <w:marTop w:val="0"/>
                                          <w:marBottom w:val="0"/>
                                          <w:divBdr>
                                            <w:top w:val="none" w:sz="0" w:space="0" w:color="auto"/>
                                            <w:left w:val="none" w:sz="0" w:space="0" w:color="auto"/>
                                            <w:bottom w:val="none" w:sz="0" w:space="0" w:color="auto"/>
                                            <w:right w:val="none" w:sz="0" w:space="0" w:color="auto"/>
                                          </w:divBdr>
                                          <w:divsChild>
                                            <w:div w:id="218445490">
                                              <w:marLeft w:val="0"/>
                                              <w:marRight w:val="0"/>
                                              <w:marTop w:val="0"/>
                                              <w:marBottom w:val="0"/>
                                              <w:divBdr>
                                                <w:top w:val="none" w:sz="0" w:space="0" w:color="auto"/>
                                                <w:left w:val="none" w:sz="0" w:space="0" w:color="auto"/>
                                                <w:bottom w:val="none" w:sz="0" w:space="0" w:color="auto"/>
                                                <w:right w:val="none" w:sz="0" w:space="0" w:color="auto"/>
                                              </w:divBdr>
                                              <w:divsChild>
                                                <w:div w:id="769590584">
                                                  <w:marLeft w:val="0"/>
                                                  <w:marRight w:val="0"/>
                                                  <w:marTop w:val="0"/>
                                                  <w:marBottom w:val="0"/>
                                                  <w:divBdr>
                                                    <w:top w:val="none" w:sz="0" w:space="0" w:color="auto"/>
                                                    <w:left w:val="none" w:sz="0" w:space="0" w:color="auto"/>
                                                    <w:bottom w:val="none" w:sz="0" w:space="0" w:color="auto"/>
                                                    <w:right w:val="none" w:sz="0" w:space="0" w:color="auto"/>
                                                  </w:divBdr>
                                                  <w:divsChild>
                                                    <w:div w:id="5251750">
                                                      <w:marLeft w:val="0"/>
                                                      <w:marRight w:val="0"/>
                                                      <w:marTop w:val="0"/>
                                                      <w:marBottom w:val="0"/>
                                                      <w:divBdr>
                                                        <w:top w:val="none" w:sz="0" w:space="0" w:color="auto"/>
                                                        <w:left w:val="none" w:sz="0" w:space="0" w:color="auto"/>
                                                        <w:bottom w:val="none" w:sz="0" w:space="0" w:color="auto"/>
                                                        <w:right w:val="none" w:sz="0" w:space="0" w:color="auto"/>
                                                      </w:divBdr>
                                                      <w:divsChild>
                                                        <w:div w:id="1780175193">
                                                          <w:marLeft w:val="0"/>
                                                          <w:marRight w:val="0"/>
                                                          <w:marTop w:val="0"/>
                                                          <w:marBottom w:val="0"/>
                                                          <w:divBdr>
                                                            <w:top w:val="none" w:sz="0" w:space="0" w:color="auto"/>
                                                            <w:left w:val="none" w:sz="0" w:space="0" w:color="auto"/>
                                                            <w:bottom w:val="none" w:sz="0" w:space="0" w:color="auto"/>
                                                            <w:right w:val="none" w:sz="0" w:space="0" w:color="auto"/>
                                                          </w:divBdr>
                                                          <w:divsChild>
                                                            <w:div w:id="1892501865">
                                                              <w:marLeft w:val="0"/>
                                                              <w:marRight w:val="0"/>
                                                              <w:marTop w:val="0"/>
                                                              <w:marBottom w:val="0"/>
                                                              <w:divBdr>
                                                                <w:top w:val="none" w:sz="0" w:space="0" w:color="auto"/>
                                                                <w:left w:val="none" w:sz="0" w:space="0" w:color="auto"/>
                                                                <w:bottom w:val="none" w:sz="0" w:space="0" w:color="auto"/>
                                                                <w:right w:val="none" w:sz="0" w:space="0" w:color="auto"/>
                                                              </w:divBdr>
                                                              <w:divsChild>
                                                                <w:div w:id="1464811871">
                                                                  <w:marLeft w:val="0"/>
                                                                  <w:marRight w:val="0"/>
                                                                  <w:marTop w:val="0"/>
                                                                  <w:marBottom w:val="0"/>
                                                                  <w:divBdr>
                                                                    <w:top w:val="none" w:sz="0" w:space="0" w:color="auto"/>
                                                                    <w:left w:val="none" w:sz="0" w:space="0" w:color="auto"/>
                                                                    <w:bottom w:val="none" w:sz="0" w:space="0" w:color="auto"/>
                                                                    <w:right w:val="none" w:sz="0" w:space="0" w:color="auto"/>
                                                                  </w:divBdr>
                                                                  <w:divsChild>
                                                                    <w:div w:id="489978104">
                                                                      <w:marLeft w:val="0"/>
                                                                      <w:marRight w:val="0"/>
                                                                      <w:marTop w:val="0"/>
                                                                      <w:marBottom w:val="0"/>
                                                                      <w:divBdr>
                                                                        <w:top w:val="none" w:sz="0" w:space="0" w:color="auto"/>
                                                                        <w:left w:val="none" w:sz="0" w:space="0" w:color="auto"/>
                                                                        <w:bottom w:val="none" w:sz="0" w:space="0" w:color="auto"/>
                                                                        <w:right w:val="none" w:sz="0" w:space="0" w:color="auto"/>
                                                                      </w:divBdr>
                                                                      <w:divsChild>
                                                                        <w:div w:id="2082555343">
                                                                          <w:marLeft w:val="0"/>
                                                                          <w:marRight w:val="0"/>
                                                                          <w:marTop w:val="0"/>
                                                                          <w:marBottom w:val="0"/>
                                                                          <w:divBdr>
                                                                            <w:top w:val="none" w:sz="0" w:space="0" w:color="auto"/>
                                                                            <w:left w:val="none" w:sz="0" w:space="0" w:color="auto"/>
                                                                            <w:bottom w:val="none" w:sz="0" w:space="0" w:color="auto"/>
                                                                            <w:right w:val="none" w:sz="0" w:space="0" w:color="auto"/>
                                                                          </w:divBdr>
                                                                          <w:divsChild>
                                                                            <w:div w:id="525800390">
                                                                              <w:marLeft w:val="0"/>
                                                                              <w:marRight w:val="0"/>
                                                                              <w:marTop w:val="0"/>
                                                                              <w:marBottom w:val="0"/>
                                                                              <w:divBdr>
                                                                                <w:top w:val="none" w:sz="0" w:space="0" w:color="auto"/>
                                                                                <w:left w:val="none" w:sz="0" w:space="0" w:color="auto"/>
                                                                                <w:bottom w:val="none" w:sz="0" w:space="0" w:color="auto"/>
                                                                                <w:right w:val="none" w:sz="0" w:space="0" w:color="auto"/>
                                                                              </w:divBdr>
                                                                              <w:divsChild>
                                                                                <w:div w:id="779422176">
                                                                                  <w:marLeft w:val="0"/>
                                                                                  <w:marRight w:val="0"/>
                                                                                  <w:marTop w:val="0"/>
                                                                                  <w:marBottom w:val="0"/>
                                                                                  <w:divBdr>
                                                                                    <w:top w:val="none" w:sz="0" w:space="0" w:color="auto"/>
                                                                                    <w:left w:val="none" w:sz="0" w:space="0" w:color="auto"/>
                                                                                    <w:bottom w:val="none" w:sz="0" w:space="0" w:color="auto"/>
                                                                                    <w:right w:val="none" w:sz="0" w:space="0" w:color="auto"/>
                                                                                  </w:divBdr>
                                                                                  <w:divsChild>
                                                                                    <w:div w:id="217061025">
                                                                                      <w:marLeft w:val="0"/>
                                                                                      <w:marRight w:val="0"/>
                                                                                      <w:marTop w:val="0"/>
                                                                                      <w:marBottom w:val="0"/>
                                                                                      <w:divBdr>
                                                                                        <w:top w:val="none" w:sz="0" w:space="0" w:color="auto"/>
                                                                                        <w:left w:val="none" w:sz="0" w:space="0" w:color="auto"/>
                                                                                        <w:bottom w:val="none" w:sz="0" w:space="0" w:color="auto"/>
                                                                                        <w:right w:val="none" w:sz="0" w:space="0" w:color="auto"/>
                                                                                      </w:divBdr>
                                                                                      <w:divsChild>
                                                                                        <w:div w:id="1551767925">
                                                                                          <w:marLeft w:val="0"/>
                                                                                          <w:marRight w:val="0"/>
                                                                                          <w:marTop w:val="0"/>
                                                                                          <w:marBottom w:val="0"/>
                                                                                          <w:divBdr>
                                                                                            <w:top w:val="none" w:sz="0" w:space="0" w:color="auto"/>
                                                                                            <w:left w:val="none" w:sz="0" w:space="0" w:color="auto"/>
                                                                                            <w:bottom w:val="none" w:sz="0" w:space="0" w:color="auto"/>
                                                                                            <w:right w:val="none" w:sz="0" w:space="0" w:color="auto"/>
                                                                                          </w:divBdr>
                                                                                          <w:divsChild>
                                                                                            <w:div w:id="1801728261">
                                                                                              <w:marLeft w:val="0"/>
                                                                                              <w:marRight w:val="0"/>
                                                                                              <w:marTop w:val="0"/>
                                                                                              <w:marBottom w:val="0"/>
                                                                                              <w:divBdr>
                                                                                                <w:top w:val="none" w:sz="0" w:space="0" w:color="auto"/>
                                                                                                <w:left w:val="none" w:sz="0" w:space="0" w:color="auto"/>
                                                                                                <w:bottom w:val="none" w:sz="0" w:space="0" w:color="auto"/>
                                                                                                <w:right w:val="none" w:sz="0" w:space="0" w:color="auto"/>
                                                                                              </w:divBdr>
                                                                                              <w:divsChild>
                                                                                                <w:div w:id="79565989">
                                                                                                  <w:marLeft w:val="0"/>
                                                                                                  <w:marRight w:val="0"/>
                                                                                                  <w:marTop w:val="0"/>
                                                                                                  <w:marBottom w:val="0"/>
                                                                                                  <w:divBdr>
                                                                                                    <w:top w:val="none" w:sz="0" w:space="0" w:color="auto"/>
                                                                                                    <w:left w:val="none" w:sz="0" w:space="0" w:color="auto"/>
                                                                                                    <w:bottom w:val="none" w:sz="0" w:space="0" w:color="auto"/>
                                                                                                    <w:right w:val="none" w:sz="0" w:space="0" w:color="auto"/>
                                                                                                  </w:divBdr>
                                                                                                  <w:divsChild>
                                                                                                    <w:div w:id="1353069090">
                                                                                                      <w:marLeft w:val="0"/>
                                                                                                      <w:marRight w:val="0"/>
                                                                                                      <w:marTop w:val="0"/>
                                                                                                      <w:marBottom w:val="0"/>
                                                                                                      <w:divBdr>
                                                                                                        <w:top w:val="none" w:sz="0" w:space="0" w:color="auto"/>
                                                                                                        <w:left w:val="none" w:sz="0" w:space="0" w:color="auto"/>
                                                                                                        <w:bottom w:val="none" w:sz="0" w:space="0" w:color="auto"/>
                                                                                                        <w:right w:val="none" w:sz="0" w:space="0" w:color="auto"/>
                                                                                                      </w:divBdr>
                                                                                                      <w:divsChild>
                                                                                                        <w:div w:id="1232428058">
                                                                                                          <w:marLeft w:val="0"/>
                                                                                                          <w:marRight w:val="0"/>
                                                                                                          <w:marTop w:val="0"/>
                                                                                                          <w:marBottom w:val="0"/>
                                                                                                          <w:divBdr>
                                                                                                            <w:top w:val="none" w:sz="0" w:space="0" w:color="auto"/>
                                                                                                            <w:left w:val="none" w:sz="0" w:space="0" w:color="auto"/>
                                                                                                            <w:bottom w:val="none" w:sz="0" w:space="0" w:color="auto"/>
                                                                                                            <w:right w:val="none" w:sz="0" w:space="0" w:color="auto"/>
                                                                                                          </w:divBdr>
                                                                                                          <w:divsChild>
                                                                                                            <w:div w:id="2117019298">
                                                                                                              <w:marLeft w:val="0"/>
                                                                                                              <w:marRight w:val="0"/>
                                                                                                              <w:marTop w:val="0"/>
                                                                                                              <w:marBottom w:val="0"/>
                                                                                                              <w:divBdr>
                                                                                                                <w:top w:val="none" w:sz="0" w:space="0" w:color="auto"/>
                                                                                                                <w:left w:val="none" w:sz="0" w:space="0" w:color="auto"/>
                                                                                                                <w:bottom w:val="none" w:sz="0" w:space="0" w:color="auto"/>
                                                                                                                <w:right w:val="none" w:sz="0" w:space="0" w:color="auto"/>
                                                                                                              </w:divBdr>
                                                                                                              <w:divsChild>
                                                                                                                <w:div w:id="1767457694">
                                                                                                                  <w:marLeft w:val="0"/>
                                                                                                                  <w:marRight w:val="0"/>
                                                                                                                  <w:marTop w:val="0"/>
                                                                                                                  <w:marBottom w:val="0"/>
                                                                                                                  <w:divBdr>
                                                                                                                    <w:top w:val="none" w:sz="0" w:space="0" w:color="auto"/>
                                                                                                                    <w:left w:val="none" w:sz="0" w:space="0" w:color="auto"/>
                                                                                                                    <w:bottom w:val="none" w:sz="0" w:space="0" w:color="auto"/>
                                                                                                                    <w:right w:val="none" w:sz="0" w:space="0" w:color="auto"/>
                                                                                                                  </w:divBdr>
                                                                                                                  <w:divsChild>
                                                                                                                    <w:div w:id="1949508445">
                                                                                                                      <w:marLeft w:val="0"/>
                                                                                                                      <w:marRight w:val="0"/>
                                                                                                                      <w:marTop w:val="0"/>
                                                                                                                      <w:marBottom w:val="0"/>
                                                                                                                      <w:divBdr>
                                                                                                                        <w:top w:val="none" w:sz="0" w:space="0" w:color="auto"/>
                                                                                                                        <w:left w:val="none" w:sz="0" w:space="0" w:color="auto"/>
                                                                                                                        <w:bottom w:val="none" w:sz="0" w:space="0" w:color="auto"/>
                                                                                                                        <w:right w:val="none" w:sz="0" w:space="0" w:color="auto"/>
                                                                                                                      </w:divBdr>
                                                                                                                      <w:divsChild>
                                                                                                                        <w:div w:id="351302719">
                                                                                                                          <w:marLeft w:val="0"/>
                                                                                                                          <w:marRight w:val="0"/>
                                                                                                                          <w:marTop w:val="0"/>
                                                                                                                          <w:marBottom w:val="0"/>
                                                                                                                          <w:divBdr>
                                                                                                                            <w:top w:val="none" w:sz="0" w:space="0" w:color="auto"/>
                                                                                                                            <w:left w:val="none" w:sz="0" w:space="0" w:color="auto"/>
                                                                                                                            <w:bottom w:val="none" w:sz="0" w:space="0" w:color="auto"/>
                                                                                                                            <w:right w:val="none" w:sz="0" w:space="0" w:color="auto"/>
                                                                                                                          </w:divBdr>
                                                                                                                          <w:divsChild>
                                                                                                                            <w:div w:id="1079524223">
                                                                                                                              <w:marLeft w:val="0"/>
                                                                                                                              <w:marRight w:val="0"/>
                                                                                                                              <w:marTop w:val="0"/>
                                                                                                                              <w:marBottom w:val="0"/>
                                                                                                                              <w:divBdr>
                                                                                                                                <w:top w:val="none" w:sz="0" w:space="0" w:color="auto"/>
                                                                                                                                <w:left w:val="none" w:sz="0" w:space="0" w:color="auto"/>
                                                                                                                                <w:bottom w:val="none" w:sz="0" w:space="0" w:color="auto"/>
                                                                                                                                <w:right w:val="none" w:sz="0" w:space="0" w:color="auto"/>
                                                                                                                              </w:divBdr>
                                                                                                                              <w:divsChild>
                                                                                                                                <w:div w:id="1441300175">
                                                                                                                                  <w:marLeft w:val="0"/>
                                                                                                                                  <w:marRight w:val="0"/>
                                                                                                                                  <w:marTop w:val="0"/>
                                                                                                                                  <w:marBottom w:val="0"/>
                                                                                                                                  <w:divBdr>
                                                                                                                                    <w:top w:val="none" w:sz="0" w:space="0" w:color="auto"/>
                                                                                                                                    <w:left w:val="none" w:sz="0" w:space="0" w:color="auto"/>
                                                                                                                                    <w:bottom w:val="none" w:sz="0" w:space="0" w:color="auto"/>
                                                                                                                                    <w:right w:val="none" w:sz="0" w:space="0" w:color="auto"/>
                                                                                                                                  </w:divBdr>
                                                                                                                                  <w:divsChild>
                                                                                                                                    <w:div w:id="807747139">
                                                                                                                                      <w:marLeft w:val="0"/>
                                                                                                                                      <w:marRight w:val="0"/>
                                                                                                                                      <w:marTop w:val="0"/>
                                                                                                                                      <w:marBottom w:val="0"/>
                                                                                                                                      <w:divBdr>
                                                                                                                                        <w:top w:val="none" w:sz="0" w:space="0" w:color="auto"/>
                                                                                                                                        <w:left w:val="none" w:sz="0" w:space="0" w:color="auto"/>
                                                                                                                                        <w:bottom w:val="none" w:sz="0" w:space="0" w:color="auto"/>
                                                                                                                                        <w:right w:val="none" w:sz="0" w:space="0" w:color="auto"/>
                                                                                                                                      </w:divBdr>
                                                                                                                                      <w:divsChild>
                                                                                                                                        <w:div w:id="25251183">
                                                                                                                                          <w:marLeft w:val="0"/>
                                                                                                                                          <w:marRight w:val="0"/>
                                                                                                                                          <w:marTop w:val="0"/>
                                                                                                                                          <w:marBottom w:val="0"/>
                                                                                                                                          <w:divBdr>
                                                                                                                                            <w:top w:val="none" w:sz="0" w:space="0" w:color="auto"/>
                                                                                                                                            <w:left w:val="none" w:sz="0" w:space="0" w:color="auto"/>
                                                                                                                                            <w:bottom w:val="none" w:sz="0" w:space="0" w:color="auto"/>
                                                                                                                                            <w:right w:val="none" w:sz="0" w:space="0" w:color="auto"/>
                                                                                                                                          </w:divBdr>
                                                                                                                                          <w:divsChild>
                                                                                                                                            <w:div w:id="339742354">
                                                                                                                                              <w:marLeft w:val="0"/>
                                                                                                                                              <w:marRight w:val="0"/>
                                                                                                                                              <w:marTop w:val="0"/>
                                                                                                                                              <w:marBottom w:val="0"/>
                                                                                                                                              <w:divBdr>
                                                                                                                                                <w:top w:val="none" w:sz="0" w:space="0" w:color="auto"/>
                                                                                                                                                <w:left w:val="none" w:sz="0" w:space="0" w:color="auto"/>
                                                                                                                                                <w:bottom w:val="none" w:sz="0" w:space="0" w:color="auto"/>
                                                                                                                                                <w:right w:val="none" w:sz="0" w:space="0" w:color="auto"/>
                                                                                                                                              </w:divBdr>
                                                                                                                                              <w:divsChild>
                                                                                                                                                <w:div w:id="203711818">
                                                                                                                                                  <w:marLeft w:val="0"/>
                                                                                                                                                  <w:marRight w:val="0"/>
                                                                                                                                                  <w:marTop w:val="0"/>
                                                                                                                                                  <w:marBottom w:val="0"/>
                                                                                                                                                  <w:divBdr>
                                                                                                                                                    <w:top w:val="none" w:sz="0" w:space="0" w:color="auto"/>
                                                                                                                                                    <w:left w:val="none" w:sz="0" w:space="0" w:color="auto"/>
                                                                                                                                                    <w:bottom w:val="none" w:sz="0" w:space="0" w:color="auto"/>
                                                                                                                                                    <w:right w:val="none" w:sz="0" w:space="0" w:color="auto"/>
                                                                                                                                                  </w:divBdr>
                                                                                                                                                  <w:divsChild>
                                                                                                                                                    <w:div w:id="1750927955">
                                                                                                                                                      <w:marLeft w:val="0"/>
                                                                                                                                                      <w:marRight w:val="0"/>
                                                                                                                                                      <w:marTop w:val="0"/>
                                                                                                                                                      <w:marBottom w:val="0"/>
                                                                                                                                                      <w:divBdr>
                                                                                                                                                        <w:top w:val="none" w:sz="0" w:space="0" w:color="auto"/>
                                                                                                                                                        <w:left w:val="none" w:sz="0" w:space="0" w:color="auto"/>
                                                                                                                                                        <w:bottom w:val="none" w:sz="0" w:space="0" w:color="auto"/>
                                                                                                                                                        <w:right w:val="none" w:sz="0" w:space="0" w:color="auto"/>
                                                                                                                                                      </w:divBdr>
                                                                                                                                                      <w:divsChild>
                                                                                                                                                        <w:div w:id="1777290236">
                                                                                                                                                          <w:marLeft w:val="0"/>
                                                                                                                                                          <w:marRight w:val="0"/>
                                                                                                                                                          <w:marTop w:val="0"/>
                                                                                                                                                          <w:marBottom w:val="0"/>
                                                                                                                                                          <w:divBdr>
                                                                                                                                                            <w:top w:val="none" w:sz="0" w:space="0" w:color="auto"/>
                                                                                                                                                            <w:left w:val="none" w:sz="0" w:space="0" w:color="auto"/>
                                                                                                                                                            <w:bottom w:val="none" w:sz="0" w:space="0" w:color="auto"/>
                                                                                                                                                            <w:right w:val="none" w:sz="0" w:space="0" w:color="auto"/>
                                                                                                                                                          </w:divBdr>
                                                                                                                                                          <w:divsChild>
                                                                                                                                                            <w:div w:id="852108299">
                                                                                                                                                              <w:marLeft w:val="0"/>
                                                                                                                                                              <w:marRight w:val="0"/>
                                                                                                                                                              <w:marTop w:val="0"/>
                                                                                                                                                              <w:marBottom w:val="0"/>
                                                                                                                                                              <w:divBdr>
                                                                                                                                                                <w:top w:val="none" w:sz="0" w:space="0" w:color="auto"/>
                                                                                                                                                                <w:left w:val="none" w:sz="0" w:space="0" w:color="auto"/>
                                                                                                                                                                <w:bottom w:val="none" w:sz="0" w:space="0" w:color="auto"/>
                                                                                                                                                                <w:right w:val="none" w:sz="0" w:space="0" w:color="auto"/>
                                                                                                                                                              </w:divBdr>
                                                                                                                                                              <w:divsChild>
                                                                                                                                                                <w:div w:id="84889118">
                                                                                                                                                                  <w:marLeft w:val="0"/>
                                                                                                                                                                  <w:marRight w:val="0"/>
                                                                                                                                                                  <w:marTop w:val="0"/>
                                                                                                                                                                  <w:marBottom w:val="0"/>
                                                                                                                                                                  <w:divBdr>
                                                                                                                                                                    <w:top w:val="none" w:sz="0" w:space="0" w:color="auto"/>
                                                                                                                                                                    <w:left w:val="none" w:sz="0" w:space="0" w:color="auto"/>
                                                                                                                                                                    <w:bottom w:val="none" w:sz="0" w:space="0" w:color="auto"/>
                                                                                                                                                                    <w:right w:val="none" w:sz="0" w:space="0" w:color="auto"/>
                                                                                                                                                                  </w:divBdr>
                                                                                                                                                                  <w:divsChild>
                                                                                                                                                                    <w:div w:id="765688614">
                                                                                                                                                                      <w:marLeft w:val="0"/>
                                                                                                                                                                      <w:marRight w:val="0"/>
                                                                                                                                                                      <w:marTop w:val="0"/>
                                                                                                                                                                      <w:marBottom w:val="0"/>
                                                                                                                                                                      <w:divBdr>
                                                                                                                                                                        <w:top w:val="none" w:sz="0" w:space="0" w:color="auto"/>
                                                                                                                                                                        <w:left w:val="none" w:sz="0" w:space="0" w:color="auto"/>
                                                                                                                                                                        <w:bottom w:val="none" w:sz="0" w:space="0" w:color="auto"/>
                                                                                                                                                                        <w:right w:val="none" w:sz="0" w:space="0" w:color="auto"/>
                                                                                                                                                                      </w:divBdr>
                                                                                                                                                                      <w:divsChild>
                                                                                                                                                                        <w:div w:id="1562860526">
                                                                                                                                                                          <w:marLeft w:val="0"/>
                                                                                                                                                                          <w:marRight w:val="0"/>
                                                                                                                                                                          <w:marTop w:val="0"/>
                                                                                                                                                                          <w:marBottom w:val="0"/>
                                                                                                                                                                          <w:divBdr>
                                                                                                                                                                            <w:top w:val="none" w:sz="0" w:space="0" w:color="auto"/>
                                                                                                                                                                            <w:left w:val="none" w:sz="0" w:space="0" w:color="auto"/>
                                                                                                                                                                            <w:bottom w:val="none" w:sz="0" w:space="0" w:color="auto"/>
                                                                                                                                                                            <w:right w:val="none" w:sz="0" w:space="0" w:color="auto"/>
                                                                                                                                                                          </w:divBdr>
                                                                                                                                                                          <w:divsChild>
                                                                                                                                                                            <w:div w:id="2108965873">
                                                                                                                                                                              <w:marLeft w:val="0"/>
                                                                                                                                                                              <w:marRight w:val="0"/>
                                                                                                                                                                              <w:marTop w:val="0"/>
                                                                                                                                                                              <w:marBottom w:val="0"/>
                                                                                                                                                                              <w:divBdr>
                                                                                                                                                                                <w:top w:val="none" w:sz="0" w:space="0" w:color="auto"/>
                                                                                                                                                                                <w:left w:val="none" w:sz="0" w:space="0" w:color="auto"/>
                                                                                                                                                                                <w:bottom w:val="none" w:sz="0" w:space="0" w:color="auto"/>
                                                                                                                                                                                <w:right w:val="none" w:sz="0" w:space="0" w:color="auto"/>
                                                                                                                                                                              </w:divBdr>
                                                                                                                                                                              <w:divsChild>
                                                                                                                                                                                <w:div w:id="1488202634">
                                                                                                                                                                                  <w:marLeft w:val="0"/>
                                                                                                                                                                                  <w:marRight w:val="0"/>
                                                                                                                                                                                  <w:marTop w:val="0"/>
                                                                                                                                                                                  <w:marBottom w:val="0"/>
                                                                                                                                                                                  <w:divBdr>
                                                                                                                                                                                    <w:top w:val="none" w:sz="0" w:space="0" w:color="auto"/>
                                                                                                                                                                                    <w:left w:val="none" w:sz="0" w:space="0" w:color="auto"/>
                                                                                                                                                                                    <w:bottom w:val="none" w:sz="0" w:space="0" w:color="auto"/>
                                                                                                                                                                                    <w:right w:val="none" w:sz="0" w:space="0" w:color="auto"/>
                                                                                                                                                                                  </w:divBdr>
                                                                                                                                                                                  <w:divsChild>
                                                                                                                                                                                    <w:div w:id="1669626044">
                                                                                                                                                                                      <w:marLeft w:val="0"/>
                                                                                                                                                                                      <w:marRight w:val="0"/>
                                                                                                                                                                                      <w:marTop w:val="0"/>
                                                                                                                                                                                      <w:marBottom w:val="0"/>
                                                                                                                                                                                      <w:divBdr>
                                                                                                                                                                                        <w:top w:val="none" w:sz="0" w:space="0" w:color="auto"/>
                                                                                                                                                                                        <w:left w:val="none" w:sz="0" w:space="0" w:color="auto"/>
                                                                                                                                                                                        <w:bottom w:val="none" w:sz="0" w:space="0" w:color="auto"/>
                                                                                                                                                                                        <w:right w:val="none" w:sz="0" w:space="0" w:color="auto"/>
                                                                                                                                                                                      </w:divBdr>
                                                                                                                                                                                      <w:divsChild>
                                                                                                                                                                                        <w:div w:id="634918371">
                                                                                                                                                                                          <w:marLeft w:val="0"/>
                                                                                                                                                                                          <w:marRight w:val="0"/>
                                                                                                                                                                                          <w:marTop w:val="0"/>
                                                                                                                                                                                          <w:marBottom w:val="0"/>
                                                                                                                                                                                          <w:divBdr>
                                                                                                                                                                                            <w:top w:val="none" w:sz="0" w:space="0" w:color="auto"/>
                                                                                                                                                                                            <w:left w:val="none" w:sz="0" w:space="0" w:color="auto"/>
                                                                                                                                                                                            <w:bottom w:val="none" w:sz="0" w:space="0" w:color="auto"/>
                                                                                                                                                                                            <w:right w:val="none" w:sz="0" w:space="0" w:color="auto"/>
                                                                                                                                                                                          </w:divBdr>
                                                                                                                                                                                          <w:divsChild>
                                                                                                                                                                                            <w:div w:id="249122323">
                                                                                                                                                                                              <w:marLeft w:val="0"/>
                                                                                                                                                                                              <w:marRight w:val="0"/>
                                                                                                                                                                                              <w:marTop w:val="0"/>
                                                                                                                                                                                              <w:marBottom w:val="0"/>
                                                                                                                                                                                              <w:divBdr>
                                                                                                                                                                                                <w:top w:val="none" w:sz="0" w:space="0" w:color="auto"/>
                                                                                                                                                                                                <w:left w:val="none" w:sz="0" w:space="0" w:color="auto"/>
                                                                                                                                                                                                <w:bottom w:val="none" w:sz="0" w:space="0" w:color="auto"/>
                                                                                                                                                                                                <w:right w:val="none" w:sz="0" w:space="0" w:color="auto"/>
                                                                                                                                                                                              </w:divBdr>
                                                                                                                                                                                              <w:divsChild>
                                                                                                                                                                                                <w:div w:id="2123108847">
                                                                                                                                                                                                  <w:marLeft w:val="0"/>
                                                                                                                                                                                                  <w:marRight w:val="0"/>
                                                                                                                                                                                                  <w:marTop w:val="0"/>
                                                                                                                                                                                                  <w:marBottom w:val="0"/>
                                                                                                                                                                                                  <w:divBdr>
                                                                                                                                                                                                    <w:top w:val="none" w:sz="0" w:space="0" w:color="auto"/>
                                                                                                                                                                                                    <w:left w:val="none" w:sz="0" w:space="0" w:color="auto"/>
                                                                                                                                                                                                    <w:bottom w:val="none" w:sz="0" w:space="0" w:color="auto"/>
                                                                                                                                                                                                    <w:right w:val="none" w:sz="0" w:space="0" w:color="auto"/>
                                                                                                                                                                                                  </w:divBdr>
                                                                                                                                                                                                  <w:divsChild>
                                                                                                                                                                                                    <w:div w:id="1281689745">
                                                                                                                                                                                                      <w:marLeft w:val="0"/>
                                                                                                                                                                                                      <w:marRight w:val="0"/>
                                                                                                                                                                                                      <w:marTop w:val="0"/>
                                                                                                                                                                                                      <w:marBottom w:val="0"/>
                                                                                                                                                                                                      <w:divBdr>
                                                                                                                                                                                                        <w:top w:val="none" w:sz="0" w:space="0" w:color="auto"/>
                                                                                                                                                                                                        <w:left w:val="none" w:sz="0" w:space="0" w:color="auto"/>
                                                                                                                                                                                                        <w:bottom w:val="none" w:sz="0" w:space="0" w:color="auto"/>
                                                                                                                                                                                                        <w:right w:val="none" w:sz="0" w:space="0" w:color="auto"/>
                                                                                                                                                                                                      </w:divBdr>
                                                                                                                                                                                                      <w:divsChild>
                                                                                                                                                                                                        <w:div w:id="1898781792">
                                                                                                                                                                                                          <w:marLeft w:val="0"/>
                                                                                                                                                                                                          <w:marRight w:val="0"/>
                                                                                                                                                                                                          <w:marTop w:val="0"/>
                                                                                                                                                                                                          <w:marBottom w:val="0"/>
                                                                                                                                                                                                          <w:divBdr>
                                                                                                                                                                                                            <w:top w:val="none" w:sz="0" w:space="0" w:color="auto"/>
                                                                                                                                                                                                            <w:left w:val="none" w:sz="0" w:space="0" w:color="auto"/>
                                                                                                                                                                                                            <w:bottom w:val="none" w:sz="0" w:space="0" w:color="auto"/>
                                                                                                                                                                                                            <w:right w:val="none" w:sz="0" w:space="0" w:color="auto"/>
                                                                                                                                                                                                          </w:divBdr>
                                                                                                                                                                                                          <w:divsChild>
                                                                                                                                                                                                            <w:div w:id="8748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12107">
      <w:bodyDiv w:val="1"/>
      <w:marLeft w:val="0"/>
      <w:marRight w:val="0"/>
      <w:marTop w:val="0"/>
      <w:marBottom w:val="0"/>
      <w:divBdr>
        <w:top w:val="none" w:sz="0" w:space="0" w:color="auto"/>
        <w:left w:val="none" w:sz="0" w:space="0" w:color="auto"/>
        <w:bottom w:val="none" w:sz="0" w:space="0" w:color="auto"/>
        <w:right w:val="none" w:sz="0" w:space="0" w:color="auto"/>
      </w:divBdr>
    </w:div>
    <w:div w:id="159546382">
      <w:bodyDiv w:val="1"/>
      <w:marLeft w:val="0"/>
      <w:marRight w:val="0"/>
      <w:marTop w:val="0"/>
      <w:marBottom w:val="0"/>
      <w:divBdr>
        <w:top w:val="none" w:sz="0" w:space="0" w:color="auto"/>
        <w:left w:val="none" w:sz="0" w:space="0" w:color="auto"/>
        <w:bottom w:val="none" w:sz="0" w:space="0" w:color="auto"/>
        <w:right w:val="none" w:sz="0" w:space="0" w:color="auto"/>
      </w:divBdr>
    </w:div>
    <w:div w:id="270212975">
      <w:bodyDiv w:val="1"/>
      <w:marLeft w:val="0"/>
      <w:marRight w:val="0"/>
      <w:marTop w:val="0"/>
      <w:marBottom w:val="0"/>
      <w:divBdr>
        <w:top w:val="none" w:sz="0" w:space="0" w:color="auto"/>
        <w:left w:val="none" w:sz="0" w:space="0" w:color="auto"/>
        <w:bottom w:val="none" w:sz="0" w:space="0" w:color="auto"/>
        <w:right w:val="none" w:sz="0" w:space="0" w:color="auto"/>
      </w:divBdr>
    </w:div>
    <w:div w:id="383794750">
      <w:bodyDiv w:val="1"/>
      <w:marLeft w:val="0"/>
      <w:marRight w:val="0"/>
      <w:marTop w:val="0"/>
      <w:marBottom w:val="0"/>
      <w:divBdr>
        <w:top w:val="none" w:sz="0" w:space="0" w:color="auto"/>
        <w:left w:val="none" w:sz="0" w:space="0" w:color="auto"/>
        <w:bottom w:val="none" w:sz="0" w:space="0" w:color="auto"/>
        <w:right w:val="none" w:sz="0" w:space="0" w:color="auto"/>
      </w:divBdr>
    </w:div>
    <w:div w:id="589971196">
      <w:bodyDiv w:val="1"/>
      <w:marLeft w:val="0"/>
      <w:marRight w:val="0"/>
      <w:marTop w:val="0"/>
      <w:marBottom w:val="0"/>
      <w:divBdr>
        <w:top w:val="none" w:sz="0" w:space="0" w:color="auto"/>
        <w:left w:val="none" w:sz="0" w:space="0" w:color="auto"/>
        <w:bottom w:val="none" w:sz="0" w:space="0" w:color="auto"/>
        <w:right w:val="none" w:sz="0" w:space="0" w:color="auto"/>
      </w:divBdr>
    </w:div>
    <w:div w:id="592083304">
      <w:bodyDiv w:val="1"/>
      <w:marLeft w:val="0"/>
      <w:marRight w:val="0"/>
      <w:marTop w:val="0"/>
      <w:marBottom w:val="0"/>
      <w:divBdr>
        <w:top w:val="none" w:sz="0" w:space="0" w:color="auto"/>
        <w:left w:val="none" w:sz="0" w:space="0" w:color="auto"/>
        <w:bottom w:val="none" w:sz="0" w:space="0" w:color="auto"/>
        <w:right w:val="none" w:sz="0" w:space="0" w:color="auto"/>
      </w:divBdr>
    </w:div>
    <w:div w:id="803424910">
      <w:bodyDiv w:val="1"/>
      <w:marLeft w:val="0"/>
      <w:marRight w:val="0"/>
      <w:marTop w:val="0"/>
      <w:marBottom w:val="0"/>
      <w:divBdr>
        <w:top w:val="none" w:sz="0" w:space="0" w:color="auto"/>
        <w:left w:val="none" w:sz="0" w:space="0" w:color="auto"/>
        <w:bottom w:val="none" w:sz="0" w:space="0" w:color="auto"/>
        <w:right w:val="none" w:sz="0" w:space="0" w:color="auto"/>
      </w:divBdr>
    </w:div>
    <w:div w:id="982739600">
      <w:bodyDiv w:val="1"/>
      <w:marLeft w:val="0"/>
      <w:marRight w:val="0"/>
      <w:marTop w:val="0"/>
      <w:marBottom w:val="0"/>
      <w:divBdr>
        <w:top w:val="none" w:sz="0" w:space="0" w:color="auto"/>
        <w:left w:val="none" w:sz="0" w:space="0" w:color="auto"/>
        <w:bottom w:val="none" w:sz="0" w:space="0" w:color="auto"/>
        <w:right w:val="none" w:sz="0" w:space="0" w:color="auto"/>
      </w:divBdr>
    </w:div>
    <w:div w:id="1313631348">
      <w:bodyDiv w:val="1"/>
      <w:marLeft w:val="0"/>
      <w:marRight w:val="0"/>
      <w:marTop w:val="0"/>
      <w:marBottom w:val="0"/>
      <w:divBdr>
        <w:top w:val="none" w:sz="0" w:space="0" w:color="auto"/>
        <w:left w:val="none" w:sz="0" w:space="0" w:color="auto"/>
        <w:bottom w:val="none" w:sz="0" w:space="0" w:color="auto"/>
        <w:right w:val="none" w:sz="0" w:space="0" w:color="auto"/>
      </w:divBdr>
    </w:div>
    <w:div w:id="1643581883">
      <w:bodyDiv w:val="1"/>
      <w:marLeft w:val="0"/>
      <w:marRight w:val="0"/>
      <w:marTop w:val="0"/>
      <w:marBottom w:val="0"/>
      <w:divBdr>
        <w:top w:val="none" w:sz="0" w:space="0" w:color="auto"/>
        <w:left w:val="none" w:sz="0" w:space="0" w:color="auto"/>
        <w:bottom w:val="none" w:sz="0" w:space="0" w:color="auto"/>
        <w:right w:val="none" w:sz="0" w:space="0" w:color="auto"/>
      </w:divBdr>
    </w:div>
    <w:div w:id="1737584637">
      <w:bodyDiv w:val="1"/>
      <w:marLeft w:val="0"/>
      <w:marRight w:val="0"/>
      <w:marTop w:val="0"/>
      <w:marBottom w:val="0"/>
      <w:divBdr>
        <w:top w:val="none" w:sz="0" w:space="0" w:color="auto"/>
        <w:left w:val="none" w:sz="0" w:space="0" w:color="auto"/>
        <w:bottom w:val="none" w:sz="0" w:space="0" w:color="auto"/>
        <w:right w:val="none" w:sz="0" w:space="0" w:color="auto"/>
      </w:divBdr>
    </w:div>
    <w:div w:id="1877351782">
      <w:bodyDiv w:val="1"/>
      <w:marLeft w:val="0"/>
      <w:marRight w:val="0"/>
      <w:marTop w:val="0"/>
      <w:marBottom w:val="0"/>
      <w:divBdr>
        <w:top w:val="none" w:sz="0" w:space="0" w:color="auto"/>
        <w:left w:val="none" w:sz="0" w:space="0" w:color="auto"/>
        <w:bottom w:val="none" w:sz="0" w:space="0" w:color="auto"/>
        <w:right w:val="none" w:sz="0" w:space="0" w:color="auto"/>
      </w:divBdr>
      <w:divsChild>
        <w:div w:id="1613516248">
          <w:marLeft w:val="0"/>
          <w:marRight w:val="0"/>
          <w:marTop w:val="0"/>
          <w:marBottom w:val="0"/>
          <w:divBdr>
            <w:top w:val="none" w:sz="0" w:space="0" w:color="auto"/>
            <w:left w:val="none" w:sz="0" w:space="0" w:color="auto"/>
            <w:bottom w:val="none" w:sz="0" w:space="0" w:color="auto"/>
            <w:right w:val="none" w:sz="0" w:space="0" w:color="auto"/>
          </w:divBdr>
          <w:divsChild>
            <w:div w:id="169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479">
      <w:bodyDiv w:val="1"/>
      <w:marLeft w:val="0"/>
      <w:marRight w:val="0"/>
      <w:marTop w:val="0"/>
      <w:marBottom w:val="0"/>
      <w:divBdr>
        <w:top w:val="none" w:sz="0" w:space="0" w:color="auto"/>
        <w:left w:val="none" w:sz="0" w:space="0" w:color="auto"/>
        <w:bottom w:val="none" w:sz="0" w:space="0" w:color="auto"/>
        <w:right w:val="none" w:sz="0" w:space="0" w:color="auto"/>
      </w:divBdr>
    </w:div>
    <w:div w:id="2102800368">
      <w:bodyDiv w:val="1"/>
      <w:marLeft w:val="0"/>
      <w:marRight w:val="0"/>
      <w:marTop w:val="0"/>
      <w:marBottom w:val="0"/>
      <w:divBdr>
        <w:top w:val="none" w:sz="0" w:space="0" w:color="auto"/>
        <w:left w:val="none" w:sz="0" w:space="0" w:color="auto"/>
        <w:bottom w:val="none" w:sz="0" w:space="0" w:color="auto"/>
        <w:right w:val="none" w:sz="0" w:space="0" w:color="auto"/>
      </w:divBdr>
    </w:div>
    <w:div w:id="21278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32631</Words>
  <Characters>186000</Characters>
  <Application>Microsoft Macintosh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UF Academic Health Center</Company>
  <LinksUpToDate>false</LinksUpToDate>
  <CharactersWithSpaces>218195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Hope</dc:creator>
  <cp:lastModifiedBy>William Hope</cp:lastModifiedBy>
  <cp:revision>2</cp:revision>
  <dcterms:created xsi:type="dcterms:W3CDTF">2016-03-08T14:02:00Z</dcterms:created>
  <dcterms:modified xsi:type="dcterms:W3CDTF">2016-03-08T14:02:00Z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william.hope@liverpool.ac.uk@www.mendeley.com</vt:lpwstr>
  </property>
  <property fmtid="{D5CDD505-2E9C-101B-9397-08002B2CF9AE}" pid="4" name="Mendeley Recent Style Id 0_1">
    <vt:lpwstr>http://csl.mendeley.com/styles/111843481/american-society-for-microbiology-ed</vt:lpwstr>
  </property>
  <property fmtid="{D5CDD505-2E9C-101B-9397-08002B2CF9AE}" pid="5" name="Mendeley Recent Style Name 0_1">
    <vt:lpwstr>American Society for Microbiology - William Hope</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http://www.zotero.org/styles/antimicrobial-agents-and-chemotherapy</vt:lpwstr>
  </property>
  <property fmtid="{D5CDD505-2E9C-101B-9397-08002B2CF9AE}" pid="9" name="Mendeley Recent Style Name 2_1">
    <vt:lpwstr>Antimicrobial Agents and Chemotherapy</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http://www.zotero.org/styles/journal-of-antimicrobial-chemotherapy</vt:lpwstr>
  </property>
  <property fmtid="{D5CDD505-2E9C-101B-9397-08002B2CF9AE}" pid="17" name="Mendeley Recent Style Name 6_1">
    <vt:lpwstr>Journal of Antimicrobial Chemotherapy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http://www.zotero.org/styles/journal-of-antimicrobial-chemotherapy</vt:lpwstr>
  </property>
</Properties>
</file>