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55A" w:rsidRDefault="003C055A" w:rsidP="00320A32">
      <w:pPr>
        <w:jc w:val="center"/>
        <w:rPr>
          <w:b/>
        </w:rPr>
      </w:pPr>
      <w:r>
        <w:rPr>
          <w:b/>
        </w:rPr>
        <w:t>Theatre of Dissent:</w:t>
      </w:r>
    </w:p>
    <w:p w:rsidR="00320A32" w:rsidRDefault="00320A32" w:rsidP="00320A32">
      <w:pPr>
        <w:jc w:val="center"/>
        <w:rPr>
          <w:b/>
        </w:rPr>
      </w:pPr>
      <w:r>
        <w:rPr>
          <w:b/>
        </w:rPr>
        <w:t>T</w:t>
      </w:r>
      <w:r w:rsidR="005244A6">
        <w:rPr>
          <w:b/>
        </w:rPr>
        <w:t>he Historical Imagination</w:t>
      </w:r>
      <w:r>
        <w:rPr>
          <w:b/>
        </w:rPr>
        <w:t xml:space="preserve"> of the Irish Workers’ Dramatic Company</w:t>
      </w:r>
    </w:p>
    <w:p w:rsidR="00320A32" w:rsidRDefault="00320A32" w:rsidP="00320A32">
      <w:pPr>
        <w:rPr>
          <w:b/>
        </w:rPr>
      </w:pPr>
    </w:p>
    <w:p w:rsidR="004A3D7B" w:rsidRDefault="004A3D7B" w:rsidP="005630E0">
      <w:pPr>
        <w:jc w:val="both"/>
      </w:pPr>
      <w:r>
        <w:t xml:space="preserve">While the </w:t>
      </w:r>
      <w:r w:rsidR="00A45270">
        <w:t xml:space="preserve">dominant </w:t>
      </w:r>
      <w:r>
        <w:t xml:space="preserve">theatre of the Irish Literary Revival relied on </w:t>
      </w:r>
      <w:proofErr w:type="spellStart"/>
      <w:r>
        <w:t>ahistorical</w:t>
      </w:r>
      <w:proofErr w:type="spellEnd"/>
      <w:r>
        <w:t xml:space="preserve"> mythologies to imagine a unified (and arguably unionized) nation, the Irish Workers</w:t>
      </w:r>
      <w:r w:rsidR="003830B2">
        <w:t>’ Dramatic Company was intent on a drama of</w:t>
      </w:r>
      <w:r>
        <w:t xml:space="preserve"> disruption.</w:t>
      </w:r>
      <w:r w:rsidR="000E7198">
        <w:rPr>
          <w:rStyle w:val="FootnoteReference"/>
        </w:rPr>
        <w:footnoteReference w:id="-1"/>
      </w:r>
      <w:r w:rsidR="000E7198">
        <w:t xml:space="preserve">  Based at Liberty Hall, the headquarters of the Irish Transport and General Workers’ Union, and concerned with the </w:t>
      </w:r>
      <w:r w:rsidR="00C76F93">
        <w:t>material welfare of the working classes, the amateur company presents an alternative to the preo</w:t>
      </w:r>
      <w:r w:rsidR="00F42862">
        <w:t>ccupations of the Abbey Theatre with its</w:t>
      </w:r>
      <w:r w:rsidR="00C76F93">
        <w:t xml:space="preserve"> mystical depictions of an uncorrupted west, representations of an imaginary peasant</w:t>
      </w:r>
      <w:r w:rsidR="00F42862">
        <w:t xml:space="preserve">ry, and </w:t>
      </w:r>
      <w:r w:rsidR="003A2E88">
        <w:t xml:space="preserve">its </w:t>
      </w:r>
      <w:r w:rsidR="00F42862">
        <w:t>concern with nationality.  Whereas the aim of Yeats and Gregory was to represent the nation in plays dealing with Irish legend or ‘Irish historic personages or events’, the Irish Workers’ Dramatic Company aimed to intervene in the present moment, to re-</w:t>
      </w:r>
      <w:r>
        <w:t xml:space="preserve">imagine the place of the </w:t>
      </w:r>
      <w:r w:rsidR="00F42862">
        <w:t>individual</w:t>
      </w:r>
      <w:r>
        <w:t xml:space="preserve"> in history and in the process to effect real historical change.</w:t>
      </w:r>
      <w:r w:rsidR="00F42862">
        <w:rPr>
          <w:rStyle w:val="FootnoteReference"/>
        </w:rPr>
        <w:footnoteReference w:id="0"/>
      </w:r>
      <w:r>
        <w:t xml:space="preserve">  </w:t>
      </w:r>
    </w:p>
    <w:p w:rsidR="004A3D7B" w:rsidRDefault="004A3D7B" w:rsidP="005630E0">
      <w:pPr>
        <w:jc w:val="both"/>
      </w:pPr>
    </w:p>
    <w:p w:rsidR="004A3D7B" w:rsidRDefault="00B33500" w:rsidP="005630E0">
      <w:pPr>
        <w:jc w:val="both"/>
      </w:pPr>
      <w:r>
        <w:t>The I</w:t>
      </w:r>
      <w:r w:rsidR="00521784">
        <w:t>rish Workers’ Dramatic Company (IWDC)</w:t>
      </w:r>
      <w:r>
        <w:t xml:space="preserve"> was established in June 1912 by D</w:t>
      </w:r>
      <w:r w:rsidR="003A2E88">
        <w:t>elia Larkin, sister to the labo</w:t>
      </w:r>
      <w:r>
        <w:t>r leader and founder of the Irish Transport and Ge</w:t>
      </w:r>
      <w:r w:rsidR="004A3D7B">
        <w:t>neral Worker Union</w:t>
      </w:r>
      <w:r w:rsidR="00521784">
        <w:t xml:space="preserve"> (ITGWU)</w:t>
      </w:r>
      <w:r w:rsidR="004A3D7B">
        <w:t>, Big Jim.</w:t>
      </w:r>
      <w:r w:rsidR="00521784">
        <w:t xml:space="preserve">  Prior to the costly Lockout of</w:t>
      </w:r>
      <w:r w:rsidR="004A3D7B">
        <w:t xml:space="preserve"> 1913,</w:t>
      </w:r>
      <w:r>
        <w:t xml:space="preserve"> t</w:t>
      </w:r>
      <w:r w:rsidR="004A3D7B">
        <w:t>he ITGWU had the resources</w:t>
      </w:r>
      <w:r>
        <w:t xml:space="preserve"> to invest in cultural enterprise</w:t>
      </w:r>
      <w:r w:rsidR="005630E0">
        <w:t>s</w:t>
      </w:r>
      <w:r w:rsidR="00410B02">
        <w:t xml:space="preserve">.  </w:t>
      </w:r>
      <w:r>
        <w:t xml:space="preserve"> </w:t>
      </w:r>
      <w:r w:rsidR="004A3D7B">
        <w:t xml:space="preserve">Delia </w:t>
      </w:r>
      <w:r w:rsidR="00410B02">
        <w:t xml:space="preserve">Larkin </w:t>
      </w:r>
      <w:r>
        <w:t>began by organizing a worker</w:t>
      </w:r>
      <w:r w:rsidR="00410B02">
        <w:t>s’ choir and a workers’ band, and t</w:t>
      </w:r>
      <w:r>
        <w:t>he p</w:t>
      </w:r>
      <w:r w:rsidR="00410B02">
        <w:t xml:space="preserve">opularity of these pursuits inspired her to organize </w:t>
      </w:r>
      <w:r>
        <w:t xml:space="preserve">an amateur dramatic club.  The choir, the band, and the dramatic club served several functions.  They </w:t>
      </w:r>
      <w:r w:rsidR="00521784">
        <w:t xml:space="preserve">offered </w:t>
      </w:r>
      <w:r>
        <w:t>free, edifying entertainment f</w:t>
      </w:r>
      <w:r w:rsidR="003A2E88">
        <w:t xml:space="preserve">or </w:t>
      </w:r>
      <w:r w:rsidR="008E17AA">
        <w:t>the workers</w:t>
      </w:r>
      <w:r w:rsidR="00521784">
        <w:t xml:space="preserve"> in the evenings, with </w:t>
      </w:r>
      <w:r>
        <w:t xml:space="preserve">rehearsals </w:t>
      </w:r>
      <w:r w:rsidR="00521784">
        <w:t>providing</w:t>
      </w:r>
      <w:r>
        <w:t xml:space="preserve"> an alternati</w:t>
      </w:r>
      <w:r w:rsidR="004A3D7B">
        <w:t>ve to the public house.  T</w:t>
      </w:r>
      <w:r>
        <w:t xml:space="preserve">he clubs were only open to members of the ITGWU or the Irish Women </w:t>
      </w:r>
      <w:r w:rsidR="004A3D7B">
        <w:t xml:space="preserve">Workers’ Union (a subset of the ITGWU) and served as a way to increase union membership, since </w:t>
      </w:r>
      <w:r>
        <w:t>interest</w:t>
      </w:r>
      <w:r w:rsidR="004A3D7B">
        <w:t xml:space="preserve">ed parties would have to join </w:t>
      </w:r>
      <w:r w:rsidR="00521784">
        <w:t xml:space="preserve">the union </w:t>
      </w:r>
      <w:r>
        <w:t xml:space="preserve">if they wished to take part.  </w:t>
      </w:r>
      <w:r w:rsidR="00521784">
        <w:t>Furthermore, t</w:t>
      </w:r>
      <w:r w:rsidR="005630E0">
        <w:t xml:space="preserve">he </w:t>
      </w:r>
      <w:proofErr w:type="spellStart"/>
      <w:r w:rsidR="005630E0">
        <w:t>performative</w:t>
      </w:r>
      <w:proofErr w:type="spellEnd"/>
      <w:r w:rsidR="005630E0">
        <w:t xml:space="preserve"> aspects of the clubs served to propagandize the values and objectives of the union.</w:t>
      </w:r>
      <w:r w:rsidR="006762B1">
        <w:t xml:space="preserve">  </w:t>
      </w:r>
      <w:r w:rsidR="005630E0">
        <w:t xml:space="preserve">In addition to this </w:t>
      </w:r>
      <w:r w:rsidR="00322E7A">
        <w:t xml:space="preserve">propagandistic element, productions by the IWDC </w:t>
      </w:r>
      <w:r w:rsidR="00AB657B">
        <w:t>had the potential to agitate audiences to action.</w:t>
      </w:r>
      <w:r w:rsidR="000E7198">
        <w:t xml:space="preserve"> </w:t>
      </w:r>
      <w:r w:rsidR="00A45270">
        <w:t xml:space="preserve">  Although the genre was not officially constructed until the German and Russian workers’ theatres of the 1920s, the IWDC funct</w:t>
      </w:r>
      <w:r w:rsidR="008E17AA">
        <w:t>ioned as an agit</w:t>
      </w:r>
      <w:r w:rsidR="00A45270">
        <w:t>prop theatre, and the way</w:t>
      </w:r>
      <w:r w:rsidR="00703DC4">
        <w:t xml:space="preserve"> in which the company engaged with</w:t>
      </w:r>
      <w:r w:rsidR="00A45270">
        <w:t xml:space="preserve"> the historical imagination of the </w:t>
      </w:r>
      <w:r w:rsidR="00703DC4">
        <w:t xml:space="preserve">Irish Revival </w:t>
      </w:r>
      <w:r w:rsidR="00A45270">
        <w:t xml:space="preserve">and re-imagined history in </w:t>
      </w:r>
      <w:r w:rsidR="00703DC4">
        <w:t xml:space="preserve">response </w:t>
      </w:r>
      <w:r w:rsidR="00A45270">
        <w:t>to the dominant ideology is central to the group’s aesthetic.</w:t>
      </w:r>
    </w:p>
    <w:p w:rsidR="004A3D7B" w:rsidRDefault="004A3D7B" w:rsidP="005630E0">
      <w:pPr>
        <w:jc w:val="both"/>
      </w:pPr>
    </w:p>
    <w:p w:rsidR="00404262" w:rsidRDefault="004A3D7B" w:rsidP="004A3D7B">
      <w:pPr>
        <w:jc w:val="both"/>
      </w:pPr>
      <w:r>
        <w:t xml:space="preserve">The </w:t>
      </w:r>
      <w:proofErr w:type="spellStart"/>
      <w:r>
        <w:t>IWDC’s</w:t>
      </w:r>
      <w:proofErr w:type="spellEnd"/>
      <w:r>
        <w:t xml:space="preserve"> productions can be divided into two categories: plays that explicit</w:t>
      </w:r>
      <w:r w:rsidR="000F4A45">
        <w:t>ly rejected the terms on which</w:t>
      </w:r>
      <w:r>
        <w:t xml:space="preserve"> </w:t>
      </w:r>
      <w:r w:rsidR="00B61192">
        <w:t xml:space="preserve">peasant-centric </w:t>
      </w:r>
      <w:r>
        <w:t>Revival</w:t>
      </w:r>
      <w:r w:rsidR="000F4A45">
        <w:t>ist drama</w:t>
      </w:r>
      <w:r>
        <w:t xml:space="preserve"> was constituted and plays that were based on </w:t>
      </w:r>
      <w:r w:rsidR="00B61192">
        <w:t>Revivalist</w:t>
      </w:r>
      <w:r>
        <w:t xml:space="preserve"> tropes but </w:t>
      </w:r>
      <w:r w:rsidR="00B61192">
        <w:t>subverted romantic nationalist stereotypes</w:t>
      </w:r>
      <w:r w:rsidR="00EC4229">
        <w:t>.</w:t>
      </w:r>
      <w:r w:rsidR="00011F2B">
        <w:t xml:space="preserve">  Essential to the type of Revivalist drama prevalent in Dublin is what </w:t>
      </w:r>
      <w:r w:rsidR="00521784">
        <w:t xml:space="preserve">Edward </w:t>
      </w:r>
      <w:r w:rsidR="00011F2B">
        <w:t>Hirsch has described as the ‘</w:t>
      </w:r>
      <w:proofErr w:type="spellStart"/>
      <w:r w:rsidR="00011F2B">
        <w:t>aestheticizing</w:t>
      </w:r>
      <w:proofErr w:type="spellEnd"/>
      <w:r w:rsidR="00011F2B">
        <w:t xml:space="preserve">’ of the peasantry, </w:t>
      </w:r>
      <w:r w:rsidR="00521784">
        <w:t xml:space="preserve">a process </w:t>
      </w:r>
      <w:r w:rsidR="00011F2B">
        <w:t>in which a ‘complex historical group of people is necessarily simplified by being collapsed into one entity, “the folk”’.</w:t>
      </w:r>
      <w:r w:rsidR="00011F2B">
        <w:rPr>
          <w:rStyle w:val="FootnoteReference"/>
        </w:rPr>
        <w:footnoteReference w:id="1"/>
      </w:r>
      <w:r w:rsidR="00011F2B">
        <w:t xml:space="preserve">  In these plays, a peasantry that is gifted with supernatural abilities or a wealth of imagination is contrasted with ‘the modern industrial and commercial British spirit’.</w:t>
      </w:r>
      <w:r w:rsidR="00011F2B">
        <w:rPr>
          <w:rStyle w:val="FootnoteReference"/>
        </w:rPr>
        <w:footnoteReference w:id="2"/>
      </w:r>
      <w:r w:rsidR="00011F2B">
        <w:t xml:space="preserve">  Of course, this was not the only type of play being staged at the new National Theatre.  </w:t>
      </w:r>
      <w:r w:rsidR="00521784">
        <w:t xml:space="preserve">Ben </w:t>
      </w:r>
      <w:proofErr w:type="spellStart"/>
      <w:r w:rsidR="000F4A45">
        <w:t>Levit</w:t>
      </w:r>
      <w:r w:rsidR="00011F2B">
        <w:t>as</w:t>
      </w:r>
      <w:proofErr w:type="spellEnd"/>
      <w:r w:rsidR="00011F2B">
        <w:t xml:space="preserve"> </w:t>
      </w:r>
      <w:r w:rsidR="00B649C4">
        <w:t>has shown the extent to which the Abbey</w:t>
      </w:r>
      <w:r w:rsidR="00B61192">
        <w:t xml:space="preserve"> included </w:t>
      </w:r>
      <w:r w:rsidR="000F4A45">
        <w:t>working-class realism in its program</w:t>
      </w:r>
      <w:r w:rsidR="00B61192">
        <w:t xml:space="preserve"> long before the well-known plays of Sean O’Casey.  I</w:t>
      </w:r>
      <w:r w:rsidR="000F4A45">
        <w:t xml:space="preserve">mportant innovations such as Fred Ryan’s </w:t>
      </w:r>
      <w:r w:rsidR="000F4A45">
        <w:rPr>
          <w:i/>
        </w:rPr>
        <w:t>The Laying of the Foundations</w:t>
      </w:r>
      <w:r w:rsidR="000F4A45">
        <w:t xml:space="preserve"> </w:t>
      </w:r>
      <w:r w:rsidR="00A057C3">
        <w:t xml:space="preserve">(performed by the Irish National Theatre Society in 1902) </w:t>
      </w:r>
      <w:r w:rsidR="000F4A45">
        <w:t xml:space="preserve">and St John Ervine’s </w:t>
      </w:r>
      <w:r w:rsidR="000F4A45">
        <w:rPr>
          <w:i/>
        </w:rPr>
        <w:t>Mixed Marriage</w:t>
      </w:r>
      <w:r w:rsidR="00B61192">
        <w:t xml:space="preserve"> </w:t>
      </w:r>
      <w:r w:rsidR="003A2E88">
        <w:t>(</w:t>
      </w:r>
      <w:r w:rsidR="00A057C3">
        <w:t xml:space="preserve">1911) </w:t>
      </w:r>
      <w:r w:rsidR="000F4A45">
        <w:t>gave voice to a radical consciousness that departed</w:t>
      </w:r>
      <w:r w:rsidR="00B61192">
        <w:t xml:space="preserve"> from the PQ of peasant quality and instead proclaimed</w:t>
      </w:r>
      <w:r w:rsidR="000F4A45">
        <w:t xml:space="preserve"> the ‘proletarian quotient’.</w:t>
      </w:r>
      <w:r w:rsidR="000F4A45">
        <w:rPr>
          <w:rStyle w:val="FootnoteReference"/>
        </w:rPr>
        <w:footnoteReference w:id="3"/>
      </w:r>
      <w:r w:rsidR="00A057C3">
        <w:t xml:space="preserve">  Ryan’s play imagined a future state of class relations in Iri</w:t>
      </w:r>
      <w:r w:rsidR="005A5D65">
        <w:t xml:space="preserve">sh society, while Ervine’s play </w:t>
      </w:r>
      <w:r w:rsidR="00A057C3">
        <w:t xml:space="preserve">– although not overtly historical – </w:t>
      </w:r>
      <w:r w:rsidR="005A5D65">
        <w:t xml:space="preserve">uses the </w:t>
      </w:r>
      <w:r w:rsidR="00A057C3">
        <w:t>19</w:t>
      </w:r>
      <w:r w:rsidR="005A5D65">
        <w:t xml:space="preserve">07 </w:t>
      </w:r>
      <w:proofErr w:type="spellStart"/>
      <w:r w:rsidR="005A5D65">
        <w:t>dockers</w:t>
      </w:r>
      <w:proofErr w:type="spellEnd"/>
      <w:r w:rsidR="005A5D65">
        <w:t>’ strike in Belfast as the plot for his</w:t>
      </w:r>
      <w:r w:rsidR="00A057C3">
        <w:t xml:space="preserve"> </w:t>
      </w:r>
      <w:r w:rsidR="005A5D65">
        <w:t>anti-sectarian message</w:t>
      </w:r>
      <w:r w:rsidR="00B649C4">
        <w:t>.</w:t>
      </w:r>
      <w:r w:rsidR="005A5D65">
        <w:t xml:space="preserve">  In an interview with the </w:t>
      </w:r>
      <w:r w:rsidR="005A5D65">
        <w:rPr>
          <w:i/>
        </w:rPr>
        <w:t>Pall Mall Gazette</w:t>
      </w:r>
      <w:r w:rsidR="005A5D65">
        <w:t xml:space="preserve"> following the Royal Court’s production of </w:t>
      </w:r>
      <w:r w:rsidR="005A5D65">
        <w:rPr>
          <w:i/>
        </w:rPr>
        <w:t>Mixed Marriage</w:t>
      </w:r>
      <w:r w:rsidR="005A5D65">
        <w:t>, Yeats was asked whether he privileged idealist, imaginative drama over the ‘</w:t>
      </w:r>
      <w:proofErr w:type="spellStart"/>
      <w:r w:rsidR="005A5D65">
        <w:t>tractarian</w:t>
      </w:r>
      <w:proofErr w:type="spellEnd"/>
      <w:r w:rsidR="005A5D65">
        <w:t xml:space="preserve">’; he responded, ‘Logic in art should be hidden </w:t>
      </w:r>
      <w:r w:rsidR="00404262">
        <w:t>up as bones are hidden by flesh</w:t>
      </w:r>
      <w:r w:rsidR="005A5D65">
        <w:t>.</w:t>
      </w:r>
      <w:r w:rsidR="00404262">
        <w:t xml:space="preserve"> But I look upon realistic drama as a phase in the evolution of national drama [….] And so we are delighted to get plays setting forth the clash of interests and of thought at work today.</w:t>
      </w:r>
      <w:r w:rsidR="00703DC4">
        <w:t>’</w:t>
      </w:r>
      <w:r w:rsidR="005A5D65">
        <w:rPr>
          <w:rStyle w:val="FootnoteReference"/>
        </w:rPr>
        <w:footnoteReference w:id="4"/>
      </w:r>
      <w:r w:rsidR="005A5D65">
        <w:t xml:space="preserve">  </w:t>
      </w:r>
    </w:p>
    <w:p w:rsidR="00404262" w:rsidRDefault="00404262" w:rsidP="004A3D7B">
      <w:pPr>
        <w:jc w:val="both"/>
      </w:pPr>
    </w:p>
    <w:p w:rsidR="00404262" w:rsidRDefault="00404262" w:rsidP="004A3D7B">
      <w:pPr>
        <w:jc w:val="both"/>
      </w:pPr>
      <w:r>
        <w:t xml:space="preserve">Although the </w:t>
      </w:r>
      <w:proofErr w:type="spellStart"/>
      <w:r>
        <w:t>Larkins</w:t>
      </w:r>
      <w:proofErr w:type="spellEnd"/>
      <w:r>
        <w:t xml:space="preserve"> admired the Abbey’s program, and Delia Larkin praised </w:t>
      </w:r>
      <w:r>
        <w:rPr>
          <w:i/>
        </w:rPr>
        <w:t>Mixed Marriage</w:t>
      </w:r>
      <w:r>
        <w:t xml:space="preserve"> in the </w:t>
      </w:r>
      <w:proofErr w:type="spellStart"/>
      <w:r>
        <w:t>ITGWU’s</w:t>
      </w:r>
      <w:proofErr w:type="spellEnd"/>
      <w:r>
        <w:t xml:space="preserve"> newspaper, the </w:t>
      </w:r>
      <w:r>
        <w:rPr>
          <w:i/>
        </w:rPr>
        <w:t>Irish Worker</w:t>
      </w:r>
      <w:r>
        <w:t>, she argued that wor</w:t>
      </w:r>
      <w:r w:rsidR="00060D09">
        <w:t xml:space="preserve">king-class people </w:t>
      </w:r>
      <w:r w:rsidR="003A2E88">
        <w:t xml:space="preserve">did not have access </w:t>
      </w:r>
      <w:r>
        <w:t>to the drama of wh</w:t>
      </w:r>
      <w:r w:rsidR="003A2E88">
        <w:t xml:space="preserve">ich they were the </w:t>
      </w:r>
      <w:proofErr w:type="gramStart"/>
      <w:r w:rsidR="003A2E88">
        <w:t>subject</w:t>
      </w:r>
      <w:proofErr w:type="gramEnd"/>
      <w:r w:rsidR="003A2E88">
        <w:t>:</w:t>
      </w:r>
    </w:p>
    <w:p w:rsidR="00404262" w:rsidRDefault="00404262" w:rsidP="00404262">
      <w:pPr>
        <w:ind w:left="720"/>
        <w:jc w:val="both"/>
      </w:pPr>
      <w:proofErr w:type="gramStart"/>
      <w:r>
        <w:t>the</w:t>
      </w:r>
      <w:proofErr w:type="gramEnd"/>
      <w:r>
        <w:t xml:space="preserve"> good coat and nice blouse disdain to sit side by side with the collarless, shoddy coated son of toil, or the drab bloused factory girl [….] the working class as a rule, either out of sheer sensitiveness, or out of utter contempt for these persons and their snobbishness, shun the Abbey.  Not because they do not admire ‘Art’, not because the bigger ideals portrayed by the newer drama does not appeal to them, but because of the rank snobbishness that is the rotten core of the middle class, and which has spread into the Abbey like an infectious disease.</w:t>
      </w:r>
      <w:r>
        <w:rPr>
          <w:rStyle w:val="FootnoteReference"/>
        </w:rPr>
        <w:footnoteReference w:id="5"/>
      </w:r>
    </w:p>
    <w:p w:rsidR="00002CBF" w:rsidRDefault="00404262" w:rsidP="004A3D7B">
      <w:pPr>
        <w:jc w:val="both"/>
      </w:pPr>
      <w:r>
        <w:t xml:space="preserve">Her solution was to commission Andrew Patrick Wilson – ITGWU member, columnist for the </w:t>
      </w:r>
      <w:r>
        <w:rPr>
          <w:i/>
        </w:rPr>
        <w:t>Irish Worker</w:t>
      </w:r>
      <w:r>
        <w:t>, and actor in the Abbey’s second company – to serv</w:t>
      </w:r>
      <w:r w:rsidR="00521784">
        <w:t>e as manager and director of Liberty Hall’s</w:t>
      </w:r>
      <w:r>
        <w:t xml:space="preserve"> new workers’</w:t>
      </w:r>
      <w:r w:rsidR="00060D09">
        <w:t xml:space="preserve"> theatre</w:t>
      </w:r>
      <w:r>
        <w:t>.</w:t>
      </w:r>
      <w:r w:rsidR="00060D09">
        <w:t xml:space="preserve">  </w:t>
      </w:r>
      <w:r w:rsidR="00251C7F">
        <w:t xml:space="preserve">On 28 December, the </w:t>
      </w:r>
      <w:r w:rsidR="00521784">
        <w:t>IWDC</w:t>
      </w:r>
      <w:r w:rsidR="00D65C57">
        <w:t xml:space="preserve"> held its </w:t>
      </w:r>
      <w:r w:rsidR="00060D09">
        <w:t xml:space="preserve">first performance, which was </w:t>
      </w:r>
      <w:r w:rsidR="006725A6">
        <w:t xml:space="preserve">comprised of four one-act plays: Rutherford </w:t>
      </w:r>
      <w:proofErr w:type="spellStart"/>
      <w:r w:rsidR="006725A6">
        <w:t>Mayne’s</w:t>
      </w:r>
      <w:proofErr w:type="spellEnd"/>
      <w:r w:rsidR="006725A6">
        <w:t xml:space="preserve"> </w:t>
      </w:r>
      <w:r w:rsidR="006725A6">
        <w:rPr>
          <w:i/>
        </w:rPr>
        <w:t>The Troth</w:t>
      </w:r>
      <w:r w:rsidR="006725A6">
        <w:t xml:space="preserve">, Norman </w:t>
      </w:r>
      <w:proofErr w:type="spellStart"/>
      <w:r w:rsidR="006725A6">
        <w:t>McKinnel’s</w:t>
      </w:r>
      <w:proofErr w:type="spellEnd"/>
      <w:r w:rsidR="006725A6">
        <w:t xml:space="preserve"> </w:t>
      </w:r>
      <w:r w:rsidR="006725A6">
        <w:rPr>
          <w:i/>
        </w:rPr>
        <w:t>The Bishop’s Candlesticks</w:t>
      </w:r>
      <w:r w:rsidR="006725A6">
        <w:t xml:space="preserve">, Wilson’s </w:t>
      </w:r>
      <w:r w:rsidR="006725A6">
        <w:rPr>
          <w:i/>
        </w:rPr>
        <w:t xml:space="preserve">Victims: A New </w:t>
      </w:r>
      <w:proofErr w:type="spellStart"/>
      <w:r w:rsidR="006725A6">
        <w:rPr>
          <w:i/>
        </w:rPr>
        <w:t>Labour</w:t>
      </w:r>
      <w:proofErr w:type="spellEnd"/>
      <w:r w:rsidR="006725A6">
        <w:rPr>
          <w:i/>
        </w:rPr>
        <w:t xml:space="preserve"> Play</w:t>
      </w:r>
      <w:r w:rsidR="006725A6">
        <w:t xml:space="preserve">, and </w:t>
      </w:r>
      <w:r w:rsidR="006725A6">
        <w:rPr>
          <w:i/>
        </w:rPr>
        <w:t xml:space="preserve">The Matchmakers </w:t>
      </w:r>
      <w:r w:rsidR="006725A6">
        <w:t xml:space="preserve">by </w:t>
      </w:r>
      <w:proofErr w:type="spellStart"/>
      <w:r w:rsidR="006725A6">
        <w:t>Seumas</w:t>
      </w:r>
      <w:proofErr w:type="spellEnd"/>
      <w:r w:rsidR="006725A6">
        <w:t xml:space="preserve"> O’Kelly.</w:t>
      </w:r>
      <w:r w:rsidR="007A0F54">
        <w:t xml:space="preserve">  </w:t>
      </w:r>
    </w:p>
    <w:p w:rsidR="00002CBF" w:rsidRDefault="00002CBF" w:rsidP="004A3D7B">
      <w:pPr>
        <w:jc w:val="both"/>
      </w:pPr>
    </w:p>
    <w:p w:rsidR="00F35E79" w:rsidRDefault="00002CBF" w:rsidP="004A3D7B">
      <w:pPr>
        <w:jc w:val="both"/>
      </w:pPr>
      <w:r>
        <w:rPr>
          <w:i/>
        </w:rPr>
        <w:t>The Troth</w:t>
      </w:r>
      <w:r>
        <w:t xml:space="preserve"> </w:t>
      </w:r>
      <w:r w:rsidR="00BF7982">
        <w:t>was a somber</w:t>
      </w:r>
      <w:r w:rsidR="00152F1A">
        <w:t xml:space="preserve"> opening to the evening.</w:t>
      </w:r>
      <w:r w:rsidR="0045606E">
        <w:rPr>
          <w:rStyle w:val="FootnoteReference"/>
        </w:rPr>
        <w:footnoteReference w:id="6"/>
      </w:r>
      <w:r w:rsidR="00301811">
        <w:t xml:space="preserve">  An historical drama, s</w:t>
      </w:r>
      <w:r w:rsidR="00152F1A">
        <w:t xml:space="preserve">et in </w:t>
      </w:r>
      <w:r w:rsidR="00012253">
        <w:t>‘</w:t>
      </w:r>
      <w:r w:rsidR="00152F1A">
        <w:t>the middle of the nineteenth century</w:t>
      </w:r>
      <w:r w:rsidR="00012253">
        <w:t>’</w:t>
      </w:r>
      <w:r w:rsidR="00152F1A">
        <w:t xml:space="preserve">, it </w:t>
      </w:r>
      <w:r w:rsidR="00012253">
        <w:t xml:space="preserve">depicts the struggle of the </w:t>
      </w:r>
      <w:proofErr w:type="spellStart"/>
      <w:r w:rsidR="00012253">
        <w:t>McKie</w:t>
      </w:r>
      <w:proofErr w:type="spellEnd"/>
      <w:r w:rsidR="00012253">
        <w:t xml:space="preserve"> family and their neighbors against the tyranny of a morally corrupt landlord, Colonel </w:t>
      </w:r>
      <w:proofErr w:type="spellStart"/>
      <w:r w:rsidR="00012253">
        <w:t>Fotheringham</w:t>
      </w:r>
      <w:proofErr w:type="spellEnd"/>
      <w:r w:rsidR="00012253">
        <w:t xml:space="preserve">, whose inhumanity </w:t>
      </w:r>
      <w:r w:rsidR="00E5054D">
        <w:t>causes</w:t>
      </w:r>
      <w:r w:rsidR="00012253">
        <w:t xml:space="preserve"> the death of Francis Moore’s wife and children and the </w:t>
      </w:r>
      <w:proofErr w:type="spellStart"/>
      <w:r w:rsidR="00012253">
        <w:t>McKie’s</w:t>
      </w:r>
      <w:proofErr w:type="spellEnd"/>
      <w:r w:rsidR="00012253">
        <w:t xml:space="preserve"> only child.  </w:t>
      </w:r>
      <w:r w:rsidR="00E5054D">
        <w:t>Desperate</w:t>
      </w:r>
      <w:r w:rsidR="00251C7F">
        <w:t>,</w:t>
      </w:r>
      <w:r w:rsidR="00E5054D">
        <w:t xml:space="preserve"> with no recourse to the law (</w:t>
      </w:r>
      <w:proofErr w:type="spellStart"/>
      <w:r w:rsidR="00E5054D">
        <w:t>Fotheringham</w:t>
      </w:r>
      <w:proofErr w:type="spellEnd"/>
      <w:r w:rsidR="00E5054D">
        <w:t xml:space="preserve"> enjoys the protection of the police), </w:t>
      </w:r>
      <w:r w:rsidR="00A1174A">
        <w:t xml:space="preserve">Moore and Ebenezer </w:t>
      </w:r>
      <w:proofErr w:type="spellStart"/>
      <w:r w:rsidR="00A1174A">
        <w:t>McKie</w:t>
      </w:r>
      <w:proofErr w:type="spellEnd"/>
      <w:r w:rsidR="00A1174A">
        <w:t xml:space="preserve"> </w:t>
      </w:r>
      <w:r w:rsidR="00012253">
        <w:t xml:space="preserve">plot to kill </w:t>
      </w:r>
      <w:r w:rsidR="00251C7F">
        <w:t>the landlord</w:t>
      </w:r>
      <w:r w:rsidR="00E5054D">
        <w:t xml:space="preserve"> in a tense scene in which </w:t>
      </w:r>
      <w:proofErr w:type="spellStart"/>
      <w:r w:rsidR="00E5054D">
        <w:t>McKie</w:t>
      </w:r>
      <w:proofErr w:type="spellEnd"/>
      <w:r w:rsidR="00E5054D">
        <w:t xml:space="preserve"> invokes</w:t>
      </w:r>
      <w:r w:rsidR="00012253">
        <w:t xml:space="preserve"> the legacy of hi</w:t>
      </w:r>
      <w:r w:rsidR="009457A0">
        <w:t>s</w:t>
      </w:r>
      <w:r w:rsidR="00F35E79">
        <w:t xml:space="preserve"> ancestors who fought in 1798.  </w:t>
      </w:r>
      <w:proofErr w:type="spellStart"/>
      <w:r w:rsidR="00F35E79">
        <w:t>Mayne</w:t>
      </w:r>
      <w:r w:rsidR="006014A3">
        <w:t>’s</w:t>
      </w:r>
      <w:proofErr w:type="spellEnd"/>
      <w:r w:rsidR="00F35E79">
        <w:t xml:space="preserve"> anti-se</w:t>
      </w:r>
      <w:r w:rsidR="00251C7F">
        <w:t>ctarian message is underlined by</w:t>
      </w:r>
      <w:r w:rsidR="00F35E79">
        <w:t xml:space="preserve"> an exchange between the two men in which </w:t>
      </w:r>
      <w:r w:rsidR="00703DC4">
        <w:t xml:space="preserve">the audience </w:t>
      </w:r>
      <w:proofErr w:type="spellStart"/>
      <w:r w:rsidR="00703DC4">
        <w:t>leanrs</w:t>
      </w:r>
      <w:proofErr w:type="spellEnd"/>
      <w:r w:rsidR="00703DC4">
        <w:t xml:space="preserve"> of </w:t>
      </w:r>
      <w:proofErr w:type="spellStart"/>
      <w:r w:rsidR="00703DC4">
        <w:t>McKie’s</w:t>
      </w:r>
      <w:proofErr w:type="spellEnd"/>
      <w:r w:rsidR="00703DC4">
        <w:t xml:space="preserve"> son’s </w:t>
      </w:r>
      <w:r w:rsidR="006014A3">
        <w:t xml:space="preserve">burial in the </w:t>
      </w:r>
      <w:proofErr w:type="gramStart"/>
      <w:r w:rsidR="006014A3">
        <w:t>meeting-house</w:t>
      </w:r>
      <w:proofErr w:type="gramEnd"/>
      <w:r w:rsidR="006014A3">
        <w:t xml:space="preserve"> cemetery, whereas Moore’s son was bu</w:t>
      </w:r>
      <w:r w:rsidR="00301811">
        <w:t xml:space="preserve">ried in </w:t>
      </w:r>
      <w:r w:rsidR="00C63A44">
        <w:t>the chapel graveyar</w:t>
      </w:r>
      <w:r w:rsidR="00703DC4">
        <w:t>d.  The action</w:t>
      </w:r>
      <w:r w:rsidR="00C63A44">
        <w:t xml:space="preserve"> makes it clear that t</w:t>
      </w:r>
      <w:r w:rsidR="006014A3">
        <w:t>he success of fut</w:t>
      </w:r>
      <w:r w:rsidR="00251C7F">
        <w:t>ure generations depends on the</w:t>
      </w:r>
      <w:r w:rsidR="006014A3">
        <w:t xml:space="preserve"> alliance</w:t>
      </w:r>
      <w:r w:rsidR="00C63A44">
        <w:t xml:space="preserve"> of the men</w:t>
      </w:r>
      <w:r w:rsidR="00703DC4">
        <w:t>, despite their religious differences</w:t>
      </w:r>
      <w:r w:rsidR="00C63A44">
        <w:t>.</w:t>
      </w:r>
      <w:r w:rsidR="006014A3">
        <w:t xml:space="preserve"> </w:t>
      </w:r>
      <w:r w:rsidR="00C63A44">
        <w:t xml:space="preserve"> </w:t>
      </w:r>
      <w:r w:rsidR="006014A3">
        <w:t>Moore</w:t>
      </w:r>
      <w:r w:rsidR="00C63A44">
        <w:t>, a widower,</w:t>
      </w:r>
      <w:r w:rsidR="006014A3">
        <w:t xml:space="preserve"> </w:t>
      </w:r>
      <w:r w:rsidR="00251C7F">
        <w:t xml:space="preserve">bravely </w:t>
      </w:r>
      <w:r w:rsidR="006014A3">
        <w:t xml:space="preserve">stands to suffer the consequences of the assassination, although </w:t>
      </w:r>
      <w:r w:rsidR="00C63A44">
        <w:t xml:space="preserve">it was </w:t>
      </w:r>
      <w:proofErr w:type="spellStart"/>
      <w:r w:rsidR="006014A3">
        <w:t>McKie</w:t>
      </w:r>
      <w:proofErr w:type="spellEnd"/>
      <w:r w:rsidR="006014A3">
        <w:t xml:space="preserve"> </w:t>
      </w:r>
      <w:r w:rsidR="00C63A44">
        <w:t xml:space="preserve">who </w:t>
      </w:r>
      <w:r w:rsidR="006014A3">
        <w:t>fired the shot</w:t>
      </w:r>
      <w:r w:rsidR="00251C7F">
        <w:t xml:space="preserve"> that killed </w:t>
      </w:r>
      <w:proofErr w:type="spellStart"/>
      <w:r w:rsidR="00251C7F">
        <w:t>Fotheringham</w:t>
      </w:r>
      <w:proofErr w:type="spellEnd"/>
      <w:r w:rsidR="006014A3">
        <w:t xml:space="preserve">.  </w:t>
      </w:r>
      <w:r w:rsidR="00251C7F">
        <w:t xml:space="preserve">The play ends with </w:t>
      </w:r>
      <w:proofErr w:type="spellStart"/>
      <w:r w:rsidR="00251C7F">
        <w:t>Ebeneezer</w:t>
      </w:r>
      <w:proofErr w:type="spellEnd"/>
      <w:r w:rsidR="00251C7F">
        <w:t xml:space="preserve"> appealing</w:t>
      </w:r>
      <w:r w:rsidR="006014A3">
        <w:t xml:space="preserve"> to </w:t>
      </w:r>
      <w:proofErr w:type="spellStart"/>
      <w:r w:rsidR="006014A3">
        <w:t>Mrs</w:t>
      </w:r>
      <w:proofErr w:type="spellEnd"/>
      <w:r w:rsidR="006014A3">
        <w:t xml:space="preserve"> </w:t>
      </w:r>
      <w:proofErr w:type="spellStart"/>
      <w:r w:rsidR="006014A3">
        <w:t>McKie</w:t>
      </w:r>
      <w:proofErr w:type="spellEnd"/>
      <w:r w:rsidR="006014A3">
        <w:t>, who is horrified by the realization that her husband is a murderer: ‘Peace, woman.  Moore has no wife.’</w:t>
      </w:r>
      <w:r w:rsidR="00251C7F">
        <w:t xml:space="preserve"> </w:t>
      </w:r>
    </w:p>
    <w:p w:rsidR="00DC1197" w:rsidRDefault="00DC1197" w:rsidP="004A3D7B">
      <w:pPr>
        <w:jc w:val="both"/>
      </w:pPr>
    </w:p>
    <w:p w:rsidR="00F31AF7" w:rsidRDefault="009457A0" w:rsidP="00F31AF7">
      <w:pPr>
        <w:jc w:val="both"/>
      </w:pPr>
      <w:r>
        <w:t xml:space="preserve">The class politics </w:t>
      </w:r>
      <w:r w:rsidR="00524473">
        <w:t xml:space="preserve">of </w:t>
      </w:r>
      <w:r w:rsidR="00524473">
        <w:rPr>
          <w:i/>
        </w:rPr>
        <w:t>The Troth</w:t>
      </w:r>
      <w:r w:rsidR="009A7A34">
        <w:t xml:space="preserve"> </w:t>
      </w:r>
      <w:r>
        <w:t xml:space="preserve">are complicated by </w:t>
      </w:r>
      <w:proofErr w:type="spellStart"/>
      <w:r>
        <w:t>Mayne’s</w:t>
      </w:r>
      <w:proofErr w:type="spellEnd"/>
      <w:r>
        <w:t xml:space="preserve"> </w:t>
      </w:r>
      <w:r w:rsidR="00703DC4">
        <w:t>character</w:t>
      </w:r>
      <w:r w:rsidR="00C63A44">
        <w:t xml:space="preserve"> </w:t>
      </w:r>
      <w:r w:rsidR="00716522">
        <w:t>John Smith, a</w:t>
      </w:r>
      <w:r w:rsidR="002B349A">
        <w:t xml:space="preserve"> labo</w:t>
      </w:r>
      <w:r>
        <w:t xml:space="preserve">rer employed by the </w:t>
      </w:r>
      <w:proofErr w:type="spellStart"/>
      <w:r>
        <w:t>McKies</w:t>
      </w:r>
      <w:proofErr w:type="spellEnd"/>
      <w:r>
        <w:t xml:space="preserve">.  Described as ‘stout’ and ‘brawny’ in the stage directions </w:t>
      </w:r>
      <w:r w:rsidR="00716522">
        <w:t>(</w:t>
      </w:r>
      <w:r>
        <w:t xml:space="preserve">in comparison to the ‘poverty stricken’ </w:t>
      </w:r>
      <w:proofErr w:type="spellStart"/>
      <w:r>
        <w:t>Mrs</w:t>
      </w:r>
      <w:proofErr w:type="spellEnd"/>
      <w:r>
        <w:t xml:space="preserve"> </w:t>
      </w:r>
      <w:proofErr w:type="spellStart"/>
      <w:r>
        <w:t>McKie</w:t>
      </w:r>
      <w:proofErr w:type="spellEnd"/>
      <w:r w:rsidR="009A7A34">
        <w:t xml:space="preserve"> and </w:t>
      </w:r>
      <w:proofErr w:type="spellStart"/>
      <w:r w:rsidR="009A7A34">
        <w:t>Ebeneezer</w:t>
      </w:r>
      <w:proofErr w:type="spellEnd"/>
      <w:r w:rsidR="009A7A34">
        <w:t xml:space="preserve"> </w:t>
      </w:r>
      <w:proofErr w:type="spellStart"/>
      <w:r w:rsidR="009A7A34">
        <w:t>McKie</w:t>
      </w:r>
      <w:proofErr w:type="spellEnd"/>
      <w:r w:rsidR="009A7A34">
        <w:t xml:space="preserve"> who is ‘gaunt with</w:t>
      </w:r>
      <w:r w:rsidR="00716522">
        <w:t xml:space="preserve"> privation’), </w:t>
      </w:r>
      <w:r w:rsidR="009A7A34">
        <w:t>Smith</w:t>
      </w:r>
      <w:r w:rsidR="00C63A44">
        <w:t>’s politics are not those of the stereotypical</w:t>
      </w:r>
      <w:r w:rsidR="00716522">
        <w:t xml:space="preserve"> </w:t>
      </w:r>
      <w:r w:rsidR="00C63A44">
        <w:t>peasant.  H</w:t>
      </w:r>
      <w:r w:rsidR="00251C7F">
        <w:t>e</w:t>
      </w:r>
      <w:r w:rsidR="00716522">
        <w:t xml:space="preserve"> believes that the farmers deserve eviction</w:t>
      </w:r>
      <w:r w:rsidR="00C63A44">
        <w:t xml:space="preserve"> because of their disloyalty</w:t>
      </w:r>
      <w:r w:rsidR="00716522">
        <w:t xml:space="preserve">, declares himself a Tory, and goes to work for the gardener at the Big House when the </w:t>
      </w:r>
      <w:proofErr w:type="spellStart"/>
      <w:r w:rsidR="00716522">
        <w:t>McKies</w:t>
      </w:r>
      <w:proofErr w:type="spellEnd"/>
      <w:r w:rsidR="00716522">
        <w:t xml:space="preserve"> can no longer afford to pay him</w:t>
      </w:r>
      <w:r w:rsidR="00DC1197">
        <w:t xml:space="preserve">.  </w:t>
      </w:r>
      <w:r w:rsidR="00C41639">
        <w:t xml:space="preserve">Smith’s character </w:t>
      </w:r>
      <w:proofErr w:type="spellStart"/>
      <w:r w:rsidR="00C41639">
        <w:t>probleme</w:t>
      </w:r>
      <w:r w:rsidR="00387CA6">
        <w:t>tizes</w:t>
      </w:r>
      <w:proofErr w:type="spellEnd"/>
      <w:r w:rsidR="00387CA6">
        <w:t xml:space="preserve"> </w:t>
      </w:r>
      <w:r w:rsidR="00C41639">
        <w:t>what would otherwise be a simplistic</w:t>
      </w:r>
      <w:r w:rsidR="00387CA6">
        <w:t xml:space="preserve"> t</w:t>
      </w:r>
      <w:r w:rsidR="00C63A44">
        <w:t>enant-</w:t>
      </w:r>
      <w:r w:rsidR="00A1174A">
        <w:t xml:space="preserve">farmer/landlord dialectic, which is complicated further by the questionable soundness of </w:t>
      </w:r>
      <w:proofErr w:type="spellStart"/>
      <w:r w:rsidR="00A1174A">
        <w:t>McKie</w:t>
      </w:r>
      <w:proofErr w:type="spellEnd"/>
      <w:r w:rsidR="00A1174A">
        <w:t xml:space="preserve"> and Moore’s </w:t>
      </w:r>
      <w:proofErr w:type="gramStart"/>
      <w:r w:rsidR="00A1174A">
        <w:t>characters.</w:t>
      </w:r>
      <w:proofErr w:type="gramEnd"/>
      <w:r w:rsidR="00A1174A">
        <w:t xml:space="preserve">  </w:t>
      </w:r>
      <w:proofErr w:type="spellStart"/>
      <w:r w:rsidR="002C0F36">
        <w:t>Mrs</w:t>
      </w:r>
      <w:proofErr w:type="spellEnd"/>
      <w:r w:rsidR="002C0F36">
        <w:t xml:space="preserve"> </w:t>
      </w:r>
      <w:proofErr w:type="spellStart"/>
      <w:r w:rsidR="002C0F36">
        <w:t>McKie</w:t>
      </w:r>
      <w:proofErr w:type="spellEnd"/>
      <w:r w:rsidR="002C0F36">
        <w:t xml:space="preserve"> </w:t>
      </w:r>
      <w:r w:rsidR="0086589B">
        <w:t xml:space="preserve">– the only blameless character in the play – </w:t>
      </w:r>
      <w:r w:rsidR="002C0F36">
        <w:t>describes Moore as having eyes that ‘were flaming […] He’s next mad, that man, about his wife’</w:t>
      </w:r>
      <w:r w:rsidR="001577A7">
        <w:t>.</w:t>
      </w:r>
      <w:r w:rsidR="001577A7">
        <w:rPr>
          <w:rStyle w:val="FootnoteReference"/>
        </w:rPr>
        <w:footnoteReference w:id="7"/>
      </w:r>
      <w:r w:rsidR="001577A7">
        <w:t xml:space="preserve">  She also suggests that her own family’s hardship could have been prevented if </w:t>
      </w:r>
      <w:r w:rsidR="0086589B">
        <w:t>her husband</w:t>
      </w:r>
      <w:r w:rsidR="001577A7">
        <w:t xml:space="preserve"> had not cheated his sister out of fifty pounds at old </w:t>
      </w:r>
      <w:proofErr w:type="spellStart"/>
      <w:r w:rsidR="001577A7">
        <w:t>McKie’s</w:t>
      </w:r>
      <w:proofErr w:type="spellEnd"/>
      <w:r w:rsidR="001577A7">
        <w:t xml:space="preserve"> death.</w:t>
      </w:r>
      <w:r w:rsidR="001577A7">
        <w:rPr>
          <w:rStyle w:val="FootnoteReference"/>
        </w:rPr>
        <w:footnoteReference w:id="8"/>
      </w:r>
      <w:r w:rsidR="001577A7">
        <w:t xml:space="preserve">  The wronged sibling now refuses to come to their aide</w:t>
      </w:r>
      <w:r w:rsidR="00387CA6">
        <w:t>.</w:t>
      </w:r>
      <w:r w:rsidR="00E330E5">
        <w:t xml:space="preserve">  The morality of the killing of </w:t>
      </w:r>
      <w:proofErr w:type="spellStart"/>
      <w:r w:rsidR="00E330E5">
        <w:t>Fotheringham</w:t>
      </w:r>
      <w:proofErr w:type="spellEnd"/>
      <w:r w:rsidR="00E330E5">
        <w:t xml:space="preserve"> is ambiguous; </w:t>
      </w:r>
      <w:proofErr w:type="spellStart"/>
      <w:r w:rsidR="008E17AA">
        <w:t>Mrs</w:t>
      </w:r>
      <w:proofErr w:type="spellEnd"/>
      <w:r w:rsidR="008E17AA">
        <w:t xml:space="preserve"> </w:t>
      </w:r>
      <w:proofErr w:type="spellStart"/>
      <w:r w:rsidR="008E17AA">
        <w:t>McKie</w:t>
      </w:r>
      <w:proofErr w:type="spellEnd"/>
      <w:r w:rsidR="008E17AA">
        <w:t xml:space="preserve"> – </w:t>
      </w:r>
      <w:r w:rsidR="00C63A44">
        <w:t>a cipher for th</w:t>
      </w:r>
      <w:r w:rsidR="008E17AA">
        <w:t>e audience – is suspended in the moment of decid</w:t>
      </w:r>
      <w:r w:rsidR="00C63A44">
        <w:t>in</w:t>
      </w:r>
      <w:r w:rsidR="008E17AA">
        <w:t xml:space="preserve">g the verdict on </w:t>
      </w:r>
      <w:proofErr w:type="spellStart"/>
      <w:r w:rsidR="008E17AA">
        <w:t>McKie’s</w:t>
      </w:r>
      <w:proofErr w:type="spellEnd"/>
      <w:r w:rsidR="008E17AA">
        <w:t xml:space="preserve"> guilt.  </w:t>
      </w:r>
      <w:r w:rsidR="00C63A44">
        <w:t>T</w:t>
      </w:r>
      <w:r w:rsidR="00E330E5">
        <w:t>he informati</w:t>
      </w:r>
      <w:r w:rsidR="00C63A44">
        <w:t>on to which the audience is privileged</w:t>
      </w:r>
      <w:r w:rsidR="00E330E5">
        <w:t xml:space="preserve"> </w:t>
      </w:r>
      <w:r w:rsidR="00C63A44">
        <w:t>throughout the play suggests that the assassination was not necessary.  Had the characters worked together, exhibited class solidarity and moral r</w:t>
      </w:r>
      <w:r w:rsidR="00703DC4">
        <w:t xml:space="preserve">ectitude in their relationships, </w:t>
      </w:r>
      <w:r w:rsidR="00C63A44">
        <w:t>the desperate end may have been prevented.</w:t>
      </w:r>
      <w:r w:rsidR="008E17AA">
        <w:t xml:space="preserve">  </w:t>
      </w:r>
      <w:proofErr w:type="spellStart"/>
      <w:r w:rsidR="00F31AF7">
        <w:t>Mayne</w:t>
      </w:r>
      <w:proofErr w:type="spellEnd"/>
      <w:r w:rsidR="006A26F4">
        <w:t xml:space="preserve"> undermines the</w:t>
      </w:r>
      <w:r w:rsidR="00F31AF7">
        <w:t xml:space="preserve"> mystical, self-sacrificial rhetoric </w:t>
      </w:r>
      <w:r w:rsidR="006A26F4">
        <w:t xml:space="preserve">of </w:t>
      </w:r>
      <w:r w:rsidR="00F31AF7">
        <w:t xml:space="preserve">1798 epitomized in </w:t>
      </w:r>
      <w:r w:rsidR="006A26F4">
        <w:t xml:space="preserve">Yeats and Gregory’s </w:t>
      </w:r>
      <w:r w:rsidR="006A26F4">
        <w:rPr>
          <w:i/>
        </w:rPr>
        <w:t xml:space="preserve">Cathleen </w:t>
      </w:r>
      <w:proofErr w:type="spellStart"/>
      <w:proofErr w:type="gramStart"/>
      <w:r w:rsidR="006A26F4">
        <w:rPr>
          <w:i/>
        </w:rPr>
        <w:t>ni</w:t>
      </w:r>
      <w:proofErr w:type="spellEnd"/>
      <w:proofErr w:type="gramEnd"/>
      <w:r w:rsidR="006A26F4">
        <w:rPr>
          <w:i/>
        </w:rPr>
        <w:t xml:space="preserve"> </w:t>
      </w:r>
      <w:proofErr w:type="spellStart"/>
      <w:r w:rsidR="006A26F4">
        <w:rPr>
          <w:i/>
        </w:rPr>
        <w:t>Houlihan</w:t>
      </w:r>
      <w:proofErr w:type="spellEnd"/>
      <w:r w:rsidR="00F31AF7">
        <w:t xml:space="preserve">; </w:t>
      </w:r>
      <w:r w:rsidR="008E17AA">
        <w:rPr>
          <w:i/>
        </w:rPr>
        <w:t xml:space="preserve">The Troth </w:t>
      </w:r>
      <w:r w:rsidR="00F31AF7">
        <w:t>privileges human relationships and the problem of material hardship</w:t>
      </w:r>
      <w:r w:rsidR="00393CDD">
        <w:t xml:space="preserve">.  </w:t>
      </w:r>
      <w:proofErr w:type="spellStart"/>
      <w:r w:rsidR="00393CDD">
        <w:t>Mayn</w:t>
      </w:r>
      <w:r w:rsidR="00F31AF7">
        <w:t>e</w:t>
      </w:r>
      <w:proofErr w:type="spellEnd"/>
      <w:r w:rsidR="00F31AF7">
        <w:t xml:space="preserve"> uses the historical moment of the failed revolution as a model for class solidarity in another historical moment (the Land Wars), establishing a continuous narrative in which the contemporary audience could situate itself</w:t>
      </w:r>
      <w:r w:rsidR="007D25D1">
        <w:t xml:space="preserve"> as the inheritors of a legacy of class war</w:t>
      </w:r>
      <w:r w:rsidR="00F31AF7">
        <w:t>.</w:t>
      </w:r>
    </w:p>
    <w:p w:rsidR="00FB66CA" w:rsidRDefault="00FB66CA" w:rsidP="00F31AF7">
      <w:pPr>
        <w:jc w:val="both"/>
      </w:pPr>
    </w:p>
    <w:p w:rsidR="009A1D6B" w:rsidRDefault="00F319BB" w:rsidP="004A3D7B">
      <w:pPr>
        <w:jc w:val="both"/>
      </w:pPr>
      <w:r>
        <w:t xml:space="preserve">In her study of workers’ theatre in the United States, Hyman discusses the way in which the amateur workers’ groups </w:t>
      </w:r>
      <w:r w:rsidR="007D25D1">
        <w:t xml:space="preserve">there </w:t>
      </w:r>
      <w:r>
        <w:t xml:space="preserve">used conventional ‘popular entertainment styles, images, and motifs’ such as </w:t>
      </w:r>
      <w:r w:rsidR="00393CDD">
        <w:t>melodrama rather than attempt</w:t>
      </w:r>
      <w:r>
        <w:t xml:space="preserve"> to create new genres.</w:t>
      </w:r>
      <w:r>
        <w:rPr>
          <w:rStyle w:val="FootnoteReference"/>
        </w:rPr>
        <w:footnoteReference w:id="9"/>
      </w:r>
      <w:r>
        <w:t xml:space="preserve">  We can see this tendency in the </w:t>
      </w:r>
      <w:proofErr w:type="spellStart"/>
      <w:r w:rsidR="00C23208">
        <w:t>IWDC</w:t>
      </w:r>
      <w:r>
        <w:t>’s</w:t>
      </w:r>
      <w:proofErr w:type="spellEnd"/>
      <w:r>
        <w:t xml:space="preserve"> productions, in the company’s use of rural Reviv</w:t>
      </w:r>
      <w:r w:rsidR="008E17AA">
        <w:t>alist tropes as well as in its</w:t>
      </w:r>
      <w:r>
        <w:t xml:space="preserve"> use of melodrama.  </w:t>
      </w:r>
      <w:r w:rsidR="00A1174A">
        <w:rPr>
          <w:i/>
        </w:rPr>
        <w:t>The Bishop’s Candlesticks</w:t>
      </w:r>
      <w:r>
        <w:t xml:space="preserve">, which followed </w:t>
      </w:r>
      <w:r>
        <w:rPr>
          <w:i/>
        </w:rPr>
        <w:t>The Troth</w:t>
      </w:r>
      <w:r>
        <w:t xml:space="preserve"> in the </w:t>
      </w:r>
      <w:proofErr w:type="spellStart"/>
      <w:r w:rsidR="00C23208">
        <w:t>IWDC</w:t>
      </w:r>
      <w:r>
        <w:t>’s</w:t>
      </w:r>
      <w:proofErr w:type="spellEnd"/>
      <w:r>
        <w:t xml:space="preserve"> opening night,</w:t>
      </w:r>
      <w:r w:rsidR="008063AE">
        <w:t xml:space="preserve"> is</w:t>
      </w:r>
      <w:r w:rsidR="00687C1C">
        <w:t xml:space="preserve"> Norman </w:t>
      </w:r>
      <w:proofErr w:type="spellStart"/>
      <w:r w:rsidR="00687C1C">
        <w:t>McKinnel’s</w:t>
      </w:r>
      <w:proofErr w:type="spellEnd"/>
      <w:r w:rsidR="008063AE">
        <w:t xml:space="preserve"> </w:t>
      </w:r>
      <w:r w:rsidR="00687C1C">
        <w:t xml:space="preserve">adaptation of </w:t>
      </w:r>
      <w:r w:rsidR="00BA4A22">
        <w:t xml:space="preserve">a scene from </w:t>
      </w:r>
      <w:r w:rsidR="00687C1C">
        <w:t xml:space="preserve">the beginning of Victor </w:t>
      </w:r>
      <w:r w:rsidR="008063AE">
        <w:t xml:space="preserve">Hugo’s </w:t>
      </w:r>
      <w:r w:rsidR="00BA4A22">
        <w:rPr>
          <w:i/>
        </w:rPr>
        <w:t xml:space="preserve">Les </w:t>
      </w:r>
      <w:proofErr w:type="spellStart"/>
      <w:r w:rsidR="00BA4A22">
        <w:rPr>
          <w:i/>
        </w:rPr>
        <w:t>Misérables</w:t>
      </w:r>
      <w:proofErr w:type="spellEnd"/>
      <w:r>
        <w:t>.  The play was</w:t>
      </w:r>
      <w:r w:rsidR="00687C1C">
        <w:t xml:space="preserve"> first staged at the Duke of York Thea</w:t>
      </w:r>
      <w:r>
        <w:t>tre in London in August 1901 and was also popularly revived in New York, both in</w:t>
      </w:r>
      <w:r w:rsidR="00687C1C">
        <w:t xml:space="preserve"> Vaudeville </w:t>
      </w:r>
      <w:r>
        <w:t>performances and in benefits for working-class organizations</w:t>
      </w:r>
      <w:r w:rsidR="00687C1C">
        <w:t>.</w:t>
      </w:r>
      <w:r w:rsidR="00687C1C">
        <w:rPr>
          <w:rStyle w:val="FootnoteReference"/>
        </w:rPr>
        <w:footnoteReference w:id="10"/>
      </w:r>
      <w:r>
        <w:t xml:space="preserve">  </w:t>
      </w:r>
      <w:proofErr w:type="spellStart"/>
      <w:r>
        <w:t>McKinnel’s</w:t>
      </w:r>
      <w:proofErr w:type="spellEnd"/>
      <w:r w:rsidR="003B2526">
        <w:t xml:space="preserve"> play is characteristic of melodrama in its vilification of the Bishop’s sister, </w:t>
      </w:r>
      <w:proofErr w:type="spellStart"/>
      <w:r w:rsidR="003B2526">
        <w:t>Persomé</w:t>
      </w:r>
      <w:proofErr w:type="spellEnd"/>
      <w:r w:rsidR="003B2526">
        <w:t>, who bullies the family servant, Marie, and chastises her br</w:t>
      </w:r>
      <w:r w:rsidR="009A1D6B">
        <w:t>other for his charitable acts.  Yet t</w:t>
      </w:r>
      <w:r w:rsidR="00BA4A22">
        <w:t xml:space="preserve">he Bishop </w:t>
      </w:r>
      <w:r w:rsidR="009A1D6B">
        <w:t xml:space="preserve">in his goodness </w:t>
      </w:r>
      <w:r w:rsidR="00BA4A22">
        <w:t>s</w:t>
      </w:r>
      <w:r w:rsidR="009A1D6B">
        <w:t xml:space="preserve">ees only the best in </w:t>
      </w:r>
      <w:proofErr w:type="spellStart"/>
      <w:r w:rsidR="009A1D6B">
        <w:t>Persomé</w:t>
      </w:r>
      <w:proofErr w:type="spellEnd"/>
      <w:r w:rsidR="009A1D6B">
        <w:t xml:space="preserve">, comically interpreting </w:t>
      </w:r>
      <w:r w:rsidR="00BA4A22">
        <w:t>her admonishment, ‘You’ll sell the candles</w:t>
      </w:r>
      <w:r w:rsidR="009A1D6B">
        <w:t>ticks next!’, as a suggestion.  A</w:t>
      </w:r>
      <w:r w:rsidR="00BA4A22">
        <w:t>n armed Convict (</w:t>
      </w:r>
      <w:r w:rsidR="009A1D6B">
        <w:t xml:space="preserve">the character of Jean </w:t>
      </w:r>
      <w:proofErr w:type="spellStart"/>
      <w:r w:rsidR="009A1D6B">
        <w:t>Valjean</w:t>
      </w:r>
      <w:proofErr w:type="spellEnd"/>
      <w:r w:rsidR="009A1D6B">
        <w:t xml:space="preserve"> in Hugo’s</w:t>
      </w:r>
      <w:r w:rsidR="00BA4A22">
        <w:t xml:space="preserve"> novel) </w:t>
      </w:r>
      <w:r w:rsidR="009A1D6B">
        <w:t xml:space="preserve">who enters the house demanding </w:t>
      </w:r>
      <w:proofErr w:type="gramStart"/>
      <w:r w:rsidR="009A1D6B">
        <w:t>food is greeted</w:t>
      </w:r>
      <w:r w:rsidR="00BA4A22">
        <w:t xml:space="preserve"> </w:t>
      </w:r>
      <w:r w:rsidR="007D25D1">
        <w:t>by the Bishop</w:t>
      </w:r>
      <w:proofErr w:type="gramEnd"/>
      <w:r w:rsidR="007D25D1">
        <w:t xml:space="preserve"> </w:t>
      </w:r>
      <w:r w:rsidR="00BA4A22">
        <w:t>with</w:t>
      </w:r>
      <w:r w:rsidR="009A1D6B">
        <w:t xml:space="preserve"> kindness and sympathy</w:t>
      </w:r>
      <w:r w:rsidR="007D25D1">
        <w:t xml:space="preserve">.  Encouraged </w:t>
      </w:r>
      <w:r w:rsidR="00BA4A22">
        <w:t>to speak about his life before p</w:t>
      </w:r>
      <w:r w:rsidR="009A1D6B">
        <w:t>rison, the Convict remembers fragments of</w:t>
      </w:r>
      <w:r w:rsidR="00621E41">
        <w:t xml:space="preserve"> his pas</w:t>
      </w:r>
      <w:r w:rsidR="007D25D1">
        <w:t>t</w:t>
      </w:r>
      <w:r w:rsidR="00621E41">
        <w:t>:</w:t>
      </w:r>
      <w:r w:rsidR="009A1D6B">
        <w:t xml:space="preserve"> a</w:t>
      </w:r>
      <w:r w:rsidR="00BA4A22">
        <w:t xml:space="preserve"> </w:t>
      </w:r>
      <w:r w:rsidR="009A1D6B">
        <w:t xml:space="preserve">picturesque </w:t>
      </w:r>
      <w:r w:rsidR="00BA4A22">
        <w:t xml:space="preserve">cottage, his </w:t>
      </w:r>
      <w:r w:rsidR="009A1D6B">
        <w:t>wife becoming ill</w:t>
      </w:r>
      <w:r w:rsidR="00BA4A22">
        <w:t>, and being c</w:t>
      </w:r>
      <w:r w:rsidR="000E5127">
        <w:t xml:space="preserve">aught stealing food to </w:t>
      </w:r>
      <w:r w:rsidR="009A1D6B">
        <w:t>save her</w:t>
      </w:r>
      <w:r w:rsidR="000E5127">
        <w:t xml:space="preserve">.  The Convict </w:t>
      </w:r>
      <w:r w:rsidR="009A1D6B">
        <w:t>meets the Bishop’s charity with hardened suspicion,</w:t>
      </w:r>
      <w:r w:rsidR="000869C4">
        <w:t xml:space="preserve"> </w:t>
      </w:r>
      <w:r w:rsidR="009A1D6B">
        <w:t xml:space="preserve">believing that it </w:t>
      </w:r>
      <w:r w:rsidR="000869C4">
        <w:t xml:space="preserve">is </w:t>
      </w:r>
      <w:r w:rsidR="009A1D6B">
        <w:t xml:space="preserve">merely </w:t>
      </w:r>
      <w:r w:rsidR="000869C4">
        <w:t>a forerun</w:t>
      </w:r>
      <w:r w:rsidR="009A1D6B">
        <w:t>ner to an attempt at conversion.  I</w:t>
      </w:r>
      <w:r w:rsidR="000869C4">
        <w:t>n the night</w:t>
      </w:r>
      <w:r w:rsidR="009A1D6B">
        <w:t>, he</w:t>
      </w:r>
      <w:r w:rsidR="000869C4">
        <w:t xml:space="preserve"> absconds with the candlesticks.  </w:t>
      </w:r>
      <w:proofErr w:type="spellStart"/>
      <w:r w:rsidR="000869C4">
        <w:t>Persomé</w:t>
      </w:r>
      <w:proofErr w:type="spellEnd"/>
      <w:r w:rsidR="000869C4">
        <w:t xml:space="preserve"> urges the Bishop to call the police, but he refuses: ‘</w:t>
      </w:r>
      <w:proofErr w:type="gramStart"/>
      <w:r w:rsidR="000869C4">
        <w:t>The</w:t>
      </w:r>
      <w:proofErr w:type="gramEnd"/>
      <w:r w:rsidR="000869C4">
        <w:t xml:space="preserve"> candlesticks were mine, they are </w:t>
      </w:r>
      <w:r w:rsidR="000869C4">
        <w:rPr>
          <w:i/>
        </w:rPr>
        <w:t xml:space="preserve">his </w:t>
      </w:r>
      <w:r w:rsidR="000869C4">
        <w:t xml:space="preserve">now.  It is better so.  </w:t>
      </w:r>
      <w:r w:rsidR="009A1D6B">
        <w:t>He has more need of them than I</w:t>
      </w:r>
      <w:r w:rsidR="000869C4">
        <w:t>.</w:t>
      </w:r>
      <w:r w:rsidR="009A1D6B">
        <w:t>’</w:t>
      </w:r>
      <w:r w:rsidR="000869C4">
        <w:rPr>
          <w:rStyle w:val="FootnoteReference"/>
        </w:rPr>
        <w:footnoteReference w:id="11"/>
      </w:r>
      <w:proofErr w:type="gramStart"/>
      <w:r w:rsidR="008063AE">
        <w:t xml:space="preserve">  A</w:t>
      </w:r>
      <w:proofErr w:type="gramEnd"/>
      <w:r w:rsidR="008063AE">
        <w:t xml:space="preserve"> Sergeant and three Gendarmes catch the convict, find the candlesticks, and attempt</w:t>
      </w:r>
      <w:r w:rsidR="009A1D6B">
        <w:t xml:space="preserve"> to return them to the Bishop.   </w:t>
      </w:r>
      <w:proofErr w:type="spellStart"/>
      <w:r w:rsidR="008063AE">
        <w:t>Persomé</w:t>
      </w:r>
      <w:proofErr w:type="spellEnd"/>
      <w:r w:rsidR="008063AE">
        <w:t xml:space="preserve"> welcomes the arrest, but the Bishop tells the police that he has given the candlesticks to his friend</w:t>
      </w:r>
      <w:r w:rsidR="009A1D6B">
        <w:t xml:space="preserve">.  The play ends with him helping </w:t>
      </w:r>
      <w:r w:rsidR="008063AE">
        <w:t xml:space="preserve">the Convict to escape to Paris.  </w:t>
      </w:r>
    </w:p>
    <w:p w:rsidR="009A1D6B" w:rsidRDefault="009A1D6B" w:rsidP="004A3D7B">
      <w:pPr>
        <w:jc w:val="both"/>
      </w:pPr>
    </w:p>
    <w:p w:rsidR="00BA4A22" w:rsidRDefault="009A1D6B" w:rsidP="004A3D7B">
      <w:pPr>
        <w:jc w:val="both"/>
      </w:pPr>
      <w:r>
        <w:t xml:space="preserve">Unlike Boucicault’s subversively nationalist melodramas in which the rascal Irishman is the hero, the audience for </w:t>
      </w:r>
      <w:r>
        <w:rPr>
          <w:i/>
        </w:rPr>
        <w:t>The Bishop’s Candlesticks</w:t>
      </w:r>
      <w:r>
        <w:t xml:space="preserve"> is </w:t>
      </w:r>
      <w:r w:rsidR="00FB66CA">
        <w:t xml:space="preserve">aligned </w:t>
      </w:r>
      <w:r>
        <w:t>with the Bishop; the Convict is presented as a type deserving pity but not celebration.</w:t>
      </w:r>
      <w:r w:rsidR="00E05202">
        <w:t xml:space="preserve">  A long speech makes his position in the play explicit:</w:t>
      </w:r>
    </w:p>
    <w:p w:rsidR="00D63093" w:rsidRDefault="00BA4A22" w:rsidP="00D63093">
      <w:pPr>
        <w:ind w:left="720"/>
        <w:jc w:val="both"/>
      </w:pPr>
      <w:r>
        <w:t xml:space="preserve">Look here, I was a man once.  I’m a beast now and they made me what I am.  They chained me up like a wild </w:t>
      </w:r>
      <w:proofErr w:type="gramStart"/>
      <w:r>
        <w:t>animal,</w:t>
      </w:r>
      <w:proofErr w:type="gramEnd"/>
      <w:r>
        <w:t xml:space="preserve"> they lashed me like a hound.  I fed on filth, I was covered with vermin […] They took away my name, they took away my soul and they gave me a devil in its place, but one day they were careless […] They feed you in Hell but when you escape from it you starve.</w:t>
      </w:r>
      <w:r>
        <w:rPr>
          <w:rStyle w:val="FootnoteReference"/>
        </w:rPr>
        <w:footnoteReference w:id="12"/>
      </w:r>
    </w:p>
    <w:p w:rsidR="003B2526" w:rsidRDefault="00E05202" w:rsidP="00D63093">
      <w:pPr>
        <w:jc w:val="both"/>
      </w:pPr>
      <w:r>
        <w:t xml:space="preserve">The Bishop’s actions do </w:t>
      </w:r>
      <w:r w:rsidR="00711944">
        <w:t xml:space="preserve">result in a </w:t>
      </w:r>
      <w:r>
        <w:t>conversion, despite the convict’</w:t>
      </w:r>
      <w:r w:rsidR="00D63093">
        <w:t>s resistance: n</w:t>
      </w:r>
      <w:r>
        <w:t>ot only does he ask for the Bishop’s blessing before leaving the house, he also declares that he feels as if he ‘were a man again and not a wild beast’.</w:t>
      </w:r>
      <w:r>
        <w:rPr>
          <w:rStyle w:val="FootnoteReference"/>
        </w:rPr>
        <w:footnoteReference w:id="13"/>
      </w:r>
      <w:r w:rsidR="006A3998">
        <w:t xml:space="preserve">  </w:t>
      </w:r>
      <w:r w:rsidR="008D0111">
        <w:t xml:space="preserve">The </w:t>
      </w:r>
      <w:r w:rsidR="008D0111">
        <w:rPr>
          <w:i/>
        </w:rPr>
        <w:t xml:space="preserve">Bishop’s Candlesticks </w:t>
      </w:r>
      <w:r w:rsidR="008D0111">
        <w:t>as a pedagogical text asks the audience to reconsider it</w:t>
      </w:r>
      <w:r w:rsidR="00EA454C">
        <w:t>s attitudes to criminals, who are depicted as</w:t>
      </w:r>
      <w:r w:rsidR="008D0111">
        <w:t xml:space="preserve"> not belong</w:t>
      </w:r>
      <w:r w:rsidR="00EA454C">
        <w:t>ing</w:t>
      </w:r>
      <w:r w:rsidR="008D0111">
        <w:t xml:space="preserve"> to a separate class but </w:t>
      </w:r>
      <w:proofErr w:type="gramStart"/>
      <w:r w:rsidR="00EA454C">
        <w:t xml:space="preserve">as </w:t>
      </w:r>
      <w:r w:rsidR="008D0111">
        <w:t xml:space="preserve"> victims</w:t>
      </w:r>
      <w:proofErr w:type="gramEnd"/>
      <w:r w:rsidR="008D0111">
        <w:t xml:space="preserve"> of the same inequalities from which the audience suffers.</w:t>
      </w:r>
    </w:p>
    <w:p w:rsidR="003B2526" w:rsidRDefault="003B2526" w:rsidP="00BA4A22">
      <w:pPr>
        <w:ind w:left="720"/>
        <w:jc w:val="both"/>
      </w:pPr>
    </w:p>
    <w:p w:rsidR="00711944" w:rsidRDefault="001A5784" w:rsidP="004A3D7B">
      <w:pPr>
        <w:jc w:val="both"/>
      </w:pPr>
      <w:r>
        <w:t xml:space="preserve">The connection between the 1798 Rising in Ireland, mentioned in </w:t>
      </w:r>
      <w:r>
        <w:rPr>
          <w:i/>
        </w:rPr>
        <w:t>The Troth</w:t>
      </w:r>
      <w:r>
        <w:t xml:space="preserve">, and post-revolutionary France that is the setting of </w:t>
      </w:r>
      <w:r>
        <w:rPr>
          <w:i/>
        </w:rPr>
        <w:t xml:space="preserve">The Bishop’s Candlesticks </w:t>
      </w:r>
      <w:r>
        <w:t xml:space="preserve">is implicit and perhaps even an unintentional theme in the program.  Even so, the opening night of the </w:t>
      </w:r>
      <w:r w:rsidR="00C23208">
        <w:t>IWDC</w:t>
      </w:r>
      <w:r>
        <w:t xml:space="preserve"> began with two plays that invoked </w:t>
      </w:r>
      <w:r w:rsidR="00823CB0">
        <w:t>two iconic moments</w:t>
      </w:r>
      <w:r>
        <w:t xml:space="preserve"> of class struggle</w:t>
      </w:r>
      <w:r w:rsidR="00823CB0">
        <w:t xml:space="preserve">.  The third play in the program, </w:t>
      </w:r>
      <w:r w:rsidR="00A1174A">
        <w:rPr>
          <w:i/>
        </w:rPr>
        <w:t>Victims</w:t>
      </w:r>
      <w:r w:rsidR="00823CB0">
        <w:t xml:space="preserve"> by Andrew Patrick Wilson,</w:t>
      </w:r>
      <w:r w:rsidR="00A1174A">
        <w:t xml:space="preserve"> changed the tenor of the </w:t>
      </w:r>
      <w:r w:rsidR="00EA454C">
        <w:t>performance</w:t>
      </w:r>
      <w:r w:rsidR="00A1174A">
        <w:t xml:space="preserve"> from the imagined past to the politically charged present.  </w:t>
      </w:r>
    </w:p>
    <w:p w:rsidR="00711944" w:rsidRDefault="00711944" w:rsidP="004A3D7B">
      <w:pPr>
        <w:jc w:val="both"/>
      </w:pPr>
    </w:p>
    <w:p w:rsidR="00C23208" w:rsidRDefault="00A1174A" w:rsidP="004A3D7B">
      <w:pPr>
        <w:jc w:val="both"/>
      </w:pPr>
      <w:r>
        <w:t>In th</w:t>
      </w:r>
      <w:r w:rsidR="00A71F9D">
        <w:t xml:space="preserve">e autumn of 1912, Delia Larkin </w:t>
      </w:r>
      <w:r>
        <w:t xml:space="preserve">organized two successful strikes in Dublin against Keogh’s Sack Factory and the Pembroke Laundry in protest against the working conditions under which women labored.  </w:t>
      </w:r>
      <w:r w:rsidR="00B672C5">
        <w:t>Wilson drew specifically from the Irish Women Workers’ Union</w:t>
      </w:r>
      <w:r w:rsidR="00EA454C">
        <w:t>’s</w:t>
      </w:r>
      <w:r w:rsidR="00B672C5">
        <w:t xml:space="preserve"> recent campaigns, </w:t>
      </w:r>
      <w:r w:rsidR="00805E20">
        <w:t xml:space="preserve">and gave voice in </w:t>
      </w:r>
      <w:r w:rsidR="00805E20">
        <w:rPr>
          <w:i/>
        </w:rPr>
        <w:t>Victims</w:t>
      </w:r>
      <w:r w:rsidR="00805E20">
        <w:t xml:space="preserve"> to Delia Larkin’s argument that the public labor of married women </w:t>
      </w:r>
      <w:r w:rsidR="00EA454C">
        <w:t>w</w:t>
      </w:r>
      <w:r w:rsidR="00805E20">
        <w:t>as a ‘crime’, what James Connolly called a ‘double domestic toil’.</w:t>
      </w:r>
      <w:r w:rsidR="00805E20">
        <w:rPr>
          <w:rStyle w:val="FootnoteReference"/>
        </w:rPr>
        <w:footnoteReference w:id="14"/>
      </w:r>
      <w:r w:rsidR="004C562A">
        <w:t xml:space="preserve">  </w:t>
      </w:r>
      <w:r w:rsidR="00B672C5">
        <w:t xml:space="preserve">Wilson’s </w:t>
      </w:r>
      <w:r w:rsidR="008B4D44">
        <w:t xml:space="preserve">protagonists are Jack Nolan, an unemployed mechanic, and his wife, Anne, who has not gone out to work because of their sickly child, but </w:t>
      </w:r>
      <w:r w:rsidR="00EA454C">
        <w:t xml:space="preserve">she </w:t>
      </w:r>
      <w:r w:rsidR="008B4D44">
        <w:t>takes in sewing.  Traditional gender roles are firmly articulated, with Jack reflecting self-consciously on his masculinity (‘my very manhood has been snapped and taken away when I allowed you to attempt such work at all</w:t>
      </w:r>
      <w:r w:rsidR="00B672C5">
        <w:t>’</w:t>
      </w:r>
      <w:r w:rsidR="008B4D44">
        <w:t>), and Anne’s belief that motherhood is ‘the greatest joy a woman can know’: women do not work for fi</w:t>
      </w:r>
      <w:r w:rsidR="00C23208">
        <w:t>rms but ‘for those they love’.</w:t>
      </w:r>
      <w:r w:rsidR="00F85D99">
        <w:rPr>
          <w:rStyle w:val="FootnoteReference"/>
        </w:rPr>
        <w:footnoteReference w:id="15"/>
      </w:r>
      <w:r w:rsidR="00C23208">
        <w:t xml:space="preserve">  </w:t>
      </w:r>
    </w:p>
    <w:p w:rsidR="00D2068F" w:rsidRDefault="00D2068F" w:rsidP="004A3D7B">
      <w:pPr>
        <w:jc w:val="both"/>
      </w:pPr>
    </w:p>
    <w:p w:rsidR="00D64D8A" w:rsidRDefault="00D64D8A" w:rsidP="004A3D7B">
      <w:pPr>
        <w:jc w:val="both"/>
      </w:pPr>
      <w:proofErr w:type="gramStart"/>
      <w:r>
        <w:rPr>
          <w:i/>
        </w:rPr>
        <w:t>Victims</w:t>
      </w:r>
      <w:r w:rsidR="004D1629">
        <w:t xml:space="preserve"> </w:t>
      </w:r>
      <w:r w:rsidR="00B672C5">
        <w:t>is</w:t>
      </w:r>
      <w:proofErr w:type="gramEnd"/>
      <w:r w:rsidR="00B672C5">
        <w:t xml:space="preserve"> not an historical drama but a play about the possibility of historical change.  </w:t>
      </w:r>
      <w:r w:rsidR="00251C7F">
        <w:t>Wilson’s style has been described as ‘early twentieth-century agitprop’, and this is a useful way of und</w:t>
      </w:r>
      <w:r w:rsidR="00C23208">
        <w:t>erstanding his work for the IWDC</w:t>
      </w:r>
      <w:r w:rsidR="00251C7F">
        <w:t>.</w:t>
      </w:r>
      <w:r w:rsidR="00251C7F">
        <w:rPr>
          <w:rStyle w:val="FootnoteReference"/>
        </w:rPr>
        <w:footnoteReference w:id="16"/>
      </w:r>
      <w:r w:rsidR="00251C7F">
        <w:t xml:space="preserve">  The urban setting of a tenement house gives the themes raised in </w:t>
      </w:r>
      <w:r w:rsidR="00251C7F">
        <w:rPr>
          <w:i/>
        </w:rPr>
        <w:t>The Troth</w:t>
      </w:r>
      <w:r w:rsidR="00251C7F">
        <w:t xml:space="preserve"> and </w:t>
      </w:r>
      <w:r w:rsidR="00251C7F">
        <w:rPr>
          <w:i/>
        </w:rPr>
        <w:t>The Bishop’s Candlesticks</w:t>
      </w:r>
      <w:r w:rsidR="00251C7F">
        <w:t xml:space="preserve"> immediacy.  </w:t>
      </w:r>
      <w:r>
        <w:t xml:space="preserve">Like </w:t>
      </w:r>
      <w:proofErr w:type="spellStart"/>
      <w:r>
        <w:t>Mayne</w:t>
      </w:r>
      <w:proofErr w:type="spellEnd"/>
      <w:r>
        <w:t xml:space="preserve">, Wilson </w:t>
      </w:r>
      <w:r w:rsidR="00251C7F">
        <w:t xml:space="preserve">rejects </w:t>
      </w:r>
      <w:r>
        <w:t>a simple dichotomy of class differences.  The capitalist owners of the shirt-making firm do not appear in the play; instead, Wilson depicts a co</w:t>
      </w:r>
      <w:r w:rsidR="00C91E77">
        <w:t>llaborating white-collar worker in the way of</w:t>
      </w:r>
      <w:r>
        <w:t xml:space="preserve"> a clerk who comes to the Nolan home to tell Anne that she is not working fast enough</w:t>
      </w:r>
      <w:r w:rsidR="00C91E77">
        <w:t>, and a rent collector who does the landlord’s bidding.  The clerk’s</w:t>
      </w:r>
      <w:r>
        <w:t xml:space="preserve"> speech concisely articulates the exploitative tactics of </w:t>
      </w:r>
      <w:r w:rsidR="00C91E77">
        <w:t xml:space="preserve">the </w:t>
      </w:r>
      <w:proofErr w:type="spellStart"/>
      <w:r w:rsidR="00C91E77">
        <w:t>ITGWU’s</w:t>
      </w:r>
      <w:proofErr w:type="spellEnd"/>
      <w:r w:rsidR="00C91E77">
        <w:t xml:space="preserve"> antagonists</w:t>
      </w:r>
      <w:r>
        <w:t>: ‘Some regular hands at this shirt sewing work can do as many as a dozen and a half a day, or if they have handy kids they can do two dozen’.  Anne has only finished twelve shirts in three days, since she has no candles to work at night (and no money with which to buy them).  But the clerk is merciless:</w:t>
      </w:r>
    </w:p>
    <w:p w:rsidR="00D64D8A" w:rsidRDefault="00D64D8A" w:rsidP="00D64D8A">
      <w:pPr>
        <w:ind w:left="720"/>
        <w:jc w:val="both"/>
      </w:pPr>
      <w:r>
        <w:t xml:space="preserve">Scott and Scott don’t take </w:t>
      </w:r>
      <w:proofErr w:type="gramStart"/>
      <w:r>
        <w:t>no</w:t>
      </w:r>
      <w:proofErr w:type="gramEnd"/>
      <w:r>
        <w:t xml:space="preserve"> notice of dying kids; they’ve heard all that yarn before.  As for your husband being out o’ work, well, maybe he is and maybe he isn’t.  Maybe you have a husband and perhaps you </w:t>
      </w:r>
      <w:proofErr w:type="spellStart"/>
      <w:proofErr w:type="gramStart"/>
      <w:r>
        <w:t>ain’t</w:t>
      </w:r>
      <w:proofErr w:type="spellEnd"/>
      <w:proofErr w:type="gramEnd"/>
      <w:r>
        <w:t xml:space="preserve"> got no husband.  I don’t know, and Scott and Scott don’t care […] So long.</w:t>
      </w:r>
    </w:p>
    <w:p w:rsidR="003225D3" w:rsidRDefault="0047136A" w:rsidP="004A3D7B">
      <w:pPr>
        <w:jc w:val="both"/>
      </w:pPr>
      <w:r>
        <w:t xml:space="preserve">The </w:t>
      </w:r>
      <w:r w:rsidR="00C91E77">
        <w:t xml:space="preserve">depiction of the </w:t>
      </w:r>
      <w:r>
        <w:t xml:space="preserve">rent collector who comes to evict the </w:t>
      </w:r>
      <w:proofErr w:type="spellStart"/>
      <w:r>
        <w:t>Nolans</w:t>
      </w:r>
      <w:proofErr w:type="spellEnd"/>
      <w:r>
        <w:t xml:space="preserve"> – three weeks behind on their payments – is similar.  </w:t>
      </w:r>
      <w:r w:rsidR="003225D3">
        <w:t xml:space="preserve">When Jack refuses to pay up or get out, the middleman replies, ‘I think it is the height of insolence and ingratitude […] It is scandalous, sir, indeed I may say it is infamous’.  The interjection of a comedic reply not only anticipates O’Casey </w:t>
      </w:r>
      <w:r w:rsidR="00C91E77">
        <w:t xml:space="preserve">in its register </w:t>
      </w:r>
      <w:r w:rsidR="003225D3">
        <w:t xml:space="preserve">but </w:t>
      </w:r>
      <w:proofErr w:type="gramStart"/>
      <w:r w:rsidR="003225D3">
        <w:t>may</w:t>
      </w:r>
      <w:proofErr w:type="gramEnd"/>
      <w:r w:rsidR="003225D3">
        <w:t xml:space="preserve"> also pre-date Brecht’s strategy of alienation</w:t>
      </w:r>
      <w:r w:rsidR="00C91E77">
        <w:t>.  T</w:t>
      </w:r>
      <w:r w:rsidR="003225D3">
        <w:t xml:space="preserve">he intensity of the moment is broken, creating space for the real crisis of </w:t>
      </w:r>
      <w:r w:rsidR="003225D3">
        <w:rPr>
          <w:i/>
        </w:rPr>
        <w:t>Victims</w:t>
      </w:r>
      <w:r w:rsidR="003225D3">
        <w:t>: Jack’s appeal for solidarity:</w:t>
      </w:r>
    </w:p>
    <w:p w:rsidR="00D64D8A" w:rsidRPr="003225D3" w:rsidRDefault="003225D3" w:rsidP="003225D3">
      <w:pPr>
        <w:ind w:left="720"/>
        <w:jc w:val="both"/>
      </w:pPr>
      <w:r>
        <w:t xml:space="preserve">If you get the sack my </w:t>
      </w:r>
      <w:proofErr w:type="gramStart"/>
      <w:r>
        <w:t>friend</w:t>
      </w:r>
      <w:r w:rsidR="00C91E77">
        <w:t>[</w:t>
      </w:r>
      <w:proofErr w:type="gramEnd"/>
      <w:r w:rsidR="00C91E77">
        <w:t>,]</w:t>
      </w:r>
      <w:r>
        <w:t xml:space="preserve"> You will be a victim as well as me then.  We are all </w:t>
      </w:r>
      <w:proofErr w:type="gramStart"/>
      <w:r>
        <w:t>victims[</w:t>
      </w:r>
      <w:proofErr w:type="gramEnd"/>
      <w:r>
        <w:t>.] [</w:t>
      </w:r>
      <w:proofErr w:type="gramStart"/>
      <w:r>
        <w:t>A]s</w:t>
      </w:r>
      <w:proofErr w:type="gramEnd"/>
      <w:r>
        <w:t xml:space="preserve"> we cannot fight profit-mongers we fight one another.  </w:t>
      </w:r>
      <w:proofErr w:type="gramStart"/>
      <w:r>
        <w:t>One victim tearing another victim and all done in the sacred name of profit.</w:t>
      </w:r>
      <w:proofErr w:type="gramEnd"/>
      <w:r w:rsidR="002B659A">
        <w:rPr>
          <w:rStyle w:val="FootnoteReference"/>
        </w:rPr>
        <w:footnoteReference w:id="17"/>
      </w:r>
    </w:p>
    <w:p w:rsidR="00D64D8A" w:rsidRPr="002F1BF1" w:rsidRDefault="003225D3" w:rsidP="004A3D7B">
      <w:pPr>
        <w:jc w:val="both"/>
      </w:pPr>
      <w:r>
        <w:t>The repetition of the title signifies to the audience that this crisis betwee</w:t>
      </w:r>
      <w:r w:rsidR="002F1BF1">
        <w:t>n would-be comrades is the issue.  If the rent collector is to escape victimization, he must</w:t>
      </w:r>
      <w:r w:rsidR="00C91E77">
        <w:t xml:space="preserve"> ally himself with the tenants.  The audience is not gratified by a change in character (as they would be in a melodrama); here, the rent collector </w:t>
      </w:r>
      <w:r w:rsidR="002F1BF1">
        <w:t xml:space="preserve">refuses to accommodate the </w:t>
      </w:r>
      <w:proofErr w:type="spellStart"/>
      <w:r w:rsidR="002F1BF1">
        <w:t>Nolans</w:t>
      </w:r>
      <w:proofErr w:type="spellEnd"/>
      <w:r w:rsidR="002F1BF1">
        <w:t xml:space="preserve"> and is f</w:t>
      </w:r>
      <w:r w:rsidR="004D1629">
        <w:t>orced out of the room.  The act</w:t>
      </w:r>
      <w:r w:rsidR="00C91E77">
        <w:t xml:space="preserve"> of solidarity</w:t>
      </w:r>
      <w:r w:rsidR="004D1629">
        <w:t xml:space="preserve"> is delayed, giving the impetus to the audience to do their duty outside of the theatre.</w:t>
      </w:r>
    </w:p>
    <w:p w:rsidR="004D1629" w:rsidRDefault="004D1629" w:rsidP="004A3D7B">
      <w:pPr>
        <w:jc w:val="both"/>
      </w:pPr>
    </w:p>
    <w:p w:rsidR="00431FB2" w:rsidRDefault="004D1629" w:rsidP="004A3D7B">
      <w:pPr>
        <w:jc w:val="both"/>
      </w:pPr>
      <w:r>
        <w:t xml:space="preserve">The agitation aspect of Wilson’s </w:t>
      </w:r>
      <w:proofErr w:type="spellStart"/>
      <w:r>
        <w:t>agit</w:t>
      </w:r>
      <w:proofErr w:type="spellEnd"/>
      <w:r>
        <w:t>-prop is encoded in Jack’s</w:t>
      </w:r>
      <w:r w:rsidR="00F85D99">
        <w:t xml:space="preserve"> speech to the rent collector that refers to the title of the play; its </w:t>
      </w:r>
      <w:r>
        <w:t xml:space="preserve">propagandistic elements can be located in Anne’s mistreatment by Scott &amp; Scott and Jack’s trade unionism, which is not assumed but is openly discussed by the couple in unrealistic dialogue.  This exchange, unlike the dialogue between Anne and the clerk, does not work as realist drama since the intimacy of the married couple’s relationship and their shared history is sacrificed for direct speech in which the audience is given Jack’s history.  He tells the audience that the employers see him as a ‘dangerous man’ </w:t>
      </w:r>
      <w:r w:rsidR="00F85D99">
        <w:t xml:space="preserve">because </w:t>
      </w:r>
      <w:r>
        <w:t>he took a prominent role in union-organized strikes over wages:</w:t>
      </w:r>
    </w:p>
    <w:p w:rsidR="00431FB2" w:rsidRDefault="00431FB2" w:rsidP="00431FB2">
      <w:pPr>
        <w:ind w:left="720"/>
        <w:jc w:val="both"/>
      </w:pPr>
      <w:r>
        <w:t xml:space="preserve">The strike lasted for weeks, but like nearly </w:t>
      </w:r>
      <w:proofErr w:type="gramStart"/>
      <w:r>
        <w:t>all sectional</w:t>
      </w:r>
      <w:proofErr w:type="gramEnd"/>
      <w:r>
        <w:t xml:space="preserve"> strikes it was doomed to failure.  The Union was smashed, and then the masters, not content with their victory, sought to teach the men a lesson by proclaiming a </w:t>
      </w:r>
      <w:proofErr w:type="gramStart"/>
      <w:r>
        <w:t>lock-out</w:t>
      </w:r>
      <w:proofErr w:type="gramEnd"/>
      <w:r>
        <w:t>.</w:t>
      </w:r>
      <w:r w:rsidR="00F85D99">
        <w:rPr>
          <w:rStyle w:val="FootnoteReference"/>
        </w:rPr>
        <w:footnoteReference w:id="18"/>
      </w:r>
    </w:p>
    <w:p w:rsidR="00702BA2" w:rsidRDefault="00431FB2" w:rsidP="00702BA2">
      <w:pPr>
        <w:jc w:val="both"/>
      </w:pPr>
      <w:r>
        <w:t>Jack’s mention of ‘sectional strikes’ is propaganda for the founding principals of the ITGWU, which campaigned for the improvement of conditions for skilled and unskilled workers.  Such plain speech is typical o</w:t>
      </w:r>
      <w:r w:rsidR="00702BA2">
        <w:t xml:space="preserve">f the theatrical language required by the </w:t>
      </w:r>
      <w:proofErr w:type="spellStart"/>
      <w:r w:rsidR="00702BA2">
        <w:t>agit</w:t>
      </w:r>
      <w:proofErr w:type="spellEnd"/>
      <w:r w:rsidR="00702BA2">
        <w:t xml:space="preserve">-prop, described by Kershaw in </w:t>
      </w:r>
      <w:r w:rsidR="00702BA2">
        <w:rPr>
          <w:i/>
        </w:rPr>
        <w:t>The Politics of Performance</w:t>
      </w:r>
      <w:r w:rsidR="00702BA2">
        <w:t xml:space="preserve"> as ‘language that was quickly read in the urgency of the political moment, and which was deliberately simple’.</w:t>
      </w:r>
      <w:r w:rsidR="00702BA2">
        <w:rPr>
          <w:rStyle w:val="FootnoteReference"/>
        </w:rPr>
        <w:footnoteReference w:id="19"/>
      </w:r>
    </w:p>
    <w:p w:rsidR="00702BA2" w:rsidRDefault="00702BA2" w:rsidP="00431FB2">
      <w:pPr>
        <w:jc w:val="both"/>
      </w:pPr>
    </w:p>
    <w:p w:rsidR="00702BA2" w:rsidRDefault="00702BA2" w:rsidP="00702BA2">
      <w:pPr>
        <w:jc w:val="both"/>
      </w:pPr>
      <w:r>
        <w:t xml:space="preserve">The simplicity of Wilson’s language is complemented by the extremity of emotion in </w:t>
      </w:r>
      <w:r>
        <w:rPr>
          <w:i/>
        </w:rPr>
        <w:t>Victims</w:t>
      </w:r>
      <w:r w:rsidR="002B659A">
        <w:t xml:space="preserve">, which can be seen to reflect both </w:t>
      </w:r>
      <w:r>
        <w:t xml:space="preserve">melodramatic </w:t>
      </w:r>
      <w:r w:rsidR="002B659A">
        <w:t xml:space="preserve">elements </w:t>
      </w:r>
      <w:r>
        <w:t>and the hi</w:t>
      </w:r>
      <w:r w:rsidR="002B659A">
        <w:t xml:space="preserve">ghly externalized expression that characterizes </w:t>
      </w:r>
      <w:proofErr w:type="spellStart"/>
      <w:r w:rsidR="002B659A">
        <w:t>agit</w:t>
      </w:r>
      <w:proofErr w:type="spellEnd"/>
      <w:r w:rsidR="002B659A">
        <w:t>-prop theatre</w:t>
      </w:r>
      <w:r w:rsidR="0036300E">
        <w:t>.  E</w:t>
      </w:r>
      <w:r>
        <w:t xml:space="preserve">motion is at </w:t>
      </w:r>
      <w:proofErr w:type="gramStart"/>
      <w:r>
        <w:t>fever-pitch</w:t>
      </w:r>
      <w:proofErr w:type="gramEnd"/>
      <w:r>
        <w:t xml:space="preserve"> from the start, with Anne’s lullaby to her baby, followed by a half-soliloquy:</w:t>
      </w:r>
    </w:p>
    <w:p w:rsidR="00D64D8A" w:rsidRDefault="00D64D8A" w:rsidP="00702BA2">
      <w:pPr>
        <w:ind w:left="720"/>
        <w:jc w:val="both"/>
      </w:pPr>
      <w:r>
        <w:t xml:space="preserve">Sleep on my darling, sleep on my pretty one, and forget all your suffering and hunger.  Oh God! </w:t>
      </w:r>
      <w:proofErr w:type="gramStart"/>
      <w:r>
        <w:t>to</w:t>
      </w:r>
      <w:proofErr w:type="gramEnd"/>
      <w:r>
        <w:t xml:space="preserve"> think that my little child should be dying with hunger, and his mother powerless to save him.  </w:t>
      </w:r>
      <w:proofErr w:type="gramStart"/>
      <w:r>
        <w:t>My boy, my boy.</w:t>
      </w:r>
      <w:proofErr w:type="gramEnd"/>
      <w:r>
        <w:t xml:space="preserve">  (</w:t>
      </w:r>
      <w:r>
        <w:rPr>
          <w:i/>
        </w:rPr>
        <w:t>A brief pause during which she bends closer over the cradle, then starting up more wildly, breaks out</w:t>
      </w:r>
      <w:r>
        <w:t>): But you must not die.  You shall not die! God cannot be so cruel as to take you from me now.  Your father will find a job, someone will give him work soon, and then your mother will get lots of food and nice things for her little baby.  (</w:t>
      </w:r>
      <w:r>
        <w:rPr>
          <w:i/>
        </w:rPr>
        <w:t>Relapsing again into her former mood</w:t>
      </w:r>
      <w:r>
        <w:t>.)  Oh, how wasted and worn he looks, and it is growing so very cold with no fire to warm the room.</w:t>
      </w:r>
      <w:r w:rsidR="002B659A">
        <w:rPr>
          <w:rStyle w:val="FootnoteReference"/>
        </w:rPr>
        <w:footnoteReference w:id="20"/>
      </w:r>
    </w:p>
    <w:p w:rsidR="002B659A" w:rsidRDefault="00702BA2" w:rsidP="004A3D7B">
      <w:pPr>
        <w:jc w:val="both"/>
      </w:pPr>
      <w:r>
        <w:t>The emotion</w:t>
      </w:r>
      <w:r w:rsidR="003A3E4C">
        <w:t>al</w:t>
      </w:r>
      <w:r>
        <w:t xml:space="preserve"> tenor changes from grief to anger when the clerk of Scott &amp; Scott arrives, and it changes again to desperation when Jack comes home and the baby’s worsening health is discussed.  Anne tells Jack that she has sent for the doctor, who refuses to come unless he is paid first.  Jack’s reply, spoken to the baby, serves as an irritant to the audience: ‘</w:t>
      </w:r>
      <w:proofErr w:type="gramStart"/>
      <w:r>
        <w:t>Had</w:t>
      </w:r>
      <w:proofErr w:type="gramEnd"/>
      <w:r>
        <w:t xml:space="preserve"> you been the cub of some rich employer you would have had nurses and doctors, heaps of them dancing about you, but you don’t count’.  Jack’s anger intensifies rapidly, and he goes so far as to say that he would prefer to kill his child – ‘dashing his brains out’ – to spare him the machinery of ‘the system’ that will ‘chain and grind him as chattel all the days of his life’.  At this moment, the rent collector arrives, and Jack gives his </w:t>
      </w:r>
      <w:proofErr w:type="spellStart"/>
      <w:r>
        <w:t>metatheatrical</w:t>
      </w:r>
      <w:proofErr w:type="spellEnd"/>
      <w:r>
        <w:t xml:space="preserve"> appeal for solidarity of all of the working classes.</w:t>
      </w:r>
      <w:r w:rsidR="003A3E4C">
        <w:t xml:space="preserve">  In the final seconds of the play, as </w:t>
      </w:r>
      <w:r w:rsidR="002B659A">
        <w:t xml:space="preserve">Jack turns toward </w:t>
      </w:r>
      <w:r w:rsidR="003A3E4C">
        <w:t>Anne, she tells him that the baby is dead.  The stage directions stipulate ‘</w:t>
      </w:r>
      <w:r w:rsidR="003A3E4C">
        <w:rPr>
          <w:i/>
        </w:rPr>
        <w:t>Slow Curtain</w:t>
      </w:r>
      <w:r w:rsidR="003A3E4C">
        <w:t xml:space="preserve">’.  </w:t>
      </w:r>
    </w:p>
    <w:p w:rsidR="002B659A" w:rsidRDefault="002B659A" w:rsidP="004A3D7B">
      <w:pPr>
        <w:jc w:val="both"/>
      </w:pPr>
    </w:p>
    <w:p w:rsidR="00924412" w:rsidRDefault="00431FB2" w:rsidP="004A3D7B">
      <w:pPr>
        <w:jc w:val="both"/>
      </w:pPr>
      <w:r w:rsidRPr="00F1552B">
        <w:rPr>
          <w:i/>
        </w:rPr>
        <w:t>The Matchmakers</w:t>
      </w:r>
      <w:r w:rsidR="007A065E">
        <w:t xml:space="preserve"> concluded the </w:t>
      </w:r>
      <w:proofErr w:type="spellStart"/>
      <w:r w:rsidR="00C23208">
        <w:t>IWDC</w:t>
      </w:r>
      <w:r w:rsidR="008852AA">
        <w:t>’s</w:t>
      </w:r>
      <w:proofErr w:type="spellEnd"/>
      <w:r w:rsidR="008852AA">
        <w:t xml:space="preserve"> opening</w:t>
      </w:r>
      <w:r w:rsidR="007A065E">
        <w:t xml:space="preserve"> program and was to some extent a return to conve</w:t>
      </w:r>
      <w:r w:rsidR="00CC6132">
        <w:t>ntion after Wilson’s experimental urbanism</w:t>
      </w:r>
      <w:r w:rsidR="007A065E">
        <w:t xml:space="preserve"> in </w:t>
      </w:r>
      <w:r w:rsidR="007A065E">
        <w:rPr>
          <w:i/>
        </w:rPr>
        <w:t>Victims</w:t>
      </w:r>
      <w:r w:rsidR="002B659A">
        <w:t xml:space="preserve">.  However, </w:t>
      </w:r>
      <w:proofErr w:type="spellStart"/>
      <w:r w:rsidR="002B659A">
        <w:t>Seuma</w:t>
      </w:r>
      <w:r w:rsidR="007A065E">
        <w:t>s</w:t>
      </w:r>
      <w:proofErr w:type="spellEnd"/>
      <w:r w:rsidR="007A065E">
        <w:t xml:space="preserve"> </w:t>
      </w:r>
      <w:proofErr w:type="spellStart"/>
      <w:r w:rsidR="007A065E">
        <w:t>O’Kelly’</w:t>
      </w:r>
      <w:r w:rsidR="001513E0">
        <w:t>s</w:t>
      </w:r>
      <w:proofErr w:type="spellEnd"/>
      <w:r w:rsidR="001513E0">
        <w:t xml:space="preserve"> play is subversive in its demystification of the Revivalist peasant and in its </w:t>
      </w:r>
      <w:r w:rsidR="00CC6132">
        <w:t>privileging of mod</w:t>
      </w:r>
      <w:r w:rsidR="00AD0F2A">
        <w:t xml:space="preserve">ernity over the imagined past.  </w:t>
      </w:r>
      <w:r w:rsidR="008852AA">
        <w:t>F</w:t>
      </w:r>
      <w:r w:rsidR="00AD0F2A">
        <w:t>irst staged by the Theatre of Ireland at t</w:t>
      </w:r>
      <w:r w:rsidR="002B659A">
        <w:t>he Abbey Theatre in 1907 and</w:t>
      </w:r>
      <w:r w:rsidR="00AD0F2A">
        <w:t xml:space="preserve"> popular with amateur companies throughout the country</w:t>
      </w:r>
      <w:r w:rsidR="008852AA">
        <w:t xml:space="preserve">, the plot </w:t>
      </w:r>
      <w:r w:rsidR="00AD0F2A">
        <w:t>concerns the attempt of two matchmakers, Larry Dolan and Tom O’Connor, to fool one another and the couple.</w:t>
      </w:r>
      <w:r w:rsidR="008852AA">
        <w:rPr>
          <w:rStyle w:val="FootnoteReference"/>
        </w:rPr>
        <w:footnoteReference w:id="21"/>
      </w:r>
      <w:r w:rsidR="00924412">
        <w:t xml:space="preserve">  Mary Noonan (Larry’s niece) was born without her right hand, and Sean O’Connor (Tom’s brother) has ‘bandy legs’; neither can find a suitable ma</w:t>
      </w:r>
      <w:r w:rsidR="00FC7313">
        <w:t>tch in the village because of their physical impairments</w:t>
      </w:r>
      <w:r w:rsidR="00924412">
        <w:t>.  The matchmakers arrange for Mary and Sean to be married, while keeping the physical condit</w:t>
      </w:r>
      <w:r w:rsidR="00FC7313">
        <w:t>ions of each disclosed from each</w:t>
      </w:r>
      <w:r w:rsidR="00924412">
        <w:t xml:space="preserve">.  Crucially, Larry also keeps Mary’s condition secret from his fellow matchmaker, Tom.  While Sean, Mary, and Larry’s wife, </w:t>
      </w:r>
      <w:proofErr w:type="spellStart"/>
      <w:r w:rsidR="00924412">
        <w:t>Mrs</w:t>
      </w:r>
      <w:proofErr w:type="spellEnd"/>
      <w:r w:rsidR="00924412">
        <w:t xml:space="preserve"> Dolan, are out inspecting the cattle that are to be Mary’s dowry, a neighbor – Kate </w:t>
      </w:r>
      <w:proofErr w:type="spellStart"/>
      <w:r w:rsidR="00924412">
        <w:t>Mulvany</w:t>
      </w:r>
      <w:proofErr w:type="spellEnd"/>
      <w:r w:rsidR="00924412">
        <w:t xml:space="preserve"> – reveals Larry’s secret to Tom and threatens both men with public shame, punishment by the law, and excommunication from the Church for ‘conspiracy, fraud, and corruption’.</w:t>
      </w:r>
      <w:r w:rsidR="00924412">
        <w:rPr>
          <w:rStyle w:val="FootnoteReference"/>
        </w:rPr>
        <w:footnoteReference w:id="22"/>
      </w:r>
      <w:r w:rsidR="00924412">
        <w:t xml:space="preserve">  When </w:t>
      </w:r>
      <w:proofErr w:type="spellStart"/>
      <w:r w:rsidR="00924412">
        <w:t>Mrs</w:t>
      </w:r>
      <w:proofErr w:type="spellEnd"/>
      <w:r w:rsidR="00924412">
        <w:t xml:space="preserve"> Dolan, Mary, and Sean return, Larry and Tom admit their deceit, at which point Mary and Sean reveal that each already knew about the other’s imperfections.  Furthermore, Larry and Tom did not make the match; </w:t>
      </w:r>
      <w:r w:rsidR="0036300E">
        <w:t>Kate had</w:t>
      </w:r>
      <w:r w:rsidR="00FC7313">
        <w:t xml:space="preserve"> introduced the pair before: </w:t>
      </w:r>
      <w:r w:rsidR="00924412">
        <w:t>‘we all kept our minds to ourselves.  We thought we might as well have the last laugh at the matchmakers’.</w:t>
      </w:r>
      <w:r w:rsidR="00924412">
        <w:rPr>
          <w:rStyle w:val="FootnoteReference"/>
        </w:rPr>
        <w:footnoteReference w:id="23"/>
      </w:r>
      <w:r w:rsidR="0045606E">
        <w:t xml:space="preserve">  </w:t>
      </w:r>
    </w:p>
    <w:p w:rsidR="00B54D1D" w:rsidRDefault="00B54D1D" w:rsidP="004A3D7B">
      <w:pPr>
        <w:jc w:val="both"/>
      </w:pPr>
    </w:p>
    <w:p w:rsidR="009E688D" w:rsidRDefault="00B54D1D" w:rsidP="004A3D7B">
      <w:pPr>
        <w:jc w:val="both"/>
      </w:pPr>
      <w:r>
        <w:t xml:space="preserve">In its rural setting and focus on materiality, </w:t>
      </w:r>
      <w:r>
        <w:rPr>
          <w:i/>
        </w:rPr>
        <w:t>The Matchmakers</w:t>
      </w:r>
      <w:r>
        <w:t xml:space="preserve"> is similar to </w:t>
      </w:r>
      <w:r>
        <w:rPr>
          <w:i/>
        </w:rPr>
        <w:t>The Troth</w:t>
      </w:r>
      <w:r>
        <w:t>, but it goes further in its crit</w:t>
      </w:r>
      <w:r w:rsidR="009E688D">
        <w:t>ique of the peasant aesthetic.  Mary Noonan’s attempts to look her best before Sean’s arrival are ‘sarcastically’ lambasted by her uncle, who teases her for her pride in her ‘fine cloak’, her silver broach, and her single glove, provocatively asking her about her silk scarves, gold bangles, emerald earrings, ‘red sunshade’, diamond necklace, and ivory walking stick.</w:t>
      </w:r>
      <w:r w:rsidR="009E688D">
        <w:rPr>
          <w:rStyle w:val="FootnoteReference"/>
        </w:rPr>
        <w:footnoteReference w:id="24"/>
      </w:r>
      <w:r w:rsidR="00FC7313">
        <w:t xml:space="preserve">  Furthermore, t</w:t>
      </w:r>
      <w:r w:rsidR="009E688D">
        <w:t>radition (signified by matchmaking) is shown to be corru</w:t>
      </w:r>
      <w:r w:rsidR="00F6178A">
        <w:t xml:space="preserve">pt.  </w:t>
      </w:r>
      <w:r w:rsidR="00A40C7B">
        <w:t xml:space="preserve">Kate </w:t>
      </w:r>
      <w:proofErr w:type="spellStart"/>
      <w:r w:rsidR="00A40C7B">
        <w:t>Mulvany’s</w:t>
      </w:r>
      <w:proofErr w:type="spellEnd"/>
      <w:r w:rsidR="00A40C7B">
        <w:t xml:space="preserve"> recourse to democratic institutions – the newspaper and the courts – makes this clear, although </w:t>
      </w:r>
      <w:proofErr w:type="spellStart"/>
      <w:r w:rsidR="00A40C7B">
        <w:t>O’Kelly’s</w:t>
      </w:r>
      <w:proofErr w:type="spellEnd"/>
      <w:r w:rsidR="00A40C7B">
        <w:t xml:space="preserve"> use of humorous malapropism ensures that the comedy is maintained: ‘The law.  Bad and all as it is, can’t let the like of you go on </w:t>
      </w:r>
      <w:proofErr w:type="spellStart"/>
      <w:r w:rsidR="00A40C7B">
        <w:t>malafoostering</w:t>
      </w:r>
      <w:proofErr w:type="spellEnd"/>
      <w:r w:rsidR="00A40C7B">
        <w:t xml:space="preserve"> the people’.  </w:t>
      </w:r>
      <w:r w:rsidR="00F6178A">
        <w:t>Tom and Larry attempt to intimidate her with threats rooted in history and nationalism, accusing her of being an informer, out for blood money, a spy (‘Dublin Castle is your place’), but their attempts at coercion are impotent.  History is the stuff of myth; the excommunication of the men will be ‘Like St Patrick driving the snakes out of Ireland’.</w:t>
      </w:r>
      <w:r w:rsidR="00F6178A">
        <w:rPr>
          <w:rStyle w:val="FootnoteReference"/>
        </w:rPr>
        <w:footnoteReference w:id="25"/>
      </w:r>
      <w:r w:rsidR="00F6178A">
        <w:t xml:space="preserve">  Modernity is what is valued here.</w:t>
      </w:r>
    </w:p>
    <w:p w:rsidR="00F6178A" w:rsidRDefault="00F6178A" w:rsidP="004A3D7B">
      <w:pPr>
        <w:jc w:val="both"/>
      </w:pPr>
    </w:p>
    <w:p w:rsidR="00FB450D" w:rsidRDefault="0045606E" w:rsidP="004A3D7B">
      <w:pPr>
        <w:jc w:val="both"/>
      </w:pPr>
      <w:r>
        <w:t xml:space="preserve">The opening program of the </w:t>
      </w:r>
      <w:r w:rsidR="00C23208">
        <w:t>IWDC</w:t>
      </w:r>
      <w:r>
        <w:t xml:space="preserve"> consisted of plays that were easily available, inexpensive to produce, and reflected the</w:t>
      </w:r>
      <w:r w:rsidR="00F80630">
        <w:t xml:space="preserve"> values of the labor movement</w:t>
      </w:r>
      <w:r w:rsidR="00962733">
        <w:t xml:space="preserve">.  Each of the plays privileges </w:t>
      </w:r>
      <w:r w:rsidR="00F80630">
        <w:t xml:space="preserve">a moral economy that is based on neighborliness, or – in labor terms – solidarity.  </w:t>
      </w:r>
      <w:r w:rsidR="00B61ABE">
        <w:t>Furthermore, all of the plays represent a</w:t>
      </w:r>
      <w:r w:rsidR="00962733">
        <w:t xml:space="preserve"> society</w:t>
      </w:r>
      <w:r w:rsidR="00B61ABE">
        <w:t xml:space="preserve"> that</w:t>
      </w:r>
      <w:r w:rsidR="00962733">
        <w:t xml:space="preserve"> is negatively affected by profit-seekers.  Importantly, this occurs both in rural and urban settings, in history (</w:t>
      </w:r>
      <w:r w:rsidR="00962733">
        <w:rPr>
          <w:i/>
        </w:rPr>
        <w:t>The Troth</w:t>
      </w:r>
      <w:r w:rsidR="00962733">
        <w:t xml:space="preserve"> and </w:t>
      </w:r>
      <w:r w:rsidR="00962733">
        <w:rPr>
          <w:i/>
        </w:rPr>
        <w:t>The Bishop’s Candlesticks</w:t>
      </w:r>
      <w:r w:rsidR="00962733">
        <w:t>) and in the present (</w:t>
      </w:r>
      <w:r w:rsidR="00962733">
        <w:rPr>
          <w:i/>
        </w:rPr>
        <w:t xml:space="preserve">Victims </w:t>
      </w:r>
      <w:r w:rsidR="00962733">
        <w:t xml:space="preserve">and </w:t>
      </w:r>
      <w:r w:rsidR="00962733">
        <w:rPr>
          <w:i/>
        </w:rPr>
        <w:t>The Matchmakers</w:t>
      </w:r>
      <w:r w:rsidR="00962733">
        <w:t>).</w:t>
      </w:r>
      <w:r w:rsidR="00B61ABE">
        <w:t xml:space="preserve">  </w:t>
      </w:r>
      <w:r w:rsidR="00FB450D">
        <w:t xml:space="preserve">The </w:t>
      </w:r>
      <w:r w:rsidR="00C23208">
        <w:t>IWDC</w:t>
      </w:r>
      <w:r w:rsidR="00FB450D">
        <w:t xml:space="preserve"> represents a counter-culture </w:t>
      </w:r>
      <w:r w:rsidR="00FC7313">
        <w:t xml:space="preserve">at work in Dublin that </w:t>
      </w:r>
      <w:r w:rsidR="00FB450D">
        <w:t xml:space="preserve">is not restricted to the anti-pastoralist dramas of </w:t>
      </w:r>
      <w:proofErr w:type="spellStart"/>
      <w:r w:rsidR="00FB450D">
        <w:t>Mayne</w:t>
      </w:r>
      <w:proofErr w:type="spellEnd"/>
      <w:r w:rsidR="00FB450D">
        <w:t xml:space="preserve"> and O’Kelly, which were produced by other companies, but is extended to a </w:t>
      </w:r>
      <w:r w:rsidR="00B61ABE">
        <w:t xml:space="preserve">total critique of the contemporary and historical </w:t>
      </w:r>
      <w:r w:rsidR="00541E5F">
        <w:t>social structure.  This critique is made possible due to the themes that emerge from t</w:t>
      </w:r>
      <w:r w:rsidR="00B61ABE">
        <w:t>he program when it is considered</w:t>
      </w:r>
      <w:r w:rsidR="00541E5F">
        <w:t xml:space="preserve"> as a whole, the self-evident politics of the company, and the politically charged space in which the performance took place.</w:t>
      </w:r>
    </w:p>
    <w:p w:rsidR="00F6178A" w:rsidRDefault="00F6178A" w:rsidP="004A3D7B">
      <w:pPr>
        <w:jc w:val="both"/>
      </w:pPr>
    </w:p>
    <w:p w:rsidR="00D95651" w:rsidRDefault="00BD479A" w:rsidP="004A3D7B">
      <w:pPr>
        <w:jc w:val="both"/>
      </w:pPr>
      <w:r>
        <w:t>Estimating the efficacy of p</w:t>
      </w:r>
      <w:r w:rsidR="00286F1F">
        <w:t>erformance is a slippery task and ultimately depends on the individual’s sense of commitment to the ideology that is being represented (or challenged) in the show.</w:t>
      </w:r>
      <w:r w:rsidR="00286F1F">
        <w:rPr>
          <w:rStyle w:val="FootnoteReference"/>
        </w:rPr>
        <w:footnoteReference w:id="26"/>
      </w:r>
      <w:r w:rsidR="004477B9">
        <w:t xml:space="preserve">  This commitment is stronger when the individual spectator is part of a community of shared values, as the Liberty Hal</w:t>
      </w:r>
      <w:r w:rsidR="00D61A8D">
        <w:t>l audience can be presumed to have been</w:t>
      </w:r>
      <w:r w:rsidR="00FC7313">
        <w:t>.  E</w:t>
      </w:r>
      <w:r w:rsidR="004477B9">
        <w:t xml:space="preserve">ven so, </w:t>
      </w:r>
      <w:r w:rsidR="00313E53">
        <w:t xml:space="preserve">it is impossible to credit the </w:t>
      </w:r>
      <w:proofErr w:type="spellStart"/>
      <w:r w:rsidR="00313E53">
        <w:t>IWDC’s</w:t>
      </w:r>
      <w:proofErr w:type="spellEnd"/>
      <w:r w:rsidR="00313E53">
        <w:t xml:space="preserve"> production with any future action</w:t>
      </w:r>
      <w:r w:rsidR="00D95651">
        <w:t xml:space="preserve"> on the part of playgoers</w:t>
      </w:r>
      <w:r w:rsidR="00313E53">
        <w:t xml:space="preserve">.  The most that can be said for the efficacy of the company’s </w:t>
      </w:r>
      <w:r w:rsidR="00D95651">
        <w:t xml:space="preserve">December 1912 </w:t>
      </w:r>
      <w:r w:rsidR="00313E53">
        <w:t>performance is that it provided an alternative to dominant,</w:t>
      </w:r>
      <w:r w:rsidR="00393CDD">
        <w:t xml:space="preserve"> nation-centric and</w:t>
      </w:r>
      <w:r w:rsidR="00313E53">
        <w:t xml:space="preserve"> capitalist ideology</w:t>
      </w:r>
      <w:r w:rsidR="000F5036">
        <w:t>, and was a model for</w:t>
      </w:r>
      <w:r w:rsidR="00313E53">
        <w:t xml:space="preserve"> resistance.  This resistance is </w:t>
      </w:r>
      <w:r w:rsidR="004477B9">
        <w:t xml:space="preserve">exemplified in the crisis of </w:t>
      </w:r>
      <w:r w:rsidR="0091538C">
        <w:t>industrial relations</w:t>
      </w:r>
      <w:r w:rsidR="00313E53">
        <w:t xml:space="preserve"> that </w:t>
      </w:r>
      <w:r w:rsidR="0017618D">
        <w:t>occurred</w:t>
      </w:r>
      <w:r w:rsidR="0091538C">
        <w:t xml:space="preserve"> in </w:t>
      </w:r>
      <w:r w:rsidR="004477B9">
        <w:t xml:space="preserve">1913.  By October of that year, twenty-five thousand </w:t>
      </w:r>
      <w:r w:rsidR="0091538C">
        <w:t xml:space="preserve">Irish </w:t>
      </w:r>
      <w:r w:rsidR="004477B9">
        <w:t>people were out of work, either on strike in sympathy with the ITGWU or locked out because of their union membership.  One-fourth of Dublin’s citizens were without an income.  Delia Larkin attempted to alleviate the hardship of the city’s workers through the medium of culture: a tour of the Irish Workers’ Dramatic Society to England</w:t>
      </w:r>
      <w:r w:rsidR="0091538C">
        <w:t>.</w:t>
      </w:r>
      <w:r w:rsidR="00D95651">
        <w:t xml:space="preserve">  </w:t>
      </w:r>
    </w:p>
    <w:p w:rsidR="00D95651" w:rsidRDefault="00D95651" w:rsidP="004A3D7B">
      <w:pPr>
        <w:jc w:val="both"/>
      </w:pPr>
    </w:p>
    <w:p w:rsidR="00A512F3" w:rsidRDefault="00D95651" w:rsidP="004A3D7B">
      <w:pPr>
        <w:jc w:val="both"/>
      </w:pPr>
      <w:r>
        <w:t xml:space="preserve">The context of the </w:t>
      </w:r>
      <w:proofErr w:type="spellStart"/>
      <w:r>
        <w:t>IWDC’s</w:t>
      </w:r>
      <w:proofErr w:type="spellEnd"/>
      <w:r>
        <w:t xml:space="preserve"> performances abroad, with the company’s transparent political affiliations and motives, has a direct bearing on the perceived meaning of the plays that the workers produced.</w:t>
      </w:r>
      <w:r>
        <w:rPr>
          <w:rStyle w:val="FootnoteReference"/>
        </w:rPr>
        <w:footnoteReference w:id="27"/>
      </w:r>
      <w:r>
        <w:t xml:space="preserve">  </w:t>
      </w:r>
      <w:r w:rsidR="0091538C">
        <w:t xml:space="preserve">The </w:t>
      </w:r>
      <w:proofErr w:type="spellStart"/>
      <w:r w:rsidR="0091538C">
        <w:t>IWDC</w:t>
      </w:r>
      <w:r w:rsidR="00D61A8D">
        <w:t>’s</w:t>
      </w:r>
      <w:proofErr w:type="spellEnd"/>
      <w:r w:rsidR="0091538C">
        <w:t xml:space="preserve"> tour </w:t>
      </w:r>
      <w:r w:rsidR="00D61A8D">
        <w:t xml:space="preserve">included </w:t>
      </w:r>
      <w:r w:rsidR="007F11F8">
        <w:t xml:space="preserve">Lady Gregory’s </w:t>
      </w:r>
      <w:r w:rsidR="0091538C">
        <w:rPr>
          <w:i/>
        </w:rPr>
        <w:t>The Workhouse Ward</w:t>
      </w:r>
      <w:r w:rsidR="00D61A8D">
        <w:t xml:space="preserve"> </w:t>
      </w:r>
      <w:r w:rsidR="007F11F8">
        <w:t xml:space="preserve">and </w:t>
      </w:r>
      <w:r w:rsidR="0091538C">
        <w:t>William Boyle’</w:t>
      </w:r>
      <w:r w:rsidR="001B6FAE">
        <w:t xml:space="preserve">s three-act comedy </w:t>
      </w:r>
      <w:r w:rsidR="0091538C">
        <w:rPr>
          <w:i/>
        </w:rPr>
        <w:t>The Building Fund</w:t>
      </w:r>
      <w:r>
        <w:t xml:space="preserve">.  </w:t>
      </w:r>
      <w:r w:rsidR="001B6FAE">
        <w:t xml:space="preserve">Their first stop was Liverpool, where the IWDC performed at the David Lewis Theatre, a </w:t>
      </w:r>
      <w:proofErr w:type="gramStart"/>
      <w:r w:rsidR="001B6FAE">
        <w:t>music-hall</w:t>
      </w:r>
      <w:proofErr w:type="gramEnd"/>
      <w:r w:rsidR="001B6FAE">
        <w:t xml:space="preserve"> with a seating capacity of one-thousand people.  After two nights in Garston, the company returned to Liverpool for a performance at St George’s Hall before traveling to Birkenhead, Manchester, Oxford, and London, where they played at the William Morris Hall and the King’</w:t>
      </w:r>
      <w:r w:rsidR="0017618D">
        <w:t>s Hall Theatre.</w:t>
      </w:r>
      <w:r>
        <w:t xml:space="preserve">  The use of large spaces conveys the mass of support for the ITGWU as well as reinforces the way in which popular venues were co-opted by the workers’ theatre</w:t>
      </w:r>
      <w:r w:rsidR="00C52AC2">
        <w:t>.  P</w:t>
      </w:r>
      <w:r>
        <w:t>lays generally interpreted in the specifi</w:t>
      </w:r>
      <w:r w:rsidR="00C52AC2">
        <w:t xml:space="preserve">c context of the Abbey Theatre became </w:t>
      </w:r>
      <w:r>
        <w:t>part of a different discourse and can be read in ways that reflect non-hegemonic values.</w:t>
      </w:r>
      <w:r w:rsidR="000A731F">
        <w:t xml:space="preserve">  The differences in the politics of</w:t>
      </w:r>
      <w:r w:rsidR="00A02356">
        <w:t xml:space="preserve"> the IWDC and the Abbey Theatre </w:t>
      </w:r>
      <w:proofErr w:type="gramStart"/>
      <w:r w:rsidR="000A731F">
        <w:t>company</w:t>
      </w:r>
      <w:proofErr w:type="gramEnd"/>
      <w:r w:rsidR="000A731F">
        <w:t xml:space="preserve"> became the subject of lengthy </w:t>
      </w:r>
      <w:r w:rsidR="00C52AC2">
        <w:t>discussions</w:t>
      </w:r>
      <w:r w:rsidR="000A731F">
        <w:t xml:space="preserve"> in the </w:t>
      </w:r>
      <w:r w:rsidR="000A731F">
        <w:rPr>
          <w:i/>
        </w:rPr>
        <w:t xml:space="preserve">Irish </w:t>
      </w:r>
      <w:proofErr w:type="spellStart"/>
      <w:r w:rsidR="000A731F">
        <w:rPr>
          <w:i/>
        </w:rPr>
        <w:t>Worke</w:t>
      </w:r>
      <w:proofErr w:type="spellEnd"/>
      <w:r w:rsidR="00C52AC2">
        <w:t>.  Lady G</w:t>
      </w:r>
      <w:r w:rsidR="000A731F">
        <w:t xml:space="preserve">regory refused permission for the IWDC to perform </w:t>
      </w:r>
      <w:r w:rsidR="000A731F">
        <w:rPr>
          <w:i/>
        </w:rPr>
        <w:t>The Workhouse Ward</w:t>
      </w:r>
      <w:r w:rsidR="00C52AC2">
        <w:rPr>
          <w:i/>
        </w:rPr>
        <w:t xml:space="preserve"> </w:t>
      </w:r>
      <w:r w:rsidR="00C52AC2">
        <w:t>in England, after the company had embarked on tour</w:t>
      </w:r>
      <w:r w:rsidR="000A731F">
        <w:t>.  In her discussion of the controversy, Karen Steele cites Gregory’s anxieties about her own and the Abbey’s financial wel</w:t>
      </w:r>
      <w:r w:rsidR="00A512F3">
        <w:t>lbeing as the motivating factor</w:t>
      </w:r>
      <w:r w:rsidR="00E94977">
        <w:t>, while Gregory maintained that her publisher, Samuel French, acted without her knowledge.</w:t>
      </w:r>
      <w:r w:rsidR="000A731F">
        <w:rPr>
          <w:rStyle w:val="FootnoteReference"/>
        </w:rPr>
        <w:footnoteReference w:id="28"/>
      </w:r>
      <w:r w:rsidR="00E94977">
        <w:t xml:space="preserve"> </w:t>
      </w:r>
    </w:p>
    <w:p w:rsidR="0017618D" w:rsidRDefault="0017618D" w:rsidP="004A3D7B">
      <w:pPr>
        <w:jc w:val="both"/>
      </w:pPr>
    </w:p>
    <w:p w:rsidR="0017618D" w:rsidRDefault="0017618D" w:rsidP="004A3D7B">
      <w:pPr>
        <w:jc w:val="both"/>
      </w:pPr>
      <w:r>
        <w:rPr>
          <w:i/>
        </w:rPr>
        <w:t>The Workhouse Ward</w:t>
      </w:r>
      <w:r>
        <w:t xml:space="preserve"> opens with a dialogue between two men, Mike </w:t>
      </w:r>
      <w:proofErr w:type="spellStart"/>
      <w:r>
        <w:t>McInernery</w:t>
      </w:r>
      <w:proofErr w:type="spellEnd"/>
      <w:r>
        <w:t xml:space="preserve"> and Michael </w:t>
      </w:r>
      <w:proofErr w:type="spellStart"/>
      <w:r>
        <w:t>Miskell</w:t>
      </w:r>
      <w:proofErr w:type="spellEnd"/>
      <w:r>
        <w:t xml:space="preserve">, who reminisce about their childhoods in an idyllic </w:t>
      </w:r>
      <w:proofErr w:type="spellStart"/>
      <w:r>
        <w:t>Skehanagh</w:t>
      </w:r>
      <w:proofErr w:type="spellEnd"/>
      <w:r>
        <w:t xml:space="preserve">, where their only trouble was bad neighbors (that is, each other).  </w:t>
      </w:r>
      <w:proofErr w:type="spellStart"/>
      <w:r>
        <w:t>Mrs</w:t>
      </w:r>
      <w:proofErr w:type="spellEnd"/>
      <w:r>
        <w:t xml:space="preserve"> </w:t>
      </w:r>
      <w:proofErr w:type="spellStart"/>
      <w:r>
        <w:t>Donahoe</w:t>
      </w:r>
      <w:proofErr w:type="spellEnd"/>
      <w:r>
        <w:t xml:space="preserve">, </w:t>
      </w:r>
      <w:proofErr w:type="spellStart"/>
      <w:r>
        <w:t>McInerney’s</w:t>
      </w:r>
      <w:proofErr w:type="spellEnd"/>
      <w:r>
        <w:t xml:space="preserve"> sister, arrives with a proposition: </w:t>
      </w:r>
      <w:proofErr w:type="spellStart"/>
      <w:r>
        <w:t>McInerney</w:t>
      </w:r>
      <w:proofErr w:type="spellEnd"/>
      <w:r>
        <w:t xml:space="preserve"> can come to live with her if he is willing to earn his keep, tending the fire, ‘stirring the pot with the bit of Indian meal for the hens, and milking the goat and taking the </w:t>
      </w:r>
      <w:proofErr w:type="spellStart"/>
      <w:r>
        <w:t>tacklings</w:t>
      </w:r>
      <w:proofErr w:type="spellEnd"/>
      <w:r>
        <w:t xml:space="preserve"> off the donkey at the door; and maybe putting out the cabbage plants in their times’.  Her gift of a suit of new clothes persuades him to accept.  </w:t>
      </w:r>
      <w:proofErr w:type="spellStart"/>
      <w:r>
        <w:t>Miskell</w:t>
      </w:r>
      <w:proofErr w:type="spellEnd"/>
      <w:r>
        <w:t xml:space="preserve"> protests at being left behind in the workhouse ‘with rude people and with townspeople, and with people of every parish in the union, and they having no respect for me or no wish for me at all’.  </w:t>
      </w:r>
      <w:proofErr w:type="spellStart"/>
      <w:r>
        <w:t>Miskell’s</w:t>
      </w:r>
      <w:proofErr w:type="spellEnd"/>
      <w:r>
        <w:t xml:space="preserve"> complaints have little effect on </w:t>
      </w:r>
      <w:proofErr w:type="spellStart"/>
      <w:r>
        <w:t>McInerney</w:t>
      </w:r>
      <w:proofErr w:type="spellEnd"/>
      <w:r>
        <w:t xml:space="preserve"> at first, as he imagines himself young again in a landscape of plenty: ‘Wheat high in the hedges, no talk about the rent!  Salmon in the rivers as plenty as turf!  Spending and getting and nothing scarce!  Sport and pleasure and m</w:t>
      </w:r>
      <w:r w:rsidR="00893511">
        <w:t>usic on the strings!’  But,</w:t>
      </w:r>
      <w:r>
        <w:t xml:space="preserve"> he realizes, there will be no conversation.  This inspires him to ask </w:t>
      </w:r>
      <w:proofErr w:type="spellStart"/>
      <w:r>
        <w:t>Mrs</w:t>
      </w:r>
      <w:proofErr w:type="spellEnd"/>
      <w:r>
        <w:t xml:space="preserve"> </w:t>
      </w:r>
      <w:proofErr w:type="spellStart"/>
      <w:r>
        <w:t>Donahoe</w:t>
      </w:r>
      <w:proofErr w:type="spellEnd"/>
      <w:r>
        <w:t xml:space="preserve"> if she wil</w:t>
      </w:r>
      <w:r w:rsidR="003973C5">
        <w:t>l take them both.  She refuses, leaving the two m</w:t>
      </w:r>
      <w:r w:rsidR="00ED2094">
        <w:t xml:space="preserve">en where they started, talking and </w:t>
      </w:r>
      <w:r w:rsidR="003973C5">
        <w:t xml:space="preserve">then arguing as the curtain falls on a </w:t>
      </w:r>
      <w:r w:rsidR="00ED2094">
        <w:t>pillow fight</w:t>
      </w:r>
      <w:r w:rsidR="003973C5">
        <w:t>.</w:t>
      </w:r>
    </w:p>
    <w:p w:rsidR="0017618D" w:rsidRDefault="0017618D" w:rsidP="004A3D7B">
      <w:pPr>
        <w:jc w:val="both"/>
      </w:pPr>
    </w:p>
    <w:p w:rsidR="00BE3CC1" w:rsidRDefault="00BE3CC1" w:rsidP="004A3D7B">
      <w:pPr>
        <w:jc w:val="both"/>
      </w:pPr>
      <w:r>
        <w:t xml:space="preserve">Gregory’s note to </w:t>
      </w:r>
      <w:r>
        <w:rPr>
          <w:i/>
        </w:rPr>
        <w:t>The Workhouse Ward</w:t>
      </w:r>
      <w:r>
        <w:t xml:space="preserve"> in </w:t>
      </w:r>
      <w:r>
        <w:rPr>
          <w:i/>
        </w:rPr>
        <w:t xml:space="preserve">Seven Short Plays </w:t>
      </w:r>
      <w:r>
        <w:t>discusses the plot in terms of a national allegory:</w:t>
      </w:r>
    </w:p>
    <w:p w:rsidR="00BE3CC1" w:rsidRPr="00BE3CC1" w:rsidRDefault="00BE3CC1" w:rsidP="00BE3CC1">
      <w:pPr>
        <w:ind w:left="720"/>
        <w:jc w:val="both"/>
      </w:pPr>
      <w:r>
        <w:t xml:space="preserve">I sometimes think the two scolding paupers are symbols of </w:t>
      </w:r>
      <w:proofErr w:type="gramStart"/>
      <w:r>
        <w:t>ourselves</w:t>
      </w:r>
      <w:proofErr w:type="gramEnd"/>
      <w:r>
        <w:t xml:space="preserve"> in Ireland [….] ‘it is better to be quarrelling than to be lonesome’.  The </w:t>
      </w:r>
      <w:proofErr w:type="spellStart"/>
      <w:r>
        <w:t>Rajputs</w:t>
      </w:r>
      <w:proofErr w:type="spellEnd"/>
      <w:r>
        <w:t xml:space="preserve">, that great fighting race, when they were told they had been brought under the </w:t>
      </w:r>
      <w:proofErr w:type="spellStart"/>
      <w:r>
        <w:t>Pax</w:t>
      </w:r>
      <w:proofErr w:type="spellEnd"/>
      <w:r>
        <w:t xml:space="preserve"> Britannica and must give up war, gave themselves to opium in its place, but Connacht has not yet planted its poppy gardens.</w:t>
      </w:r>
      <w:r>
        <w:rPr>
          <w:rStyle w:val="FootnoteReference"/>
        </w:rPr>
        <w:footnoteReference w:id="29"/>
      </w:r>
    </w:p>
    <w:p w:rsidR="00443902" w:rsidRDefault="00EB75F6" w:rsidP="004A3D7B">
      <w:pPr>
        <w:jc w:val="both"/>
      </w:pPr>
      <w:r>
        <w:t xml:space="preserve">Opium here signifies industry, which has been neglected by Irish people who are instead busy quarrelling over political differences that are </w:t>
      </w:r>
      <w:r w:rsidR="008B6A77">
        <w:t>reductively presented as petty</w:t>
      </w:r>
      <w:r>
        <w:t xml:space="preserve"> d</w:t>
      </w:r>
      <w:r w:rsidR="00A80A6C">
        <w:t>ispute</w:t>
      </w:r>
      <w:r w:rsidR="008B6A77">
        <w:t>s</w:t>
      </w:r>
      <w:r w:rsidR="00A80A6C">
        <w:t xml:space="preserve"> between neighbors.  Analyzed in the co</w:t>
      </w:r>
      <w:r>
        <w:t>ntext</w:t>
      </w:r>
      <w:r w:rsidR="00A80A6C">
        <w:t xml:space="preserve"> of a</w:t>
      </w:r>
      <w:r>
        <w:t xml:space="preserve"> production by the </w:t>
      </w:r>
      <w:r w:rsidR="008B6A77">
        <w:t>IWDC</w:t>
      </w:r>
      <w:r>
        <w:t xml:space="preserve">, a different reading is available.  </w:t>
      </w:r>
      <w:r w:rsidR="00443902">
        <w:t>Steele reads the play as an allegory of ‘working-class struggles over “having their say” in the future of Ireland’.</w:t>
      </w:r>
      <w:r w:rsidR="00443902">
        <w:rPr>
          <w:rStyle w:val="FootnoteReference"/>
        </w:rPr>
        <w:footnoteReference w:id="30"/>
      </w:r>
      <w:r w:rsidR="00443902">
        <w:t xml:space="preserve">  Yet, it is possible to read the working-class politics differently.  </w:t>
      </w:r>
      <w:r>
        <w:t xml:space="preserve">Offered the opportunity to take part in the domestic economy of Mrs. </w:t>
      </w:r>
      <w:proofErr w:type="spellStart"/>
      <w:r>
        <w:t>Donahoe’s</w:t>
      </w:r>
      <w:proofErr w:type="spellEnd"/>
      <w:r>
        <w:t xml:space="preserve"> house, </w:t>
      </w:r>
      <w:proofErr w:type="spellStart"/>
      <w:r>
        <w:t>McInerney</w:t>
      </w:r>
      <w:proofErr w:type="spellEnd"/>
      <w:r>
        <w:t xml:space="preserve"> refuses to leave his ward-mate.  Although they have a history of disagreement, he will not abandon </w:t>
      </w:r>
      <w:proofErr w:type="spellStart"/>
      <w:r>
        <w:t>Miskell</w:t>
      </w:r>
      <w:proofErr w:type="spellEnd"/>
      <w:r>
        <w:t xml:space="preserve"> (another Michael, who could be himself) for the lure of an imagin</w:t>
      </w:r>
      <w:r w:rsidR="005F6909">
        <w:t xml:space="preserve">ed pastoral.  The life that </w:t>
      </w:r>
      <w:proofErr w:type="spellStart"/>
      <w:r w:rsidR="005F6909">
        <w:t>Mrs</w:t>
      </w:r>
      <w:proofErr w:type="spellEnd"/>
      <w:r w:rsidR="005F6909">
        <w:t xml:space="preserve"> </w:t>
      </w:r>
      <w:proofErr w:type="spellStart"/>
      <w:r w:rsidR="005F6909">
        <w:t>Donahoe</w:t>
      </w:r>
      <w:proofErr w:type="spellEnd"/>
      <w:r w:rsidR="005F6909">
        <w:t xml:space="preserve"> </w:t>
      </w:r>
      <w:r>
        <w:t>offers is not one of halcyon retirement but one of hard manual labor: building, stirring, milking, harnessing, and planting.  And she, his</w:t>
      </w:r>
      <w:r w:rsidR="003406AD">
        <w:t xml:space="preserve"> sister, will remain landlord.  Rather than show the men’s quarrelling as lazy distraction, the concluding scene has the potential to codify an opportunity for the workers to end their historical divisions and to w</w:t>
      </w:r>
      <w:r w:rsidR="003A2E88">
        <w:t>ork together</w:t>
      </w:r>
      <w:r w:rsidR="005F6909">
        <w:t>, refusing enslavement by their brothers and sisters</w:t>
      </w:r>
      <w:r w:rsidR="003A2E88">
        <w:t xml:space="preserve">.  </w:t>
      </w:r>
      <w:r w:rsidR="00E211EF">
        <w:t>T</w:t>
      </w:r>
      <w:r w:rsidR="005F6909">
        <w:t xml:space="preserve">he </w:t>
      </w:r>
      <w:r w:rsidR="00E211EF">
        <w:t>ITGWU was</w:t>
      </w:r>
      <w:r w:rsidR="003A2E88">
        <w:t xml:space="preserve"> </w:t>
      </w:r>
      <w:r w:rsidR="00251C7F">
        <w:t xml:space="preserve">crippled by a </w:t>
      </w:r>
      <w:r w:rsidR="003A2E88">
        <w:t>lack of su</w:t>
      </w:r>
      <w:r w:rsidR="00A3304E">
        <w:t xml:space="preserve">pport from British trade unions, and </w:t>
      </w:r>
      <w:r w:rsidR="00E211EF">
        <w:t xml:space="preserve">the question of solidarity </w:t>
      </w:r>
      <w:r w:rsidR="00A3304E">
        <w:t>was hotly debated in the B</w:t>
      </w:r>
      <w:r w:rsidR="005F6909">
        <w:t>ri</w:t>
      </w:r>
      <w:r w:rsidR="00E211EF">
        <w:t>tish and Irish national pres.  I</w:t>
      </w:r>
      <w:r w:rsidR="005F6909">
        <w:t xml:space="preserve">n its immediate relation to union politics, </w:t>
      </w:r>
      <w:r w:rsidR="005F6909">
        <w:rPr>
          <w:i/>
        </w:rPr>
        <w:t>The Workhouse Ward</w:t>
      </w:r>
      <w:r w:rsidR="005F6909">
        <w:t xml:space="preserve"> expresses what Steele describes as ‘the character and content of trade unionism’.</w:t>
      </w:r>
      <w:r w:rsidR="005F6909">
        <w:rPr>
          <w:rStyle w:val="FootnoteReference"/>
        </w:rPr>
        <w:footnoteReference w:id="31"/>
      </w:r>
      <w:r w:rsidR="005F6909">
        <w:t xml:space="preserve"> </w:t>
      </w:r>
      <w:r w:rsidR="00A3304E">
        <w:t xml:space="preserve"> </w:t>
      </w:r>
    </w:p>
    <w:p w:rsidR="00D95651" w:rsidRDefault="00D95651" w:rsidP="004A3D7B">
      <w:pPr>
        <w:jc w:val="both"/>
      </w:pPr>
    </w:p>
    <w:p w:rsidR="003A2E88" w:rsidRDefault="00554711" w:rsidP="004A3D7B">
      <w:pPr>
        <w:jc w:val="both"/>
      </w:pPr>
      <w:r>
        <w:t>Like so much peasant drama,</w:t>
      </w:r>
      <w:r w:rsidR="00A512F3">
        <w:t xml:space="preserve"> </w:t>
      </w:r>
      <w:r w:rsidR="00285F06">
        <w:t xml:space="preserve">William </w:t>
      </w:r>
      <w:r w:rsidR="00A512F3">
        <w:t>Boyle’s</w:t>
      </w:r>
      <w:r>
        <w:t xml:space="preserve"> </w:t>
      </w:r>
      <w:r>
        <w:rPr>
          <w:i/>
        </w:rPr>
        <w:t>The Building Fund</w:t>
      </w:r>
      <w:r w:rsidR="00D95651">
        <w:t xml:space="preserve"> deals with a conteste</w:t>
      </w:r>
      <w:r w:rsidR="00260283">
        <w:t xml:space="preserve">d will and a potential marriage.  It </w:t>
      </w:r>
      <w:r w:rsidR="00EF3209">
        <w:t xml:space="preserve">opens with the miserly </w:t>
      </w:r>
      <w:proofErr w:type="spellStart"/>
      <w:r w:rsidR="00EF3209">
        <w:t>Grogans</w:t>
      </w:r>
      <w:proofErr w:type="spellEnd"/>
      <w:r w:rsidR="00EF3209">
        <w:t xml:space="preserve"> – Shan and his mother – refusing to donate to a building fund for a new chapel.  One of the </w:t>
      </w:r>
      <w:r w:rsidR="00A512F3">
        <w:t xml:space="preserve">building-fund </w:t>
      </w:r>
      <w:r w:rsidR="00EF3209">
        <w:t xml:space="preserve">collectors, </w:t>
      </w:r>
      <w:r w:rsidR="00260283">
        <w:t xml:space="preserve">Michael </w:t>
      </w:r>
      <w:r w:rsidR="00EF3209">
        <w:t xml:space="preserve">O’Callaghan, makes a frank appeal, which softens </w:t>
      </w:r>
      <w:proofErr w:type="spellStart"/>
      <w:r w:rsidR="00EF3209">
        <w:t>Mrs</w:t>
      </w:r>
      <w:proofErr w:type="spellEnd"/>
      <w:r w:rsidR="00EF3209">
        <w:t xml:space="preserve"> Grogan’s heart.  Secretly, she writes a will leaving all of her possessions in trust to the parish priest, ‘to use at his discretion, partly for the benefit of poor persons who are not beggars, and partly to the building fund, just as he thinks proper’.  The will has further consequences when the blossoming romance between Sheila and one of the building-fund collectors, </w:t>
      </w:r>
      <w:proofErr w:type="spellStart"/>
      <w:r w:rsidR="00EF3209">
        <w:t>MacSweeney</w:t>
      </w:r>
      <w:proofErr w:type="spellEnd"/>
      <w:r w:rsidR="00EF3209">
        <w:t xml:space="preserve">, is upset by the revelation that </w:t>
      </w:r>
      <w:proofErr w:type="spellStart"/>
      <w:r w:rsidR="00EF3209">
        <w:t>MacSweeney</w:t>
      </w:r>
      <w:proofErr w:type="spellEnd"/>
      <w:r w:rsidR="00EF3209">
        <w:t xml:space="preserve"> was only interested in Sheila’s potential inheritance.  The curtain falls on Shan Grogan’s line, ‘Ah, my friends! Whatever some may think, I feel that I have been too long a stranger in my pastor’s holy influence’.</w:t>
      </w:r>
      <w:r w:rsidR="00EF3209">
        <w:rPr>
          <w:rStyle w:val="FootnoteReference"/>
        </w:rPr>
        <w:footnoteReference w:id="32"/>
      </w:r>
    </w:p>
    <w:p w:rsidR="007F11F8" w:rsidRDefault="007F11F8" w:rsidP="004A3D7B">
      <w:pPr>
        <w:jc w:val="both"/>
      </w:pPr>
    </w:p>
    <w:p w:rsidR="000F5E49" w:rsidRDefault="00260283" w:rsidP="00744FC2">
      <w:pPr>
        <w:jc w:val="both"/>
      </w:pPr>
      <w:r>
        <w:t>First produced</w:t>
      </w:r>
      <w:r w:rsidR="00937B6A">
        <w:t xml:space="preserve"> at the Abbey in 1905, Boyle’s work was p</w:t>
      </w:r>
      <w:r w:rsidR="00F86876">
        <w:t>art of a new wave of dramatists</w:t>
      </w:r>
      <w:r w:rsidR="00937B6A">
        <w:t xml:space="preserve"> whose plays retained a rural setting but satirized rather than idealized rural life, although Boyle would refuse to go so far as Synge, </w:t>
      </w:r>
      <w:r w:rsidR="000F5E49">
        <w:t>withdrawing</w:t>
      </w:r>
      <w:r w:rsidR="00937B6A">
        <w:t xml:space="preserve"> his work f</w:t>
      </w:r>
      <w:r w:rsidR="00160760">
        <w:t>or a period</w:t>
      </w:r>
      <w:r w:rsidR="00937B6A">
        <w:t xml:space="preserve"> following the </w:t>
      </w:r>
      <w:r w:rsidR="000F5E49">
        <w:t xml:space="preserve">Abbey’s production of </w:t>
      </w:r>
      <w:r w:rsidR="00937B6A">
        <w:rPr>
          <w:i/>
        </w:rPr>
        <w:t>The Playboy of the Western World</w:t>
      </w:r>
      <w:r w:rsidR="00937B6A">
        <w:t xml:space="preserve">.  Yeats believed that Boyle’s plays </w:t>
      </w:r>
      <w:r w:rsidR="000F5E49">
        <w:t>dealt with the corruption of the peasantry by modernization, contrasting his characters with the people represented in Gregory’s drama:</w:t>
      </w:r>
    </w:p>
    <w:p w:rsidR="00937B6A" w:rsidRDefault="000F5E49" w:rsidP="00A02356">
      <w:pPr>
        <w:ind w:left="720"/>
        <w:jc w:val="both"/>
      </w:pPr>
      <w:r>
        <w:t xml:space="preserve">Lady Gregory has written of the people of the markets and villages of the West, and their speech, though less full of peculiar idiom than that of Synge’s people, is always that vivid speech which has been shaped through some generations of English speaking by those who still think in Gaelic.  Mr. Colum and Mr. Boyle, on the other hand, write of the countryman or the villager of the East or centre of Ireland, and the speech of their people shows the influence of the newspaper and the National Schools.  The people they write of, too, are not true folk; they are the </w:t>
      </w:r>
      <w:proofErr w:type="gramStart"/>
      <w:r>
        <w:t>peasant</w:t>
      </w:r>
      <w:proofErr w:type="gramEnd"/>
      <w:r>
        <w:t xml:space="preserve"> as he is being transformed by modern life.</w:t>
      </w:r>
      <w:r>
        <w:rPr>
          <w:rStyle w:val="FootnoteReference"/>
        </w:rPr>
        <w:footnoteReference w:id="33"/>
      </w:r>
    </w:p>
    <w:p w:rsidR="000F5E49" w:rsidRPr="000F5E49" w:rsidRDefault="00AC6EFE" w:rsidP="00744FC2">
      <w:pPr>
        <w:jc w:val="both"/>
      </w:pPr>
      <w:r>
        <w:t xml:space="preserve">Following </w:t>
      </w:r>
      <w:proofErr w:type="spellStart"/>
      <w:r>
        <w:t>Yeats’s</w:t>
      </w:r>
      <w:proofErr w:type="spellEnd"/>
      <w:r>
        <w:t xml:space="preserve"> lead, i</w:t>
      </w:r>
      <w:r w:rsidR="00D61A8D">
        <w:t xml:space="preserve">n the context of </w:t>
      </w:r>
      <w:r w:rsidR="000F5E49">
        <w:t xml:space="preserve">an Abbey production, critics have read </w:t>
      </w:r>
      <w:r w:rsidR="000F5E49">
        <w:rPr>
          <w:i/>
        </w:rPr>
        <w:t>The Building Fund</w:t>
      </w:r>
      <w:r w:rsidR="000F5E49">
        <w:t xml:space="preserve"> as a</w:t>
      </w:r>
      <w:r w:rsidR="00D61A8D">
        <w:t>n anti-materialist treatise</w:t>
      </w:r>
      <w:r>
        <w:t xml:space="preserve">.  Robert Welch writes that in this ‘odd, nasty little play </w:t>
      </w:r>
      <w:proofErr w:type="gramStart"/>
      <w:r>
        <w:t>[.…]</w:t>
      </w:r>
      <w:proofErr w:type="gramEnd"/>
      <w:r>
        <w:t xml:space="preserve"> The consciousness of the power of money, its domination over all other impulses, whether of passion or belief or fellowship, is clearly registered.’</w:t>
      </w:r>
      <w:r>
        <w:rPr>
          <w:rStyle w:val="FootnoteReference"/>
        </w:rPr>
        <w:footnoteReference w:id="34"/>
      </w:r>
      <w:r w:rsidR="00B70E9E">
        <w:t xml:space="preserve">  Welch reads the conclusion of the play – Shan Grogan’s </w:t>
      </w:r>
      <w:r w:rsidR="00124DDE">
        <w:t>sudden interest in the Church:</w:t>
      </w:r>
      <w:r w:rsidR="00B70E9E">
        <w:t xml:space="preserve"> ‘Ah, my friends! Whatever some may think, I feel that I have been too long a stranger in my pastor’s holy influence’ –</w:t>
      </w:r>
      <w:r w:rsidR="00124DDE">
        <w:t xml:space="preserve"> as evidence of the character’s </w:t>
      </w:r>
      <w:r w:rsidR="00B70E9E">
        <w:t xml:space="preserve">self-interest.  Mary Trotter offers a different interpretation, decoding in the play’s conclusion a message similar to Gregory’s politics in </w:t>
      </w:r>
      <w:r w:rsidR="00B70E9E">
        <w:rPr>
          <w:i/>
        </w:rPr>
        <w:t>The Workhouse Ward</w:t>
      </w:r>
      <w:r w:rsidR="00B70E9E">
        <w:t>: ‘a call for unity among different factions of the nationalist movement with competing claims for the “national inheritance.”’</w:t>
      </w:r>
      <w:r w:rsidR="00B70E9E">
        <w:rPr>
          <w:rStyle w:val="FootnoteReference"/>
        </w:rPr>
        <w:footnoteReference w:id="35"/>
      </w:r>
    </w:p>
    <w:p w:rsidR="000F5E49" w:rsidRDefault="000F5E49" w:rsidP="00744FC2">
      <w:pPr>
        <w:jc w:val="both"/>
      </w:pPr>
    </w:p>
    <w:p w:rsidR="00744FC2" w:rsidRDefault="006826EB" w:rsidP="00744FC2">
      <w:pPr>
        <w:jc w:val="both"/>
      </w:pPr>
      <w:r>
        <w:t>Staged by a workers’ theatre, wholly concerned with materiality</w:t>
      </w:r>
      <w:r w:rsidR="005D063B">
        <w:t xml:space="preserve"> and </w:t>
      </w:r>
      <w:r w:rsidR="00E129D4">
        <w:t>part of</w:t>
      </w:r>
      <w:r w:rsidR="00C37BB2">
        <w:t xml:space="preserve"> </w:t>
      </w:r>
      <w:r w:rsidR="00E129D4">
        <w:t xml:space="preserve">a discourse </w:t>
      </w:r>
      <w:r w:rsidR="005D063B">
        <w:t>outside of the paradigm of nationalist politics</w:t>
      </w:r>
      <w:r>
        <w:t xml:space="preserve">, </w:t>
      </w:r>
      <w:r>
        <w:rPr>
          <w:i/>
        </w:rPr>
        <w:t>The Building Fund</w:t>
      </w:r>
      <w:r>
        <w:t xml:space="preserve"> demands reconsideration.  Rather than a satire of rural society cor</w:t>
      </w:r>
      <w:r w:rsidR="005D063B">
        <w:t>rupted by financial concerns, it</w:t>
      </w:r>
      <w:r>
        <w:t xml:space="preserve"> can also function as </w:t>
      </w:r>
      <w:r w:rsidR="00744FC2">
        <w:t>a morality play warning against the consequences of miserliness.  O’Callaghan’s appeal to Mrs</w:t>
      </w:r>
      <w:r w:rsidR="0036300E">
        <w:t>.</w:t>
      </w:r>
      <w:r w:rsidR="00744FC2">
        <w:t xml:space="preserve"> Grogan has a </w:t>
      </w:r>
      <w:proofErr w:type="spellStart"/>
      <w:r w:rsidR="00744FC2">
        <w:t>metatheatrical</w:t>
      </w:r>
      <w:proofErr w:type="spellEnd"/>
      <w:r w:rsidR="00744FC2">
        <w:t xml:space="preserve"> resonance in the context of Delia Larkin’s fundraising campaign: </w:t>
      </w:r>
    </w:p>
    <w:p w:rsidR="00744FC2" w:rsidRDefault="00744FC2" w:rsidP="00744FC2">
      <w:pPr>
        <w:ind w:left="720"/>
        <w:jc w:val="both"/>
      </w:pPr>
      <w:proofErr w:type="gramStart"/>
      <w:r>
        <w:t>it</w:t>
      </w:r>
      <w:proofErr w:type="gramEnd"/>
      <w:r>
        <w:t xml:space="preserve"> won’t be long before both of us will have to leave the much or little we may have behind us.  Do you ever think of that? [….] Want in this world has been a terror to you all your life; and yet you are not afraid to face the next world without making the least provision against want there.</w:t>
      </w:r>
      <w:r>
        <w:rPr>
          <w:rStyle w:val="FootnoteReference"/>
        </w:rPr>
        <w:footnoteReference w:id="36"/>
      </w:r>
    </w:p>
    <w:p w:rsidR="00152F1A" w:rsidRDefault="00744FC2" w:rsidP="004A3D7B">
      <w:pPr>
        <w:jc w:val="both"/>
      </w:pPr>
      <w:r>
        <w:t>In another scene, O’Callaghan uses ‘Cripple Moore, the stone-breaker’ as a positive model: ‘</w:t>
      </w:r>
      <w:proofErr w:type="gramStart"/>
      <w:r>
        <w:t>The</w:t>
      </w:r>
      <w:proofErr w:type="gramEnd"/>
      <w:r>
        <w:t xml:space="preserve"> poor old creature gave us half-a-crown.  There’s an example for you’.</w:t>
      </w:r>
      <w:r>
        <w:rPr>
          <w:rStyle w:val="FootnoteReference"/>
        </w:rPr>
        <w:footnoteReference w:id="37"/>
      </w:r>
      <w:r w:rsidR="005D063B">
        <w:t xml:space="preserve">   </w:t>
      </w:r>
      <w:r w:rsidR="00E129D4">
        <w:t>It is possible to imagine a production in which this direct instruction would be delivered to the audience in a non-naturali</w:t>
      </w:r>
      <w:r w:rsidR="00C37BB2">
        <w:t>stic style.  Y</w:t>
      </w:r>
      <w:r w:rsidR="00E129D4">
        <w:t xml:space="preserve">et even in a performance that maintained the conventional </w:t>
      </w:r>
      <w:r w:rsidR="00805E20">
        <w:t xml:space="preserve">illusion of the fourth wall, the pedagogical nature of the performance is clear, given the explicit purpose of the performance, or what might be termed its </w:t>
      </w:r>
      <w:proofErr w:type="spellStart"/>
      <w:r w:rsidR="00805E20">
        <w:t>intertextuality</w:t>
      </w:r>
      <w:proofErr w:type="spellEnd"/>
      <w:r w:rsidR="00805E20">
        <w:t xml:space="preserve"> in relation to real-world events.</w:t>
      </w:r>
      <w:r w:rsidR="006841EA">
        <w:t xml:space="preserve">  The </w:t>
      </w:r>
      <w:proofErr w:type="spellStart"/>
      <w:r w:rsidR="006841EA">
        <w:t>IWDC’s</w:t>
      </w:r>
      <w:proofErr w:type="spellEnd"/>
      <w:r w:rsidR="006841EA">
        <w:t xml:space="preserve"> tour was successful in terms of its reception, receiving favorable reviews and playing to large houses, but the company’s profits did not defray the costs of the tour, and the IWDC was disbanded in the wake of the Lockout.</w:t>
      </w:r>
    </w:p>
    <w:p w:rsidR="00EE0424" w:rsidRDefault="00EE0424" w:rsidP="004A3D7B">
      <w:pPr>
        <w:jc w:val="both"/>
      </w:pPr>
    </w:p>
    <w:p w:rsidR="00AB657B" w:rsidRDefault="006841EA" w:rsidP="005630E0">
      <w:pPr>
        <w:jc w:val="both"/>
      </w:pPr>
      <w:r>
        <w:t xml:space="preserve">Growing out of and responding to the culture of the literary revival, the IWDC profited from aesthetically rich plays, such as those of </w:t>
      </w:r>
      <w:proofErr w:type="spellStart"/>
      <w:r>
        <w:t>Mayne</w:t>
      </w:r>
      <w:proofErr w:type="spellEnd"/>
      <w:r>
        <w:t>, Gregory, and O’Kell</w:t>
      </w:r>
      <w:r w:rsidR="00BD766A">
        <w:t>y, which were given new meaning staged by a workers’ company</w:t>
      </w:r>
      <w:r w:rsidR="00C77862">
        <w:t xml:space="preserve"> alongside the more schematic </w:t>
      </w:r>
      <w:r>
        <w:t xml:space="preserve">drama of Andrew Patrick Wilson.  </w:t>
      </w:r>
      <w:r w:rsidR="00851536">
        <w:t>As Wilmer summarizes in his essay, ‘Travesties: Ideologies and the Irish Theatre Renaissance’: ‘Members of specific ideological movements would sometimes invade the territory of another for their own ends.’</w:t>
      </w:r>
      <w:r w:rsidR="00851536">
        <w:rPr>
          <w:rStyle w:val="FootnoteReference"/>
        </w:rPr>
        <w:footnoteReference w:id="38"/>
      </w:r>
      <w:r w:rsidR="00297AD4">
        <w:t xml:space="preserve">  </w:t>
      </w:r>
      <w:r w:rsidR="00BD766A">
        <w:t>T</w:t>
      </w:r>
      <w:r w:rsidR="00E609C8">
        <w:t>he interests of the Irish Workers’ Dramatic Company can be clearly contrasted with the dominant ideology of the theatre of the Revival: a concern with materiality versus spirituality; the de-mythologized peasant versus a portrayal of the folk; class politics versus national politics; polemic</w:t>
      </w:r>
      <w:r w:rsidR="00C77862">
        <w:t xml:space="preserve"> versus disclosed logic</w:t>
      </w:r>
      <w:r w:rsidR="00E609C8">
        <w:t>.</w:t>
      </w:r>
      <w:r>
        <w:t xml:space="preserve">  For the workers’ </w:t>
      </w:r>
      <w:r w:rsidR="00F67ECD">
        <w:t xml:space="preserve">theatre group, </w:t>
      </w:r>
      <w:r>
        <w:t>h</w:t>
      </w:r>
      <w:r w:rsidR="00292BBF">
        <w:t>i</w:t>
      </w:r>
      <w:r w:rsidR="00A459F9">
        <w:t xml:space="preserve">story was not </w:t>
      </w:r>
      <w:r w:rsidR="00F67ECD">
        <w:t>a repository</w:t>
      </w:r>
      <w:r w:rsidR="00A459F9">
        <w:t xml:space="preserve"> of </w:t>
      </w:r>
      <w:r w:rsidR="00F67ECD">
        <w:t xml:space="preserve">the ancient idealism ascribed to it by Yeats and Gregory </w:t>
      </w:r>
      <w:r>
        <w:t xml:space="preserve">but </w:t>
      </w:r>
      <w:r w:rsidR="00F67ECD">
        <w:t xml:space="preserve">instead was a narrative of </w:t>
      </w:r>
      <w:r>
        <w:t xml:space="preserve">repression </w:t>
      </w:r>
      <w:r w:rsidR="00F67ECD">
        <w:t xml:space="preserve">and class struggle, </w:t>
      </w:r>
      <w:r w:rsidR="00C77862">
        <w:t>which</w:t>
      </w:r>
      <w:r>
        <w:t xml:space="preserve"> </w:t>
      </w:r>
      <w:r w:rsidR="009C4152">
        <w:t>could be used to provoke intervention in the contemporary historical moment.</w:t>
      </w:r>
    </w:p>
    <w:p w:rsidR="00526B7B" w:rsidRDefault="00526B7B" w:rsidP="005630E0">
      <w:pPr>
        <w:jc w:val="both"/>
      </w:pPr>
    </w:p>
    <w:p w:rsidR="00242D0E" w:rsidRDefault="00242D0E" w:rsidP="005630E0">
      <w:pPr>
        <w:jc w:val="both"/>
      </w:pPr>
    </w:p>
    <w:p w:rsidR="00242D0E" w:rsidRDefault="00242D0E" w:rsidP="005630E0">
      <w:pPr>
        <w:jc w:val="both"/>
      </w:pPr>
    </w:p>
    <w:p w:rsidR="005630E0" w:rsidRDefault="005630E0" w:rsidP="005630E0">
      <w:pPr>
        <w:jc w:val="both"/>
      </w:pPr>
    </w:p>
    <w:p w:rsidR="005244A6" w:rsidRPr="00320A32" w:rsidRDefault="005244A6" w:rsidP="005630E0">
      <w:pPr>
        <w:jc w:val="both"/>
      </w:pPr>
    </w:p>
    <w:sectPr w:rsidR="005244A6" w:rsidRPr="00320A32" w:rsidSect="005244A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C7313" w:rsidRPr="000E7198" w:rsidRDefault="00FC7313">
      <w:pPr>
        <w:pStyle w:val="FootnoteText"/>
      </w:pPr>
      <w:r>
        <w:rPr>
          <w:rStyle w:val="FootnoteReference"/>
        </w:rPr>
        <w:footnoteRef/>
      </w:r>
      <w:r>
        <w:t xml:space="preserve"> For the unionizing impulse in </w:t>
      </w:r>
      <w:proofErr w:type="spellStart"/>
      <w:r>
        <w:t>ahistorical</w:t>
      </w:r>
      <w:proofErr w:type="spellEnd"/>
      <w:r>
        <w:t xml:space="preserve"> depictions of Ireland, see </w:t>
      </w:r>
      <w:proofErr w:type="spellStart"/>
      <w:r>
        <w:t>Joep</w:t>
      </w:r>
      <w:proofErr w:type="spellEnd"/>
      <w:r>
        <w:t xml:space="preserve"> </w:t>
      </w:r>
      <w:proofErr w:type="spellStart"/>
      <w:r>
        <w:t>Leerssen</w:t>
      </w:r>
      <w:proofErr w:type="spellEnd"/>
      <w:r>
        <w:t xml:space="preserve">, </w:t>
      </w:r>
      <w:r>
        <w:rPr>
          <w:i/>
        </w:rPr>
        <w:t xml:space="preserve">Remembrance and Imagination: patterns in the historical and literary representation of Ireland in the nineteenth century </w:t>
      </w:r>
      <w:r>
        <w:t>(Cork: Cork University Press), 170.</w:t>
      </w:r>
    </w:p>
  </w:footnote>
  <w:footnote w:id="0">
    <w:p w:rsidR="00FC7313" w:rsidRPr="00F42862" w:rsidRDefault="00FC7313">
      <w:pPr>
        <w:pStyle w:val="FootnoteText"/>
      </w:pPr>
      <w:r w:rsidRPr="00703DC4">
        <w:rPr>
          <w:rStyle w:val="FootnoteReference"/>
        </w:rPr>
        <w:footnoteRef/>
      </w:r>
      <w:r w:rsidRPr="00703DC4">
        <w:t xml:space="preserve"> For an example of </w:t>
      </w:r>
      <w:proofErr w:type="spellStart"/>
      <w:r w:rsidRPr="00703DC4">
        <w:t>Yeats’s</w:t>
      </w:r>
      <w:proofErr w:type="spellEnd"/>
      <w:r w:rsidRPr="00703DC4">
        <w:t xml:space="preserve"> aesthetic, see ‘The Irish literary theatre’ (1899) in John P. Frayne, ed. </w:t>
      </w:r>
      <w:r w:rsidRPr="00703DC4">
        <w:rPr>
          <w:i/>
        </w:rPr>
        <w:t>Uncollected Prose</w:t>
      </w:r>
      <w:r w:rsidRPr="00703DC4">
        <w:t xml:space="preserve"> vol. 2 (London: Macmillan, 1975), 163.</w:t>
      </w:r>
    </w:p>
  </w:footnote>
  <w:footnote w:id="1">
    <w:p w:rsidR="00FC7313" w:rsidRPr="00011F2B" w:rsidRDefault="00FC7313">
      <w:pPr>
        <w:pStyle w:val="FootnoteText"/>
      </w:pPr>
      <w:r>
        <w:rPr>
          <w:rStyle w:val="FootnoteReference"/>
        </w:rPr>
        <w:footnoteRef/>
      </w:r>
      <w:r>
        <w:t xml:space="preserve"> Edward Hirsch, ‘The Imaginary Irish Peasant’, </w:t>
      </w:r>
      <w:r>
        <w:rPr>
          <w:i/>
        </w:rPr>
        <w:t>PMLA</w:t>
      </w:r>
      <w:r>
        <w:t xml:space="preserve"> 106.5 (Oct 1991), 1116-1133, 1117.</w:t>
      </w:r>
    </w:p>
  </w:footnote>
  <w:footnote w:id="2">
    <w:p w:rsidR="00FC7313" w:rsidRDefault="00FC7313">
      <w:pPr>
        <w:pStyle w:val="FootnoteText"/>
      </w:pPr>
      <w:r>
        <w:rPr>
          <w:rStyle w:val="FootnoteReference"/>
        </w:rPr>
        <w:footnoteRef/>
      </w:r>
      <w:r>
        <w:t xml:space="preserve"> </w:t>
      </w:r>
      <w:proofErr w:type="gramStart"/>
      <w:r>
        <w:t>Hirsch, ‘Imaginary Irish Peasant’, 1120.</w:t>
      </w:r>
      <w:proofErr w:type="gramEnd"/>
    </w:p>
  </w:footnote>
  <w:footnote w:id="3">
    <w:p w:rsidR="00FC7313" w:rsidRPr="00DF26B0" w:rsidRDefault="00FC7313" w:rsidP="000F4A45">
      <w:pPr>
        <w:pStyle w:val="FootnoteText"/>
      </w:pPr>
      <w:r>
        <w:rPr>
          <w:rStyle w:val="FootnoteReference"/>
        </w:rPr>
        <w:footnoteRef/>
      </w:r>
      <w:r>
        <w:t xml:space="preserve"> </w:t>
      </w:r>
      <w:proofErr w:type="spellStart"/>
      <w:r>
        <w:t>Levitas</w:t>
      </w:r>
      <w:proofErr w:type="spellEnd"/>
      <w:r>
        <w:t xml:space="preserve">, ‘Plumbing the Depths: Irish Realism and the Working Class from Shaw to O’Casey’, </w:t>
      </w:r>
      <w:r>
        <w:rPr>
          <w:i/>
        </w:rPr>
        <w:t>Irish University Review</w:t>
      </w:r>
      <w:r>
        <w:t xml:space="preserve"> 33.1 (Spring/Summer 2003), 133-149.</w:t>
      </w:r>
    </w:p>
  </w:footnote>
  <w:footnote w:id="4">
    <w:p w:rsidR="00FC7313" w:rsidRPr="005A5D65" w:rsidRDefault="00FC7313">
      <w:pPr>
        <w:pStyle w:val="FootnoteText"/>
      </w:pPr>
      <w:r>
        <w:rPr>
          <w:rStyle w:val="FootnoteReference"/>
        </w:rPr>
        <w:footnoteRef/>
      </w:r>
      <w:r>
        <w:t xml:space="preserve"> ‘The Irish National Theatre’, </w:t>
      </w:r>
      <w:r>
        <w:rPr>
          <w:i/>
        </w:rPr>
        <w:t>Pall Mall Gazette</w:t>
      </w:r>
      <w:r>
        <w:t xml:space="preserve"> (9 June 1911), in Robert Hogan and James </w:t>
      </w:r>
      <w:proofErr w:type="spellStart"/>
      <w:r>
        <w:t>Kilroy</w:t>
      </w:r>
      <w:proofErr w:type="spellEnd"/>
      <w:r>
        <w:t xml:space="preserve">, </w:t>
      </w:r>
      <w:r>
        <w:rPr>
          <w:i/>
        </w:rPr>
        <w:t xml:space="preserve">The Rise of the Realists 1910-1915 </w:t>
      </w:r>
      <w:r>
        <w:t>(Dublin: Dolmen, 1979), 126-27.</w:t>
      </w:r>
    </w:p>
  </w:footnote>
  <w:footnote w:id="5">
    <w:p w:rsidR="00FC7313" w:rsidRPr="00AE5DC1" w:rsidRDefault="00FC7313" w:rsidP="00404262">
      <w:pPr>
        <w:pStyle w:val="FootnoteText"/>
      </w:pPr>
      <w:r>
        <w:rPr>
          <w:rStyle w:val="FootnoteReference"/>
        </w:rPr>
        <w:footnoteRef/>
      </w:r>
      <w:r>
        <w:t xml:space="preserve"> D.L. ‘The Newer Drama: reply to ‘Mac’, </w:t>
      </w:r>
      <w:r>
        <w:rPr>
          <w:i/>
        </w:rPr>
        <w:t xml:space="preserve">Irish Worker </w:t>
      </w:r>
      <w:r>
        <w:t>(17 Nov 1912), 1.</w:t>
      </w:r>
    </w:p>
  </w:footnote>
  <w:footnote w:id="6">
    <w:p w:rsidR="00FC7313" w:rsidRDefault="00FC7313">
      <w:pPr>
        <w:pStyle w:val="FootnoteText"/>
      </w:pPr>
      <w:r>
        <w:rPr>
          <w:rStyle w:val="FootnoteReference"/>
        </w:rPr>
        <w:footnoteRef/>
      </w:r>
      <w:r>
        <w:t xml:space="preserve"> Rutherford </w:t>
      </w:r>
      <w:proofErr w:type="spellStart"/>
      <w:r>
        <w:t>Mayne</w:t>
      </w:r>
      <w:proofErr w:type="spellEnd"/>
      <w:r>
        <w:t xml:space="preserve"> was the penname of Samuel Waddell, whose success writing plays for the Ulster Literary Theatre resulted in an invitation to join William </w:t>
      </w:r>
      <w:proofErr w:type="spellStart"/>
      <w:r>
        <w:t>Mollison’s</w:t>
      </w:r>
      <w:proofErr w:type="spellEnd"/>
      <w:r>
        <w:t xml:space="preserve"> Company, which first staged </w:t>
      </w:r>
      <w:r>
        <w:rPr>
          <w:i/>
        </w:rPr>
        <w:t>The Troth</w:t>
      </w:r>
      <w:r>
        <w:t xml:space="preserve"> at the Crown Theatre, </w:t>
      </w:r>
      <w:proofErr w:type="spellStart"/>
      <w:r>
        <w:t>Peckham</w:t>
      </w:r>
      <w:proofErr w:type="spellEnd"/>
      <w:r>
        <w:t xml:space="preserve"> in October 1908.  Later in 1908, the Ulster Literary Theatre staged </w:t>
      </w:r>
      <w:r>
        <w:rPr>
          <w:i/>
        </w:rPr>
        <w:t xml:space="preserve">The Troth </w:t>
      </w:r>
      <w:r>
        <w:t xml:space="preserve">on tour to the Abbey, and </w:t>
      </w:r>
      <w:proofErr w:type="spellStart"/>
      <w:r>
        <w:t>Maunsel</w:t>
      </w:r>
      <w:proofErr w:type="spellEnd"/>
      <w:r>
        <w:t xml:space="preserve"> published the script – singly in 1909 and again in 1912 in </w:t>
      </w:r>
      <w:r>
        <w:rPr>
          <w:i/>
        </w:rPr>
        <w:t>The Drone and Other Plays</w:t>
      </w:r>
      <w:r>
        <w:t xml:space="preserve">.  See Eugene McNulty, </w:t>
      </w:r>
      <w:r>
        <w:rPr>
          <w:i/>
        </w:rPr>
        <w:t>The Ulster Literary Theatre and the Northern Revival</w:t>
      </w:r>
      <w:r>
        <w:t xml:space="preserve"> (Cork: Cork University Press, 2008), 120; Rutherford </w:t>
      </w:r>
      <w:proofErr w:type="spellStart"/>
      <w:r>
        <w:t>Mayne</w:t>
      </w:r>
      <w:proofErr w:type="spellEnd"/>
      <w:r>
        <w:t xml:space="preserve">, </w:t>
      </w:r>
      <w:r>
        <w:rPr>
          <w:i/>
        </w:rPr>
        <w:t>The Troth: A Play in One Act</w:t>
      </w:r>
      <w:r>
        <w:t xml:space="preserve"> (Dublin: </w:t>
      </w:r>
      <w:proofErr w:type="spellStart"/>
      <w:r>
        <w:t>Maunsel</w:t>
      </w:r>
      <w:proofErr w:type="spellEnd"/>
      <w:r>
        <w:t xml:space="preserve">, 1909) and Rutherford </w:t>
      </w:r>
      <w:proofErr w:type="spellStart"/>
      <w:r>
        <w:t>Mayne</w:t>
      </w:r>
      <w:proofErr w:type="spellEnd"/>
      <w:r>
        <w:t xml:space="preserve">, </w:t>
      </w:r>
      <w:r>
        <w:rPr>
          <w:i/>
        </w:rPr>
        <w:t>The Drone and Other Plays</w:t>
      </w:r>
      <w:r>
        <w:t xml:space="preserve"> (Dublin: </w:t>
      </w:r>
      <w:proofErr w:type="spellStart"/>
      <w:r>
        <w:t>Maunsel</w:t>
      </w:r>
      <w:proofErr w:type="spellEnd"/>
      <w:r>
        <w:t>, 1912), 131-144.</w:t>
      </w:r>
    </w:p>
  </w:footnote>
  <w:footnote w:id="7">
    <w:p w:rsidR="00FC7313" w:rsidRPr="00387CA6" w:rsidRDefault="00FC7313" w:rsidP="001577A7">
      <w:pPr>
        <w:pStyle w:val="FootnoteText"/>
      </w:pPr>
      <w:r>
        <w:rPr>
          <w:rStyle w:val="FootnoteReference"/>
        </w:rPr>
        <w:footnoteRef/>
      </w:r>
      <w:r>
        <w:t xml:space="preserve"> </w:t>
      </w:r>
      <w:proofErr w:type="spellStart"/>
      <w:r>
        <w:t>Mayne</w:t>
      </w:r>
      <w:proofErr w:type="spellEnd"/>
      <w:r>
        <w:t xml:space="preserve">, </w:t>
      </w:r>
      <w:r>
        <w:rPr>
          <w:i/>
        </w:rPr>
        <w:t>The Troth: A Play in One Act</w:t>
      </w:r>
      <w:r>
        <w:t xml:space="preserve"> (Dublin: </w:t>
      </w:r>
      <w:proofErr w:type="spellStart"/>
      <w:r>
        <w:t>Maunsel</w:t>
      </w:r>
      <w:proofErr w:type="spellEnd"/>
      <w:r>
        <w:t>, 1909), 12.</w:t>
      </w:r>
    </w:p>
  </w:footnote>
  <w:footnote w:id="8">
    <w:p w:rsidR="00FC7313" w:rsidRPr="00387CA6" w:rsidRDefault="00FC7313" w:rsidP="001577A7">
      <w:pPr>
        <w:pStyle w:val="FootnoteText"/>
      </w:pPr>
      <w:r>
        <w:rPr>
          <w:rStyle w:val="FootnoteReference"/>
        </w:rPr>
        <w:footnoteRef/>
      </w:r>
      <w:r>
        <w:t xml:space="preserve"> </w:t>
      </w:r>
      <w:proofErr w:type="spellStart"/>
      <w:proofErr w:type="gramStart"/>
      <w:r>
        <w:t>Mayne</w:t>
      </w:r>
      <w:proofErr w:type="spellEnd"/>
      <w:r>
        <w:t xml:space="preserve">, </w:t>
      </w:r>
      <w:r>
        <w:rPr>
          <w:i/>
        </w:rPr>
        <w:t>The Troth</w:t>
      </w:r>
      <w:r>
        <w:t>, 4-5.</w:t>
      </w:r>
      <w:proofErr w:type="gramEnd"/>
    </w:p>
  </w:footnote>
  <w:footnote w:id="9">
    <w:p w:rsidR="00FC7313" w:rsidRPr="006A3998" w:rsidRDefault="00FC7313" w:rsidP="00F319BB">
      <w:pPr>
        <w:pStyle w:val="FootnoteText"/>
      </w:pPr>
      <w:r>
        <w:rPr>
          <w:rStyle w:val="FootnoteReference"/>
        </w:rPr>
        <w:footnoteRef/>
      </w:r>
      <w:r>
        <w:t xml:space="preserve"> Colette A. Hyman, </w:t>
      </w:r>
      <w:r>
        <w:rPr>
          <w:i/>
        </w:rPr>
        <w:t>Staging Strikes: Workers’ Theatre and the American Labor Movement</w:t>
      </w:r>
      <w:r>
        <w:t xml:space="preserve"> (Philadelphia: Temple UP, 1997), 111-120.</w:t>
      </w:r>
    </w:p>
  </w:footnote>
  <w:footnote w:id="10">
    <w:p w:rsidR="00FC7313" w:rsidRPr="003B2526" w:rsidRDefault="00FC7313">
      <w:pPr>
        <w:pStyle w:val="FootnoteText"/>
      </w:pPr>
      <w:r>
        <w:rPr>
          <w:rStyle w:val="FootnoteReference"/>
        </w:rPr>
        <w:footnoteRef/>
      </w:r>
      <w:r>
        <w:t xml:space="preserve"> ‘Hackett in a Sketch: He and E.M. Holland Appear in Vaudeville in “The Bishop’s Candlesticks”, </w:t>
      </w:r>
      <w:r>
        <w:rPr>
          <w:i/>
        </w:rPr>
        <w:t xml:space="preserve">New York Times </w:t>
      </w:r>
      <w:r>
        <w:t xml:space="preserve">(18 May 1909), 9; ‘Newsboys’ Benefit at New Theatre’, </w:t>
      </w:r>
      <w:r>
        <w:rPr>
          <w:i/>
        </w:rPr>
        <w:t xml:space="preserve">New York Times </w:t>
      </w:r>
      <w:r>
        <w:t xml:space="preserve">(18 April 1910), 7; ‘Theatrical Notes’, </w:t>
      </w:r>
      <w:r>
        <w:rPr>
          <w:i/>
        </w:rPr>
        <w:t>New York Times</w:t>
      </w:r>
      <w:r>
        <w:t xml:space="preserve"> (17 Jan 1912), 8.</w:t>
      </w:r>
    </w:p>
  </w:footnote>
  <w:footnote w:id="11">
    <w:p w:rsidR="00FC7313" w:rsidRPr="000869C4" w:rsidRDefault="00FC7313">
      <w:pPr>
        <w:pStyle w:val="FootnoteText"/>
      </w:pPr>
      <w:r>
        <w:rPr>
          <w:rStyle w:val="FootnoteReference"/>
        </w:rPr>
        <w:footnoteRef/>
      </w:r>
      <w:r>
        <w:t xml:space="preserve"> Norman </w:t>
      </w:r>
      <w:proofErr w:type="spellStart"/>
      <w:r>
        <w:t>McKinnel</w:t>
      </w:r>
      <w:proofErr w:type="spellEnd"/>
      <w:r>
        <w:t xml:space="preserve">, </w:t>
      </w:r>
      <w:r>
        <w:rPr>
          <w:i/>
        </w:rPr>
        <w:t>The Bishop’s Candlesticks: a Play in One Act</w:t>
      </w:r>
      <w:r>
        <w:t xml:space="preserve"> (London: Samuel French, 1908), 17.</w:t>
      </w:r>
    </w:p>
  </w:footnote>
  <w:footnote w:id="12">
    <w:p w:rsidR="00FC7313" w:rsidRPr="00BA4A22" w:rsidRDefault="00FC7313">
      <w:pPr>
        <w:pStyle w:val="FootnoteText"/>
      </w:pPr>
      <w:r>
        <w:rPr>
          <w:rStyle w:val="FootnoteReference"/>
        </w:rPr>
        <w:footnoteRef/>
      </w:r>
      <w:r>
        <w:t xml:space="preserve"> </w:t>
      </w:r>
      <w:proofErr w:type="spellStart"/>
      <w:proofErr w:type="gramStart"/>
      <w:r>
        <w:t>McKinnel</w:t>
      </w:r>
      <w:proofErr w:type="spellEnd"/>
      <w:r>
        <w:t xml:space="preserve">, </w:t>
      </w:r>
      <w:r>
        <w:rPr>
          <w:i/>
        </w:rPr>
        <w:t>Bishop’s Candlesticks</w:t>
      </w:r>
      <w:r>
        <w:t>, 13.</w:t>
      </w:r>
      <w:proofErr w:type="gramEnd"/>
    </w:p>
  </w:footnote>
  <w:footnote w:id="13">
    <w:p w:rsidR="00FC7313" w:rsidRPr="008063AE" w:rsidRDefault="00FC7313" w:rsidP="00E05202">
      <w:pPr>
        <w:pStyle w:val="FootnoteText"/>
      </w:pPr>
      <w:r>
        <w:rPr>
          <w:rStyle w:val="FootnoteReference"/>
        </w:rPr>
        <w:footnoteRef/>
      </w:r>
      <w:r>
        <w:t xml:space="preserve"> </w:t>
      </w:r>
      <w:proofErr w:type="spellStart"/>
      <w:proofErr w:type="gramStart"/>
      <w:r>
        <w:t>McKinnel</w:t>
      </w:r>
      <w:proofErr w:type="spellEnd"/>
      <w:r>
        <w:t xml:space="preserve">, </w:t>
      </w:r>
      <w:r>
        <w:rPr>
          <w:i/>
        </w:rPr>
        <w:t>Bishop’s Candlesticks</w:t>
      </w:r>
      <w:r>
        <w:t>, 20.</w:t>
      </w:r>
      <w:proofErr w:type="gramEnd"/>
    </w:p>
  </w:footnote>
  <w:footnote w:id="14">
    <w:p w:rsidR="00FC7313" w:rsidRPr="00805E20" w:rsidRDefault="00FC7313">
      <w:pPr>
        <w:pStyle w:val="FootnoteText"/>
      </w:pPr>
      <w:r>
        <w:rPr>
          <w:rStyle w:val="FootnoteReference"/>
        </w:rPr>
        <w:footnoteRef/>
      </w:r>
      <w:r>
        <w:t xml:space="preserve"> Karen Steele, </w:t>
      </w:r>
      <w:r>
        <w:rPr>
          <w:i/>
        </w:rPr>
        <w:t xml:space="preserve">Women, Press, and Politics During the Irish Revival </w:t>
      </w:r>
      <w:r>
        <w:t>(Syracuse: Syracuse UP), 146.</w:t>
      </w:r>
    </w:p>
  </w:footnote>
  <w:footnote w:id="15">
    <w:p w:rsidR="00FC7313" w:rsidRPr="00F85D99" w:rsidRDefault="00FC7313">
      <w:pPr>
        <w:pStyle w:val="FootnoteText"/>
      </w:pPr>
      <w:r>
        <w:rPr>
          <w:rStyle w:val="FootnoteReference"/>
        </w:rPr>
        <w:footnoteRef/>
      </w:r>
      <w:r>
        <w:t xml:space="preserve"> Andrew Patrick Wilson, </w:t>
      </w:r>
      <w:r>
        <w:rPr>
          <w:i/>
        </w:rPr>
        <w:t>Victims</w:t>
      </w:r>
      <w:r>
        <w:t xml:space="preserve"> in </w:t>
      </w:r>
      <w:r>
        <w:rPr>
          <w:i/>
        </w:rPr>
        <w:t>Irish Worker</w:t>
      </w:r>
      <w:r>
        <w:t>, Christmas Number (21 Dec 1912), I-III.</w:t>
      </w:r>
    </w:p>
  </w:footnote>
  <w:footnote w:id="16">
    <w:p w:rsidR="00FC7313" w:rsidRPr="00EA454C" w:rsidRDefault="00FC7313" w:rsidP="00251C7F">
      <w:pPr>
        <w:pStyle w:val="FootnoteText"/>
      </w:pPr>
      <w:r w:rsidRPr="00EA454C">
        <w:rPr>
          <w:rStyle w:val="FootnoteReference"/>
        </w:rPr>
        <w:footnoteRef/>
      </w:r>
      <w:r w:rsidRPr="00EA454C">
        <w:t xml:space="preserve"> </w:t>
      </w:r>
      <w:r>
        <w:t xml:space="preserve">Steven </w:t>
      </w:r>
      <w:proofErr w:type="spellStart"/>
      <w:r>
        <w:t>Dedalus</w:t>
      </w:r>
      <w:proofErr w:type="spellEnd"/>
      <w:r>
        <w:t xml:space="preserve"> </w:t>
      </w:r>
      <w:r w:rsidRPr="00EA454C">
        <w:t>Burch</w:t>
      </w:r>
      <w:r>
        <w:t xml:space="preserve">, </w:t>
      </w:r>
      <w:r>
        <w:rPr>
          <w:i/>
        </w:rPr>
        <w:t>Andrew P. Wilson and the Early Irish and Scottish National Theatres, 1911-1950</w:t>
      </w:r>
      <w:r>
        <w:t xml:space="preserve"> (Lewiston: Edwin </w:t>
      </w:r>
      <w:proofErr w:type="spellStart"/>
      <w:r>
        <w:t>Mellen</w:t>
      </w:r>
      <w:proofErr w:type="spellEnd"/>
      <w:r>
        <w:t>, 2008), 28.</w:t>
      </w:r>
    </w:p>
  </w:footnote>
  <w:footnote w:id="17">
    <w:p w:rsidR="00FC7313" w:rsidRPr="002B659A" w:rsidRDefault="00FC7313">
      <w:pPr>
        <w:pStyle w:val="FootnoteText"/>
      </w:pPr>
      <w:r>
        <w:rPr>
          <w:rStyle w:val="FootnoteReference"/>
        </w:rPr>
        <w:footnoteRef/>
      </w:r>
      <w:r>
        <w:t xml:space="preserve"> Wilson, </w:t>
      </w:r>
      <w:r>
        <w:rPr>
          <w:i/>
        </w:rPr>
        <w:t>Victims</w:t>
      </w:r>
      <w:r>
        <w:t>, III.</w:t>
      </w:r>
    </w:p>
  </w:footnote>
  <w:footnote w:id="18">
    <w:p w:rsidR="00FC7313" w:rsidRPr="00F85D99" w:rsidRDefault="00FC7313">
      <w:pPr>
        <w:pStyle w:val="FootnoteText"/>
      </w:pPr>
      <w:r>
        <w:rPr>
          <w:rStyle w:val="FootnoteReference"/>
        </w:rPr>
        <w:footnoteRef/>
      </w:r>
      <w:r>
        <w:t xml:space="preserve"> Wilson, </w:t>
      </w:r>
      <w:r>
        <w:rPr>
          <w:i/>
        </w:rPr>
        <w:t>Victims</w:t>
      </w:r>
      <w:r>
        <w:t>, II.</w:t>
      </w:r>
    </w:p>
  </w:footnote>
  <w:footnote w:id="19">
    <w:p w:rsidR="00FC7313" w:rsidRPr="00550F1F" w:rsidRDefault="00FC7313" w:rsidP="00702BA2">
      <w:pPr>
        <w:pStyle w:val="FootnoteText"/>
      </w:pPr>
      <w:r>
        <w:rPr>
          <w:rStyle w:val="FootnoteReference"/>
        </w:rPr>
        <w:footnoteRef/>
      </w:r>
      <w:r>
        <w:t xml:space="preserve"> Kershaw, </w:t>
      </w:r>
      <w:r>
        <w:rPr>
          <w:i/>
        </w:rPr>
        <w:t xml:space="preserve">The Politics of Performance: radical theatre as cultural intervention </w:t>
      </w:r>
      <w:r>
        <w:t xml:space="preserve">(London: </w:t>
      </w:r>
      <w:proofErr w:type="spellStart"/>
      <w:r>
        <w:t>Routledge</w:t>
      </w:r>
      <w:proofErr w:type="spellEnd"/>
      <w:r>
        <w:t>, 1992), 80.</w:t>
      </w:r>
    </w:p>
  </w:footnote>
  <w:footnote w:id="20">
    <w:p w:rsidR="00FC7313" w:rsidRPr="002B659A" w:rsidRDefault="00FC7313">
      <w:pPr>
        <w:pStyle w:val="FootnoteText"/>
      </w:pPr>
      <w:r>
        <w:rPr>
          <w:rStyle w:val="FootnoteReference"/>
        </w:rPr>
        <w:footnoteRef/>
      </w:r>
      <w:r>
        <w:t xml:space="preserve"> </w:t>
      </w:r>
      <w:proofErr w:type="gramStart"/>
      <w:r>
        <w:t xml:space="preserve">Wilson, </w:t>
      </w:r>
      <w:r>
        <w:rPr>
          <w:i/>
        </w:rPr>
        <w:t>Victims</w:t>
      </w:r>
      <w:r>
        <w:t>, I.</w:t>
      </w:r>
      <w:proofErr w:type="gramEnd"/>
    </w:p>
  </w:footnote>
  <w:footnote w:id="21">
    <w:p w:rsidR="00FC7313" w:rsidRPr="00AD0F2A" w:rsidRDefault="00FC7313" w:rsidP="008852AA">
      <w:pPr>
        <w:pStyle w:val="FootnoteText"/>
      </w:pPr>
      <w:r>
        <w:rPr>
          <w:rStyle w:val="FootnoteReference"/>
        </w:rPr>
        <w:footnoteRef/>
      </w:r>
      <w:r>
        <w:t xml:space="preserve"> George Brandon Saul, </w:t>
      </w:r>
      <w:proofErr w:type="spellStart"/>
      <w:r>
        <w:rPr>
          <w:i/>
        </w:rPr>
        <w:t>Seumas</w:t>
      </w:r>
      <w:proofErr w:type="spellEnd"/>
      <w:r>
        <w:rPr>
          <w:i/>
        </w:rPr>
        <w:t xml:space="preserve"> O’Kelly</w:t>
      </w:r>
      <w:r>
        <w:t xml:space="preserve"> (</w:t>
      </w:r>
      <w:proofErr w:type="spellStart"/>
      <w:r>
        <w:t>Lewisberg</w:t>
      </w:r>
      <w:proofErr w:type="spellEnd"/>
      <w:r>
        <w:t xml:space="preserve">: </w:t>
      </w:r>
      <w:proofErr w:type="spellStart"/>
      <w:r>
        <w:t>Bucknell</w:t>
      </w:r>
      <w:proofErr w:type="spellEnd"/>
      <w:r>
        <w:t xml:space="preserve"> University Press, 1971), 24-25.</w:t>
      </w:r>
    </w:p>
  </w:footnote>
  <w:footnote w:id="22">
    <w:p w:rsidR="00FC7313" w:rsidRPr="00924412" w:rsidRDefault="00FC7313">
      <w:pPr>
        <w:pStyle w:val="FootnoteText"/>
      </w:pPr>
      <w:r>
        <w:rPr>
          <w:rStyle w:val="FootnoteReference"/>
        </w:rPr>
        <w:footnoteRef/>
      </w:r>
      <w:r>
        <w:t xml:space="preserve"> </w:t>
      </w:r>
      <w:proofErr w:type="spellStart"/>
      <w:r>
        <w:t>Seumas</w:t>
      </w:r>
      <w:proofErr w:type="spellEnd"/>
      <w:r>
        <w:t xml:space="preserve"> O’Kelly, </w:t>
      </w:r>
      <w:r>
        <w:rPr>
          <w:i/>
        </w:rPr>
        <w:t xml:space="preserve">The Matchmakers: a Comedy in One Act </w:t>
      </w:r>
      <w:r>
        <w:t>(Dublin: M.H. Gill &amp; Son, 1908), 21-23.</w:t>
      </w:r>
    </w:p>
  </w:footnote>
  <w:footnote w:id="23">
    <w:p w:rsidR="00FC7313" w:rsidRPr="00F1552B" w:rsidRDefault="00FC7313">
      <w:pPr>
        <w:pStyle w:val="FootnoteText"/>
      </w:pPr>
      <w:r>
        <w:rPr>
          <w:rStyle w:val="FootnoteReference"/>
        </w:rPr>
        <w:footnoteRef/>
      </w:r>
      <w:r>
        <w:t xml:space="preserve"> O’Kelly, </w:t>
      </w:r>
      <w:r>
        <w:rPr>
          <w:i/>
        </w:rPr>
        <w:t>Matchmakers</w:t>
      </w:r>
      <w:r>
        <w:t>, 27.</w:t>
      </w:r>
    </w:p>
  </w:footnote>
  <w:footnote w:id="24">
    <w:p w:rsidR="00FC7313" w:rsidRPr="009E688D" w:rsidRDefault="00FC7313">
      <w:pPr>
        <w:pStyle w:val="FootnoteText"/>
      </w:pPr>
      <w:r>
        <w:rPr>
          <w:rStyle w:val="FootnoteReference"/>
        </w:rPr>
        <w:footnoteRef/>
      </w:r>
      <w:r>
        <w:t xml:space="preserve"> O’Kelly, </w:t>
      </w:r>
      <w:r>
        <w:rPr>
          <w:i/>
        </w:rPr>
        <w:t>Matchmakers</w:t>
      </w:r>
      <w:r>
        <w:t>, 8.</w:t>
      </w:r>
    </w:p>
  </w:footnote>
  <w:footnote w:id="25">
    <w:p w:rsidR="00FC7313" w:rsidRPr="00F6178A" w:rsidRDefault="00FC7313">
      <w:pPr>
        <w:pStyle w:val="FootnoteText"/>
      </w:pPr>
      <w:r>
        <w:rPr>
          <w:rStyle w:val="FootnoteReference"/>
        </w:rPr>
        <w:footnoteRef/>
      </w:r>
      <w:r>
        <w:t xml:space="preserve"> O’Kelly, </w:t>
      </w:r>
      <w:r>
        <w:rPr>
          <w:i/>
        </w:rPr>
        <w:t>Matchmakers</w:t>
      </w:r>
      <w:r>
        <w:t>, 23.</w:t>
      </w:r>
    </w:p>
  </w:footnote>
  <w:footnote w:id="26">
    <w:p w:rsidR="00FC7313" w:rsidRPr="00286F1F" w:rsidRDefault="00FC7313">
      <w:pPr>
        <w:pStyle w:val="FootnoteText"/>
      </w:pPr>
      <w:r>
        <w:rPr>
          <w:rStyle w:val="FootnoteReference"/>
        </w:rPr>
        <w:footnoteRef/>
      </w:r>
      <w:r>
        <w:t xml:space="preserve"> Kershaw, </w:t>
      </w:r>
      <w:r>
        <w:rPr>
          <w:i/>
        </w:rPr>
        <w:t>Politics of Performance</w:t>
      </w:r>
      <w:r>
        <w:t>, 29.</w:t>
      </w:r>
    </w:p>
  </w:footnote>
  <w:footnote w:id="27">
    <w:p w:rsidR="00FC7313" w:rsidRPr="00A3304E" w:rsidRDefault="00FC7313" w:rsidP="00D95651">
      <w:pPr>
        <w:pStyle w:val="FootnoteText"/>
      </w:pPr>
      <w:r>
        <w:rPr>
          <w:rStyle w:val="FootnoteReference"/>
        </w:rPr>
        <w:footnoteRef/>
      </w:r>
      <w:r>
        <w:t xml:space="preserve"> For the relativity of ideological meaning discussed in an Irish context, see Adrian Frazier, ‘The Ideology of the Abbey Theatre’ in </w:t>
      </w:r>
      <w:r>
        <w:rPr>
          <w:i/>
        </w:rPr>
        <w:t>Cambridge Companion to Twentieth-Century Irish Drama</w:t>
      </w:r>
      <w:r>
        <w:t xml:space="preserve"> (Cambridge: Cambridge University Press, 2004), 39; for a mo</w:t>
      </w:r>
      <w:r w:rsidR="00893511">
        <w:t xml:space="preserve">re theoretical reading, see </w:t>
      </w:r>
      <w:r>
        <w:t xml:space="preserve">Kershaw, </w:t>
      </w:r>
      <w:r>
        <w:rPr>
          <w:i/>
        </w:rPr>
        <w:t>The Politics of Performance</w:t>
      </w:r>
      <w:r>
        <w:t>, 33.</w:t>
      </w:r>
    </w:p>
  </w:footnote>
  <w:footnote w:id="28">
    <w:p w:rsidR="00FC7313" w:rsidRPr="006841EA" w:rsidRDefault="00FC7313" w:rsidP="000A731F">
      <w:pPr>
        <w:pStyle w:val="FootnoteText"/>
      </w:pPr>
      <w:r>
        <w:rPr>
          <w:rStyle w:val="FootnoteReference"/>
        </w:rPr>
        <w:footnoteRef/>
      </w:r>
      <w:r>
        <w:t xml:space="preserve"> Steele, </w:t>
      </w:r>
      <w:r>
        <w:rPr>
          <w:i/>
        </w:rPr>
        <w:t>Women, Press, and Politics</w:t>
      </w:r>
      <w:r>
        <w:t xml:space="preserve">, 158-59 and E. Sullivan Jr., Letter to the Editor, </w:t>
      </w:r>
      <w:r>
        <w:rPr>
          <w:i/>
        </w:rPr>
        <w:t xml:space="preserve">Irish Worker </w:t>
      </w:r>
      <w:r>
        <w:t>(23 May 1914), 4.</w:t>
      </w:r>
    </w:p>
  </w:footnote>
  <w:footnote w:id="29">
    <w:p w:rsidR="00FC7313" w:rsidRPr="00744960" w:rsidRDefault="00FC7313" w:rsidP="00BE3CC1">
      <w:pPr>
        <w:pStyle w:val="FootnoteText"/>
      </w:pPr>
      <w:r>
        <w:rPr>
          <w:rStyle w:val="FootnoteReference"/>
        </w:rPr>
        <w:footnoteRef/>
      </w:r>
      <w:r>
        <w:t xml:space="preserve"> Gregory, </w:t>
      </w:r>
      <w:r>
        <w:rPr>
          <w:i/>
        </w:rPr>
        <w:t>Seven Short Plays</w:t>
      </w:r>
      <w:r>
        <w:t>, 207.</w:t>
      </w:r>
    </w:p>
  </w:footnote>
  <w:footnote w:id="30">
    <w:p w:rsidR="00FC7313" w:rsidRPr="00443902" w:rsidRDefault="00FC7313">
      <w:pPr>
        <w:pStyle w:val="FootnoteText"/>
      </w:pPr>
      <w:r>
        <w:rPr>
          <w:rStyle w:val="FootnoteReference"/>
        </w:rPr>
        <w:footnoteRef/>
      </w:r>
      <w:r>
        <w:t xml:space="preserve"> Steele, </w:t>
      </w:r>
      <w:r>
        <w:rPr>
          <w:i/>
        </w:rPr>
        <w:t>Women, Press, and Politics</w:t>
      </w:r>
      <w:r>
        <w:t>, 165.</w:t>
      </w:r>
    </w:p>
  </w:footnote>
  <w:footnote w:id="31">
    <w:p w:rsidR="00FC7313" w:rsidRPr="005F6909" w:rsidRDefault="00FC7313">
      <w:pPr>
        <w:pStyle w:val="FootnoteText"/>
      </w:pPr>
      <w:r>
        <w:rPr>
          <w:rStyle w:val="FootnoteReference"/>
        </w:rPr>
        <w:footnoteRef/>
      </w:r>
      <w:r>
        <w:t xml:space="preserve"> Steele, </w:t>
      </w:r>
      <w:r>
        <w:rPr>
          <w:i/>
        </w:rPr>
        <w:t>Women, Press, and Politics</w:t>
      </w:r>
      <w:r>
        <w:t>, 166.</w:t>
      </w:r>
    </w:p>
  </w:footnote>
  <w:footnote w:id="32">
    <w:p w:rsidR="00FC7313" w:rsidRPr="00F12926" w:rsidRDefault="00FC7313" w:rsidP="00EF3209">
      <w:pPr>
        <w:pStyle w:val="FootnoteText"/>
      </w:pPr>
      <w:r>
        <w:rPr>
          <w:rStyle w:val="FootnoteReference"/>
        </w:rPr>
        <w:footnoteRef/>
      </w:r>
      <w:r>
        <w:t xml:space="preserve"> William Boyle, </w:t>
      </w:r>
      <w:r>
        <w:rPr>
          <w:i/>
        </w:rPr>
        <w:t>The Building Fund</w:t>
      </w:r>
      <w:r>
        <w:t xml:space="preserve"> (Dublin: </w:t>
      </w:r>
      <w:proofErr w:type="spellStart"/>
      <w:r>
        <w:t>Maunsel</w:t>
      </w:r>
      <w:proofErr w:type="spellEnd"/>
      <w:r>
        <w:t>, 1905), 49.</w:t>
      </w:r>
    </w:p>
  </w:footnote>
  <w:footnote w:id="33">
    <w:p w:rsidR="00FC7313" w:rsidRPr="000F5E49" w:rsidRDefault="00FC7313">
      <w:pPr>
        <w:pStyle w:val="FootnoteText"/>
      </w:pPr>
      <w:r>
        <w:rPr>
          <w:rStyle w:val="FootnoteReference"/>
        </w:rPr>
        <w:footnoteRef/>
      </w:r>
      <w:r>
        <w:t xml:space="preserve"> </w:t>
      </w:r>
      <w:proofErr w:type="gramStart"/>
      <w:r>
        <w:t xml:space="preserve">D.E.S. Maxwell, ‘Yeats and the </w:t>
      </w:r>
      <w:proofErr w:type="spellStart"/>
      <w:r>
        <w:t>Irishry</w:t>
      </w:r>
      <w:proofErr w:type="spellEnd"/>
      <w:r>
        <w:t xml:space="preserve">’, </w:t>
      </w:r>
      <w:r>
        <w:rPr>
          <w:i/>
        </w:rPr>
        <w:t>Canadian Journal of Irish Studies</w:t>
      </w:r>
      <w:r>
        <w:t xml:space="preserve"> 1.1 (Jun 1975), 27-38, 32.</w:t>
      </w:r>
      <w:proofErr w:type="gramEnd"/>
    </w:p>
  </w:footnote>
  <w:footnote w:id="34">
    <w:p w:rsidR="00FC7313" w:rsidRPr="00AC6EFE" w:rsidRDefault="00FC7313">
      <w:pPr>
        <w:pStyle w:val="FootnoteText"/>
      </w:pPr>
      <w:r>
        <w:rPr>
          <w:rStyle w:val="FootnoteReference"/>
        </w:rPr>
        <w:footnoteRef/>
      </w:r>
      <w:r>
        <w:t xml:space="preserve"> Robert Welch, </w:t>
      </w:r>
      <w:r>
        <w:rPr>
          <w:i/>
        </w:rPr>
        <w:t xml:space="preserve">The Abbey Theatre, 1899-1999: Form &amp; Pressure </w:t>
      </w:r>
      <w:r>
        <w:t>(Oxford: Oxford University Press, 1999),</w:t>
      </w:r>
      <w:r>
        <w:rPr>
          <w:i/>
        </w:rPr>
        <w:t xml:space="preserve"> </w:t>
      </w:r>
      <w:r>
        <w:t>37.</w:t>
      </w:r>
    </w:p>
  </w:footnote>
  <w:footnote w:id="35">
    <w:p w:rsidR="00FC7313" w:rsidRPr="00B70E9E" w:rsidRDefault="00FC7313">
      <w:pPr>
        <w:pStyle w:val="FootnoteText"/>
      </w:pPr>
      <w:r>
        <w:rPr>
          <w:rStyle w:val="FootnoteReference"/>
        </w:rPr>
        <w:footnoteRef/>
      </w:r>
      <w:r>
        <w:t xml:space="preserve"> Mary Trotter, </w:t>
      </w:r>
      <w:r>
        <w:rPr>
          <w:i/>
        </w:rPr>
        <w:t xml:space="preserve">Ireland’s National Theatres: Political Performance and the Origins of the Irish Dramatic Movement </w:t>
      </w:r>
      <w:r>
        <w:t>(Syracuse: Syracuse UP, 2001), 121-22.</w:t>
      </w:r>
    </w:p>
  </w:footnote>
  <w:footnote w:id="36">
    <w:p w:rsidR="00FC7313" w:rsidRPr="00FB545F" w:rsidRDefault="00FC7313" w:rsidP="00744FC2">
      <w:pPr>
        <w:pStyle w:val="FootnoteText"/>
      </w:pPr>
      <w:r>
        <w:rPr>
          <w:rStyle w:val="FootnoteReference"/>
        </w:rPr>
        <w:footnoteRef/>
      </w:r>
      <w:r>
        <w:t xml:space="preserve"> </w:t>
      </w:r>
      <w:proofErr w:type="gramStart"/>
      <w:r>
        <w:t xml:space="preserve">Boyle, </w:t>
      </w:r>
      <w:r>
        <w:rPr>
          <w:i/>
        </w:rPr>
        <w:t>Building Fund</w:t>
      </w:r>
      <w:r>
        <w:t>, 24-25.</w:t>
      </w:r>
      <w:proofErr w:type="gramEnd"/>
    </w:p>
  </w:footnote>
  <w:footnote w:id="37">
    <w:p w:rsidR="00FC7313" w:rsidRPr="00ED3B7E" w:rsidRDefault="00FC7313" w:rsidP="00744FC2">
      <w:pPr>
        <w:pStyle w:val="FootnoteText"/>
      </w:pPr>
      <w:r>
        <w:rPr>
          <w:rStyle w:val="FootnoteReference"/>
        </w:rPr>
        <w:footnoteRef/>
      </w:r>
      <w:r>
        <w:t xml:space="preserve"> </w:t>
      </w:r>
      <w:proofErr w:type="gramStart"/>
      <w:r>
        <w:t xml:space="preserve">Boyle, </w:t>
      </w:r>
      <w:r>
        <w:rPr>
          <w:i/>
        </w:rPr>
        <w:t>Building Fund</w:t>
      </w:r>
      <w:r>
        <w:t>, 31.</w:t>
      </w:r>
      <w:proofErr w:type="gramEnd"/>
    </w:p>
  </w:footnote>
  <w:footnote w:id="38">
    <w:p w:rsidR="00FC7313" w:rsidRPr="00851536" w:rsidRDefault="00FC7313">
      <w:pPr>
        <w:pStyle w:val="FootnoteText"/>
      </w:pPr>
      <w:r>
        <w:rPr>
          <w:rStyle w:val="FootnoteReference"/>
        </w:rPr>
        <w:footnoteRef/>
      </w:r>
      <w:r>
        <w:t xml:space="preserve"> Steve Wilmer, ‘Travesties: Ideologies and the Irish Theatre Renaissance’, </w:t>
      </w:r>
      <w:r>
        <w:rPr>
          <w:i/>
        </w:rPr>
        <w:t>Theatre Ireland</w:t>
      </w:r>
      <w:r>
        <w:t xml:space="preserve"> 28 (Summer 1992), 33-37, 36.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44A6"/>
    <w:rsid w:val="00002CBF"/>
    <w:rsid w:val="00011F2B"/>
    <w:rsid w:val="00012253"/>
    <w:rsid w:val="00055541"/>
    <w:rsid w:val="00060D09"/>
    <w:rsid w:val="000869C4"/>
    <w:rsid w:val="000A731F"/>
    <w:rsid w:val="000E5127"/>
    <w:rsid w:val="000E7198"/>
    <w:rsid w:val="000F4A45"/>
    <w:rsid w:val="000F5036"/>
    <w:rsid w:val="000F5E49"/>
    <w:rsid w:val="00124DDE"/>
    <w:rsid w:val="0012552B"/>
    <w:rsid w:val="001375B2"/>
    <w:rsid w:val="001513E0"/>
    <w:rsid w:val="00152F1A"/>
    <w:rsid w:val="00157569"/>
    <w:rsid w:val="001577A7"/>
    <w:rsid w:val="00160760"/>
    <w:rsid w:val="0017618D"/>
    <w:rsid w:val="001A5784"/>
    <w:rsid w:val="001B6FAE"/>
    <w:rsid w:val="001E4F5B"/>
    <w:rsid w:val="001F2C03"/>
    <w:rsid w:val="00232E90"/>
    <w:rsid w:val="0023662A"/>
    <w:rsid w:val="00242D0E"/>
    <w:rsid w:val="00251C7F"/>
    <w:rsid w:val="00252D45"/>
    <w:rsid w:val="00260283"/>
    <w:rsid w:val="0026515B"/>
    <w:rsid w:val="00285F06"/>
    <w:rsid w:val="00286F1F"/>
    <w:rsid w:val="00292BBF"/>
    <w:rsid w:val="00297AD4"/>
    <w:rsid w:val="002B3276"/>
    <w:rsid w:val="002B349A"/>
    <w:rsid w:val="002B659A"/>
    <w:rsid w:val="002C0F36"/>
    <w:rsid w:val="002C5527"/>
    <w:rsid w:val="002F1BF1"/>
    <w:rsid w:val="00301811"/>
    <w:rsid w:val="003026EC"/>
    <w:rsid w:val="00313E53"/>
    <w:rsid w:val="00320A32"/>
    <w:rsid w:val="003225D3"/>
    <w:rsid w:val="00322E7A"/>
    <w:rsid w:val="003406AD"/>
    <w:rsid w:val="003564CE"/>
    <w:rsid w:val="0036300E"/>
    <w:rsid w:val="00370035"/>
    <w:rsid w:val="0037637F"/>
    <w:rsid w:val="0038074B"/>
    <w:rsid w:val="003830B2"/>
    <w:rsid w:val="00387CA6"/>
    <w:rsid w:val="00393CDD"/>
    <w:rsid w:val="003973C5"/>
    <w:rsid w:val="003A2E88"/>
    <w:rsid w:val="003A3E4C"/>
    <w:rsid w:val="003B2526"/>
    <w:rsid w:val="003B2D95"/>
    <w:rsid w:val="003C055A"/>
    <w:rsid w:val="00404262"/>
    <w:rsid w:val="00410B02"/>
    <w:rsid w:val="00431FB2"/>
    <w:rsid w:val="00440EAD"/>
    <w:rsid w:val="00443902"/>
    <w:rsid w:val="004477B9"/>
    <w:rsid w:val="0045606E"/>
    <w:rsid w:val="0047136A"/>
    <w:rsid w:val="00475A2D"/>
    <w:rsid w:val="004A3D7B"/>
    <w:rsid w:val="004C562A"/>
    <w:rsid w:val="004D1629"/>
    <w:rsid w:val="004E7CE6"/>
    <w:rsid w:val="00504426"/>
    <w:rsid w:val="00521784"/>
    <w:rsid w:val="00524473"/>
    <w:rsid w:val="005244A6"/>
    <w:rsid w:val="00526B7B"/>
    <w:rsid w:val="00541E5F"/>
    <w:rsid w:val="00550F1F"/>
    <w:rsid w:val="00554711"/>
    <w:rsid w:val="005558E2"/>
    <w:rsid w:val="005630E0"/>
    <w:rsid w:val="00576407"/>
    <w:rsid w:val="005A5D65"/>
    <w:rsid w:val="005D063B"/>
    <w:rsid w:val="005F6909"/>
    <w:rsid w:val="006014A3"/>
    <w:rsid w:val="006079A9"/>
    <w:rsid w:val="00621E41"/>
    <w:rsid w:val="0062492C"/>
    <w:rsid w:val="006725A6"/>
    <w:rsid w:val="006762B1"/>
    <w:rsid w:val="006826EB"/>
    <w:rsid w:val="006841EA"/>
    <w:rsid w:val="00687C1C"/>
    <w:rsid w:val="006A26F4"/>
    <w:rsid w:val="006A3998"/>
    <w:rsid w:val="00702BA2"/>
    <w:rsid w:val="00703DC4"/>
    <w:rsid w:val="00711944"/>
    <w:rsid w:val="00716522"/>
    <w:rsid w:val="0072561E"/>
    <w:rsid w:val="007261D6"/>
    <w:rsid w:val="00744FC2"/>
    <w:rsid w:val="007A065E"/>
    <w:rsid w:val="007A0F54"/>
    <w:rsid w:val="007C1560"/>
    <w:rsid w:val="007D25D1"/>
    <w:rsid w:val="007E2F7F"/>
    <w:rsid w:val="007F11F8"/>
    <w:rsid w:val="007F7C83"/>
    <w:rsid w:val="00805E20"/>
    <w:rsid w:val="008063AE"/>
    <w:rsid w:val="00823CB0"/>
    <w:rsid w:val="00851536"/>
    <w:rsid w:val="008527DC"/>
    <w:rsid w:val="008601DF"/>
    <w:rsid w:val="0086589B"/>
    <w:rsid w:val="00866FF5"/>
    <w:rsid w:val="008852AA"/>
    <w:rsid w:val="00893511"/>
    <w:rsid w:val="008A5025"/>
    <w:rsid w:val="008B4D44"/>
    <w:rsid w:val="008B6A77"/>
    <w:rsid w:val="008D0111"/>
    <w:rsid w:val="008E17AA"/>
    <w:rsid w:val="0091538C"/>
    <w:rsid w:val="00917C3B"/>
    <w:rsid w:val="00924412"/>
    <w:rsid w:val="00937B6A"/>
    <w:rsid w:val="009457A0"/>
    <w:rsid w:val="0095395A"/>
    <w:rsid w:val="00962733"/>
    <w:rsid w:val="00962E6B"/>
    <w:rsid w:val="009A1D6B"/>
    <w:rsid w:val="009A7A34"/>
    <w:rsid w:val="009C4152"/>
    <w:rsid w:val="009D28B7"/>
    <w:rsid w:val="009E688D"/>
    <w:rsid w:val="009F29A5"/>
    <w:rsid w:val="009F4434"/>
    <w:rsid w:val="00A02356"/>
    <w:rsid w:val="00A02736"/>
    <w:rsid w:val="00A057C3"/>
    <w:rsid w:val="00A1174A"/>
    <w:rsid w:val="00A12997"/>
    <w:rsid w:val="00A3304E"/>
    <w:rsid w:val="00A40C7B"/>
    <w:rsid w:val="00A45270"/>
    <w:rsid w:val="00A459F9"/>
    <w:rsid w:val="00A512F3"/>
    <w:rsid w:val="00A71F9D"/>
    <w:rsid w:val="00A72865"/>
    <w:rsid w:val="00A80A6C"/>
    <w:rsid w:val="00AB657B"/>
    <w:rsid w:val="00AC6EFE"/>
    <w:rsid w:val="00AD0F2A"/>
    <w:rsid w:val="00AF151D"/>
    <w:rsid w:val="00B33500"/>
    <w:rsid w:val="00B45FC3"/>
    <w:rsid w:val="00B54D1D"/>
    <w:rsid w:val="00B54F7E"/>
    <w:rsid w:val="00B61192"/>
    <w:rsid w:val="00B61ABE"/>
    <w:rsid w:val="00B649C4"/>
    <w:rsid w:val="00B672C5"/>
    <w:rsid w:val="00B70E9E"/>
    <w:rsid w:val="00BA4A22"/>
    <w:rsid w:val="00BC7AE1"/>
    <w:rsid w:val="00BD479A"/>
    <w:rsid w:val="00BD766A"/>
    <w:rsid w:val="00BE3CC1"/>
    <w:rsid w:val="00BF7982"/>
    <w:rsid w:val="00C161AD"/>
    <w:rsid w:val="00C23208"/>
    <w:rsid w:val="00C37BB2"/>
    <w:rsid w:val="00C41639"/>
    <w:rsid w:val="00C52AC2"/>
    <w:rsid w:val="00C63A44"/>
    <w:rsid w:val="00C76F93"/>
    <w:rsid w:val="00C77862"/>
    <w:rsid w:val="00C91E77"/>
    <w:rsid w:val="00CC6132"/>
    <w:rsid w:val="00CD2BE5"/>
    <w:rsid w:val="00CD32E7"/>
    <w:rsid w:val="00D1191E"/>
    <w:rsid w:val="00D2068F"/>
    <w:rsid w:val="00D61A8D"/>
    <w:rsid w:val="00D63093"/>
    <w:rsid w:val="00D64D8A"/>
    <w:rsid w:val="00D65C57"/>
    <w:rsid w:val="00D738B9"/>
    <w:rsid w:val="00D95651"/>
    <w:rsid w:val="00DC1197"/>
    <w:rsid w:val="00DE2506"/>
    <w:rsid w:val="00DF26B0"/>
    <w:rsid w:val="00E04C60"/>
    <w:rsid w:val="00E05202"/>
    <w:rsid w:val="00E129D4"/>
    <w:rsid w:val="00E211EF"/>
    <w:rsid w:val="00E330E5"/>
    <w:rsid w:val="00E5054D"/>
    <w:rsid w:val="00E609C8"/>
    <w:rsid w:val="00E85F9D"/>
    <w:rsid w:val="00E94977"/>
    <w:rsid w:val="00E95DA7"/>
    <w:rsid w:val="00EA1B5D"/>
    <w:rsid w:val="00EA454C"/>
    <w:rsid w:val="00EA7DFD"/>
    <w:rsid w:val="00EB75F6"/>
    <w:rsid w:val="00EC4229"/>
    <w:rsid w:val="00ED2094"/>
    <w:rsid w:val="00EE0424"/>
    <w:rsid w:val="00EF3209"/>
    <w:rsid w:val="00F1552B"/>
    <w:rsid w:val="00F319BB"/>
    <w:rsid w:val="00F31AF7"/>
    <w:rsid w:val="00F35E79"/>
    <w:rsid w:val="00F42862"/>
    <w:rsid w:val="00F6178A"/>
    <w:rsid w:val="00F67ECD"/>
    <w:rsid w:val="00F767FB"/>
    <w:rsid w:val="00F80630"/>
    <w:rsid w:val="00F85D99"/>
    <w:rsid w:val="00F86876"/>
    <w:rsid w:val="00F9575D"/>
    <w:rsid w:val="00FA28AE"/>
    <w:rsid w:val="00FB450D"/>
    <w:rsid w:val="00FB66CA"/>
    <w:rsid w:val="00FC7313"/>
  </w:rsids>
  <m:mathPr>
    <m:mathFont m:val="Gill Sans M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5630E0"/>
  </w:style>
  <w:style w:type="character" w:customStyle="1" w:styleId="FootnoteTextChar">
    <w:name w:val="Footnote Text Char"/>
    <w:basedOn w:val="DefaultParagraphFont"/>
    <w:link w:val="FootnoteText"/>
    <w:uiPriority w:val="99"/>
    <w:semiHidden/>
    <w:rsid w:val="005630E0"/>
  </w:style>
  <w:style w:type="character" w:styleId="FootnoteReference">
    <w:name w:val="footnote reference"/>
    <w:basedOn w:val="DefaultParagraphFont"/>
    <w:uiPriority w:val="99"/>
    <w:semiHidden/>
    <w:unhideWhenUsed/>
    <w:rsid w:val="005630E0"/>
    <w:rPr>
      <w:vertAlign w:val="superscript"/>
    </w:rPr>
  </w:style>
  <w:style w:type="paragraph" w:styleId="BalloonText">
    <w:name w:val="Balloon Text"/>
    <w:basedOn w:val="Normal"/>
    <w:link w:val="BalloonTextChar"/>
    <w:uiPriority w:val="99"/>
    <w:semiHidden/>
    <w:unhideWhenUsed/>
    <w:rsid w:val="00BA4A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A4A22"/>
    <w:rPr>
      <w:rFonts w:ascii="Lucida Grande" w:hAnsi="Lucida Grande"/>
      <w:sz w:val="18"/>
      <w:szCs w:val="18"/>
    </w:rPr>
  </w:style>
  <w:style w:type="paragraph" w:styleId="Header">
    <w:name w:val="header"/>
    <w:basedOn w:val="Normal"/>
    <w:link w:val="HeaderChar"/>
    <w:uiPriority w:val="99"/>
    <w:semiHidden/>
    <w:unhideWhenUsed/>
    <w:rsid w:val="00A71F9D"/>
    <w:pPr>
      <w:tabs>
        <w:tab w:val="center" w:pos="4320"/>
        <w:tab w:val="right" w:pos="8640"/>
      </w:tabs>
    </w:pPr>
  </w:style>
  <w:style w:type="character" w:customStyle="1" w:styleId="HeaderChar">
    <w:name w:val="Header Char"/>
    <w:basedOn w:val="DefaultParagraphFont"/>
    <w:link w:val="Header"/>
    <w:uiPriority w:val="99"/>
    <w:semiHidden/>
    <w:rsid w:val="00A71F9D"/>
  </w:style>
  <w:style w:type="paragraph" w:styleId="Footer">
    <w:name w:val="footer"/>
    <w:basedOn w:val="Normal"/>
    <w:link w:val="FooterChar"/>
    <w:uiPriority w:val="99"/>
    <w:semiHidden/>
    <w:unhideWhenUsed/>
    <w:rsid w:val="00A71F9D"/>
    <w:pPr>
      <w:tabs>
        <w:tab w:val="center" w:pos="4320"/>
        <w:tab w:val="right" w:pos="8640"/>
      </w:tabs>
    </w:pPr>
  </w:style>
  <w:style w:type="character" w:customStyle="1" w:styleId="FooterChar">
    <w:name w:val="Footer Char"/>
    <w:basedOn w:val="DefaultParagraphFont"/>
    <w:link w:val="Footer"/>
    <w:uiPriority w:val="99"/>
    <w:semiHidden/>
    <w:rsid w:val="00A71F9D"/>
  </w:style>
  <w:style w:type="paragraph" w:styleId="ListParagraph">
    <w:name w:val="List Paragraph"/>
    <w:basedOn w:val="Normal"/>
    <w:uiPriority w:val="34"/>
    <w:qFormat/>
    <w:rsid w:val="00744FC2"/>
    <w:pPr>
      <w:ind w:left="720"/>
      <w:contextualSpacing/>
    </w:pPr>
    <w:rPr>
      <w:rFonts w:ascii="Cambria" w:eastAsia="Cambria" w:hAnsi="Cambria" w:cs="Times New Roman"/>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5588</Words>
  <Characters>28503</Characters>
  <Application>Microsoft Macintosh Word</Application>
  <DocSecurity>0</DocSecurity>
  <Lines>537</Lines>
  <Paragraphs>54</Paragraphs>
  <ScaleCrop>false</ScaleCrop>
  <LinksUpToDate>false</LinksUpToDate>
  <CharactersWithSpaces>39121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Arrington</dc:creator>
  <cp:keywords/>
  <cp:lastModifiedBy>Lauren Arrington</cp:lastModifiedBy>
  <cp:revision>12</cp:revision>
  <dcterms:created xsi:type="dcterms:W3CDTF">2013-01-09T08:54:00Z</dcterms:created>
  <dcterms:modified xsi:type="dcterms:W3CDTF">2013-01-09T09:20:00Z</dcterms:modified>
</cp:coreProperties>
</file>