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37" w:rsidRPr="001C1D37" w:rsidRDefault="001C1D37" w:rsidP="001C1D37">
      <w:pPr>
        <w:autoSpaceDE w:val="0"/>
        <w:autoSpaceDN w:val="0"/>
        <w:adjustRightInd w:val="0"/>
        <w:rPr>
          <w:rFonts w:eastAsia="Calibri"/>
          <w:b/>
          <w:bCs/>
          <w:lang w:eastAsia="en-GB"/>
        </w:rPr>
      </w:pPr>
      <w:r w:rsidRPr="001C1D37">
        <w:rPr>
          <w:rFonts w:eastAsia="Calibri"/>
          <w:b/>
          <w:bCs/>
          <w:lang w:eastAsia="en-GB"/>
        </w:rPr>
        <w:t>Time-dependent efficacy of longitudinal biomarker for clinical endpoint</w:t>
      </w:r>
    </w:p>
    <w:p w:rsidR="001C1D37" w:rsidRPr="001C1D37" w:rsidRDefault="001C1D37" w:rsidP="001C1D37">
      <w:pPr>
        <w:rPr>
          <w:rFonts w:eastAsia="Calibri"/>
          <w:b/>
          <w:bCs/>
          <w:color w:val="2B2B2B"/>
          <w:lang w:eastAsia="en-GB"/>
        </w:rPr>
      </w:pPr>
    </w:p>
    <w:p w:rsidR="001C1D37" w:rsidRPr="001C1D37" w:rsidRDefault="001C1D37" w:rsidP="001C1D37">
      <w:pPr>
        <w:autoSpaceDE w:val="0"/>
        <w:autoSpaceDN w:val="0"/>
        <w:adjustRightInd w:val="0"/>
        <w:rPr>
          <w:rFonts w:eastAsia="Calibri"/>
          <w:lang w:eastAsia="en-GB"/>
        </w:rPr>
      </w:pPr>
      <w:r w:rsidRPr="001C1D37">
        <w:rPr>
          <w:rFonts w:eastAsia="Calibri"/>
          <w:b/>
          <w:lang w:eastAsia="en-GB"/>
        </w:rPr>
        <w:t>Abstract:</w:t>
      </w:r>
      <w:r w:rsidRPr="001C1D37">
        <w:rPr>
          <w:rFonts w:eastAsia="Calibri"/>
          <w:lang w:eastAsia="en-GB"/>
        </w:rPr>
        <w:t xml:space="preserve"> Joint modelling of longitudinal biomarker and event-time processes has gained its popularity in recent years as they yield more accurate and precise estimates. Considering this modelling framework, a new methodology for evaluating the time-dependent efficacy of a longitudinal biomarker for clinical endpoint is proposed in this article. In particular, the proposed model assesses how well longitudinally repeated measurements of a biomarker over various time periods (0</w:t>
      </w:r>
      <w:proofErr w:type="gramStart"/>
      <w:r w:rsidRPr="001C1D37">
        <w:rPr>
          <w:rFonts w:eastAsia="Calibri"/>
          <w:lang w:eastAsia="en-GB"/>
        </w:rPr>
        <w:t>,t</w:t>
      </w:r>
      <w:proofErr w:type="gramEnd"/>
      <w:r w:rsidRPr="001C1D37">
        <w:rPr>
          <w:rFonts w:eastAsia="Calibri"/>
          <w:lang w:eastAsia="en-GB"/>
        </w:rPr>
        <w:t>) distinguishes between individuals who developed the disease by time t and individuals who remain disease-free beyond time t. The receiver operating characteristic (ROC) curve is used to provide the corresponding efficacy summaries at various t based on the association between longitudinal biomarker trajectory and risk of clinical endpoint prior to each time point. The model also allows detecting the time period over which a biomarker should be monitored for its best discriminatory value. The proposed approach is evaluated through simulation and illustrated on the motivating dataset from a prospective observational study of biomarkers to diagnose the onset of sepsis.</w:t>
      </w:r>
    </w:p>
    <w:p w:rsidR="001C1D37" w:rsidRPr="001C1D37" w:rsidRDefault="001C1D37" w:rsidP="001C1D37">
      <w:pPr>
        <w:autoSpaceDE w:val="0"/>
        <w:autoSpaceDN w:val="0"/>
        <w:adjustRightInd w:val="0"/>
        <w:rPr>
          <w:rFonts w:eastAsia="Calibri"/>
          <w:lang w:eastAsia="en-GB"/>
        </w:rPr>
      </w:pPr>
    </w:p>
    <w:p w:rsidR="001C1D37" w:rsidRDefault="001C1D37" w:rsidP="001C1D37">
      <w:pPr>
        <w:autoSpaceDE w:val="0"/>
        <w:autoSpaceDN w:val="0"/>
        <w:adjustRightInd w:val="0"/>
        <w:rPr>
          <w:b/>
          <w:bCs/>
          <w:sz w:val="28"/>
          <w:szCs w:val="28"/>
          <w:lang w:val="en-US"/>
        </w:rPr>
      </w:pPr>
      <w:r w:rsidRPr="001C1D37">
        <w:rPr>
          <w:rFonts w:eastAsia="Calibri"/>
          <w:b/>
          <w:lang w:eastAsia="en-GB"/>
        </w:rPr>
        <w:t>Keywords</w:t>
      </w:r>
      <w:r w:rsidRPr="001C1D37">
        <w:rPr>
          <w:rFonts w:eastAsia="Calibri"/>
          <w:lang w:eastAsia="en-GB"/>
        </w:rPr>
        <w:t xml:space="preserve">: Joint modelling, </w:t>
      </w:r>
      <w:proofErr w:type="gramStart"/>
      <w:r w:rsidRPr="001C1D37">
        <w:rPr>
          <w:rFonts w:eastAsia="Calibri"/>
          <w:lang w:eastAsia="en-GB"/>
        </w:rPr>
        <w:t>Longitudinal</w:t>
      </w:r>
      <w:proofErr w:type="gramEnd"/>
      <w:r w:rsidRPr="001C1D37">
        <w:rPr>
          <w:rFonts w:eastAsia="Calibri"/>
          <w:lang w:eastAsia="en-GB"/>
        </w:rPr>
        <w:t xml:space="preserve"> biomarker, Time to event, ROC methodology, Sepsis</w:t>
      </w:r>
      <w:r>
        <w:rPr>
          <w:b/>
          <w:bCs/>
          <w:sz w:val="28"/>
          <w:szCs w:val="28"/>
          <w:lang w:val="en-US"/>
        </w:rPr>
        <w:br w:type="page"/>
      </w:r>
    </w:p>
    <w:p w:rsidR="00E14016" w:rsidRPr="001C1D37" w:rsidRDefault="00E14016" w:rsidP="001C1D37">
      <w:pPr>
        <w:pStyle w:val="NoSpacing"/>
        <w:rPr>
          <w:rFonts w:ascii="Times New Roman" w:eastAsia="Times New Roman" w:hAnsi="Times New Roman"/>
          <w:b/>
          <w:bCs/>
          <w:sz w:val="28"/>
          <w:szCs w:val="28"/>
          <w:lang w:val="en-US"/>
        </w:rPr>
      </w:pPr>
      <w:r w:rsidRPr="001C1D37">
        <w:rPr>
          <w:rFonts w:ascii="Times New Roman" w:eastAsia="Times New Roman" w:hAnsi="Times New Roman"/>
          <w:b/>
          <w:bCs/>
          <w:sz w:val="28"/>
          <w:szCs w:val="28"/>
          <w:lang w:val="en-US"/>
        </w:rPr>
        <w:lastRenderedPageBreak/>
        <w:t xml:space="preserve">Time-dependent efficacy of </w:t>
      </w:r>
      <w:r w:rsidRPr="001C1D37">
        <w:rPr>
          <w:rFonts w:ascii="Times New Roman" w:hAnsi="Times New Roman"/>
          <w:b/>
          <w:sz w:val="28"/>
          <w:szCs w:val="28"/>
        </w:rPr>
        <w:t xml:space="preserve">longitudinal </w:t>
      </w:r>
      <w:r w:rsidRPr="001C1D37">
        <w:rPr>
          <w:rFonts w:ascii="Times New Roman" w:eastAsia="Times New Roman" w:hAnsi="Times New Roman"/>
          <w:b/>
          <w:bCs/>
          <w:sz w:val="28"/>
          <w:szCs w:val="28"/>
          <w:lang w:val="en-US"/>
        </w:rPr>
        <w:t>biomarker for clinical endpoint</w:t>
      </w:r>
    </w:p>
    <w:p w:rsidR="00F05836" w:rsidRPr="001C1D37" w:rsidRDefault="00F05836" w:rsidP="001C1D37">
      <w:pPr>
        <w:pStyle w:val="NoSpacing"/>
        <w:rPr>
          <w:rFonts w:ascii="Times New Roman" w:eastAsia="Times New Roman" w:hAnsi="Times New Roman"/>
          <w:b/>
          <w:bCs/>
          <w:sz w:val="24"/>
          <w:szCs w:val="24"/>
          <w:lang w:val="en-US"/>
        </w:rPr>
      </w:pPr>
    </w:p>
    <w:p w:rsidR="00657040" w:rsidRPr="001C1D37" w:rsidRDefault="00657040" w:rsidP="001C1D37">
      <w:pPr>
        <w:rPr>
          <w:b/>
          <w:sz w:val="28"/>
          <w:szCs w:val="28"/>
        </w:rPr>
      </w:pPr>
    </w:p>
    <w:p w:rsidR="003860EE" w:rsidRDefault="005F24EC" w:rsidP="001C1D37">
      <w:pPr>
        <w:rPr>
          <w:b/>
          <w:sz w:val="28"/>
          <w:szCs w:val="28"/>
        </w:rPr>
      </w:pPr>
      <w:r w:rsidRPr="001C1D37">
        <w:rPr>
          <w:b/>
          <w:sz w:val="28"/>
          <w:szCs w:val="28"/>
        </w:rPr>
        <w:t>1</w:t>
      </w:r>
      <w:r w:rsidR="00C372B9" w:rsidRPr="001C1D37">
        <w:rPr>
          <w:b/>
          <w:sz w:val="28"/>
          <w:szCs w:val="28"/>
        </w:rPr>
        <w:t xml:space="preserve">. </w:t>
      </w:r>
      <w:r w:rsidRPr="001C1D37">
        <w:rPr>
          <w:b/>
          <w:sz w:val="28"/>
          <w:szCs w:val="28"/>
        </w:rPr>
        <w:t xml:space="preserve"> Introduction</w:t>
      </w:r>
    </w:p>
    <w:p w:rsidR="00B80FE8" w:rsidRPr="001C1D37" w:rsidRDefault="00B80FE8" w:rsidP="001C1D37">
      <w:pPr>
        <w:rPr>
          <w:b/>
          <w:sz w:val="28"/>
          <w:szCs w:val="28"/>
        </w:rPr>
      </w:pPr>
    </w:p>
    <w:p w:rsidR="004B0B1B" w:rsidRPr="001C1D37" w:rsidRDefault="00D0467E" w:rsidP="001C1D37">
      <w:pPr>
        <w:rPr>
          <w:lang w:eastAsia="en-GB"/>
        </w:rPr>
      </w:pPr>
      <w:r w:rsidRPr="001C1D37">
        <w:t>Many clinical and biomedical studies are aimed at discovering biomarkers that can accurately signal a clinical endpoint, e.g. measures of liver function such as pro-thrombin index as indicators of liver fibrosis [1], and in clinical practice, e.g. in critical care, rapid tests of biomarkers hold the promise of prompt diagnosis of diseases such as sepsis for an improved outcome [2].  In medical diagnostic research, receiver operating characteristics (ROC) curves are well established for assessing how well a biomarker is capable of discriminating between individuals who experience the disease onset (</w:t>
      </w:r>
      <w:r w:rsidRPr="001C1D37">
        <w:rPr>
          <w:i/>
        </w:rPr>
        <w:t>cases</w:t>
      </w:r>
      <w:r w:rsidRPr="001C1D37">
        <w:t>) from individuals who do not (</w:t>
      </w:r>
      <w:r w:rsidRPr="001C1D37">
        <w:rPr>
          <w:i/>
        </w:rPr>
        <w:t>controls</w:t>
      </w:r>
      <w:r w:rsidRPr="001C1D37">
        <w:t>) [3]. Often diagnostic accuracy study protocols are based on binary (</w:t>
      </w:r>
      <w:r w:rsidRPr="001C1D37">
        <w:rPr>
          <w:i/>
        </w:rPr>
        <w:t>case</w:t>
      </w:r>
      <w:r w:rsidRPr="001C1D37">
        <w:t>/</w:t>
      </w:r>
      <w:r w:rsidRPr="001C1D37">
        <w:rPr>
          <w:i/>
        </w:rPr>
        <w:t>control</w:t>
      </w:r>
      <w:r w:rsidRPr="001C1D37">
        <w:t>) disease outcome with a single biomarker measurement at baseline; however many disease outcomes and biomarkers are time dependent. Therefore, incorporating the time dimension in ROC analysis has recently been actively researched</w:t>
      </w:r>
      <w:r w:rsidR="004D141D" w:rsidRPr="001C1D37">
        <w:t xml:space="preserve"> </w:t>
      </w:r>
      <w:r w:rsidRPr="001C1D37">
        <w:t xml:space="preserve">focusing on two factors: disease status is changing over time, and biomarker is measured longitudinally and varies with time. However, complications arise when </w:t>
      </w:r>
      <w:r w:rsidR="00DA5078" w:rsidRPr="001C1D37">
        <w:t>event-time (</w:t>
      </w:r>
      <w:r w:rsidR="007D45EB" w:rsidRPr="001C1D37">
        <w:t xml:space="preserve">e.g. </w:t>
      </w:r>
      <w:r w:rsidR="00DA5078" w:rsidRPr="001C1D37">
        <w:t>time to disease onset)</w:t>
      </w:r>
      <w:r w:rsidRPr="001C1D37">
        <w:t xml:space="preserve"> is censored and biomarker is measured intermittently. </w:t>
      </w:r>
      <w:r w:rsidR="007D45EB" w:rsidRPr="001C1D37">
        <w:t xml:space="preserve">The </w:t>
      </w:r>
      <w:r w:rsidR="00D26BAF" w:rsidRPr="001C1D37">
        <w:t>current</w:t>
      </w:r>
      <w:r w:rsidR="006B2E12" w:rsidRPr="001C1D37">
        <w:t xml:space="preserve"> time-dependent ROC approaches deal with either a fixed (usually baseline) biomarker with censored </w:t>
      </w:r>
      <w:r w:rsidR="00DA5078" w:rsidRPr="001C1D37">
        <w:t>event-time</w:t>
      </w:r>
      <w:r w:rsidR="006B2E12" w:rsidRPr="001C1D37">
        <w:t xml:space="preserve"> or address longitudinal nature of biomarkers with uncensored clinical endpoints</w:t>
      </w:r>
      <w:r w:rsidR="00D61958" w:rsidRPr="001C1D37">
        <w:t xml:space="preserve"> </w:t>
      </w:r>
      <w:r w:rsidR="00D61958" w:rsidRPr="001C1D37">
        <w:rPr>
          <w:rFonts w:eastAsia="Calibri"/>
        </w:rPr>
        <w:t>[</w:t>
      </w:r>
      <w:r w:rsidR="008716F2" w:rsidRPr="001C1D37">
        <w:rPr>
          <w:rFonts w:eastAsia="Calibri"/>
        </w:rPr>
        <w:t>4</w:t>
      </w:r>
      <w:r w:rsidR="00D61958" w:rsidRPr="001C1D37">
        <w:rPr>
          <w:rFonts w:eastAsia="Calibri"/>
        </w:rPr>
        <w:t xml:space="preserve">, </w:t>
      </w:r>
      <w:r w:rsidR="008716F2" w:rsidRPr="001C1D37">
        <w:rPr>
          <w:rFonts w:eastAsia="Calibri"/>
        </w:rPr>
        <w:t>5</w:t>
      </w:r>
      <w:r w:rsidR="00D61958" w:rsidRPr="001C1D37">
        <w:rPr>
          <w:rFonts w:eastAsia="Calibri"/>
        </w:rPr>
        <w:t xml:space="preserve">, </w:t>
      </w:r>
      <w:r w:rsidR="008716F2" w:rsidRPr="001C1D37">
        <w:rPr>
          <w:rFonts w:eastAsia="Calibri"/>
        </w:rPr>
        <w:t>6-8</w:t>
      </w:r>
      <w:r w:rsidR="00D61958" w:rsidRPr="001C1D37">
        <w:rPr>
          <w:rFonts w:eastAsia="Calibri"/>
        </w:rPr>
        <w:t>]</w:t>
      </w:r>
      <w:r w:rsidR="006B2E12" w:rsidRPr="001C1D37">
        <w:t xml:space="preserve">. </w:t>
      </w:r>
      <w:r w:rsidR="006278BB" w:rsidRPr="001C1D37">
        <w:t xml:space="preserve">However, </w:t>
      </w:r>
      <w:r w:rsidR="002B402D" w:rsidRPr="001C1D37">
        <w:t xml:space="preserve">unless </w:t>
      </w:r>
      <w:r w:rsidR="006B2E12" w:rsidRPr="001C1D37">
        <w:t xml:space="preserve">information on longitudinal biomarker and censored </w:t>
      </w:r>
      <w:r w:rsidR="00DA5078" w:rsidRPr="001C1D37">
        <w:t xml:space="preserve">event-time processes </w:t>
      </w:r>
      <w:r w:rsidR="007D45EB" w:rsidRPr="001C1D37">
        <w:t>are</w:t>
      </w:r>
      <w:r w:rsidR="006B2E12" w:rsidRPr="001C1D37">
        <w:t xml:space="preserve"> combined</w:t>
      </w:r>
      <w:r w:rsidR="00DA5078" w:rsidRPr="001C1D37">
        <w:t xml:space="preserve"> correctly</w:t>
      </w:r>
      <w:r w:rsidR="006B2E12" w:rsidRPr="001C1D37">
        <w:t>, t</w:t>
      </w:r>
      <w:r w:rsidR="004B0B1B" w:rsidRPr="001C1D37">
        <w:t xml:space="preserve">he intermittently measured biomarker and </w:t>
      </w:r>
      <w:proofErr w:type="spellStart"/>
      <w:r w:rsidR="004B0B1B" w:rsidRPr="001C1D37">
        <w:t>missingness</w:t>
      </w:r>
      <w:proofErr w:type="spellEnd"/>
      <w:r w:rsidR="004B0B1B" w:rsidRPr="001C1D37">
        <w:t xml:space="preserve"> in measurement schedule could lead to misleading inference about the regression parameters that describe the true association between a prospective biomarker and subsequent risk of clinical endpoint</w:t>
      </w:r>
      <w:r w:rsidR="006B2E12" w:rsidRPr="001C1D37">
        <w:t>. Further,</w:t>
      </w:r>
      <w:r w:rsidR="004B0B1B" w:rsidRPr="001C1D37">
        <w:t xml:space="preserve"> the measurement </w:t>
      </w:r>
      <w:r w:rsidR="004B0B1B" w:rsidRPr="001C1D37">
        <w:lastRenderedPageBreak/>
        <w:t>error may hinder the explanatory power of the biomarker</w:t>
      </w:r>
      <w:r w:rsidR="004B0B1B" w:rsidRPr="001C1D37">
        <w:rPr>
          <w:vertAlign w:val="superscript"/>
        </w:rPr>
        <w:t xml:space="preserve"> </w:t>
      </w:r>
      <w:r w:rsidR="004B0B1B" w:rsidRPr="001C1D37">
        <w:t>causing the estimated parameters to be biased towards the null [</w:t>
      </w:r>
      <w:r w:rsidR="008716F2" w:rsidRPr="001C1D37">
        <w:t>9</w:t>
      </w:r>
      <w:r w:rsidR="004B0B1B" w:rsidRPr="001C1D37">
        <w:t xml:space="preserve">, </w:t>
      </w:r>
      <w:r w:rsidR="008716F2" w:rsidRPr="001C1D37">
        <w:t>10</w:t>
      </w:r>
      <w:r w:rsidR="004B0B1B" w:rsidRPr="001C1D37">
        <w:t xml:space="preserve">]. </w:t>
      </w:r>
      <w:r w:rsidR="006B2E12" w:rsidRPr="001C1D37">
        <w:t>In standard</w:t>
      </w:r>
      <w:r w:rsidR="004B0B1B" w:rsidRPr="001C1D37">
        <w:rPr>
          <w:lang w:eastAsia="en-GB"/>
        </w:rPr>
        <w:t xml:space="preserve"> ROC </w:t>
      </w:r>
      <w:r w:rsidR="006B2E12" w:rsidRPr="001C1D37">
        <w:rPr>
          <w:lang w:eastAsia="en-GB"/>
        </w:rPr>
        <w:t>methodology</w:t>
      </w:r>
      <w:r w:rsidR="007D45EB" w:rsidRPr="001C1D37">
        <w:rPr>
          <w:lang w:eastAsia="en-GB"/>
        </w:rPr>
        <w:t xml:space="preserve"> (where time is assumed</w:t>
      </w:r>
      <w:r w:rsidR="00152472" w:rsidRPr="001C1D37">
        <w:rPr>
          <w:lang w:eastAsia="en-GB"/>
        </w:rPr>
        <w:t xml:space="preserve"> stationary</w:t>
      </w:r>
      <w:r w:rsidR="007D45EB" w:rsidRPr="001C1D37">
        <w:rPr>
          <w:lang w:eastAsia="en-GB"/>
        </w:rPr>
        <w:t>)</w:t>
      </w:r>
      <w:r w:rsidR="004B0B1B" w:rsidRPr="001C1D37">
        <w:t xml:space="preserve">, </w:t>
      </w:r>
      <w:proofErr w:type="spellStart"/>
      <w:r w:rsidR="004B0B1B" w:rsidRPr="001C1D37">
        <w:rPr>
          <w:iCs/>
        </w:rPr>
        <w:t>Faraggi</w:t>
      </w:r>
      <w:proofErr w:type="spellEnd"/>
      <w:r w:rsidR="004B0B1B" w:rsidRPr="001C1D37">
        <w:rPr>
          <w:iCs/>
        </w:rPr>
        <w:t xml:space="preserve"> [1</w:t>
      </w:r>
      <w:r w:rsidR="008716F2" w:rsidRPr="001C1D37">
        <w:rPr>
          <w:iCs/>
        </w:rPr>
        <w:t>1</w:t>
      </w:r>
      <w:r w:rsidR="004B0B1B" w:rsidRPr="001C1D37">
        <w:rPr>
          <w:iCs/>
        </w:rPr>
        <w:t xml:space="preserve">], </w:t>
      </w:r>
      <w:proofErr w:type="spellStart"/>
      <w:r w:rsidR="004B0B1B" w:rsidRPr="001C1D37">
        <w:rPr>
          <w:iCs/>
        </w:rPr>
        <w:t>Reiser</w:t>
      </w:r>
      <w:proofErr w:type="spellEnd"/>
      <w:r w:rsidR="004B0B1B" w:rsidRPr="001C1D37">
        <w:rPr>
          <w:iCs/>
        </w:rPr>
        <w:t xml:space="preserve"> [1</w:t>
      </w:r>
      <w:r w:rsidR="008716F2" w:rsidRPr="001C1D37">
        <w:rPr>
          <w:iCs/>
        </w:rPr>
        <w:t>2</w:t>
      </w:r>
      <w:r w:rsidR="004B0B1B" w:rsidRPr="001C1D37">
        <w:rPr>
          <w:iCs/>
        </w:rPr>
        <w:t xml:space="preserve">] and others also </w:t>
      </w:r>
      <w:r w:rsidR="004B0B1B" w:rsidRPr="001C1D37">
        <w:rPr>
          <w:lang w:eastAsia="en-GB"/>
        </w:rPr>
        <w:t xml:space="preserve">concerned about ignoring the measurement error of biomarker measurements and showed that the effect can be substantial on the decision as to the diagnostic effectiveness of the biomarker.  </w:t>
      </w:r>
      <w:r w:rsidR="006B2E12" w:rsidRPr="001C1D37">
        <w:rPr>
          <w:lang w:eastAsia="en-GB"/>
        </w:rPr>
        <w:t xml:space="preserve"> </w:t>
      </w:r>
    </w:p>
    <w:p w:rsidR="004B0B1B" w:rsidRPr="001C1D37" w:rsidRDefault="004B0B1B" w:rsidP="001C1D37">
      <w:pPr>
        <w:rPr>
          <w:lang w:eastAsia="en-GB"/>
        </w:rPr>
      </w:pPr>
    </w:p>
    <w:p w:rsidR="00333999" w:rsidRPr="001C1D37" w:rsidRDefault="00333999" w:rsidP="001C1D37">
      <w:pPr>
        <w:rPr>
          <w:lang w:eastAsia="en-GB"/>
        </w:rPr>
      </w:pPr>
    </w:p>
    <w:p w:rsidR="008D3378" w:rsidRPr="001C1D37" w:rsidRDefault="00EB7DB8" w:rsidP="001C1D37">
      <w:pPr>
        <w:rPr>
          <w:lang w:eastAsia="en-GB"/>
        </w:rPr>
      </w:pPr>
      <w:r w:rsidRPr="001C1D37">
        <w:rPr>
          <w:lang w:eastAsia="en-GB"/>
        </w:rPr>
        <w:t xml:space="preserve">The Cox proportional hazards (PH) </w:t>
      </w:r>
      <w:r w:rsidR="00152472" w:rsidRPr="001C1D37">
        <w:rPr>
          <w:lang w:eastAsia="en-GB"/>
        </w:rPr>
        <w:t xml:space="preserve">regression model </w:t>
      </w:r>
      <w:r w:rsidRPr="001C1D37">
        <w:rPr>
          <w:lang w:eastAsia="en-GB"/>
        </w:rPr>
        <w:t xml:space="preserve">including </w:t>
      </w:r>
      <w:r w:rsidR="00152472" w:rsidRPr="001C1D37">
        <w:rPr>
          <w:lang w:eastAsia="en-GB"/>
        </w:rPr>
        <w:t xml:space="preserve">the </w:t>
      </w:r>
      <w:r w:rsidRPr="001C1D37">
        <w:rPr>
          <w:lang w:eastAsia="en-GB"/>
        </w:rPr>
        <w:t xml:space="preserve">longitudinal </w:t>
      </w:r>
      <w:r w:rsidR="00DA5078" w:rsidRPr="001C1D37">
        <w:rPr>
          <w:lang w:eastAsia="en-GB"/>
        </w:rPr>
        <w:t>biomarker</w:t>
      </w:r>
      <w:r w:rsidRPr="001C1D37">
        <w:rPr>
          <w:lang w:eastAsia="en-GB"/>
        </w:rPr>
        <w:t xml:space="preserve"> as a time-varying covariate ha</w:t>
      </w:r>
      <w:r w:rsidR="00152472" w:rsidRPr="001C1D37">
        <w:rPr>
          <w:lang w:eastAsia="en-GB"/>
        </w:rPr>
        <w:t>ve</w:t>
      </w:r>
      <w:r w:rsidRPr="001C1D37">
        <w:rPr>
          <w:lang w:eastAsia="en-GB"/>
        </w:rPr>
        <w:t xml:space="preserve"> achieved widespread use in the analysis of censored event-time outcome</w:t>
      </w:r>
      <w:r w:rsidR="00DA5078" w:rsidRPr="001C1D37">
        <w:rPr>
          <w:lang w:eastAsia="en-GB"/>
        </w:rPr>
        <w:t>s</w:t>
      </w:r>
      <w:r w:rsidRPr="001C1D37">
        <w:rPr>
          <w:lang w:eastAsia="en-GB"/>
        </w:rPr>
        <w:t xml:space="preserve"> </w:t>
      </w:r>
      <w:r w:rsidR="00152472" w:rsidRPr="001C1D37">
        <w:rPr>
          <w:lang w:eastAsia="en-GB"/>
        </w:rPr>
        <w:t xml:space="preserve">in order </w:t>
      </w:r>
      <w:r w:rsidRPr="001C1D37">
        <w:rPr>
          <w:lang w:eastAsia="en-GB"/>
        </w:rPr>
        <w:t xml:space="preserve">to predict the risk of a clinical endpoint on </w:t>
      </w:r>
      <w:r w:rsidR="00152472" w:rsidRPr="001C1D37">
        <w:rPr>
          <w:lang w:eastAsia="en-GB"/>
        </w:rPr>
        <w:t xml:space="preserve">a </w:t>
      </w:r>
      <w:r w:rsidRPr="001C1D37">
        <w:rPr>
          <w:lang w:eastAsia="en-GB"/>
        </w:rPr>
        <w:t xml:space="preserve">longitudinal biomarker </w:t>
      </w:r>
      <w:r w:rsidR="00DA5078" w:rsidRPr="001C1D37">
        <w:rPr>
          <w:lang w:eastAsia="en-GB"/>
        </w:rPr>
        <w:t xml:space="preserve">(for example, Fisher and Lin </w:t>
      </w:r>
      <w:r w:rsidRPr="001C1D37">
        <w:rPr>
          <w:lang w:eastAsia="en-GB"/>
        </w:rPr>
        <w:t>[</w:t>
      </w:r>
      <w:r w:rsidR="008716F2" w:rsidRPr="001C1D37">
        <w:rPr>
          <w:lang w:eastAsia="en-GB"/>
        </w:rPr>
        <w:t>13</w:t>
      </w:r>
      <w:r w:rsidRPr="001C1D37">
        <w:rPr>
          <w:lang w:eastAsia="en-GB"/>
        </w:rPr>
        <w:t>]</w:t>
      </w:r>
      <w:r w:rsidR="00DA5078" w:rsidRPr="001C1D37">
        <w:rPr>
          <w:lang w:eastAsia="en-GB"/>
        </w:rPr>
        <w:t>)</w:t>
      </w:r>
      <w:r w:rsidRPr="001C1D37">
        <w:rPr>
          <w:lang w:eastAsia="en-GB"/>
        </w:rPr>
        <w:t xml:space="preserve">. </w:t>
      </w:r>
      <w:r w:rsidR="00152472" w:rsidRPr="001C1D37">
        <w:rPr>
          <w:lang w:eastAsia="en-GB"/>
        </w:rPr>
        <w:t xml:space="preserve">However, </w:t>
      </w:r>
      <w:r w:rsidRPr="001C1D37">
        <w:rPr>
          <w:lang w:eastAsia="en-GB"/>
        </w:rPr>
        <w:t xml:space="preserve">Cox PH implementation requires that the longitudinal </w:t>
      </w:r>
      <w:r w:rsidR="00152472" w:rsidRPr="001C1D37">
        <w:rPr>
          <w:lang w:eastAsia="en-GB"/>
        </w:rPr>
        <w:t>measurement</w:t>
      </w:r>
      <w:r w:rsidRPr="001C1D37">
        <w:rPr>
          <w:lang w:eastAsia="en-GB"/>
        </w:rPr>
        <w:t xml:space="preserve"> is available at each </w:t>
      </w:r>
      <w:r w:rsidR="00DA5078" w:rsidRPr="001C1D37">
        <w:rPr>
          <w:lang w:eastAsia="en-GB"/>
        </w:rPr>
        <w:t>event</w:t>
      </w:r>
      <w:r w:rsidRPr="001C1D37">
        <w:rPr>
          <w:lang w:eastAsia="en-GB"/>
        </w:rPr>
        <w:t xml:space="preserve"> time </w:t>
      </w:r>
      <w:r w:rsidR="00152472" w:rsidRPr="001C1D37">
        <w:rPr>
          <w:lang w:eastAsia="en-GB"/>
        </w:rPr>
        <w:t>while</w:t>
      </w:r>
      <w:r w:rsidRPr="001C1D37">
        <w:rPr>
          <w:lang w:eastAsia="en-GB"/>
        </w:rPr>
        <w:t xml:space="preserve"> the </w:t>
      </w:r>
      <w:r w:rsidR="00152472" w:rsidRPr="001C1D37">
        <w:rPr>
          <w:lang w:eastAsia="en-GB"/>
        </w:rPr>
        <w:t xml:space="preserve">measurement </w:t>
      </w:r>
      <w:r w:rsidRPr="001C1D37">
        <w:rPr>
          <w:lang w:eastAsia="en-GB"/>
        </w:rPr>
        <w:t xml:space="preserve">is collected on each individual intermittently at </w:t>
      </w:r>
      <w:r w:rsidR="00152472" w:rsidRPr="001C1D37">
        <w:rPr>
          <w:lang w:eastAsia="en-GB"/>
        </w:rPr>
        <w:t>a</w:t>
      </w:r>
      <w:r w:rsidRPr="001C1D37">
        <w:rPr>
          <w:lang w:eastAsia="en-GB"/>
        </w:rPr>
        <w:t xml:space="preserve"> </w:t>
      </w:r>
      <w:r w:rsidR="00152472" w:rsidRPr="001C1D37">
        <w:rPr>
          <w:lang w:eastAsia="en-GB"/>
        </w:rPr>
        <w:t xml:space="preserve">discrete </w:t>
      </w:r>
      <w:r w:rsidRPr="001C1D37">
        <w:rPr>
          <w:lang w:eastAsia="en-GB"/>
        </w:rPr>
        <w:t>set of time</w:t>
      </w:r>
      <w:r w:rsidR="00152472" w:rsidRPr="001C1D37">
        <w:rPr>
          <w:lang w:eastAsia="en-GB"/>
        </w:rPr>
        <w:t xml:space="preserve"> points,</w:t>
      </w:r>
      <w:r w:rsidR="00E35F7E" w:rsidRPr="001C1D37">
        <w:rPr>
          <w:lang w:eastAsia="en-GB"/>
        </w:rPr>
        <w:t xml:space="preserve"> and</w:t>
      </w:r>
      <w:r w:rsidR="00DA5078" w:rsidRPr="001C1D37">
        <w:rPr>
          <w:lang w:eastAsia="en-GB"/>
        </w:rPr>
        <w:t xml:space="preserve"> </w:t>
      </w:r>
      <w:r w:rsidR="008716F2" w:rsidRPr="001C1D37">
        <w:rPr>
          <w:lang w:eastAsia="en-GB"/>
        </w:rPr>
        <w:t xml:space="preserve">further, </w:t>
      </w:r>
      <w:r w:rsidRPr="001C1D37">
        <w:rPr>
          <w:lang w:eastAsia="en-GB"/>
        </w:rPr>
        <w:t xml:space="preserve">the observed biomarker </w:t>
      </w:r>
      <w:r w:rsidR="00152472" w:rsidRPr="001C1D37">
        <w:rPr>
          <w:lang w:eastAsia="en-GB"/>
        </w:rPr>
        <w:t xml:space="preserve">measurement </w:t>
      </w:r>
      <w:r w:rsidRPr="001C1D37">
        <w:rPr>
          <w:lang w:eastAsia="en-GB"/>
        </w:rPr>
        <w:t>may not be the “true” values due to some measurement error. Therefore, this model must be used with caution [</w:t>
      </w:r>
      <w:r w:rsidR="008716F2" w:rsidRPr="001C1D37">
        <w:rPr>
          <w:lang w:eastAsia="en-GB"/>
        </w:rPr>
        <w:t>13-15</w:t>
      </w:r>
      <w:r w:rsidRPr="001C1D37">
        <w:rPr>
          <w:lang w:eastAsia="en-GB"/>
        </w:rPr>
        <w:t>]. A further difficulty for making inference on the longitudinal process is that occurrence of the event-time outcome may induce an informative censoring. For example, individuals in more serious condition may be more likely to experience the clinical endpoint than healthier individuals leading to fewer biomarker measurements, and sharper rates of decline in the biomarker over time [</w:t>
      </w:r>
      <w:r w:rsidR="00470E2A" w:rsidRPr="001C1D37">
        <w:rPr>
          <w:lang w:eastAsia="en-GB"/>
        </w:rPr>
        <w:t>14</w:t>
      </w:r>
      <w:r w:rsidRPr="001C1D37">
        <w:rPr>
          <w:lang w:eastAsia="en-GB"/>
        </w:rPr>
        <w:t xml:space="preserve">]. </w:t>
      </w:r>
    </w:p>
    <w:p w:rsidR="00FF3531" w:rsidRPr="001C1D37" w:rsidRDefault="00FF3531" w:rsidP="001C1D37">
      <w:pPr>
        <w:rPr>
          <w:rFonts w:ascii="Calibri" w:hAnsi="Calibri"/>
          <w:sz w:val="22"/>
          <w:szCs w:val="22"/>
        </w:rPr>
      </w:pPr>
    </w:p>
    <w:p w:rsidR="00333999" w:rsidRPr="001C1D37" w:rsidRDefault="00333999" w:rsidP="001C1D37">
      <w:pPr>
        <w:rPr>
          <w:rFonts w:ascii="Calibri" w:hAnsi="Calibri"/>
          <w:sz w:val="22"/>
          <w:szCs w:val="22"/>
        </w:rPr>
      </w:pPr>
    </w:p>
    <w:p w:rsidR="00D0467E" w:rsidRPr="001C1D37" w:rsidRDefault="00D4759F" w:rsidP="001C1D37">
      <w:pPr>
        <w:autoSpaceDE w:val="0"/>
        <w:autoSpaceDN w:val="0"/>
        <w:adjustRightInd w:val="0"/>
      </w:pPr>
      <w:r w:rsidRPr="001C1D37">
        <w:t>Methodologies that jointly model both longitudinally repeated biomarker and censored event-time outcome</w:t>
      </w:r>
      <w:r w:rsidR="00470E2A" w:rsidRPr="001C1D37">
        <w:t xml:space="preserve"> processes</w:t>
      </w:r>
      <w:r w:rsidRPr="001C1D37">
        <w:t xml:space="preserve"> </w:t>
      </w:r>
      <w:r w:rsidR="0066753C" w:rsidRPr="001C1D37">
        <w:t xml:space="preserve">have rapidly been developed in the past decade and as demonstrated in many studies these models </w:t>
      </w:r>
      <w:r w:rsidRPr="001C1D37">
        <w:t>combine the information from the two processes more efficiently</w:t>
      </w:r>
      <w:r w:rsidR="0066753C" w:rsidRPr="001C1D37">
        <w:t xml:space="preserve"> (</w:t>
      </w:r>
      <w:r w:rsidR="00E35F7E" w:rsidRPr="001C1D37">
        <w:t>see Gould et al [</w:t>
      </w:r>
      <w:r w:rsidR="00470E2A" w:rsidRPr="001C1D37">
        <w:t>16</w:t>
      </w:r>
      <w:r w:rsidR="00E35F7E" w:rsidRPr="001C1D37">
        <w:t>]</w:t>
      </w:r>
      <w:r w:rsidR="00FF3531" w:rsidRPr="001C1D37">
        <w:t xml:space="preserve"> and </w:t>
      </w:r>
      <w:proofErr w:type="spellStart"/>
      <w:r w:rsidR="00FF3531" w:rsidRPr="001C1D37">
        <w:lastRenderedPageBreak/>
        <w:t>Tsiatis</w:t>
      </w:r>
      <w:proofErr w:type="spellEnd"/>
      <w:r w:rsidR="00FF3531" w:rsidRPr="001C1D37">
        <w:t xml:space="preserve"> and </w:t>
      </w:r>
      <w:proofErr w:type="spellStart"/>
      <w:r w:rsidR="00FF3531" w:rsidRPr="001C1D37">
        <w:t>Davidian</w:t>
      </w:r>
      <w:proofErr w:type="spellEnd"/>
      <w:r w:rsidR="00FF3531" w:rsidRPr="001C1D37">
        <w:t xml:space="preserve"> [</w:t>
      </w:r>
      <w:r w:rsidR="00470E2A" w:rsidRPr="001C1D37">
        <w:t>1</w:t>
      </w:r>
      <w:r w:rsidR="00FF3531" w:rsidRPr="001C1D37">
        <w:t>4]</w:t>
      </w:r>
      <w:r w:rsidR="00E35F7E" w:rsidRPr="001C1D37">
        <w:t xml:space="preserve"> for comprehensive review</w:t>
      </w:r>
      <w:r w:rsidR="00FF3531" w:rsidRPr="001C1D37">
        <w:t>s</w:t>
      </w:r>
      <w:r w:rsidR="00E35F7E" w:rsidRPr="001C1D37">
        <w:t xml:space="preserve"> of </w:t>
      </w:r>
      <w:r w:rsidR="000A1B03" w:rsidRPr="001C1D37">
        <w:t>such</w:t>
      </w:r>
      <w:r w:rsidR="00E35F7E" w:rsidRPr="001C1D37">
        <w:t xml:space="preserve"> modelling). </w:t>
      </w:r>
      <w:r w:rsidR="00223FD6" w:rsidRPr="001C1D37">
        <w:t>Henderson et al. [</w:t>
      </w:r>
      <w:r w:rsidR="00470E2A" w:rsidRPr="001C1D37">
        <w:t>1</w:t>
      </w:r>
      <w:r w:rsidR="00223FD6" w:rsidRPr="001C1D37">
        <w:t xml:space="preserve">7] and many others emphasised the importance of incorporating the complete biomarker information through a framework such as joint modelling </w:t>
      </w:r>
      <w:r w:rsidR="00E35F7E" w:rsidRPr="001C1D37">
        <w:t xml:space="preserve">in order </w:t>
      </w:r>
      <w:r w:rsidR="00EB7DB8" w:rsidRPr="001C1D37">
        <w:t xml:space="preserve">to </w:t>
      </w:r>
      <w:r w:rsidR="00E35F7E" w:rsidRPr="001C1D37">
        <w:t>avoid</w:t>
      </w:r>
      <w:r w:rsidR="00EB7DB8" w:rsidRPr="001C1D37">
        <w:t xml:space="preserve"> </w:t>
      </w:r>
      <w:r w:rsidR="00223FD6" w:rsidRPr="001C1D37">
        <w:t xml:space="preserve">biases due to intermittently measured biomarker, measurement error, and informative </w:t>
      </w:r>
      <w:proofErr w:type="spellStart"/>
      <w:r w:rsidR="00223FD6" w:rsidRPr="001C1D37">
        <w:t>missingness</w:t>
      </w:r>
      <w:proofErr w:type="spellEnd"/>
      <w:r w:rsidR="00223FD6" w:rsidRPr="001C1D37">
        <w:t xml:space="preserve"> in biomarker measurement schedule. </w:t>
      </w:r>
      <w:r w:rsidR="00E35F7E" w:rsidRPr="001C1D37">
        <w:t xml:space="preserve">However, </w:t>
      </w:r>
      <w:r w:rsidR="00D0467E" w:rsidRPr="001C1D37">
        <w:t xml:space="preserve">there has been very little research on adopting </w:t>
      </w:r>
      <w:r w:rsidR="000A1B03" w:rsidRPr="001C1D37">
        <w:t>this</w:t>
      </w:r>
      <w:r w:rsidR="00D0467E" w:rsidRPr="001C1D37">
        <w:t xml:space="preserve"> framework </w:t>
      </w:r>
      <w:r w:rsidR="00CD5404" w:rsidRPr="001C1D37">
        <w:t xml:space="preserve">within the ROC </w:t>
      </w:r>
      <w:r w:rsidR="00FF3531" w:rsidRPr="001C1D37">
        <w:t xml:space="preserve">curve analysis </w:t>
      </w:r>
      <w:r w:rsidR="0066753C" w:rsidRPr="001C1D37">
        <w:t xml:space="preserve">in estimating the discriminatory </w:t>
      </w:r>
      <w:r w:rsidR="00667876" w:rsidRPr="001C1D37">
        <w:t>value</w:t>
      </w:r>
      <w:r w:rsidR="0066753C" w:rsidRPr="001C1D37">
        <w:t xml:space="preserve"> of a longitudinal biomarker for clinical endpoint. </w:t>
      </w:r>
      <w:r w:rsidR="00D0467E" w:rsidRPr="001C1D37">
        <w:t>Proust-Lima and Taylor [1</w:t>
      </w:r>
      <w:r w:rsidR="00470E2A" w:rsidRPr="001C1D37">
        <w:t>8</w:t>
      </w:r>
      <w:r w:rsidR="00D0467E" w:rsidRPr="001C1D37">
        <w:t xml:space="preserve">] and </w:t>
      </w:r>
      <w:proofErr w:type="spellStart"/>
      <w:r w:rsidR="00D0467E" w:rsidRPr="001C1D37">
        <w:t>Garre</w:t>
      </w:r>
      <w:proofErr w:type="spellEnd"/>
      <w:r w:rsidR="00D0467E" w:rsidRPr="001C1D37">
        <w:t xml:space="preserve"> et al. [1</w:t>
      </w:r>
      <w:r w:rsidR="00470E2A" w:rsidRPr="001C1D37">
        <w:t>9</w:t>
      </w:r>
      <w:r w:rsidR="00D0467E" w:rsidRPr="001C1D37">
        <w:t>] assumed a joint model with latent classes to explain the association between the longitudinal and event-time outcomes and develop</w:t>
      </w:r>
      <w:r w:rsidR="00EE2CDF" w:rsidRPr="001C1D37">
        <w:t>ed</w:t>
      </w:r>
      <w:r w:rsidR="00D0467E" w:rsidRPr="001C1D37">
        <w:t xml:space="preserve"> a dynamic prognostic tool for early detection of the disease. Henderson et al. [</w:t>
      </w:r>
      <w:r w:rsidR="00470E2A" w:rsidRPr="001C1D37">
        <w:t>20</w:t>
      </w:r>
      <w:r w:rsidR="00D0467E" w:rsidRPr="001C1D37">
        <w:t xml:space="preserve">] has parameterised the underling association between longitudinal biomarker and event-time processes by </w:t>
      </w:r>
      <w:r w:rsidR="00D0467E" w:rsidRPr="001C1D37">
        <w:rPr>
          <w:bCs/>
        </w:rPr>
        <w:t xml:space="preserve">individual-level deviation </w:t>
      </w:r>
      <w:r w:rsidR="00D0467E" w:rsidRPr="001C1D37">
        <w:rPr>
          <w:rFonts w:eastAsia="Calibri"/>
        </w:rPr>
        <w:t xml:space="preserve">of the longitudinal profile from the population mean </w:t>
      </w:r>
      <w:r w:rsidR="00D0467E" w:rsidRPr="001C1D37">
        <w:t xml:space="preserve">and derived a </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 xml:space="preserve"> </m:t>
        </m:r>
      </m:oMath>
      <w:r w:rsidR="00D0467E" w:rsidRPr="001C1D37">
        <w:t xml:space="preserve">like statistic to quantify the predictive accuracy of a biomarker for a clinical endpoint. </w:t>
      </w:r>
      <w:proofErr w:type="spellStart"/>
      <w:r w:rsidR="00D0467E" w:rsidRPr="001C1D37">
        <w:t>Rizopoulos</w:t>
      </w:r>
      <w:proofErr w:type="spellEnd"/>
      <w:r w:rsidR="00D0467E" w:rsidRPr="001C1D37">
        <w:t xml:space="preserve"> [</w:t>
      </w:r>
      <w:r w:rsidR="00470E2A" w:rsidRPr="001C1D37">
        <w:t>21</w:t>
      </w:r>
      <w:r w:rsidR="00D0467E" w:rsidRPr="001C1D37">
        <w:t xml:space="preserve">] has assumed Gaussian latent effects with current value parameterisation and drawn accuracy summaries on predicted survival probabilities via the posterior expectation (an asymptotic Bayesian formulation) based on ROC methodology. </w:t>
      </w:r>
      <w:r w:rsidR="00476904" w:rsidRPr="001C1D37">
        <w:t xml:space="preserve">In these </w:t>
      </w:r>
      <w:r w:rsidR="005E3FF8" w:rsidRPr="001C1D37">
        <w:t xml:space="preserve">two-stage </w:t>
      </w:r>
      <w:r w:rsidR="00476904" w:rsidRPr="001C1D37">
        <w:t>approaches, t</w:t>
      </w:r>
      <w:r w:rsidR="007E3B27" w:rsidRPr="001C1D37">
        <w:t xml:space="preserve">he risk of </w:t>
      </w:r>
      <w:r w:rsidR="00476904" w:rsidRPr="001C1D37">
        <w:t>clinical endpoint</w:t>
      </w:r>
      <w:r w:rsidR="007E3B27" w:rsidRPr="001C1D37">
        <w:t xml:space="preserve"> is predicted at certain time points </w:t>
      </w:r>
      <w:r w:rsidR="00470E2A" w:rsidRPr="001C1D37">
        <w:t>by integrating the event-time distribution from the fitted joint model over the entire follow-up</w:t>
      </w:r>
      <w:r w:rsidR="007E3B27" w:rsidRPr="001C1D37">
        <w:t xml:space="preserve">. </w:t>
      </w:r>
      <w:r w:rsidR="00EE2CDF" w:rsidRPr="001C1D37">
        <w:t>These prediction approaches would be evidently valuable in everyday medical practice [</w:t>
      </w:r>
      <w:r w:rsidR="00470E2A" w:rsidRPr="001C1D37">
        <w:t>21</w:t>
      </w:r>
      <w:r w:rsidR="00EE2CDF" w:rsidRPr="001C1D37">
        <w:t>].</w:t>
      </w:r>
    </w:p>
    <w:p w:rsidR="00D0467E" w:rsidRPr="001C1D37" w:rsidRDefault="00D0467E" w:rsidP="001C1D37">
      <w:pPr>
        <w:autoSpaceDE w:val="0"/>
        <w:autoSpaceDN w:val="0"/>
        <w:adjustRightInd w:val="0"/>
      </w:pPr>
    </w:p>
    <w:p w:rsidR="00BF4A60" w:rsidRPr="001C1D37" w:rsidRDefault="00BF4A60" w:rsidP="001C1D37">
      <w:pPr>
        <w:autoSpaceDE w:val="0"/>
        <w:autoSpaceDN w:val="0"/>
        <w:adjustRightInd w:val="0"/>
      </w:pPr>
    </w:p>
    <w:p w:rsidR="00CB1227" w:rsidRPr="001C1D37" w:rsidRDefault="000B3731" w:rsidP="001C1D37">
      <w:pPr>
        <w:autoSpaceDE w:val="0"/>
        <w:autoSpaceDN w:val="0"/>
        <w:adjustRightInd w:val="0"/>
      </w:pPr>
      <w:r w:rsidRPr="001C1D37">
        <w:t xml:space="preserve">As its main contribution, this </w:t>
      </w:r>
      <w:r w:rsidR="00D0467E" w:rsidRPr="001C1D37">
        <w:t>article</w:t>
      </w:r>
      <w:r w:rsidRPr="001C1D37">
        <w:t xml:space="preserve"> provides </w:t>
      </w:r>
      <w:r w:rsidR="00D0467E" w:rsidRPr="001C1D37">
        <w:t xml:space="preserve">a new development of evaluating the </w:t>
      </w:r>
      <w:r w:rsidRPr="001C1D37">
        <w:t xml:space="preserve">time-dependent </w:t>
      </w:r>
      <w:r w:rsidR="00D0467E" w:rsidRPr="001C1D37">
        <w:t xml:space="preserve">effectiveness of a longitudinal biomarker for clinical endpoint </w:t>
      </w:r>
      <w:r w:rsidRPr="001C1D37">
        <w:t>by utilising a joint modelling framework</w:t>
      </w:r>
      <w:r w:rsidR="00AE47DB" w:rsidRPr="001C1D37">
        <w:t>.</w:t>
      </w:r>
      <w:r w:rsidR="00D0467E" w:rsidRPr="001C1D37">
        <w:t xml:space="preserve"> </w:t>
      </w:r>
      <w:r w:rsidR="002B402D" w:rsidRPr="001C1D37">
        <w:t>The proposed approach models the ROC curves associated with a longitudinally repeated biomarker at various time points</w:t>
      </w:r>
      <w:r w:rsidR="00671F1E" w:rsidRPr="001C1D37">
        <w:t xml:space="preserve"> given the risk of clinical endpoint prior to each time point</w:t>
      </w:r>
      <w:r w:rsidR="002B402D" w:rsidRPr="001C1D37">
        <w:t xml:space="preserve">. </w:t>
      </w:r>
      <w:r w:rsidRPr="001C1D37">
        <w:t xml:space="preserve">The model </w:t>
      </w:r>
      <w:r w:rsidR="00862077" w:rsidRPr="001C1D37">
        <w:t xml:space="preserve">also </w:t>
      </w:r>
      <w:r w:rsidRPr="001C1D37">
        <w:lastRenderedPageBreak/>
        <w:t xml:space="preserve">allows </w:t>
      </w:r>
      <w:r w:rsidR="0091713A" w:rsidRPr="001C1D37">
        <w:t>detecting the</w:t>
      </w:r>
      <w:r w:rsidRPr="001C1D37">
        <w:t xml:space="preserve"> time period over which a biomarker should be monitored for its best discriminatory </w:t>
      </w:r>
      <w:r w:rsidR="00667876" w:rsidRPr="001C1D37">
        <w:t>value</w:t>
      </w:r>
      <w:r w:rsidRPr="001C1D37">
        <w:t xml:space="preserve">. </w:t>
      </w:r>
      <w:r w:rsidR="00E54E71" w:rsidRPr="001C1D37">
        <w:t>Our</w:t>
      </w:r>
      <w:r w:rsidR="00293CE2" w:rsidRPr="001C1D37">
        <w:t xml:space="preserve"> propos</w:t>
      </w:r>
      <w:r w:rsidR="00086E99" w:rsidRPr="001C1D37">
        <w:t xml:space="preserve">al </w:t>
      </w:r>
      <w:r w:rsidR="00D0467E" w:rsidRPr="001C1D37">
        <w:t>is motivated by a prospective observational study of sepsis biomarkers</w:t>
      </w:r>
      <w:r w:rsidR="00086E99" w:rsidRPr="001C1D37">
        <w:t xml:space="preserve">. </w:t>
      </w:r>
      <w:r w:rsidR="00565A2C" w:rsidRPr="001C1D37">
        <w:t>Sepsis is a leading cause of death in critically ill patients and the d</w:t>
      </w:r>
      <w:r w:rsidR="00086E99" w:rsidRPr="001C1D37">
        <w:t>iagnosis of sepsis is complicated by the highly variable symptoms of the disease [2]</w:t>
      </w:r>
      <w:r w:rsidR="00565A2C" w:rsidRPr="001C1D37">
        <w:t>. I</w:t>
      </w:r>
      <w:r w:rsidR="00086E99" w:rsidRPr="001C1D37">
        <w:t xml:space="preserve">t has been observed that </w:t>
      </w:r>
      <w:r w:rsidR="00CD5404" w:rsidRPr="001C1D37">
        <w:t>the</w:t>
      </w:r>
      <w:r w:rsidR="00086E99" w:rsidRPr="001C1D37">
        <w:t xml:space="preserve"> biomarker </w:t>
      </w:r>
      <w:r w:rsidR="00086E99" w:rsidRPr="001C1D37">
        <w:rPr>
          <w:i/>
        </w:rPr>
        <w:t xml:space="preserve">activated partial </w:t>
      </w:r>
      <w:proofErr w:type="spellStart"/>
      <w:r w:rsidR="00086E99" w:rsidRPr="001C1D37">
        <w:rPr>
          <w:i/>
        </w:rPr>
        <w:t>thromboplastin</w:t>
      </w:r>
      <w:proofErr w:type="spellEnd"/>
      <w:r w:rsidR="00086E99" w:rsidRPr="001C1D37">
        <w:rPr>
          <w:i/>
        </w:rPr>
        <w:t xml:space="preserve"> time</w:t>
      </w:r>
      <w:r w:rsidR="00086E99" w:rsidRPr="001C1D37">
        <w:t xml:space="preserve"> (</w:t>
      </w:r>
      <w:proofErr w:type="spellStart"/>
      <w:r w:rsidR="00086E99" w:rsidRPr="001C1D37">
        <w:t>aPTT</w:t>
      </w:r>
      <w:proofErr w:type="spellEnd"/>
      <w:r w:rsidR="00086E99" w:rsidRPr="001C1D37">
        <w:t>) was significantly more abnormal over early time periods among septic non-survivors than survivors [</w:t>
      </w:r>
      <w:r w:rsidR="003B6179" w:rsidRPr="001C1D37">
        <w:t>22</w:t>
      </w:r>
      <w:r w:rsidR="00086E99" w:rsidRPr="001C1D37">
        <w:t>]</w:t>
      </w:r>
      <w:r w:rsidR="00476904" w:rsidRPr="001C1D37">
        <w:t xml:space="preserve">. This </w:t>
      </w:r>
      <w:r w:rsidR="00086E99" w:rsidRPr="001C1D37">
        <w:t>necessitate</w:t>
      </w:r>
      <w:r w:rsidR="00476904" w:rsidRPr="001C1D37">
        <w:t>s</w:t>
      </w:r>
      <w:r w:rsidR="00086E99" w:rsidRPr="001C1D37">
        <w:t xml:space="preserve"> a rather different approach to assess</w:t>
      </w:r>
      <w:r w:rsidR="005E3FF8" w:rsidRPr="001C1D37">
        <w:t xml:space="preserve"> </w:t>
      </w:r>
      <w:r w:rsidR="00086E99" w:rsidRPr="001C1D37">
        <w:t xml:space="preserve">the efficacy of </w:t>
      </w:r>
      <w:proofErr w:type="spellStart"/>
      <w:r w:rsidR="00086E99" w:rsidRPr="001C1D37">
        <w:t>aPTT</w:t>
      </w:r>
      <w:proofErr w:type="spellEnd"/>
      <w:r w:rsidR="00086E99" w:rsidRPr="001C1D37">
        <w:t xml:space="preserve"> </w:t>
      </w:r>
      <w:r w:rsidR="00CD5404" w:rsidRPr="001C1D37">
        <w:t xml:space="preserve">over time </w:t>
      </w:r>
      <w:r w:rsidR="00086E99" w:rsidRPr="001C1D37">
        <w:t>for sepsis.</w:t>
      </w:r>
      <w:r w:rsidR="00D0467E" w:rsidRPr="001C1D37">
        <w:t xml:space="preserve"> </w:t>
      </w:r>
      <w:r w:rsidR="00565A2C" w:rsidRPr="001C1D37">
        <w:t>We propose a novel approach</w:t>
      </w:r>
      <w:r w:rsidR="002B402D" w:rsidRPr="001C1D37">
        <w:t xml:space="preserve"> </w:t>
      </w:r>
      <w:r w:rsidR="00ED532F" w:rsidRPr="001C1D37">
        <w:t>to</w:t>
      </w:r>
      <w:r w:rsidR="00565A2C" w:rsidRPr="001C1D37">
        <w:t xml:space="preserve"> capture the </w:t>
      </w:r>
      <w:r w:rsidR="00ED532F" w:rsidRPr="001C1D37">
        <w:t xml:space="preserve">variable impairment caused by </w:t>
      </w:r>
      <w:r w:rsidR="00862077" w:rsidRPr="001C1D37">
        <w:t xml:space="preserve">the </w:t>
      </w:r>
      <w:r w:rsidR="006278BB" w:rsidRPr="001C1D37">
        <w:t>disease</w:t>
      </w:r>
      <w:r w:rsidR="00ED532F" w:rsidRPr="001C1D37">
        <w:t xml:space="preserve"> </w:t>
      </w:r>
      <w:r w:rsidR="00565A2C" w:rsidRPr="001C1D37">
        <w:t xml:space="preserve">on </w:t>
      </w:r>
      <w:r w:rsidR="00862077" w:rsidRPr="001C1D37">
        <w:t xml:space="preserve">a </w:t>
      </w:r>
      <w:r w:rsidR="006278BB" w:rsidRPr="001C1D37">
        <w:t>biomarker</w:t>
      </w:r>
      <w:r w:rsidR="00565A2C" w:rsidRPr="001C1D37">
        <w:t xml:space="preserve"> </w:t>
      </w:r>
      <w:r w:rsidR="00ED532F" w:rsidRPr="001C1D37">
        <w:t>profile</w:t>
      </w:r>
      <w:r w:rsidR="002B402D" w:rsidRPr="001C1D37">
        <w:t>;</w:t>
      </w:r>
      <w:r w:rsidR="00ED532F" w:rsidRPr="001C1D37">
        <w:t xml:space="preserve"> we </w:t>
      </w:r>
      <w:r w:rsidR="00565A2C" w:rsidRPr="001C1D37">
        <w:t xml:space="preserve">primarily focus on the change in underling association between the longitudinal </w:t>
      </w:r>
      <w:r w:rsidR="006278BB" w:rsidRPr="001C1D37">
        <w:t>biomarker</w:t>
      </w:r>
      <w:r w:rsidR="00565A2C" w:rsidRPr="001C1D37">
        <w:t xml:space="preserve"> and </w:t>
      </w:r>
      <w:r w:rsidR="00ED532F" w:rsidRPr="001C1D37">
        <w:t xml:space="preserve">risk of </w:t>
      </w:r>
      <w:r w:rsidR="006278BB" w:rsidRPr="001C1D37">
        <w:t>disease</w:t>
      </w:r>
      <w:r w:rsidR="00565A2C" w:rsidRPr="001C1D37">
        <w:t xml:space="preserve"> </w:t>
      </w:r>
      <w:r w:rsidR="005E3FF8" w:rsidRPr="001C1D37">
        <w:t>over</w:t>
      </w:r>
      <w:r w:rsidR="00565A2C" w:rsidRPr="001C1D37">
        <w:t xml:space="preserve"> certain time periods </w:t>
      </w:r>
      <m:oMath>
        <m:r>
          <w:rPr>
            <w:rFonts w:ascii="Cambria Math" w:hAnsi="Cambria Math"/>
          </w:rPr>
          <m:t xml:space="preserve">(0, </m:t>
        </m:r>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m:t>
        </m:r>
      </m:oMath>
      <w:r w:rsidR="00565A2C" w:rsidRPr="001C1D37">
        <w:t xml:space="preserve"> within study follow-up </w:t>
      </w:r>
      <w:r w:rsidR="005E3FF8" w:rsidRPr="001C1D37">
        <w:t>since</w:t>
      </w:r>
      <w:r w:rsidR="00565A2C" w:rsidRPr="001C1D37">
        <w:t xml:space="preserve"> admission (at time </w:t>
      </w:r>
      <m:oMath>
        <m:r>
          <w:rPr>
            <w:rFonts w:ascii="Cambria Math" w:hAnsi="Cambria Math"/>
          </w:rPr>
          <m:t>0</m:t>
        </m:r>
      </m:oMath>
      <w:r w:rsidR="00565A2C" w:rsidRPr="001C1D37">
        <w:t>).</w:t>
      </w:r>
      <w:r w:rsidR="00ED532F" w:rsidRPr="001C1D37">
        <w:t xml:space="preserve"> </w:t>
      </w:r>
      <w:r w:rsidR="003B6179" w:rsidRPr="001C1D37">
        <w:t>In the proposed approach, f</w:t>
      </w:r>
      <w:r w:rsidR="00452F9A" w:rsidRPr="001C1D37">
        <w:t>irst</w:t>
      </w:r>
      <w:r w:rsidR="007E3B27" w:rsidRPr="001C1D37">
        <w:t xml:space="preserve">ly, </w:t>
      </w:r>
      <w:r w:rsidR="00452F9A" w:rsidRPr="001C1D37">
        <w:t>a</w:t>
      </w:r>
      <w:r w:rsidR="00AF3CAA" w:rsidRPr="001C1D37">
        <w:t xml:space="preserve"> risk score </w:t>
      </w:r>
      <w:r w:rsidR="00452F9A" w:rsidRPr="001C1D37">
        <w:t xml:space="preserve">for each individual </w:t>
      </w:r>
      <w:r w:rsidR="005E3FF8" w:rsidRPr="001C1D37">
        <w:t>is estimates at their event-time based on the</w:t>
      </w:r>
      <w:r w:rsidR="00452F9A" w:rsidRPr="001C1D37">
        <w:t xml:space="preserve"> joint </w:t>
      </w:r>
      <w:r w:rsidR="002B14C3" w:rsidRPr="001C1D37">
        <w:t xml:space="preserve">(biomarker and event-time) </w:t>
      </w:r>
      <w:r w:rsidR="00452F9A" w:rsidRPr="001C1D37">
        <w:t xml:space="preserve">information </w:t>
      </w:r>
      <w:proofErr w:type="gramStart"/>
      <w:r w:rsidR="00452F9A" w:rsidRPr="001C1D37">
        <w:t>over</w:t>
      </w:r>
      <w:r w:rsidR="0007763D" w:rsidRPr="001C1D37">
        <w:t xml:space="preserve"> </w:t>
      </w:r>
      <w:proofErr w:type="gramEnd"/>
      <m:oMath>
        <m:r>
          <w:rPr>
            <w:rFonts w:ascii="Cambria Math" w:hAnsi="Cambria Math"/>
          </w:rPr>
          <m:t xml:space="preserve">(0, </m:t>
        </m:r>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m:t>
        </m:r>
      </m:oMath>
      <w:r w:rsidR="00452F9A" w:rsidRPr="001C1D37">
        <w:t>, and second</w:t>
      </w:r>
      <w:r w:rsidR="007E3B27" w:rsidRPr="001C1D37">
        <w:t>ly,</w:t>
      </w:r>
      <w:r w:rsidR="0007763D" w:rsidRPr="001C1D37">
        <w:t xml:space="preserve"> </w:t>
      </w:r>
      <w:r w:rsidR="005E3FF8" w:rsidRPr="001C1D37">
        <w:t>the</w:t>
      </w:r>
      <w:r w:rsidR="0007763D" w:rsidRPr="001C1D37">
        <w:t xml:space="preserve"> discriminatory potential of </w:t>
      </w:r>
      <w:r w:rsidR="00993EE8" w:rsidRPr="001C1D37">
        <w:t xml:space="preserve">the </w:t>
      </w:r>
      <w:r w:rsidR="00946821" w:rsidRPr="001C1D37">
        <w:t>estimated</w:t>
      </w:r>
      <w:r w:rsidR="0007763D" w:rsidRPr="001C1D37">
        <w:t xml:space="preserve"> risk score </w:t>
      </w:r>
      <w:r w:rsidR="002B14C3" w:rsidRPr="001C1D37">
        <w:t xml:space="preserve">for </w:t>
      </w:r>
      <w:r w:rsidR="00AF3CAA" w:rsidRPr="001C1D37">
        <w:t>distinguish</w:t>
      </w:r>
      <w:r w:rsidR="002B14C3" w:rsidRPr="001C1D37">
        <w:t>ing</w:t>
      </w:r>
      <w:r w:rsidR="00AF3CAA" w:rsidRPr="001C1D37">
        <w:t xml:space="preserve"> between individuals who experienced the </w:t>
      </w:r>
      <w:r w:rsidR="006278BB" w:rsidRPr="001C1D37">
        <w:t>disease</w:t>
      </w:r>
      <w:r w:rsidR="00AF3CAA" w:rsidRPr="001C1D37">
        <w:t xml:space="preserve"> </w:t>
      </w:r>
      <w:r w:rsidR="00CB1227" w:rsidRPr="001C1D37">
        <w:t>over</w:t>
      </w:r>
      <w:r w:rsidR="00AF3CAA" w:rsidRPr="001C1D37">
        <w:t xml:space="preserve"> </w:t>
      </w:r>
      <m:oMath>
        <m:r>
          <w:rPr>
            <w:rFonts w:ascii="Cambria Math" w:hAnsi="Cambria Math"/>
          </w:rPr>
          <m:t xml:space="preserve">(0, </m:t>
        </m:r>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m:t>
        </m:r>
      </m:oMath>
      <w:r w:rsidR="00CB1227" w:rsidRPr="001C1D37">
        <w:t xml:space="preserve"> </w:t>
      </w:r>
      <w:r w:rsidR="00AF3CAA" w:rsidRPr="001C1D37">
        <w:t xml:space="preserve"> from those who survived </w:t>
      </w:r>
      <w:r w:rsidR="006278BB" w:rsidRPr="001C1D37">
        <w:t>disease</w:t>
      </w:r>
      <w:r w:rsidR="00AF3CAA" w:rsidRPr="001C1D37">
        <w:t xml:space="preserve"> beyond time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AF3CAA" w:rsidRPr="001C1D37">
        <w:t xml:space="preserve"> </w:t>
      </w:r>
      <w:r w:rsidR="005E3FF8" w:rsidRPr="001C1D37">
        <w:t xml:space="preserve">is computed </w:t>
      </w:r>
      <w:r w:rsidR="002B14C3" w:rsidRPr="001C1D37">
        <w:t xml:space="preserve">within </w:t>
      </w:r>
      <w:r w:rsidR="00ED532F" w:rsidRPr="001C1D37">
        <w:t xml:space="preserve">a </w:t>
      </w:r>
      <w:r w:rsidR="002B14C3" w:rsidRPr="001C1D37">
        <w:t xml:space="preserve">ROC </w:t>
      </w:r>
      <w:r w:rsidR="00ED532F" w:rsidRPr="001C1D37">
        <w:t>curve analysis</w:t>
      </w:r>
      <w:r w:rsidR="00AF3CAA" w:rsidRPr="001C1D37">
        <w:t>.</w:t>
      </w:r>
      <w:r w:rsidR="007E3B27" w:rsidRPr="001C1D37">
        <w:t xml:space="preserve"> </w:t>
      </w:r>
      <w:r w:rsidR="00993EE8" w:rsidRPr="001C1D37">
        <w:t xml:space="preserve">In particular, we determine the </w:t>
      </w:r>
      <w:r w:rsidR="006278BB" w:rsidRPr="001C1D37">
        <w:t>efficacy</w:t>
      </w:r>
      <w:r w:rsidR="00993EE8" w:rsidRPr="001C1D37">
        <w:t xml:space="preserve"> of the biomarker </w:t>
      </w:r>
      <w:r w:rsidR="00ED532F" w:rsidRPr="001C1D37">
        <w:t>at</w:t>
      </w:r>
      <w:r w:rsidR="003B6179" w:rsidRPr="001C1D37">
        <w:t xml:space="preserve"> each</w:t>
      </w:r>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h</m:t>
            </m:r>
          </m:sub>
        </m:sSub>
      </m:oMath>
      <w:r w:rsidR="00ED532F" w:rsidRPr="001C1D37">
        <w:t xml:space="preserve"> </w:t>
      </w:r>
      <w:r w:rsidR="00946821" w:rsidRPr="001C1D37">
        <w:t>in terms of area under the ROC curve</w:t>
      </w:r>
      <w:r w:rsidR="003B6179" w:rsidRPr="001C1D37">
        <w:t xml:space="preserve"> (AUC)</w:t>
      </w:r>
      <w:r w:rsidR="00946821" w:rsidRPr="001C1D37">
        <w:t>, sensitivity and specificity</w:t>
      </w:r>
      <w:r w:rsidR="00ED532F" w:rsidRPr="001C1D37">
        <w:t>. We follow</w:t>
      </w:r>
      <w:r w:rsidR="00993EE8" w:rsidRPr="001C1D37">
        <w:t xml:space="preserve"> similar </w:t>
      </w:r>
      <w:r w:rsidR="00CB1227" w:rsidRPr="001C1D37">
        <w:t xml:space="preserve">arguments </w:t>
      </w:r>
      <w:r w:rsidR="00E352B9" w:rsidRPr="001C1D37">
        <w:t xml:space="preserve">(cumulative/dynamic) </w:t>
      </w:r>
      <w:r w:rsidR="00993EE8" w:rsidRPr="001C1D37">
        <w:t>as</w:t>
      </w:r>
      <w:r w:rsidR="00993EE8" w:rsidRPr="001C1D37">
        <w:rPr>
          <w:rFonts w:eastAsia="Calibri"/>
        </w:rPr>
        <w:t xml:space="preserve"> </w:t>
      </w:r>
      <w:proofErr w:type="spellStart"/>
      <w:r w:rsidR="00993EE8" w:rsidRPr="001C1D37">
        <w:rPr>
          <w:rFonts w:eastAsia="Calibri"/>
        </w:rPr>
        <w:t>Heagerty</w:t>
      </w:r>
      <w:proofErr w:type="spellEnd"/>
      <w:r w:rsidR="00993EE8" w:rsidRPr="001C1D37">
        <w:rPr>
          <w:rFonts w:eastAsia="Calibri"/>
        </w:rPr>
        <w:t xml:space="preserve"> and colleagues [</w:t>
      </w:r>
      <w:r w:rsidR="003B6179" w:rsidRPr="001C1D37">
        <w:rPr>
          <w:rFonts w:eastAsia="Calibri"/>
        </w:rPr>
        <w:t>4</w:t>
      </w:r>
      <w:r w:rsidR="00993EE8" w:rsidRPr="001C1D37">
        <w:rPr>
          <w:rFonts w:eastAsia="Calibri"/>
        </w:rPr>
        <w:t xml:space="preserve">, </w:t>
      </w:r>
      <w:r w:rsidR="003B6179" w:rsidRPr="001C1D37">
        <w:rPr>
          <w:rFonts w:eastAsia="Calibri"/>
        </w:rPr>
        <w:t>5</w:t>
      </w:r>
      <w:r w:rsidR="00993EE8" w:rsidRPr="001C1D37">
        <w:rPr>
          <w:rFonts w:eastAsia="Calibri"/>
        </w:rPr>
        <w:t>]</w:t>
      </w:r>
      <w:r w:rsidR="00993EE8" w:rsidRPr="001C1D37">
        <w:t xml:space="preserve"> in time-dependent ROC </w:t>
      </w:r>
      <w:r w:rsidR="003B6179" w:rsidRPr="001C1D37">
        <w:t>methodology</w:t>
      </w:r>
      <w:r w:rsidR="00E352B9" w:rsidRPr="001C1D37">
        <w:t xml:space="preserve"> to define cases and controls over</w:t>
      </w:r>
      <w:r w:rsidR="001A1E59" w:rsidRPr="001C1D37">
        <w:t xml:space="preserve"> </w:t>
      </w:r>
      <w:proofErr w:type="gramStart"/>
      <w:r w:rsidR="001A1E59" w:rsidRPr="001C1D37">
        <w:t>each</w:t>
      </w:r>
      <w:r w:rsidR="00E352B9" w:rsidRPr="001C1D37">
        <w:t xml:space="preserve"> </w:t>
      </w:r>
      <w:proofErr w:type="gramEnd"/>
      <m:oMath>
        <m:r>
          <w:rPr>
            <w:rFonts w:ascii="Cambria Math" w:hAnsi="Cambria Math"/>
          </w:rPr>
          <m:t xml:space="preserve">(0, </m:t>
        </m:r>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m:t>
        </m:r>
      </m:oMath>
      <w:r w:rsidR="00E352B9" w:rsidRPr="001C1D37">
        <w:t xml:space="preserve">. The risk score </w:t>
      </w:r>
      <w:r w:rsidR="001A1E59" w:rsidRPr="001C1D37">
        <w:t xml:space="preserve">over each </w:t>
      </w:r>
      <w:r w:rsidR="006278BB" w:rsidRPr="001C1D37">
        <w:t>time period</w:t>
      </w:r>
      <w:r w:rsidR="001A1E59" w:rsidRPr="001C1D37">
        <w:t xml:space="preserve"> </w:t>
      </w:r>
      <w:r w:rsidR="00E352B9" w:rsidRPr="001C1D37">
        <w:t xml:space="preserve">is estimated </w:t>
      </w:r>
      <w:r w:rsidR="00993EE8" w:rsidRPr="001C1D37">
        <w:t xml:space="preserve">within </w:t>
      </w:r>
      <w:r w:rsidR="006278BB" w:rsidRPr="001C1D37">
        <w:t>a</w:t>
      </w:r>
      <w:r w:rsidR="00993EE8" w:rsidRPr="001C1D37">
        <w:t xml:space="preserve"> joint modelling framework to </w:t>
      </w:r>
      <w:r w:rsidR="007E3B27" w:rsidRPr="001C1D37">
        <w:t>allow</w:t>
      </w:r>
      <w:r w:rsidR="00993EE8" w:rsidRPr="001C1D37">
        <w:t xml:space="preserve"> for intermittently measured biomarker, measurement error, and informative </w:t>
      </w:r>
      <w:proofErr w:type="spellStart"/>
      <w:r w:rsidR="00993EE8" w:rsidRPr="001C1D37">
        <w:t>missingness</w:t>
      </w:r>
      <w:proofErr w:type="spellEnd"/>
      <w:r w:rsidR="00993EE8" w:rsidRPr="001C1D37">
        <w:t xml:space="preserve"> in biomarker measurement schedule.</w:t>
      </w:r>
    </w:p>
    <w:p w:rsidR="00CB1227" w:rsidRPr="001C1D37" w:rsidRDefault="00CB1227" w:rsidP="001C1D37">
      <w:pPr>
        <w:autoSpaceDE w:val="0"/>
        <w:autoSpaceDN w:val="0"/>
        <w:adjustRightInd w:val="0"/>
      </w:pPr>
    </w:p>
    <w:p w:rsidR="00CB1227" w:rsidRPr="001C1D37" w:rsidRDefault="00CB1227" w:rsidP="001C1D37">
      <w:pPr>
        <w:autoSpaceDE w:val="0"/>
        <w:autoSpaceDN w:val="0"/>
        <w:adjustRightInd w:val="0"/>
      </w:pPr>
    </w:p>
    <w:p w:rsidR="00ED03CE" w:rsidRPr="001C1D37" w:rsidRDefault="00ED03CE" w:rsidP="001C1D37">
      <w:pPr>
        <w:autoSpaceDE w:val="0"/>
        <w:autoSpaceDN w:val="0"/>
        <w:adjustRightInd w:val="0"/>
      </w:pPr>
      <w:r w:rsidRPr="001C1D37">
        <w:t xml:space="preserve">The proposed approach is also compelling in many other studies in which diseases show highly variable symptoms over certain time frames and the interest resides </w:t>
      </w:r>
      <w:r w:rsidRPr="001C1D37">
        <w:lastRenderedPageBreak/>
        <w:t xml:space="preserve">in changes in longitudinal biomarker profiles for early diagnosis or disease progression to facilitate the immediate clinical management. We also use several simulation settings to </w:t>
      </w:r>
      <w:r w:rsidR="006278BB" w:rsidRPr="001C1D37">
        <w:t>validate</w:t>
      </w:r>
      <w:r w:rsidRPr="001C1D37">
        <w:t xml:space="preserve"> the proposed joint modelling approach, and illustrate the methodology using the sepsis dataset from the study mentioned above. </w:t>
      </w:r>
    </w:p>
    <w:p w:rsidR="00ED03CE" w:rsidRPr="001C1D37" w:rsidRDefault="00ED03CE" w:rsidP="001C1D37">
      <w:pPr>
        <w:autoSpaceDE w:val="0"/>
        <w:autoSpaceDN w:val="0"/>
        <w:adjustRightInd w:val="0"/>
      </w:pPr>
    </w:p>
    <w:p w:rsidR="00BF4A60" w:rsidRPr="001C1D37" w:rsidRDefault="00BF4A60" w:rsidP="001C1D37">
      <w:pPr>
        <w:autoSpaceDE w:val="0"/>
        <w:autoSpaceDN w:val="0"/>
        <w:adjustRightInd w:val="0"/>
      </w:pPr>
    </w:p>
    <w:p w:rsidR="00D0467E" w:rsidRPr="001C1D37" w:rsidRDefault="00D0467E" w:rsidP="001C1D37">
      <w:pPr>
        <w:autoSpaceDE w:val="0"/>
        <w:autoSpaceDN w:val="0"/>
        <w:adjustRightInd w:val="0"/>
        <w:rPr>
          <w:b/>
          <w:bCs/>
          <w:sz w:val="28"/>
          <w:szCs w:val="28"/>
        </w:rPr>
      </w:pPr>
      <w:r w:rsidRPr="001C1D37">
        <w:rPr>
          <w:b/>
          <w:bCs/>
          <w:sz w:val="28"/>
          <w:szCs w:val="28"/>
        </w:rPr>
        <w:t>2. ROC curve analysis and integration of the time dimension</w:t>
      </w:r>
    </w:p>
    <w:p w:rsidR="00D0467E" w:rsidRPr="001C1D37" w:rsidRDefault="00D0467E" w:rsidP="001C1D37">
      <w:pPr>
        <w:autoSpaceDE w:val="0"/>
        <w:autoSpaceDN w:val="0"/>
        <w:adjustRightInd w:val="0"/>
      </w:pPr>
      <w:r w:rsidRPr="001C1D37">
        <w:rPr>
          <w:rStyle w:val="Strong"/>
          <w:b w:val="0"/>
          <w:bCs w:val="0"/>
        </w:rPr>
        <w:t xml:space="preserve">Traditionally in medical diagnostic research, </w:t>
      </w:r>
      <w:r w:rsidRPr="001C1D37">
        <w:t xml:space="preserve">receiver operating characteristics (ROC) curve is used to assess the discrimination capability of a continuous measurement [3]. For a single biomarker measurement </w:t>
      </w:r>
      <m:oMath>
        <m:r>
          <w:rPr>
            <w:rFonts w:ascii="Cambria Math" w:hAnsi="Cambria Math"/>
          </w:rPr>
          <m:t>y</m:t>
        </m:r>
      </m:oMath>
      <w:r w:rsidRPr="001C1D37">
        <w:t xml:space="preserve"> (usually the value at baseline) with a binary disease outcome </w:t>
      </w:r>
      <w:proofErr w:type="gramStart"/>
      <w:r w:rsidRPr="001C1D37">
        <w:t xml:space="preserve">indicator </w:t>
      </w:r>
      <w:proofErr w:type="gramEnd"/>
      <m:oMath>
        <m:r>
          <w:rPr>
            <w:rFonts w:ascii="Cambria Math" w:hAnsi="Cambria Math"/>
          </w:rPr>
          <m:t>D</m:t>
        </m:r>
      </m:oMath>
      <w:r w:rsidRPr="001C1D37">
        <w:t xml:space="preserve">, an ROC </w:t>
      </w:r>
      <w:r w:rsidR="006278BB" w:rsidRPr="001C1D37">
        <w:t xml:space="preserve">curve </w:t>
      </w:r>
      <w:r w:rsidRPr="001C1D37">
        <w:t xml:space="preserve">analysis summarises </w:t>
      </w:r>
    </w:p>
    <w:p w:rsidR="00D0467E" w:rsidRPr="001C1D37" w:rsidRDefault="00D0467E" w:rsidP="001C1D37">
      <w:pPr>
        <w:autoSpaceDE w:val="0"/>
        <w:autoSpaceDN w:val="0"/>
        <w:adjustRightInd w:val="0"/>
      </w:pPr>
    </w:p>
    <w:p w:rsidR="00D0467E" w:rsidRPr="001C1D37" w:rsidRDefault="00D0467E" w:rsidP="001C1D37">
      <w:pPr>
        <w:autoSpaceDE w:val="0"/>
        <w:autoSpaceDN w:val="0"/>
        <w:adjustRightInd w:val="0"/>
      </w:pPr>
      <m:oMathPara>
        <m:oMath>
          <m:r>
            <m:rPr>
              <m:sty m:val="p"/>
            </m:rPr>
            <w:rPr>
              <w:rFonts w:ascii="Cambria Math" w:eastAsia="Calibri" w:hAnsi="Cambria Math"/>
            </w:rPr>
            <m:t>sensitivity</m:t>
          </m:r>
          <m:d>
            <m:dPr>
              <m:ctrlPr>
                <w:rPr>
                  <w:rFonts w:ascii="Cambria Math" w:hAnsi="Cambria Math"/>
                  <w:i/>
                </w:rPr>
              </m:ctrlPr>
            </m:dPr>
            <m:e>
              <m:r>
                <w:rPr>
                  <w:rFonts w:ascii="Cambria Math" w:hAnsi="Cambria Math"/>
                </w:rPr>
                <m:t>c</m:t>
              </m:r>
            </m:e>
          </m:d>
          <m:r>
            <w:rPr>
              <w:rFonts w:ascii="Cambria Math" w:hAnsi="Cambria Math"/>
            </w:rPr>
            <m:t>:</m:t>
          </m:r>
          <m:func>
            <m:funcPr>
              <m:ctrlPr>
                <w:rPr>
                  <w:rFonts w:ascii="Cambria Math" w:hAnsi="Cambria Math"/>
                </w:rPr>
              </m:ctrlPr>
            </m:funcPr>
            <m:fName>
              <m:r>
                <m:rPr>
                  <m:sty m:val="p"/>
                </m:rPr>
                <w:rPr>
                  <w:rFonts w:ascii="Cambria Math" w:hAnsi="Cambria Math"/>
                </w:rPr>
                <m:t>Pr</m:t>
              </m:r>
              <m:ctrlPr>
                <w:rPr>
                  <w:rFonts w:ascii="Cambria Math" w:hAnsi="Cambria Math"/>
                  <w:i/>
                </w:rPr>
              </m:ctrlPr>
            </m:fName>
            <m:e>
              <m:d>
                <m:dPr>
                  <m:begChr m:val="{"/>
                  <m:endChr m:val="}"/>
                  <m:ctrlPr>
                    <w:rPr>
                      <w:rFonts w:ascii="Cambria Math" w:hAnsi="Cambria Math"/>
                      <w:i/>
                    </w:rPr>
                  </m:ctrlPr>
                </m:dPr>
                <m:e>
                  <m:r>
                    <w:rPr>
                      <w:rFonts w:ascii="Cambria Math"/>
                    </w:rPr>
                    <m:t>y</m:t>
                  </m:r>
                  <m:r>
                    <w:rPr>
                      <w:rFonts w:ascii="Cambria Math"/>
                    </w:rPr>
                    <m:t>≥</m:t>
                  </m:r>
                  <m:r>
                    <w:rPr>
                      <w:rFonts w:ascii="Cambria Math"/>
                    </w:rPr>
                    <m:t>c</m:t>
                  </m:r>
                </m:e>
                <m:e>
                  <m:r>
                    <w:rPr>
                      <w:rFonts w:ascii="Cambria Math"/>
                    </w:rPr>
                    <m:t>D=1</m:t>
                  </m:r>
                </m:e>
              </m:d>
            </m:e>
          </m:func>
        </m:oMath>
      </m:oMathPara>
    </w:p>
    <w:p w:rsidR="00D0467E" w:rsidRPr="001C1D37" w:rsidRDefault="00D0467E" w:rsidP="001C1D37">
      <w:pPr>
        <w:autoSpaceDE w:val="0"/>
        <w:autoSpaceDN w:val="0"/>
        <w:adjustRightInd w:val="0"/>
      </w:pPr>
      <m:oMathPara>
        <m:oMath>
          <m:r>
            <m:rPr>
              <m:sty m:val="p"/>
            </m:rPr>
            <w:rPr>
              <w:rFonts w:ascii="Cambria Math" w:hAnsi="Cambria Math"/>
            </w:rPr>
            <m:t>specificity</m:t>
          </m:r>
          <m:d>
            <m:dPr>
              <m:ctrlPr>
                <w:rPr>
                  <w:rFonts w:ascii="Cambria Math" w:hAnsi="Cambria Math"/>
                  <w:i/>
                </w:rPr>
              </m:ctrlPr>
            </m:dPr>
            <m:e>
              <m:r>
                <w:rPr>
                  <w:rFonts w:ascii="Cambria Math" w:hAnsi="Cambria Math"/>
                </w:rPr>
                <m:t>c</m:t>
              </m:r>
            </m:e>
          </m:d>
          <m:r>
            <m:rPr>
              <m:sty m:val="p"/>
            </m:rPr>
            <w:rPr>
              <w:rStyle w:val="inlineformula"/>
              <w:rFonts w:ascii="Cambria Math" w:hAnsi="Cambria Math"/>
            </w:rPr>
            <m:t xml:space="preserve">: </m:t>
          </m:r>
          <m:func>
            <m:funcPr>
              <m:ctrlPr>
                <w:rPr>
                  <w:rFonts w:ascii="Cambria Math" w:hAnsi="Cambria Math"/>
                </w:rPr>
              </m:ctrlPr>
            </m:funcPr>
            <m:fName>
              <m:r>
                <m:rPr>
                  <m:sty m:val="p"/>
                </m:rPr>
                <w:rPr>
                  <w:rFonts w:ascii="Cambria Math" w:hAnsi="Cambria Math"/>
                </w:rPr>
                <m:t>Pr</m:t>
              </m:r>
              <m:ctrlPr>
                <w:rPr>
                  <w:rFonts w:ascii="Cambria Math" w:hAnsi="Cambria Math"/>
                  <w:i/>
                </w:rPr>
              </m:ctrlPr>
            </m:fName>
            <m:e>
              <m:d>
                <m:dPr>
                  <m:begChr m:val="{"/>
                  <m:endChr m:val="}"/>
                  <m:ctrlPr>
                    <w:rPr>
                      <w:rFonts w:ascii="Cambria Math" w:hAnsi="Cambria Math"/>
                      <w:i/>
                    </w:rPr>
                  </m:ctrlPr>
                </m:dPr>
                <m:e>
                  <m:r>
                    <w:rPr>
                      <w:rFonts w:ascii="Cambria Math"/>
                    </w:rPr>
                    <m:t>y&lt;c</m:t>
                  </m:r>
                </m:e>
                <m:e>
                  <m:r>
                    <w:rPr>
                      <w:rFonts w:ascii="Cambria Math"/>
                    </w:rPr>
                    <m:t>D=0</m:t>
                  </m:r>
                </m:e>
              </m:d>
            </m:e>
          </m:func>
        </m:oMath>
      </m:oMathPara>
    </w:p>
    <w:p w:rsidR="00D0467E" w:rsidRPr="001C1D37" w:rsidRDefault="00D0467E" w:rsidP="001C1D37">
      <w:pPr>
        <w:autoSpaceDE w:val="0"/>
        <w:autoSpaceDN w:val="0"/>
        <w:adjustRightInd w:val="0"/>
        <w:rPr>
          <w:rStyle w:val="Strong"/>
          <w:b w:val="0"/>
          <w:bCs w:val="0"/>
        </w:rPr>
      </w:pPr>
    </w:p>
    <w:p w:rsidR="00D0467E" w:rsidRPr="001C1D37" w:rsidRDefault="00D0467E" w:rsidP="001C1D37">
      <w:pPr>
        <w:autoSpaceDE w:val="0"/>
        <w:autoSpaceDN w:val="0"/>
        <w:adjustRightInd w:val="0"/>
        <w:rPr>
          <w:rStyle w:val="Strong"/>
          <w:b w:val="0"/>
          <w:bCs w:val="0"/>
        </w:rPr>
      </w:pPr>
      <w:proofErr w:type="gramStart"/>
      <w:r w:rsidRPr="001C1D37">
        <w:rPr>
          <w:rStyle w:val="Strong"/>
          <w:b w:val="0"/>
          <w:bCs w:val="0"/>
        </w:rPr>
        <w:t>for</w:t>
      </w:r>
      <w:proofErr w:type="gramEnd"/>
      <w:r w:rsidRPr="001C1D37">
        <w:rPr>
          <w:rStyle w:val="Strong"/>
          <w:b w:val="0"/>
          <w:bCs w:val="0"/>
        </w:rPr>
        <w:t xml:space="preserve"> all possible values of </w:t>
      </w:r>
      <m:oMath>
        <m:r>
          <w:rPr>
            <w:rStyle w:val="Strong"/>
            <w:rFonts w:ascii="Cambria Math" w:hAnsi="Cambria Math"/>
          </w:rPr>
          <m:t>c</m:t>
        </m:r>
      </m:oMath>
      <w:r w:rsidRPr="001C1D37">
        <w:rPr>
          <w:rStyle w:val="Strong"/>
          <w:b w:val="0"/>
          <w:bCs w:val="0"/>
        </w:rPr>
        <w:t xml:space="preserve">, where </w:t>
      </w:r>
      <m:oMath>
        <m:r>
          <w:rPr>
            <w:rStyle w:val="Strong"/>
            <w:rFonts w:ascii="Cambria Math" w:hAnsi="Cambria Math"/>
          </w:rPr>
          <m:t>D=1</m:t>
        </m:r>
      </m:oMath>
      <w:r w:rsidRPr="001C1D37">
        <w:rPr>
          <w:rStyle w:val="Strong"/>
          <w:b w:val="0"/>
          <w:bCs w:val="0"/>
        </w:rPr>
        <w:t xml:space="preserve"> indicates a </w:t>
      </w:r>
      <w:r w:rsidRPr="001C1D37">
        <w:rPr>
          <w:rStyle w:val="Strong"/>
          <w:b w:val="0"/>
          <w:bCs w:val="0"/>
          <w:i/>
        </w:rPr>
        <w:t>case</w:t>
      </w:r>
      <w:r w:rsidRPr="001C1D37">
        <w:rPr>
          <w:rStyle w:val="Strong"/>
          <w:b w:val="0"/>
          <w:bCs w:val="0"/>
        </w:rPr>
        <w:t xml:space="preserve"> (disease present),</w:t>
      </w:r>
      <w:r w:rsidRPr="001C1D37">
        <w:rPr>
          <w:rFonts w:eastAsia="Calibri"/>
        </w:rPr>
        <w:t xml:space="preserve"> </w:t>
      </w:r>
      <m:oMath>
        <m:r>
          <w:rPr>
            <w:rStyle w:val="Strong"/>
            <w:rFonts w:ascii="Cambria Math" w:hAnsi="Cambria Math"/>
          </w:rPr>
          <m:t>D=0</m:t>
        </m:r>
      </m:oMath>
      <w:r w:rsidRPr="001C1D37">
        <w:rPr>
          <w:rStyle w:val="Strong"/>
          <w:b w:val="0"/>
          <w:bCs w:val="0"/>
        </w:rPr>
        <w:t xml:space="preserve"> indicates a </w:t>
      </w:r>
      <w:r w:rsidRPr="001C1D37">
        <w:rPr>
          <w:rStyle w:val="Strong"/>
          <w:b w:val="0"/>
          <w:bCs w:val="0"/>
          <w:i/>
        </w:rPr>
        <w:t>control</w:t>
      </w:r>
      <w:r w:rsidRPr="001C1D37">
        <w:rPr>
          <w:rStyle w:val="Strong"/>
          <w:b w:val="0"/>
          <w:bCs w:val="0"/>
        </w:rPr>
        <w:t xml:space="preserve"> (disease absent), </w:t>
      </w:r>
      <w:r w:rsidRPr="001C1D37">
        <w:rPr>
          <w:rFonts w:eastAsia="Calibri"/>
        </w:rPr>
        <w:t>s</w:t>
      </w:r>
      <m:oMath>
        <m:r>
          <m:rPr>
            <m:sty m:val="p"/>
          </m:rPr>
          <w:rPr>
            <w:rFonts w:ascii="Cambria Math" w:eastAsia="Calibri" w:hAnsi="Cambria Math"/>
          </w:rPr>
          <m:t>ensitivity</m:t>
        </m:r>
        <m:r>
          <m:rPr>
            <m:sty m:val="p"/>
          </m:rPr>
          <w:rPr>
            <w:rFonts w:ascii="Cambria Math" w:hAnsi="Cambria Math"/>
          </w:rPr>
          <m:t xml:space="preserve"> </m:t>
        </m:r>
        <m:d>
          <m:dPr>
            <m:ctrlPr>
              <w:rPr>
                <w:rFonts w:ascii="Cambria Math" w:hAnsi="Cambria Math"/>
                <w:i/>
              </w:rPr>
            </m:ctrlPr>
          </m:dPr>
          <m:e>
            <m:r>
              <w:rPr>
                <w:rFonts w:ascii="Cambria Math" w:hAnsi="Cambria Math"/>
              </w:rPr>
              <m:t>c</m:t>
            </m:r>
          </m:e>
        </m:d>
      </m:oMath>
      <w:r w:rsidRPr="001C1D37">
        <w:rPr>
          <w:rFonts w:eastAsia="Calibri"/>
        </w:rPr>
        <w:t xml:space="preserve"> </w:t>
      </w:r>
      <w:r w:rsidRPr="001C1D37">
        <w:t xml:space="preserve">estimates the expected fraction of individuals with </w:t>
      </w:r>
      <m:oMath>
        <m:r>
          <w:rPr>
            <w:rFonts w:ascii="Cambria Math" w:hAnsi="Cambria Math"/>
          </w:rPr>
          <m:t xml:space="preserve"> </m:t>
        </m:r>
        <m:r>
          <w:rPr>
            <w:rFonts w:ascii="Cambria Math"/>
          </w:rPr>
          <m:t>y</m:t>
        </m:r>
        <m:r>
          <w:rPr>
            <w:rFonts w:ascii="Cambria Math" w:hAnsi="Cambria Math"/>
          </w:rPr>
          <m:t>≥</m:t>
        </m:r>
        <m:r>
          <w:rPr>
            <w:rFonts w:ascii="Cambria Math"/>
          </w:rPr>
          <m:t>c</m:t>
        </m:r>
      </m:oMath>
      <w:r w:rsidR="003F4913" w:rsidRPr="001C1D37">
        <w:t xml:space="preserve"> (test positive)</w:t>
      </w:r>
      <w:r w:rsidRPr="001C1D37">
        <w:rPr>
          <w:i/>
          <w:iCs/>
        </w:rPr>
        <w:t xml:space="preserve"> </w:t>
      </w:r>
      <w:r w:rsidRPr="001C1D37">
        <w:t xml:space="preserve">among </w:t>
      </w:r>
      <w:r w:rsidRPr="001C1D37">
        <w:rPr>
          <w:i/>
        </w:rPr>
        <w:t>cases</w:t>
      </w:r>
      <w:r w:rsidRPr="001C1D37">
        <w:t xml:space="preserve"> (i.e. true positive fraction TPF), while </w:t>
      </w:r>
      <m:oMath>
        <m:r>
          <m:rPr>
            <m:sty m:val="p"/>
          </m:rPr>
          <w:rPr>
            <w:rFonts w:ascii="Cambria Math" w:hAnsi="Cambria Math"/>
          </w:rPr>
          <m:t>specificity</m:t>
        </m:r>
        <m:d>
          <m:dPr>
            <m:ctrlPr>
              <w:rPr>
                <w:rFonts w:ascii="Cambria Math" w:hAnsi="Cambria Math"/>
                <w:i/>
              </w:rPr>
            </m:ctrlPr>
          </m:dPr>
          <m:e>
            <m:r>
              <w:rPr>
                <w:rFonts w:ascii="Cambria Math" w:hAnsi="Cambria Math"/>
              </w:rPr>
              <m:t>c</m:t>
            </m:r>
          </m:e>
        </m:d>
      </m:oMath>
      <w:r w:rsidRPr="001C1D37">
        <w:t xml:space="preserve"> estimates the expected fraction of individuals with </w:t>
      </w:r>
      <m:oMath>
        <m:r>
          <w:rPr>
            <w:rFonts w:ascii="Cambria Math" w:eastAsia="Calibri" w:hAnsi="Cambria Math"/>
          </w:rPr>
          <m:t>y</m:t>
        </m:r>
        <m:r>
          <w:rPr>
            <w:rFonts w:ascii="Cambria Math" w:hAnsi="Cambria Math"/>
          </w:rPr>
          <m:t>&lt;</m:t>
        </m:r>
        <m:r>
          <w:rPr>
            <w:rFonts w:ascii="Cambria Math"/>
          </w:rPr>
          <m:t>c</m:t>
        </m:r>
      </m:oMath>
      <w:r w:rsidR="003F4913" w:rsidRPr="001C1D37">
        <w:t xml:space="preserve"> (test negative)</w:t>
      </w:r>
      <w:r w:rsidRPr="001C1D37">
        <w:rPr>
          <w:i/>
          <w:iCs/>
        </w:rPr>
        <w:t xml:space="preserve"> </w:t>
      </w:r>
      <w:r w:rsidRPr="001C1D37">
        <w:t xml:space="preserve">among controls (i.e. true negative fraction  = </w:t>
      </w:r>
      <m:oMath>
        <m:r>
          <w:rPr>
            <w:rFonts w:ascii="Cambria Math" w:hAnsi="Cambria Math"/>
          </w:rPr>
          <m:t>1-</m:t>
        </m:r>
      </m:oMath>
      <w:r w:rsidRPr="001C1D37">
        <w:t xml:space="preserve"> false positive fraction FPF). When no a priori value of </w:t>
      </w:r>
      <m:oMath>
        <m:r>
          <w:rPr>
            <w:rFonts w:ascii="Cambria Math"/>
          </w:rPr>
          <m:t>c</m:t>
        </m:r>
      </m:oMath>
      <w:r w:rsidRPr="001C1D37">
        <w:t xml:space="preserve"> is indicated, the full spectrum of sensitivities and specificities can be characterised by ROC curve that plots the TPF versus the FPF for </w:t>
      </w:r>
      <w:proofErr w:type="gramStart"/>
      <w:r w:rsidRPr="001C1D37">
        <w:t xml:space="preserve">all </w:t>
      </w:r>
      <w:proofErr w:type="gramEnd"/>
      <m:oMath>
        <m:r>
          <w:rPr>
            <w:rFonts w:ascii="Cambria Math"/>
          </w:rPr>
          <m:t>c</m:t>
        </m:r>
        <m:r>
          <w:rPr>
            <w:rFonts w:ascii="Cambria Math" w:hAnsi="Cambria Math"/>
          </w:rPr>
          <m:t>∈</m:t>
        </m:r>
        <m:r>
          <w:rPr>
            <w:rFonts w:ascii="Cambria Math"/>
          </w:rPr>
          <m:t>(</m:t>
        </m:r>
        <m:r>
          <w:rPr>
            <w:rFonts w:ascii="Cambria Math"/>
          </w:rPr>
          <m:t>-</m:t>
        </m:r>
        <m:r>
          <w:rPr>
            <w:rFonts w:ascii="Cambria Math" w:hAnsi="Cambria Math"/>
          </w:rPr>
          <m:t>∞</m:t>
        </m:r>
        <m:r>
          <w:rPr>
            <w:rFonts w:ascii="Cambria Math"/>
          </w:rPr>
          <m:t>,+</m:t>
        </m:r>
        <m:r>
          <w:rPr>
            <w:rFonts w:ascii="Cambria Math" w:hAnsi="Cambria Math"/>
          </w:rPr>
          <m:t>∞</m:t>
        </m:r>
        <m:r>
          <w:rPr>
            <w:rFonts w:ascii="Cambria Math"/>
          </w:rPr>
          <m:t>)</m:t>
        </m:r>
      </m:oMath>
      <w:r w:rsidRPr="001C1D37">
        <w:t xml:space="preserve">. </w:t>
      </w:r>
      <w:r w:rsidRPr="001C1D37">
        <w:rPr>
          <w:rFonts w:eastAsia="Calibri"/>
        </w:rPr>
        <w:t xml:space="preserve">In the standard ROC </w:t>
      </w:r>
      <w:r w:rsidR="006278BB" w:rsidRPr="001C1D37">
        <w:rPr>
          <w:rFonts w:eastAsia="Calibri"/>
        </w:rPr>
        <w:t>curve analysis</w:t>
      </w:r>
      <w:r w:rsidRPr="001C1D37">
        <w:rPr>
          <w:rFonts w:eastAsia="Calibri"/>
        </w:rPr>
        <w:t>, the</w:t>
      </w:r>
      <w:r w:rsidRPr="001C1D37">
        <w:t xml:space="preserve"> accuracy of </w:t>
      </w:r>
      <m:oMath>
        <m:r>
          <w:rPr>
            <w:rFonts w:ascii="Cambria Math" w:hAnsi="Cambria Math"/>
          </w:rPr>
          <m:t>y</m:t>
        </m:r>
      </m:oMath>
      <w:r w:rsidRPr="001C1D37">
        <w:t xml:space="preserve"> is typically quantified with above two correct classification rates</w:t>
      </w:r>
      <w:r w:rsidRPr="001C1D37">
        <w:rPr>
          <w:rFonts w:eastAsia="Calibri"/>
        </w:rPr>
        <w:t xml:space="preserve"> [3]. A perfect </w:t>
      </w:r>
      <m:oMath>
        <m:r>
          <w:rPr>
            <w:rFonts w:ascii="Cambria Math" w:hAnsi="Cambria Math"/>
          </w:rPr>
          <m:t>y</m:t>
        </m:r>
      </m:oMath>
      <w:r w:rsidRPr="001C1D37">
        <w:rPr>
          <w:rFonts w:eastAsia="Calibri"/>
        </w:rPr>
        <w:t xml:space="preserve"> completely separates cases and controls; in that case, we have </w:t>
      </w:r>
      <m:oMath>
        <m:r>
          <m:rPr>
            <m:sty m:val="p"/>
          </m:rPr>
          <w:rPr>
            <w:rFonts w:ascii="Cambria Math" w:eastAsia="Calibri" w:hAnsi="Cambria Math"/>
          </w:rPr>
          <m:t>TPF</m:t>
        </m:r>
        <m:r>
          <m:rPr>
            <m:sty m:val="p"/>
          </m:rPr>
          <w:rPr>
            <w:rFonts w:ascii="Cambria Math" w:hAnsi="Cambria Math"/>
          </w:rPr>
          <m:t xml:space="preserve"> </m:t>
        </m:r>
        <m:d>
          <m:dPr>
            <m:ctrlPr>
              <w:rPr>
                <w:rFonts w:ascii="Cambria Math" w:hAnsi="Cambria Math"/>
                <w:i/>
              </w:rPr>
            </m:ctrlPr>
          </m:dPr>
          <m:e>
            <m:r>
              <w:rPr>
                <w:rFonts w:ascii="Cambria Math" w:hAnsi="Cambria Math"/>
              </w:rPr>
              <m:t>c</m:t>
            </m:r>
          </m:e>
        </m:d>
        <m:r>
          <m:rPr>
            <m:sty m:val="p"/>
          </m:rPr>
          <w:rPr>
            <w:rFonts w:ascii="Cambria Math" w:eastAsia="Calibri" w:hAnsi="Cambria Math"/>
          </w:rPr>
          <m:t xml:space="preserve"> </m:t>
        </m:r>
        <m:r>
          <w:rPr>
            <w:rFonts w:ascii="Cambria Math" w:hAnsi="Cambria Math"/>
          </w:rPr>
          <m:t>=1</m:t>
        </m:r>
      </m:oMath>
      <w:r w:rsidRPr="001C1D37">
        <w:rPr>
          <w:rFonts w:eastAsia="Calibri"/>
        </w:rPr>
        <w:t xml:space="preserve"> </w:t>
      </w:r>
      <w:proofErr w:type="gramStart"/>
      <w:r w:rsidRPr="001C1D37">
        <w:rPr>
          <w:rFonts w:eastAsia="Calibri"/>
        </w:rPr>
        <w:t xml:space="preserve">and </w:t>
      </w:r>
      <w:proofErr w:type="gramEnd"/>
      <m:oMath>
        <m:r>
          <m:rPr>
            <m:sty m:val="p"/>
          </m:rPr>
          <w:rPr>
            <w:rFonts w:ascii="Cambria Math" w:eastAsia="Calibri" w:hAnsi="Cambria Math"/>
          </w:rPr>
          <m:t>FPF</m:t>
        </m:r>
        <m:r>
          <m:rPr>
            <m:sty m:val="p"/>
          </m:rPr>
          <w:rPr>
            <w:rFonts w:ascii="Cambria Math" w:hAnsi="Cambria Math"/>
          </w:rPr>
          <m:t xml:space="preserve"> </m:t>
        </m:r>
        <m:d>
          <m:dPr>
            <m:ctrlPr>
              <w:rPr>
                <w:rFonts w:ascii="Cambria Math" w:hAnsi="Cambria Math"/>
                <w:i/>
              </w:rPr>
            </m:ctrlPr>
          </m:dPr>
          <m:e>
            <m:r>
              <w:rPr>
                <w:rFonts w:ascii="Cambria Math" w:hAnsi="Cambria Math"/>
              </w:rPr>
              <m:t>c</m:t>
            </m:r>
          </m:e>
        </m:d>
        <m:r>
          <w:rPr>
            <w:rFonts w:ascii="Cambria Math" w:hAnsi="Cambria Math"/>
          </w:rPr>
          <m:t>=0</m:t>
        </m:r>
      </m:oMath>
      <w:r w:rsidRPr="001C1D37">
        <w:rPr>
          <w:rFonts w:eastAsia="Calibri"/>
        </w:rPr>
        <w:t xml:space="preserve">, and then </w:t>
      </w:r>
      <m:oMath>
        <m:r>
          <m:rPr>
            <m:sty m:val="p"/>
          </m:rPr>
          <w:rPr>
            <w:rFonts w:ascii="Cambria Math" w:eastAsia="Calibri" w:hAnsi="Cambria Math"/>
          </w:rPr>
          <m:t>ROC</m:t>
        </m:r>
        <m:d>
          <m:dPr>
            <m:ctrlPr>
              <w:rPr>
                <w:rFonts w:ascii="Cambria Math" w:eastAsia="Calibri" w:hAnsi="Cambria Math"/>
                <w:i/>
              </w:rPr>
            </m:ctrlPr>
          </m:dPr>
          <m:e>
            <m:r>
              <w:rPr>
                <w:rFonts w:ascii="Cambria Math" w:eastAsia="Calibri" w:hAnsi="Cambria Math"/>
              </w:rPr>
              <m:t>ρ</m:t>
            </m:r>
          </m:e>
        </m:d>
        <m:r>
          <w:rPr>
            <w:rFonts w:ascii="Cambria Math" w:eastAsia="Calibri" w:hAnsi="Cambria Math"/>
          </w:rPr>
          <m:t>=1</m:t>
        </m:r>
      </m:oMath>
      <w:r w:rsidRPr="001C1D37">
        <w:rPr>
          <w:rFonts w:eastAsia="Calibri"/>
        </w:rPr>
        <w:t xml:space="preserve"> for any </w:t>
      </w:r>
      <m:oMath>
        <m:r>
          <w:rPr>
            <w:rFonts w:ascii="Cambria Math" w:eastAsia="Calibri" w:hAnsi="Cambria Math"/>
          </w:rPr>
          <m:t>ρ=</m:t>
        </m:r>
        <m:r>
          <m:rPr>
            <m:sty m:val="p"/>
          </m:rPr>
          <w:rPr>
            <w:rFonts w:ascii="Cambria Math" w:eastAsia="Calibri" w:hAnsi="Cambria Math"/>
          </w:rPr>
          <m:t>FPF</m:t>
        </m:r>
        <m:r>
          <m:rPr>
            <m:sty m:val="p"/>
          </m:rPr>
          <w:rPr>
            <w:rFonts w:ascii="Cambria Math" w:hAnsi="Cambria Math"/>
          </w:rPr>
          <m:t xml:space="preserve"> </m:t>
        </m:r>
        <m:d>
          <m:dPr>
            <m:ctrlPr>
              <w:rPr>
                <w:rFonts w:ascii="Cambria Math" w:hAnsi="Cambria Math"/>
                <w:i/>
              </w:rPr>
            </m:ctrlPr>
          </m:dPr>
          <m:e>
            <m:r>
              <w:rPr>
                <w:rFonts w:ascii="Cambria Math" w:hAnsi="Cambria Math"/>
              </w:rPr>
              <m:t>c</m:t>
            </m:r>
          </m:e>
        </m:d>
        <m:r>
          <w:rPr>
            <w:rFonts w:ascii="Cambria Math" w:hAnsi="Cambria Math"/>
          </w:rPr>
          <m:t>≥0</m:t>
        </m:r>
      </m:oMath>
      <w:r w:rsidRPr="001C1D37">
        <w:rPr>
          <w:rFonts w:eastAsia="Calibri"/>
        </w:rPr>
        <w:t xml:space="preserve"> for a given threshold </w:t>
      </w:r>
      <m:oMath>
        <m:r>
          <w:rPr>
            <w:rFonts w:ascii="Cambria Math" w:hAnsi="Cambria Math"/>
          </w:rPr>
          <m:t>c</m:t>
        </m:r>
      </m:oMath>
      <w:r w:rsidRPr="001C1D37">
        <w:rPr>
          <w:rFonts w:eastAsia="Calibri"/>
        </w:rPr>
        <w:t xml:space="preserve">. If distributions for cases and controls are </w:t>
      </w:r>
      <w:r w:rsidRPr="001C1D37">
        <w:rPr>
          <w:rFonts w:eastAsia="Calibri"/>
        </w:rPr>
        <w:lastRenderedPageBreak/>
        <w:t xml:space="preserve">identical, hence </w:t>
      </w:r>
      <m:oMath>
        <m:r>
          <w:rPr>
            <w:rFonts w:ascii="Cambria Math" w:hAnsi="Cambria Math"/>
          </w:rPr>
          <m:t>y</m:t>
        </m:r>
      </m:oMath>
      <w:r w:rsidRPr="001C1D37">
        <w:rPr>
          <w:rFonts w:eastAsia="Calibri"/>
        </w:rPr>
        <w:t xml:space="preserve">  is completely inefficient; then for </w:t>
      </w:r>
      <w:proofErr w:type="gramStart"/>
      <w:r w:rsidRPr="001C1D37">
        <w:rPr>
          <w:rFonts w:eastAsia="Calibri"/>
        </w:rPr>
        <w:t xml:space="preserve">any </w:t>
      </w:r>
      <w:proofErr w:type="gramEnd"/>
      <m:oMath>
        <m:r>
          <w:rPr>
            <w:rFonts w:ascii="Cambria Math" w:hAnsi="Cambria Math"/>
          </w:rPr>
          <m:t>c</m:t>
        </m:r>
      </m:oMath>
      <w:r w:rsidRPr="001C1D37">
        <w:rPr>
          <w:rFonts w:eastAsia="Calibri"/>
        </w:rPr>
        <w:t xml:space="preserve">, we have </w:t>
      </w:r>
      <m:oMath>
        <m:r>
          <m:rPr>
            <m:sty m:val="p"/>
          </m:rPr>
          <w:rPr>
            <w:rFonts w:ascii="Cambria Math" w:eastAsia="Calibri" w:hAnsi="Cambria Math"/>
          </w:rPr>
          <m:t>TPF</m:t>
        </m:r>
        <m:r>
          <m:rPr>
            <m:sty m:val="p"/>
          </m:rPr>
          <w:rPr>
            <w:rFonts w:ascii="Cambria Math" w:hAnsi="Cambria Math"/>
          </w:rPr>
          <m:t xml:space="preserve"> </m:t>
        </m:r>
        <m:d>
          <m:dPr>
            <m:ctrlPr>
              <w:rPr>
                <w:rFonts w:ascii="Cambria Math" w:hAnsi="Cambria Math"/>
                <w:i/>
              </w:rPr>
            </m:ctrlPr>
          </m:dPr>
          <m:e>
            <m:r>
              <w:rPr>
                <w:rFonts w:ascii="Cambria Math" w:hAnsi="Cambria Math"/>
              </w:rPr>
              <m:t>c</m:t>
            </m:r>
          </m:e>
        </m:d>
        <m:r>
          <w:rPr>
            <w:rFonts w:ascii="Cambria Math" w:hAnsi="Cambria Math"/>
          </w:rPr>
          <m:t>=</m:t>
        </m:r>
        <m:r>
          <m:rPr>
            <m:sty m:val="p"/>
          </m:rPr>
          <w:rPr>
            <w:rFonts w:ascii="Cambria Math" w:eastAsia="Calibri" w:hAnsi="Cambria Math"/>
          </w:rPr>
          <m:t>FPF</m:t>
        </m:r>
        <m:r>
          <m:rPr>
            <m:sty m:val="p"/>
          </m:rPr>
          <w:rPr>
            <w:rFonts w:ascii="Cambria Math" w:hAnsi="Cambria Math"/>
          </w:rPr>
          <m:t xml:space="preserve"> </m:t>
        </m:r>
        <m:d>
          <m:dPr>
            <m:ctrlPr>
              <w:rPr>
                <w:rFonts w:ascii="Cambria Math" w:hAnsi="Cambria Math"/>
                <w:i/>
              </w:rPr>
            </m:ctrlPr>
          </m:dPr>
          <m:e>
            <m:r>
              <w:rPr>
                <w:rFonts w:ascii="Cambria Math" w:hAnsi="Cambria Math"/>
              </w:rPr>
              <m:t>c</m:t>
            </m:r>
          </m:e>
        </m:d>
      </m:oMath>
      <w:r w:rsidRPr="001C1D37">
        <w:rPr>
          <w:rFonts w:eastAsia="Calibri"/>
        </w:rPr>
        <w:t xml:space="preserve">, and therefore </w:t>
      </w:r>
      <m:oMath>
        <m:r>
          <m:rPr>
            <m:sty m:val="p"/>
          </m:rPr>
          <w:rPr>
            <w:rFonts w:ascii="Cambria Math" w:eastAsia="Calibri" w:hAnsi="Cambria Math"/>
          </w:rPr>
          <m:t>ROC</m:t>
        </m:r>
        <m:d>
          <m:dPr>
            <m:ctrlPr>
              <w:rPr>
                <w:rFonts w:ascii="Cambria Math" w:eastAsia="Calibri" w:hAnsi="Cambria Math"/>
                <w:i/>
              </w:rPr>
            </m:ctrlPr>
          </m:dPr>
          <m:e>
            <m:r>
              <w:rPr>
                <w:rFonts w:ascii="Cambria Math" w:eastAsia="Calibri" w:hAnsi="Cambria Math"/>
              </w:rPr>
              <m:t>ρ</m:t>
            </m:r>
          </m:e>
        </m:d>
        <m:r>
          <w:rPr>
            <w:rFonts w:ascii="Cambria Math" w:eastAsia="Calibri" w:hAnsi="Cambria Math"/>
          </w:rPr>
          <m:t>=ρ</m:t>
        </m:r>
      </m:oMath>
      <w:r w:rsidRPr="001C1D37">
        <w:rPr>
          <w:rFonts w:eastAsia="Calibri"/>
        </w:rPr>
        <w:t xml:space="preserve">. </w:t>
      </w:r>
      <w:r w:rsidRPr="001C1D37">
        <w:t xml:space="preserve">The most familiar summary measure for the ROC function is the area under the ROC curve (AUC) which gives a single scalar value representing the expected performance </w:t>
      </w:r>
      <w:proofErr w:type="gramStart"/>
      <w:r w:rsidRPr="001C1D37">
        <w:t xml:space="preserve">of </w:t>
      </w:r>
      <w:proofErr w:type="gramEnd"/>
      <m:oMath>
        <m:r>
          <w:rPr>
            <w:rFonts w:ascii="Cambria Math" w:hAnsi="Cambria Math"/>
          </w:rPr>
          <m:t>y</m:t>
        </m:r>
      </m:oMath>
      <w:r w:rsidRPr="001C1D37">
        <w:t xml:space="preserve">. </w:t>
      </w:r>
      <w:r w:rsidR="00924574" w:rsidRPr="001C1D37">
        <w:t>AUC is the most often used ROC statistic for model comparison. AUC</w:t>
      </w:r>
      <w:r w:rsidRPr="001C1D37">
        <w:t xml:space="preserve"> ranges from 0.5 to 1 for </w:t>
      </w:r>
      <w:r w:rsidRPr="001C1D37">
        <w:rPr>
          <w:rFonts w:eastAsia="Calibri"/>
        </w:rPr>
        <w:t>completely inefficient</w:t>
      </w:r>
      <w:r w:rsidRPr="001C1D37">
        <w:t xml:space="preserve"> to perfect accuracy;</w:t>
      </w:r>
      <w:r w:rsidRPr="001C1D37">
        <w:rPr>
          <w:rFonts w:eastAsia="Calibri"/>
        </w:rPr>
        <w:t xml:space="preserve"> S</w:t>
      </w:r>
      <w:r w:rsidRPr="001C1D37">
        <w:t xml:space="preserve">ee </w:t>
      </w:r>
      <w:proofErr w:type="spellStart"/>
      <w:r w:rsidRPr="001C1D37">
        <w:rPr>
          <w:rFonts w:eastAsia="Calibri"/>
        </w:rPr>
        <w:t>Pepe</w:t>
      </w:r>
      <w:proofErr w:type="spellEnd"/>
      <w:r w:rsidRPr="001C1D37">
        <w:rPr>
          <w:rFonts w:eastAsia="Calibri"/>
        </w:rPr>
        <w:t xml:space="preserve"> [</w:t>
      </w:r>
      <w:r w:rsidR="008A1EB6" w:rsidRPr="001C1D37">
        <w:rPr>
          <w:rFonts w:eastAsia="Calibri"/>
        </w:rPr>
        <w:t>2</w:t>
      </w:r>
      <w:r w:rsidR="003B6179" w:rsidRPr="001C1D37">
        <w:rPr>
          <w:rFonts w:eastAsia="Calibri"/>
        </w:rPr>
        <w:t>3</w:t>
      </w:r>
      <w:r w:rsidRPr="001C1D37">
        <w:rPr>
          <w:rFonts w:eastAsia="Calibri"/>
        </w:rPr>
        <w:t xml:space="preserve">] for an excellent introduction to the standard ROC </w:t>
      </w:r>
      <w:r w:rsidR="006278BB" w:rsidRPr="001C1D37">
        <w:rPr>
          <w:rFonts w:eastAsia="Calibri"/>
        </w:rPr>
        <w:t>methodology</w:t>
      </w:r>
      <w:r w:rsidRPr="001C1D37">
        <w:rPr>
          <w:rFonts w:eastAsia="Calibri"/>
        </w:rPr>
        <w:t>.</w:t>
      </w:r>
    </w:p>
    <w:p w:rsidR="00D0467E" w:rsidRPr="001C1D37" w:rsidRDefault="00D0467E" w:rsidP="001C1D37">
      <w:pPr>
        <w:autoSpaceDE w:val="0"/>
        <w:autoSpaceDN w:val="0"/>
        <w:adjustRightInd w:val="0"/>
        <w:rPr>
          <w:rStyle w:val="Strong"/>
          <w:b w:val="0"/>
          <w:bCs w:val="0"/>
        </w:rPr>
      </w:pPr>
    </w:p>
    <w:p w:rsidR="00333999" w:rsidRPr="001C1D37" w:rsidRDefault="00333999" w:rsidP="001C1D37">
      <w:pPr>
        <w:jc w:val="both"/>
        <w:rPr>
          <w:rStyle w:val="Strong"/>
          <w:b w:val="0"/>
          <w:bCs w:val="0"/>
        </w:rPr>
      </w:pPr>
    </w:p>
    <w:p w:rsidR="00A6360F" w:rsidRPr="001C1D37" w:rsidRDefault="00D0467E" w:rsidP="001C1D37">
      <w:pPr>
        <w:jc w:val="both"/>
        <w:rPr>
          <w:rFonts w:eastAsia="Calibri"/>
        </w:rPr>
      </w:pPr>
      <w:r w:rsidRPr="001C1D37">
        <w:rPr>
          <w:rStyle w:val="Strong"/>
          <w:b w:val="0"/>
          <w:bCs w:val="0"/>
        </w:rPr>
        <w:t xml:space="preserve">The time dimension can be included in the </w:t>
      </w:r>
      <w:r w:rsidRPr="001C1D37">
        <w:rPr>
          <w:rFonts w:eastAsia="Calibri"/>
        </w:rPr>
        <w:t>standard ROC methodology by considering the time dependency in the biomarker</w:t>
      </w:r>
      <w:r w:rsidRPr="001C1D37">
        <w:t xml:space="preserve"> measurement </w:t>
      </w:r>
      <m:oMath>
        <m:r>
          <w:rPr>
            <w:rFonts w:ascii="Cambria Math" w:hAnsi="Cambria Math"/>
          </w:rPr>
          <m:t>y</m:t>
        </m:r>
      </m:oMath>
      <w:r w:rsidRPr="001C1D37">
        <w:t xml:space="preserve"> or binary disease outcome </w:t>
      </w:r>
      <m:oMath>
        <m:r>
          <w:rPr>
            <w:rFonts w:ascii="Cambria Math" w:hAnsi="Cambria Math"/>
          </w:rPr>
          <m:t>D</m:t>
        </m:r>
      </m:oMath>
      <w:r w:rsidRPr="001C1D37">
        <w:rPr>
          <w:rFonts w:eastAsia="Calibri"/>
        </w:rPr>
        <w:t xml:space="preserve"> or both</w:t>
      </w:r>
      <w:r w:rsidR="003B6179" w:rsidRPr="001C1D37">
        <w:rPr>
          <w:rFonts w:eastAsia="Calibri"/>
        </w:rPr>
        <w:t xml:space="preserve"> which </w:t>
      </w:r>
      <w:r w:rsidRPr="001C1D37">
        <w:rPr>
          <w:rStyle w:val="Strong"/>
          <w:b w:val="0"/>
          <w:bCs w:val="0"/>
        </w:rPr>
        <w:t>has recently been actively researched [</w:t>
      </w:r>
      <w:r w:rsidR="003B6179" w:rsidRPr="001C1D37">
        <w:rPr>
          <w:rStyle w:val="Strong"/>
          <w:b w:val="0"/>
          <w:bCs w:val="0"/>
        </w:rPr>
        <w:t>4</w:t>
      </w:r>
      <w:r w:rsidR="008A1EB6" w:rsidRPr="001C1D37">
        <w:rPr>
          <w:rStyle w:val="Strong"/>
          <w:b w:val="0"/>
          <w:bCs w:val="0"/>
        </w:rPr>
        <w:t xml:space="preserve">, </w:t>
      </w:r>
      <w:r w:rsidR="003B6179" w:rsidRPr="001C1D37">
        <w:rPr>
          <w:rStyle w:val="Strong"/>
          <w:b w:val="0"/>
          <w:bCs w:val="0"/>
        </w:rPr>
        <w:t>5</w:t>
      </w:r>
      <w:r w:rsidR="008A1EB6" w:rsidRPr="001C1D37">
        <w:rPr>
          <w:rStyle w:val="Strong"/>
          <w:b w:val="0"/>
          <w:bCs w:val="0"/>
        </w:rPr>
        <w:t xml:space="preserve">, </w:t>
      </w:r>
      <w:r w:rsidR="003B6179" w:rsidRPr="001C1D37">
        <w:rPr>
          <w:rStyle w:val="Strong"/>
          <w:b w:val="0"/>
          <w:bCs w:val="0"/>
        </w:rPr>
        <w:t>6-8</w:t>
      </w:r>
      <w:r w:rsidRPr="001C1D37">
        <w:rPr>
          <w:rStyle w:val="Strong"/>
          <w:b w:val="0"/>
          <w:bCs w:val="0"/>
        </w:rPr>
        <w:t>]</w:t>
      </w:r>
      <w:r w:rsidR="003B6179" w:rsidRPr="001C1D37">
        <w:rPr>
          <w:rStyle w:val="Strong"/>
          <w:b w:val="0"/>
          <w:bCs w:val="0"/>
        </w:rPr>
        <w:t>,</w:t>
      </w:r>
      <w:r w:rsidRPr="001C1D37">
        <w:rPr>
          <w:rStyle w:val="Strong"/>
          <w:b w:val="0"/>
          <w:bCs w:val="0"/>
        </w:rPr>
        <w:t xml:space="preserve"> and </w:t>
      </w:r>
      <w:r w:rsidR="00A6360F" w:rsidRPr="001C1D37">
        <w:rPr>
          <w:rStyle w:val="Strong"/>
          <w:b w:val="0"/>
          <w:bCs w:val="0"/>
        </w:rPr>
        <w:t xml:space="preserve">these </w:t>
      </w:r>
      <w:r w:rsidRPr="001C1D37">
        <w:rPr>
          <w:rStyle w:val="Strong"/>
          <w:b w:val="0"/>
          <w:bCs w:val="0"/>
        </w:rPr>
        <w:t xml:space="preserve">approaches deal with either a fixed (baseline) biomarker with censored event-time outcome or address longitudinal nature of biomarkers with uncensored clinical endpoints. </w:t>
      </w:r>
      <w:r w:rsidRPr="001C1D37">
        <w:t xml:space="preserve">Dealing with censored event-times in ROC </w:t>
      </w:r>
      <w:r w:rsidR="00A6360F" w:rsidRPr="001C1D37">
        <w:t xml:space="preserve">curve </w:t>
      </w:r>
      <w:r w:rsidRPr="001C1D37">
        <w:t xml:space="preserve">analysis was discussed by </w:t>
      </w:r>
      <w:proofErr w:type="spellStart"/>
      <w:r w:rsidRPr="001C1D37">
        <w:t>Heagerty</w:t>
      </w:r>
      <w:proofErr w:type="spellEnd"/>
      <w:r w:rsidRPr="001C1D37">
        <w:t xml:space="preserve">, Lumley and </w:t>
      </w:r>
      <w:proofErr w:type="spellStart"/>
      <w:r w:rsidRPr="001C1D37">
        <w:t>Pepe</w:t>
      </w:r>
      <w:proofErr w:type="spellEnd"/>
      <w:r w:rsidRPr="001C1D37">
        <w:t xml:space="preserve"> [</w:t>
      </w:r>
      <w:r w:rsidR="003B6179" w:rsidRPr="001C1D37">
        <w:t>4</w:t>
      </w:r>
      <w:r w:rsidRPr="001C1D37">
        <w:t xml:space="preserve">] based on the Kaplan-Meier survivor function and later by </w:t>
      </w:r>
      <w:proofErr w:type="spellStart"/>
      <w:r w:rsidRPr="001C1D37">
        <w:t>Heagerty</w:t>
      </w:r>
      <w:proofErr w:type="spellEnd"/>
      <w:r w:rsidRPr="001C1D37">
        <w:t xml:space="preserve"> and Zheng [</w:t>
      </w:r>
      <w:r w:rsidR="003B6179" w:rsidRPr="001C1D37">
        <w:t>5</w:t>
      </w:r>
      <w:r w:rsidRPr="001C1D37">
        <w:t xml:space="preserve">] and </w:t>
      </w:r>
      <w:r w:rsidR="008A1EB6" w:rsidRPr="001C1D37">
        <w:rPr>
          <w:rFonts w:eastAsia="Calibri"/>
        </w:rPr>
        <w:t xml:space="preserve">Zheng and </w:t>
      </w:r>
      <w:proofErr w:type="spellStart"/>
      <w:r w:rsidR="008A1EB6" w:rsidRPr="001C1D37">
        <w:rPr>
          <w:rFonts w:eastAsia="Calibri"/>
        </w:rPr>
        <w:t>Heagerty</w:t>
      </w:r>
      <w:proofErr w:type="spellEnd"/>
      <w:r w:rsidR="008A1EB6" w:rsidRPr="001C1D37">
        <w:rPr>
          <w:rFonts w:eastAsia="Calibri"/>
        </w:rPr>
        <w:t xml:space="preserve"> [</w:t>
      </w:r>
      <w:r w:rsidR="00887D4D" w:rsidRPr="001C1D37">
        <w:rPr>
          <w:rFonts w:eastAsia="Calibri"/>
        </w:rPr>
        <w:t>8</w:t>
      </w:r>
      <w:r w:rsidRPr="001C1D37">
        <w:rPr>
          <w:rFonts w:eastAsia="Calibri"/>
        </w:rPr>
        <w:t xml:space="preserve">] </w:t>
      </w:r>
      <w:r w:rsidRPr="001C1D37">
        <w:t>bas</w:t>
      </w:r>
      <w:r w:rsidR="00A6360F" w:rsidRPr="001C1D37">
        <w:t xml:space="preserve">ed on the Cox regression model. </w:t>
      </w:r>
      <w:r w:rsidRPr="001C1D37">
        <w:t>The Kaplan-Meier and Cox regression are well established for modelling censored event-times, and hence the above approaches take</w:t>
      </w:r>
      <w:r w:rsidRPr="001C1D37">
        <w:rPr>
          <w:rFonts w:eastAsia="Calibri"/>
        </w:rPr>
        <w:t xml:space="preserve"> proper account of censored event-times; however, a single biomarker value is considered </w:t>
      </w:r>
      <w:r w:rsidR="00947698" w:rsidRPr="001C1D37">
        <w:rPr>
          <w:rFonts w:eastAsia="Calibri"/>
        </w:rPr>
        <w:t xml:space="preserve">usually </w:t>
      </w:r>
      <w:r w:rsidRPr="001C1D37">
        <w:rPr>
          <w:rFonts w:eastAsia="Calibri"/>
        </w:rPr>
        <w:t xml:space="preserve">at </w:t>
      </w:r>
      <w:r w:rsidR="00947698" w:rsidRPr="001C1D37">
        <w:rPr>
          <w:rFonts w:eastAsia="Calibri"/>
        </w:rPr>
        <w:t xml:space="preserve">the </w:t>
      </w:r>
      <w:r w:rsidRPr="001C1D37">
        <w:rPr>
          <w:rFonts w:eastAsia="Calibri"/>
        </w:rPr>
        <w:t xml:space="preserve">baseline or at a certain time point </w:t>
      </w:r>
      <m:oMath>
        <m:r>
          <w:rPr>
            <w:rFonts w:ascii="Cambria Math" w:eastAsia="Calibri" w:hAnsi="Cambria Math"/>
          </w:rPr>
          <m:t>t</m:t>
        </m:r>
      </m:oMath>
      <w:r w:rsidR="00947698" w:rsidRPr="001C1D37">
        <w:rPr>
          <w:rFonts w:eastAsia="Calibri"/>
        </w:rPr>
        <w:t xml:space="preserve"> (e.g. the </w:t>
      </w:r>
      <w:r w:rsidR="00947698" w:rsidRPr="001C1D37">
        <w:t xml:space="preserve">final biomarker value </w:t>
      </w:r>
      <w:r w:rsidR="008A1EB6" w:rsidRPr="001C1D37">
        <w:t xml:space="preserve">measured </w:t>
      </w:r>
      <w:r w:rsidR="00947698" w:rsidRPr="001C1D37">
        <w:t xml:space="preserve">prior to clinical </w:t>
      </w:r>
      <w:r w:rsidR="00176BC9" w:rsidRPr="001C1D37">
        <w:t>endpoint</w:t>
      </w:r>
      <w:r w:rsidR="00947698" w:rsidRPr="001C1D37">
        <w:rPr>
          <w:rFonts w:eastAsia="Calibri"/>
        </w:rPr>
        <w:t>)</w:t>
      </w:r>
      <w:r w:rsidRPr="001C1D37">
        <w:rPr>
          <w:rFonts w:eastAsia="Calibri"/>
        </w:rPr>
        <w:t xml:space="preserve">; </w:t>
      </w:r>
      <w:r w:rsidR="00A6360F" w:rsidRPr="001C1D37">
        <w:rPr>
          <w:rFonts w:eastAsia="Calibri"/>
        </w:rPr>
        <w:t>hence</w:t>
      </w:r>
      <w:r w:rsidRPr="001C1D37">
        <w:rPr>
          <w:rFonts w:eastAsia="Calibri"/>
        </w:rPr>
        <w:t xml:space="preserve"> the longitudinal nature of biomarker measurements over </w:t>
      </w:r>
      <m:oMath>
        <m:r>
          <w:rPr>
            <w:rFonts w:ascii="Cambria Math" w:eastAsia="Calibri" w:hAnsi="Cambria Math"/>
          </w:rPr>
          <m:t>(0, t)</m:t>
        </m:r>
      </m:oMath>
      <w:r w:rsidRPr="001C1D37">
        <w:rPr>
          <w:rFonts w:eastAsia="Calibri"/>
        </w:rPr>
        <w:t xml:space="preserve"> has not been taken into account. </w:t>
      </w:r>
      <w:r w:rsidR="00947698" w:rsidRPr="001C1D37">
        <w:t xml:space="preserve">A review of some methods based on Kaplan-Meier and Cox regression is </w:t>
      </w:r>
      <w:r w:rsidR="00A6360F" w:rsidRPr="001C1D37">
        <w:t>given</w:t>
      </w:r>
      <w:r w:rsidR="00947698" w:rsidRPr="001C1D37">
        <w:t xml:space="preserve"> by </w:t>
      </w:r>
      <w:r w:rsidR="00947698" w:rsidRPr="001C1D37">
        <w:rPr>
          <w:rFonts w:eastAsia="Calibri"/>
          <w:bCs/>
          <w:lang w:eastAsia="en-GB"/>
        </w:rPr>
        <w:t>Blanche</w:t>
      </w:r>
      <w:r w:rsidR="00947698" w:rsidRPr="001C1D37">
        <w:rPr>
          <w:rFonts w:eastAsia="Calibri"/>
          <w:i/>
        </w:rPr>
        <w:t xml:space="preserve"> et al.</w:t>
      </w:r>
      <w:r w:rsidR="00947698" w:rsidRPr="001C1D37">
        <w:rPr>
          <w:rFonts w:eastAsia="Calibri"/>
        </w:rPr>
        <w:t xml:space="preserve"> [</w:t>
      </w:r>
      <w:r w:rsidR="00887D4D" w:rsidRPr="001C1D37">
        <w:rPr>
          <w:rFonts w:eastAsia="Calibri"/>
        </w:rPr>
        <w:t>24</w:t>
      </w:r>
      <w:r w:rsidR="00947698" w:rsidRPr="001C1D37">
        <w:rPr>
          <w:rFonts w:eastAsia="Calibri"/>
        </w:rPr>
        <w:t xml:space="preserve">]. </w:t>
      </w:r>
    </w:p>
    <w:p w:rsidR="00A6360F" w:rsidRPr="001C1D37" w:rsidRDefault="00A6360F" w:rsidP="001C1D37">
      <w:pPr>
        <w:jc w:val="both"/>
        <w:rPr>
          <w:rFonts w:eastAsia="Calibri"/>
        </w:rPr>
      </w:pPr>
    </w:p>
    <w:p w:rsidR="00333999" w:rsidRPr="001C1D37" w:rsidRDefault="00333999" w:rsidP="001C1D37">
      <w:pPr>
        <w:jc w:val="both"/>
        <w:rPr>
          <w:rFonts w:eastAsia="Calibri"/>
        </w:rPr>
      </w:pPr>
    </w:p>
    <w:p w:rsidR="00D0467E" w:rsidRPr="001C1D37" w:rsidRDefault="00D0467E" w:rsidP="001C1D37">
      <w:pPr>
        <w:jc w:val="both"/>
      </w:pPr>
      <w:proofErr w:type="spellStart"/>
      <w:r w:rsidRPr="001C1D37">
        <w:rPr>
          <w:lang w:eastAsia="en-GB"/>
        </w:rPr>
        <w:lastRenderedPageBreak/>
        <w:t>Etzioni</w:t>
      </w:r>
      <w:proofErr w:type="spellEnd"/>
      <w:r w:rsidRPr="001C1D37">
        <w:rPr>
          <w:lang w:eastAsia="en-GB"/>
        </w:rPr>
        <w:t xml:space="preserve"> et al. [</w:t>
      </w:r>
      <w:r w:rsidR="00887D4D" w:rsidRPr="001C1D37">
        <w:rPr>
          <w:lang w:eastAsia="en-GB"/>
        </w:rPr>
        <w:t>6</w:t>
      </w:r>
      <w:r w:rsidRPr="001C1D37">
        <w:rPr>
          <w:lang w:eastAsia="en-GB"/>
        </w:rPr>
        <w:t xml:space="preserve">], and Zheng and </w:t>
      </w:r>
      <w:proofErr w:type="spellStart"/>
      <w:r w:rsidRPr="001C1D37">
        <w:rPr>
          <w:lang w:eastAsia="en-GB"/>
        </w:rPr>
        <w:t>Heagerty</w:t>
      </w:r>
      <w:proofErr w:type="spellEnd"/>
      <w:r w:rsidRPr="001C1D37">
        <w:rPr>
          <w:lang w:eastAsia="en-GB"/>
        </w:rPr>
        <w:t xml:space="preserve"> [</w:t>
      </w:r>
      <w:r w:rsidR="00887D4D" w:rsidRPr="001C1D37">
        <w:rPr>
          <w:lang w:eastAsia="en-GB"/>
        </w:rPr>
        <w:t>7</w:t>
      </w:r>
      <w:r w:rsidRPr="001C1D37">
        <w:rPr>
          <w:lang w:eastAsia="en-GB"/>
        </w:rPr>
        <w:t xml:space="preserve">] discussed parametric and semi-parametric regression approaches characterising the longitudinal nature of a biomarker through linear mixed effect models.  In their approaches, </w:t>
      </w:r>
      <w:r w:rsidR="00176BC9" w:rsidRPr="001C1D37">
        <w:rPr>
          <w:lang w:eastAsia="en-GB"/>
        </w:rPr>
        <w:t>“</w:t>
      </w:r>
      <w:r w:rsidRPr="001C1D37">
        <w:rPr>
          <w:lang w:eastAsia="en-GB"/>
        </w:rPr>
        <w:t xml:space="preserve">time </w:t>
      </w:r>
      <w:r w:rsidR="00947698" w:rsidRPr="001C1D37">
        <w:rPr>
          <w:lang w:eastAsia="en-GB"/>
        </w:rPr>
        <w:t xml:space="preserve">before </w:t>
      </w:r>
      <w:r w:rsidR="00FB4590" w:rsidRPr="001C1D37">
        <w:rPr>
          <w:lang w:eastAsia="en-GB"/>
        </w:rPr>
        <w:t>event</w:t>
      </w:r>
      <w:r w:rsidR="00176BC9" w:rsidRPr="001C1D37">
        <w:rPr>
          <w:lang w:eastAsia="en-GB"/>
        </w:rPr>
        <w:t>”</w:t>
      </w:r>
      <w:r w:rsidRPr="001C1D37">
        <w:rPr>
          <w:lang w:eastAsia="en-GB"/>
        </w:rPr>
        <w:t xml:space="preserve"> </w:t>
      </w:r>
      <w:r w:rsidR="00176BC9" w:rsidRPr="001C1D37">
        <w:rPr>
          <w:lang w:eastAsia="en-GB"/>
        </w:rPr>
        <w:t xml:space="preserve">is calculated at each biomarker measurement time and </w:t>
      </w:r>
      <w:r w:rsidRPr="001C1D37">
        <w:rPr>
          <w:lang w:eastAsia="en-GB"/>
        </w:rPr>
        <w:t>included</w:t>
      </w:r>
      <w:r w:rsidR="00205820" w:rsidRPr="001C1D37">
        <w:rPr>
          <w:lang w:eastAsia="en-GB"/>
        </w:rPr>
        <w:t xml:space="preserve"> it </w:t>
      </w:r>
      <w:r w:rsidRPr="001C1D37">
        <w:rPr>
          <w:lang w:eastAsia="en-GB"/>
        </w:rPr>
        <w:t xml:space="preserve">as a covariate in the model for </w:t>
      </w:r>
      <w:r w:rsidRPr="001C1D37">
        <w:rPr>
          <w:i/>
          <w:lang w:eastAsia="en-GB"/>
        </w:rPr>
        <w:t>cases</w:t>
      </w:r>
      <w:r w:rsidRPr="001C1D37">
        <w:rPr>
          <w:lang w:eastAsia="en-GB"/>
        </w:rPr>
        <w:t xml:space="preserve"> </w:t>
      </w:r>
      <w:r w:rsidR="000348C1" w:rsidRPr="001C1D37">
        <w:rPr>
          <w:lang w:eastAsia="en-GB"/>
        </w:rPr>
        <w:t xml:space="preserve">(those who had failure) </w:t>
      </w:r>
      <w:r w:rsidRPr="001C1D37">
        <w:rPr>
          <w:lang w:eastAsia="en-GB"/>
        </w:rPr>
        <w:t xml:space="preserve">and it is considered irrelevant for </w:t>
      </w:r>
      <w:r w:rsidRPr="001C1D37">
        <w:rPr>
          <w:i/>
          <w:lang w:eastAsia="en-GB"/>
        </w:rPr>
        <w:t>controls</w:t>
      </w:r>
      <w:r w:rsidRPr="001C1D37">
        <w:rPr>
          <w:lang w:eastAsia="en-GB"/>
        </w:rPr>
        <w:t xml:space="preserve">, hence the censoring of the event-time process is not appropriately taken into account. Later, </w:t>
      </w:r>
      <w:r w:rsidRPr="001C1D37">
        <w:t xml:space="preserve">Zheng and </w:t>
      </w:r>
      <w:proofErr w:type="spellStart"/>
      <w:r w:rsidRPr="001C1D37">
        <w:t>Heagerty</w:t>
      </w:r>
      <w:proofErr w:type="spellEnd"/>
      <w:r w:rsidRPr="001C1D37">
        <w:t xml:space="preserve"> [</w:t>
      </w:r>
      <w:r w:rsidR="00887D4D" w:rsidRPr="001C1D37">
        <w:t>8</w:t>
      </w:r>
      <w:r w:rsidRPr="001C1D37">
        <w:t xml:space="preserve">] discussed how well available measurement of the biomarker at time </w:t>
      </w:r>
      <m:oMath>
        <m:r>
          <w:rPr>
            <w:rFonts w:ascii="Cambria Math" w:hAnsi="Cambria Math"/>
          </w:rPr>
          <m:t>t&gt;0</m:t>
        </m:r>
      </m:oMath>
      <w:r w:rsidRPr="001C1D37">
        <w:t xml:space="preserve"> predicts an individual who becomes diseased in a subsequent time interval </w:t>
      </w:r>
      <m:oMath>
        <m:r>
          <w:rPr>
            <w:rFonts w:ascii="Cambria Math" w:hAnsi="Cambria Math"/>
          </w:rPr>
          <m:t>(t,s)</m:t>
        </m:r>
      </m:oMath>
      <w:r w:rsidRPr="001C1D37">
        <w:t xml:space="preserve"> where </w:t>
      </w:r>
      <m:oMath>
        <m:r>
          <w:rPr>
            <w:rFonts w:ascii="Cambria Math" w:hAnsi="Cambria Math"/>
          </w:rPr>
          <m:t>t&lt;s</m:t>
        </m:r>
      </m:oMath>
      <w:r w:rsidRPr="001C1D37">
        <w:t xml:space="preserve">, by extending </w:t>
      </w:r>
      <w:proofErr w:type="spellStart"/>
      <w:r w:rsidRPr="001C1D37">
        <w:t>Heagerty</w:t>
      </w:r>
      <w:proofErr w:type="spellEnd"/>
      <w:r w:rsidRPr="001C1D37">
        <w:t xml:space="preserve"> and Zheng [</w:t>
      </w:r>
      <w:r w:rsidR="00887D4D" w:rsidRPr="001C1D37">
        <w:t>5</w:t>
      </w:r>
      <w:r w:rsidRPr="001C1D37">
        <w:t xml:space="preserve">] approach, but assume that any </w:t>
      </w:r>
      <w:proofErr w:type="spellStart"/>
      <w:r w:rsidRPr="001C1D37">
        <w:t>missingness</w:t>
      </w:r>
      <w:proofErr w:type="spellEnd"/>
      <w:r w:rsidRPr="001C1D37">
        <w:t xml:space="preserve"> in biomarker measurement schedule </w:t>
      </w:r>
      <w:r w:rsidR="0013508A" w:rsidRPr="001C1D37">
        <w:t>in this time period</w:t>
      </w:r>
      <w:r w:rsidRPr="001C1D37">
        <w:t xml:space="preserve"> is </w:t>
      </w:r>
      <w:proofErr w:type="spellStart"/>
      <w:r w:rsidRPr="001C1D37">
        <w:t>noninformative</w:t>
      </w:r>
      <w:proofErr w:type="spellEnd"/>
      <w:r w:rsidRPr="001C1D37">
        <w:t xml:space="preserve"> (i.e. </w:t>
      </w:r>
      <w:r w:rsidRPr="001C1D37">
        <w:rPr>
          <w:i/>
        </w:rPr>
        <w:t>missing completely at random</w:t>
      </w:r>
      <w:r w:rsidRPr="001C1D37">
        <w:t xml:space="preserve"> or MCAR, Rubin [</w:t>
      </w:r>
      <w:r w:rsidR="00887D4D" w:rsidRPr="001C1D37">
        <w:t>25</w:t>
      </w:r>
      <w:r w:rsidRPr="001C1D37">
        <w:t xml:space="preserve">]). </w:t>
      </w:r>
      <w:r w:rsidR="00AE47DB" w:rsidRPr="001C1D37">
        <w:t>Although not implemented via an ROC methodology</w:t>
      </w:r>
      <w:r w:rsidR="00333999" w:rsidRPr="001C1D37">
        <w:t xml:space="preserve"> as above</w:t>
      </w:r>
      <w:r w:rsidR="00AE47DB" w:rsidRPr="001C1D37">
        <w:t xml:space="preserve">, </w:t>
      </w:r>
      <w:r w:rsidR="00947698" w:rsidRPr="001C1D37">
        <w:rPr>
          <w:rFonts w:eastAsia="Calibri"/>
        </w:rPr>
        <w:t xml:space="preserve">de </w:t>
      </w:r>
      <w:proofErr w:type="spellStart"/>
      <w:r w:rsidR="00947698" w:rsidRPr="001C1D37">
        <w:rPr>
          <w:rFonts w:eastAsia="Calibri"/>
        </w:rPr>
        <w:t>Bruijne</w:t>
      </w:r>
      <w:proofErr w:type="spellEnd"/>
      <w:r w:rsidR="00947698" w:rsidRPr="001C1D37">
        <w:rPr>
          <w:rFonts w:eastAsia="Calibri"/>
        </w:rPr>
        <w:t xml:space="preserve"> </w:t>
      </w:r>
      <w:r w:rsidR="00C128FA" w:rsidRPr="001C1D37">
        <w:rPr>
          <w:rFonts w:eastAsia="Calibri"/>
        </w:rPr>
        <w:t>et al</w:t>
      </w:r>
      <w:r w:rsidR="00C9041F" w:rsidRPr="001C1D37">
        <w:rPr>
          <w:rFonts w:eastAsia="Calibri"/>
        </w:rPr>
        <w:t xml:space="preserve"> [2</w:t>
      </w:r>
      <w:r w:rsidR="00887D4D" w:rsidRPr="001C1D37">
        <w:rPr>
          <w:rFonts w:eastAsia="Calibri"/>
        </w:rPr>
        <w:t>6</w:t>
      </w:r>
      <w:r w:rsidR="00947698" w:rsidRPr="001C1D37">
        <w:rPr>
          <w:rFonts w:eastAsia="Calibri"/>
        </w:rPr>
        <w:t xml:space="preserve">] suggested </w:t>
      </w:r>
      <w:r w:rsidR="00176BC9" w:rsidRPr="001C1D37">
        <w:rPr>
          <w:rFonts w:eastAsia="Calibri"/>
        </w:rPr>
        <w:t xml:space="preserve">using </w:t>
      </w:r>
      <w:r w:rsidR="005F4F01" w:rsidRPr="001C1D37">
        <w:rPr>
          <w:rFonts w:eastAsia="Calibri"/>
        </w:rPr>
        <w:t xml:space="preserve">the </w:t>
      </w:r>
      <w:r w:rsidR="00FB4590" w:rsidRPr="001C1D37">
        <w:rPr>
          <w:rFonts w:eastAsia="Calibri"/>
        </w:rPr>
        <w:t>biomarker</w:t>
      </w:r>
      <w:r w:rsidR="00BD5DEB" w:rsidRPr="001C1D37">
        <w:rPr>
          <w:rFonts w:eastAsia="Calibri"/>
        </w:rPr>
        <w:t xml:space="preserve"> value</w:t>
      </w:r>
      <w:r w:rsidR="000348C1" w:rsidRPr="001C1D37">
        <w:rPr>
          <w:rFonts w:eastAsia="Calibri"/>
        </w:rPr>
        <w:t xml:space="preserve"> at</w:t>
      </w:r>
      <w:r w:rsidR="00FB4590" w:rsidRPr="001C1D37">
        <w:rPr>
          <w:rFonts w:eastAsia="Calibri"/>
        </w:rPr>
        <w:t xml:space="preserve"> event</w:t>
      </w:r>
      <w:r w:rsidR="000348C1" w:rsidRPr="001C1D37">
        <w:rPr>
          <w:rFonts w:eastAsia="Calibri"/>
        </w:rPr>
        <w:t>-</w:t>
      </w:r>
      <w:r w:rsidR="00FB4590" w:rsidRPr="001C1D37">
        <w:rPr>
          <w:rFonts w:eastAsia="Calibri"/>
        </w:rPr>
        <w:t xml:space="preserve">time and </w:t>
      </w:r>
      <w:r w:rsidR="00947698" w:rsidRPr="001C1D37">
        <w:rPr>
          <w:rFonts w:eastAsia="Calibri"/>
        </w:rPr>
        <w:t xml:space="preserve">“time elapsed since last biomarker measurement” as </w:t>
      </w:r>
      <w:r w:rsidR="00FB4590" w:rsidRPr="001C1D37">
        <w:rPr>
          <w:rFonts w:eastAsia="Calibri"/>
        </w:rPr>
        <w:t>two</w:t>
      </w:r>
      <w:r w:rsidR="00947698" w:rsidRPr="001C1D37">
        <w:rPr>
          <w:rFonts w:eastAsia="Calibri"/>
        </w:rPr>
        <w:t xml:space="preserve"> time</w:t>
      </w:r>
      <w:r w:rsidR="00C128FA" w:rsidRPr="001C1D37">
        <w:rPr>
          <w:rFonts w:eastAsia="Calibri"/>
        </w:rPr>
        <w:t>-</w:t>
      </w:r>
      <w:r w:rsidR="00947698" w:rsidRPr="001C1D37">
        <w:rPr>
          <w:rFonts w:eastAsia="Calibri"/>
        </w:rPr>
        <w:t>varying covariate</w:t>
      </w:r>
      <w:r w:rsidR="00ED03CE" w:rsidRPr="001C1D37">
        <w:rPr>
          <w:rFonts w:eastAsia="Calibri"/>
        </w:rPr>
        <w:t>s</w:t>
      </w:r>
      <w:r w:rsidR="00947698" w:rsidRPr="001C1D37">
        <w:rPr>
          <w:rFonts w:eastAsia="Calibri"/>
        </w:rPr>
        <w:t xml:space="preserve"> in the Cox PH model</w:t>
      </w:r>
      <w:r w:rsidR="00AE47DB" w:rsidRPr="001C1D37">
        <w:rPr>
          <w:rFonts w:eastAsia="Calibri"/>
        </w:rPr>
        <w:t xml:space="preserve"> to predict the hazard on biomarker</w:t>
      </w:r>
      <w:r w:rsidR="00947698" w:rsidRPr="001C1D37">
        <w:rPr>
          <w:rFonts w:eastAsia="Calibri"/>
        </w:rPr>
        <w:t>.</w:t>
      </w:r>
      <w:r w:rsidR="00176BC9" w:rsidRPr="001C1D37">
        <w:rPr>
          <w:rFonts w:eastAsia="Calibri"/>
        </w:rPr>
        <w:t xml:space="preserve"> </w:t>
      </w:r>
      <w:r w:rsidR="0013508A" w:rsidRPr="001C1D37">
        <w:rPr>
          <w:rFonts w:eastAsia="Calibri"/>
        </w:rPr>
        <w:t xml:space="preserve">The biomarker value at </w:t>
      </w:r>
      <w:r w:rsidR="00777755" w:rsidRPr="001C1D37">
        <w:rPr>
          <w:rFonts w:eastAsia="Calibri"/>
        </w:rPr>
        <w:t>each</w:t>
      </w:r>
      <w:r w:rsidR="0013508A" w:rsidRPr="001C1D37">
        <w:rPr>
          <w:rFonts w:eastAsia="Calibri"/>
        </w:rPr>
        <w:t xml:space="preserve"> event</w:t>
      </w:r>
      <w:r w:rsidR="000348C1" w:rsidRPr="001C1D37">
        <w:rPr>
          <w:rFonts w:eastAsia="Calibri"/>
        </w:rPr>
        <w:t>-</w:t>
      </w:r>
      <w:r w:rsidR="0013508A" w:rsidRPr="001C1D37">
        <w:rPr>
          <w:rFonts w:eastAsia="Calibri"/>
        </w:rPr>
        <w:t xml:space="preserve">time </w:t>
      </w:r>
      <w:r w:rsidR="00333999" w:rsidRPr="001C1D37">
        <w:rPr>
          <w:rFonts w:eastAsia="Calibri"/>
        </w:rPr>
        <w:t>was estimated</w:t>
      </w:r>
      <w:r w:rsidR="0013508A" w:rsidRPr="001C1D37">
        <w:rPr>
          <w:rFonts w:eastAsia="Calibri"/>
        </w:rPr>
        <w:t xml:space="preserve"> by the</w:t>
      </w:r>
      <w:r w:rsidR="00FB4590" w:rsidRPr="001C1D37">
        <w:rPr>
          <w:rFonts w:eastAsia="Calibri"/>
        </w:rPr>
        <w:t xml:space="preserve"> last observed value prior to event</w:t>
      </w:r>
      <w:r w:rsidR="0013508A" w:rsidRPr="001C1D37">
        <w:rPr>
          <w:rFonts w:eastAsia="Calibri"/>
        </w:rPr>
        <w:t xml:space="preserve"> or </w:t>
      </w:r>
      <w:r w:rsidR="00ED03CE" w:rsidRPr="001C1D37">
        <w:rPr>
          <w:rFonts w:eastAsia="Calibri"/>
        </w:rPr>
        <w:t>using</w:t>
      </w:r>
      <w:r w:rsidR="0013508A" w:rsidRPr="001C1D37">
        <w:rPr>
          <w:rFonts w:eastAsia="Calibri"/>
        </w:rPr>
        <w:t xml:space="preserve"> a function smoothing the observed biomarker history. </w:t>
      </w:r>
      <w:r w:rsidR="00C128FA" w:rsidRPr="001C1D37">
        <w:rPr>
          <w:rFonts w:eastAsia="Calibri"/>
        </w:rPr>
        <w:t>T</w:t>
      </w:r>
      <w:r w:rsidR="00947698" w:rsidRPr="001C1D37">
        <w:rPr>
          <w:rFonts w:eastAsia="Calibri"/>
        </w:rPr>
        <w:t xml:space="preserve">his </w:t>
      </w:r>
      <w:r w:rsidR="00C128FA" w:rsidRPr="001C1D37">
        <w:rPr>
          <w:rFonts w:eastAsia="Calibri"/>
        </w:rPr>
        <w:t xml:space="preserve">type of </w:t>
      </w:r>
      <w:r w:rsidR="00947698" w:rsidRPr="001C1D37">
        <w:rPr>
          <w:rFonts w:eastAsia="Calibri"/>
        </w:rPr>
        <w:t>model is simpler to implement</w:t>
      </w:r>
      <w:r w:rsidR="005D2812" w:rsidRPr="001C1D37">
        <w:rPr>
          <w:rFonts w:eastAsia="Calibri"/>
        </w:rPr>
        <w:t xml:space="preserve"> and </w:t>
      </w:r>
      <w:r w:rsidR="005D2812" w:rsidRPr="001C1D37">
        <w:t xml:space="preserve">fitting longitudinal outcomes as covariates in the Cox PH </w:t>
      </w:r>
      <w:r w:rsidR="005D2812" w:rsidRPr="001C1D37">
        <w:rPr>
          <w:rFonts w:eastAsia="Calibri"/>
        </w:rPr>
        <w:t>model has a</w:t>
      </w:r>
      <w:r w:rsidR="005D2812" w:rsidRPr="001C1D37">
        <w:rPr>
          <w:lang w:eastAsia="en-GB"/>
        </w:rPr>
        <w:t>chieved widespread use in risk prediction</w:t>
      </w:r>
      <w:r w:rsidR="00947698" w:rsidRPr="001C1D37">
        <w:rPr>
          <w:rFonts w:eastAsia="Calibri"/>
        </w:rPr>
        <w:t xml:space="preserve">, </w:t>
      </w:r>
      <w:r w:rsidR="00C128FA" w:rsidRPr="001C1D37">
        <w:rPr>
          <w:rFonts w:eastAsia="Calibri"/>
        </w:rPr>
        <w:t xml:space="preserve">however, </w:t>
      </w:r>
      <w:r w:rsidR="00777755" w:rsidRPr="001C1D37">
        <w:rPr>
          <w:rFonts w:eastAsia="Calibri"/>
        </w:rPr>
        <w:t xml:space="preserve">as </w:t>
      </w:r>
      <w:r w:rsidR="005D2812" w:rsidRPr="001C1D37">
        <w:rPr>
          <w:rFonts w:eastAsia="Calibri"/>
        </w:rPr>
        <w:t>previous</w:t>
      </w:r>
      <w:r w:rsidR="00887D4D" w:rsidRPr="001C1D37">
        <w:rPr>
          <w:rFonts w:eastAsia="Calibri"/>
        </w:rPr>
        <w:t>ly mentioned</w:t>
      </w:r>
      <w:r w:rsidR="00777755" w:rsidRPr="001C1D37">
        <w:rPr>
          <w:rFonts w:eastAsia="Calibri"/>
        </w:rPr>
        <w:t xml:space="preserve">, </w:t>
      </w:r>
      <w:r w:rsidR="00C128FA" w:rsidRPr="001C1D37">
        <w:rPr>
          <w:rFonts w:eastAsia="Calibri"/>
        </w:rPr>
        <w:t xml:space="preserve">modelling biomarker as a time-varying covariate in the Cox PH model fails to account for the complete biomarker information </w:t>
      </w:r>
      <w:r w:rsidR="007A766B" w:rsidRPr="001C1D37">
        <w:rPr>
          <w:rFonts w:eastAsia="Calibri"/>
        </w:rPr>
        <w:t>on</w:t>
      </w:r>
      <w:r w:rsidR="00C128FA" w:rsidRPr="001C1D37">
        <w:rPr>
          <w:rFonts w:eastAsia="Calibri"/>
        </w:rPr>
        <w:t xml:space="preserve"> the</w:t>
      </w:r>
      <w:r w:rsidR="007A766B" w:rsidRPr="001C1D37">
        <w:rPr>
          <w:rFonts w:eastAsia="Calibri"/>
        </w:rPr>
        <w:t xml:space="preserve"> subsequent</w:t>
      </w:r>
      <w:r w:rsidR="00C128FA" w:rsidRPr="001C1D37">
        <w:rPr>
          <w:rFonts w:eastAsia="Calibri"/>
        </w:rPr>
        <w:t xml:space="preserve"> event-time process [</w:t>
      </w:r>
      <w:r w:rsidR="00887D4D" w:rsidRPr="001C1D37">
        <w:rPr>
          <w:rFonts w:eastAsia="Calibri"/>
        </w:rPr>
        <w:t>13</w:t>
      </w:r>
      <w:r w:rsidR="00C9041F" w:rsidRPr="001C1D37">
        <w:rPr>
          <w:rFonts w:eastAsia="Calibri"/>
        </w:rPr>
        <w:t>-</w:t>
      </w:r>
      <w:r w:rsidR="00887D4D" w:rsidRPr="001C1D37">
        <w:rPr>
          <w:rFonts w:eastAsia="Calibri"/>
        </w:rPr>
        <w:t>15</w:t>
      </w:r>
      <w:r w:rsidR="00C128FA" w:rsidRPr="001C1D37">
        <w:rPr>
          <w:rFonts w:eastAsia="Calibri"/>
        </w:rPr>
        <w:t xml:space="preserve">]. </w:t>
      </w:r>
      <w:r w:rsidR="004F05F5" w:rsidRPr="001C1D37">
        <w:rPr>
          <w:rFonts w:eastAsia="Calibri"/>
        </w:rPr>
        <w:t xml:space="preserve">The </w:t>
      </w:r>
      <w:r w:rsidR="00333999" w:rsidRPr="001C1D37">
        <w:rPr>
          <w:rFonts w:eastAsia="Calibri"/>
        </w:rPr>
        <w:t xml:space="preserve">above </w:t>
      </w:r>
      <w:r w:rsidR="001B547C" w:rsidRPr="001C1D37">
        <w:rPr>
          <w:rFonts w:eastAsia="Calibri"/>
        </w:rPr>
        <w:t xml:space="preserve">model fails </w:t>
      </w:r>
      <w:r w:rsidR="00C128FA" w:rsidRPr="001C1D37">
        <w:rPr>
          <w:rFonts w:eastAsia="Calibri"/>
        </w:rPr>
        <w:t>when</w:t>
      </w:r>
      <w:r w:rsidR="002E0C80" w:rsidRPr="001C1D37">
        <w:rPr>
          <w:rFonts w:eastAsia="Calibri"/>
        </w:rPr>
        <w:t xml:space="preserve"> the</w:t>
      </w:r>
      <w:r w:rsidR="00C128FA" w:rsidRPr="001C1D37">
        <w:rPr>
          <w:rFonts w:eastAsia="Calibri"/>
        </w:rPr>
        <w:t xml:space="preserve"> censoring process</w:t>
      </w:r>
      <w:r w:rsidR="0004076C" w:rsidRPr="001C1D37">
        <w:rPr>
          <w:rFonts w:eastAsia="Calibri"/>
        </w:rPr>
        <w:t xml:space="preserve"> is informative</w:t>
      </w:r>
      <w:r w:rsidR="002E0C80" w:rsidRPr="001C1D37">
        <w:rPr>
          <w:rFonts w:eastAsia="Calibri"/>
        </w:rPr>
        <w:t xml:space="preserve"> on the longitudinal biomarker</w:t>
      </w:r>
      <w:r w:rsidR="004F05F5" w:rsidRPr="001C1D37">
        <w:rPr>
          <w:rFonts w:eastAsia="Calibri"/>
        </w:rPr>
        <w:t xml:space="preserve"> as identified by de </w:t>
      </w:r>
      <w:proofErr w:type="spellStart"/>
      <w:r w:rsidR="004F05F5" w:rsidRPr="001C1D37">
        <w:rPr>
          <w:rFonts w:eastAsia="Calibri"/>
        </w:rPr>
        <w:t>Bruijne</w:t>
      </w:r>
      <w:proofErr w:type="spellEnd"/>
      <w:r w:rsidR="004F05F5" w:rsidRPr="001C1D37">
        <w:rPr>
          <w:rFonts w:eastAsia="Calibri"/>
        </w:rPr>
        <w:t xml:space="preserve"> et al [</w:t>
      </w:r>
      <w:r w:rsidR="00887D4D" w:rsidRPr="001C1D37">
        <w:rPr>
          <w:rFonts w:eastAsia="Calibri"/>
        </w:rPr>
        <w:t>26</w:t>
      </w:r>
      <w:r w:rsidR="004F05F5" w:rsidRPr="001C1D37">
        <w:rPr>
          <w:rFonts w:eastAsia="Calibri"/>
        </w:rPr>
        <w:t>] themselves</w:t>
      </w:r>
      <w:r w:rsidR="002E0C80" w:rsidRPr="001C1D37">
        <w:rPr>
          <w:rFonts w:eastAsia="Calibri"/>
        </w:rPr>
        <w:t>. The j</w:t>
      </w:r>
      <w:r w:rsidR="007A766B" w:rsidRPr="001C1D37">
        <w:rPr>
          <w:rFonts w:eastAsia="Calibri"/>
        </w:rPr>
        <w:t>oint modelling</w:t>
      </w:r>
      <w:r w:rsidR="002E0C80" w:rsidRPr="001C1D37">
        <w:rPr>
          <w:rFonts w:eastAsia="Calibri"/>
        </w:rPr>
        <w:t xml:space="preserve"> of the longitudinal biomarker and event-time</w:t>
      </w:r>
      <w:r w:rsidR="000348C1" w:rsidRPr="001C1D37">
        <w:rPr>
          <w:rFonts w:eastAsia="Calibri"/>
        </w:rPr>
        <w:t xml:space="preserve"> outcomes</w:t>
      </w:r>
      <w:r w:rsidR="002E0C80" w:rsidRPr="001C1D37">
        <w:rPr>
          <w:rFonts w:eastAsia="Calibri"/>
        </w:rPr>
        <w:t xml:space="preserve"> is a framework in which potential underlying relationship between the event</w:t>
      </w:r>
      <w:r w:rsidR="000348C1" w:rsidRPr="001C1D37">
        <w:rPr>
          <w:rFonts w:eastAsia="Calibri"/>
        </w:rPr>
        <w:t>-time</w:t>
      </w:r>
      <w:r w:rsidR="002E0C80" w:rsidRPr="001C1D37">
        <w:rPr>
          <w:rFonts w:eastAsia="Calibri"/>
        </w:rPr>
        <w:t xml:space="preserve"> and longitudinal process are explicitly acknowledged [</w:t>
      </w:r>
      <w:r w:rsidR="00887D4D" w:rsidRPr="001C1D37">
        <w:rPr>
          <w:rFonts w:eastAsia="Calibri"/>
        </w:rPr>
        <w:t>e.g.9,10,15-17</w:t>
      </w:r>
      <w:r w:rsidR="002E0C80" w:rsidRPr="001C1D37">
        <w:rPr>
          <w:rFonts w:eastAsia="Calibri"/>
        </w:rPr>
        <w:t>]</w:t>
      </w:r>
      <w:r w:rsidR="00495270" w:rsidRPr="001C1D37">
        <w:rPr>
          <w:rFonts w:eastAsia="Calibri"/>
        </w:rPr>
        <w:t>, and is implemented by updating</w:t>
      </w:r>
      <w:r w:rsidR="001B547C" w:rsidRPr="001C1D37">
        <w:rPr>
          <w:rFonts w:eastAsia="Calibri"/>
        </w:rPr>
        <w:t xml:space="preserve"> the biomarker continuously throughout time as new </w:t>
      </w:r>
      <w:r w:rsidR="004F05F5" w:rsidRPr="001C1D37">
        <w:rPr>
          <w:rFonts w:eastAsia="Calibri"/>
        </w:rPr>
        <w:t xml:space="preserve">biomarker </w:t>
      </w:r>
      <w:r w:rsidR="001B547C" w:rsidRPr="001C1D37">
        <w:rPr>
          <w:rFonts w:eastAsia="Calibri"/>
        </w:rPr>
        <w:t xml:space="preserve">measurements become available over time. </w:t>
      </w:r>
      <w:r w:rsidR="002E0C80" w:rsidRPr="001C1D37">
        <w:rPr>
          <w:rFonts w:eastAsia="Calibri"/>
        </w:rPr>
        <w:t xml:space="preserve">Although, the joint </w:t>
      </w:r>
      <w:r w:rsidR="002E0C80" w:rsidRPr="001C1D37">
        <w:rPr>
          <w:rFonts w:eastAsia="Calibri"/>
        </w:rPr>
        <w:lastRenderedPageBreak/>
        <w:t>modelling requires computationally intensive numerical integration, d</w:t>
      </w:r>
      <w:r w:rsidR="007A766B" w:rsidRPr="001C1D37">
        <w:rPr>
          <w:rFonts w:eastAsia="Calibri"/>
        </w:rPr>
        <w:t xml:space="preserve">ue to recent advances in computing and </w:t>
      </w:r>
      <w:r w:rsidR="002E0C80" w:rsidRPr="001C1D37">
        <w:rPr>
          <w:rFonts w:eastAsia="Calibri"/>
        </w:rPr>
        <w:t xml:space="preserve">user-friendly </w:t>
      </w:r>
      <w:r w:rsidR="007A766B" w:rsidRPr="001C1D37">
        <w:rPr>
          <w:rFonts w:eastAsia="Calibri"/>
        </w:rPr>
        <w:t xml:space="preserve">software, </w:t>
      </w:r>
      <w:r w:rsidR="002E0C80" w:rsidRPr="001C1D37">
        <w:rPr>
          <w:rFonts w:eastAsia="Calibri"/>
        </w:rPr>
        <w:t xml:space="preserve">such models can be </w:t>
      </w:r>
      <w:r w:rsidR="007A766B" w:rsidRPr="001C1D37">
        <w:rPr>
          <w:rFonts w:eastAsia="Calibri"/>
        </w:rPr>
        <w:t>implemented in real time.</w:t>
      </w:r>
    </w:p>
    <w:p w:rsidR="00BF4A60" w:rsidRPr="001C1D37" w:rsidRDefault="00BF4A60" w:rsidP="001C1D37">
      <w:pPr>
        <w:autoSpaceDE w:val="0"/>
        <w:autoSpaceDN w:val="0"/>
        <w:adjustRightInd w:val="0"/>
        <w:rPr>
          <w:rStyle w:val="Strong"/>
          <w:b w:val="0"/>
          <w:bCs w:val="0"/>
        </w:rPr>
      </w:pPr>
    </w:p>
    <w:p w:rsidR="00BF4A60" w:rsidRPr="001C1D37" w:rsidRDefault="00BF4A60" w:rsidP="001C1D37">
      <w:pPr>
        <w:autoSpaceDE w:val="0"/>
        <w:autoSpaceDN w:val="0"/>
        <w:adjustRightInd w:val="0"/>
        <w:rPr>
          <w:rStyle w:val="Strong"/>
          <w:b w:val="0"/>
          <w:bCs w:val="0"/>
        </w:rPr>
      </w:pPr>
    </w:p>
    <w:p w:rsidR="00D0467E" w:rsidRPr="001C1D37" w:rsidRDefault="00D0467E" w:rsidP="001C1D37">
      <w:pPr>
        <w:autoSpaceDE w:val="0"/>
        <w:autoSpaceDN w:val="0"/>
        <w:adjustRightInd w:val="0"/>
        <w:rPr>
          <w:rFonts w:eastAsia="Calibri"/>
          <w:b/>
          <w:sz w:val="28"/>
          <w:szCs w:val="28"/>
        </w:rPr>
      </w:pPr>
      <w:r w:rsidRPr="001C1D37">
        <w:rPr>
          <w:rFonts w:eastAsia="Calibri"/>
          <w:b/>
          <w:sz w:val="28"/>
          <w:szCs w:val="28"/>
        </w:rPr>
        <w:t xml:space="preserve">3. Joint modelling of </w:t>
      </w:r>
      <w:r w:rsidRPr="001C1D37">
        <w:rPr>
          <w:rStyle w:val="Strong"/>
          <w:bCs w:val="0"/>
          <w:sz w:val="28"/>
          <w:szCs w:val="28"/>
        </w:rPr>
        <w:t>longitudinal</w:t>
      </w:r>
      <w:r w:rsidRPr="001C1D37">
        <w:rPr>
          <w:b/>
          <w:sz w:val="28"/>
          <w:szCs w:val="28"/>
        </w:rPr>
        <w:t xml:space="preserve"> biomarker and clinical endpoint</w:t>
      </w:r>
    </w:p>
    <w:p w:rsidR="00D0467E" w:rsidRPr="001C1D37" w:rsidRDefault="00D0467E" w:rsidP="001C1D37">
      <w:pPr>
        <w:autoSpaceDE w:val="0"/>
        <w:autoSpaceDN w:val="0"/>
        <w:adjustRightInd w:val="0"/>
        <w:rPr>
          <w:rFonts w:eastAsia="Calibri"/>
        </w:rPr>
      </w:pPr>
      <w:r w:rsidRPr="001C1D37">
        <w:t xml:space="preserve">The joint modelling methodologies can be used to </w:t>
      </w:r>
      <w:r w:rsidRPr="001C1D37">
        <w:rPr>
          <w:rFonts w:eastAsia="Calibri"/>
        </w:rPr>
        <w:t>explicitly</w:t>
      </w:r>
      <w:r w:rsidRPr="001C1D37">
        <w:t xml:space="preserve"> combine the information from </w:t>
      </w:r>
      <w:r w:rsidRPr="001C1D37">
        <w:rPr>
          <w:rStyle w:val="Strong"/>
          <w:b w:val="0"/>
          <w:bCs w:val="0"/>
        </w:rPr>
        <w:t>longitudinal</w:t>
      </w:r>
      <w:r w:rsidRPr="001C1D37">
        <w:t xml:space="preserve"> biomarker and censored event-time processes</w:t>
      </w:r>
      <w:r w:rsidRPr="001C1D37">
        <w:rPr>
          <w:rFonts w:eastAsia="Calibri"/>
        </w:rPr>
        <w:t xml:space="preserve"> by modelling the hazard of the clinical </w:t>
      </w:r>
      <w:r w:rsidR="000348C1" w:rsidRPr="001C1D37">
        <w:rPr>
          <w:rFonts w:eastAsia="Calibri"/>
        </w:rPr>
        <w:t xml:space="preserve">endpoint </w:t>
      </w:r>
      <w:r w:rsidRPr="001C1D37">
        <w:rPr>
          <w:rFonts w:eastAsia="Calibri"/>
        </w:rPr>
        <w:t xml:space="preserve">at time </w:t>
      </w:r>
      <m:oMath>
        <m:r>
          <w:rPr>
            <w:rFonts w:ascii="Cambria Math" w:hAnsi="Cambria Math"/>
          </w:rPr>
          <m:t>t</m:t>
        </m:r>
      </m:oMath>
      <w:r w:rsidRPr="001C1D37">
        <w:rPr>
          <w:rFonts w:eastAsia="Calibri"/>
        </w:rPr>
        <w:t xml:space="preserve"> conditional on bio</w:t>
      </w:r>
      <w:r w:rsidRPr="001C1D37">
        <w:rPr>
          <w:rFonts w:eastAsia="+mn-ea"/>
        </w:rPr>
        <w:t xml:space="preserve">marker history up to </w:t>
      </w:r>
      <w:proofErr w:type="gramStart"/>
      <w:r w:rsidRPr="001C1D37">
        <w:rPr>
          <w:rFonts w:eastAsia="+mn-ea"/>
        </w:rPr>
        <w:t xml:space="preserve">time </w:t>
      </w:r>
      <w:proofErr w:type="gramEnd"/>
      <m:oMath>
        <m:r>
          <w:rPr>
            <w:rFonts w:ascii="Cambria Math" w:hAnsi="Cambria Math"/>
          </w:rPr>
          <m:t>t</m:t>
        </m:r>
      </m:oMath>
      <w:r w:rsidRPr="001C1D37">
        <w:rPr>
          <w:rFonts w:eastAsia="Calibri"/>
        </w:rPr>
        <w:t xml:space="preserve">. </w:t>
      </w:r>
    </w:p>
    <w:p w:rsidR="00D0467E" w:rsidRPr="001C1D37" w:rsidRDefault="00D0467E" w:rsidP="001C1D37">
      <w:pPr>
        <w:autoSpaceDE w:val="0"/>
        <w:autoSpaceDN w:val="0"/>
        <w:adjustRightInd w:val="0"/>
        <w:rPr>
          <w:rFonts w:eastAsia="Calibri"/>
        </w:rPr>
      </w:pPr>
    </w:p>
    <w:p w:rsidR="00BF4A60" w:rsidRPr="001C1D37" w:rsidRDefault="00BF4A60" w:rsidP="001C1D37">
      <w:pPr>
        <w:autoSpaceDE w:val="0"/>
        <w:autoSpaceDN w:val="0"/>
        <w:adjustRightInd w:val="0"/>
        <w:rPr>
          <w:rFonts w:eastAsia="Calibri"/>
        </w:rPr>
      </w:pPr>
    </w:p>
    <w:p w:rsidR="00D0467E" w:rsidRPr="001C1D37" w:rsidRDefault="00D0467E" w:rsidP="001C1D37">
      <w:pPr>
        <w:autoSpaceDE w:val="0"/>
        <w:autoSpaceDN w:val="0"/>
        <w:adjustRightInd w:val="0"/>
        <w:rPr>
          <w:b/>
        </w:rPr>
      </w:pPr>
      <w:r w:rsidRPr="001C1D37">
        <w:rPr>
          <w:b/>
        </w:rPr>
        <w:t>3.1 General notation</w:t>
      </w:r>
    </w:p>
    <w:p w:rsidR="00BF4A60" w:rsidRPr="001C1D37" w:rsidRDefault="00D0467E" w:rsidP="001C1D37">
      <w:pPr>
        <w:autoSpaceDE w:val="0"/>
        <w:autoSpaceDN w:val="0"/>
        <w:adjustRightInd w:val="0"/>
      </w:pPr>
      <w:r w:rsidRPr="001C1D37">
        <w:t xml:space="preserve">Let </w:t>
      </w:r>
      <m:oMath>
        <m:sSub>
          <m:sSubPr>
            <m:ctrlPr>
              <w:rPr>
                <w:rFonts w:ascii="Cambria Math" w:hAnsi="Cambria Math"/>
              </w:rPr>
            </m:ctrlPr>
          </m:sSubPr>
          <m:e>
            <m:r>
              <w:rPr>
                <w:rFonts w:ascii="Cambria Math" w:hAnsi="Cambria Math"/>
              </w:rPr>
              <m:t>T</m:t>
            </m:r>
          </m:e>
          <m:sub>
            <m:r>
              <w:rPr>
                <w:rFonts w:ascii="Cambria Math" w:hAnsi="Cambria Math"/>
              </w:rPr>
              <m:t>i</m:t>
            </m:r>
          </m:sub>
        </m:sSub>
      </m:oMath>
      <w:r w:rsidRPr="001C1D37">
        <w:t xml:space="preserve"> be the </w:t>
      </w:r>
      <w:r w:rsidR="009E40B9" w:rsidRPr="001C1D37">
        <w:t>failure</w:t>
      </w:r>
      <w:r w:rsidRPr="001C1D37">
        <w:t xml:space="preserve"> time (e.g. disease onset) and </w:t>
      </w:r>
      <m:oMath>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 xml:space="preserve"> </m:t>
        </m:r>
      </m:oMath>
      <w:r w:rsidRPr="001C1D37">
        <w:t xml:space="preserve">denote the censoring time for the </w:t>
      </w:r>
      <m:oMath>
        <m:r>
          <w:rPr>
            <w:rFonts w:ascii="Cambria Math" w:hAnsi="Cambria Math"/>
          </w:rPr>
          <m:t>i</m:t>
        </m:r>
      </m:oMath>
      <w:proofErr w:type="gramStart"/>
      <w:r w:rsidRPr="001C1D37">
        <w:t>th</w:t>
      </w:r>
      <w:proofErr w:type="gramEnd"/>
      <w:r w:rsidRPr="001C1D37">
        <w:t xml:space="preserve"> individual. Let </w:t>
      </w:r>
      <m:oMath>
        <m:sSub>
          <m:sSubPr>
            <m:ctrlPr>
              <w:rPr>
                <w:rFonts w:ascii="Cambria Math" w:hAnsi="Cambria Math"/>
              </w:rPr>
            </m:ctrlPr>
          </m:sSubPr>
          <m:e>
            <m:r>
              <w:rPr>
                <w:rFonts w:ascii="Cambria Math" w:hAnsi="Cambria Math"/>
              </w:rPr>
              <m:t>δ</m:t>
            </m:r>
          </m:e>
          <m:sub>
            <m:r>
              <w:rPr>
                <w:rFonts w:ascii="Cambria Math" w:hAnsi="Cambria Math"/>
              </w:rPr>
              <m:t>i</m:t>
            </m:r>
          </m:sub>
        </m:sSub>
        <m:r>
          <w:rPr>
            <w:rFonts w:ascii="Cambria Math" w:hAnsi="Cambria Math"/>
          </w:rPr>
          <m:t>=I(</m:t>
        </m:r>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m:t>
        </m:r>
      </m:oMath>
      <w:r w:rsidRPr="001C1D37">
        <w:t xml:space="preserve"> be the indicator of the event, therefore taking values 1 if the </w:t>
      </w:r>
      <w:r w:rsidR="000348C1" w:rsidRPr="001C1D37">
        <w:t xml:space="preserve">clinical endpoint </w:t>
      </w:r>
      <w:r w:rsidRPr="001C1D37">
        <w:t xml:space="preserve">is occurred at </w:t>
      </w:r>
      <w:proofErr w:type="gramStart"/>
      <w:r w:rsidRPr="001C1D37">
        <w:t xml:space="preserve">time </w:t>
      </w:r>
      <w:proofErr w:type="gramEnd"/>
      <m:oMath>
        <m:sSub>
          <m:sSubPr>
            <m:ctrlPr>
              <w:rPr>
                <w:rFonts w:ascii="Cambria Math" w:hAnsi="Cambria Math"/>
              </w:rPr>
            </m:ctrlPr>
          </m:sSubPr>
          <m:e>
            <m:r>
              <w:rPr>
                <w:rFonts w:ascii="Cambria Math" w:hAnsi="Cambria Math"/>
              </w:rPr>
              <m:t>T</m:t>
            </m:r>
          </m:e>
          <m:sub>
            <m:r>
              <w:rPr>
                <w:rFonts w:ascii="Cambria Math" w:hAnsi="Cambria Math"/>
              </w:rPr>
              <m:t>i</m:t>
            </m:r>
          </m:sub>
        </m:sSub>
      </m:oMath>
      <w:r w:rsidRPr="001C1D37">
        <w:t xml:space="preserve">, and 0 if </w:t>
      </w:r>
      <w:r w:rsidR="000348C1" w:rsidRPr="001C1D37">
        <w:t>it</w:t>
      </w:r>
      <w:r w:rsidRPr="001C1D37">
        <w:t xml:space="preserve"> is not occurred (censored at </w:t>
      </w:r>
      <m:oMath>
        <m:sSub>
          <m:sSubPr>
            <m:ctrlPr>
              <w:rPr>
                <w:rFonts w:ascii="Cambria Math" w:hAnsi="Cambria Math"/>
              </w:rPr>
            </m:ctrlPr>
          </m:sSubPr>
          <m:e>
            <m:r>
              <w:rPr>
                <w:rFonts w:ascii="Cambria Math" w:hAnsi="Cambria Math"/>
              </w:rPr>
              <m:t>C</m:t>
            </m:r>
          </m:e>
          <m:sub>
            <m:r>
              <w:rPr>
                <w:rFonts w:ascii="Cambria Math" w:hAnsi="Cambria Math"/>
              </w:rPr>
              <m:t>i</m:t>
            </m:r>
          </m:sub>
        </m:sSub>
      </m:oMath>
      <w:r w:rsidR="00C75936" w:rsidRPr="001C1D37">
        <w:t>). We observe</w:t>
      </w:r>
      <w:r w:rsidR="009E40B9" w:rsidRPr="001C1D37">
        <w:t xml:space="preserve"> the event-time process</w:t>
      </w:r>
      <w:r w:rsidR="00C75936" w:rsidRPr="001C1D37">
        <w:t xml:space="preserve">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δ</m:t>
            </m:r>
          </m:e>
          <m:sub>
            <m:r>
              <w:rPr>
                <w:rFonts w:ascii="Cambria Math" w:hAnsi="Cambria Math"/>
              </w:rPr>
              <m:t>i</m:t>
            </m:r>
          </m:sub>
        </m:sSub>
        <m:r>
          <w:rPr>
            <w:rFonts w:ascii="Cambria Math" w:hAnsi="Cambria Math"/>
          </w:rPr>
          <m:t>}</m:t>
        </m:r>
      </m:oMath>
      <w:r w:rsidR="00860CCB" w:rsidRPr="001C1D37">
        <w:t xml:space="preserve"> </w:t>
      </w:r>
      <w:proofErr w:type="gramStart"/>
      <w:r w:rsidR="00860CCB" w:rsidRPr="001C1D37">
        <w:t xml:space="preserve">where </w:t>
      </w:r>
      <w:proofErr w:type="gramEnd"/>
      <m:oMath>
        <m:sSub>
          <m:sSubPr>
            <m:ctrlPr>
              <w:rPr>
                <w:rFonts w:ascii="Cambria Math" w:hAnsi="Cambria Math"/>
                <w:i/>
              </w:rPr>
            </m:ctrlPr>
          </m:sSubPr>
          <m:e>
            <m:r>
              <w:rPr>
                <w:rFonts w:ascii="Cambria Math" w:hAnsi="Cambria Math"/>
              </w:rPr>
              <m:t>X</m:t>
            </m:r>
          </m:e>
          <m:sub>
            <m:r>
              <w:rPr>
                <w:rFonts w:ascii="Cambria Math" w:hAnsi="Cambria Math"/>
              </w:rPr>
              <m:t>i</m:t>
            </m:r>
          </m:sub>
        </m:sSub>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i</m:t>
            </m:r>
          </m:sub>
        </m:sSub>
      </m:oMath>
      <w:r w:rsidR="00860CCB" w:rsidRPr="001C1D37">
        <w:t>)</w:t>
      </w:r>
      <w:r w:rsidRPr="001C1D37">
        <w:t xml:space="preserve"> </w:t>
      </w:r>
      <w:r w:rsidR="006A5555" w:rsidRPr="001C1D37">
        <w:t xml:space="preserve">defines the time to event, </w:t>
      </w:r>
      <w:r w:rsidRPr="001C1D37">
        <w:t xml:space="preserve">and </w:t>
      </w:r>
      <m:oMath>
        <m:r>
          <w:rPr>
            <w:rFonts w:ascii="Cambria Math" w:hAnsi="Cambria Math"/>
          </w:rPr>
          <m:t>i</m:t>
        </m:r>
        <m:r>
          <m:rPr>
            <m:sty m:val="p"/>
          </m:rPr>
          <w:rPr>
            <w:rFonts w:ascii="Cambria Math" w:hAnsi="Cambria Math"/>
          </w:rPr>
          <m:t xml:space="preserve">=1, …, </m:t>
        </m:r>
        <m:r>
          <w:rPr>
            <w:rFonts w:ascii="Cambria Math" w:hAnsi="Cambria Math"/>
          </w:rPr>
          <m:t>n</m:t>
        </m:r>
      </m:oMath>
      <w:r w:rsidRPr="001C1D37">
        <w:t xml:space="preserve"> </w:t>
      </w:r>
      <w:r w:rsidRPr="001C1D37">
        <w:rPr>
          <w:rFonts w:eastAsia="Calibri"/>
        </w:rPr>
        <w:t>individuals</w:t>
      </w:r>
      <w:r w:rsidRPr="001C1D37">
        <w:t xml:space="preserve"> in </w:t>
      </w:r>
      <w:r w:rsidR="00495270" w:rsidRPr="001C1D37">
        <w:t>the</w:t>
      </w:r>
      <w:r w:rsidRPr="001C1D37">
        <w:t xml:space="preserve"> study dataset.  </w:t>
      </w:r>
      <w:r w:rsidR="00E86015" w:rsidRPr="001C1D37">
        <w:t xml:space="preserve">Denote </w:t>
      </w:r>
      <m:oMath>
        <m:sSub>
          <m:sSubPr>
            <m:ctrlPr>
              <w:rPr>
                <w:rFonts w:ascii="Cambria Math" w:hAnsi="Cambria Math"/>
                <w:i/>
              </w:rPr>
            </m:ctrlPr>
          </m:sSubPr>
          <m:e>
            <m:r>
              <m:rPr>
                <m:sty m:val="bi"/>
              </m:rPr>
              <w:rPr>
                <w:rFonts w:ascii="Cambria Math" w:hAnsi="Cambria Math"/>
              </w:rPr>
              <m:t>y</m:t>
            </m:r>
          </m:e>
          <m:sub>
            <m:r>
              <w:rPr>
                <w:rFonts w:ascii="Cambria Math" w:hAnsi="Cambria Math"/>
              </w:rPr>
              <m:t>i</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ij</m:t>
                    </m:r>
                  </m:sub>
                </m:sSub>
              </m:e>
            </m:d>
            <m:r>
              <w:rPr>
                <w:rFonts w:ascii="Cambria Math" w:hAnsi="Cambria Math"/>
              </w:rPr>
              <m:t xml:space="preserve">, j=1, …, </m:t>
            </m:r>
            <m:sSub>
              <m:sSubPr>
                <m:ctrlPr>
                  <w:rPr>
                    <w:rFonts w:ascii="Cambria Math" w:hAnsi="Cambria Math"/>
                    <w:i/>
                  </w:rPr>
                </m:ctrlPr>
              </m:sSubPr>
              <m:e>
                <m:r>
                  <w:rPr>
                    <w:rFonts w:ascii="Cambria Math" w:hAnsi="Cambria Math"/>
                  </w:rPr>
                  <m:t>m</m:t>
                </m:r>
              </m:e>
              <m:sub>
                <m:r>
                  <w:rPr>
                    <w:rFonts w:ascii="Cambria Math" w:hAnsi="Cambria Math"/>
                  </w:rPr>
                  <m:t>i</m:t>
                </m:r>
              </m:sub>
            </m:sSub>
          </m:e>
        </m:d>
      </m:oMath>
      <w:r w:rsidR="006E6F99" w:rsidRPr="001C1D37">
        <w:t xml:space="preserve"> to be a set of longitudinal response measurements for the </w:t>
      </w:r>
      <m:oMath>
        <m:r>
          <w:rPr>
            <w:rFonts w:ascii="Cambria Math" w:hAnsi="Cambria Math"/>
          </w:rPr>
          <m:t>i</m:t>
        </m:r>
      </m:oMath>
      <w:r w:rsidR="006E6F99" w:rsidRPr="001C1D37">
        <w:t xml:space="preserve">th individual collected at </w:t>
      </w:r>
      <w:proofErr w:type="gramStart"/>
      <w:r w:rsidR="006E6F99" w:rsidRPr="001C1D37">
        <w:t xml:space="preserve">times </w:t>
      </w:r>
      <w:proofErr w:type="gramEnd"/>
      <m:oMath>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 xml:space="preserve">, j=1, …,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oMath>
      <w:r w:rsidR="006E6F99" w:rsidRPr="001C1D37">
        <w:t>.</w:t>
      </w:r>
      <w:r w:rsidR="000B6D84" w:rsidRPr="001C1D37">
        <w:t xml:space="preserve"> </w:t>
      </w:r>
      <w:r w:rsidR="0019392A" w:rsidRPr="001C1D37">
        <w:t>We allow the possibility of different numbers and timing of longitudinal measurem</w:t>
      </w:r>
      <w:r w:rsidR="00BE792F" w:rsidRPr="001C1D37">
        <w:t xml:space="preserve">ents for different individuals. </w:t>
      </w:r>
    </w:p>
    <w:p w:rsidR="00C9041F" w:rsidRPr="001C1D37" w:rsidRDefault="00C9041F" w:rsidP="001C1D37">
      <w:pPr>
        <w:autoSpaceDE w:val="0"/>
        <w:autoSpaceDN w:val="0"/>
        <w:adjustRightInd w:val="0"/>
      </w:pPr>
    </w:p>
    <w:p w:rsidR="00C9041F" w:rsidRPr="001C1D37" w:rsidRDefault="00C9041F" w:rsidP="001C1D37">
      <w:pPr>
        <w:autoSpaceDE w:val="0"/>
        <w:autoSpaceDN w:val="0"/>
        <w:adjustRightInd w:val="0"/>
      </w:pPr>
    </w:p>
    <w:p w:rsidR="00D0467E" w:rsidRPr="001C1D37" w:rsidRDefault="00D0467E" w:rsidP="001C1D37">
      <w:pPr>
        <w:autoSpaceDE w:val="0"/>
        <w:autoSpaceDN w:val="0"/>
        <w:adjustRightInd w:val="0"/>
        <w:rPr>
          <w:b/>
        </w:rPr>
      </w:pPr>
      <w:r w:rsidRPr="001C1D37">
        <w:rPr>
          <w:b/>
        </w:rPr>
        <w:t>3.2 Modelling formulation</w:t>
      </w:r>
    </w:p>
    <w:p w:rsidR="00D0467E" w:rsidRPr="001C1D37" w:rsidRDefault="00D0467E" w:rsidP="001C1D37">
      <w:pPr>
        <w:autoSpaceDE w:val="0"/>
        <w:autoSpaceDN w:val="0"/>
        <w:adjustRightInd w:val="0"/>
      </w:pPr>
      <w:r w:rsidRPr="001C1D37">
        <w:t>Usually, a</w:t>
      </w:r>
      <w:r w:rsidRPr="001C1D37">
        <w:rPr>
          <w:rFonts w:eastAsia="Calibri"/>
        </w:rPr>
        <w:t xml:space="preserve"> joint</w:t>
      </w:r>
      <w:r w:rsidRPr="001C1D37">
        <w:t xml:space="preserve"> model is formulated by two </w:t>
      </w:r>
      <w:proofErr w:type="spellStart"/>
      <w:r w:rsidRPr="001C1D37">
        <w:t>submodels</w:t>
      </w:r>
      <w:proofErr w:type="spellEnd"/>
      <w:r w:rsidRPr="001C1D37">
        <w:t xml:space="preserve">; a longitudinal </w:t>
      </w:r>
      <w:proofErr w:type="spellStart"/>
      <w:r w:rsidRPr="001C1D37">
        <w:t>submodel</w:t>
      </w:r>
      <w:proofErr w:type="spellEnd"/>
      <w:r w:rsidRPr="001C1D37">
        <w:t xml:space="preserve"> for </w:t>
      </w:r>
      <m:oMath>
        <m:sSub>
          <m:sSubPr>
            <m:ctrlPr>
              <w:rPr>
                <w:rFonts w:ascii="Cambria Math" w:hAnsi="Cambria Math"/>
                <w:i/>
              </w:rPr>
            </m:ctrlPr>
          </m:sSubPr>
          <m:e>
            <m:r>
              <m:rPr>
                <m:sty m:val="bi"/>
              </m:rPr>
              <w:rPr>
                <w:rFonts w:ascii="Cambria Math" w:hAnsi="Cambria Math"/>
              </w:rPr>
              <m:t>y</m:t>
            </m:r>
          </m:e>
          <m:sub>
            <m:r>
              <w:rPr>
                <w:rFonts w:ascii="Cambria Math" w:hAnsi="Cambria Math"/>
              </w:rPr>
              <m:t>i</m:t>
            </m:r>
          </m:sub>
        </m:sSub>
      </m:oMath>
      <w:r w:rsidRPr="001C1D37">
        <w:t xml:space="preserve"> and an event-time </w:t>
      </w:r>
      <w:proofErr w:type="spellStart"/>
      <w:r w:rsidRPr="001C1D37">
        <w:t>submodel</w:t>
      </w:r>
      <w:proofErr w:type="spellEnd"/>
      <w:r w:rsidRPr="001C1D37">
        <w:t xml:space="preserve"> </w:t>
      </w:r>
      <w:proofErr w:type="gramStart"/>
      <w:r w:rsidRPr="001C1D37">
        <w:t xml:space="preserve">for </w:t>
      </w:r>
      <w:proofErr w:type="gramEnd"/>
      <m:oMath>
        <m:r>
          <w:rPr>
            <w:rFonts w:ascii="Cambria Math" w:eastAsia="Calibri"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oMath>
      <w:r w:rsidRPr="001C1D37">
        <w:t>,</w:t>
      </w:r>
      <m:oMath>
        <m:sSub>
          <m:sSubPr>
            <m:ctrlPr>
              <w:rPr>
                <w:rFonts w:ascii="Cambria Math" w:hAnsi="Cambria Math"/>
              </w:rPr>
            </m:ctrlPr>
          </m:sSubPr>
          <m:e>
            <m:r>
              <w:rPr>
                <w:rFonts w:ascii="Cambria Math" w:hAnsi="Cambria Math"/>
              </w:rPr>
              <m:t>δ</m:t>
            </m:r>
          </m:e>
          <m:sub>
            <m:r>
              <w:rPr>
                <w:rFonts w:ascii="Cambria Math" w:hAnsi="Cambria Math"/>
              </w:rPr>
              <m:t>i</m:t>
            </m:r>
          </m:sub>
        </m:sSub>
        <m:r>
          <w:rPr>
            <w:rFonts w:ascii="Cambria Math" w:hAnsi="Cambria Math"/>
          </w:rPr>
          <m:t>}</m:t>
        </m:r>
      </m:oMath>
      <w:r w:rsidRPr="001C1D37">
        <w:rPr>
          <w:rFonts w:eastAsia="Calibri"/>
        </w:rPr>
        <w:t xml:space="preserve">, and the two components are </w:t>
      </w:r>
      <w:r w:rsidRPr="001C1D37">
        <w:rPr>
          <w:rFonts w:eastAsia="Calibri"/>
        </w:rPr>
        <w:lastRenderedPageBreak/>
        <w:t xml:space="preserve">linked together through some shared parameters. </w:t>
      </w:r>
      <w:r w:rsidRPr="001C1D37">
        <w:t xml:space="preserve">Longitudinal trajectory is typically modelled by linear mixed effect models, while the event-time assumes various choice of modelling approaches </w:t>
      </w:r>
      <w:r w:rsidRPr="001C1D37">
        <w:rPr>
          <w:rFonts w:eastAsia="Calibri"/>
        </w:rPr>
        <w:t>through shared latent effects</w:t>
      </w:r>
      <w:r w:rsidRPr="001C1D37">
        <w:t xml:space="preserve"> [</w:t>
      </w:r>
      <w:r w:rsidR="00887D4D" w:rsidRPr="001C1D37">
        <w:t>16</w:t>
      </w:r>
      <w:r w:rsidRPr="001C1D37">
        <w:t xml:space="preserve">]. The joint modelling formulation proposed by </w:t>
      </w:r>
      <w:r w:rsidRPr="001C1D37">
        <w:rPr>
          <w:rFonts w:eastAsia="Calibri"/>
        </w:rPr>
        <w:t xml:space="preserve">Henderson et al. </w:t>
      </w:r>
      <w:r w:rsidR="00EC56C7" w:rsidRPr="001C1D37">
        <w:rPr>
          <w:rFonts w:eastAsia="Calibri"/>
        </w:rPr>
        <w:t>[</w:t>
      </w:r>
      <w:r w:rsidR="00887D4D" w:rsidRPr="001C1D37">
        <w:rPr>
          <w:rFonts w:eastAsia="Calibri"/>
        </w:rPr>
        <w:t>17</w:t>
      </w:r>
      <w:r w:rsidR="00EC56C7" w:rsidRPr="001C1D37">
        <w:rPr>
          <w:rFonts w:eastAsia="Calibri"/>
        </w:rPr>
        <w:t>]</w:t>
      </w:r>
      <w:r w:rsidRPr="001C1D37">
        <w:t xml:space="preserve"> </w:t>
      </w:r>
      <w:r w:rsidRPr="001C1D37">
        <w:rPr>
          <w:rFonts w:eastAsia="Calibri"/>
        </w:rPr>
        <w:t xml:space="preserve">provides the appropriate specification for our purpose where we can model </w:t>
      </w:r>
      <w:r w:rsidRPr="001C1D37">
        <w:t xml:space="preserve">the underling association between longitudinal biomarker and event-time processes over </w:t>
      </w:r>
      <m:oMath>
        <m:r>
          <w:rPr>
            <w:rFonts w:ascii="Cambria Math" w:hAnsi="Cambria Math"/>
          </w:rPr>
          <m:t>(0, t)</m:t>
        </m:r>
      </m:oMath>
      <w:r w:rsidRPr="001C1D37">
        <w:t xml:space="preserve"> by </w:t>
      </w:r>
      <w:r w:rsidRPr="001C1D37">
        <w:rPr>
          <w:bCs/>
        </w:rPr>
        <w:t xml:space="preserve">individual-level deviation </w:t>
      </w:r>
      <w:r w:rsidRPr="001C1D37">
        <w:rPr>
          <w:rFonts w:eastAsia="Calibri"/>
        </w:rPr>
        <w:t>of the longitudinal p</w:t>
      </w:r>
      <w:r w:rsidR="00BE792F" w:rsidRPr="001C1D37">
        <w:rPr>
          <w:rFonts w:eastAsia="Calibri"/>
        </w:rPr>
        <w:t>rofile from the population mean</w:t>
      </w:r>
      <m:oMath>
        <m:r>
          <w:rPr>
            <w:rFonts w:ascii="Cambria Math" w:eastAsia="Calibri" w:hAnsi="Cambria Math"/>
            <w:lang w:eastAsia="en-GB" w:bidi="ta-IN"/>
          </w:rPr>
          <m:t>.</m:t>
        </m:r>
      </m:oMath>
      <w:r w:rsidRPr="001C1D37">
        <w:rPr>
          <w:rFonts w:eastAsia="Calibri"/>
        </w:rPr>
        <w:t xml:space="preserve"> Following Henderson et al [</w:t>
      </w:r>
      <w:r w:rsidR="00887D4D" w:rsidRPr="001C1D37">
        <w:rPr>
          <w:rFonts w:eastAsia="Calibri"/>
        </w:rPr>
        <w:t>17</w:t>
      </w:r>
      <w:r w:rsidRPr="001C1D37">
        <w:rPr>
          <w:rFonts w:eastAsia="Calibri"/>
        </w:rPr>
        <w:t>], we assume a Gaussian linear model for biomarker measurement;</w:t>
      </w:r>
      <w:r w:rsidRPr="001C1D37">
        <w:t xml:space="preserve"> </w:t>
      </w:r>
    </w:p>
    <w:p w:rsidR="00D0467E" w:rsidRPr="001C1D37" w:rsidRDefault="00D0467E" w:rsidP="001C1D37">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05"/>
        <w:gridCol w:w="817"/>
      </w:tblGrid>
      <w:tr w:rsidR="001C1D37" w:rsidRPr="001C1D37" w:rsidTr="00E86015">
        <w:tc>
          <w:tcPr>
            <w:tcW w:w="675" w:type="dxa"/>
            <w:vAlign w:val="center"/>
          </w:tcPr>
          <w:p w:rsidR="00D0467E" w:rsidRPr="001C1D37" w:rsidRDefault="00D0467E" w:rsidP="001C1D37">
            <w:pPr>
              <w:pStyle w:val="NoSpacing"/>
              <w:rPr>
                <w:rFonts w:ascii="Times New Roman" w:hAnsi="Times New Roman"/>
                <w:sz w:val="24"/>
                <w:szCs w:val="24"/>
              </w:rPr>
            </w:pPr>
          </w:p>
        </w:tc>
        <w:tc>
          <w:tcPr>
            <w:tcW w:w="8505" w:type="dxa"/>
            <w:vAlign w:val="center"/>
          </w:tcPr>
          <w:p w:rsidR="00D0467E" w:rsidRPr="001C1D37" w:rsidRDefault="001C1D37" w:rsidP="001C1D37">
            <w:pPr>
              <w:pStyle w:val="NoSpacing"/>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0</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sz w:val="24"/>
                        <w:szCs w:val="24"/>
                      </w:rPr>
                      <m:t>1</m:t>
                    </m:r>
                  </m:sub>
                </m:sSub>
                <m:sSub>
                  <m:sSubPr>
                    <m:ctrlPr>
                      <w:rPr>
                        <w:rFonts w:ascii="Cambria Math" w:hAnsi="Cambria Math"/>
                        <w:i/>
                        <w:sz w:val="24"/>
                        <w:szCs w:val="24"/>
                        <w:lang w:eastAsia="en-GB" w:bidi="ta-IN"/>
                      </w:rPr>
                    </m:ctrlPr>
                  </m:sSubPr>
                  <m:e>
                    <m:r>
                      <w:rPr>
                        <w:rFonts w:ascii="Cambria Math" w:hAnsi="Cambria Math"/>
                        <w:sz w:val="24"/>
                        <w:szCs w:val="24"/>
                        <w:lang w:eastAsia="en-GB" w:bidi="ta-IN"/>
                      </w:rPr>
                      <m:t>t</m:t>
                    </m:r>
                  </m:e>
                  <m:sub>
                    <m:r>
                      <w:rPr>
                        <w:rFonts w:ascii="Cambria Math" w:hAnsi="Cambria Math"/>
                        <w:sz w:val="24"/>
                        <w:szCs w:val="24"/>
                        <w:lang w:eastAsia="en-GB" w:bidi="ta-IN"/>
                      </w:rPr>
                      <m:t>ij</m:t>
                    </m:r>
                  </m:sub>
                </m:sSub>
                <m:r>
                  <w:rPr>
                    <w:rFonts w:ascii="Cambria Math" w:hAnsi="Cambria Math"/>
                    <w:sz w:val="24"/>
                    <w:szCs w:val="24"/>
                  </w:rPr>
                  <m:t>+</m:t>
                </m:r>
                <m:sSub>
                  <m:sSubPr>
                    <m:ctrlPr>
                      <w:rPr>
                        <w:rFonts w:ascii="Cambria Math" w:hAnsi="Cambria Math"/>
                        <w:i/>
                      </w:rPr>
                    </m:ctrlPr>
                  </m:sSubPr>
                  <m:e>
                    <m:r>
                      <w:rPr>
                        <w:rFonts w:ascii="Cambria Math" w:hAnsi="Cambria Math"/>
                      </w:rPr>
                      <m:t>W</m:t>
                    </m:r>
                  </m:e>
                  <m:sub>
                    <m:r>
                      <w:rPr>
                        <w:rFonts w:ascii="Cambria Math" w:hAnsi="Cambria Math"/>
                      </w:rPr>
                      <m:t>1i</m:t>
                    </m:r>
                  </m:sub>
                </m:sSub>
                <m:d>
                  <m:dPr>
                    <m:ctrlPr>
                      <w:rPr>
                        <w:rFonts w:ascii="Cambria Math" w:hAnsi="Cambria Math"/>
                        <w:i/>
                      </w:rPr>
                    </m:ctrlPr>
                  </m:dPr>
                  <m:e>
                    <m:sSub>
                      <m:sSubPr>
                        <m:ctrlPr>
                          <w:rPr>
                            <w:rFonts w:ascii="Cambria Math" w:hAnsi="Cambria Math"/>
                            <w:i/>
                            <w:sz w:val="24"/>
                            <w:szCs w:val="24"/>
                            <w:lang w:eastAsia="en-GB" w:bidi="ta-IN"/>
                          </w:rPr>
                        </m:ctrlPr>
                      </m:sSubPr>
                      <m:e>
                        <m:r>
                          <w:rPr>
                            <w:rFonts w:ascii="Cambria Math" w:hAnsi="Cambria Math"/>
                            <w:sz w:val="24"/>
                            <w:szCs w:val="24"/>
                            <w:lang w:eastAsia="en-GB" w:bidi="ta-IN"/>
                          </w:rPr>
                          <m:t>t</m:t>
                        </m:r>
                      </m:e>
                      <m:sub>
                        <m:r>
                          <w:rPr>
                            <w:rFonts w:ascii="Cambria Math" w:hAnsi="Cambria Math"/>
                            <w:sz w:val="24"/>
                            <w:szCs w:val="24"/>
                            <w:lang w:eastAsia="en-GB" w:bidi="ta-IN"/>
                          </w:rPr>
                          <m:t>ij</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ij</m:t>
                    </m:r>
                  </m:sub>
                </m:sSub>
              </m:oMath>
            </m:oMathPara>
          </w:p>
        </w:tc>
        <w:tc>
          <w:tcPr>
            <w:tcW w:w="817" w:type="dxa"/>
            <w:vAlign w:val="center"/>
          </w:tcPr>
          <w:p w:rsidR="00D0467E" w:rsidRPr="001C1D37" w:rsidRDefault="00D0467E" w:rsidP="001C1D37">
            <w:pPr>
              <w:pStyle w:val="NoSpacing"/>
              <w:rPr>
                <w:rFonts w:ascii="Times New Roman" w:hAnsi="Times New Roman"/>
                <w:sz w:val="24"/>
                <w:szCs w:val="24"/>
              </w:rPr>
            </w:pPr>
            <w:r w:rsidRPr="001C1D37">
              <w:rPr>
                <w:rFonts w:ascii="Times New Roman" w:hAnsi="Times New Roman"/>
                <w:sz w:val="24"/>
                <w:szCs w:val="24"/>
              </w:rPr>
              <w:t>(1)</w:t>
            </w:r>
          </w:p>
        </w:tc>
      </w:tr>
    </w:tbl>
    <w:p w:rsidR="00D0467E" w:rsidRPr="001C1D37" w:rsidRDefault="00D0467E" w:rsidP="001C1D37">
      <w:pPr>
        <w:autoSpaceDE w:val="0"/>
        <w:autoSpaceDN w:val="0"/>
        <w:adjustRightInd w:val="0"/>
        <w:rPr>
          <w:bCs/>
        </w:rPr>
      </w:pPr>
    </w:p>
    <w:p w:rsidR="00D0467E" w:rsidRPr="001C1D37" w:rsidRDefault="00D0467E" w:rsidP="001C1D37">
      <w:pPr>
        <w:autoSpaceDE w:val="0"/>
        <w:autoSpaceDN w:val="0"/>
        <w:adjustRightInd w:val="0"/>
        <w:rPr>
          <w:bCs/>
        </w:rPr>
      </w:pPr>
      <w:proofErr w:type="gramStart"/>
      <w:r w:rsidRPr="001C1D37">
        <w:rPr>
          <w:bCs/>
        </w:rPr>
        <w:t>where</w:t>
      </w:r>
      <w:proofErr w:type="gramEnd"/>
      <w:r w:rsidRPr="001C1D37">
        <w:rPr>
          <w:bCs/>
        </w:rPr>
        <w:t xml:space="preserve"> </w:t>
      </w:r>
      <m:oMath>
        <m:sSub>
          <m:sSubPr>
            <m:ctrlPr>
              <w:rPr>
                <w:rFonts w:ascii="Cambria Math" w:hAnsi="Cambria Math"/>
                <w:i/>
              </w:rPr>
            </m:ctrlPr>
          </m:sSubPr>
          <m:e>
            <m:r>
              <w:rPr>
                <w:rFonts w:ascii="Cambria Math" w:hAnsi="Cambria Math"/>
              </w:rPr>
              <m:t>β</m:t>
            </m:r>
          </m:e>
          <m:sub>
            <m:r>
              <w:rPr>
                <w:rFonts w:ascii="Cambria Math"/>
              </w:rPr>
              <m:t>0</m:t>
            </m:r>
          </m:sub>
        </m:sSub>
      </m:oMath>
      <w:r w:rsidRPr="001C1D37">
        <w:t xml:space="preserve"> and </w:t>
      </w:r>
      <m:oMath>
        <m:sSub>
          <m:sSubPr>
            <m:ctrlPr>
              <w:rPr>
                <w:rFonts w:ascii="Cambria Math" w:hAnsi="Cambria Math"/>
                <w:i/>
              </w:rPr>
            </m:ctrlPr>
          </m:sSubPr>
          <m:e>
            <m:r>
              <w:rPr>
                <w:rFonts w:ascii="Cambria Math" w:hAnsi="Cambria Math"/>
              </w:rPr>
              <m:t>β</m:t>
            </m:r>
          </m:e>
          <m:sub>
            <m:r>
              <w:rPr>
                <w:rFonts w:ascii="Cambria Math"/>
              </w:rPr>
              <m:t>1</m:t>
            </m:r>
          </m:sub>
        </m:sSub>
      </m:oMath>
      <w:r w:rsidRPr="001C1D37">
        <w:t xml:space="preserve"> are regression coefficients related to intercept and slope. Individual-specific random effects are incorporated through</w:t>
      </w:r>
      <w:r w:rsidRPr="001C1D37">
        <w:rPr>
          <w:bCs/>
        </w:rPr>
        <w:t xml:space="preserve"> </w:t>
      </w:r>
      <m:oMath>
        <m:sSub>
          <m:sSubPr>
            <m:ctrlPr>
              <w:rPr>
                <w:rFonts w:ascii="Cambria Math" w:hAnsi="Cambria Math"/>
                <w:i/>
              </w:rPr>
            </m:ctrlPr>
          </m:sSubPr>
          <m:e>
            <m:r>
              <w:rPr>
                <w:rFonts w:ascii="Cambria Math" w:hAnsi="Cambria Math"/>
              </w:rPr>
              <m:t>W</m:t>
            </m:r>
          </m:e>
          <m:sub>
            <m:r>
              <w:rPr>
                <w:rFonts w:ascii="Cambria Math"/>
              </w:rPr>
              <m:t>1i</m:t>
            </m:r>
          </m:sub>
        </m:sSub>
        <m:d>
          <m:dPr>
            <m:ctrlPr>
              <w:rPr>
                <w:rFonts w:ascii="Cambria Math" w:hAnsi="Cambria Math"/>
                <w:i/>
              </w:rPr>
            </m:ctrlPr>
          </m:dPr>
          <m:e>
            <m:sSub>
              <m:sSubPr>
                <m:ctrlPr>
                  <w:rPr>
                    <w:rFonts w:ascii="Cambria Math" w:eastAsia="Calibri" w:hAnsi="Cambria Math"/>
                    <w:i/>
                    <w:lang w:eastAsia="en-GB" w:bidi="ta-IN"/>
                  </w:rPr>
                </m:ctrlPr>
              </m:sSubPr>
              <m:e>
                <m:r>
                  <w:rPr>
                    <w:rFonts w:ascii="Cambria Math" w:hAnsi="Cambria Math"/>
                    <w:lang w:eastAsia="en-GB" w:bidi="ta-IN"/>
                  </w:rPr>
                  <m:t>t</m:t>
                </m:r>
              </m:e>
              <m:sub>
                <m:r>
                  <w:rPr>
                    <w:rFonts w:ascii="Cambria Math" w:hAnsi="Cambria Math"/>
                    <w:lang w:eastAsia="en-GB" w:bidi="ta-IN"/>
                  </w:rPr>
                  <m:t>ij</m:t>
                </m:r>
              </m:sub>
            </m:sSub>
          </m:e>
        </m:d>
      </m:oMath>
      <w:r w:rsidRPr="001C1D37">
        <w:t xml:space="preserve"> where </w:t>
      </w:r>
      <m:oMath>
        <m:sSub>
          <m:sSubPr>
            <m:ctrlPr>
              <w:rPr>
                <w:rFonts w:ascii="Cambria Math" w:hAnsi="Cambria Math"/>
                <w:i/>
              </w:rPr>
            </m:ctrlPr>
          </m:sSubPr>
          <m:e>
            <m:r>
              <w:rPr>
                <w:rFonts w:ascii="Cambria Math" w:hAnsi="Cambria Math"/>
              </w:rPr>
              <m:t>W</m:t>
            </m:r>
          </m:e>
          <m:sub>
            <m:r>
              <w:rPr>
                <w:rFonts w:ascii="Cambria Math"/>
              </w:rPr>
              <m:t>1</m:t>
            </m:r>
          </m:sub>
        </m:sSub>
        <m:d>
          <m:dPr>
            <m:ctrlPr>
              <w:rPr>
                <w:rFonts w:ascii="Cambria Math" w:hAnsi="Cambria Math"/>
                <w:i/>
              </w:rPr>
            </m:ctrlPr>
          </m:dPr>
          <m:e>
            <m:r>
              <w:rPr>
                <w:rFonts w:ascii="Cambria Math" w:hAnsi="Cambria Math"/>
              </w:rPr>
              <m:t>.</m:t>
            </m:r>
          </m:e>
        </m:d>
      </m:oMath>
      <w:r w:rsidRPr="001C1D37">
        <w:t xml:space="preserve"> is an </w:t>
      </w:r>
      <w:r w:rsidRPr="001C1D37">
        <w:rPr>
          <w:bCs/>
        </w:rPr>
        <w:t>unobserved zero-mean Gaussian random process</w:t>
      </w:r>
      <m:oMath>
        <m:r>
          <m:rPr>
            <m:sty m:val="bi"/>
          </m:rPr>
          <w:rPr>
            <w:rFonts w:ascii="Cambria Math" w:hAnsi="Cambria Math"/>
          </w:rPr>
          <m:t xml:space="preserve">. </m:t>
        </m:r>
      </m:oMath>
      <w:r w:rsidRPr="001C1D37">
        <w:t>Finally,</w:t>
      </w:r>
      <w:r w:rsidRPr="001C1D37">
        <w:rPr>
          <w:bCs/>
        </w:rPr>
        <w:t xml:space="preserve"> </w:t>
      </w:r>
      <m:oMath>
        <m:sSub>
          <m:sSubPr>
            <m:ctrlPr>
              <w:rPr>
                <w:rFonts w:ascii="Cambria Math" w:hAnsi="Cambria Math"/>
                <w:i/>
              </w:rPr>
            </m:ctrlPr>
          </m:sSubPr>
          <m:e>
            <m:r>
              <w:rPr>
                <w:rFonts w:ascii="Cambria Math" w:hAnsi="Cambria Math"/>
              </w:rPr>
              <m:t>ε</m:t>
            </m:r>
          </m:e>
          <m:sub>
            <m:r>
              <w:rPr>
                <w:rFonts w:ascii="Cambria Math" w:hAnsi="Cambria Math"/>
              </w:rPr>
              <m:t>ij</m:t>
            </m:r>
          </m:sub>
        </m:sSub>
      </m:oMath>
      <w:r w:rsidRPr="001C1D37">
        <w:t xml:space="preserve"> </w:t>
      </w:r>
      <w:r w:rsidRPr="001C1D37">
        <w:rPr>
          <w:bCs/>
        </w:rPr>
        <w:t xml:space="preserve">denotes the measurement error process and assumes Gaussian distribution with mean zero and </w:t>
      </w:r>
      <w:proofErr w:type="gramStart"/>
      <w:r w:rsidRPr="001C1D37">
        <w:rPr>
          <w:bCs/>
        </w:rPr>
        <w:t xml:space="preserve">variance </w:t>
      </w:r>
      <w:proofErr w:type="gramEnd"/>
      <m:oMath>
        <m:sSubSup>
          <m:sSubSupPr>
            <m:ctrlPr>
              <w:rPr>
                <w:rFonts w:ascii="Cambria Math" w:hAnsi="Cambria Math"/>
                <w:bCs/>
                <w:i/>
              </w:rPr>
            </m:ctrlPr>
          </m:sSubSupPr>
          <m:e>
            <m:r>
              <w:rPr>
                <w:rFonts w:ascii="Cambria Math" w:hAnsi="Cambria Math"/>
              </w:rPr>
              <m:t>σ</m:t>
            </m:r>
          </m:e>
          <m:sub>
            <m:r>
              <w:rPr>
                <w:rFonts w:ascii="Cambria Math" w:hAnsi="Cambria Math"/>
              </w:rPr>
              <m:t>e</m:t>
            </m:r>
          </m:sub>
          <m:sup>
            <m:r>
              <w:rPr>
                <w:rFonts w:ascii="Cambria Math" w:hAnsi="Cambria Math"/>
              </w:rPr>
              <m:t>2</m:t>
            </m:r>
          </m:sup>
        </m:sSubSup>
      </m:oMath>
      <w:r w:rsidRPr="001C1D37">
        <w:rPr>
          <w:bCs/>
        </w:rPr>
        <w:t xml:space="preserve">. Further, </w:t>
      </w:r>
      <m:oMath>
        <m:sSub>
          <m:sSubPr>
            <m:ctrlPr>
              <w:rPr>
                <w:rFonts w:ascii="Cambria Math" w:hAnsi="Cambria Math"/>
                <w:i/>
              </w:rPr>
            </m:ctrlPr>
          </m:sSubPr>
          <m:e>
            <m:r>
              <w:rPr>
                <w:rFonts w:ascii="Cambria Math" w:hAnsi="Cambria Math"/>
              </w:rPr>
              <m:t>W</m:t>
            </m:r>
          </m:e>
          <m:sub>
            <m:r>
              <w:rPr>
                <w:rFonts w:ascii="Cambria Math"/>
              </w:rPr>
              <m:t>1i</m:t>
            </m:r>
          </m:sub>
        </m:sSub>
        <m:d>
          <m:dPr>
            <m:ctrlPr>
              <w:rPr>
                <w:rFonts w:ascii="Cambria Math" w:hAnsi="Cambria Math"/>
                <w:i/>
              </w:rPr>
            </m:ctrlPr>
          </m:dPr>
          <m:e>
            <m:sSub>
              <m:sSubPr>
                <m:ctrlPr>
                  <w:rPr>
                    <w:rFonts w:ascii="Cambria Math" w:eastAsia="Calibri" w:hAnsi="Cambria Math"/>
                    <w:i/>
                    <w:lang w:eastAsia="en-GB" w:bidi="ta-IN"/>
                  </w:rPr>
                </m:ctrlPr>
              </m:sSubPr>
              <m:e>
                <m:r>
                  <w:rPr>
                    <w:rFonts w:ascii="Cambria Math" w:hAnsi="Cambria Math"/>
                    <w:lang w:eastAsia="en-GB" w:bidi="ta-IN"/>
                  </w:rPr>
                  <m:t>t</m:t>
                </m:r>
              </m:e>
              <m:sub>
                <m:r>
                  <w:rPr>
                    <w:rFonts w:ascii="Cambria Math" w:hAnsi="Cambria Math"/>
                    <w:lang w:eastAsia="en-GB" w:bidi="ta-IN"/>
                  </w:rPr>
                  <m:t>ij</m:t>
                </m:r>
              </m:sub>
            </m:sSub>
          </m:e>
        </m:d>
      </m:oMath>
      <w:r w:rsidRPr="001C1D37">
        <w:rPr>
          <w:bCs/>
        </w:rPr>
        <w:t xml:space="preserve"> and the measurement error process </w:t>
      </w:r>
      <m:oMath>
        <m:sSub>
          <m:sSubPr>
            <m:ctrlPr>
              <w:rPr>
                <w:rFonts w:ascii="Cambria Math" w:hAnsi="Cambria Math"/>
                <w:i/>
              </w:rPr>
            </m:ctrlPr>
          </m:sSubPr>
          <m:e>
            <m:r>
              <w:rPr>
                <w:rFonts w:ascii="Cambria Math" w:hAnsi="Cambria Math"/>
              </w:rPr>
              <m:t>ε</m:t>
            </m:r>
          </m:e>
          <m:sub>
            <m:r>
              <w:rPr>
                <w:rFonts w:ascii="Cambria Math" w:hAnsi="Cambria Math"/>
              </w:rPr>
              <m:t>ij</m:t>
            </m:r>
          </m:sub>
        </m:sSub>
      </m:oMath>
      <w:r w:rsidRPr="001C1D37">
        <w:t xml:space="preserve"> </w:t>
      </w:r>
      <w:r w:rsidRPr="001C1D37">
        <w:rPr>
          <w:bCs/>
        </w:rPr>
        <w:t>are assumed to be mutually independent [</w:t>
      </w:r>
      <w:r w:rsidR="00DC07E3" w:rsidRPr="001C1D37">
        <w:rPr>
          <w:bCs/>
        </w:rPr>
        <w:t>17</w:t>
      </w:r>
      <w:r w:rsidRPr="001C1D37">
        <w:rPr>
          <w:bCs/>
        </w:rPr>
        <w:t>]. We assume that t</w:t>
      </w:r>
      <w:r w:rsidRPr="001C1D37">
        <w:rPr>
          <w:rFonts w:eastAsia="Calibri"/>
        </w:rPr>
        <w:t xml:space="preserve">he </w:t>
      </w:r>
      <w:r w:rsidRPr="001C1D37">
        <w:rPr>
          <w:lang w:eastAsia="en-GB" w:bidi="ta-IN"/>
        </w:rPr>
        <w:t xml:space="preserve">hazard </w:t>
      </w:r>
      <w:r w:rsidRPr="001C1D37">
        <w:t xml:space="preserve">for clinical endpoint </w:t>
      </w:r>
      <w:r w:rsidR="00893653" w:rsidRPr="001C1D37">
        <w:t xml:space="preserve">at time </w:t>
      </w:r>
      <m:oMath>
        <m:r>
          <w:rPr>
            <w:rFonts w:ascii="Cambria Math" w:hAnsi="Cambria Math"/>
          </w:rPr>
          <m:t>t</m:t>
        </m:r>
      </m:oMath>
      <w:r w:rsidR="00893653" w:rsidRPr="001C1D37">
        <w:t xml:space="preserve"> </w:t>
      </w:r>
      <w:r w:rsidRPr="001C1D37">
        <w:t xml:space="preserve">is </w:t>
      </w:r>
      <w:r w:rsidRPr="001C1D37">
        <w:rPr>
          <w:bCs/>
        </w:rPr>
        <w:t>modelled by</w:t>
      </w:r>
    </w:p>
    <w:p w:rsidR="00D0467E" w:rsidRPr="001C1D37" w:rsidRDefault="00D0467E" w:rsidP="001C1D37">
      <w:pPr>
        <w:autoSpaceDE w:val="0"/>
        <w:autoSpaceDN w:val="0"/>
        <w:adjustRightInd w:val="0"/>
        <w:rPr>
          <w:rFonts w:eastAsia="Calibri"/>
          <w:lang w:eastAsia="en-GB" w:bidi="ta-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05"/>
        <w:gridCol w:w="817"/>
      </w:tblGrid>
      <w:tr w:rsidR="001C1D37" w:rsidRPr="001C1D37" w:rsidTr="00E86015">
        <w:tc>
          <w:tcPr>
            <w:tcW w:w="675" w:type="dxa"/>
          </w:tcPr>
          <w:p w:rsidR="00D0467E" w:rsidRPr="001C1D37" w:rsidRDefault="00D0467E" w:rsidP="001C1D37">
            <w:pPr>
              <w:pStyle w:val="NoSpacing"/>
              <w:rPr>
                <w:rFonts w:ascii="Times New Roman" w:hAnsi="Times New Roman"/>
                <w:sz w:val="24"/>
                <w:szCs w:val="24"/>
              </w:rPr>
            </w:pPr>
          </w:p>
        </w:tc>
        <w:tc>
          <w:tcPr>
            <w:tcW w:w="8505" w:type="dxa"/>
            <w:vAlign w:val="center"/>
          </w:tcPr>
          <w:p w:rsidR="00D0467E" w:rsidRPr="001C1D37" w:rsidRDefault="001C1D37" w:rsidP="001C1D37">
            <w:pPr>
              <w:pStyle w:val="NoSpacing"/>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 xml:space="preserve"> λ</m:t>
                    </m:r>
                  </m:e>
                  <m:sub>
                    <m:r>
                      <w:rPr>
                        <w:rFonts w:ascii="Cambria Math" w:hAnsi="Cambria Math"/>
                        <w:sz w:val="24"/>
                        <w:szCs w:val="24"/>
                      </w:rPr>
                      <m:t>i</m:t>
                    </m:r>
                  </m:sub>
                </m:sSub>
                <m:d>
                  <m:dPr>
                    <m:ctrlPr>
                      <w:rPr>
                        <w:rFonts w:ascii="Cambria Math" w:hAnsi="Cambria Math"/>
                        <w:bCs/>
                        <w:i/>
                        <w:sz w:val="24"/>
                        <w:szCs w:val="24"/>
                      </w:rPr>
                    </m:ctrlPr>
                  </m:dPr>
                  <m:e>
                    <m:r>
                      <w:rPr>
                        <w:rFonts w:ascii="Cambria Math" w:hAnsi="Cambria Math"/>
                        <w:sz w:val="24"/>
                        <w:szCs w:val="24"/>
                      </w:rPr>
                      <m:t>t|</m:t>
                    </m:r>
                    <m:sSub>
                      <m:sSubPr>
                        <m:ctrlPr>
                          <w:rPr>
                            <w:rFonts w:ascii="Cambria Math" w:eastAsia="Times New Roman" w:hAnsi="Cambria Math"/>
                            <w:i/>
                            <w:sz w:val="24"/>
                            <w:szCs w:val="24"/>
                          </w:rPr>
                        </m:ctrlPr>
                      </m:sSubPr>
                      <m:e>
                        <m:r>
                          <w:rPr>
                            <w:rFonts w:ascii="Cambria Math" w:hAnsi="Cambria Math"/>
                          </w:rPr>
                          <m:t>Y</m:t>
                        </m:r>
                      </m:e>
                      <m:sub>
                        <m:r>
                          <w:rPr>
                            <w:rFonts w:ascii="Cambria Math" w:hAnsi="Cambria Math"/>
                          </w:rPr>
                          <m:t>i</m:t>
                        </m:r>
                      </m:sub>
                    </m:sSub>
                    <m:d>
                      <m:dPr>
                        <m:ctrlPr>
                          <w:rPr>
                            <w:rFonts w:ascii="Cambria Math" w:hAnsi="Cambria Math"/>
                            <w:i/>
                          </w:rPr>
                        </m:ctrlPr>
                      </m:dPr>
                      <m:e>
                        <m:r>
                          <w:rPr>
                            <w:rFonts w:ascii="Cambria Math" w:hAnsi="Cambria Math"/>
                          </w:rPr>
                          <m:t>t</m:t>
                        </m:r>
                      </m:e>
                    </m:d>
                  </m:e>
                </m:d>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λ</m:t>
                    </m:r>
                  </m:e>
                  <m:sub>
                    <m:r>
                      <w:rPr>
                        <w:rFonts w:ascii="Cambria Math" w:hAnsi="Cambria Math"/>
                        <w:sz w:val="24"/>
                        <w:szCs w:val="24"/>
                      </w:rPr>
                      <m:t>0i</m:t>
                    </m:r>
                  </m:sub>
                </m:sSub>
                <m:d>
                  <m:dPr>
                    <m:ctrlPr>
                      <w:rPr>
                        <w:rFonts w:ascii="Cambria Math" w:hAnsi="Cambria Math"/>
                        <w:bCs/>
                        <w:i/>
                        <w:sz w:val="24"/>
                        <w:szCs w:val="24"/>
                      </w:rPr>
                    </m:ctrlPr>
                  </m:dPr>
                  <m:e>
                    <m:r>
                      <w:rPr>
                        <w:rFonts w:ascii="Cambria Math" w:hAnsi="Cambria Math"/>
                        <w:sz w:val="24"/>
                        <w:szCs w:val="24"/>
                      </w:rPr>
                      <m:t>t</m:t>
                    </m:r>
                  </m:e>
                </m:d>
                <m:sSup>
                  <m:sSupPr>
                    <m:ctrlPr>
                      <w:rPr>
                        <w:rFonts w:ascii="Cambria Math" w:hAnsi="Cambria Math"/>
                        <w:sz w:val="24"/>
                        <w:szCs w:val="24"/>
                      </w:rPr>
                    </m:ctrlPr>
                  </m:sSupPr>
                  <m:e>
                    <m:r>
                      <m:rPr>
                        <m:sty m:val="p"/>
                      </m:rPr>
                      <w:rPr>
                        <w:rFonts w:ascii="Cambria Math" w:hAnsi="Cambria Math"/>
                        <w:sz w:val="24"/>
                        <w:szCs w:val="24"/>
                      </w:rPr>
                      <m:t>e</m:t>
                    </m:r>
                  </m:e>
                  <m:sup>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2i</m:t>
                        </m:r>
                      </m:sub>
                    </m:sSub>
                    <m:r>
                      <w:rPr>
                        <w:rFonts w:ascii="Cambria Math" w:hAnsi="Cambria Math"/>
                        <w:sz w:val="24"/>
                        <w:szCs w:val="24"/>
                      </w:rPr>
                      <m:t>(t)</m:t>
                    </m:r>
                  </m:sup>
                </m:sSup>
              </m:oMath>
            </m:oMathPara>
          </w:p>
        </w:tc>
        <w:tc>
          <w:tcPr>
            <w:tcW w:w="817" w:type="dxa"/>
            <w:vAlign w:val="center"/>
          </w:tcPr>
          <w:p w:rsidR="00D0467E" w:rsidRPr="001C1D37" w:rsidRDefault="00D0467E" w:rsidP="001C1D37">
            <w:pPr>
              <w:pStyle w:val="NoSpacing"/>
              <w:rPr>
                <w:rFonts w:ascii="Times New Roman" w:hAnsi="Times New Roman"/>
                <w:sz w:val="24"/>
                <w:szCs w:val="24"/>
              </w:rPr>
            </w:pPr>
            <w:r w:rsidRPr="001C1D37">
              <w:rPr>
                <w:rFonts w:ascii="Times New Roman" w:hAnsi="Times New Roman"/>
                <w:sz w:val="24"/>
                <w:szCs w:val="24"/>
              </w:rPr>
              <w:t>(2)</w:t>
            </w:r>
          </w:p>
        </w:tc>
      </w:tr>
    </w:tbl>
    <w:p w:rsidR="00D0467E" w:rsidRPr="001C1D37" w:rsidRDefault="00D0467E" w:rsidP="001C1D37">
      <w:pPr>
        <w:autoSpaceDE w:val="0"/>
        <w:autoSpaceDN w:val="0"/>
        <w:adjustRightInd w:val="0"/>
        <w:rPr>
          <w:rFonts w:eastAsia="Calibri"/>
          <w:bCs/>
        </w:rPr>
      </w:pPr>
    </w:p>
    <w:p w:rsidR="00D0467E" w:rsidRPr="001C1D37" w:rsidRDefault="00495270" w:rsidP="001C1D37">
      <w:pPr>
        <w:autoSpaceDE w:val="0"/>
        <w:autoSpaceDN w:val="0"/>
        <w:adjustRightInd w:val="0"/>
      </w:pPr>
      <w:r w:rsidRPr="001C1D37">
        <w:rPr>
          <w:rFonts w:eastAsia="Calibri"/>
          <w:bCs/>
        </w:rPr>
        <w:t>w</w:t>
      </w:r>
      <w:r w:rsidR="00D0467E" w:rsidRPr="001C1D37">
        <w:rPr>
          <w:rFonts w:eastAsia="Calibri"/>
          <w:bCs/>
        </w:rPr>
        <w:t>here</w:t>
      </w:r>
      <w:r w:rsidR="00BE792F" w:rsidRPr="001C1D37">
        <w:rPr>
          <w:rFonts w:eastAsia="Calibri"/>
          <w:bCs/>
        </w:rPr>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r>
              <w:rPr>
                <w:rFonts w:ascii="Cambria Math" w:hAnsi="Cambria Math"/>
              </w:rPr>
              <m:t>t</m:t>
            </m:r>
          </m:e>
        </m:d>
      </m:oMath>
      <w:r w:rsidR="00BE792F" w:rsidRPr="001C1D37">
        <w:t xml:space="preserve"> is the true unknown biomarker value at time </w:t>
      </w:r>
      <m:oMath>
        <m:r>
          <w:rPr>
            <w:rFonts w:ascii="Cambria Math" w:hAnsi="Cambria Math"/>
          </w:rPr>
          <m:t>t</m:t>
        </m:r>
      </m:oMath>
      <w:r w:rsidR="00BE792F" w:rsidRPr="001C1D37">
        <w:t xml:space="preserve">, </w:t>
      </w:r>
      <m:oMath>
        <m:sSub>
          <m:sSubPr>
            <m:ctrlPr>
              <w:rPr>
                <w:rFonts w:ascii="Cambria Math" w:hAnsi="Cambria Math"/>
                <w:bCs/>
                <w:i/>
              </w:rPr>
            </m:ctrlPr>
          </m:sSubPr>
          <m:e>
            <m:r>
              <w:rPr>
                <w:rFonts w:ascii="Cambria Math" w:hAnsi="Cambria Math"/>
              </w:rPr>
              <m:t>λ</m:t>
            </m:r>
          </m:e>
          <m:sub>
            <m:r>
              <w:rPr>
                <w:rFonts w:ascii="Cambria Math" w:hAnsi="Cambria Math"/>
              </w:rPr>
              <m:t>0i</m:t>
            </m:r>
          </m:sub>
        </m:sSub>
        <m:d>
          <m:dPr>
            <m:ctrlPr>
              <w:rPr>
                <w:rFonts w:ascii="Cambria Math" w:hAnsi="Cambria Math"/>
                <w:bCs/>
                <w:i/>
              </w:rPr>
            </m:ctrlPr>
          </m:dPr>
          <m:e>
            <m:r>
              <w:rPr>
                <w:rFonts w:ascii="Cambria Math" w:hAnsi="Cambria Math"/>
              </w:rPr>
              <m:t>t</m:t>
            </m:r>
          </m:e>
        </m:d>
      </m:oMath>
      <w:r w:rsidR="00D0467E" w:rsidRPr="001C1D37">
        <w:rPr>
          <w:rFonts w:eastAsia="Calibri"/>
          <w:bCs/>
        </w:rPr>
        <w:t xml:space="preserve"> is an unspecified baseline hazard and </w:t>
      </w:r>
      <m:oMath>
        <m:sSub>
          <m:sSubPr>
            <m:ctrlPr>
              <w:rPr>
                <w:rFonts w:ascii="Cambria Math" w:hAnsi="Cambria Math"/>
                <w:i/>
              </w:rPr>
            </m:ctrlPr>
          </m:sSubPr>
          <m:e>
            <m:r>
              <w:rPr>
                <w:rFonts w:ascii="Cambria Math" w:hAnsi="Cambria Math"/>
              </w:rPr>
              <m:t>W</m:t>
            </m:r>
          </m:e>
          <m:sub>
            <m:r>
              <w:rPr>
                <w:rFonts w:ascii="Cambria Math"/>
              </w:rPr>
              <m:t>2i</m:t>
            </m:r>
          </m:sub>
        </m:sSub>
        <m:d>
          <m:dPr>
            <m:ctrlPr>
              <w:rPr>
                <w:rFonts w:ascii="Cambria Math" w:hAnsi="Cambria Math"/>
                <w:i/>
              </w:rPr>
            </m:ctrlPr>
          </m:dPr>
          <m:e>
            <m:r>
              <w:rPr>
                <w:rFonts w:ascii="Cambria Math" w:hAnsi="Cambria Math"/>
              </w:rPr>
              <m:t>t</m:t>
            </m:r>
          </m:e>
        </m:d>
      </m:oMath>
      <w:r w:rsidR="00D0467E" w:rsidRPr="001C1D37">
        <w:t xml:space="preserve"> is a second </w:t>
      </w:r>
      <w:r w:rsidR="00D0467E" w:rsidRPr="001C1D37">
        <w:rPr>
          <w:bCs/>
        </w:rPr>
        <w:t>unobserved zero-mean Gaussian random process</w:t>
      </w:r>
      <m:oMath>
        <m:r>
          <m:rPr>
            <m:sty m:val="bi"/>
          </m:rPr>
          <w:rPr>
            <w:rFonts w:ascii="Cambria Math" w:hAnsi="Cambria Math"/>
          </w:rPr>
          <m:t>.</m:t>
        </m:r>
      </m:oMath>
      <w:r w:rsidR="00D0467E" w:rsidRPr="001C1D37">
        <w:rPr>
          <w:b/>
        </w:rPr>
        <w:t xml:space="preserve"> </w:t>
      </w:r>
      <w:r w:rsidR="00D0467E" w:rsidRPr="001C1D37">
        <w:rPr>
          <w:bCs/>
        </w:rPr>
        <w:t>The event</w:t>
      </w:r>
      <w:r w:rsidR="00BE792F" w:rsidRPr="001C1D37">
        <w:rPr>
          <w:bCs/>
        </w:rPr>
        <w:t>-</w:t>
      </w:r>
      <w:r w:rsidR="00D0467E" w:rsidRPr="001C1D37">
        <w:rPr>
          <w:bCs/>
        </w:rPr>
        <w:t xml:space="preserve">time </w:t>
      </w:r>
      <w:r w:rsidR="00BE792F" w:rsidRPr="001C1D37">
        <w:rPr>
          <w:bCs/>
        </w:rPr>
        <w:t xml:space="preserve">process </w:t>
      </w:r>
      <w:r w:rsidR="00D0467E" w:rsidRPr="001C1D37">
        <w:rPr>
          <w:bCs/>
        </w:rPr>
        <w:t xml:space="preserve">is associated with the longitudinal response through the shared random effect of </w:t>
      </w:r>
      <m:oMath>
        <m:sSub>
          <m:sSubPr>
            <m:ctrlPr>
              <w:rPr>
                <w:rFonts w:ascii="Cambria Math" w:hAnsi="Cambria Math"/>
                <w:i/>
              </w:rPr>
            </m:ctrlPr>
          </m:sSubPr>
          <m:e>
            <m:r>
              <w:rPr>
                <w:rFonts w:ascii="Cambria Math" w:hAnsi="Cambria Math"/>
              </w:rPr>
              <m:t>W</m:t>
            </m:r>
          </m:e>
          <m:sub>
            <m:r>
              <w:rPr>
                <w:rFonts w:ascii="Cambria Math"/>
              </w:rPr>
              <m:t>1i</m:t>
            </m:r>
          </m:sub>
        </m:sSub>
        <m:d>
          <m:dPr>
            <m:ctrlPr>
              <w:rPr>
                <w:rFonts w:ascii="Cambria Math" w:hAnsi="Cambria Math"/>
                <w:i/>
              </w:rPr>
            </m:ctrlPr>
          </m:dPr>
          <m:e>
            <m:r>
              <w:rPr>
                <w:rFonts w:ascii="Cambria Math" w:hAnsi="Cambria Math"/>
              </w:rPr>
              <m:t>t</m:t>
            </m:r>
          </m:e>
        </m:d>
      </m:oMath>
      <w:r w:rsidR="00D0467E" w:rsidRPr="001C1D37">
        <w:t xml:space="preserve"> and </w:t>
      </w:r>
      <m:oMath>
        <m:sSub>
          <m:sSubPr>
            <m:ctrlPr>
              <w:rPr>
                <w:rFonts w:ascii="Cambria Math" w:hAnsi="Cambria Math"/>
                <w:i/>
              </w:rPr>
            </m:ctrlPr>
          </m:sSubPr>
          <m:e>
            <m:r>
              <w:rPr>
                <w:rFonts w:ascii="Cambria Math" w:hAnsi="Cambria Math"/>
              </w:rPr>
              <m:t>W</m:t>
            </m:r>
          </m:e>
          <m:sub>
            <m:r>
              <w:rPr>
                <w:rFonts w:ascii="Cambria Math"/>
              </w:rPr>
              <m:t>2i</m:t>
            </m:r>
          </m:sub>
        </m:sSub>
        <m:d>
          <m:dPr>
            <m:ctrlPr>
              <w:rPr>
                <w:rFonts w:ascii="Cambria Math" w:hAnsi="Cambria Math"/>
                <w:i/>
              </w:rPr>
            </m:ctrlPr>
          </m:dPr>
          <m:e>
            <m:r>
              <w:rPr>
                <w:rFonts w:ascii="Cambria Math" w:hAnsi="Cambria Math"/>
              </w:rPr>
              <m:t>t</m:t>
            </m:r>
          </m:e>
        </m:d>
        <m:r>
          <w:rPr>
            <w:rFonts w:ascii="Cambria Math" w:hAnsi="Cambria Math"/>
          </w:rPr>
          <m:t>.</m:t>
        </m:r>
      </m:oMath>
      <w:r w:rsidR="00D0467E" w:rsidRPr="001C1D37">
        <w:t xml:space="preserve"> </w:t>
      </w:r>
      <w:r w:rsidR="00DC07E3" w:rsidRPr="001C1D37">
        <w:t>This model</w:t>
      </w:r>
      <w:r w:rsidR="00D0467E" w:rsidRPr="001C1D37">
        <w:rPr>
          <w:bCs/>
        </w:rPr>
        <w:t xml:space="preserve"> </w:t>
      </w:r>
      <w:r w:rsidR="00D0467E" w:rsidRPr="001C1D37">
        <w:rPr>
          <w:rFonts w:eastAsia="Calibri"/>
        </w:rPr>
        <w:t xml:space="preserve">links the true biomarker value at time </w:t>
      </w:r>
      <m:oMath>
        <m:r>
          <w:rPr>
            <w:rFonts w:ascii="Cambria Math" w:eastAsia="Calibri" w:hAnsi="Cambria Math"/>
          </w:rPr>
          <m:t>t</m:t>
        </m:r>
      </m:oMath>
      <w:r w:rsidR="00D0467E" w:rsidRPr="001C1D37">
        <w:rPr>
          <w:rFonts w:eastAsia="Calibri"/>
        </w:rPr>
        <w:t xml:space="preserve"> through the </w:t>
      </w:r>
      <w:r w:rsidR="00D0467E" w:rsidRPr="001C1D37">
        <w:rPr>
          <w:lang w:eastAsia="en-GB" w:bidi="ta-IN"/>
        </w:rPr>
        <w:t xml:space="preserve">hazard </w:t>
      </w:r>
      <w:r w:rsidR="00D0467E" w:rsidRPr="001C1D37">
        <w:t xml:space="preserve">of clinical endpoint </w:t>
      </w:r>
      <w:r w:rsidR="00D0467E" w:rsidRPr="001C1D37">
        <w:rPr>
          <w:bCs/>
        </w:rPr>
        <w:t xml:space="preserve">at time </w:t>
      </w:r>
      <m:oMath>
        <m:r>
          <w:rPr>
            <w:rFonts w:ascii="Cambria Math" w:hAnsi="Cambria Math"/>
          </w:rPr>
          <m:t>t</m:t>
        </m:r>
      </m:oMath>
      <w:r w:rsidR="00D0467E" w:rsidRPr="001C1D37">
        <w:t xml:space="preserve"> for the </w:t>
      </w:r>
      <m:oMath>
        <m:r>
          <w:rPr>
            <w:rFonts w:ascii="Cambria Math" w:hAnsi="Cambria Math"/>
          </w:rPr>
          <m:t>i</m:t>
        </m:r>
      </m:oMath>
      <w:r w:rsidR="00D0467E" w:rsidRPr="001C1D37">
        <w:t xml:space="preserve">th </w:t>
      </w:r>
      <w:r w:rsidR="00D0467E" w:rsidRPr="001C1D37">
        <w:rPr>
          <w:rFonts w:eastAsia="Calibri"/>
        </w:rPr>
        <w:t>individual</w:t>
      </w:r>
      <w:r w:rsidR="00D0467E" w:rsidRPr="001C1D37">
        <w:t>.</w:t>
      </w:r>
    </w:p>
    <w:p w:rsidR="00D0467E" w:rsidRPr="001C1D37" w:rsidRDefault="00D0467E" w:rsidP="001C1D37">
      <w:pPr>
        <w:autoSpaceDE w:val="0"/>
        <w:autoSpaceDN w:val="0"/>
        <w:adjustRightInd w:val="0"/>
      </w:pPr>
    </w:p>
    <w:p w:rsidR="00BF4A60" w:rsidRPr="001C1D37" w:rsidRDefault="00BF4A60" w:rsidP="001C1D37">
      <w:pPr>
        <w:autoSpaceDE w:val="0"/>
        <w:autoSpaceDN w:val="0"/>
        <w:adjustRightInd w:val="0"/>
      </w:pPr>
    </w:p>
    <w:p w:rsidR="00D0467E" w:rsidRPr="001C1D37" w:rsidRDefault="00D0467E" w:rsidP="001C1D37">
      <w:pPr>
        <w:autoSpaceDE w:val="0"/>
        <w:autoSpaceDN w:val="0"/>
        <w:adjustRightInd w:val="0"/>
        <w:rPr>
          <w:b/>
          <w:bCs/>
          <w:sz w:val="28"/>
          <w:szCs w:val="28"/>
        </w:rPr>
      </w:pPr>
      <w:r w:rsidRPr="001C1D37">
        <w:rPr>
          <w:b/>
          <w:bCs/>
          <w:sz w:val="28"/>
          <w:szCs w:val="28"/>
        </w:rPr>
        <w:t xml:space="preserve">4. Estimating the efficacy of a longitudinal marker </w:t>
      </w:r>
    </w:p>
    <w:p w:rsidR="002965BF" w:rsidRPr="001C1D37" w:rsidRDefault="002965BF" w:rsidP="001C1D37">
      <w:pPr>
        <w:autoSpaceDE w:val="0"/>
        <w:autoSpaceDN w:val="0"/>
        <w:adjustRightInd w:val="0"/>
      </w:pPr>
      <w:r w:rsidRPr="001C1D37">
        <w:t>A</w:t>
      </w:r>
      <w:r w:rsidR="007F60CF" w:rsidRPr="001C1D37">
        <w:t xml:space="preserve">ssume a </w:t>
      </w:r>
      <w:r w:rsidR="00D0467E" w:rsidRPr="001C1D37">
        <w:t xml:space="preserve">collection of </w:t>
      </w:r>
      <w:proofErr w:type="gramStart"/>
      <w:r w:rsidR="00D0467E" w:rsidRPr="001C1D37">
        <w:t xml:space="preserve">time points </w:t>
      </w:r>
      <m:oMath>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 xml:space="preserve"> ; h=</m:t>
        </m:r>
        <m:r>
          <w:rPr>
            <w:rFonts w:ascii="Cambria Math" w:hAnsi="Cambria Math"/>
          </w:rPr>
          <m:t>1, …, τ</m:t>
        </m:r>
      </m:oMath>
      <w:r w:rsidR="00833C49" w:rsidRPr="001C1D37">
        <w:t>}</w:t>
      </w:r>
      <w:proofErr w:type="gramEnd"/>
      <m:oMath>
        <m:r>
          <w:rPr>
            <w:rFonts w:ascii="Cambria Math" w:hAnsi="Cambria Math"/>
          </w:rPr>
          <m:t xml:space="preserve"> </m:t>
        </m:r>
      </m:oMath>
      <w:r w:rsidR="00684C19" w:rsidRPr="001C1D37">
        <w:t>since</w:t>
      </w:r>
      <w:r w:rsidR="00D0467E" w:rsidRPr="001C1D37">
        <w:t xml:space="preserve"> admission</w:t>
      </w:r>
      <w:r w:rsidRPr="001C1D37">
        <w:t xml:space="preserve"> (at time 0)</w:t>
      </w:r>
      <w:r w:rsidR="00684C19" w:rsidRPr="001C1D37">
        <w:t xml:space="preserve"> within the study follow-up. </w:t>
      </w:r>
      <w:r w:rsidR="00833C49" w:rsidRPr="001C1D37">
        <w:t xml:space="preserve">We focus on the change in underling association between the longitudinal biomarker and event-time process </w:t>
      </w:r>
      <w:proofErr w:type="gramStart"/>
      <w:r w:rsidR="00833C49" w:rsidRPr="001C1D37">
        <w:t xml:space="preserve">over </w:t>
      </w:r>
      <w:proofErr w:type="gramEnd"/>
      <m:oMath>
        <m:r>
          <w:rPr>
            <w:rFonts w:ascii="Cambria Math" w:hAnsi="Cambria Math"/>
          </w:rPr>
          <m:t xml:space="preserve">(0, </m:t>
        </m:r>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m:t>
        </m:r>
      </m:oMath>
      <w:r w:rsidR="00833C49" w:rsidRPr="001C1D37">
        <w:t>, a</w:t>
      </w:r>
      <w:r w:rsidR="00B35CE3" w:rsidRPr="001C1D37">
        <w:t>ssuming that</w:t>
      </w:r>
      <w:r w:rsidR="00684C19" w:rsidRPr="001C1D37">
        <w:t xml:space="preserve"> </w:t>
      </w:r>
      <w:r w:rsidR="00B35CE3" w:rsidRPr="001C1D37">
        <w:t xml:space="preserve">longitudinally recorded biomarker profiles </w:t>
      </w:r>
      <w:r w:rsidR="00684C19" w:rsidRPr="001C1D37">
        <w:t xml:space="preserve">over </w:t>
      </w:r>
      <w:r w:rsidR="00833C49" w:rsidRPr="001C1D37">
        <w:t xml:space="preserve">different </w:t>
      </w:r>
      <w:r w:rsidR="00684C19" w:rsidRPr="001C1D37">
        <w:t xml:space="preserve">time periods </w:t>
      </w:r>
      <m:oMath>
        <m:d>
          <m:dPr>
            <m:ctrlPr>
              <w:rPr>
                <w:rFonts w:ascii="Cambria Math" w:hAnsi="Cambria Math"/>
                <w:i/>
              </w:rPr>
            </m:ctrlPr>
          </m:dPr>
          <m:e>
            <m:r>
              <w:rPr>
                <w:rFonts w:ascii="Cambria Math" w:hAnsi="Cambria Math"/>
              </w:rPr>
              <m:t xml:space="preserve">0, </m:t>
            </m:r>
            <m:sSub>
              <m:sSubPr>
                <m:ctrlPr>
                  <w:rPr>
                    <w:rFonts w:ascii="Cambria Math" w:hAnsi="Cambria Math"/>
                    <w:i/>
                  </w:rPr>
                </m:ctrlPr>
              </m:sSubPr>
              <m:e>
                <m:r>
                  <w:rPr>
                    <w:rFonts w:ascii="Cambria Math" w:hAnsi="Cambria Math"/>
                  </w:rPr>
                  <m:t>t</m:t>
                </m:r>
              </m:e>
              <m:sub>
                <m:r>
                  <w:rPr>
                    <w:rFonts w:ascii="Cambria Math" w:hAnsi="Cambria Math"/>
                  </w:rPr>
                  <m:t>h</m:t>
                </m:r>
              </m:sub>
            </m:sSub>
          </m:e>
        </m:d>
      </m:oMath>
      <w:r w:rsidR="00833C49" w:rsidRPr="001C1D37">
        <w:t xml:space="preserve"> </w:t>
      </w:r>
      <w:r w:rsidR="00684C19" w:rsidRPr="001C1D37">
        <w:t xml:space="preserve">capture the variable impairment caused by </w:t>
      </w:r>
      <w:r w:rsidR="00B35CE3" w:rsidRPr="001C1D37">
        <w:t>disease</w:t>
      </w:r>
      <w:r w:rsidR="00684C19" w:rsidRPr="001C1D37">
        <w:t xml:space="preserve"> over time</w:t>
      </w:r>
      <w:r w:rsidR="00F0008B" w:rsidRPr="001C1D37">
        <w:t xml:space="preserve">. </w:t>
      </w:r>
      <w:r w:rsidR="00ED26CD" w:rsidRPr="001C1D37">
        <w:t xml:space="preserve">Our aim is to evaluate the time-dependency of the longitudinal biomarker on clinical endpoint </w:t>
      </w:r>
      <w:r w:rsidR="005A78E8" w:rsidRPr="001C1D37">
        <w:t>by</w:t>
      </w:r>
      <w:r w:rsidR="00ED26CD" w:rsidRPr="001C1D37">
        <w:t xml:space="preserve"> estimat</w:t>
      </w:r>
      <w:r w:rsidR="005A78E8" w:rsidRPr="001C1D37">
        <w:t>ing</w:t>
      </w:r>
      <w:r w:rsidR="00ED26CD" w:rsidRPr="001C1D37">
        <w:t xml:space="preserve"> how well the biomarker values measured over </w:t>
      </w:r>
      <m:oMath>
        <m:r>
          <w:rPr>
            <w:rFonts w:ascii="Cambria Math" w:hAnsi="Cambria Math"/>
          </w:rPr>
          <m:t xml:space="preserve">(0, </m:t>
        </m:r>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m:t>
        </m:r>
      </m:oMath>
      <w:r w:rsidR="00ED26CD" w:rsidRPr="001C1D37">
        <w:t xml:space="preserve"> can distinguish between individuals who experienced the clinical endpoint by time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ED26CD" w:rsidRPr="001C1D37">
        <w:t xml:space="preserve"> and individuals who survived beyond </w:t>
      </w:r>
      <w:proofErr w:type="gramStart"/>
      <w:r w:rsidR="00ED26CD" w:rsidRPr="001C1D37">
        <w:t xml:space="preserve">time </w:t>
      </w:r>
      <w:proofErr w:type="gramEnd"/>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ED26CD" w:rsidRPr="001C1D37">
        <w:t>.</w:t>
      </w:r>
      <w:r w:rsidR="00821C80" w:rsidRPr="001C1D37">
        <w:t xml:space="preserve"> </w:t>
      </w:r>
      <w:r w:rsidR="00D91766" w:rsidRPr="001C1D37">
        <w:t>The overlapping time periods since admission consider the biomarker over a longer follow-up at each time point.</w:t>
      </w:r>
    </w:p>
    <w:p w:rsidR="002965BF" w:rsidRPr="001C1D37" w:rsidRDefault="002965BF" w:rsidP="001C1D37">
      <w:pPr>
        <w:autoSpaceDE w:val="0"/>
        <w:autoSpaceDN w:val="0"/>
        <w:adjustRightInd w:val="0"/>
      </w:pPr>
    </w:p>
    <w:p w:rsidR="00826C0D" w:rsidRPr="001C1D37" w:rsidRDefault="00826C0D" w:rsidP="001C1D37">
      <w:pPr>
        <w:autoSpaceDE w:val="0"/>
        <w:autoSpaceDN w:val="0"/>
        <w:adjustRightInd w:val="0"/>
      </w:pPr>
    </w:p>
    <w:p w:rsidR="00BA5879" w:rsidRPr="001C1D37" w:rsidRDefault="00F0008B" w:rsidP="001C1D37">
      <w:pPr>
        <w:autoSpaceDE w:val="0"/>
        <w:autoSpaceDN w:val="0"/>
        <w:adjustRightInd w:val="0"/>
      </w:pPr>
      <w:r w:rsidRPr="001C1D37">
        <w:t xml:space="preserve">We adopt the work </w:t>
      </w:r>
      <w:r w:rsidRPr="001C1D37">
        <w:rPr>
          <w:rFonts w:eastAsia="Calibri"/>
        </w:rPr>
        <w:t xml:space="preserve">by </w:t>
      </w:r>
      <w:proofErr w:type="spellStart"/>
      <w:r w:rsidRPr="001C1D37">
        <w:rPr>
          <w:rFonts w:eastAsia="Calibri"/>
        </w:rPr>
        <w:t>Heagerty</w:t>
      </w:r>
      <w:proofErr w:type="spellEnd"/>
      <w:r w:rsidRPr="001C1D37">
        <w:rPr>
          <w:rFonts w:eastAsia="Calibri"/>
        </w:rPr>
        <w:t xml:space="preserve"> and colleagues [</w:t>
      </w:r>
      <w:r w:rsidR="00DC07E3" w:rsidRPr="001C1D37">
        <w:rPr>
          <w:rFonts w:eastAsia="Calibri"/>
        </w:rPr>
        <w:t>4</w:t>
      </w:r>
      <w:proofErr w:type="gramStart"/>
      <w:r w:rsidR="00DC07E3" w:rsidRPr="001C1D37">
        <w:rPr>
          <w:rFonts w:eastAsia="Calibri"/>
        </w:rPr>
        <w:t>,5</w:t>
      </w:r>
      <w:proofErr w:type="gramEnd"/>
      <w:r w:rsidRPr="001C1D37">
        <w:rPr>
          <w:rFonts w:eastAsia="Calibri"/>
        </w:rPr>
        <w:t xml:space="preserve">] </w:t>
      </w:r>
      <w:r w:rsidRPr="001C1D37">
        <w:t xml:space="preserve">on </w:t>
      </w:r>
      <w:r w:rsidRPr="001C1D37">
        <w:rPr>
          <w:rFonts w:eastAsia="Calibri"/>
        </w:rPr>
        <w:t>time-dependent ROC</w:t>
      </w:r>
      <w:r w:rsidR="00605EAF" w:rsidRPr="001C1D37">
        <w:rPr>
          <w:rFonts w:eastAsia="Calibri"/>
        </w:rPr>
        <w:t xml:space="preserve"> </w:t>
      </w:r>
      <w:r w:rsidR="00DC07E3" w:rsidRPr="001C1D37">
        <w:rPr>
          <w:rFonts w:eastAsia="Calibri"/>
        </w:rPr>
        <w:t xml:space="preserve">curves </w:t>
      </w:r>
      <w:r w:rsidRPr="001C1D37">
        <w:rPr>
          <w:rFonts w:eastAsia="Calibri"/>
        </w:rPr>
        <w:t xml:space="preserve">to define the </w:t>
      </w:r>
      <w:r w:rsidRPr="001C1D37">
        <w:rPr>
          <w:i/>
        </w:rPr>
        <w:t>case/control</w:t>
      </w:r>
      <w:r w:rsidRPr="001C1D37">
        <w:t xml:space="preserve"> set </w:t>
      </w:r>
      <w:r w:rsidR="00826C0D" w:rsidRPr="001C1D37">
        <w:t>at</w:t>
      </w:r>
      <w:r w:rsidRPr="001C1D37">
        <w:t xml:space="preserve"> each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Pr="001C1D37">
        <w:t xml:space="preserve">. </w:t>
      </w:r>
      <w:r w:rsidR="00ED26CD" w:rsidRPr="001C1D37">
        <w:t>In the first stage</w:t>
      </w:r>
      <w:r w:rsidR="00826C0D" w:rsidRPr="001C1D37">
        <w:t xml:space="preserve"> of the proposed approach</w:t>
      </w:r>
      <w:r w:rsidR="00ED26CD" w:rsidRPr="001C1D37">
        <w:t>, a</w:t>
      </w:r>
      <w:r w:rsidRPr="001C1D37">
        <w:t xml:space="preserve"> joint model of l</w:t>
      </w:r>
      <w:r w:rsidRPr="001C1D37">
        <w:rPr>
          <w:bCs/>
        </w:rPr>
        <w:t xml:space="preserve">ongitudinal biomarker process up to time </w:t>
      </w:r>
      <m:oMath>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 xml:space="preserve"> </m:t>
        </m:r>
      </m:oMath>
      <w:r w:rsidRPr="001C1D37">
        <w:t xml:space="preserve">and the event-time process related to </w:t>
      </w:r>
      <w:r w:rsidR="00605EAF" w:rsidRPr="001C1D37">
        <w:t>the above</w:t>
      </w:r>
      <w:r w:rsidRPr="001C1D37">
        <w:t xml:space="preserve"> </w:t>
      </w:r>
      <w:r w:rsidRPr="001C1D37">
        <w:rPr>
          <w:i/>
        </w:rPr>
        <w:t>case/control</w:t>
      </w:r>
      <w:r w:rsidRPr="001C1D37">
        <w:t xml:space="preserve"> </w:t>
      </w:r>
      <w:r w:rsidR="002102D3" w:rsidRPr="001C1D37">
        <w:t xml:space="preserve">set </w:t>
      </w:r>
      <w:r w:rsidRPr="001C1D37">
        <w:t>is fitted and a risk score is estimated for each individual at their event-time</w:t>
      </w:r>
      <w:r w:rsidR="00ED26CD" w:rsidRPr="001C1D37">
        <w:t xml:space="preserve"> over </w:t>
      </w:r>
      <m:oMath>
        <m:r>
          <w:rPr>
            <w:rFonts w:ascii="Cambria Math" w:hAnsi="Cambria Math"/>
          </w:rPr>
          <m:t xml:space="preserve">(0, </m:t>
        </m:r>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m:t>
        </m:r>
      </m:oMath>
      <w:r w:rsidRPr="001C1D37">
        <w:t xml:space="preserve">. </w:t>
      </w:r>
      <w:r w:rsidR="002102D3" w:rsidRPr="001C1D37">
        <w:t xml:space="preserve">In the second stage, </w:t>
      </w:r>
      <w:r w:rsidR="00605EAF" w:rsidRPr="001C1D37">
        <w:t xml:space="preserve">we use the above estimated risk score to assess the discriminatory potential of the biomarker </w:t>
      </w:r>
      <w:r w:rsidR="00826C0D" w:rsidRPr="001C1D37">
        <w:t xml:space="preserve">at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605EAF" w:rsidRPr="001C1D37">
        <w:t xml:space="preserve"> empirically with respect to the observed proportions of </w:t>
      </w:r>
      <w:r w:rsidR="00605EAF" w:rsidRPr="001C1D37">
        <w:rPr>
          <w:i/>
        </w:rPr>
        <w:t>true</w:t>
      </w:r>
      <w:r w:rsidR="00605EAF" w:rsidRPr="001C1D37">
        <w:t xml:space="preserve"> </w:t>
      </w:r>
      <w:r w:rsidR="00ED26CD" w:rsidRPr="001C1D37">
        <w:t>cases</w:t>
      </w:r>
      <w:r w:rsidR="00605EAF" w:rsidRPr="001C1D37">
        <w:t xml:space="preserve"> (</w:t>
      </w:r>
      <w:r w:rsidR="00ED26CD" w:rsidRPr="001C1D37">
        <w:t>experienced the clinical endpoint</w:t>
      </w:r>
      <w:r w:rsidR="00605EAF" w:rsidRPr="001C1D37">
        <w:t xml:space="preserve"> over </w:t>
      </w:r>
      <w:r w:rsidR="00777D67" w:rsidRPr="001C1D37">
        <w:t>by</w:t>
      </w:r>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h</m:t>
            </m:r>
          </m:sub>
        </m:sSub>
      </m:oMath>
      <w:r w:rsidR="00605EAF" w:rsidRPr="001C1D37">
        <w:t xml:space="preserve">) and </w:t>
      </w:r>
      <w:r w:rsidR="00605EAF" w:rsidRPr="001C1D37">
        <w:rPr>
          <w:i/>
        </w:rPr>
        <w:t>true</w:t>
      </w:r>
      <w:r w:rsidR="00605EAF" w:rsidRPr="001C1D37">
        <w:t xml:space="preserve"> </w:t>
      </w:r>
      <w:r w:rsidR="00ED26CD" w:rsidRPr="001C1D37">
        <w:t>controls</w:t>
      </w:r>
      <w:r w:rsidR="00605EAF" w:rsidRPr="001C1D37">
        <w:t xml:space="preserve"> (</w:t>
      </w:r>
      <w:r w:rsidR="00ED26CD" w:rsidRPr="001C1D37">
        <w:rPr>
          <w:rFonts w:eastAsia="Calibri"/>
        </w:rPr>
        <w:t>survived</w:t>
      </w:r>
      <w:r w:rsidR="00605EAF" w:rsidRPr="001C1D37">
        <w:rPr>
          <w:rFonts w:eastAsia="Calibri"/>
        </w:rPr>
        <w:t xml:space="preserve"> </w:t>
      </w:r>
      <w:r w:rsidR="005A78E8" w:rsidRPr="001C1D37">
        <w:t xml:space="preserve">the clinical endpoint </w:t>
      </w:r>
      <w:r w:rsidR="00605EAF" w:rsidRPr="001C1D37">
        <w:rPr>
          <w:rFonts w:eastAsia="Calibri"/>
        </w:rPr>
        <w:t xml:space="preserve">beyond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605EAF" w:rsidRPr="001C1D37">
        <w:rPr>
          <w:iCs/>
        </w:rPr>
        <w:t>)</w:t>
      </w:r>
      <w:r w:rsidR="00ED26CD" w:rsidRPr="001C1D37">
        <w:t xml:space="preserve"> conditional on a</w:t>
      </w:r>
      <w:r w:rsidR="00605EAF" w:rsidRPr="001C1D37">
        <w:t xml:space="preserve"> threshold</w:t>
      </w:r>
      <w:r w:rsidR="00F33E4F" w:rsidRPr="001C1D37">
        <w:t xml:space="preserve"> value</w:t>
      </w:r>
      <w:r w:rsidR="00605EAF" w:rsidRPr="001C1D37">
        <w:t xml:space="preserve"> </w:t>
      </w:r>
      <m:oMath>
        <m:r>
          <w:rPr>
            <w:rFonts w:ascii="Cambria Math" w:hAnsi="Cambria Math"/>
          </w:rPr>
          <m:t>c</m:t>
        </m:r>
      </m:oMath>
      <w:r w:rsidR="00605EAF" w:rsidRPr="001C1D37">
        <w:t xml:space="preserve"> </w:t>
      </w:r>
      <w:r w:rsidR="00ED26CD" w:rsidRPr="001C1D37">
        <w:t>which determines</w:t>
      </w:r>
      <w:r w:rsidR="00605EAF" w:rsidRPr="001C1D37">
        <w:t xml:space="preserve"> the </w:t>
      </w:r>
      <w:r w:rsidR="00605EAF" w:rsidRPr="001C1D37">
        <w:rPr>
          <w:i/>
        </w:rPr>
        <w:t>test</w:t>
      </w:r>
      <w:r w:rsidR="006A045D" w:rsidRPr="001C1D37">
        <w:t xml:space="preserve"> positive and </w:t>
      </w:r>
      <w:r w:rsidR="006A045D" w:rsidRPr="001C1D37">
        <w:rPr>
          <w:i/>
        </w:rPr>
        <w:t>test</w:t>
      </w:r>
      <w:r w:rsidR="006A045D" w:rsidRPr="001C1D37">
        <w:t xml:space="preserve"> negative</w:t>
      </w:r>
      <w:r w:rsidR="00777D67" w:rsidRPr="001C1D37">
        <w:t xml:space="preserve"> (see section 2)</w:t>
      </w:r>
      <w:r w:rsidR="00605EAF" w:rsidRPr="001C1D37">
        <w:t xml:space="preserve">. </w:t>
      </w:r>
      <w:r w:rsidR="00D0467E" w:rsidRPr="001C1D37">
        <w:t>The proposed approach also excludes the need for integrating an event-time distribution from the fitted joint model in order to predict the disease status at certain time points</w:t>
      </w:r>
      <w:r w:rsidR="002102D3" w:rsidRPr="001C1D37">
        <w:t xml:space="preserve"> as in previously proposed studies [</w:t>
      </w:r>
      <w:r w:rsidR="00DC07E3" w:rsidRPr="001C1D37">
        <w:t>20</w:t>
      </w:r>
      <w:proofErr w:type="gramStart"/>
      <w:r w:rsidR="00DC07E3" w:rsidRPr="001C1D37">
        <w:t>,21</w:t>
      </w:r>
      <w:proofErr w:type="gramEnd"/>
      <w:r w:rsidR="00F33E4F" w:rsidRPr="001C1D37">
        <w:t xml:space="preserve">]. </w:t>
      </w:r>
      <w:r w:rsidR="00D0467E" w:rsidRPr="001C1D37">
        <w:t>This is an added advantage given already computationally intensive nature of the likelihood based EM</w:t>
      </w:r>
      <w:r w:rsidR="00C75936" w:rsidRPr="001C1D37">
        <w:t xml:space="preserve"> (estimation-</w:t>
      </w:r>
      <w:r w:rsidR="00C75936" w:rsidRPr="001C1D37">
        <w:lastRenderedPageBreak/>
        <w:t>maximisation)</w:t>
      </w:r>
      <w:r w:rsidR="00D0467E" w:rsidRPr="001C1D37">
        <w:t xml:space="preserve"> estimation of joint modelling parameters [</w:t>
      </w:r>
      <w:r w:rsidR="00FE4C3F" w:rsidRPr="001C1D37">
        <w:t>1</w:t>
      </w:r>
      <w:r w:rsidR="00DC07E3" w:rsidRPr="001C1D37">
        <w:t>6</w:t>
      </w:r>
      <w:r w:rsidR="00D0467E" w:rsidRPr="001C1D37">
        <w:t xml:space="preserve">]. We discuss the model and estimation process in detail below. </w:t>
      </w:r>
    </w:p>
    <w:p w:rsidR="00BA5879" w:rsidRPr="001C1D37" w:rsidRDefault="00BA5879" w:rsidP="001C1D37">
      <w:pPr>
        <w:autoSpaceDE w:val="0"/>
        <w:autoSpaceDN w:val="0"/>
        <w:adjustRightInd w:val="0"/>
      </w:pPr>
    </w:p>
    <w:p w:rsidR="00826C0D" w:rsidRPr="001C1D37" w:rsidRDefault="00826C0D" w:rsidP="001C1D37">
      <w:pPr>
        <w:autoSpaceDE w:val="0"/>
        <w:autoSpaceDN w:val="0"/>
        <w:adjustRightInd w:val="0"/>
      </w:pPr>
    </w:p>
    <w:p w:rsidR="00D0467E" w:rsidRPr="001C1D37" w:rsidRDefault="007F377D" w:rsidP="001C1D37">
      <w:pPr>
        <w:autoSpaceDE w:val="0"/>
        <w:autoSpaceDN w:val="0"/>
        <w:adjustRightInd w:val="0"/>
      </w:pPr>
      <w:r w:rsidRPr="001C1D37">
        <w:t xml:space="preserve">For simplicity in the notation, we use </w:t>
      </w:r>
      <m:oMath>
        <m:r>
          <w:rPr>
            <w:rFonts w:ascii="Cambria Math" w:hAnsi="Cambria Math"/>
          </w:rPr>
          <m:t>t</m:t>
        </m:r>
      </m:oMath>
      <w:r w:rsidRPr="001C1D37">
        <w:t xml:space="preserve"> instead of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Pr="001C1D37">
        <w:t xml:space="preserve"> in the rest of th</w:t>
      </w:r>
      <w:r w:rsidR="0081089E" w:rsidRPr="001C1D37">
        <w:t>is section</w:t>
      </w:r>
      <w:r w:rsidRPr="001C1D37">
        <w:t>.</w:t>
      </w:r>
    </w:p>
    <w:p w:rsidR="00D0467E" w:rsidRPr="001C1D37" w:rsidRDefault="00D0467E" w:rsidP="001C1D37">
      <w:pPr>
        <w:autoSpaceDE w:val="0"/>
        <w:autoSpaceDN w:val="0"/>
        <w:adjustRightInd w:val="0"/>
      </w:pPr>
    </w:p>
    <w:p w:rsidR="00BF4A60" w:rsidRPr="001C1D37" w:rsidRDefault="00BF4A60" w:rsidP="001C1D37">
      <w:pPr>
        <w:autoSpaceDE w:val="0"/>
        <w:autoSpaceDN w:val="0"/>
        <w:adjustRightInd w:val="0"/>
      </w:pPr>
    </w:p>
    <w:p w:rsidR="00D0467E" w:rsidRPr="001C1D37" w:rsidRDefault="00D0467E" w:rsidP="001C1D37">
      <w:pPr>
        <w:autoSpaceDE w:val="0"/>
        <w:autoSpaceDN w:val="0"/>
        <w:adjustRightInd w:val="0"/>
        <w:rPr>
          <w:rFonts w:eastAsia="Calibri"/>
          <w:b/>
        </w:rPr>
      </w:pPr>
      <w:r w:rsidRPr="001C1D37">
        <w:rPr>
          <w:rFonts w:eastAsia="Calibri"/>
          <w:b/>
        </w:rPr>
        <w:t xml:space="preserve">4.1 Definitions </w:t>
      </w:r>
    </w:p>
    <w:p w:rsidR="00D0467E" w:rsidRPr="001C1D37" w:rsidRDefault="00D0467E" w:rsidP="001C1D37">
      <w:pPr>
        <w:autoSpaceDE w:val="0"/>
        <w:autoSpaceDN w:val="0"/>
        <w:adjustRightInd w:val="0"/>
        <w:rPr>
          <w:rFonts w:eastAsia="Calibri"/>
        </w:rPr>
      </w:pPr>
      <w:r w:rsidRPr="001C1D37">
        <w:rPr>
          <w:rFonts w:eastAsia="Calibri"/>
        </w:rPr>
        <w:t xml:space="preserve">At </w:t>
      </w:r>
      <w:proofErr w:type="gramStart"/>
      <w:r w:rsidRPr="001C1D37">
        <w:rPr>
          <w:rFonts w:eastAsia="Calibri"/>
        </w:rPr>
        <w:t xml:space="preserve">time </w:t>
      </w:r>
      <w:proofErr w:type="gramEnd"/>
      <m:oMath>
        <m:r>
          <w:rPr>
            <w:rFonts w:ascii="Cambria Math" w:hAnsi="Cambria Math"/>
          </w:rPr>
          <m:t>t</m:t>
        </m:r>
        <m:r>
          <w:rPr>
            <w:rFonts w:ascii="Cambria Math" w:eastAsia="Calibri" w:hAnsi="Cambria Math"/>
          </w:rPr>
          <m:t xml:space="preserve"> (&gt;0)</m:t>
        </m:r>
      </m:oMath>
      <w:r w:rsidRPr="001C1D37">
        <w:rPr>
          <w:rFonts w:eastAsia="Calibri"/>
        </w:rPr>
        <w:t xml:space="preserve">, </w:t>
      </w:r>
      <w:r w:rsidR="005A78E8" w:rsidRPr="001C1D37">
        <w:rPr>
          <w:rFonts w:eastAsia="Calibri"/>
        </w:rPr>
        <w:t>classify the individual in the entire study sample</w:t>
      </w:r>
      <w:r w:rsidR="00777D67" w:rsidRPr="001C1D37">
        <w:rPr>
          <w:rFonts w:eastAsia="Calibri"/>
        </w:rPr>
        <w:t xml:space="preserve"> as either a </w:t>
      </w:r>
      <w:r w:rsidR="00777D67" w:rsidRPr="001C1D37">
        <w:rPr>
          <w:rFonts w:eastAsia="Calibri"/>
          <w:i/>
        </w:rPr>
        <w:t xml:space="preserve">case </w:t>
      </w:r>
      <w:r w:rsidR="00777D67" w:rsidRPr="001C1D37">
        <w:t>(</w:t>
      </w:r>
      <w:r w:rsidR="00777D67" w:rsidRPr="001C1D37">
        <w:rPr>
          <w:rFonts w:eastAsia="Calibri"/>
        </w:rPr>
        <w:t>experienced clinical endpoint by time</w:t>
      </w:r>
      <m:oMath>
        <m:r>
          <w:rPr>
            <w:rFonts w:ascii="Cambria Math" w:eastAsia="Calibri" w:hAnsi="Cambria Math"/>
          </w:rPr>
          <m:t xml:space="preserve"> </m:t>
        </m:r>
        <m:r>
          <w:rPr>
            <w:rFonts w:ascii="Cambria Math" w:hAnsi="Cambria Math"/>
          </w:rPr>
          <m:t>t</m:t>
        </m:r>
      </m:oMath>
      <w:r w:rsidR="00777D67" w:rsidRPr="001C1D37">
        <w:t xml:space="preserve">) </w:t>
      </w:r>
      <w:r w:rsidR="00777D67" w:rsidRPr="001C1D37">
        <w:rPr>
          <w:rFonts w:eastAsia="Calibri"/>
        </w:rPr>
        <w:t xml:space="preserve">or a </w:t>
      </w:r>
      <w:r w:rsidR="00777D67" w:rsidRPr="001C1D37">
        <w:rPr>
          <w:rFonts w:eastAsia="Calibri"/>
          <w:i/>
        </w:rPr>
        <w:t>control</w:t>
      </w:r>
      <w:r w:rsidR="00777D67" w:rsidRPr="001C1D37">
        <w:rPr>
          <w:rFonts w:eastAsia="Calibri"/>
        </w:rPr>
        <w:t xml:space="preserve"> </w:t>
      </w:r>
      <w:r w:rsidR="00777D67" w:rsidRPr="001C1D37">
        <w:rPr>
          <w:iCs/>
        </w:rPr>
        <w:t>(</w:t>
      </w:r>
      <w:r w:rsidR="00777D67" w:rsidRPr="001C1D37">
        <w:rPr>
          <w:rFonts w:eastAsia="Calibri"/>
        </w:rPr>
        <w:t xml:space="preserve">survived clinical endpoint beyond time </w:t>
      </w:r>
      <m:oMath>
        <m:r>
          <w:rPr>
            <w:rFonts w:ascii="Cambria Math" w:hAnsi="Cambria Math"/>
          </w:rPr>
          <m:t>t</m:t>
        </m:r>
      </m:oMath>
      <w:r w:rsidR="00777D67" w:rsidRPr="001C1D37">
        <w:rPr>
          <w:iCs/>
        </w:rPr>
        <w:t xml:space="preserve">) </w:t>
      </w:r>
      <w:r w:rsidR="00777D67" w:rsidRPr="001C1D37">
        <w:rPr>
          <w:rFonts w:eastAsia="Calibri"/>
        </w:rPr>
        <w:t xml:space="preserve">on the basis of their event status </w:t>
      </w:r>
      <m:oMath>
        <m:sSub>
          <m:sSubPr>
            <m:ctrlPr>
              <w:rPr>
                <w:rFonts w:ascii="Cambria Math" w:hAnsi="Cambria Math"/>
              </w:rPr>
            </m:ctrlPr>
          </m:sSubPr>
          <m:e>
            <m:r>
              <w:rPr>
                <w:rFonts w:ascii="Cambria Math" w:hAnsi="Cambria Math"/>
              </w:rPr>
              <m:t>δ</m:t>
            </m:r>
          </m:e>
          <m:sub>
            <m:r>
              <w:rPr>
                <w:rFonts w:ascii="Cambria Math" w:hAnsi="Cambria Math"/>
              </w:rPr>
              <m:t>i</m:t>
            </m:r>
          </m:sub>
        </m:sSub>
      </m:oMath>
      <w:r w:rsidR="00777D67" w:rsidRPr="001C1D37">
        <w:rPr>
          <w:rFonts w:eastAsia="Calibri"/>
        </w:rPr>
        <w:t xml:space="preserve"> at </w:t>
      </w:r>
      <m:oMath>
        <m:r>
          <w:rPr>
            <w:rFonts w:ascii="Cambria Math" w:hAnsi="Cambria Math"/>
          </w:rPr>
          <m:t>t</m:t>
        </m:r>
      </m:oMath>
      <w:r w:rsidR="00777D67" w:rsidRPr="001C1D37">
        <w:rPr>
          <w:rFonts w:eastAsia="Calibri"/>
        </w:rPr>
        <w:t>. Define</w:t>
      </w:r>
      <w:r w:rsidRPr="001C1D37">
        <w:rPr>
          <w:rFonts w:eastAsia="Calibri"/>
        </w:rPr>
        <w:t xml:space="preserve"> an indicator </w:t>
      </w:r>
      <m:oMath>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oMath>
      <w:r w:rsidRPr="001C1D37">
        <w:rPr>
          <w:rFonts w:eastAsia="Calibri"/>
        </w:rPr>
        <w:t xml:space="preserve"> such that </w:t>
      </w:r>
      <w:r w:rsidRPr="001C1D37">
        <w:rPr>
          <w:iCs/>
        </w:rPr>
        <w:t>e</w:t>
      </w:r>
      <w:r w:rsidRPr="001C1D37">
        <w:rPr>
          <w:rFonts w:eastAsia="CMR9"/>
          <w:lang w:eastAsia="en-GB" w:bidi="ta-IN"/>
        </w:rPr>
        <w:t xml:space="preserve">ach diseased </w:t>
      </w:r>
      <w:r w:rsidRPr="001C1D37">
        <w:rPr>
          <w:bCs/>
          <w:lang w:val="en-US"/>
        </w:rPr>
        <w:t>individual (</w:t>
      </w:r>
      <m:oMath>
        <m:sSub>
          <m:sSubPr>
            <m:ctrlPr>
              <w:rPr>
                <w:rFonts w:ascii="Cambria Math" w:hAnsi="Cambria Math"/>
              </w:rPr>
            </m:ctrlPr>
          </m:sSubPr>
          <m:e>
            <m:r>
              <w:rPr>
                <w:rFonts w:ascii="Cambria Math" w:hAnsi="Cambria Math"/>
              </w:rPr>
              <m:t>δ</m:t>
            </m:r>
          </m:e>
          <m:sub>
            <m:r>
              <w:rPr>
                <w:rFonts w:ascii="Cambria Math" w:hAnsi="Cambria Math"/>
              </w:rPr>
              <m:t>i</m:t>
            </m:r>
          </m:sub>
        </m:sSub>
        <m:r>
          <w:rPr>
            <w:rFonts w:ascii="Cambria Math" w:hAnsi="Cambria Math"/>
          </w:rPr>
          <m:t>=1</m:t>
        </m:r>
      </m:oMath>
      <w:r w:rsidRPr="001C1D37">
        <w:rPr>
          <w:bCs/>
          <w:lang w:val="en-US"/>
        </w:rPr>
        <w:t xml:space="preserve">) in the study </w:t>
      </w:r>
      <w:r w:rsidRPr="001C1D37">
        <w:rPr>
          <w:rFonts w:eastAsia="Calibri"/>
        </w:rPr>
        <w:t>sample</w:t>
      </w:r>
      <w:r w:rsidRPr="001C1D37">
        <w:rPr>
          <w:bCs/>
          <w:lang w:val="en-US"/>
        </w:rPr>
        <w:t xml:space="preserve"> plays </w:t>
      </w:r>
      <w:r w:rsidRPr="001C1D37">
        <w:rPr>
          <w:rFonts w:eastAsia="Calibri"/>
        </w:rPr>
        <w:t xml:space="preserve">a role as </w:t>
      </w:r>
      <w:r w:rsidR="005A78E8" w:rsidRPr="001C1D37">
        <w:rPr>
          <w:rFonts w:eastAsia="Calibri"/>
          <w:i/>
        </w:rPr>
        <w:t>control</w:t>
      </w:r>
      <w:r w:rsidR="005A78E8" w:rsidRPr="001C1D37">
        <w:rPr>
          <w:rFonts w:eastAsia="Calibri"/>
        </w:rPr>
        <w:t xml:space="preserve"> </w:t>
      </w:r>
      <w:r w:rsidR="005A78E8" w:rsidRPr="001C1D37">
        <w:rPr>
          <w:iCs/>
        </w:rPr>
        <w:t>for</w:t>
      </w:r>
      <w:r w:rsidRPr="001C1D37">
        <w:rPr>
          <w:rFonts w:eastAsia="Calibri"/>
        </w:rPr>
        <w:t xml:space="preserve"> an early time </w:t>
      </w:r>
      <m:oMath>
        <m:r>
          <w:rPr>
            <w:rFonts w:ascii="Cambria Math" w:hAnsi="Cambria Math"/>
          </w:rPr>
          <m:t>t</m:t>
        </m:r>
        <m:r>
          <w:rPr>
            <w:rFonts w:ascii="Cambria Math" w:eastAsia="Calibri" w:hAnsi="Cambria Math"/>
          </w:rPr>
          <m:t>&lt;</m:t>
        </m:r>
        <m:sSub>
          <m:sSubPr>
            <m:ctrlPr>
              <w:rPr>
                <w:rFonts w:ascii="Cambria Math" w:eastAsia="Calibri" w:hAnsi="Cambria Math"/>
                <w:i/>
              </w:rPr>
            </m:ctrlPr>
          </m:sSubPr>
          <m:e>
            <m:r>
              <w:rPr>
                <w:rFonts w:ascii="Cambria Math" w:eastAsia="Calibri" w:hAnsi="Cambria Math"/>
              </w:rPr>
              <m:t>T</m:t>
            </m:r>
          </m:e>
          <m:sub>
            <m:r>
              <w:rPr>
                <w:rFonts w:ascii="Cambria Math" w:eastAsia="Calibri" w:hAnsi="Cambria Math"/>
              </w:rPr>
              <m:t>i</m:t>
            </m:r>
          </m:sub>
        </m:sSub>
      </m:oMath>
      <w:r w:rsidRPr="001C1D37">
        <w:rPr>
          <w:rFonts w:eastAsia="Calibri"/>
        </w:rPr>
        <w:t xml:space="preserve"> but then play the role of </w:t>
      </w:r>
      <w:r w:rsidRPr="001C1D37">
        <w:rPr>
          <w:rFonts w:eastAsia="Calibri"/>
          <w:i/>
          <w:iCs/>
        </w:rPr>
        <w:t xml:space="preserve">case </w:t>
      </w:r>
      <w:proofErr w:type="gramStart"/>
      <w:r w:rsidRPr="001C1D37">
        <w:rPr>
          <w:rFonts w:eastAsia="Calibri"/>
        </w:rPr>
        <w:t xml:space="preserve">when </w:t>
      </w:r>
      <w:proofErr w:type="gramEnd"/>
      <m:oMath>
        <m:r>
          <w:rPr>
            <w:rFonts w:ascii="Cambria Math" w:hAnsi="Cambria Math"/>
          </w:rPr>
          <m:t>t</m:t>
        </m:r>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T</m:t>
            </m:r>
          </m:e>
          <m:sub>
            <m:r>
              <w:rPr>
                <w:rFonts w:ascii="Cambria Math" w:eastAsia="Calibri" w:hAnsi="Cambria Math"/>
              </w:rPr>
              <m:t>i</m:t>
            </m:r>
          </m:sub>
        </m:sSub>
      </m:oMath>
      <w:r w:rsidR="005A78E8" w:rsidRPr="001C1D37">
        <w:rPr>
          <w:rFonts w:eastAsia="Calibri"/>
        </w:rPr>
        <w:t>. And e</w:t>
      </w:r>
      <w:r w:rsidR="005A78E8" w:rsidRPr="001C1D37">
        <w:t xml:space="preserve">ach </w:t>
      </w:r>
      <w:r w:rsidR="005A78E8" w:rsidRPr="001C1D37">
        <w:rPr>
          <w:rFonts w:eastAsia="Calibri"/>
        </w:rPr>
        <w:t xml:space="preserve">censored individual </w:t>
      </w:r>
      <w:r w:rsidR="005A78E8" w:rsidRPr="001C1D37">
        <w:rPr>
          <w:bCs/>
          <w:lang w:val="en-US"/>
        </w:rPr>
        <w:t xml:space="preserve">in the study </w:t>
      </w:r>
      <w:r w:rsidR="005A78E8" w:rsidRPr="001C1D37">
        <w:rPr>
          <w:rFonts w:eastAsia="Calibri"/>
        </w:rPr>
        <w:t>sample</w:t>
      </w:r>
      <w:r w:rsidR="005A78E8" w:rsidRPr="001C1D37">
        <w:rPr>
          <w:bCs/>
          <w:lang w:val="en-US"/>
        </w:rPr>
        <w:t xml:space="preserve"> (</w:t>
      </w:r>
      <m:oMath>
        <m:sSub>
          <m:sSubPr>
            <m:ctrlPr>
              <w:rPr>
                <w:rFonts w:ascii="Cambria Math" w:hAnsi="Cambria Math"/>
              </w:rPr>
            </m:ctrlPr>
          </m:sSubPr>
          <m:e>
            <m:r>
              <w:rPr>
                <w:rFonts w:ascii="Cambria Math" w:hAnsi="Cambria Math"/>
              </w:rPr>
              <m:t>δ</m:t>
            </m:r>
          </m:e>
          <m:sub>
            <m:r>
              <w:rPr>
                <w:rFonts w:ascii="Cambria Math" w:hAnsi="Cambria Math"/>
              </w:rPr>
              <m:t>i</m:t>
            </m:r>
          </m:sub>
        </m:sSub>
        <m:r>
          <w:rPr>
            <w:rFonts w:ascii="Cambria Math" w:hAnsi="Cambria Math"/>
          </w:rPr>
          <m:t>=0</m:t>
        </m:r>
      </m:oMath>
      <w:r w:rsidR="005A78E8" w:rsidRPr="001C1D37">
        <w:t>)</w:t>
      </w:r>
      <w:r w:rsidR="005A78E8" w:rsidRPr="001C1D37">
        <w:rPr>
          <w:rFonts w:eastAsia="Calibri"/>
        </w:rPr>
        <w:t xml:space="preserve"> </w:t>
      </w:r>
      <w:r w:rsidR="005A78E8" w:rsidRPr="001C1D37">
        <w:rPr>
          <w:bCs/>
          <w:lang w:val="en-US"/>
        </w:rPr>
        <w:t>remains as</w:t>
      </w:r>
      <w:r w:rsidR="005A78E8" w:rsidRPr="001C1D37">
        <w:rPr>
          <w:rFonts w:eastAsia="Calibri"/>
        </w:rPr>
        <w:t xml:space="preserve"> </w:t>
      </w:r>
      <w:r w:rsidR="005A78E8" w:rsidRPr="001C1D37">
        <w:rPr>
          <w:rFonts w:eastAsia="Calibri"/>
          <w:i/>
        </w:rPr>
        <w:t>control</w:t>
      </w:r>
      <w:r w:rsidR="005A78E8" w:rsidRPr="001C1D37">
        <w:rPr>
          <w:rFonts w:eastAsia="Calibri"/>
        </w:rPr>
        <w:t xml:space="preserve">, hence </w:t>
      </w:r>
      <m:oMath>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=0</m:t>
        </m:r>
      </m:oMath>
      <w:r w:rsidR="005A78E8" w:rsidRPr="001C1D37">
        <w:rPr>
          <w:rFonts w:eastAsia="Calibri"/>
        </w:rPr>
        <w:t xml:space="preserve"> </w:t>
      </w:r>
      <w:proofErr w:type="gramStart"/>
      <w:r w:rsidR="005A78E8" w:rsidRPr="001C1D37">
        <w:rPr>
          <w:rFonts w:eastAsia="Calibri"/>
        </w:rPr>
        <w:t xml:space="preserve">if </w:t>
      </w:r>
      <w:proofErr w:type="gramEnd"/>
      <m:oMath>
        <m:sSub>
          <m:sSubPr>
            <m:ctrlPr>
              <w:rPr>
                <w:rFonts w:ascii="Cambria Math" w:hAnsi="Cambria Math"/>
              </w:rPr>
            </m:ctrlPr>
          </m:sSubPr>
          <m:e>
            <m:r>
              <w:rPr>
                <w:rFonts w:ascii="Cambria Math" w:hAnsi="Cambria Math"/>
              </w:rPr>
              <m:t>δ</m:t>
            </m:r>
          </m:e>
          <m:sub>
            <m:r>
              <w:rPr>
                <w:rFonts w:ascii="Cambria Math" w:hAnsi="Cambria Math"/>
              </w:rPr>
              <m:t>i</m:t>
            </m:r>
          </m:sub>
        </m:sSub>
        <m:r>
          <w:rPr>
            <w:rFonts w:ascii="Cambria Math" w:hAnsi="Cambria Math"/>
          </w:rPr>
          <m:t>=0</m:t>
        </m:r>
      </m:oMath>
      <w:r w:rsidR="008F3153" w:rsidRPr="001C1D37">
        <w:rPr>
          <w:rFonts w:eastAsia="Calibri"/>
        </w:rPr>
        <w:t>; therefore</w:t>
      </w:r>
    </w:p>
    <w:p w:rsidR="00D0467E" w:rsidRPr="001C1D37" w:rsidRDefault="00D0467E" w:rsidP="001C1D37">
      <w:pPr>
        <w:autoSpaceDE w:val="0"/>
        <w:autoSpaceDN w:val="0"/>
        <w:adjustRightInd w:val="0"/>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7345"/>
        <w:gridCol w:w="768"/>
      </w:tblGrid>
      <w:tr w:rsidR="00D0467E" w:rsidRPr="001C1D37" w:rsidTr="005A78E8">
        <w:tc>
          <w:tcPr>
            <w:tcW w:w="607" w:type="dxa"/>
            <w:vAlign w:val="center"/>
          </w:tcPr>
          <w:p w:rsidR="00D0467E" w:rsidRPr="001C1D37" w:rsidRDefault="00D0467E" w:rsidP="001C1D37">
            <w:pPr>
              <w:pStyle w:val="NoSpacing"/>
              <w:rPr>
                <w:rFonts w:ascii="Times New Roman" w:hAnsi="Times New Roman"/>
                <w:sz w:val="24"/>
                <w:szCs w:val="24"/>
              </w:rPr>
            </w:pPr>
          </w:p>
        </w:tc>
        <w:tc>
          <w:tcPr>
            <w:tcW w:w="7345" w:type="dxa"/>
            <w:vAlign w:val="center"/>
          </w:tcPr>
          <w:p w:rsidR="00D0467E" w:rsidRPr="001C1D37" w:rsidRDefault="001C1D37" w:rsidP="001C1D37">
            <w:pPr>
              <w:autoSpaceDE w:val="0"/>
              <w:autoSpaceDN w:val="0"/>
              <w:adjustRightInd w:val="0"/>
              <w:rPr>
                <w:rFonts w:eastAsia="Calibri"/>
              </w:rPr>
            </w:pPr>
            <m:oMathPara>
              <m:oMath>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eastAsia="Calibri" w:hAnsi="Cambria Math"/>
                  </w:rPr>
                  <m:t>=I</m:t>
                </m:r>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rPr>
                          <m:t>T</m:t>
                        </m:r>
                      </m:e>
                      <m:sub>
                        <m:r>
                          <w:rPr>
                            <w:rFonts w:ascii="Cambria Math" w:eastAsia="Calibri" w:hAnsi="Cambria Math"/>
                          </w:rPr>
                          <m:t>i</m:t>
                        </m:r>
                      </m:sub>
                    </m:sSub>
                    <m:r>
                      <w:rPr>
                        <w:rFonts w:ascii="Cambria Math" w:eastAsia="Calibri" w:hAnsi="Cambria Math"/>
                      </w:rPr>
                      <m:t>≤</m:t>
                    </m:r>
                    <m:r>
                      <w:rPr>
                        <w:rFonts w:ascii="Cambria Math" w:hAnsi="Cambria Math"/>
                      </w:rPr>
                      <m:t>t</m:t>
                    </m:r>
                  </m:e>
                </m:d>
                <m:r>
                  <w:rPr>
                    <w:rFonts w:ascii="Cambria Math" w:eastAsia="Calibri" w:hAnsi="Cambria Math"/>
                  </w:rPr>
                  <m:t xml:space="preserve"> </m:t>
                </m:r>
                <m:r>
                  <m:rPr>
                    <m:sty m:val="p"/>
                  </m:rPr>
                  <w:rPr>
                    <w:rFonts w:ascii="Cambria Math" w:eastAsia="Calibri" w:hAnsi="Cambria Math"/>
                  </w:rPr>
                  <m:t>if</m:t>
                </m:r>
                <m:r>
                  <w:rPr>
                    <w:rFonts w:ascii="Cambria Math" w:eastAsia="Calibri" w:hAnsi="Cambria Math"/>
                  </w:rPr>
                  <m:t xml:space="preserve"> </m:t>
                </m:r>
                <m:sSub>
                  <m:sSubPr>
                    <m:ctrlPr>
                      <w:rPr>
                        <w:rFonts w:ascii="Cambria Math" w:hAnsi="Cambria Math"/>
                      </w:rPr>
                    </m:ctrlPr>
                  </m:sSubPr>
                  <m:e>
                    <m:r>
                      <w:rPr>
                        <w:rFonts w:ascii="Cambria Math" w:hAnsi="Cambria Math"/>
                      </w:rPr>
                      <m:t>δ</m:t>
                    </m:r>
                  </m:e>
                  <m:sub>
                    <m:r>
                      <w:rPr>
                        <w:rFonts w:ascii="Cambria Math" w:hAnsi="Cambria Math"/>
                      </w:rPr>
                      <m:t>i</m:t>
                    </m:r>
                  </m:sub>
                </m:sSub>
                <m:r>
                  <w:rPr>
                    <w:rFonts w:ascii="Cambria Math" w:hAnsi="Cambria Math"/>
                  </w:rPr>
                  <m:t>=1</m:t>
                </m:r>
                <m:r>
                  <w:rPr>
                    <w:rFonts w:ascii="Cambria Math" w:eastAsia="Calibri" w:hAnsi="Cambria Math"/>
                  </w:rPr>
                  <m:t xml:space="preserve"> </m:t>
                </m:r>
              </m:oMath>
            </m:oMathPara>
          </w:p>
          <w:p w:rsidR="005A78E8" w:rsidRPr="001C1D37" w:rsidRDefault="001C1D37" w:rsidP="001C1D37">
            <w:pPr>
              <w:autoSpaceDE w:val="0"/>
              <w:autoSpaceDN w:val="0"/>
              <w:adjustRightInd w:val="0"/>
              <w:rPr>
                <w:rFonts w:eastAsia="Calibri"/>
              </w:rPr>
            </w:pPr>
            <m:oMathPara>
              <m:oMath>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eastAsia="Calibri" w:hAnsi="Cambria Math"/>
                  </w:rPr>
                  <m:t xml:space="preserve">=0 </m:t>
                </m:r>
                <m:r>
                  <m:rPr>
                    <m:sty m:val="p"/>
                  </m:rPr>
                  <w:rPr>
                    <w:rFonts w:ascii="Cambria Math" w:eastAsia="Calibri" w:hAnsi="Cambria Math"/>
                  </w:rPr>
                  <m:t xml:space="preserve">if </m:t>
                </m:r>
                <m:sSub>
                  <m:sSubPr>
                    <m:ctrlPr>
                      <w:rPr>
                        <w:rFonts w:ascii="Cambria Math" w:hAnsi="Cambria Math"/>
                      </w:rPr>
                    </m:ctrlPr>
                  </m:sSubPr>
                  <m:e>
                    <m:r>
                      <w:rPr>
                        <w:rFonts w:ascii="Cambria Math" w:hAnsi="Cambria Math"/>
                      </w:rPr>
                      <m:t>δ</m:t>
                    </m:r>
                  </m:e>
                  <m:sub>
                    <m:r>
                      <w:rPr>
                        <w:rFonts w:ascii="Cambria Math" w:hAnsi="Cambria Math"/>
                      </w:rPr>
                      <m:t>i</m:t>
                    </m:r>
                  </m:sub>
                </m:sSub>
                <m:r>
                  <w:rPr>
                    <w:rFonts w:ascii="Cambria Math" w:hAnsi="Cambria Math"/>
                  </w:rPr>
                  <m:t>=0</m:t>
                </m:r>
              </m:oMath>
            </m:oMathPara>
          </w:p>
        </w:tc>
        <w:tc>
          <w:tcPr>
            <w:tcW w:w="768" w:type="dxa"/>
            <w:vAlign w:val="center"/>
          </w:tcPr>
          <w:p w:rsidR="00D0467E" w:rsidRPr="001C1D37" w:rsidRDefault="00D0467E" w:rsidP="001C1D37">
            <w:pPr>
              <w:pStyle w:val="NoSpacing"/>
              <w:rPr>
                <w:rFonts w:ascii="Times New Roman" w:hAnsi="Times New Roman"/>
                <w:sz w:val="24"/>
                <w:szCs w:val="24"/>
              </w:rPr>
            </w:pPr>
            <w:r w:rsidRPr="001C1D37">
              <w:rPr>
                <w:rFonts w:ascii="Times New Roman" w:hAnsi="Times New Roman"/>
                <w:sz w:val="24"/>
                <w:szCs w:val="24"/>
              </w:rPr>
              <w:t>(3)</w:t>
            </w:r>
          </w:p>
        </w:tc>
      </w:tr>
    </w:tbl>
    <w:p w:rsidR="00D0467E" w:rsidRPr="001C1D37" w:rsidRDefault="00D0467E" w:rsidP="001C1D37">
      <w:pPr>
        <w:autoSpaceDE w:val="0"/>
        <w:autoSpaceDN w:val="0"/>
        <w:adjustRightInd w:val="0"/>
        <w:rPr>
          <w:rFonts w:eastAsia="Calibri"/>
        </w:rPr>
      </w:pPr>
    </w:p>
    <w:p w:rsidR="00D0467E" w:rsidRPr="001C1D37" w:rsidRDefault="00D0467E" w:rsidP="001C1D37">
      <w:pPr>
        <w:autoSpaceDE w:val="0"/>
        <w:autoSpaceDN w:val="0"/>
        <w:adjustRightInd w:val="0"/>
        <w:rPr>
          <w:rFonts w:eastAsia="Calibri"/>
        </w:rPr>
      </w:pPr>
      <w:proofErr w:type="gramStart"/>
      <w:r w:rsidRPr="001C1D37">
        <w:rPr>
          <w:rFonts w:eastAsia="Calibri"/>
        </w:rPr>
        <w:t>with</w:t>
      </w:r>
      <w:proofErr w:type="gramEnd"/>
      <w:r w:rsidRPr="001C1D37">
        <w:rPr>
          <w:rFonts w:eastAsia="Calibri"/>
        </w:rPr>
        <w:t xml:space="preserve"> </w:t>
      </w:r>
      <m:oMath>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=1</m:t>
        </m:r>
      </m:oMath>
      <w:r w:rsidRPr="001C1D37">
        <w:rPr>
          <w:rFonts w:eastAsia="Calibri"/>
        </w:rPr>
        <w:t xml:space="preserve"> indicates that </w:t>
      </w:r>
      <m:oMath>
        <m:r>
          <w:rPr>
            <w:rFonts w:ascii="Cambria Math" w:eastAsia="Calibri" w:hAnsi="Cambria Math"/>
          </w:rPr>
          <m:t>i</m:t>
        </m:r>
      </m:oMath>
      <w:r w:rsidRPr="001C1D37">
        <w:rPr>
          <w:rFonts w:eastAsia="Calibri"/>
          <w:lang w:eastAsia="en-GB" w:bidi="ta-IN"/>
        </w:rPr>
        <w:t xml:space="preserve">th individual has </w:t>
      </w:r>
      <w:r w:rsidRPr="001C1D37">
        <w:rPr>
          <w:rFonts w:eastAsia="Calibri"/>
        </w:rPr>
        <w:t xml:space="preserve">experienced the </w:t>
      </w:r>
      <w:r w:rsidR="007F60CF" w:rsidRPr="001C1D37">
        <w:rPr>
          <w:rFonts w:eastAsia="Calibri"/>
        </w:rPr>
        <w:t>clinical endpoint</w:t>
      </w:r>
      <w:r w:rsidRPr="001C1D37">
        <w:rPr>
          <w:rFonts w:eastAsia="Calibri"/>
        </w:rPr>
        <w:t xml:space="preserve"> at time</w:t>
      </w:r>
      <m:oMath>
        <m:r>
          <w:rPr>
            <w:rFonts w:ascii="Cambria Math" w:eastAsia="Calibri" w:hAnsi="Cambria Math"/>
          </w:rPr>
          <m:t xml:space="preserve"> </m:t>
        </m:r>
        <m:r>
          <w:rPr>
            <w:rFonts w:ascii="Cambria Math" w:hAnsi="Cambria Math"/>
          </w:rPr>
          <m:t>t</m:t>
        </m:r>
      </m:oMath>
      <w:r w:rsidRPr="001C1D37">
        <w:rPr>
          <w:rFonts w:eastAsia="Calibri"/>
        </w:rPr>
        <w:t xml:space="preserve"> or prior to time</w:t>
      </w:r>
      <m:oMath>
        <m:r>
          <w:rPr>
            <w:rFonts w:ascii="Cambria Math" w:eastAsia="Calibri" w:hAnsi="Cambria Math"/>
          </w:rPr>
          <m:t xml:space="preserve"> </m:t>
        </m:r>
        <m:r>
          <w:rPr>
            <w:rFonts w:ascii="Cambria Math" w:hAnsi="Cambria Math"/>
          </w:rPr>
          <m:t>t</m:t>
        </m:r>
      </m:oMath>
      <w:r w:rsidR="008F3153" w:rsidRPr="001C1D37">
        <w:rPr>
          <w:rFonts w:eastAsia="Calibri"/>
        </w:rPr>
        <w:t xml:space="preserve"> and </w:t>
      </w:r>
      <m:oMath>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=0</m:t>
        </m:r>
      </m:oMath>
      <w:r w:rsidR="008F3153" w:rsidRPr="001C1D37">
        <w:rPr>
          <w:rFonts w:eastAsia="Calibri"/>
        </w:rPr>
        <w:t xml:space="preserve"> indicates that </w:t>
      </w:r>
      <m:oMath>
        <m:r>
          <w:rPr>
            <w:rFonts w:ascii="Cambria Math" w:eastAsia="Calibri" w:hAnsi="Cambria Math"/>
          </w:rPr>
          <m:t>i</m:t>
        </m:r>
      </m:oMath>
      <w:r w:rsidR="008F3153" w:rsidRPr="001C1D37">
        <w:rPr>
          <w:rFonts w:eastAsia="Calibri"/>
          <w:lang w:eastAsia="en-GB" w:bidi="ta-IN"/>
        </w:rPr>
        <w:t xml:space="preserve">th individual has not </w:t>
      </w:r>
      <w:r w:rsidR="008F3153" w:rsidRPr="001C1D37">
        <w:rPr>
          <w:rFonts w:eastAsia="Calibri"/>
        </w:rPr>
        <w:t>experienced the clinical endpoint at time</w:t>
      </w:r>
      <m:oMath>
        <m:r>
          <w:rPr>
            <w:rFonts w:ascii="Cambria Math" w:eastAsia="Calibri" w:hAnsi="Cambria Math"/>
          </w:rPr>
          <m:t xml:space="preserve"> </m:t>
        </m:r>
        <m:r>
          <w:rPr>
            <w:rFonts w:ascii="Cambria Math" w:hAnsi="Cambria Math"/>
          </w:rPr>
          <m:t>t</m:t>
        </m:r>
      </m:oMath>
      <w:r w:rsidRPr="001C1D37">
        <w:rPr>
          <w:rFonts w:eastAsia="Calibri"/>
        </w:rPr>
        <w:t xml:space="preserve">. Following </w:t>
      </w:r>
      <w:proofErr w:type="spellStart"/>
      <w:r w:rsidRPr="001C1D37">
        <w:rPr>
          <w:rFonts w:eastAsia="Calibri"/>
        </w:rPr>
        <w:t>Heagerty</w:t>
      </w:r>
      <w:proofErr w:type="spellEnd"/>
      <w:r w:rsidRPr="001C1D37">
        <w:rPr>
          <w:rFonts w:eastAsia="Calibri"/>
        </w:rPr>
        <w:t xml:space="preserve"> and </w:t>
      </w:r>
      <w:r w:rsidR="00D22C54" w:rsidRPr="001C1D37">
        <w:rPr>
          <w:rFonts w:eastAsia="Calibri"/>
        </w:rPr>
        <w:t>colleagues</w:t>
      </w:r>
      <w:r w:rsidRPr="001C1D37">
        <w:rPr>
          <w:rFonts w:eastAsia="Calibri"/>
        </w:rPr>
        <w:t xml:space="preserve"> [</w:t>
      </w:r>
      <w:r w:rsidR="00DC07E3" w:rsidRPr="001C1D37">
        <w:rPr>
          <w:rFonts w:eastAsia="Calibri"/>
        </w:rPr>
        <w:t>4</w:t>
      </w:r>
      <w:proofErr w:type="gramStart"/>
      <w:r w:rsidR="00D22C54" w:rsidRPr="001C1D37">
        <w:rPr>
          <w:rFonts w:eastAsia="Calibri"/>
        </w:rPr>
        <w:t>,</w:t>
      </w:r>
      <w:r w:rsidR="00DC07E3" w:rsidRPr="001C1D37">
        <w:rPr>
          <w:rFonts w:eastAsia="Calibri"/>
        </w:rPr>
        <w:t>5</w:t>
      </w:r>
      <w:proofErr w:type="gramEnd"/>
      <w:r w:rsidRPr="001C1D37">
        <w:rPr>
          <w:rFonts w:eastAsia="Calibri"/>
        </w:rPr>
        <w:t>], who has discussed a time-dependent ROC methodology for a single biomarker value with censored event</w:t>
      </w:r>
      <w:r w:rsidR="007F60CF" w:rsidRPr="001C1D37">
        <w:rPr>
          <w:rFonts w:eastAsia="Calibri"/>
        </w:rPr>
        <w:t>-</w:t>
      </w:r>
      <w:r w:rsidRPr="001C1D37">
        <w:rPr>
          <w:rFonts w:eastAsia="Calibri"/>
        </w:rPr>
        <w:t xml:space="preserve">times, </w:t>
      </w:r>
      <m:oMath>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oMath>
      <w:r w:rsidRPr="001C1D37">
        <w:rPr>
          <w:rFonts w:eastAsia="Calibri"/>
        </w:rPr>
        <w:t xml:space="preserve"> defines a cumulative/dynamic ROC</w:t>
      </w:r>
      <w:r w:rsidR="008F3153" w:rsidRPr="001C1D37">
        <w:rPr>
          <w:rFonts w:eastAsia="Calibri"/>
        </w:rPr>
        <w:t xml:space="preserve"> terminology. I</w:t>
      </w:r>
      <w:r w:rsidRPr="001C1D37">
        <w:rPr>
          <w:rFonts w:eastAsia="Calibri"/>
        </w:rPr>
        <w:t xml:space="preserve">t is the most appropriate indicator for our approach as for many other clinical studies as the scientific interest lies in discriminating between individuals who experience clinical endpoint prior to a given time </w:t>
      </w:r>
      <m:oMath>
        <m:r>
          <w:rPr>
            <w:rFonts w:ascii="Cambria Math" w:hAnsi="Cambria Math"/>
          </w:rPr>
          <m:t>t</m:t>
        </m:r>
      </m:oMath>
      <w:r w:rsidRPr="001C1D37">
        <w:rPr>
          <w:rFonts w:eastAsia="Calibri"/>
        </w:rPr>
        <w:t xml:space="preserve"> and those that survive beyond </w:t>
      </w:r>
      <m:oMath>
        <m:r>
          <w:rPr>
            <w:rFonts w:ascii="Cambria Math" w:hAnsi="Cambria Math"/>
          </w:rPr>
          <m:t>t</m:t>
        </m:r>
      </m:oMath>
      <w:r w:rsidRPr="001C1D37">
        <w:rPr>
          <w:rFonts w:eastAsia="Calibri"/>
        </w:rPr>
        <w:t xml:space="preserve"> [</w:t>
      </w:r>
      <w:r w:rsidR="00DC07E3" w:rsidRPr="001C1D37">
        <w:rPr>
          <w:rFonts w:eastAsia="Calibri"/>
        </w:rPr>
        <w:t>5</w:t>
      </w:r>
      <w:r w:rsidRPr="001C1D37">
        <w:rPr>
          <w:rFonts w:eastAsia="Calibri"/>
        </w:rPr>
        <w:t xml:space="preserve">].  </w:t>
      </w:r>
    </w:p>
    <w:p w:rsidR="00205820" w:rsidRPr="001C1D37" w:rsidRDefault="00205820" w:rsidP="001C1D37">
      <w:pPr>
        <w:autoSpaceDE w:val="0"/>
        <w:autoSpaceDN w:val="0"/>
        <w:adjustRightInd w:val="0"/>
        <w:rPr>
          <w:rFonts w:eastAsia="Calibri"/>
        </w:rPr>
      </w:pPr>
    </w:p>
    <w:p w:rsidR="00205820" w:rsidRPr="001C1D37" w:rsidRDefault="00205820" w:rsidP="001C1D37">
      <w:pPr>
        <w:autoSpaceDE w:val="0"/>
        <w:autoSpaceDN w:val="0"/>
        <w:adjustRightInd w:val="0"/>
        <w:rPr>
          <w:rFonts w:eastAsia="Calibri"/>
        </w:rPr>
      </w:pPr>
    </w:p>
    <w:p w:rsidR="00D0467E" w:rsidRPr="001C1D37" w:rsidRDefault="00171880" w:rsidP="001C1D37">
      <w:pPr>
        <w:autoSpaceDE w:val="0"/>
        <w:autoSpaceDN w:val="0"/>
        <w:adjustRightInd w:val="0"/>
        <w:rPr>
          <w:rFonts w:eastAsia="Calibri"/>
        </w:rPr>
      </w:pPr>
      <w:r w:rsidRPr="001C1D37">
        <w:rPr>
          <w:rFonts w:eastAsia="Calibri"/>
        </w:rPr>
        <w:t>G</w:t>
      </w:r>
      <w:r w:rsidR="00D0467E" w:rsidRPr="001C1D37">
        <w:rPr>
          <w:rFonts w:eastAsia="Calibri"/>
        </w:rPr>
        <w:t xml:space="preserve">iven </w:t>
      </w:r>
      <m:oMath>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oMath>
      <w:r w:rsidR="00D0467E" w:rsidRPr="001C1D37">
        <w:rPr>
          <w:rFonts w:eastAsia="Calibri"/>
        </w:rPr>
        <w:t xml:space="preserve"> at time </w:t>
      </w:r>
      <m:oMath>
        <m:r>
          <w:rPr>
            <w:rFonts w:ascii="Cambria Math" w:hAnsi="Cambria Math"/>
          </w:rPr>
          <m:t>t</m:t>
        </m:r>
      </m:oMath>
      <w:r w:rsidR="00D0467E" w:rsidRPr="001C1D37">
        <w:rPr>
          <w:rFonts w:eastAsia="Calibri"/>
        </w:rPr>
        <w:t xml:space="preserve"> and </w:t>
      </w:r>
      <m:oMath>
        <m:sSub>
          <m:sSubPr>
            <m:ctrlPr>
              <w:rPr>
                <w:rFonts w:ascii="Cambria Math" w:hAnsi="Cambria Math"/>
              </w:rPr>
            </m:ctrlPr>
          </m:sSubPr>
          <m:e>
            <m:r>
              <w:rPr>
                <w:rFonts w:ascii="Cambria Math" w:hAnsi="Cambria Math"/>
              </w:rPr>
              <m:t>δ</m:t>
            </m:r>
          </m:e>
          <m:sub>
            <m:r>
              <w:rPr>
                <w:rFonts w:ascii="Cambria Math" w:hAnsi="Cambria Math"/>
              </w:rPr>
              <m:t>i</m:t>
            </m:r>
          </m:sub>
        </m:sSub>
      </m:oMath>
      <w:r w:rsidR="00D0467E" w:rsidRPr="001C1D37">
        <w:rPr>
          <w:rFonts w:eastAsia="Calibri"/>
        </w:rPr>
        <w:t xml:space="preserve"> in study sample, we define a</w:t>
      </w:r>
      <w:r w:rsidR="007F60CF" w:rsidRPr="001C1D37">
        <w:rPr>
          <w:rFonts w:eastAsia="Calibri"/>
        </w:rPr>
        <w:t xml:space="preserve">n </w:t>
      </w:r>
      <w:r w:rsidR="009E40B9" w:rsidRPr="001C1D37">
        <w:rPr>
          <w:rFonts w:eastAsia="Calibri"/>
        </w:rPr>
        <w:t>event</w:t>
      </w:r>
      <w:r w:rsidR="007F60CF" w:rsidRPr="001C1D37">
        <w:rPr>
          <w:rFonts w:eastAsia="Calibri"/>
        </w:rPr>
        <w:t>-time</w:t>
      </w:r>
      <w:r w:rsidR="009E40B9" w:rsidRPr="001C1D37">
        <w:rPr>
          <w:rFonts w:eastAsia="Calibri"/>
        </w:rPr>
        <w:t xml:space="preserve"> </w:t>
      </w:r>
      <m:oMath>
        <m:sSub>
          <m:sSubPr>
            <m:ctrlPr>
              <w:rPr>
                <w:rFonts w:ascii="Cambria Math" w:hAnsi="Cambria Math"/>
                <w:i/>
              </w:rPr>
            </m:ctrlPr>
          </m:sSubPr>
          <m:e>
            <m:r>
              <w:rPr>
                <w:rFonts w:ascii="Cambria Math" w:hAnsi="Cambria Math"/>
              </w:rPr>
              <m:t>Z</m:t>
            </m:r>
          </m:e>
          <m:sub>
            <m:r>
              <w:rPr>
                <w:rFonts w:ascii="Cambria Math" w:hAnsi="Cambria Math"/>
              </w:rPr>
              <m:t>i</m:t>
            </m:r>
          </m:sub>
        </m:sSub>
      </m:oMath>
      <w:r w:rsidR="00D22C54" w:rsidRPr="001C1D37">
        <w:rPr>
          <w:rFonts w:eastAsia="Calibri"/>
        </w:rPr>
        <w:t xml:space="preserve"> </w:t>
      </w:r>
      <w:r w:rsidRPr="001C1D37">
        <w:rPr>
          <w:rFonts w:eastAsia="Calibri"/>
        </w:rPr>
        <w:t xml:space="preserve">for individual </w:t>
      </w:r>
      <m:oMath>
        <m:r>
          <w:rPr>
            <w:rFonts w:ascii="Cambria Math" w:eastAsia="Calibri" w:hAnsi="Cambria Math"/>
          </w:rPr>
          <m:t>i</m:t>
        </m:r>
      </m:oMath>
      <w:r w:rsidRPr="001C1D37">
        <w:rPr>
          <w:rFonts w:eastAsia="Calibri"/>
        </w:rPr>
        <w:t xml:space="preserve"> </w:t>
      </w:r>
      <w:r w:rsidR="00D0467E" w:rsidRPr="001C1D37">
        <w:rPr>
          <w:rFonts w:eastAsia="Calibri"/>
        </w:rPr>
        <w:t>such that</w:t>
      </w:r>
    </w:p>
    <w:p w:rsidR="00D0467E" w:rsidRPr="001C1D37" w:rsidRDefault="00D0467E" w:rsidP="001C1D37">
      <w:pPr>
        <w:autoSpaceDE w:val="0"/>
        <w:autoSpaceDN w:val="0"/>
        <w:adjustRightInd w:val="0"/>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8247"/>
        <w:gridCol w:w="806"/>
      </w:tblGrid>
      <w:tr w:rsidR="001C1D37" w:rsidRPr="001C1D37" w:rsidTr="00E86015">
        <w:tc>
          <w:tcPr>
            <w:tcW w:w="660" w:type="dxa"/>
            <w:vAlign w:val="center"/>
          </w:tcPr>
          <w:p w:rsidR="00D0467E" w:rsidRPr="001C1D37" w:rsidRDefault="00D0467E" w:rsidP="001C1D37">
            <w:pPr>
              <w:pStyle w:val="NoSpacing"/>
              <w:rPr>
                <w:rFonts w:ascii="Times New Roman" w:hAnsi="Times New Roman"/>
                <w:sz w:val="24"/>
                <w:szCs w:val="24"/>
              </w:rPr>
            </w:pPr>
          </w:p>
        </w:tc>
        <w:tc>
          <w:tcPr>
            <w:tcW w:w="8247" w:type="dxa"/>
            <w:vAlign w:val="center"/>
          </w:tcPr>
          <w:p w:rsidR="00D0467E" w:rsidRPr="001C1D37" w:rsidRDefault="001C1D37" w:rsidP="001C1D37">
            <w:pPr>
              <w:autoSpaceDE w:val="0"/>
              <w:autoSpaceDN w:val="0"/>
              <w:adjustRightInd w:val="0"/>
              <w:rPr>
                <w:rFonts w:eastAsia="Calibri"/>
              </w:rPr>
            </w:pPr>
            <m:oMathPara>
              <m:oMathParaPr>
                <m:jc m:val="center"/>
              </m:oMathParaP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eastAsia="Calibri" w:hAnsi="Cambria Math"/>
                  </w:rPr>
                  <m:t>=</m:t>
                </m:r>
                <m:d>
                  <m:dPr>
                    <m:begChr m:val="{"/>
                    <m:endChr m:val=""/>
                    <m:ctrlPr>
                      <w:rPr>
                        <w:rFonts w:ascii="Cambria Math" w:eastAsia="Calibri" w:hAnsi="Cambria Math"/>
                        <w:i/>
                      </w:rPr>
                    </m:ctrlPr>
                  </m:dPr>
                  <m:e>
                    <m:m>
                      <m:mPr>
                        <m:mcs>
                          <m:mc>
                            <m:mcPr>
                              <m:count m:val="2"/>
                              <m:mcJc m:val="center"/>
                            </m:mcPr>
                          </m:mc>
                        </m:mcs>
                        <m:ctrlPr>
                          <w:rPr>
                            <w:rFonts w:ascii="Cambria Math" w:eastAsia="Calibri" w:hAnsi="Cambria Math"/>
                            <w:i/>
                          </w:rPr>
                        </m:ctrlPr>
                      </m:mPr>
                      <m:mr>
                        <m:e>
                          <m:sSub>
                            <m:sSubPr>
                              <m:ctrlPr>
                                <w:rPr>
                                  <w:rFonts w:ascii="Cambria Math" w:eastAsia="Calibri" w:hAnsi="Cambria Math"/>
                                  <w:i/>
                                </w:rPr>
                              </m:ctrlPr>
                            </m:sSubPr>
                            <m:e>
                              <m:r>
                                <w:rPr>
                                  <w:rFonts w:ascii="Cambria Math" w:eastAsia="Calibri" w:hAnsi="Cambria Math"/>
                                </w:rPr>
                                <m:t>T</m:t>
                              </m:r>
                            </m:e>
                            <m:sub>
                              <m:r>
                                <w:rPr>
                                  <w:rFonts w:ascii="Cambria Math" w:eastAsia="Calibri" w:hAnsi="Cambria Math"/>
                                </w:rPr>
                                <m:t>i</m:t>
                              </m:r>
                            </m:sub>
                          </m:sSub>
                          <m:r>
                            <w:rPr>
                              <w:rFonts w:ascii="Cambria Math" w:eastAsia="Calibri" w:hAnsi="Cambria Math"/>
                            </w:rPr>
                            <m:t xml:space="preserve"> </m:t>
                          </m:r>
                        </m:e>
                        <m:e>
                          <m:r>
                            <m:rPr>
                              <m:sty m:val="p"/>
                            </m:rPr>
                            <w:rPr>
                              <w:rFonts w:ascii="Cambria Math" w:eastAsia="Calibri" w:hAnsi="Cambria Math"/>
                            </w:rPr>
                            <m:t xml:space="preserve">if </m:t>
                          </m:r>
                          <m:sSub>
                            <m:sSubPr>
                              <m:ctrlPr>
                                <w:rPr>
                                  <w:rFonts w:ascii="Cambria Math" w:hAnsi="Cambria Math"/>
                                </w:rPr>
                              </m:ctrlPr>
                            </m:sSubPr>
                            <m:e>
                              <m:r>
                                <w:rPr>
                                  <w:rFonts w:ascii="Cambria Math" w:hAnsi="Cambria Math"/>
                                </w:rPr>
                                <m:t xml:space="preserve"> D</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h</m:t>
                                  </m:r>
                                </m:sub>
                              </m:sSub>
                            </m:e>
                          </m:d>
                          <m:r>
                            <w:rPr>
                              <w:rFonts w:ascii="Cambria Math" w:hAnsi="Cambria Math"/>
                            </w:rPr>
                            <m:t xml:space="preserve">=1                                                    </m:t>
                          </m:r>
                        </m:e>
                      </m:mr>
                      <m:mr>
                        <m:e>
                          <m:r>
                            <w:rPr>
                              <w:rFonts w:ascii="Cambria Math" w:hAnsi="Cambria Math"/>
                            </w:rPr>
                            <m:t>t</m:t>
                          </m:r>
                        </m:e>
                        <m:e>
                          <m:r>
                            <m:rPr>
                              <m:sty m:val="p"/>
                            </m:rPr>
                            <w:rPr>
                              <w:rFonts w:ascii="Cambria Math" w:eastAsia="Calibri" w:hAnsi="Cambria Math"/>
                            </w:rPr>
                            <m:t xml:space="preserve">  if  </m:t>
                          </m:r>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h</m:t>
                                  </m:r>
                                </m:sub>
                              </m:sSub>
                            </m:e>
                          </m:d>
                          <m:r>
                            <w:rPr>
                              <w:rFonts w:ascii="Cambria Math" w:hAnsi="Cambria Math"/>
                            </w:rPr>
                            <m:t xml:space="preserve">=0, </m:t>
                          </m:r>
                          <m:sSub>
                            <m:sSubPr>
                              <m:ctrlPr>
                                <w:rPr>
                                  <w:rFonts w:ascii="Cambria Math" w:hAnsi="Cambria Math"/>
                                </w:rPr>
                              </m:ctrlPr>
                            </m:sSubPr>
                            <m:e>
                              <m:r>
                                <w:rPr>
                                  <w:rFonts w:ascii="Cambria Math" w:hAnsi="Cambria Math"/>
                                </w:rPr>
                                <m:t>δ</m:t>
                              </m:r>
                            </m:e>
                            <m:sub>
                              <m:r>
                                <w:rPr>
                                  <w:rFonts w:ascii="Cambria Math" w:hAnsi="Cambria Math"/>
                                </w:rPr>
                                <m:t>i</m:t>
                              </m:r>
                            </m:sub>
                          </m:sSub>
                          <m:r>
                            <w:rPr>
                              <w:rFonts w:ascii="Cambria Math" w:hAnsi="Cambria Math"/>
                            </w:rPr>
                            <m:t xml:space="preserve">=1                                      </m:t>
                          </m:r>
                          <m:r>
                            <m:rPr>
                              <m:sty m:val="p"/>
                            </m:rPr>
                            <w:rPr>
                              <w:rFonts w:ascii="Cambria Math" w:hAnsi="Cambria Math"/>
                            </w:rPr>
                            <m:t xml:space="preserve">  </m:t>
                          </m:r>
                        </m:e>
                      </m:mr>
                      <m:mr>
                        <m:e>
                          <m:r>
                            <m:rPr>
                              <m:sty m:val="p"/>
                            </m:rPr>
                            <w:rPr>
                              <w:rFonts w:ascii="Cambria Math" w:eastAsia="Calibri" w:hAnsi="Cambria Math"/>
                            </w:rPr>
                            <m:t>min⁡</m:t>
                          </m:r>
                          <m:r>
                            <w:rPr>
                              <w:rFonts w:ascii="Cambria Math" w:eastAsia="Calibri" w:hAnsi="Cambria Math"/>
                            </w:rPr>
                            <m:t>(</m:t>
                          </m:r>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m:t>
                              </m:r>
                            </m:e>
                            <m:sub>
                              <m:r>
                                <w:rPr>
                                  <w:rFonts w:ascii="Cambria Math" w:eastAsia="Calibri" w:hAnsi="Cambria Math"/>
                                </w:rPr>
                                <m:t>i</m:t>
                              </m:r>
                            </m:sub>
                          </m:sSub>
                          <m:r>
                            <w:rPr>
                              <w:rFonts w:ascii="Cambria Math" w:eastAsia="Calibri" w:hAnsi="Cambria Math"/>
                            </w:rPr>
                            <m:t>)</m:t>
                          </m:r>
                        </m:e>
                        <m:e>
                          <m:sSub>
                            <m:sSubPr>
                              <m:ctrlPr>
                                <w:rPr>
                                  <w:rFonts w:ascii="Cambria Math" w:hAnsi="Cambria Math"/>
                                </w:rPr>
                              </m:ctrlPr>
                            </m:sSubPr>
                            <m:e>
                              <m:r>
                                <m:rPr>
                                  <m:sty m:val="p"/>
                                </m:rPr>
                                <w:rPr>
                                  <w:rFonts w:ascii="Cambria Math" w:hAnsi="Cambria Math"/>
                                </w:rPr>
                                <m:t xml:space="preserve"> if  </m:t>
                              </m:r>
                              <m:r>
                                <w:rPr>
                                  <w:rFonts w:ascii="Cambria Math" w:hAnsi="Cambria Math"/>
                                </w:rPr>
                                <m:t>D</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h</m:t>
                                  </m:r>
                                </m:sub>
                              </m:sSub>
                            </m:e>
                          </m:d>
                          <m:r>
                            <w:rPr>
                              <w:rFonts w:ascii="Cambria Math" w:hAnsi="Cambria Math"/>
                            </w:rPr>
                            <m:t xml:space="preserve">=0, </m:t>
                          </m:r>
                          <m:sSub>
                            <m:sSubPr>
                              <m:ctrlPr>
                                <w:rPr>
                                  <w:rFonts w:ascii="Cambria Math" w:hAnsi="Cambria Math"/>
                                </w:rPr>
                              </m:ctrlPr>
                            </m:sSubPr>
                            <m:e>
                              <m:r>
                                <w:rPr>
                                  <w:rFonts w:ascii="Cambria Math" w:hAnsi="Cambria Math"/>
                                </w:rPr>
                                <m:t>δ</m:t>
                              </m:r>
                            </m:e>
                            <m:sub>
                              <m:r>
                                <w:rPr>
                                  <w:rFonts w:ascii="Cambria Math" w:hAnsi="Cambria Math"/>
                                </w:rPr>
                                <m:t>i</m:t>
                              </m:r>
                            </m:sub>
                          </m:sSub>
                          <m:r>
                            <w:rPr>
                              <w:rFonts w:ascii="Cambria Math" w:hAnsi="Cambria Math"/>
                            </w:rPr>
                            <m:t xml:space="preserve">=0.                                      </m:t>
                          </m:r>
                        </m:e>
                      </m:mr>
                    </m:m>
                  </m:e>
                </m:d>
              </m:oMath>
            </m:oMathPara>
          </w:p>
          <w:p w:rsidR="00D0467E" w:rsidRPr="001C1D37" w:rsidRDefault="00D0467E" w:rsidP="001C1D37">
            <w:pPr>
              <w:autoSpaceDE w:val="0"/>
              <w:autoSpaceDN w:val="0"/>
              <w:adjustRightInd w:val="0"/>
              <w:rPr>
                <w:rFonts w:eastAsia="Calibri"/>
              </w:rPr>
            </w:pPr>
          </w:p>
        </w:tc>
        <w:tc>
          <w:tcPr>
            <w:tcW w:w="806" w:type="dxa"/>
            <w:vAlign w:val="center"/>
          </w:tcPr>
          <w:p w:rsidR="00D0467E" w:rsidRPr="001C1D37" w:rsidRDefault="00D0467E" w:rsidP="001C1D37">
            <w:pPr>
              <w:pStyle w:val="NoSpacing"/>
              <w:rPr>
                <w:rFonts w:ascii="Times New Roman" w:hAnsi="Times New Roman"/>
                <w:sz w:val="24"/>
                <w:szCs w:val="24"/>
              </w:rPr>
            </w:pPr>
            <w:r w:rsidRPr="001C1D37">
              <w:rPr>
                <w:rFonts w:ascii="Times New Roman" w:hAnsi="Times New Roman"/>
                <w:sz w:val="24"/>
                <w:szCs w:val="24"/>
              </w:rPr>
              <w:t>(4)</w:t>
            </w:r>
          </w:p>
        </w:tc>
      </w:tr>
    </w:tbl>
    <w:p w:rsidR="00D0467E" w:rsidRPr="001C1D37" w:rsidRDefault="00D0467E" w:rsidP="001C1D37">
      <w:pPr>
        <w:autoSpaceDE w:val="0"/>
        <w:autoSpaceDN w:val="0"/>
        <w:adjustRightInd w:val="0"/>
        <w:rPr>
          <w:rFonts w:eastAsia="Calibri"/>
        </w:rPr>
      </w:pPr>
      <w:r w:rsidRPr="001C1D37">
        <w:t xml:space="preserve">That is, for each diseased individual </w:t>
      </w:r>
      <w:r w:rsidRPr="001C1D37">
        <w:rPr>
          <w:bCs/>
          <w:lang w:val="en-US"/>
        </w:rPr>
        <w:t xml:space="preserve">in the study </w:t>
      </w:r>
      <w:r w:rsidRPr="001C1D37">
        <w:rPr>
          <w:rFonts w:eastAsia="Calibri"/>
        </w:rPr>
        <w:t>sample</w:t>
      </w:r>
      <w:r w:rsidRPr="001C1D37">
        <w:rPr>
          <w:bCs/>
          <w:lang w:val="en-US"/>
        </w:rPr>
        <w:t xml:space="preserve"> (</w:t>
      </w:r>
      <m:oMath>
        <m:sSub>
          <m:sSubPr>
            <m:ctrlPr>
              <w:rPr>
                <w:rFonts w:ascii="Cambria Math" w:hAnsi="Cambria Math"/>
              </w:rPr>
            </m:ctrlPr>
          </m:sSubPr>
          <m:e>
            <m:r>
              <w:rPr>
                <w:rFonts w:ascii="Cambria Math" w:hAnsi="Cambria Math"/>
              </w:rPr>
              <m:t>δ</m:t>
            </m:r>
          </m:e>
          <m:sub>
            <m:r>
              <w:rPr>
                <w:rFonts w:ascii="Cambria Math" w:hAnsi="Cambria Math"/>
              </w:rPr>
              <m:t>i</m:t>
            </m:r>
          </m:sub>
        </m:sSub>
        <m:r>
          <w:rPr>
            <w:rFonts w:ascii="Cambria Math" w:hAnsi="Cambria Math"/>
          </w:rPr>
          <m:t>=1</m:t>
        </m:r>
      </m:oMath>
      <w:r w:rsidRPr="001C1D37">
        <w:rPr>
          <w:bCs/>
          <w:lang w:val="en-US"/>
        </w:rPr>
        <w:t>)</w:t>
      </w:r>
      <w:r w:rsidRPr="001C1D37">
        <w:t>, the event</w:t>
      </w:r>
      <w:r w:rsidR="006A5555" w:rsidRPr="001C1D37">
        <w:t>-</w:t>
      </w:r>
      <w:r w:rsidRPr="001C1D37">
        <w:t xml:space="preserve">time is kept at </w:t>
      </w:r>
      <m:oMath>
        <m:sSub>
          <m:sSubPr>
            <m:ctrlPr>
              <w:rPr>
                <w:rFonts w:ascii="Cambria Math" w:eastAsia="Calibri" w:hAnsi="Cambria Math"/>
                <w:i/>
              </w:rPr>
            </m:ctrlPr>
          </m:sSubPr>
          <m:e>
            <m:r>
              <w:rPr>
                <w:rFonts w:ascii="Cambria Math" w:eastAsia="Calibri" w:hAnsi="Cambria Math"/>
              </w:rPr>
              <m:t>T</m:t>
            </m:r>
          </m:e>
          <m:sub>
            <m:r>
              <w:rPr>
                <w:rFonts w:ascii="Cambria Math" w:eastAsia="Calibri" w:hAnsi="Cambria Math"/>
              </w:rPr>
              <m:t>i</m:t>
            </m:r>
          </m:sub>
        </m:sSub>
      </m:oMath>
      <w:r w:rsidRPr="001C1D37">
        <w:rPr>
          <w:rFonts w:eastAsia="Calibri"/>
        </w:rPr>
        <w:t xml:space="preserve"> if  </w:t>
      </w:r>
      <m:oMath>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=1</m:t>
        </m:r>
      </m:oMath>
      <w:r w:rsidRPr="001C1D37">
        <w:rPr>
          <w:rFonts w:eastAsia="Calibri"/>
        </w:rPr>
        <w:t xml:space="preserve"> and it is censored </w:t>
      </w:r>
      <w:r w:rsidRPr="001C1D37">
        <w:t xml:space="preserve">at </w:t>
      </w:r>
      <w:r w:rsidRPr="001C1D37">
        <w:rPr>
          <w:rFonts w:eastAsia="Calibri"/>
        </w:rPr>
        <w:t>time</w:t>
      </w:r>
      <m:oMath>
        <m:r>
          <w:rPr>
            <w:rFonts w:ascii="Cambria Math" w:eastAsia="Calibri" w:hAnsi="Cambria Math"/>
          </w:rPr>
          <m:t xml:space="preserve"> </m:t>
        </m:r>
        <m:r>
          <w:rPr>
            <w:rFonts w:ascii="Cambria Math" w:hAnsi="Cambria Math"/>
          </w:rPr>
          <m:t>t</m:t>
        </m:r>
      </m:oMath>
      <w:r w:rsidRPr="001C1D37">
        <w:rPr>
          <w:rFonts w:eastAsia="Calibri"/>
        </w:rPr>
        <w:t xml:space="preserve"> if </w:t>
      </w:r>
      <m:oMath>
        <m:sSub>
          <m:sSubPr>
            <m:ctrlPr>
              <w:rPr>
                <w:rFonts w:ascii="Cambria Math" w:hAnsi="Cambria Math"/>
              </w:rPr>
            </m:ctrlPr>
          </m:sSubPr>
          <m:e>
            <m:r>
              <w:rPr>
                <w:rFonts w:ascii="Cambria Math" w:hAnsi="Cambria Math"/>
              </w:rPr>
              <m:t xml:space="preserve"> D</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 xml:space="preserve">=0; </m:t>
        </m:r>
      </m:oMath>
      <w:r w:rsidRPr="001C1D37">
        <w:rPr>
          <w:rFonts w:eastAsia="Calibri"/>
        </w:rPr>
        <w:t xml:space="preserve"> and for </w:t>
      </w:r>
      <w:r w:rsidRPr="001C1D37">
        <w:rPr>
          <w:iCs/>
        </w:rPr>
        <w:t>e</w:t>
      </w:r>
      <w:r w:rsidRPr="001C1D37">
        <w:rPr>
          <w:rFonts w:eastAsia="CMR9"/>
          <w:lang w:eastAsia="en-GB" w:bidi="ta-IN"/>
        </w:rPr>
        <w:t xml:space="preserve">ach censored </w:t>
      </w:r>
      <w:r w:rsidRPr="001C1D37">
        <w:rPr>
          <w:bCs/>
          <w:lang w:val="en-US"/>
        </w:rPr>
        <w:t xml:space="preserve">individual in the study </w:t>
      </w:r>
      <w:r w:rsidRPr="001C1D37">
        <w:rPr>
          <w:rFonts w:eastAsia="Calibri"/>
        </w:rPr>
        <w:t>sample</w:t>
      </w:r>
      <w:r w:rsidRPr="001C1D37">
        <w:rPr>
          <w:bCs/>
          <w:lang w:val="en-US"/>
        </w:rPr>
        <w:t xml:space="preserve"> (</w:t>
      </w:r>
      <m:oMath>
        <m:sSub>
          <m:sSubPr>
            <m:ctrlPr>
              <w:rPr>
                <w:rFonts w:ascii="Cambria Math" w:hAnsi="Cambria Math"/>
              </w:rPr>
            </m:ctrlPr>
          </m:sSubPr>
          <m:e>
            <m:r>
              <w:rPr>
                <w:rFonts w:ascii="Cambria Math" w:hAnsi="Cambria Math"/>
              </w:rPr>
              <m:t>δ</m:t>
            </m:r>
          </m:e>
          <m:sub>
            <m:r>
              <w:rPr>
                <w:rFonts w:ascii="Cambria Math" w:hAnsi="Cambria Math"/>
              </w:rPr>
              <m:t>i</m:t>
            </m:r>
          </m:sub>
        </m:sSub>
        <m:r>
          <w:rPr>
            <w:rFonts w:ascii="Cambria Math" w:hAnsi="Cambria Math"/>
          </w:rPr>
          <m:t>=0</m:t>
        </m:r>
      </m:oMath>
      <w:r w:rsidRPr="001C1D37">
        <w:t xml:space="preserve">), the event time is set </w:t>
      </w:r>
      <w:proofErr w:type="gramStart"/>
      <w:r w:rsidRPr="001C1D37">
        <w:t xml:space="preserve">to </w:t>
      </w:r>
      <w:proofErr w:type="gramEnd"/>
      <m:oMath>
        <m:r>
          <m:rPr>
            <m:sty m:val="p"/>
          </m:rPr>
          <w:rPr>
            <w:rFonts w:ascii="Cambria Math" w:eastAsia="Calibri" w:hAnsi="Cambria Math"/>
          </w:rPr>
          <m:t>min⁡</m:t>
        </m:r>
        <m:r>
          <w:rPr>
            <w:rFonts w:ascii="Cambria Math" w:eastAsia="Calibri" w:hAnsi="Cambria Math"/>
          </w:rPr>
          <m:t>(</m:t>
        </m:r>
        <m:r>
          <w:rPr>
            <w:rFonts w:ascii="Cambria Math" w:hAnsi="Cambria Math"/>
          </w:rPr>
          <m:t>t</m:t>
        </m:r>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m:t>
            </m:r>
          </m:e>
          <m:sub>
            <m:r>
              <w:rPr>
                <w:rFonts w:ascii="Cambria Math" w:eastAsia="Calibri" w:hAnsi="Cambria Math"/>
              </w:rPr>
              <m:t>i</m:t>
            </m:r>
          </m:sub>
        </m:sSub>
        <m:r>
          <w:rPr>
            <w:rFonts w:ascii="Cambria Math" w:eastAsia="Calibri" w:hAnsi="Cambria Math"/>
          </w:rPr>
          <m:t>)</m:t>
        </m:r>
      </m:oMath>
      <w:r w:rsidRPr="001C1D37">
        <w:rPr>
          <w:rFonts w:eastAsia="Calibri"/>
        </w:rPr>
        <w:t>, so the</w:t>
      </w:r>
      <w:r w:rsidRPr="001C1D37">
        <w:t xml:space="preserve"> censoring time </w:t>
      </w:r>
      <w:r w:rsidRPr="001C1D37">
        <w:rPr>
          <w:rFonts w:eastAsia="Calibri"/>
        </w:rPr>
        <w:t xml:space="preserve">is brought forward at time </w:t>
      </w:r>
      <m:oMath>
        <m:r>
          <w:rPr>
            <w:rFonts w:ascii="Cambria Math" w:hAnsi="Cambria Math"/>
          </w:rPr>
          <m:t>t</m:t>
        </m:r>
      </m:oMath>
      <w:r w:rsidRPr="001C1D37">
        <w:rPr>
          <w:rFonts w:eastAsia="Calibri"/>
        </w:rPr>
        <w:t xml:space="preserve"> if </w:t>
      </w:r>
      <m:oMath>
        <m:sSub>
          <m:sSubPr>
            <m:ctrlPr>
              <w:rPr>
                <w:rFonts w:ascii="Cambria Math" w:eastAsia="Calibri" w:hAnsi="Cambria Math"/>
                <w:i/>
              </w:rPr>
            </m:ctrlPr>
          </m:sSubPr>
          <m:e>
            <m:r>
              <w:rPr>
                <w:rFonts w:ascii="Cambria Math" w:hAnsi="Cambria Math"/>
              </w:rPr>
              <m:t>t</m:t>
            </m:r>
            <m:r>
              <w:rPr>
                <w:rFonts w:ascii="Cambria Math" w:eastAsia="Calibri" w:hAnsi="Cambria Math"/>
              </w:rPr>
              <m:t>&lt;C</m:t>
            </m:r>
          </m:e>
          <m:sub>
            <m:r>
              <w:rPr>
                <w:rFonts w:ascii="Cambria Math" w:eastAsia="Calibri" w:hAnsi="Cambria Math"/>
              </w:rPr>
              <m:t>i</m:t>
            </m:r>
          </m:sub>
        </m:sSub>
      </m:oMath>
      <w:r w:rsidRPr="001C1D37">
        <w:rPr>
          <w:rFonts w:eastAsia="Calibri"/>
        </w:rPr>
        <w:t xml:space="preserve">, and it is kept at </w:t>
      </w:r>
      <m:oMath>
        <m:sSub>
          <m:sSubPr>
            <m:ctrlPr>
              <w:rPr>
                <w:rFonts w:ascii="Cambria Math" w:eastAsia="Calibri" w:hAnsi="Cambria Math"/>
                <w:i/>
              </w:rPr>
            </m:ctrlPr>
          </m:sSubPr>
          <m:e>
            <m:r>
              <w:rPr>
                <w:rFonts w:ascii="Cambria Math" w:eastAsia="Calibri" w:hAnsi="Cambria Math"/>
              </w:rPr>
              <m:t>C</m:t>
            </m:r>
          </m:e>
          <m:sub>
            <m:r>
              <w:rPr>
                <w:rFonts w:ascii="Cambria Math" w:eastAsia="Calibri" w:hAnsi="Cambria Math"/>
              </w:rPr>
              <m:t>i</m:t>
            </m:r>
          </m:sub>
        </m:sSub>
      </m:oMath>
      <w:r w:rsidRPr="001C1D37">
        <w:rPr>
          <w:rFonts w:eastAsia="Calibri"/>
        </w:rPr>
        <w:t xml:space="preserve"> if  </w:t>
      </w:r>
      <m:oMath>
        <m:sSub>
          <m:sSubPr>
            <m:ctrlPr>
              <w:rPr>
                <w:rFonts w:ascii="Cambria Math" w:eastAsia="Calibri" w:hAnsi="Cambria Math"/>
                <w:i/>
              </w:rPr>
            </m:ctrlPr>
          </m:sSubPr>
          <m:e>
            <m:r>
              <w:rPr>
                <w:rFonts w:ascii="Cambria Math" w:hAnsi="Cambria Math"/>
              </w:rPr>
              <m:t>t</m:t>
            </m:r>
            <m:r>
              <w:rPr>
                <w:rFonts w:ascii="Cambria Math" w:eastAsia="Calibri" w:hAnsi="Cambria Math"/>
              </w:rPr>
              <m:t>≥C</m:t>
            </m:r>
          </m:e>
          <m:sub>
            <m:r>
              <w:rPr>
                <w:rFonts w:ascii="Cambria Math" w:eastAsia="Calibri" w:hAnsi="Cambria Math"/>
              </w:rPr>
              <m:t>i</m:t>
            </m:r>
          </m:sub>
        </m:sSub>
      </m:oMath>
      <w:r w:rsidRPr="001C1D37">
        <w:rPr>
          <w:rFonts w:eastAsia="Calibri"/>
        </w:rPr>
        <w:t xml:space="preserve"> (censoring had occurred prior to time </w:t>
      </w:r>
      <m:oMath>
        <m:r>
          <w:rPr>
            <w:rFonts w:ascii="Cambria Math" w:hAnsi="Cambria Math"/>
          </w:rPr>
          <m:t>t</m:t>
        </m:r>
      </m:oMath>
      <w:r w:rsidRPr="001C1D37">
        <w:rPr>
          <w:rFonts w:eastAsia="Calibri"/>
        </w:rPr>
        <w:t xml:space="preserve">).  In other words, </w:t>
      </w:r>
      <m:oMath>
        <m:r>
          <w:rPr>
            <w:rFonts w:ascii="Cambria Math" w:hAnsi="Cambria Math"/>
          </w:rPr>
          <m:t>t</m:t>
        </m:r>
      </m:oMath>
      <w:r w:rsidRPr="001C1D37">
        <w:rPr>
          <w:rFonts w:eastAsia="Calibri"/>
        </w:rPr>
        <w:t xml:space="preserve"> is an endpoint or horizon in its own time </w:t>
      </w:r>
      <w:proofErr w:type="gramStart"/>
      <w:r w:rsidRPr="001C1D37">
        <w:rPr>
          <w:rFonts w:eastAsia="Calibri"/>
        </w:rPr>
        <w:t xml:space="preserve">period </w:t>
      </w:r>
      <w:proofErr w:type="gramEnd"/>
      <m:oMath>
        <m:r>
          <w:rPr>
            <w:rFonts w:ascii="Cambria Math" w:hAnsi="Cambria Math"/>
          </w:rPr>
          <m:t>(</m:t>
        </m:r>
        <m:r>
          <m:rPr>
            <m:sty m:val="p"/>
          </m:rPr>
          <w:rPr>
            <w:rFonts w:ascii="Cambria Math" w:hAnsi="Cambria Math"/>
          </w:rPr>
          <m:t xml:space="preserve">0, </m:t>
        </m:r>
        <m:r>
          <w:rPr>
            <w:rFonts w:ascii="Cambria Math" w:hAnsi="Cambria Math"/>
          </w:rPr>
          <m:t>t)</m:t>
        </m:r>
      </m:oMath>
      <w:r w:rsidR="006A5555" w:rsidRPr="001C1D37">
        <w:rPr>
          <w:rFonts w:eastAsia="Calibri"/>
        </w:rPr>
        <w:t>.</w:t>
      </w:r>
      <w:r w:rsidRPr="001C1D37">
        <w:t xml:space="preserve"> </w:t>
      </w:r>
      <w:r w:rsidRPr="001C1D37">
        <w:rPr>
          <w:rFonts w:eastAsia="Calibri"/>
        </w:rPr>
        <w:t>We then define the corresponding event</w:t>
      </w:r>
      <w:r w:rsidR="006A5555" w:rsidRPr="001C1D37">
        <w:rPr>
          <w:rFonts w:eastAsia="Calibri"/>
        </w:rPr>
        <w:t>-time</w:t>
      </w:r>
      <w:r w:rsidRPr="001C1D37">
        <w:rPr>
          <w:rFonts w:eastAsia="Calibri"/>
        </w:rPr>
        <w:t xml:space="preserve"> process </w:t>
      </w:r>
      <w:proofErr w:type="gramStart"/>
      <w:r w:rsidRPr="001C1D37">
        <w:rPr>
          <w:rFonts w:eastAsia="Calibri"/>
        </w:rPr>
        <w:t xml:space="preserve">by </w:t>
      </w:r>
      <w:proofErr w:type="gramEnd"/>
      <m:oMath>
        <m:d>
          <m:dPr>
            <m:begChr m:val="{"/>
            <m:endChr m:val="}"/>
            <m:ctrlPr>
              <w:rPr>
                <w:rFonts w:ascii="Cambria Math" w:eastAsia="Calibri"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ctrlPr>
              <w:rPr>
                <w:rFonts w:ascii="Cambria Math" w:hAnsi="Cambria Math"/>
                <w:i/>
              </w:rPr>
            </m:ctrlPr>
          </m:e>
        </m:d>
      </m:oMath>
      <w:r w:rsidRPr="001C1D37">
        <w:rPr>
          <w:rFonts w:eastAsia="Calibri"/>
        </w:rPr>
        <w:t xml:space="preserve">. This is comparable to the corresponding counting process formulation </w:t>
      </w:r>
      <m:oMath>
        <m:sSub>
          <m:sSubPr>
            <m:ctrlPr>
              <w:rPr>
                <w:rFonts w:ascii="Cambria Math" w:eastAsia="Calibri" w:hAnsi="Cambria Math"/>
              </w:rPr>
            </m:ctrlPr>
          </m:sSubPr>
          <m:e>
            <m:r>
              <w:rPr>
                <w:rFonts w:ascii="Cambria Math" w:eastAsia="Calibri" w:hAnsi="Cambria Math"/>
              </w:rPr>
              <m:t>N</m:t>
            </m:r>
          </m:e>
          <m:sub>
            <m:r>
              <w:rPr>
                <w:rFonts w:ascii="Cambria Math" w:eastAsia="Calibri" w:hAnsi="Cambria Math"/>
              </w:rPr>
              <m:t>i</m:t>
            </m:r>
          </m:sub>
        </m:sSub>
        <m:d>
          <m:dPr>
            <m:ctrlPr>
              <w:rPr>
                <w:rFonts w:ascii="Cambria Math" w:eastAsia="Calibri" w:hAnsi="Cambria Math"/>
              </w:rPr>
            </m:ctrlPr>
          </m:dPr>
          <m:e>
            <m:r>
              <w:rPr>
                <w:rFonts w:ascii="Cambria Math" w:hAnsi="Cambria Math"/>
              </w:rPr>
              <m:t>t</m:t>
            </m:r>
          </m:e>
        </m:d>
        <m:r>
          <w:rPr>
            <w:rFonts w:ascii="Cambria Math" w:eastAsia="Calibri" w:hAnsi="Cambria Math"/>
          </w:rPr>
          <m:t>=I(</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eastAsia="Calibri" w:hAnsi="Cambria Math"/>
          </w:rPr>
          <m:t>≤</m:t>
        </m:r>
        <m:r>
          <w:rPr>
            <w:rFonts w:ascii="Cambria Math" w:hAnsi="Cambria Math"/>
          </w:rPr>
          <m:t>t</m:t>
        </m:r>
        <m:r>
          <w:rPr>
            <w:rFonts w:ascii="Cambria Math" w:eastAsia="Calibri" w:hAnsi="Cambria Math"/>
          </w:rPr>
          <m:t>)</m:t>
        </m:r>
      </m:oMath>
      <w:r w:rsidRPr="001C1D37">
        <w:rPr>
          <w:rFonts w:eastAsia="Calibri"/>
        </w:rPr>
        <w:t xml:space="preserve"> at time </w:t>
      </w:r>
      <m:oMath>
        <m:r>
          <w:rPr>
            <w:rFonts w:ascii="Cambria Math" w:hAnsi="Cambria Math"/>
          </w:rPr>
          <m:t>t</m:t>
        </m:r>
      </m:oMath>
      <w:r w:rsidRPr="001C1D37">
        <w:rPr>
          <w:rFonts w:eastAsia="Calibri"/>
        </w:rPr>
        <w:t xml:space="preserve"> [</w:t>
      </w:r>
      <w:r w:rsidR="00DC07E3" w:rsidRPr="001C1D37">
        <w:rPr>
          <w:rFonts w:eastAsia="Calibri"/>
        </w:rPr>
        <w:t>27</w:t>
      </w:r>
      <w:r w:rsidRPr="001C1D37">
        <w:rPr>
          <w:rFonts w:eastAsia="Calibri"/>
        </w:rPr>
        <w:t xml:space="preserve">]. </w:t>
      </w:r>
    </w:p>
    <w:p w:rsidR="00D0467E" w:rsidRPr="001C1D37" w:rsidRDefault="00D0467E" w:rsidP="001C1D37">
      <w:pPr>
        <w:autoSpaceDE w:val="0"/>
        <w:autoSpaceDN w:val="0"/>
        <w:adjustRightInd w:val="0"/>
        <w:rPr>
          <w:rFonts w:eastAsia="Calibri"/>
        </w:rPr>
      </w:pPr>
    </w:p>
    <w:p w:rsidR="00BF4A60" w:rsidRPr="001C1D37" w:rsidRDefault="00BF4A60" w:rsidP="001C1D37">
      <w:pPr>
        <w:autoSpaceDE w:val="0"/>
        <w:autoSpaceDN w:val="0"/>
        <w:adjustRightInd w:val="0"/>
        <w:rPr>
          <w:rFonts w:eastAsia="Calibri"/>
        </w:rPr>
      </w:pPr>
    </w:p>
    <w:p w:rsidR="00EC0692" w:rsidRPr="001C1D37" w:rsidRDefault="00D0467E" w:rsidP="001C1D37">
      <w:pPr>
        <w:rPr>
          <w:lang w:eastAsia="en-GB"/>
        </w:rPr>
      </w:pPr>
      <w:r w:rsidRPr="001C1D37">
        <w:t xml:space="preserve">Let </w:t>
      </w: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m:t>
            </m:r>
          </m:sub>
        </m:sSub>
        <m:r>
          <m:rPr>
            <m:sty m:val="bi"/>
          </m:rPr>
          <w:rPr>
            <w:rFonts w:ascii="Cambria Math" w:hAnsi="Cambria Math"/>
          </w:rPr>
          <m:t>(v)</m:t>
        </m:r>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eastAsia="Calibri" w:hAnsi="Cambria Math"/>
                <w:i/>
                <w:iCs/>
                <w:lang w:eastAsia="en-GB" w:bidi="ta-IN"/>
              </w:rPr>
            </m:ctrlPr>
          </m:dPr>
          <m:e>
            <m:r>
              <w:rPr>
                <w:rFonts w:ascii="Cambria Math" w:eastAsia="Calibri" w:hAnsi="Cambria Math"/>
                <w:lang w:eastAsia="en-GB" w:bidi="ta-IN"/>
              </w:rPr>
              <m:t>v</m:t>
            </m:r>
          </m:e>
        </m:d>
        <m:r>
          <w:rPr>
            <w:rFonts w:ascii="Cambria Math" w:eastAsia="Calibri" w:hAnsi="Cambria Math"/>
            <w:lang w:eastAsia="en-GB" w:bidi="ta-IN"/>
          </w:rPr>
          <m:t>;0≤v≤</m:t>
        </m:r>
        <m:sSub>
          <m:sSubPr>
            <m:ctrlPr>
              <w:rPr>
                <w:rFonts w:ascii="Cambria Math" w:hAnsi="Cambria Math"/>
              </w:rPr>
            </m:ctrlPr>
          </m:sSubPr>
          <m:e>
            <m:r>
              <w:rPr>
                <w:rFonts w:ascii="Cambria Math" w:hAnsi="Cambria Math"/>
              </w:rPr>
              <m:t>Z</m:t>
            </m:r>
          </m:e>
          <m:sub>
            <m:r>
              <w:rPr>
                <w:rFonts w:ascii="Cambria Math" w:hAnsi="Cambria Math"/>
              </w:rPr>
              <m:t>i</m:t>
            </m:r>
          </m:sub>
        </m:sSub>
        <m:r>
          <w:rPr>
            <w:rFonts w:ascii="Cambria Math" w:eastAsia="Calibri" w:hAnsi="Cambria Math"/>
            <w:lang w:eastAsia="en-GB" w:bidi="ta-IN"/>
          </w:rPr>
          <m:t>}</m:t>
        </m:r>
      </m:oMath>
      <w:r w:rsidRPr="001C1D37">
        <w:rPr>
          <w:lang w:eastAsia="en-GB" w:bidi="ta-IN"/>
        </w:rPr>
        <w:t xml:space="preserve"> </w:t>
      </w:r>
      <w:r w:rsidR="00171880" w:rsidRPr="001C1D37">
        <w:t xml:space="preserve">be the observed longitudinal biomarker measurements for the </w:t>
      </w:r>
      <m:oMath>
        <m:r>
          <w:rPr>
            <w:rFonts w:ascii="Cambria Math" w:hAnsi="Cambria Math"/>
          </w:rPr>
          <m:t>i</m:t>
        </m:r>
      </m:oMath>
      <w:r w:rsidR="00171880" w:rsidRPr="001C1D37">
        <w:t xml:space="preserve">th individual </w:t>
      </w:r>
      <w:r w:rsidR="008F3153" w:rsidRPr="001C1D37">
        <w:t>recorded</w:t>
      </w:r>
      <w:r w:rsidR="00171880" w:rsidRPr="001C1D37">
        <w:t xml:space="preserve"> </w:t>
      </w:r>
      <w:proofErr w:type="gramStart"/>
      <w:r w:rsidR="005A02DA" w:rsidRPr="001C1D37">
        <w:t xml:space="preserve">over </w:t>
      </w:r>
      <w:proofErr w:type="gramEnd"/>
      <m:oMath>
        <m:r>
          <w:rPr>
            <w:rFonts w:ascii="Cambria Math" w:hAnsi="Cambria Math"/>
          </w:rPr>
          <m:t>(</m:t>
        </m:r>
        <m:r>
          <m:rPr>
            <m:sty m:val="p"/>
          </m:rPr>
          <w:rPr>
            <w:rFonts w:ascii="Cambria Math" w:hAnsi="Cambria Math"/>
          </w:rPr>
          <m:t xml:space="preserve">0, </m:t>
        </m:r>
        <m:sSub>
          <m:sSubPr>
            <m:ctrlPr>
              <w:rPr>
                <w:rFonts w:ascii="Cambria Math" w:hAnsi="Cambria Math"/>
              </w:rPr>
            </m:ctrlPr>
          </m:sSubPr>
          <m:e>
            <m:r>
              <w:rPr>
                <w:rFonts w:ascii="Cambria Math" w:hAnsi="Cambria Math"/>
              </w:rPr>
              <m:t>Z</m:t>
            </m:r>
          </m:e>
          <m:sub>
            <m:r>
              <w:rPr>
                <w:rFonts w:ascii="Cambria Math" w:hAnsi="Cambria Math"/>
              </w:rPr>
              <m:t>i</m:t>
            </m:r>
          </m:sub>
        </m:sSub>
        <m:r>
          <w:rPr>
            <w:rFonts w:ascii="Cambria Math" w:hAnsi="Cambria Math"/>
          </w:rPr>
          <m:t>)</m:t>
        </m:r>
      </m:oMath>
      <w:r w:rsidR="00171880" w:rsidRPr="001C1D37">
        <w:t xml:space="preserve">. </w:t>
      </w:r>
      <w:r w:rsidR="00171880" w:rsidRPr="001C1D37">
        <w:rPr>
          <w:lang w:eastAsia="en-GB" w:bidi="ta-IN"/>
        </w:rPr>
        <w:t xml:space="preserve">This </w:t>
      </w:r>
      <w:r w:rsidR="00B608FF" w:rsidRPr="001C1D37">
        <w:rPr>
          <w:lang w:eastAsia="en-GB" w:bidi="ta-IN"/>
        </w:rPr>
        <w:t>defines</w:t>
      </w:r>
      <w:r w:rsidRPr="001C1D37">
        <w:t xml:space="preserve"> </w:t>
      </w:r>
      <w:r w:rsidR="00171880" w:rsidRPr="001C1D37">
        <w:t xml:space="preserve">the </w:t>
      </w:r>
      <w:r w:rsidRPr="001C1D37">
        <w:t>observe</w:t>
      </w:r>
      <w:r w:rsidR="00171880" w:rsidRPr="001C1D37">
        <w:t>d</w:t>
      </w:r>
      <w:r w:rsidRPr="001C1D37">
        <w:t xml:space="preserve"> </w:t>
      </w:r>
      <w:r w:rsidRPr="001C1D37">
        <w:rPr>
          <w:lang w:eastAsia="en-GB" w:bidi="ta-IN"/>
        </w:rPr>
        <w:t xml:space="preserve">history of </w:t>
      </w:r>
      <w:r w:rsidRPr="001C1D37">
        <w:t xml:space="preserve">biomarker </w:t>
      </w:r>
      <w:r w:rsidRPr="001C1D37">
        <w:rPr>
          <w:lang w:eastAsia="en-GB" w:bidi="ta-IN"/>
        </w:rPr>
        <w:t xml:space="preserve">measured </w:t>
      </w:r>
      <w:r w:rsidRPr="001C1D37">
        <w:t xml:space="preserve">over </w:t>
      </w:r>
      <m:oMath>
        <m:r>
          <w:rPr>
            <w:rFonts w:ascii="Cambria Math" w:hAnsi="Cambria Math"/>
          </w:rPr>
          <m:t>(</m:t>
        </m:r>
        <m:r>
          <m:rPr>
            <m:sty m:val="p"/>
          </m:rPr>
          <w:rPr>
            <w:rFonts w:ascii="Cambria Math" w:hAnsi="Cambria Math"/>
          </w:rPr>
          <m:t xml:space="preserve">0, </m:t>
        </m:r>
        <m:r>
          <w:rPr>
            <w:rFonts w:ascii="Cambria Math" w:hAnsi="Cambria Math"/>
          </w:rPr>
          <m:t>t)</m:t>
        </m:r>
      </m:oMath>
      <w:r w:rsidRPr="001C1D37">
        <w:t xml:space="preserve"> </w:t>
      </w:r>
      <w:r w:rsidR="005A02DA" w:rsidRPr="001C1D37">
        <w:t>for each individual</w:t>
      </w:r>
      <w:r w:rsidRPr="001C1D37">
        <w:rPr>
          <w:lang w:eastAsia="en-GB" w:bidi="ta-IN"/>
        </w:rPr>
        <w:t>. We a</w:t>
      </w:r>
      <w:r w:rsidRPr="001C1D37">
        <w:t xml:space="preserve">ssume biomarker measurements are obtained intermittently at several time points over </w:t>
      </w:r>
      <m:oMath>
        <m:r>
          <w:rPr>
            <w:rFonts w:ascii="Cambria Math" w:hAnsi="Cambria Math"/>
          </w:rPr>
          <m:t>(</m:t>
        </m:r>
        <m:r>
          <m:rPr>
            <m:sty m:val="p"/>
          </m:rPr>
          <w:rPr>
            <w:rFonts w:ascii="Cambria Math" w:hAnsi="Cambria Math"/>
          </w:rPr>
          <m:t xml:space="preserve">0, </m:t>
        </m:r>
        <m:r>
          <w:rPr>
            <w:rFonts w:ascii="Cambria Math" w:hAnsi="Cambria Math"/>
          </w:rPr>
          <m:t>t)</m:t>
        </m:r>
      </m:oMath>
      <w:r w:rsidRPr="001C1D37">
        <w:t xml:space="preserve"> and are also measured with error. We specifically assume that </w:t>
      </w:r>
      <w:r w:rsidR="00EC0692" w:rsidRPr="001C1D37">
        <w:t xml:space="preserve">occurrence of the time-to-event </w:t>
      </w:r>
      <w:r w:rsidR="00EC0692" w:rsidRPr="001C1D37">
        <w:rPr>
          <w:rFonts w:eastAsia="Calibri"/>
        </w:rPr>
        <w:t xml:space="preserve">process </w:t>
      </w:r>
      <m:oMath>
        <m:d>
          <m:dPr>
            <m:begChr m:val="{"/>
            <m:endChr m:val="}"/>
            <m:ctrlPr>
              <w:rPr>
                <w:rFonts w:ascii="Cambria Math" w:eastAsia="Calibri"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ctrlPr>
              <w:rPr>
                <w:rFonts w:ascii="Cambria Math" w:hAnsi="Cambria Math"/>
                <w:i/>
              </w:rPr>
            </m:ctrlPr>
          </m:e>
        </m:d>
      </m:oMath>
      <w:r w:rsidR="00EC0692" w:rsidRPr="001C1D37">
        <w:rPr>
          <w:rFonts w:eastAsia="Calibri"/>
        </w:rPr>
        <w:t xml:space="preserve"> induces an informative censoring; </w:t>
      </w:r>
      <w:r w:rsidR="00685C20" w:rsidRPr="001C1D37">
        <w:rPr>
          <w:rFonts w:eastAsia="Calibri"/>
        </w:rPr>
        <w:t>that is,</w:t>
      </w:r>
      <w:r w:rsidR="00EC0692" w:rsidRPr="001C1D37">
        <w:rPr>
          <w:rFonts w:eastAsia="Calibri"/>
        </w:rPr>
        <w:t xml:space="preserve"> </w:t>
      </w:r>
      <w:proofErr w:type="spellStart"/>
      <w:r w:rsidRPr="001C1D37">
        <w:t>missingness</w:t>
      </w:r>
      <w:proofErr w:type="spellEnd"/>
      <w:r w:rsidRPr="001C1D37">
        <w:t xml:space="preserve"> in biomarker measurements is </w:t>
      </w:r>
      <w:r w:rsidRPr="001C1D37">
        <w:rPr>
          <w:i/>
        </w:rPr>
        <w:t>Missing Not at Random</w:t>
      </w:r>
      <w:r w:rsidRPr="001C1D37">
        <w:t xml:space="preserve"> (MNAR) [</w:t>
      </w:r>
      <w:r w:rsidR="00FE4C3F" w:rsidRPr="001C1D37">
        <w:t>2</w:t>
      </w:r>
      <w:r w:rsidR="00DC07E3" w:rsidRPr="001C1D37">
        <w:t>5</w:t>
      </w:r>
      <w:r w:rsidRPr="001C1D37">
        <w:t>], a more general form of missing data in many</w:t>
      </w:r>
      <w:r w:rsidRPr="001C1D37">
        <w:rPr>
          <w:rFonts w:eastAsia="Calibri"/>
        </w:rPr>
        <w:t xml:space="preserve"> clinical studies</w:t>
      </w:r>
      <w:r w:rsidRPr="001C1D37">
        <w:t xml:space="preserve">.  </w:t>
      </w:r>
    </w:p>
    <w:p w:rsidR="00BF4A60" w:rsidRPr="001C1D37" w:rsidRDefault="00BF4A60" w:rsidP="001C1D37">
      <w:pPr>
        <w:autoSpaceDE w:val="0"/>
        <w:autoSpaceDN w:val="0"/>
        <w:adjustRightInd w:val="0"/>
      </w:pPr>
    </w:p>
    <w:p w:rsidR="00893653" w:rsidRPr="001C1D37" w:rsidRDefault="00893653" w:rsidP="001C1D37">
      <w:pPr>
        <w:autoSpaceDE w:val="0"/>
        <w:autoSpaceDN w:val="0"/>
        <w:adjustRightInd w:val="0"/>
      </w:pPr>
    </w:p>
    <w:p w:rsidR="00D0467E" w:rsidRPr="001C1D37" w:rsidRDefault="00D0467E" w:rsidP="001C1D37">
      <w:pPr>
        <w:autoSpaceDE w:val="0"/>
        <w:autoSpaceDN w:val="0"/>
        <w:adjustRightInd w:val="0"/>
        <w:rPr>
          <w:rFonts w:eastAsia="Calibri"/>
          <w:i/>
          <w:iCs/>
          <w:lang w:eastAsia="en-GB" w:bidi="ta-IN"/>
        </w:rPr>
      </w:pPr>
      <w:r w:rsidRPr="001C1D37">
        <w:lastRenderedPageBreak/>
        <w:t>L</w:t>
      </w:r>
      <w:r w:rsidRPr="001C1D37">
        <w:rPr>
          <w:rFonts w:eastAsia="Calibri"/>
        </w:rPr>
        <w:t xml:space="preserve">et </w:t>
      </w:r>
      <m:oMath>
        <m:r>
          <w:rPr>
            <w:rFonts w:ascii="Cambria Math" w:eastAsia="Calibri" w:hAnsi="Cambria Math"/>
            <w:lang w:eastAsia="en-GB" w:bidi="ta-IN"/>
          </w:rPr>
          <m:t>{</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r>
          <w:rPr>
            <w:rFonts w:ascii="Cambria Math" w:eastAsia="Calibri" w:hAnsi="Cambria Math"/>
            <w:lang w:eastAsia="en-GB" w:bidi="ta-IN"/>
          </w:rPr>
          <m:t xml:space="preserve"> </m:t>
        </m:r>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m:t>
            </m:r>
          </m:sub>
        </m:sSub>
        <m:r>
          <m:rPr>
            <m:sty m:val="bi"/>
          </m:rPr>
          <w:rPr>
            <w:rFonts w:ascii="Cambria Math" w:hAnsi="Cambria Math"/>
          </w:rPr>
          <m:t>(v)</m:t>
        </m:r>
        <m:r>
          <w:rPr>
            <w:rFonts w:ascii="Cambria Math" w:eastAsia="Calibri" w:hAnsi="Cambria Math"/>
            <w:lang w:eastAsia="en-GB" w:bidi="ta-IN"/>
          </w:rPr>
          <m:t>}</m:t>
        </m:r>
      </m:oMath>
      <w:r w:rsidRPr="001C1D37">
        <w:rPr>
          <w:rFonts w:eastAsia="Calibri"/>
          <w:lang w:eastAsia="en-GB" w:bidi="ta-IN"/>
        </w:rPr>
        <w:t xml:space="preserve"> define the observed </w:t>
      </w:r>
      <w:r w:rsidRPr="001C1D37">
        <w:t>joint outcome</w:t>
      </w:r>
      <w:r w:rsidRPr="001C1D37">
        <w:rPr>
          <w:rFonts w:eastAsia="Calibri"/>
          <w:lang w:eastAsia="en-GB" w:bidi="ta-IN"/>
        </w:rPr>
        <w:t xml:space="preserve"> process for the </w:t>
      </w:r>
      <m:oMath>
        <m:r>
          <w:rPr>
            <w:rFonts w:ascii="Cambria Math" w:eastAsia="Calibri" w:hAnsi="Cambria Math"/>
            <w:lang w:eastAsia="en-GB" w:bidi="ta-IN"/>
          </w:rPr>
          <m:t>i</m:t>
        </m:r>
      </m:oMath>
      <w:r w:rsidRPr="001C1D37">
        <w:rPr>
          <w:rFonts w:eastAsia="Calibri"/>
          <w:lang w:eastAsia="en-GB" w:bidi="ta-IN"/>
        </w:rPr>
        <w:t xml:space="preserve">th individual </w:t>
      </w:r>
      <w:proofErr w:type="gramStart"/>
      <w:r w:rsidRPr="001C1D37">
        <w:rPr>
          <w:rFonts w:eastAsia="Calibri"/>
          <w:lang w:eastAsia="en-GB" w:bidi="ta-IN"/>
        </w:rPr>
        <w:t xml:space="preserve">over </w:t>
      </w:r>
      <w:proofErr w:type="gramEnd"/>
      <m:oMath>
        <m:r>
          <w:rPr>
            <w:rFonts w:ascii="Cambria Math" w:eastAsia="Calibri" w:hAnsi="Cambria Math"/>
            <w:lang w:eastAsia="en-GB" w:bidi="ta-IN"/>
          </w:rPr>
          <m:t xml:space="preserve">(0, </m:t>
        </m:r>
        <m:r>
          <w:rPr>
            <w:rFonts w:ascii="Cambria Math" w:hAnsi="Cambria Math"/>
          </w:rPr>
          <m:t>t</m:t>
        </m:r>
        <m:r>
          <w:rPr>
            <w:rFonts w:ascii="Cambria Math" w:eastAsia="Calibri" w:hAnsi="Cambria Math"/>
            <w:lang w:eastAsia="en-GB" w:bidi="ta-IN"/>
          </w:rPr>
          <m:t>)</m:t>
        </m:r>
      </m:oMath>
      <w:r w:rsidRPr="001C1D37">
        <w:rPr>
          <w:rFonts w:eastAsia="Calibri"/>
          <w:lang w:eastAsia="en-GB" w:bidi="ta-IN"/>
        </w:rPr>
        <w:t xml:space="preserve">, </w:t>
      </w:r>
      <m:oMath>
        <m:r>
          <w:rPr>
            <w:rFonts w:ascii="Cambria Math" w:hAnsi="Cambria Math"/>
          </w:rPr>
          <m:t>i</m:t>
        </m:r>
        <m:r>
          <m:rPr>
            <m:sty m:val="p"/>
          </m:rPr>
          <w:rPr>
            <w:rFonts w:ascii="Cambria Math" w:hAnsi="Cambria Math"/>
          </w:rPr>
          <m:t xml:space="preserve">=1, …, </m:t>
        </m:r>
        <m:r>
          <w:rPr>
            <w:rFonts w:ascii="Cambria Math" w:hAnsi="Cambria Math"/>
          </w:rPr>
          <m:t>n</m:t>
        </m:r>
      </m:oMath>
      <w:r w:rsidRPr="001C1D37">
        <w:rPr>
          <w:rFonts w:eastAsia="Calibri"/>
          <w:i/>
          <w:iCs/>
          <w:lang w:eastAsia="en-GB" w:bidi="ta-IN"/>
        </w:rPr>
        <w:t xml:space="preserve">. </w:t>
      </w:r>
    </w:p>
    <w:p w:rsidR="00D0467E" w:rsidRPr="001C1D37" w:rsidRDefault="00D0467E" w:rsidP="001C1D37">
      <w:pPr>
        <w:autoSpaceDE w:val="0"/>
        <w:autoSpaceDN w:val="0"/>
        <w:adjustRightInd w:val="0"/>
        <w:rPr>
          <w:rFonts w:eastAsia="Calibri"/>
          <w:iCs/>
          <w:lang w:eastAsia="en-GB" w:bidi="ta-IN"/>
        </w:rPr>
      </w:pPr>
    </w:p>
    <w:p w:rsidR="00BF4A60" w:rsidRPr="001C1D37" w:rsidRDefault="00BF4A60" w:rsidP="001C1D37">
      <w:pPr>
        <w:autoSpaceDE w:val="0"/>
        <w:autoSpaceDN w:val="0"/>
        <w:adjustRightInd w:val="0"/>
        <w:rPr>
          <w:rFonts w:eastAsia="Calibri"/>
          <w:iCs/>
          <w:lang w:eastAsia="en-GB" w:bidi="ta-IN"/>
        </w:rPr>
      </w:pPr>
    </w:p>
    <w:p w:rsidR="00D0467E" w:rsidRPr="001C1D37" w:rsidRDefault="00D0467E" w:rsidP="001C1D37">
      <w:pPr>
        <w:autoSpaceDE w:val="0"/>
        <w:autoSpaceDN w:val="0"/>
        <w:adjustRightInd w:val="0"/>
        <w:rPr>
          <w:rFonts w:eastAsia="Calibri"/>
          <w:b/>
          <w:iCs/>
          <w:lang w:eastAsia="en-GB" w:bidi="ta-IN"/>
        </w:rPr>
      </w:pPr>
      <w:r w:rsidRPr="001C1D37">
        <w:rPr>
          <w:rFonts w:eastAsia="Calibri"/>
          <w:b/>
          <w:iCs/>
          <w:lang w:eastAsia="en-GB" w:bidi="ta-IN"/>
        </w:rPr>
        <w:t>4.2 Stage 1: Fitting the joint model</w:t>
      </w:r>
    </w:p>
    <w:p w:rsidR="00242F05" w:rsidRPr="001C1D37" w:rsidRDefault="00D0467E" w:rsidP="001C1D37">
      <w:pPr>
        <w:autoSpaceDE w:val="0"/>
        <w:autoSpaceDN w:val="0"/>
        <w:adjustRightInd w:val="0"/>
        <w:rPr>
          <w:bCs/>
        </w:rPr>
      </w:pPr>
      <w:r w:rsidRPr="001C1D37">
        <w:rPr>
          <w:rFonts w:eastAsia="Calibri"/>
          <w:iCs/>
          <w:lang w:eastAsia="en-GB" w:bidi="ta-IN"/>
        </w:rPr>
        <w:t xml:space="preserve">We fit joint model by combining the </w:t>
      </w:r>
      <w:r w:rsidRPr="001C1D37">
        <w:rPr>
          <w:rFonts w:eastAsia="Calibri"/>
        </w:rPr>
        <w:t xml:space="preserve">information in </w:t>
      </w:r>
      <w:r w:rsidRPr="001C1D37">
        <w:rPr>
          <w:rFonts w:eastAsia="Calibri"/>
          <w:lang w:eastAsia="en-GB" w:bidi="ta-IN"/>
        </w:rPr>
        <w:t xml:space="preserve">the observed </w:t>
      </w:r>
      <w:r w:rsidRPr="001C1D37">
        <w:t>joint outcome</w:t>
      </w:r>
      <w:r w:rsidRPr="001C1D37">
        <w:rPr>
          <w:rFonts w:eastAsia="Calibri"/>
          <w:lang w:eastAsia="en-GB" w:bidi="ta-IN"/>
        </w:rPr>
        <w:t xml:space="preserve"> process </w:t>
      </w:r>
      <m:oMath>
        <m:r>
          <w:rPr>
            <w:rFonts w:ascii="Cambria Math" w:eastAsia="Calibri" w:hAnsi="Cambria Math"/>
            <w:lang w:eastAsia="en-GB" w:bidi="ta-IN"/>
          </w:rPr>
          <m:t>{</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r>
          <w:rPr>
            <w:rFonts w:ascii="Cambria Math" w:eastAsia="Calibri" w:hAnsi="Cambria Math"/>
            <w:lang w:eastAsia="en-GB" w:bidi="ta-IN"/>
          </w:rPr>
          <m:t xml:space="preserve"> </m:t>
        </m:r>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m:t>
            </m:r>
          </m:sub>
        </m:sSub>
        <m:r>
          <m:rPr>
            <m:sty m:val="bi"/>
          </m:rPr>
          <w:rPr>
            <w:rFonts w:ascii="Cambria Math" w:hAnsi="Cambria Math"/>
          </w:rPr>
          <m:t>(v)</m:t>
        </m:r>
        <m:r>
          <w:rPr>
            <w:rFonts w:ascii="Cambria Math" w:eastAsia="Calibri" w:hAnsi="Cambria Math"/>
            <w:lang w:eastAsia="en-GB" w:bidi="ta-IN"/>
          </w:rPr>
          <m:t>}</m:t>
        </m:r>
      </m:oMath>
      <w:r w:rsidR="00893653" w:rsidRPr="001C1D37">
        <w:rPr>
          <w:rFonts w:eastAsia="Calibri"/>
          <w:lang w:eastAsia="en-GB" w:bidi="ta-IN"/>
        </w:rPr>
        <w:t xml:space="preserve"> </w:t>
      </w:r>
      <w:r w:rsidRPr="001C1D37">
        <w:rPr>
          <w:rFonts w:eastAsia="Calibri"/>
          <w:lang w:eastAsia="en-GB" w:bidi="ta-IN"/>
        </w:rPr>
        <w:t xml:space="preserve">through longitudinal </w:t>
      </w:r>
      <w:r w:rsidRPr="001C1D37">
        <w:t xml:space="preserve">(1) and event-time (2) </w:t>
      </w:r>
      <w:proofErr w:type="spellStart"/>
      <w:r w:rsidRPr="001C1D37">
        <w:t>submodels</w:t>
      </w:r>
      <w:proofErr w:type="spellEnd"/>
      <w:r w:rsidRPr="001C1D37">
        <w:t xml:space="preserve"> as discussed in section 3.2. </w:t>
      </w:r>
      <w:r w:rsidR="003036EC" w:rsidRPr="001C1D37">
        <w:t xml:space="preserve">Let </w:t>
      </w:r>
      <m:oMath>
        <m:sSub>
          <m:sSubPr>
            <m:ctrlPr>
              <w:rPr>
                <w:rFonts w:ascii="Cambria Math" w:hAnsi="Cambria Math"/>
                <w:bCs/>
                <w:i/>
              </w:rPr>
            </m:ctrlPr>
          </m:sSubPr>
          <m:e>
            <m:r>
              <w:rPr>
                <w:rFonts w:ascii="Cambria Math" w:hAnsi="Cambria Math"/>
              </w:rPr>
              <m:t>U</m:t>
            </m:r>
          </m:e>
          <m:sub>
            <m:r>
              <w:rPr>
                <w:rFonts w:ascii="Cambria Math"/>
              </w:rPr>
              <m:t>0</m:t>
            </m:r>
            <m:r>
              <w:rPr>
                <w:rFonts w:ascii="Cambria Math" w:hAnsi="Cambria Math"/>
              </w:rPr>
              <m:t>i</m:t>
            </m:r>
          </m:sub>
        </m:sSub>
        <m:r>
          <w:rPr>
            <w:rFonts w:ascii="Cambria Math"/>
          </w:rPr>
          <m:t xml:space="preserve">  </m:t>
        </m:r>
      </m:oMath>
      <w:r w:rsidR="003036EC" w:rsidRPr="001C1D37">
        <w:rPr>
          <w:bCs/>
        </w:rPr>
        <w:t xml:space="preserve">and </w:t>
      </w:r>
      <m:oMath>
        <m:sSub>
          <m:sSubPr>
            <m:ctrlPr>
              <w:rPr>
                <w:rFonts w:ascii="Cambria Math" w:hAnsi="Cambria Math"/>
                <w:bCs/>
                <w:i/>
              </w:rPr>
            </m:ctrlPr>
          </m:sSubPr>
          <m:e>
            <m:r>
              <w:rPr>
                <w:rFonts w:ascii="Cambria Math" w:hAnsi="Cambria Math"/>
              </w:rPr>
              <m:t>U</m:t>
            </m:r>
          </m:e>
          <m:sub>
            <m:r>
              <w:rPr>
                <w:rFonts w:ascii="Cambria Math"/>
              </w:rPr>
              <m:t>1</m:t>
            </m:r>
            <m:r>
              <w:rPr>
                <w:rFonts w:ascii="Cambria Math" w:hAnsi="Cambria Math"/>
              </w:rPr>
              <m:t>i</m:t>
            </m:r>
          </m:sub>
        </m:sSub>
      </m:oMath>
      <w:r w:rsidR="003036EC" w:rsidRPr="001C1D37">
        <w:rPr>
          <w:bCs/>
        </w:rPr>
        <w:t xml:space="preserve"> be random intercept and random slope of the biomarker trajectory over (</w:t>
      </w:r>
      <m:oMath>
        <m:r>
          <w:rPr>
            <w:rFonts w:ascii="Cambria Math" w:hAnsi="Cambria Math"/>
          </w:rPr>
          <m:t xml:space="preserve">0, </m:t>
        </m:r>
        <m:sSub>
          <m:sSubPr>
            <m:ctrlPr>
              <w:rPr>
                <w:rFonts w:ascii="Cambria Math" w:hAnsi="Cambria Math"/>
              </w:rPr>
            </m:ctrlPr>
          </m:sSubPr>
          <m:e>
            <m:r>
              <w:rPr>
                <w:rFonts w:ascii="Cambria Math" w:hAnsi="Cambria Math"/>
              </w:rPr>
              <m:t>Z</m:t>
            </m:r>
          </m:e>
          <m:sub>
            <m:r>
              <w:rPr>
                <w:rFonts w:ascii="Cambria Math" w:hAnsi="Cambria Math"/>
              </w:rPr>
              <m:t>i</m:t>
            </m:r>
          </m:sub>
        </m:sSub>
      </m:oMath>
      <w:r w:rsidR="003036EC" w:rsidRPr="001C1D37">
        <w:rPr>
          <w:bCs/>
        </w:rPr>
        <w:t xml:space="preserve">) </w:t>
      </w:r>
      <w:r w:rsidR="00893653" w:rsidRPr="001C1D37">
        <w:rPr>
          <w:bCs/>
        </w:rPr>
        <w:t xml:space="preserve">of the </w:t>
      </w:r>
      <m:oMath>
        <m:r>
          <w:rPr>
            <w:rFonts w:ascii="Cambria Math" w:hAnsi="Cambria Math"/>
          </w:rPr>
          <m:t>i</m:t>
        </m:r>
      </m:oMath>
      <w:proofErr w:type="gramStart"/>
      <w:r w:rsidR="00893653" w:rsidRPr="001C1D37">
        <w:rPr>
          <w:bCs/>
        </w:rPr>
        <w:t>th</w:t>
      </w:r>
      <w:proofErr w:type="gramEnd"/>
      <w:r w:rsidR="00893653" w:rsidRPr="001C1D37">
        <w:rPr>
          <w:bCs/>
        </w:rPr>
        <w:t xml:space="preserve"> individual and</w:t>
      </w:r>
      <w:r w:rsidRPr="001C1D37">
        <w:rPr>
          <w:bCs/>
        </w:rPr>
        <w:t xml:space="preserve"> </w:t>
      </w:r>
      <w:r w:rsidR="008F3153" w:rsidRPr="001C1D37">
        <w:rPr>
          <w:bCs/>
        </w:rPr>
        <w:t xml:space="preserve">let </w:t>
      </w:r>
      <m:oMath>
        <m:r>
          <w:rPr>
            <w:rFonts w:ascii="Cambria Math" w:hAnsi="Cambria Math"/>
          </w:rPr>
          <m:t>(</m:t>
        </m:r>
        <m:sSub>
          <m:sSubPr>
            <m:ctrlPr>
              <w:rPr>
                <w:rFonts w:ascii="Cambria Math" w:hAnsi="Cambria Math"/>
                <w:bCs/>
                <w:i/>
              </w:rPr>
            </m:ctrlPr>
          </m:sSubPr>
          <m:e>
            <m:r>
              <w:rPr>
                <w:rFonts w:ascii="Cambria Math" w:hAnsi="Cambria Math"/>
              </w:rPr>
              <m:t>U</m:t>
            </m:r>
          </m:e>
          <m:sub>
            <m:r>
              <w:rPr>
                <w:rFonts w:ascii="Cambria Math"/>
              </w:rPr>
              <m:t>0</m:t>
            </m:r>
            <m:r>
              <w:rPr>
                <w:rFonts w:ascii="Cambria Math" w:hAnsi="Cambria Math"/>
              </w:rPr>
              <m:t>i</m:t>
            </m:r>
          </m:sub>
        </m:sSub>
        <m:r>
          <w:rPr>
            <w:rFonts w:ascii="Cambria Math"/>
          </w:rPr>
          <m:t xml:space="preserve">, </m:t>
        </m:r>
        <m:sSub>
          <m:sSubPr>
            <m:ctrlPr>
              <w:rPr>
                <w:rFonts w:ascii="Cambria Math" w:hAnsi="Cambria Math"/>
                <w:bCs/>
                <w:i/>
              </w:rPr>
            </m:ctrlPr>
          </m:sSubPr>
          <m:e>
            <m:r>
              <w:rPr>
                <w:rFonts w:ascii="Cambria Math" w:hAnsi="Cambria Math"/>
              </w:rPr>
              <m:t>U</m:t>
            </m:r>
          </m:e>
          <m:sub>
            <m:r>
              <w:rPr>
                <w:rFonts w:ascii="Cambria Math"/>
              </w:rPr>
              <m:t>1</m:t>
            </m:r>
            <m:r>
              <w:rPr>
                <w:rFonts w:ascii="Cambria Math" w:hAnsi="Cambria Math"/>
              </w:rPr>
              <m:t>i</m:t>
            </m:r>
          </m:sub>
        </m:sSub>
        <m:r>
          <w:rPr>
            <w:rFonts w:ascii="Cambria Math" w:hAnsi="Cambria Math"/>
          </w:rPr>
          <m:t>)</m:t>
        </m:r>
      </m:oMath>
      <w:r w:rsidRPr="001C1D37">
        <w:rPr>
          <w:bCs/>
        </w:rPr>
        <w:t xml:space="preserve"> </w:t>
      </w:r>
      <w:r w:rsidRPr="001C1D37">
        <w:rPr>
          <w:rFonts w:eastAsia="Calibri"/>
          <w:lang w:eastAsia="en-GB" w:bidi="ta-IN"/>
        </w:rPr>
        <w:t>assume</w:t>
      </w:r>
      <w:r w:rsidRPr="001C1D37">
        <w:rPr>
          <w:bCs/>
        </w:rPr>
        <w:t xml:space="preserve"> a</w:t>
      </w:r>
      <w:r w:rsidRPr="001C1D37">
        <w:t xml:space="preserve"> multivariate normal with mean 0 and variance </w:t>
      </w:r>
      <m:oMath>
        <m:sSub>
          <m:sSubPr>
            <m:ctrlPr>
              <w:rPr>
                <w:rFonts w:ascii="Cambria Math" w:hAnsi="Cambria Math"/>
              </w:rPr>
            </m:ctrlPr>
          </m:sSubPr>
          <m:e>
            <m:r>
              <m:rPr>
                <m:sty m:val="p"/>
              </m:rPr>
              <w:rPr>
                <w:rFonts w:ascii="Cambria Math" w:hAnsi="Cambria Math"/>
              </w:rPr>
              <m:t>Σ</m:t>
            </m:r>
          </m:e>
          <m:sub>
            <m:r>
              <w:rPr>
                <w:rFonts w:ascii="Cambria Math" w:hAnsi="Cambria Math"/>
              </w:rPr>
              <m:t>u</m:t>
            </m:r>
          </m:sub>
        </m:sSub>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Sup>
                    <m:sSubSupPr>
                      <m:ctrlPr>
                        <w:rPr>
                          <w:rFonts w:ascii="Cambria Math" w:hAnsi="Cambria Math"/>
                          <w:i/>
                        </w:rPr>
                      </m:ctrlPr>
                    </m:sSubSupPr>
                    <m:e>
                      <m:r>
                        <w:rPr>
                          <w:rFonts w:ascii="Cambria Math" w:hAnsi="Cambria Math"/>
                        </w:rPr>
                        <m:t>σ</m:t>
                      </m:r>
                    </m:e>
                    <m:sub>
                      <m:sSub>
                        <m:sSubPr>
                          <m:ctrlPr>
                            <w:rPr>
                              <w:rFonts w:ascii="Cambria Math" w:hAnsi="Cambria Math"/>
                              <w:i/>
                            </w:rPr>
                          </m:ctrlPr>
                        </m:sSubPr>
                        <m:e>
                          <m:r>
                            <w:rPr>
                              <w:rFonts w:ascii="Cambria Math" w:hAnsi="Cambria Math"/>
                            </w:rPr>
                            <m:t>u</m:t>
                          </m:r>
                        </m:e>
                        <m:sub>
                          <m:r>
                            <w:rPr>
                              <w:rFonts w:ascii="Cambria Math" w:hAnsi="Cambria Math"/>
                            </w:rPr>
                            <m:t>0</m:t>
                          </m:r>
                        </m:sub>
                      </m:sSub>
                    </m:sub>
                    <m:sup>
                      <m:r>
                        <w:rPr>
                          <w:rFonts w:ascii="Cambria Math" w:hAnsi="Cambria Math"/>
                        </w:rPr>
                        <m:t>2</m:t>
                      </m:r>
                    </m:sup>
                  </m:sSubSup>
                </m:e>
                <m:e>
                  <m:sSub>
                    <m:sSubPr>
                      <m:ctrlPr>
                        <w:rPr>
                          <w:rFonts w:ascii="Cambria Math" w:hAnsi="Cambria Math"/>
                          <w:i/>
                        </w:rPr>
                      </m:ctrlPr>
                    </m:sSubPr>
                    <m:e>
                      <m:r>
                        <w:rPr>
                          <w:rFonts w:ascii="Cambria Math" w:hAnsi="Cambria Math"/>
                        </w:rPr>
                        <m:t>σ</m:t>
                      </m:r>
                    </m:e>
                    <m:sub>
                      <m:sSub>
                        <m:sSubPr>
                          <m:ctrlPr>
                            <w:rPr>
                              <w:rFonts w:ascii="Cambria Math" w:hAnsi="Cambria Math"/>
                              <w:i/>
                            </w:rPr>
                          </m:ctrlPr>
                        </m:sSubPr>
                        <m:e>
                          <m:r>
                            <w:rPr>
                              <w:rFonts w:ascii="Cambria Math" w:hAnsi="Cambria Math"/>
                            </w:rPr>
                            <m:t>u</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sub>
                  </m:sSub>
                </m:e>
              </m:mr>
              <m:mr>
                <m:e>
                  <m:sSub>
                    <m:sSubPr>
                      <m:ctrlPr>
                        <w:rPr>
                          <w:rFonts w:ascii="Cambria Math" w:hAnsi="Cambria Math"/>
                          <w:i/>
                        </w:rPr>
                      </m:ctrlPr>
                    </m:sSubPr>
                    <m:e>
                      <m:r>
                        <w:rPr>
                          <w:rFonts w:ascii="Cambria Math" w:hAnsi="Cambria Math"/>
                        </w:rPr>
                        <m:t>σ</m:t>
                      </m:r>
                    </m:e>
                    <m:sub>
                      <m:sSub>
                        <m:sSubPr>
                          <m:ctrlPr>
                            <w:rPr>
                              <w:rFonts w:ascii="Cambria Math" w:hAnsi="Cambria Math"/>
                              <w:i/>
                            </w:rPr>
                          </m:ctrlPr>
                        </m:sSubPr>
                        <m:e>
                          <m:r>
                            <w:rPr>
                              <w:rFonts w:ascii="Cambria Math" w:hAnsi="Cambria Math"/>
                            </w:rPr>
                            <m:t>u</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sub>
                  </m:sSub>
                </m:e>
                <m:e>
                  <m:sSubSup>
                    <m:sSubSupPr>
                      <m:ctrlPr>
                        <w:rPr>
                          <w:rFonts w:ascii="Cambria Math" w:hAnsi="Cambria Math"/>
                          <w:i/>
                        </w:rPr>
                      </m:ctrlPr>
                    </m:sSubSupPr>
                    <m:e>
                      <m:r>
                        <w:rPr>
                          <w:rFonts w:ascii="Cambria Math" w:hAnsi="Cambria Math"/>
                        </w:rPr>
                        <m:t>σ</m:t>
                      </m:r>
                    </m:e>
                    <m:sub>
                      <m:sSub>
                        <m:sSubPr>
                          <m:ctrlPr>
                            <w:rPr>
                              <w:rFonts w:ascii="Cambria Math" w:hAnsi="Cambria Math"/>
                              <w:i/>
                            </w:rPr>
                          </m:ctrlPr>
                        </m:sSubPr>
                        <m:e>
                          <m:r>
                            <w:rPr>
                              <w:rFonts w:ascii="Cambria Math" w:hAnsi="Cambria Math"/>
                            </w:rPr>
                            <m:t>u</m:t>
                          </m:r>
                        </m:e>
                        <m:sub>
                          <m:r>
                            <w:rPr>
                              <w:rFonts w:ascii="Cambria Math" w:hAnsi="Cambria Math"/>
                            </w:rPr>
                            <m:t>1</m:t>
                          </m:r>
                        </m:sub>
                      </m:sSub>
                    </m:sub>
                    <m:sup>
                      <m:r>
                        <w:rPr>
                          <w:rFonts w:ascii="Cambria Math" w:hAnsi="Cambria Math"/>
                        </w:rPr>
                        <m:t>2</m:t>
                      </m:r>
                    </m:sup>
                  </m:sSubSup>
                </m:e>
              </m:mr>
            </m:m>
          </m:e>
        </m:d>
      </m:oMath>
      <w:r w:rsidRPr="001C1D37">
        <w:t xml:space="preserve"> </w:t>
      </w:r>
      <w:r w:rsidRPr="001C1D37">
        <w:rPr>
          <w:bCs/>
        </w:rPr>
        <w:t>[</w:t>
      </w:r>
      <w:r w:rsidR="00821C80" w:rsidRPr="001C1D37">
        <w:rPr>
          <w:bCs/>
        </w:rPr>
        <w:t>10</w:t>
      </w:r>
      <w:r w:rsidRPr="001C1D37">
        <w:rPr>
          <w:bCs/>
        </w:rPr>
        <w:t>]</w:t>
      </w:r>
      <w:r w:rsidR="003036EC" w:rsidRPr="001C1D37">
        <w:rPr>
          <w:bCs/>
        </w:rPr>
        <w:t>.</w:t>
      </w:r>
      <w:r w:rsidR="00B42D9F" w:rsidRPr="001C1D37">
        <w:rPr>
          <w:bCs/>
        </w:rPr>
        <w:t xml:space="preserve"> </w:t>
      </w:r>
      <m:oMath>
        <m:sSub>
          <m:sSubPr>
            <m:ctrlPr>
              <w:rPr>
                <w:rFonts w:ascii="Cambria Math" w:hAnsi="Cambria Math"/>
                <w:bCs/>
                <w:i/>
              </w:rPr>
            </m:ctrlPr>
          </m:sSubPr>
          <m:e>
            <m:r>
              <w:rPr>
                <w:rFonts w:ascii="Cambria Math" w:hAnsi="Cambria Math"/>
              </w:rPr>
              <m:t>U</m:t>
            </m:r>
          </m:e>
          <m:sub>
            <m:r>
              <w:rPr>
                <w:rFonts w:ascii="Cambria Math"/>
              </w:rPr>
              <m:t>0</m:t>
            </m:r>
            <m:r>
              <w:rPr>
                <w:rFonts w:ascii="Cambria Math" w:hAnsi="Cambria Math"/>
              </w:rPr>
              <m:t>i</m:t>
            </m:r>
          </m:sub>
        </m:sSub>
      </m:oMath>
      <w:r w:rsidR="00B42D9F" w:rsidRPr="001C1D37">
        <w:rPr>
          <w:bCs/>
        </w:rPr>
        <w:t xml:space="preserve"> </w:t>
      </w:r>
      <w:proofErr w:type="gramStart"/>
      <w:r w:rsidR="00B42D9F" w:rsidRPr="001C1D37">
        <w:rPr>
          <w:bCs/>
        </w:rPr>
        <w:t>and</w:t>
      </w:r>
      <w:proofErr w:type="gramEnd"/>
      <w:r w:rsidR="00B42D9F" w:rsidRPr="001C1D37">
        <w:rPr>
          <w:bCs/>
        </w:rPr>
        <w:t xml:space="preserve"> </w:t>
      </w:r>
      <m:oMath>
        <m:sSub>
          <m:sSubPr>
            <m:ctrlPr>
              <w:rPr>
                <w:rFonts w:ascii="Cambria Math" w:hAnsi="Cambria Math"/>
                <w:bCs/>
                <w:i/>
              </w:rPr>
            </m:ctrlPr>
          </m:sSubPr>
          <m:e>
            <m:r>
              <w:rPr>
                <w:rFonts w:ascii="Cambria Math" w:hAnsi="Cambria Math"/>
              </w:rPr>
              <m:t>U</m:t>
            </m:r>
          </m:e>
          <m:sub>
            <m:r>
              <w:rPr>
                <w:rFonts w:ascii="Cambria Math"/>
              </w:rPr>
              <m:t>1</m:t>
            </m:r>
            <m:r>
              <w:rPr>
                <w:rFonts w:ascii="Cambria Math" w:hAnsi="Cambria Math"/>
              </w:rPr>
              <m:t>i</m:t>
            </m:r>
          </m:sub>
        </m:sSub>
      </m:oMath>
      <w:r w:rsidR="00B42D9F" w:rsidRPr="001C1D37">
        <w:rPr>
          <w:bCs/>
        </w:rPr>
        <w:t xml:space="preserve"> reflect individual-level deviations of the longitudinal profile from the population mean at baseline and </w:t>
      </w:r>
      <w:r w:rsidR="00893653" w:rsidRPr="001C1D37">
        <w:rPr>
          <w:bCs/>
        </w:rPr>
        <w:t xml:space="preserve">from </w:t>
      </w:r>
      <w:r w:rsidR="00CD4DB9" w:rsidRPr="001C1D37">
        <w:rPr>
          <w:bCs/>
        </w:rPr>
        <w:t xml:space="preserve">the population mean slope </w:t>
      </w:r>
      <w:r w:rsidR="003036EC" w:rsidRPr="001C1D37">
        <w:rPr>
          <w:bCs/>
        </w:rPr>
        <w:t xml:space="preserve">at </w:t>
      </w:r>
      <w:r w:rsidR="002A7240" w:rsidRPr="001C1D37">
        <w:rPr>
          <w:bCs/>
        </w:rPr>
        <w:t xml:space="preserve">event </w:t>
      </w:r>
      <w:r w:rsidR="00B42D9F" w:rsidRPr="001C1D37">
        <w:rPr>
          <w:bCs/>
        </w:rPr>
        <w:t xml:space="preserve">time </w:t>
      </w:r>
      <m:oMath>
        <m:sSub>
          <m:sSubPr>
            <m:ctrlPr>
              <w:rPr>
                <w:rFonts w:ascii="Cambria Math" w:hAnsi="Cambria Math"/>
                <w:i/>
              </w:rPr>
            </m:ctrlPr>
          </m:sSubPr>
          <m:e>
            <m:r>
              <w:rPr>
                <w:rFonts w:ascii="Cambria Math" w:hAnsi="Cambria Math"/>
              </w:rPr>
              <m:t>Z</m:t>
            </m:r>
          </m:e>
          <m:sub>
            <m:r>
              <w:rPr>
                <w:rFonts w:ascii="Cambria Math" w:hAnsi="Cambria Math"/>
              </w:rPr>
              <m:t>i</m:t>
            </m:r>
          </m:sub>
        </m:sSub>
      </m:oMath>
      <w:r w:rsidR="008F3153" w:rsidRPr="001C1D37">
        <w:t xml:space="preserve"> respectively</w:t>
      </w:r>
      <w:r w:rsidR="00B42D9F" w:rsidRPr="001C1D37">
        <w:rPr>
          <w:bCs/>
        </w:rPr>
        <w:t xml:space="preserve">. </w:t>
      </w:r>
    </w:p>
    <w:p w:rsidR="00922F15" w:rsidRPr="001C1D37" w:rsidRDefault="00922F15" w:rsidP="001C1D37">
      <w:pPr>
        <w:autoSpaceDE w:val="0"/>
        <w:autoSpaceDN w:val="0"/>
        <w:adjustRightInd w:val="0"/>
      </w:pPr>
    </w:p>
    <w:p w:rsidR="00743515" w:rsidRPr="001C1D37" w:rsidRDefault="00743515" w:rsidP="001C1D37">
      <w:pPr>
        <w:autoSpaceDE w:val="0"/>
        <w:autoSpaceDN w:val="0"/>
        <w:adjustRightInd w:val="0"/>
      </w:pPr>
    </w:p>
    <w:p w:rsidR="00922F15" w:rsidRPr="001C1D37" w:rsidRDefault="0040122C" w:rsidP="001C1D37">
      <w:pPr>
        <w:autoSpaceDE w:val="0"/>
        <w:autoSpaceDN w:val="0"/>
        <w:adjustRightInd w:val="0"/>
        <w:rPr>
          <w:bCs/>
        </w:rPr>
      </w:pPr>
      <w:r w:rsidRPr="001C1D37">
        <w:t>We as</w:t>
      </w:r>
      <w:r w:rsidR="00126A6F" w:rsidRPr="001C1D37">
        <w:t>sum</w:t>
      </w:r>
      <w:r w:rsidRPr="001C1D37">
        <w:t xml:space="preserve">e </w:t>
      </w:r>
      <w:r w:rsidR="00922F15" w:rsidRPr="001C1D37">
        <w:t xml:space="preserve">a widely used </w:t>
      </w:r>
      <w:r w:rsidR="00922F15" w:rsidRPr="001C1D37">
        <w:rPr>
          <w:bCs/>
        </w:rPr>
        <w:t>association structure</w:t>
      </w:r>
      <w:r w:rsidR="00922F15" w:rsidRPr="001C1D37">
        <w:t xml:space="preserve"> </w:t>
      </w:r>
      <w:r w:rsidR="00827038" w:rsidRPr="001C1D37">
        <w:t xml:space="preserve">between the biomarker and clinical endpoint </w:t>
      </w:r>
      <w:r w:rsidR="00922F15" w:rsidRPr="001C1D37">
        <w:t xml:space="preserve">which </w:t>
      </w:r>
      <w:r w:rsidR="00827038" w:rsidRPr="001C1D37">
        <w:t>is based on the individual-specific deviations from both the population mean intercept and population mean slope at event-</w:t>
      </w:r>
      <w:proofErr w:type="gramStart"/>
      <w:r w:rsidR="00827038" w:rsidRPr="001C1D37">
        <w:t xml:space="preserve">time </w:t>
      </w:r>
      <w:proofErr w:type="gramEnd"/>
      <m:oMath>
        <m:sSub>
          <m:sSubPr>
            <m:ctrlPr>
              <w:rPr>
                <w:rFonts w:ascii="Cambria Math" w:hAnsi="Cambria Math"/>
              </w:rPr>
            </m:ctrlPr>
          </m:sSubPr>
          <m:e>
            <m:r>
              <w:rPr>
                <w:rFonts w:ascii="Cambria Math" w:hAnsi="Cambria Math"/>
              </w:rPr>
              <m:t>Z</m:t>
            </m:r>
          </m:e>
          <m:sub>
            <m:r>
              <w:rPr>
                <w:rFonts w:ascii="Cambria Math" w:hAnsi="Cambria Math"/>
              </w:rPr>
              <m:t>i</m:t>
            </m:r>
          </m:sub>
        </m:sSub>
        <m:r>
          <w:rPr>
            <w:rFonts w:ascii="Cambria Math" w:hAnsi="Cambria Math"/>
          </w:rPr>
          <m:t>=z</m:t>
        </m:r>
      </m:oMath>
      <w:r w:rsidR="00922F15" w:rsidRPr="001C1D37">
        <w:t>. T</w:t>
      </w:r>
      <w:r w:rsidR="006F2BC6" w:rsidRPr="001C1D37">
        <w:t>h</w:t>
      </w:r>
      <w:r w:rsidR="00922F15" w:rsidRPr="001C1D37">
        <w:t xml:space="preserve">is </w:t>
      </w:r>
      <w:r w:rsidR="006F2BC6" w:rsidRPr="001C1D37">
        <w:t xml:space="preserve">association structure </w:t>
      </w:r>
      <w:r w:rsidR="00DC07E3" w:rsidRPr="001C1D37">
        <w:t>is</w:t>
      </w:r>
      <w:r w:rsidR="006F2BC6" w:rsidRPr="001C1D37">
        <w:t xml:space="preserve"> </w:t>
      </w:r>
      <w:r w:rsidR="00F271D6" w:rsidRPr="001C1D37">
        <w:t>defined</w:t>
      </w:r>
      <w:r w:rsidR="006F2BC6" w:rsidRPr="001C1D37">
        <w:t xml:space="preserve"> by </w:t>
      </w:r>
      <m:oMath>
        <m:sSub>
          <m:sSubPr>
            <m:ctrlPr>
              <w:rPr>
                <w:rFonts w:ascii="Cambria Math" w:hAnsi="Cambria Math"/>
                <w:bCs/>
                <w:i/>
              </w:rPr>
            </m:ctrlPr>
          </m:sSubPr>
          <m:e>
            <m:r>
              <w:rPr>
                <w:rFonts w:ascii="Cambria Math" w:hAnsi="Cambria Math"/>
              </w:rPr>
              <m:t>W</m:t>
            </m:r>
          </m:e>
          <m:sub>
            <m:r>
              <w:rPr>
                <w:rFonts w:ascii="Cambria Math" w:hAnsi="Cambria Math"/>
              </w:rPr>
              <m:t>2i</m:t>
            </m:r>
          </m:sub>
        </m:sSub>
        <m:d>
          <m:dPr>
            <m:ctrlPr>
              <w:rPr>
                <w:rFonts w:ascii="Cambria Math" w:hAnsi="Cambria Math"/>
                <w:bCs/>
                <w:i/>
              </w:rPr>
            </m:ctrlPr>
          </m:dPr>
          <m:e>
            <m:r>
              <w:rPr>
                <w:rFonts w:ascii="Cambria Math" w:eastAsia="Calibri" w:hAnsi="Cambria Math"/>
                <w:lang w:eastAsia="en-GB" w:bidi="ta-IN"/>
              </w:rPr>
              <m:t>z</m:t>
            </m:r>
          </m:e>
        </m:d>
        <m:r>
          <w:rPr>
            <w:rFonts w:ascii="Cambria Math"/>
          </w:rPr>
          <m:t>=</m:t>
        </m:r>
        <m:sSub>
          <m:sSubPr>
            <m:ctrlPr>
              <w:rPr>
                <w:rFonts w:ascii="Cambria Math" w:hAnsi="Cambria Math"/>
                <w:bCs/>
                <w:i/>
              </w:rPr>
            </m:ctrlPr>
          </m:sSubPr>
          <m:e>
            <m:sSub>
              <m:sSubPr>
                <m:ctrlPr>
                  <w:rPr>
                    <w:rFonts w:ascii="Cambria Math" w:hAnsi="Cambria Math"/>
                    <w:i/>
                  </w:rPr>
                </m:ctrlPr>
              </m:sSubPr>
              <m:e>
                <m:r>
                  <w:rPr>
                    <w:rFonts w:ascii="Cambria Math" w:hAnsi="Cambria Math"/>
                  </w:rPr>
                  <m:t>γ</m:t>
                </m:r>
              </m:e>
              <m:sub>
                <m:r>
                  <w:rPr>
                    <w:rFonts w:ascii="Cambria Math" w:hAnsi="Cambria Math"/>
                  </w:rPr>
                  <m:t>t</m:t>
                </m:r>
              </m:sub>
            </m:sSub>
            <m:r>
              <w:rPr>
                <w:rFonts w:ascii="Cambria Math" w:hAnsi="Cambria Math"/>
              </w:rPr>
              <m:t>W</m:t>
            </m:r>
          </m:e>
          <m:sub>
            <m:r>
              <w:rPr>
                <w:rFonts w:ascii="Cambria Math" w:hAnsi="Cambria Math"/>
              </w:rPr>
              <m:t>1i</m:t>
            </m:r>
          </m:sub>
        </m:sSub>
        <m:d>
          <m:dPr>
            <m:ctrlPr>
              <w:rPr>
                <w:rFonts w:ascii="Cambria Math" w:hAnsi="Cambria Math"/>
                <w:bCs/>
                <w:i/>
              </w:rPr>
            </m:ctrlPr>
          </m:dPr>
          <m:e>
            <m:r>
              <w:rPr>
                <w:rFonts w:ascii="Cambria Math" w:eastAsia="Calibri" w:hAnsi="Cambria Math"/>
                <w:lang w:eastAsia="en-GB" w:bidi="ta-IN"/>
              </w:rPr>
              <m:t>z</m:t>
            </m:r>
          </m:e>
        </m:d>
      </m:oMath>
      <w:r w:rsidRPr="001C1D37">
        <w:t xml:space="preserve"> </w:t>
      </w:r>
      <w:proofErr w:type="gramStart"/>
      <w:r w:rsidR="006F2BC6" w:rsidRPr="001C1D37">
        <w:t xml:space="preserve">where </w:t>
      </w:r>
      <w:proofErr w:type="gramEnd"/>
      <m:oMath>
        <m:sSub>
          <m:sSubPr>
            <m:ctrlPr>
              <w:rPr>
                <w:rFonts w:ascii="Cambria Math" w:hAnsi="Cambria Math"/>
                <w:bCs/>
                <w:i/>
              </w:rPr>
            </m:ctrlPr>
          </m:sSubPr>
          <m:e>
            <m:r>
              <w:rPr>
                <w:rFonts w:ascii="Cambria Math" w:hAnsi="Cambria Math"/>
              </w:rPr>
              <m:t>W</m:t>
            </m:r>
          </m:e>
          <m:sub>
            <m:r>
              <w:rPr>
                <w:rFonts w:ascii="Cambria Math" w:hAnsi="Cambria Math"/>
              </w:rPr>
              <m:t>1i</m:t>
            </m:r>
          </m:sub>
        </m:sSub>
        <m:d>
          <m:dPr>
            <m:ctrlPr>
              <w:rPr>
                <w:rFonts w:ascii="Cambria Math" w:hAnsi="Cambria Math"/>
                <w:bCs/>
                <w:i/>
              </w:rPr>
            </m:ctrlPr>
          </m:dPr>
          <m:e>
            <m:r>
              <w:rPr>
                <w:rFonts w:ascii="Cambria Math" w:eastAsia="Calibri" w:hAnsi="Cambria Math"/>
                <w:lang w:eastAsia="en-GB" w:bidi="ta-IN"/>
              </w:rPr>
              <m:t>z</m:t>
            </m:r>
          </m:e>
        </m:d>
        <m:r>
          <w:rPr>
            <w:rFonts w:ascii="Cambria Math"/>
          </w:rPr>
          <m:t>=</m:t>
        </m:r>
        <m:sSub>
          <m:sSubPr>
            <m:ctrlPr>
              <w:rPr>
                <w:rFonts w:ascii="Cambria Math" w:hAnsi="Cambria Math"/>
                <w:bCs/>
                <w:i/>
              </w:rPr>
            </m:ctrlPr>
          </m:sSubPr>
          <m:e>
            <m:r>
              <w:rPr>
                <w:rFonts w:ascii="Cambria Math" w:hAnsi="Cambria Math"/>
              </w:rPr>
              <m:t>U</m:t>
            </m:r>
          </m:e>
          <m:sub>
            <m:r>
              <w:rPr>
                <w:rFonts w:ascii="Cambria Math"/>
              </w:rPr>
              <m:t>0</m:t>
            </m:r>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rPr>
              <m:t>1</m:t>
            </m:r>
            <m:r>
              <w:rPr>
                <w:rFonts w:ascii="Cambria Math" w:hAnsi="Cambria Math"/>
              </w:rPr>
              <m:t>i</m:t>
            </m:r>
          </m:sub>
        </m:sSub>
        <m:r>
          <w:rPr>
            <w:rFonts w:ascii="Cambria Math" w:eastAsia="Calibri" w:hAnsi="Cambria Math"/>
            <w:lang w:eastAsia="en-GB" w:bidi="ta-IN"/>
          </w:rPr>
          <m:t>z</m:t>
        </m:r>
      </m:oMath>
      <w:r w:rsidRPr="001C1D37">
        <w:rPr>
          <w:bCs/>
        </w:rPr>
        <w:t xml:space="preserve">. </w:t>
      </w:r>
      <w:r w:rsidR="00922F15" w:rsidRPr="001C1D37">
        <w:rPr>
          <w:bCs/>
        </w:rPr>
        <w:t xml:space="preserve">We </w:t>
      </w:r>
      <w:r w:rsidR="00DC07E3" w:rsidRPr="001C1D37">
        <w:rPr>
          <w:bCs/>
        </w:rPr>
        <w:t xml:space="preserve">also </w:t>
      </w:r>
      <w:r w:rsidR="00922F15" w:rsidRPr="001C1D37">
        <w:rPr>
          <w:bCs/>
        </w:rPr>
        <w:t xml:space="preserve">explore the suitability of two further association structures in </w:t>
      </w:r>
      <w:r w:rsidR="00922F15" w:rsidRPr="001C1D37">
        <w:t>the supplementary file</w:t>
      </w:r>
      <w:r w:rsidR="00743515" w:rsidRPr="001C1D37">
        <w:t xml:space="preserve"> for </w:t>
      </w:r>
      <w:r w:rsidR="00DC07E3" w:rsidRPr="001C1D37">
        <w:t>implementing the</w:t>
      </w:r>
      <w:r w:rsidR="00743515" w:rsidRPr="001C1D37">
        <w:t xml:space="preserve"> proposed methodology</w:t>
      </w:r>
      <w:r w:rsidR="00922F15" w:rsidRPr="001C1D37">
        <w:t>.</w:t>
      </w:r>
    </w:p>
    <w:p w:rsidR="00922F15" w:rsidRPr="001C1D37" w:rsidRDefault="00922F15" w:rsidP="001C1D37">
      <w:pPr>
        <w:autoSpaceDE w:val="0"/>
        <w:autoSpaceDN w:val="0"/>
        <w:adjustRightInd w:val="0"/>
        <w:rPr>
          <w:bCs/>
        </w:rPr>
      </w:pPr>
    </w:p>
    <w:p w:rsidR="00126A6F" w:rsidRPr="001C1D37" w:rsidRDefault="00DB6FD7" w:rsidP="001C1D37">
      <w:pPr>
        <w:autoSpaceDE w:val="0"/>
        <w:autoSpaceDN w:val="0"/>
        <w:adjustRightInd w:val="0"/>
        <w:rPr>
          <w:bCs/>
        </w:rPr>
      </w:pPr>
      <w:r w:rsidRPr="001C1D37">
        <w:rPr>
          <w:bCs/>
        </w:rPr>
        <w:t>In th</w:t>
      </w:r>
      <w:r w:rsidR="00DC07E3" w:rsidRPr="001C1D37">
        <w:rPr>
          <w:bCs/>
        </w:rPr>
        <w:t>e above</w:t>
      </w:r>
      <w:r w:rsidRPr="001C1D37">
        <w:rPr>
          <w:bCs/>
        </w:rPr>
        <w:t xml:space="preserve"> setting, </w:t>
      </w:r>
      <w:proofErr w:type="spellStart"/>
      <w:r w:rsidRPr="001C1D37">
        <w:rPr>
          <w:bCs/>
        </w:rPr>
        <w:t>s</w:t>
      </w:r>
      <w:r w:rsidR="00126A6F" w:rsidRPr="001C1D37">
        <w:rPr>
          <w:bCs/>
        </w:rPr>
        <w:t>ubmodel</w:t>
      </w:r>
      <w:proofErr w:type="spellEnd"/>
      <w:r w:rsidR="00126A6F" w:rsidRPr="001C1D37">
        <w:rPr>
          <w:bCs/>
        </w:rPr>
        <w:t xml:space="preserve"> for the longitudinal biomarker over </w:t>
      </w:r>
      <m:oMath>
        <m:r>
          <w:rPr>
            <w:rFonts w:ascii="Cambria Math" w:eastAsia="Calibri" w:hAnsi="Cambria Math"/>
            <w:lang w:eastAsia="en-GB" w:bidi="ta-IN"/>
          </w:rPr>
          <m:t xml:space="preserve">(0, </m:t>
        </m:r>
        <m:r>
          <w:rPr>
            <w:rFonts w:ascii="Cambria Math" w:hAnsi="Cambria Math"/>
          </w:rPr>
          <m:t>t</m:t>
        </m:r>
        <m:r>
          <w:rPr>
            <w:rFonts w:ascii="Cambria Math" w:eastAsia="Calibri" w:hAnsi="Cambria Math"/>
            <w:lang w:eastAsia="en-GB" w:bidi="ta-IN"/>
          </w:rPr>
          <m:t>)</m:t>
        </m:r>
      </m:oMath>
      <w:r w:rsidR="00126A6F" w:rsidRPr="001C1D37">
        <w:rPr>
          <w:rFonts w:eastAsia="Calibri"/>
          <w:lang w:eastAsia="en-GB" w:bidi="ta-IN"/>
        </w:rPr>
        <w:t xml:space="preserve"> </w:t>
      </w:r>
      <w:r w:rsidR="00126A6F" w:rsidRPr="001C1D37">
        <w:rPr>
          <w:bCs/>
        </w:rPr>
        <w:t>is determined by</w:t>
      </w:r>
    </w:p>
    <w:p w:rsidR="00126A6F" w:rsidRPr="001C1D37" w:rsidRDefault="00126A6F" w:rsidP="001C1D37">
      <w:pPr>
        <w:autoSpaceDE w:val="0"/>
        <w:autoSpaceDN w:val="0"/>
        <w:adjustRightInd w:val="0"/>
        <w:rPr>
          <w:bCs/>
        </w:rPr>
      </w:pPr>
    </w:p>
    <w:p w:rsidR="00126A6F" w:rsidRPr="001C1D37" w:rsidRDefault="001C1D37" w:rsidP="001C1D37">
      <w:pPr>
        <w:autoSpaceDE w:val="0"/>
        <w:autoSpaceDN w:val="0"/>
        <w:adjustRightInd w:val="0"/>
      </w:pPr>
      <m:oMathPara>
        <m:oMath>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r>
                <w:rPr>
                  <w:rFonts w:ascii="Cambria Math" w:hAnsi="Cambria Math"/>
                </w:rPr>
                <m:t>v</m:t>
              </m: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rPr>
                <m:t>0</m:t>
              </m:r>
            </m:sub>
          </m:sSub>
          <m:r>
            <w:rPr>
              <w:rFonts w:ascii="Cambria Math"/>
            </w:rPr>
            <m:t>+</m:t>
          </m:r>
          <m:sSub>
            <m:sSubPr>
              <m:ctrlPr>
                <w:rPr>
                  <w:rFonts w:ascii="Cambria Math" w:hAnsi="Cambria Math"/>
                  <w:i/>
                </w:rPr>
              </m:ctrlPr>
            </m:sSubPr>
            <m:e>
              <m:r>
                <w:rPr>
                  <w:rFonts w:ascii="Cambria Math" w:hAnsi="Cambria Math"/>
                </w:rPr>
                <m:t>β</m:t>
              </m:r>
            </m:e>
            <m:sub>
              <m:r>
                <w:rPr>
                  <w:rFonts w:ascii="Cambria Math"/>
                </w:rPr>
                <m:t>1</m:t>
              </m:r>
            </m:sub>
          </m:sSub>
          <m:r>
            <w:rPr>
              <w:rFonts w:ascii="Cambria Math" w:hAnsi="Cambria Math"/>
            </w:rPr>
            <m:t>v+</m:t>
          </m:r>
          <m:sSub>
            <m:sSubPr>
              <m:ctrlPr>
                <w:rPr>
                  <w:rFonts w:ascii="Cambria Math" w:hAnsi="Cambria Math"/>
                  <w:bCs/>
                  <w:i/>
                </w:rPr>
              </m:ctrlPr>
            </m:sSubPr>
            <m:e>
              <m:r>
                <w:rPr>
                  <w:rFonts w:ascii="Cambria Math" w:hAnsi="Cambria Math"/>
                </w:rPr>
                <m:t>U</m:t>
              </m:r>
            </m:e>
            <m:sub>
              <m:r>
                <w:rPr>
                  <w:rFonts w:ascii="Cambria Math"/>
                </w:rPr>
                <m:t>0</m:t>
              </m:r>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rPr>
                <m:t>1</m:t>
              </m:r>
              <m:r>
                <w:rPr>
                  <w:rFonts w:ascii="Cambria Math" w:hAnsi="Cambria Math"/>
                </w:rPr>
                <m:t>i</m:t>
              </m:r>
            </m:sub>
          </m:sSub>
          <m:r>
            <w:rPr>
              <w:rFonts w:ascii="Cambria Math" w:hAnsi="Cambria Math"/>
            </w:rPr>
            <m:t>v+</m:t>
          </m:r>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(v),   v≤t</m:t>
          </m:r>
        </m:oMath>
      </m:oMathPara>
    </w:p>
    <w:p w:rsidR="00126A6F" w:rsidRPr="001C1D37" w:rsidRDefault="00126A6F" w:rsidP="001C1D37">
      <w:pPr>
        <w:autoSpaceDE w:val="0"/>
        <w:autoSpaceDN w:val="0"/>
        <w:adjustRightInd w:val="0"/>
        <w:rPr>
          <w:bCs/>
        </w:rPr>
      </w:pPr>
    </w:p>
    <w:p w:rsidR="00126A6F" w:rsidRPr="001C1D37" w:rsidRDefault="00126A6F" w:rsidP="001C1D37">
      <w:pPr>
        <w:autoSpaceDE w:val="0"/>
        <w:autoSpaceDN w:val="0"/>
        <w:adjustRightInd w:val="0"/>
      </w:pPr>
      <w:proofErr w:type="gramStart"/>
      <w:r w:rsidRPr="001C1D37">
        <w:rPr>
          <w:bCs/>
        </w:rPr>
        <w:lastRenderedPageBreak/>
        <w:t>and</w:t>
      </w:r>
      <w:proofErr w:type="gramEnd"/>
      <w:r w:rsidRPr="001C1D37">
        <w:rPr>
          <w:bCs/>
        </w:rPr>
        <w:t xml:space="preserve"> the </w:t>
      </w:r>
      <w:r w:rsidRPr="001C1D37">
        <w:rPr>
          <w:lang w:eastAsia="en-GB" w:bidi="ta-IN"/>
        </w:rPr>
        <w:t xml:space="preserve">hazard </w:t>
      </w:r>
      <w:r w:rsidRPr="001C1D37">
        <w:t xml:space="preserve">of clinical endpoint at time </w:t>
      </w:r>
      <m:oMath>
        <m:sSub>
          <m:sSubPr>
            <m:ctrlPr>
              <w:rPr>
                <w:rFonts w:ascii="Cambria Math" w:hAnsi="Cambria Math"/>
              </w:rPr>
            </m:ctrlPr>
          </m:sSubPr>
          <m:e>
            <m:r>
              <w:rPr>
                <w:rFonts w:ascii="Cambria Math" w:hAnsi="Cambria Math"/>
              </w:rPr>
              <m:t>Z</m:t>
            </m:r>
          </m:e>
          <m:sub>
            <m:r>
              <w:rPr>
                <w:rFonts w:ascii="Cambria Math" w:hAnsi="Cambria Math"/>
              </w:rPr>
              <m:t>i</m:t>
            </m:r>
          </m:sub>
        </m:sSub>
        <m:r>
          <w:rPr>
            <w:rFonts w:ascii="Cambria Math" w:hAnsi="Cambria Math"/>
          </w:rPr>
          <m:t>=z</m:t>
        </m:r>
      </m:oMath>
      <w:r w:rsidRPr="001C1D37">
        <w:t xml:space="preserve"> for individual </w:t>
      </w:r>
      <m:oMath>
        <m:r>
          <w:rPr>
            <w:rFonts w:ascii="Cambria Math" w:hAnsi="Cambria Math"/>
          </w:rPr>
          <m:t>i</m:t>
        </m:r>
      </m:oMath>
      <w:r w:rsidR="00223FD6" w:rsidRPr="001C1D37">
        <w:t xml:space="preserve"> is determined by event-time </w:t>
      </w:r>
      <w:proofErr w:type="spellStart"/>
      <w:r w:rsidR="00223FD6" w:rsidRPr="001C1D37">
        <w:t>submodel</w:t>
      </w:r>
      <w:proofErr w:type="spellEnd"/>
      <w:r w:rsidR="00223FD6" w:rsidRPr="001C1D37">
        <w:t xml:space="preserve"> </w:t>
      </w:r>
    </w:p>
    <w:p w:rsidR="00223FD6" w:rsidRPr="001C1D37" w:rsidRDefault="00223FD6" w:rsidP="001C1D37">
      <w:pPr>
        <w:autoSpaceDE w:val="0"/>
        <w:autoSpaceDN w:val="0"/>
        <w:adjustRightInd w:val="0"/>
        <w:rPr>
          <w:bCs/>
        </w:rPr>
      </w:pPr>
    </w:p>
    <w:p w:rsidR="00126A6F" w:rsidRPr="001C1D37" w:rsidRDefault="00126A6F" w:rsidP="001C1D37">
      <w:pPr>
        <w:tabs>
          <w:tab w:val="left" w:pos="3094"/>
        </w:tabs>
        <w:autoSpaceDE w:val="0"/>
        <w:autoSpaceDN w:val="0"/>
        <w:adjustRightInd w:val="0"/>
        <w:jc w:val="center"/>
      </w:pPr>
      <m:oMathPara>
        <m:oMath>
          <m:r>
            <w:rPr>
              <w:rFonts w:ascii="Cambria Math" w:hAnsi="Cambria Math"/>
            </w:rPr>
            <m:t>λ</m:t>
          </m:r>
          <m:d>
            <m:dPr>
              <m:ctrlPr>
                <w:rPr>
                  <w:rFonts w:ascii="Cambria Math" w:hAnsi="Cambria Math"/>
                  <w:bCs/>
                  <w:i/>
                </w:rPr>
              </m:ctrlPr>
            </m:dPr>
            <m:e>
              <m:r>
                <w:rPr>
                  <w:rFonts w:ascii="Cambria Math" w:hAnsi="Cambria Math"/>
                </w:rPr>
                <m:t>z|</m:t>
              </m:r>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r>
                    <w:rPr>
                      <w:rFonts w:ascii="Cambria Math" w:hAnsi="Cambria Math"/>
                    </w:rPr>
                    <m:t>z</m:t>
                  </m:r>
                </m:e>
              </m:d>
            </m:e>
          </m:d>
          <m:r>
            <w:rPr>
              <w:rFonts w:ascii="Cambria Math" w:hAnsi="Cambria Math"/>
            </w:rPr>
            <m:t>=</m:t>
          </m:r>
          <m:sSub>
            <m:sSubPr>
              <m:ctrlPr>
                <w:rPr>
                  <w:rFonts w:ascii="Cambria Math" w:hAnsi="Cambria Math"/>
                  <w:bCs/>
                  <w:i/>
                </w:rPr>
              </m:ctrlPr>
            </m:sSubPr>
            <m:e>
              <m:r>
                <w:rPr>
                  <w:rFonts w:ascii="Cambria Math" w:hAnsi="Cambria Math"/>
                </w:rPr>
                <m:t>λ</m:t>
              </m:r>
            </m:e>
            <m:sub>
              <m:r>
                <w:rPr>
                  <w:rFonts w:ascii="Cambria Math" w:hAnsi="Cambria Math"/>
                </w:rPr>
                <m:t>0</m:t>
              </m:r>
            </m:sub>
          </m:sSub>
          <m:d>
            <m:dPr>
              <m:ctrlPr>
                <w:rPr>
                  <w:rFonts w:ascii="Cambria Math" w:hAnsi="Cambria Math"/>
                  <w:bCs/>
                  <w:i/>
                </w:rPr>
              </m:ctrlPr>
            </m:dPr>
            <m:e>
              <m:r>
                <w:rPr>
                  <w:rFonts w:ascii="Cambria Math" w:hAnsi="Cambria Math"/>
                </w:rPr>
                <m:t>z</m:t>
              </m:r>
            </m:e>
          </m:d>
          <m:func>
            <m:funcPr>
              <m:ctrlPr>
                <w:rPr>
                  <w:rFonts w:ascii="Cambria Math" w:hAnsi="Cambria Math"/>
                </w:rPr>
              </m:ctrlPr>
            </m:funcPr>
            <m:fName>
              <m:r>
                <m:rPr>
                  <m:sty m:val="p"/>
                </m:rPr>
                <w:rPr>
                  <w:rFonts w:ascii="Cambria Math" w:hAnsi="Cambria Math"/>
                </w:rPr>
                <m:t>exp</m:t>
              </m:r>
            </m:fName>
            <m:e>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γ</m:t>
                      </m:r>
                    </m:e>
                    <m:sub>
                      <m:r>
                        <w:rPr>
                          <w:rFonts w:ascii="Cambria Math" w:hAnsi="Cambria Math"/>
                        </w:rPr>
                        <m:t>t</m:t>
                      </m:r>
                    </m:sub>
                  </m:sSub>
                  <m:r>
                    <w:rPr>
                      <w:rFonts w:ascii="Cambria Math" w:hAnsi="Cambria Math"/>
                    </w:rPr>
                    <m:t>(U</m:t>
                  </m:r>
                </m:e>
                <m:sub>
                  <m:r>
                    <w:rPr>
                      <w:rFonts w:ascii="Cambria Math"/>
                    </w:rPr>
                    <m:t>0</m:t>
                  </m:r>
                  <m:r>
                    <w:rPr>
                      <w:rFonts w:ascii="Cambria Math" w:hAnsi="Cambria Math"/>
                    </w:rPr>
                    <m:t>i</m:t>
                  </m:r>
                </m:sub>
              </m:sSub>
              <m:r>
                <w:rPr>
                  <w:rFonts w:ascii="Cambria Math"/>
                </w:rPr>
                <m:t>+</m:t>
              </m:r>
              <m:sSub>
                <m:sSubPr>
                  <m:ctrlPr>
                    <w:rPr>
                      <w:rFonts w:ascii="Cambria Math" w:hAnsi="Cambria Math"/>
                      <w:i/>
                    </w:rPr>
                  </m:ctrlPr>
                </m:sSubPr>
                <m:e>
                  <m:r>
                    <w:rPr>
                      <w:rFonts w:ascii="Cambria Math" w:hAnsi="Cambria Math"/>
                    </w:rPr>
                    <m:t>U</m:t>
                  </m:r>
                </m:e>
                <m:sub>
                  <m:r>
                    <w:rPr>
                      <w:rFonts w:ascii="Cambria Math"/>
                    </w:rPr>
                    <m:t>1</m:t>
                  </m:r>
                  <m:r>
                    <w:rPr>
                      <w:rFonts w:ascii="Cambria Math" w:hAnsi="Cambria Math"/>
                    </w:rPr>
                    <m:t>i</m:t>
                  </m:r>
                </m:sub>
              </m:sSub>
              <m:r>
                <w:rPr>
                  <w:rFonts w:ascii="Cambria Math" w:eastAsia="Calibri" w:hAnsi="Cambria Math"/>
                  <w:lang w:eastAsia="en-GB" w:bidi="ta-IN"/>
                </w:rPr>
                <m:t>z</m:t>
              </m:r>
              <m:r>
                <w:rPr>
                  <w:rFonts w:ascii="Cambria Math" w:hAnsi="Cambria Math"/>
                </w:rPr>
                <m:t>))</m:t>
              </m:r>
            </m:e>
          </m:func>
          <m:r>
            <w:rPr>
              <w:rFonts w:ascii="Cambria Math" w:hAnsi="Cambria Math"/>
            </w:rPr>
            <m:t>, z≤t</m:t>
          </m:r>
        </m:oMath>
      </m:oMathPara>
    </w:p>
    <w:p w:rsidR="00826C0D" w:rsidRPr="001C1D37" w:rsidRDefault="00826C0D" w:rsidP="001C1D37">
      <w:pPr>
        <w:autoSpaceDE w:val="0"/>
        <w:autoSpaceDN w:val="0"/>
        <w:adjustRightInd w:val="0"/>
        <w:rPr>
          <w:bCs/>
        </w:rPr>
      </w:pPr>
    </w:p>
    <w:p w:rsidR="00D0467E" w:rsidRPr="001C1D37" w:rsidRDefault="00126A6F" w:rsidP="001C1D37">
      <w:pPr>
        <w:autoSpaceDE w:val="0"/>
        <w:autoSpaceDN w:val="0"/>
        <w:adjustRightInd w:val="0"/>
        <w:rPr>
          <w:bCs/>
        </w:rPr>
      </w:pPr>
      <w:proofErr w:type="gramStart"/>
      <w:r w:rsidRPr="001C1D37">
        <w:rPr>
          <w:bCs/>
        </w:rPr>
        <w:t>where</w:t>
      </w:r>
      <w:proofErr w:type="gramEnd"/>
      <w:r w:rsidRPr="001C1D37">
        <w:rPr>
          <w:bCs/>
        </w:rPr>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r>
              <w:rPr>
                <w:rFonts w:ascii="Cambria Math" w:hAnsi="Cambria Math"/>
              </w:rPr>
              <m:t>z</m:t>
            </m:r>
          </m:e>
        </m:d>
      </m:oMath>
      <w:r w:rsidRPr="001C1D37">
        <w:t xml:space="preserve"> is the true unknown longitudinal biomarker trajectory at the event-time </w:t>
      </w:r>
      <m:oMath>
        <m:r>
          <w:rPr>
            <w:rFonts w:ascii="Cambria Math" w:hAnsi="Cambria Math"/>
          </w:rPr>
          <m:t>z</m:t>
        </m:r>
      </m:oMath>
      <w:r w:rsidR="00F271D6" w:rsidRPr="001C1D37">
        <w:t>. The parameter</w:t>
      </w:r>
      <w:r w:rsidRPr="001C1D37">
        <w:t xml:space="preserve">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rsidR="00827038" w:rsidRPr="001C1D37">
        <w:rPr>
          <w:bCs/>
        </w:rPr>
        <w:t xml:space="preserve"> estimates the strength of the association between the current </w:t>
      </w:r>
      <w:r w:rsidR="00E35083" w:rsidRPr="001C1D37">
        <w:rPr>
          <w:bCs/>
          <w:i/>
        </w:rPr>
        <w:t>true</w:t>
      </w:r>
      <w:r w:rsidR="00E35083" w:rsidRPr="001C1D37">
        <w:rPr>
          <w:bCs/>
        </w:rPr>
        <w:t xml:space="preserve"> </w:t>
      </w:r>
      <w:r w:rsidR="00827038" w:rsidRPr="001C1D37">
        <w:rPr>
          <w:bCs/>
        </w:rPr>
        <w:t>biomarker measurement (</w:t>
      </w:r>
      <w:proofErr w:type="gramStart"/>
      <w:r w:rsidR="00827038" w:rsidRPr="001C1D37">
        <w:rPr>
          <w:bCs/>
        </w:rPr>
        <w:t xml:space="preserve">at </w:t>
      </w:r>
      <w:proofErr w:type="gramEnd"/>
      <m:oMath>
        <m:r>
          <w:rPr>
            <w:rFonts w:ascii="Cambria Math" w:hAnsi="Cambria Math"/>
          </w:rPr>
          <m:t>z</m:t>
        </m:r>
      </m:oMath>
      <w:r w:rsidR="00827038" w:rsidRPr="001C1D37">
        <w:rPr>
          <w:bCs/>
        </w:rPr>
        <w:t xml:space="preserve">) and occurrence of the </w:t>
      </w:r>
      <w:r w:rsidR="00827038" w:rsidRPr="001C1D37">
        <w:t xml:space="preserve">clinical endpoint over </w:t>
      </w:r>
      <m:oMath>
        <m:r>
          <w:rPr>
            <w:rFonts w:ascii="Cambria Math" w:hAnsi="Cambria Math"/>
          </w:rPr>
          <m:t>(0, t)</m:t>
        </m:r>
      </m:oMath>
      <w:r w:rsidR="00827038" w:rsidRPr="001C1D37">
        <w:t xml:space="preserve">.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rsidR="00827038" w:rsidRPr="001C1D37">
        <w:rPr>
          <w:bCs/>
        </w:rPr>
        <w:t xml:space="preserve"> </w:t>
      </w:r>
      <w:proofErr w:type="gramStart"/>
      <w:r w:rsidR="00827038" w:rsidRPr="001C1D37">
        <w:rPr>
          <w:bCs/>
        </w:rPr>
        <w:t>is</w:t>
      </w:r>
      <w:proofErr w:type="gramEnd"/>
      <w:r w:rsidR="00827038" w:rsidRPr="001C1D37">
        <w:rPr>
          <w:bCs/>
        </w:rPr>
        <w:t xml:space="preserve"> also the log hazard ratio corresponding to the current biomarker measurement at time</w:t>
      </w:r>
      <m:oMath>
        <m:r>
          <w:rPr>
            <w:rFonts w:ascii="Cambria Math" w:hAnsi="Cambria Math"/>
          </w:rPr>
          <m:t xml:space="preserve"> z</m:t>
        </m:r>
      </m:oMath>
      <w:r w:rsidR="00E35083" w:rsidRPr="001C1D37">
        <w:t>.</w:t>
      </w:r>
    </w:p>
    <w:p w:rsidR="00BF4A60" w:rsidRPr="001C1D37" w:rsidRDefault="00BF4A60" w:rsidP="001C1D37">
      <w:pPr>
        <w:autoSpaceDE w:val="0"/>
        <w:autoSpaceDN w:val="0"/>
        <w:adjustRightInd w:val="0"/>
        <w:rPr>
          <w:bCs/>
        </w:rPr>
      </w:pPr>
    </w:p>
    <w:p w:rsidR="00743515" w:rsidRPr="001C1D37" w:rsidRDefault="00743515" w:rsidP="001C1D37">
      <w:pPr>
        <w:autoSpaceDE w:val="0"/>
        <w:autoSpaceDN w:val="0"/>
        <w:adjustRightInd w:val="0"/>
        <w:rPr>
          <w:bCs/>
        </w:rPr>
      </w:pPr>
    </w:p>
    <w:p w:rsidR="00D0467E" w:rsidRPr="001C1D37" w:rsidRDefault="00D0467E" w:rsidP="001C1D37">
      <w:pPr>
        <w:autoSpaceDE w:val="0"/>
        <w:autoSpaceDN w:val="0"/>
        <w:adjustRightInd w:val="0"/>
      </w:pPr>
      <w:r w:rsidRPr="001C1D37">
        <w:t xml:space="preserve">We estimate the </w:t>
      </w:r>
      <w:r w:rsidRPr="001C1D37">
        <w:rPr>
          <w:bCs/>
        </w:rPr>
        <w:t xml:space="preserve">association </w:t>
      </w:r>
      <w:r w:rsidRPr="001C1D37">
        <w:t>parameter</w:t>
      </w:r>
      <w:r w:rsidR="00126A6F" w:rsidRPr="001C1D37">
        <w:t xml:space="preserve">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rsidRPr="001C1D37">
        <w:t xml:space="preserve"> by maximising the joint likelihood of the observed data via the EM algorithm</w:t>
      </w:r>
      <w:r w:rsidRPr="001C1D37">
        <w:rPr>
          <w:rFonts w:eastAsia="Calibri"/>
        </w:rPr>
        <w:t xml:space="preserve"> </w:t>
      </w:r>
      <w:r w:rsidRPr="001C1D37">
        <w:rPr>
          <w:bCs/>
        </w:rPr>
        <w:t xml:space="preserve">and any integration is performed using the </w:t>
      </w:r>
      <w:r w:rsidRPr="001C1D37">
        <w:t>Gauss-</w:t>
      </w:r>
      <w:proofErr w:type="spellStart"/>
      <w:r w:rsidRPr="001C1D37">
        <w:t>Hermite</w:t>
      </w:r>
      <w:proofErr w:type="spellEnd"/>
      <w:r w:rsidRPr="001C1D37">
        <w:t xml:space="preserve"> quadrature. It involves taking expectations with respect to the unobserved latent </w:t>
      </w:r>
      <w:proofErr w:type="gramStart"/>
      <w:r w:rsidRPr="001C1D37">
        <w:t xml:space="preserve">process </w:t>
      </w:r>
      <w:proofErr w:type="gramEnd"/>
      <m:oMath>
        <m:sSub>
          <m:sSubPr>
            <m:ctrlPr>
              <w:rPr>
                <w:rFonts w:ascii="Cambria Math" w:hAnsi="Cambria Math"/>
                <w:i/>
              </w:rPr>
            </m:ctrlPr>
          </m:sSubPr>
          <m:e>
            <m:r>
              <w:rPr>
                <w:rFonts w:ascii="Cambria Math" w:hAnsi="Cambria Math"/>
              </w:rPr>
              <m:t>{W</m:t>
            </m:r>
          </m:e>
          <m:sub>
            <m:r>
              <w:rPr>
                <w:rFonts w:ascii="Cambria Math" w:hAnsi="Cambria Math"/>
              </w:rPr>
              <m:t>1i</m:t>
            </m:r>
          </m:sub>
        </m:sSub>
        <m:d>
          <m:dPr>
            <m:ctrlPr>
              <w:rPr>
                <w:rFonts w:ascii="Cambria Math" w:hAnsi="Cambria Math"/>
                <w:i/>
              </w:rPr>
            </m:ctrlPr>
          </m:dPr>
          <m:e>
            <m:r>
              <w:rPr>
                <w:rFonts w:ascii="Cambria Math" w:hAnsi="Cambria Math"/>
              </w:rPr>
              <m:t>z</m:t>
            </m:r>
          </m:e>
        </m:d>
        <m:r>
          <w:rPr>
            <w:rFonts w:ascii="Cambria Math" w:hAnsi="Cambria Math"/>
          </w:rPr>
          <m:t xml:space="preserve">, </m:t>
        </m:r>
        <m:sSub>
          <m:sSubPr>
            <m:ctrlPr>
              <w:rPr>
                <w:rFonts w:ascii="Cambria Math" w:hAnsi="Cambria Math"/>
                <w:i/>
              </w:rPr>
            </m:ctrlPr>
          </m:sSubPr>
          <m:e>
            <m:r>
              <w:rPr>
                <w:rFonts w:ascii="Cambria Math" w:hAnsi="Cambria Math"/>
              </w:rPr>
              <m:t>W</m:t>
            </m:r>
          </m:e>
          <m:sub>
            <m:r>
              <w:rPr>
                <w:rFonts w:ascii="Cambria Math" w:hAnsi="Cambria Math"/>
              </w:rPr>
              <m:t>2i</m:t>
            </m:r>
          </m:sub>
        </m:sSub>
        <m:d>
          <m:dPr>
            <m:ctrlPr>
              <w:rPr>
                <w:rFonts w:ascii="Cambria Math" w:hAnsi="Cambria Math"/>
                <w:i/>
              </w:rPr>
            </m:ctrlPr>
          </m:dPr>
          <m:e>
            <m:r>
              <w:rPr>
                <w:rFonts w:ascii="Cambria Math" w:hAnsi="Cambria Math"/>
              </w:rPr>
              <m:t>z</m:t>
            </m:r>
          </m:e>
        </m:d>
        <m:r>
          <w:rPr>
            <w:rFonts w:ascii="Cambria Math" w:hAnsi="Cambria Math"/>
          </w:rPr>
          <m:t>}</m:t>
        </m:r>
      </m:oMath>
      <w:r w:rsidRPr="001C1D37">
        <w:rPr>
          <w:bCs/>
        </w:rPr>
        <w:t xml:space="preserve">. </w:t>
      </w:r>
      <w:r w:rsidRPr="001C1D37">
        <w:rPr>
          <w:rFonts w:eastAsia="Calibri"/>
        </w:rPr>
        <w:t xml:space="preserve">The EM algorithm iterates between two steps until convergence is achieved. </w:t>
      </w:r>
      <w:r w:rsidRPr="001C1D37">
        <w:rPr>
          <w:rFonts w:eastAsia="Calibri"/>
          <w:lang w:eastAsia="en-GB" w:bidi="ta-IN"/>
        </w:rPr>
        <w:t>E-step</w:t>
      </w:r>
      <w:r w:rsidRPr="001C1D37">
        <w:rPr>
          <w:rFonts w:eastAsia="Calibri"/>
        </w:rPr>
        <w:t xml:space="preserve"> determines expected values </w:t>
      </w:r>
      <m:oMath>
        <m:r>
          <w:rPr>
            <w:rFonts w:ascii="Cambria Math" w:eastAsia="Calibri" w:hAnsi="Cambria Math"/>
          </w:rPr>
          <m:t>E[</m:t>
        </m:r>
        <m:sSub>
          <m:sSubPr>
            <m:ctrlPr>
              <w:rPr>
                <w:rFonts w:ascii="Cambria Math" w:hAnsi="Cambria Math"/>
                <w:i/>
              </w:rPr>
            </m:ctrlPr>
          </m:sSubPr>
          <m:e>
            <m:r>
              <w:rPr>
                <w:rFonts w:ascii="Cambria Math" w:hAnsi="Cambria Math"/>
              </w:rPr>
              <m:t>U</m:t>
            </m:r>
          </m:e>
          <m:sub>
            <m:r>
              <w:rPr>
                <w:rFonts w:ascii="Cambria Math"/>
              </w:rPr>
              <m:t>0</m:t>
            </m:r>
            <m:r>
              <w:rPr>
                <w:rFonts w:ascii="Cambria Math" w:hAnsi="Cambria Math"/>
              </w:rPr>
              <m:t>i</m:t>
            </m:r>
          </m:sub>
        </m:sSub>
        <m:r>
          <w:rPr>
            <w:rFonts w:ascii="Cambria Math"/>
          </w:rPr>
          <m:t>,</m:t>
        </m:r>
        <m:sSub>
          <m:sSubPr>
            <m:ctrlPr>
              <w:rPr>
                <w:rFonts w:ascii="Cambria Math" w:hAnsi="Cambria Math"/>
                <w:i/>
              </w:rPr>
            </m:ctrlPr>
          </m:sSubPr>
          <m:e>
            <m:r>
              <w:rPr>
                <w:rFonts w:ascii="Cambria Math" w:hAnsi="Cambria Math"/>
              </w:rPr>
              <m:t>U</m:t>
            </m:r>
          </m:e>
          <m:sub>
            <m:r>
              <w:rPr>
                <w:rFonts w:ascii="Cambria Math"/>
              </w:rPr>
              <m:t>1</m:t>
            </m:r>
            <m:r>
              <w:rPr>
                <w:rFonts w:ascii="Cambria Math" w:hAnsi="Cambria Math"/>
              </w:rPr>
              <m:t>i</m:t>
            </m:r>
          </m:sub>
        </m:sSub>
        <m:r>
          <w:rPr>
            <w:rFonts w:ascii="Cambria Math" w:eastAsia="Calibri" w:hAnsi="Cambria Math"/>
          </w:rPr>
          <m:t>]</m:t>
        </m:r>
      </m:oMath>
      <w:r w:rsidRPr="001C1D37">
        <w:rPr>
          <w:rFonts w:eastAsia="Calibri"/>
        </w:rPr>
        <w:t xml:space="preserve"> conditional on observed joint </w:t>
      </w:r>
      <w:proofErr w:type="gramStart"/>
      <w:r w:rsidRPr="001C1D37">
        <w:rPr>
          <w:rFonts w:eastAsia="Calibri"/>
        </w:rPr>
        <w:t xml:space="preserve">outcome </w:t>
      </w:r>
      <w:proofErr w:type="gramEnd"/>
      <m:oMath>
        <m:r>
          <w:rPr>
            <w:rFonts w:ascii="Cambria Math" w:eastAsia="Calibri" w:hAnsi="Cambria Math"/>
            <w:lang w:eastAsia="en-GB" w:bidi="ta-IN"/>
          </w:rPr>
          <m:t>{</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r>
          <w:rPr>
            <w:rFonts w:ascii="Cambria Math" w:eastAsia="Calibri" w:hAnsi="Cambria Math"/>
            <w:lang w:eastAsia="en-GB" w:bidi="ta-IN"/>
          </w:rPr>
          <m:t xml:space="preserve"> </m:t>
        </m:r>
        <m:sSub>
          <m:sSubPr>
            <m:ctrlPr>
              <w:rPr>
                <w:rFonts w:ascii="Cambria Math" w:hAnsi="Cambria Math"/>
              </w:rPr>
            </m:ctrlPr>
          </m:sSubPr>
          <m:e>
            <m:r>
              <w:rPr>
                <w:rFonts w:ascii="Cambria Math" w:hAnsi="Cambria Math"/>
              </w:rPr>
              <m:t>D</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m:t>
            </m:r>
          </m:sub>
        </m:sSub>
        <m:r>
          <m:rPr>
            <m:sty m:val="bi"/>
          </m:rPr>
          <w:rPr>
            <w:rFonts w:ascii="Cambria Math" w:hAnsi="Cambria Math"/>
          </w:rPr>
          <m:t>(v)</m:t>
        </m:r>
        <m:r>
          <w:rPr>
            <w:rFonts w:ascii="Cambria Math" w:eastAsia="Calibri" w:hAnsi="Cambria Math"/>
            <w:lang w:eastAsia="en-GB" w:bidi="ta-IN"/>
          </w:rPr>
          <m:t>}</m:t>
        </m:r>
      </m:oMath>
      <w:r w:rsidRPr="001C1D37">
        <w:rPr>
          <w:rFonts w:eastAsia="Calibri"/>
          <w:lang w:eastAsia="en-GB" w:bidi="ta-IN"/>
        </w:rPr>
        <w:t>.</w:t>
      </w:r>
      <w:r w:rsidRPr="001C1D37">
        <w:rPr>
          <w:rFonts w:eastAsia="Calibri"/>
        </w:rPr>
        <w:t xml:space="preserve"> M-step maximises the complete data log-likelihood by </w:t>
      </w:r>
      <m:oMath>
        <m:sSub>
          <m:sSubPr>
            <m:ctrlPr>
              <w:rPr>
                <w:rFonts w:ascii="Cambria Math" w:hAnsi="Cambria Math"/>
                <w:i/>
              </w:rPr>
            </m:ctrlPr>
          </m:sSubPr>
          <m:e>
            <m:r>
              <w:rPr>
                <w:rFonts w:ascii="Cambria Math" w:hAnsi="Cambria Math"/>
              </w:rPr>
              <m:t>W</m:t>
            </m:r>
          </m:e>
          <m:sub>
            <m:r>
              <w:rPr>
                <w:rFonts w:ascii="Cambria Math" w:hAnsi="Cambria Math"/>
              </w:rPr>
              <m:t>2i</m:t>
            </m:r>
          </m:sub>
        </m:sSub>
        <m:d>
          <m:dPr>
            <m:ctrlPr>
              <w:rPr>
                <w:rFonts w:ascii="Cambria Math" w:hAnsi="Cambria Math"/>
                <w:i/>
              </w:rPr>
            </m:ctrlPr>
          </m:dPr>
          <m:e>
            <m:r>
              <w:rPr>
                <w:rFonts w:ascii="Cambria Math" w:hAnsi="Cambria Math"/>
              </w:rPr>
              <m:t>z</m:t>
            </m:r>
          </m:e>
        </m:d>
      </m:oMath>
      <w:r w:rsidRPr="001C1D37">
        <w:rPr>
          <w:rFonts w:eastAsia="Calibri"/>
        </w:rPr>
        <w:t xml:space="preserve"> replaced by corresponding expectation, and the association parameters are drawn. </w:t>
      </w:r>
      <w:r w:rsidRPr="001C1D37">
        <w:t xml:space="preserve">We also </w:t>
      </w:r>
      <w:r w:rsidRPr="001C1D37">
        <w:rPr>
          <w:rFonts w:eastAsia="Calibri"/>
        </w:rPr>
        <w:t xml:space="preserve">obtain the best linear unbiased estimates of the random effects </w:t>
      </w:r>
      <m:oMath>
        <m:r>
          <w:rPr>
            <w:rFonts w:ascii="Cambria Math" w:eastAsia="Calibri" w:hAnsi="Cambria Math"/>
          </w:rPr>
          <m:t>(</m:t>
        </m:r>
        <m:sSub>
          <m:sSubPr>
            <m:ctrlPr>
              <w:rPr>
                <w:rFonts w:ascii="Cambria Math" w:hAnsi="Cambria Math"/>
                <w:i/>
              </w:rPr>
            </m:ctrlPr>
          </m:sSubPr>
          <m:e>
            <m:r>
              <w:rPr>
                <w:rFonts w:ascii="Cambria Math" w:hAnsi="Cambria Math"/>
              </w:rPr>
              <m:t>U</m:t>
            </m:r>
          </m:e>
          <m:sub>
            <m:r>
              <w:rPr>
                <w:rFonts w:ascii="Cambria Math"/>
              </w:rPr>
              <m:t>0</m:t>
            </m:r>
            <m:r>
              <w:rPr>
                <w:rFonts w:ascii="Cambria Math" w:hAnsi="Cambria Math"/>
              </w:rPr>
              <m:t>i</m:t>
            </m:r>
          </m:sub>
        </m:sSub>
        <m:r>
          <w:rPr>
            <w:rFonts w:ascii="Cambria Math"/>
          </w:rPr>
          <m:t>,</m:t>
        </m:r>
        <m:sSub>
          <m:sSubPr>
            <m:ctrlPr>
              <w:rPr>
                <w:rFonts w:ascii="Cambria Math" w:hAnsi="Cambria Math"/>
                <w:i/>
              </w:rPr>
            </m:ctrlPr>
          </m:sSubPr>
          <m:e>
            <m:r>
              <w:rPr>
                <w:rFonts w:ascii="Cambria Math" w:hAnsi="Cambria Math"/>
              </w:rPr>
              <m:t>U</m:t>
            </m:r>
          </m:e>
          <m:sub>
            <m:r>
              <w:rPr>
                <w:rFonts w:ascii="Cambria Math"/>
              </w:rPr>
              <m:t>1</m:t>
            </m:r>
            <m:r>
              <w:rPr>
                <w:rFonts w:ascii="Cambria Math" w:hAnsi="Cambria Math"/>
              </w:rPr>
              <m:t>i</m:t>
            </m:r>
          </m:sub>
        </m:sSub>
        <m:r>
          <w:rPr>
            <w:rFonts w:ascii="Cambria Math" w:hAnsi="Cambria Math"/>
          </w:rPr>
          <m:t>)</m:t>
        </m:r>
      </m:oMath>
      <w:r w:rsidRPr="001C1D37">
        <w:rPr>
          <w:rFonts w:eastAsia="Calibri"/>
        </w:rPr>
        <w:t xml:space="preserve"> [</w:t>
      </w:r>
      <w:r w:rsidR="00E35083" w:rsidRPr="001C1D37">
        <w:rPr>
          <w:rFonts w:eastAsia="Calibri"/>
        </w:rPr>
        <w:t>1</w:t>
      </w:r>
      <w:r w:rsidR="00F33E4F" w:rsidRPr="001C1D37">
        <w:rPr>
          <w:rFonts w:eastAsia="Calibri"/>
        </w:rPr>
        <w:t>7</w:t>
      </w:r>
      <w:r w:rsidRPr="001C1D37">
        <w:rPr>
          <w:rFonts w:eastAsia="Calibri"/>
        </w:rPr>
        <w:t xml:space="preserve">, </w:t>
      </w:r>
      <w:r w:rsidR="00E35083" w:rsidRPr="001C1D37">
        <w:rPr>
          <w:rFonts w:eastAsia="Calibri"/>
        </w:rPr>
        <w:t>20</w:t>
      </w:r>
      <w:r w:rsidRPr="001C1D37">
        <w:rPr>
          <w:rFonts w:eastAsia="Calibri"/>
        </w:rPr>
        <w:t>]. Once the j</w:t>
      </w:r>
      <w:r w:rsidRPr="001C1D37">
        <w:t>oint model is implemented</w:t>
      </w:r>
      <w:r w:rsidRPr="001C1D37">
        <w:rPr>
          <w:rFonts w:eastAsia="Calibri"/>
        </w:rPr>
        <w:t xml:space="preserve">, </w:t>
      </w:r>
      <w:r w:rsidR="007F5C97" w:rsidRPr="001C1D37">
        <w:rPr>
          <w:rFonts w:eastAsia="Calibri"/>
        </w:rPr>
        <w:t xml:space="preserve">we </w:t>
      </w:r>
      <w:r w:rsidR="00E35083" w:rsidRPr="001C1D37">
        <w:rPr>
          <w:rFonts w:eastAsia="Calibri"/>
        </w:rPr>
        <w:t xml:space="preserve">can </w:t>
      </w:r>
      <w:r w:rsidR="007F5C97" w:rsidRPr="001C1D37">
        <w:rPr>
          <w:rFonts w:eastAsia="Calibri"/>
        </w:rPr>
        <w:t xml:space="preserve">calculate the </w:t>
      </w:r>
      <w:r w:rsidRPr="001C1D37">
        <w:t xml:space="preserve">corresponding </w:t>
      </w:r>
      <w:r w:rsidR="002A7240" w:rsidRPr="001C1D37">
        <w:t>model (</w:t>
      </w:r>
      <w:r w:rsidRPr="001C1D37">
        <w:t xml:space="preserve">or risk) score </w:t>
      </w:r>
      <w:r w:rsidR="00015F67" w:rsidRPr="001C1D37">
        <w:t xml:space="preserve">for the </w:t>
      </w:r>
      <m:oMath>
        <m:r>
          <w:rPr>
            <w:rFonts w:ascii="Cambria Math" w:hAnsi="Cambria Math"/>
          </w:rPr>
          <m:t>i</m:t>
        </m:r>
      </m:oMath>
      <w:proofErr w:type="gramStart"/>
      <w:r w:rsidR="00015F67" w:rsidRPr="001C1D37">
        <w:t>th</w:t>
      </w:r>
      <w:proofErr w:type="gramEnd"/>
      <w:r w:rsidR="00015F67" w:rsidRPr="001C1D37">
        <w:t xml:space="preserve"> individual at</w:t>
      </w:r>
      <w:r w:rsidR="00A814D5" w:rsidRPr="001C1D37">
        <w:t xml:space="preserve"> their event-time</w:t>
      </w:r>
      <w:r w:rsidR="00015F67" w:rsidRPr="001C1D37">
        <w:t xml:space="preserve"> </w:t>
      </w: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=z</m:t>
        </m:r>
      </m:oMath>
      <w:r w:rsidRPr="001C1D37">
        <w:t xml:space="preserve"> by </w:t>
      </w:r>
    </w:p>
    <w:p w:rsidR="00D0467E" w:rsidRPr="001C1D37" w:rsidRDefault="00D0467E" w:rsidP="001C1D37">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7355"/>
        <w:gridCol w:w="764"/>
      </w:tblGrid>
      <w:tr w:rsidR="007642FE" w:rsidRPr="001C1D37" w:rsidTr="00A040F4">
        <w:tc>
          <w:tcPr>
            <w:tcW w:w="601" w:type="dxa"/>
            <w:vAlign w:val="center"/>
          </w:tcPr>
          <w:p w:rsidR="007642FE" w:rsidRPr="001C1D37" w:rsidRDefault="007642FE" w:rsidP="001C1D37">
            <w:pPr>
              <w:pStyle w:val="NoSpacing"/>
              <w:rPr>
                <w:rFonts w:ascii="Times New Roman" w:hAnsi="Times New Roman"/>
                <w:sz w:val="24"/>
                <w:szCs w:val="24"/>
              </w:rPr>
            </w:pPr>
          </w:p>
        </w:tc>
        <w:tc>
          <w:tcPr>
            <w:tcW w:w="7355" w:type="dxa"/>
            <w:vAlign w:val="center"/>
          </w:tcPr>
          <w:p w:rsidR="007642FE" w:rsidRPr="001C1D37" w:rsidRDefault="001C1D37" w:rsidP="001C1D37">
            <w:pPr>
              <w:autoSpaceDE w:val="0"/>
              <w:autoSpaceDN w:val="0"/>
              <w:adjustRightInd w:val="0"/>
              <w:rPr>
                <w:rFonts w:eastAsia="Calibri"/>
              </w:rPr>
            </w:pPr>
            <m:oMathPara>
              <m:oMath>
                <m:acc>
                  <m:accPr>
                    <m:ctrlPr>
                      <w:rPr>
                        <w:rFonts w:ascii="Cambria Math" w:eastAsia="Calibri" w:hAnsi="Cambria Math"/>
                        <w:i/>
                      </w:rPr>
                    </m:ctrlPr>
                  </m:accPr>
                  <m:e>
                    <m:r>
                      <m:rPr>
                        <m:sty m:val="p"/>
                      </m:rPr>
                      <w:rPr>
                        <w:rFonts w:ascii="Cambria Math" w:eastAsia="Calibri" w:hAnsi="Cambria Math"/>
                      </w:rPr>
                      <m:t>M</m:t>
                    </m:r>
                  </m:e>
                </m:acc>
                <m:d>
                  <m:dPr>
                    <m:ctrlPr>
                      <w:rPr>
                        <w:rFonts w:ascii="Cambria Math" w:eastAsia="Calibri" w:hAnsi="Cambria Math"/>
                        <w:i/>
                      </w:rPr>
                    </m:ctrlPr>
                  </m:dPr>
                  <m:e>
                    <m:r>
                      <w:rPr>
                        <w:rFonts w:ascii="Cambria Math" w:hAnsi="Cambria Math"/>
                      </w:rPr>
                      <m:t>z|</m:t>
                    </m:r>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r>
                          <w:rPr>
                            <w:rFonts w:ascii="Cambria Math" w:hAnsi="Cambria Math"/>
                          </w:rPr>
                          <m:t>z</m:t>
                        </m:r>
                      </m:e>
                    </m:d>
                  </m:e>
                </m:d>
                <m:r>
                  <w:rPr>
                    <w:rFonts w:ascii="Cambria Math" w:eastAsia="Calibri" w:hAnsi="Cambria Math"/>
                  </w:rPr>
                  <m:t>=</m:t>
                </m:r>
                <m:sSub>
                  <m:sSubPr>
                    <m:ctrlPr>
                      <w:rPr>
                        <w:rFonts w:ascii="Cambria Math" w:hAnsi="Cambria Math"/>
                        <w:i/>
                      </w:rPr>
                    </m:ctrlPr>
                  </m:sSubPr>
                  <m:e>
                    <m:r>
                      <w:rPr>
                        <w:rFonts w:ascii="Cambria Math" w:hAnsi="Cambria Math"/>
                      </w:rPr>
                      <m:t>γ</m:t>
                    </m:r>
                  </m:e>
                  <m:sub>
                    <m:r>
                      <w:rPr>
                        <w:rFonts w:ascii="Cambria Math" w:hAnsi="Cambria Math"/>
                      </w:rPr>
                      <m:t>t</m:t>
                    </m:r>
                  </m:sub>
                </m:sSub>
                <m:sSub>
                  <m:sSubPr>
                    <m:ctrlPr>
                      <w:rPr>
                        <w:rFonts w:ascii="Cambria Math" w:hAnsi="Cambria Math"/>
                        <w:b/>
                        <w:i/>
                      </w:rPr>
                    </m:ctrlPr>
                  </m:sSubPr>
                  <m:e>
                    <m:acc>
                      <m:accPr>
                        <m:ctrlPr>
                          <w:rPr>
                            <w:rFonts w:ascii="Cambria Math" w:hAnsi="Cambria Math"/>
                            <w:b/>
                            <w:i/>
                          </w:rPr>
                        </m:ctrlPr>
                      </m:accPr>
                      <m:e>
                        <m:r>
                          <m:rPr>
                            <m:sty m:val="bi"/>
                          </m:rPr>
                          <w:rPr>
                            <w:rFonts w:ascii="Cambria Math" w:hAnsi="Cambria Math"/>
                          </w:rPr>
                          <m:t>U</m:t>
                        </m:r>
                      </m:e>
                    </m:acc>
                  </m:e>
                  <m:sub>
                    <m:r>
                      <m:rPr>
                        <m:sty m:val="bi"/>
                      </m:rPr>
                      <w:rPr>
                        <w:rFonts w:ascii="Cambria Math" w:hAnsi="Cambria Math"/>
                      </w:rPr>
                      <m:t>i</m:t>
                    </m:r>
                  </m:sub>
                </m:sSub>
                <m:d>
                  <m:dPr>
                    <m:ctrlPr>
                      <w:rPr>
                        <w:rFonts w:ascii="Cambria Math" w:hAnsi="Cambria Math"/>
                        <w:b/>
                        <w:i/>
                      </w:rPr>
                    </m:ctrlPr>
                  </m:dPr>
                  <m:e>
                    <m:r>
                      <w:rPr>
                        <w:rFonts w:ascii="Cambria Math" w:hAnsi="Cambria Math"/>
                      </w:rPr>
                      <m:t>z</m:t>
                    </m:r>
                  </m:e>
                </m:d>
                <m:r>
                  <m:rPr>
                    <m:sty m:val="bi"/>
                  </m:rPr>
                  <w:rPr>
                    <w:rFonts w:ascii="Cambria Math" w:hAnsi="Cambria Math"/>
                  </w:rPr>
                  <m:t xml:space="preserve">, </m:t>
                </m:r>
                <m:r>
                  <w:rPr>
                    <w:rFonts w:ascii="Cambria Math" w:hAnsi="Cambria Math"/>
                  </w:rPr>
                  <m:t>z≤t</m:t>
                </m:r>
              </m:oMath>
            </m:oMathPara>
          </w:p>
        </w:tc>
        <w:tc>
          <w:tcPr>
            <w:tcW w:w="764" w:type="dxa"/>
            <w:vAlign w:val="center"/>
          </w:tcPr>
          <w:p w:rsidR="007642FE" w:rsidRPr="001C1D37" w:rsidRDefault="007642FE" w:rsidP="001C1D37">
            <w:pPr>
              <w:pStyle w:val="NoSpacing"/>
              <w:rPr>
                <w:rFonts w:ascii="Times New Roman" w:hAnsi="Times New Roman"/>
                <w:sz w:val="24"/>
                <w:szCs w:val="24"/>
              </w:rPr>
            </w:pPr>
            <w:r w:rsidRPr="001C1D37">
              <w:rPr>
                <w:rFonts w:ascii="Times New Roman" w:hAnsi="Times New Roman"/>
                <w:sz w:val="24"/>
                <w:szCs w:val="24"/>
              </w:rPr>
              <w:t>(5)</w:t>
            </w:r>
          </w:p>
        </w:tc>
      </w:tr>
    </w:tbl>
    <w:p w:rsidR="007642FE" w:rsidRPr="001C1D37" w:rsidRDefault="007642FE" w:rsidP="001C1D37">
      <w:pPr>
        <w:autoSpaceDE w:val="0"/>
        <w:autoSpaceDN w:val="0"/>
        <w:adjustRightInd w:val="0"/>
      </w:pPr>
    </w:p>
    <w:p w:rsidR="009C7C4F" w:rsidRPr="001C1D37" w:rsidRDefault="0051102A" w:rsidP="001C1D37">
      <w:pPr>
        <w:autoSpaceDE w:val="0"/>
        <w:autoSpaceDN w:val="0"/>
        <w:adjustRightInd w:val="0"/>
        <w:rPr>
          <w:rFonts w:eastAsia="Calibri"/>
        </w:rPr>
      </w:pPr>
      <w:proofErr w:type="gramStart"/>
      <w:r w:rsidRPr="001C1D37">
        <w:rPr>
          <w:rFonts w:eastAsia="Calibri"/>
        </w:rPr>
        <w:t>w</w:t>
      </w:r>
      <w:r w:rsidR="00D0467E" w:rsidRPr="001C1D37">
        <w:rPr>
          <w:rFonts w:eastAsia="Calibri"/>
        </w:rPr>
        <w:t>here</w:t>
      </w:r>
      <w:r w:rsidRPr="001C1D37">
        <w:rPr>
          <w:rFonts w:eastAsia="Calibri"/>
        </w:rPr>
        <w:t xml:space="preserve"> </w:t>
      </w:r>
      <w:proofErr w:type="gramEnd"/>
      <m:oMath>
        <m:sSub>
          <m:sSubPr>
            <m:ctrlPr>
              <w:rPr>
                <w:rFonts w:ascii="Cambria Math" w:hAnsi="Cambria Math"/>
                <w:b/>
                <w:i/>
              </w:rPr>
            </m:ctrlPr>
          </m:sSubPr>
          <m:e>
            <m:acc>
              <m:accPr>
                <m:ctrlPr>
                  <w:rPr>
                    <w:rFonts w:ascii="Cambria Math" w:hAnsi="Cambria Math"/>
                    <w:b/>
                    <w:i/>
                  </w:rPr>
                </m:ctrlPr>
              </m:accPr>
              <m:e>
                <m:r>
                  <m:rPr>
                    <m:sty m:val="bi"/>
                  </m:rPr>
                  <w:rPr>
                    <w:rFonts w:ascii="Cambria Math" w:hAnsi="Cambria Math"/>
                  </w:rPr>
                  <m:t>U</m:t>
                </m:r>
              </m:e>
            </m:acc>
          </m:e>
          <m:sub>
            <m:r>
              <m:rPr>
                <m:sty m:val="bi"/>
              </m:rPr>
              <w:rPr>
                <w:rFonts w:ascii="Cambria Math" w:hAnsi="Cambria Math"/>
              </w:rPr>
              <m:t>i</m:t>
            </m:r>
          </m:sub>
        </m:sSub>
        <m:d>
          <m:dPr>
            <m:ctrlPr>
              <w:rPr>
                <w:rFonts w:ascii="Cambria Math" w:hAnsi="Cambria Math"/>
                <w:b/>
                <w:i/>
              </w:rPr>
            </m:ctrlPr>
          </m:dPr>
          <m:e>
            <m:r>
              <w:rPr>
                <w:rFonts w:ascii="Cambria Math" w:hAnsi="Cambria Math"/>
              </w:rPr>
              <m:t>z</m:t>
            </m:r>
          </m:e>
        </m:d>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U</m:t>
                </m:r>
              </m:e>
            </m:acc>
          </m:e>
          <m:sub>
            <m:r>
              <w:rPr>
                <w:rFonts w:ascii="Cambria Math"/>
              </w:rPr>
              <m:t>0</m:t>
            </m:r>
            <m:r>
              <w:rPr>
                <w:rFonts w:ascii="Cambria Math" w:hAnsi="Cambria Math"/>
              </w:rPr>
              <m:t>i</m:t>
            </m:r>
          </m:sub>
        </m:sSub>
        <m:r>
          <w:rPr>
            <w:rFonts w:asci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U</m:t>
                </m:r>
              </m:e>
            </m:acc>
          </m:e>
          <m:sub>
            <m:r>
              <w:rPr>
                <w:rFonts w:ascii="Cambria Math"/>
              </w:rPr>
              <m:t>1</m:t>
            </m:r>
            <m:r>
              <w:rPr>
                <w:rFonts w:ascii="Cambria Math" w:hAnsi="Cambria Math"/>
              </w:rPr>
              <m:t>i</m:t>
            </m:r>
          </m:sub>
        </m:sSub>
        <m:sSub>
          <m:sSubPr>
            <m:ctrlPr>
              <w:rPr>
                <w:rFonts w:ascii="Cambria Math" w:eastAsia="Calibri" w:hAnsi="Cambria Math"/>
                <w:i/>
              </w:rPr>
            </m:ctrlPr>
          </m:sSubPr>
          <m:e>
            <m:r>
              <w:rPr>
                <w:rFonts w:ascii="Cambria Math" w:eastAsia="Calibri" w:hAnsi="Cambria Math"/>
              </w:rPr>
              <m:t>Z</m:t>
            </m:r>
          </m:e>
          <m:sub>
            <m:r>
              <w:rPr>
                <w:rFonts w:ascii="Cambria Math" w:eastAsia="Calibri" w:hAnsi="Cambria Math"/>
              </w:rPr>
              <m:t>i</m:t>
            </m:r>
          </m:sub>
        </m:sSub>
        <m:r>
          <w:rPr>
            <w:rFonts w:ascii="Cambria Math" w:hAnsi="Cambria Math"/>
          </w:rPr>
          <m:t>)</m:t>
        </m:r>
      </m:oMath>
      <w:r w:rsidR="00126A6F" w:rsidRPr="001C1D37">
        <w:rPr>
          <w:rFonts w:eastAsia="Calibri"/>
        </w:rPr>
        <w:t xml:space="preserve">, and </w:t>
      </w:r>
      <m:oMath>
        <m:sSub>
          <m:sSubPr>
            <m:ctrlPr>
              <w:rPr>
                <w:rFonts w:ascii="Cambria Math" w:eastAsia="Calibri" w:hAnsi="Cambria Math"/>
                <w:i/>
              </w:rPr>
            </m:ctrlPr>
          </m:sSubPr>
          <m:e>
            <m:r>
              <w:rPr>
                <w:rFonts w:ascii="Cambria Math" w:eastAsia="Calibri" w:hAnsi="Cambria Math"/>
              </w:rPr>
              <m:t>Z</m:t>
            </m:r>
          </m:e>
          <m:sub>
            <m:r>
              <w:rPr>
                <w:rFonts w:ascii="Cambria Math" w:eastAsia="Calibri" w:hAnsi="Cambria Math"/>
              </w:rPr>
              <m:t>i</m:t>
            </m:r>
          </m:sub>
        </m:sSub>
      </m:oMath>
      <w:r w:rsidR="00D0467E" w:rsidRPr="001C1D37">
        <w:rPr>
          <w:rFonts w:eastAsia="Calibri"/>
        </w:rPr>
        <w:t xml:space="preserve"> is defined by (4)</w:t>
      </w:r>
      <w:r w:rsidRPr="001C1D37">
        <w:rPr>
          <w:rFonts w:eastAsia="Calibri"/>
        </w:rPr>
        <w:t xml:space="preserve"> for a time period </w:t>
      </w:r>
      <m:oMath>
        <m:r>
          <w:rPr>
            <w:rFonts w:ascii="Cambria Math" w:hAnsi="Cambria Math"/>
          </w:rPr>
          <m:t>(</m:t>
        </m:r>
        <m:r>
          <m:rPr>
            <m:sty m:val="p"/>
          </m:rPr>
          <w:rPr>
            <w:rFonts w:ascii="Cambria Math" w:hAnsi="Cambria Math"/>
          </w:rPr>
          <m:t xml:space="preserve">0, </m:t>
        </m:r>
        <m:r>
          <w:rPr>
            <w:rFonts w:ascii="Cambria Math" w:hAnsi="Cambria Math"/>
          </w:rPr>
          <m:t>t)</m:t>
        </m:r>
      </m:oMath>
      <w:r w:rsidR="00126A6F" w:rsidRPr="001C1D37">
        <w:rPr>
          <w:rFonts w:eastAsia="Calibri"/>
        </w:rPr>
        <w:t xml:space="preserve">. </w:t>
      </w:r>
      <w:r w:rsidR="00A040F4" w:rsidRPr="001C1D37">
        <w:rPr>
          <w:rFonts w:eastAsia="Calibri"/>
        </w:rPr>
        <w:t>Note that</w:t>
      </w:r>
      <w:r w:rsidR="00D0467E" w:rsidRPr="001C1D37">
        <w:rPr>
          <w:rFonts w:eastAsia="Calibri"/>
        </w:rPr>
        <w:t xml:space="preserve"> </w:t>
      </w:r>
      <m:oMath>
        <m:acc>
          <m:accPr>
            <m:ctrlPr>
              <w:rPr>
                <w:rFonts w:ascii="Cambria Math" w:eastAsia="Calibri" w:hAnsi="Cambria Math"/>
                <w:i/>
              </w:rPr>
            </m:ctrlPr>
          </m:accPr>
          <m:e>
            <m:r>
              <m:rPr>
                <m:sty m:val="p"/>
              </m:rPr>
              <w:rPr>
                <w:rFonts w:ascii="Cambria Math" w:eastAsia="Calibri" w:hAnsi="Cambria Math"/>
              </w:rPr>
              <m:t>M</m:t>
            </m:r>
          </m:e>
        </m:acc>
        <m:d>
          <m:dPr>
            <m:ctrlPr>
              <w:rPr>
                <w:rFonts w:ascii="Cambria Math" w:eastAsia="Calibri" w:hAnsi="Cambria Math"/>
                <w:i/>
              </w:rPr>
            </m:ctrlPr>
          </m:dPr>
          <m:e>
            <m:r>
              <w:rPr>
                <w:rFonts w:ascii="Cambria Math" w:hAnsi="Cambria Math"/>
              </w:rPr>
              <m:t>z|</m:t>
            </m:r>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r>
                  <w:rPr>
                    <w:rFonts w:ascii="Cambria Math" w:hAnsi="Cambria Math"/>
                  </w:rPr>
                  <m:t>z</m:t>
                </m:r>
              </m:e>
            </m:d>
          </m:e>
        </m:d>
      </m:oMath>
      <w:r w:rsidRPr="001C1D37">
        <w:rPr>
          <w:rFonts w:eastAsia="Calibri"/>
        </w:rPr>
        <w:t xml:space="preserve"> </w:t>
      </w:r>
      <w:r w:rsidR="00D0467E" w:rsidRPr="001C1D37">
        <w:rPr>
          <w:rFonts w:eastAsia="Calibri"/>
        </w:rPr>
        <w:t xml:space="preserve">is </w:t>
      </w:r>
      <w:r w:rsidR="00F33E4F" w:rsidRPr="001C1D37">
        <w:rPr>
          <w:rFonts w:eastAsia="Calibri"/>
        </w:rPr>
        <w:t xml:space="preserve">estimated from the joint model </w:t>
      </w:r>
      <w:r w:rsidR="007F5C97" w:rsidRPr="001C1D37">
        <w:rPr>
          <w:rFonts w:eastAsia="Calibri"/>
        </w:rPr>
        <w:t>at</w:t>
      </w:r>
      <w:r w:rsidR="006A045D" w:rsidRPr="001C1D37">
        <w:rPr>
          <w:rFonts w:eastAsia="Calibri"/>
        </w:rPr>
        <w:t xml:space="preserve"> event-time</w:t>
      </w:r>
      <w:r w:rsidR="00E015D6" w:rsidRPr="001C1D37">
        <w:rPr>
          <w:rFonts w:eastAsia="Calibri"/>
        </w:rPr>
        <w:t>s</w:t>
      </w:r>
      <w:r w:rsidR="006A045D" w:rsidRPr="001C1D37">
        <w:rPr>
          <w:rFonts w:eastAsia="Calibri"/>
        </w:rPr>
        <w:t xml:space="preserve"> </w:t>
      </w: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=z</m:t>
        </m:r>
      </m:oMath>
      <w:r w:rsidR="007F5C97" w:rsidRPr="001C1D37">
        <w:rPr>
          <w:rFonts w:eastAsia="Calibri"/>
        </w:rPr>
        <w:t xml:space="preserve"> </w:t>
      </w:r>
      <w:r w:rsidR="00D0467E" w:rsidRPr="001C1D37">
        <w:rPr>
          <w:rFonts w:eastAsia="Calibri"/>
        </w:rPr>
        <w:t xml:space="preserve">for </w:t>
      </w:r>
      <w:r w:rsidR="00E015D6" w:rsidRPr="001C1D37">
        <w:rPr>
          <w:rFonts w:eastAsia="Calibri"/>
        </w:rPr>
        <w:t>each</w:t>
      </w:r>
      <w:r w:rsidR="00126A6F" w:rsidRPr="001C1D37">
        <w:rPr>
          <w:rFonts w:eastAsia="Calibri"/>
        </w:rPr>
        <w:t xml:space="preserve"> individual, and </w:t>
      </w:r>
      <w:r w:rsidR="00E35083" w:rsidRPr="001C1D37">
        <w:rPr>
          <w:rFonts w:eastAsia="Calibri"/>
        </w:rPr>
        <w:t xml:space="preserve">it </w:t>
      </w:r>
      <w:r w:rsidR="00D0467E" w:rsidRPr="001C1D37">
        <w:rPr>
          <w:rFonts w:eastAsia="Calibri"/>
        </w:rPr>
        <w:t xml:space="preserve">includes the weighted </w:t>
      </w:r>
      <w:r w:rsidR="00D0467E" w:rsidRPr="001C1D37">
        <w:rPr>
          <w:bCs/>
        </w:rPr>
        <w:t>individual-</w:t>
      </w:r>
      <w:r w:rsidR="007F5C97" w:rsidRPr="001C1D37">
        <w:rPr>
          <w:bCs/>
        </w:rPr>
        <w:t>specific</w:t>
      </w:r>
      <w:r w:rsidR="00D0467E" w:rsidRPr="001C1D37">
        <w:rPr>
          <w:bCs/>
        </w:rPr>
        <w:t xml:space="preserve"> deviation </w:t>
      </w:r>
      <w:r w:rsidR="00D0467E" w:rsidRPr="001C1D37">
        <w:rPr>
          <w:rFonts w:eastAsia="Calibri"/>
        </w:rPr>
        <w:t xml:space="preserve">from </w:t>
      </w:r>
      <w:r w:rsidR="00D0467E" w:rsidRPr="001C1D37">
        <w:rPr>
          <w:rFonts w:eastAsia="Calibri"/>
        </w:rPr>
        <w:lastRenderedPageBreak/>
        <w:t xml:space="preserve">true biomarker value at </w:t>
      </w:r>
      <m:oMath>
        <m:r>
          <w:rPr>
            <w:rFonts w:ascii="Cambria Math" w:hAnsi="Cambria Math"/>
          </w:rPr>
          <m:t>z</m:t>
        </m:r>
      </m:oMath>
      <w:r w:rsidR="00D0467E" w:rsidRPr="001C1D37">
        <w:rPr>
          <w:rFonts w:eastAsia="Calibri"/>
        </w:rPr>
        <w:t xml:space="preserve"> where weight is given by the estimated coefficient of the association parameter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rsidR="00D0467E" w:rsidRPr="001C1D37">
        <w:rPr>
          <w:rFonts w:eastAsia="Calibri"/>
        </w:rPr>
        <w:t xml:space="preserve"> over </w:t>
      </w:r>
      <m:oMath>
        <m:r>
          <w:rPr>
            <w:rFonts w:ascii="Cambria Math" w:hAnsi="Cambria Math"/>
          </w:rPr>
          <m:t>(0, t)</m:t>
        </m:r>
      </m:oMath>
      <w:r w:rsidR="00D0467E" w:rsidRPr="001C1D37">
        <w:rPr>
          <w:rFonts w:eastAsia="Calibri"/>
        </w:rPr>
        <w:t xml:space="preserve">. </w:t>
      </w:r>
    </w:p>
    <w:p w:rsidR="009C7C4F" w:rsidRPr="001C1D37" w:rsidRDefault="009C7C4F" w:rsidP="001C1D37">
      <w:pPr>
        <w:autoSpaceDE w:val="0"/>
        <w:autoSpaceDN w:val="0"/>
        <w:adjustRightInd w:val="0"/>
        <w:rPr>
          <w:rFonts w:eastAsia="Calibri"/>
        </w:rPr>
      </w:pPr>
    </w:p>
    <w:p w:rsidR="00BB4497" w:rsidRPr="001C1D37" w:rsidRDefault="00BB4497" w:rsidP="001C1D37">
      <w:pPr>
        <w:autoSpaceDE w:val="0"/>
        <w:autoSpaceDN w:val="0"/>
        <w:adjustRightInd w:val="0"/>
        <w:rPr>
          <w:rFonts w:eastAsia="Calibri"/>
        </w:rPr>
      </w:pPr>
    </w:p>
    <w:p w:rsidR="00D0467E" w:rsidRPr="001C1D37" w:rsidRDefault="00D0467E" w:rsidP="001C1D37">
      <w:pPr>
        <w:autoSpaceDE w:val="0"/>
        <w:autoSpaceDN w:val="0"/>
        <w:adjustRightInd w:val="0"/>
        <w:rPr>
          <w:rFonts w:eastAsia="Calibri"/>
          <w:b/>
        </w:rPr>
      </w:pPr>
      <w:r w:rsidRPr="001C1D37">
        <w:rPr>
          <w:rFonts w:eastAsia="Calibri"/>
          <w:b/>
        </w:rPr>
        <w:t>4.3 Stage 2: Cumulative sensitivity and dynamic</w:t>
      </w:r>
      <w:r w:rsidRPr="001C1D37">
        <w:rPr>
          <w:rFonts w:eastAsia="Calibri"/>
          <w:b/>
          <w:i/>
        </w:rPr>
        <w:t xml:space="preserve"> </w:t>
      </w:r>
      <w:r w:rsidRPr="001C1D37">
        <w:rPr>
          <w:rFonts w:eastAsia="Calibri"/>
          <w:b/>
        </w:rPr>
        <w:t>specificity</w:t>
      </w:r>
      <w:r w:rsidR="00C15971" w:rsidRPr="001C1D37">
        <w:rPr>
          <w:rFonts w:eastAsia="Calibri"/>
          <w:b/>
        </w:rPr>
        <w:t xml:space="preserve"> </w:t>
      </w:r>
      <w:r w:rsidR="00E015D6" w:rsidRPr="001C1D37">
        <w:rPr>
          <w:rFonts w:eastAsia="Calibri"/>
          <w:b/>
        </w:rPr>
        <w:t>over</w:t>
      </w:r>
      <m:oMath>
        <m:r>
          <m:rPr>
            <m:sty m:val="bi"/>
          </m:rPr>
          <w:rPr>
            <w:rFonts w:ascii="Cambria Math" w:eastAsia="Calibri" w:hAnsi="Cambria Math"/>
          </w:rPr>
          <m:t xml:space="preserve"> (0,</m:t>
        </m:r>
        <m:r>
          <m:rPr>
            <m:sty m:val="bi"/>
          </m:rPr>
          <w:rPr>
            <w:rFonts w:ascii="Cambria Math" w:hAnsi="Cambria Math"/>
          </w:rPr>
          <m:t>t</m:t>
        </m:r>
        <m:r>
          <m:rPr>
            <m:sty m:val="bi"/>
          </m:rPr>
          <w:rPr>
            <w:rFonts w:ascii="Cambria Math" w:eastAsia="Calibri" w:hAnsi="Cambria Math"/>
          </w:rPr>
          <m:t>)</m:t>
        </m:r>
      </m:oMath>
    </w:p>
    <w:p w:rsidR="00D0467E" w:rsidRPr="001C1D37" w:rsidRDefault="00211CF0" w:rsidP="001C1D37">
      <w:pPr>
        <w:autoSpaceDE w:val="0"/>
        <w:autoSpaceDN w:val="0"/>
        <w:adjustRightInd w:val="0"/>
        <w:rPr>
          <w:rFonts w:eastAsia="Calibri"/>
        </w:rPr>
      </w:pPr>
      <w:r w:rsidRPr="001C1D37">
        <w:rPr>
          <w:rFonts w:eastAsia="Calibri"/>
        </w:rPr>
        <w:t>Let</w:t>
      </w:r>
      <w:r w:rsidR="00E015D6" w:rsidRPr="001C1D37">
        <w:rPr>
          <w:rFonts w:eastAsia="Calibri"/>
        </w:rPr>
        <w:t xml:space="preserve"> </w:t>
      </w:r>
      <m:oMath>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i</m:t>
            </m:r>
          </m:sub>
        </m:sSub>
        <m:d>
          <m:dPr>
            <m:ctrlPr>
              <w:rPr>
                <w:rFonts w:ascii="Cambria Math" w:eastAsia="Calibri" w:hAnsi="Cambria Math"/>
                <w:i/>
              </w:rPr>
            </m:ctrlPr>
          </m:dPr>
          <m:e>
            <m:r>
              <w:rPr>
                <w:rFonts w:ascii="Cambria Math" w:eastAsia="Calibri" w:hAnsi="Cambria Math"/>
              </w:rPr>
              <m:t>t</m:t>
            </m:r>
          </m:e>
        </m:d>
        <m:r>
          <w:rPr>
            <w:rFonts w:ascii="Cambria Math" w:eastAsia="Calibri" w:hAnsi="Cambria Math"/>
          </w:rPr>
          <m:t>=</m:t>
        </m:r>
        <m:acc>
          <m:accPr>
            <m:ctrlPr>
              <w:rPr>
                <w:rFonts w:ascii="Cambria Math" w:eastAsia="Calibri" w:hAnsi="Cambria Math"/>
                <w:i/>
              </w:rPr>
            </m:ctrlPr>
          </m:accPr>
          <m:e>
            <m:r>
              <m:rPr>
                <m:sty m:val="p"/>
              </m:rPr>
              <w:rPr>
                <w:rFonts w:ascii="Cambria Math" w:eastAsia="Calibri" w:hAnsi="Cambria Math"/>
              </w:rPr>
              <m:t>M</m:t>
            </m:r>
          </m:e>
        </m:acc>
        <m:d>
          <m:dPr>
            <m:ctrlPr>
              <w:rPr>
                <w:rFonts w:ascii="Cambria Math" w:eastAsia="Calibri" w:hAnsi="Cambria Math"/>
                <w:i/>
              </w:rPr>
            </m:ctrlPr>
          </m:dPr>
          <m:e>
            <m:r>
              <w:rPr>
                <w:rFonts w:ascii="Cambria Math" w:hAnsi="Cambria Math"/>
              </w:rPr>
              <m:t>z|</m:t>
            </m:r>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r>
                  <w:rPr>
                    <w:rFonts w:ascii="Cambria Math" w:hAnsi="Cambria Math"/>
                  </w:rPr>
                  <m:t>z</m:t>
                </m:r>
              </m:e>
            </m:d>
          </m:e>
        </m:d>
      </m:oMath>
      <w:r w:rsidR="00585905" w:rsidRPr="001C1D37">
        <w:rPr>
          <w:rFonts w:eastAsia="Calibri"/>
        </w:rPr>
        <w:t xml:space="preserve"> </w:t>
      </w:r>
      <w:r w:rsidR="00032170" w:rsidRPr="001C1D37">
        <w:rPr>
          <w:rFonts w:eastAsia="Calibri"/>
        </w:rPr>
        <w:t>as</w:t>
      </w:r>
      <w:r w:rsidR="00585905" w:rsidRPr="001C1D37">
        <w:rPr>
          <w:rFonts w:eastAsia="Calibri"/>
        </w:rPr>
        <w:t xml:space="preserve"> the data over the time period </w:t>
      </w:r>
      <m:oMath>
        <m:r>
          <w:rPr>
            <w:rFonts w:ascii="Cambria Math" w:hAnsi="Cambria Math"/>
          </w:rPr>
          <m:t>(0, t)</m:t>
        </m:r>
      </m:oMath>
      <w:r w:rsidR="00E015D6" w:rsidRPr="001C1D37">
        <w:rPr>
          <w:rFonts w:eastAsia="Calibri"/>
        </w:rPr>
        <w:t xml:space="preserve"> is included</w:t>
      </w:r>
      <w:r w:rsidR="00585905" w:rsidRPr="001C1D37">
        <w:rPr>
          <w:rFonts w:eastAsia="Calibri"/>
        </w:rPr>
        <w:t xml:space="preserve"> in its estimation</w:t>
      </w:r>
      <w:r w:rsidR="009C7C4F" w:rsidRPr="001C1D37">
        <w:rPr>
          <w:rFonts w:eastAsia="Calibri"/>
        </w:rPr>
        <w:t>.</w:t>
      </w:r>
      <w:r w:rsidR="009E40B9" w:rsidRPr="001C1D37">
        <w:rPr>
          <w:rFonts w:eastAsia="Calibri"/>
        </w:rPr>
        <w:t xml:space="preserve"> </w:t>
      </w:r>
      <w:r w:rsidR="00D0467E" w:rsidRPr="001C1D37">
        <w:rPr>
          <w:rFonts w:eastAsia="Calibri"/>
        </w:rPr>
        <w:t>Adopting the cumulative/dynamic definition</w:t>
      </w:r>
      <w:r w:rsidR="00E015D6" w:rsidRPr="001C1D37">
        <w:rPr>
          <w:rFonts w:eastAsia="Calibri"/>
        </w:rPr>
        <w:t xml:space="preserve"> </w:t>
      </w:r>
      <w:r w:rsidR="00D0467E" w:rsidRPr="001C1D37">
        <w:rPr>
          <w:rFonts w:eastAsia="Calibri"/>
        </w:rPr>
        <w:t xml:space="preserve">by </w:t>
      </w:r>
      <w:proofErr w:type="spellStart"/>
      <w:r w:rsidR="00D0467E" w:rsidRPr="001C1D37">
        <w:rPr>
          <w:rFonts w:eastAsia="Calibri"/>
        </w:rPr>
        <w:t>Heagerty</w:t>
      </w:r>
      <w:proofErr w:type="spellEnd"/>
      <w:r w:rsidR="00D0467E" w:rsidRPr="001C1D37">
        <w:rPr>
          <w:rFonts w:eastAsia="Calibri"/>
        </w:rPr>
        <w:t xml:space="preserve"> and Zheng [</w:t>
      </w:r>
      <w:r w:rsidR="00E35083" w:rsidRPr="001C1D37">
        <w:rPr>
          <w:rFonts w:eastAsia="Calibri"/>
        </w:rPr>
        <w:t>5</w:t>
      </w:r>
      <w:r w:rsidR="00D0467E" w:rsidRPr="001C1D37">
        <w:rPr>
          <w:rFonts w:eastAsia="Calibri"/>
        </w:rPr>
        <w:t>]</w:t>
      </w:r>
      <w:r w:rsidR="00E015D6" w:rsidRPr="001C1D37">
        <w:rPr>
          <w:rFonts w:eastAsia="Calibri"/>
        </w:rPr>
        <w:t xml:space="preserve"> </w:t>
      </w:r>
      <w:proofErr w:type="gramStart"/>
      <w:r w:rsidR="00E015D6" w:rsidRPr="001C1D37">
        <w:rPr>
          <w:rFonts w:eastAsia="Calibri"/>
        </w:rPr>
        <w:t xml:space="preserve">for </w:t>
      </w:r>
      <w:proofErr w:type="gramEnd"/>
      <m:oMath>
        <m:sSub>
          <m:sSubPr>
            <m:ctrlPr>
              <w:rPr>
                <w:rFonts w:ascii="Cambria Math" w:hAnsi="Cambria Math"/>
                <w:i/>
                <w:lang w:eastAsia="en-GB"/>
              </w:rPr>
            </m:ctrlPr>
          </m:sSubPr>
          <m:e>
            <m:r>
              <w:rPr>
                <w:rFonts w:ascii="Cambria Math" w:hAnsi="Cambria Math"/>
                <w:lang w:eastAsia="en-GB"/>
              </w:rPr>
              <m:t>Z</m:t>
            </m:r>
          </m:e>
          <m:sub>
            <m:r>
              <w:rPr>
                <w:rFonts w:ascii="Cambria Math" w:hAnsi="Cambria Math"/>
                <w:lang w:eastAsia="en-GB"/>
              </w:rPr>
              <m:t>i</m:t>
            </m:r>
          </m:sub>
        </m:sSub>
      </m:oMath>
      <w:r w:rsidR="00D0467E" w:rsidRPr="001C1D37">
        <w:rPr>
          <w:rFonts w:eastAsia="Calibri"/>
        </w:rPr>
        <w:t xml:space="preserve">, </w:t>
      </w:r>
      <w:r w:rsidR="009E40B9" w:rsidRPr="001C1D37">
        <w:rPr>
          <w:rFonts w:eastAsia="Calibri"/>
        </w:rPr>
        <w:t xml:space="preserve">we can </w:t>
      </w:r>
      <w:r w:rsidR="00D0467E" w:rsidRPr="001C1D37">
        <w:t xml:space="preserve">classify </w:t>
      </w:r>
      <m:oMath>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i</m:t>
            </m:r>
          </m:sub>
        </m:sSub>
        <m:r>
          <w:rPr>
            <w:rFonts w:ascii="Cambria Math" w:eastAsia="Calibri" w:hAnsi="Cambria Math"/>
          </w:rPr>
          <m:t>(t)</m:t>
        </m:r>
      </m:oMath>
      <w:r w:rsidR="00C66EBD" w:rsidRPr="001C1D37">
        <w:t xml:space="preserve"> </w:t>
      </w:r>
      <w:r w:rsidR="007642FE" w:rsidRPr="001C1D37">
        <w:t xml:space="preserve">for each individual </w:t>
      </w:r>
      <w:r w:rsidR="00D0467E" w:rsidRPr="001C1D37">
        <w:t xml:space="preserve">as positive or negative </w:t>
      </w:r>
      <w:r w:rsidR="00D0467E" w:rsidRPr="001C1D37">
        <w:rPr>
          <w:rFonts w:eastAsia="Calibri"/>
        </w:rPr>
        <w:t xml:space="preserve">for </w:t>
      </w:r>
      <w:r w:rsidR="00D0467E" w:rsidRPr="001C1D37">
        <w:t xml:space="preserve">a given </w:t>
      </w:r>
      <w:proofErr w:type="spellStart"/>
      <w:r w:rsidR="00D0467E" w:rsidRPr="001C1D37">
        <w:rPr>
          <w:rFonts w:eastAsia="Calibri"/>
        </w:rPr>
        <w:t>thresholding</w:t>
      </w:r>
      <w:proofErr w:type="spellEnd"/>
      <w:r w:rsidR="00D0467E" w:rsidRPr="001C1D37">
        <w:t xml:space="preserve"> criterion </w:t>
      </w:r>
      <m:oMath>
        <m:r>
          <w:rPr>
            <w:rFonts w:ascii="Cambria Math" w:hAnsi="Cambria Math"/>
          </w:rPr>
          <m:t>c</m:t>
        </m:r>
      </m:oMath>
      <w:r w:rsidR="00E35083" w:rsidRPr="001C1D37">
        <w:t>;</w:t>
      </w:r>
      <w:r w:rsidR="009E40B9" w:rsidRPr="001C1D37">
        <w:t xml:space="preserve"> </w:t>
      </w:r>
      <m:oMath>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i</m:t>
            </m:r>
          </m:sub>
        </m:sSub>
        <m:r>
          <w:rPr>
            <w:rFonts w:ascii="Cambria Math" w:eastAsia="Calibri" w:hAnsi="Cambria Math"/>
          </w:rPr>
          <m:t>(t)</m:t>
        </m:r>
        <m:r>
          <w:rPr>
            <w:rFonts w:ascii="Cambria Math" w:hAnsi="Cambria Math"/>
          </w:rPr>
          <m:t>≥c</m:t>
        </m:r>
      </m:oMath>
      <w:r w:rsidR="009E40B9" w:rsidRPr="001C1D37">
        <w:t xml:space="preserve"> defines a test positive and </w:t>
      </w:r>
      <m:oMath>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i</m:t>
            </m:r>
          </m:sub>
        </m:sSub>
        <m:r>
          <w:rPr>
            <w:rFonts w:ascii="Cambria Math" w:eastAsia="Calibri" w:hAnsi="Cambria Math"/>
          </w:rPr>
          <m:t>(t)</m:t>
        </m:r>
        <m:r>
          <w:rPr>
            <w:rFonts w:ascii="Cambria Math" w:hAnsi="Cambria Math"/>
          </w:rPr>
          <m:t>&lt;c</m:t>
        </m:r>
      </m:oMath>
      <w:r w:rsidR="009E40B9" w:rsidRPr="001C1D37">
        <w:t xml:space="preserve"> defines a test negative. Therefore, the s</w:t>
      </w:r>
      <w:r w:rsidR="00D0467E" w:rsidRPr="001C1D37">
        <w:rPr>
          <w:rFonts w:eastAsia="Calibri"/>
        </w:rPr>
        <w:t>ensitivity and specificity</w:t>
      </w:r>
      <w:r w:rsidR="00E015D6" w:rsidRPr="001C1D37">
        <w:rPr>
          <w:rFonts w:eastAsia="Calibri"/>
        </w:rPr>
        <w:t xml:space="preserve"> of the biomarker</w:t>
      </w:r>
      <w:r w:rsidR="00E35083" w:rsidRPr="001C1D37">
        <w:rPr>
          <w:rFonts w:eastAsia="Calibri"/>
        </w:rPr>
        <w:t xml:space="preserve"> over</w:t>
      </w:r>
      <m:oMath>
        <m:r>
          <w:rPr>
            <w:rFonts w:ascii="Cambria Math" w:eastAsia="Calibri" w:hAnsi="Cambria Math"/>
          </w:rPr>
          <m:t xml:space="preserve"> (0,</m:t>
        </m:r>
        <m:r>
          <w:rPr>
            <w:rFonts w:ascii="Cambria Math" w:hAnsi="Cambria Math"/>
          </w:rPr>
          <m:t>t</m:t>
        </m:r>
        <m:r>
          <w:rPr>
            <w:rFonts w:ascii="Cambria Math" w:eastAsia="Calibri" w:hAnsi="Cambria Math"/>
          </w:rPr>
          <m:t>)</m:t>
        </m:r>
      </m:oMath>
      <w:r w:rsidR="009E40B9" w:rsidRPr="001C1D37">
        <w:rPr>
          <w:rFonts w:eastAsia="Calibri"/>
        </w:rPr>
        <w:t xml:space="preserve"> can be defined </w:t>
      </w:r>
      <w:r w:rsidR="00D0467E" w:rsidRPr="001C1D37">
        <w:rPr>
          <w:rFonts w:eastAsia="Calibri"/>
        </w:rPr>
        <w:t>by</w:t>
      </w:r>
    </w:p>
    <w:p w:rsidR="00D0467E" w:rsidRPr="001C1D37" w:rsidRDefault="00D0467E" w:rsidP="001C1D37">
      <w:pPr>
        <w:autoSpaceDE w:val="0"/>
        <w:autoSpaceDN w:val="0"/>
        <w:adjustRightInd w:val="0"/>
        <w:rPr>
          <w:rFonts w:eastAsia="Calibri"/>
        </w:rPr>
      </w:pPr>
    </w:p>
    <w:p w:rsidR="00D0467E" w:rsidRPr="001C1D37" w:rsidRDefault="00D0467E" w:rsidP="001C1D37">
      <w:pPr>
        <w:autoSpaceDE w:val="0"/>
        <w:autoSpaceDN w:val="0"/>
        <w:adjustRightInd w:val="0"/>
      </w:pPr>
      <m:oMathPara>
        <m:oMath>
          <m:r>
            <m:rPr>
              <m:sty m:val="p"/>
            </m:rPr>
            <w:rPr>
              <w:rFonts w:ascii="Cambria Math" w:eastAsia="Calibri" w:hAnsi="Cambria Math"/>
            </w:rPr>
            <m:t>sensitivity</m:t>
          </m:r>
          <m:d>
            <m:dPr>
              <m:ctrlPr>
                <w:rPr>
                  <w:rFonts w:ascii="Cambria Math" w:hAnsi="Cambria Math"/>
                  <w:i/>
                </w:rPr>
              </m:ctrlPr>
            </m:dPr>
            <m:e>
              <m:r>
                <w:rPr>
                  <w:rFonts w:ascii="Cambria Math" w:hAnsi="Cambria Math"/>
                </w:rPr>
                <m:t>c</m:t>
              </m:r>
              <m:r>
                <w:rPr>
                  <w:rFonts w:ascii="Cambria Math"/>
                </w:rPr>
                <m:t xml:space="preserve">, </m:t>
              </m:r>
              <m:r>
                <w:rPr>
                  <w:rFonts w:ascii="Cambria Math" w:hAnsi="Cambria Math"/>
                </w:rPr>
                <m:t>t</m:t>
              </m:r>
            </m:e>
          </m:d>
          <m:r>
            <w:rPr>
              <w:rFonts w:ascii="Cambria Math" w:hAnsi="Cambria Math"/>
            </w:rPr>
            <m:t>: Pr</m:t>
          </m:r>
          <m:r>
            <w:rPr>
              <w:rFonts w:ascii="Cambria Math"/>
            </w:rPr>
            <m:t xml:space="preserve"> </m:t>
          </m:r>
          <m:d>
            <m:dPr>
              <m:begChr m:val="{"/>
              <m:endChr m:val="|"/>
              <m:ctrlPr>
                <w:rPr>
                  <w:rFonts w:ascii="Cambria Math" w:hAnsi="Cambria Math"/>
                  <w:i/>
                </w:rPr>
              </m:ctrlPr>
            </m:dPr>
            <m:e>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i</m:t>
                  </m:r>
                </m:sub>
              </m:sSub>
              <m:r>
                <w:rPr>
                  <w:rFonts w:ascii="Cambria Math" w:eastAsia="Calibri" w:hAnsi="Cambria Math"/>
                </w:rPr>
                <m:t>(t)</m:t>
              </m:r>
              <m:r>
                <w:rPr>
                  <w:rFonts w:ascii="Cambria Math" w:hAnsi="Cambria Math"/>
                </w:rPr>
                <m:t>≥</m:t>
              </m:r>
              <m:r>
                <w:rPr>
                  <w:rFonts w:ascii="Cambria Math"/>
                </w:rPr>
                <m:t xml:space="preserve">c </m:t>
              </m:r>
            </m:e>
          </m:d>
          <m:sSub>
            <m:sSubPr>
              <m:ctrlPr>
                <w:rPr>
                  <w:rFonts w:ascii="Cambria Math" w:hAnsi="Cambria Math"/>
                  <w:i/>
                  <w:lang w:eastAsia="en-GB"/>
                </w:rPr>
              </m:ctrlPr>
            </m:sSubPr>
            <m:e>
              <m:r>
                <w:rPr>
                  <w:rFonts w:ascii="Cambria Math" w:hAnsi="Cambria Math"/>
                  <w:lang w:eastAsia="en-GB"/>
                </w:rPr>
                <m:t>Z</m:t>
              </m:r>
            </m:e>
            <m:sub>
              <m:r>
                <w:rPr>
                  <w:rFonts w:ascii="Cambria Math" w:hAnsi="Cambria Math"/>
                  <w:lang w:eastAsia="en-GB"/>
                </w:rPr>
                <m:t>i</m:t>
              </m:r>
            </m:sub>
          </m:sSub>
          <m:r>
            <w:rPr>
              <w:rFonts w:ascii="Cambria Math"/>
            </w:rPr>
            <m:t>≤</m:t>
          </m:r>
          <m:r>
            <w:rPr>
              <w:rFonts w:ascii="Cambria Math" w:hAnsi="Cambria Math"/>
            </w:rPr>
            <m:t>t</m:t>
          </m:r>
          <m:r>
            <w:rPr>
              <w:rFonts w:ascii="Cambria Math"/>
            </w:rPr>
            <m:t>}</m:t>
          </m:r>
        </m:oMath>
      </m:oMathPara>
    </w:p>
    <w:p w:rsidR="00D0467E" w:rsidRPr="001C1D37" w:rsidRDefault="00D0467E" w:rsidP="001C1D37">
      <w:pPr>
        <w:autoSpaceDE w:val="0"/>
        <w:autoSpaceDN w:val="0"/>
        <w:adjustRightInd w:val="0"/>
      </w:pPr>
      <m:oMathPara>
        <m:oMath>
          <m:r>
            <m:rPr>
              <m:sty m:val="p"/>
            </m:rPr>
            <w:rPr>
              <w:rFonts w:ascii="Cambria Math" w:hAnsi="Cambria Math"/>
            </w:rPr>
            <m:t>specificity</m:t>
          </m:r>
          <m:d>
            <m:dPr>
              <m:ctrlPr>
                <w:rPr>
                  <w:rFonts w:ascii="Cambria Math" w:hAnsi="Cambria Math"/>
                  <w:i/>
                </w:rPr>
              </m:ctrlPr>
            </m:dPr>
            <m:e>
              <m:r>
                <w:rPr>
                  <w:rFonts w:ascii="Cambria Math" w:hAnsi="Cambria Math"/>
                </w:rPr>
                <m:t>c</m:t>
              </m:r>
              <m:r>
                <w:rPr>
                  <w:rFonts w:ascii="Cambria Math"/>
                </w:rPr>
                <m:t xml:space="preserve">, </m:t>
              </m:r>
              <m:r>
                <w:rPr>
                  <w:rFonts w:ascii="Cambria Math" w:hAnsi="Cambria Math"/>
                </w:rPr>
                <m:t>t</m:t>
              </m:r>
            </m:e>
          </m:d>
          <m:r>
            <m:rPr>
              <m:sty m:val="p"/>
            </m:rPr>
            <w:rPr>
              <w:rStyle w:val="inlineformula"/>
              <w:rFonts w:ascii="Cambria Math" w:hAnsi="Cambria Math"/>
            </w:rPr>
            <m:t xml:space="preserve">: </m:t>
          </m:r>
          <m:r>
            <w:rPr>
              <w:rFonts w:ascii="Cambria Math" w:hAnsi="Cambria Math"/>
            </w:rPr>
            <m:t>Pr</m:t>
          </m:r>
          <m:r>
            <w:rPr>
              <w:rFonts w:ascii="Cambria Math"/>
            </w:rPr>
            <m:t xml:space="preserve"> </m:t>
          </m:r>
          <m:d>
            <m:dPr>
              <m:begChr m:val="{"/>
              <m:endChr m:val="|"/>
              <m:ctrlPr>
                <w:rPr>
                  <w:rFonts w:ascii="Cambria Math" w:hAnsi="Cambria Math"/>
                  <w:i/>
                </w:rPr>
              </m:ctrlPr>
            </m:dPr>
            <m:e>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i</m:t>
                  </m:r>
                </m:sub>
              </m:sSub>
              <m:r>
                <w:rPr>
                  <w:rFonts w:ascii="Cambria Math" w:eastAsia="Calibri" w:hAnsi="Cambria Math"/>
                </w:rPr>
                <m:t>(t)</m:t>
              </m:r>
              <m:r>
                <w:rPr>
                  <w:rFonts w:ascii="Cambria Math"/>
                </w:rPr>
                <m:t xml:space="preserve">&lt;c </m:t>
              </m:r>
            </m:e>
          </m:d>
          <m:sSub>
            <m:sSubPr>
              <m:ctrlPr>
                <w:rPr>
                  <w:rFonts w:ascii="Cambria Math" w:hAnsi="Cambria Math"/>
                  <w:i/>
                  <w:lang w:eastAsia="en-GB"/>
                </w:rPr>
              </m:ctrlPr>
            </m:sSubPr>
            <m:e>
              <m:r>
                <w:rPr>
                  <w:rFonts w:ascii="Cambria Math" w:hAnsi="Cambria Math"/>
                  <w:lang w:eastAsia="en-GB"/>
                </w:rPr>
                <m:t>Z</m:t>
              </m:r>
            </m:e>
            <m:sub>
              <m:r>
                <w:rPr>
                  <w:rFonts w:ascii="Cambria Math" w:hAnsi="Cambria Math"/>
                  <w:lang w:eastAsia="en-GB"/>
                </w:rPr>
                <m:t>i</m:t>
              </m:r>
            </m:sub>
          </m:sSub>
          <m:r>
            <w:rPr>
              <w:rFonts w:ascii="Cambria Math"/>
            </w:rPr>
            <m:t>&gt;</m:t>
          </m:r>
          <m:r>
            <w:rPr>
              <w:rFonts w:ascii="Cambria Math" w:hAnsi="Cambria Math"/>
            </w:rPr>
            <m:t>t</m:t>
          </m:r>
          <m:r>
            <w:rPr>
              <w:rFonts w:ascii="Cambria Math"/>
            </w:rPr>
            <m:t>}</m:t>
          </m:r>
        </m:oMath>
      </m:oMathPara>
    </w:p>
    <w:p w:rsidR="00D0467E" w:rsidRPr="001C1D37" w:rsidRDefault="00D0467E" w:rsidP="001C1D37">
      <w:pPr>
        <w:autoSpaceDE w:val="0"/>
        <w:autoSpaceDN w:val="0"/>
        <w:adjustRightInd w:val="0"/>
        <w:rPr>
          <w:rFonts w:eastAsia="Calibri"/>
        </w:rPr>
      </w:pPr>
    </w:p>
    <w:p w:rsidR="00D0467E" w:rsidRPr="001C1D37" w:rsidRDefault="00D0467E" w:rsidP="001C1D37">
      <w:pPr>
        <w:autoSpaceDE w:val="0"/>
        <w:autoSpaceDN w:val="0"/>
        <w:adjustRightInd w:val="0"/>
      </w:pPr>
      <w:proofErr w:type="gramStart"/>
      <w:r w:rsidRPr="001C1D37">
        <w:rPr>
          <w:rFonts w:eastAsia="Calibri"/>
        </w:rPr>
        <w:t xml:space="preserve">where </w:t>
      </w:r>
      <w:proofErr w:type="gramEnd"/>
      <m:oMath>
        <m:r>
          <w:rPr>
            <w:rFonts w:ascii="Cambria Math"/>
          </w:rPr>
          <m:t>c</m:t>
        </m:r>
        <m:r>
          <w:rPr>
            <w:rFonts w:ascii="Cambria Math" w:hAnsi="Cambria Math"/>
          </w:rPr>
          <m:t>∈</m:t>
        </m:r>
        <m:r>
          <w:rPr>
            <w:rFonts w:ascii="Cambria Math"/>
          </w:rPr>
          <m:t>(</m:t>
        </m:r>
        <m:r>
          <w:rPr>
            <w:rFonts w:ascii="Cambria Math"/>
          </w:rPr>
          <m:t>-</m:t>
        </m:r>
        <m:r>
          <w:rPr>
            <w:rFonts w:ascii="Cambria Math" w:hAnsi="Cambria Math"/>
          </w:rPr>
          <m:t>∞</m:t>
        </m:r>
        <m:r>
          <w:rPr>
            <w:rFonts w:ascii="Cambria Math"/>
          </w:rPr>
          <m:t>,+</m:t>
        </m:r>
        <m:r>
          <w:rPr>
            <w:rFonts w:ascii="Cambria Math" w:hAnsi="Cambria Math"/>
          </w:rPr>
          <m:t>∞</m:t>
        </m:r>
        <m:r>
          <w:rPr>
            <w:rFonts w:ascii="Cambria Math"/>
          </w:rPr>
          <m:t>)</m:t>
        </m:r>
      </m:oMath>
      <w:r w:rsidRPr="001C1D37">
        <w:rPr>
          <w:rFonts w:eastAsia="Calibri"/>
        </w:rPr>
        <w:t xml:space="preserve">. </w:t>
      </w:r>
      <m:oMath>
        <m:r>
          <m:rPr>
            <m:sty m:val="p"/>
          </m:rPr>
          <w:rPr>
            <w:rFonts w:ascii="Cambria Math" w:eastAsia="Calibri" w:hAnsi="Cambria Math"/>
          </w:rPr>
          <m:t>Sensitivity</m:t>
        </m:r>
        <m:r>
          <m:rPr>
            <m:sty m:val="p"/>
          </m:rPr>
          <w:rPr>
            <w:rFonts w:ascii="Cambria Math" w:hAnsi="Cambria Math"/>
          </w:rPr>
          <m:t xml:space="preserve"> </m:t>
        </m:r>
        <m:d>
          <m:dPr>
            <m:ctrlPr>
              <w:rPr>
                <w:rFonts w:ascii="Cambria Math" w:hAnsi="Cambria Math"/>
                <w:i/>
              </w:rPr>
            </m:ctrlPr>
          </m:dPr>
          <m:e>
            <m:r>
              <w:rPr>
                <w:rFonts w:ascii="Cambria Math" w:hAnsi="Cambria Math"/>
              </w:rPr>
              <m:t>c</m:t>
            </m:r>
            <m:r>
              <w:rPr>
                <w:rFonts w:ascii="Cambria Math"/>
              </w:rPr>
              <m:t xml:space="preserve">, </m:t>
            </m:r>
            <m:r>
              <w:rPr>
                <w:rFonts w:ascii="Cambria Math" w:hAnsi="Cambria Math"/>
              </w:rPr>
              <m:t>t</m:t>
            </m:r>
          </m:e>
        </m:d>
      </m:oMath>
      <w:r w:rsidRPr="001C1D37">
        <w:rPr>
          <w:rFonts w:eastAsia="Calibri"/>
        </w:rPr>
        <w:t xml:space="preserve"> </w:t>
      </w:r>
      <w:proofErr w:type="gramStart"/>
      <w:r w:rsidRPr="001C1D37">
        <w:t>estimates</w:t>
      </w:r>
      <w:proofErr w:type="gramEnd"/>
      <w:r w:rsidRPr="001C1D37">
        <w:t xml:space="preserve"> the fraction of individuals with </w:t>
      </w:r>
      <m:oMath>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i</m:t>
            </m:r>
          </m:sub>
        </m:sSub>
        <m:r>
          <w:rPr>
            <w:rFonts w:ascii="Cambria Math" w:eastAsia="Calibri" w:hAnsi="Cambria Math"/>
          </w:rPr>
          <m:t>(t)</m:t>
        </m:r>
        <m:r>
          <w:rPr>
            <w:rFonts w:ascii="Cambria Math" w:hAnsi="Cambria Math"/>
          </w:rPr>
          <m:t>≥</m:t>
        </m:r>
        <m:r>
          <w:rPr>
            <w:rFonts w:ascii="Cambria Math"/>
          </w:rPr>
          <m:t>c</m:t>
        </m:r>
      </m:oMath>
      <w:r w:rsidRPr="001C1D37">
        <w:rPr>
          <w:i/>
          <w:iCs/>
        </w:rPr>
        <w:t xml:space="preserve"> </w:t>
      </w:r>
      <w:r w:rsidRPr="001C1D37">
        <w:t xml:space="preserve">among those who experience the </w:t>
      </w:r>
      <w:r w:rsidR="00B93A5A" w:rsidRPr="001C1D37">
        <w:t xml:space="preserve">clinical </w:t>
      </w:r>
      <w:r w:rsidR="00E015D6" w:rsidRPr="001C1D37">
        <w:t>endpoint</w:t>
      </w:r>
      <w:r w:rsidRPr="001C1D37">
        <w:t xml:space="preserve"> (disease</w:t>
      </w:r>
      <w:r w:rsidR="00B93A5A" w:rsidRPr="001C1D37">
        <w:t xml:space="preserve"> onset</w:t>
      </w:r>
      <w:r w:rsidRPr="001C1D37">
        <w:t xml:space="preserve">) over </w:t>
      </w:r>
      <m:oMath>
        <m:r>
          <w:rPr>
            <w:rFonts w:ascii="Cambria Math" w:hAnsi="Cambria Math"/>
          </w:rPr>
          <m:t>(0, t)</m:t>
        </m:r>
      </m:oMath>
      <w:r w:rsidRPr="001C1D37">
        <w:t xml:space="preserve">, while </w:t>
      </w:r>
      <m:oMath>
        <m:r>
          <m:rPr>
            <m:sty m:val="p"/>
          </m:rPr>
          <w:rPr>
            <w:rFonts w:ascii="Cambria Math" w:hAnsi="Cambria Math"/>
          </w:rPr>
          <m:t>specificity</m:t>
        </m:r>
        <m:d>
          <m:dPr>
            <m:ctrlPr>
              <w:rPr>
                <w:rFonts w:ascii="Cambria Math" w:hAnsi="Cambria Math"/>
                <w:i/>
              </w:rPr>
            </m:ctrlPr>
          </m:dPr>
          <m:e>
            <m:r>
              <w:rPr>
                <w:rFonts w:ascii="Cambria Math" w:hAnsi="Cambria Math"/>
              </w:rPr>
              <m:t>c</m:t>
            </m:r>
            <m:r>
              <w:rPr>
                <w:rFonts w:ascii="Cambria Math"/>
              </w:rPr>
              <m:t xml:space="preserve">, </m:t>
            </m:r>
            <m:r>
              <w:rPr>
                <w:rFonts w:ascii="Cambria Math" w:hAnsi="Cambria Math"/>
              </w:rPr>
              <m:t>t</m:t>
            </m:r>
          </m:e>
        </m:d>
      </m:oMath>
      <w:r w:rsidRPr="001C1D37">
        <w:t xml:space="preserve"> estimates the fraction of individuals with </w:t>
      </w:r>
      <m:oMath>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i</m:t>
            </m:r>
          </m:sub>
        </m:sSub>
        <m:r>
          <w:rPr>
            <w:rFonts w:ascii="Cambria Math" w:eastAsia="Calibri" w:hAnsi="Cambria Math"/>
          </w:rPr>
          <m:t>(t)</m:t>
        </m:r>
        <m:r>
          <w:rPr>
            <w:rFonts w:ascii="Cambria Math" w:hAnsi="Cambria Math"/>
          </w:rPr>
          <m:t>&lt;</m:t>
        </m:r>
        <m:r>
          <w:rPr>
            <w:rFonts w:ascii="Cambria Math"/>
          </w:rPr>
          <m:t>c</m:t>
        </m:r>
      </m:oMath>
      <w:r w:rsidRPr="001C1D37">
        <w:rPr>
          <w:i/>
          <w:iCs/>
        </w:rPr>
        <w:t xml:space="preserve"> </w:t>
      </w:r>
      <w:r w:rsidRPr="001C1D37">
        <w:t xml:space="preserve">among those who survived disease-free beyond time </w:t>
      </w:r>
      <m:oMath>
        <m:r>
          <w:rPr>
            <w:rFonts w:ascii="Cambria Math" w:hAnsi="Cambria Math"/>
          </w:rPr>
          <m:t>t</m:t>
        </m:r>
      </m:oMath>
      <w:r w:rsidRPr="001C1D37">
        <w:t xml:space="preserve">. </w:t>
      </w:r>
    </w:p>
    <w:p w:rsidR="00D0467E" w:rsidRPr="001C1D37" w:rsidRDefault="00D0467E" w:rsidP="001C1D37">
      <w:pPr>
        <w:autoSpaceDE w:val="0"/>
        <w:autoSpaceDN w:val="0"/>
        <w:adjustRightInd w:val="0"/>
        <w:rPr>
          <w:rFonts w:eastAsia="Calibri"/>
        </w:rPr>
      </w:pPr>
    </w:p>
    <w:p w:rsidR="00BF4A60" w:rsidRPr="001C1D37" w:rsidRDefault="00BF4A60" w:rsidP="001C1D37">
      <w:pPr>
        <w:autoSpaceDE w:val="0"/>
        <w:autoSpaceDN w:val="0"/>
        <w:adjustRightInd w:val="0"/>
        <w:rPr>
          <w:rFonts w:eastAsia="Calibri"/>
        </w:rPr>
      </w:pPr>
    </w:p>
    <w:p w:rsidR="00D0467E" w:rsidRPr="001C1D37" w:rsidRDefault="00D0467E" w:rsidP="001C1D37">
      <w:pPr>
        <w:autoSpaceDE w:val="0"/>
        <w:autoSpaceDN w:val="0"/>
        <w:adjustRightInd w:val="0"/>
        <w:rPr>
          <w:rFonts w:eastAsia="Calibri"/>
        </w:rPr>
      </w:pPr>
      <w:r w:rsidRPr="001C1D37">
        <w:rPr>
          <w:rFonts w:eastAsia="Calibri"/>
        </w:rPr>
        <w:t xml:space="preserve">Provided that </w:t>
      </w:r>
      <m:oMath>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i</m:t>
            </m:r>
          </m:sub>
        </m:sSub>
        <m:r>
          <w:rPr>
            <w:rFonts w:ascii="Cambria Math" w:eastAsia="Calibri" w:hAnsi="Cambria Math"/>
          </w:rPr>
          <m:t>(t)</m:t>
        </m:r>
      </m:oMath>
      <w:r w:rsidRPr="001C1D37">
        <w:rPr>
          <w:rFonts w:eastAsia="Calibri"/>
        </w:rPr>
        <w:t xml:space="preserve"> is estimated from the joint model </w:t>
      </w:r>
      <w:r w:rsidRPr="001C1D37">
        <w:t xml:space="preserve">for all </w:t>
      </w:r>
      <w:proofErr w:type="gramStart"/>
      <w:r w:rsidRPr="001C1D37">
        <w:t xml:space="preserve">individuals </w:t>
      </w:r>
      <w:proofErr w:type="gramEnd"/>
      <m:oMath>
        <m:r>
          <w:rPr>
            <w:rFonts w:ascii="Cambria Math" w:eastAsia="Calibri" w:hAnsi="Cambria Math"/>
          </w:rPr>
          <m:t>i=1,…,n</m:t>
        </m:r>
      </m:oMath>
      <w:r w:rsidRPr="001C1D37">
        <w:rPr>
          <w:rFonts w:eastAsia="Calibri"/>
        </w:rPr>
        <w:t xml:space="preserve">, the sensitivity and specificity can be empirically estimated using the distribution of </w:t>
      </w:r>
      <m:oMath>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i</m:t>
            </m:r>
          </m:sub>
        </m:sSub>
        <m:r>
          <w:rPr>
            <w:rFonts w:ascii="Cambria Math" w:eastAsia="Calibri" w:hAnsi="Cambria Math"/>
          </w:rPr>
          <m:t>(t)</m:t>
        </m:r>
      </m:oMath>
      <w:r w:rsidRPr="001C1D37">
        <w:rPr>
          <w:rFonts w:eastAsia="Calibri"/>
        </w:rPr>
        <w:t xml:space="preserve"> separately for cases and controls. F</w:t>
      </w:r>
      <w:r w:rsidRPr="001C1D37">
        <w:t>o</w:t>
      </w:r>
      <w:r w:rsidRPr="001C1D37">
        <w:rPr>
          <w:rFonts w:eastAsia="Calibri"/>
        </w:rPr>
        <w:t xml:space="preserve">r a given </w:t>
      </w:r>
      <w:proofErr w:type="spellStart"/>
      <w:r w:rsidRPr="001C1D37">
        <w:rPr>
          <w:rFonts w:eastAsia="Calibri"/>
        </w:rPr>
        <w:t>thresholding</w:t>
      </w:r>
      <w:proofErr w:type="spellEnd"/>
      <w:r w:rsidRPr="001C1D37">
        <w:rPr>
          <w:rFonts w:eastAsia="Calibri"/>
        </w:rPr>
        <w:t xml:space="preserve"> </w:t>
      </w:r>
      <w:proofErr w:type="gramStart"/>
      <w:r w:rsidRPr="001C1D37">
        <w:rPr>
          <w:rFonts w:eastAsia="Calibri"/>
        </w:rPr>
        <w:t xml:space="preserve">criteria </w:t>
      </w:r>
      <w:proofErr w:type="gramEnd"/>
      <m:oMath>
        <m:r>
          <w:rPr>
            <w:rFonts w:ascii="Cambria Math" w:eastAsia="Calibri" w:hAnsi="Cambria Math"/>
          </w:rPr>
          <m:t>c</m:t>
        </m:r>
      </m:oMath>
      <w:r w:rsidRPr="001C1D37">
        <w:rPr>
          <w:rFonts w:eastAsia="Calibri"/>
        </w:rPr>
        <w:t>, we can calculate</w:t>
      </w:r>
      <w:r w:rsidRPr="001C1D37">
        <w:t xml:space="preserve"> </w:t>
      </w:r>
      <w:r w:rsidRPr="001C1D37">
        <w:rPr>
          <w:rFonts w:eastAsia="Calibri"/>
        </w:rPr>
        <w:t>observed true positive fraction (</w:t>
      </w:r>
      <m:oMath>
        <m:r>
          <m:rPr>
            <m:sty m:val="p"/>
          </m:rPr>
          <w:rPr>
            <w:rFonts w:ascii="Cambria Math" w:eastAsia="Calibri" w:hAnsi="Cambria Math"/>
          </w:rPr>
          <m:t>TPF</m:t>
        </m:r>
      </m:oMath>
      <w:r w:rsidRPr="001C1D37">
        <w:rPr>
          <w:rFonts w:eastAsia="Calibri"/>
        </w:rPr>
        <w:t>) by</w:t>
      </w:r>
    </w:p>
    <w:p w:rsidR="007642FE" w:rsidRPr="001C1D37" w:rsidRDefault="007642FE" w:rsidP="001C1D37">
      <w:pPr>
        <w:autoSpaceDE w:val="0"/>
        <w:autoSpaceDN w:val="0"/>
        <w:adjustRightInd w:val="0"/>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7938"/>
        <w:gridCol w:w="532"/>
      </w:tblGrid>
      <w:tr w:rsidR="001C1D37" w:rsidRPr="001C1D37" w:rsidTr="007642FE">
        <w:tc>
          <w:tcPr>
            <w:tcW w:w="250" w:type="dxa"/>
            <w:vAlign w:val="center"/>
          </w:tcPr>
          <w:p w:rsidR="007642FE" w:rsidRPr="001C1D37" w:rsidRDefault="007642FE" w:rsidP="001C1D37">
            <w:pPr>
              <w:pStyle w:val="NoSpacing"/>
              <w:rPr>
                <w:rFonts w:ascii="Times New Roman" w:hAnsi="Times New Roman"/>
                <w:sz w:val="24"/>
                <w:szCs w:val="24"/>
              </w:rPr>
            </w:pPr>
          </w:p>
        </w:tc>
        <w:tc>
          <w:tcPr>
            <w:tcW w:w="7938" w:type="dxa"/>
            <w:vAlign w:val="center"/>
          </w:tcPr>
          <w:p w:rsidR="007642FE" w:rsidRPr="001C1D37" w:rsidRDefault="007642FE" w:rsidP="001C1D37">
            <w:pPr>
              <w:autoSpaceDE w:val="0"/>
              <w:autoSpaceDN w:val="0"/>
              <w:adjustRightInd w:val="0"/>
              <w:rPr>
                <w:rFonts w:eastAsia="Calibri"/>
              </w:rPr>
            </w:pPr>
            <m:oMathPara>
              <m:oMath>
                <m:r>
                  <m:rPr>
                    <m:sty m:val="p"/>
                  </m:rPr>
                  <w:rPr>
                    <w:rFonts w:ascii="Cambria Math" w:eastAsia="Calibri" w:hAnsi="Cambria Math"/>
                  </w:rPr>
                  <m:t>sensitivity</m:t>
                </m:r>
                <m:d>
                  <m:dPr>
                    <m:ctrlPr>
                      <w:rPr>
                        <w:rFonts w:ascii="Cambria Math" w:hAnsi="Cambria Math"/>
                        <w:i/>
                      </w:rPr>
                    </m:ctrlPr>
                  </m:dPr>
                  <m:e>
                    <m:r>
                      <w:rPr>
                        <w:rFonts w:ascii="Cambria Math" w:hAnsi="Cambria Math"/>
                      </w:rPr>
                      <m:t>c</m:t>
                    </m:r>
                    <m:r>
                      <w:rPr>
                        <w:rFonts w:ascii="Cambria Math"/>
                      </w:rPr>
                      <m:t xml:space="preserve">, </m:t>
                    </m:r>
                    <m:r>
                      <w:rPr>
                        <w:rFonts w:ascii="Cambria Math" w:hAnsi="Cambria Math"/>
                      </w:rPr>
                      <m:t>t</m:t>
                    </m:r>
                  </m:e>
                </m:d>
                <m:r>
                  <w:rPr>
                    <w:rFonts w:ascii="Cambria Math" w:hAnsi="Cambria Math"/>
                  </w:rPr>
                  <m:t>≅Pr</m:t>
                </m:r>
                <m:r>
                  <w:rPr>
                    <w:rFonts w:ascii="Cambria Math"/>
                  </w:rPr>
                  <m:t xml:space="preserve"> {</m:t>
                </m:r>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k</m:t>
                    </m:r>
                  </m:sub>
                </m:sSub>
                <m:r>
                  <w:rPr>
                    <w:rFonts w:ascii="Cambria Math" w:hAnsi="Cambria Math"/>
                  </w:rPr>
                  <m:t>(t)≥</m:t>
                </m:r>
                <m:r>
                  <w:rPr>
                    <w:rFonts w:ascii="Cambria Math"/>
                  </w:rPr>
                  <m:t xml:space="preserve">c | </m:t>
                </m:r>
                <m:sSub>
                  <m:sSubPr>
                    <m:ctrlPr>
                      <w:rPr>
                        <w:rFonts w:ascii="Cambria Math" w:hAnsi="Cambria Math"/>
                        <w:i/>
                        <w:lang w:eastAsia="en-GB"/>
                      </w:rPr>
                    </m:ctrlPr>
                  </m:sSubPr>
                  <m:e>
                    <m:r>
                      <w:rPr>
                        <w:rFonts w:ascii="Cambria Math" w:hAnsi="Cambria Math"/>
                        <w:lang w:eastAsia="en-GB"/>
                      </w:rPr>
                      <m:t>D</m:t>
                    </m:r>
                  </m:e>
                  <m:sub>
                    <m:r>
                      <w:rPr>
                        <w:rFonts w:ascii="Cambria Math" w:hAnsi="Cambria Math"/>
                        <w:lang w:eastAsia="en-GB"/>
                      </w:rPr>
                      <m:t>k</m:t>
                    </m:r>
                  </m:sub>
                </m:sSub>
                <m:r>
                  <w:rPr>
                    <w:rFonts w:ascii="Cambria Math"/>
                  </w:rPr>
                  <m:t>(</m:t>
                </m:r>
                <m:r>
                  <w:rPr>
                    <w:rFonts w:ascii="Cambria Math" w:hAnsi="Cambria Math"/>
                  </w:rPr>
                  <m:t>t</m:t>
                </m:r>
                <m:r>
                  <w:rPr>
                    <w:rFonts w:ascii="Cambria Math"/>
                  </w:rPr>
                  <m:t>)=1}=</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k</m:t>
                        </m:r>
                      </m:sub>
                      <m:sup/>
                      <m:e>
                        <m:r>
                          <w:rPr>
                            <w:rFonts w:ascii="Cambria Math" w:hAnsi="Cambria Math"/>
                          </w:rPr>
                          <m:t>I(</m:t>
                        </m:r>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k</m:t>
                            </m:r>
                          </m:sub>
                        </m:sSub>
                        <m:r>
                          <w:rPr>
                            <w:rFonts w:ascii="Cambria Math" w:hAnsi="Cambria Math"/>
                          </w:rPr>
                          <m:t>(t)</m:t>
                        </m:r>
                        <m:r>
                          <w:rPr>
                            <w:rFonts w:ascii="Cambria Math"/>
                          </w:rPr>
                          <m:t>≥</m:t>
                        </m:r>
                        <m:r>
                          <w:rPr>
                            <w:rFonts w:ascii="Cambria Math"/>
                          </w:rPr>
                          <m:t>c</m:t>
                        </m:r>
                        <m:r>
                          <w:rPr>
                            <w:rFonts w:ascii="Cambria Math" w:hAnsi="Cambria Math"/>
                          </w:rPr>
                          <m:t>,</m:t>
                        </m:r>
                      </m:e>
                    </m:nary>
                    <m:sSub>
                      <m:sSubPr>
                        <m:ctrlPr>
                          <w:rPr>
                            <w:rFonts w:ascii="Cambria Math" w:hAnsi="Cambria Math"/>
                            <w:i/>
                          </w:rPr>
                        </m:ctrlPr>
                      </m:sSubPr>
                      <m:e>
                        <m:r>
                          <w:rPr>
                            <w:rFonts w:ascii="Cambria Math" w:hAnsi="Cambria Math"/>
                          </w:rPr>
                          <m:t>D</m:t>
                        </m:r>
                      </m:e>
                      <m:sub>
                        <m:r>
                          <w:rPr>
                            <w:rFonts w:ascii="Cambria Math" w:hAnsi="Cambria Math"/>
                          </w:rPr>
                          <m:t>k</m:t>
                        </m:r>
                      </m:sub>
                    </m:sSub>
                    <m:r>
                      <w:rPr>
                        <w:rFonts w:ascii="Cambria Math" w:hAnsi="Cambria Math"/>
                      </w:rPr>
                      <m:t>(t)=1)</m:t>
                    </m:r>
                  </m:num>
                  <m:den>
                    <m:nary>
                      <m:naryPr>
                        <m:chr m:val="∑"/>
                        <m:limLoc m:val="subSup"/>
                        <m:supHide m:val="1"/>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I(D</m:t>
                            </m:r>
                          </m:e>
                          <m:sub>
                            <m:r>
                              <w:rPr>
                                <w:rFonts w:ascii="Cambria Math" w:hAnsi="Cambria Math"/>
                              </w:rPr>
                              <m:t>k</m:t>
                            </m:r>
                          </m:sub>
                        </m:sSub>
                        <m:r>
                          <w:rPr>
                            <w:rFonts w:ascii="Cambria Math" w:hAnsi="Cambria Math"/>
                          </w:rPr>
                          <m:t>(t)=1)</m:t>
                        </m:r>
                      </m:e>
                    </m:nary>
                  </m:den>
                </m:f>
              </m:oMath>
            </m:oMathPara>
          </w:p>
          <w:p w:rsidR="007642FE" w:rsidRPr="001C1D37" w:rsidRDefault="007642FE" w:rsidP="001C1D37">
            <w:pPr>
              <w:autoSpaceDE w:val="0"/>
              <w:autoSpaceDN w:val="0"/>
              <w:adjustRightInd w:val="0"/>
              <w:rPr>
                <w:rFonts w:eastAsia="Calibri"/>
              </w:rPr>
            </w:pPr>
          </w:p>
        </w:tc>
        <w:tc>
          <w:tcPr>
            <w:tcW w:w="532" w:type="dxa"/>
            <w:vAlign w:val="center"/>
          </w:tcPr>
          <w:p w:rsidR="007642FE" w:rsidRPr="001C1D37" w:rsidRDefault="007642FE" w:rsidP="001C1D37">
            <w:pPr>
              <w:pStyle w:val="NoSpacing"/>
              <w:rPr>
                <w:rFonts w:ascii="Times New Roman" w:hAnsi="Times New Roman"/>
                <w:sz w:val="24"/>
                <w:szCs w:val="24"/>
              </w:rPr>
            </w:pPr>
            <w:r w:rsidRPr="001C1D37">
              <w:rPr>
                <w:rFonts w:ascii="Times New Roman" w:hAnsi="Times New Roman"/>
                <w:sz w:val="24"/>
                <w:szCs w:val="24"/>
              </w:rPr>
              <w:lastRenderedPageBreak/>
              <w:t>(6)</w:t>
            </w:r>
          </w:p>
        </w:tc>
      </w:tr>
    </w:tbl>
    <w:p w:rsidR="00D0467E" w:rsidRPr="001C1D37" w:rsidRDefault="00D0467E" w:rsidP="001C1D37">
      <w:pPr>
        <w:autoSpaceDE w:val="0"/>
        <w:autoSpaceDN w:val="0"/>
        <w:adjustRightInd w:val="0"/>
        <w:rPr>
          <w:rFonts w:eastAsia="Calibri"/>
        </w:rPr>
      </w:pPr>
      <w:proofErr w:type="gramStart"/>
      <w:r w:rsidRPr="001C1D37">
        <w:rPr>
          <w:rFonts w:eastAsia="Calibri"/>
        </w:rPr>
        <w:lastRenderedPageBreak/>
        <w:t>and</w:t>
      </w:r>
      <w:proofErr w:type="gramEnd"/>
      <w:r w:rsidRPr="001C1D37">
        <w:rPr>
          <w:rFonts w:eastAsia="Calibri"/>
        </w:rPr>
        <w:t xml:space="preserve"> true negative fraction (1-</w:t>
      </w:r>
      <m:oMath>
        <m:r>
          <m:rPr>
            <m:sty m:val="p"/>
          </m:rPr>
          <w:rPr>
            <w:rFonts w:ascii="Cambria Math" w:hAnsi="Cambria Math"/>
          </w:rPr>
          <m:t xml:space="preserve"> FPF</m:t>
        </m:r>
      </m:oMath>
      <w:r w:rsidRPr="001C1D37">
        <w:rPr>
          <w:rFonts w:eastAsia="Calibri"/>
        </w:rPr>
        <w:t>) by</w:t>
      </w:r>
    </w:p>
    <w:p w:rsidR="007642FE" w:rsidRPr="001C1D37" w:rsidRDefault="007642FE" w:rsidP="001C1D37">
      <w:pPr>
        <w:autoSpaceDE w:val="0"/>
        <w:autoSpaceDN w:val="0"/>
        <w:adjustRightInd w:val="0"/>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7938"/>
        <w:gridCol w:w="532"/>
      </w:tblGrid>
      <w:tr w:rsidR="001C1D37" w:rsidRPr="001C1D37" w:rsidTr="00B122E3">
        <w:tc>
          <w:tcPr>
            <w:tcW w:w="250" w:type="dxa"/>
            <w:vAlign w:val="center"/>
          </w:tcPr>
          <w:p w:rsidR="007642FE" w:rsidRPr="001C1D37" w:rsidRDefault="007642FE" w:rsidP="001C1D37">
            <w:pPr>
              <w:pStyle w:val="NoSpacing"/>
              <w:rPr>
                <w:rFonts w:ascii="Times New Roman" w:hAnsi="Times New Roman"/>
                <w:sz w:val="24"/>
                <w:szCs w:val="24"/>
              </w:rPr>
            </w:pPr>
          </w:p>
        </w:tc>
        <w:tc>
          <w:tcPr>
            <w:tcW w:w="7938" w:type="dxa"/>
            <w:vAlign w:val="center"/>
          </w:tcPr>
          <w:p w:rsidR="007642FE" w:rsidRPr="001C1D37" w:rsidRDefault="007642FE" w:rsidP="001C1D37">
            <w:pPr>
              <w:autoSpaceDE w:val="0"/>
              <w:autoSpaceDN w:val="0"/>
              <w:adjustRightInd w:val="0"/>
              <w:rPr>
                <w:rFonts w:eastAsia="Calibri"/>
              </w:rPr>
            </w:pPr>
            <m:oMathPara>
              <m:oMath>
                <m:r>
                  <m:rPr>
                    <m:sty m:val="p"/>
                  </m:rPr>
                  <w:rPr>
                    <w:rFonts w:ascii="Cambria Math" w:eastAsia="Calibri" w:hAnsi="Cambria Math"/>
                  </w:rPr>
                  <m:t>specificity</m:t>
                </m:r>
                <m:d>
                  <m:dPr>
                    <m:ctrlPr>
                      <w:rPr>
                        <w:rFonts w:ascii="Cambria Math" w:hAnsi="Cambria Math"/>
                        <w:i/>
                      </w:rPr>
                    </m:ctrlPr>
                  </m:dPr>
                  <m:e>
                    <m:r>
                      <w:rPr>
                        <w:rFonts w:ascii="Cambria Math" w:hAnsi="Cambria Math"/>
                      </w:rPr>
                      <m:t>c</m:t>
                    </m:r>
                    <m:r>
                      <w:rPr>
                        <w:rFonts w:ascii="Cambria Math"/>
                      </w:rPr>
                      <m:t xml:space="preserve">, </m:t>
                    </m:r>
                    <m:r>
                      <w:rPr>
                        <w:rFonts w:ascii="Cambria Math" w:hAnsi="Cambria Math"/>
                      </w:rPr>
                      <m:t>t</m:t>
                    </m:r>
                  </m:e>
                </m:d>
                <m:r>
                  <w:rPr>
                    <w:rFonts w:ascii="Cambria Math" w:hAnsi="Cambria Math"/>
                  </w:rPr>
                  <m:t>≅Pr</m:t>
                </m:r>
                <m:r>
                  <w:rPr>
                    <w:rFonts w:ascii="Cambria Math"/>
                  </w:rPr>
                  <m:t xml:space="preserve"> </m:t>
                </m:r>
                <m:d>
                  <m:dPr>
                    <m:begChr m:val="{"/>
                    <m:endChr m:val="}"/>
                    <m:ctrlPr>
                      <w:rPr>
                        <w:rFonts w:ascii="Cambria Math" w:hAnsi="Cambria Math"/>
                        <w:i/>
                      </w:rPr>
                    </m:ctrlPr>
                  </m:dPr>
                  <m:e>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k</m:t>
                        </m:r>
                      </m:sub>
                    </m:sSub>
                    <m:r>
                      <w:rPr>
                        <w:rFonts w:ascii="Cambria Math" w:hAnsi="Cambria Math"/>
                      </w:rPr>
                      <m:t>(t)&lt;</m:t>
                    </m:r>
                    <m:r>
                      <w:rPr>
                        <w:rFonts w:ascii="Cambria Math"/>
                      </w:rPr>
                      <m:t xml:space="preserve">c </m:t>
                    </m:r>
                  </m:e>
                  <m:e>
                    <m:sSub>
                      <m:sSubPr>
                        <m:ctrlPr>
                          <w:rPr>
                            <w:rFonts w:ascii="Cambria Math" w:hAnsi="Cambria Math"/>
                            <w:i/>
                            <w:lang w:eastAsia="en-GB"/>
                          </w:rPr>
                        </m:ctrlPr>
                      </m:sSubPr>
                      <m:e>
                        <m:r>
                          <w:rPr>
                            <w:rFonts w:ascii="Cambria Math" w:hAnsi="Cambria Math"/>
                            <w:lang w:eastAsia="en-GB"/>
                          </w:rPr>
                          <m:t xml:space="preserve"> D</m:t>
                        </m:r>
                      </m:e>
                      <m:sub>
                        <m:r>
                          <w:rPr>
                            <w:rFonts w:ascii="Cambria Math" w:hAnsi="Cambria Math"/>
                            <w:lang w:eastAsia="en-GB"/>
                          </w:rPr>
                          <m:t>k</m:t>
                        </m:r>
                      </m:sub>
                    </m:sSub>
                    <m:d>
                      <m:dPr>
                        <m:ctrlPr>
                          <w:rPr>
                            <w:rFonts w:ascii="Cambria Math" w:hAnsi="Cambria Math"/>
                            <w:i/>
                          </w:rPr>
                        </m:ctrlPr>
                      </m:dPr>
                      <m:e>
                        <m:r>
                          <w:rPr>
                            <w:rFonts w:ascii="Cambria Math" w:hAnsi="Cambria Math"/>
                          </w:rPr>
                          <m:t>t</m:t>
                        </m:r>
                      </m:e>
                    </m:d>
                    <m:r>
                      <w:rPr>
                        <w:rFonts w:ascii="Cambria Math"/>
                      </w:rPr>
                      <m:t>=0</m:t>
                    </m:r>
                  </m:e>
                </m:d>
                <m:r>
                  <w:rPr>
                    <w:rFonts w:ascii="Cambria Math" w:hAnsi="Cambria Math"/>
                  </w:rPr>
                  <m:t>=</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rPr>
                          <m:t>k</m:t>
                        </m:r>
                      </m:sub>
                      <m:sup/>
                      <m:e>
                        <m:r>
                          <w:rPr>
                            <w:rFonts w:ascii="Cambria Math" w:hAnsi="Cambria Math"/>
                          </w:rPr>
                          <m:t>I(</m:t>
                        </m:r>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k</m:t>
                            </m:r>
                          </m:sub>
                        </m:sSub>
                        <m:r>
                          <w:rPr>
                            <w:rFonts w:ascii="Cambria Math" w:hAnsi="Cambria Math"/>
                          </w:rPr>
                          <m:t>(t)&lt;</m:t>
                        </m:r>
                        <m:r>
                          <w:rPr>
                            <w:rFonts w:ascii="Cambria Math"/>
                          </w:rPr>
                          <m:t>c</m:t>
                        </m:r>
                        <m:r>
                          <w:rPr>
                            <w:rFonts w:ascii="Cambria Math" w:hAnsi="Cambria Math"/>
                          </w:rPr>
                          <m:t>,</m:t>
                        </m:r>
                      </m:e>
                    </m:nary>
                    <m:sSub>
                      <m:sSubPr>
                        <m:ctrlPr>
                          <w:rPr>
                            <w:rFonts w:ascii="Cambria Math" w:hAnsi="Cambria Math"/>
                            <w:i/>
                          </w:rPr>
                        </m:ctrlPr>
                      </m:sSubPr>
                      <m:e>
                        <m:r>
                          <w:rPr>
                            <w:rFonts w:ascii="Cambria Math" w:hAnsi="Cambria Math"/>
                          </w:rPr>
                          <m:t>D</m:t>
                        </m:r>
                      </m:e>
                      <m:sub>
                        <m:r>
                          <w:rPr>
                            <w:rFonts w:ascii="Cambria Math" w:hAnsi="Cambria Math"/>
                          </w:rPr>
                          <m:t>k</m:t>
                        </m:r>
                      </m:sub>
                    </m:sSub>
                    <m:r>
                      <w:rPr>
                        <w:rFonts w:ascii="Cambria Math" w:hAnsi="Cambria Math"/>
                      </w:rPr>
                      <m:t>(t)=0)</m:t>
                    </m:r>
                  </m:num>
                  <m:den>
                    <m:nary>
                      <m:naryPr>
                        <m:chr m:val="∑"/>
                        <m:limLoc m:val="subSup"/>
                        <m:supHide m:val="1"/>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I(D</m:t>
                            </m:r>
                          </m:e>
                          <m:sub>
                            <m:r>
                              <w:rPr>
                                <w:rFonts w:ascii="Cambria Math" w:hAnsi="Cambria Math"/>
                              </w:rPr>
                              <m:t>k</m:t>
                            </m:r>
                          </m:sub>
                        </m:sSub>
                        <m:r>
                          <w:rPr>
                            <w:rFonts w:ascii="Cambria Math" w:hAnsi="Cambria Math"/>
                          </w:rPr>
                          <m:t>(t)=0)</m:t>
                        </m:r>
                      </m:e>
                    </m:nary>
                  </m:den>
                </m:f>
              </m:oMath>
            </m:oMathPara>
          </w:p>
        </w:tc>
        <w:tc>
          <w:tcPr>
            <w:tcW w:w="532" w:type="dxa"/>
            <w:vAlign w:val="center"/>
          </w:tcPr>
          <w:p w:rsidR="007642FE" w:rsidRPr="001C1D37" w:rsidRDefault="007642FE" w:rsidP="001C1D37">
            <w:pPr>
              <w:pStyle w:val="NoSpacing"/>
              <w:rPr>
                <w:rFonts w:ascii="Times New Roman" w:hAnsi="Times New Roman"/>
                <w:sz w:val="24"/>
                <w:szCs w:val="24"/>
              </w:rPr>
            </w:pPr>
            <w:r w:rsidRPr="001C1D37">
              <w:rPr>
                <w:rFonts w:ascii="Times New Roman" w:hAnsi="Times New Roman"/>
                <w:sz w:val="24"/>
                <w:szCs w:val="24"/>
              </w:rPr>
              <w:t>(7)</w:t>
            </w:r>
          </w:p>
        </w:tc>
      </w:tr>
    </w:tbl>
    <w:p w:rsidR="00D0467E" w:rsidRPr="001C1D37" w:rsidRDefault="00D0467E" w:rsidP="001C1D37">
      <w:pPr>
        <w:autoSpaceDE w:val="0"/>
        <w:autoSpaceDN w:val="0"/>
        <w:adjustRightInd w:val="0"/>
      </w:pPr>
      <m:oMathPara>
        <m:oMath>
          <m:r>
            <m:rPr>
              <m:sty m:val="p"/>
            </m:rPr>
            <w:rPr>
              <w:rFonts w:ascii="Cambria Math" w:eastAsia="Calibri" w:hAnsi="Cambria Math"/>
            </w:rPr>
            <w:br/>
          </m:r>
        </m:oMath>
      </m:oMathPara>
      <w:proofErr w:type="gramStart"/>
      <w:r w:rsidRPr="001C1D37">
        <w:rPr>
          <w:rFonts w:eastAsia="Calibri"/>
          <w:iCs/>
        </w:rPr>
        <w:t>where</w:t>
      </w:r>
      <w:proofErr w:type="gramEnd"/>
      <w:r w:rsidRPr="001C1D37">
        <w:rPr>
          <w:rFonts w:eastAsia="Calibri"/>
          <w:iCs/>
        </w:rPr>
        <w:t xml:space="preserve"> </w:t>
      </w:r>
      <m:oMath>
        <m:r>
          <w:rPr>
            <w:rFonts w:ascii="Cambria Math" w:eastAsia="Calibri" w:hAnsi="Cambria Math"/>
          </w:rPr>
          <m:t>I(.)</m:t>
        </m:r>
      </m:oMath>
      <w:r w:rsidRPr="001C1D37">
        <w:rPr>
          <w:rFonts w:eastAsia="Calibri"/>
          <w:iCs/>
        </w:rPr>
        <w:t xml:space="preserve"> is an indicator, and </w:t>
      </w:r>
      <m:oMath>
        <m:sSub>
          <m:sSubPr>
            <m:ctrlPr>
              <w:rPr>
                <w:rFonts w:ascii="Cambria Math" w:hAnsi="Cambria Math"/>
                <w:i/>
              </w:rPr>
            </m:ctrlPr>
          </m:sSubPr>
          <m:e>
            <m:r>
              <w:rPr>
                <w:rFonts w:ascii="Cambria Math" w:hAnsi="Cambria Math"/>
              </w:rPr>
              <m:t>D</m:t>
            </m:r>
          </m:e>
          <m:sub>
            <m:r>
              <w:rPr>
                <w:rFonts w:ascii="Cambria Math" w:hAnsi="Cambria Math"/>
              </w:rPr>
              <m:t>k</m:t>
            </m:r>
          </m:sub>
        </m:sSub>
        <m:d>
          <m:dPr>
            <m:ctrlPr>
              <w:rPr>
                <w:rFonts w:ascii="Cambria Math" w:hAnsi="Cambria Math"/>
                <w:i/>
              </w:rPr>
            </m:ctrlPr>
          </m:dPr>
          <m:e>
            <m:r>
              <w:rPr>
                <w:rFonts w:ascii="Cambria Math" w:hAnsi="Cambria Math"/>
              </w:rPr>
              <m:t>t</m:t>
            </m:r>
          </m:e>
        </m:d>
        <m:r>
          <w:rPr>
            <w:rFonts w:ascii="Cambria Math" w:eastAsia="Calibri" w:hAnsi="Cambria Math"/>
          </w:rPr>
          <m:t>=1</m:t>
        </m:r>
      </m:oMath>
      <w:r w:rsidRPr="001C1D37">
        <w:rPr>
          <w:rFonts w:eastAsia="Calibri"/>
        </w:rPr>
        <w:t xml:space="preserve"> </w:t>
      </w:r>
      <w:r w:rsidRPr="001C1D37">
        <w:rPr>
          <w:rFonts w:eastAsia="Calibri"/>
          <w:iCs/>
        </w:rPr>
        <w:t xml:space="preserve">and </w:t>
      </w:r>
      <m:oMath>
        <m:sSub>
          <m:sSubPr>
            <m:ctrlPr>
              <w:rPr>
                <w:rFonts w:ascii="Cambria Math" w:hAnsi="Cambria Math"/>
                <w:i/>
              </w:rPr>
            </m:ctrlPr>
          </m:sSubPr>
          <m:e>
            <m:r>
              <w:rPr>
                <w:rFonts w:ascii="Cambria Math" w:hAnsi="Cambria Math"/>
              </w:rPr>
              <m:t>D</m:t>
            </m:r>
          </m:e>
          <m:sub>
            <m:r>
              <w:rPr>
                <w:rFonts w:ascii="Cambria Math" w:hAnsi="Cambria Math"/>
              </w:rPr>
              <m:t>k</m:t>
            </m:r>
          </m:sub>
        </m:sSub>
        <m:d>
          <m:dPr>
            <m:ctrlPr>
              <w:rPr>
                <w:rFonts w:ascii="Cambria Math" w:hAnsi="Cambria Math"/>
                <w:i/>
              </w:rPr>
            </m:ctrlPr>
          </m:dPr>
          <m:e>
            <m:r>
              <w:rPr>
                <w:rFonts w:ascii="Cambria Math" w:hAnsi="Cambria Math"/>
              </w:rPr>
              <m:t>t</m:t>
            </m:r>
          </m:e>
        </m:d>
        <m:r>
          <w:rPr>
            <w:rFonts w:ascii="Cambria Math" w:eastAsia="Calibri" w:hAnsi="Cambria Math"/>
          </w:rPr>
          <m:t>=0</m:t>
        </m:r>
      </m:oMath>
      <w:r w:rsidRPr="001C1D37">
        <w:rPr>
          <w:rFonts w:eastAsia="Calibri"/>
        </w:rPr>
        <w:t xml:space="preserve"> </w:t>
      </w:r>
      <w:r w:rsidRPr="001C1D37">
        <w:t xml:space="preserve">respectively </w:t>
      </w:r>
      <w:r w:rsidRPr="001C1D37">
        <w:rPr>
          <w:rFonts w:eastAsia="Calibri"/>
        </w:rPr>
        <w:t xml:space="preserve">denote the </w:t>
      </w:r>
      <w:r w:rsidR="00084FB8" w:rsidRPr="001C1D37">
        <w:rPr>
          <w:rFonts w:eastAsia="Calibri"/>
        </w:rPr>
        <w:t>“</w:t>
      </w:r>
      <w:r w:rsidRPr="001C1D37">
        <w:rPr>
          <w:rFonts w:eastAsia="Calibri"/>
        </w:rPr>
        <w:t xml:space="preserve">true” </w:t>
      </w:r>
      <w:r w:rsidRPr="001C1D37">
        <w:rPr>
          <w:rFonts w:eastAsia="Calibri"/>
          <w:i/>
        </w:rPr>
        <w:t>case</w:t>
      </w:r>
      <w:r w:rsidRPr="001C1D37">
        <w:rPr>
          <w:rFonts w:eastAsia="Calibri"/>
        </w:rPr>
        <w:t xml:space="preserve"> </w:t>
      </w:r>
      <w:r w:rsidR="00084FB8" w:rsidRPr="001C1D37">
        <w:rPr>
          <w:rFonts w:eastAsia="Calibri"/>
        </w:rPr>
        <w:t xml:space="preserve">over </w:t>
      </w:r>
      <m:oMath>
        <m:r>
          <w:rPr>
            <w:rFonts w:ascii="Cambria Math" w:hAnsi="Cambria Math"/>
          </w:rPr>
          <m:t>(0, t)</m:t>
        </m:r>
      </m:oMath>
      <w:r w:rsidR="00084FB8" w:rsidRPr="001C1D37">
        <w:rPr>
          <w:rFonts w:eastAsia="Calibri"/>
        </w:rPr>
        <w:t xml:space="preserve"> </w:t>
      </w:r>
      <w:r w:rsidRPr="001C1D37">
        <w:rPr>
          <w:rFonts w:eastAsia="Calibri"/>
        </w:rPr>
        <w:t xml:space="preserve">and </w:t>
      </w:r>
      <w:r w:rsidR="00084FB8" w:rsidRPr="001C1D37">
        <w:rPr>
          <w:rFonts w:eastAsia="Calibri"/>
        </w:rPr>
        <w:t xml:space="preserve">the </w:t>
      </w:r>
      <w:r w:rsidRPr="001C1D37">
        <w:rPr>
          <w:rFonts w:eastAsia="Calibri"/>
        </w:rPr>
        <w:t xml:space="preserve">“true” </w:t>
      </w:r>
      <w:r w:rsidRPr="001C1D37">
        <w:rPr>
          <w:rFonts w:eastAsia="Calibri"/>
          <w:i/>
        </w:rPr>
        <w:t>control</w:t>
      </w:r>
      <w:r w:rsidRPr="001C1D37">
        <w:rPr>
          <w:rFonts w:eastAsia="Calibri"/>
        </w:rPr>
        <w:t xml:space="preserve"> </w:t>
      </w:r>
      <w:r w:rsidR="00084FB8" w:rsidRPr="001C1D37">
        <w:rPr>
          <w:rFonts w:eastAsia="Calibri"/>
        </w:rPr>
        <w:t>at</w:t>
      </w:r>
      <w:r w:rsidR="00D37CED" w:rsidRPr="001C1D37">
        <w:rPr>
          <w:rFonts w:eastAsia="Calibri"/>
        </w:rPr>
        <w:t xml:space="preserve"> </w:t>
      </w:r>
      <m:oMath>
        <m:r>
          <w:rPr>
            <w:rFonts w:ascii="Cambria Math" w:hAnsi="Cambria Math"/>
          </w:rPr>
          <m:t>t</m:t>
        </m:r>
      </m:oMath>
      <w:r w:rsidR="00E741E7" w:rsidRPr="001C1D37">
        <w:rPr>
          <w:rFonts w:eastAsia="Calibri"/>
        </w:rPr>
        <w:t xml:space="preserve"> and </w:t>
      </w:r>
      <m:oMath>
        <m:r>
          <w:rPr>
            <w:rFonts w:ascii="Cambria Math" w:eastAsia="Calibri" w:hAnsi="Cambria Math"/>
          </w:rPr>
          <m:t>k&lt;n</m:t>
        </m:r>
      </m:oMath>
      <w:r w:rsidRPr="001C1D37">
        <w:t>.</w:t>
      </w:r>
      <w:r w:rsidR="00084FB8" w:rsidRPr="001C1D37">
        <w:t xml:space="preserve"> A</w:t>
      </w:r>
      <w:r w:rsidR="00084FB8" w:rsidRPr="001C1D37">
        <w:rPr>
          <w:rFonts w:eastAsia="Calibri"/>
        </w:rPr>
        <w:t xml:space="preserve"> true </w:t>
      </w:r>
      <w:r w:rsidR="007642FE" w:rsidRPr="001C1D37">
        <w:rPr>
          <w:rFonts w:eastAsia="Calibri"/>
          <w:i/>
        </w:rPr>
        <w:t>case</w:t>
      </w:r>
      <w:r w:rsidR="007642FE" w:rsidRPr="001C1D37">
        <w:t xml:space="preserve"> is</w:t>
      </w:r>
      <w:r w:rsidR="00084FB8" w:rsidRPr="001C1D37">
        <w:t xml:space="preserve"> an individual who </w:t>
      </w:r>
      <w:r w:rsidR="007642FE" w:rsidRPr="001C1D37">
        <w:t>experienced the</w:t>
      </w:r>
      <w:r w:rsidR="00084FB8" w:rsidRPr="001C1D37">
        <w:t xml:space="preserve"> clinical event by </w:t>
      </w:r>
      <m:oMath>
        <m:r>
          <w:rPr>
            <w:rFonts w:ascii="Cambria Math" w:hAnsi="Cambria Math"/>
          </w:rPr>
          <m:t>t</m:t>
        </m:r>
      </m:oMath>
      <w:r w:rsidR="00084FB8" w:rsidRPr="001C1D37">
        <w:t xml:space="preserve"> and a </w:t>
      </w:r>
      <w:r w:rsidR="00084FB8" w:rsidRPr="001C1D37">
        <w:rPr>
          <w:rFonts w:eastAsia="Calibri"/>
        </w:rPr>
        <w:t xml:space="preserve">true </w:t>
      </w:r>
      <w:r w:rsidR="007642FE" w:rsidRPr="001C1D37">
        <w:rPr>
          <w:rFonts w:eastAsia="Calibri"/>
          <w:i/>
        </w:rPr>
        <w:t>control</w:t>
      </w:r>
      <w:r w:rsidR="007642FE" w:rsidRPr="001C1D37">
        <w:t xml:space="preserve"> is</w:t>
      </w:r>
      <w:r w:rsidR="00084FB8" w:rsidRPr="001C1D37">
        <w:t xml:space="preserve"> an individual who survived event-free </w:t>
      </w:r>
      <w:proofErr w:type="gramStart"/>
      <w:r w:rsidR="00084FB8" w:rsidRPr="001C1D37">
        <w:t xml:space="preserve">beyond </w:t>
      </w:r>
      <w:proofErr w:type="gramEnd"/>
      <m:oMath>
        <m:r>
          <w:rPr>
            <w:rFonts w:ascii="Cambria Math" w:hAnsi="Cambria Math"/>
          </w:rPr>
          <m:t>t</m:t>
        </m:r>
      </m:oMath>
      <w:r w:rsidR="00084FB8" w:rsidRPr="001C1D37">
        <w:t>. The denominators</w:t>
      </w:r>
      <w:r w:rsidRPr="001C1D37">
        <w:t xml:space="preserve"> </w:t>
      </w:r>
      <m:oMath>
        <m:nary>
          <m:naryPr>
            <m:chr m:val="∑"/>
            <m:limLoc m:val="subSup"/>
            <m:supHide m:val="1"/>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I(D</m:t>
                </m:r>
              </m:e>
              <m:sub>
                <m:r>
                  <w:rPr>
                    <w:rFonts w:ascii="Cambria Math" w:hAnsi="Cambria Math"/>
                  </w:rPr>
                  <m:t>k</m:t>
                </m:r>
              </m:sub>
            </m:sSub>
            <m:r>
              <w:rPr>
                <w:rFonts w:ascii="Cambria Math" w:hAnsi="Cambria Math"/>
              </w:rPr>
              <m:t>(t)=1)</m:t>
            </m:r>
          </m:e>
        </m:nary>
      </m:oMath>
      <w:r w:rsidR="00084FB8" w:rsidRPr="001C1D37">
        <w:t xml:space="preserve"> and </w:t>
      </w:r>
      <m:oMath>
        <m:nary>
          <m:naryPr>
            <m:chr m:val="∑"/>
            <m:limLoc m:val="subSup"/>
            <m:supHide m:val="1"/>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I(D</m:t>
                </m:r>
              </m:e>
              <m:sub>
                <m:r>
                  <w:rPr>
                    <w:rFonts w:ascii="Cambria Math" w:hAnsi="Cambria Math"/>
                  </w:rPr>
                  <m:t>k</m:t>
                </m:r>
              </m:sub>
            </m:sSub>
            <m:r>
              <w:rPr>
                <w:rFonts w:ascii="Cambria Math" w:hAnsi="Cambria Math"/>
              </w:rPr>
              <m:t>(t)=0)</m:t>
            </m:r>
          </m:e>
        </m:nary>
      </m:oMath>
      <w:r w:rsidR="00084FB8" w:rsidRPr="001C1D37">
        <w:t xml:space="preserve"> respectively </w:t>
      </w:r>
      <w:r w:rsidR="00084FB8" w:rsidRPr="001C1D37">
        <w:rPr>
          <w:rFonts w:eastAsia="Calibri"/>
        </w:rPr>
        <w:t xml:space="preserve">denote the sizes of the true </w:t>
      </w:r>
      <w:r w:rsidR="00084FB8" w:rsidRPr="001C1D37">
        <w:rPr>
          <w:rFonts w:eastAsia="Calibri"/>
          <w:i/>
        </w:rPr>
        <w:t>case</w:t>
      </w:r>
      <w:r w:rsidR="00084FB8" w:rsidRPr="001C1D37">
        <w:rPr>
          <w:rFonts w:eastAsia="Calibri"/>
        </w:rPr>
        <w:t xml:space="preserve"> and </w:t>
      </w:r>
      <w:r w:rsidR="00084FB8" w:rsidRPr="001C1D37">
        <w:rPr>
          <w:rFonts w:eastAsia="Calibri"/>
          <w:i/>
        </w:rPr>
        <w:t>control</w:t>
      </w:r>
      <w:r w:rsidR="00084FB8" w:rsidRPr="001C1D37">
        <w:rPr>
          <w:rFonts w:eastAsia="Calibri"/>
        </w:rPr>
        <w:t xml:space="preserve"> se</w:t>
      </w:r>
      <w:r w:rsidR="007642FE" w:rsidRPr="001C1D37">
        <w:rPr>
          <w:rFonts w:eastAsia="Calibri"/>
        </w:rPr>
        <w:t>ts. T</w:t>
      </w:r>
      <w:r w:rsidRPr="001C1D37">
        <w:t xml:space="preserve">he </w:t>
      </w:r>
      <w:r w:rsidR="007642FE" w:rsidRPr="001C1D37">
        <w:t>t</w:t>
      </w:r>
      <w:r w:rsidRPr="001C1D37">
        <w:rPr>
          <w:rFonts w:eastAsia="Calibri"/>
        </w:rPr>
        <w:t xml:space="preserve">rue </w:t>
      </w:r>
      <w:r w:rsidRPr="001C1D37">
        <w:rPr>
          <w:rFonts w:eastAsia="Calibri"/>
          <w:i/>
        </w:rPr>
        <w:t>case/control</w:t>
      </w:r>
      <w:r w:rsidRPr="001C1D37">
        <w:t xml:space="preserve"> set is defined by</w:t>
      </w:r>
      <w:r w:rsidRPr="001C1D37">
        <w:rPr>
          <w:rFonts w:eastAsia="Calibri"/>
        </w:rPr>
        <w:t xml:space="preserve"> removing all individuals censored before </w:t>
      </w:r>
      <w:r w:rsidRPr="001C1D37">
        <w:t xml:space="preserve">time </w:t>
      </w:r>
      <m:oMath>
        <m:r>
          <w:rPr>
            <w:rFonts w:ascii="Cambria Math" w:hAnsi="Cambria Math"/>
          </w:rPr>
          <m:t>t</m:t>
        </m:r>
      </m:oMath>
      <w:r w:rsidRPr="001C1D37">
        <w:t xml:space="preserve"> from the entire study sample</w:t>
      </w:r>
      <w:r w:rsidR="007642FE" w:rsidRPr="001C1D37">
        <w:t xml:space="preserve"> </w:t>
      </w:r>
      <w:r w:rsidRPr="001C1D37">
        <w:t xml:space="preserve">which may result in a loss of information in the estimation. However, as argued by </w:t>
      </w:r>
      <w:r w:rsidRPr="001C1D37">
        <w:rPr>
          <w:rFonts w:eastAsia="Calibri"/>
          <w:bCs/>
          <w:lang w:eastAsia="en-GB"/>
        </w:rPr>
        <w:t>Blanche</w:t>
      </w:r>
      <w:r w:rsidRPr="001C1D37">
        <w:rPr>
          <w:rFonts w:eastAsia="Calibri"/>
          <w:i/>
        </w:rPr>
        <w:t xml:space="preserve"> et al.</w:t>
      </w:r>
      <w:r w:rsidRPr="001C1D37">
        <w:rPr>
          <w:rFonts w:eastAsia="Calibri"/>
        </w:rPr>
        <w:t xml:space="preserve"> [</w:t>
      </w:r>
      <w:r w:rsidR="00E35083" w:rsidRPr="001C1D37">
        <w:rPr>
          <w:rFonts w:eastAsia="Calibri"/>
        </w:rPr>
        <w:t>24</w:t>
      </w:r>
      <w:r w:rsidRPr="001C1D37">
        <w:rPr>
          <w:rFonts w:eastAsia="Calibri"/>
        </w:rPr>
        <w:t>] through a comprehensive simulation study for a single biomarker value with event-time outcome, such empirical calculation gives reasonably accurate estimates with small biases</w:t>
      </w:r>
      <w:r w:rsidRPr="001C1D37">
        <w:t xml:space="preserve"> in practice due to conditioning on actual event times. Further, in our approach, </w:t>
      </w:r>
      <m:oMath>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k</m:t>
            </m:r>
          </m:sub>
        </m:sSub>
        <m:r>
          <w:rPr>
            <w:rFonts w:ascii="Cambria Math" w:hAnsi="Cambria Math"/>
          </w:rPr>
          <m:t>(t)</m:t>
        </m:r>
      </m:oMath>
      <w:r w:rsidRPr="001C1D37">
        <w:t xml:space="preserve"> is an estimated model score from a joint modelling formulation accounting for an explicit dependence structure between the risk of clinical endpoint and biomarker profile </w:t>
      </w:r>
      <w:proofErr w:type="gramStart"/>
      <w:r w:rsidRPr="001C1D37">
        <w:t xml:space="preserve">over </w:t>
      </w:r>
      <w:proofErr w:type="gramEnd"/>
      <m:oMath>
        <m:r>
          <w:rPr>
            <w:rFonts w:ascii="Cambria Math" w:hAnsi="Cambria Math"/>
          </w:rPr>
          <m:t>(0, t)</m:t>
        </m:r>
      </m:oMath>
      <w:r w:rsidRPr="001C1D37">
        <w:t xml:space="preserve">; hence any bias induced by above empirical estimation is expected to be even smaller. </w:t>
      </w:r>
      <w:r w:rsidR="00D37CED" w:rsidRPr="001C1D37">
        <w:t xml:space="preserve"> </w:t>
      </w:r>
    </w:p>
    <w:p w:rsidR="00D0467E" w:rsidRPr="001C1D37" w:rsidRDefault="00D0467E" w:rsidP="001C1D37">
      <w:pPr>
        <w:autoSpaceDE w:val="0"/>
        <w:autoSpaceDN w:val="0"/>
        <w:adjustRightInd w:val="0"/>
      </w:pPr>
    </w:p>
    <w:p w:rsidR="00BF4A60" w:rsidRPr="001C1D37" w:rsidRDefault="00BF4A60" w:rsidP="001C1D37">
      <w:pPr>
        <w:autoSpaceDE w:val="0"/>
        <w:autoSpaceDN w:val="0"/>
        <w:adjustRightInd w:val="0"/>
      </w:pPr>
    </w:p>
    <w:p w:rsidR="00D0467E" w:rsidRPr="001C1D37" w:rsidRDefault="00D0467E" w:rsidP="001C1D37">
      <w:pPr>
        <w:autoSpaceDE w:val="0"/>
        <w:autoSpaceDN w:val="0"/>
        <w:adjustRightInd w:val="0"/>
      </w:pPr>
      <w:r w:rsidRPr="001C1D37">
        <w:t xml:space="preserve">The ROC curve for all </w:t>
      </w:r>
      <m:oMath>
        <m:r>
          <w:rPr>
            <w:rFonts w:ascii="Cambria Math"/>
          </w:rPr>
          <m:t>c</m:t>
        </m:r>
        <m:r>
          <w:rPr>
            <w:rFonts w:ascii="Cambria Math" w:hAnsi="Cambria Math"/>
          </w:rPr>
          <m:t>∈</m:t>
        </m:r>
        <m:r>
          <w:rPr>
            <w:rFonts w:ascii="Cambria Math"/>
          </w:rPr>
          <m:t>(</m:t>
        </m:r>
        <m:r>
          <w:rPr>
            <w:rFonts w:ascii="Cambria Math"/>
          </w:rPr>
          <m:t>-</m:t>
        </m:r>
        <m:r>
          <w:rPr>
            <w:rFonts w:ascii="Cambria Math" w:hAnsi="Cambria Math"/>
          </w:rPr>
          <m:t>∞</m:t>
        </m:r>
        <m:r>
          <w:rPr>
            <w:rFonts w:ascii="Cambria Math"/>
          </w:rPr>
          <m:t>,+</m:t>
        </m:r>
        <m:r>
          <w:rPr>
            <w:rFonts w:ascii="Cambria Math" w:hAnsi="Cambria Math"/>
          </w:rPr>
          <m:t>∞</m:t>
        </m:r>
        <m:r>
          <w:rPr>
            <w:rFonts w:ascii="Cambria Math"/>
          </w:rPr>
          <m:t>)</m:t>
        </m:r>
      </m:oMath>
      <w:r w:rsidRPr="001C1D37">
        <w:t xml:space="preserve"> can be obtained by kernel (density) smoothing which follows closely the details of the original data [2</w:t>
      </w:r>
      <w:r w:rsidR="00E35083" w:rsidRPr="001C1D37">
        <w:t>8</w:t>
      </w:r>
      <w:r w:rsidRPr="001C1D37">
        <w:t xml:space="preserve">]. The kernel estimate is obtained by smoothing the corresponding histograms of </w:t>
      </w:r>
      <m:oMath>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k</m:t>
            </m:r>
          </m:sub>
        </m:sSub>
        <m:r>
          <w:rPr>
            <w:rFonts w:ascii="Cambria Math" w:hAnsi="Cambria Math"/>
          </w:rPr>
          <m:t>(t)</m:t>
        </m:r>
      </m:oMath>
      <w:r w:rsidR="00B75844" w:rsidRPr="001C1D37">
        <w:t xml:space="preserve"> </w:t>
      </w:r>
      <w:r w:rsidRPr="001C1D37">
        <w:t xml:space="preserve">for </w:t>
      </w:r>
      <w:r w:rsidR="00697356" w:rsidRPr="001C1D37">
        <w:t xml:space="preserve">the true </w:t>
      </w:r>
      <w:r w:rsidRPr="001C1D37">
        <w:t xml:space="preserve">cases and controls. Let the smoothed version of </w:t>
      </w:r>
      <m:oMath>
        <m:r>
          <m:rPr>
            <m:sty m:val="p"/>
          </m:rPr>
          <w:rPr>
            <w:rFonts w:ascii="Cambria Math" w:hAnsi="Cambria Math"/>
          </w:rPr>
          <m:t>TPF</m:t>
        </m:r>
      </m:oMath>
      <w:r w:rsidRPr="001C1D37">
        <w:t xml:space="preserve"> and </w:t>
      </w:r>
      <m:oMath>
        <m:r>
          <m:rPr>
            <m:sty m:val="p"/>
          </m:rPr>
          <w:rPr>
            <w:rFonts w:ascii="Cambria Math" w:hAnsi="Cambria Math"/>
          </w:rPr>
          <m:t>FPF</m:t>
        </m:r>
      </m:oMath>
      <w:r w:rsidRPr="001C1D37">
        <w:t xml:space="preserve"> be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D</m:t>
            </m:r>
          </m:sub>
        </m:sSub>
        <m:r>
          <w:rPr>
            <w:rFonts w:ascii="Cambria Math" w:hAnsi="Cambria Math"/>
          </w:rPr>
          <m:t>(t)</m:t>
        </m:r>
      </m:oMath>
      <w:r w:rsidRPr="001C1D37">
        <w:t xml:space="preserve"> and </w:t>
      </w:r>
      <m:oMath>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acc>
              <m:accPr>
                <m:chr m:val="̅"/>
                <m:ctrlPr>
                  <w:rPr>
                    <w:rFonts w:ascii="Cambria Math" w:hAnsi="Cambria Math"/>
                    <w:i/>
                  </w:rPr>
                </m:ctrlPr>
              </m:accPr>
              <m:e>
                <m:r>
                  <w:rPr>
                    <w:rFonts w:ascii="Cambria Math" w:hAnsi="Cambria Math"/>
                  </w:rPr>
                  <m:t>D</m:t>
                </m:r>
              </m:e>
            </m:acc>
            <m:r>
              <w:rPr>
                <w:rFonts w:ascii="Cambria Math" w:hAnsi="Cambria Math"/>
              </w:rPr>
              <m:t xml:space="preserve"> </m:t>
            </m:r>
          </m:sub>
        </m:sSub>
        <m:r>
          <w:rPr>
            <w:rFonts w:ascii="Cambria Math" w:hAnsi="Cambria Math"/>
          </w:rPr>
          <m:t>(t)</m:t>
        </m:r>
      </m:oMath>
      <w:r w:rsidRPr="001C1D37">
        <w:t xml:space="preserve"> respectively. The</w:t>
      </w:r>
      <w:r w:rsidRPr="001C1D37">
        <w:rPr>
          <w:rFonts w:eastAsia="Calibri"/>
        </w:rPr>
        <w:t xml:space="preserve"> smoothed ROC </w:t>
      </w:r>
      <w:r w:rsidRPr="001C1D37">
        <w:t xml:space="preserve">function is given by </w:t>
      </w:r>
      <m:oMath>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r>
              <w:rPr>
                <w:rFonts w:ascii="Cambria Math" w:hAnsi="Cambria Math"/>
              </w:rPr>
              <m:t>D</m:t>
            </m:r>
          </m:sub>
        </m:sSub>
        <m:d>
          <m:dPr>
            <m:ctrlPr>
              <w:rPr>
                <w:rFonts w:ascii="Cambria Math" w:hAnsi="Cambria Math"/>
                <w:i/>
              </w:rPr>
            </m:ctrlPr>
          </m:dPr>
          <m:e>
            <m:r>
              <w:rPr>
                <w:rFonts w:ascii="Cambria Math" w:hAnsi="Cambria Math"/>
              </w:rPr>
              <m:t>t,c</m:t>
            </m:r>
          </m:e>
        </m:d>
        <m:r>
          <w:rPr>
            <w:rFonts w:ascii="Cambria Math" w:hAnsi="Cambria Math"/>
          </w:rPr>
          <m:t xml:space="preserve">,  </m:t>
        </m:r>
        <m:sSub>
          <m:sSubPr>
            <m:ctrlPr>
              <w:rPr>
                <w:rFonts w:ascii="Cambria Math" w:hAnsi="Cambria Math"/>
                <w:i/>
              </w:rPr>
            </m:ctrlPr>
          </m:sSubPr>
          <m:e>
            <m:acc>
              <m:accPr>
                <m:ctrlPr>
                  <w:rPr>
                    <w:rFonts w:ascii="Cambria Math" w:hAnsi="Cambria Math"/>
                    <w:i/>
                  </w:rPr>
                </m:ctrlPr>
              </m:accPr>
              <m:e>
                <m:r>
                  <w:rPr>
                    <w:rFonts w:ascii="Cambria Math" w:hAnsi="Cambria Math"/>
                  </w:rPr>
                  <m:t>S</m:t>
                </m:r>
              </m:e>
            </m:acc>
          </m:e>
          <m:sub>
            <m:acc>
              <m:accPr>
                <m:chr m:val="̅"/>
                <m:ctrlPr>
                  <w:rPr>
                    <w:rFonts w:ascii="Cambria Math" w:hAnsi="Cambria Math"/>
                    <w:i/>
                  </w:rPr>
                </m:ctrlPr>
              </m:accPr>
              <m:e>
                <m:r>
                  <w:rPr>
                    <w:rFonts w:ascii="Cambria Math" w:hAnsi="Cambria Math"/>
                  </w:rPr>
                  <m:t>D</m:t>
                </m:r>
              </m:e>
            </m:acc>
          </m:sub>
        </m:sSub>
        <m:d>
          <m:dPr>
            <m:ctrlPr>
              <w:rPr>
                <w:rFonts w:ascii="Cambria Math" w:hAnsi="Cambria Math"/>
                <w:i/>
              </w:rPr>
            </m:ctrlPr>
          </m:dPr>
          <m:e>
            <m:r>
              <w:rPr>
                <w:rFonts w:ascii="Cambria Math" w:hAnsi="Cambria Math"/>
              </w:rPr>
              <m:t>t,c</m:t>
            </m:r>
          </m:e>
        </m:d>
        <m:r>
          <w:rPr>
            <w:rFonts w:ascii="Cambria Math" w:hAnsi="Cambria Math"/>
          </w:rPr>
          <m:t>}</m:t>
        </m:r>
      </m:oMath>
      <w:r w:rsidRPr="001C1D37">
        <w:t xml:space="preserve"> for  </w:t>
      </w:r>
      <m:oMath>
        <m:r>
          <w:rPr>
            <w:rFonts w:ascii="Cambria Math"/>
          </w:rPr>
          <m:t>c</m:t>
        </m:r>
        <m:r>
          <w:rPr>
            <w:rFonts w:ascii="Cambria Math" w:hAnsi="Cambria Math"/>
          </w:rPr>
          <m:t>∈</m:t>
        </m:r>
        <m:r>
          <w:rPr>
            <w:rFonts w:ascii="Cambria Math"/>
          </w:rPr>
          <m:t>(</m:t>
        </m:r>
        <m:r>
          <w:rPr>
            <w:rFonts w:ascii="Cambria Math"/>
          </w:rPr>
          <m:t>-</m:t>
        </m:r>
        <m:r>
          <w:rPr>
            <w:rFonts w:ascii="Cambria Math" w:hAnsi="Cambria Math"/>
          </w:rPr>
          <m:t>∞</m:t>
        </m:r>
        <m:r>
          <w:rPr>
            <w:rFonts w:ascii="Cambria Math"/>
          </w:rPr>
          <m:t>,+</m:t>
        </m:r>
        <m:r>
          <w:rPr>
            <w:rFonts w:ascii="Cambria Math" w:hAnsi="Cambria Math"/>
          </w:rPr>
          <m:t>∞</m:t>
        </m:r>
        <m:r>
          <w:rPr>
            <w:rFonts w:ascii="Cambria Math"/>
          </w:rPr>
          <m:t>)</m:t>
        </m:r>
      </m:oMath>
      <w:r w:rsidRPr="001C1D37">
        <w:t xml:space="preserve">  or equivalently</w:t>
      </w:r>
    </w:p>
    <w:p w:rsidR="00D0467E" w:rsidRPr="001C1D37" w:rsidRDefault="00D0467E" w:rsidP="001C1D37">
      <w:pPr>
        <w:autoSpaceDE w:val="0"/>
        <w:autoSpaceDN w:val="0"/>
        <w:adjustRightInd w:val="0"/>
      </w:pPr>
    </w:p>
    <w:p w:rsidR="00D0467E" w:rsidRPr="001C1D37" w:rsidRDefault="001C1D37" w:rsidP="001C1D37">
      <w:pPr>
        <w:autoSpaceDE w:val="0"/>
        <w:autoSpaceDN w:val="0"/>
        <w:adjustRightInd w:val="0"/>
        <w:rPr>
          <w:rFonts w:eastAsia="Calibri"/>
        </w:rPr>
      </w:pPr>
      <m:oMathPara>
        <m:oMath>
          <m:sSub>
            <m:sSubPr>
              <m:ctrlPr>
                <w:rPr>
                  <w:rFonts w:ascii="Cambria Math" w:eastAsia="Calibri" w:hAnsi="Cambria Math"/>
                  <w:i/>
                </w:rPr>
              </m:ctrlPr>
            </m:sSubPr>
            <m:e>
              <m:r>
                <m:rPr>
                  <m:sty m:val="p"/>
                </m:rPr>
                <w:rPr>
                  <w:rFonts w:ascii="Cambria Math" w:eastAsia="Calibri" w:hAnsi="Cambria Math"/>
                </w:rPr>
                <m:t>ROC</m:t>
              </m:r>
            </m:e>
            <m:sub>
              <m:r>
                <w:rPr>
                  <w:rFonts w:ascii="Cambria Math" w:eastAsia="Calibri" w:hAnsi="Cambria Math"/>
                </w:rPr>
                <m:t>t</m:t>
              </m:r>
            </m:sub>
          </m:sSub>
          <m:d>
            <m:dPr>
              <m:ctrlPr>
                <w:rPr>
                  <w:rFonts w:ascii="Cambria Math" w:eastAsia="Calibri" w:hAnsi="Cambria Math"/>
                  <w:i/>
                </w:rPr>
              </m:ctrlPr>
            </m:dPr>
            <m:e>
              <m:r>
                <w:rPr>
                  <w:rFonts w:ascii="Cambria Math" w:eastAsia="Calibri" w:hAnsi="Cambria Math"/>
                </w:rPr>
                <m:t>ρ</m:t>
              </m:r>
            </m:e>
          </m:d>
          <m:r>
            <w:rPr>
              <w:rFonts w:ascii="Cambria Math" w:eastAsia="Calibri" w:hAnsi="Cambria Math"/>
            </w:rPr>
            <m:t>=</m:t>
          </m:r>
          <m:sSub>
            <m:sSubPr>
              <m:ctrlPr>
                <w:rPr>
                  <w:rFonts w:ascii="Cambria Math" w:hAnsi="Cambria Math"/>
                  <w:i/>
                </w:rPr>
              </m:ctrlPr>
            </m:sSubPr>
            <m:e>
              <m:r>
                <w:rPr>
                  <w:rFonts w:ascii="Cambria Math" w:hAnsi="Cambria Math"/>
                </w:rPr>
                <m:t>S</m:t>
              </m:r>
            </m:e>
            <m:sub>
              <m:r>
                <w:rPr>
                  <w:rFonts w:ascii="Cambria Math" w:hAnsi="Cambria Math"/>
                </w:rPr>
                <m:t>D</m:t>
              </m:r>
            </m:sub>
          </m:sSub>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S</m:t>
                  </m:r>
                </m:e>
                <m:sub>
                  <m:acc>
                    <m:accPr>
                      <m:chr m:val="̅"/>
                      <m:ctrlPr>
                        <w:rPr>
                          <w:rFonts w:ascii="Cambria Math" w:hAnsi="Cambria Math"/>
                          <w:i/>
                        </w:rPr>
                      </m:ctrlPr>
                    </m:accPr>
                    <m:e>
                      <m:r>
                        <w:rPr>
                          <w:rFonts w:ascii="Cambria Math" w:hAnsi="Cambria Math"/>
                        </w:rPr>
                        <m:t>D</m:t>
                      </m:r>
                    </m:e>
                  </m:acc>
                </m:sub>
                <m:sup>
                  <m:r>
                    <w:rPr>
                      <w:rFonts w:ascii="Cambria Math" w:hAnsi="Cambria Math"/>
                    </w:rPr>
                    <m:t>-1</m:t>
                  </m:r>
                </m:sup>
              </m:sSubSup>
              <m:d>
                <m:dPr>
                  <m:ctrlPr>
                    <w:rPr>
                      <w:rFonts w:ascii="Cambria Math" w:hAnsi="Cambria Math"/>
                      <w:i/>
                    </w:rPr>
                  </m:ctrlPr>
                </m:dPr>
                <m:e>
                  <m:r>
                    <w:rPr>
                      <w:rFonts w:ascii="Cambria Math" w:hAnsi="Cambria Math"/>
                    </w:rPr>
                    <m:t>ρ</m:t>
                  </m:r>
                </m:e>
              </m:d>
            </m:e>
          </m:d>
          <m:r>
            <w:rPr>
              <w:rFonts w:ascii="Cambria Math" w:hAnsi="Cambria Math"/>
            </w:rPr>
            <m:t>,   ρ ∈</m:t>
          </m:r>
          <m:d>
            <m:dPr>
              <m:ctrlPr>
                <w:rPr>
                  <w:rFonts w:ascii="Cambria Math" w:hAnsi="Cambria Math"/>
                  <w:i/>
                </w:rPr>
              </m:ctrlPr>
            </m:dPr>
            <m:e>
              <m:r>
                <w:rPr>
                  <w:rFonts w:ascii="Cambria Math" w:hAnsi="Cambria Math"/>
                </w:rPr>
                <m:t>0,1</m:t>
              </m:r>
            </m:e>
          </m:d>
        </m:oMath>
      </m:oMathPara>
    </w:p>
    <w:p w:rsidR="00D0467E" w:rsidRPr="001C1D37" w:rsidRDefault="00D0467E" w:rsidP="001C1D37">
      <w:pPr>
        <w:autoSpaceDE w:val="0"/>
        <w:autoSpaceDN w:val="0"/>
        <w:adjustRightInd w:val="0"/>
      </w:pPr>
    </w:p>
    <w:p w:rsidR="00813B65" w:rsidRPr="001C1D37" w:rsidRDefault="00D0467E" w:rsidP="001C1D37">
      <w:pPr>
        <w:autoSpaceDE w:val="0"/>
        <w:autoSpaceDN w:val="0"/>
        <w:adjustRightInd w:val="0"/>
      </w:pPr>
      <w:proofErr w:type="gramStart"/>
      <w:r w:rsidRPr="001C1D37">
        <w:t>where</w:t>
      </w:r>
      <w:proofErr w:type="gramEnd"/>
      <w:r w:rsidRPr="001C1D37">
        <w:t xml:space="preserve"> </w:t>
      </w:r>
      <m:oMath>
        <m:r>
          <w:rPr>
            <w:rFonts w:ascii="Cambria Math" w:hAnsi="Cambria Math"/>
          </w:rPr>
          <m:t>ρ</m:t>
        </m:r>
      </m:oMath>
      <w:r w:rsidRPr="001C1D37">
        <w:t xml:space="preserve"> is the abscissa axis (</w:t>
      </w:r>
      <m:oMath>
        <m:r>
          <m:rPr>
            <m:sty m:val="p"/>
          </m:rPr>
          <w:rPr>
            <w:rFonts w:ascii="Cambria Math" w:hAnsi="Cambria Math"/>
          </w:rPr>
          <m:t>FPF</m:t>
        </m:r>
      </m:oMath>
      <w:r w:rsidRPr="001C1D37">
        <w:t xml:space="preserve">) and </w:t>
      </w:r>
      <m:oMath>
        <m:sSub>
          <m:sSubPr>
            <m:ctrlPr>
              <w:rPr>
                <w:rFonts w:ascii="Cambria Math" w:eastAsia="Calibri" w:hAnsi="Cambria Math"/>
                <w:i/>
              </w:rPr>
            </m:ctrlPr>
          </m:sSubPr>
          <m:e>
            <m:r>
              <m:rPr>
                <m:sty m:val="p"/>
              </m:rPr>
              <w:rPr>
                <w:rFonts w:ascii="Cambria Math" w:eastAsia="Calibri" w:hAnsi="Cambria Math"/>
              </w:rPr>
              <m:t>ROC</m:t>
            </m:r>
          </m:e>
          <m:sub>
            <m:r>
              <w:rPr>
                <w:rFonts w:ascii="Cambria Math" w:eastAsia="Calibri" w:hAnsi="Cambria Math"/>
              </w:rPr>
              <m:t>t</m:t>
            </m:r>
          </m:sub>
        </m:sSub>
        <m:d>
          <m:dPr>
            <m:ctrlPr>
              <w:rPr>
                <w:rFonts w:ascii="Cambria Math" w:eastAsia="Calibri" w:hAnsi="Cambria Math"/>
                <w:i/>
              </w:rPr>
            </m:ctrlPr>
          </m:dPr>
          <m:e>
            <m:r>
              <w:rPr>
                <w:rFonts w:ascii="Cambria Math" w:eastAsia="Calibri" w:hAnsi="Cambria Math"/>
              </w:rPr>
              <m:t>ρ</m:t>
            </m:r>
          </m:e>
        </m:d>
      </m:oMath>
      <w:r w:rsidRPr="001C1D37">
        <w:t xml:space="preserve"> the ordinate axis (</w:t>
      </w:r>
      <m:oMath>
        <m:r>
          <m:rPr>
            <m:sty m:val="p"/>
          </m:rPr>
          <w:rPr>
            <w:rFonts w:ascii="Cambria Math" w:hAnsi="Cambria Math"/>
          </w:rPr>
          <m:t>TPF</m:t>
        </m:r>
      </m:oMath>
      <w:r w:rsidRPr="001C1D37">
        <w:t>) of the ROC plot [</w:t>
      </w:r>
      <w:r w:rsidR="003B2829" w:rsidRPr="001C1D37">
        <w:t>2</w:t>
      </w:r>
      <w:r w:rsidR="00E35083" w:rsidRPr="001C1D37">
        <w:t>8</w:t>
      </w:r>
      <w:r w:rsidRPr="001C1D37">
        <w:t xml:space="preserve">]. </w:t>
      </w:r>
      <w:r w:rsidR="00813B65" w:rsidRPr="001C1D37">
        <w:t xml:space="preserve"> </w:t>
      </w:r>
    </w:p>
    <w:p w:rsidR="00BF4A60" w:rsidRPr="001C1D37" w:rsidRDefault="00BF4A60" w:rsidP="001C1D37">
      <w:pPr>
        <w:autoSpaceDE w:val="0"/>
        <w:autoSpaceDN w:val="0"/>
        <w:adjustRightInd w:val="0"/>
        <w:rPr>
          <w:rFonts w:eastAsia="Calibri"/>
          <w:iCs/>
        </w:rPr>
      </w:pPr>
    </w:p>
    <w:p w:rsidR="00813B65" w:rsidRPr="001C1D37" w:rsidRDefault="00813B65" w:rsidP="001C1D37">
      <w:pPr>
        <w:autoSpaceDE w:val="0"/>
        <w:autoSpaceDN w:val="0"/>
        <w:adjustRightInd w:val="0"/>
        <w:rPr>
          <w:rFonts w:eastAsia="Calibri"/>
          <w:iCs/>
        </w:rPr>
      </w:pPr>
    </w:p>
    <w:p w:rsidR="00813B65" w:rsidRPr="001C1D37" w:rsidRDefault="00813B65" w:rsidP="001C1D37">
      <w:pPr>
        <w:autoSpaceDE w:val="0"/>
        <w:autoSpaceDN w:val="0"/>
        <w:adjustRightInd w:val="0"/>
      </w:pPr>
      <w:r w:rsidRPr="001C1D37">
        <w:t xml:space="preserve">We can use similar calculations to </w:t>
      </w:r>
      <w:r w:rsidRPr="001C1D37">
        <w:rPr>
          <w:rFonts w:eastAsiaTheme="minorEastAsia"/>
        </w:rPr>
        <w:t xml:space="preserve">predict the </w:t>
      </w:r>
      <w:r w:rsidRPr="001C1D37">
        <w:t xml:space="preserve">discriminatory potential of the biomarker at a future time </w:t>
      </w:r>
      <m:oMath>
        <m:sSup>
          <m:sSupPr>
            <m:ctrlPr>
              <w:rPr>
                <w:rFonts w:ascii="Cambria Math" w:hAnsi="Cambria Math"/>
                <w:i/>
              </w:rPr>
            </m:ctrlPr>
          </m:sSupPr>
          <m:e>
            <m:r>
              <w:rPr>
                <w:rFonts w:ascii="Cambria Math" w:hAnsi="Cambria Math"/>
              </w:rPr>
              <m:t>t</m:t>
            </m:r>
          </m:e>
          <m:sup>
            <m:r>
              <w:rPr>
                <w:rFonts w:ascii="Cambria Math" w:hAnsi="Cambria Math"/>
              </w:rPr>
              <m:t>*</m:t>
            </m:r>
          </m:sup>
        </m:sSup>
      </m:oMath>
      <w:r w:rsidRPr="001C1D37">
        <w:t xml:space="preserve"> based on  </w:t>
      </w:r>
      <m:oMath>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k</m:t>
            </m:r>
          </m:sub>
        </m:sSub>
        <m:r>
          <w:rPr>
            <w:rFonts w:ascii="Cambria Math" w:hAnsi="Cambria Math"/>
          </w:rPr>
          <m:t>(t)</m:t>
        </m:r>
      </m:oMath>
      <w:r w:rsidRPr="001C1D37">
        <w:t xml:space="preserve"> over</w:t>
      </w:r>
      <m:oMath>
        <m:r>
          <w:rPr>
            <w:rFonts w:ascii="Cambria Math" w:hAnsi="Cambria Math"/>
          </w:rPr>
          <m:t xml:space="preserve"> (0, t)</m:t>
        </m:r>
      </m:oMath>
      <w:r w:rsidRPr="001C1D37">
        <w:t xml:space="preserve"> </w:t>
      </w:r>
      <w:proofErr w:type="gramStart"/>
      <w:r w:rsidRPr="001C1D37">
        <w:rPr>
          <w:rFonts w:eastAsiaTheme="minorEastAsia"/>
        </w:rPr>
        <w:t xml:space="preserve">where </w:t>
      </w:r>
      <w:proofErr w:type="gramEnd"/>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&gt;t</m:t>
        </m:r>
      </m:oMath>
      <w:r w:rsidRPr="001C1D37">
        <w:t xml:space="preserve">. </w:t>
      </w:r>
      <w:r w:rsidR="00FA21A8" w:rsidRPr="001C1D37">
        <w:t xml:space="preserve">In this case, </w:t>
      </w:r>
      <w:r w:rsidR="00CA724B" w:rsidRPr="001C1D37">
        <w:t xml:space="preserve">we </w:t>
      </w:r>
      <w:r w:rsidR="00FA21A8" w:rsidRPr="001C1D37">
        <w:t xml:space="preserve">consider the </w:t>
      </w:r>
      <w:r w:rsidR="006D556F" w:rsidRPr="001C1D37">
        <w:t>sub</w:t>
      </w:r>
      <w:r w:rsidR="00FA21A8" w:rsidRPr="001C1D37">
        <w:t>sample</w:t>
      </w:r>
      <w:r w:rsidR="00CA724B" w:rsidRPr="001C1D37">
        <w:t xml:space="preserve"> </w:t>
      </w:r>
      <w:r w:rsidR="00FA21A8" w:rsidRPr="001C1D37">
        <w:t xml:space="preserve">who survived clinical endpoint </w:t>
      </w:r>
      <w:proofErr w:type="gramStart"/>
      <w:r w:rsidR="00FA21A8" w:rsidRPr="001C1D37">
        <w:t xml:space="preserve">at </w:t>
      </w:r>
      <w:proofErr w:type="gramEnd"/>
      <m:oMath>
        <m:r>
          <w:rPr>
            <w:rFonts w:ascii="Cambria Math" w:hAnsi="Cambria Math"/>
          </w:rPr>
          <m:t>t</m:t>
        </m:r>
      </m:oMath>
      <w:r w:rsidR="00FA21A8" w:rsidRPr="001C1D37">
        <w:t xml:space="preserve">. </w:t>
      </w:r>
      <w:r w:rsidR="007C3B21" w:rsidRPr="001C1D37">
        <w:t>By d</w:t>
      </w:r>
      <w:r w:rsidR="00FA21A8" w:rsidRPr="001C1D37">
        <w:t>efine</w:t>
      </w:r>
      <w:r w:rsidRPr="001C1D37">
        <w:t xml:space="preserve"> the true </w:t>
      </w:r>
      <w:r w:rsidRPr="001C1D37">
        <w:rPr>
          <w:rFonts w:eastAsia="Calibri"/>
          <w:i/>
        </w:rPr>
        <w:t>case/control</w:t>
      </w:r>
      <w:r w:rsidRPr="001C1D37">
        <w:t xml:space="preserve"> set similarly as above at </w:t>
      </w:r>
      <m:oMath>
        <m:sSup>
          <m:sSupPr>
            <m:ctrlPr>
              <w:rPr>
                <w:rFonts w:ascii="Cambria Math" w:hAnsi="Cambria Math"/>
                <w:i/>
              </w:rPr>
            </m:ctrlPr>
          </m:sSupPr>
          <m:e>
            <m:r>
              <w:rPr>
                <w:rFonts w:ascii="Cambria Math" w:hAnsi="Cambria Math"/>
              </w:rPr>
              <m:t>t</m:t>
            </m:r>
          </m:e>
          <m:sup>
            <m:r>
              <w:rPr>
                <w:rFonts w:ascii="Cambria Math" w:hAnsi="Cambria Math"/>
              </w:rPr>
              <m:t>*</m:t>
            </m:r>
          </m:sup>
        </m:sSup>
      </m:oMath>
      <w:r w:rsidR="00FA21A8" w:rsidRPr="001C1D37">
        <w:t xml:space="preserve"> </w:t>
      </w:r>
      <w:r w:rsidR="006D556F" w:rsidRPr="001C1D37">
        <w:t xml:space="preserve">using the current </w:t>
      </w:r>
      <w:r w:rsidR="00FA21A8" w:rsidRPr="001C1D37">
        <w:t>sample</w:t>
      </w:r>
      <w:r w:rsidR="007C3B21" w:rsidRPr="001C1D37">
        <w:t xml:space="preserve">, </w:t>
      </w:r>
      <w:r w:rsidR="00FA21A8" w:rsidRPr="001C1D37">
        <w:t xml:space="preserve">ROC summaries </w:t>
      </w:r>
      <w:r w:rsidR="00CA724B" w:rsidRPr="001C1D37">
        <w:t>can be</w:t>
      </w:r>
      <w:r w:rsidR="00FA21A8" w:rsidRPr="001C1D37">
        <w:t xml:space="preserve"> </w:t>
      </w:r>
      <w:r w:rsidR="007C3B21" w:rsidRPr="001C1D37">
        <w:t xml:space="preserve">similarly </w:t>
      </w:r>
      <w:r w:rsidR="00CA724B" w:rsidRPr="001C1D37">
        <w:t xml:space="preserve">computed. </w:t>
      </w:r>
    </w:p>
    <w:p w:rsidR="00813B65" w:rsidRPr="001C1D37" w:rsidRDefault="00813B65" w:rsidP="001C1D37">
      <w:pPr>
        <w:autoSpaceDE w:val="0"/>
        <w:autoSpaceDN w:val="0"/>
        <w:adjustRightInd w:val="0"/>
        <w:rPr>
          <w:rFonts w:eastAsia="Calibri"/>
          <w:iCs/>
        </w:rPr>
      </w:pPr>
    </w:p>
    <w:p w:rsidR="00813B65" w:rsidRPr="001C1D37" w:rsidRDefault="00813B65" w:rsidP="001C1D37">
      <w:pPr>
        <w:autoSpaceDE w:val="0"/>
        <w:autoSpaceDN w:val="0"/>
        <w:adjustRightInd w:val="0"/>
        <w:rPr>
          <w:rFonts w:eastAsia="Calibri"/>
          <w:iCs/>
        </w:rPr>
      </w:pPr>
    </w:p>
    <w:p w:rsidR="00D0467E" w:rsidRPr="001C1D37" w:rsidRDefault="00C53432" w:rsidP="001C1D37">
      <w:pPr>
        <w:autoSpaceDE w:val="0"/>
        <w:autoSpaceDN w:val="0"/>
        <w:adjustRightInd w:val="0"/>
        <w:rPr>
          <w:b/>
        </w:rPr>
      </w:pPr>
      <w:r w:rsidRPr="001C1D37">
        <w:rPr>
          <w:b/>
        </w:rPr>
        <w:t xml:space="preserve">4.4 </w:t>
      </w:r>
      <w:r w:rsidR="00D0467E" w:rsidRPr="001C1D37">
        <w:rPr>
          <w:b/>
        </w:rPr>
        <w:t xml:space="preserve">Calculation of the 95% confidence intervals for </w:t>
      </w:r>
      <w:r w:rsidR="00D0467E" w:rsidRPr="001C1D37">
        <w:rPr>
          <w:rFonts w:eastAsia="Calibri"/>
          <w:b/>
        </w:rPr>
        <w:t>sensitivity and specificity</w:t>
      </w:r>
    </w:p>
    <w:p w:rsidR="00D0467E" w:rsidRPr="001C1D37" w:rsidRDefault="00D0467E" w:rsidP="001C1D37">
      <w:pPr>
        <w:autoSpaceDE w:val="0"/>
        <w:autoSpaceDN w:val="0"/>
        <w:adjustRightInd w:val="0"/>
      </w:pPr>
      <w:r w:rsidRPr="001C1D37">
        <w:t xml:space="preserve">In this proposal, the estimated risk score </w:t>
      </w:r>
      <m:oMath>
        <m:sSub>
          <m:sSubPr>
            <m:ctrlPr>
              <w:rPr>
                <w:rFonts w:ascii="Cambria Math" w:eastAsia="Calibri" w:hAnsi="Cambria Math"/>
                <w:i/>
              </w:rPr>
            </m:ctrlPr>
          </m:sSubPr>
          <m:e>
            <m:acc>
              <m:accPr>
                <m:ctrlPr>
                  <w:rPr>
                    <w:rFonts w:ascii="Cambria Math" w:eastAsia="Calibri" w:hAnsi="Cambria Math"/>
                  </w:rPr>
                </m:ctrlPr>
              </m:accPr>
              <m:e>
                <m:r>
                  <m:rPr>
                    <m:sty m:val="p"/>
                  </m:rPr>
                  <w:rPr>
                    <w:rFonts w:ascii="Cambria Math" w:eastAsia="Calibri" w:hAnsi="Cambria Math"/>
                  </w:rPr>
                  <m:t>M</m:t>
                </m:r>
              </m:e>
            </m:acc>
          </m:e>
          <m:sub>
            <m:r>
              <w:rPr>
                <w:rFonts w:ascii="Cambria Math" w:eastAsia="Calibri" w:hAnsi="Cambria Math"/>
              </w:rPr>
              <m:t>k</m:t>
            </m:r>
          </m:sub>
        </m:sSub>
        <m:r>
          <w:rPr>
            <w:rFonts w:ascii="Cambria Math" w:hAnsi="Cambria Math"/>
          </w:rPr>
          <m:t>(t)</m:t>
        </m:r>
      </m:oMath>
      <w:r w:rsidR="00585905" w:rsidRPr="001C1D37">
        <w:t xml:space="preserve"> </w:t>
      </w:r>
      <w:r w:rsidRPr="001C1D37">
        <w:t xml:space="preserve">is computed from joint modelling parameter estimates, which is then used as the input to ROC analysis. Hence the </w:t>
      </w:r>
      <w:r w:rsidRPr="001C1D37">
        <w:rPr>
          <w:iCs/>
        </w:rPr>
        <w:t xml:space="preserve">95% confidence intervals (CIs) of sensitivity and specificity must account for uncertainty due to both estimation processes. Therefore, </w:t>
      </w:r>
      <w:r w:rsidRPr="001C1D37">
        <w:t>t</w:t>
      </w:r>
      <w:r w:rsidRPr="001C1D37">
        <w:rPr>
          <w:iCs/>
        </w:rPr>
        <w:t>he 95% CIs for accuracy summaries are estimated by the bootstrap sampling with replacement [</w:t>
      </w:r>
      <w:r w:rsidR="00E35083" w:rsidRPr="001C1D37">
        <w:rPr>
          <w:iCs/>
        </w:rPr>
        <w:t>29</w:t>
      </w:r>
      <w:r w:rsidRPr="001C1D37">
        <w:rPr>
          <w:iCs/>
        </w:rPr>
        <w:t>].</w:t>
      </w:r>
      <w:r w:rsidRPr="001C1D37">
        <w:t xml:space="preserve"> The estimates are given by </w:t>
      </w:r>
      <w:r w:rsidRPr="001C1D37">
        <w:rPr>
          <w:iCs/>
        </w:rPr>
        <w:t xml:space="preserve">the corresponding bootstrap percentiles since the underlying distribution of the accuracies are unknown. </w:t>
      </w:r>
      <w:r w:rsidRPr="001C1D37">
        <w:t>The previously suggested time-dependent ROC models for censored clinical endpoint based on a single biomarker value were also suggested bootstrap approaches to estimate the corresponding CIs [</w:t>
      </w:r>
      <w:r w:rsidR="00E35083" w:rsidRPr="001C1D37">
        <w:t>4</w:t>
      </w:r>
      <w:proofErr w:type="gramStart"/>
      <w:r w:rsidRPr="001C1D37">
        <w:t>,</w:t>
      </w:r>
      <w:r w:rsidR="00E35083" w:rsidRPr="001C1D37">
        <w:t>5</w:t>
      </w:r>
      <w:proofErr w:type="gramEnd"/>
      <w:r w:rsidRPr="001C1D37">
        <w:t xml:space="preserve">].   </w:t>
      </w:r>
    </w:p>
    <w:p w:rsidR="00D0467E" w:rsidRPr="001C1D37" w:rsidRDefault="00D0467E" w:rsidP="001C1D37">
      <w:pPr>
        <w:autoSpaceDE w:val="0"/>
        <w:autoSpaceDN w:val="0"/>
        <w:adjustRightInd w:val="0"/>
        <w:rPr>
          <w:b/>
        </w:rPr>
      </w:pPr>
    </w:p>
    <w:p w:rsidR="00BF4A60" w:rsidRPr="001C1D37" w:rsidRDefault="00BF4A60" w:rsidP="001C1D37">
      <w:pPr>
        <w:autoSpaceDE w:val="0"/>
        <w:autoSpaceDN w:val="0"/>
        <w:adjustRightInd w:val="0"/>
        <w:rPr>
          <w:b/>
        </w:rPr>
      </w:pPr>
    </w:p>
    <w:p w:rsidR="00D0467E" w:rsidRPr="001C1D37" w:rsidRDefault="00D0467E" w:rsidP="001C1D37">
      <w:pPr>
        <w:autoSpaceDE w:val="0"/>
        <w:autoSpaceDN w:val="0"/>
        <w:adjustRightInd w:val="0"/>
        <w:rPr>
          <w:b/>
          <w:sz w:val="28"/>
          <w:szCs w:val="28"/>
        </w:rPr>
      </w:pPr>
      <w:r w:rsidRPr="001C1D37">
        <w:rPr>
          <w:b/>
          <w:sz w:val="28"/>
          <w:szCs w:val="28"/>
        </w:rPr>
        <w:lastRenderedPageBreak/>
        <w:t>5. Simulation study</w:t>
      </w:r>
    </w:p>
    <w:p w:rsidR="00D74F70" w:rsidRPr="001C1D37" w:rsidRDefault="00D0467E" w:rsidP="001C1D37">
      <w:pPr>
        <w:pStyle w:val="PlainText"/>
        <w:rPr>
          <w:rFonts w:ascii="Times New Roman" w:hAnsi="Times New Roman" w:cs="Times New Roman"/>
          <w:sz w:val="24"/>
          <w:szCs w:val="24"/>
        </w:rPr>
      </w:pPr>
      <w:r w:rsidRPr="001C1D37">
        <w:rPr>
          <w:rFonts w:ascii="Times New Roman" w:eastAsia="Calibri" w:hAnsi="Times New Roman" w:cs="Times New Roman"/>
          <w:sz w:val="24"/>
          <w:szCs w:val="24"/>
        </w:rPr>
        <w:t xml:space="preserve">We have conducted </w:t>
      </w:r>
      <w:r w:rsidR="00C45557" w:rsidRPr="001C1D37">
        <w:rPr>
          <w:rFonts w:ascii="Times New Roman" w:eastAsia="Calibri" w:hAnsi="Times New Roman" w:cs="Times New Roman"/>
          <w:sz w:val="24"/>
          <w:szCs w:val="24"/>
        </w:rPr>
        <w:t>several</w:t>
      </w:r>
      <w:r w:rsidR="00975F84" w:rsidRPr="001C1D37">
        <w:rPr>
          <w:rFonts w:ascii="Times New Roman" w:eastAsia="Calibri" w:hAnsi="Times New Roman" w:cs="Times New Roman"/>
          <w:sz w:val="24"/>
          <w:szCs w:val="24"/>
        </w:rPr>
        <w:t xml:space="preserve"> </w:t>
      </w:r>
      <w:r w:rsidRPr="001C1D37">
        <w:rPr>
          <w:rFonts w:ascii="Times New Roman" w:eastAsia="Calibri" w:hAnsi="Times New Roman" w:cs="Times New Roman"/>
          <w:sz w:val="24"/>
          <w:szCs w:val="24"/>
        </w:rPr>
        <w:t>simulation studies to demonstrate whether the proposed approach is an appropriate framework for estimating the time-dependent accuracies</w:t>
      </w:r>
      <w:r w:rsidR="0087330D" w:rsidRPr="001C1D37">
        <w:rPr>
          <w:rFonts w:ascii="Times New Roman" w:eastAsia="Calibri" w:hAnsi="Times New Roman" w:cs="Times New Roman"/>
          <w:sz w:val="24"/>
          <w:szCs w:val="24"/>
        </w:rPr>
        <w:t xml:space="preserve"> of a longitudinal biomarker</w:t>
      </w:r>
      <w:r w:rsidR="003E4C84" w:rsidRPr="001C1D37">
        <w:rPr>
          <w:rFonts w:ascii="Times New Roman" w:eastAsia="Calibri" w:hAnsi="Times New Roman" w:cs="Times New Roman"/>
          <w:sz w:val="24"/>
          <w:szCs w:val="24"/>
        </w:rPr>
        <w:t xml:space="preserve"> within ROC curve analysis</w:t>
      </w:r>
      <w:r w:rsidRPr="001C1D37">
        <w:rPr>
          <w:rFonts w:ascii="Times New Roman" w:eastAsia="Calibri" w:hAnsi="Times New Roman" w:cs="Times New Roman"/>
          <w:sz w:val="24"/>
          <w:szCs w:val="24"/>
        </w:rPr>
        <w:t>.</w:t>
      </w:r>
      <w:r w:rsidR="00975F84" w:rsidRPr="001C1D37">
        <w:rPr>
          <w:rFonts w:ascii="Times New Roman" w:eastAsia="Calibri" w:hAnsi="Times New Roman" w:cs="Times New Roman"/>
          <w:sz w:val="24"/>
          <w:szCs w:val="24"/>
        </w:rPr>
        <w:t xml:space="preserve"> </w:t>
      </w:r>
      <w:r w:rsidR="00C45557" w:rsidRPr="001C1D37">
        <w:rPr>
          <w:rFonts w:ascii="Times New Roman" w:eastAsia="Calibri" w:hAnsi="Times New Roman" w:cs="Times New Roman"/>
          <w:sz w:val="24"/>
          <w:szCs w:val="24"/>
        </w:rPr>
        <w:t>First</w:t>
      </w:r>
      <w:r w:rsidR="00975F84" w:rsidRPr="001C1D37">
        <w:rPr>
          <w:rFonts w:ascii="Times New Roman" w:eastAsia="Calibri" w:hAnsi="Times New Roman" w:cs="Times New Roman"/>
          <w:sz w:val="24"/>
          <w:szCs w:val="24"/>
          <w:lang w:eastAsia="en-GB"/>
        </w:rPr>
        <w:t>, we explore</w:t>
      </w:r>
      <w:r w:rsidR="007119E8" w:rsidRPr="001C1D37">
        <w:rPr>
          <w:rFonts w:ascii="Times New Roman" w:eastAsia="Calibri" w:hAnsi="Times New Roman" w:cs="Times New Roman"/>
          <w:sz w:val="24"/>
          <w:szCs w:val="24"/>
          <w:lang w:eastAsia="en-GB"/>
        </w:rPr>
        <w:t>d</w:t>
      </w:r>
      <w:r w:rsidR="00975F84" w:rsidRPr="001C1D37">
        <w:rPr>
          <w:rFonts w:ascii="Times New Roman" w:eastAsia="Calibri" w:hAnsi="Times New Roman" w:cs="Times New Roman"/>
          <w:sz w:val="24"/>
          <w:szCs w:val="24"/>
          <w:lang w:eastAsia="en-GB"/>
        </w:rPr>
        <w:t xml:space="preserve"> the accuracy of estimation of </w:t>
      </w:r>
      <w:r w:rsidR="00975F84" w:rsidRPr="001C1D37">
        <w:rPr>
          <w:rFonts w:ascii="Times New Roman" w:hAnsi="Times New Roman" w:cs="Times New Roman"/>
          <w:sz w:val="24"/>
          <w:szCs w:val="24"/>
        </w:rPr>
        <w:t xml:space="preserve">association parameter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t</m:t>
            </m:r>
          </m:sub>
        </m:sSub>
      </m:oMath>
      <w:r w:rsidR="00DF5B0B" w:rsidRPr="001C1D37">
        <w:rPr>
          <w:rFonts w:ascii="Times New Roman" w:eastAsiaTheme="minorEastAsia" w:hAnsi="Times New Roman" w:cs="Times New Roman"/>
          <w:sz w:val="24"/>
          <w:szCs w:val="24"/>
        </w:rPr>
        <w:t xml:space="preserve"> </w:t>
      </w:r>
      <w:r w:rsidR="00D74F70" w:rsidRPr="001C1D37">
        <w:rPr>
          <w:rFonts w:ascii="Times New Roman" w:eastAsia="Calibri" w:hAnsi="Times New Roman" w:cs="Times New Roman"/>
          <w:sz w:val="24"/>
          <w:szCs w:val="24"/>
        </w:rPr>
        <w:t xml:space="preserve">from the </w:t>
      </w:r>
      <w:r w:rsidR="00D74F70" w:rsidRPr="001C1D37">
        <w:rPr>
          <w:rFonts w:ascii="Times New Roman" w:eastAsia="Calibri" w:hAnsi="Times New Roman" w:cs="Times New Roman"/>
          <w:sz w:val="24"/>
          <w:szCs w:val="24"/>
          <w:lang w:eastAsia="en-GB"/>
        </w:rPr>
        <w:t>joint model</w:t>
      </w:r>
      <w:r w:rsidR="00D74F70" w:rsidRPr="001C1D37">
        <w:rPr>
          <w:rFonts w:ascii="Times New Roman" w:eastAsia="Calibri" w:hAnsi="Times New Roman" w:cs="Times New Roman"/>
          <w:sz w:val="24"/>
          <w:szCs w:val="24"/>
        </w:rPr>
        <w:t xml:space="preserve"> </w:t>
      </w:r>
      <w:r w:rsidR="00975F84" w:rsidRPr="001C1D37">
        <w:rPr>
          <w:rFonts w:ascii="Times New Roman" w:eastAsia="Calibri" w:hAnsi="Times New Roman" w:cs="Times New Roman"/>
          <w:sz w:val="24"/>
          <w:szCs w:val="24"/>
        </w:rPr>
        <w:t xml:space="preserve">which is crucial for </w:t>
      </w:r>
      <w:r w:rsidR="00EB5864" w:rsidRPr="001C1D37">
        <w:rPr>
          <w:rFonts w:ascii="Times New Roman" w:eastAsia="Calibri" w:hAnsi="Times New Roman" w:cs="Times New Roman"/>
          <w:sz w:val="24"/>
          <w:szCs w:val="24"/>
        </w:rPr>
        <w:t xml:space="preserve">estimating </w:t>
      </w:r>
      <w:r w:rsidR="00975F84" w:rsidRPr="001C1D37">
        <w:rPr>
          <w:rFonts w:ascii="Times New Roman" w:eastAsia="Calibri" w:hAnsi="Times New Roman" w:cs="Times New Roman"/>
          <w:sz w:val="24"/>
          <w:szCs w:val="24"/>
        </w:rPr>
        <w:t xml:space="preserve">the correct ROC summaries </w:t>
      </w:r>
      <w:r w:rsidR="00D74F70" w:rsidRPr="001C1D37">
        <w:rPr>
          <w:rFonts w:ascii="Times New Roman" w:eastAsia="Calibri" w:hAnsi="Times New Roman" w:cs="Times New Roman"/>
          <w:sz w:val="24"/>
          <w:szCs w:val="24"/>
          <w:lang w:eastAsia="en-GB"/>
        </w:rPr>
        <w:t>from</w:t>
      </w:r>
      <w:r w:rsidR="00975F84" w:rsidRPr="001C1D37">
        <w:rPr>
          <w:rFonts w:ascii="Times New Roman" w:eastAsia="Calibri" w:hAnsi="Times New Roman" w:cs="Times New Roman"/>
          <w:sz w:val="24"/>
          <w:szCs w:val="24"/>
          <w:lang w:eastAsia="en-GB"/>
        </w:rPr>
        <w:t xml:space="preserve"> the proposed approach. In s</w:t>
      </w:r>
      <w:r w:rsidR="00975F84" w:rsidRPr="001C1D37">
        <w:rPr>
          <w:rFonts w:ascii="Times New Roman" w:hAnsi="Times New Roman" w:cs="Times New Roman"/>
          <w:sz w:val="24"/>
          <w:szCs w:val="24"/>
        </w:rPr>
        <w:t>econd simulation study, we demonstrate</w:t>
      </w:r>
      <w:r w:rsidR="007119E8" w:rsidRPr="001C1D37">
        <w:rPr>
          <w:rFonts w:ascii="Times New Roman" w:hAnsi="Times New Roman" w:cs="Times New Roman"/>
          <w:sz w:val="24"/>
          <w:szCs w:val="24"/>
        </w:rPr>
        <w:t>d</w:t>
      </w:r>
      <w:r w:rsidR="00975F84" w:rsidRPr="001C1D37">
        <w:rPr>
          <w:rFonts w:ascii="Times New Roman" w:hAnsi="Times New Roman" w:cs="Times New Roman"/>
          <w:sz w:val="24"/>
          <w:szCs w:val="24"/>
        </w:rPr>
        <w:t xml:space="preserve"> </w:t>
      </w:r>
      <w:r w:rsidR="007119E8" w:rsidRPr="001C1D37">
        <w:rPr>
          <w:rFonts w:ascii="Times New Roman" w:hAnsi="Times New Roman" w:cs="Times New Roman"/>
          <w:sz w:val="24"/>
          <w:szCs w:val="24"/>
        </w:rPr>
        <w:t>how the strength of association between the biomarker and event-time process</w:t>
      </w:r>
      <w:r w:rsidR="007119E8" w:rsidRPr="001C1D37">
        <w:rPr>
          <w:rFonts w:ascii="Times New Roman" w:eastAsiaTheme="minorEastAsia" w:hAnsi="Times New Roman" w:cs="Times New Roman"/>
          <w:sz w:val="24"/>
          <w:szCs w:val="24"/>
        </w:rPr>
        <w:t xml:space="preserve"> </w:t>
      </w:r>
      <w:r w:rsidR="0087330D" w:rsidRPr="001C1D37">
        <w:rPr>
          <w:rFonts w:ascii="Times New Roman" w:hAnsi="Times New Roman" w:cs="Times New Roman"/>
          <w:sz w:val="24"/>
          <w:szCs w:val="24"/>
        </w:rPr>
        <w:t xml:space="preserve">modifies </w:t>
      </w:r>
      <w:r w:rsidR="00D74F70" w:rsidRPr="001C1D37">
        <w:rPr>
          <w:rFonts w:ascii="Times New Roman" w:hAnsi="Times New Roman" w:cs="Times New Roman"/>
          <w:sz w:val="24"/>
          <w:szCs w:val="24"/>
        </w:rPr>
        <w:t>the discriminatory potential of a biomarker (as estimated by AUC)</w:t>
      </w:r>
      <w:r w:rsidR="003E4C84" w:rsidRPr="001C1D37">
        <w:rPr>
          <w:rFonts w:ascii="Times New Roman" w:hAnsi="Times New Roman" w:cs="Times New Roman"/>
          <w:sz w:val="24"/>
          <w:szCs w:val="24"/>
        </w:rPr>
        <w:t xml:space="preserve"> </w:t>
      </w:r>
      <w:r w:rsidR="003E4C84" w:rsidRPr="001C1D37">
        <w:rPr>
          <w:rFonts w:ascii="Times New Roman" w:eastAsiaTheme="minorEastAsia" w:hAnsi="Times New Roman" w:cs="Times New Roman"/>
          <w:sz w:val="24"/>
          <w:szCs w:val="24"/>
        </w:rPr>
        <w:t>as estimated by the proposed approach</w:t>
      </w:r>
      <w:r w:rsidR="007119E8" w:rsidRPr="001C1D37">
        <w:rPr>
          <w:rFonts w:ascii="Times New Roman" w:eastAsiaTheme="minorEastAsia" w:hAnsi="Times New Roman" w:cs="Times New Roman"/>
          <w:sz w:val="24"/>
          <w:szCs w:val="24"/>
        </w:rPr>
        <w:t>. Finally</w:t>
      </w:r>
      <w:r w:rsidR="0087330D" w:rsidRPr="001C1D37">
        <w:rPr>
          <w:rFonts w:ascii="Times New Roman" w:eastAsiaTheme="minorEastAsia" w:hAnsi="Times New Roman" w:cs="Times New Roman"/>
          <w:sz w:val="24"/>
          <w:szCs w:val="24"/>
        </w:rPr>
        <w:t>,</w:t>
      </w:r>
      <w:r w:rsidR="007119E8" w:rsidRPr="001C1D37">
        <w:rPr>
          <w:rFonts w:ascii="Times New Roman" w:eastAsiaTheme="minorEastAsia" w:hAnsi="Times New Roman" w:cs="Times New Roman"/>
          <w:sz w:val="24"/>
          <w:szCs w:val="24"/>
        </w:rPr>
        <w:t xml:space="preserve"> in </w:t>
      </w:r>
      <w:r w:rsidR="007119E8" w:rsidRPr="001C1D37">
        <w:rPr>
          <w:rFonts w:ascii="Times New Roman" w:eastAsia="Calibri" w:hAnsi="Times New Roman" w:cs="Times New Roman"/>
          <w:sz w:val="24"/>
          <w:szCs w:val="24"/>
          <w:lang w:eastAsia="en-GB"/>
        </w:rPr>
        <w:t>third</w:t>
      </w:r>
      <w:r w:rsidR="007119E8" w:rsidRPr="001C1D37">
        <w:rPr>
          <w:rFonts w:ascii="Times New Roman" w:hAnsi="Times New Roman" w:cs="Times New Roman"/>
          <w:sz w:val="24"/>
          <w:szCs w:val="24"/>
        </w:rPr>
        <w:t xml:space="preserve"> simulation study, we </w:t>
      </w:r>
      <w:r w:rsidR="00CB1227" w:rsidRPr="001C1D37">
        <w:rPr>
          <w:rFonts w:ascii="Times New Roman" w:hAnsi="Times New Roman" w:cs="Times New Roman"/>
          <w:sz w:val="24"/>
          <w:szCs w:val="24"/>
        </w:rPr>
        <w:t xml:space="preserve">evaluated </w:t>
      </w:r>
      <w:r w:rsidR="007119E8" w:rsidRPr="001C1D37">
        <w:rPr>
          <w:rFonts w:ascii="Times New Roman" w:hAnsi="Times New Roman" w:cs="Times New Roman"/>
          <w:sz w:val="24"/>
          <w:szCs w:val="24"/>
        </w:rPr>
        <w:t xml:space="preserve">whether the proposed estimation procedure </w:t>
      </w:r>
      <w:r w:rsidR="00CB1227" w:rsidRPr="001C1D37">
        <w:rPr>
          <w:rFonts w:ascii="Times New Roman" w:hAnsi="Times New Roman" w:cs="Times New Roman"/>
          <w:sz w:val="24"/>
          <w:szCs w:val="24"/>
        </w:rPr>
        <w:t>is capable of identifying</w:t>
      </w:r>
      <w:r w:rsidR="007119E8" w:rsidRPr="001C1D37">
        <w:rPr>
          <w:rFonts w:ascii="Times New Roman" w:hAnsi="Times New Roman" w:cs="Times New Roman"/>
          <w:sz w:val="24"/>
          <w:szCs w:val="24"/>
        </w:rPr>
        <w:t xml:space="preserve"> the time</w:t>
      </w:r>
      <w:r w:rsidR="003E4C84" w:rsidRPr="001C1D37">
        <w:rPr>
          <w:rFonts w:ascii="Times New Roman" w:hAnsi="Times New Roman" w:cs="Times New Roman"/>
          <w:sz w:val="24"/>
          <w:szCs w:val="24"/>
        </w:rPr>
        <w:t xml:space="preserve"> point</w:t>
      </w:r>
      <w:r w:rsidR="007119E8" w:rsidRPr="001C1D37">
        <w:rPr>
          <w:rFonts w:ascii="Times New Roman" w:hAnsi="Times New Roman" w:cs="Times New Roman"/>
          <w:sz w:val="24"/>
          <w:szCs w:val="24"/>
        </w:rPr>
        <w:t xml:space="preserve"> </w:t>
      </w:r>
      <w:r w:rsidR="00CB1227" w:rsidRPr="001C1D37">
        <w:rPr>
          <w:rFonts w:ascii="Times New Roman" w:hAnsi="Times New Roman" w:cs="Times New Roman"/>
          <w:sz w:val="24"/>
          <w:szCs w:val="24"/>
        </w:rPr>
        <w:t xml:space="preserve">at </w:t>
      </w:r>
      <w:r w:rsidR="007119E8" w:rsidRPr="001C1D37">
        <w:rPr>
          <w:rFonts w:ascii="Times New Roman" w:hAnsi="Times New Roman" w:cs="Times New Roman"/>
          <w:sz w:val="24"/>
          <w:szCs w:val="24"/>
        </w:rPr>
        <w:t xml:space="preserve">which the </w:t>
      </w:r>
      <w:r w:rsidR="00BB4497" w:rsidRPr="001C1D37">
        <w:rPr>
          <w:rFonts w:ascii="Times New Roman" w:hAnsi="Times New Roman" w:cs="Times New Roman"/>
          <w:sz w:val="24"/>
          <w:szCs w:val="24"/>
        </w:rPr>
        <w:t>best</w:t>
      </w:r>
      <w:r w:rsidR="007119E8" w:rsidRPr="001C1D37">
        <w:rPr>
          <w:rFonts w:ascii="Times New Roman" w:hAnsi="Times New Roman" w:cs="Times New Roman"/>
          <w:sz w:val="24"/>
          <w:szCs w:val="24"/>
        </w:rPr>
        <w:t xml:space="preserve"> discriminatory potential of the biomarker</w:t>
      </w:r>
      <w:r w:rsidR="007119E8" w:rsidRPr="001C1D37">
        <w:rPr>
          <w:rFonts w:ascii="Times New Roman" w:eastAsiaTheme="minorEastAsia" w:hAnsi="Times New Roman" w:cs="Times New Roman"/>
          <w:sz w:val="24"/>
          <w:szCs w:val="24"/>
        </w:rPr>
        <w:t xml:space="preserve"> </w:t>
      </w:r>
      <w:r w:rsidR="007119E8" w:rsidRPr="001C1D37">
        <w:rPr>
          <w:rFonts w:ascii="Times New Roman" w:hAnsi="Times New Roman" w:cs="Times New Roman"/>
          <w:sz w:val="24"/>
          <w:szCs w:val="24"/>
        </w:rPr>
        <w:t>is reached.</w:t>
      </w:r>
    </w:p>
    <w:p w:rsidR="00D74F70" w:rsidRPr="001C1D37" w:rsidRDefault="00D74F70" w:rsidP="001C1D37">
      <w:pPr>
        <w:pStyle w:val="PlainText"/>
        <w:rPr>
          <w:rFonts w:ascii="Times New Roman" w:hAnsi="Times New Roman" w:cs="Times New Roman"/>
          <w:sz w:val="24"/>
          <w:szCs w:val="24"/>
        </w:rPr>
      </w:pPr>
    </w:p>
    <w:p w:rsidR="00CC527E" w:rsidRPr="001C1D37" w:rsidRDefault="00CC527E" w:rsidP="001C1D37">
      <w:pPr>
        <w:pStyle w:val="PlainText"/>
        <w:rPr>
          <w:rFonts w:ascii="Times New Roman" w:hAnsi="Times New Roman" w:cs="Times New Roman"/>
          <w:sz w:val="24"/>
          <w:szCs w:val="24"/>
        </w:rPr>
      </w:pPr>
    </w:p>
    <w:p w:rsidR="00113CE5" w:rsidRPr="001C1D37" w:rsidRDefault="00113CE5" w:rsidP="001C1D37">
      <w:pPr>
        <w:pStyle w:val="PlainText"/>
        <w:rPr>
          <w:rFonts w:ascii="Times New Roman" w:eastAsiaTheme="minorEastAsia" w:hAnsi="Times New Roman" w:cs="Times New Roman"/>
          <w:sz w:val="24"/>
          <w:szCs w:val="24"/>
        </w:rPr>
      </w:pPr>
      <w:r w:rsidRPr="001C1D37">
        <w:rPr>
          <w:rFonts w:ascii="Times New Roman" w:eastAsiaTheme="minorEastAsia" w:hAnsi="Times New Roman" w:cs="Times New Roman"/>
          <w:sz w:val="24"/>
          <w:szCs w:val="24"/>
        </w:rPr>
        <w:t>We examined only negative associations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t</m:t>
            </m:r>
          </m:sub>
        </m:sSub>
        <m:r>
          <w:rPr>
            <w:rFonts w:ascii="Cambria Math" w:hAnsi="Cambria Math" w:cs="Times New Roman"/>
            <w:sz w:val="24"/>
            <w:szCs w:val="24"/>
          </w:rPr>
          <m:t xml:space="preserve">&lt;0 </m:t>
        </m:r>
        <m:r>
          <w:rPr>
            <w:rFonts w:ascii="Cambria Math" w:eastAsiaTheme="minorEastAsia" w:hAnsi="Cambria Math" w:cs="Times New Roman"/>
            <w:sz w:val="24"/>
            <w:szCs w:val="24"/>
          </w:rPr>
          <m:t>)</m:t>
        </m:r>
      </m:oMath>
      <w:r w:rsidRPr="001C1D37">
        <w:rPr>
          <w:rFonts w:ascii="Times New Roman" w:hAnsi="Times New Roman" w:cs="Times New Roman"/>
          <w:sz w:val="24"/>
          <w:szCs w:val="24"/>
        </w:rPr>
        <w:t xml:space="preserve"> to induce the direction of association in our application (it is anticipated that low </w:t>
      </w:r>
      <w:proofErr w:type="spellStart"/>
      <w:r w:rsidRPr="001C1D37">
        <w:rPr>
          <w:rFonts w:ascii="Times New Roman" w:hAnsi="Times New Roman" w:cs="Times New Roman"/>
          <w:sz w:val="24"/>
          <w:szCs w:val="24"/>
        </w:rPr>
        <w:t>aPTT</w:t>
      </w:r>
      <w:proofErr w:type="spellEnd"/>
      <w:r w:rsidR="00743515" w:rsidRPr="001C1D37">
        <w:rPr>
          <w:rFonts w:ascii="Times New Roman" w:hAnsi="Times New Roman" w:cs="Times New Roman"/>
          <w:sz w:val="24"/>
          <w:szCs w:val="24"/>
        </w:rPr>
        <w:t xml:space="preserve"> </w:t>
      </w:r>
      <w:r w:rsidRPr="001C1D37">
        <w:rPr>
          <w:rFonts w:ascii="Times New Roman" w:hAnsi="Times New Roman" w:cs="Times New Roman"/>
          <w:sz w:val="24"/>
          <w:szCs w:val="24"/>
        </w:rPr>
        <w:t xml:space="preserve">values are associated with high risk of sepsis onset). However, </w:t>
      </w:r>
      <w:r w:rsidRPr="001C1D37">
        <w:rPr>
          <w:rFonts w:ascii="Times New Roman" w:eastAsiaTheme="minorEastAsia" w:hAnsi="Times New Roman" w:cs="Times New Roman"/>
          <w:sz w:val="24"/>
          <w:szCs w:val="24"/>
        </w:rPr>
        <w:t xml:space="preserve">the </w:t>
      </w:r>
      <w:r w:rsidR="002373E4" w:rsidRPr="001C1D37">
        <w:rPr>
          <w:rFonts w:ascii="Times New Roman" w:eastAsiaTheme="minorEastAsia" w:hAnsi="Times New Roman" w:cs="Times New Roman"/>
          <w:sz w:val="24"/>
          <w:szCs w:val="24"/>
        </w:rPr>
        <w:t xml:space="preserve">behaviour for </w:t>
      </w:r>
      <w:r w:rsidRPr="001C1D37">
        <w:rPr>
          <w:rFonts w:ascii="Times New Roman" w:eastAsiaTheme="minorEastAsia" w:hAnsi="Times New Roman" w:cs="Times New Roman"/>
          <w:sz w:val="24"/>
          <w:szCs w:val="24"/>
        </w:rPr>
        <w:t>positive associations</w:t>
      </w:r>
      <w:r w:rsidR="00167FFA" w:rsidRPr="001C1D37">
        <w:rPr>
          <w:rFonts w:ascii="Times New Roman" w:eastAsiaTheme="minorEastAsia" w:hAnsi="Times New Roman" w:cs="Times New Roman"/>
          <w:sz w:val="24"/>
          <w:szCs w:val="24"/>
        </w:rPr>
        <w:t xml:space="preserve"> with the same strength</w:t>
      </w:r>
      <w:r w:rsidRPr="001C1D37">
        <w:rPr>
          <w:rFonts w:ascii="Times New Roman" w:eastAsiaTheme="minorEastAsia" w:hAnsi="Times New Roman" w:cs="Times New Roman"/>
          <w:sz w:val="24"/>
          <w:szCs w:val="24"/>
        </w:rPr>
        <w:t xml:space="preserve"> would </w:t>
      </w:r>
      <w:r w:rsidR="002373E4" w:rsidRPr="001C1D37">
        <w:rPr>
          <w:rFonts w:ascii="Times New Roman" w:eastAsiaTheme="minorEastAsia" w:hAnsi="Times New Roman" w:cs="Times New Roman"/>
          <w:sz w:val="24"/>
          <w:szCs w:val="24"/>
        </w:rPr>
        <w:t>be</w:t>
      </w:r>
      <w:r w:rsidR="00167FFA" w:rsidRPr="001C1D37">
        <w:rPr>
          <w:rFonts w:ascii="Times New Roman" w:eastAsiaTheme="minorEastAsia" w:hAnsi="Times New Roman" w:cs="Times New Roman"/>
          <w:sz w:val="24"/>
          <w:szCs w:val="24"/>
        </w:rPr>
        <w:t xml:space="preserve"> the </w:t>
      </w:r>
      <w:r w:rsidRPr="001C1D37">
        <w:rPr>
          <w:rFonts w:ascii="Times New Roman" w:eastAsiaTheme="minorEastAsia" w:hAnsi="Times New Roman" w:cs="Times New Roman"/>
          <w:sz w:val="24"/>
          <w:szCs w:val="24"/>
        </w:rPr>
        <w:t>same</w:t>
      </w:r>
      <w:r w:rsidR="00425EB6" w:rsidRPr="001C1D37">
        <w:rPr>
          <w:rFonts w:ascii="Times New Roman" w:eastAsiaTheme="minorEastAsia" w:hAnsi="Times New Roman" w:cs="Times New Roman"/>
          <w:sz w:val="24"/>
          <w:szCs w:val="24"/>
        </w:rPr>
        <w:t xml:space="preserve">, but </w:t>
      </w:r>
      <w:r w:rsidR="00330743" w:rsidRPr="001C1D37">
        <w:rPr>
          <w:rFonts w:ascii="Times New Roman" w:eastAsiaTheme="minorEastAsia" w:hAnsi="Times New Roman" w:cs="Times New Roman"/>
          <w:sz w:val="24"/>
          <w:szCs w:val="24"/>
        </w:rPr>
        <w:t xml:space="preserve">in </w:t>
      </w:r>
      <w:r w:rsidR="00425EB6" w:rsidRPr="001C1D37">
        <w:rPr>
          <w:rFonts w:ascii="Times New Roman" w:eastAsiaTheme="minorEastAsia" w:hAnsi="Times New Roman" w:cs="Times New Roman"/>
          <w:sz w:val="24"/>
          <w:szCs w:val="24"/>
        </w:rPr>
        <w:t>opposite direction, and will not impact on biases and other characteristics.</w:t>
      </w:r>
      <w:r w:rsidRPr="001C1D37">
        <w:rPr>
          <w:rFonts w:ascii="Times New Roman" w:eastAsiaTheme="minorEastAsia" w:hAnsi="Times New Roman" w:cs="Times New Roman"/>
          <w:sz w:val="24"/>
          <w:szCs w:val="24"/>
        </w:rPr>
        <w:t xml:space="preserve"> </w:t>
      </w:r>
    </w:p>
    <w:p w:rsidR="00CC527E" w:rsidRPr="001C1D37" w:rsidRDefault="00CC527E" w:rsidP="001C1D37">
      <w:pPr>
        <w:pStyle w:val="PlainText"/>
        <w:rPr>
          <w:rFonts w:ascii="Times New Roman" w:eastAsiaTheme="minorEastAsia" w:hAnsi="Times New Roman" w:cs="Times New Roman"/>
          <w:sz w:val="24"/>
          <w:szCs w:val="24"/>
        </w:rPr>
      </w:pPr>
    </w:p>
    <w:p w:rsidR="00CC527E" w:rsidRPr="001C1D37" w:rsidRDefault="00CC527E" w:rsidP="001C1D37">
      <w:pPr>
        <w:pStyle w:val="PlainText"/>
        <w:rPr>
          <w:rFonts w:ascii="Times New Roman" w:eastAsiaTheme="minorEastAsia" w:hAnsi="Times New Roman" w:cs="Times New Roman"/>
          <w:sz w:val="24"/>
          <w:szCs w:val="24"/>
        </w:rPr>
      </w:pPr>
    </w:p>
    <w:p w:rsidR="00975F84" w:rsidRPr="001C1D37" w:rsidRDefault="00113CE5" w:rsidP="001C1D37">
      <w:pPr>
        <w:rPr>
          <w:rFonts w:eastAsiaTheme="minorEastAsia"/>
        </w:rPr>
      </w:pPr>
      <w:r w:rsidRPr="001C1D37">
        <w:rPr>
          <w:rFonts w:eastAsiaTheme="minorEastAsia"/>
          <w:b/>
        </w:rPr>
        <w:t xml:space="preserve">Simulation study 1: </w:t>
      </w:r>
      <w:r w:rsidR="00D91CF6" w:rsidRPr="001C1D37">
        <w:rPr>
          <w:rFonts w:eastAsia="Calibri"/>
        </w:rPr>
        <w:t>The l</w:t>
      </w:r>
      <w:r w:rsidR="00D91CF6" w:rsidRPr="001C1D37">
        <w:t xml:space="preserve">ongitudinal </w:t>
      </w:r>
      <w:r w:rsidR="003B2829" w:rsidRPr="001C1D37">
        <w:t>values</w:t>
      </w:r>
      <w:r w:rsidR="00D91CF6" w:rsidRPr="001C1D37">
        <w:t xml:space="preserve"> (</w:t>
      </w:r>
      <m:oMath>
        <m:r>
          <w:rPr>
            <w:rFonts w:ascii="Cambria Math" w:hAnsi="Cambria Math"/>
          </w:rPr>
          <m:t>y</m:t>
        </m:r>
      </m:oMath>
      <w:r w:rsidR="00D91CF6" w:rsidRPr="001C1D37">
        <w:t xml:space="preserve">) </w:t>
      </w:r>
      <w:r w:rsidR="00CC527E" w:rsidRPr="001C1D37">
        <w:t>were</w:t>
      </w:r>
      <w:r w:rsidR="00D91CF6" w:rsidRPr="001C1D37">
        <w:t xml:space="preserve"> simulated </w:t>
      </w:r>
      <w:r w:rsidR="00E32028" w:rsidRPr="001C1D37">
        <w:t>for 500 individuals</w:t>
      </w:r>
      <w:r w:rsidR="00975F84" w:rsidRPr="001C1D37">
        <w:t xml:space="preserve"> </w:t>
      </w:r>
      <w:r w:rsidR="00167FFA" w:rsidRPr="001C1D37">
        <w:t xml:space="preserve">under a linear mixed model </w:t>
      </w:r>
      <w:r w:rsidR="00975F84" w:rsidRPr="001C1D37">
        <w:t>with</w:t>
      </w:r>
      <w:r w:rsidR="00E32028" w:rsidRPr="001C1D37">
        <w:t xml:space="preserve"> </w:t>
      </w:r>
      <w:r w:rsidR="00D91CF6" w:rsidRPr="001C1D37">
        <w:t>fixed</w:t>
      </w:r>
      <w:r w:rsidR="00167FFA" w:rsidRPr="001C1D37">
        <w:t xml:space="preserve"> (population-level) </w:t>
      </w:r>
      <w:r w:rsidR="00D91CF6" w:rsidRPr="001C1D37">
        <w:t xml:space="preserve">intercept and </w:t>
      </w:r>
      <w:r w:rsidR="00975F84" w:rsidRPr="001C1D37">
        <w:t xml:space="preserve">slope </w:t>
      </w:r>
      <w:r w:rsidR="00D91CF6" w:rsidRPr="001C1D37">
        <w:t xml:space="preserve">with coefficients </w:t>
      </w:r>
      <m:oMath>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oMath>
      <w:r w:rsidR="00D91CF6" w:rsidRPr="001C1D37">
        <w:t xml:space="preserve">1 and </w:t>
      </w: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xml:space="preserve">= </m:t>
        </m:r>
      </m:oMath>
      <w:r w:rsidR="00D91CF6" w:rsidRPr="001C1D37">
        <w:t>-1 respectively,</w:t>
      </w:r>
      <w:r w:rsidR="00975F84" w:rsidRPr="001C1D37">
        <w:t xml:space="preserve"> and</w:t>
      </w:r>
      <w:r w:rsidR="00D91CF6" w:rsidRPr="001C1D37">
        <w:t xml:space="preserve"> random intercept </w:t>
      </w:r>
      <m:oMath>
        <m:sSub>
          <m:sSubPr>
            <m:ctrlPr>
              <w:rPr>
                <w:rFonts w:ascii="Cambria Math" w:hAnsi="Cambria Math"/>
                <w:i/>
              </w:rPr>
            </m:ctrlPr>
          </m:sSubPr>
          <m:e>
            <m:r>
              <w:rPr>
                <w:rFonts w:ascii="Cambria Math" w:hAnsi="Cambria Math"/>
              </w:rPr>
              <m:t>U</m:t>
            </m:r>
          </m:e>
          <m:sub>
            <m:r>
              <w:rPr>
                <w:rFonts w:ascii="Cambria Math" w:hAnsi="Cambria Math"/>
              </w:rPr>
              <m:t>0</m:t>
            </m:r>
          </m:sub>
        </m:sSub>
      </m:oMath>
      <w:r w:rsidR="00D91CF6" w:rsidRPr="001C1D37">
        <w:t xml:space="preserve"> and random slope </w:t>
      </w:r>
      <m:oMath>
        <m:sSub>
          <m:sSubPr>
            <m:ctrlPr>
              <w:rPr>
                <w:rFonts w:ascii="Cambria Math" w:hAnsi="Cambria Math"/>
                <w:i/>
              </w:rPr>
            </m:ctrlPr>
          </m:sSubPr>
          <m:e>
            <m:r>
              <w:rPr>
                <w:rFonts w:ascii="Cambria Math" w:hAnsi="Cambria Math"/>
              </w:rPr>
              <m:t>U</m:t>
            </m:r>
          </m:e>
          <m:sub>
            <m:r>
              <w:rPr>
                <w:rFonts w:ascii="Cambria Math" w:hAnsi="Cambria Math"/>
              </w:rPr>
              <m:t>1</m:t>
            </m:r>
          </m:sub>
        </m:sSub>
      </m:oMath>
      <w:r w:rsidR="00D91CF6" w:rsidRPr="001C1D37">
        <w:t xml:space="preserve"> terms, and measurement error </w:t>
      </w:r>
      <m:oMath>
        <m:sSub>
          <m:sSubPr>
            <m:ctrlPr>
              <w:rPr>
                <w:rFonts w:ascii="Cambria Math" w:hAnsi="Cambria Math"/>
                <w:i/>
              </w:rPr>
            </m:ctrlPr>
          </m:sSubPr>
          <m:e>
            <m:r>
              <w:rPr>
                <w:rFonts w:ascii="Cambria Math" w:hAnsi="Cambria Math"/>
              </w:rPr>
              <m:t>ε</m:t>
            </m:r>
          </m:e>
          <m:sub>
            <m:r>
              <w:rPr>
                <w:rFonts w:ascii="Cambria Math" w:hAnsi="Cambria Math"/>
              </w:rPr>
              <m:t>ij</m:t>
            </m:r>
          </m:sub>
        </m:sSub>
      </m:oMath>
      <w:r w:rsidR="00D91CF6" w:rsidRPr="001C1D37">
        <w:t xml:space="preserve"> </w:t>
      </w:r>
      <w:r w:rsidR="00DF5B0B" w:rsidRPr="001C1D37">
        <w:t>using</w:t>
      </w:r>
      <w:r w:rsidR="00F972F6" w:rsidRPr="001C1D37">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sSub>
              <m:sSubPr>
                <m:ctrlPr>
                  <w:rPr>
                    <w:rFonts w:ascii="Cambria Math" w:hAnsi="Cambria Math"/>
                    <w:bCs/>
                    <w:i/>
                  </w:rPr>
                </m:ctrlPr>
              </m:sSubPr>
              <m:e>
                <m:r>
                  <w:rPr>
                    <w:rFonts w:ascii="Cambria Math" w:hAnsi="Cambria Math"/>
                  </w:rPr>
                  <m:t>t</m:t>
                </m:r>
              </m:e>
              <m:sub>
                <m:r>
                  <w:rPr>
                    <w:rFonts w:ascii="Cambria Math" w:hAnsi="Cambria Math"/>
                  </w:rPr>
                  <m:t>ij</m:t>
                </m:r>
              </m:sub>
            </m:sSub>
          </m:e>
        </m:d>
        <m:r>
          <w:rPr>
            <w:rFonts w:ascii="Cambria Math" w:hAnsi="Cambria Math"/>
          </w:rPr>
          <m:t>=1-</m:t>
        </m:r>
        <m:sSub>
          <m:sSubPr>
            <m:ctrlPr>
              <w:rPr>
                <w:rFonts w:ascii="Cambria Math" w:hAnsi="Cambria Math"/>
                <w:bCs/>
                <w:i/>
              </w:rPr>
            </m:ctrlPr>
          </m:sSubPr>
          <m:e>
            <m:r>
              <w:rPr>
                <w:rFonts w:ascii="Cambria Math" w:hAnsi="Cambria Math"/>
              </w:rPr>
              <m:t>t</m:t>
            </m:r>
          </m:e>
          <m:sub>
            <m:r>
              <w:rPr>
                <w:rFonts w:ascii="Cambria Math" w:hAnsi="Cambria Math"/>
              </w:rPr>
              <m:t>ij</m:t>
            </m:r>
          </m:sub>
        </m:sSub>
        <m:r>
          <w:rPr>
            <w:rFonts w:ascii="Cambria Math" w:hAnsi="Cambria Math"/>
          </w:rPr>
          <m:t>+</m:t>
        </m:r>
        <m:sSub>
          <m:sSubPr>
            <m:ctrlPr>
              <w:rPr>
                <w:rFonts w:ascii="Cambria Math" w:hAnsi="Cambria Math"/>
                <w:bCs/>
                <w:i/>
              </w:rPr>
            </m:ctrlPr>
          </m:sSubPr>
          <m:e>
            <m:r>
              <w:rPr>
                <w:rFonts w:ascii="Cambria Math" w:hAnsi="Cambria Math"/>
              </w:rPr>
              <m:t>U</m:t>
            </m:r>
          </m:e>
          <m:sub>
            <m:r>
              <w:rPr>
                <w:rFonts w:ascii="Cambria Math" w:hAnsi="Cambria Math"/>
              </w:rPr>
              <m:t>0i</m:t>
            </m:r>
          </m:sub>
        </m:sSub>
        <m:r>
          <w:rPr>
            <w:rFonts w:ascii="Cambria Math" w:hAnsi="Cambria Math"/>
          </w:rPr>
          <m:t>+</m:t>
        </m:r>
        <m:sSub>
          <m:sSubPr>
            <m:ctrlPr>
              <w:rPr>
                <w:rFonts w:ascii="Cambria Math" w:hAnsi="Cambria Math"/>
                <w:bCs/>
                <w:i/>
              </w:rPr>
            </m:ctrlPr>
          </m:sSubPr>
          <m:e>
            <m:r>
              <w:rPr>
                <w:rFonts w:ascii="Cambria Math" w:hAnsi="Cambria Math"/>
              </w:rPr>
              <m:t>U</m:t>
            </m:r>
          </m:e>
          <m:sub>
            <m:r>
              <w:rPr>
                <w:rFonts w:ascii="Cambria Math" w:hAnsi="Cambria Math"/>
              </w:rPr>
              <m:t>1i</m:t>
            </m:r>
          </m:sub>
        </m:sSub>
        <m:sSub>
          <m:sSubPr>
            <m:ctrlPr>
              <w:rPr>
                <w:rFonts w:ascii="Cambria Math" w:hAnsi="Cambria Math"/>
                <w:bCs/>
                <w:i/>
              </w:rPr>
            </m:ctrlPr>
          </m:sSubPr>
          <m:e>
            <m:r>
              <w:rPr>
                <w:rFonts w:ascii="Cambria Math" w:hAnsi="Cambria Math"/>
              </w:rPr>
              <m:t>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m:t>
            </m:r>
          </m:sub>
        </m:sSub>
        <m:r>
          <w:rPr>
            <w:rFonts w:ascii="Cambria Math" w:hAnsi="Cambria Math"/>
          </w:rPr>
          <m:t>.</m:t>
        </m:r>
      </m:oMath>
      <w:r w:rsidR="00F972F6" w:rsidRPr="001C1D37">
        <w:t>The r</w:t>
      </w:r>
      <w:proofErr w:type="spellStart"/>
      <w:r w:rsidR="00D91CF6" w:rsidRPr="001C1D37">
        <w:t>andom</w:t>
      </w:r>
      <w:proofErr w:type="spellEnd"/>
      <w:r w:rsidR="00D91CF6" w:rsidRPr="001C1D37">
        <w:t xml:space="preserve"> intercept </w:t>
      </w:r>
      <m:oMath>
        <m:sSub>
          <m:sSubPr>
            <m:ctrlPr>
              <w:rPr>
                <w:rFonts w:ascii="Cambria Math" w:hAnsi="Cambria Math"/>
                <w:i/>
              </w:rPr>
            </m:ctrlPr>
          </m:sSubPr>
          <m:e>
            <m:r>
              <w:rPr>
                <w:rFonts w:ascii="Cambria Math" w:hAnsi="Cambria Math"/>
              </w:rPr>
              <m:t>U</m:t>
            </m:r>
          </m:e>
          <m:sub>
            <m:r>
              <w:rPr>
                <w:rFonts w:ascii="Cambria Math" w:hAnsi="Cambria Math"/>
              </w:rPr>
              <m:t>0</m:t>
            </m:r>
          </m:sub>
        </m:sSub>
      </m:oMath>
      <w:r w:rsidR="00D91CF6" w:rsidRPr="001C1D37">
        <w:t xml:space="preserve"> and random slope </w:t>
      </w:r>
      <m:oMath>
        <m:sSub>
          <m:sSubPr>
            <m:ctrlPr>
              <w:rPr>
                <w:rFonts w:ascii="Cambria Math" w:hAnsi="Cambria Math"/>
                <w:i/>
              </w:rPr>
            </m:ctrlPr>
          </m:sSubPr>
          <m:e>
            <m:r>
              <w:rPr>
                <w:rFonts w:ascii="Cambria Math" w:hAnsi="Cambria Math"/>
              </w:rPr>
              <m:t>U</m:t>
            </m:r>
          </m:e>
          <m:sub>
            <m:r>
              <w:rPr>
                <w:rFonts w:ascii="Cambria Math" w:hAnsi="Cambria Math"/>
              </w:rPr>
              <m:t>1</m:t>
            </m:r>
          </m:sub>
        </m:sSub>
      </m:oMath>
      <w:r w:rsidR="00D91CF6" w:rsidRPr="001C1D37">
        <w:t xml:space="preserve"> terms </w:t>
      </w:r>
      <w:r w:rsidR="00E00945" w:rsidRPr="001C1D37">
        <w:t>were</w:t>
      </w:r>
      <w:r w:rsidR="00D91CF6" w:rsidRPr="001C1D37">
        <w:t xml:space="preserve"> generated from the bivariate normal distribution </w:t>
      </w:r>
      <m:oMath>
        <m:r>
          <w:rPr>
            <w:rFonts w:ascii="Cambria Math" w:hAnsi="Cambria Math"/>
          </w:rPr>
          <m:t>N</m:t>
        </m:r>
        <m:d>
          <m:dPr>
            <m:ctrlPr>
              <w:rPr>
                <w:rFonts w:ascii="Cambria Math" w:hAnsi="Cambria Math"/>
                <w:i/>
              </w:rPr>
            </m:ctrlPr>
          </m:dPr>
          <m:e>
            <m:r>
              <m:rPr>
                <m:sty m:val="bi"/>
              </m:rPr>
              <w:rPr>
                <w:rFonts w:ascii="Cambria Math" w:hAnsi="Cambria Math"/>
              </w:rPr>
              <m:t>0</m:t>
            </m:r>
            <m:r>
              <w:rPr>
                <w:rFonts w:ascii="Cambria Math" w:hAnsi="Cambria Math"/>
              </w:rPr>
              <m:t>,</m:t>
            </m:r>
            <m:r>
              <m:rPr>
                <m:sty m:val="p"/>
              </m:rPr>
              <w:rPr>
                <w:rFonts w:ascii="Cambria Math" w:hAnsi="Cambria Math"/>
              </w:rPr>
              <m:t>Σ</m:t>
            </m:r>
          </m:e>
        </m:d>
      </m:oMath>
      <w:r w:rsidR="00D91CF6" w:rsidRPr="001C1D37">
        <w:rPr>
          <w:rFonts w:eastAsiaTheme="minorEastAsia"/>
        </w:rPr>
        <w:t xml:space="preserve"> with</w:t>
      </w:r>
      <w:r w:rsidR="009051FF" w:rsidRPr="001C1D37">
        <w:rPr>
          <w:rFonts w:eastAsiaTheme="minorEastAsia"/>
        </w:rPr>
        <w:t xml:space="preserve"> variances 1 and covariance 0.5</w:t>
      </w:r>
      <w:r w:rsidR="00D91CF6" w:rsidRPr="001C1D37">
        <w:rPr>
          <w:rFonts w:eastAsiaTheme="minorEastAsia"/>
        </w:rPr>
        <w:t xml:space="preserve">, and </w:t>
      </w:r>
      <w:r w:rsidR="00D91CF6" w:rsidRPr="001C1D37">
        <w:t xml:space="preserve">measurement error </w:t>
      </w:r>
      <m:oMath>
        <m:sSub>
          <m:sSubPr>
            <m:ctrlPr>
              <w:rPr>
                <w:rFonts w:ascii="Cambria Math" w:hAnsi="Cambria Math"/>
                <w:i/>
              </w:rPr>
            </m:ctrlPr>
          </m:sSubPr>
          <m:e>
            <m:r>
              <w:rPr>
                <w:rFonts w:ascii="Cambria Math" w:hAnsi="Cambria Math"/>
              </w:rPr>
              <m:t>ε</m:t>
            </m:r>
          </m:e>
          <m:sub>
            <m:r>
              <w:rPr>
                <w:rFonts w:ascii="Cambria Math" w:hAnsi="Cambria Math"/>
              </w:rPr>
              <m:t>ij</m:t>
            </m:r>
          </m:sub>
        </m:sSub>
      </m:oMath>
      <w:r w:rsidR="00D91CF6" w:rsidRPr="001C1D37">
        <w:rPr>
          <w:rFonts w:eastAsiaTheme="minorEastAsia"/>
        </w:rPr>
        <w:t xml:space="preserve"> </w:t>
      </w:r>
      <w:r w:rsidR="00E00945" w:rsidRPr="001C1D37">
        <w:rPr>
          <w:rFonts w:eastAsiaTheme="minorEastAsia"/>
        </w:rPr>
        <w:t>wa</w:t>
      </w:r>
      <w:r w:rsidR="00D91CF6" w:rsidRPr="001C1D37">
        <w:t xml:space="preserve">s generated from </w:t>
      </w:r>
      <m:oMath>
        <m:r>
          <w:rPr>
            <w:rFonts w:ascii="Cambria Math" w:hAnsi="Cambria Math"/>
          </w:rPr>
          <w:lastRenderedPageBreak/>
          <m:t>N</m:t>
        </m:r>
        <m:d>
          <m:dPr>
            <m:ctrlPr>
              <w:rPr>
                <w:rFonts w:ascii="Cambria Math" w:hAnsi="Cambria Math"/>
                <w:i/>
              </w:rPr>
            </m:ctrlPr>
          </m:dPr>
          <m:e>
            <m:r>
              <w:rPr>
                <w:rFonts w:ascii="Cambria Math" w:hAnsi="Cambria Math"/>
              </w:rPr>
              <m:t>0,</m:t>
            </m:r>
            <m:rad>
              <m:radPr>
                <m:degHide m:val="1"/>
                <m:ctrlPr>
                  <w:rPr>
                    <w:rFonts w:ascii="Cambria Math" w:hAnsi="Cambria Math"/>
                    <w:i/>
                  </w:rPr>
                </m:ctrlPr>
              </m:radPr>
              <m:deg/>
              <m:e>
                <m:sSubSup>
                  <m:sSubSupPr>
                    <m:ctrlPr>
                      <w:rPr>
                        <w:rFonts w:ascii="Cambria Math" w:hAnsi="Cambria Math"/>
                        <w:bCs/>
                        <w:i/>
                      </w:rPr>
                    </m:ctrlPr>
                  </m:sSubSupPr>
                  <m:e>
                    <m:r>
                      <w:rPr>
                        <w:rFonts w:ascii="Cambria Math" w:hAnsi="Cambria Math"/>
                      </w:rPr>
                      <m:t>σ</m:t>
                    </m:r>
                  </m:e>
                  <m:sub>
                    <m:r>
                      <w:rPr>
                        <w:rFonts w:ascii="Cambria Math" w:hAnsi="Cambria Math"/>
                      </w:rPr>
                      <m:t>e</m:t>
                    </m:r>
                  </m:sub>
                  <m:sup>
                    <m:r>
                      <w:rPr>
                        <w:rFonts w:ascii="Cambria Math" w:hAnsi="Cambria Math"/>
                      </w:rPr>
                      <m:t>2</m:t>
                    </m:r>
                  </m:sup>
                </m:sSubSup>
              </m:e>
            </m:rad>
          </m:e>
        </m:d>
      </m:oMath>
      <w:r w:rsidR="00DF5B0B" w:rsidRPr="001C1D37">
        <w:t xml:space="preserve"> with variance </w:t>
      </w:r>
      <m:oMath>
        <m:sSubSup>
          <m:sSubSupPr>
            <m:ctrlPr>
              <w:rPr>
                <w:rFonts w:ascii="Cambria Math" w:hAnsi="Cambria Math"/>
                <w:bCs/>
                <w:i/>
              </w:rPr>
            </m:ctrlPr>
          </m:sSubSupPr>
          <m:e>
            <m:r>
              <w:rPr>
                <w:rFonts w:ascii="Cambria Math" w:hAnsi="Cambria Math"/>
              </w:rPr>
              <m:t>σ</m:t>
            </m:r>
          </m:e>
          <m:sub>
            <m:r>
              <w:rPr>
                <w:rFonts w:ascii="Cambria Math" w:hAnsi="Cambria Math"/>
              </w:rPr>
              <m:t>e</m:t>
            </m:r>
          </m:sub>
          <m:sup>
            <m:r>
              <w:rPr>
                <w:rFonts w:ascii="Cambria Math" w:hAnsi="Cambria Math"/>
              </w:rPr>
              <m:t>2</m:t>
            </m:r>
          </m:sup>
        </m:sSubSup>
      </m:oMath>
      <w:r w:rsidR="00D91CF6" w:rsidRPr="001C1D37">
        <w:rPr>
          <w:rFonts w:eastAsiaTheme="minorEastAsia"/>
        </w:rPr>
        <w:t xml:space="preserve">.  </w:t>
      </w:r>
      <w:r w:rsidR="00975F84" w:rsidRPr="001C1D37">
        <w:t>Th</w:t>
      </w:r>
      <w:r w:rsidR="00E41C78" w:rsidRPr="001C1D37">
        <w:t>e</w:t>
      </w:r>
      <w:r w:rsidR="00975F84" w:rsidRPr="001C1D37">
        <w:t xml:space="preserve"> </w:t>
      </w:r>
      <w:r w:rsidR="009F3B0B" w:rsidRPr="001C1D37">
        <w:t xml:space="preserve">positive </w:t>
      </w:r>
      <w:r w:rsidR="00975F84" w:rsidRPr="001C1D37">
        <w:t xml:space="preserve">covariance </w:t>
      </w:r>
      <w:r w:rsidR="00DF5B0B" w:rsidRPr="001C1D37">
        <w:t xml:space="preserve">0.5 </w:t>
      </w:r>
      <w:r w:rsidR="009F3B0B" w:rsidRPr="001C1D37">
        <w:t xml:space="preserve">and negative slope </w:t>
      </w: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xml:space="preserve">= </m:t>
        </m:r>
      </m:oMath>
      <w:r w:rsidR="009F3B0B" w:rsidRPr="001C1D37">
        <w:t xml:space="preserve">-1 induce a negative correlation between random effects </w:t>
      </w:r>
      <m:oMath>
        <m:sSub>
          <m:sSubPr>
            <m:ctrlPr>
              <w:rPr>
                <w:rFonts w:ascii="Cambria Math" w:hAnsi="Cambria Math"/>
                <w:i/>
              </w:rPr>
            </m:ctrlPr>
          </m:sSubPr>
          <m:e>
            <m:r>
              <w:rPr>
                <w:rFonts w:ascii="Cambria Math" w:hAnsi="Cambria Math"/>
              </w:rPr>
              <m:t>U</m:t>
            </m:r>
          </m:e>
          <m:sub>
            <m:r>
              <w:rPr>
                <w:rFonts w:ascii="Cambria Math" w:hAnsi="Cambria Math"/>
              </w:rPr>
              <m:t>0</m:t>
            </m:r>
          </m:sub>
        </m:sSub>
      </m:oMath>
      <w:r w:rsidR="009F3B0B" w:rsidRPr="001C1D37">
        <w:t xml:space="preserve"> </w:t>
      </w:r>
      <w:proofErr w:type="gramStart"/>
      <w:r w:rsidR="009F3B0B" w:rsidRPr="001C1D37">
        <w:t xml:space="preserve">and </w:t>
      </w:r>
      <w:proofErr w:type="gramEnd"/>
      <m:oMath>
        <m:sSub>
          <m:sSubPr>
            <m:ctrlPr>
              <w:rPr>
                <w:rFonts w:ascii="Cambria Math" w:hAnsi="Cambria Math"/>
                <w:i/>
              </w:rPr>
            </m:ctrlPr>
          </m:sSubPr>
          <m:e>
            <m:r>
              <w:rPr>
                <w:rFonts w:ascii="Cambria Math" w:hAnsi="Cambria Math"/>
              </w:rPr>
              <m:t>U</m:t>
            </m:r>
          </m:e>
          <m:sub>
            <m:r>
              <w:rPr>
                <w:rFonts w:ascii="Cambria Math" w:hAnsi="Cambria Math"/>
              </w:rPr>
              <m:t>1</m:t>
            </m:r>
          </m:sub>
        </m:sSub>
      </m:oMath>
      <w:r w:rsidR="009F3B0B" w:rsidRPr="001C1D37">
        <w:t xml:space="preserve">.  This scenario </w:t>
      </w:r>
      <w:r w:rsidR="00EE4895" w:rsidRPr="001C1D37">
        <w:t xml:space="preserve">stimulates </w:t>
      </w:r>
      <w:r w:rsidR="00393F9B" w:rsidRPr="001C1D37">
        <w:t>an individual with a high biomarker value at the baseline to have a smaller drop in their biomarker values over time. Conversely, a lower marker value at baseline would lead to a more rapid decrease over time</w:t>
      </w:r>
      <w:r w:rsidR="00405299" w:rsidRPr="001C1D37">
        <w:t>.</w:t>
      </w:r>
      <w:r w:rsidRPr="001C1D37">
        <w:t xml:space="preserve"> Longitudinal times</w:t>
      </w:r>
      <w:r w:rsidR="00167FFA" w:rsidRPr="001C1D37">
        <w:t xml:space="preserve"> were set at</w:t>
      </w:r>
      <w:r w:rsidRPr="001C1D37">
        <w:t xml:space="preserve"> 0, 1, 2, 3, 4, so a maximum of 5 longitudinal observations recorded at </w:t>
      </w:r>
      <w:r w:rsidR="003E4C84" w:rsidRPr="001C1D37">
        <w:t xml:space="preserve">these time points </w:t>
      </w:r>
      <w:r w:rsidRPr="001C1D37">
        <w:t>up to individual’s event time in the final dataset.</w:t>
      </w:r>
      <w:r w:rsidR="00244133" w:rsidRPr="001C1D37">
        <w:rPr>
          <w:rFonts w:eastAsia="Calibri"/>
          <w:lang w:eastAsia="en-GB"/>
        </w:rPr>
        <w:t xml:space="preserve"> </w:t>
      </w:r>
    </w:p>
    <w:p w:rsidR="00975F84" w:rsidRPr="001C1D37" w:rsidRDefault="00975F84" w:rsidP="001C1D37">
      <w:pPr>
        <w:pStyle w:val="PlainText"/>
        <w:rPr>
          <w:rFonts w:ascii="Times New Roman" w:eastAsiaTheme="minorEastAsia" w:hAnsi="Times New Roman" w:cs="Times New Roman"/>
          <w:sz w:val="24"/>
          <w:szCs w:val="24"/>
        </w:rPr>
      </w:pPr>
    </w:p>
    <w:p w:rsidR="00CC527E" w:rsidRPr="001C1D37" w:rsidRDefault="00CC527E" w:rsidP="001C1D37">
      <w:pPr>
        <w:pStyle w:val="PlainText"/>
        <w:rPr>
          <w:rFonts w:ascii="Times New Roman" w:eastAsiaTheme="minorEastAsia" w:hAnsi="Times New Roman" w:cs="Times New Roman"/>
          <w:sz w:val="24"/>
          <w:szCs w:val="24"/>
        </w:rPr>
      </w:pPr>
    </w:p>
    <w:p w:rsidR="00D91CF6" w:rsidRPr="001C1D37" w:rsidRDefault="00481D58" w:rsidP="001C1D37">
      <w:pPr>
        <w:pStyle w:val="NoSpacing"/>
        <w:rPr>
          <w:rFonts w:ascii="Times New Roman" w:hAnsi="Times New Roman"/>
          <w:sz w:val="24"/>
          <w:szCs w:val="24"/>
        </w:rPr>
      </w:pPr>
      <w:r w:rsidRPr="001C1D37">
        <w:rPr>
          <w:rFonts w:ascii="Times New Roman" w:eastAsiaTheme="minorEastAsia" w:hAnsi="Times New Roman"/>
          <w:sz w:val="24"/>
          <w:szCs w:val="24"/>
        </w:rPr>
        <w:t>Based on</w:t>
      </w:r>
      <w:r w:rsidR="00CC527E" w:rsidRPr="001C1D37">
        <w:rPr>
          <w:rFonts w:ascii="Times New Roman" w:eastAsiaTheme="minorEastAsia" w:hAnsi="Times New Roman"/>
          <w:sz w:val="24"/>
          <w:szCs w:val="24"/>
        </w:rPr>
        <w:t xml:space="preserve"> the association </w:t>
      </w:r>
      <w:proofErr w:type="gramStart"/>
      <w:r w:rsidR="00CC527E" w:rsidRPr="001C1D37">
        <w:rPr>
          <w:rFonts w:ascii="Times New Roman" w:eastAsiaTheme="minorEastAsia" w:hAnsi="Times New Roman"/>
          <w:sz w:val="24"/>
          <w:szCs w:val="24"/>
        </w:rPr>
        <w:t xml:space="preserve">structure </w:t>
      </w:r>
      <w:proofErr w:type="gramEnd"/>
      <m:oMath>
        <m:sSub>
          <m:sSubPr>
            <m:ctrlPr>
              <w:rPr>
                <w:rFonts w:ascii="Cambria Math" w:hAnsi="Cambria Math"/>
                <w:bCs/>
                <w:i/>
                <w:sz w:val="24"/>
                <w:szCs w:val="24"/>
              </w:rPr>
            </m:ctrlPr>
          </m:sSubPr>
          <m:e>
            <m:r>
              <w:rPr>
                <w:rFonts w:ascii="Cambria Math" w:hAnsi="Cambria Math"/>
                <w:sz w:val="24"/>
                <w:szCs w:val="24"/>
              </w:rPr>
              <m:t>W</m:t>
            </m:r>
          </m:e>
          <m:sub>
            <m:r>
              <w:rPr>
                <w:rFonts w:ascii="Cambria Math"/>
                <w:sz w:val="24"/>
                <w:szCs w:val="24"/>
              </w:rPr>
              <m:t>2</m:t>
            </m:r>
          </m:sub>
        </m:sSub>
        <m:d>
          <m:dPr>
            <m:ctrlPr>
              <w:rPr>
                <w:rFonts w:ascii="Cambria Math" w:hAnsi="Cambria Math"/>
                <w:i/>
                <w:sz w:val="24"/>
                <w:szCs w:val="24"/>
              </w:rPr>
            </m:ctrlPr>
          </m:dPr>
          <m:e>
            <m:r>
              <w:rPr>
                <w:rFonts w:ascii="Cambria Math" w:hAnsi="Cambria Math"/>
                <w:sz w:val="24"/>
                <w:szCs w:val="24"/>
              </w:rPr>
              <m:t>t</m:t>
            </m:r>
          </m:e>
        </m:d>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sSub>
          <m:sSubPr>
            <m:ctrlPr>
              <w:rPr>
                <w:rFonts w:ascii="Cambria Math" w:hAnsi="Cambria Math"/>
                <w:bCs/>
                <w:i/>
                <w:sz w:val="24"/>
                <w:szCs w:val="24"/>
              </w:rPr>
            </m:ctrlPr>
          </m:sSubPr>
          <m:e>
            <m:r>
              <w:rPr>
                <w:rFonts w:ascii="Cambria Math" w:hAnsi="Cambria Math"/>
                <w:sz w:val="24"/>
                <w:szCs w:val="24"/>
              </w:rPr>
              <m:t>W</m:t>
            </m:r>
          </m:e>
          <m:sub>
            <m:r>
              <w:rPr>
                <w:rFonts w:ascii="Cambria Math"/>
                <w:sz w:val="24"/>
                <w:szCs w:val="24"/>
              </w:rPr>
              <m:t>1</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sz w:val="24"/>
                    <w:szCs w:val="24"/>
                  </w:rPr>
                  <m:t>0</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sz w:val="24"/>
                    <w:szCs w:val="24"/>
                  </w:rPr>
                  <m:t>1</m:t>
                </m:r>
              </m:sub>
            </m:sSub>
            <m:r>
              <w:rPr>
                <w:rFonts w:ascii="Cambria Math" w:hAnsi="Cambria Math"/>
                <w:sz w:val="24"/>
                <w:szCs w:val="24"/>
              </w:rPr>
              <m:t>t</m:t>
            </m:r>
            <m:ctrlPr>
              <w:rPr>
                <w:rFonts w:ascii="Cambria Math" w:eastAsiaTheme="minorEastAsia" w:hAnsi="Cambria Math"/>
                <w:i/>
                <w:sz w:val="24"/>
                <w:szCs w:val="24"/>
              </w:rPr>
            </m:ctrlPr>
          </m:e>
        </m:d>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sSub>
          <m:sSubPr>
            <m:ctrlPr>
              <w:rPr>
                <w:rFonts w:ascii="Cambria Math" w:hAnsi="Cambria Math"/>
                <w:i/>
                <w:sz w:val="24"/>
                <w:szCs w:val="24"/>
              </w:rPr>
            </m:ctrlPr>
          </m:sSubPr>
          <m:e>
            <m:r>
              <w:rPr>
                <w:rFonts w:ascii="Cambria Math" w:hAnsi="Cambria Math"/>
                <w:sz w:val="24"/>
                <w:szCs w:val="24"/>
              </w:rPr>
              <m:t>U</m:t>
            </m:r>
          </m:e>
          <m:sub>
            <m:r>
              <w:rPr>
                <w:rFonts w:asci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sSub>
          <m:sSubPr>
            <m:ctrlPr>
              <w:rPr>
                <w:rFonts w:ascii="Cambria Math" w:hAnsi="Cambria Math"/>
                <w:i/>
                <w:sz w:val="24"/>
                <w:szCs w:val="24"/>
              </w:rPr>
            </m:ctrlPr>
          </m:sSubPr>
          <m:e>
            <m:r>
              <w:rPr>
                <w:rFonts w:ascii="Cambria Math" w:hAnsi="Cambria Math"/>
                <w:sz w:val="24"/>
                <w:szCs w:val="24"/>
              </w:rPr>
              <m:t>U</m:t>
            </m:r>
          </m:e>
          <m:sub>
            <m:r>
              <w:rPr>
                <w:rFonts w:ascii="Cambria Math"/>
                <w:sz w:val="24"/>
                <w:szCs w:val="24"/>
              </w:rPr>
              <m:t>1</m:t>
            </m:r>
          </m:sub>
        </m:sSub>
        <m:r>
          <w:rPr>
            <w:rFonts w:ascii="Cambria Math" w:hAnsi="Cambria Math"/>
            <w:sz w:val="24"/>
            <w:szCs w:val="24"/>
          </w:rPr>
          <m:t>t</m:t>
        </m:r>
      </m:oMath>
      <w:r w:rsidR="00CC527E" w:rsidRPr="001C1D37">
        <w:rPr>
          <w:rFonts w:ascii="Times New Roman" w:eastAsiaTheme="minorEastAsia" w:hAnsi="Times New Roman"/>
          <w:sz w:val="24"/>
          <w:szCs w:val="24"/>
        </w:rPr>
        <w:t>, e</w:t>
      </w:r>
      <w:r w:rsidR="00F90480" w:rsidRPr="001C1D37">
        <w:rPr>
          <w:rFonts w:ascii="Times New Roman" w:hAnsi="Times New Roman"/>
          <w:sz w:val="24"/>
          <w:szCs w:val="24"/>
        </w:rPr>
        <w:t xml:space="preserve">vent times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90480" w:rsidRPr="001C1D37">
        <w:rPr>
          <w:rFonts w:ascii="Times New Roman" w:hAnsi="Times New Roman"/>
          <w:sz w:val="24"/>
          <w:szCs w:val="24"/>
        </w:rPr>
        <w:t xml:space="preserve"> </w:t>
      </w:r>
      <w:r w:rsidR="00CC527E" w:rsidRPr="001C1D37">
        <w:rPr>
          <w:rFonts w:ascii="Times New Roman" w:hAnsi="Times New Roman"/>
          <w:sz w:val="24"/>
          <w:szCs w:val="24"/>
        </w:rPr>
        <w:t>were</w:t>
      </w:r>
      <w:r w:rsidR="00F90480" w:rsidRPr="001C1D37">
        <w:rPr>
          <w:rFonts w:ascii="Times New Roman" w:hAnsi="Times New Roman"/>
          <w:sz w:val="24"/>
          <w:szCs w:val="24"/>
        </w:rPr>
        <w:t xml:space="preserve"> generated under </w:t>
      </w:r>
      <w:proofErr w:type="spellStart"/>
      <w:r w:rsidR="00F90480" w:rsidRPr="001C1D37">
        <w:rPr>
          <w:rFonts w:ascii="Times New Roman" w:hAnsi="Times New Roman"/>
          <w:sz w:val="24"/>
          <w:szCs w:val="24"/>
        </w:rPr>
        <w:t>Gompertz</w:t>
      </w:r>
      <w:proofErr w:type="spellEnd"/>
      <w:r w:rsidR="00F90480" w:rsidRPr="001C1D37">
        <w:rPr>
          <w:rFonts w:ascii="Times New Roman" w:hAnsi="Times New Roman"/>
          <w:sz w:val="24"/>
          <w:szCs w:val="24"/>
        </w:rPr>
        <w:t xml:space="preserve"> distribution with</w:t>
      </w:r>
      <w:r w:rsidR="00F90480" w:rsidRPr="001C1D37">
        <w:rPr>
          <w:rFonts w:ascii="Times New Roman" w:eastAsiaTheme="minorEastAsia" w:hAnsi="Times New Roman"/>
          <w:sz w:val="24"/>
          <w:szCs w:val="24"/>
        </w:rPr>
        <w:t xml:space="preserve"> scale parameter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0</m:t>
            </m:r>
          </m:sub>
        </m:sSub>
      </m:oMath>
      <w:r w:rsidR="00F90480" w:rsidRPr="001C1D37">
        <w:rPr>
          <w:rFonts w:ascii="Times New Roman" w:eastAsiaTheme="minorEastAsia" w:hAnsi="Times New Roman"/>
          <w:sz w:val="24"/>
          <w:szCs w:val="24"/>
        </w:rPr>
        <w:t xml:space="preserve"> and shape parameter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1</m:t>
            </m:r>
          </m:sub>
        </m:sSub>
      </m:oMath>
      <w:r w:rsidR="00F90480" w:rsidRPr="001C1D37">
        <w:rPr>
          <w:rFonts w:ascii="Times New Roman" w:eastAsiaTheme="minorEastAsia" w:hAnsi="Times New Roman"/>
          <w:sz w:val="24"/>
          <w:szCs w:val="24"/>
        </w:rPr>
        <w:t xml:space="preserve"> </w:t>
      </w:r>
      <w:r w:rsidR="00926D84" w:rsidRPr="001C1D37">
        <w:rPr>
          <w:rFonts w:ascii="Times New Roman" w:hAnsi="Times New Roman"/>
          <w:sz w:val="24"/>
          <w:szCs w:val="24"/>
        </w:rPr>
        <w:t xml:space="preserve">assuming Cox proportional hazards model </w:t>
      </w:r>
      <m:oMath>
        <m:r>
          <w:rPr>
            <w:rFonts w:ascii="Cambria Math" w:hAnsi="Cambria Math"/>
            <w:sz w:val="24"/>
            <w:szCs w:val="24"/>
          </w:rPr>
          <m:t>λ</m:t>
        </m:r>
        <m:d>
          <m:dPr>
            <m:ctrlPr>
              <w:rPr>
                <w:rFonts w:ascii="Cambria Math" w:hAnsi="Cambria Math"/>
                <w:bCs/>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λ</m:t>
            </m:r>
          </m:e>
          <m:sub>
            <m:r>
              <w:rPr>
                <w:rFonts w:ascii="Cambria Math" w:hAnsi="Cambria Math"/>
                <w:sz w:val="24"/>
                <w:szCs w:val="24"/>
              </w:rPr>
              <m:t>0</m:t>
            </m:r>
          </m:sub>
        </m:sSub>
        <m:d>
          <m:dPr>
            <m:ctrlPr>
              <w:rPr>
                <w:rFonts w:ascii="Cambria Math" w:hAnsi="Cambria Math"/>
                <w:bCs/>
                <w:i/>
                <w:sz w:val="24"/>
                <w:szCs w:val="24"/>
              </w:rPr>
            </m:ctrlPr>
          </m:dPr>
          <m:e>
            <m:r>
              <w:rPr>
                <w:rFonts w:ascii="Cambria Math" w:hAnsi="Cambria Math"/>
                <w:sz w:val="24"/>
                <w:szCs w:val="24"/>
              </w:rPr>
              <m:t>t</m:t>
            </m:r>
          </m:e>
        </m:d>
        <m:func>
          <m:funcPr>
            <m:ctrlPr>
              <w:rPr>
                <w:rFonts w:ascii="Cambria Math" w:hAnsi="Cambria Math"/>
                <w:sz w:val="24"/>
                <w:szCs w:val="24"/>
              </w:rPr>
            </m:ctrlPr>
          </m:funcPr>
          <m:fName>
            <m:r>
              <m:rPr>
                <m:sty m:val="p"/>
              </m:rPr>
              <w:rPr>
                <w:rFonts w:ascii="Cambria Math" w:hAnsi="Cambria Math"/>
                <w:sz w:val="24"/>
                <w:szCs w:val="24"/>
              </w:rPr>
              <m:t>exp</m:t>
            </m:r>
          </m:fName>
          <m:e>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t)</m:t>
            </m:r>
          </m:e>
        </m:func>
      </m:oMath>
      <w:r w:rsidR="00926D84" w:rsidRPr="001C1D37">
        <w:rPr>
          <w:rFonts w:ascii="Times New Roman" w:hAnsi="Times New Roman"/>
          <w:sz w:val="24"/>
          <w:szCs w:val="24"/>
        </w:rPr>
        <w:t xml:space="preserve"> </w:t>
      </w:r>
      <w:r w:rsidR="003E4C84" w:rsidRPr="001C1D37">
        <w:rPr>
          <w:rFonts w:ascii="Times New Roman" w:hAnsi="Times New Roman"/>
          <w:sz w:val="24"/>
          <w:szCs w:val="24"/>
        </w:rPr>
        <w:t xml:space="preserve"> (see Bender et al. </w:t>
      </w:r>
      <w:r w:rsidR="00405299" w:rsidRPr="001C1D37">
        <w:rPr>
          <w:rFonts w:ascii="Times New Roman" w:eastAsiaTheme="minorEastAsia" w:hAnsi="Times New Roman"/>
          <w:sz w:val="24"/>
          <w:szCs w:val="24"/>
        </w:rPr>
        <w:t>[</w:t>
      </w:r>
      <w:r w:rsidR="003E4C84" w:rsidRPr="001C1D37">
        <w:rPr>
          <w:rFonts w:ascii="Times New Roman" w:eastAsiaTheme="minorEastAsia" w:hAnsi="Times New Roman"/>
          <w:sz w:val="24"/>
          <w:szCs w:val="24"/>
        </w:rPr>
        <w:t>30</w:t>
      </w:r>
      <w:r w:rsidR="00405299" w:rsidRPr="001C1D37">
        <w:rPr>
          <w:rFonts w:ascii="Times New Roman" w:eastAsiaTheme="minorEastAsia" w:hAnsi="Times New Roman"/>
          <w:sz w:val="24"/>
          <w:szCs w:val="24"/>
        </w:rPr>
        <w:t>]</w:t>
      </w:r>
      <w:r w:rsidR="003E4C84" w:rsidRPr="001C1D37">
        <w:rPr>
          <w:rFonts w:ascii="Times New Roman" w:eastAsiaTheme="minorEastAsia" w:hAnsi="Times New Roman"/>
          <w:sz w:val="24"/>
          <w:szCs w:val="24"/>
        </w:rPr>
        <w:t xml:space="preserve"> for more details)</w:t>
      </w:r>
      <w:r w:rsidR="00F90480" w:rsidRPr="001C1D37">
        <w:rPr>
          <w:rFonts w:ascii="Times New Roman" w:eastAsiaTheme="minorEastAsia" w:hAnsi="Times New Roman"/>
          <w:sz w:val="24"/>
          <w:szCs w:val="24"/>
        </w:rPr>
        <w:t xml:space="preserve">. </w:t>
      </w:r>
      <w:r w:rsidR="003E4C84" w:rsidRPr="001C1D37">
        <w:rPr>
          <w:rFonts w:ascii="Times New Roman" w:eastAsiaTheme="minorEastAsia" w:hAnsi="Times New Roman"/>
          <w:sz w:val="24"/>
          <w:szCs w:val="24"/>
        </w:rPr>
        <w:t>T</w:t>
      </w:r>
      <w:r w:rsidR="00D91CF6" w:rsidRPr="001C1D37">
        <w:rPr>
          <w:rFonts w:ascii="Times New Roman" w:hAnsi="Times New Roman"/>
          <w:sz w:val="24"/>
          <w:szCs w:val="24"/>
        </w:rPr>
        <w:t xml:space="preserve">he event times </w:t>
      </w:r>
      <m:oMath>
        <m:sSub>
          <m:sSubPr>
            <m:ctrlPr>
              <w:rPr>
                <w:rFonts w:ascii="Cambria Math" w:eastAsiaTheme="minorHAnsi"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D91CF6" w:rsidRPr="001C1D37">
        <w:rPr>
          <w:rFonts w:ascii="Times New Roman" w:hAnsi="Times New Roman"/>
          <w:sz w:val="24"/>
          <w:szCs w:val="24"/>
        </w:rPr>
        <w:t xml:space="preserve"> </w:t>
      </w:r>
      <w:r w:rsidR="00DF5B0B" w:rsidRPr="001C1D37">
        <w:rPr>
          <w:rFonts w:ascii="Times New Roman" w:hAnsi="Times New Roman"/>
          <w:sz w:val="24"/>
          <w:szCs w:val="24"/>
        </w:rPr>
        <w:t>were</w:t>
      </w:r>
      <w:r w:rsidR="00D91CF6" w:rsidRPr="001C1D37">
        <w:rPr>
          <w:rFonts w:ascii="Times New Roman" w:hAnsi="Times New Roman"/>
          <w:sz w:val="24"/>
          <w:szCs w:val="24"/>
        </w:rPr>
        <w:t xml:space="preserve"> </w:t>
      </w:r>
      <w:r w:rsidR="00BE2AEF" w:rsidRPr="001C1D37">
        <w:rPr>
          <w:rFonts w:ascii="Times New Roman" w:hAnsi="Times New Roman"/>
          <w:sz w:val="24"/>
          <w:szCs w:val="24"/>
        </w:rPr>
        <w:t>simulated</w:t>
      </w:r>
      <w:r w:rsidR="00D91CF6" w:rsidRPr="001C1D37">
        <w:rPr>
          <w:rFonts w:ascii="Times New Roman" w:hAnsi="Times New Roman"/>
          <w:sz w:val="24"/>
          <w:szCs w:val="24"/>
        </w:rPr>
        <w:t xml:space="preserve"> by </w:t>
      </w:r>
    </w:p>
    <w:p w:rsidR="00D91CF6" w:rsidRPr="001C1D37" w:rsidRDefault="00D91CF6" w:rsidP="001C1D37">
      <w:pPr>
        <w:pStyle w:val="PlainText"/>
        <w:rPr>
          <w:rFonts w:ascii="Times New Roman" w:hAnsi="Times New Roman" w:cs="Times New Roman"/>
          <w:sz w:val="24"/>
          <w:szCs w:val="24"/>
        </w:rPr>
      </w:pPr>
    </w:p>
    <w:p w:rsidR="00D91CF6" w:rsidRPr="001C1D37" w:rsidRDefault="001C1D37" w:rsidP="001C1D37">
      <w:pPr>
        <w:pStyle w:val="PlainText"/>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den>
          </m:f>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α</m:t>
                  </m:r>
                  <m:func>
                    <m:funcPr>
                      <m:ctrlPr>
                        <w:rPr>
                          <w:rFonts w:ascii="Cambria Math" w:hAnsi="Cambria Math" w:cs="Times New Roman"/>
                          <w:i/>
                          <w:sz w:val="24"/>
                          <w:szCs w:val="24"/>
                        </w:rPr>
                      </m:ctrlPr>
                    </m:funcPr>
                    <m:fName>
                      <m:r>
                        <m:rPr>
                          <m:sty m:val="p"/>
                        </m:rPr>
                        <w:rPr>
                          <w:rFonts w:ascii="Cambria Math" w:hAnsi="Cambria Math" w:cs="Times New Roman"/>
                          <w:sz w:val="24"/>
                          <w:szCs w:val="24"/>
                        </w:rPr>
                        <m:t>log</m:t>
                      </m:r>
                    </m:fNa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e>
                  </m:func>
                </m:num>
                <m:den>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den>
              </m:f>
              <m:r>
                <w:rPr>
                  <w:rFonts w:ascii="Cambria Math" w:hAnsi="Cambria Math" w:cs="Times New Roman"/>
                  <w:sz w:val="24"/>
                  <w:szCs w:val="24"/>
                </w:rPr>
                <m:t>)</m:t>
              </m:r>
            </m:e>
          </m:func>
        </m:oMath>
      </m:oMathPara>
    </w:p>
    <w:p w:rsidR="00D91CF6" w:rsidRPr="001C1D37" w:rsidRDefault="00D91CF6" w:rsidP="001C1D37">
      <w:pPr>
        <w:pStyle w:val="PlainText"/>
        <w:rPr>
          <w:rFonts w:ascii="Times New Roman" w:hAnsi="Times New Roman" w:cs="Times New Roman"/>
          <w:sz w:val="24"/>
          <w:szCs w:val="24"/>
        </w:rPr>
      </w:pPr>
    </w:p>
    <w:p w:rsidR="00244133" w:rsidRPr="001C1D37" w:rsidRDefault="00D91CF6" w:rsidP="001C1D37">
      <w:pPr>
        <w:pStyle w:val="PlainText"/>
        <w:rPr>
          <w:rFonts w:ascii="Times New Roman" w:hAnsi="Times New Roman" w:cs="Times New Roman"/>
          <w:sz w:val="24"/>
          <w:szCs w:val="24"/>
        </w:rPr>
      </w:pPr>
      <w:proofErr w:type="gramStart"/>
      <w:r w:rsidRPr="001C1D37">
        <w:rPr>
          <w:rFonts w:ascii="Times New Roman" w:hAnsi="Times New Roman" w:cs="Times New Roman"/>
          <w:sz w:val="24"/>
          <w:szCs w:val="24"/>
        </w:rPr>
        <w:t>where</w:t>
      </w:r>
      <w:proofErr w:type="gramEnd"/>
      <w:r w:rsidRPr="001C1D3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Pr="001C1D37">
        <w:rPr>
          <w:rFonts w:ascii="Times New Roman" w:hAnsi="Times New Roman" w:cs="Times New Roman"/>
          <w:sz w:val="24"/>
          <w:szCs w:val="24"/>
        </w:rPr>
        <w:t xml:space="preserve"> </w:t>
      </w:r>
      <w:r w:rsidR="00E20AE4" w:rsidRPr="001C1D37">
        <w:rPr>
          <w:rFonts w:ascii="Times New Roman" w:hAnsi="Times New Roman" w:cs="Times New Roman"/>
          <w:sz w:val="24"/>
          <w:szCs w:val="24"/>
        </w:rPr>
        <w:t xml:space="preserve">is derived from the </w:t>
      </w:r>
      <w:r w:rsidRPr="001C1D37">
        <w:rPr>
          <w:rFonts w:ascii="Times New Roman" w:hAnsi="Times New Roman" w:cs="Times New Roman"/>
          <w:sz w:val="24"/>
          <w:szCs w:val="24"/>
        </w:rPr>
        <w:t>uniform</w:t>
      </w:r>
      <w:r w:rsidR="00E20AE4" w:rsidRPr="001C1D37">
        <w:rPr>
          <w:rFonts w:ascii="Times New Roman" w:hAnsi="Times New Roman" w:cs="Times New Roman"/>
          <w:sz w:val="24"/>
          <w:szCs w:val="24"/>
        </w:rPr>
        <w:t>[0,1]</w:t>
      </w:r>
      <w:r w:rsidRPr="001C1D37">
        <w:rPr>
          <w:rFonts w:ascii="Times New Roman" w:hAnsi="Times New Roman" w:cs="Times New Roman"/>
          <w:sz w:val="24"/>
          <w:szCs w:val="24"/>
        </w:rPr>
        <w:t xml:space="preserve"> distribution</w:t>
      </w:r>
      <w:r w:rsidR="00926757" w:rsidRPr="001C1D37">
        <w:rPr>
          <w:rFonts w:ascii="Times New Roman" w:hAnsi="Times New Roman" w:cs="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i</m:t>
            </m:r>
          </m:sub>
        </m:sSub>
        <m:r>
          <w:rPr>
            <w:rFonts w:ascii="Cambria Math" w:eastAsiaTheme="minorEastAsia" w:hAnsi="Cambria Math"/>
            <w:sz w:val="24"/>
            <w:szCs w:val="24"/>
          </w:rPr>
          <m:t>=</m:t>
        </m:r>
        <m:r>
          <m:rPr>
            <m:sty m:val="p"/>
          </m:rPr>
          <w:rPr>
            <w:rFonts w:ascii="Cambria Math" w:eastAsiaTheme="minorEastAsia" w:hAnsi="Cambria Math"/>
            <w:sz w:val="24"/>
            <w:szCs w:val="24"/>
          </w:rPr>
          <m:t>exp⁡</m:t>
        </m:r>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0i</m:t>
            </m:r>
          </m:sub>
        </m:sSub>
        <m:r>
          <w:rPr>
            <w:rFonts w:ascii="Cambria Math" w:hAnsi="Cambria Math"/>
            <w:sz w:val="24"/>
            <w:szCs w:val="24"/>
          </w:rPr>
          <m:t>)</m:t>
        </m:r>
      </m:oMath>
      <w:r w:rsidR="00926757" w:rsidRPr="001C1D37">
        <w:rPr>
          <w:rFonts w:ascii="Times New Roman" w:eastAsiaTheme="minorEastAsia" w:hAnsi="Times New Roman"/>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α</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θ</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1i</m:t>
            </m:r>
          </m:sub>
        </m:sSub>
      </m:oMath>
      <w:r w:rsidR="00926757" w:rsidRPr="001C1D37">
        <w:rPr>
          <w:rFonts w:ascii="Times New Roman" w:eastAsiaTheme="minorEastAsia" w:hAnsi="Times New Roman"/>
          <w:sz w:val="24"/>
          <w:szCs w:val="24"/>
        </w:rPr>
        <w:t xml:space="preserve">. </w:t>
      </w:r>
      <w:r w:rsidR="0002724B" w:rsidRPr="001C1D37">
        <w:rPr>
          <w:rFonts w:ascii="Times New Roman" w:eastAsiaTheme="minorEastAsia" w:hAnsi="Times New Roman"/>
          <w:sz w:val="24"/>
          <w:szCs w:val="24"/>
        </w:rPr>
        <w:t xml:space="preserve">We </w:t>
      </w:r>
      <w:r w:rsidR="0002724B" w:rsidRPr="001C1D37">
        <w:rPr>
          <w:rFonts w:ascii="Times New Roman" w:hAnsi="Times New Roman"/>
          <w:sz w:val="24"/>
          <w:szCs w:val="24"/>
        </w:rPr>
        <w:t xml:space="preserve">set  </w:t>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0</m:t>
            </m:r>
          </m:sub>
        </m:sSub>
        <m:r>
          <w:rPr>
            <w:rFonts w:ascii="Cambria Math" w:hAnsi="Cambria Math"/>
            <w:sz w:val="24"/>
            <w:szCs w:val="24"/>
          </w:rPr>
          <m:t>=</m:t>
        </m:r>
      </m:oMath>
      <w:r w:rsidR="0002724B" w:rsidRPr="001C1D37">
        <w:rPr>
          <w:rFonts w:ascii="Times New Roman" w:eastAsiaTheme="minorEastAsia" w:hAnsi="Times New Roman"/>
          <w:sz w:val="24"/>
          <w:szCs w:val="24"/>
        </w:rPr>
        <w:t xml:space="preserve"> -3 and </w:t>
      </w:r>
      <m:oMath>
        <m:sSub>
          <m:sSubPr>
            <m:ctrlPr>
              <w:rPr>
                <w:rFonts w:ascii="Cambria Math" w:hAnsi="Cambria Math"/>
                <w:i/>
                <w:sz w:val="24"/>
                <w:szCs w:val="24"/>
              </w:rPr>
            </m:ctrlPr>
          </m:sSubPr>
          <m:e>
            <m:r>
              <w:rPr>
                <w:rFonts w:ascii="Cambria Math" w:hAnsi="Cambria Math"/>
                <w:sz w:val="24"/>
                <w:szCs w:val="24"/>
              </w:rPr>
              <m:t>θ</m:t>
            </m:r>
          </m:e>
          <m:sub>
            <m:r>
              <w:rPr>
                <w:rFonts w:ascii="Cambria Math" w:hAnsi="Cambria Math"/>
                <w:sz w:val="24"/>
                <w:szCs w:val="24"/>
              </w:rPr>
              <m:t>1</m:t>
            </m:r>
          </m:sub>
        </m:sSub>
        <m:r>
          <w:rPr>
            <w:rFonts w:ascii="Cambria Math" w:hAnsi="Cambria Math"/>
            <w:sz w:val="24"/>
            <w:szCs w:val="24"/>
          </w:rPr>
          <m:t>=</m:t>
        </m:r>
      </m:oMath>
      <w:r w:rsidR="0002724B" w:rsidRPr="001C1D37">
        <w:rPr>
          <w:rFonts w:ascii="Times New Roman" w:eastAsiaTheme="minorEastAsia" w:hAnsi="Times New Roman"/>
          <w:sz w:val="24"/>
          <w:szCs w:val="24"/>
        </w:rPr>
        <w:t xml:space="preserve"> 1. </w:t>
      </w:r>
      <w:r w:rsidRPr="001C1D37">
        <w:rPr>
          <w:rFonts w:ascii="Times New Roman" w:hAnsi="Times New Roman" w:cs="Times New Roman"/>
          <w:sz w:val="24"/>
          <w:szCs w:val="24"/>
        </w:rPr>
        <w:t xml:space="preserve">Exponential distribution </w:t>
      </w:r>
      <w:r w:rsidR="004A6C05" w:rsidRPr="001C1D37">
        <w:rPr>
          <w:rFonts w:ascii="Times New Roman" w:hAnsi="Times New Roman" w:cs="Times New Roman"/>
          <w:sz w:val="24"/>
          <w:szCs w:val="24"/>
        </w:rPr>
        <w:t xml:space="preserve">is </w:t>
      </w:r>
      <w:r w:rsidRPr="001C1D37">
        <w:rPr>
          <w:rFonts w:ascii="Times New Roman" w:hAnsi="Times New Roman" w:cs="Times New Roman"/>
          <w:sz w:val="24"/>
          <w:szCs w:val="24"/>
        </w:rPr>
        <w:t xml:space="preserve">used to control the </w:t>
      </w:r>
      <w:r w:rsidR="004A6C05" w:rsidRPr="001C1D37">
        <w:rPr>
          <w:rFonts w:ascii="Times New Roman" w:hAnsi="Times New Roman" w:cs="Times New Roman"/>
          <w:sz w:val="24"/>
          <w:szCs w:val="24"/>
        </w:rPr>
        <w:t>censoring</w:t>
      </w:r>
      <w:r w:rsidR="00244133" w:rsidRPr="001C1D37">
        <w:rPr>
          <w:rFonts w:ascii="Times New Roman" w:hAnsi="Times New Roman" w:cs="Times New Roman"/>
          <w:sz w:val="24"/>
          <w:szCs w:val="24"/>
        </w:rPr>
        <w:t xml:space="preserve"> rate in the simulated data</w:t>
      </w:r>
      <w:r w:rsidR="00CC527E" w:rsidRPr="001C1D37">
        <w:rPr>
          <w:rFonts w:ascii="Times New Roman" w:hAnsi="Times New Roman" w:cs="Times New Roman"/>
          <w:sz w:val="24"/>
          <w:szCs w:val="24"/>
        </w:rPr>
        <w:t>.</w:t>
      </w:r>
      <w:r w:rsidRPr="001C1D37">
        <w:rPr>
          <w:rFonts w:ascii="Times New Roman" w:hAnsi="Times New Roman" w:cs="Times New Roman"/>
          <w:sz w:val="24"/>
          <w:szCs w:val="24"/>
        </w:rPr>
        <w:t xml:space="preserve"> </w:t>
      </w:r>
    </w:p>
    <w:p w:rsidR="00CC527E" w:rsidRPr="001C1D37" w:rsidRDefault="00CC527E" w:rsidP="001C1D37">
      <w:pPr>
        <w:pStyle w:val="PlainText"/>
        <w:rPr>
          <w:rFonts w:ascii="Times New Roman" w:hAnsi="Times New Roman" w:cs="Times New Roman"/>
          <w:sz w:val="24"/>
          <w:szCs w:val="24"/>
        </w:rPr>
      </w:pPr>
    </w:p>
    <w:p w:rsidR="00CC527E" w:rsidRPr="001C1D37" w:rsidRDefault="00CC527E" w:rsidP="001C1D37">
      <w:pPr>
        <w:pStyle w:val="PlainText"/>
        <w:rPr>
          <w:rFonts w:ascii="Times New Roman" w:hAnsi="Times New Roman" w:cs="Times New Roman"/>
          <w:sz w:val="24"/>
          <w:szCs w:val="24"/>
        </w:rPr>
      </w:pPr>
    </w:p>
    <w:p w:rsidR="00CC527E" w:rsidRPr="001C1D37" w:rsidRDefault="00D0467E" w:rsidP="001C1D37">
      <w:pPr>
        <w:pStyle w:val="PlainText"/>
        <w:rPr>
          <w:rFonts w:ascii="Times New Roman" w:hAnsi="Times New Roman" w:cs="Times New Roman"/>
          <w:sz w:val="24"/>
          <w:szCs w:val="24"/>
        </w:rPr>
      </w:pPr>
      <w:r w:rsidRPr="001C1D37">
        <w:rPr>
          <w:rFonts w:ascii="Times New Roman" w:hAnsi="Times New Roman" w:cs="Times New Roman"/>
          <w:sz w:val="24"/>
          <w:szCs w:val="24"/>
        </w:rPr>
        <w:t>We var</w:t>
      </w:r>
      <w:r w:rsidR="00CC527E" w:rsidRPr="001C1D37">
        <w:rPr>
          <w:rFonts w:ascii="Times New Roman" w:hAnsi="Times New Roman" w:cs="Times New Roman"/>
          <w:sz w:val="24"/>
          <w:szCs w:val="24"/>
        </w:rPr>
        <w:t>ied</w:t>
      </w:r>
      <w:r w:rsidRPr="001C1D3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t</m:t>
            </m:r>
          </m:sub>
        </m:sSub>
        <m:r>
          <w:rPr>
            <w:rFonts w:ascii="Cambria Math" w:hAnsi="Cambria Math" w:cs="Times New Roman"/>
            <w:sz w:val="24"/>
            <w:szCs w:val="24"/>
          </w:rPr>
          <m:t>=</m:t>
        </m:r>
      </m:oMath>
      <w:r w:rsidRPr="001C1D37">
        <w:rPr>
          <w:rFonts w:ascii="Times New Roman" w:hAnsi="Times New Roman" w:cs="Times New Roman"/>
          <w:sz w:val="24"/>
          <w:szCs w:val="24"/>
        </w:rPr>
        <w:t xml:space="preserve"> {-0.25,-0.50,-0.75,-1} to allow weak (-0.25) to strong (-1) </w:t>
      </w:r>
      <w:r w:rsidR="00244133" w:rsidRPr="001C1D37">
        <w:rPr>
          <w:rFonts w:ascii="Times New Roman" w:hAnsi="Times New Roman" w:cs="Times New Roman"/>
          <w:sz w:val="24"/>
          <w:szCs w:val="24"/>
        </w:rPr>
        <w:t>associati</w:t>
      </w:r>
      <w:r w:rsidR="00A30005" w:rsidRPr="001C1D37">
        <w:rPr>
          <w:rFonts w:ascii="Times New Roman" w:hAnsi="Times New Roman" w:cs="Times New Roman"/>
          <w:sz w:val="24"/>
          <w:szCs w:val="24"/>
        </w:rPr>
        <w:t xml:space="preserve">on </w:t>
      </w:r>
      <w:r w:rsidRPr="001C1D37">
        <w:rPr>
          <w:rFonts w:ascii="Times New Roman" w:hAnsi="Times New Roman" w:cs="Times New Roman"/>
          <w:sz w:val="24"/>
          <w:szCs w:val="24"/>
        </w:rPr>
        <w:t>between the biomarker and event-time outcomes.</w:t>
      </w:r>
      <w:r w:rsidR="000C4286" w:rsidRPr="001C1D37">
        <w:rPr>
          <w:rFonts w:ascii="Times New Roman" w:hAnsi="Times New Roman" w:cs="Times New Roman"/>
          <w:sz w:val="24"/>
          <w:szCs w:val="24"/>
        </w:rPr>
        <w:t xml:space="preserve"> </w:t>
      </w:r>
      <w:r w:rsidR="0002724B" w:rsidRPr="001C1D37">
        <w:rPr>
          <w:rFonts w:ascii="Times New Roman" w:eastAsiaTheme="minorEastAsia" w:hAnsi="Times New Roman" w:cs="Times New Roman"/>
          <w:sz w:val="24"/>
          <w:szCs w:val="24"/>
        </w:rPr>
        <w:t xml:space="preserve">Exponential distribution parameter was set at </w:t>
      </w:r>
      <m:oMath>
        <m:r>
          <m:rPr>
            <m:sty m:val="p"/>
          </m:rPr>
          <w:rPr>
            <w:rFonts w:ascii="Cambria Math" w:eastAsiaTheme="minorEastAsia" w:hAnsi="Cambria Math" w:cs="Times New Roman"/>
            <w:sz w:val="24"/>
            <w:szCs w:val="24"/>
          </w:rPr>
          <m:t>exp⁡</m:t>
        </m:r>
        <m:r>
          <w:rPr>
            <w:rFonts w:ascii="Cambria Math" w:eastAsiaTheme="minorEastAsia" w:hAnsi="Cambria Math" w:cs="Times New Roman"/>
            <w:sz w:val="24"/>
            <w:szCs w:val="24"/>
          </w:rPr>
          <m:t>(2)</m:t>
        </m:r>
      </m:oMath>
      <w:r w:rsidR="0002724B" w:rsidRPr="001C1D37">
        <w:rPr>
          <w:rFonts w:ascii="Times New Roman" w:hAnsi="Times New Roman" w:cs="Times New Roman"/>
          <w:sz w:val="24"/>
          <w:szCs w:val="24"/>
        </w:rPr>
        <w:t xml:space="preserve"> to get the censoring rate approximately at 30%. </w:t>
      </w:r>
      <w:r w:rsidR="00113CE5" w:rsidRPr="001C1D37">
        <w:rPr>
          <w:rFonts w:ascii="Times New Roman" w:eastAsia="Calibri" w:hAnsi="Times New Roman" w:cs="Times New Roman"/>
          <w:sz w:val="24"/>
          <w:szCs w:val="24"/>
          <w:lang w:eastAsia="en-GB"/>
        </w:rPr>
        <w:t xml:space="preserve">We used </w:t>
      </w:r>
      <m:oMath>
        <m:sSubSup>
          <m:sSubSupPr>
            <m:ctrlPr>
              <w:rPr>
                <w:rFonts w:ascii="Cambria Math" w:hAnsi="Cambria Math" w:cs="Times New Roman"/>
                <w:bCs/>
                <w:i/>
                <w:sz w:val="24"/>
                <w:szCs w:val="24"/>
              </w:rPr>
            </m:ctrlPr>
          </m:sSubSupPr>
          <m:e>
            <m:r>
              <w:rPr>
                <w:rFonts w:ascii="Cambria Math" w:hAnsi="Cambria Math" w:cs="Times New Roman"/>
                <w:sz w:val="24"/>
                <w:szCs w:val="24"/>
              </w:rPr>
              <m:t>σ</m:t>
            </m:r>
          </m:e>
          <m:sub>
            <m:r>
              <w:rPr>
                <w:rFonts w:ascii="Cambria Math" w:hAnsi="Cambria Math" w:cs="Times New Roman"/>
                <w:sz w:val="24"/>
                <w:szCs w:val="24"/>
              </w:rPr>
              <m:t>e</m:t>
            </m:r>
          </m:sub>
          <m:sup>
            <m:r>
              <w:rPr>
                <w:rFonts w:ascii="Cambria Math" w:hAnsi="Cambria Math" w:cs="Times New Roman"/>
                <w:sz w:val="24"/>
                <w:szCs w:val="24"/>
              </w:rPr>
              <m:t>2</m:t>
            </m:r>
          </m:sup>
        </m:sSubSup>
        <m:r>
          <w:rPr>
            <w:rFonts w:ascii="Cambria Math" w:hAnsi="Cambria Math" w:cs="Times New Roman"/>
            <w:sz w:val="24"/>
            <w:szCs w:val="24"/>
          </w:rPr>
          <m:t>=</m:t>
        </m:r>
      </m:oMath>
      <w:r w:rsidR="00113CE5" w:rsidRPr="001C1D37">
        <w:rPr>
          <w:rFonts w:ascii="Times New Roman" w:eastAsia="Calibri" w:hAnsi="Times New Roman" w:cs="Times New Roman"/>
          <w:sz w:val="24"/>
          <w:szCs w:val="24"/>
        </w:rPr>
        <w:t xml:space="preserve"> 0.5, but set</w:t>
      </w:r>
      <w:r w:rsidR="000C4286" w:rsidRPr="001C1D37">
        <w:rPr>
          <w:rFonts w:ascii="Times New Roman" w:hAnsi="Times New Roman" w:cs="Times New Roman"/>
          <w:bCs/>
          <w:sz w:val="24"/>
          <w:szCs w:val="24"/>
        </w:rPr>
        <w:t xml:space="preserve"> </w:t>
      </w:r>
      <m:oMath>
        <m:sSubSup>
          <m:sSubSupPr>
            <m:ctrlPr>
              <w:rPr>
                <w:rFonts w:ascii="Cambria Math" w:hAnsi="Cambria Math" w:cs="Times New Roman"/>
                <w:bCs/>
                <w:i/>
                <w:sz w:val="24"/>
                <w:szCs w:val="24"/>
              </w:rPr>
            </m:ctrlPr>
          </m:sSubSupPr>
          <m:e>
            <m:r>
              <w:rPr>
                <w:rFonts w:ascii="Cambria Math" w:hAnsi="Cambria Math" w:cs="Times New Roman"/>
                <w:sz w:val="24"/>
                <w:szCs w:val="24"/>
              </w:rPr>
              <m:t>σ</m:t>
            </m:r>
          </m:e>
          <m:sub>
            <m:r>
              <w:rPr>
                <w:rFonts w:ascii="Cambria Math" w:hAnsi="Cambria Math" w:cs="Times New Roman"/>
                <w:sz w:val="24"/>
                <w:szCs w:val="24"/>
              </w:rPr>
              <m:t>e</m:t>
            </m:r>
          </m:sub>
          <m:sup>
            <m:r>
              <w:rPr>
                <w:rFonts w:ascii="Cambria Math" w:hAnsi="Cambria Math" w:cs="Times New Roman"/>
                <w:sz w:val="24"/>
                <w:szCs w:val="24"/>
              </w:rPr>
              <m:t>2</m:t>
            </m:r>
          </m:sup>
        </m:sSubSup>
        <m:r>
          <w:rPr>
            <w:rFonts w:ascii="Cambria Math" w:hAnsi="Cambria Math" w:cs="Times New Roman"/>
            <w:sz w:val="24"/>
            <w:szCs w:val="24"/>
          </w:rPr>
          <m:t>=</m:t>
        </m:r>
      </m:oMath>
      <w:r w:rsidR="000C4286" w:rsidRPr="001C1D37">
        <w:rPr>
          <w:rFonts w:ascii="Times New Roman" w:eastAsia="Calibri" w:hAnsi="Times New Roman" w:cs="Times New Roman"/>
          <w:sz w:val="24"/>
          <w:szCs w:val="24"/>
        </w:rPr>
        <w:t>1.5 and 2.5</w:t>
      </w:r>
      <w:r w:rsidR="00F03A1C" w:rsidRPr="001C1D37">
        <w:rPr>
          <w:rFonts w:ascii="Times New Roman" w:eastAsia="Calibri" w:hAnsi="Times New Roman" w:cs="Times New Roman"/>
          <w:sz w:val="24"/>
          <w:szCs w:val="24"/>
        </w:rPr>
        <w:t xml:space="preserve"> </w:t>
      </w:r>
      <w:r w:rsidR="00F03A1C" w:rsidRPr="001C1D37">
        <w:rPr>
          <w:rFonts w:ascii="Times New Roman" w:hAnsi="Times New Roman" w:cs="Times New Roman"/>
          <w:sz w:val="24"/>
          <w:szCs w:val="24"/>
        </w:rPr>
        <w:t xml:space="preserve">to allow higher measurement error </w:t>
      </w:r>
      <w:r w:rsidR="00F03A1C" w:rsidRPr="001C1D37">
        <w:rPr>
          <w:rFonts w:ascii="Times New Roman" w:hAnsi="Times New Roman" w:cs="Times New Roman"/>
          <w:bCs/>
          <w:sz w:val="24"/>
          <w:szCs w:val="24"/>
        </w:rPr>
        <w:t xml:space="preserve">in biomarker values when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t</m:t>
            </m:r>
          </m:sub>
        </m:sSub>
      </m:oMath>
      <w:r w:rsidR="00F03A1C" w:rsidRPr="001C1D37">
        <w:rPr>
          <w:rFonts w:ascii="Times New Roman" w:hAnsi="Times New Roman" w:cs="Times New Roman"/>
          <w:bCs/>
          <w:sz w:val="24"/>
          <w:szCs w:val="24"/>
        </w:rPr>
        <w:t xml:space="preserve"> is at the highest level</w:t>
      </w:r>
      <w:r w:rsidR="00113CE5" w:rsidRPr="001C1D37">
        <w:rPr>
          <w:rFonts w:ascii="Times New Roman" w:hAnsi="Times New Roman" w:cs="Times New Roman"/>
          <w:bCs/>
          <w:sz w:val="24"/>
          <w:szCs w:val="24"/>
        </w:rPr>
        <w:t xml:space="preserve"> to assess the impact of </w:t>
      </w:r>
      <w:r w:rsidR="00113CE5" w:rsidRPr="001C1D37">
        <w:rPr>
          <w:rFonts w:ascii="Times New Roman" w:hAnsi="Times New Roman" w:cs="Times New Roman"/>
          <w:sz w:val="24"/>
          <w:szCs w:val="24"/>
        </w:rPr>
        <w:lastRenderedPageBreak/>
        <w:t>measurement error</w:t>
      </w:r>
      <w:r w:rsidR="00F03A1C" w:rsidRPr="001C1D37">
        <w:rPr>
          <w:rFonts w:ascii="Times New Roman" w:hAnsi="Times New Roman" w:cs="Times New Roman"/>
          <w:sz w:val="24"/>
          <w:szCs w:val="24"/>
        </w:rPr>
        <w:t>.</w:t>
      </w:r>
      <w:r w:rsidR="000C4286" w:rsidRPr="001C1D37">
        <w:rPr>
          <w:rFonts w:ascii="Times New Roman" w:hAnsi="Times New Roman" w:cs="Times New Roman"/>
          <w:sz w:val="24"/>
          <w:szCs w:val="24"/>
        </w:rPr>
        <w:t xml:space="preserve"> </w:t>
      </w:r>
      <w:r w:rsidR="000C4286" w:rsidRPr="001C1D37">
        <w:rPr>
          <w:rFonts w:ascii="Times New Roman" w:eastAsia="Calibri" w:hAnsi="Times New Roman" w:cs="Times New Roman"/>
          <w:sz w:val="24"/>
          <w:szCs w:val="24"/>
          <w:lang w:eastAsia="en-GB"/>
        </w:rPr>
        <w:t>We compare</w:t>
      </w:r>
      <w:r w:rsidR="00E41C78" w:rsidRPr="001C1D37">
        <w:rPr>
          <w:rFonts w:ascii="Times New Roman" w:eastAsia="Calibri" w:hAnsi="Times New Roman" w:cs="Times New Roman"/>
          <w:sz w:val="24"/>
          <w:szCs w:val="24"/>
          <w:lang w:eastAsia="en-GB"/>
        </w:rPr>
        <w:t>d</w:t>
      </w:r>
      <w:r w:rsidR="000C4286" w:rsidRPr="001C1D37">
        <w:rPr>
          <w:rFonts w:ascii="Times New Roman" w:eastAsia="Calibri" w:hAnsi="Times New Roman" w:cs="Times New Roman"/>
          <w:sz w:val="24"/>
          <w:szCs w:val="24"/>
          <w:lang w:eastAsia="en-GB"/>
        </w:rPr>
        <w:t xml:space="preserve"> the estimate</w:t>
      </w:r>
      <w:r w:rsidR="00E41C78" w:rsidRPr="001C1D37">
        <w:rPr>
          <w:rFonts w:ascii="Times New Roman" w:eastAsia="Calibri" w:hAnsi="Times New Roman" w:cs="Times New Roman"/>
          <w:sz w:val="24"/>
          <w:szCs w:val="24"/>
          <w:lang w:eastAsia="en-GB"/>
        </w:rPr>
        <w:t>d association</w:t>
      </w:r>
      <w:r w:rsidR="00F03A1C" w:rsidRPr="001C1D37">
        <w:rPr>
          <w:rFonts w:ascii="Times New Roman" w:eastAsia="Calibri" w:hAnsi="Times New Roman" w:cs="Times New Roman"/>
          <w:sz w:val="24"/>
          <w:szCs w:val="24"/>
          <w:lang w:eastAsia="en-GB"/>
        </w:rPr>
        <w:t xml:space="preserve"> parameter</w:t>
      </w:r>
      <w:r w:rsidR="000C4286" w:rsidRPr="001C1D37">
        <w:rPr>
          <w:rFonts w:ascii="Times New Roman" w:eastAsia="Calibri" w:hAnsi="Times New Roman" w:cs="Times New Roman"/>
          <w:sz w:val="24"/>
          <w:szCs w:val="24"/>
          <w:lang w:eastAsia="en-GB"/>
        </w:rPr>
        <w:t xml:space="preserve"> from </w:t>
      </w:r>
      <w:r w:rsidR="00E41C78" w:rsidRPr="001C1D37">
        <w:rPr>
          <w:rFonts w:ascii="Times New Roman" w:eastAsia="Calibri" w:hAnsi="Times New Roman" w:cs="Times New Roman"/>
          <w:sz w:val="24"/>
          <w:szCs w:val="24"/>
          <w:lang w:eastAsia="en-GB"/>
        </w:rPr>
        <w:t>the joint model against</w:t>
      </w:r>
      <m:oMath>
        <m:sSub>
          <m:sSubPr>
            <m:ctrlPr>
              <w:rPr>
                <w:rFonts w:ascii="Cambria Math" w:hAnsi="Cambria Math" w:cs="Times New Roman"/>
                <w:i/>
                <w:sz w:val="24"/>
                <w:szCs w:val="24"/>
              </w:rPr>
            </m:ctrlPr>
          </m:sSubPr>
          <m:e>
            <m:r>
              <w:rPr>
                <w:rFonts w:ascii="Cambria Math" w:hAnsi="Cambria Math" w:cs="Times New Roman"/>
                <w:sz w:val="24"/>
                <w:szCs w:val="24"/>
              </w:rPr>
              <m:t xml:space="preserve"> λ</m:t>
            </m:r>
          </m:e>
          <m:sub>
            <m:r>
              <w:rPr>
                <w:rFonts w:ascii="Cambria Math" w:hAnsi="Cambria Math" w:cs="Times New Roman"/>
                <w:sz w:val="24"/>
                <w:szCs w:val="24"/>
              </w:rPr>
              <m:t>i</m:t>
            </m:r>
          </m:sub>
        </m:sSub>
        <m:d>
          <m:dPr>
            <m:ctrlPr>
              <w:rPr>
                <w:rFonts w:ascii="Cambria Math" w:hAnsi="Cambria Math" w:cs="Times New Roman"/>
                <w:bCs/>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λ</m:t>
            </m:r>
          </m:e>
          <m:sub>
            <m:r>
              <w:rPr>
                <w:rFonts w:ascii="Cambria Math" w:hAnsi="Cambria Math" w:cs="Times New Roman"/>
                <w:sz w:val="24"/>
                <w:szCs w:val="24"/>
              </w:rPr>
              <m:t>0</m:t>
            </m:r>
          </m:sub>
        </m:sSub>
        <m:d>
          <m:dPr>
            <m:ctrlPr>
              <w:rPr>
                <w:rFonts w:ascii="Cambria Math" w:hAnsi="Cambria Math" w:cs="Times New Roman"/>
                <w:bCs/>
                <w:i/>
                <w:sz w:val="24"/>
                <w:szCs w:val="24"/>
              </w:rPr>
            </m:ctrlPr>
          </m:dPr>
          <m:e>
            <m:r>
              <w:rPr>
                <w:rFonts w:ascii="Cambria Math" w:hAnsi="Cambria Math" w:cs="Times New Roman"/>
                <w:sz w:val="24"/>
                <w:szCs w:val="24"/>
              </w:rPr>
              <m:t>t</m:t>
            </m:r>
          </m:e>
        </m:d>
        <m:r>
          <m:rPr>
            <m:sty m:val="p"/>
          </m:rPr>
          <w:rPr>
            <w:rFonts w:ascii="Cambria Math" w:hAnsi="Cambria Math" w:cs="Times New Roman"/>
            <w:sz w:val="24"/>
            <w:szCs w:val="24"/>
          </w:rPr>
          <m:t>exp⁡</m:t>
        </m:r>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Cambria Math" w:cs="Times New Roman"/>
            <w:sz w:val="24"/>
            <w:szCs w:val="24"/>
          </w:rPr>
          <m:t>}</m:t>
        </m:r>
      </m:oMath>
      <w:r w:rsidR="001F79E3" w:rsidRPr="001C1D37">
        <w:rPr>
          <w:rFonts w:ascii="Times New Roman" w:eastAsia="Calibri" w:hAnsi="Times New Roman" w:cs="Times New Roman"/>
          <w:sz w:val="24"/>
          <w:szCs w:val="24"/>
        </w:rPr>
        <w:t xml:space="preserve"> </w:t>
      </w:r>
      <w:r w:rsidR="000C4286" w:rsidRPr="001C1D37">
        <w:rPr>
          <w:rFonts w:ascii="Times New Roman" w:eastAsia="Calibri"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oMath>
      <w:r w:rsidR="000C4286" w:rsidRPr="001C1D37">
        <w:rPr>
          <w:rFonts w:ascii="Times New Roman" w:eastAsia="Calibri" w:hAnsi="Times New Roman" w:cs="Times New Roman"/>
          <w:sz w:val="24"/>
          <w:szCs w:val="24"/>
        </w:rPr>
        <w:t xml:space="preserve"> is </w:t>
      </w:r>
      <w:r w:rsidR="000C4286" w:rsidRPr="001C1D37">
        <w:rPr>
          <w:rFonts w:ascii="Times New Roman" w:eastAsia="Calibri" w:hAnsi="Times New Roman" w:cs="Times New Roman"/>
          <w:sz w:val="24"/>
          <w:szCs w:val="24"/>
          <w:lang w:eastAsia="en-GB"/>
        </w:rPr>
        <w:t xml:space="preserve">the most recent </w:t>
      </w:r>
      <w:r w:rsidR="001F79E3" w:rsidRPr="001C1D37">
        <w:rPr>
          <w:rFonts w:ascii="Times New Roman" w:eastAsia="Calibri" w:hAnsi="Times New Roman" w:cs="Times New Roman"/>
          <w:sz w:val="24"/>
          <w:szCs w:val="24"/>
          <w:lang w:eastAsia="en-GB"/>
        </w:rPr>
        <w:t xml:space="preserve">biomarker </w:t>
      </w:r>
      <w:r w:rsidR="000C4286" w:rsidRPr="001C1D37">
        <w:rPr>
          <w:rFonts w:ascii="Times New Roman" w:eastAsia="Calibri" w:hAnsi="Times New Roman" w:cs="Times New Roman"/>
          <w:sz w:val="24"/>
          <w:szCs w:val="24"/>
          <w:lang w:eastAsia="en-GB"/>
        </w:rPr>
        <w:t>observation</w:t>
      </w:r>
      <w:r w:rsidR="00926757" w:rsidRPr="001C1D37">
        <w:rPr>
          <w:rFonts w:ascii="Times New Roman" w:eastAsia="Calibri" w:hAnsi="Times New Roman" w:cs="Times New Roman"/>
          <w:sz w:val="24"/>
          <w:szCs w:val="24"/>
          <w:lang w:eastAsia="en-GB"/>
        </w:rPr>
        <w:t xml:space="preserve"> following Henderson</w:t>
      </w:r>
      <w:r w:rsidR="00926757" w:rsidRPr="001C1D37">
        <w:rPr>
          <w:rFonts w:ascii="Times New Roman" w:hAnsi="Times New Roman" w:cs="Times New Roman"/>
          <w:sz w:val="24"/>
          <w:szCs w:val="24"/>
        </w:rPr>
        <w:t xml:space="preserve"> </w:t>
      </w:r>
      <w:r w:rsidR="00926757" w:rsidRPr="001C1D37">
        <w:rPr>
          <w:rFonts w:ascii="Times New Roman" w:hAnsi="Times New Roman" w:cs="Times New Roman"/>
          <w:i/>
          <w:sz w:val="24"/>
          <w:szCs w:val="24"/>
        </w:rPr>
        <w:t>et al.</w:t>
      </w:r>
      <w:r w:rsidR="00926757" w:rsidRPr="001C1D37">
        <w:rPr>
          <w:rFonts w:ascii="Times New Roman" w:hAnsi="Times New Roman" w:cs="Times New Roman"/>
          <w:sz w:val="24"/>
          <w:szCs w:val="24"/>
        </w:rPr>
        <w:t xml:space="preserve"> </w:t>
      </w:r>
      <w:r w:rsidR="00926757" w:rsidRPr="001C1D37">
        <w:rPr>
          <w:rFonts w:ascii="Times New Roman" w:eastAsia="Calibri" w:hAnsi="Times New Roman" w:cs="Times New Roman"/>
          <w:sz w:val="24"/>
          <w:szCs w:val="24"/>
          <w:lang w:eastAsia="en-GB"/>
        </w:rPr>
        <w:t>[</w:t>
      </w:r>
      <w:r w:rsidR="0002724B" w:rsidRPr="001C1D37">
        <w:rPr>
          <w:rFonts w:ascii="Times New Roman" w:eastAsia="Calibri" w:hAnsi="Times New Roman" w:cs="Times New Roman"/>
          <w:sz w:val="24"/>
          <w:szCs w:val="24"/>
          <w:lang w:eastAsia="en-GB"/>
        </w:rPr>
        <w:t>20</w:t>
      </w:r>
      <w:r w:rsidR="00926757" w:rsidRPr="001C1D37">
        <w:rPr>
          <w:rFonts w:ascii="Times New Roman" w:eastAsia="Calibri" w:hAnsi="Times New Roman" w:cs="Times New Roman"/>
          <w:sz w:val="24"/>
          <w:szCs w:val="24"/>
          <w:lang w:eastAsia="en-GB"/>
        </w:rPr>
        <w:t>]</w:t>
      </w:r>
      <w:r w:rsidR="00E41C78" w:rsidRPr="001C1D37">
        <w:rPr>
          <w:rFonts w:ascii="Times New Roman" w:eastAsia="Calibri" w:hAnsi="Times New Roman" w:cs="Times New Roman"/>
          <w:sz w:val="24"/>
          <w:szCs w:val="24"/>
          <w:lang w:eastAsia="en-GB"/>
        </w:rPr>
        <w:t xml:space="preserve">. </w:t>
      </w:r>
      <w:r w:rsidR="003D7E5F" w:rsidRPr="001C1D37">
        <w:rPr>
          <w:rFonts w:ascii="Times New Roman" w:eastAsia="Calibri" w:hAnsi="Times New Roman" w:cs="Times New Roman"/>
          <w:sz w:val="24"/>
          <w:szCs w:val="24"/>
          <w:lang w:eastAsia="en-GB"/>
        </w:rPr>
        <w:t>T</w:t>
      </w:r>
      <w:r w:rsidR="00926757" w:rsidRPr="001C1D37">
        <w:rPr>
          <w:rFonts w:ascii="Times New Roman" w:hAnsi="Times New Roman" w:cs="Times New Roman"/>
          <w:sz w:val="24"/>
          <w:szCs w:val="24"/>
        </w:rPr>
        <w:t xml:space="preserve">he </w:t>
      </w:r>
      <w:r w:rsidR="000C4286" w:rsidRPr="001C1D37">
        <w:rPr>
          <w:rFonts w:ascii="Times New Roman" w:hAnsi="Times New Roman" w:cs="Times New Roman"/>
          <w:sz w:val="24"/>
          <w:szCs w:val="24"/>
        </w:rPr>
        <w:t>re</w:t>
      </w:r>
      <w:r w:rsidR="00D0151F" w:rsidRPr="001C1D37">
        <w:rPr>
          <w:rFonts w:ascii="Times New Roman" w:hAnsi="Times New Roman" w:cs="Times New Roman"/>
          <w:sz w:val="24"/>
          <w:szCs w:val="24"/>
        </w:rPr>
        <w:t xml:space="preserve">gression parameter </w:t>
      </w:r>
      <m:oMath>
        <m:r>
          <w:rPr>
            <w:rFonts w:ascii="Cambria Math" w:hAnsi="Cambria Math" w:cs="Times New Roman"/>
            <w:sz w:val="24"/>
            <w:szCs w:val="24"/>
          </w:rPr>
          <m:t>α</m:t>
        </m:r>
      </m:oMath>
      <w:r w:rsidR="003D7E5F" w:rsidRPr="001C1D37">
        <w:rPr>
          <w:rFonts w:ascii="Times New Roman" w:hAnsi="Times New Roman" w:cs="Times New Roman"/>
          <w:sz w:val="24"/>
          <w:szCs w:val="24"/>
        </w:rPr>
        <w:t xml:space="preserve"> </w:t>
      </w:r>
      <w:r w:rsidR="00D0151F" w:rsidRPr="001C1D37">
        <w:rPr>
          <w:rFonts w:ascii="Times New Roman" w:hAnsi="Times New Roman" w:cs="Times New Roman"/>
          <w:sz w:val="24"/>
          <w:szCs w:val="24"/>
        </w:rPr>
        <w:t xml:space="preserve">of </w:t>
      </w:r>
      <w:r w:rsidR="0002724B" w:rsidRPr="001C1D37">
        <w:rPr>
          <w:rFonts w:ascii="Times New Roman" w:hAnsi="Times New Roman" w:cs="Times New Roman"/>
          <w:sz w:val="24"/>
          <w:szCs w:val="24"/>
        </w:rPr>
        <w:t xml:space="preserve">the </w:t>
      </w:r>
      <w:r w:rsidR="00D0151F" w:rsidRPr="001C1D37">
        <w:rPr>
          <w:rFonts w:ascii="Times New Roman" w:hAnsi="Times New Roman" w:cs="Times New Roman"/>
          <w:sz w:val="24"/>
          <w:szCs w:val="24"/>
        </w:rPr>
        <w:t>covariate</w:t>
      </w:r>
      <w:r w:rsidR="000C4286" w:rsidRPr="001C1D3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oMath>
      <w:r w:rsidR="001F79E3" w:rsidRPr="001C1D37">
        <w:rPr>
          <w:rFonts w:ascii="Times New Roman" w:hAnsi="Times New Roman" w:cs="Times New Roman"/>
          <w:sz w:val="24"/>
          <w:szCs w:val="24"/>
        </w:rPr>
        <w:t xml:space="preserve"> </w:t>
      </w:r>
      <w:r w:rsidR="000C4286" w:rsidRPr="001C1D37">
        <w:rPr>
          <w:rFonts w:ascii="Times New Roman" w:eastAsia="Calibri" w:hAnsi="Times New Roman" w:cs="Times New Roman"/>
          <w:sz w:val="24"/>
          <w:szCs w:val="24"/>
          <w:lang w:eastAsia="en-GB"/>
        </w:rPr>
        <w:t>indicat</w:t>
      </w:r>
      <w:r w:rsidR="003D7E5F" w:rsidRPr="001C1D37">
        <w:rPr>
          <w:rFonts w:ascii="Times New Roman" w:eastAsia="Calibri" w:hAnsi="Times New Roman" w:cs="Times New Roman"/>
          <w:sz w:val="24"/>
          <w:szCs w:val="24"/>
          <w:lang w:eastAsia="en-GB"/>
        </w:rPr>
        <w:t>es</w:t>
      </w:r>
      <w:r w:rsidR="000C4286" w:rsidRPr="001C1D37">
        <w:rPr>
          <w:rFonts w:ascii="Times New Roman" w:eastAsia="Calibri" w:hAnsi="Times New Roman" w:cs="Times New Roman"/>
          <w:sz w:val="24"/>
          <w:szCs w:val="24"/>
          <w:lang w:eastAsia="en-GB"/>
        </w:rPr>
        <w:t xml:space="preserve"> the</w:t>
      </w:r>
      <w:r w:rsidR="000C4286" w:rsidRPr="001C1D37">
        <w:rPr>
          <w:rFonts w:ascii="Times New Roman" w:hAnsi="Times New Roman" w:cs="Times New Roman"/>
          <w:sz w:val="24"/>
          <w:szCs w:val="24"/>
        </w:rPr>
        <w:t xml:space="preserve"> association between risk of the event and biomarker; hence </w:t>
      </w:r>
      <m:oMath>
        <m:r>
          <w:rPr>
            <w:rFonts w:ascii="Cambria Math" w:hAnsi="Cambria Math" w:cs="Times New Roman"/>
            <w:sz w:val="24"/>
            <w:szCs w:val="24"/>
          </w:rPr>
          <m:t xml:space="preserve">α </m:t>
        </m:r>
      </m:oMath>
      <w:r w:rsidR="001F79E3" w:rsidRPr="001C1D37">
        <w:rPr>
          <w:rFonts w:ascii="Times New Roman" w:hAnsi="Times New Roman" w:cs="Times New Roman"/>
          <w:sz w:val="24"/>
          <w:szCs w:val="24"/>
        </w:rPr>
        <w:t>is</w:t>
      </w:r>
      <w:r w:rsidR="000C4286" w:rsidRPr="001C1D37">
        <w:rPr>
          <w:rFonts w:ascii="Times New Roman" w:hAnsi="Times New Roman" w:cs="Times New Roman"/>
          <w:sz w:val="24"/>
          <w:szCs w:val="24"/>
        </w:rPr>
        <w:t xml:space="preserve"> </w:t>
      </w:r>
      <w:r w:rsidR="000C4286" w:rsidRPr="001C1D37">
        <w:rPr>
          <w:rFonts w:ascii="Times New Roman" w:hAnsi="Times New Roman" w:cs="Times New Roman"/>
          <w:sz w:val="24"/>
          <w:szCs w:val="24"/>
          <w:lang w:eastAsia="en-GB"/>
        </w:rPr>
        <w:t xml:space="preserve">comparable to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t</m:t>
            </m:r>
          </m:sub>
        </m:sSub>
      </m:oMath>
      <w:r w:rsidR="000C4286" w:rsidRPr="001C1D37">
        <w:rPr>
          <w:rFonts w:ascii="Times New Roman" w:hAnsi="Times New Roman" w:cs="Times New Roman"/>
          <w:sz w:val="24"/>
          <w:szCs w:val="24"/>
        </w:rPr>
        <w:t xml:space="preserve"> in the joint modelling formulation </w:t>
      </w:r>
      <w:proofErr w:type="gramStart"/>
      <w:r w:rsidR="000C4286" w:rsidRPr="001C1D37">
        <w:rPr>
          <w:rFonts w:ascii="Times New Roman" w:hAnsi="Times New Roman" w:cs="Times New Roman"/>
          <w:sz w:val="24"/>
          <w:szCs w:val="24"/>
        </w:rPr>
        <w:t xml:space="preserve">with </w:t>
      </w:r>
      <w:proofErr w:type="gramEnd"/>
      <m:oMath>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t</m:t>
            </m:r>
          </m:sub>
        </m:sSub>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t</m:t>
            </m:r>
          </m:e>
        </m:d>
      </m:oMath>
      <w:r w:rsidR="000C4286" w:rsidRPr="001C1D37">
        <w:rPr>
          <w:rFonts w:ascii="Times New Roman" w:hAnsi="Times New Roman" w:cs="Times New Roman"/>
          <w:sz w:val="24"/>
          <w:szCs w:val="24"/>
        </w:rPr>
        <w:t xml:space="preserve">. </w:t>
      </w:r>
    </w:p>
    <w:p w:rsidR="0002724B" w:rsidRPr="001C1D37" w:rsidRDefault="0002724B" w:rsidP="001C1D37">
      <w:pPr>
        <w:pStyle w:val="PlainText"/>
        <w:tabs>
          <w:tab w:val="left" w:pos="3535"/>
        </w:tabs>
        <w:rPr>
          <w:rFonts w:ascii="Times New Roman" w:hAnsi="Times New Roman" w:cs="Times New Roman"/>
          <w:sz w:val="24"/>
          <w:szCs w:val="24"/>
        </w:rPr>
      </w:pPr>
    </w:p>
    <w:p w:rsidR="00CC527E" w:rsidRPr="001C1D37" w:rsidRDefault="003D7E5F" w:rsidP="001C1D37">
      <w:pPr>
        <w:pStyle w:val="PlainText"/>
        <w:tabs>
          <w:tab w:val="left" w:pos="3535"/>
        </w:tabs>
        <w:rPr>
          <w:rFonts w:ascii="Times New Roman" w:hAnsi="Times New Roman" w:cs="Times New Roman"/>
          <w:sz w:val="24"/>
          <w:szCs w:val="24"/>
        </w:rPr>
      </w:pPr>
      <w:r w:rsidRPr="001C1D37">
        <w:rPr>
          <w:rFonts w:ascii="Times New Roman" w:hAnsi="Times New Roman" w:cs="Times New Roman"/>
          <w:sz w:val="24"/>
          <w:szCs w:val="24"/>
        </w:rPr>
        <w:tab/>
      </w:r>
    </w:p>
    <w:p w:rsidR="00FD32AF" w:rsidRPr="001C1D37" w:rsidRDefault="00A30005" w:rsidP="001C1D37">
      <w:pPr>
        <w:pStyle w:val="NoSpacing"/>
        <w:contextualSpacing/>
        <w:rPr>
          <w:rFonts w:ascii="Times New Roman" w:hAnsi="Times New Roman"/>
          <w:sz w:val="24"/>
          <w:szCs w:val="24"/>
        </w:rPr>
      </w:pPr>
      <w:r w:rsidRPr="001C1D37">
        <w:rPr>
          <w:rFonts w:ascii="Times New Roman" w:eastAsiaTheme="minorEastAsia" w:hAnsi="Times New Roman"/>
          <w:b/>
          <w:sz w:val="24"/>
          <w:szCs w:val="24"/>
        </w:rPr>
        <w:t>Simulation study 2</w:t>
      </w:r>
      <w:r w:rsidR="00B22DE6" w:rsidRPr="001C1D37">
        <w:rPr>
          <w:rFonts w:ascii="Times New Roman" w:eastAsiaTheme="minorEastAsia" w:hAnsi="Times New Roman"/>
          <w:b/>
          <w:sz w:val="24"/>
          <w:szCs w:val="24"/>
        </w:rPr>
        <w:t>:</w:t>
      </w:r>
      <w:r w:rsidR="00926757" w:rsidRPr="001C1D37">
        <w:rPr>
          <w:rFonts w:ascii="Times New Roman" w:eastAsiaTheme="minorEastAsia" w:hAnsi="Times New Roman"/>
          <w:b/>
          <w:sz w:val="24"/>
          <w:szCs w:val="24"/>
        </w:rPr>
        <w:t xml:space="preserve"> </w:t>
      </w:r>
      <w:r w:rsidR="00FD32AF" w:rsidRPr="001C1D37">
        <w:rPr>
          <w:rFonts w:ascii="Times New Roman" w:eastAsiaTheme="minorEastAsia" w:hAnsi="Times New Roman"/>
          <w:sz w:val="24"/>
          <w:szCs w:val="24"/>
        </w:rPr>
        <w:t>L</w:t>
      </w:r>
      <w:r w:rsidR="00E408D6" w:rsidRPr="001C1D37">
        <w:rPr>
          <w:rFonts w:ascii="Times New Roman" w:hAnsi="Times New Roman"/>
          <w:sz w:val="24"/>
          <w:szCs w:val="24"/>
        </w:rPr>
        <w:t xml:space="preserve">ongitudinal </w:t>
      </w:r>
      <w:r w:rsidR="00CC527E" w:rsidRPr="001C1D37">
        <w:rPr>
          <w:rFonts w:ascii="Times New Roman" w:hAnsi="Times New Roman"/>
          <w:sz w:val="24"/>
          <w:szCs w:val="24"/>
        </w:rPr>
        <w:t>values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oMath>
      <w:r w:rsidR="00CC527E" w:rsidRPr="001C1D37">
        <w:rPr>
          <w:rFonts w:ascii="Times New Roman" w:hAnsi="Times New Roman"/>
          <w:sz w:val="24"/>
          <w:szCs w:val="24"/>
        </w:rPr>
        <w:t xml:space="preserve">) </w:t>
      </w:r>
      <w:r w:rsidR="00FD32AF" w:rsidRPr="001C1D37">
        <w:rPr>
          <w:rFonts w:ascii="Times New Roman" w:hAnsi="Times New Roman"/>
          <w:sz w:val="24"/>
          <w:szCs w:val="24"/>
        </w:rPr>
        <w:t>and event</w:t>
      </w:r>
      <w:r w:rsidR="00CC527E" w:rsidRPr="001C1D37">
        <w:rPr>
          <w:rFonts w:ascii="Times New Roman" w:hAnsi="Times New Roman"/>
          <w:sz w:val="24"/>
          <w:szCs w:val="24"/>
        </w:rPr>
        <w:t xml:space="preserve"> </w:t>
      </w:r>
      <w:r w:rsidR="00FD32AF" w:rsidRPr="001C1D37">
        <w:rPr>
          <w:rFonts w:ascii="Times New Roman" w:hAnsi="Times New Roman"/>
          <w:sz w:val="24"/>
          <w:szCs w:val="24"/>
        </w:rPr>
        <w:t>time</w:t>
      </w:r>
      <w:r w:rsidR="00CC527E" w:rsidRPr="001C1D37">
        <w:rPr>
          <w:rFonts w:ascii="Times New Roman" w:hAnsi="Times New Roman"/>
          <w:sz w:val="24"/>
          <w:szCs w:val="24"/>
        </w:rPr>
        <w:t>s</w:t>
      </w:r>
      <w:r w:rsidR="00E408D6" w:rsidRPr="001C1D37">
        <w:rPr>
          <w:rFonts w:ascii="Times New Roman" w:hAnsi="Times New Roman"/>
          <w:sz w:val="24"/>
          <w:szCs w:val="24"/>
        </w:rPr>
        <w:t xml:space="preserve"> </w:t>
      </w:r>
      <w:r w:rsidR="00CC527E" w:rsidRPr="001C1D37">
        <w:rPr>
          <w:rFonts w:ascii="Times New Roman" w:hAnsi="Times New Roman"/>
          <w:sz w:val="24"/>
          <w:szCs w:val="24"/>
        </w:rPr>
        <w:t>(</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CC527E" w:rsidRPr="001C1D37">
        <w:rPr>
          <w:rFonts w:ascii="Times New Roman" w:hAnsi="Times New Roman"/>
          <w:sz w:val="24"/>
          <w:szCs w:val="24"/>
        </w:rPr>
        <w:t xml:space="preserve">) </w:t>
      </w:r>
      <w:r w:rsidR="00244133" w:rsidRPr="001C1D37">
        <w:rPr>
          <w:rFonts w:ascii="Times New Roman" w:hAnsi="Times New Roman"/>
          <w:sz w:val="24"/>
          <w:szCs w:val="24"/>
        </w:rPr>
        <w:t>were</w:t>
      </w:r>
      <w:r w:rsidR="00E408D6" w:rsidRPr="001C1D37">
        <w:rPr>
          <w:rFonts w:ascii="Times New Roman" w:hAnsi="Times New Roman"/>
          <w:sz w:val="24"/>
          <w:szCs w:val="24"/>
        </w:rPr>
        <w:t xml:space="preserve"> generated as in simulation study 1</w:t>
      </w:r>
      <w:r w:rsidR="006A1BFB" w:rsidRPr="001C1D37">
        <w:rPr>
          <w:rFonts w:ascii="Times New Roman" w:hAnsi="Times New Roman"/>
          <w:sz w:val="24"/>
          <w:szCs w:val="24"/>
        </w:rPr>
        <w:t xml:space="preserve"> with </w:t>
      </w:r>
      <m:oMath>
        <m:sSubSup>
          <m:sSubSupPr>
            <m:ctrlPr>
              <w:rPr>
                <w:rFonts w:ascii="Cambria Math" w:hAnsi="Cambria Math"/>
                <w:bCs/>
                <w:i/>
                <w:sz w:val="24"/>
                <w:szCs w:val="24"/>
              </w:rPr>
            </m:ctrlPr>
          </m:sSubSupPr>
          <m:e>
            <m:r>
              <w:rPr>
                <w:rFonts w:ascii="Cambria Math" w:hAnsi="Cambria Math"/>
                <w:sz w:val="24"/>
                <w:szCs w:val="24"/>
              </w:rPr>
              <m:t>σ</m:t>
            </m:r>
          </m:e>
          <m:sub>
            <m:r>
              <w:rPr>
                <w:rFonts w:ascii="Cambria Math" w:hAnsi="Cambria Math"/>
                <w:sz w:val="24"/>
                <w:szCs w:val="24"/>
              </w:rPr>
              <m:t>e</m:t>
            </m:r>
          </m:sub>
          <m:sup>
            <m:r>
              <w:rPr>
                <w:rFonts w:ascii="Cambria Math" w:hAnsi="Cambria Math"/>
                <w:sz w:val="24"/>
                <w:szCs w:val="24"/>
              </w:rPr>
              <m:t>2</m:t>
            </m:r>
          </m:sup>
        </m:sSubSup>
        <m:r>
          <w:rPr>
            <w:rFonts w:ascii="Cambria Math" w:hAnsi="Cambria Math"/>
            <w:sz w:val="24"/>
            <w:szCs w:val="24"/>
          </w:rPr>
          <m:t>=</m:t>
        </m:r>
      </m:oMath>
      <w:r w:rsidR="006A1BFB" w:rsidRPr="001C1D37">
        <w:rPr>
          <w:rFonts w:ascii="Times New Roman" w:hAnsi="Times New Roman"/>
          <w:sz w:val="24"/>
          <w:szCs w:val="24"/>
        </w:rPr>
        <w:t xml:space="preserve"> 0.5</w:t>
      </w:r>
      <w:r w:rsidR="00FD32AF" w:rsidRPr="001C1D37">
        <w:rPr>
          <w:rFonts w:ascii="Times New Roman" w:hAnsi="Times New Roman"/>
          <w:sz w:val="24"/>
          <w:szCs w:val="24"/>
        </w:rPr>
        <w:t>, and a</w:t>
      </w:r>
      <w:r w:rsidR="00E408D6" w:rsidRPr="001C1D37">
        <w:rPr>
          <w:rFonts w:ascii="Times New Roman" w:hAnsi="Times New Roman"/>
          <w:sz w:val="24"/>
          <w:szCs w:val="24"/>
        </w:rPr>
        <w:t xml:space="preserve"> maximum of 5 longitudinal observations recorded at times 0, 1, 2, 3, 4 up to individual’s event time</w:t>
      </w:r>
      <w:r w:rsidR="004745BB" w:rsidRPr="001C1D37">
        <w:rPr>
          <w:rFonts w:ascii="Times New Roman" w:hAnsi="Times New Roman"/>
          <w:sz w:val="24"/>
          <w:szCs w:val="24"/>
        </w:rPr>
        <w:t xml:space="preserve">. </w:t>
      </w:r>
      <w:r w:rsidR="00A23083" w:rsidRPr="001C1D37">
        <w:rPr>
          <w:rFonts w:ascii="Times New Roman" w:hAnsi="Times New Roman"/>
          <w:sz w:val="24"/>
          <w:szCs w:val="24"/>
        </w:rPr>
        <w:t>We v</w:t>
      </w:r>
      <w:r w:rsidR="004745BB" w:rsidRPr="001C1D37">
        <w:rPr>
          <w:rFonts w:ascii="Times New Roman" w:hAnsi="Times New Roman"/>
          <w:sz w:val="24"/>
          <w:szCs w:val="24"/>
        </w:rPr>
        <w:t>ar</w:t>
      </w:r>
      <w:r w:rsidR="00CC527E" w:rsidRPr="001C1D37">
        <w:rPr>
          <w:rFonts w:ascii="Times New Roman" w:hAnsi="Times New Roman"/>
          <w:sz w:val="24"/>
          <w:szCs w:val="24"/>
        </w:rPr>
        <w:t>ied</w:t>
      </w:r>
      <w:r w:rsidR="00A23083" w:rsidRPr="001C1D37">
        <w:rPr>
          <w:rFonts w:ascii="Times New Roman" w:hAnsi="Times New Roman"/>
          <w:sz w:val="24"/>
          <w:szCs w:val="24"/>
        </w:rPr>
        <w:t xml:space="preserve"> </w:t>
      </w:r>
      <w:r w:rsidR="00333FD4" w:rsidRPr="001C1D37">
        <w:rPr>
          <w:rFonts w:ascii="Times New Roman" w:hAnsi="Times New Roman"/>
          <w:sz w:val="24"/>
          <w:szCs w:val="24"/>
        </w:rPr>
        <w:t>association</w:t>
      </w:r>
      <w:r w:rsidR="00386008" w:rsidRPr="001C1D37">
        <w:rPr>
          <w:rFonts w:ascii="Times New Roman" w:hAnsi="Times New Roman"/>
          <w:sz w:val="24"/>
          <w:szCs w:val="24"/>
        </w:rPr>
        <w:t xml:space="preserve"> parameter</w:t>
      </w:r>
      <w:r w:rsidR="00333FD4" w:rsidRPr="001C1D37">
        <w:rPr>
          <w:rFonts w:ascii="Times New Roman" w:hAnsi="Times New Roman"/>
          <w:sz w:val="24"/>
          <w:szCs w:val="24"/>
        </w:rPr>
        <w:t xml:space="preserve"> </w:t>
      </w:r>
      <w:r w:rsidR="0002724B" w:rsidRPr="001C1D37">
        <w:rPr>
          <w:rFonts w:ascii="Times New Roman" w:hAnsi="Times New Roman"/>
          <w:sz w:val="24"/>
          <w:szCs w:val="24"/>
        </w:rPr>
        <w:t xml:space="preserve">at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r>
          <w:rPr>
            <w:rFonts w:ascii="Cambria Math" w:hAnsi="Cambria Math"/>
            <w:sz w:val="24"/>
            <w:szCs w:val="24"/>
          </w:rPr>
          <m:t>=</m:t>
        </m:r>
      </m:oMath>
      <w:r w:rsidR="0002724B" w:rsidRPr="001C1D37">
        <w:rPr>
          <w:rFonts w:ascii="Times New Roman" w:hAnsi="Times New Roman"/>
          <w:sz w:val="24"/>
          <w:szCs w:val="24"/>
        </w:rPr>
        <w:t xml:space="preserve"> {-0.25,-0.50,-0.75,-1} </w:t>
      </w:r>
      <w:r w:rsidR="00A23083" w:rsidRPr="001C1D37">
        <w:rPr>
          <w:rFonts w:ascii="Times New Roman" w:hAnsi="Times New Roman"/>
          <w:sz w:val="24"/>
          <w:szCs w:val="24"/>
        </w:rPr>
        <w:t xml:space="preserve">to explore </w:t>
      </w:r>
      <w:r w:rsidR="00D0151F" w:rsidRPr="001C1D37">
        <w:rPr>
          <w:rFonts w:ascii="Times New Roman" w:hAnsi="Times New Roman"/>
          <w:sz w:val="24"/>
          <w:szCs w:val="24"/>
        </w:rPr>
        <w:t>how the strength of association modifies the discriminatory potential of the biomarker (as estimated by AUC)</w:t>
      </w:r>
      <w:r w:rsidR="004745BB" w:rsidRPr="001C1D37">
        <w:rPr>
          <w:rFonts w:ascii="Times New Roman" w:hAnsi="Times New Roman"/>
          <w:sz w:val="24"/>
          <w:szCs w:val="24"/>
        </w:rPr>
        <w:t>.</w:t>
      </w:r>
      <w:r w:rsidR="00244133" w:rsidRPr="001C1D37">
        <w:rPr>
          <w:rFonts w:ascii="Times New Roman" w:hAnsi="Times New Roman"/>
          <w:sz w:val="24"/>
          <w:szCs w:val="24"/>
        </w:rPr>
        <w:t xml:space="preserve"> </w:t>
      </w:r>
      <w:r w:rsidR="00D0151F" w:rsidRPr="001C1D37">
        <w:rPr>
          <w:rFonts w:ascii="Times New Roman" w:hAnsi="Times New Roman"/>
          <w:sz w:val="24"/>
          <w:szCs w:val="24"/>
        </w:rPr>
        <w:t xml:space="preserve">The </w:t>
      </w:r>
      <w:r w:rsidR="00244133" w:rsidRPr="001C1D37">
        <w:rPr>
          <w:rFonts w:ascii="Times New Roman" w:hAnsi="Times New Roman"/>
          <w:sz w:val="24"/>
          <w:szCs w:val="24"/>
        </w:rPr>
        <w:t xml:space="preserve">% event </w:t>
      </w:r>
      <w:r w:rsidR="0019349A" w:rsidRPr="001C1D37">
        <w:rPr>
          <w:rFonts w:ascii="Times New Roman" w:hAnsi="Times New Roman"/>
          <w:sz w:val="24"/>
          <w:szCs w:val="24"/>
        </w:rPr>
        <w:t>wa</w:t>
      </w:r>
      <w:r w:rsidR="00244133" w:rsidRPr="001C1D37">
        <w:rPr>
          <w:rFonts w:ascii="Times New Roman" w:hAnsi="Times New Roman"/>
          <w:sz w:val="24"/>
          <w:szCs w:val="24"/>
        </w:rPr>
        <w:t xml:space="preserve">s </w:t>
      </w:r>
      <w:r w:rsidR="00D0151F" w:rsidRPr="001C1D37">
        <w:rPr>
          <w:rFonts w:ascii="Times New Roman" w:hAnsi="Times New Roman"/>
          <w:sz w:val="24"/>
          <w:szCs w:val="24"/>
        </w:rPr>
        <w:t xml:space="preserve">varied at 80, 50 and 30 by </w:t>
      </w:r>
      <w:r w:rsidR="00244133" w:rsidRPr="001C1D37">
        <w:rPr>
          <w:rFonts w:ascii="Times New Roman" w:hAnsi="Times New Roman"/>
          <w:sz w:val="24"/>
          <w:szCs w:val="24"/>
        </w:rPr>
        <w:t>control</w:t>
      </w:r>
      <w:r w:rsidR="00D0151F" w:rsidRPr="001C1D37">
        <w:rPr>
          <w:rFonts w:ascii="Times New Roman" w:hAnsi="Times New Roman"/>
          <w:sz w:val="24"/>
          <w:szCs w:val="24"/>
        </w:rPr>
        <w:t>ling</w:t>
      </w:r>
      <w:r w:rsidR="00244133" w:rsidRPr="001C1D37">
        <w:rPr>
          <w:rFonts w:ascii="Times New Roman" w:hAnsi="Times New Roman"/>
          <w:sz w:val="24"/>
          <w:szCs w:val="24"/>
        </w:rPr>
        <w:t xml:space="preserve"> the exponential distribution parameter for censoring</w:t>
      </w:r>
      <w:r w:rsidR="00244133" w:rsidRPr="001C1D37">
        <w:rPr>
          <w:rFonts w:ascii="Times New Roman" w:eastAsiaTheme="minorEastAsia" w:hAnsi="Times New Roman"/>
          <w:sz w:val="24"/>
          <w:szCs w:val="24"/>
        </w:rPr>
        <w:t xml:space="preserve">. </w:t>
      </w:r>
      <w:r w:rsidR="004745BB" w:rsidRPr="001C1D37">
        <w:rPr>
          <w:rFonts w:ascii="Times New Roman" w:hAnsi="Times New Roman"/>
          <w:sz w:val="24"/>
          <w:szCs w:val="24"/>
        </w:rPr>
        <w:t xml:space="preserve"> </w:t>
      </w:r>
      <w:r w:rsidR="00CC527E" w:rsidRPr="001C1D37">
        <w:rPr>
          <w:rFonts w:ascii="Times New Roman" w:hAnsi="Times New Roman"/>
          <w:sz w:val="24"/>
          <w:szCs w:val="24"/>
        </w:rPr>
        <w:t xml:space="preserve">We estimated the association parameter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oMath>
      <w:r w:rsidR="00CC527E" w:rsidRPr="001C1D37">
        <w:rPr>
          <w:rFonts w:ascii="Times New Roman" w:hAnsi="Times New Roman"/>
          <w:sz w:val="24"/>
          <w:szCs w:val="24"/>
        </w:rPr>
        <w:t xml:space="preserve"> and AUC from the proposed model for the entire sample.</w:t>
      </w:r>
      <w:r w:rsidR="00386008" w:rsidRPr="001C1D37">
        <w:rPr>
          <w:rFonts w:ascii="Times New Roman" w:hAnsi="Times New Roman"/>
          <w:sz w:val="24"/>
          <w:szCs w:val="24"/>
        </w:rPr>
        <w:t xml:space="preserve"> We have conducted similar simulation studies for two additional association structures as detailed in the supplementary file. </w:t>
      </w:r>
    </w:p>
    <w:p w:rsidR="00FD32AF" w:rsidRPr="001C1D37" w:rsidRDefault="00FD32AF" w:rsidP="001C1D37">
      <w:pPr>
        <w:pStyle w:val="NoSpacing"/>
        <w:contextualSpacing/>
        <w:rPr>
          <w:rFonts w:ascii="Times New Roman" w:hAnsi="Times New Roman"/>
          <w:sz w:val="24"/>
          <w:szCs w:val="24"/>
        </w:rPr>
      </w:pPr>
    </w:p>
    <w:p w:rsidR="00D32927" w:rsidRPr="001C1D37" w:rsidRDefault="00D32927" w:rsidP="001C1D37">
      <w:pPr>
        <w:pStyle w:val="NoSpacing"/>
        <w:contextualSpacing/>
        <w:rPr>
          <w:rFonts w:ascii="Times New Roman" w:hAnsi="Times New Roman"/>
          <w:sz w:val="24"/>
          <w:szCs w:val="24"/>
        </w:rPr>
      </w:pPr>
    </w:p>
    <w:p w:rsidR="000B105C" w:rsidRPr="001C1D37" w:rsidRDefault="00FD32AF" w:rsidP="001C1D37">
      <w:pPr>
        <w:autoSpaceDE w:val="0"/>
        <w:autoSpaceDN w:val="0"/>
        <w:adjustRightInd w:val="0"/>
      </w:pPr>
      <w:r w:rsidRPr="001C1D37">
        <w:rPr>
          <w:rFonts w:eastAsiaTheme="minorEastAsia"/>
          <w:b/>
        </w:rPr>
        <w:t xml:space="preserve">Simulation study 3: </w:t>
      </w:r>
      <w:r w:rsidRPr="001C1D37">
        <w:rPr>
          <w:rFonts w:eastAsiaTheme="minorEastAsia"/>
        </w:rPr>
        <w:t xml:space="preserve">Assuming that the </w:t>
      </w:r>
      <w:r w:rsidR="00BB4497" w:rsidRPr="001C1D37">
        <w:rPr>
          <w:rFonts w:eastAsiaTheme="minorEastAsia"/>
        </w:rPr>
        <w:t>best</w:t>
      </w:r>
      <w:r w:rsidRPr="001C1D37">
        <w:rPr>
          <w:rFonts w:eastAsiaTheme="minorEastAsia"/>
        </w:rPr>
        <w:t xml:space="preserve"> </w:t>
      </w:r>
      <w:r w:rsidRPr="001C1D37">
        <w:t xml:space="preserve">discriminatory potential of a biomarker (as estimated by </w:t>
      </w:r>
      <w:r w:rsidR="00CC527E" w:rsidRPr="001C1D37">
        <w:t xml:space="preserve">the highest </w:t>
      </w:r>
      <w:r w:rsidRPr="001C1D37">
        <w:t>AUC)</w:t>
      </w:r>
      <w:r w:rsidRPr="001C1D37">
        <w:rPr>
          <w:rFonts w:eastAsiaTheme="minorEastAsia"/>
        </w:rPr>
        <w:t xml:space="preserve"> should be estimated </w:t>
      </w:r>
      <w:proofErr w:type="gramStart"/>
      <w:r w:rsidRPr="001C1D37">
        <w:rPr>
          <w:rFonts w:eastAsiaTheme="minorEastAsia"/>
        </w:rPr>
        <w:t xml:space="preserve">at </w:t>
      </w:r>
      <w:proofErr w:type="gramEnd"/>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A00C9A" w:rsidRPr="001C1D37">
        <w:rPr>
          <w:rFonts w:eastAsiaTheme="minorEastAsia"/>
        </w:rPr>
        <w:t xml:space="preserve">, </w:t>
      </w:r>
      <w:r w:rsidR="0088283A" w:rsidRPr="001C1D37">
        <w:rPr>
          <w:rFonts w:eastAsiaTheme="minorEastAsia"/>
        </w:rPr>
        <w:t>we</w:t>
      </w:r>
      <w:r w:rsidR="00493344" w:rsidRPr="001C1D37">
        <w:rPr>
          <w:rFonts w:eastAsiaTheme="minorEastAsia"/>
        </w:rPr>
        <w:t xml:space="preserve"> </w:t>
      </w:r>
      <w:r w:rsidR="00FA78FC" w:rsidRPr="001C1D37">
        <w:rPr>
          <w:rFonts w:eastAsiaTheme="minorEastAsia"/>
        </w:rPr>
        <w:t xml:space="preserve">placed a change point over the longitudinal profile at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FA78FC" w:rsidRPr="001C1D37">
        <w:rPr>
          <w:rFonts w:eastAsiaTheme="minorEastAsia"/>
        </w:rPr>
        <w:t xml:space="preserve"> and set </w:t>
      </w:r>
      <w:r w:rsidR="00CC527E" w:rsidRPr="001C1D37">
        <w:rPr>
          <w:rFonts w:eastAsiaTheme="minorEastAsia"/>
        </w:rPr>
        <w:t xml:space="preserve">an </w:t>
      </w:r>
      <w:r w:rsidR="00075C75" w:rsidRPr="001C1D37">
        <w:t>association</w:t>
      </w:r>
      <w:r w:rsidR="0088283A" w:rsidRPr="001C1D37">
        <w:t xml:space="preserve"> </w:t>
      </w:r>
      <m:oMath>
        <m:sSub>
          <m:sSubPr>
            <m:ctrlPr>
              <w:rPr>
                <w:rFonts w:ascii="Cambria Math" w:hAnsi="Cambria Math"/>
                <w:i/>
              </w:rPr>
            </m:ctrlPr>
          </m:sSubPr>
          <m:e>
            <m:r>
              <w:rPr>
                <w:rFonts w:ascii="Cambria Math" w:hAnsi="Cambria Math"/>
              </w:rPr>
              <m:t>γ</m:t>
            </m:r>
          </m:e>
          <m:sub>
            <m:r>
              <w:rPr>
                <w:rFonts w:ascii="Cambria Math" w:hAnsi="Cambria Math"/>
              </w:rPr>
              <m:t>1</m:t>
            </m:r>
          </m:sub>
        </m:sSub>
      </m:oMath>
      <w:r w:rsidR="00C3474B" w:rsidRPr="001C1D37">
        <w:t xml:space="preserve"> </w:t>
      </w:r>
      <w:r w:rsidR="00493344" w:rsidRPr="001C1D37">
        <w:rPr>
          <w:rFonts w:eastAsiaTheme="minorEastAsia"/>
        </w:rPr>
        <w:t xml:space="preserve">for </w:t>
      </w:r>
      <w:r w:rsidR="0002724B" w:rsidRPr="001C1D37">
        <w:rPr>
          <w:rFonts w:eastAsiaTheme="minorEastAsia"/>
        </w:rPr>
        <w:t xml:space="preserve">the time </w:t>
      </w:r>
      <w:r w:rsidR="0054053D" w:rsidRPr="001C1D37">
        <w:rPr>
          <w:rFonts w:eastAsiaTheme="minorEastAsia"/>
        </w:rPr>
        <w:t>frame pre-</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C106A2" w:rsidRPr="001C1D37">
        <w:t xml:space="preserve"> </w:t>
      </w:r>
      <w:r w:rsidR="00C3474B" w:rsidRPr="001C1D37">
        <w:t xml:space="preserve">and </w:t>
      </w:r>
      <m:oMath>
        <m:sSub>
          <m:sSubPr>
            <m:ctrlPr>
              <w:rPr>
                <w:rFonts w:ascii="Cambria Math" w:hAnsi="Cambria Math"/>
                <w:i/>
              </w:rPr>
            </m:ctrlPr>
          </m:sSubPr>
          <m:e>
            <m:r>
              <w:rPr>
                <w:rFonts w:ascii="Cambria Math" w:hAnsi="Cambria Math"/>
              </w:rPr>
              <m:t>γ</m:t>
            </m:r>
          </m:e>
          <m:sub>
            <m:r>
              <w:rPr>
                <w:rFonts w:ascii="Cambria Math" w:hAnsi="Cambria Math"/>
              </w:rPr>
              <m:t>2</m:t>
            </m:r>
          </m:sub>
        </m:sSub>
      </m:oMath>
      <w:r w:rsidR="00C3474B" w:rsidRPr="001C1D37">
        <w:t xml:space="preserve"> </w:t>
      </w:r>
      <w:r w:rsidR="0088283A" w:rsidRPr="001C1D37">
        <w:t>for</w:t>
      </w:r>
      <w:r w:rsidR="0054053D" w:rsidRPr="001C1D37">
        <w:t xml:space="preserve"> the time frame post-</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88283A" w:rsidRPr="001C1D37">
        <w:t xml:space="preserve"> </w:t>
      </w:r>
      <w:r w:rsidR="00EA4B64" w:rsidRPr="001C1D37">
        <w:t>with</w:t>
      </w:r>
      <w:r w:rsidR="00C3474B" w:rsidRPr="001C1D37">
        <w:t xml:space="preserve"> </w:t>
      </w:r>
      <m:oMath>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rPr>
              <m:t>γ</m:t>
            </m:r>
          </m:e>
          <m:sub>
            <m:r>
              <w:rPr>
                <w:rFonts w:ascii="Cambria Math" w:hAnsi="Cambria Math"/>
              </w:rPr>
              <m:t>2</m:t>
            </m:r>
          </m:sub>
        </m:sSub>
      </m:oMath>
      <w:r w:rsidR="00C106A2" w:rsidRPr="001C1D37">
        <w:t xml:space="preserve">, so </w:t>
      </w:r>
      <w:r w:rsidR="000575F2" w:rsidRPr="001C1D37">
        <w:rPr>
          <w:rFonts w:eastAsiaTheme="minorEastAsia"/>
        </w:rPr>
        <w:t>a higher association</w:t>
      </w:r>
      <w:r w:rsidR="00CC527E" w:rsidRPr="001C1D37">
        <w:rPr>
          <w:rFonts w:eastAsiaTheme="minorEastAsia"/>
        </w:rPr>
        <w:t xml:space="preserve"> between biomarker and event-time</w:t>
      </w:r>
      <w:r w:rsidR="000575F2" w:rsidRPr="001C1D37">
        <w:rPr>
          <w:rFonts w:eastAsiaTheme="minorEastAsia"/>
        </w:rPr>
        <w:t xml:space="preserve"> </w:t>
      </w:r>
      <w:r w:rsidR="00D0151F" w:rsidRPr="001C1D37">
        <w:rPr>
          <w:rFonts w:eastAsiaTheme="minorEastAsia"/>
        </w:rPr>
        <w:t>wa</w:t>
      </w:r>
      <w:r w:rsidR="000575F2" w:rsidRPr="001C1D37">
        <w:rPr>
          <w:rFonts w:eastAsiaTheme="minorEastAsia"/>
        </w:rPr>
        <w:t xml:space="preserve">s set for </w:t>
      </w:r>
      <w:r w:rsidR="00FA78FC" w:rsidRPr="001C1D37">
        <w:rPr>
          <w:rFonts w:eastAsiaTheme="minorEastAsia"/>
        </w:rPr>
        <w:t>the</w:t>
      </w:r>
      <w:r w:rsidR="0054053D" w:rsidRPr="001C1D37">
        <w:rPr>
          <w:rFonts w:eastAsiaTheme="minorEastAsia"/>
        </w:rPr>
        <w:t xml:space="preserve"> </w:t>
      </w:r>
      <w:r w:rsidR="00C106A2" w:rsidRPr="001C1D37">
        <w:rPr>
          <w:rFonts w:eastAsiaTheme="minorEastAsia"/>
        </w:rPr>
        <w:t>earl</w:t>
      </w:r>
      <w:r w:rsidR="00FA78FC" w:rsidRPr="001C1D37">
        <w:rPr>
          <w:rFonts w:eastAsiaTheme="minorEastAsia"/>
        </w:rPr>
        <w:t>y</w:t>
      </w:r>
      <w:r w:rsidR="00C106A2" w:rsidRPr="001C1D37">
        <w:rPr>
          <w:rFonts w:eastAsiaTheme="minorEastAsia"/>
        </w:rPr>
        <w:t xml:space="preserve"> time frame. </w:t>
      </w:r>
      <w:r w:rsidR="00FA78FC" w:rsidRPr="001C1D37">
        <w:rPr>
          <w:rFonts w:eastAsiaTheme="minorEastAsia"/>
        </w:rPr>
        <w:t xml:space="preserve">Given the change point </w:t>
      </w:r>
      <w:proofErr w:type="gramStart"/>
      <w:r w:rsidR="00FA78FC" w:rsidRPr="001C1D37">
        <w:rPr>
          <w:rFonts w:eastAsiaTheme="minorEastAsia"/>
        </w:rPr>
        <w:t xml:space="preserve">at </w:t>
      </w:r>
      <w:proofErr w:type="gramEnd"/>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FA78FC" w:rsidRPr="001C1D37">
        <w:rPr>
          <w:rFonts w:eastAsiaTheme="minorEastAsia"/>
        </w:rPr>
        <w:t>, l</w:t>
      </w:r>
      <w:r w:rsidR="0054053D" w:rsidRPr="001C1D37">
        <w:t>et</w:t>
      </w:r>
      <w:r w:rsidR="005938EA" w:rsidRPr="001C1D37">
        <w:t xml:space="preserv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t</m:t>
            </m:r>
          </m:sub>
        </m:sSub>
        <m:r>
          <w:rPr>
            <w:rFonts w:ascii="Cambria Math" w:eastAsiaTheme="minorEastAsia" w:hAnsi="Cambria Math"/>
          </w:rPr>
          <m:t>=</m:t>
        </m:r>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s-1</m:t>
            </m:r>
          </m:sub>
        </m:sSub>
      </m:oMath>
      <w:r w:rsidR="00D0151F" w:rsidRPr="001C1D37">
        <w:t xml:space="preserve"> and </w:t>
      </w:r>
      <w:r w:rsidR="00CC527E" w:rsidRPr="001C1D37">
        <w:t>define an indicator</w:t>
      </w:r>
      <w:r w:rsidR="007F3977" w:rsidRPr="001C1D37">
        <w:rPr>
          <w:rFonts w:eastAsiaTheme="minorEastAsia"/>
        </w:rPr>
        <w:t xml:space="preserve"> </w:t>
      </w:r>
      <m:oMath>
        <m:sSub>
          <m:sSubPr>
            <m:ctrlPr>
              <w:rPr>
                <w:rFonts w:ascii="Cambria Math" w:hAnsi="Cambria Math"/>
                <w:i/>
              </w:rPr>
            </m:ctrlPr>
          </m:sSubPr>
          <m:e>
            <m:r>
              <w:rPr>
                <w:rFonts w:ascii="Cambria Math" w:hAnsi="Cambria Math"/>
              </w:rPr>
              <m:t>ρ</m:t>
            </m:r>
          </m:e>
          <m:sub>
            <m:r>
              <w:rPr>
                <w:rFonts w:ascii="Cambria Math" w:hAnsi="Cambria Math"/>
              </w:rPr>
              <m:t>t</m:t>
            </m:r>
          </m:sub>
        </m:sSub>
        <m:r>
          <w:rPr>
            <w:rFonts w:ascii="Cambria Math" w:hAnsi="Cambria Math"/>
          </w:rPr>
          <m:t xml:space="preserve">= </m:t>
        </m:r>
      </m:oMath>
      <w:r w:rsidR="007F3977" w:rsidRPr="001C1D37">
        <w:rPr>
          <w:rFonts w:eastAsiaTheme="minorEastAsia"/>
        </w:rPr>
        <w:t xml:space="preserve">1 if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t</m:t>
            </m:r>
          </m:sub>
        </m:sSub>
        <m:r>
          <w:rPr>
            <w:rFonts w:ascii="Cambria Math" w:eastAsiaTheme="minorEastAsia" w:hAnsi="Cambria Math"/>
          </w:rPr>
          <m:t>≥0</m:t>
        </m:r>
      </m:oMath>
      <w:r w:rsidR="007F3977" w:rsidRPr="001C1D37">
        <w:rPr>
          <w:rFonts w:eastAsiaTheme="minorEastAsia"/>
        </w:rPr>
        <w:t xml:space="preserve"> and 0 otherwise. Longitudinal values were generated from </w:t>
      </w:r>
      <m:oMath>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=1-</m:t>
        </m:r>
        <m:sSub>
          <m:sSubPr>
            <m:ctrlPr>
              <w:rPr>
                <w:rFonts w:ascii="Cambria Math" w:eastAsia="Calibri" w:hAnsi="Cambria Math"/>
                <w:i/>
              </w:rPr>
            </m:ctrlPr>
          </m:sSubPr>
          <m:e>
            <m:r>
              <w:rPr>
                <w:rFonts w:ascii="Cambria Math" w:hAnsi="Cambria Math"/>
              </w:rPr>
              <m:t>ρ</m:t>
            </m:r>
          </m:e>
          <m:sub>
            <m:r>
              <w:rPr>
                <w:rFonts w:ascii="Cambria Math" w:hAnsi="Cambria Math"/>
              </w:rPr>
              <m:t>t</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t</m:t>
            </m:r>
          </m:sub>
        </m:sSub>
        <m:r>
          <w:rPr>
            <w:rFonts w:ascii="Cambria Math" w:hAnsi="Cambria Math"/>
          </w:rPr>
          <m:t>-(1-</m:t>
        </m:r>
        <m:sSub>
          <m:sSubPr>
            <m:ctrlPr>
              <w:rPr>
                <w:rFonts w:ascii="Cambria Math" w:hAnsi="Cambria Math"/>
                <w:i/>
              </w:rPr>
            </m:ctrlPr>
          </m:sSubPr>
          <m:e>
            <m:r>
              <w:rPr>
                <w:rFonts w:ascii="Cambria Math" w:hAnsi="Cambria Math"/>
              </w:rPr>
              <m:t>ρ</m:t>
            </m:r>
          </m:e>
          <m:sub>
            <m:r>
              <w:rPr>
                <w:rFonts w:ascii="Cambria Math" w:hAnsi="Cambria Math"/>
              </w:rPr>
              <m:t>t</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t</m:t>
            </m:r>
          </m:sub>
        </m:sSub>
        <m:r>
          <w:rPr>
            <w:rFonts w:ascii="Cambria Math" w:hAnsi="Cambria Math"/>
          </w:rPr>
          <m:t>+</m:t>
        </m:r>
        <m:sSub>
          <m:sSubPr>
            <m:ctrlPr>
              <w:rPr>
                <w:rFonts w:ascii="Cambria Math" w:hAnsi="Cambria Math"/>
                <w:bCs/>
                <w:i/>
              </w:rPr>
            </m:ctrlPr>
          </m:sSubPr>
          <m:e>
            <m:r>
              <w:rPr>
                <w:rFonts w:ascii="Cambria Math" w:hAnsi="Cambria Math"/>
              </w:rPr>
              <m:t>W</m:t>
            </m:r>
          </m:e>
          <m:sub>
            <m:r>
              <w:rPr>
                <w:rFonts w:ascii="Cambria Math" w:hAnsi="Cambria Math"/>
              </w:rPr>
              <m:t>1i</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ij</m:t>
            </m:r>
          </m:sub>
        </m:sSub>
      </m:oMath>
      <w:r w:rsidR="00C106A2" w:rsidRPr="001C1D37">
        <w:rPr>
          <w:rFonts w:eastAsiaTheme="minorEastAsia"/>
        </w:rPr>
        <w:t xml:space="preserve"> with</w:t>
      </w:r>
      <w:r w:rsidR="00481D58" w:rsidRPr="001C1D37">
        <w:rPr>
          <w:rFonts w:eastAsiaTheme="minorEastAsia"/>
        </w:rPr>
        <w:t xml:space="preserve"> (population-level) </w:t>
      </w:r>
      <w:r w:rsidR="009E274D" w:rsidRPr="001C1D37">
        <w:rPr>
          <w:rFonts w:eastAsiaTheme="minorEastAsia"/>
        </w:rPr>
        <w:t xml:space="preserve">slopes </w:t>
      </w:r>
      <w:r w:rsidR="00481D58" w:rsidRPr="001C1D37">
        <w:rPr>
          <w:rFonts w:eastAsiaTheme="minorEastAsia"/>
        </w:rPr>
        <w:t>over both pre- and post-</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481D58" w:rsidRPr="001C1D37">
        <w:rPr>
          <w:rFonts w:eastAsiaTheme="minorEastAsia"/>
        </w:rPr>
        <w:t xml:space="preserve"> </w:t>
      </w:r>
      <w:r w:rsidR="00C106A2" w:rsidRPr="001C1D37">
        <w:rPr>
          <w:rFonts w:eastAsiaTheme="minorEastAsia"/>
        </w:rPr>
        <w:t xml:space="preserve">kept </w:t>
      </w:r>
      <w:r w:rsidR="00DA764C" w:rsidRPr="001C1D37">
        <w:rPr>
          <w:rFonts w:eastAsiaTheme="minorEastAsia"/>
        </w:rPr>
        <w:t xml:space="preserve">at -1 to </w:t>
      </w:r>
      <w:r w:rsidR="00DA764C" w:rsidRPr="001C1D37">
        <w:t>allow the same scenario as in simulation</w:t>
      </w:r>
      <w:r w:rsidR="00481D58" w:rsidRPr="001C1D37">
        <w:t xml:space="preserve"> </w:t>
      </w:r>
      <w:r w:rsidR="00481D58" w:rsidRPr="001C1D37">
        <w:lastRenderedPageBreak/>
        <w:t>study</w:t>
      </w:r>
      <w:r w:rsidR="00DA764C" w:rsidRPr="001C1D37">
        <w:t xml:space="preserve"> 1</w:t>
      </w:r>
      <w:r w:rsidR="00FA78FC" w:rsidRPr="001C1D37">
        <w:t xml:space="preserve"> and</w:t>
      </w:r>
      <w:r w:rsidR="00C106A2" w:rsidRPr="001C1D37">
        <w:t xml:space="preserve"> </w:t>
      </w:r>
      <m:oMath>
        <m:sSub>
          <m:sSubPr>
            <m:ctrlPr>
              <w:rPr>
                <w:rFonts w:ascii="Cambria Math" w:hAnsi="Cambria Math"/>
                <w:bCs/>
                <w:i/>
              </w:rPr>
            </m:ctrlPr>
          </m:sSubPr>
          <m:e>
            <m:r>
              <w:rPr>
                <w:rFonts w:ascii="Cambria Math" w:hAnsi="Cambria Math"/>
              </w:rPr>
              <m:t>W</m:t>
            </m:r>
          </m:e>
          <m:sub>
            <m:r>
              <w:rPr>
                <w:rFonts w:ascii="Cambria Math" w:hAnsi="Cambria Math"/>
              </w:rPr>
              <m:t>1i</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0i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1i</m:t>
            </m:r>
          </m:sub>
        </m:sSub>
        <m:sSub>
          <m:sSubPr>
            <m:ctrlPr>
              <w:rPr>
                <w:rFonts w:ascii="Cambria Math" w:hAnsi="Cambria Math"/>
                <w:i/>
              </w:rPr>
            </m:ctrlPr>
          </m:sSubPr>
          <m:e>
            <m:r>
              <w:rPr>
                <w:rFonts w:ascii="Cambria Math" w:hAnsi="Cambria Math"/>
              </w:rPr>
              <m:t>ρ</m:t>
            </m:r>
          </m:e>
          <m:sub>
            <m:r>
              <w:rPr>
                <w:rFonts w:ascii="Cambria Math" w:hAnsi="Cambria Math"/>
              </w:rPr>
              <m:t>t</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t</m:t>
            </m:r>
          </m:sub>
        </m:sSub>
        <m:r>
          <w:rPr>
            <w:rFonts w:ascii="Cambria Math" w:eastAsiaTheme="minorEastAsia" w:hAnsi="Cambria Math"/>
          </w:rPr>
          <m:t>+</m:t>
        </m:r>
        <m:sSub>
          <m:sSubPr>
            <m:ctrlPr>
              <w:rPr>
                <w:rFonts w:ascii="Cambria Math" w:hAnsi="Cambria Math"/>
                <w:i/>
              </w:rPr>
            </m:ctrlPr>
          </m:sSubPr>
          <m:e>
            <m:r>
              <w:rPr>
                <w:rFonts w:ascii="Cambria Math" w:hAnsi="Cambria Math"/>
              </w:rPr>
              <m:t>U</m:t>
            </m:r>
          </m:e>
          <m:sub>
            <m:r>
              <w:rPr>
                <w:rFonts w:ascii="Cambria Math" w:hAnsi="Cambria Math"/>
              </w:rPr>
              <m:t>2i</m:t>
            </m:r>
          </m:sub>
        </m:sSub>
        <m:r>
          <w:rPr>
            <w:rFonts w:ascii="Cambria Math" w:hAnsi="Cambria Math"/>
          </w:rPr>
          <m:t>(1-</m:t>
        </m:r>
        <m:sSub>
          <m:sSubPr>
            <m:ctrlPr>
              <w:rPr>
                <w:rFonts w:ascii="Cambria Math" w:hAnsi="Cambria Math"/>
                <w:i/>
              </w:rPr>
            </m:ctrlPr>
          </m:sSubPr>
          <m:e>
            <m:r>
              <w:rPr>
                <w:rFonts w:ascii="Cambria Math" w:hAnsi="Cambria Math"/>
              </w:rPr>
              <m:t>ρ</m:t>
            </m:r>
          </m:e>
          <m:sub>
            <m:r>
              <w:rPr>
                <w:rFonts w:ascii="Cambria Math" w:hAnsi="Cambria Math"/>
              </w:rPr>
              <m:t>t</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t</m:t>
            </m:r>
          </m:sub>
        </m:sSub>
      </m:oMath>
      <w:r w:rsidR="00C106A2" w:rsidRPr="001C1D37">
        <w:t xml:space="preserve"> </w:t>
      </w:r>
      <w:proofErr w:type="gramStart"/>
      <w:r w:rsidR="00FA78FC" w:rsidRPr="001C1D37">
        <w:t>where</w:t>
      </w:r>
      <m:oMath>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0</m:t>
            </m:r>
          </m:sub>
        </m:sSub>
      </m:oMath>
      <w:r w:rsidR="00C106A2" w:rsidRPr="001C1D37">
        <w:rPr>
          <w:rFonts w:eastAsiaTheme="minorEastAsia"/>
        </w:rPr>
        <w:t xml:space="preserve"> is the</w:t>
      </w:r>
      <w:r w:rsidR="00C106A2" w:rsidRPr="001C1D37">
        <w:t xml:space="preserve"> random intercept term</w:t>
      </w:r>
      <w:proofErr w:type="gramEnd"/>
      <w:r w:rsidR="00C106A2" w:rsidRPr="001C1D37">
        <w:t xml:space="preserve">, </w:t>
      </w:r>
      <m:oMath>
        <m:sSub>
          <m:sSubPr>
            <m:ctrlPr>
              <w:rPr>
                <w:rFonts w:ascii="Cambria Math" w:hAnsi="Cambria Math"/>
                <w:i/>
              </w:rPr>
            </m:ctrlPr>
          </m:sSubPr>
          <m:e>
            <m:r>
              <w:rPr>
                <w:rFonts w:ascii="Cambria Math" w:hAnsi="Cambria Math"/>
              </w:rPr>
              <m:t>U</m:t>
            </m:r>
          </m:e>
          <m:sub>
            <m:r>
              <w:rPr>
                <w:rFonts w:ascii="Cambria Math" w:hAnsi="Cambria Math"/>
              </w:rPr>
              <m:t>1</m:t>
            </m:r>
          </m:sub>
        </m:sSub>
      </m:oMath>
      <w:r w:rsidR="00C106A2" w:rsidRPr="001C1D37">
        <w:t xml:space="preserve"> and </w:t>
      </w:r>
      <m:oMath>
        <m:sSub>
          <m:sSubPr>
            <m:ctrlPr>
              <w:rPr>
                <w:rFonts w:ascii="Cambria Math" w:hAnsi="Cambria Math"/>
                <w:i/>
              </w:rPr>
            </m:ctrlPr>
          </m:sSubPr>
          <m:e>
            <m:r>
              <w:rPr>
                <w:rFonts w:ascii="Cambria Math" w:hAnsi="Cambria Math"/>
              </w:rPr>
              <m:t>U</m:t>
            </m:r>
          </m:e>
          <m:sub>
            <m:r>
              <w:rPr>
                <w:rFonts w:ascii="Cambria Math" w:hAnsi="Cambria Math"/>
              </w:rPr>
              <m:t>2</m:t>
            </m:r>
          </m:sub>
        </m:sSub>
      </m:oMath>
      <w:r w:rsidR="00C106A2" w:rsidRPr="001C1D37">
        <w:t xml:space="preserve"> are the two random slope terms corresponding to </w:t>
      </w:r>
      <w:r w:rsidR="00C106A2" w:rsidRPr="001C1D37">
        <w:rPr>
          <w:rFonts w:eastAsiaTheme="minorEastAsia"/>
        </w:rPr>
        <w:t>pre- and post-</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FA78FC" w:rsidRPr="001C1D37">
        <w:rPr>
          <w:rFonts w:eastAsiaTheme="minorEastAsia"/>
        </w:rPr>
        <w:t xml:space="preserve"> time frames</w:t>
      </w:r>
      <w:r w:rsidR="00C106A2" w:rsidRPr="001C1D37">
        <w:rPr>
          <w:rFonts w:eastAsiaTheme="minorEastAsia"/>
        </w:rPr>
        <w:t>. The random effects</w:t>
      </w:r>
      <w:r w:rsidR="00C106A2" w:rsidRPr="001C1D37">
        <w:t xml:space="preserve"> were generated from the multivariate normal distribution </w:t>
      </w:r>
      <m:oMath>
        <m:r>
          <w:rPr>
            <w:rFonts w:ascii="Cambria Math" w:hAnsi="Cambria Math"/>
          </w:rPr>
          <m:t>N</m:t>
        </m:r>
        <m:d>
          <m:dPr>
            <m:ctrlPr>
              <w:rPr>
                <w:rFonts w:ascii="Cambria Math" w:hAnsi="Cambria Math"/>
                <w:i/>
              </w:rPr>
            </m:ctrlPr>
          </m:dPr>
          <m:e>
            <m:r>
              <m:rPr>
                <m:sty m:val="bi"/>
              </m:rPr>
              <w:rPr>
                <w:rFonts w:ascii="Cambria Math" w:hAnsi="Cambria Math"/>
              </w:rPr>
              <m:t>0</m:t>
            </m:r>
            <m:r>
              <w:rPr>
                <w:rFonts w:ascii="Cambria Math" w:hAnsi="Cambria Math"/>
              </w:rPr>
              <m:t>,</m:t>
            </m:r>
            <m:r>
              <m:rPr>
                <m:sty m:val="p"/>
              </m:rPr>
              <w:rPr>
                <w:rFonts w:ascii="Cambria Math" w:hAnsi="Cambria Math"/>
              </w:rPr>
              <m:t>Σ</m:t>
            </m:r>
          </m:e>
        </m:d>
      </m:oMath>
      <w:r w:rsidR="00C106A2" w:rsidRPr="001C1D37">
        <w:rPr>
          <w:rFonts w:eastAsiaTheme="minorEastAsia"/>
        </w:rPr>
        <w:t xml:space="preserve"> with variances 1 and positive </w:t>
      </w:r>
      <w:proofErr w:type="spellStart"/>
      <w:r w:rsidR="00C106A2" w:rsidRPr="001C1D37">
        <w:rPr>
          <w:rFonts w:eastAsiaTheme="minorEastAsia"/>
        </w:rPr>
        <w:t>covariances</w:t>
      </w:r>
      <w:proofErr w:type="spellEnd"/>
      <w:r w:rsidR="00C106A2" w:rsidRPr="001C1D37">
        <w:rPr>
          <w:rFonts w:eastAsiaTheme="minorEastAsia"/>
        </w:rPr>
        <w:t xml:space="preserve"> 0.5.</w:t>
      </w:r>
      <w:r w:rsidR="00C106A2" w:rsidRPr="001C1D37">
        <w:t xml:space="preserve"> </w:t>
      </w:r>
      <w:r w:rsidR="00D32927" w:rsidRPr="001C1D37">
        <w:rPr>
          <w:rFonts w:eastAsiaTheme="minorEastAsia"/>
        </w:rPr>
        <w:t xml:space="preserve">Based on the </w:t>
      </w:r>
      <w:r w:rsidR="009E274D" w:rsidRPr="001C1D37">
        <w:rPr>
          <w:rFonts w:eastAsiaTheme="minorEastAsia"/>
        </w:rPr>
        <w:t xml:space="preserve">same </w:t>
      </w:r>
      <w:r w:rsidR="00D32927" w:rsidRPr="001C1D37">
        <w:rPr>
          <w:rFonts w:eastAsiaTheme="minorEastAsia"/>
        </w:rPr>
        <w:t>association structure</w:t>
      </w:r>
      <w:r w:rsidR="00A934A5" w:rsidRPr="001C1D37">
        <w:rPr>
          <w:rFonts w:eastAsiaTheme="minorEastAsia"/>
        </w:rPr>
        <w:t xml:space="preserve"> (split </w:t>
      </w:r>
      <w:proofErr w:type="gramStart"/>
      <w:r w:rsidR="00A934A5" w:rsidRPr="001C1D37">
        <w:rPr>
          <w:rFonts w:eastAsiaTheme="minorEastAsia"/>
        </w:rPr>
        <w:t xml:space="preserve">by </w:t>
      </w:r>
      <w:proofErr w:type="gramEnd"/>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A934A5" w:rsidRPr="001C1D37">
        <w:rPr>
          <w:rFonts w:eastAsiaTheme="minorEastAsia"/>
        </w:rPr>
        <w:t xml:space="preserve">) </w:t>
      </w:r>
      <m:oMath>
        <m:sSub>
          <m:sSubPr>
            <m:ctrlPr>
              <w:rPr>
                <w:rFonts w:ascii="Cambria Math" w:hAnsi="Cambria Math"/>
                <w:bCs/>
                <w:i/>
              </w:rPr>
            </m:ctrlPr>
          </m:sSubPr>
          <m:e>
            <m:r>
              <w:rPr>
                <w:rFonts w:ascii="Cambria Math" w:hAnsi="Cambria Math"/>
              </w:rPr>
              <m:t>W</m:t>
            </m:r>
          </m:e>
          <m:sub>
            <m:r>
              <w:rPr>
                <w:rFonts w:ascii="Cambria Math"/>
              </w:rPr>
              <m:t>2i</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U</m:t>
            </m:r>
          </m:e>
          <m:sub>
            <m:r>
              <w:rPr>
                <w:rFonts w:ascii="Cambria Math" w:hAnsi="Cambria Math"/>
              </w:rPr>
              <m:t>0i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U</m:t>
            </m:r>
          </m:e>
          <m:sub>
            <m:r>
              <w:rPr>
                <w:rFonts w:ascii="Cambria Math" w:hAnsi="Cambria Math"/>
              </w:rPr>
              <m:t>1i</m:t>
            </m:r>
          </m:sub>
        </m:sSub>
        <m:sSub>
          <m:sSubPr>
            <m:ctrlPr>
              <w:rPr>
                <w:rFonts w:ascii="Cambria Math" w:hAnsi="Cambria Math"/>
                <w:i/>
              </w:rPr>
            </m:ctrlPr>
          </m:sSubPr>
          <m:e>
            <m:r>
              <w:rPr>
                <w:rFonts w:ascii="Cambria Math" w:hAnsi="Cambria Math"/>
              </w:rPr>
              <m:t>ρ</m:t>
            </m:r>
          </m:e>
          <m:sub>
            <m:r>
              <w:rPr>
                <w:rFonts w:ascii="Cambria Math" w:hAnsi="Cambria Math"/>
              </w:rPr>
              <m:t>t</m:t>
            </m:r>
          </m:sub>
        </m:sSub>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t</m:t>
            </m:r>
          </m:sub>
        </m:sSub>
        <m:r>
          <w:rPr>
            <w:rFonts w:ascii="Cambria Math" w:eastAsiaTheme="minorEastAsia"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U</m:t>
            </m:r>
          </m:e>
          <m:sub>
            <m:r>
              <w:rPr>
                <w:rFonts w:ascii="Cambria Math" w:hAnsi="Cambria Math"/>
              </w:rPr>
              <m:t>2i</m:t>
            </m:r>
          </m:sub>
        </m:sSub>
        <m:r>
          <w:rPr>
            <w:rFonts w:ascii="Cambria Math" w:hAnsi="Cambria Math"/>
          </w:rPr>
          <m:t>(1-</m:t>
        </m:r>
        <m:sSub>
          <m:sSubPr>
            <m:ctrlPr>
              <w:rPr>
                <w:rFonts w:ascii="Cambria Math" w:hAnsi="Cambria Math"/>
                <w:i/>
              </w:rPr>
            </m:ctrlPr>
          </m:sSubPr>
          <m:e>
            <m:r>
              <w:rPr>
                <w:rFonts w:ascii="Cambria Math" w:hAnsi="Cambria Math"/>
              </w:rPr>
              <m:t>ρ</m:t>
            </m:r>
          </m:e>
          <m:sub>
            <m:r>
              <w:rPr>
                <w:rFonts w:ascii="Cambria Math" w:hAnsi="Cambria Math"/>
              </w:rPr>
              <m:t>t</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t</m:t>
            </m:r>
          </m:sub>
        </m:sSub>
      </m:oMath>
      <w:r w:rsidR="00D32927" w:rsidRPr="001C1D37">
        <w:rPr>
          <w:rFonts w:eastAsiaTheme="minorEastAsia"/>
        </w:rPr>
        <w:t>, e</w:t>
      </w:r>
      <w:r w:rsidR="00DA764C" w:rsidRPr="001C1D37">
        <w:t xml:space="preserve">vent times </w:t>
      </w: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9E274D" w:rsidRPr="001C1D37">
        <w:t xml:space="preserve"> </w:t>
      </w:r>
      <w:r w:rsidR="00DA764C" w:rsidRPr="001C1D37">
        <w:t xml:space="preserve">were generated </w:t>
      </w:r>
      <w:r w:rsidR="00481D58" w:rsidRPr="001C1D37">
        <w:t>by</w:t>
      </w:r>
      <w:r w:rsidR="009E274D" w:rsidRPr="001C1D37">
        <w:t xml:space="preserve"> the same formulation</w:t>
      </w:r>
      <w:r w:rsidR="00DA764C" w:rsidRPr="001C1D37">
        <w:t xml:space="preserve"> </w:t>
      </w:r>
      <w:r w:rsidR="00D32927" w:rsidRPr="001C1D37">
        <w:t>with</w:t>
      </w:r>
      <w:r w:rsidR="00DA764C" w:rsidRPr="001C1D37">
        <w:t xml:space="preserve"> </w:t>
      </w:r>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r>
          <w:rPr>
            <w:rFonts w:ascii="Cambria Math" w:eastAsiaTheme="minorEastAsia" w:hAnsi="Cambria Math"/>
          </w:rPr>
          <m:t>=</m:t>
        </m:r>
        <m:r>
          <m:rPr>
            <m:sty m:val="p"/>
          </m:rPr>
          <w:rPr>
            <w:rFonts w:ascii="Cambria Math" w:eastAsiaTheme="minorEastAsia" w:hAnsi="Cambria Math"/>
          </w:rPr>
          <m:t>exp⁡</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0</m:t>
            </m:r>
          </m:sub>
        </m:sSub>
        <m:r>
          <w:rPr>
            <w:rFonts w:ascii="Cambria Math" w:eastAsiaTheme="minorEastAsia"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U</m:t>
            </m:r>
          </m:e>
          <m:sub>
            <m:r>
              <w:rPr>
                <w:rFonts w:ascii="Cambria Math" w:hAnsi="Cambria Math"/>
              </w:rPr>
              <m:t>0i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U</m:t>
            </m:r>
          </m:e>
          <m:sub>
            <m:r>
              <w:rPr>
                <w:rFonts w:ascii="Cambria Math" w:hAnsi="Cambria Math"/>
              </w:rPr>
              <m:t>1i</m:t>
            </m:r>
          </m:sub>
        </m:sSub>
        <m:r>
          <w:rPr>
            <w:rFonts w:ascii="Cambria Math" w:hAnsi="Cambria Math"/>
          </w:rPr>
          <m:t>)</m:t>
        </m:r>
      </m:oMath>
      <w:r w:rsidR="00DA764C" w:rsidRPr="001C1D37">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1</m:t>
            </m:r>
          </m:sub>
        </m:sSub>
        <m:r>
          <w:rPr>
            <w:rFonts w:ascii="Cambria Math" w:eastAsiaTheme="minorEastAsia"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U</m:t>
            </m:r>
          </m:e>
          <m:sub>
            <m:r>
              <w:rPr>
                <w:rFonts w:ascii="Cambria Math" w:hAnsi="Cambria Math"/>
              </w:rPr>
              <m:t>2i</m:t>
            </m:r>
          </m:sub>
        </m:sSub>
      </m:oMath>
      <w:r w:rsidR="00D32927" w:rsidRPr="001C1D37">
        <w:rPr>
          <w:rFonts w:eastAsiaTheme="minorEastAsia"/>
        </w:rPr>
        <w:t>.</w:t>
      </w:r>
      <w:r w:rsidR="00DA764C" w:rsidRPr="001C1D37">
        <w:rPr>
          <w:rFonts w:eastAsiaTheme="minorEastAsia"/>
        </w:rPr>
        <w:t xml:space="preserve"> </w:t>
      </w:r>
      <w:r w:rsidR="009E274D" w:rsidRPr="001C1D37">
        <w:t>In this simulation,</w:t>
      </w:r>
      <w:r w:rsidR="009E274D" w:rsidRPr="001C1D37">
        <w:rPr>
          <w:rFonts w:eastAsiaTheme="minorEastAsia"/>
        </w:rPr>
        <w:t xml:space="preserve"> w</w:t>
      </w:r>
      <w:r w:rsidR="0088283A" w:rsidRPr="001C1D37">
        <w:rPr>
          <w:rFonts w:eastAsiaTheme="minorEastAsia"/>
        </w:rPr>
        <w:t xml:space="preserve">e generated </w:t>
      </w:r>
      <w:r w:rsidR="0088283A" w:rsidRPr="001C1D37">
        <w:t xml:space="preserve">longitudinal data over a longer time period at times </w:t>
      </w:r>
      <m:oMath>
        <m:r>
          <w:rPr>
            <w:rFonts w:ascii="Cambria Math" w:hAnsi="Cambria Math"/>
          </w:rPr>
          <m:t>t</m:t>
        </m:r>
      </m:oMath>
      <w:r w:rsidR="0088283A" w:rsidRPr="001C1D37">
        <w:t xml:space="preserve"> = 0, 1, 2, 3, 4, 5, 6 to get enough follow-up</w:t>
      </w:r>
      <w:r w:rsidR="00D32927" w:rsidRPr="001C1D37">
        <w:t xml:space="preserve"> values</w:t>
      </w:r>
      <w:r w:rsidR="0088283A" w:rsidRPr="001C1D37">
        <w:t xml:space="preserve"> for </w:t>
      </w:r>
      <w:proofErr w:type="gramStart"/>
      <w:r w:rsidR="0088283A" w:rsidRPr="001C1D37">
        <w:t>l</w:t>
      </w:r>
      <w:r w:rsidR="00BB4497" w:rsidRPr="001C1D37">
        <w:t>ater</w:t>
      </w:r>
      <w:r w:rsidR="0088283A" w:rsidRPr="001C1D37">
        <w:t xml:space="preserve"> </w:t>
      </w:r>
      <w:proofErr w:type="gramEnd"/>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D32927" w:rsidRPr="001C1D37">
        <w:t>. We</w:t>
      </w:r>
      <w:r w:rsidR="00DA764C" w:rsidRPr="001C1D37">
        <w:t xml:space="preserve"> considered a setting with an </w:t>
      </w:r>
      <w:r w:rsidR="00EA4B64" w:rsidRPr="001C1D37">
        <w:t>approximately 30</w:t>
      </w:r>
      <w:r w:rsidR="00B22DE6" w:rsidRPr="001C1D37">
        <w:t xml:space="preserve">% events </w:t>
      </w:r>
      <w:r w:rsidR="00D32927" w:rsidRPr="001C1D37">
        <w:t xml:space="preserve">in the entire sample with overall </w:t>
      </w:r>
      <w:r w:rsidR="00EA4B64" w:rsidRPr="001C1D37">
        <w:t xml:space="preserve">association </w:t>
      </w:r>
      <m:oMath>
        <m:r>
          <w:rPr>
            <w:rFonts w:ascii="Cambria Math" w:hAnsi="Cambria Math"/>
          </w:rPr>
          <m:t>≈</m:t>
        </m:r>
      </m:oMath>
      <w:r w:rsidR="004219CC" w:rsidRPr="001C1D37">
        <w:t xml:space="preserve"> </w:t>
      </w:r>
      <w:r w:rsidR="00EA4B64" w:rsidRPr="001C1D37">
        <w:t>-0.5</w:t>
      </w:r>
      <w:r w:rsidR="00EE0B8F" w:rsidRPr="001C1D37">
        <w:t xml:space="preserve"> </w:t>
      </w:r>
      <w:r w:rsidR="00DA764C" w:rsidRPr="001C1D37">
        <w:t xml:space="preserve">to agree with the situation in </w:t>
      </w:r>
      <w:r w:rsidR="00EE0B8F" w:rsidRPr="001C1D37">
        <w:t>application dataset</w:t>
      </w:r>
      <w:r w:rsidR="00B22DE6" w:rsidRPr="001C1D37">
        <w:t>.</w:t>
      </w:r>
      <w:r w:rsidR="00EA4B64" w:rsidRPr="001C1D37">
        <w:t xml:space="preserve"> </w:t>
      </w:r>
      <m:oMath>
        <m:sSubSup>
          <m:sSubSupPr>
            <m:ctrlPr>
              <w:rPr>
                <w:rFonts w:ascii="Cambria Math" w:hAnsi="Cambria Math"/>
                <w:bCs/>
                <w:i/>
              </w:rPr>
            </m:ctrlPr>
          </m:sSubSupPr>
          <m:e>
            <m:r>
              <w:rPr>
                <w:rFonts w:ascii="Cambria Math" w:hAnsi="Cambria Math"/>
              </w:rPr>
              <m:t>σ</m:t>
            </m:r>
          </m:e>
          <m:sub>
            <m:r>
              <w:rPr>
                <w:rFonts w:ascii="Cambria Math" w:hAnsi="Cambria Math"/>
              </w:rPr>
              <m:t>e</m:t>
            </m:r>
          </m:sub>
          <m:sup>
            <m:r>
              <w:rPr>
                <w:rFonts w:ascii="Cambria Math" w:hAnsi="Cambria Math"/>
              </w:rPr>
              <m:t>2</m:t>
            </m:r>
          </m:sup>
        </m:sSubSup>
        <m:r>
          <w:rPr>
            <w:rFonts w:ascii="Cambria Math" w:hAnsi="Cambria Math"/>
          </w:rPr>
          <m:t>=</m:t>
        </m:r>
      </m:oMath>
      <w:r w:rsidR="006A1BFB" w:rsidRPr="001C1D37">
        <w:rPr>
          <w:rFonts w:eastAsia="Calibri"/>
        </w:rPr>
        <w:t xml:space="preserve"> 0.5. </w:t>
      </w:r>
      <w:r w:rsidR="00D32927" w:rsidRPr="001C1D37">
        <w:t>The time</w:t>
      </w:r>
      <w:r w:rsidR="00A934A5" w:rsidRPr="001C1D37">
        <w:t xml:space="preserve"> point</w:t>
      </w:r>
      <w:r w:rsidR="00D32927" w:rsidRPr="001C1D37">
        <w:t xml:space="preserve">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D32927" w:rsidRPr="001C1D37">
        <w:t xml:space="preserve"> was varied </w:t>
      </w:r>
      <w:r w:rsidR="0048300B" w:rsidRPr="001C1D37">
        <w:t>at 2, 3 and 4</w:t>
      </w:r>
      <w:r w:rsidR="00D32927" w:rsidRPr="001C1D37">
        <w:t>. We</w:t>
      </w:r>
      <w:r w:rsidR="004C1871" w:rsidRPr="001C1D37">
        <w:t xml:space="preserve"> follow</w:t>
      </w:r>
      <w:r w:rsidR="00D32927" w:rsidRPr="001C1D37">
        <w:t>ed</w:t>
      </w:r>
      <w:r w:rsidR="004C1871" w:rsidRPr="001C1D37">
        <w:t xml:space="preserve"> the proposed </w:t>
      </w:r>
      <w:r w:rsidR="00D32927" w:rsidRPr="001C1D37">
        <w:t xml:space="preserve">estimation procedure to obtain the ROC summaries </w:t>
      </w:r>
      <w:r w:rsidR="00A934A5" w:rsidRPr="001C1D37">
        <w:t xml:space="preserve">for time periods </w:t>
      </w:r>
      <m:oMath>
        <m:d>
          <m:dPr>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t</m:t>
                </m:r>
              </m:e>
              <m:sub>
                <m:r>
                  <w:rPr>
                    <w:rFonts w:ascii="Cambria Math" w:hAnsi="Cambria Math"/>
                  </w:rPr>
                  <m:t>h</m:t>
                </m:r>
              </m:sub>
            </m:sSub>
          </m:e>
        </m:d>
        <m:r>
          <w:rPr>
            <w:rFonts w:ascii="Cambria Math" w:hAnsi="Cambria Math"/>
          </w:rPr>
          <m:t>;h=</m:t>
        </m:r>
      </m:oMath>
      <w:r w:rsidR="00A934A5" w:rsidRPr="001C1D37">
        <w:t xml:space="preserve"> 1, 2, 3, 4, 5.</w:t>
      </w:r>
      <w:r w:rsidR="00EE0B8F" w:rsidRPr="001C1D37">
        <w:t xml:space="preserve"> </w:t>
      </w:r>
    </w:p>
    <w:p w:rsidR="00D32927" w:rsidRPr="001C1D37" w:rsidRDefault="00D32927" w:rsidP="001C1D37">
      <w:pPr>
        <w:autoSpaceDE w:val="0"/>
        <w:autoSpaceDN w:val="0"/>
        <w:adjustRightInd w:val="0"/>
      </w:pPr>
    </w:p>
    <w:p w:rsidR="00BF4A60" w:rsidRPr="001C1D37" w:rsidRDefault="00BF4A60" w:rsidP="001C1D37">
      <w:pPr>
        <w:autoSpaceDE w:val="0"/>
        <w:autoSpaceDN w:val="0"/>
        <w:adjustRightInd w:val="0"/>
      </w:pPr>
    </w:p>
    <w:p w:rsidR="00D0467E" w:rsidRPr="001C1D37" w:rsidRDefault="008E7C79" w:rsidP="001C1D37">
      <w:pPr>
        <w:autoSpaceDE w:val="0"/>
        <w:autoSpaceDN w:val="0"/>
        <w:adjustRightInd w:val="0"/>
        <w:rPr>
          <w:b/>
        </w:rPr>
      </w:pPr>
      <w:r w:rsidRPr="001C1D37">
        <w:rPr>
          <w:b/>
        </w:rPr>
        <w:t xml:space="preserve">5.1 </w:t>
      </w:r>
      <w:r w:rsidR="00D0467E" w:rsidRPr="001C1D37">
        <w:rPr>
          <w:b/>
        </w:rPr>
        <w:t>Results from the simulation study</w:t>
      </w:r>
      <w:r w:rsidRPr="001C1D37">
        <w:rPr>
          <w:b/>
        </w:rPr>
        <w:t xml:space="preserve"> 1</w:t>
      </w:r>
    </w:p>
    <w:p w:rsidR="008D5D95" w:rsidRPr="001C1D37" w:rsidRDefault="00D0467E" w:rsidP="001C1D37">
      <w:r w:rsidRPr="001C1D37">
        <w:rPr>
          <w:rFonts w:eastAsia="Calibri"/>
          <w:lang w:eastAsia="en-GB"/>
        </w:rPr>
        <w:t xml:space="preserve">Table 1 presents bias and coverage estimates for association parameter </w:t>
      </w:r>
      <w:r w:rsidRPr="001C1D37">
        <w:t xml:space="preserve">based on 10000 simulations. </w:t>
      </w:r>
      <w:r w:rsidR="00F03A1C" w:rsidRPr="001C1D37">
        <w:t>We observe that th</w:t>
      </w:r>
      <w:r w:rsidRPr="001C1D37">
        <w:rPr>
          <w:rFonts w:eastAsia="Calibri"/>
          <w:lang w:eastAsia="en-GB"/>
        </w:rPr>
        <w:t>e joint model</w:t>
      </w:r>
      <w:r w:rsidR="00F03A1C" w:rsidRPr="001C1D37">
        <w:rPr>
          <w:rFonts w:eastAsia="Calibri"/>
          <w:lang w:eastAsia="en-GB"/>
        </w:rPr>
        <w:t xml:space="preserve"> provides</w:t>
      </w:r>
      <w:r w:rsidRPr="001C1D37">
        <w:rPr>
          <w:rFonts w:eastAsia="Calibri"/>
          <w:lang w:eastAsia="en-GB"/>
        </w:rPr>
        <w:t xml:space="preserve"> the most </w:t>
      </w:r>
      <w:r w:rsidRPr="001C1D37">
        <w:t xml:space="preserve">accurate estimation of the association with </w:t>
      </w:r>
      <w:r w:rsidRPr="001C1D37">
        <w:rPr>
          <w:rFonts w:eastAsia="Calibri"/>
          <w:lang w:eastAsia="en-GB"/>
        </w:rPr>
        <w:t xml:space="preserve">lower standard errors together with smaller biases and coverage probabilities closer to 95% across all settings, and this observation is consistent with the previous simulation study results </w:t>
      </w:r>
      <w:r w:rsidRPr="001C1D37">
        <w:rPr>
          <w:rFonts w:eastAsia="Calibri"/>
        </w:rPr>
        <w:t>[</w:t>
      </w:r>
      <w:r w:rsidR="006A38E6" w:rsidRPr="001C1D37">
        <w:rPr>
          <w:rFonts w:eastAsia="Calibri"/>
        </w:rPr>
        <w:t>3</w:t>
      </w:r>
      <w:r w:rsidR="00FA78FC" w:rsidRPr="001C1D37">
        <w:rPr>
          <w:rFonts w:eastAsia="Calibri"/>
        </w:rPr>
        <w:t>1</w:t>
      </w:r>
      <w:r w:rsidRPr="001C1D37">
        <w:rPr>
          <w:rFonts w:eastAsia="Calibri"/>
        </w:rPr>
        <w:t xml:space="preserve">]. </w:t>
      </w:r>
      <w:r w:rsidRPr="001C1D37">
        <w:rPr>
          <w:rFonts w:eastAsia="Calibri"/>
          <w:lang w:eastAsia="en-GB"/>
        </w:rPr>
        <w:t xml:space="preserve">Further, </w:t>
      </w:r>
      <w:r w:rsidRPr="001C1D37">
        <w:t xml:space="preserve">joint model estimates </w:t>
      </w:r>
      <m:oMath>
        <m:sSub>
          <m:sSubPr>
            <m:ctrlPr>
              <w:rPr>
                <w:rFonts w:ascii="Cambria Math" w:hAnsi="Cambria Math"/>
                <w:i/>
              </w:rPr>
            </m:ctrlPr>
          </m:sSubPr>
          <m:e>
            <m:r>
              <w:rPr>
                <w:rFonts w:ascii="Cambria Math" w:hAnsi="Cambria Math"/>
              </w:rPr>
              <m:t>γ</m:t>
            </m:r>
          </m:e>
          <m:sub>
            <m:r>
              <w:rPr>
                <w:rFonts w:ascii="Cambria Math" w:hAnsi="Cambria Math"/>
              </w:rPr>
              <m:t>t</m:t>
            </m:r>
          </m:sub>
        </m:sSub>
      </m:oMath>
      <w:r w:rsidRPr="001C1D37">
        <w:t xml:space="preserve"> fairly close to the true value even when the measurement error is high; indicating that the joint model makes the proper adjustment of measurement error when estimating the underlying association. </w:t>
      </w:r>
      <w:r w:rsidR="00F03A1C" w:rsidRPr="001C1D37">
        <w:rPr>
          <w:rFonts w:eastAsia="Calibri"/>
          <w:lang w:eastAsia="en-GB"/>
        </w:rPr>
        <w:t xml:space="preserve">The Cox model with most recent biomarker measurement underestimates the association when the true </w:t>
      </w:r>
      <w:r w:rsidR="00F03A1C" w:rsidRPr="001C1D37">
        <w:t xml:space="preserve">dependence between the </w:t>
      </w:r>
      <w:r w:rsidR="004D385D" w:rsidRPr="001C1D37">
        <w:t xml:space="preserve">two </w:t>
      </w:r>
      <w:r w:rsidR="00F03A1C" w:rsidRPr="001C1D37">
        <w:t>outcomes is fairly strong</w:t>
      </w:r>
      <w:r w:rsidR="008D5D95" w:rsidRPr="001C1D37">
        <w:rPr>
          <w:rFonts w:eastAsia="Calibri"/>
          <w:lang w:eastAsia="en-GB"/>
        </w:rPr>
        <w:t>, and high</w:t>
      </w:r>
      <w:r w:rsidR="008D5D95" w:rsidRPr="001C1D37">
        <w:t xml:space="preserve"> measurement error in longitudinal outcome substantially affects the estimation of association. </w:t>
      </w:r>
      <w:r w:rsidR="00941783" w:rsidRPr="001C1D37">
        <w:t xml:space="preserve">The issues associated with the Cox model when estimating the association between a biomarker and event time are discussed previously in </w:t>
      </w:r>
      <w:r w:rsidR="00941783" w:rsidRPr="001C1D37">
        <w:lastRenderedPageBreak/>
        <w:t xml:space="preserve">sections 1 and 2. </w:t>
      </w:r>
      <w:r w:rsidR="008D5D95" w:rsidRPr="001C1D37">
        <w:t>These simulation results strengthened the case for using the joint model for estimating the efficacy of a longitudinal biomarker</w:t>
      </w:r>
      <w:r w:rsidR="004D385D" w:rsidRPr="001C1D37">
        <w:t xml:space="preserve"> in practice</w:t>
      </w:r>
      <w:r w:rsidR="00941783" w:rsidRPr="001C1D37">
        <w:t>.</w:t>
      </w:r>
    </w:p>
    <w:p w:rsidR="008D5D95" w:rsidRPr="001C1D37" w:rsidRDefault="008D5D95" w:rsidP="001C1D37">
      <w:pPr>
        <w:autoSpaceDE w:val="0"/>
        <w:autoSpaceDN w:val="0"/>
        <w:adjustRightInd w:val="0"/>
      </w:pPr>
    </w:p>
    <w:p w:rsidR="00555DC3" w:rsidRPr="001C1D37" w:rsidRDefault="00555DC3" w:rsidP="001C1D37">
      <w:pPr>
        <w:autoSpaceDE w:val="0"/>
        <w:autoSpaceDN w:val="0"/>
        <w:adjustRightInd w:val="0"/>
      </w:pPr>
    </w:p>
    <w:p w:rsidR="008E7C79" w:rsidRPr="001C1D37" w:rsidRDefault="008E7C79" w:rsidP="001C1D37">
      <w:pPr>
        <w:autoSpaceDE w:val="0"/>
        <w:autoSpaceDN w:val="0"/>
        <w:adjustRightInd w:val="0"/>
        <w:rPr>
          <w:b/>
        </w:rPr>
      </w:pPr>
      <w:r w:rsidRPr="001C1D37">
        <w:rPr>
          <w:b/>
        </w:rPr>
        <w:t>5.2 Results from the simulation study 2</w:t>
      </w:r>
    </w:p>
    <w:p w:rsidR="00A90A09" w:rsidRPr="001C1D37" w:rsidRDefault="00E00945" w:rsidP="001C1D37">
      <w:pPr>
        <w:pStyle w:val="NoSpacing"/>
        <w:rPr>
          <w:rFonts w:ascii="Times New Roman" w:hAnsi="Times New Roman"/>
          <w:sz w:val="24"/>
          <w:szCs w:val="24"/>
        </w:rPr>
      </w:pPr>
      <w:r w:rsidRPr="001C1D37">
        <w:rPr>
          <w:rFonts w:ascii="Times New Roman" w:hAnsi="Times New Roman"/>
          <w:sz w:val="24"/>
          <w:szCs w:val="24"/>
        </w:rPr>
        <w:t>Table 2</w:t>
      </w:r>
      <w:r w:rsidR="00941783" w:rsidRPr="001C1D37">
        <w:rPr>
          <w:rFonts w:ascii="Times New Roman" w:hAnsi="Times New Roman"/>
          <w:sz w:val="24"/>
          <w:szCs w:val="24"/>
        </w:rPr>
        <w:t xml:space="preserve"> </w:t>
      </w:r>
      <w:r w:rsidRPr="001C1D37">
        <w:rPr>
          <w:rFonts w:ascii="Times New Roman" w:hAnsi="Times New Roman"/>
          <w:sz w:val="24"/>
          <w:szCs w:val="24"/>
        </w:rPr>
        <w:t xml:space="preserve">tabulates the </w:t>
      </w:r>
      <w:r w:rsidR="00D0467E" w:rsidRPr="001C1D37">
        <w:rPr>
          <w:rFonts w:ascii="Times New Roman" w:hAnsi="Times New Roman"/>
          <w:sz w:val="24"/>
          <w:szCs w:val="24"/>
        </w:rPr>
        <w:t xml:space="preserve">estimated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oMath>
      <w:r w:rsidR="00941783" w:rsidRPr="001C1D37">
        <w:rPr>
          <w:rFonts w:ascii="Times New Roman" w:hAnsi="Times New Roman"/>
          <w:sz w:val="24"/>
          <w:szCs w:val="24"/>
          <w:lang w:eastAsia="en-GB"/>
        </w:rPr>
        <w:t xml:space="preserve"> and </w:t>
      </w:r>
      <w:r w:rsidR="000F58A5" w:rsidRPr="001C1D37">
        <w:rPr>
          <w:rFonts w:ascii="Times New Roman" w:hAnsi="Times New Roman"/>
          <w:sz w:val="24"/>
          <w:szCs w:val="24"/>
          <w:lang w:eastAsia="en-GB"/>
        </w:rPr>
        <w:t xml:space="preserve">AUC </w:t>
      </w:r>
      <w:r w:rsidR="00D0467E" w:rsidRPr="001C1D37">
        <w:rPr>
          <w:rFonts w:ascii="Times New Roman" w:hAnsi="Times New Roman"/>
          <w:sz w:val="24"/>
          <w:szCs w:val="24"/>
        </w:rPr>
        <w:t xml:space="preserve">from the proposed approach based on </w:t>
      </w:r>
      <w:r w:rsidRPr="001C1D37">
        <w:rPr>
          <w:rFonts w:ascii="Times New Roman" w:hAnsi="Times New Roman"/>
          <w:sz w:val="24"/>
          <w:szCs w:val="24"/>
        </w:rPr>
        <w:t>5</w:t>
      </w:r>
      <w:r w:rsidR="00D0467E" w:rsidRPr="001C1D37">
        <w:rPr>
          <w:rFonts w:ascii="Times New Roman" w:hAnsi="Times New Roman"/>
          <w:sz w:val="24"/>
          <w:szCs w:val="24"/>
        </w:rPr>
        <w:t>00 simulations.</w:t>
      </w:r>
      <w:r w:rsidRPr="001C1D37">
        <w:rPr>
          <w:rFonts w:ascii="Times New Roman" w:hAnsi="Times New Roman"/>
          <w:sz w:val="24"/>
          <w:szCs w:val="24"/>
        </w:rPr>
        <w:t xml:space="preserve"> </w:t>
      </w:r>
      <w:r w:rsidR="004D2F79" w:rsidRPr="001C1D37">
        <w:rPr>
          <w:rFonts w:ascii="Times New Roman" w:hAnsi="Times New Roman"/>
          <w:sz w:val="24"/>
          <w:szCs w:val="24"/>
        </w:rPr>
        <w:t xml:space="preserve">When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oMath>
      <w:r w:rsidR="004D2F79" w:rsidRPr="001C1D37">
        <w:rPr>
          <w:rFonts w:ascii="Times New Roman" w:hAnsi="Times New Roman"/>
          <w:sz w:val="24"/>
          <w:szCs w:val="24"/>
          <w:lang w:eastAsia="en-GB"/>
        </w:rPr>
        <w:t xml:space="preserve"> = 0, </w:t>
      </w:r>
      <w:r w:rsidR="00941783" w:rsidRPr="001C1D37">
        <w:rPr>
          <w:rFonts w:ascii="Times New Roman" w:hAnsi="Times New Roman"/>
          <w:sz w:val="24"/>
          <w:szCs w:val="24"/>
          <w:lang w:eastAsia="en-GB"/>
        </w:rPr>
        <w:t>that is</w:t>
      </w:r>
      <w:r w:rsidR="004D2F79" w:rsidRPr="001C1D37">
        <w:rPr>
          <w:rFonts w:ascii="Times New Roman" w:hAnsi="Times New Roman"/>
          <w:sz w:val="24"/>
          <w:szCs w:val="24"/>
          <w:lang w:eastAsia="en-GB"/>
        </w:rPr>
        <w:t xml:space="preserve"> when there is no association between the</w:t>
      </w:r>
      <w:r w:rsidR="004D2F79" w:rsidRPr="001C1D37">
        <w:rPr>
          <w:rFonts w:ascii="Times New Roman" w:hAnsi="Times New Roman"/>
          <w:sz w:val="24"/>
          <w:szCs w:val="24"/>
        </w:rPr>
        <w:t xml:space="preserve"> biomarker </w:t>
      </w:r>
      <w:r w:rsidR="004D2F79" w:rsidRPr="001C1D37">
        <w:rPr>
          <w:rFonts w:ascii="Times New Roman" w:hAnsi="Times New Roman"/>
          <w:sz w:val="24"/>
          <w:szCs w:val="24"/>
          <w:lang w:eastAsia="en-GB"/>
        </w:rPr>
        <w:t>and event-time process, the AUC is estimated fairly close to the null value of 0.5</w:t>
      </w:r>
      <w:r w:rsidR="00941783" w:rsidRPr="001C1D37">
        <w:rPr>
          <w:rFonts w:ascii="Times New Roman" w:hAnsi="Times New Roman"/>
          <w:sz w:val="24"/>
          <w:szCs w:val="24"/>
          <w:lang w:eastAsia="en-GB"/>
        </w:rPr>
        <w:t xml:space="preserve"> which indicates biomarker </w:t>
      </w:r>
      <w:r w:rsidR="004D385D" w:rsidRPr="001C1D37">
        <w:rPr>
          <w:rFonts w:ascii="Times New Roman" w:hAnsi="Times New Roman"/>
          <w:sz w:val="24"/>
          <w:szCs w:val="24"/>
          <w:lang w:eastAsia="en-GB"/>
        </w:rPr>
        <w:t>shows</w:t>
      </w:r>
      <w:r w:rsidR="00941783" w:rsidRPr="001C1D37">
        <w:rPr>
          <w:rFonts w:ascii="Times New Roman" w:hAnsi="Times New Roman"/>
          <w:sz w:val="24"/>
          <w:szCs w:val="24"/>
          <w:lang w:eastAsia="en-GB"/>
        </w:rPr>
        <w:t xml:space="preserve"> no discriminatory potential</w:t>
      </w:r>
      <w:r w:rsidR="00F00276" w:rsidRPr="001C1D37">
        <w:rPr>
          <w:rFonts w:ascii="Times New Roman" w:hAnsi="Times New Roman"/>
          <w:sz w:val="24"/>
          <w:szCs w:val="24"/>
          <w:lang w:eastAsia="en-GB"/>
        </w:rPr>
        <w:t xml:space="preserve">. </w:t>
      </w:r>
      <w:r w:rsidR="00246F40" w:rsidRPr="001C1D37">
        <w:rPr>
          <w:rFonts w:ascii="Times New Roman" w:hAnsi="Times New Roman"/>
          <w:sz w:val="24"/>
          <w:szCs w:val="24"/>
          <w:lang w:eastAsia="en-GB"/>
        </w:rPr>
        <w:t>A</w:t>
      </w:r>
      <w:r w:rsidR="00F00276" w:rsidRPr="001C1D37">
        <w:rPr>
          <w:rFonts w:ascii="Times New Roman" w:hAnsi="Times New Roman"/>
          <w:sz w:val="24"/>
          <w:szCs w:val="24"/>
          <w:lang w:eastAsia="en-GB"/>
        </w:rPr>
        <w:t>s</w:t>
      </w:r>
      <w:r w:rsidRPr="001C1D37">
        <w:rPr>
          <w:rFonts w:ascii="Times New Roman" w:hAnsi="Times New Roman"/>
          <w:sz w:val="24"/>
          <w:szCs w:val="24"/>
        </w:rPr>
        <w:t xml:space="preserve"> strength of </w:t>
      </w:r>
      <w:r w:rsidR="00246F40" w:rsidRPr="001C1D37">
        <w:rPr>
          <w:rFonts w:ascii="Times New Roman" w:hAnsi="Times New Roman"/>
          <w:sz w:val="24"/>
          <w:szCs w:val="24"/>
        </w:rPr>
        <w:t xml:space="preserve">the </w:t>
      </w:r>
      <w:r w:rsidRPr="001C1D37">
        <w:rPr>
          <w:rFonts w:ascii="Times New Roman" w:hAnsi="Times New Roman"/>
          <w:sz w:val="24"/>
          <w:szCs w:val="24"/>
        </w:rPr>
        <w:t xml:space="preserve">association </w:t>
      </w:r>
      <w:r w:rsidR="004D385D" w:rsidRPr="001C1D37">
        <w:rPr>
          <w:rFonts w:ascii="Times New Roman" w:hAnsi="Times New Roman"/>
          <w:sz w:val="24"/>
          <w:szCs w:val="24"/>
        </w:rPr>
        <w:t>becomes</w:t>
      </w:r>
      <w:r w:rsidR="00D0467E" w:rsidRPr="001C1D37">
        <w:rPr>
          <w:rFonts w:ascii="Times New Roman" w:hAnsi="Times New Roman"/>
          <w:sz w:val="24"/>
          <w:szCs w:val="24"/>
        </w:rPr>
        <w:t xml:space="preserve"> stronger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oMath>
      <w:r w:rsidR="00D0467E" w:rsidRPr="001C1D37">
        <w:rPr>
          <w:rFonts w:ascii="Times New Roman" w:hAnsi="Times New Roman"/>
          <w:sz w:val="24"/>
          <w:szCs w:val="24"/>
        </w:rPr>
        <w:t xml:space="preserve"> moves towards</w:t>
      </w:r>
      <m:oMath>
        <m:r>
          <w:rPr>
            <w:rFonts w:ascii="Cambria Math" w:hAnsi="Cambria Math"/>
            <w:sz w:val="24"/>
            <w:szCs w:val="24"/>
          </w:rPr>
          <m:t xml:space="preserve"> -1.0</m:t>
        </m:r>
      </m:oMath>
      <w:r w:rsidR="004D385D" w:rsidRPr="001C1D37">
        <w:rPr>
          <w:rFonts w:ascii="Times New Roman" w:hAnsi="Times New Roman"/>
          <w:sz w:val="24"/>
          <w:szCs w:val="24"/>
        </w:rPr>
        <w:t xml:space="preserve">), </w:t>
      </w:r>
      <w:r w:rsidR="002F3226" w:rsidRPr="001C1D37">
        <w:rPr>
          <w:rFonts w:ascii="Times New Roman" w:hAnsi="Times New Roman"/>
          <w:sz w:val="24"/>
          <w:szCs w:val="24"/>
        </w:rPr>
        <w:t xml:space="preserve">the estimated </w:t>
      </w:r>
      <w:r w:rsidR="00F00276" w:rsidRPr="001C1D37">
        <w:rPr>
          <w:rFonts w:ascii="Times New Roman" w:hAnsi="Times New Roman"/>
          <w:sz w:val="24"/>
          <w:szCs w:val="24"/>
        </w:rPr>
        <w:t xml:space="preserve">AUC </w:t>
      </w:r>
      <w:r w:rsidR="00246F40" w:rsidRPr="001C1D37">
        <w:rPr>
          <w:rFonts w:ascii="Times New Roman" w:hAnsi="Times New Roman"/>
          <w:sz w:val="24"/>
          <w:szCs w:val="24"/>
        </w:rPr>
        <w:t xml:space="preserve">is </w:t>
      </w:r>
      <w:r w:rsidRPr="001C1D37">
        <w:rPr>
          <w:rFonts w:ascii="Times New Roman" w:hAnsi="Times New Roman"/>
          <w:sz w:val="24"/>
          <w:szCs w:val="24"/>
        </w:rPr>
        <w:t>increas</w:t>
      </w:r>
      <w:r w:rsidR="002F3226" w:rsidRPr="001C1D37">
        <w:rPr>
          <w:rFonts w:ascii="Times New Roman" w:hAnsi="Times New Roman"/>
          <w:sz w:val="24"/>
          <w:szCs w:val="24"/>
        </w:rPr>
        <w:t>e</w:t>
      </w:r>
      <w:r w:rsidR="00246F40" w:rsidRPr="001C1D37">
        <w:rPr>
          <w:rFonts w:ascii="Times New Roman" w:hAnsi="Times New Roman"/>
          <w:sz w:val="24"/>
          <w:szCs w:val="24"/>
        </w:rPr>
        <w:t xml:space="preserve">d by </w:t>
      </w:r>
      <w:r w:rsidR="00E73CF5" w:rsidRPr="001C1D37">
        <w:rPr>
          <w:rFonts w:ascii="Times New Roman" w:hAnsi="Times New Roman"/>
          <w:sz w:val="24"/>
          <w:szCs w:val="24"/>
        </w:rPr>
        <w:t>acceptable</w:t>
      </w:r>
      <w:r w:rsidR="00246F40" w:rsidRPr="001C1D37">
        <w:rPr>
          <w:rFonts w:ascii="Times New Roman" w:hAnsi="Times New Roman"/>
          <w:sz w:val="24"/>
          <w:szCs w:val="24"/>
        </w:rPr>
        <w:t xml:space="preserve"> margins</w:t>
      </w:r>
      <w:r w:rsidR="00D0467E" w:rsidRPr="001C1D37">
        <w:rPr>
          <w:rFonts w:ascii="Times New Roman" w:hAnsi="Times New Roman"/>
          <w:sz w:val="24"/>
          <w:szCs w:val="24"/>
        </w:rPr>
        <w:t xml:space="preserve">. </w:t>
      </w:r>
      <w:r w:rsidR="00D0467E" w:rsidRPr="001C1D37">
        <w:rPr>
          <w:rFonts w:ascii="Times New Roman" w:hAnsi="Times New Roman"/>
          <w:sz w:val="24"/>
          <w:szCs w:val="24"/>
          <w:lang w:eastAsia="en-GB"/>
        </w:rPr>
        <w:t xml:space="preserve">Similar patterns </w:t>
      </w:r>
      <w:r w:rsidR="002F3226" w:rsidRPr="001C1D37">
        <w:rPr>
          <w:rFonts w:ascii="Times New Roman" w:hAnsi="Times New Roman"/>
          <w:sz w:val="24"/>
          <w:szCs w:val="24"/>
          <w:lang w:eastAsia="en-GB"/>
        </w:rPr>
        <w:t>can be</w:t>
      </w:r>
      <w:r w:rsidR="00D0467E" w:rsidRPr="001C1D37">
        <w:rPr>
          <w:rFonts w:ascii="Times New Roman" w:hAnsi="Times New Roman"/>
          <w:sz w:val="24"/>
          <w:szCs w:val="24"/>
          <w:lang w:eastAsia="en-GB"/>
        </w:rPr>
        <w:t xml:space="preserve"> found across different </w:t>
      </w:r>
      <w:r w:rsidRPr="001C1D37">
        <w:rPr>
          <w:rFonts w:ascii="Times New Roman" w:hAnsi="Times New Roman"/>
          <w:sz w:val="24"/>
          <w:szCs w:val="24"/>
          <w:lang w:eastAsia="en-GB"/>
        </w:rPr>
        <w:t>event</w:t>
      </w:r>
      <w:r w:rsidR="00D0467E" w:rsidRPr="001C1D37">
        <w:rPr>
          <w:rFonts w:ascii="Times New Roman" w:hAnsi="Times New Roman"/>
          <w:sz w:val="24"/>
          <w:szCs w:val="24"/>
          <w:lang w:eastAsia="en-GB"/>
        </w:rPr>
        <w:t xml:space="preserve"> </w:t>
      </w:r>
      <w:r w:rsidR="002F3226" w:rsidRPr="001C1D37">
        <w:rPr>
          <w:rFonts w:ascii="Times New Roman" w:hAnsi="Times New Roman"/>
          <w:sz w:val="24"/>
          <w:szCs w:val="24"/>
          <w:lang w:eastAsia="en-GB"/>
        </w:rPr>
        <w:t xml:space="preserve">rates although a </w:t>
      </w:r>
      <w:r w:rsidR="004D2F79" w:rsidRPr="001C1D37">
        <w:rPr>
          <w:rFonts w:ascii="Times New Roman" w:hAnsi="Times New Roman"/>
          <w:sz w:val="24"/>
          <w:szCs w:val="24"/>
          <w:lang w:eastAsia="en-GB"/>
        </w:rPr>
        <w:t xml:space="preserve">slight drop in </w:t>
      </w:r>
      <w:r w:rsidR="002F3226" w:rsidRPr="001C1D37">
        <w:rPr>
          <w:rFonts w:ascii="Times New Roman" w:hAnsi="Times New Roman"/>
          <w:sz w:val="24"/>
          <w:szCs w:val="24"/>
          <w:lang w:eastAsia="en-GB"/>
        </w:rPr>
        <w:t xml:space="preserve">the </w:t>
      </w:r>
      <w:r w:rsidR="004D2F79" w:rsidRPr="001C1D37">
        <w:rPr>
          <w:rFonts w:ascii="Times New Roman" w:hAnsi="Times New Roman"/>
          <w:sz w:val="24"/>
          <w:szCs w:val="24"/>
          <w:lang w:eastAsia="en-GB"/>
        </w:rPr>
        <w:t xml:space="preserve">estimated AUCs </w:t>
      </w:r>
      <w:r w:rsidR="004C1871" w:rsidRPr="001C1D37">
        <w:rPr>
          <w:rFonts w:ascii="Times New Roman" w:hAnsi="Times New Roman"/>
          <w:sz w:val="24"/>
          <w:szCs w:val="24"/>
          <w:lang w:eastAsia="en-GB"/>
        </w:rPr>
        <w:t xml:space="preserve">is observed </w:t>
      </w:r>
      <w:r w:rsidR="002F3226" w:rsidRPr="001C1D37">
        <w:rPr>
          <w:rFonts w:ascii="Times New Roman" w:hAnsi="Times New Roman"/>
          <w:sz w:val="24"/>
          <w:szCs w:val="24"/>
          <w:lang w:eastAsia="en-GB"/>
        </w:rPr>
        <w:t xml:space="preserve">as </w:t>
      </w:r>
      <w:r w:rsidR="004C1871" w:rsidRPr="001C1D37">
        <w:rPr>
          <w:rFonts w:ascii="Times New Roman" w:hAnsi="Times New Roman"/>
          <w:sz w:val="24"/>
          <w:szCs w:val="24"/>
          <w:lang w:eastAsia="en-GB"/>
        </w:rPr>
        <w:t xml:space="preserve">the </w:t>
      </w:r>
      <w:r w:rsidR="002F3226" w:rsidRPr="001C1D37">
        <w:rPr>
          <w:rFonts w:ascii="Times New Roman" w:hAnsi="Times New Roman"/>
          <w:sz w:val="24"/>
          <w:szCs w:val="24"/>
          <w:lang w:eastAsia="en-GB"/>
        </w:rPr>
        <w:t>event rate</w:t>
      </w:r>
      <w:r w:rsidR="004C1871" w:rsidRPr="001C1D37">
        <w:rPr>
          <w:rFonts w:ascii="Times New Roman" w:hAnsi="Times New Roman"/>
          <w:sz w:val="24"/>
          <w:szCs w:val="24"/>
          <w:lang w:eastAsia="en-GB"/>
        </w:rPr>
        <w:t xml:space="preserve"> is</w:t>
      </w:r>
      <w:r w:rsidR="004D2F79" w:rsidRPr="001C1D37">
        <w:rPr>
          <w:rFonts w:ascii="Times New Roman" w:hAnsi="Times New Roman"/>
          <w:sz w:val="24"/>
          <w:szCs w:val="24"/>
          <w:lang w:eastAsia="en-GB"/>
        </w:rPr>
        <w:t xml:space="preserve"> decreased</w:t>
      </w:r>
      <w:r w:rsidR="00D0467E" w:rsidRPr="001C1D37">
        <w:rPr>
          <w:rStyle w:val="ft"/>
          <w:rFonts w:ascii="Times New Roman" w:hAnsi="Times New Roman"/>
          <w:sz w:val="24"/>
          <w:szCs w:val="24"/>
        </w:rPr>
        <w:t>.</w:t>
      </w:r>
      <w:r w:rsidR="00D0467E" w:rsidRPr="001C1D37">
        <w:rPr>
          <w:rFonts w:ascii="Times New Roman" w:hAnsi="Times New Roman"/>
          <w:sz w:val="24"/>
          <w:szCs w:val="24"/>
          <w:lang w:eastAsia="en-GB"/>
        </w:rPr>
        <w:t xml:space="preserve"> </w:t>
      </w:r>
      <w:r w:rsidR="00E73CF5" w:rsidRPr="001C1D37">
        <w:rPr>
          <w:rFonts w:ascii="Times New Roman" w:hAnsi="Times New Roman"/>
          <w:sz w:val="24"/>
          <w:szCs w:val="24"/>
          <w:lang w:eastAsia="en-GB"/>
        </w:rPr>
        <w:t>W</w:t>
      </w:r>
      <w:r w:rsidR="004D385D" w:rsidRPr="001C1D37">
        <w:rPr>
          <w:rFonts w:ascii="Times New Roman" w:hAnsi="Times New Roman"/>
          <w:sz w:val="24"/>
          <w:szCs w:val="24"/>
          <w:lang w:eastAsia="en-GB"/>
        </w:rPr>
        <w:t xml:space="preserve">e observe that </w:t>
      </w:r>
      <w:r w:rsidR="00D0467E" w:rsidRPr="001C1D37">
        <w:rPr>
          <w:rStyle w:val="ft"/>
          <w:rFonts w:ascii="Times New Roman" w:hAnsi="Times New Roman"/>
          <w:sz w:val="24"/>
          <w:szCs w:val="24"/>
        </w:rPr>
        <w:t xml:space="preserve">even with </w:t>
      </w:r>
      <w:r w:rsidR="002F3226" w:rsidRPr="001C1D37">
        <w:rPr>
          <w:rStyle w:val="ft"/>
          <w:rFonts w:ascii="Times New Roman" w:hAnsi="Times New Roman"/>
          <w:sz w:val="24"/>
          <w:szCs w:val="24"/>
        </w:rPr>
        <w:t xml:space="preserve">a </w:t>
      </w:r>
      <w:r w:rsidR="003B48A9" w:rsidRPr="001C1D37">
        <w:rPr>
          <w:rStyle w:val="ft"/>
          <w:rFonts w:ascii="Times New Roman" w:hAnsi="Times New Roman"/>
          <w:sz w:val="24"/>
          <w:szCs w:val="24"/>
        </w:rPr>
        <w:t xml:space="preserve">low </w:t>
      </w:r>
      <w:r w:rsidR="002F3226" w:rsidRPr="001C1D37">
        <w:rPr>
          <w:rStyle w:val="ft"/>
          <w:rFonts w:ascii="Times New Roman" w:hAnsi="Times New Roman"/>
          <w:sz w:val="24"/>
          <w:szCs w:val="24"/>
        </w:rPr>
        <w:t>event rate,</w:t>
      </w:r>
      <w:r w:rsidR="00D0467E" w:rsidRPr="001C1D37">
        <w:rPr>
          <w:rStyle w:val="ft"/>
          <w:rFonts w:ascii="Times New Roman" w:hAnsi="Times New Roman"/>
          <w:sz w:val="24"/>
          <w:szCs w:val="24"/>
        </w:rPr>
        <w:t xml:space="preserve"> the proposed methodology </w:t>
      </w:r>
      <w:r w:rsidR="004C1871" w:rsidRPr="001C1D37">
        <w:rPr>
          <w:rStyle w:val="ft"/>
          <w:rFonts w:ascii="Times New Roman" w:hAnsi="Times New Roman"/>
          <w:sz w:val="24"/>
          <w:szCs w:val="24"/>
        </w:rPr>
        <w:t xml:space="preserve">can comprehend </w:t>
      </w:r>
      <w:r w:rsidR="004D2F79" w:rsidRPr="001C1D37">
        <w:rPr>
          <w:rStyle w:val="ft"/>
          <w:rFonts w:ascii="Times New Roman" w:hAnsi="Times New Roman"/>
          <w:sz w:val="24"/>
          <w:szCs w:val="24"/>
        </w:rPr>
        <w:t xml:space="preserve">the </w:t>
      </w:r>
      <w:r w:rsidR="002F3226" w:rsidRPr="001C1D37">
        <w:rPr>
          <w:rFonts w:ascii="Times New Roman" w:hAnsi="Times New Roman"/>
          <w:sz w:val="24"/>
          <w:szCs w:val="24"/>
        </w:rPr>
        <w:t xml:space="preserve">discriminatory potential of a biomarker (as estimated by AUC) </w:t>
      </w:r>
      <w:r w:rsidR="004C1871" w:rsidRPr="001C1D37">
        <w:rPr>
          <w:rFonts w:ascii="Times New Roman" w:hAnsi="Times New Roman"/>
          <w:sz w:val="24"/>
          <w:szCs w:val="24"/>
        </w:rPr>
        <w:t>when</w:t>
      </w:r>
      <w:r w:rsidR="002F3226" w:rsidRPr="001C1D37">
        <w:rPr>
          <w:rFonts w:ascii="Times New Roman" w:hAnsi="Times New Roman"/>
          <w:sz w:val="24"/>
          <w:szCs w:val="24"/>
        </w:rPr>
        <w:t xml:space="preserve"> the corresponding association </w:t>
      </w:r>
      <w:r w:rsidR="00386008" w:rsidRPr="001C1D37">
        <w:rPr>
          <w:rFonts w:ascii="Times New Roman" w:hAnsi="Times New Roman"/>
          <w:sz w:val="24"/>
          <w:szCs w:val="24"/>
        </w:rPr>
        <w:t xml:space="preserve">parameter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r>
          <w:rPr>
            <w:rFonts w:ascii="Cambria Math" w:hAnsi="Cambria Math"/>
            <w:sz w:val="24"/>
            <w:szCs w:val="24"/>
          </w:rPr>
          <m:t xml:space="preserve"> </m:t>
        </m:r>
      </m:oMath>
      <w:r w:rsidR="002F3226" w:rsidRPr="001C1D37">
        <w:rPr>
          <w:rFonts w:ascii="Times New Roman" w:hAnsi="Times New Roman"/>
          <w:sz w:val="24"/>
          <w:szCs w:val="24"/>
        </w:rPr>
        <w:t>is estimated correctly</w:t>
      </w:r>
      <w:r w:rsidR="002F3226" w:rsidRPr="001C1D37">
        <w:rPr>
          <w:rFonts w:ascii="Times New Roman" w:eastAsiaTheme="minorEastAsia" w:hAnsi="Times New Roman"/>
          <w:sz w:val="24"/>
          <w:szCs w:val="24"/>
        </w:rPr>
        <w:t xml:space="preserve">. </w:t>
      </w:r>
      <w:r w:rsidR="00A90A09" w:rsidRPr="001C1D37">
        <w:rPr>
          <w:rFonts w:ascii="Times New Roman" w:eastAsiaTheme="minorEastAsia" w:hAnsi="Times New Roman"/>
          <w:sz w:val="24"/>
          <w:szCs w:val="24"/>
        </w:rPr>
        <w:t xml:space="preserve">The two additional association structures require a </w:t>
      </w:r>
      <w:r w:rsidR="00C13240" w:rsidRPr="001C1D37">
        <w:rPr>
          <w:rFonts w:ascii="Times New Roman" w:eastAsiaTheme="minorEastAsia" w:hAnsi="Times New Roman"/>
          <w:sz w:val="24"/>
          <w:szCs w:val="24"/>
        </w:rPr>
        <w:t xml:space="preserve">fairly </w:t>
      </w:r>
      <w:r w:rsidR="00A90A09" w:rsidRPr="001C1D37">
        <w:rPr>
          <w:rFonts w:ascii="Times New Roman" w:hAnsi="Times New Roman"/>
          <w:sz w:val="24"/>
          <w:szCs w:val="24"/>
        </w:rPr>
        <w:t xml:space="preserve">high </w:t>
      </w:r>
      <w:r w:rsidR="007F3E9E" w:rsidRPr="001C1D37">
        <w:rPr>
          <w:rFonts w:ascii="Times New Roman" w:hAnsi="Times New Roman"/>
          <w:sz w:val="24"/>
          <w:szCs w:val="24"/>
        </w:rPr>
        <w:t xml:space="preserve">level of </w:t>
      </w:r>
      <w:r w:rsidR="00A90A09" w:rsidRPr="001C1D37">
        <w:rPr>
          <w:rFonts w:ascii="Times New Roman" w:hAnsi="Times New Roman"/>
          <w:sz w:val="24"/>
          <w:szCs w:val="24"/>
        </w:rPr>
        <w:t>association between the biomarker and risk of clinical endpoint to be a useful form in the proposed methodology (see supplementary file for details).</w:t>
      </w:r>
    </w:p>
    <w:p w:rsidR="00941783" w:rsidRPr="001C1D37" w:rsidRDefault="00941783" w:rsidP="001C1D37">
      <w:pPr>
        <w:autoSpaceDE w:val="0"/>
        <w:autoSpaceDN w:val="0"/>
        <w:adjustRightInd w:val="0"/>
        <w:rPr>
          <w:rStyle w:val="ft"/>
        </w:rPr>
      </w:pPr>
    </w:p>
    <w:p w:rsidR="004C1871" w:rsidRPr="001C1D37" w:rsidRDefault="004C1871" w:rsidP="001C1D37">
      <w:pPr>
        <w:autoSpaceDE w:val="0"/>
        <w:autoSpaceDN w:val="0"/>
        <w:adjustRightInd w:val="0"/>
        <w:rPr>
          <w:rStyle w:val="ft"/>
        </w:rPr>
      </w:pPr>
    </w:p>
    <w:p w:rsidR="00941783" w:rsidRPr="001C1D37" w:rsidRDefault="00941783" w:rsidP="001C1D37">
      <w:pPr>
        <w:autoSpaceDE w:val="0"/>
        <w:autoSpaceDN w:val="0"/>
        <w:adjustRightInd w:val="0"/>
        <w:rPr>
          <w:b/>
        </w:rPr>
      </w:pPr>
      <w:r w:rsidRPr="001C1D37">
        <w:rPr>
          <w:b/>
        </w:rPr>
        <w:t>5.3 Results from the simulation study 3</w:t>
      </w:r>
    </w:p>
    <w:p w:rsidR="00D0467E" w:rsidRPr="001C1D37" w:rsidRDefault="003B48A9" w:rsidP="001C1D37">
      <w:pPr>
        <w:autoSpaceDE w:val="0"/>
        <w:autoSpaceDN w:val="0"/>
        <w:adjustRightInd w:val="0"/>
      </w:pPr>
      <w:r w:rsidRPr="001C1D37">
        <w:rPr>
          <w:rStyle w:val="ft"/>
        </w:rPr>
        <w:t xml:space="preserve">Table </w:t>
      </w:r>
      <w:r w:rsidR="004C1871" w:rsidRPr="001C1D37">
        <w:rPr>
          <w:rStyle w:val="ft"/>
        </w:rPr>
        <w:t>3</w:t>
      </w:r>
      <w:r w:rsidRPr="001C1D37">
        <w:rPr>
          <w:rStyle w:val="ft"/>
        </w:rPr>
        <w:t xml:space="preserve"> </w:t>
      </w:r>
      <w:r w:rsidR="004C1871" w:rsidRPr="001C1D37">
        <w:rPr>
          <w:rStyle w:val="ft"/>
        </w:rPr>
        <w:t>tabulates the</w:t>
      </w:r>
      <w:r w:rsidR="00BC0156" w:rsidRPr="001C1D37">
        <w:rPr>
          <w:rStyle w:val="ft"/>
        </w:rPr>
        <w:t xml:space="preserve"> </w:t>
      </w:r>
      <w:r w:rsidR="002E3BF0" w:rsidRPr="001C1D37">
        <w:rPr>
          <w:rStyle w:val="ft"/>
        </w:rPr>
        <w:t xml:space="preserve">estimated </w:t>
      </w:r>
      <w:r w:rsidR="004C1871" w:rsidRPr="001C1D37">
        <w:t xml:space="preserve">ROC summaries </w:t>
      </w:r>
      <w:r w:rsidR="00BC0156" w:rsidRPr="001C1D37">
        <w:t xml:space="preserve">based on 500 </w:t>
      </w:r>
      <w:r w:rsidR="00527232" w:rsidRPr="001C1D37">
        <w:t>simulations</w:t>
      </w:r>
      <w:r w:rsidR="00BC0156" w:rsidRPr="001C1D37">
        <w:t xml:space="preserve"> for </w:t>
      </w:r>
      <w:proofErr w:type="gramStart"/>
      <w:r w:rsidR="00BC0156" w:rsidRPr="001C1D37">
        <w:t xml:space="preserve">each </w:t>
      </w:r>
      <w:proofErr w:type="gramEnd"/>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4C1871" w:rsidRPr="001C1D37">
        <w:t>.</w:t>
      </w:r>
      <w:r w:rsidR="00BC0156" w:rsidRPr="001C1D37">
        <w:t xml:space="preserve"> </w:t>
      </w:r>
      <w:r w:rsidR="000B105C" w:rsidRPr="001C1D37">
        <w:t xml:space="preserve">The average event rate </w:t>
      </w:r>
      <w:r w:rsidR="002E3BF0" w:rsidRPr="001C1D37">
        <w:t>over</w:t>
      </w:r>
      <w:r w:rsidR="000B105C" w:rsidRPr="001C1D37">
        <w:t xml:space="preserve"> each time period is also </w:t>
      </w:r>
      <w:r w:rsidR="00431394" w:rsidRPr="001C1D37">
        <w:t>shown</w:t>
      </w:r>
      <w:r w:rsidR="000B105C" w:rsidRPr="001C1D37">
        <w:t xml:space="preserve">. </w:t>
      </w:r>
      <w:r w:rsidR="00A00C9A" w:rsidRPr="001C1D37">
        <w:t xml:space="preserve">When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r w:rsidR="00A00C9A" w:rsidRPr="001C1D37">
        <w:t xml:space="preserve"> 4, the ROC estimates for the time period </w:t>
      </w:r>
      <m:oMath>
        <m:r>
          <w:rPr>
            <w:rFonts w:ascii="Cambria Math" w:hAnsi="Cambria Math"/>
          </w:rPr>
          <m:t>(0,1)</m:t>
        </m:r>
      </m:oMath>
      <w:r w:rsidR="00A00C9A" w:rsidRPr="001C1D37">
        <w:t xml:space="preserve"> could not be obtained due to </w:t>
      </w:r>
      <w:r w:rsidR="00527232" w:rsidRPr="001C1D37">
        <w:t>considerably</w:t>
      </w:r>
      <w:r w:rsidR="000575F2" w:rsidRPr="001C1D37">
        <w:t xml:space="preserve"> </w:t>
      </w:r>
      <w:r w:rsidR="00A00C9A" w:rsidRPr="001C1D37">
        <w:t xml:space="preserve">low event rate </w:t>
      </w:r>
      <w:r w:rsidR="00431394" w:rsidRPr="001C1D37">
        <w:t>over</w:t>
      </w:r>
      <w:r w:rsidR="00A00C9A" w:rsidRPr="001C1D37">
        <w:t xml:space="preserve"> </w:t>
      </w:r>
      <w:r w:rsidR="000575F2" w:rsidRPr="001C1D37">
        <w:t xml:space="preserve">that </w:t>
      </w:r>
      <w:r w:rsidR="00A00C9A" w:rsidRPr="001C1D37">
        <w:t>time period</w:t>
      </w:r>
      <w:r w:rsidR="000575F2" w:rsidRPr="001C1D37">
        <w:t>.</w:t>
      </w:r>
      <w:r w:rsidR="00A00C9A" w:rsidRPr="001C1D37">
        <w:t xml:space="preserve"> </w:t>
      </w:r>
      <w:r w:rsidR="002E3BF0" w:rsidRPr="001C1D37">
        <w:t xml:space="preserve">The </w:t>
      </w:r>
      <w:r w:rsidR="00A00C9A" w:rsidRPr="001C1D37">
        <w:t>result</w:t>
      </w:r>
      <w:r w:rsidR="000575F2" w:rsidRPr="001C1D37">
        <w:t xml:space="preserve"> from Table 3</w:t>
      </w:r>
      <w:r w:rsidR="002E3BF0" w:rsidRPr="001C1D37">
        <w:t xml:space="preserve"> </w:t>
      </w:r>
      <w:r w:rsidR="00A00C9A" w:rsidRPr="001C1D37">
        <w:t xml:space="preserve">indicates </w:t>
      </w:r>
      <w:r w:rsidR="002E3BF0" w:rsidRPr="001C1D37">
        <w:t xml:space="preserve">that the time </w:t>
      </w:r>
      <w:r w:rsidR="00527232" w:rsidRPr="001C1D37">
        <w:t>at</w:t>
      </w:r>
      <w:r w:rsidR="002E3BF0" w:rsidRPr="001C1D37">
        <w:t xml:space="preserve"> which the highest AUC </w:t>
      </w:r>
      <w:r w:rsidR="000575F2" w:rsidRPr="001C1D37">
        <w:t>was</w:t>
      </w:r>
      <w:r w:rsidR="002E3BF0" w:rsidRPr="001C1D37">
        <w:t xml:space="preserve"> expected is correctly identified by the proposed </w:t>
      </w:r>
      <w:r w:rsidR="00A00C9A" w:rsidRPr="001C1D37">
        <w:t xml:space="preserve">estimation </w:t>
      </w:r>
      <w:r w:rsidR="002E3BF0" w:rsidRPr="001C1D37">
        <w:t xml:space="preserve">approach. </w:t>
      </w:r>
      <w:r w:rsidR="00527232" w:rsidRPr="001C1D37">
        <w:t xml:space="preserve">For example, when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sidR="00527232" w:rsidRPr="001C1D37">
        <w:t xml:space="preserve"> was set at time 3 by simulation, the proposed approach estimated the </w:t>
      </w:r>
      <w:r w:rsidR="00BB4497" w:rsidRPr="001C1D37">
        <w:t>best</w:t>
      </w:r>
      <w:r w:rsidR="00527232" w:rsidRPr="001C1D37">
        <w:t xml:space="preserve"> discriminatory potential of the biomarker over time period (0, 3)</w:t>
      </w:r>
      <w:r w:rsidR="00527232" w:rsidRPr="001C1D37">
        <w:rPr>
          <w:rFonts w:eastAsiaTheme="minorEastAsia"/>
        </w:rPr>
        <w:t xml:space="preserve">. </w:t>
      </w:r>
      <w:r w:rsidR="00A00C9A" w:rsidRPr="001C1D37">
        <w:t xml:space="preserve">In other words, </w:t>
      </w:r>
      <w:r w:rsidR="000B105C" w:rsidRPr="001C1D37">
        <w:t xml:space="preserve">the proposed </w:t>
      </w:r>
      <w:r w:rsidR="002E3BF0" w:rsidRPr="001C1D37">
        <w:lastRenderedPageBreak/>
        <w:t>approach</w:t>
      </w:r>
      <w:r w:rsidR="000B105C" w:rsidRPr="001C1D37">
        <w:t xml:space="preserve"> </w:t>
      </w:r>
      <w:r w:rsidR="002E3BF0" w:rsidRPr="001C1D37">
        <w:t xml:space="preserve">estimated the highest AUC </w:t>
      </w:r>
      <w:r w:rsidR="00A00C9A" w:rsidRPr="001C1D37">
        <w:t xml:space="preserve">at </w:t>
      </w:r>
      <w:r w:rsidR="002E3BF0" w:rsidRPr="001C1D37">
        <w:t xml:space="preserve">the correct time </w:t>
      </w:r>
      <w:r w:rsidR="005F1C3E" w:rsidRPr="001C1D37">
        <w:t>point</w:t>
      </w:r>
      <w:r w:rsidR="009B2E8D" w:rsidRPr="001C1D37">
        <w:t xml:space="preserve"> in each setting</w:t>
      </w:r>
      <w:r w:rsidR="00A00C9A" w:rsidRPr="001C1D37">
        <w:t xml:space="preserve">. </w:t>
      </w:r>
      <w:r w:rsidR="00BE7F8F" w:rsidRPr="001C1D37">
        <w:t>This observation</w:t>
      </w:r>
      <w:r w:rsidR="000F58A5" w:rsidRPr="001C1D37">
        <w:t xml:space="preserve"> confirm</w:t>
      </w:r>
      <w:r w:rsidR="00BE7F8F" w:rsidRPr="001C1D37">
        <w:t>s</w:t>
      </w:r>
      <w:r w:rsidR="000F58A5" w:rsidRPr="001C1D37">
        <w:t xml:space="preserve"> the validity of the proposed </w:t>
      </w:r>
      <w:r w:rsidR="00BE7F8F" w:rsidRPr="001C1D37">
        <w:t>estima</w:t>
      </w:r>
      <w:r w:rsidR="00A00C9A" w:rsidRPr="001C1D37">
        <w:t>tion process</w:t>
      </w:r>
      <w:r w:rsidR="00527232" w:rsidRPr="001C1D37">
        <w:t xml:space="preserve"> to </w:t>
      </w:r>
      <w:r w:rsidR="00BE7F8F" w:rsidRPr="001C1D37">
        <w:t>identif</w:t>
      </w:r>
      <w:r w:rsidR="00527232" w:rsidRPr="001C1D37">
        <w:t>y</w:t>
      </w:r>
      <w:r w:rsidR="00BE7F8F" w:rsidRPr="001C1D37">
        <w:t xml:space="preserve"> </w:t>
      </w:r>
      <w:r w:rsidR="00C95DAE" w:rsidRPr="001C1D37">
        <w:t>the most</w:t>
      </w:r>
      <w:r w:rsidR="00BE7F8F" w:rsidRPr="001C1D37">
        <w:t xml:space="preserve"> appropriate</w:t>
      </w:r>
      <w:r w:rsidR="00C95DAE" w:rsidRPr="001C1D37">
        <w:t xml:space="preserve"> </w:t>
      </w:r>
      <w:r w:rsidR="00BE7F8F" w:rsidRPr="001C1D37">
        <w:t xml:space="preserve">time frame over which the biomarker </w:t>
      </w:r>
      <w:r w:rsidR="00C95DAE" w:rsidRPr="001C1D37">
        <w:t>should be</w:t>
      </w:r>
      <w:r w:rsidR="00BE7F8F" w:rsidRPr="001C1D37">
        <w:t xml:space="preserve"> monitored </w:t>
      </w:r>
      <w:r w:rsidR="00A00C9A" w:rsidRPr="001C1D37">
        <w:t>for</w:t>
      </w:r>
      <w:r w:rsidR="00C95DAE" w:rsidRPr="001C1D37">
        <w:t xml:space="preserve"> the best discriminatory potential</w:t>
      </w:r>
      <w:r w:rsidR="00BE7F8F" w:rsidRPr="001C1D37">
        <w:t>.</w:t>
      </w:r>
    </w:p>
    <w:p w:rsidR="00555DC3" w:rsidRPr="001C1D37" w:rsidRDefault="00555DC3" w:rsidP="001C1D37">
      <w:pPr>
        <w:autoSpaceDE w:val="0"/>
        <w:autoSpaceDN w:val="0"/>
        <w:adjustRightInd w:val="0"/>
      </w:pPr>
    </w:p>
    <w:p w:rsidR="009B2E8D" w:rsidRPr="001C1D37" w:rsidRDefault="009B2E8D" w:rsidP="001C1D37">
      <w:pPr>
        <w:autoSpaceDE w:val="0"/>
        <w:autoSpaceDN w:val="0"/>
        <w:adjustRightInd w:val="0"/>
      </w:pPr>
    </w:p>
    <w:p w:rsidR="00D0467E" w:rsidRPr="001C1D37" w:rsidRDefault="00D0467E" w:rsidP="001C1D37">
      <w:pPr>
        <w:autoSpaceDE w:val="0"/>
        <w:autoSpaceDN w:val="0"/>
        <w:adjustRightInd w:val="0"/>
        <w:rPr>
          <w:b/>
          <w:sz w:val="28"/>
          <w:szCs w:val="28"/>
        </w:rPr>
      </w:pPr>
      <w:r w:rsidRPr="001C1D37">
        <w:rPr>
          <w:rStyle w:val="ft"/>
          <w:b/>
          <w:sz w:val="28"/>
          <w:szCs w:val="28"/>
        </w:rPr>
        <w:t>6. Application:</w:t>
      </w:r>
      <w:r w:rsidRPr="001C1D37">
        <w:rPr>
          <w:b/>
          <w:sz w:val="28"/>
          <w:szCs w:val="28"/>
        </w:rPr>
        <w:t xml:space="preserve"> </w:t>
      </w:r>
      <w:proofErr w:type="spellStart"/>
      <w:proofErr w:type="gramStart"/>
      <w:r w:rsidRPr="001C1D37">
        <w:rPr>
          <w:b/>
          <w:sz w:val="28"/>
          <w:szCs w:val="28"/>
        </w:rPr>
        <w:t>aPTT</w:t>
      </w:r>
      <w:proofErr w:type="spellEnd"/>
      <w:r w:rsidRPr="001C1D37">
        <w:rPr>
          <w:b/>
          <w:sz w:val="28"/>
          <w:szCs w:val="28"/>
        </w:rPr>
        <w:t>(</w:t>
      </w:r>
      <w:proofErr w:type="gramEnd"/>
      <w:r w:rsidRPr="001C1D37">
        <w:rPr>
          <w:b/>
          <w:sz w:val="28"/>
          <w:szCs w:val="28"/>
        </w:rPr>
        <w:t>TL18) as an early and time-dependent biomarker of sepsis</w:t>
      </w:r>
    </w:p>
    <w:p w:rsidR="00D0467E" w:rsidRPr="001C1D37" w:rsidRDefault="00D0467E" w:rsidP="001C1D37">
      <w:pPr>
        <w:tabs>
          <w:tab w:val="left" w:pos="2510"/>
        </w:tabs>
        <w:autoSpaceDE w:val="0"/>
        <w:autoSpaceDN w:val="0"/>
        <w:adjustRightInd w:val="0"/>
      </w:pPr>
      <w:r w:rsidRPr="001C1D37">
        <w:t>We return to the motivat</w:t>
      </w:r>
      <w:r w:rsidR="003A4224" w:rsidRPr="001C1D37">
        <w:t>ing</w:t>
      </w:r>
      <w:r w:rsidRPr="001C1D37">
        <w:t xml:space="preserve"> study introduced in Section 1. This is a single centre, prospective, observational study which includes patients admitted consecutively to the intensive treatment unit (ITU) of the Royal Liverpool University Hospital during January 2008 - June 2009. Sepsis is a major public health concern, and with a mortality rate of 30%, it emerges as a leading cause of death in critically ill patients. </w:t>
      </w:r>
      <w:r w:rsidRPr="001C1D37">
        <w:rPr>
          <w:rFonts w:eastAsia="Calibri"/>
        </w:rPr>
        <w:t xml:space="preserve">Early detection and timely therapeutic intervention is crucial for improved outcome of patients with sepsis [2]. </w:t>
      </w:r>
      <w:r w:rsidR="006B5233" w:rsidRPr="001C1D37">
        <w:t xml:space="preserve">One of the aims of this study is to explore whether </w:t>
      </w:r>
      <w:proofErr w:type="spellStart"/>
      <w:r w:rsidR="006B5233" w:rsidRPr="001C1D37">
        <w:t>aPTT</w:t>
      </w:r>
      <w:proofErr w:type="spellEnd"/>
      <w:r w:rsidR="006B5233" w:rsidRPr="001C1D37">
        <w:t xml:space="preserve"> can be an early and time-dependent biomarker of sepsis in critical care.  </w:t>
      </w:r>
      <w:proofErr w:type="spellStart"/>
      <w:proofErr w:type="gramStart"/>
      <w:r w:rsidR="006B5233" w:rsidRPr="001C1D37">
        <w:t>aPTT</w:t>
      </w:r>
      <w:proofErr w:type="spellEnd"/>
      <w:proofErr w:type="gramEnd"/>
      <w:r w:rsidR="006B5233" w:rsidRPr="001C1D37">
        <w:t xml:space="preserve"> has emerged as a promising biomarker for sepsis with a notable clinical potential over the traditional biomarkers [2,</w:t>
      </w:r>
      <w:r w:rsidR="00E767CF" w:rsidRPr="001C1D37">
        <w:rPr>
          <w:rFonts w:eastAsia="Calibri"/>
          <w:lang w:eastAsia="en-GB"/>
        </w:rPr>
        <w:t>22</w:t>
      </w:r>
      <w:r w:rsidR="006B5233" w:rsidRPr="001C1D37">
        <w:t xml:space="preserve">]. </w:t>
      </w:r>
      <w:proofErr w:type="spellStart"/>
      <w:proofErr w:type="gramStart"/>
      <w:r w:rsidRPr="001C1D37">
        <w:t>aPTT</w:t>
      </w:r>
      <w:proofErr w:type="spellEnd"/>
      <w:proofErr w:type="gramEnd"/>
      <w:r w:rsidRPr="001C1D37">
        <w:t xml:space="preserve"> is a standard test of coagulation, and its abnormality is quantified through the light transmittance level at 18 seconds (TL18). </w:t>
      </w:r>
      <w:r w:rsidRPr="001C1D37">
        <w:rPr>
          <w:rStyle w:val="bodytextblack1"/>
          <w:rFonts w:ascii="Times New Roman" w:hAnsi="Times New Roman"/>
          <w:color w:val="auto"/>
          <w:sz w:val="24"/>
          <w:szCs w:val="24"/>
        </w:rPr>
        <w:t xml:space="preserve">It </w:t>
      </w:r>
      <w:r w:rsidRPr="001C1D37">
        <w:t xml:space="preserve">is also identified as a simple, rapid and reproducible test, which fulfils practical requirements within the critical care setting [2]. </w:t>
      </w:r>
      <w:proofErr w:type="spellStart"/>
      <w:proofErr w:type="gramStart"/>
      <w:r w:rsidRPr="001C1D37">
        <w:t>aPTT</w:t>
      </w:r>
      <w:proofErr w:type="spellEnd"/>
      <w:proofErr w:type="gramEnd"/>
      <w:r w:rsidRPr="001C1D37">
        <w:t xml:space="preserve"> is defined as abnormal if the TL18 was less than 99%.</w:t>
      </w:r>
      <w:r w:rsidRPr="001C1D37">
        <w:rPr>
          <w:rFonts w:eastAsia="Calibri"/>
        </w:rPr>
        <w:t xml:space="preserve"> </w:t>
      </w:r>
      <w:r w:rsidRPr="001C1D37">
        <w:t xml:space="preserve">In this study, </w:t>
      </w:r>
      <w:proofErr w:type="spellStart"/>
      <w:proofErr w:type="gramStart"/>
      <w:r w:rsidRPr="001C1D37">
        <w:t>aPTT</w:t>
      </w:r>
      <w:proofErr w:type="spellEnd"/>
      <w:r w:rsidRPr="001C1D37">
        <w:t>(</w:t>
      </w:r>
      <w:proofErr w:type="gramEnd"/>
      <w:r w:rsidRPr="001C1D37">
        <w:t xml:space="preserve">TL18) measurements was recorded for each patient at least once daily since admission to the ITU. </w:t>
      </w:r>
      <w:proofErr w:type="spellStart"/>
      <w:proofErr w:type="gramStart"/>
      <w:r w:rsidRPr="001C1D37">
        <w:t>aPTT</w:t>
      </w:r>
      <w:proofErr w:type="spellEnd"/>
      <w:r w:rsidRPr="001C1D37">
        <w:t>(</w:t>
      </w:r>
      <w:proofErr w:type="gramEnd"/>
      <w:r w:rsidRPr="001C1D37">
        <w:t xml:space="preserve">TL18) values on different patients were not measured at a common set of time point, and not all patients had the same number of measurements over each time period; a typical unbalanced design observed in many longitudinal studies. All </w:t>
      </w:r>
      <w:proofErr w:type="spellStart"/>
      <w:proofErr w:type="gramStart"/>
      <w:r w:rsidRPr="001C1D37">
        <w:t>aPTT</w:t>
      </w:r>
      <w:proofErr w:type="spellEnd"/>
      <w:r w:rsidRPr="001C1D37">
        <w:t>(</w:t>
      </w:r>
      <w:proofErr w:type="gramEnd"/>
      <w:r w:rsidRPr="001C1D37">
        <w:t xml:space="preserve">TL18) measurements at the time they were measured since admission are allowed in the proposed model.  We explore how the association between </w:t>
      </w:r>
      <w:proofErr w:type="spellStart"/>
      <w:r w:rsidRPr="001C1D37">
        <w:t>aPTT</w:t>
      </w:r>
      <w:proofErr w:type="spellEnd"/>
      <w:r w:rsidRPr="001C1D37">
        <w:t xml:space="preserve">(TL18) and risk of sepsis onset varies over the </w:t>
      </w:r>
      <w:r w:rsidRPr="001C1D37">
        <w:lastRenderedPageBreak/>
        <w:t xml:space="preserve">critical care follow-up up to 7 days, aiming to expose whether longitudinal measurements of </w:t>
      </w:r>
      <w:proofErr w:type="spellStart"/>
      <w:r w:rsidRPr="001C1D37">
        <w:t>aPTT</w:t>
      </w:r>
      <w:proofErr w:type="spellEnd"/>
      <w:r w:rsidRPr="001C1D37">
        <w:t xml:space="preserve">(TL18) facilitates early detection of sepsis. </w:t>
      </w:r>
    </w:p>
    <w:p w:rsidR="00BF4A60" w:rsidRPr="001C1D37" w:rsidRDefault="00BF4A60" w:rsidP="001C1D37">
      <w:pPr>
        <w:tabs>
          <w:tab w:val="left" w:pos="2510"/>
        </w:tabs>
        <w:autoSpaceDE w:val="0"/>
        <w:autoSpaceDN w:val="0"/>
        <w:adjustRightInd w:val="0"/>
      </w:pPr>
    </w:p>
    <w:p w:rsidR="00555DC3" w:rsidRPr="001C1D37" w:rsidRDefault="00555DC3" w:rsidP="001C1D37">
      <w:pPr>
        <w:tabs>
          <w:tab w:val="left" w:pos="2510"/>
        </w:tabs>
        <w:autoSpaceDE w:val="0"/>
        <w:autoSpaceDN w:val="0"/>
        <w:adjustRightInd w:val="0"/>
      </w:pPr>
    </w:p>
    <w:p w:rsidR="00D0467E" w:rsidRPr="001C1D37" w:rsidRDefault="00D0467E" w:rsidP="001C1D37">
      <w:pPr>
        <w:tabs>
          <w:tab w:val="left" w:pos="2510"/>
        </w:tabs>
        <w:autoSpaceDE w:val="0"/>
        <w:autoSpaceDN w:val="0"/>
        <w:adjustRightInd w:val="0"/>
        <w:rPr>
          <w:rFonts w:eastAsia="Calibri"/>
        </w:rPr>
      </w:pPr>
      <w:r w:rsidRPr="001C1D37">
        <w:t xml:space="preserve">Of the cohort, 129 patients were admitted to the ITU free of sepsis, and 39 (30%) developed sepsis during the first 7 days. </w:t>
      </w:r>
      <w:r w:rsidRPr="001C1D37">
        <w:rPr>
          <w:rFonts w:eastAsia="Calibri"/>
        </w:rPr>
        <w:t xml:space="preserve">Table </w:t>
      </w:r>
      <w:r w:rsidR="006B5233" w:rsidRPr="001C1D37">
        <w:rPr>
          <w:rFonts w:eastAsia="Calibri"/>
        </w:rPr>
        <w:t>4</w:t>
      </w:r>
      <w:r w:rsidRPr="001C1D37">
        <w:rPr>
          <w:rFonts w:eastAsia="Calibri"/>
        </w:rPr>
        <w:t xml:space="preserve"> shows the number of </w:t>
      </w:r>
      <w:r w:rsidRPr="001C1D37">
        <w:rPr>
          <w:rFonts w:eastAsia="Calibri"/>
          <w:i/>
        </w:rPr>
        <w:t>cases</w:t>
      </w:r>
      <w:r w:rsidRPr="001C1D37">
        <w:rPr>
          <w:rFonts w:eastAsia="Calibri"/>
        </w:rPr>
        <w:t xml:space="preserve"> and </w:t>
      </w:r>
      <w:r w:rsidRPr="001C1D37">
        <w:rPr>
          <w:rFonts w:eastAsia="Calibri"/>
          <w:i/>
        </w:rPr>
        <w:t>controls</w:t>
      </w:r>
      <w:r w:rsidRPr="001C1D37">
        <w:rPr>
          <w:rFonts w:eastAsia="Calibri"/>
        </w:rPr>
        <w:t xml:space="preserve"> defined </w:t>
      </w:r>
      <w:r w:rsidR="00EE2E91" w:rsidRPr="001C1D37">
        <w:rPr>
          <w:rFonts w:eastAsia="Calibri"/>
        </w:rPr>
        <w:t>for</w:t>
      </w:r>
      <w:r w:rsidRPr="001C1D37">
        <w:rPr>
          <w:rFonts w:eastAsia="Calibri"/>
        </w:rPr>
        <w:t xml:space="preserve"> </w:t>
      </w:r>
      <m:oMath>
        <m:r>
          <w:rPr>
            <w:rFonts w:ascii="Cambria Math" w:hAnsi="Cambria Math"/>
          </w:rPr>
          <m:t xml:space="preserve">(0, </m:t>
        </m:r>
        <m:r>
          <w:rPr>
            <w:rFonts w:ascii="Cambria Math" w:hAnsi="Cambria Math"/>
            <w:lang w:bidi="ta-IN"/>
          </w:rPr>
          <m:t>t</m:t>
        </m:r>
        <m:r>
          <w:rPr>
            <w:rFonts w:ascii="Cambria Math" w:hAnsi="Cambria Math"/>
          </w:rPr>
          <m:t>)</m:t>
        </m:r>
      </m:oMath>
      <w:r w:rsidRPr="001C1D37">
        <w:t xml:space="preserve"> where </w:t>
      </w:r>
      <m:oMath>
        <m:r>
          <w:rPr>
            <w:rFonts w:ascii="Cambria Math" w:hAnsi="Cambria Math"/>
            <w:lang w:bidi="ta-IN"/>
          </w:rPr>
          <m:t>t</m:t>
        </m:r>
        <m:r>
          <w:rPr>
            <w:rFonts w:ascii="Cambria Math"/>
          </w:rPr>
          <m:t xml:space="preserve">= </m:t>
        </m:r>
      </m:oMath>
      <w:r w:rsidRPr="001C1D37">
        <w:t xml:space="preserve"> 24, 48, 72, 96, 120, 144, 168 hours</w:t>
      </w:r>
      <w:r w:rsidRPr="001C1D37">
        <w:rPr>
          <w:rFonts w:eastAsia="Calibri"/>
        </w:rPr>
        <w:t xml:space="preserve">. </w:t>
      </w:r>
      <w:r w:rsidR="00CB308D" w:rsidRPr="001C1D37">
        <w:rPr>
          <w:rFonts w:eastAsia="Calibri"/>
        </w:rPr>
        <w:t>The data</w:t>
      </w:r>
      <w:r w:rsidR="00F30136" w:rsidRPr="001C1D37">
        <w:rPr>
          <w:rFonts w:eastAsia="Calibri"/>
        </w:rPr>
        <w:t>set</w:t>
      </w:r>
      <w:r w:rsidR="00CB308D" w:rsidRPr="001C1D37">
        <w:rPr>
          <w:rFonts w:eastAsia="Calibri"/>
        </w:rPr>
        <w:t xml:space="preserve"> includes a total of 598 </w:t>
      </w:r>
      <w:proofErr w:type="spellStart"/>
      <w:proofErr w:type="gramStart"/>
      <w:r w:rsidR="00CB308D" w:rsidRPr="001C1D37">
        <w:rPr>
          <w:rFonts w:eastAsia="Calibri"/>
        </w:rPr>
        <w:t>aPTT</w:t>
      </w:r>
      <w:proofErr w:type="spellEnd"/>
      <w:r w:rsidR="00CB308D" w:rsidRPr="001C1D37">
        <w:rPr>
          <w:rFonts w:eastAsia="Calibri"/>
        </w:rPr>
        <w:t>(</w:t>
      </w:r>
      <w:proofErr w:type="gramEnd"/>
      <w:r w:rsidR="00CB308D" w:rsidRPr="001C1D37">
        <w:rPr>
          <w:rFonts w:eastAsia="Calibri"/>
        </w:rPr>
        <w:t xml:space="preserve">TL18) records; of which 186 belonged to the 30% who had developed sepsis over follow-up. </w:t>
      </w:r>
      <w:r w:rsidRPr="001C1D37">
        <w:rPr>
          <w:rStyle w:val="bodytextblack1"/>
          <w:rFonts w:ascii="Times New Roman" w:hAnsi="Times New Roman"/>
          <w:color w:val="auto"/>
          <w:sz w:val="24"/>
          <w:szCs w:val="24"/>
        </w:rPr>
        <w:t xml:space="preserve">Figure 1(a) and (b) shows corresponding smooth </w:t>
      </w:r>
      <w:r w:rsidRPr="001C1D37">
        <w:t xml:space="preserve">mean profiles </w:t>
      </w:r>
      <w:r w:rsidRPr="001C1D37">
        <w:rPr>
          <w:rFonts w:eastAsia="Calibri"/>
        </w:rPr>
        <w:t xml:space="preserve">of </w:t>
      </w:r>
      <w:proofErr w:type="spellStart"/>
      <w:proofErr w:type="gramStart"/>
      <w:r w:rsidRPr="001C1D37">
        <w:rPr>
          <w:rFonts w:eastAsia="Calibri"/>
        </w:rPr>
        <w:t>aPTT</w:t>
      </w:r>
      <w:proofErr w:type="spellEnd"/>
      <w:r w:rsidRPr="001C1D37">
        <w:t>(</w:t>
      </w:r>
      <w:proofErr w:type="gramEnd"/>
      <w:r w:rsidRPr="001C1D37">
        <w:t xml:space="preserve">TL18) </w:t>
      </w:r>
      <w:r w:rsidRPr="001C1D37">
        <w:rPr>
          <w:rFonts w:eastAsia="Calibri"/>
        </w:rPr>
        <w:t xml:space="preserve">relative to event-time </w:t>
      </w:r>
      <w:r w:rsidRPr="001C1D37">
        <w:t xml:space="preserve">across all patients for those who developed sepsis during </w:t>
      </w:r>
      <m:oMath>
        <m:r>
          <w:rPr>
            <w:rFonts w:ascii="Cambria Math" w:hAnsi="Cambria Math"/>
          </w:rPr>
          <m:t xml:space="preserve">(0, </m:t>
        </m:r>
        <m:r>
          <w:rPr>
            <w:rFonts w:ascii="Cambria Math" w:hAnsi="Cambria Math"/>
            <w:lang w:bidi="ta-IN"/>
          </w:rPr>
          <m:t>t</m:t>
        </m:r>
        <m:r>
          <w:rPr>
            <w:rFonts w:ascii="Cambria Math" w:hAnsi="Cambria Math"/>
          </w:rPr>
          <m:t>)</m:t>
        </m:r>
      </m:oMath>
      <w:r w:rsidRPr="001C1D37">
        <w:t xml:space="preserve"> (cases, </w:t>
      </w:r>
      <m:oMath>
        <m:r>
          <w:rPr>
            <w:rFonts w:ascii="Cambria Math" w:hAnsi="Cambria Math"/>
          </w:rPr>
          <m:t>D</m:t>
        </m:r>
        <m:d>
          <m:dPr>
            <m:ctrlPr>
              <w:rPr>
                <w:rFonts w:ascii="Cambria Math" w:hAnsi="Cambria Math"/>
                <w:i/>
              </w:rPr>
            </m:ctrlPr>
          </m:dPr>
          <m:e>
            <m:r>
              <w:rPr>
                <w:rFonts w:ascii="Cambria Math" w:hAnsi="Cambria Math"/>
                <w:lang w:bidi="ta-IN"/>
              </w:rPr>
              <m:t>t</m:t>
            </m:r>
          </m:e>
        </m:d>
        <m:r>
          <w:rPr>
            <w:rFonts w:ascii="Cambria Math" w:hAnsi="Cambria Math"/>
          </w:rPr>
          <m:t>=1</m:t>
        </m:r>
      </m:oMath>
      <w:r w:rsidRPr="001C1D37">
        <w:t xml:space="preserve">) </w:t>
      </w:r>
      <w:r w:rsidRPr="001C1D37">
        <w:rPr>
          <w:rFonts w:eastAsia="Calibri"/>
        </w:rPr>
        <w:t xml:space="preserve">and for those who had been defined as free of sepsis at time </w:t>
      </w:r>
      <m:oMath>
        <m:r>
          <w:rPr>
            <w:rFonts w:ascii="Cambria Math" w:hAnsi="Cambria Math"/>
            <w:lang w:bidi="ta-IN"/>
          </w:rPr>
          <m:t>t</m:t>
        </m:r>
      </m:oMath>
      <w:r w:rsidRPr="001C1D37">
        <w:rPr>
          <w:rFonts w:eastAsia="Calibri"/>
        </w:rPr>
        <w:t xml:space="preserve"> (controls</w:t>
      </w:r>
      <w:r w:rsidRPr="001C1D37">
        <w:t xml:space="preserve">, </w:t>
      </w:r>
      <m:oMath>
        <m:r>
          <w:rPr>
            <w:rFonts w:ascii="Cambria Math" w:hAnsi="Cambria Math"/>
          </w:rPr>
          <m:t>D</m:t>
        </m:r>
        <m:d>
          <m:dPr>
            <m:ctrlPr>
              <w:rPr>
                <w:rFonts w:ascii="Cambria Math" w:hAnsi="Cambria Math"/>
                <w:i/>
              </w:rPr>
            </m:ctrlPr>
          </m:dPr>
          <m:e>
            <m:r>
              <w:rPr>
                <w:rFonts w:ascii="Cambria Math" w:hAnsi="Cambria Math"/>
                <w:lang w:bidi="ta-IN"/>
              </w:rPr>
              <m:t>t</m:t>
            </m:r>
          </m:e>
        </m:d>
        <m:r>
          <w:rPr>
            <w:rFonts w:ascii="Cambria Math" w:hAnsi="Cambria Math"/>
          </w:rPr>
          <m:t>=0</m:t>
        </m:r>
      </m:oMath>
      <w:r w:rsidRPr="001C1D37">
        <w:rPr>
          <w:rFonts w:eastAsia="Calibri"/>
        </w:rPr>
        <w:t xml:space="preserve">) respectively. </w:t>
      </w:r>
      <w:r w:rsidRPr="001C1D37">
        <w:t>T</w:t>
      </w:r>
      <w:r w:rsidRPr="001C1D37">
        <w:rPr>
          <w:rStyle w:val="bodytextblack1"/>
          <w:rFonts w:ascii="Times New Roman" w:hAnsi="Times New Roman"/>
          <w:color w:val="auto"/>
          <w:sz w:val="24"/>
          <w:szCs w:val="24"/>
        </w:rPr>
        <w:t xml:space="preserve">he mean </w:t>
      </w:r>
      <w:proofErr w:type="spellStart"/>
      <w:proofErr w:type="gramStart"/>
      <w:r w:rsidRPr="001C1D37">
        <w:rPr>
          <w:rFonts w:eastAsia="Calibri"/>
        </w:rPr>
        <w:t>aPTT</w:t>
      </w:r>
      <w:proofErr w:type="spellEnd"/>
      <w:r w:rsidRPr="001C1D37">
        <w:t>(</w:t>
      </w:r>
      <w:proofErr w:type="gramEnd"/>
      <w:r w:rsidRPr="001C1D37">
        <w:t xml:space="preserve">TL18) profile drop significantly below 99% towards the time of sepsis diagnosis for cases, </w:t>
      </w:r>
      <w:r w:rsidRPr="001C1D37">
        <w:rPr>
          <w:rFonts w:eastAsia="Calibri"/>
        </w:rPr>
        <w:t xml:space="preserve">while they </w:t>
      </w:r>
      <w:r w:rsidRPr="001C1D37">
        <w:t xml:space="preserve">remain fairly stable closer to 99% for </w:t>
      </w:r>
      <w:r w:rsidRPr="001C1D37">
        <w:rPr>
          <w:rFonts w:eastAsia="Calibri"/>
        </w:rPr>
        <w:t>controls.</w:t>
      </w:r>
      <w:r w:rsidRPr="001C1D37">
        <w:t xml:space="preserve">  Further, the drop in mean </w:t>
      </w:r>
      <w:proofErr w:type="spellStart"/>
      <w:proofErr w:type="gramStart"/>
      <w:r w:rsidRPr="001C1D37">
        <w:rPr>
          <w:rFonts w:eastAsia="Calibri"/>
        </w:rPr>
        <w:t>aPTT</w:t>
      </w:r>
      <w:proofErr w:type="spellEnd"/>
      <w:r w:rsidRPr="001C1D37">
        <w:t>(</w:t>
      </w:r>
      <w:proofErr w:type="gramEnd"/>
      <w:r w:rsidRPr="001C1D37">
        <w:t xml:space="preserve">TL18) </w:t>
      </w:r>
      <w:r w:rsidRPr="001C1D37">
        <w:rPr>
          <w:rFonts w:eastAsia="Calibri"/>
        </w:rPr>
        <w:t xml:space="preserve">profiles noticeably varies </w:t>
      </w:r>
      <w:r w:rsidRPr="001C1D37">
        <w:t xml:space="preserve">between earlier and later time periods </w:t>
      </w:r>
      <w:r w:rsidR="005F1C3E" w:rsidRPr="001C1D37">
        <w:rPr>
          <w:rFonts w:eastAsia="Calibri"/>
        </w:rPr>
        <w:t>since</w:t>
      </w:r>
      <w:r w:rsidRPr="001C1D37">
        <w:rPr>
          <w:rFonts w:eastAsia="Calibri"/>
        </w:rPr>
        <w:t xml:space="preserve"> ITU admission</w:t>
      </w:r>
      <w:r w:rsidRPr="001C1D37">
        <w:t xml:space="preserve"> among cases.</w:t>
      </w:r>
      <w:r w:rsidRPr="001C1D37">
        <w:rPr>
          <w:rFonts w:eastAsia="Calibri"/>
        </w:rPr>
        <w:t xml:space="preserve"> This observation sketches the development of the proposed methodology; as such the </w:t>
      </w:r>
      <w:r w:rsidR="00F30136" w:rsidRPr="001C1D37">
        <w:rPr>
          <w:rFonts w:eastAsia="Calibri"/>
        </w:rPr>
        <w:t xml:space="preserve">time-dependent </w:t>
      </w:r>
      <w:r w:rsidRPr="001C1D37">
        <w:rPr>
          <w:rFonts w:eastAsia="Calibri"/>
        </w:rPr>
        <w:t xml:space="preserve">effectiveness of the biomarker is evaluated to account for the varying association between the longitudinal biomarker profile and </w:t>
      </w:r>
      <w:r w:rsidRPr="001C1D37">
        <w:rPr>
          <w:rFonts w:eastAsia="Calibri"/>
          <w:i/>
        </w:rPr>
        <w:t>case/control</w:t>
      </w:r>
      <w:r w:rsidRPr="001C1D37">
        <w:rPr>
          <w:rFonts w:eastAsia="Calibri"/>
        </w:rPr>
        <w:t xml:space="preserve"> set over each time period </w:t>
      </w:r>
      <m:oMath>
        <m:r>
          <w:rPr>
            <w:rFonts w:ascii="Cambria Math" w:eastAsia="Calibri" w:hAnsi="Cambria Math"/>
          </w:rPr>
          <m:t>(0,</m:t>
        </m:r>
        <m:r>
          <w:rPr>
            <w:rFonts w:ascii="Cambria Math" w:hAnsi="Cambria Math"/>
            <w:lang w:bidi="ta-IN"/>
          </w:rPr>
          <m:t>t)</m:t>
        </m:r>
      </m:oMath>
      <w:r w:rsidRPr="001C1D37">
        <w:rPr>
          <w:rFonts w:eastAsia="Calibri"/>
        </w:rPr>
        <w:t xml:space="preserve">.We analyse </w:t>
      </w:r>
      <w:proofErr w:type="spellStart"/>
      <w:proofErr w:type="gramStart"/>
      <w:r w:rsidRPr="001C1D37">
        <w:rPr>
          <w:rFonts w:eastAsia="Calibri"/>
        </w:rPr>
        <w:t>aPTT</w:t>
      </w:r>
      <w:proofErr w:type="spellEnd"/>
      <w:r w:rsidRPr="001C1D37">
        <w:t>(</w:t>
      </w:r>
      <w:proofErr w:type="gramEnd"/>
      <w:r w:rsidRPr="001C1D37">
        <w:t>TL18) in log</w:t>
      </w:r>
      <w:r w:rsidRPr="001C1D37">
        <w:rPr>
          <w:vertAlign w:val="subscript"/>
        </w:rPr>
        <w:t>e</w:t>
      </w:r>
      <w:r w:rsidRPr="001C1D37">
        <w:t xml:space="preserve"> scale as </w:t>
      </w:r>
      <w:r w:rsidRPr="001C1D37">
        <w:rPr>
          <w:rFonts w:eastAsia="Calibri"/>
        </w:rPr>
        <w:t>longitudinal outcome required to be</w:t>
      </w:r>
      <w:r w:rsidRPr="001C1D37">
        <w:t xml:space="preserve"> normally distributed for the proposed model. </w:t>
      </w:r>
      <w:r w:rsidRPr="001C1D37">
        <w:rPr>
          <w:rFonts w:eastAsia="Calibri"/>
        </w:rPr>
        <w:t xml:space="preserve">Since relatively fewer numbers of patients developed sepsis at later follow-up times, we </w:t>
      </w:r>
      <w:r w:rsidR="005F1C3E" w:rsidRPr="001C1D37">
        <w:rPr>
          <w:rFonts w:eastAsia="Calibri"/>
        </w:rPr>
        <w:t xml:space="preserve">consider </w:t>
      </w:r>
      <m:oMath>
        <m:r>
          <w:rPr>
            <w:rFonts w:ascii="Cambria Math" w:hAnsi="Cambria Math"/>
            <w:lang w:bidi="ta-IN"/>
          </w:rPr>
          <m:t>t</m:t>
        </m:r>
        <m:r>
          <w:rPr>
            <w:rFonts w:ascii="Cambria Math"/>
          </w:rPr>
          <m:t xml:space="preserve">= </m:t>
        </m:r>
      </m:oMath>
      <w:r w:rsidRPr="001C1D37">
        <w:t xml:space="preserve"> 24, 48, 72, 96, </w:t>
      </w:r>
      <w:proofErr w:type="gramStart"/>
      <w:r w:rsidRPr="001C1D37">
        <w:t>120</w:t>
      </w:r>
      <w:proofErr w:type="gramEnd"/>
      <w:r w:rsidR="005F1C3E" w:rsidRPr="001C1D37">
        <w:t xml:space="preserve"> in this analysis</w:t>
      </w:r>
      <w:r w:rsidRPr="001C1D37">
        <w:rPr>
          <w:rFonts w:eastAsia="Calibri"/>
        </w:rPr>
        <w:t xml:space="preserve">. </w:t>
      </w:r>
      <w:r w:rsidR="007E1E4D" w:rsidRPr="001C1D37">
        <w:t xml:space="preserve">To describe the sharp drop in mean </w:t>
      </w:r>
      <w:proofErr w:type="spellStart"/>
      <w:proofErr w:type="gramStart"/>
      <w:r w:rsidR="007E1E4D" w:rsidRPr="001C1D37">
        <w:rPr>
          <w:rFonts w:eastAsia="Calibri"/>
        </w:rPr>
        <w:t>aPTT</w:t>
      </w:r>
      <w:proofErr w:type="spellEnd"/>
      <w:r w:rsidR="007E1E4D" w:rsidRPr="001C1D37">
        <w:t>(</w:t>
      </w:r>
      <w:proofErr w:type="gramEnd"/>
      <w:r w:rsidR="007E1E4D" w:rsidRPr="001C1D37">
        <w:t xml:space="preserve">TL18) profiles between time 0 and 24 hours (see </w:t>
      </w:r>
      <w:r w:rsidR="007E1E4D" w:rsidRPr="001C1D37">
        <w:rPr>
          <w:rStyle w:val="bodytextblack1"/>
          <w:rFonts w:ascii="Times New Roman" w:hAnsi="Times New Roman"/>
          <w:color w:val="auto"/>
          <w:sz w:val="24"/>
          <w:szCs w:val="24"/>
        </w:rPr>
        <w:t>Figure 1(a) and (b)</w:t>
      </w:r>
      <w:r w:rsidR="007E1E4D" w:rsidRPr="001C1D37">
        <w:t>), we include an indicator variable for measurements at time zero in the model.</w:t>
      </w:r>
    </w:p>
    <w:p w:rsidR="00D0467E" w:rsidRPr="001C1D37" w:rsidRDefault="00D0467E" w:rsidP="001C1D37">
      <w:pPr>
        <w:tabs>
          <w:tab w:val="left" w:pos="2510"/>
        </w:tabs>
        <w:autoSpaceDE w:val="0"/>
        <w:autoSpaceDN w:val="0"/>
        <w:adjustRightInd w:val="0"/>
        <w:rPr>
          <w:rFonts w:eastAsia="Calibri"/>
        </w:rPr>
      </w:pPr>
    </w:p>
    <w:p w:rsidR="00BF4A60" w:rsidRPr="001C1D37" w:rsidRDefault="00BF4A60" w:rsidP="001C1D37">
      <w:pPr>
        <w:tabs>
          <w:tab w:val="left" w:pos="2510"/>
        </w:tabs>
        <w:autoSpaceDE w:val="0"/>
        <w:autoSpaceDN w:val="0"/>
        <w:adjustRightInd w:val="0"/>
        <w:rPr>
          <w:rFonts w:eastAsia="Calibri"/>
        </w:rPr>
      </w:pPr>
    </w:p>
    <w:p w:rsidR="00D0467E" w:rsidRPr="001C1D37" w:rsidRDefault="00D0467E" w:rsidP="001C1D37">
      <w:pPr>
        <w:tabs>
          <w:tab w:val="left" w:pos="2510"/>
        </w:tabs>
        <w:autoSpaceDE w:val="0"/>
        <w:autoSpaceDN w:val="0"/>
        <w:adjustRightInd w:val="0"/>
      </w:pPr>
      <w:r w:rsidRPr="001C1D37">
        <w:lastRenderedPageBreak/>
        <w:t>Parameter estimates</w:t>
      </w:r>
      <w:r w:rsidR="006B5233" w:rsidRPr="001C1D37">
        <w:t xml:space="preserve"> and</w:t>
      </w:r>
      <w:r w:rsidRPr="001C1D37">
        <w:t xml:space="preserve"> standard errors</w:t>
      </w:r>
      <w:r w:rsidR="00F40D3A" w:rsidRPr="001C1D37">
        <w:t xml:space="preserve"> (SE)</w:t>
      </w:r>
      <w:r w:rsidRPr="001C1D37">
        <w:t xml:space="preserve"> </w:t>
      </w:r>
      <w:r w:rsidR="006B5233" w:rsidRPr="001C1D37">
        <w:t xml:space="preserve">from the </w:t>
      </w:r>
      <w:r w:rsidR="006F2BC6" w:rsidRPr="001C1D37">
        <w:t xml:space="preserve">fitted </w:t>
      </w:r>
      <w:r w:rsidR="006B5233" w:rsidRPr="001C1D37">
        <w:t xml:space="preserve">joint model are given in Table </w:t>
      </w:r>
      <w:r w:rsidR="009D7E4D" w:rsidRPr="001C1D37">
        <w:t>5</w:t>
      </w:r>
      <w:r w:rsidR="006B5233" w:rsidRPr="001C1D37">
        <w:t xml:space="preserve">. We have also fitted </w:t>
      </w:r>
      <w:r w:rsidR="006F2BC6" w:rsidRPr="001C1D37">
        <w:t>two further joint</w:t>
      </w:r>
      <w:r w:rsidR="006B5233" w:rsidRPr="001C1D37">
        <w:t xml:space="preserve"> models </w:t>
      </w:r>
      <w:r w:rsidR="006F2BC6" w:rsidRPr="001C1D37">
        <w:t>assuming the</w:t>
      </w:r>
      <w:r w:rsidR="006B5233" w:rsidRPr="001C1D37">
        <w:t xml:space="preserve"> additional association structures</w:t>
      </w:r>
      <w:r w:rsidR="006F2BC6" w:rsidRPr="001C1D37">
        <w:t xml:space="preserve"> as discussed in the supplementary file</w:t>
      </w:r>
      <w:r w:rsidR="009D7E4D" w:rsidRPr="001C1D37">
        <w:t xml:space="preserve"> (see supplementary file for the model estimates)</w:t>
      </w:r>
      <w:r w:rsidR="006F2BC6" w:rsidRPr="001C1D37">
        <w:t xml:space="preserve">. The </w:t>
      </w:r>
      <w:r w:rsidRPr="001C1D37">
        <w:t xml:space="preserve">maximised joint log-likelihood </w:t>
      </w:r>
      <w:r w:rsidRPr="001C1D37">
        <w:rPr>
          <w:rFonts w:eastAsia="Calibri"/>
        </w:rPr>
        <w:t xml:space="preserve">values </w:t>
      </w:r>
      <w:r w:rsidR="006F2BC6" w:rsidRPr="001C1D37">
        <w:rPr>
          <w:rFonts w:eastAsia="Calibri"/>
        </w:rPr>
        <w:t xml:space="preserve">and </w:t>
      </w:r>
      <w:r w:rsidR="009D7E4D" w:rsidRPr="001C1D37">
        <w:rPr>
          <w:rFonts w:eastAsia="Calibri"/>
        </w:rPr>
        <w:t xml:space="preserve">standard errors of </w:t>
      </w:r>
      <w:r w:rsidR="00952ECA" w:rsidRPr="001C1D37">
        <w:rPr>
          <w:rFonts w:eastAsia="Calibri"/>
        </w:rPr>
        <w:t xml:space="preserve">the </w:t>
      </w:r>
      <w:r w:rsidR="006F2BC6" w:rsidRPr="001C1D37">
        <w:rPr>
          <w:rFonts w:eastAsia="Calibri"/>
        </w:rPr>
        <w:t>estimate</w:t>
      </w:r>
      <w:r w:rsidR="009D7E4D" w:rsidRPr="001C1D37">
        <w:rPr>
          <w:rFonts w:eastAsia="Calibri"/>
        </w:rPr>
        <w:t>d parameters</w:t>
      </w:r>
      <w:r w:rsidR="006F2BC6" w:rsidRPr="001C1D37">
        <w:rPr>
          <w:rFonts w:eastAsia="Calibri"/>
        </w:rPr>
        <w:t xml:space="preserve"> </w:t>
      </w:r>
      <w:r w:rsidRPr="001C1D37">
        <w:rPr>
          <w:rFonts w:eastAsia="Calibri"/>
        </w:rPr>
        <w:t>strongly favour latent association</w:t>
      </w:r>
      <w:r w:rsidR="009D7E4D" w:rsidRPr="001C1D37">
        <w:rPr>
          <w:rFonts w:eastAsia="Calibri"/>
        </w:rPr>
        <w:t xml:space="preserve"> structure</w:t>
      </w:r>
      <w:r w:rsidR="006F2BC6" w:rsidRPr="001C1D37">
        <w:rPr>
          <w:rFonts w:eastAsia="Calibri"/>
        </w:rPr>
        <w:t xml:space="preserve"> considered in the main article</w:t>
      </w:r>
      <w:r w:rsidRPr="001C1D37">
        <w:rPr>
          <w:rFonts w:eastAsia="Calibri"/>
        </w:rPr>
        <w:t xml:space="preserve"> </w:t>
      </w:r>
      <w:r w:rsidR="006F2BC6" w:rsidRPr="001C1D37">
        <w:rPr>
          <w:rFonts w:eastAsia="Calibri"/>
          <w:bCs/>
        </w:rPr>
        <w:t>o</w:t>
      </w:r>
      <w:r w:rsidRPr="001C1D37">
        <w:rPr>
          <w:rFonts w:eastAsia="Calibri"/>
        </w:rPr>
        <w:t xml:space="preserve">ver </w:t>
      </w:r>
      <w:r w:rsidR="006F2BC6" w:rsidRPr="001C1D37">
        <w:rPr>
          <w:rFonts w:eastAsia="Calibri"/>
        </w:rPr>
        <w:t>the two additional structures</w:t>
      </w:r>
      <w:r w:rsidRPr="001C1D37">
        <w:rPr>
          <w:rFonts w:eastAsia="Calibri"/>
          <w:lang w:bidi="ta-IN"/>
        </w:rPr>
        <w:t xml:space="preserve">. </w:t>
      </w:r>
      <w:r w:rsidR="00952ECA" w:rsidRPr="001C1D37">
        <w:rPr>
          <w:rFonts w:eastAsia="Calibri"/>
          <w:lang w:bidi="ta-IN"/>
        </w:rPr>
        <w:t>As given in Table 5, the</w:t>
      </w:r>
      <w:r w:rsidRPr="001C1D37">
        <w:rPr>
          <w:rFonts w:eastAsia="Calibri"/>
        </w:rPr>
        <w:t xml:space="preserve"> </w:t>
      </w:r>
      <w:r w:rsidR="009D7E4D" w:rsidRPr="001C1D37">
        <w:rPr>
          <w:rFonts w:eastAsia="Calibri"/>
        </w:rPr>
        <w:t xml:space="preserve">estimated association parameters over different time periods </w:t>
      </w:r>
      <w:r w:rsidRPr="001C1D37">
        <w:rPr>
          <w:rFonts w:eastAsia="Calibri"/>
        </w:rPr>
        <w:t xml:space="preserve">indicate that there is </w:t>
      </w:r>
      <w:r w:rsidRPr="001C1D37">
        <w:t xml:space="preserve">significantly </w:t>
      </w:r>
      <w:r w:rsidRPr="001C1D37">
        <w:rPr>
          <w:rFonts w:eastAsia="Calibri"/>
        </w:rPr>
        <w:t xml:space="preserve">strong evidence of association between the </w:t>
      </w:r>
      <w:proofErr w:type="spellStart"/>
      <w:proofErr w:type="gramStart"/>
      <w:r w:rsidRPr="001C1D37">
        <w:rPr>
          <w:rFonts w:eastAsia="Calibri"/>
        </w:rPr>
        <w:t>aPTT</w:t>
      </w:r>
      <w:proofErr w:type="spellEnd"/>
      <w:r w:rsidRPr="001C1D37">
        <w:t>(</w:t>
      </w:r>
      <w:proofErr w:type="gramEnd"/>
      <w:r w:rsidRPr="001C1D37">
        <w:t xml:space="preserve">TL18) </w:t>
      </w:r>
      <w:r w:rsidRPr="001C1D37">
        <w:rPr>
          <w:rFonts w:eastAsia="Calibri"/>
        </w:rPr>
        <w:t>and risk of sepsis, and that association is particularly strong over earlier time periods</w:t>
      </w:r>
      <w:r w:rsidR="007E1E4D" w:rsidRPr="001C1D37">
        <w:rPr>
          <w:rFonts w:eastAsia="Calibri"/>
        </w:rPr>
        <w:t xml:space="preserve"> compared to later time periods</w:t>
      </w:r>
      <w:r w:rsidRPr="001C1D37">
        <w:rPr>
          <w:rFonts w:eastAsia="Calibri"/>
        </w:rPr>
        <w:t xml:space="preserve">. Negative estimates of association parameters suggest that lower </w:t>
      </w:r>
      <w:proofErr w:type="spellStart"/>
      <w:proofErr w:type="gramStart"/>
      <w:r w:rsidRPr="001C1D37">
        <w:rPr>
          <w:rFonts w:eastAsia="Calibri"/>
        </w:rPr>
        <w:t>aPTT</w:t>
      </w:r>
      <w:proofErr w:type="spellEnd"/>
      <w:r w:rsidRPr="001C1D37">
        <w:t>(</w:t>
      </w:r>
      <w:proofErr w:type="gramEnd"/>
      <w:r w:rsidRPr="001C1D37">
        <w:t>TL18) are associated with higher risk of sepsis</w:t>
      </w:r>
      <w:r w:rsidR="007E1E4D" w:rsidRPr="001C1D37">
        <w:t xml:space="preserve"> onset</w:t>
      </w:r>
      <w:r w:rsidRPr="001C1D37">
        <w:t xml:space="preserve">. </w:t>
      </w:r>
      <w:r w:rsidRPr="001C1D37">
        <w:rPr>
          <w:rFonts w:eastAsia="Calibri"/>
        </w:rPr>
        <w:t xml:space="preserve">The </w:t>
      </w:r>
      <w:r w:rsidRPr="001C1D37">
        <w:t xml:space="preserve">estimated measurement error for the longest </w:t>
      </w:r>
      <w:r w:rsidR="007E1E4D" w:rsidRPr="001C1D37">
        <w:t>period</w:t>
      </w:r>
      <w:r w:rsidRPr="001C1D37">
        <w:t xml:space="preserve">, i.e. (0, 120), </w:t>
      </w:r>
      <m:oMath>
        <m:sSubSup>
          <m:sSubSupPr>
            <m:ctrlPr>
              <w:rPr>
                <w:rFonts w:ascii="Cambria Math" w:hAnsi="Cambria Math"/>
                <w:bCs/>
                <w:i/>
              </w:rPr>
            </m:ctrlPr>
          </m:sSubSupPr>
          <m:e>
            <m:r>
              <w:rPr>
                <w:rFonts w:ascii="Cambria Math" w:hAnsi="Cambria Math"/>
              </w:rPr>
              <m:t>σ</m:t>
            </m:r>
          </m:e>
          <m:sub>
            <m:r>
              <w:rPr>
                <w:rFonts w:ascii="Cambria Math" w:hAnsi="Cambria Math"/>
              </w:rPr>
              <m:t>e</m:t>
            </m:r>
          </m:sub>
          <m:sup>
            <m:r>
              <w:rPr>
                <w:rFonts w:ascii="Cambria Math" w:hAnsi="Cambria Math"/>
              </w:rPr>
              <m:t>2</m:t>
            </m:r>
          </m:sup>
        </m:sSubSup>
        <m:r>
          <w:rPr>
            <w:rFonts w:ascii="Cambria Math" w:hAnsi="Cambria Math"/>
          </w:rPr>
          <m:t xml:space="preserve">= </m:t>
        </m:r>
      </m:oMath>
      <w:r w:rsidRPr="001C1D37">
        <w:t>0.315 (SE 0.</w:t>
      </w:r>
      <w:r w:rsidR="009D7E4D" w:rsidRPr="001C1D37">
        <w:t>039</w:t>
      </w:r>
      <w:r w:rsidRPr="001C1D37">
        <w:t xml:space="preserve">) indicates a significantly high level of error or noise in </w:t>
      </w:r>
      <w:proofErr w:type="spellStart"/>
      <w:proofErr w:type="gramStart"/>
      <w:r w:rsidRPr="001C1D37">
        <w:rPr>
          <w:rFonts w:eastAsia="Calibri"/>
        </w:rPr>
        <w:t>aPTT</w:t>
      </w:r>
      <w:proofErr w:type="spellEnd"/>
      <w:r w:rsidRPr="001C1D37">
        <w:t>(</w:t>
      </w:r>
      <w:proofErr w:type="gramEnd"/>
      <w:r w:rsidRPr="001C1D37">
        <w:t xml:space="preserve">TL18) measurements. </w:t>
      </w:r>
    </w:p>
    <w:p w:rsidR="00D0467E" w:rsidRPr="001C1D37" w:rsidRDefault="00D0467E" w:rsidP="001C1D37">
      <w:pPr>
        <w:autoSpaceDE w:val="0"/>
        <w:autoSpaceDN w:val="0"/>
        <w:adjustRightInd w:val="0"/>
      </w:pPr>
    </w:p>
    <w:p w:rsidR="007E1E4D" w:rsidRPr="001C1D37" w:rsidRDefault="007E1E4D" w:rsidP="001C1D37">
      <w:pPr>
        <w:autoSpaceDE w:val="0"/>
        <w:autoSpaceDN w:val="0"/>
        <w:adjustRightInd w:val="0"/>
      </w:pPr>
    </w:p>
    <w:p w:rsidR="00FE58D4" w:rsidRPr="001C1D37" w:rsidRDefault="00CF4835" w:rsidP="001C1D37">
      <w:pPr>
        <w:autoSpaceDE w:val="0"/>
        <w:autoSpaceDN w:val="0"/>
        <w:adjustRightInd w:val="0"/>
      </w:pPr>
      <w:r w:rsidRPr="001C1D37">
        <w:t xml:space="preserve">The estimated </w:t>
      </w:r>
      <w:r w:rsidR="00FE58D4" w:rsidRPr="001C1D37">
        <w:t xml:space="preserve">ROC </w:t>
      </w:r>
      <w:r w:rsidRPr="001C1D37">
        <w:t xml:space="preserve">summaries </w:t>
      </w:r>
      <w:r w:rsidR="00FE58D4" w:rsidRPr="001C1D37">
        <w:t xml:space="preserve">and </w:t>
      </w:r>
      <w:r w:rsidR="00F40D3A" w:rsidRPr="001C1D37">
        <w:t>SEs</w:t>
      </w:r>
      <w:r w:rsidR="00FE58D4" w:rsidRPr="001C1D37">
        <w:t xml:space="preserve"> </w:t>
      </w:r>
      <w:r w:rsidRPr="001C1D37">
        <w:t xml:space="preserve">from the proposed approach are given in Table </w:t>
      </w:r>
      <w:r w:rsidR="007E1E4D" w:rsidRPr="001C1D37">
        <w:t>6</w:t>
      </w:r>
      <w:r w:rsidRPr="001C1D37">
        <w:t xml:space="preserve"> together with estimates from three currently </w:t>
      </w:r>
      <w:r w:rsidR="00E55553" w:rsidRPr="001C1D37">
        <w:t>used</w:t>
      </w:r>
      <w:r w:rsidRPr="001C1D37">
        <w:t xml:space="preserve"> time-dependent ROC methodolog</w:t>
      </w:r>
      <w:r w:rsidR="00FE58D4" w:rsidRPr="001C1D37">
        <w:t>ies</w:t>
      </w:r>
      <w:r w:rsidR="00E767CF" w:rsidRPr="001C1D37">
        <w:t xml:space="preserve"> for comparison</w:t>
      </w:r>
      <w:r w:rsidRPr="001C1D37">
        <w:t xml:space="preserve">. </w:t>
      </w:r>
      <w:r w:rsidR="00F74E7C" w:rsidRPr="001C1D37">
        <w:t>Some d</w:t>
      </w:r>
      <w:r w:rsidRPr="001C1D37">
        <w:t xml:space="preserve">etails of </w:t>
      </w:r>
      <w:r w:rsidR="00521D29" w:rsidRPr="001C1D37">
        <w:t>the</w:t>
      </w:r>
      <w:r w:rsidRPr="001C1D37">
        <w:t xml:space="preserve"> three approaches are </w:t>
      </w:r>
      <w:r w:rsidR="00FE58D4" w:rsidRPr="001C1D37">
        <w:t xml:space="preserve">also </w:t>
      </w:r>
      <w:r w:rsidRPr="001C1D37">
        <w:t xml:space="preserve">discussed in section 2. </w:t>
      </w:r>
      <w:r w:rsidR="008F0A25" w:rsidRPr="001C1D37">
        <w:t xml:space="preserve">The </w:t>
      </w:r>
      <w:r w:rsidR="00E767CF" w:rsidRPr="001C1D37">
        <w:t>SEs</w:t>
      </w:r>
      <w:r w:rsidR="008F0A25" w:rsidRPr="001C1D37">
        <w:t xml:space="preserve"> for all four models were estimated </w:t>
      </w:r>
      <w:proofErr w:type="gramStart"/>
      <w:r w:rsidR="008F0A25" w:rsidRPr="001C1D37">
        <w:t xml:space="preserve">from </w:t>
      </w:r>
      <w:r w:rsidR="0037036E" w:rsidRPr="001C1D37">
        <w:t>5</w:t>
      </w:r>
      <w:r w:rsidR="008F0A25" w:rsidRPr="001C1D37">
        <w:t>00 bootstrap</w:t>
      </w:r>
      <w:proofErr w:type="gramEnd"/>
      <w:r w:rsidR="008F0A25" w:rsidRPr="001C1D37">
        <w:t xml:space="preserve"> </w:t>
      </w:r>
      <w:r w:rsidR="007E1E4D" w:rsidRPr="001C1D37">
        <w:t>re</w:t>
      </w:r>
      <w:r w:rsidR="008F0A25" w:rsidRPr="001C1D37">
        <w:t xml:space="preserve">samples. </w:t>
      </w:r>
      <w:proofErr w:type="spellStart"/>
      <w:r w:rsidRPr="001C1D37">
        <w:t>Heagerty</w:t>
      </w:r>
      <w:proofErr w:type="spellEnd"/>
      <w:r w:rsidRPr="001C1D37">
        <w:t xml:space="preserve"> et al (2000)[</w:t>
      </w:r>
      <w:r w:rsidR="00520A57" w:rsidRPr="001C1D37">
        <w:t>4</w:t>
      </w:r>
      <w:r w:rsidRPr="001C1D37">
        <w:t>]</w:t>
      </w:r>
      <w:r w:rsidR="007E1E4D" w:rsidRPr="001C1D37">
        <w:t xml:space="preserve"> </w:t>
      </w:r>
      <w:r w:rsidRPr="001C1D37">
        <w:t>define</w:t>
      </w:r>
      <w:r w:rsidR="00521D29" w:rsidRPr="001C1D37">
        <w:t>d</w:t>
      </w:r>
      <w:r w:rsidRPr="001C1D37">
        <w:t xml:space="preserve"> the</w:t>
      </w:r>
      <w:r w:rsidR="00FE58D4" w:rsidRPr="001C1D37">
        <w:t xml:space="preserve"> event-time process over each time period similar </w:t>
      </w:r>
      <w:r w:rsidRPr="001C1D37">
        <w:t xml:space="preserve">to </w:t>
      </w:r>
      <w:r w:rsidR="007C3B21" w:rsidRPr="001C1D37">
        <w:t>our</w:t>
      </w:r>
      <w:r w:rsidR="00E767CF" w:rsidRPr="001C1D37">
        <w:t xml:space="preserve"> ap</w:t>
      </w:r>
      <w:r w:rsidRPr="001C1D37">
        <w:t>proach</w:t>
      </w:r>
      <w:r w:rsidR="00521D29" w:rsidRPr="001C1D37">
        <w:t xml:space="preserve">, and </w:t>
      </w:r>
      <w:r w:rsidRPr="001C1D37">
        <w:t>estimate</w:t>
      </w:r>
      <w:r w:rsidR="00521D29" w:rsidRPr="001C1D37">
        <w:t>d</w:t>
      </w:r>
      <w:r w:rsidRPr="001C1D37">
        <w:t xml:space="preserve"> the time-dependent ROC </w:t>
      </w:r>
      <w:r w:rsidR="00521D29" w:rsidRPr="001C1D37">
        <w:t xml:space="preserve">summaries at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521D29" w:rsidRPr="001C1D37">
        <w:t xml:space="preserve"> </w:t>
      </w:r>
      <w:r w:rsidRPr="001C1D37">
        <w:t xml:space="preserve">from censored </w:t>
      </w:r>
      <w:r w:rsidR="00FE58D4" w:rsidRPr="001C1D37">
        <w:t xml:space="preserve">event-time </w:t>
      </w:r>
      <w:r w:rsidRPr="001C1D37">
        <w:t xml:space="preserve">using the Nearest </w:t>
      </w:r>
      <w:proofErr w:type="spellStart"/>
      <w:r w:rsidRPr="001C1D37">
        <w:t>Neighbor</w:t>
      </w:r>
      <w:proofErr w:type="spellEnd"/>
      <w:r w:rsidRPr="001C1D37">
        <w:t xml:space="preserve"> Estimation (NNE) method</w:t>
      </w:r>
      <w:r w:rsidR="00F74E7C" w:rsidRPr="001C1D37">
        <w:t xml:space="preserve"> based on baseline biomarker </w:t>
      </w:r>
      <w:r w:rsidR="002B0929" w:rsidRPr="001C1D37">
        <w:t>measurement</w:t>
      </w:r>
      <w:r w:rsidR="00E55553" w:rsidRPr="001C1D37">
        <w:t xml:space="preserve">. </w:t>
      </w:r>
      <w:r w:rsidR="00FF2125" w:rsidRPr="001C1D37">
        <w:t xml:space="preserve">This model is popular among clinical applications in medical diagnostic research (from </w:t>
      </w:r>
      <w:r w:rsidR="007C3B21" w:rsidRPr="001C1D37">
        <w:t>an</w:t>
      </w:r>
      <w:r w:rsidR="00E767CF" w:rsidRPr="001C1D37">
        <w:t xml:space="preserve"> </w:t>
      </w:r>
      <w:r w:rsidR="00FF2125" w:rsidRPr="001C1D37">
        <w:t xml:space="preserve">unpublished </w:t>
      </w:r>
      <w:r w:rsidR="00E767CF" w:rsidRPr="001C1D37">
        <w:t>review</w:t>
      </w:r>
      <w:r w:rsidR="00FF2125" w:rsidRPr="001C1D37">
        <w:t>), and can be</w:t>
      </w:r>
      <w:r w:rsidR="00E55553" w:rsidRPr="001C1D37">
        <w:t xml:space="preserve"> fitted using the </w:t>
      </w:r>
      <w:proofErr w:type="spellStart"/>
      <w:r w:rsidR="00E55553" w:rsidRPr="001C1D37">
        <w:rPr>
          <w:rFonts w:asciiTheme="majorHAnsi" w:hAnsiTheme="majorHAnsi" w:cs="Courier New"/>
        </w:rPr>
        <w:t>survivalROC</w:t>
      </w:r>
      <w:proofErr w:type="spellEnd"/>
      <w:r w:rsidR="00E55553" w:rsidRPr="001C1D37">
        <w:t xml:space="preserve"> library in R language</w:t>
      </w:r>
      <w:r w:rsidR="00521D29" w:rsidRPr="001C1D37">
        <w:t xml:space="preserve">. </w:t>
      </w:r>
      <w:r w:rsidR="00FE58D4" w:rsidRPr="001C1D37">
        <w:t xml:space="preserve">The estimated </w:t>
      </w:r>
      <w:proofErr w:type="gramStart"/>
      <w:r w:rsidR="00FE58D4" w:rsidRPr="001C1D37">
        <w:t>AUC(</w:t>
      </w:r>
      <w:proofErr w:type="gramEnd"/>
      <m:oMath>
        <m:r>
          <w:rPr>
            <w:rFonts w:ascii="Cambria Math" w:hAnsi="Cambria Math"/>
          </w:rPr>
          <m:t>t</m:t>
        </m:r>
      </m:oMath>
      <w:r w:rsidR="00FE58D4" w:rsidRPr="001C1D37">
        <w:t xml:space="preserve">) from </w:t>
      </w:r>
      <w:r w:rsidR="002B0929" w:rsidRPr="001C1D37">
        <w:t>this approach</w:t>
      </w:r>
      <w:r w:rsidR="00FE58D4" w:rsidRPr="001C1D37">
        <w:t xml:space="preserve"> </w:t>
      </w:r>
      <w:r w:rsidR="002B0929" w:rsidRPr="001C1D37">
        <w:t>is</w:t>
      </w:r>
      <w:r w:rsidR="00FE58D4" w:rsidRPr="001C1D37">
        <w:t xml:space="preserve"> quite close</w:t>
      </w:r>
      <w:r w:rsidR="00F74E7C" w:rsidRPr="001C1D37">
        <w:t xml:space="preserve"> to </w:t>
      </w:r>
      <w:r w:rsidR="00DC76D5" w:rsidRPr="001C1D37">
        <w:t>that</w:t>
      </w:r>
      <w:r w:rsidR="00F74E7C" w:rsidRPr="001C1D37">
        <w:t xml:space="preserve"> from </w:t>
      </w:r>
      <w:r w:rsidR="00E767CF" w:rsidRPr="001C1D37">
        <w:t>the proposed</w:t>
      </w:r>
      <w:r w:rsidR="00F74E7C" w:rsidRPr="001C1D37">
        <w:t xml:space="preserve"> model</w:t>
      </w:r>
      <w:r w:rsidR="00FE58D4" w:rsidRPr="001C1D37">
        <w:t xml:space="preserve"> at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FE58D4" w:rsidRPr="001C1D37">
        <w:t xml:space="preserve">= 24 hours due to </w:t>
      </w:r>
      <w:r w:rsidR="00F74E7C" w:rsidRPr="001C1D37">
        <w:t>similar</w:t>
      </w:r>
      <w:r w:rsidR="00E767CF" w:rsidRPr="001C1D37">
        <w:t>it</w:t>
      </w:r>
      <w:r w:rsidR="007C3B21" w:rsidRPr="001C1D37">
        <w:t>ies</w:t>
      </w:r>
      <w:r w:rsidR="00E767CF" w:rsidRPr="001C1D37">
        <w:t xml:space="preserve"> in</w:t>
      </w:r>
      <w:r w:rsidR="002B0929" w:rsidRPr="001C1D37">
        <w:t xml:space="preserve"> </w:t>
      </w:r>
      <w:r w:rsidR="00FE58D4" w:rsidRPr="001C1D37">
        <w:t>event-time process</w:t>
      </w:r>
      <w:r w:rsidR="00520A57" w:rsidRPr="001C1D37">
        <w:t>es</w:t>
      </w:r>
      <w:r w:rsidR="00F74E7C" w:rsidRPr="001C1D37">
        <w:t>.</w:t>
      </w:r>
      <w:r w:rsidR="00FE58D4" w:rsidRPr="001C1D37">
        <w:t xml:space="preserve"> The </w:t>
      </w:r>
      <w:proofErr w:type="gramStart"/>
      <w:r w:rsidR="00FE58D4" w:rsidRPr="001C1D37">
        <w:t>AUC(</w:t>
      </w:r>
      <w:proofErr w:type="gramEnd"/>
      <m:oMath>
        <m:r>
          <w:rPr>
            <w:rFonts w:ascii="Cambria Math" w:hAnsi="Cambria Math"/>
          </w:rPr>
          <m:t>t</m:t>
        </m:r>
      </m:oMath>
      <w:r w:rsidR="00FE58D4" w:rsidRPr="001C1D37">
        <w:t>)</w:t>
      </w:r>
      <w:r w:rsidR="002B0929" w:rsidRPr="001C1D37">
        <w:t xml:space="preserve">s </w:t>
      </w:r>
      <w:r w:rsidR="00FE58D4" w:rsidRPr="001C1D37">
        <w:t xml:space="preserve">from </w:t>
      </w:r>
      <w:proofErr w:type="spellStart"/>
      <w:r w:rsidR="00FE58D4" w:rsidRPr="001C1D37">
        <w:t>Heagerty</w:t>
      </w:r>
      <w:proofErr w:type="spellEnd"/>
      <w:r w:rsidR="00FE58D4" w:rsidRPr="001C1D37">
        <w:t xml:space="preserve"> et al (2000)[</w:t>
      </w:r>
      <w:r w:rsidR="00520A57" w:rsidRPr="001C1D37">
        <w:t>4</w:t>
      </w:r>
      <w:r w:rsidR="00FE58D4" w:rsidRPr="001C1D37">
        <w:t xml:space="preserve">] decrease as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FE58D4" w:rsidRPr="001C1D37">
        <w:t xml:space="preserve"> increases </w:t>
      </w:r>
      <w:r w:rsidR="002B0929" w:rsidRPr="001C1D37">
        <w:t>since</w:t>
      </w:r>
      <w:r w:rsidR="00DC76D5" w:rsidRPr="001C1D37">
        <w:t xml:space="preserve"> in general,</w:t>
      </w:r>
      <w:r w:rsidR="00FE58D4" w:rsidRPr="001C1D37">
        <w:t xml:space="preserve"> the </w:t>
      </w:r>
      <w:r w:rsidR="00FE58D4" w:rsidRPr="001C1D37">
        <w:lastRenderedPageBreak/>
        <w:t xml:space="preserve">predictive ability of </w:t>
      </w:r>
      <w:r w:rsidR="00DC76D5" w:rsidRPr="001C1D37">
        <w:t xml:space="preserve">the </w:t>
      </w:r>
      <w:r w:rsidR="00FE58D4" w:rsidRPr="001C1D37">
        <w:t>biomarker</w:t>
      </w:r>
      <w:r w:rsidR="00DC76D5" w:rsidRPr="001C1D37">
        <w:t xml:space="preserve"> </w:t>
      </w:r>
      <w:r w:rsidR="002B0929" w:rsidRPr="001C1D37">
        <w:t>at baseline</w:t>
      </w:r>
      <w:r w:rsidR="00DC76D5" w:rsidRPr="001C1D37">
        <w:t xml:space="preserve"> is</w:t>
      </w:r>
      <w:r w:rsidR="002B0929" w:rsidRPr="001C1D37">
        <w:t xml:space="preserve"> </w:t>
      </w:r>
      <w:r w:rsidR="00DC76D5" w:rsidRPr="001C1D37">
        <w:t>dropped</w:t>
      </w:r>
      <w:r w:rsidR="002B0929" w:rsidRPr="001C1D37">
        <w:t xml:space="preserve"> over time</w:t>
      </w:r>
      <w:r w:rsidR="00FE58D4" w:rsidRPr="001C1D37">
        <w:t xml:space="preserve">; however, </w:t>
      </w:r>
      <w:r w:rsidR="00520A57" w:rsidRPr="001C1D37">
        <w:t xml:space="preserve">in </w:t>
      </w:r>
      <w:r w:rsidR="00F21988" w:rsidRPr="001C1D37">
        <w:t>our</w:t>
      </w:r>
      <w:r w:rsidR="00FE58D4" w:rsidRPr="001C1D37">
        <w:t xml:space="preserve"> </w:t>
      </w:r>
      <w:r w:rsidR="00520A57" w:rsidRPr="001C1D37">
        <w:t>approach</w:t>
      </w:r>
      <w:r w:rsidR="00FE58D4" w:rsidRPr="001C1D37">
        <w:t xml:space="preserve">, </w:t>
      </w:r>
      <w:r w:rsidR="00DC76D5" w:rsidRPr="001C1D37">
        <w:t>AUC(</w:t>
      </w:r>
      <m:oMath>
        <m:r>
          <w:rPr>
            <w:rFonts w:ascii="Cambria Math" w:hAnsi="Cambria Math"/>
          </w:rPr>
          <m:t>t</m:t>
        </m:r>
      </m:oMath>
      <w:r w:rsidR="00DC76D5" w:rsidRPr="001C1D37">
        <w:t>) is estimated on the</w:t>
      </w:r>
      <w:r w:rsidR="003E503A" w:rsidRPr="001C1D37">
        <w:t xml:space="preserve"> </w:t>
      </w:r>
      <w:r w:rsidR="00FE58D4" w:rsidRPr="001C1D37">
        <w:t>association between the biomarker and sepsis risk</w:t>
      </w:r>
      <w:r w:rsidR="003E503A" w:rsidRPr="001C1D37">
        <w:t xml:space="preserve"> over each time period</w:t>
      </w:r>
      <w:r w:rsidR="00DC76D5" w:rsidRPr="001C1D37">
        <w:t xml:space="preserve"> </w:t>
      </w:r>
      <w:r w:rsidR="00520A57" w:rsidRPr="001C1D37">
        <w:t>while</w:t>
      </w:r>
      <w:r w:rsidR="00DC76D5" w:rsidRPr="001C1D37">
        <w:t xml:space="preserve"> the biomarker </w:t>
      </w:r>
      <w:r w:rsidR="007C3B21" w:rsidRPr="001C1D37">
        <w:t>trajectory</w:t>
      </w:r>
      <w:r w:rsidR="00DC76D5" w:rsidRPr="001C1D37">
        <w:t xml:space="preserve"> is updated continuously over time</w:t>
      </w:r>
      <w:r w:rsidR="00FE58D4" w:rsidRPr="001C1D37">
        <w:t xml:space="preserve">.  </w:t>
      </w:r>
    </w:p>
    <w:p w:rsidR="00FE58D4" w:rsidRPr="001C1D37" w:rsidRDefault="00FE58D4" w:rsidP="001C1D37">
      <w:pPr>
        <w:autoSpaceDE w:val="0"/>
        <w:autoSpaceDN w:val="0"/>
        <w:adjustRightInd w:val="0"/>
      </w:pPr>
    </w:p>
    <w:p w:rsidR="00F21988" w:rsidRPr="001C1D37" w:rsidRDefault="00F21988" w:rsidP="001C1D37">
      <w:pPr>
        <w:autoSpaceDE w:val="0"/>
        <w:autoSpaceDN w:val="0"/>
        <w:adjustRightInd w:val="0"/>
      </w:pPr>
    </w:p>
    <w:p w:rsidR="005E7ED9" w:rsidRPr="001C1D37" w:rsidRDefault="00CF4835" w:rsidP="001C1D37">
      <w:proofErr w:type="spellStart"/>
      <w:r w:rsidRPr="001C1D37">
        <w:t>Heagerty</w:t>
      </w:r>
      <w:proofErr w:type="spellEnd"/>
      <w:r w:rsidRPr="001C1D37">
        <w:t xml:space="preserve"> and Zheng (2005</w:t>
      </w:r>
      <w:proofErr w:type="gramStart"/>
      <w:r w:rsidRPr="001C1D37">
        <w:t>)[</w:t>
      </w:r>
      <w:proofErr w:type="gramEnd"/>
      <w:r w:rsidR="00520A57" w:rsidRPr="001C1D37">
        <w:t>5</w:t>
      </w:r>
      <w:r w:rsidRPr="001C1D37">
        <w:t xml:space="preserve">] </w:t>
      </w:r>
      <w:r w:rsidR="003E503A" w:rsidRPr="001C1D37">
        <w:t>also</w:t>
      </w:r>
      <w:r w:rsidRPr="001C1D37">
        <w:t xml:space="preserve"> </w:t>
      </w:r>
      <w:r w:rsidR="009A3EE0" w:rsidRPr="001C1D37">
        <w:t>used</w:t>
      </w:r>
      <w:r w:rsidR="00F74E7C" w:rsidRPr="001C1D37">
        <w:t xml:space="preserve"> the baseline biomarker </w:t>
      </w:r>
      <w:r w:rsidR="003E503A" w:rsidRPr="001C1D37">
        <w:t>measurement</w:t>
      </w:r>
      <w:r w:rsidR="009A3EE0" w:rsidRPr="001C1D37">
        <w:t xml:space="preserve"> to estimate time-dependent ROC summaries at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132ED7" w:rsidRPr="001C1D37">
        <w:t xml:space="preserve"> based on </w:t>
      </w:r>
      <w:r w:rsidRPr="001C1D37">
        <w:t>Cox regression</w:t>
      </w:r>
      <w:r w:rsidR="00E55553" w:rsidRPr="001C1D37">
        <w:t xml:space="preserve"> and </w:t>
      </w:r>
      <w:proofErr w:type="spellStart"/>
      <w:r w:rsidR="00E55553" w:rsidRPr="001C1D37">
        <w:rPr>
          <w:rFonts w:asciiTheme="majorHAnsi" w:hAnsiTheme="majorHAnsi" w:cs="Courier New"/>
        </w:rPr>
        <w:t>risksetROC</w:t>
      </w:r>
      <w:proofErr w:type="spellEnd"/>
      <w:r w:rsidR="00E55553" w:rsidRPr="001C1D37">
        <w:t xml:space="preserve"> library in R </w:t>
      </w:r>
      <w:r w:rsidR="00132ED7" w:rsidRPr="001C1D37">
        <w:t>is available</w:t>
      </w:r>
      <w:r w:rsidR="00E55553" w:rsidRPr="001C1D37">
        <w:t xml:space="preserve"> to fit </w:t>
      </w:r>
      <w:r w:rsidR="003E503A" w:rsidRPr="001C1D37">
        <w:t>this</w:t>
      </w:r>
      <w:r w:rsidR="00E55553" w:rsidRPr="001C1D37">
        <w:t xml:space="preserve"> model</w:t>
      </w:r>
      <w:r w:rsidRPr="001C1D37">
        <w:t xml:space="preserve">. </w:t>
      </w:r>
      <w:r w:rsidR="00132ED7" w:rsidRPr="001C1D37">
        <w:t>This approach considers</w:t>
      </w:r>
      <w:r w:rsidR="00F74E7C" w:rsidRPr="001C1D37">
        <w:t xml:space="preserve"> the event-times that occurred exactly at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F74E7C" w:rsidRPr="001C1D37">
        <w:t xml:space="preserve"> only (ignored events occurred between 0 </w:t>
      </w:r>
      <w:proofErr w:type="gramStart"/>
      <w:r w:rsidR="00F74E7C" w:rsidRPr="001C1D37">
        <w:t xml:space="preserve">and </w:t>
      </w:r>
      <w:proofErr w:type="gramEnd"/>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F74E7C" w:rsidRPr="001C1D37">
        <w:t>).</w:t>
      </w:r>
      <w:r w:rsidR="009A3EE0" w:rsidRPr="001C1D37">
        <w:t xml:space="preserve"> </w:t>
      </w:r>
      <w:proofErr w:type="spellStart"/>
      <w:r w:rsidRPr="001C1D37">
        <w:t>Etzioni</w:t>
      </w:r>
      <w:proofErr w:type="spellEnd"/>
      <w:r w:rsidRPr="001C1D37">
        <w:t xml:space="preserve"> et al (1999</w:t>
      </w:r>
      <w:proofErr w:type="gramStart"/>
      <w:r w:rsidRPr="001C1D37">
        <w:t>)[</w:t>
      </w:r>
      <w:proofErr w:type="gramEnd"/>
      <w:r w:rsidR="00520A57" w:rsidRPr="001C1D37">
        <w:t>6</w:t>
      </w:r>
      <w:r w:rsidRPr="001C1D37">
        <w:t xml:space="preserve">] </w:t>
      </w:r>
      <w:r w:rsidR="00521D29" w:rsidRPr="001C1D37">
        <w:t xml:space="preserve">defined the time-dependent ROC summaries at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Pr="001C1D37">
        <w:t xml:space="preserve"> </w:t>
      </w:r>
      <w:r w:rsidR="00F74E7C" w:rsidRPr="001C1D37">
        <w:t xml:space="preserve">based on a </w:t>
      </w:r>
      <w:r w:rsidRPr="001C1D37">
        <w:t xml:space="preserve">liner mixed effect model for longitudinal </w:t>
      </w:r>
      <w:r w:rsidR="007C3B21" w:rsidRPr="001C1D37">
        <w:t>biomarker</w:t>
      </w:r>
      <w:r w:rsidR="00F74E7C" w:rsidRPr="001C1D37">
        <w:t xml:space="preserve">, similar to the longitudinal sub-model in </w:t>
      </w:r>
      <w:r w:rsidR="007C3B21" w:rsidRPr="001C1D37">
        <w:t>the proposed joint model</w:t>
      </w:r>
      <w:r w:rsidR="003E503A" w:rsidRPr="001C1D37">
        <w:t>, ho</w:t>
      </w:r>
      <w:r w:rsidR="008F0A25" w:rsidRPr="001C1D37">
        <w:t>wever</w:t>
      </w:r>
      <w:r w:rsidR="00F74E7C" w:rsidRPr="001C1D37">
        <w:t xml:space="preserve">, </w:t>
      </w:r>
      <w:r w:rsidR="003B710F" w:rsidRPr="001C1D37">
        <w:t xml:space="preserve">as discussed earlier in section 2, the </w:t>
      </w:r>
      <w:r w:rsidR="00E1137A" w:rsidRPr="001C1D37">
        <w:t>model included</w:t>
      </w:r>
      <w:r w:rsidRPr="001C1D37">
        <w:t xml:space="preserve"> </w:t>
      </w:r>
      <w:r w:rsidRPr="001C1D37">
        <w:rPr>
          <w:i/>
        </w:rPr>
        <w:t>time before event</w:t>
      </w:r>
      <w:r w:rsidRPr="001C1D37">
        <w:t xml:space="preserve"> as a covariate to account for the event-time of those individuals who </w:t>
      </w:r>
      <w:r w:rsidR="00521D29" w:rsidRPr="001C1D37">
        <w:t>had sepsis</w:t>
      </w:r>
      <w:r w:rsidRPr="001C1D37">
        <w:t xml:space="preserve"> (cases), </w:t>
      </w:r>
      <w:r w:rsidR="00132ED7" w:rsidRPr="001C1D37">
        <w:t>but</w:t>
      </w:r>
      <w:r w:rsidRPr="001C1D37">
        <w:t xml:space="preserve"> ignored the censor</w:t>
      </w:r>
      <w:r w:rsidR="003E503A" w:rsidRPr="001C1D37">
        <w:t>ed event-</w:t>
      </w:r>
      <w:r w:rsidRPr="001C1D37">
        <w:t xml:space="preserve">times. </w:t>
      </w:r>
      <w:r w:rsidR="008F0A25" w:rsidRPr="001C1D37">
        <w:t xml:space="preserve">The estimated </w:t>
      </w:r>
      <w:proofErr w:type="gramStart"/>
      <w:r w:rsidR="008F0A25" w:rsidRPr="001C1D37">
        <w:t>AUC(</w:t>
      </w:r>
      <w:proofErr w:type="gramEnd"/>
      <m:oMath>
        <m:r>
          <w:rPr>
            <w:rFonts w:ascii="Cambria Math" w:hAnsi="Cambria Math"/>
          </w:rPr>
          <m:t>t</m:t>
        </m:r>
      </m:oMath>
      <w:r w:rsidR="008F0A25" w:rsidRPr="001C1D37">
        <w:t xml:space="preserve">) from this model </w:t>
      </w:r>
      <w:r w:rsidR="00520A57" w:rsidRPr="001C1D37">
        <w:t>is</w:t>
      </w:r>
      <w:r w:rsidR="008F0A25" w:rsidRPr="001C1D37">
        <w:t xml:space="preserve"> similar to </w:t>
      </w:r>
      <w:proofErr w:type="spellStart"/>
      <w:r w:rsidR="008F0A25" w:rsidRPr="001C1D37">
        <w:t>Heagerty</w:t>
      </w:r>
      <w:proofErr w:type="spellEnd"/>
      <w:r w:rsidR="008F0A25" w:rsidRPr="001C1D37">
        <w:t xml:space="preserve"> and Zheng (2005)[</w:t>
      </w:r>
      <w:r w:rsidR="00520A57" w:rsidRPr="001C1D37">
        <w:t>5</w:t>
      </w:r>
      <w:r w:rsidR="008F0A25" w:rsidRPr="001C1D37">
        <w:t xml:space="preserve">] at early time points as the model included </w:t>
      </w:r>
      <w:r w:rsidR="003B710F" w:rsidRPr="001C1D37">
        <w:t xml:space="preserve">information for </w:t>
      </w:r>
      <w:r w:rsidR="008F0A25" w:rsidRPr="001C1D37">
        <w:t xml:space="preserve">exact event times for cases; however, as additional </w:t>
      </w:r>
      <w:r w:rsidR="003E503A" w:rsidRPr="001C1D37">
        <w:t>(</w:t>
      </w:r>
      <w:r w:rsidR="008F0A25" w:rsidRPr="001C1D37">
        <w:t>longitudinal</w:t>
      </w:r>
      <w:r w:rsidR="003E503A" w:rsidRPr="001C1D37">
        <w:t>)</w:t>
      </w:r>
      <w:r w:rsidR="008F0A25" w:rsidRPr="001C1D37">
        <w:t xml:space="preserve"> biomarker values were included, the </w:t>
      </w:r>
      <w:r w:rsidR="003E503A" w:rsidRPr="001C1D37">
        <w:t xml:space="preserve">estimated </w:t>
      </w:r>
      <w:r w:rsidR="008F0A25" w:rsidRPr="001C1D37">
        <w:t>AUC(</w:t>
      </w:r>
      <m:oMath>
        <m:r>
          <w:rPr>
            <w:rFonts w:ascii="Cambria Math" w:hAnsi="Cambria Math"/>
          </w:rPr>
          <m:t>t</m:t>
        </m:r>
      </m:oMath>
      <w:r w:rsidR="00F30136" w:rsidRPr="001C1D37">
        <w:t xml:space="preserve">)s became </w:t>
      </w:r>
      <w:r w:rsidR="008F0A25" w:rsidRPr="001C1D37">
        <w:t xml:space="preserve">higher for later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3E503A" w:rsidRPr="001C1D37">
        <w:t xml:space="preserve"> than those from </w:t>
      </w:r>
      <w:proofErr w:type="spellStart"/>
      <w:r w:rsidR="003E503A" w:rsidRPr="001C1D37">
        <w:t>Heagerty</w:t>
      </w:r>
      <w:proofErr w:type="spellEnd"/>
      <w:r w:rsidR="003E503A" w:rsidRPr="001C1D37">
        <w:t xml:space="preserve"> and Zheng (2005)[</w:t>
      </w:r>
      <w:r w:rsidR="00520A57" w:rsidRPr="001C1D37">
        <w:t>5</w:t>
      </w:r>
      <w:r w:rsidR="003E503A" w:rsidRPr="001C1D37">
        <w:t>]</w:t>
      </w:r>
      <w:r w:rsidR="008F0A25" w:rsidRPr="001C1D37">
        <w:t xml:space="preserve">. </w:t>
      </w:r>
      <w:r w:rsidR="00F21988" w:rsidRPr="001C1D37">
        <w:t xml:space="preserve">Our </w:t>
      </w:r>
      <w:r w:rsidR="00132ED7" w:rsidRPr="001C1D37">
        <w:t xml:space="preserve">approach </w:t>
      </w:r>
      <w:r w:rsidR="003B710F" w:rsidRPr="001C1D37">
        <w:t>jointly models</w:t>
      </w:r>
      <w:r w:rsidR="00132ED7" w:rsidRPr="001C1D37">
        <w:t xml:space="preserve"> the </w:t>
      </w:r>
      <w:r w:rsidR="008F0A25" w:rsidRPr="001C1D37">
        <w:t xml:space="preserve">event-time process and the </w:t>
      </w:r>
      <w:r w:rsidR="00F74E7C" w:rsidRPr="001C1D37">
        <w:t xml:space="preserve">longitudinal biomarker </w:t>
      </w:r>
      <w:r w:rsidR="002B0929" w:rsidRPr="001C1D37">
        <w:t xml:space="preserve">measurements </w:t>
      </w:r>
      <w:r w:rsidR="00F74E7C" w:rsidRPr="001C1D37">
        <w:t xml:space="preserve">prior to each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132ED7" w:rsidRPr="001C1D37">
        <w:t xml:space="preserve"> </w:t>
      </w:r>
      <w:r w:rsidR="008F0A25" w:rsidRPr="001C1D37">
        <w:t xml:space="preserve">and therefore </w:t>
      </w:r>
      <w:r w:rsidR="00132ED7" w:rsidRPr="001C1D37">
        <w:t>considered</w:t>
      </w:r>
      <w:r w:rsidR="002B0929" w:rsidRPr="001C1D37">
        <w:t xml:space="preserve"> </w:t>
      </w:r>
      <w:r w:rsidR="003E503A" w:rsidRPr="001C1D37">
        <w:t xml:space="preserve">a </w:t>
      </w:r>
      <w:r w:rsidR="002B0929" w:rsidRPr="001C1D37">
        <w:t xml:space="preserve">more complete record </w:t>
      </w:r>
      <w:r w:rsidR="00F30136" w:rsidRPr="001C1D37">
        <w:t>of</w:t>
      </w:r>
      <w:r w:rsidR="002B0929" w:rsidRPr="001C1D37">
        <w:t xml:space="preserve"> each patient</w:t>
      </w:r>
      <w:r w:rsidR="00064A71" w:rsidRPr="001C1D37">
        <w:t xml:space="preserve"> when estimating the ROC summaries over time</w:t>
      </w:r>
      <w:r w:rsidR="002B0929" w:rsidRPr="001C1D37">
        <w:t>.</w:t>
      </w:r>
      <w:r w:rsidR="005E7ED9" w:rsidRPr="001C1D37">
        <w:t xml:space="preserve"> </w:t>
      </w:r>
    </w:p>
    <w:p w:rsidR="00000025" w:rsidRPr="001C1D37" w:rsidRDefault="00000025" w:rsidP="001C1D37"/>
    <w:p w:rsidR="00F21988" w:rsidRPr="001C1D37" w:rsidRDefault="00F21988" w:rsidP="001C1D37"/>
    <w:p w:rsidR="00F662AE" w:rsidRPr="001C1D37" w:rsidRDefault="00132ED7" w:rsidP="001C1D37">
      <w:pPr>
        <w:autoSpaceDE w:val="0"/>
        <w:autoSpaceDN w:val="0"/>
        <w:adjustRightInd w:val="0"/>
      </w:pPr>
      <w:r w:rsidRPr="001C1D37">
        <w:t xml:space="preserve">As shown in Table 6, </w:t>
      </w:r>
      <w:r w:rsidR="00F21988" w:rsidRPr="001C1D37">
        <w:t xml:space="preserve">the highest </w:t>
      </w:r>
      <w:r w:rsidR="00D0467E" w:rsidRPr="001C1D37">
        <w:t>AUC</w:t>
      </w:r>
      <m:oMath>
        <m:r>
          <w:rPr>
            <w:rFonts w:ascii="Cambria Math"/>
          </w:rPr>
          <m:t>(</m:t>
        </m:r>
        <m:r>
          <w:rPr>
            <w:rFonts w:ascii="Cambria Math" w:hAnsi="Cambria Math"/>
          </w:rPr>
          <m:t>t</m:t>
        </m:r>
        <m:r>
          <w:rPr>
            <w:rFonts w:ascii="Cambria Math"/>
          </w:rPr>
          <m:t>)</m:t>
        </m:r>
      </m:oMath>
      <w:r w:rsidR="00D0467E" w:rsidRPr="001C1D37">
        <w:t xml:space="preserve"> </w:t>
      </w:r>
      <w:r w:rsidR="00F21988" w:rsidRPr="001C1D37">
        <w:t xml:space="preserve">from the proposed approach is estimated </w:t>
      </w:r>
      <w:r w:rsidR="00F40D3A" w:rsidRPr="001C1D37">
        <w:t xml:space="preserve">at </w:t>
      </w:r>
      <w:r w:rsidR="00CF4835" w:rsidRPr="001C1D37">
        <w:t>24</w:t>
      </w:r>
      <w:r w:rsidR="00D0467E" w:rsidRPr="001C1D37">
        <w:t xml:space="preserve"> hours</w:t>
      </w:r>
      <w:r w:rsidR="00F21988" w:rsidRPr="001C1D37">
        <w:t xml:space="preserve">, which is </w:t>
      </w:r>
      <w:r w:rsidR="00D0467E" w:rsidRPr="001C1D37">
        <w:t>72.</w:t>
      </w:r>
      <w:r w:rsidR="00F40D3A" w:rsidRPr="001C1D37">
        <w:t>2</w:t>
      </w:r>
      <w:r w:rsidR="00D0467E" w:rsidRPr="001C1D37">
        <w:t>%</w:t>
      </w:r>
      <w:r w:rsidR="00F21988" w:rsidRPr="001C1D37">
        <w:t xml:space="preserve"> </w:t>
      </w:r>
      <w:r w:rsidR="003B710F" w:rsidRPr="001C1D37">
        <w:t xml:space="preserve">and </w:t>
      </w:r>
      <w:r w:rsidR="00D0467E" w:rsidRPr="001C1D37">
        <w:t xml:space="preserve">implies that the probability of a patient who developed sepsis within </w:t>
      </w:r>
      <w:r w:rsidR="00F40D3A" w:rsidRPr="001C1D37">
        <w:t>24</w:t>
      </w:r>
      <w:r w:rsidR="00D0467E" w:rsidRPr="001C1D37">
        <w:t xml:space="preserve"> hours following ITU admission</w:t>
      </w:r>
      <w:r w:rsidR="00D0467E" w:rsidRPr="001C1D37">
        <w:rPr>
          <w:i/>
          <w:iCs/>
        </w:rPr>
        <w:t xml:space="preserve"> </w:t>
      </w:r>
      <w:r w:rsidR="00D0467E" w:rsidRPr="001C1D37">
        <w:t xml:space="preserve">has a significantly lower </w:t>
      </w:r>
      <w:proofErr w:type="spellStart"/>
      <w:proofErr w:type="gramStart"/>
      <w:r w:rsidR="00D0467E" w:rsidRPr="001C1D37">
        <w:rPr>
          <w:rFonts w:eastAsia="Calibri"/>
        </w:rPr>
        <w:t>aPTT</w:t>
      </w:r>
      <w:proofErr w:type="spellEnd"/>
      <w:r w:rsidR="00D0467E" w:rsidRPr="001C1D37">
        <w:t>(</w:t>
      </w:r>
      <w:proofErr w:type="gramEnd"/>
      <w:r w:rsidR="00D0467E" w:rsidRPr="001C1D37">
        <w:t xml:space="preserve">TL18) value than a patient who remained sepsis-free </w:t>
      </w:r>
      <w:r w:rsidR="00D0467E" w:rsidRPr="001C1D37">
        <w:lastRenderedPageBreak/>
        <w:t xml:space="preserve">beyond </w:t>
      </w:r>
      <w:r w:rsidR="00F40D3A" w:rsidRPr="001C1D37">
        <w:t>24</w:t>
      </w:r>
      <w:r w:rsidR="00D0467E" w:rsidRPr="001C1D37">
        <w:t xml:space="preserve"> hours</w:t>
      </w:r>
      <m:oMath>
        <m:r>
          <w:rPr>
            <w:rFonts w:ascii="Cambria Math"/>
          </w:rPr>
          <m:t xml:space="preserve"> </m:t>
        </m:r>
      </m:oMath>
      <w:r w:rsidR="00D0467E" w:rsidRPr="001C1D37">
        <w:t>is at least 72.</w:t>
      </w:r>
      <w:r w:rsidR="00F40D3A" w:rsidRPr="001C1D37">
        <w:t>2</w:t>
      </w:r>
      <w:r w:rsidR="00D0467E" w:rsidRPr="001C1D37">
        <w:t>%. The corresponding estimate of sensitivity</w:t>
      </w:r>
      <m:oMath>
        <m:r>
          <w:rPr>
            <w:rFonts w:ascii="Cambria Math" w:hAnsi="Cambria Math"/>
          </w:rPr>
          <m:t>(t)</m:t>
        </m:r>
      </m:oMath>
      <w:r w:rsidR="00F21988" w:rsidRPr="001C1D37">
        <w:t xml:space="preserve"> is </w:t>
      </w:r>
      <w:r w:rsidR="00F40D3A" w:rsidRPr="001C1D37">
        <w:t>75</w:t>
      </w:r>
      <w:r w:rsidR="00D0467E" w:rsidRPr="001C1D37">
        <w:t>%</w:t>
      </w:r>
      <w:r w:rsidR="00064A71" w:rsidRPr="001C1D37">
        <w:t xml:space="preserve"> at the optimal threshold</w:t>
      </w:r>
      <w:r w:rsidR="00D0467E" w:rsidRPr="001C1D37">
        <w:t xml:space="preserve"> indicates that the measurements of </w:t>
      </w:r>
      <w:proofErr w:type="spellStart"/>
      <w:proofErr w:type="gramStart"/>
      <w:r w:rsidR="00D0467E" w:rsidRPr="001C1D37">
        <w:t>aPTT</w:t>
      </w:r>
      <w:proofErr w:type="spellEnd"/>
      <w:r w:rsidR="00D0467E" w:rsidRPr="001C1D37">
        <w:t>(</w:t>
      </w:r>
      <w:proofErr w:type="gramEnd"/>
      <w:r w:rsidR="00D0467E" w:rsidRPr="001C1D37">
        <w:t xml:space="preserve">TL18) over </w:t>
      </w:r>
      <w:r w:rsidR="005D3EB5" w:rsidRPr="001C1D37">
        <w:t xml:space="preserve">the </w:t>
      </w:r>
      <w:r w:rsidR="00D0467E" w:rsidRPr="001C1D37">
        <w:t xml:space="preserve">first </w:t>
      </w:r>
      <w:r w:rsidR="00F40D3A" w:rsidRPr="001C1D37">
        <w:t>24</w:t>
      </w:r>
      <w:r w:rsidR="00D0467E" w:rsidRPr="001C1D37">
        <w:t xml:space="preserve"> hours since ITU admission can be used to detect </w:t>
      </w:r>
      <w:r w:rsidR="00F40D3A" w:rsidRPr="001C1D37">
        <w:t>7</w:t>
      </w:r>
      <w:r w:rsidR="00D0467E" w:rsidRPr="001C1D37">
        <w:t xml:space="preserve">5% of septic cases correctly. The estimated </w:t>
      </w:r>
      <w:r w:rsidR="00F40D3A" w:rsidRPr="001C1D37">
        <w:t>AUC</w:t>
      </w:r>
      <m:oMath>
        <m:r>
          <w:rPr>
            <w:rFonts w:ascii="Cambria Math"/>
          </w:rPr>
          <m:t>(</m:t>
        </m:r>
        <m:r>
          <w:rPr>
            <w:rFonts w:ascii="Cambria Math" w:hAnsi="Cambria Math"/>
          </w:rPr>
          <m:t>t</m:t>
        </m:r>
        <m:r>
          <w:rPr>
            <w:rFonts w:ascii="Cambria Math"/>
          </w:rPr>
          <m:t>)</m:t>
        </m:r>
      </m:oMath>
      <w:r w:rsidR="00974D68" w:rsidRPr="001C1D37">
        <w:t xml:space="preserve">, </w:t>
      </w:r>
      <w:r w:rsidR="00D0467E" w:rsidRPr="001C1D37">
        <w:t>sensitivity</w:t>
      </w:r>
      <m:oMath>
        <m:r>
          <w:rPr>
            <w:rFonts w:ascii="Cambria Math" w:hAnsi="Cambria Math"/>
          </w:rPr>
          <m:t>(t)</m:t>
        </m:r>
      </m:oMath>
      <w:r w:rsidR="00D0467E" w:rsidRPr="001C1D37">
        <w:t xml:space="preserve"> </w:t>
      </w:r>
      <w:r w:rsidR="00974D68" w:rsidRPr="001C1D37">
        <w:t>and specificity</w:t>
      </w:r>
      <m:oMath>
        <m:r>
          <w:rPr>
            <w:rFonts w:ascii="Cambria Math" w:hAnsi="Cambria Math"/>
          </w:rPr>
          <m:t>(t)</m:t>
        </m:r>
      </m:oMath>
      <w:r w:rsidR="00974D68" w:rsidRPr="001C1D37">
        <w:t xml:space="preserve"> </w:t>
      </w:r>
      <w:r w:rsidR="00F40D3A" w:rsidRPr="001C1D37">
        <w:t>at 48</w:t>
      </w:r>
      <w:r w:rsidR="00D0467E" w:rsidRPr="001C1D37">
        <w:t xml:space="preserve"> hours</w:t>
      </w:r>
      <w:r w:rsidR="00F40D3A" w:rsidRPr="001C1D37">
        <w:t xml:space="preserve"> are</w:t>
      </w:r>
      <w:r w:rsidR="00D0467E" w:rsidRPr="001C1D37">
        <w:t xml:space="preserve"> also </w:t>
      </w:r>
      <w:r w:rsidR="00F40D3A" w:rsidRPr="001C1D37">
        <w:t>remained close to that at 24 hours</w:t>
      </w:r>
      <w:r w:rsidR="00D0467E" w:rsidRPr="001C1D37">
        <w:t>.</w:t>
      </w:r>
      <w:r w:rsidR="00F21988" w:rsidRPr="001C1D37">
        <w:t xml:space="preserve"> </w:t>
      </w:r>
      <w:r w:rsidR="00F40D3A" w:rsidRPr="001C1D37">
        <w:rPr>
          <w:lang w:bidi="ta-IN"/>
        </w:rPr>
        <w:t>Figure 2 shows the corresponding ROC</w:t>
      </w:r>
      <m:oMath>
        <m:r>
          <w:rPr>
            <w:rFonts w:ascii="Cambria Math" w:hAnsi="Cambria Math"/>
          </w:rPr>
          <m:t>(t)</m:t>
        </m:r>
      </m:oMath>
      <w:r w:rsidR="00F40D3A" w:rsidRPr="001C1D37">
        <w:t xml:space="preserve"> </w:t>
      </w:r>
      <w:r w:rsidR="00F40D3A" w:rsidRPr="001C1D37">
        <w:rPr>
          <w:lang w:bidi="ta-IN"/>
        </w:rPr>
        <w:t xml:space="preserve">curves for </w:t>
      </w:r>
      <w:r w:rsidR="00F40D3A" w:rsidRPr="001C1D37">
        <w:t xml:space="preserve">the occurrence of sepsis at times 24, 48, 72, 96, 120 hours from </w:t>
      </w:r>
      <w:r w:rsidR="00064A71" w:rsidRPr="001C1D37">
        <w:t>the proposed</w:t>
      </w:r>
      <w:r w:rsidR="00F40D3A" w:rsidRPr="001C1D37">
        <w:t xml:space="preserve"> approach.</w:t>
      </w:r>
      <w:r w:rsidR="00974D68" w:rsidRPr="001C1D37">
        <w:t xml:space="preserve"> </w:t>
      </w:r>
      <w:r w:rsidR="00F662AE" w:rsidRPr="001C1D37">
        <w:t>The</w:t>
      </w:r>
      <w:r w:rsidR="00F662AE" w:rsidRPr="001C1D37">
        <w:rPr>
          <w:rFonts w:eastAsiaTheme="minorEastAsia"/>
        </w:rPr>
        <w:t xml:space="preserve"> predictive </w:t>
      </w:r>
      <w:r w:rsidR="00F662AE" w:rsidRPr="001C1D37">
        <w:t xml:space="preserve">discriminatory </w:t>
      </w:r>
      <w:r w:rsidR="00667876" w:rsidRPr="001C1D37">
        <w:t>value</w:t>
      </w:r>
      <w:r w:rsidR="00F662AE" w:rsidRPr="001C1D37">
        <w:t xml:space="preserve"> of </w:t>
      </w:r>
      <w:proofErr w:type="spellStart"/>
      <w:proofErr w:type="gramStart"/>
      <w:r w:rsidR="00F662AE" w:rsidRPr="001C1D37">
        <w:t>aPTT</w:t>
      </w:r>
      <w:proofErr w:type="spellEnd"/>
      <w:r w:rsidR="00F662AE" w:rsidRPr="001C1D37">
        <w:t>(</w:t>
      </w:r>
      <w:proofErr w:type="gramEnd"/>
      <w:r w:rsidR="00F662AE" w:rsidRPr="001C1D37">
        <w:t xml:space="preserve">TL18) </w:t>
      </w:r>
      <w:r w:rsidR="00FA21A8" w:rsidRPr="001C1D37">
        <w:t>at a</w:t>
      </w:r>
      <w:r w:rsidR="00F662AE" w:rsidRPr="001C1D37">
        <w:t xml:space="preserve"> future time </w:t>
      </w:r>
      <w:r w:rsidR="00FA21A8" w:rsidRPr="001C1D37">
        <w:t xml:space="preserve">point </w:t>
      </w:r>
      <m:oMath>
        <m:sSup>
          <m:sSupPr>
            <m:ctrlPr>
              <w:rPr>
                <w:rFonts w:ascii="Cambria Math" w:hAnsi="Cambria Math"/>
                <w:i/>
              </w:rPr>
            </m:ctrlPr>
          </m:sSupPr>
          <m:e>
            <m:r>
              <w:rPr>
                <w:rFonts w:ascii="Cambria Math" w:hAnsi="Cambria Math"/>
              </w:rPr>
              <m:t>t</m:t>
            </m:r>
          </m:e>
          <m:sup>
            <m:r>
              <w:rPr>
                <w:rFonts w:ascii="Cambria Math" w:hAnsi="Cambria Math"/>
              </w:rPr>
              <m:t>*</m:t>
            </m:r>
          </m:sup>
        </m:sSup>
      </m:oMath>
      <w:r w:rsidR="00F662AE" w:rsidRPr="001C1D37">
        <w:rPr>
          <w:rFonts w:eastAsiaTheme="minorEastAsia"/>
        </w:rPr>
        <w:t xml:space="preserve"> </w:t>
      </w:r>
      <w:r w:rsidR="00FA21A8" w:rsidRPr="001C1D37">
        <w:rPr>
          <w:rFonts w:eastAsiaTheme="minorEastAsia"/>
        </w:rPr>
        <w:t>b</w:t>
      </w:r>
      <w:r w:rsidR="00F662AE" w:rsidRPr="001C1D37">
        <w:t xml:space="preserve">ased on the (current) estimates of </w:t>
      </w:r>
      <m:oMath>
        <m:acc>
          <m:accPr>
            <m:ctrlPr>
              <w:rPr>
                <w:rFonts w:ascii="Cambria Math" w:eastAsia="Calibri" w:hAnsi="Cambria Math"/>
                <w:i/>
              </w:rPr>
            </m:ctrlPr>
          </m:accPr>
          <m:e>
            <m:r>
              <m:rPr>
                <m:sty m:val="p"/>
              </m:rPr>
              <w:rPr>
                <w:rFonts w:ascii="Cambria Math" w:eastAsia="Calibri" w:hAnsi="Cambria Math"/>
              </w:rPr>
              <m:t>M</m:t>
            </m:r>
          </m:e>
        </m:acc>
        <m:r>
          <w:rPr>
            <w:rFonts w:ascii="Cambria Math" w:hAnsi="Cambria Math"/>
          </w:rPr>
          <m:t>(t)</m:t>
        </m:r>
      </m:oMath>
      <w:r w:rsidR="00F662AE" w:rsidRPr="001C1D37">
        <w:t xml:space="preserve"> over</w:t>
      </w:r>
      <m:oMath>
        <m:r>
          <w:rPr>
            <w:rFonts w:ascii="Cambria Math" w:hAnsi="Cambria Math"/>
          </w:rPr>
          <m:t xml:space="preserve"> (0, 24)</m:t>
        </m:r>
      </m:oMath>
      <w:r w:rsidR="00F662AE" w:rsidRPr="001C1D37">
        <w:t xml:space="preserve"> is shown in Figure 3. </w:t>
      </w:r>
      <w:r w:rsidR="00B060DF" w:rsidRPr="001C1D37">
        <w:t xml:space="preserve">The predictive value of the </w:t>
      </w:r>
      <m:oMath>
        <m:r>
          <w:rPr>
            <w:rFonts w:ascii="Cambria Math" w:hAnsi="Cambria Math"/>
          </w:rPr>
          <m:t>(0, 24)</m:t>
        </m:r>
      </m:oMath>
      <w:r w:rsidR="00B060DF" w:rsidRPr="001C1D37">
        <w:t xml:space="preserve"> model is high at </w:t>
      </w:r>
      <m:oMath>
        <m:sSup>
          <m:sSupPr>
            <m:ctrlPr>
              <w:rPr>
                <w:rFonts w:ascii="Cambria Math" w:hAnsi="Cambria Math"/>
                <w:i/>
              </w:rPr>
            </m:ctrlPr>
          </m:sSupPr>
          <m:e>
            <m:r>
              <w:rPr>
                <w:rFonts w:ascii="Cambria Math" w:hAnsi="Cambria Math"/>
              </w:rPr>
              <m:t>t</m:t>
            </m:r>
          </m:e>
          <m:sup>
            <m:r>
              <w:rPr>
                <w:rFonts w:ascii="Cambria Math" w:hAnsi="Cambria Math"/>
              </w:rPr>
              <m:t>*</m:t>
            </m:r>
          </m:sup>
        </m:sSup>
        <m:r>
          <w:rPr>
            <w:rFonts w:ascii="Cambria Math" w:hAnsi="Cambria Math"/>
          </w:rPr>
          <m:t>=</m:t>
        </m:r>
      </m:oMath>
      <w:r w:rsidR="00B060DF" w:rsidRPr="001C1D37">
        <w:rPr>
          <w:rFonts w:eastAsiaTheme="minorEastAsia"/>
        </w:rPr>
        <w:t xml:space="preserve"> </w:t>
      </w:r>
      <w:r w:rsidR="00B060DF" w:rsidRPr="001C1D37">
        <w:t xml:space="preserve">48 hours, but dropped as </w:t>
      </w:r>
      <m:oMath>
        <m:sSup>
          <m:sSupPr>
            <m:ctrlPr>
              <w:rPr>
                <w:rFonts w:ascii="Cambria Math" w:hAnsi="Cambria Math"/>
                <w:i/>
              </w:rPr>
            </m:ctrlPr>
          </m:sSupPr>
          <m:e>
            <m:r>
              <w:rPr>
                <w:rFonts w:ascii="Cambria Math" w:hAnsi="Cambria Math"/>
              </w:rPr>
              <m:t>t</m:t>
            </m:r>
          </m:e>
          <m:sup>
            <m:r>
              <w:rPr>
                <w:rFonts w:ascii="Cambria Math" w:hAnsi="Cambria Math"/>
              </w:rPr>
              <m:t>*</m:t>
            </m:r>
          </m:sup>
        </m:sSup>
      </m:oMath>
      <w:r w:rsidR="00F662AE" w:rsidRPr="001C1D37">
        <w:rPr>
          <w:rFonts w:eastAsiaTheme="minorEastAsia"/>
        </w:rPr>
        <w:t xml:space="preserve"> is getting further away from </w:t>
      </w:r>
      <m:oMath>
        <m:r>
          <w:rPr>
            <w:rFonts w:ascii="Cambria Math" w:hAnsi="Cambria Math"/>
          </w:rPr>
          <m:t>t</m:t>
        </m:r>
      </m:oMath>
      <w:r w:rsidR="00F662AE" w:rsidRPr="001C1D37">
        <w:rPr>
          <w:rFonts w:eastAsiaTheme="minorEastAsia"/>
        </w:rPr>
        <w:t xml:space="preserve"> = 24</w:t>
      </w:r>
      <w:r w:rsidR="00B060DF" w:rsidRPr="001C1D37">
        <w:rPr>
          <w:rFonts w:eastAsiaTheme="minorEastAsia"/>
        </w:rPr>
        <w:t xml:space="preserve"> as expected</w:t>
      </w:r>
      <w:r w:rsidR="00F662AE" w:rsidRPr="001C1D37">
        <w:t xml:space="preserve">. </w:t>
      </w:r>
    </w:p>
    <w:p w:rsidR="00F21988" w:rsidRPr="001C1D37" w:rsidRDefault="00F21988" w:rsidP="001C1D37"/>
    <w:p w:rsidR="00F21988" w:rsidRPr="001C1D37" w:rsidRDefault="00F21988" w:rsidP="001C1D37"/>
    <w:p w:rsidR="00974D68" w:rsidRPr="001C1D37" w:rsidRDefault="008173CC" w:rsidP="001C1D37">
      <w:r w:rsidRPr="001C1D37">
        <w:t>F</w:t>
      </w:r>
      <w:r w:rsidR="00D0467E" w:rsidRPr="001C1D37">
        <w:t xml:space="preserve">rom this analysis, we </w:t>
      </w:r>
      <w:r w:rsidR="00F40D3A" w:rsidRPr="001C1D37">
        <w:t>observe</w:t>
      </w:r>
      <w:r w:rsidR="00170CA1" w:rsidRPr="001C1D37">
        <w:t>d</w:t>
      </w:r>
      <w:r w:rsidR="00F40D3A" w:rsidRPr="001C1D37">
        <w:t xml:space="preserve"> </w:t>
      </w:r>
      <w:r w:rsidR="00D0467E" w:rsidRPr="001C1D37">
        <w:t xml:space="preserve">that longitudinally measured </w:t>
      </w:r>
      <w:proofErr w:type="spellStart"/>
      <w:proofErr w:type="gramStart"/>
      <w:r w:rsidR="00D0467E" w:rsidRPr="001C1D37">
        <w:t>aPTT</w:t>
      </w:r>
      <w:proofErr w:type="spellEnd"/>
      <w:r w:rsidR="00D0467E" w:rsidRPr="001C1D37">
        <w:t>(</w:t>
      </w:r>
      <w:proofErr w:type="gramEnd"/>
      <w:r w:rsidR="00D0467E" w:rsidRPr="001C1D37">
        <w:t xml:space="preserve">TL18) alone </w:t>
      </w:r>
      <w:r w:rsidR="00383FBB" w:rsidRPr="001C1D37">
        <w:t>could be</w:t>
      </w:r>
      <w:r w:rsidR="00D0467E" w:rsidRPr="001C1D37">
        <w:t xml:space="preserve"> a useful biomarker for ruling-out sepsis within 48 hours following admission to the ITU. Further, estimates of association parameter over each time period provide indices for time-dependent nature of </w:t>
      </w:r>
      <w:proofErr w:type="spellStart"/>
      <w:proofErr w:type="gramStart"/>
      <w:r w:rsidR="00D0467E" w:rsidRPr="001C1D37">
        <w:t>aPTT</w:t>
      </w:r>
      <w:proofErr w:type="spellEnd"/>
      <w:r w:rsidR="00D0467E" w:rsidRPr="001C1D37">
        <w:t>(</w:t>
      </w:r>
      <w:proofErr w:type="gramEnd"/>
      <w:r w:rsidR="00D0467E" w:rsidRPr="001C1D37">
        <w:t>TL18)</w:t>
      </w:r>
      <w:r w:rsidR="00064A71" w:rsidRPr="001C1D37">
        <w:t xml:space="preserve"> for sepsis onset</w:t>
      </w:r>
      <w:r w:rsidR="00D0467E" w:rsidRPr="001C1D37">
        <w:t xml:space="preserve"> which can be used for improved patient management (e.g. to assess progression or treatment responses). </w:t>
      </w:r>
      <w:r w:rsidR="000263FA" w:rsidRPr="001C1D37">
        <w:rPr>
          <w:rFonts w:eastAsia="Calibri"/>
        </w:rPr>
        <w:t>Although the sample size</w:t>
      </w:r>
      <w:r w:rsidR="00EE3687" w:rsidRPr="001C1D37">
        <w:rPr>
          <w:rFonts w:eastAsia="Calibri"/>
        </w:rPr>
        <w:t xml:space="preserve"> in this application</w:t>
      </w:r>
      <w:r w:rsidR="000263FA" w:rsidRPr="001C1D37">
        <w:rPr>
          <w:rFonts w:eastAsia="Calibri"/>
        </w:rPr>
        <w:t xml:space="preserve"> is relatively small, the joint</w:t>
      </w:r>
      <w:r w:rsidR="00EE3687" w:rsidRPr="001C1D37">
        <w:rPr>
          <w:rFonts w:eastAsia="Calibri"/>
        </w:rPr>
        <w:t>ly</w:t>
      </w:r>
      <w:r w:rsidR="000263FA" w:rsidRPr="001C1D37">
        <w:rPr>
          <w:rFonts w:eastAsia="Calibri"/>
        </w:rPr>
        <w:t xml:space="preserve"> modelling of multiple dimensions of data yields a greater precision; greater precision implies higher power and smaller sample sizes. Incorporating the longitudinal data in a study has the potential of yielding lower sample sizes with higher power compared with that of conventional </w:t>
      </w:r>
      <w:r w:rsidR="00386008" w:rsidRPr="001C1D37">
        <w:rPr>
          <w:rFonts w:eastAsia="Calibri"/>
        </w:rPr>
        <w:t>study</w:t>
      </w:r>
      <w:r w:rsidR="000263FA" w:rsidRPr="001C1D37">
        <w:rPr>
          <w:rFonts w:eastAsia="Calibri"/>
        </w:rPr>
        <w:t xml:space="preserve"> based on time-to-event data alone [32].  </w:t>
      </w:r>
      <w:r w:rsidR="00F662AE" w:rsidRPr="001C1D37">
        <w:t xml:space="preserve">However, </w:t>
      </w:r>
      <w:r w:rsidR="00F662AE" w:rsidRPr="001C1D37">
        <w:rPr>
          <w:rFonts w:eastAsia="Calibri"/>
        </w:rPr>
        <w:t xml:space="preserve">we may need a larger sample of patients to make stronger recommendations for the potential use of </w:t>
      </w:r>
      <w:proofErr w:type="spellStart"/>
      <w:proofErr w:type="gramStart"/>
      <w:r w:rsidR="00F662AE" w:rsidRPr="001C1D37">
        <w:rPr>
          <w:rFonts w:eastAsia="Calibri"/>
        </w:rPr>
        <w:t>aPTT</w:t>
      </w:r>
      <w:proofErr w:type="spellEnd"/>
      <w:r w:rsidR="00F662AE" w:rsidRPr="001C1D37">
        <w:rPr>
          <w:rFonts w:eastAsia="Calibri"/>
        </w:rPr>
        <w:t>(</w:t>
      </w:r>
      <w:proofErr w:type="gramEnd"/>
      <w:r w:rsidR="00F662AE" w:rsidRPr="001C1D37">
        <w:rPr>
          <w:rFonts w:eastAsia="Calibri"/>
        </w:rPr>
        <w:t xml:space="preserve">TL18) in sepsis management in the intensive care.   </w:t>
      </w:r>
    </w:p>
    <w:p w:rsidR="00D0467E" w:rsidRPr="001C1D37" w:rsidRDefault="00D0467E" w:rsidP="001C1D37">
      <w:pPr>
        <w:autoSpaceDE w:val="0"/>
        <w:autoSpaceDN w:val="0"/>
        <w:adjustRightInd w:val="0"/>
      </w:pPr>
    </w:p>
    <w:p w:rsidR="008E7C79" w:rsidRPr="001C1D37" w:rsidRDefault="008E7C79" w:rsidP="001C1D37">
      <w:pPr>
        <w:autoSpaceDE w:val="0"/>
        <w:autoSpaceDN w:val="0"/>
        <w:adjustRightInd w:val="0"/>
      </w:pPr>
    </w:p>
    <w:p w:rsidR="00D0467E" w:rsidRPr="001C1D37" w:rsidRDefault="00D0467E" w:rsidP="001C1D37">
      <w:pPr>
        <w:rPr>
          <w:b/>
          <w:sz w:val="28"/>
          <w:szCs w:val="28"/>
        </w:rPr>
      </w:pPr>
      <w:r w:rsidRPr="001C1D37">
        <w:rPr>
          <w:b/>
          <w:sz w:val="28"/>
          <w:szCs w:val="28"/>
        </w:rPr>
        <w:t>7. Discussion</w:t>
      </w:r>
    </w:p>
    <w:p w:rsidR="00D0467E" w:rsidRPr="001C1D37" w:rsidRDefault="00D0467E" w:rsidP="001C1D37">
      <w:r w:rsidRPr="001C1D37">
        <w:rPr>
          <w:rFonts w:eastAsia="Calibri"/>
        </w:rPr>
        <w:lastRenderedPageBreak/>
        <w:t>In this work we proposed a two-stage approach within a joint modelling framework in an attempt to estimate the time-dependent efficacy of a longitudinal biomarker for clinical endpoint by focusing on the change in association between the longitudinal biomarker and the corresponding event-time processes over time periods (</w:t>
      </w:r>
      <m:oMath>
        <m:r>
          <w:rPr>
            <w:rFonts w:ascii="Cambria Math" w:eastAsia="Calibri" w:hAnsi="Cambria Math"/>
          </w:rPr>
          <m:t>0,t</m:t>
        </m:r>
      </m:oMath>
      <w:r w:rsidRPr="001C1D37">
        <w:rPr>
          <w:rFonts w:eastAsia="Calibri"/>
        </w:rPr>
        <w:t xml:space="preserve">) </w:t>
      </w:r>
      <w:r w:rsidR="00064A71" w:rsidRPr="001C1D37">
        <w:rPr>
          <w:rFonts w:eastAsia="Calibri"/>
        </w:rPr>
        <w:t>since</w:t>
      </w:r>
      <w:r w:rsidRPr="001C1D37">
        <w:rPr>
          <w:rFonts w:eastAsia="Calibri"/>
        </w:rPr>
        <w:t xml:space="preserve"> admission. We have shown that </w:t>
      </w:r>
      <w:r w:rsidRPr="001C1D37">
        <w:t xml:space="preserve">joint modelling formulation </w:t>
      </w:r>
      <w:r w:rsidRPr="001C1D37">
        <w:rPr>
          <w:rFonts w:eastAsia="Calibri"/>
        </w:rPr>
        <w:t xml:space="preserve">accounts for </w:t>
      </w:r>
      <w:r w:rsidRPr="001C1D37">
        <w:t xml:space="preserve">the </w:t>
      </w:r>
      <w:r w:rsidRPr="001C1D37">
        <w:rPr>
          <w:rFonts w:eastAsia="Calibri"/>
        </w:rPr>
        <w:t xml:space="preserve">underlying association between longitudinal biomarker (measured with error) and the risk of subsequent clinical endpoint (censored) explicitly, and hence can </w:t>
      </w:r>
      <w:r w:rsidRPr="001C1D37">
        <w:t xml:space="preserve">yield the most precise inferences concerning biomarker </w:t>
      </w:r>
      <w:r w:rsidR="00064A71" w:rsidRPr="001C1D37">
        <w:t>effectiveness</w:t>
      </w:r>
      <w:r w:rsidRPr="001C1D37">
        <w:t xml:space="preserve"> at clinically defined time points. </w:t>
      </w:r>
      <w:r w:rsidRPr="001C1D37">
        <w:rPr>
          <w:rFonts w:eastAsia="Calibri"/>
          <w:lang w:bidi="ta-IN"/>
        </w:rPr>
        <w:t>T</w:t>
      </w:r>
      <w:r w:rsidRPr="001C1D37">
        <w:rPr>
          <w:rFonts w:eastAsia="Calibri"/>
        </w:rPr>
        <w:t xml:space="preserve">he proposed formulation is </w:t>
      </w:r>
      <w:r w:rsidRPr="001C1D37">
        <w:t>built upon familiar, more traditional theory of ROC</w:t>
      </w:r>
      <w:r w:rsidR="00064A71" w:rsidRPr="001C1D37">
        <w:t xml:space="preserve"> curve analysis</w:t>
      </w:r>
      <w:r w:rsidRPr="001C1D37">
        <w:t xml:space="preserve">, and is implemented in real time using the existing statistical software libraries in R language. We have used the </w:t>
      </w:r>
      <w:proofErr w:type="spellStart"/>
      <w:r w:rsidRPr="001C1D37">
        <w:t>joineR</w:t>
      </w:r>
      <w:proofErr w:type="spellEnd"/>
      <w:r w:rsidRPr="001C1D37">
        <w:t xml:space="preserve"> library [</w:t>
      </w:r>
      <w:r w:rsidR="00D02A37" w:rsidRPr="001C1D37">
        <w:t>3</w:t>
      </w:r>
      <w:r w:rsidR="00B060DF" w:rsidRPr="001C1D37">
        <w:t>3</w:t>
      </w:r>
      <w:r w:rsidRPr="001C1D37">
        <w:t>] in R language to estimate the joint model parameters, h</w:t>
      </w:r>
      <w:r w:rsidRPr="001C1D37">
        <w:rPr>
          <w:rFonts w:eastAsia="Calibri"/>
        </w:rPr>
        <w:t>owever, a variety of software with alternative estimation procedures are available for this class of models including the Bayesian approaches (e.g. JM[</w:t>
      </w:r>
      <w:r w:rsidR="00B060DF" w:rsidRPr="001C1D37">
        <w:rPr>
          <w:rFonts w:eastAsia="Calibri"/>
        </w:rPr>
        <w:t>34</w:t>
      </w:r>
      <w:r w:rsidRPr="001C1D37">
        <w:rPr>
          <w:rFonts w:eastAsia="Calibri"/>
        </w:rPr>
        <w:t xml:space="preserve">] and </w:t>
      </w:r>
      <w:proofErr w:type="spellStart"/>
      <w:r w:rsidRPr="001C1D37">
        <w:rPr>
          <w:rFonts w:eastAsia="Calibri"/>
        </w:rPr>
        <w:t>JMbayes</w:t>
      </w:r>
      <w:proofErr w:type="spellEnd"/>
      <w:r w:rsidRPr="001C1D37">
        <w:rPr>
          <w:rFonts w:eastAsia="Calibri"/>
        </w:rPr>
        <w:t xml:space="preserve"> [3</w:t>
      </w:r>
      <w:r w:rsidR="00B060DF" w:rsidRPr="001C1D37">
        <w:rPr>
          <w:rFonts w:eastAsia="Calibri"/>
        </w:rPr>
        <w:t>5</w:t>
      </w:r>
      <w:r w:rsidRPr="001C1D37">
        <w:rPr>
          <w:rFonts w:eastAsia="Calibri"/>
        </w:rPr>
        <w:t xml:space="preserve">] in R, and </w:t>
      </w:r>
      <w:proofErr w:type="spellStart"/>
      <w:r w:rsidRPr="001C1D37">
        <w:rPr>
          <w:rFonts w:eastAsia="Calibri"/>
        </w:rPr>
        <w:t>stjm</w:t>
      </w:r>
      <w:proofErr w:type="spellEnd"/>
      <w:r w:rsidRPr="001C1D37">
        <w:rPr>
          <w:rFonts w:eastAsia="Calibri"/>
        </w:rPr>
        <w:t xml:space="preserve"> in STATA [3</w:t>
      </w:r>
      <w:r w:rsidR="00B060DF" w:rsidRPr="001C1D37">
        <w:rPr>
          <w:rFonts w:eastAsia="Calibri"/>
        </w:rPr>
        <w:t>6</w:t>
      </w:r>
      <w:r w:rsidRPr="001C1D37">
        <w:rPr>
          <w:rFonts w:eastAsia="Calibri"/>
        </w:rPr>
        <w:t xml:space="preserve">]). </w:t>
      </w:r>
      <w:r w:rsidRPr="001C1D37">
        <w:t xml:space="preserve">The R code is available on request from the corresponding author. </w:t>
      </w:r>
    </w:p>
    <w:p w:rsidR="00D0467E" w:rsidRPr="001C1D37" w:rsidRDefault="00D0467E" w:rsidP="001C1D37"/>
    <w:p w:rsidR="00BF4A60" w:rsidRPr="001C1D37" w:rsidRDefault="00BF4A60" w:rsidP="001C1D37"/>
    <w:p w:rsidR="00D0467E" w:rsidRPr="001C1D37" w:rsidRDefault="00D0467E" w:rsidP="001C1D37">
      <w:r w:rsidRPr="001C1D37">
        <w:t xml:space="preserve">The proposed approach can also readily be used to summarise whether the efficacy of the longitudinal biomarker varies across patient subgroups by including the relevant covariates, e.g. age group or treatment arm, when estimating the risk score </w:t>
      </w:r>
      <m:oMath>
        <m:acc>
          <m:accPr>
            <m:ctrlPr>
              <w:rPr>
                <w:rFonts w:ascii="Cambria Math" w:eastAsia="Calibri" w:hAnsi="Cambria Math"/>
                <w:i/>
              </w:rPr>
            </m:ctrlPr>
          </m:accPr>
          <m:e>
            <m:r>
              <m:rPr>
                <m:sty m:val="p"/>
              </m:rPr>
              <w:rPr>
                <w:rFonts w:ascii="Cambria Math" w:eastAsia="Calibri" w:hAnsi="Cambria Math"/>
              </w:rPr>
              <m:t>M</m:t>
            </m:r>
          </m:e>
        </m:acc>
        <m:d>
          <m:dPr>
            <m:ctrlPr>
              <w:rPr>
                <w:rFonts w:ascii="Cambria Math" w:eastAsia="Calibri" w:hAnsi="Cambria Math"/>
                <w:i/>
              </w:rPr>
            </m:ctrlPr>
          </m:dPr>
          <m:e>
            <m:r>
              <w:rPr>
                <w:rFonts w:ascii="Cambria Math" w:hAnsi="Cambria Math"/>
              </w:rPr>
              <m:t>z|</m:t>
            </m:r>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r>
                  <w:rPr>
                    <w:rFonts w:ascii="Cambria Math" w:hAnsi="Cambria Math"/>
                  </w:rPr>
                  <m:t>z</m:t>
                </m:r>
              </m:e>
            </m:d>
          </m:e>
        </m:d>
      </m:oMath>
      <w:r w:rsidRPr="001C1D37">
        <w:t xml:space="preserve"> at Stage 1</w:t>
      </w:r>
      <w:r w:rsidRPr="001C1D37">
        <w:rPr>
          <w:rFonts w:eastAsia="Calibri"/>
        </w:rPr>
        <w:t>. T</w:t>
      </w:r>
      <w:r w:rsidRPr="001C1D37">
        <w:t>he suggested approach can also be extended to allow competing risks for disease onset [</w:t>
      </w:r>
      <w:r w:rsidR="00B060DF" w:rsidRPr="001C1D37">
        <w:t>37</w:t>
      </w:r>
      <w:r w:rsidRPr="001C1D37">
        <w:t xml:space="preserve">] by altering the definition </w:t>
      </w:r>
      <w:proofErr w:type="gramStart"/>
      <w:r w:rsidRPr="001C1D37">
        <w:t xml:space="preserve">of </w:t>
      </w:r>
      <w:proofErr w:type="gramEnd"/>
      <m:oMath>
        <m:r>
          <w:rPr>
            <w:rFonts w:ascii="Cambria Math" w:hAnsi="Cambria Math"/>
          </w:rPr>
          <m:t>D(t)</m:t>
        </m:r>
      </m:oMath>
      <w:r w:rsidRPr="001C1D37">
        <w:t xml:space="preserve">. An added distinction of the proposed approach is that, sequentially estimated association parameters over meaningfully (clinically) spaced time periods since entry can be used to provide indices of progression or treatment responses and thereby to provide information that can direct choice of therapy. </w:t>
      </w:r>
    </w:p>
    <w:p w:rsidR="00D0467E" w:rsidRPr="001C1D37" w:rsidRDefault="00D0467E" w:rsidP="001C1D37">
      <w:pPr>
        <w:autoSpaceDE w:val="0"/>
        <w:autoSpaceDN w:val="0"/>
        <w:adjustRightInd w:val="0"/>
      </w:pPr>
    </w:p>
    <w:p w:rsidR="00BF4A60" w:rsidRPr="001C1D37" w:rsidRDefault="00BF4A60" w:rsidP="001C1D37">
      <w:pPr>
        <w:autoSpaceDE w:val="0"/>
        <w:autoSpaceDN w:val="0"/>
        <w:adjustRightInd w:val="0"/>
      </w:pPr>
    </w:p>
    <w:p w:rsidR="00974D68" w:rsidRPr="001C1D37" w:rsidRDefault="00974D68" w:rsidP="001C1D37">
      <w:pPr>
        <w:autoSpaceDE w:val="0"/>
        <w:autoSpaceDN w:val="0"/>
        <w:adjustRightInd w:val="0"/>
      </w:pPr>
      <w:r w:rsidRPr="001C1D37">
        <w:t>Based on current evidence, most utilised biomarkers for sepsis lack the necessary accuracy to be us</w:t>
      </w:r>
      <w:r w:rsidR="00B060DF" w:rsidRPr="001C1D37">
        <w:t>ed without clinical judgement [22</w:t>
      </w:r>
      <w:r w:rsidRPr="001C1D37">
        <w:t xml:space="preserve">]. We believe that the accuracy of the proposed </w:t>
      </w:r>
      <w:proofErr w:type="spellStart"/>
      <w:proofErr w:type="gramStart"/>
      <w:r w:rsidRPr="001C1D37">
        <w:t>aPTT</w:t>
      </w:r>
      <w:proofErr w:type="spellEnd"/>
      <w:r w:rsidRPr="001C1D37">
        <w:t>(</w:t>
      </w:r>
      <w:proofErr w:type="gramEnd"/>
      <w:r w:rsidRPr="001C1D37">
        <w:t xml:space="preserve">TL18) model can be improved further by identifying baseline demographic and clinical characteristics of patients that interact the response (time of sepsis onset as well as </w:t>
      </w:r>
      <w:proofErr w:type="spellStart"/>
      <w:r w:rsidRPr="001C1D37">
        <w:t>aPTT</w:t>
      </w:r>
      <w:proofErr w:type="spellEnd"/>
      <w:r w:rsidRPr="001C1D37">
        <w:t xml:space="preserve">), e.g. age, </w:t>
      </w:r>
      <w:r w:rsidRPr="001C1D37">
        <w:rPr>
          <w:lang w:eastAsia="en-GB"/>
        </w:rPr>
        <w:t xml:space="preserve">and the choice of threshold. </w:t>
      </w:r>
      <w:r w:rsidRPr="001C1D37">
        <w:t xml:space="preserve">If such characteristics and </w:t>
      </w:r>
      <w:r w:rsidRPr="001C1D37">
        <w:rPr>
          <w:lang w:eastAsia="en-GB"/>
        </w:rPr>
        <w:t xml:space="preserve">threshold </w:t>
      </w:r>
      <w:r w:rsidRPr="001C1D37">
        <w:t>were identified on adequate sample</w:t>
      </w:r>
      <w:r w:rsidR="00064A71" w:rsidRPr="001C1D37">
        <w:t xml:space="preserve"> size</w:t>
      </w:r>
      <w:r w:rsidRPr="001C1D37">
        <w:t>, then the</w:t>
      </w:r>
      <w:r w:rsidRPr="001C1D37">
        <w:rPr>
          <w:lang w:bidi="ta-IN"/>
        </w:rPr>
        <w:t xml:space="preserve"> final model would also need validation in an external cohort before being taken further into a randomised control trial to evaluate an early intervention strategy guided by </w:t>
      </w:r>
      <w:proofErr w:type="spellStart"/>
      <w:proofErr w:type="gramStart"/>
      <w:r w:rsidRPr="001C1D37">
        <w:t>aPTT</w:t>
      </w:r>
      <w:proofErr w:type="spellEnd"/>
      <w:r w:rsidRPr="001C1D37">
        <w:t>(</w:t>
      </w:r>
      <w:proofErr w:type="gramEnd"/>
      <w:r w:rsidRPr="001C1D37">
        <w:t xml:space="preserve">TL18) model </w:t>
      </w:r>
      <w:r w:rsidRPr="001C1D37">
        <w:rPr>
          <w:lang w:bidi="ta-IN"/>
        </w:rPr>
        <w:t xml:space="preserve">over the first 48 hours </w:t>
      </w:r>
      <w:r w:rsidRPr="001C1D37">
        <w:t>following ITU admission. Although, such work is beyond the scope of this paper, we illustrated that the proposed methodology can be used to guide detection and management of sepsis more accurately.</w:t>
      </w:r>
      <w:r w:rsidR="003264DF" w:rsidRPr="001C1D37">
        <w:t xml:space="preserve"> </w:t>
      </w:r>
    </w:p>
    <w:p w:rsidR="00974D68" w:rsidRPr="001C1D37" w:rsidRDefault="00974D68" w:rsidP="001C1D37">
      <w:pPr>
        <w:autoSpaceDE w:val="0"/>
        <w:autoSpaceDN w:val="0"/>
        <w:adjustRightInd w:val="0"/>
      </w:pPr>
    </w:p>
    <w:p w:rsidR="00974D68" w:rsidRPr="001C1D37" w:rsidRDefault="00974D68" w:rsidP="001C1D37">
      <w:pPr>
        <w:autoSpaceDE w:val="0"/>
        <w:autoSpaceDN w:val="0"/>
        <w:adjustRightInd w:val="0"/>
      </w:pPr>
    </w:p>
    <w:p w:rsidR="00B80FE8" w:rsidRDefault="00B80FE8" w:rsidP="001C1D37">
      <w:pPr>
        <w:pStyle w:val="NoSpacing"/>
        <w:rPr>
          <w:rFonts w:ascii="Times New Roman" w:hAnsi="Times New Roman"/>
          <w:b/>
          <w:sz w:val="24"/>
          <w:szCs w:val="24"/>
        </w:rPr>
      </w:pPr>
    </w:p>
    <w:p w:rsidR="00D0467E" w:rsidRPr="001C1D37" w:rsidRDefault="00D0467E" w:rsidP="001C1D37">
      <w:pPr>
        <w:pStyle w:val="NoSpacing"/>
        <w:rPr>
          <w:rFonts w:ascii="Times New Roman" w:hAnsi="Times New Roman"/>
          <w:b/>
          <w:sz w:val="24"/>
          <w:szCs w:val="24"/>
        </w:rPr>
      </w:pPr>
      <w:r w:rsidRPr="001C1D37">
        <w:rPr>
          <w:rFonts w:ascii="Times New Roman" w:hAnsi="Times New Roman"/>
          <w:b/>
          <w:sz w:val="24"/>
          <w:szCs w:val="24"/>
        </w:rPr>
        <w:t>Competing interests</w:t>
      </w:r>
    </w:p>
    <w:p w:rsidR="00D0467E" w:rsidRPr="001C1D37" w:rsidRDefault="00D0467E" w:rsidP="001C1D37">
      <w:pPr>
        <w:pStyle w:val="NoSpacing"/>
        <w:rPr>
          <w:rFonts w:ascii="Times New Roman" w:hAnsi="Times New Roman"/>
          <w:sz w:val="24"/>
          <w:szCs w:val="24"/>
        </w:rPr>
      </w:pPr>
      <w:r w:rsidRPr="001C1D37">
        <w:rPr>
          <w:rFonts w:ascii="Times New Roman" w:hAnsi="Times New Roman"/>
          <w:sz w:val="24"/>
          <w:szCs w:val="24"/>
        </w:rPr>
        <w:t>The authors declare that they have no competing interests.</w:t>
      </w:r>
    </w:p>
    <w:p w:rsidR="00D0467E" w:rsidRPr="001C1D37" w:rsidRDefault="00D0467E" w:rsidP="001C1D37">
      <w:pPr>
        <w:pStyle w:val="NoSpacing"/>
        <w:rPr>
          <w:rFonts w:ascii="Times New Roman" w:hAnsi="Times New Roman"/>
          <w:b/>
          <w:sz w:val="24"/>
          <w:szCs w:val="24"/>
        </w:rPr>
      </w:pPr>
    </w:p>
    <w:p w:rsidR="00BF4A60" w:rsidRPr="001C1D37" w:rsidRDefault="00BF4A60" w:rsidP="001C1D37">
      <w:pPr>
        <w:pStyle w:val="NoSpacing"/>
        <w:rPr>
          <w:rFonts w:ascii="Times New Roman" w:hAnsi="Times New Roman"/>
          <w:b/>
          <w:sz w:val="24"/>
          <w:szCs w:val="24"/>
        </w:rPr>
      </w:pPr>
    </w:p>
    <w:p w:rsidR="00D0467E" w:rsidRPr="001C1D37" w:rsidRDefault="00D0467E" w:rsidP="001C1D37">
      <w:pPr>
        <w:pStyle w:val="NoSpacing"/>
        <w:rPr>
          <w:rFonts w:ascii="Times New Roman" w:hAnsi="Times New Roman"/>
          <w:b/>
          <w:sz w:val="24"/>
          <w:szCs w:val="24"/>
          <w:lang w:eastAsia="en-GB"/>
        </w:rPr>
      </w:pPr>
      <w:r w:rsidRPr="001C1D37">
        <w:rPr>
          <w:rFonts w:ascii="Times New Roman" w:hAnsi="Times New Roman"/>
          <w:b/>
          <w:sz w:val="24"/>
          <w:szCs w:val="24"/>
          <w:lang w:eastAsia="en-GB"/>
        </w:rPr>
        <w:t>Acknowledgements</w:t>
      </w:r>
    </w:p>
    <w:p w:rsidR="00D0467E" w:rsidRPr="001C1D37" w:rsidRDefault="00D0467E" w:rsidP="001C1D37">
      <w:pPr>
        <w:pStyle w:val="NoSpacing"/>
        <w:rPr>
          <w:rFonts w:ascii="Times New Roman" w:hAnsi="Times New Roman"/>
          <w:sz w:val="24"/>
          <w:szCs w:val="24"/>
        </w:rPr>
      </w:pPr>
      <w:r w:rsidRPr="001C1D37">
        <w:rPr>
          <w:rFonts w:ascii="Times New Roman" w:eastAsia="CMR10" w:hAnsi="Times New Roman"/>
          <w:sz w:val="24"/>
          <w:szCs w:val="24"/>
          <w:lang w:eastAsia="en-GB"/>
        </w:rPr>
        <w:t xml:space="preserve">The authors thank Professors </w:t>
      </w:r>
      <w:r w:rsidRPr="001C1D37">
        <w:rPr>
          <w:rFonts w:ascii="Times New Roman" w:hAnsi="Times New Roman"/>
          <w:bCs/>
          <w:sz w:val="24"/>
          <w:szCs w:val="24"/>
        </w:rPr>
        <w:t xml:space="preserve">Cheng-Hock Toh and Ingeborg Welters, and Mr Colin Downey from the </w:t>
      </w:r>
      <w:r w:rsidRPr="001C1D37">
        <w:rPr>
          <w:rFonts w:ascii="Times New Roman" w:hAnsi="Times New Roman"/>
          <w:sz w:val="24"/>
          <w:szCs w:val="24"/>
        </w:rPr>
        <w:t xml:space="preserve">Roald Dahl Haemostasis and Thrombosis Centre, Royal Liverpool University Hospital, Liverpool, UK for providing the </w:t>
      </w:r>
      <w:proofErr w:type="spellStart"/>
      <w:r w:rsidRPr="001C1D37">
        <w:rPr>
          <w:rFonts w:ascii="Times New Roman" w:hAnsi="Times New Roman"/>
          <w:sz w:val="24"/>
          <w:szCs w:val="24"/>
        </w:rPr>
        <w:t>aPTT</w:t>
      </w:r>
      <w:proofErr w:type="spellEnd"/>
      <w:r w:rsidRPr="001C1D37">
        <w:rPr>
          <w:rFonts w:ascii="Times New Roman" w:hAnsi="Times New Roman"/>
          <w:sz w:val="24"/>
          <w:szCs w:val="24"/>
        </w:rPr>
        <w:t xml:space="preserve"> biomarker data for the application.</w:t>
      </w:r>
      <w:r w:rsidR="00821C80" w:rsidRPr="001C1D37">
        <w:rPr>
          <w:rFonts w:ascii="Times New Roman" w:hAnsi="Times New Roman"/>
          <w:sz w:val="24"/>
          <w:szCs w:val="24"/>
        </w:rPr>
        <w:t xml:space="preserve"> We also thank reviewers for their constructive and helpful comments.</w:t>
      </w:r>
    </w:p>
    <w:p w:rsidR="00FC26A9" w:rsidRPr="001C1D37" w:rsidRDefault="00FC26A9" w:rsidP="001C1D37">
      <w:pPr>
        <w:rPr>
          <w:rFonts w:eastAsia="Calibri"/>
          <w:b/>
          <w:sz w:val="28"/>
          <w:szCs w:val="28"/>
        </w:rPr>
      </w:pPr>
    </w:p>
    <w:p w:rsidR="00821C80" w:rsidRPr="001C1D37" w:rsidRDefault="00821C80" w:rsidP="001C1D37">
      <w:pPr>
        <w:rPr>
          <w:rFonts w:eastAsia="Calibri"/>
          <w:b/>
          <w:sz w:val="28"/>
          <w:szCs w:val="28"/>
        </w:rPr>
      </w:pPr>
    </w:p>
    <w:p w:rsidR="00E72902" w:rsidRPr="001C1D37" w:rsidRDefault="00E72902" w:rsidP="001C1D37">
      <w:pPr>
        <w:rPr>
          <w:rFonts w:eastAsia="Calibri"/>
          <w:b/>
          <w:sz w:val="28"/>
          <w:szCs w:val="28"/>
        </w:rPr>
      </w:pPr>
      <w:r w:rsidRPr="001C1D37">
        <w:rPr>
          <w:rFonts w:eastAsia="Calibri"/>
          <w:b/>
          <w:sz w:val="28"/>
          <w:szCs w:val="28"/>
        </w:rPr>
        <w:t>References</w:t>
      </w:r>
    </w:p>
    <w:p w:rsidR="00D0467E" w:rsidRPr="001C1D37" w:rsidRDefault="00D0467E" w:rsidP="001C1D37">
      <w:pPr>
        <w:rPr>
          <w:bCs/>
        </w:rPr>
      </w:pPr>
      <w:r w:rsidRPr="001C1D37">
        <w:lastRenderedPageBreak/>
        <w:t xml:space="preserve">1. Adams LA. </w:t>
      </w:r>
      <w:proofErr w:type="gramStart"/>
      <w:r w:rsidRPr="001C1D37">
        <w:t>Biomarkers of liver fibrosis.</w:t>
      </w:r>
      <w:proofErr w:type="gramEnd"/>
      <w:r w:rsidRPr="001C1D37">
        <w:t xml:space="preserve"> J. </w:t>
      </w:r>
      <w:proofErr w:type="spellStart"/>
      <w:r w:rsidRPr="001C1D37">
        <w:t>Gastroen</w:t>
      </w:r>
      <w:proofErr w:type="spellEnd"/>
      <w:r w:rsidRPr="001C1D37">
        <w:t xml:space="preserve"> </w:t>
      </w:r>
      <w:proofErr w:type="spellStart"/>
      <w:r w:rsidRPr="001C1D37">
        <w:t>Hepatol</w:t>
      </w:r>
      <w:proofErr w:type="spellEnd"/>
      <w:r w:rsidRPr="001C1D37">
        <w:t>. 2011; 26(5): 802-809.</w:t>
      </w:r>
    </w:p>
    <w:p w:rsidR="00D0467E" w:rsidRPr="001C1D37" w:rsidRDefault="00D0467E" w:rsidP="001C1D37">
      <w:pPr>
        <w:rPr>
          <w:rFonts w:eastAsia="CMR9"/>
          <w:lang w:bidi="ta-IN"/>
        </w:rPr>
      </w:pPr>
      <w:r w:rsidRPr="001C1D37">
        <w:rPr>
          <w:rFonts w:eastAsia="Calibri"/>
          <w:lang w:eastAsia="en-GB" w:bidi="ta-IN"/>
        </w:rPr>
        <w:t xml:space="preserve">2. </w:t>
      </w:r>
      <w:r w:rsidRPr="001C1D37">
        <w:rPr>
          <w:rFonts w:eastAsia="CMR9"/>
          <w:lang w:bidi="ta-IN"/>
        </w:rPr>
        <w:t xml:space="preserve">Toh CH, Ticknor LO, Downey C, Giles AR, </w:t>
      </w:r>
      <w:proofErr w:type="gramStart"/>
      <w:r w:rsidRPr="001C1D37">
        <w:rPr>
          <w:rFonts w:eastAsia="CMR9"/>
          <w:lang w:bidi="ta-IN"/>
        </w:rPr>
        <w:t>Paton  R</w:t>
      </w:r>
      <w:proofErr w:type="gramEnd"/>
      <w:r w:rsidRPr="001C1D37">
        <w:rPr>
          <w:rFonts w:eastAsia="CMR9"/>
          <w:lang w:bidi="ta-IN"/>
        </w:rPr>
        <w:t xml:space="preserve">, </w:t>
      </w:r>
      <w:proofErr w:type="spellStart"/>
      <w:r w:rsidRPr="001C1D37">
        <w:rPr>
          <w:rFonts w:eastAsia="CMR9"/>
          <w:lang w:bidi="ta-IN"/>
        </w:rPr>
        <w:t>Wenstone</w:t>
      </w:r>
      <w:proofErr w:type="spellEnd"/>
      <w:r w:rsidRPr="001C1D37">
        <w:rPr>
          <w:rFonts w:eastAsia="CMR9"/>
          <w:lang w:bidi="ta-IN"/>
        </w:rPr>
        <w:t xml:space="preserve"> R. Early identification of sepsis and mortality risks through simple, rapid clot-waveform analysis. </w:t>
      </w:r>
      <w:proofErr w:type="spellStart"/>
      <w:proofErr w:type="gramStart"/>
      <w:r w:rsidRPr="001C1D37">
        <w:rPr>
          <w:rFonts w:eastAsia="CMR9"/>
          <w:lang w:bidi="ta-IN"/>
        </w:rPr>
        <w:t>Intens</w:t>
      </w:r>
      <w:proofErr w:type="spellEnd"/>
      <w:r w:rsidRPr="001C1D37">
        <w:rPr>
          <w:rFonts w:eastAsia="CMR9"/>
          <w:lang w:bidi="ta-IN"/>
        </w:rPr>
        <w:t>.</w:t>
      </w:r>
      <w:proofErr w:type="gramEnd"/>
      <w:r w:rsidRPr="001C1D37">
        <w:rPr>
          <w:rFonts w:eastAsia="CMR9"/>
          <w:lang w:bidi="ta-IN"/>
        </w:rPr>
        <w:t xml:space="preserve"> Care Med. 2003; 29: 55-61.</w:t>
      </w:r>
    </w:p>
    <w:p w:rsidR="00D0467E" w:rsidRPr="001C1D37" w:rsidRDefault="00D0467E" w:rsidP="001C1D37">
      <w:r w:rsidRPr="001C1D37">
        <w:rPr>
          <w:rFonts w:eastAsia="CMR9"/>
          <w:lang w:bidi="ta-IN"/>
        </w:rPr>
        <w:t xml:space="preserve">3. Zweig MH, Campbell G. Receiver-operator characteristic plots: A fundamental evaluation tool in clinical medicine. </w:t>
      </w:r>
      <w:proofErr w:type="spellStart"/>
      <w:proofErr w:type="gramStart"/>
      <w:r w:rsidRPr="001C1D37">
        <w:rPr>
          <w:rFonts w:eastAsia="CMR9"/>
          <w:iCs/>
          <w:lang w:bidi="ta-IN"/>
        </w:rPr>
        <w:t>Clin</w:t>
      </w:r>
      <w:proofErr w:type="spellEnd"/>
      <w:r w:rsidRPr="001C1D37">
        <w:rPr>
          <w:rFonts w:eastAsia="CMR9"/>
          <w:iCs/>
          <w:lang w:bidi="ta-IN"/>
        </w:rPr>
        <w:t>.</w:t>
      </w:r>
      <w:proofErr w:type="gramEnd"/>
      <w:r w:rsidRPr="001C1D37">
        <w:rPr>
          <w:rFonts w:eastAsia="CMR9"/>
          <w:iCs/>
          <w:lang w:bidi="ta-IN"/>
        </w:rPr>
        <w:t xml:space="preserve"> </w:t>
      </w:r>
      <w:proofErr w:type="gramStart"/>
      <w:r w:rsidRPr="001C1D37">
        <w:rPr>
          <w:rFonts w:eastAsia="CMR9"/>
          <w:iCs/>
          <w:lang w:bidi="ta-IN"/>
        </w:rPr>
        <w:t>Chem</w:t>
      </w:r>
      <w:r w:rsidRPr="001C1D37">
        <w:rPr>
          <w:rFonts w:eastAsia="CMR9"/>
          <w:lang w:bidi="ta-IN"/>
        </w:rPr>
        <w:t xml:space="preserve">. 1993; </w:t>
      </w:r>
      <w:r w:rsidRPr="001C1D37">
        <w:rPr>
          <w:rFonts w:eastAsia="CMR9"/>
          <w:bCs/>
          <w:lang w:bidi="ta-IN"/>
        </w:rPr>
        <w:t xml:space="preserve">39: </w:t>
      </w:r>
      <w:r w:rsidRPr="001C1D37">
        <w:rPr>
          <w:rFonts w:eastAsia="CMR9"/>
          <w:lang w:bidi="ta-IN"/>
        </w:rPr>
        <w:t>561–577.</w:t>
      </w:r>
      <w:proofErr w:type="gramEnd"/>
    </w:p>
    <w:p w:rsidR="00B060DF" w:rsidRPr="001C1D37" w:rsidRDefault="00B060DF" w:rsidP="001C1D37">
      <w:pPr>
        <w:rPr>
          <w:rFonts w:eastAsia="Calibri"/>
          <w:lang w:eastAsia="en-GB" w:bidi="ta-IN"/>
        </w:rPr>
      </w:pPr>
      <w:r w:rsidRPr="001C1D37">
        <w:rPr>
          <w:rFonts w:eastAsia="Calibri"/>
          <w:lang w:eastAsia="en-GB" w:bidi="ta-IN"/>
        </w:rPr>
        <w:t xml:space="preserve">4. </w:t>
      </w:r>
      <w:proofErr w:type="spellStart"/>
      <w:r w:rsidRPr="001C1D37">
        <w:rPr>
          <w:rStyle w:val="BookTitle"/>
          <w:b w:val="0"/>
          <w:bCs w:val="0"/>
          <w:smallCaps w:val="0"/>
          <w:spacing w:val="0"/>
        </w:rPr>
        <w:t>Heagerty</w:t>
      </w:r>
      <w:proofErr w:type="spellEnd"/>
      <w:r w:rsidRPr="001C1D37">
        <w:rPr>
          <w:rStyle w:val="BookTitle"/>
          <w:b w:val="0"/>
          <w:bCs w:val="0"/>
          <w:smallCaps w:val="0"/>
          <w:spacing w:val="0"/>
        </w:rPr>
        <w:t xml:space="preserve"> PJ, Lumley T, </w:t>
      </w:r>
      <w:proofErr w:type="spellStart"/>
      <w:r w:rsidRPr="001C1D37">
        <w:rPr>
          <w:rStyle w:val="BookTitle"/>
          <w:b w:val="0"/>
          <w:bCs w:val="0"/>
          <w:smallCaps w:val="0"/>
          <w:spacing w:val="0"/>
        </w:rPr>
        <w:t>Pepe</w:t>
      </w:r>
      <w:proofErr w:type="spellEnd"/>
      <w:r w:rsidRPr="001C1D37">
        <w:rPr>
          <w:rStyle w:val="BookTitle"/>
          <w:b w:val="0"/>
          <w:bCs w:val="0"/>
          <w:smallCaps w:val="0"/>
          <w:spacing w:val="0"/>
        </w:rPr>
        <w:t xml:space="preserve"> MS.</w:t>
      </w:r>
      <w:r w:rsidRPr="001C1D37">
        <w:t xml:space="preserve"> Time dependent ROC curves for censored survival data and a diagnostic marker. </w:t>
      </w:r>
      <w:proofErr w:type="gramStart"/>
      <w:r w:rsidRPr="001C1D37">
        <w:t>Biometrics.</w:t>
      </w:r>
      <w:proofErr w:type="gramEnd"/>
      <w:r w:rsidRPr="001C1D37">
        <w:t xml:space="preserve"> </w:t>
      </w:r>
      <w:proofErr w:type="gramStart"/>
      <w:r w:rsidRPr="001C1D37">
        <w:t>2000; 56:337-344.</w:t>
      </w:r>
      <w:proofErr w:type="gramEnd"/>
    </w:p>
    <w:p w:rsidR="00B060DF" w:rsidRPr="001C1D37" w:rsidRDefault="00B060DF" w:rsidP="001C1D37">
      <w:r w:rsidRPr="001C1D37">
        <w:rPr>
          <w:rFonts w:eastAsia="Calibri"/>
          <w:lang w:eastAsia="en-GB" w:bidi="ta-IN"/>
        </w:rPr>
        <w:t xml:space="preserve">5. </w:t>
      </w:r>
      <w:proofErr w:type="spellStart"/>
      <w:proofErr w:type="gramStart"/>
      <w:r w:rsidRPr="001C1D37">
        <w:t>Heagerty</w:t>
      </w:r>
      <w:proofErr w:type="spellEnd"/>
      <w:r w:rsidRPr="001C1D37">
        <w:t xml:space="preserve">  PJ</w:t>
      </w:r>
      <w:proofErr w:type="gramEnd"/>
      <w:r w:rsidRPr="001C1D37">
        <w:t xml:space="preserve">, Zheng Y. Survival Model Predictive Accuracy and ROC curves. </w:t>
      </w:r>
      <w:proofErr w:type="gramStart"/>
      <w:r w:rsidRPr="001C1D37">
        <w:t>Biometrics.</w:t>
      </w:r>
      <w:proofErr w:type="gramEnd"/>
      <w:r w:rsidRPr="001C1D37">
        <w:t xml:space="preserve"> </w:t>
      </w:r>
      <w:proofErr w:type="gramStart"/>
      <w:r w:rsidRPr="001C1D37">
        <w:t>2005; 61: 92 – 105.</w:t>
      </w:r>
      <w:proofErr w:type="gramEnd"/>
    </w:p>
    <w:p w:rsidR="00B060DF" w:rsidRPr="001C1D37" w:rsidRDefault="00B060DF" w:rsidP="001C1D37">
      <w:r w:rsidRPr="001C1D37">
        <w:rPr>
          <w:rFonts w:eastAsia="Calibri"/>
          <w:lang w:eastAsia="en-GB" w:bidi="ta-IN"/>
        </w:rPr>
        <w:t xml:space="preserve">6. </w:t>
      </w:r>
      <w:proofErr w:type="spellStart"/>
      <w:r w:rsidRPr="001C1D37">
        <w:t>Etzioni</w:t>
      </w:r>
      <w:proofErr w:type="spellEnd"/>
      <w:r w:rsidRPr="001C1D37">
        <w:t xml:space="preserve"> R, </w:t>
      </w:r>
      <w:proofErr w:type="spellStart"/>
      <w:r w:rsidRPr="001C1D37">
        <w:t>Pepe</w:t>
      </w:r>
      <w:proofErr w:type="spellEnd"/>
      <w:r w:rsidRPr="001C1D37">
        <w:t xml:space="preserve"> M, </w:t>
      </w:r>
      <w:proofErr w:type="spellStart"/>
      <w:r w:rsidRPr="001C1D37">
        <w:t>Longton</w:t>
      </w:r>
      <w:proofErr w:type="spellEnd"/>
      <w:r w:rsidRPr="001C1D37">
        <w:t xml:space="preserve"> G, Hu C, Goodman G. Incorporating the time dimension in receiver operating characteristic curves: a case study of prostate cancer. </w:t>
      </w:r>
      <w:proofErr w:type="gramStart"/>
      <w:r w:rsidRPr="001C1D37">
        <w:t xml:space="preserve">Med </w:t>
      </w:r>
      <w:proofErr w:type="spellStart"/>
      <w:r w:rsidRPr="001C1D37">
        <w:t>Decis</w:t>
      </w:r>
      <w:proofErr w:type="spellEnd"/>
      <w:r w:rsidRPr="001C1D37">
        <w:t xml:space="preserve"> Making.</w:t>
      </w:r>
      <w:proofErr w:type="gramEnd"/>
      <w:r w:rsidRPr="001C1D37">
        <w:t xml:space="preserve"> </w:t>
      </w:r>
      <w:proofErr w:type="gramStart"/>
      <w:r w:rsidRPr="001C1D37">
        <w:t>1999; 19: 242–251.</w:t>
      </w:r>
      <w:proofErr w:type="gramEnd"/>
    </w:p>
    <w:p w:rsidR="00B060DF" w:rsidRPr="001C1D37" w:rsidRDefault="00B060DF" w:rsidP="001C1D37">
      <w:r w:rsidRPr="001C1D37">
        <w:rPr>
          <w:rFonts w:eastAsia="Calibri"/>
          <w:lang w:eastAsia="en-GB" w:bidi="ta-IN"/>
        </w:rPr>
        <w:t xml:space="preserve">7. </w:t>
      </w:r>
      <w:r w:rsidRPr="001C1D37">
        <w:t xml:space="preserve">Zheng Y, </w:t>
      </w:r>
      <w:proofErr w:type="spellStart"/>
      <w:r w:rsidRPr="001C1D37">
        <w:t>Heagerty</w:t>
      </w:r>
      <w:proofErr w:type="spellEnd"/>
      <w:r w:rsidRPr="001C1D37">
        <w:t xml:space="preserve"> PJ. </w:t>
      </w:r>
      <w:proofErr w:type="spellStart"/>
      <w:r w:rsidRPr="001C1D37">
        <w:t>Semiparametric</w:t>
      </w:r>
      <w:proofErr w:type="spellEnd"/>
      <w:r w:rsidRPr="001C1D37">
        <w:t xml:space="preserve"> estimation of time-dependent ROC curves for longitudinal marker data. </w:t>
      </w:r>
      <w:proofErr w:type="gramStart"/>
      <w:r w:rsidRPr="001C1D37">
        <w:t>Biostatistics.</w:t>
      </w:r>
      <w:proofErr w:type="gramEnd"/>
      <w:r w:rsidRPr="001C1D37">
        <w:t xml:space="preserve"> 2004</w:t>
      </w:r>
      <w:proofErr w:type="gramStart"/>
      <w:r w:rsidRPr="001C1D37">
        <w:t>;  5</w:t>
      </w:r>
      <w:proofErr w:type="gramEnd"/>
      <w:r w:rsidRPr="001C1D37">
        <w:t>: 615–632.</w:t>
      </w:r>
    </w:p>
    <w:p w:rsidR="00B060DF" w:rsidRPr="001C1D37" w:rsidRDefault="00B060DF" w:rsidP="001C1D37">
      <w:pPr>
        <w:rPr>
          <w:rFonts w:eastAsia="Calibri"/>
          <w:lang w:bidi="ta-IN"/>
        </w:rPr>
      </w:pPr>
      <w:r w:rsidRPr="001C1D37">
        <w:rPr>
          <w:rFonts w:eastAsia="Calibri"/>
          <w:lang w:eastAsia="en-GB" w:bidi="ta-IN"/>
        </w:rPr>
        <w:t>8.</w:t>
      </w:r>
      <w:r w:rsidRPr="001C1D37">
        <w:rPr>
          <w:rFonts w:eastAsia="Calibri"/>
          <w:lang w:bidi="ta-IN"/>
        </w:rPr>
        <w:t xml:space="preserve"> Zheng Y, </w:t>
      </w:r>
      <w:proofErr w:type="spellStart"/>
      <w:r w:rsidRPr="001C1D37">
        <w:rPr>
          <w:rFonts w:eastAsia="Calibri"/>
          <w:lang w:bidi="ta-IN"/>
        </w:rPr>
        <w:t>Heagerty</w:t>
      </w:r>
      <w:proofErr w:type="spellEnd"/>
      <w:r w:rsidRPr="001C1D37">
        <w:rPr>
          <w:rFonts w:eastAsia="Calibri"/>
          <w:lang w:bidi="ta-IN"/>
        </w:rPr>
        <w:t xml:space="preserve"> P. Prospective accuracy for longitudinal markers. </w:t>
      </w:r>
      <w:proofErr w:type="gramStart"/>
      <w:r w:rsidRPr="001C1D37">
        <w:rPr>
          <w:rFonts w:eastAsia="Calibri"/>
          <w:iCs/>
          <w:lang w:bidi="ta-IN"/>
        </w:rPr>
        <w:t>Biometrics</w:t>
      </w:r>
      <w:r w:rsidRPr="001C1D37">
        <w:rPr>
          <w:rFonts w:eastAsia="Calibri"/>
          <w:lang w:bidi="ta-IN"/>
        </w:rPr>
        <w:t>.</w:t>
      </w:r>
      <w:proofErr w:type="gramEnd"/>
      <w:r w:rsidRPr="001C1D37">
        <w:rPr>
          <w:rFonts w:eastAsia="Calibri"/>
          <w:lang w:bidi="ta-IN"/>
        </w:rPr>
        <w:t xml:space="preserve"> </w:t>
      </w:r>
      <w:proofErr w:type="gramStart"/>
      <w:r w:rsidRPr="001C1D37">
        <w:rPr>
          <w:rFonts w:eastAsia="Calibri"/>
          <w:lang w:bidi="ta-IN"/>
        </w:rPr>
        <w:t>2007;</w:t>
      </w:r>
      <w:r w:rsidRPr="001C1D37">
        <w:rPr>
          <w:rFonts w:eastAsia="Calibri"/>
          <w:iCs/>
          <w:lang w:bidi="ta-IN"/>
        </w:rPr>
        <w:t xml:space="preserve"> </w:t>
      </w:r>
      <w:r w:rsidRPr="001C1D37">
        <w:rPr>
          <w:rFonts w:eastAsia="Calibri"/>
          <w:bCs/>
          <w:lang w:bidi="ta-IN"/>
        </w:rPr>
        <w:t xml:space="preserve">63: </w:t>
      </w:r>
      <w:r w:rsidRPr="001C1D37">
        <w:rPr>
          <w:rFonts w:eastAsia="Calibri"/>
          <w:lang w:bidi="ta-IN"/>
        </w:rPr>
        <w:t>332–341.</w:t>
      </w:r>
      <w:proofErr w:type="gramEnd"/>
    </w:p>
    <w:p w:rsidR="00B060DF" w:rsidRPr="001C1D37" w:rsidRDefault="00B060DF" w:rsidP="001C1D37">
      <w:r w:rsidRPr="001C1D37">
        <w:t xml:space="preserve">9. </w:t>
      </w:r>
      <w:proofErr w:type="spellStart"/>
      <w:r w:rsidRPr="001C1D37">
        <w:t>Tsiatis</w:t>
      </w:r>
      <w:proofErr w:type="spellEnd"/>
      <w:r w:rsidRPr="001C1D37">
        <w:t xml:space="preserve"> AA, </w:t>
      </w:r>
      <w:proofErr w:type="spellStart"/>
      <w:r w:rsidRPr="001C1D37">
        <w:t>Degruttola</w:t>
      </w:r>
      <w:proofErr w:type="spellEnd"/>
      <w:r w:rsidRPr="001C1D37">
        <w:t xml:space="preserve"> V, </w:t>
      </w:r>
      <w:proofErr w:type="spellStart"/>
      <w:proofErr w:type="gramStart"/>
      <w:r w:rsidRPr="001C1D37">
        <w:t>Wulfsohn</w:t>
      </w:r>
      <w:proofErr w:type="spellEnd"/>
      <w:r w:rsidRPr="001C1D37">
        <w:t xml:space="preserve">  MS</w:t>
      </w:r>
      <w:proofErr w:type="gramEnd"/>
      <w:r w:rsidRPr="001C1D37">
        <w:t xml:space="preserve">. </w:t>
      </w:r>
      <w:proofErr w:type="spellStart"/>
      <w:r w:rsidRPr="001C1D37">
        <w:t>Modeling</w:t>
      </w:r>
      <w:proofErr w:type="spellEnd"/>
      <w:r w:rsidRPr="001C1D37">
        <w:t xml:space="preserve"> the relationship of survival to longitudinal data measured with error. </w:t>
      </w:r>
      <w:proofErr w:type="gramStart"/>
      <w:r w:rsidRPr="001C1D37">
        <w:t>Applications to survival and CD4 counts in patients with AIDS.</w:t>
      </w:r>
      <w:proofErr w:type="gramEnd"/>
      <w:r w:rsidRPr="001C1D37">
        <w:t xml:space="preserve"> J. Am. Stat. Assoc. </w:t>
      </w:r>
      <w:proofErr w:type="gramStart"/>
      <w:r w:rsidRPr="001C1D37">
        <w:t>1995 ;</w:t>
      </w:r>
      <w:proofErr w:type="gramEnd"/>
      <w:r w:rsidRPr="001C1D37">
        <w:t xml:space="preserve"> 90: 27–37.</w:t>
      </w:r>
    </w:p>
    <w:p w:rsidR="00B060DF" w:rsidRPr="001C1D37" w:rsidRDefault="00B060DF" w:rsidP="001C1D37">
      <w:r w:rsidRPr="001C1D37">
        <w:rPr>
          <w:rFonts w:eastAsia="Calibri"/>
          <w:lang w:eastAsia="en-GB" w:bidi="ta-IN"/>
        </w:rPr>
        <w:t xml:space="preserve">10. </w:t>
      </w:r>
      <w:proofErr w:type="spellStart"/>
      <w:r w:rsidRPr="001C1D37">
        <w:t>Wulfsohn</w:t>
      </w:r>
      <w:proofErr w:type="spellEnd"/>
      <w:r w:rsidRPr="001C1D37">
        <w:t xml:space="preserve"> MS, </w:t>
      </w:r>
      <w:proofErr w:type="spellStart"/>
      <w:r w:rsidRPr="001C1D37">
        <w:t>Tsiatis</w:t>
      </w:r>
      <w:proofErr w:type="spellEnd"/>
      <w:r w:rsidRPr="001C1D37">
        <w:t xml:space="preserve"> AA. A joint model for survival and longitudinal data measured with error. </w:t>
      </w:r>
      <w:proofErr w:type="gramStart"/>
      <w:r w:rsidRPr="001C1D37">
        <w:rPr>
          <w:iCs/>
        </w:rPr>
        <w:t>Biometrics</w:t>
      </w:r>
      <w:r w:rsidRPr="001C1D37">
        <w:t>.</w:t>
      </w:r>
      <w:proofErr w:type="gramEnd"/>
      <w:r w:rsidRPr="001C1D37">
        <w:t xml:space="preserve"> </w:t>
      </w:r>
      <w:proofErr w:type="gramStart"/>
      <w:r w:rsidRPr="001C1D37">
        <w:t>1997; 53: 330–339.</w:t>
      </w:r>
      <w:proofErr w:type="gramEnd"/>
    </w:p>
    <w:p w:rsidR="00B060DF" w:rsidRPr="001C1D37" w:rsidRDefault="00B060DF" w:rsidP="001C1D37">
      <w:pPr>
        <w:rPr>
          <w:rStyle w:val="citation"/>
          <w:lang w:val="en"/>
        </w:rPr>
      </w:pPr>
      <w:proofErr w:type="gramStart"/>
      <w:r w:rsidRPr="001C1D37">
        <w:rPr>
          <w:rFonts w:eastAsia="CMR9"/>
          <w:lang w:bidi="ta-IN"/>
        </w:rPr>
        <w:t xml:space="preserve">11. </w:t>
      </w:r>
      <w:proofErr w:type="spellStart"/>
      <w:r w:rsidRPr="001C1D37">
        <w:rPr>
          <w:rStyle w:val="citation"/>
          <w:lang w:val="en"/>
        </w:rPr>
        <w:t>Faraggi</w:t>
      </w:r>
      <w:proofErr w:type="spellEnd"/>
      <w:r w:rsidRPr="001C1D37">
        <w:rPr>
          <w:rStyle w:val="citation"/>
          <w:lang w:val="en"/>
        </w:rPr>
        <w:t xml:space="preserve"> D.</w:t>
      </w:r>
      <w:proofErr w:type="gramEnd"/>
      <w:r w:rsidRPr="001C1D37">
        <w:rPr>
          <w:rStyle w:val="citation"/>
          <w:lang w:val="en"/>
        </w:rPr>
        <w:t xml:space="preserve"> </w:t>
      </w:r>
      <w:proofErr w:type="gramStart"/>
      <w:r w:rsidRPr="001C1D37">
        <w:rPr>
          <w:rStyle w:val="citation"/>
          <w:lang w:val="en"/>
        </w:rPr>
        <w:t>The effect of random measurement error on receiver operating characteristic (ROC) curves.</w:t>
      </w:r>
      <w:proofErr w:type="gramEnd"/>
      <w:r w:rsidRPr="001C1D37">
        <w:rPr>
          <w:rStyle w:val="citation"/>
          <w:lang w:val="en"/>
        </w:rPr>
        <w:t xml:space="preserve"> </w:t>
      </w:r>
      <w:proofErr w:type="gramStart"/>
      <w:r w:rsidRPr="001C1D37">
        <w:t>Statist.</w:t>
      </w:r>
      <w:proofErr w:type="gramEnd"/>
      <w:r w:rsidRPr="001C1D37">
        <w:t xml:space="preserve"> </w:t>
      </w:r>
      <w:proofErr w:type="gramStart"/>
      <w:r w:rsidRPr="001C1D37">
        <w:t>Med.</w:t>
      </w:r>
      <w:r w:rsidRPr="001C1D37">
        <w:rPr>
          <w:rStyle w:val="ref-journal"/>
          <w:lang w:val="en"/>
        </w:rPr>
        <w:t xml:space="preserve"> 2000; </w:t>
      </w:r>
      <w:r w:rsidRPr="001C1D37">
        <w:rPr>
          <w:rStyle w:val="ref-vol"/>
          <w:lang w:val="en"/>
        </w:rPr>
        <w:t xml:space="preserve">19: </w:t>
      </w:r>
      <w:r w:rsidRPr="001C1D37">
        <w:rPr>
          <w:rStyle w:val="citation"/>
          <w:lang w:val="en"/>
        </w:rPr>
        <w:t>61–70.</w:t>
      </w:r>
      <w:proofErr w:type="gramEnd"/>
    </w:p>
    <w:p w:rsidR="00B060DF" w:rsidRPr="001C1D37" w:rsidRDefault="00B060DF" w:rsidP="001C1D37">
      <w:pPr>
        <w:rPr>
          <w:rStyle w:val="citation"/>
          <w:lang w:val="en"/>
        </w:rPr>
      </w:pPr>
      <w:r w:rsidRPr="001C1D37">
        <w:rPr>
          <w:rFonts w:eastAsia="CMR9"/>
          <w:lang w:bidi="ta-IN"/>
        </w:rPr>
        <w:t xml:space="preserve">12. </w:t>
      </w:r>
      <w:proofErr w:type="spellStart"/>
      <w:r w:rsidRPr="001C1D37">
        <w:rPr>
          <w:rStyle w:val="citation"/>
          <w:lang w:val="en"/>
        </w:rPr>
        <w:t>Reiser</w:t>
      </w:r>
      <w:proofErr w:type="spellEnd"/>
      <w:r w:rsidRPr="001C1D37">
        <w:rPr>
          <w:rStyle w:val="citation"/>
          <w:lang w:val="en"/>
        </w:rPr>
        <w:t xml:space="preserve"> B. Measuring the effectiveness of diagnostic markers in the presence of measurement error through the use of ROC curves. </w:t>
      </w:r>
      <w:proofErr w:type="gramStart"/>
      <w:r w:rsidRPr="001C1D37">
        <w:t>Statist.</w:t>
      </w:r>
      <w:proofErr w:type="gramEnd"/>
      <w:r w:rsidRPr="001C1D37">
        <w:t xml:space="preserve"> </w:t>
      </w:r>
      <w:proofErr w:type="gramStart"/>
      <w:r w:rsidRPr="001C1D37">
        <w:t>Med.</w:t>
      </w:r>
      <w:r w:rsidRPr="001C1D37">
        <w:rPr>
          <w:rStyle w:val="ref-journal"/>
          <w:lang w:val="en"/>
        </w:rPr>
        <w:t xml:space="preserve"> 2000; </w:t>
      </w:r>
      <w:r w:rsidRPr="001C1D37">
        <w:rPr>
          <w:rStyle w:val="ref-vol"/>
          <w:lang w:val="en"/>
        </w:rPr>
        <w:t>19</w:t>
      </w:r>
      <w:r w:rsidRPr="001C1D37">
        <w:rPr>
          <w:rStyle w:val="citation"/>
          <w:lang w:val="en"/>
        </w:rPr>
        <w:t>: 2115–2129.</w:t>
      </w:r>
      <w:proofErr w:type="gramEnd"/>
    </w:p>
    <w:p w:rsidR="008D4A34" w:rsidRPr="001C1D37" w:rsidRDefault="00B060DF" w:rsidP="001C1D37">
      <w:pPr>
        <w:rPr>
          <w:lang w:eastAsia="en-GB"/>
        </w:rPr>
      </w:pPr>
      <w:r w:rsidRPr="001C1D37">
        <w:rPr>
          <w:lang w:eastAsia="en-GB"/>
        </w:rPr>
        <w:lastRenderedPageBreak/>
        <w:t>13</w:t>
      </w:r>
      <w:r w:rsidR="008D4A34" w:rsidRPr="001C1D37">
        <w:rPr>
          <w:lang w:eastAsia="en-GB"/>
        </w:rPr>
        <w:t xml:space="preserve">. Fisher LD, Lin DY. Time-dependent covariates in the Cox proportional-hazards regression model. </w:t>
      </w:r>
      <w:proofErr w:type="spellStart"/>
      <w:proofErr w:type="gramStart"/>
      <w:r w:rsidR="008D4A34" w:rsidRPr="001C1D37">
        <w:rPr>
          <w:lang w:eastAsia="en-GB"/>
        </w:rPr>
        <w:t>Annu</w:t>
      </w:r>
      <w:proofErr w:type="spellEnd"/>
      <w:r w:rsidR="008D4A34" w:rsidRPr="001C1D37">
        <w:rPr>
          <w:lang w:eastAsia="en-GB"/>
        </w:rPr>
        <w:t xml:space="preserve"> Rev Public Health.</w:t>
      </w:r>
      <w:proofErr w:type="gramEnd"/>
      <w:r w:rsidR="008D4A34" w:rsidRPr="001C1D37">
        <w:rPr>
          <w:lang w:eastAsia="en-GB"/>
        </w:rPr>
        <w:t xml:space="preserve"> 1999</w:t>
      </w:r>
      <w:proofErr w:type="gramStart"/>
      <w:r w:rsidR="008D4A34" w:rsidRPr="001C1D37">
        <w:rPr>
          <w:lang w:eastAsia="en-GB"/>
        </w:rPr>
        <w:t>;20:145</w:t>
      </w:r>
      <w:proofErr w:type="gramEnd"/>
      <w:r w:rsidR="008D4A34" w:rsidRPr="001C1D37">
        <w:rPr>
          <w:lang w:eastAsia="en-GB"/>
        </w:rPr>
        <w:t xml:space="preserve">-57. </w:t>
      </w:r>
    </w:p>
    <w:p w:rsidR="008D4A34" w:rsidRPr="001C1D37" w:rsidRDefault="00B060DF" w:rsidP="001C1D37">
      <w:pPr>
        <w:rPr>
          <w:lang w:eastAsia="en-GB"/>
        </w:rPr>
      </w:pPr>
      <w:r w:rsidRPr="001C1D37">
        <w:rPr>
          <w:lang w:eastAsia="en-GB"/>
        </w:rPr>
        <w:t>14</w:t>
      </w:r>
      <w:r w:rsidR="008D4A34" w:rsidRPr="001C1D37">
        <w:rPr>
          <w:lang w:eastAsia="en-GB"/>
        </w:rPr>
        <w:t xml:space="preserve">. </w:t>
      </w:r>
      <w:proofErr w:type="spellStart"/>
      <w:r w:rsidR="008D4A34" w:rsidRPr="001C1D37">
        <w:rPr>
          <w:lang w:eastAsia="en-GB"/>
        </w:rPr>
        <w:t>Tsiatis</w:t>
      </w:r>
      <w:proofErr w:type="spellEnd"/>
      <w:r w:rsidR="008D4A34" w:rsidRPr="001C1D37">
        <w:rPr>
          <w:lang w:eastAsia="en-GB"/>
        </w:rPr>
        <w:t xml:space="preserve"> A, </w:t>
      </w:r>
      <w:proofErr w:type="spellStart"/>
      <w:r w:rsidR="008D4A34" w:rsidRPr="001C1D37">
        <w:rPr>
          <w:lang w:eastAsia="en-GB"/>
        </w:rPr>
        <w:t>Davidian</w:t>
      </w:r>
      <w:proofErr w:type="spellEnd"/>
      <w:r w:rsidR="008D4A34" w:rsidRPr="001C1D37">
        <w:rPr>
          <w:lang w:eastAsia="en-GB"/>
        </w:rPr>
        <w:t xml:space="preserve"> M. Joint </w:t>
      </w:r>
      <w:proofErr w:type="spellStart"/>
      <w:r w:rsidR="008D4A34" w:rsidRPr="001C1D37">
        <w:rPr>
          <w:lang w:eastAsia="en-GB"/>
        </w:rPr>
        <w:t>modeling</w:t>
      </w:r>
      <w:proofErr w:type="spellEnd"/>
      <w:r w:rsidR="008D4A34" w:rsidRPr="001C1D37">
        <w:rPr>
          <w:lang w:eastAsia="en-GB"/>
        </w:rPr>
        <w:t xml:space="preserve"> of longitudinal and time-to-event data: an overview. </w:t>
      </w:r>
      <w:proofErr w:type="spellStart"/>
      <w:r w:rsidR="008D4A34" w:rsidRPr="001C1D37">
        <w:rPr>
          <w:lang w:eastAsia="en-GB"/>
        </w:rPr>
        <w:t>Statistica</w:t>
      </w:r>
      <w:proofErr w:type="spellEnd"/>
      <w:r w:rsidR="008D4A34" w:rsidRPr="001C1D37">
        <w:rPr>
          <w:lang w:eastAsia="en-GB"/>
        </w:rPr>
        <w:t xml:space="preserve"> </w:t>
      </w:r>
      <w:proofErr w:type="spellStart"/>
      <w:r w:rsidR="008D4A34" w:rsidRPr="001C1D37">
        <w:rPr>
          <w:lang w:eastAsia="en-GB"/>
        </w:rPr>
        <w:t>Sinica</w:t>
      </w:r>
      <w:proofErr w:type="spellEnd"/>
      <w:r w:rsidR="008D4A34" w:rsidRPr="001C1D37">
        <w:rPr>
          <w:lang w:eastAsia="en-GB"/>
        </w:rPr>
        <w:t xml:space="preserve">. </w:t>
      </w:r>
      <w:proofErr w:type="gramStart"/>
      <w:r w:rsidR="008D4A34" w:rsidRPr="001C1D37">
        <w:rPr>
          <w:lang w:eastAsia="en-GB"/>
        </w:rPr>
        <w:t>2004; 14: 809–34.</w:t>
      </w:r>
      <w:proofErr w:type="gramEnd"/>
      <w:r w:rsidR="008D4A34" w:rsidRPr="001C1D37">
        <w:rPr>
          <w:lang w:eastAsia="en-GB"/>
        </w:rPr>
        <w:t xml:space="preserve"> </w:t>
      </w:r>
    </w:p>
    <w:p w:rsidR="008D4A34" w:rsidRPr="001C1D37" w:rsidRDefault="00B060DF" w:rsidP="001C1D37">
      <w:pPr>
        <w:rPr>
          <w:lang w:eastAsia="en-GB"/>
        </w:rPr>
      </w:pPr>
      <w:r w:rsidRPr="001C1D37">
        <w:rPr>
          <w:lang w:eastAsia="en-GB"/>
        </w:rPr>
        <w:t>15</w:t>
      </w:r>
      <w:r w:rsidR="008D4A34" w:rsidRPr="001C1D37">
        <w:rPr>
          <w:lang w:eastAsia="en-GB"/>
        </w:rPr>
        <w:t xml:space="preserve">. Sweeting MJ, Thompson SG. </w:t>
      </w:r>
      <w:proofErr w:type="gramStart"/>
      <w:r w:rsidR="008D4A34" w:rsidRPr="001C1D37">
        <w:rPr>
          <w:lang w:eastAsia="en-GB"/>
        </w:rPr>
        <w:t>Joint modelling of longitudinal and time-to-event data with application to predicting abdominal aortic aneurysm growth and rupture.</w:t>
      </w:r>
      <w:proofErr w:type="gramEnd"/>
      <w:r w:rsidR="008D4A34" w:rsidRPr="001C1D37">
        <w:rPr>
          <w:lang w:eastAsia="en-GB"/>
        </w:rPr>
        <w:t xml:space="preserve"> </w:t>
      </w:r>
      <w:proofErr w:type="gramStart"/>
      <w:r w:rsidR="008D4A34" w:rsidRPr="001C1D37">
        <w:rPr>
          <w:lang w:eastAsia="en-GB"/>
        </w:rPr>
        <w:t>Biometrical Journal.</w:t>
      </w:r>
      <w:proofErr w:type="gramEnd"/>
      <w:r w:rsidR="008D4A34" w:rsidRPr="001C1D37">
        <w:rPr>
          <w:lang w:eastAsia="en-GB"/>
        </w:rPr>
        <w:t xml:space="preserve"> </w:t>
      </w:r>
      <w:proofErr w:type="gramStart"/>
      <w:r w:rsidR="008D4A34" w:rsidRPr="001C1D37">
        <w:rPr>
          <w:lang w:eastAsia="en-GB"/>
        </w:rPr>
        <w:t>2011; 53:750–763.</w:t>
      </w:r>
      <w:proofErr w:type="gramEnd"/>
    </w:p>
    <w:p w:rsidR="00EA5553" w:rsidRPr="001C1D37" w:rsidRDefault="00EA5553" w:rsidP="001C1D37">
      <w:pPr>
        <w:autoSpaceDE w:val="0"/>
        <w:autoSpaceDN w:val="0"/>
        <w:adjustRightInd w:val="0"/>
      </w:pPr>
      <w:r w:rsidRPr="001C1D37">
        <w:t xml:space="preserve">16. Gould AL, </w:t>
      </w:r>
      <w:proofErr w:type="spellStart"/>
      <w:r w:rsidRPr="001C1D37">
        <w:t>Boye</w:t>
      </w:r>
      <w:proofErr w:type="spellEnd"/>
      <w:r w:rsidRPr="001C1D37">
        <w:t xml:space="preserve"> ME, </w:t>
      </w:r>
      <w:proofErr w:type="spellStart"/>
      <w:r w:rsidRPr="001C1D37">
        <w:t>Crowther</w:t>
      </w:r>
      <w:proofErr w:type="spellEnd"/>
      <w:r w:rsidRPr="001C1D37">
        <w:t xml:space="preserve"> MJ, Ibrahim JG, </w:t>
      </w:r>
      <w:proofErr w:type="spellStart"/>
      <w:r w:rsidRPr="001C1D37">
        <w:t>Quartey</w:t>
      </w:r>
      <w:proofErr w:type="spellEnd"/>
      <w:r w:rsidRPr="001C1D37">
        <w:t xml:space="preserve"> G, </w:t>
      </w:r>
      <w:proofErr w:type="spellStart"/>
      <w:r w:rsidRPr="001C1D37">
        <w:t>Micallef</w:t>
      </w:r>
      <w:proofErr w:type="spellEnd"/>
      <w:r w:rsidRPr="001C1D37">
        <w:t xml:space="preserve"> S, Bois FY. Joint </w:t>
      </w:r>
      <w:proofErr w:type="spellStart"/>
      <w:r w:rsidRPr="001C1D37">
        <w:t>modeling</w:t>
      </w:r>
      <w:proofErr w:type="spellEnd"/>
      <w:r w:rsidRPr="001C1D37">
        <w:t xml:space="preserve"> of survival and longitudinal non-survival data: current methods and issues. </w:t>
      </w:r>
      <w:proofErr w:type="gramStart"/>
      <w:r w:rsidRPr="001C1D37">
        <w:t xml:space="preserve">Report of the DIA Bayesian joint </w:t>
      </w:r>
      <w:proofErr w:type="spellStart"/>
      <w:r w:rsidRPr="001C1D37">
        <w:t>modeling</w:t>
      </w:r>
      <w:proofErr w:type="spellEnd"/>
      <w:r w:rsidRPr="001C1D37">
        <w:t xml:space="preserve"> working group.</w:t>
      </w:r>
      <w:proofErr w:type="gramEnd"/>
      <w:r w:rsidRPr="001C1D37">
        <w:t xml:space="preserve"> Statistics in Medicine 2015</w:t>
      </w:r>
      <w:proofErr w:type="gramStart"/>
      <w:r w:rsidRPr="001C1D37">
        <w:t>;34</w:t>
      </w:r>
      <w:proofErr w:type="gramEnd"/>
      <w:r w:rsidRPr="001C1D37">
        <w:t>(14):2181-2195.</w:t>
      </w:r>
    </w:p>
    <w:p w:rsidR="00D0467E" w:rsidRPr="001C1D37" w:rsidRDefault="00EA5553" w:rsidP="001C1D37">
      <w:r w:rsidRPr="001C1D37">
        <w:rPr>
          <w:rFonts w:eastAsia="Calibri"/>
          <w:lang w:eastAsia="en-GB" w:bidi="ta-IN"/>
        </w:rPr>
        <w:t>1</w:t>
      </w:r>
      <w:r w:rsidR="008D4A34" w:rsidRPr="001C1D37">
        <w:rPr>
          <w:rFonts w:eastAsia="Calibri"/>
          <w:lang w:eastAsia="en-GB" w:bidi="ta-IN"/>
        </w:rPr>
        <w:t>7</w:t>
      </w:r>
      <w:r w:rsidR="00D0467E" w:rsidRPr="001C1D37">
        <w:rPr>
          <w:rFonts w:eastAsia="Calibri"/>
          <w:lang w:eastAsia="en-GB" w:bidi="ta-IN"/>
        </w:rPr>
        <w:t xml:space="preserve">. </w:t>
      </w:r>
      <w:proofErr w:type="gramStart"/>
      <w:r w:rsidR="00D0467E" w:rsidRPr="001C1D37">
        <w:t>Henderson  R</w:t>
      </w:r>
      <w:proofErr w:type="gramEnd"/>
      <w:r w:rsidR="00D0467E" w:rsidRPr="001C1D37">
        <w:t xml:space="preserve">, Diggle P, Dobson  A. Joint modelling of longitudinal measurements and event time data. </w:t>
      </w:r>
      <w:proofErr w:type="gramStart"/>
      <w:r w:rsidR="00D0467E" w:rsidRPr="001C1D37">
        <w:rPr>
          <w:iCs/>
        </w:rPr>
        <w:t>Biostatistics.</w:t>
      </w:r>
      <w:proofErr w:type="gramEnd"/>
      <w:r w:rsidR="00D0467E" w:rsidRPr="001C1D37">
        <w:rPr>
          <w:iCs/>
        </w:rPr>
        <w:t xml:space="preserve"> </w:t>
      </w:r>
      <w:proofErr w:type="gramStart"/>
      <w:r w:rsidR="00D0467E" w:rsidRPr="001C1D37">
        <w:t>2000; 1: 465-480.</w:t>
      </w:r>
      <w:proofErr w:type="gramEnd"/>
    </w:p>
    <w:p w:rsidR="00D0467E" w:rsidRPr="001C1D37" w:rsidRDefault="00D0467E" w:rsidP="001C1D37">
      <w:pPr>
        <w:rPr>
          <w:lang w:val="en-US"/>
        </w:rPr>
      </w:pPr>
      <w:r w:rsidRPr="001C1D37">
        <w:rPr>
          <w:lang w:val="en-US"/>
        </w:rPr>
        <w:t>1</w:t>
      </w:r>
      <w:r w:rsidR="00EA5553" w:rsidRPr="001C1D37">
        <w:rPr>
          <w:lang w:val="en-US"/>
        </w:rPr>
        <w:t>8</w:t>
      </w:r>
      <w:r w:rsidRPr="001C1D37">
        <w:rPr>
          <w:lang w:val="en-US"/>
        </w:rPr>
        <w:t>. Proust-Lima C, Taylor J. Development and validation of a dynamic prognostic tool for prostate cancer recurrence using repeated measures of post treatment PSA: A joint modeling approach.</w:t>
      </w:r>
    </w:p>
    <w:p w:rsidR="00D0467E" w:rsidRPr="001C1D37" w:rsidRDefault="00D0467E" w:rsidP="001C1D37">
      <w:pPr>
        <w:rPr>
          <w:lang w:val="en-US"/>
        </w:rPr>
      </w:pPr>
      <w:proofErr w:type="gramStart"/>
      <w:r w:rsidRPr="001C1D37">
        <w:rPr>
          <w:lang w:val="en-US"/>
        </w:rPr>
        <w:t>Biostatistics.</w:t>
      </w:r>
      <w:proofErr w:type="gramEnd"/>
      <w:r w:rsidRPr="001C1D37">
        <w:rPr>
          <w:lang w:val="en-US"/>
        </w:rPr>
        <w:t xml:space="preserve"> 2009; 10, 535–549.</w:t>
      </w:r>
    </w:p>
    <w:p w:rsidR="00D0467E" w:rsidRPr="001C1D37" w:rsidRDefault="008D4A34" w:rsidP="001C1D37">
      <w:pPr>
        <w:rPr>
          <w:lang w:val="en-US"/>
        </w:rPr>
      </w:pPr>
      <w:r w:rsidRPr="001C1D37">
        <w:rPr>
          <w:lang w:val="en-US"/>
        </w:rPr>
        <w:t>1</w:t>
      </w:r>
      <w:r w:rsidR="00EA5553" w:rsidRPr="001C1D37">
        <w:rPr>
          <w:lang w:val="en-US"/>
        </w:rPr>
        <w:t>9</w:t>
      </w:r>
      <w:r w:rsidR="00D0467E" w:rsidRPr="001C1D37">
        <w:rPr>
          <w:lang w:val="en-US"/>
        </w:rPr>
        <w:t xml:space="preserve">. </w:t>
      </w:r>
      <w:proofErr w:type="spellStart"/>
      <w:r w:rsidR="00D0467E" w:rsidRPr="001C1D37">
        <w:rPr>
          <w:lang w:val="en-US"/>
        </w:rPr>
        <w:t>Garre</w:t>
      </w:r>
      <w:proofErr w:type="spellEnd"/>
      <w:r w:rsidR="00D0467E" w:rsidRPr="001C1D37">
        <w:rPr>
          <w:lang w:val="en-US"/>
        </w:rPr>
        <w:t xml:space="preserve"> F, </w:t>
      </w:r>
      <w:proofErr w:type="spellStart"/>
      <w:r w:rsidR="00D0467E" w:rsidRPr="001C1D37">
        <w:rPr>
          <w:lang w:val="en-US"/>
        </w:rPr>
        <w:t>Zwinderman</w:t>
      </w:r>
      <w:proofErr w:type="spellEnd"/>
      <w:r w:rsidR="00D0467E" w:rsidRPr="001C1D37">
        <w:rPr>
          <w:lang w:val="en-US"/>
        </w:rPr>
        <w:t xml:space="preserve"> A, </w:t>
      </w:r>
      <w:proofErr w:type="spellStart"/>
      <w:r w:rsidR="00D0467E" w:rsidRPr="001C1D37">
        <w:rPr>
          <w:lang w:val="en-US"/>
        </w:rPr>
        <w:t>Geskus</w:t>
      </w:r>
      <w:proofErr w:type="spellEnd"/>
      <w:r w:rsidR="00D0467E" w:rsidRPr="001C1D37">
        <w:rPr>
          <w:lang w:val="en-US"/>
        </w:rPr>
        <w:t xml:space="preserve"> R, </w:t>
      </w:r>
      <w:proofErr w:type="spellStart"/>
      <w:r w:rsidR="00D0467E" w:rsidRPr="001C1D37">
        <w:rPr>
          <w:lang w:val="en-US"/>
        </w:rPr>
        <w:t>Sijpkens</w:t>
      </w:r>
      <w:proofErr w:type="spellEnd"/>
      <w:r w:rsidR="00D0467E" w:rsidRPr="001C1D37">
        <w:rPr>
          <w:lang w:val="en-US"/>
        </w:rPr>
        <w:t xml:space="preserve"> Y. </w:t>
      </w:r>
      <w:proofErr w:type="gramStart"/>
      <w:r w:rsidR="00D0467E" w:rsidRPr="001C1D37">
        <w:rPr>
          <w:lang w:val="en-US"/>
        </w:rPr>
        <w:t xml:space="preserve">A joint latent class </w:t>
      </w:r>
      <w:proofErr w:type="spellStart"/>
      <w:r w:rsidR="00D0467E" w:rsidRPr="001C1D37">
        <w:rPr>
          <w:lang w:val="en-US"/>
        </w:rPr>
        <w:t>changepoint</w:t>
      </w:r>
      <w:proofErr w:type="spellEnd"/>
      <w:r w:rsidR="00D0467E" w:rsidRPr="001C1D37">
        <w:rPr>
          <w:lang w:val="en-US"/>
        </w:rPr>
        <w:t xml:space="preserve"> model to improve the prediction of time to graft failure.</w:t>
      </w:r>
      <w:proofErr w:type="gramEnd"/>
      <w:r w:rsidR="00D0467E" w:rsidRPr="001C1D37">
        <w:rPr>
          <w:lang w:val="en-US"/>
        </w:rPr>
        <w:t xml:space="preserve"> Journal of the Royal Statistical Society, Series A, 2008; 171, 299–308.</w:t>
      </w:r>
    </w:p>
    <w:p w:rsidR="00D0467E" w:rsidRPr="001C1D37" w:rsidRDefault="00EA5553" w:rsidP="001C1D37">
      <w:r w:rsidRPr="001C1D37">
        <w:rPr>
          <w:rFonts w:eastAsia="Calibri"/>
          <w:lang w:eastAsia="en-GB" w:bidi="ta-IN"/>
        </w:rPr>
        <w:t>20</w:t>
      </w:r>
      <w:r w:rsidR="00D0467E" w:rsidRPr="001C1D37">
        <w:rPr>
          <w:rFonts w:eastAsia="Calibri"/>
          <w:lang w:eastAsia="en-GB" w:bidi="ta-IN"/>
        </w:rPr>
        <w:t xml:space="preserve">. </w:t>
      </w:r>
      <w:proofErr w:type="gramStart"/>
      <w:r w:rsidR="00D0467E" w:rsidRPr="001C1D37">
        <w:t>Henderson  R</w:t>
      </w:r>
      <w:proofErr w:type="gramEnd"/>
      <w:r w:rsidR="00D0467E" w:rsidRPr="001C1D37">
        <w:t xml:space="preserve">, Diggle P, Dobson  A. Identification and efficacy of longitudinal markers for survival. </w:t>
      </w:r>
      <w:proofErr w:type="gramStart"/>
      <w:r w:rsidR="00D0467E" w:rsidRPr="001C1D37">
        <w:t>Biostatistics.</w:t>
      </w:r>
      <w:proofErr w:type="gramEnd"/>
      <w:r w:rsidR="00D0467E" w:rsidRPr="001C1D37">
        <w:t xml:space="preserve"> 2002; 3(1): 33-50.</w:t>
      </w:r>
    </w:p>
    <w:p w:rsidR="00D0467E" w:rsidRPr="001C1D37" w:rsidRDefault="00EA5553" w:rsidP="001C1D37">
      <w:r w:rsidRPr="001C1D37">
        <w:rPr>
          <w:rFonts w:eastAsia="Calibri"/>
          <w:lang w:eastAsia="en-GB" w:bidi="ta-IN"/>
        </w:rPr>
        <w:t>21</w:t>
      </w:r>
      <w:r w:rsidR="00D0467E" w:rsidRPr="001C1D37">
        <w:rPr>
          <w:rFonts w:eastAsia="Calibri"/>
          <w:lang w:eastAsia="en-GB" w:bidi="ta-IN"/>
        </w:rPr>
        <w:t xml:space="preserve">. </w:t>
      </w:r>
      <w:proofErr w:type="spellStart"/>
      <w:r w:rsidR="00D0467E" w:rsidRPr="001C1D37">
        <w:t>Rizopoulos</w:t>
      </w:r>
      <w:proofErr w:type="spellEnd"/>
      <w:r w:rsidR="00D0467E" w:rsidRPr="001C1D37">
        <w:t xml:space="preserve">, D. Dynamic predictions and prospective accuracy in joint models for longitudinal and time-to-event data. </w:t>
      </w:r>
      <w:proofErr w:type="gramStart"/>
      <w:r w:rsidR="00D0467E" w:rsidRPr="001C1D37">
        <w:t>Biometric.</w:t>
      </w:r>
      <w:proofErr w:type="gramEnd"/>
      <w:r w:rsidR="00D0467E" w:rsidRPr="001C1D37">
        <w:t xml:space="preserve"> 2011; 67(3): 819-829.</w:t>
      </w:r>
    </w:p>
    <w:p w:rsidR="00D0467E" w:rsidRPr="001C1D37" w:rsidRDefault="00EA5553" w:rsidP="001C1D37">
      <w:pPr>
        <w:rPr>
          <w:rFonts w:eastAsia="Calibri"/>
          <w:lang w:eastAsia="en-GB"/>
        </w:rPr>
      </w:pPr>
      <w:r w:rsidRPr="001C1D37">
        <w:rPr>
          <w:rFonts w:eastAsia="Calibri"/>
          <w:lang w:eastAsia="en-GB"/>
        </w:rPr>
        <w:t>22</w:t>
      </w:r>
      <w:r w:rsidR="00D0467E" w:rsidRPr="001C1D37">
        <w:rPr>
          <w:rFonts w:eastAsia="Calibri"/>
          <w:lang w:eastAsia="en-GB"/>
        </w:rPr>
        <w:t xml:space="preserve">. Chopin N, </w:t>
      </w:r>
      <w:proofErr w:type="spellStart"/>
      <w:r w:rsidR="00D0467E" w:rsidRPr="001C1D37">
        <w:rPr>
          <w:rFonts w:eastAsia="Calibri"/>
          <w:lang w:eastAsia="en-GB"/>
        </w:rPr>
        <w:t>Floccard</w:t>
      </w:r>
      <w:proofErr w:type="spellEnd"/>
      <w:r w:rsidR="00D0467E" w:rsidRPr="001C1D37">
        <w:rPr>
          <w:rFonts w:eastAsia="Calibri"/>
          <w:lang w:eastAsia="en-GB"/>
        </w:rPr>
        <w:t xml:space="preserve"> B, </w:t>
      </w:r>
      <w:proofErr w:type="spellStart"/>
      <w:r w:rsidR="00D0467E" w:rsidRPr="001C1D37">
        <w:rPr>
          <w:rFonts w:eastAsia="Calibri"/>
          <w:lang w:eastAsia="en-GB"/>
        </w:rPr>
        <w:t>Sobas</w:t>
      </w:r>
      <w:proofErr w:type="spellEnd"/>
      <w:r w:rsidR="00D0467E" w:rsidRPr="001C1D37">
        <w:rPr>
          <w:rFonts w:eastAsia="Calibri"/>
          <w:lang w:eastAsia="en-GB"/>
        </w:rPr>
        <w:t xml:space="preserve"> F et al. Activated partial </w:t>
      </w:r>
      <w:proofErr w:type="spellStart"/>
      <w:r w:rsidR="00D0467E" w:rsidRPr="001C1D37">
        <w:rPr>
          <w:rFonts w:eastAsia="Calibri"/>
          <w:lang w:eastAsia="en-GB"/>
        </w:rPr>
        <w:t>thromboplastin</w:t>
      </w:r>
      <w:proofErr w:type="spellEnd"/>
      <w:r w:rsidR="00D0467E" w:rsidRPr="001C1D37">
        <w:rPr>
          <w:rFonts w:eastAsia="Calibri"/>
          <w:lang w:eastAsia="en-GB"/>
        </w:rPr>
        <w:t xml:space="preserve"> time waveform analysis: a new tool to detect infection? </w:t>
      </w:r>
      <w:proofErr w:type="spellStart"/>
      <w:r w:rsidR="00D0467E" w:rsidRPr="001C1D37">
        <w:rPr>
          <w:rFonts w:eastAsia="Calibri"/>
          <w:lang w:eastAsia="en-GB"/>
        </w:rPr>
        <w:t>Crit</w:t>
      </w:r>
      <w:proofErr w:type="spellEnd"/>
      <w:r w:rsidR="00D0467E" w:rsidRPr="001C1D37">
        <w:rPr>
          <w:rFonts w:eastAsia="Calibri"/>
          <w:lang w:eastAsia="en-GB"/>
        </w:rPr>
        <w:t xml:space="preserve"> Care Med 2006; 34: 1654–60.</w:t>
      </w:r>
    </w:p>
    <w:p w:rsidR="00D0467E" w:rsidRPr="001C1D37" w:rsidRDefault="008D4A34" w:rsidP="001C1D37">
      <w:pPr>
        <w:rPr>
          <w:iCs/>
        </w:rPr>
      </w:pPr>
      <w:r w:rsidRPr="001C1D37">
        <w:rPr>
          <w:rFonts w:eastAsia="CMR9"/>
          <w:lang w:bidi="ta-IN"/>
        </w:rPr>
        <w:t>2</w:t>
      </w:r>
      <w:r w:rsidR="00EA5553" w:rsidRPr="001C1D37">
        <w:rPr>
          <w:rFonts w:eastAsia="CMR9"/>
          <w:lang w:bidi="ta-IN"/>
        </w:rPr>
        <w:t>3</w:t>
      </w:r>
      <w:r w:rsidR="00D0467E" w:rsidRPr="001C1D37">
        <w:rPr>
          <w:rFonts w:eastAsia="CMR9"/>
          <w:lang w:bidi="ta-IN"/>
        </w:rPr>
        <w:t xml:space="preserve">. </w:t>
      </w:r>
      <w:proofErr w:type="spellStart"/>
      <w:r w:rsidR="00D0467E" w:rsidRPr="001C1D37">
        <w:t>Pepe</w:t>
      </w:r>
      <w:proofErr w:type="spellEnd"/>
      <w:r w:rsidR="00D0467E" w:rsidRPr="001C1D37">
        <w:t xml:space="preserve"> MS. </w:t>
      </w:r>
      <w:proofErr w:type="gramStart"/>
      <w:r w:rsidR="00D0467E" w:rsidRPr="001C1D37">
        <w:rPr>
          <w:iCs/>
        </w:rPr>
        <w:t>The Statistical Evaluation of Medical Tests for Classification and Prediction.</w:t>
      </w:r>
      <w:proofErr w:type="gramEnd"/>
      <w:r w:rsidR="00D0467E" w:rsidRPr="001C1D37">
        <w:rPr>
          <w:iCs/>
        </w:rPr>
        <w:t xml:space="preserve"> </w:t>
      </w:r>
      <w:r w:rsidR="00D0467E" w:rsidRPr="001C1D37">
        <w:t>New York, Oxford University Press</w:t>
      </w:r>
      <w:r w:rsidR="00D0467E" w:rsidRPr="001C1D37">
        <w:rPr>
          <w:iCs/>
        </w:rPr>
        <w:t>. 2003.</w:t>
      </w:r>
    </w:p>
    <w:p w:rsidR="00D0467E" w:rsidRPr="001C1D37" w:rsidRDefault="008D4A34" w:rsidP="001C1D37">
      <w:r w:rsidRPr="001C1D37">
        <w:rPr>
          <w:rFonts w:eastAsia="Calibri"/>
          <w:lang w:eastAsia="en-GB" w:bidi="ta-IN"/>
        </w:rPr>
        <w:lastRenderedPageBreak/>
        <w:t>2</w:t>
      </w:r>
      <w:r w:rsidR="00EA5553" w:rsidRPr="001C1D37">
        <w:rPr>
          <w:rFonts w:eastAsia="Calibri"/>
          <w:lang w:eastAsia="en-GB" w:bidi="ta-IN"/>
        </w:rPr>
        <w:t>4</w:t>
      </w:r>
      <w:r w:rsidR="00D0467E" w:rsidRPr="001C1D37">
        <w:rPr>
          <w:rFonts w:eastAsia="Calibri"/>
          <w:lang w:eastAsia="en-GB" w:bidi="ta-IN"/>
        </w:rPr>
        <w:t xml:space="preserve">. </w:t>
      </w:r>
      <w:r w:rsidR="00D0467E" w:rsidRPr="001C1D37">
        <w:t xml:space="preserve">Blanche P, </w:t>
      </w:r>
      <w:proofErr w:type="spellStart"/>
      <w:r w:rsidR="00D0467E" w:rsidRPr="001C1D37">
        <w:t>Dartigues</w:t>
      </w:r>
      <w:proofErr w:type="spellEnd"/>
      <w:r w:rsidR="00D0467E" w:rsidRPr="001C1D37">
        <w:t xml:space="preserve"> JF, </w:t>
      </w:r>
      <w:proofErr w:type="spellStart"/>
      <w:r w:rsidR="00D0467E" w:rsidRPr="001C1D37">
        <w:t>Jacqmin-Gadda</w:t>
      </w:r>
      <w:proofErr w:type="spellEnd"/>
      <w:r w:rsidR="00D0467E" w:rsidRPr="001C1D37">
        <w:t xml:space="preserve"> H. Review and comparison of ROC curve estimators for a time-dependent outcome with marker-dependent censoring. </w:t>
      </w:r>
      <w:proofErr w:type="spellStart"/>
      <w:proofErr w:type="gramStart"/>
      <w:r w:rsidR="00D0467E" w:rsidRPr="001C1D37">
        <w:t>Biom</w:t>
      </w:r>
      <w:proofErr w:type="spellEnd"/>
      <w:r w:rsidR="00D0467E" w:rsidRPr="001C1D37">
        <w:t>.</w:t>
      </w:r>
      <w:proofErr w:type="gramEnd"/>
      <w:r w:rsidR="00D0467E" w:rsidRPr="001C1D37">
        <w:t xml:space="preserve"> J. 2013; 55(5): 687-704.</w:t>
      </w:r>
    </w:p>
    <w:p w:rsidR="008D4A34" w:rsidRPr="001C1D37" w:rsidRDefault="008D4A34" w:rsidP="001C1D37">
      <w:r w:rsidRPr="001C1D37">
        <w:t>2</w:t>
      </w:r>
      <w:r w:rsidR="00EA5553" w:rsidRPr="001C1D37">
        <w:t>5</w:t>
      </w:r>
      <w:r w:rsidRPr="001C1D37">
        <w:t xml:space="preserve">. Rubin DB. </w:t>
      </w:r>
      <w:proofErr w:type="gramStart"/>
      <w:r w:rsidRPr="001C1D37">
        <w:t>Inference and missing data (with discussion).</w:t>
      </w:r>
      <w:proofErr w:type="gramEnd"/>
      <w:r w:rsidRPr="001C1D37">
        <w:t xml:space="preserve"> </w:t>
      </w:r>
      <w:proofErr w:type="spellStart"/>
      <w:proofErr w:type="gramStart"/>
      <w:r w:rsidRPr="001C1D37">
        <w:t>Biometrika</w:t>
      </w:r>
      <w:proofErr w:type="spellEnd"/>
      <w:r w:rsidRPr="001C1D37">
        <w:t>.</w:t>
      </w:r>
      <w:proofErr w:type="gramEnd"/>
      <w:r w:rsidRPr="001C1D37">
        <w:t xml:space="preserve"> </w:t>
      </w:r>
      <w:proofErr w:type="gramStart"/>
      <w:r w:rsidRPr="001C1D37">
        <w:t>1976; 63: 581–592.</w:t>
      </w:r>
      <w:proofErr w:type="gramEnd"/>
    </w:p>
    <w:p w:rsidR="008D4A34" w:rsidRPr="001C1D37" w:rsidRDefault="008D4A34" w:rsidP="001C1D37">
      <w:r w:rsidRPr="001C1D37">
        <w:t>2</w:t>
      </w:r>
      <w:r w:rsidR="00EA5553" w:rsidRPr="001C1D37">
        <w:t>6</w:t>
      </w:r>
      <w:r w:rsidRPr="001C1D37">
        <w:t xml:space="preserve">. de </w:t>
      </w:r>
      <w:proofErr w:type="spellStart"/>
      <w:r w:rsidRPr="001C1D37">
        <w:t>Bruijne</w:t>
      </w:r>
      <w:proofErr w:type="spellEnd"/>
      <w:r w:rsidRPr="001C1D37">
        <w:t xml:space="preserve"> MHJ, le </w:t>
      </w:r>
      <w:proofErr w:type="spellStart"/>
      <w:r w:rsidRPr="001C1D37">
        <w:t>Cessie</w:t>
      </w:r>
      <w:proofErr w:type="spellEnd"/>
      <w:r w:rsidRPr="001C1D37">
        <w:t xml:space="preserve"> S, </w:t>
      </w:r>
      <w:proofErr w:type="spellStart"/>
      <w:r w:rsidRPr="001C1D37">
        <w:t>Kluin-Nelemans</w:t>
      </w:r>
      <w:proofErr w:type="spellEnd"/>
      <w:r w:rsidRPr="001C1D37">
        <w:t xml:space="preserve"> HC, van </w:t>
      </w:r>
      <w:proofErr w:type="spellStart"/>
      <w:r w:rsidRPr="001C1D37">
        <w:t>Houwelingen</w:t>
      </w:r>
      <w:proofErr w:type="spellEnd"/>
      <w:r w:rsidRPr="001C1D37">
        <w:t xml:space="preserve"> HC. </w:t>
      </w:r>
      <w:proofErr w:type="gramStart"/>
      <w:r w:rsidRPr="001C1D37">
        <w:t>On the use of Cox regression in the presence of an irregularly observed time-dependent covariate.</w:t>
      </w:r>
      <w:proofErr w:type="gramEnd"/>
      <w:r w:rsidRPr="001C1D37">
        <w:t xml:space="preserve"> </w:t>
      </w:r>
      <w:proofErr w:type="gramStart"/>
      <w:r w:rsidRPr="001C1D37">
        <w:t>Statist.</w:t>
      </w:r>
      <w:proofErr w:type="gramEnd"/>
      <w:r w:rsidRPr="001C1D37">
        <w:t xml:space="preserve"> </w:t>
      </w:r>
      <w:proofErr w:type="gramStart"/>
      <w:r w:rsidRPr="001C1D37">
        <w:t>Med. 2001; 20: 3817–3829.</w:t>
      </w:r>
      <w:proofErr w:type="gramEnd"/>
    </w:p>
    <w:p w:rsidR="00D0467E" w:rsidRPr="001C1D37" w:rsidRDefault="00D0467E" w:rsidP="001C1D37">
      <w:pPr>
        <w:rPr>
          <w:rFonts w:eastAsia="Calibri"/>
          <w:lang w:eastAsia="en-GB" w:bidi="ta-IN"/>
        </w:rPr>
      </w:pPr>
      <w:r w:rsidRPr="001C1D37">
        <w:rPr>
          <w:rFonts w:eastAsia="CMR9"/>
          <w:lang w:bidi="ta-IN"/>
        </w:rPr>
        <w:t>2</w:t>
      </w:r>
      <w:r w:rsidR="00EA5553" w:rsidRPr="001C1D37">
        <w:rPr>
          <w:rFonts w:eastAsia="CMR9"/>
          <w:lang w:bidi="ta-IN"/>
        </w:rPr>
        <w:t>7</w:t>
      </w:r>
      <w:r w:rsidRPr="001C1D37">
        <w:rPr>
          <w:rFonts w:eastAsia="CMR9"/>
          <w:lang w:bidi="ta-IN"/>
        </w:rPr>
        <w:t xml:space="preserve">. </w:t>
      </w:r>
      <w:proofErr w:type="spellStart"/>
      <w:r w:rsidRPr="001C1D37">
        <w:rPr>
          <w:rFonts w:eastAsia="Calibri"/>
          <w:lang w:eastAsia="en-GB" w:bidi="ta-IN"/>
        </w:rPr>
        <w:t>Hosmer</w:t>
      </w:r>
      <w:proofErr w:type="spellEnd"/>
      <w:r w:rsidRPr="001C1D37">
        <w:rPr>
          <w:rFonts w:eastAsia="Calibri"/>
          <w:lang w:eastAsia="en-GB" w:bidi="ta-IN"/>
        </w:rPr>
        <w:t xml:space="preserve"> DW, </w:t>
      </w:r>
      <w:proofErr w:type="spellStart"/>
      <w:r w:rsidRPr="001C1D37">
        <w:rPr>
          <w:rFonts w:eastAsia="Calibri"/>
          <w:lang w:eastAsia="en-GB" w:bidi="ta-IN"/>
        </w:rPr>
        <w:t>Lemeshow</w:t>
      </w:r>
      <w:proofErr w:type="spellEnd"/>
      <w:r w:rsidRPr="001C1D37">
        <w:rPr>
          <w:rFonts w:eastAsia="Calibri"/>
          <w:lang w:eastAsia="en-GB" w:bidi="ta-IN"/>
        </w:rPr>
        <w:t xml:space="preserve"> S. Applied Survival Analysis: Regression Modelling of Time to Event Data. New York: Wiley.1999. </w:t>
      </w:r>
    </w:p>
    <w:p w:rsidR="00D0467E" w:rsidRPr="001C1D37" w:rsidRDefault="00D0467E" w:rsidP="001C1D37">
      <w:pPr>
        <w:autoSpaceDE w:val="0"/>
        <w:autoSpaceDN w:val="0"/>
        <w:adjustRightInd w:val="0"/>
        <w:rPr>
          <w:rFonts w:eastAsia="Calibri"/>
          <w:iCs/>
        </w:rPr>
      </w:pPr>
      <w:proofErr w:type="gramStart"/>
      <w:r w:rsidRPr="001C1D37">
        <w:rPr>
          <w:rFonts w:eastAsia="Calibri"/>
          <w:iCs/>
        </w:rPr>
        <w:t>2</w:t>
      </w:r>
      <w:r w:rsidR="00EA5553" w:rsidRPr="001C1D37">
        <w:rPr>
          <w:rFonts w:eastAsia="Calibri"/>
          <w:iCs/>
        </w:rPr>
        <w:t>8</w:t>
      </w:r>
      <w:r w:rsidRPr="001C1D37">
        <w:rPr>
          <w:rFonts w:eastAsia="Calibri"/>
          <w:iCs/>
        </w:rPr>
        <w:t>. Zou KH, Hall WJ, Shapiro DE.</w:t>
      </w:r>
      <w:proofErr w:type="gramEnd"/>
      <w:r w:rsidRPr="001C1D37">
        <w:rPr>
          <w:rFonts w:eastAsia="Calibri"/>
          <w:iCs/>
        </w:rPr>
        <w:t xml:space="preserve"> Smooth non-parametric receiver operating characteristic (ROC) curves for continuous diagnostic tests. Stat Med. 1997</w:t>
      </w:r>
      <w:proofErr w:type="gramStart"/>
      <w:r w:rsidRPr="001C1D37">
        <w:rPr>
          <w:rFonts w:eastAsia="Calibri"/>
          <w:iCs/>
        </w:rPr>
        <w:t>;16:2143</w:t>
      </w:r>
      <w:proofErr w:type="gramEnd"/>
      <w:r w:rsidRPr="001C1D37">
        <w:rPr>
          <w:rFonts w:eastAsia="Calibri"/>
          <w:iCs/>
        </w:rPr>
        <w:t xml:space="preserve">–2156. </w:t>
      </w:r>
    </w:p>
    <w:p w:rsidR="00D0467E" w:rsidRPr="001C1D37" w:rsidRDefault="00EA5553" w:rsidP="001C1D37">
      <w:pPr>
        <w:rPr>
          <w:lang w:eastAsia="en-GB"/>
        </w:rPr>
      </w:pPr>
      <w:r w:rsidRPr="001C1D37">
        <w:rPr>
          <w:rFonts w:eastAsia="CMR9"/>
          <w:lang w:bidi="ta-IN"/>
        </w:rPr>
        <w:t>29</w:t>
      </w:r>
      <w:r w:rsidR="00D0467E" w:rsidRPr="001C1D37">
        <w:rPr>
          <w:rFonts w:eastAsia="CMR9"/>
          <w:lang w:bidi="ta-IN"/>
        </w:rPr>
        <w:t xml:space="preserve">. </w:t>
      </w:r>
      <w:proofErr w:type="spellStart"/>
      <w:r w:rsidR="00D0467E" w:rsidRPr="001C1D37">
        <w:rPr>
          <w:lang w:eastAsia="en-GB"/>
        </w:rPr>
        <w:t>Efron</w:t>
      </w:r>
      <w:proofErr w:type="spellEnd"/>
      <w:r w:rsidR="00D0467E" w:rsidRPr="001C1D37">
        <w:rPr>
          <w:lang w:eastAsia="en-GB"/>
        </w:rPr>
        <w:t xml:space="preserve"> B, </w:t>
      </w:r>
      <w:proofErr w:type="spellStart"/>
      <w:proofErr w:type="gramStart"/>
      <w:r w:rsidR="00D0467E" w:rsidRPr="001C1D37">
        <w:rPr>
          <w:lang w:eastAsia="en-GB"/>
        </w:rPr>
        <w:t>Tibshirani</w:t>
      </w:r>
      <w:proofErr w:type="spellEnd"/>
      <w:r w:rsidR="00D0467E" w:rsidRPr="001C1D37">
        <w:rPr>
          <w:lang w:eastAsia="en-GB"/>
        </w:rPr>
        <w:t xml:space="preserve">  RJ</w:t>
      </w:r>
      <w:proofErr w:type="gramEnd"/>
      <w:r w:rsidR="00D0467E" w:rsidRPr="001C1D37">
        <w:rPr>
          <w:lang w:eastAsia="en-GB"/>
        </w:rPr>
        <w:t xml:space="preserve">. </w:t>
      </w:r>
      <w:proofErr w:type="gramStart"/>
      <w:r w:rsidR="00D0467E" w:rsidRPr="001C1D37">
        <w:rPr>
          <w:lang w:eastAsia="en-GB"/>
        </w:rPr>
        <w:t>An introduction to the bootstrap.</w:t>
      </w:r>
      <w:proofErr w:type="gramEnd"/>
      <w:r w:rsidR="00D0467E" w:rsidRPr="001C1D37">
        <w:rPr>
          <w:lang w:eastAsia="en-GB"/>
        </w:rPr>
        <w:t xml:space="preserve"> New York: Chapman and Hall.1993.</w:t>
      </w:r>
    </w:p>
    <w:p w:rsidR="008D4A34" w:rsidRPr="001C1D37" w:rsidRDefault="008D4A34" w:rsidP="001C1D37">
      <w:r w:rsidRPr="001C1D37">
        <w:rPr>
          <w:lang w:eastAsia="en-GB"/>
        </w:rPr>
        <w:t>3</w:t>
      </w:r>
      <w:r w:rsidR="00EA5553" w:rsidRPr="001C1D37">
        <w:rPr>
          <w:lang w:eastAsia="en-GB"/>
        </w:rPr>
        <w:t>0</w:t>
      </w:r>
      <w:r w:rsidRPr="001C1D37">
        <w:rPr>
          <w:lang w:eastAsia="en-GB"/>
        </w:rPr>
        <w:t>.</w:t>
      </w:r>
      <w:r w:rsidRPr="001C1D37">
        <w:t xml:space="preserve"> Bender R, Augustin T, </w:t>
      </w:r>
      <w:proofErr w:type="spellStart"/>
      <w:r w:rsidRPr="001C1D37">
        <w:t>Blettner</w:t>
      </w:r>
      <w:proofErr w:type="spellEnd"/>
      <w:r w:rsidRPr="001C1D37">
        <w:t xml:space="preserve"> M. Generating survival times to simulate Cox proportional hazards models. </w:t>
      </w:r>
      <w:proofErr w:type="gramStart"/>
      <w:r w:rsidRPr="001C1D37">
        <w:t>Statist.</w:t>
      </w:r>
      <w:proofErr w:type="gramEnd"/>
      <w:r w:rsidRPr="001C1D37">
        <w:t xml:space="preserve"> </w:t>
      </w:r>
      <w:proofErr w:type="gramStart"/>
      <w:r w:rsidRPr="001C1D37">
        <w:t>Med. 2005; 24: 1713-1723.</w:t>
      </w:r>
      <w:proofErr w:type="gramEnd"/>
    </w:p>
    <w:p w:rsidR="00D0467E" w:rsidRPr="001C1D37" w:rsidRDefault="008D4A34" w:rsidP="001C1D37">
      <w:pPr>
        <w:pStyle w:val="NoSpacing"/>
        <w:rPr>
          <w:rFonts w:ascii="Times New Roman" w:hAnsi="Times New Roman"/>
          <w:sz w:val="24"/>
          <w:szCs w:val="24"/>
        </w:rPr>
      </w:pPr>
      <w:r w:rsidRPr="001C1D37">
        <w:rPr>
          <w:rFonts w:ascii="Times New Roman" w:hAnsi="Times New Roman"/>
          <w:sz w:val="24"/>
          <w:szCs w:val="24"/>
        </w:rPr>
        <w:t>3</w:t>
      </w:r>
      <w:r w:rsidR="00EA5553" w:rsidRPr="001C1D37">
        <w:rPr>
          <w:rFonts w:ascii="Times New Roman" w:hAnsi="Times New Roman"/>
          <w:sz w:val="24"/>
          <w:szCs w:val="24"/>
        </w:rPr>
        <w:t>1</w:t>
      </w:r>
      <w:r w:rsidR="00D0467E" w:rsidRPr="001C1D37">
        <w:rPr>
          <w:rFonts w:ascii="Times New Roman" w:hAnsi="Times New Roman"/>
          <w:sz w:val="24"/>
          <w:szCs w:val="24"/>
        </w:rPr>
        <w:t xml:space="preserve">. </w:t>
      </w:r>
      <w:proofErr w:type="spellStart"/>
      <w:r w:rsidR="00D0467E" w:rsidRPr="001C1D37">
        <w:rPr>
          <w:rFonts w:ascii="Times New Roman" w:hAnsi="Times New Roman"/>
          <w:sz w:val="24"/>
          <w:szCs w:val="24"/>
        </w:rPr>
        <w:t>Crowther</w:t>
      </w:r>
      <w:proofErr w:type="spellEnd"/>
      <w:r w:rsidR="00D0467E" w:rsidRPr="001C1D37">
        <w:rPr>
          <w:rFonts w:ascii="Times New Roman" w:hAnsi="Times New Roman"/>
          <w:sz w:val="24"/>
          <w:szCs w:val="24"/>
        </w:rPr>
        <w:t xml:space="preserve"> MJ, Lambert PC, Abrams KR. Adjusting for measurement error in baseline prognostic biomarkers included in a time-to-event analysis: a joint modelling approach. </w:t>
      </w:r>
      <w:proofErr w:type="gramStart"/>
      <w:r w:rsidR="00D0467E" w:rsidRPr="001C1D37">
        <w:rPr>
          <w:rFonts w:ascii="Times New Roman" w:hAnsi="Times New Roman"/>
          <w:sz w:val="24"/>
          <w:szCs w:val="24"/>
        </w:rPr>
        <w:t>BMC Medical Research Methodology.</w:t>
      </w:r>
      <w:proofErr w:type="gramEnd"/>
      <w:r w:rsidR="00D0467E" w:rsidRPr="001C1D37">
        <w:rPr>
          <w:rFonts w:ascii="Times New Roman" w:hAnsi="Times New Roman"/>
          <w:sz w:val="24"/>
          <w:szCs w:val="24"/>
        </w:rPr>
        <w:t xml:space="preserve"> </w:t>
      </w:r>
      <w:proofErr w:type="gramStart"/>
      <w:r w:rsidR="00D0467E" w:rsidRPr="001C1D37">
        <w:rPr>
          <w:rFonts w:ascii="Times New Roman" w:hAnsi="Times New Roman"/>
          <w:sz w:val="24"/>
          <w:szCs w:val="24"/>
        </w:rPr>
        <w:t>2013; 13:146.</w:t>
      </w:r>
      <w:proofErr w:type="gramEnd"/>
      <w:r w:rsidR="00D0467E" w:rsidRPr="001C1D37">
        <w:rPr>
          <w:rFonts w:ascii="Times New Roman" w:hAnsi="Times New Roman"/>
          <w:sz w:val="24"/>
          <w:szCs w:val="24"/>
        </w:rPr>
        <w:t xml:space="preserve"> </w:t>
      </w:r>
    </w:p>
    <w:p w:rsidR="00EA5553" w:rsidRPr="001C1D37" w:rsidRDefault="00EA5553" w:rsidP="001C1D37">
      <w:r w:rsidRPr="001C1D37">
        <w:t xml:space="preserve">32. Ibrahim JG, Chu H, Chen LM. </w:t>
      </w:r>
      <w:proofErr w:type="gramStart"/>
      <w:r w:rsidRPr="001C1D37">
        <w:t>Basic Concepts and Methods for Joint Models of Longitudinal and Survival Data.</w:t>
      </w:r>
      <w:proofErr w:type="gramEnd"/>
      <w:r w:rsidRPr="001C1D37">
        <w:t xml:space="preserve"> </w:t>
      </w:r>
      <w:proofErr w:type="gramStart"/>
      <w:r w:rsidRPr="001C1D37">
        <w:t xml:space="preserve">‎J. </w:t>
      </w:r>
      <w:proofErr w:type="spellStart"/>
      <w:r w:rsidRPr="001C1D37">
        <w:t>Clin</w:t>
      </w:r>
      <w:proofErr w:type="spellEnd"/>
      <w:r w:rsidRPr="001C1D37">
        <w:t>.</w:t>
      </w:r>
      <w:proofErr w:type="gramEnd"/>
      <w:r w:rsidRPr="001C1D37">
        <w:t xml:space="preserve"> </w:t>
      </w:r>
      <w:proofErr w:type="spellStart"/>
      <w:proofErr w:type="gramStart"/>
      <w:r w:rsidRPr="001C1D37">
        <w:t>Oncol</w:t>
      </w:r>
      <w:proofErr w:type="spellEnd"/>
      <w:r w:rsidRPr="001C1D37">
        <w:t>.</w:t>
      </w:r>
      <w:proofErr w:type="gramEnd"/>
      <w:r w:rsidRPr="001C1D37">
        <w:t xml:space="preserve"> 2010; 28 (16): 2796-2801.</w:t>
      </w:r>
    </w:p>
    <w:p w:rsidR="00D0467E" w:rsidRPr="001C1D37" w:rsidRDefault="008D4A34" w:rsidP="001C1D37">
      <w:r w:rsidRPr="001C1D37">
        <w:rPr>
          <w:lang w:eastAsia="en-GB" w:bidi="ta-IN"/>
        </w:rPr>
        <w:t>3</w:t>
      </w:r>
      <w:r w:rsidR="00EA5553" w:rsidRPr="001C1D37">
        <w:rPr>
          <w:lang w:eastAsia="en-GB" w:bidi="ta-IN"/>
        </w:rPr>
        <w:t>3</w:t>
      </w:r>
      <w:r w:rsidR="00D0467E" w:rsidRPr="001C1D37">
        <w:rPr>
          <w:lang w:eastAsia="en-GB" w:bidi="ta-IN"/>
        </w:rPr>
        <w:t xml:space="preserve">. Philipson P, Diggle P, Sousa I, </w:t>
      </w:r>
      <w:r w:rsidR="00D0467E" w:rsidRPr="001C1D37">
        <w:rPr>
          <w:bCs/>
          <w:lang w:eastAsia="en-GB" w:bidi="ta-IN"/>
        </w:rPr>
        <w:t>Kolamunnage-Dona R</w:t>
      </w:r>
      <w:r w:rsidR="00D0467E" w:rsidRPr="001C1D37">
        <w:rPr>
          <w:lang w:eastAsia="en-GB" w:bidi="ta-IN"/>
        </w:rPr>
        <w:t xml:space="preserve">, Williamson P, Henderson R.  </w:t>
      </w:r>
      <w:hyperlink r:id="rId10" w:history="1">
        <w:proofErr w:type="spellStart"/>
        <w:proofErr w:type="gramStart"/>
        <w:r w:rsidR="00D0467E" w:rsidRPr="001C1D37">
          <w:rPr>
            <w:lang w:eastAsia="en-GB" w:bidi="ta-IN"/>
          </w:rPr>
          <w:t>joineR</w:t>
        </w:r>
        <w:proofErr w:type="spellEnd"/>
        <w:proofErr w:type="gramEnd"/>
        <w:r w:rsidR="00D0467E" w:rsidRPr="001C1D37">
          <w:rPr>
            <w:lang w:eastAsia="en-GB" w:bidi="ta-IN"/>
          </w:rPr>
          <w:t>: Joint modelling of repeated measurements and time-to-event data.</w:t>
        </w:r>
      </w:hyperlink>
      <w:r w:rsidR="00D0467E" w:rsidRPr="001C1D37">
        <w:rPr>
          <w:lang w:eastAsia="en-GB" w:bidi="ta-IN"/>
        </w:rPr>
        <w:t xml:space="preserve"> 2012. </w:t>
      </w:r>
      <w:r w:rsidR="00D0467E" w:rsidRPr="001C1D37">
        <w:rPr>
          <w:i/>
          <w:iCs/>
          <w:lang w:eastAsia="en-GB" w:bidi="ta-IN"/>
        </w:rPr>
        <w:t>Comprehensive R Archive Network</w:t>
      </w:r>
      <w:r w:rsidR="00D0467E" w:rsidRPr="001C1D37">
        <w:rPr>
          <w:lang w:eastAsia="en-GB" w:bidi="ta-IN"/>
        </w:rPr>
        <w:t>, United Kingdom.</w:t>
      </w:r>
    </w:p>
    <w:p w:rsidR="00D0467E" w:rsidRPr="001C1D37" w:rsidRDefault="00D0467E" w:rsidP="001C1D37">
      <w:pPr>
        <w:autoSpaceDE w:val="0"/>
        <w:autoSpaceDN w:val="0"/>
        <w:adjustRightInd w:val="0"/>
        <w:rPr>
          <w:rFonts w:eastAsia="Calibri"/>
        </w:rPr>
      </w:pPr>
      <w:r w:rsidRPr="001C1D37">
        <w:rPr>
          <w:rFonts w:eastAsia="Calibri"/>
        </w:rPr>
        <w:t>3</w:t>
      </w:r>
      <w:r w:rsidR="00EA5553" w:rsidRPr="001C1D37">
        <w:rPr>
          <w:rFonts w:eastAsia="Calibri"/>
        </w:rPr>
        <w:t>4</w:t>
      </w:r>
      <w:r w:rsidRPr="001C1D37">
        <w:rPr>
          <w:rFonts w:eastAsia="Calibri"/>
        </w:rPr>
        <w:t xml:space="preserve">. </w:t>
      </w:r>
      <w:proofErr w:type="spellStart"/>
      <w:r w:rsidRPr="001C1D37">
        <w:rPr>
          <w:rFonts w:eastAsia="Calibri"/>
        </w:rPr>
        <w:t>Rizopoulos</w:t>
      </w:r>
      <w:proofErr w:type="spellEnd"/>
      <w:r w:rsidRPr="001C1D37">
        <w:rPr>
          <w:rFonts w:eastAsia="Calibri"/>
        </w:rPr>
        <w:t xml:space="preserve"> D. JM: an R package for the joint modelling of longitudinal and time-to-event data. J Stat Soft 2010</w:t>
      </w:r>
      <w:proofErr w:type="gramStart"/>
      <w:r w:rsidRPr="001C1D37">
        <w:rPr>
          <w:rFonts w:eastAsia="Calibri"/>
        </w:rPr>
        <w:t>;35</w:t>
      </w:r>
      <w:proofErr w:type="gramEnd"/>
      <w:r w:rsidRPr="001C1D37">
        <w:rPr>
          <w:rFonts w:eastAsia="Calibri"/>
        </w:rPr>
        <w:t>: 1–33.</w:t>
      </w:r>
    </w:p>
    <w:p w:rsidR="00D0467E" w:rsidRPr="001C1D37" w:rsidRDefault="00D0467E" w:rsidP="001C1D37">
      <w:pPr>
        <w:autoSpaceDE w:val="0"/>
        <w:autoSpaceDN w:val="0"/>
        <w:adjustRightInd w:val="0"/>
        <w:rPr>
          <w:rFonts w:eastAsia="Calibri"/>
        </w:rPr>
      </w:pPr>
      <w:r w:rsidRPr="001C1D37">
        <w:rPr>
          <w:rFonts w:eastAsia="Calibri"/>
        </w:rPr>
        <w:lastRenderedPageBreak/>
        <w:t>3</w:t>
      </w:r>
      <w:r w:rsidR="00EA5553" w:rsidRPr="001C1D37">
        <w:rPr>
          <w:rFonts w:eastAsia="Calibri"/>
        </w:rPr>
        <w:t>5</w:t>
      </w:r>
      <w:r w:rsidRPr="001C1D37">
        <w:rPr>
          <w:rFonts w:eastAsia="Calibri"/>
        </w:rPr>
        <w:t xml:space="preserve">. </w:t>
      </w:r>
      <w:proofErr w:type="spellStart"/>
      <w:r w:rsidRPr="001C1D37">
        <w:rPr>
          <w:rFonts w:eastAsia="Calibri"/>
        </w:rPr>
        <w:t>Rizopoulos</w:t>
      </w:r>
      <w:proofErr w:type="spellEnd"/>
      <w:r w:rsidRPr="001C1D37">
        <w:rPr>
          <w:rFonts w:eastAsia="Calibri"/>
        </w:rPr>
        <w:t xml:space="preserve"> D. </w:t>
      </w:r>
      <w:proofErr w:type="spellStart"/>
      <w:r w:rsidRPr="001C1D37">
        <w:rPr>
          <w:rFonts w:eastAsia="Calibri"/>
        </w:rPr>
        <w:t>JMbayesL</w:t>
      </w:r>
      <w:proofErr w:type="spellEnd"/>
      <w:r w:rsidRPr="001C1D37">
        <w:rPr>
          <w:rFonts w:eastAsia="Calibri"/>
        </w:rPr>
        <w:t xml:space="preserve"> joint </w:t>
      </w:r>
      <w:proofErr w:type="spellStart"/>
      <w:r w:rsidRPr="001C1D37">
        <w:rPr>
          <w:rFonts w:eastAsia="Calibri"/>
        </w:rPr>
        <w:t>modeling</w:t>
      </w:r>
      <w:proofErr w:type="spellEnd"/>
      <w:r w:rsidRPr="001C1D37">
        <w:rPr>
          <w:rFonts w:eastAsia="Calibri"/>
        </w:rPr>
        <w:t xml:space="preserve"> of longitudinal and time-to-event data under a Bayesian approach, 2013. Available from: http://cran.r-project.org/web/packages/JMbayes/index.html.</w:t>
      </w:r>
    </w:p>
    <w:p w:rsidR="00D0467E" w:rsidRPr="001C1D37" w:rsidRDefault="00D0467E" w:rsidP="001C1D37">
      <w:pPr>
        <w:autoSpaceDE w:val="0"/>
        <w:autoSpaceDN w:val="0"/>
        <w:adjustRightInd w:val="0"/>
        <w:rPr>
          <w:rFonts w:eastAsia="Calibri"/>
        </w:rPr>
      </w:pPr>
      <w:proofErr w:type="gramStart"/>
      <w:r w:rsidRPr="001C1D37">
        <w:rPr>
          <w:rFonts w:eastAsia="Calibri"/>
        </w:rPr>
        <w:t>3</w:t>
      </w:r>
      <w:r w:rsidR="00EA5553" w:rsidRPr="001C1D37">
        <w:rPr>
          <w:rFonts w:eastAsia="Calibri"/>
        </w:rPr>
        <w:t>6</w:t>
      </w:r>
      <w:r w:rsidRPr="001C1D37">
        <w:rPr>
          <w:rFonts w:eastAsia="Calibri"/>
        </w:rPr>
        <w:t xml:space="preserve">. </w:t>
      </w:r>
      <w:proofErr w:type="spellStart"/>
      <w:r w:rsidRPr="001C1D37">
        <w:rPr>
          <w:rFonts w:eastAsia="Calibri"/>
        </w:rPr>
        <w:t>Crowther</w:t>
      </w:r>
      <w:proofErr w:type="spellEnd"/>
      <w:r w:rsidRPr="001C1D37">
        <w:rPr>
          <w:rFonts w:eastAsia="Calibri"/>
        </w:rPr>
        <w:t xml:space="preserve"> MJ, Abrams KR, Lambert PC.</w:t>
      </w:r>
      <w:proofErr w:type="gramEnd"/>
      <w:r w:rsidRPr="001C1D37">
        <w:rPr>
          <w:rFonts w:eastAsia="Calibri"/>
        </w:rPr>
        <w:t xml:space="preserve"> </w:t>
      </w:r>
      <w:proofErr w:type="gramStart"/>
      <w:r w:rsidRPr="001C1D37">
        <w:rPr>
          <w:rFonts w:eastAsia="Calibri"/>
        </w:rPr>
        <w:t xml:space="preserve">Joint </w:t>
      </w:r>
      <w:proofErr w:type="spellStart"/>
      <w:r w:rsidRPr="001C1D37">
        <w:rPr>
          <w:rFonts w:eastAsia="Calibri"/>
        </w:rPr>
        <w:t>modeling</w:t>
      </w:r>
      <w:proofErr w:type="spellEnd"/>
      <w:r w:rsidRPr="001C1D37">
        <w:rPr>
          <w:rFonts w:eastAsia="Calibri"/>
        </w:rPr>
        <w:t xml:space="preserve"> of longitudinal and survival data.</w:t>
      </w:r>
      <w:proofErr w:type="gramEnd"/>
      <w:r w:rsidRPr="001C1D37">
        <w:rPr>
          <w:rFonts w:eastAsia="Calibri"/>
        </w:rPr>
        <w:t xml:space="preserve"> The STATA Journal 2013; 13:165–184.</w:t>
      </w:r>
    </w:p>
    <w:p w:rsidR="006266A0" w:rsidRPr="001C1D37" w:rsidRDefault="00D0467E" w:rsidP="001C1D37">
      <w:r w:rsidRPr="001C1D37">
        <w:rPr>
          <w:rFonts w:eastAsia="CMR9"/>
          <w:lang w:bidi="ta-IN"/>
        </w:rPr>
        <w:t>3</w:t>
      </w:r>
      <w:r w:rsidR="00EA5553" w:rsidRPr="001C1D37">
        <w:rPr>
          <w:rFonts w:eastAsia="CMR9"/>
          <w:lang w:bidi="ta-IN"/>
        </w:rPr>
        <w:t>7</w:t>
      </w:r>
      <w:r w:rsidRPr="001C1D37">
        <w:rPr>
          <w:rFonts w:eastAsia="CMR9"/>
          <w:lang w:bidi="ta-IN"/>
        </w:rPr>
        <w:t xml:space="preserve">. </w:t>
      </w:r>
      <w:r w:rsidRPr="001C1D37">
        <w:t>Williamson PR, Kolamunnage-Dona R, Philipson P, Marson AG.</w:t>
      </w:r>
      <w:r w:rsidR="00475353" w:rsidRPr="001C1D37">
        <w:t xml:space="preserve"> </w:t>
      </w:r>
      <w:proofErr w:type="gramStart"/>
      <w:r w:rsidRPr="001C1D37">
        <w:t>Joint modelling of longitudinal and competing risks data.</w:t>
      </w:r>
      <w:proofErr w:type="gramEnd"/>
      <w:r w:rsidRPr="001C1D37">
        <w:t xml:space="preserve"> </w:t>
      </w:r>
      <w:proofErr w:type="gramStart"/>
      <w:r w:rsidRPr="001C1D37">
        <w:t>Statist.</w:t>
      </w:r>
      <w:proofErr w:type="gramEnd"/>
      <w:r w:rsidRPr="001C1D37">
        <w:t xml:space="preserve"> </w:t>
      </w:r>
      <w:proofErr w:type="gramStart"/>
      <w:r w:rsidRPr="001C1D37">
        <w:t>Med.</w:t>
      </w:r>
      <w:r w:rsidRPr="001C1D37">
        <w:rPr>
          <w:rStyle w:val="ref-journal"/>
          <w:lang w:val="en"/>
        </w:rPr>
        <w:t xml:space="preserve"> </w:t>
      </w:r>
      <w:r w:rsidRPr="001C1D37">
        <w:t>2008; 27: 6426-6438.</w:t>
      </w:r>
      <w:proofErr w:type="gramEnd"/>
    </w:p>
    <w:p w:rsidR="00CB308D" w:rsidRPr="001C1D37" w:rsidRDefault="00CB308D" w:rsidP="001C1D37"/>
    <w:p w:rsidR="00B80FE8" w:rsidRDefault="00B80FE8">
      <w:r>
        <w:br w:type="page"/>
      </w:r>
    </w:p>
    <w:p w:rsidR="00E458E1" w:rsidRPr="001C1D37" w:rsidRDefault="00E458E1" w:rsidP="001C1D37">
      <w:pPr>
        <w:rPr>
          <w:rFonts w:eastAsia="Calibri"/>
          <w:lang w:eastAsia="en-GB"/>
        </w:rPr>
      </w:pPr>
      <w:proofErr w:type="gramStart"/>
      <w:r w:rsidRPr="001C1D37">
        <w:t>Table 1.</w:t>
      </w:r>
      <w:proofErr w:type="gramEnd"/>
      <w:r w:rsidRPr="001C1D37">
        <w:t xml:space="preserve"> </w:t>
      </w:r>
      <w:r w:rsidRPr="001C1D37">
        <w:rPr>
          <w:rFonts w:eastAsia="Calibri"/>
          <w:lang w:eastAsia="en-GB"/>
        </w:rPr>
        <w:t xml:space="preserve">Simulation results of bias and coverage of association parameters for varying measurement error. </w:t>
      </w:r>
    </w:p>
    <w:tbl>
      <w:tblPr>
        <w:tblStyle w:val="TableGrid"/>
        <w:tblW w:w="8501" w:type="dxa"/>
        <w:tblBorders>
          <w:left w:val="none" w:sz="0" w:space="0" w:color="auto"/>
          <w:right w:val="none" w:sz="0" w:space="0" w:color="auto"/>
        </w:tblBorders>
        <w:tblLook w:val="04A0" w:firstRow="1" w:lastRow="0" w:firstColumn="1" w:lastColumn="0" w:noHBand="0" w:noVBand="1"/>
      </w:tblPr>
      <w:tblGrid>
        <w:gridCol w:w="1305"/>
        <w:gridCol w:w="794"/>
        <w:gridCol w:w="796"/>
        <w:gridCol w:w="884"/>
        <w:gridCol w:w="1142"/>
        <w:gridCol w:w="906"/>
        <w:gridCol w:w="786"/>
        <w:gridCol w:w="790"/>
        <w:gridCol w:w="1098"/>
      </w:tblGrid>
      <w:tr w:rsidR="001C1D37" w:rsidRPr="001C1D37" w:rsidTr="000A044D">
        <w:tc>
          <w:tcPr>
            <w:tcW w:w="1305" w:type="dxa"/>
            <w:vMerge w:val="restart"/>
            <w:tcBorders>
              <w:top w:val="single" w:sz="12" w:space="0" w:color="000000"/>
            </w:tcBorders>
            <w:vAlign w:val="center"/>
          </w:tcPr>
          <w:p w:rsidR="000A044D" w:rsidRPr="001C1D37" w:rsidRDefault="000A044D" w:rsidP="001C1D37">
            <w:pPr>
              <w:jc w:val="center"/>
              <w:rPr>
                <w:sz w:val="20"/>
                <w:szCs w:val="20"/>
              </w:rPr>
            </w:pPr>
            <w:r w:rsidRPr="001C1D37">
              <w:rPr>
                <w:b/>
                <w:sz w:val="20"/>
                <w:szCs w:val="20"/>
              </w:rPr>
              <w:t>True association parameter</w:t>
            </w:r>
          </w:p>
        </w:tc>
        <w:tc>
          <w:tcPr>
            <w:tcW w:w="3616" w:type="dxa"/>
            <w:gridSpan w:val="4"/>
            <w:tcBorders>
              <w:top w:val="single" w:sz="12" w:space="0" w:color="000000"/>
              <w:right w:val="single" w:sz="12" w:space="0" w:color="000000"/>
            </w:tcBorders>
            <w:vAlign w:val="center"/>
          </w:tcPr>
          <w:p w:rsidR="000A044D" w:rsidRPr="001C1D37" w:rsidRDefault="000A044D" w:rsidP="001C1D37">
            <w:pPr>
              <w:jc w:val="center"/>
              <w:rPr>
                <w:sz w:val="20"/>
                <w:szCs w:val="20"/>
              </w:rPr>
            </w:pPr>
            <w:r w:rsidRPr="001C1D37">
              <w:rPr>
                <w:b/>
                <w:sz w:val="20"/>
                <w:szCs w:val="20"/>
              </w:rPr>
              <w:t>Joint model</w:t>
            </w:r>
          </w:p>
        </w:tc>
        <w:tc>
          <w:tcPr>
            <w:tcW w:w="3580" w:type="dxa"/>
            <w:gridSpan w:val="4"/>
            <w:tcBorders>
              <w:top w:val="single" w:sz="12" w:space="0" w:color="000000"/>
              <w:left w:val="single" w:sz="12" w:space="0" w:color="000000"/>
            </w:tcBorders>
            <w:vAlign w:val="center"/>
          </w:tcPr>
          <w:p w:rsidR="000A044D" w:rsidRPr="001C1D37" w:rsidRDefault="000A044D" w:rsidP="001C1D37">
            <w:pPr>
              <w:jc w:val="center"/>
              <w:rPr>
                <w:sz w:val="20"/>
                <w:szCs w:val="20"/>
              </w:rPr>
            </w:pPr>
            <w:r w:rsidRPr="001C1D37">
              <w:rPr>
                <w:b/>
                <w:sz w:val="20"/>
                <w:szCs w:val="20"/>
              </w:rPr>
              <w:t>Cox regression model with the most recent measurement</w:t>
            </w:r>
          </w:p>
        </w:tc>
      </w:tr>
      <w:tr w:rsidR="001C1D37" w:rsidRPr="001C1D37" w:rsidTr="000A044D">
        <w:tc>
          <w:tcPr>
            <w:tcW w:w="1305" w:type="dxa"/>
            <w:vMerge/>
            <w:tcBorders>
              <w:bottom w:val="single" w:sz="12" w:space="0" w:color="000000"/>
            </w:tcBorders>
            <w:vAlign w:val="center"/>
          </w:tcPr>
          <w:p w:rsidR="003264DF" w:rsidRPr="001C1D37" w:rsidRDefault="003264DF" w:rsidP="001C1D37">
            <w:pPr>
              <w:jc w:val="center"/>
              <w:rPr>
                <w:sz w:val="20"/>
                <w:szCs w:val="20"/>
              </w:rPr>
            </w:pPr>
          </w:p>
        </w:tc>
        <w:tc>
          <w:tcPr>
            <w:tcW w:w="794" w:type="dxa"/>
            <w:tcBorders>
              <w:bottom w:val="single" w:sz="12" w:space="0" w:color="000000"/>
            </w:tcBorders>
            <w:vAlign w:val="center"/>
          </w:tcPr>
          <w:p w:rsidR="003264DF" w:rsidRPr="001C1D37" w:rsidRDefault="001C1D37" w:rsidP="001C1D37">
            <w:pPr>
              <w:pStyle w:val="NoSpacing"/>
              <w:jc w:val="center"/>
              <w:rPr>
                <w:rFonts w:ascii="Times New Roman" w:hAnsi="Times New Roman"/>
                <w:b/>
                <w:sz w:val="20"/>
                <w:szCs w:val="20"/>
              </w:rPr>
            </w:pPr>
            <m:oMathPara>
              <m:oMath>
                <m:sSub>
                  <m:sSubPr>
                    <m:ctrlPr>
                      <w:rPr>
                        <w:rFonts w:ascii="Cambria Math" w:hAnsi="Cambria Math"/>
                        <w:b/>
                        <w:i/>
                        <w:sz w:val="20"/>
                        <w:szCs w:val="20"/>
                      </w:rPr>
                    </m:ctrlPr>
                  </m:sSubPr>
                  <m:e>
                    <m:acc>
                      <m:accPr>
                        <m:ctrlPr>
                          <w:rPr>
                            <w:rFonts w:ascii="Cambria Math" w:hAnsi="Cambria Math"/>
                            <w:b/>
                            <w:i/>
                            <w:sz w:val="20"/>
                            <w:szCs w:val="20"/>
                          </w:rPr>
                        </m:ctrlPr>
                      </m:accPr>
                      <m:e>
                        <m:r>
                          <m:rPr>
                            <m:sty m:val="bi"/>
                          </m:rPr>
                          <w:rPr>
                            <w:rFonts w:ascii="Cambria Math" w:hAnsi="Cambria Math"/>
                            <w:sz w:val="20"/>
                            <w:szCs w:val="20"/>
                          </w:rPr>
                          <m:t>γ</m:t>
                        </m:r>
                      </m:e>
                    </m:acc>
                  </m:e>
                  <m:sub>
                    <m:r>
                      <m:rPr>
                        <m:sty m:val="bi"/>
                      </m:rPr>
                      <w:rPr>
                        <w:rFonts w:ascii="Cambria Math" w:hAnsi="Cambria Math"/>
                        <w:sz w:val="20"/>
                        <w:szCs w:val="20"/>
                      </w:rPr>
                      <m:t>t</m:t>
                    </m:r>
                  </m:sub>
                </m:sSub>
              </m:oMath>
            </m:oMathPara>
          </w:p>
        </w:tc>
        <w:tc>
          <w:tcPr>
            <w:tcW w:w="796" w:type="dxa"/>
            <w:tcBorders>
              <w:bottom w:val="single" w:sz="12" w:space="0" w:color="000000"/>
            </w:tcBorders>
            <w:vAlign w:val="center"/>
          </w:tcPr>
          <w:p w:rsidR="003264DF" w:rsidRPr="001C1D37" w:rsidRDefault="003264DF" w:rsidP="001C1D37">
            <w:pPr>
              <w:pStyle w:val="NoSpacing"/>
              <w:jc w:val="center"/>
              <w:rPr>
                <w:rFonts w:ascii="Times New Roman" w:hAnsi="Times New Roman"/>
                <w:b/>
                <w:sz w:val="20"/>
                <w:szCs w:val="20"/>
              </w:rPr>
            </w:pPr>
            <w:r w:rsidRPr="001C1D37">
              <w:rPr>
                <w:rFonts w:ascii="Times New Roman" w:hAnsi="Times New Roman"/>
                <w:b/>
                <w:sz w:val="20"/>
                <w:szCs w:val="20"/>
              </w:rPr>
              <w:t>SE</w:t>
            </w:r>
          </w:p>
        </w:tc>
        <w:tc>
          <w:tcPr>
            <w:tcW w:w="884" w:type="dxa"/>
            <w:tcBorders>
              <w:bottom w:val="single" w:sz="12" w:space="0" w:color="000000"/>
            </w:tcBorders>
            <w:vAlign w:val="center"/>
          </w:tcPr>
          <w:p w:rsidR="003264DF" w:rsidRPr="001C1D37" w:rsidRDefault="003264DF" w:rsidP="001C1D37">
            <w:pPr>
              <w:pStyle w:val="NoSpacing"/>
              <w:jc w:val="center"/>
              <w:rPr>
                <w:rFonts w:ascii="Times New Roman" w:hAnsi="Times New Roman"/>
                <w:b/>
                <w:sz w:val="20"/>
                <w:szCs w:val="20"/>
              </w:rPr>
            </w:pPr>
            <w:r w:rsidRPr="001C1D37">
              <w:rPr>
                <w:rFonts w:ascii="Times New Roman" w:hAnsi="Times New Roman"/>
                <w:b/>
                <w:sz w:val="20"/>
                <w:szCs w:val="20"/>
              </w:rPr>
              <w:t>Bias</w:t>
            </w:r>
          </w:p>
        </w:tc>
        <w:tc>
          <w:tcPr>
            <w:tcW w:w="1142" w:type="dxa"/>
            <w:tcBorders>
              <w:bottom w:val="single" w:sz="12" w:space="0" w:color="000000"/>
              <w:right w:val="single" w:sz="12" w:space="0" w:color="000000"/>
            </w:tcBorders>
            <w:vAlign w:val="center"/>
          </w:tcPr>
          <w:p w:rsidR="003264DF" w:rsidRPr="001C1D37" w:rsidRDefault="003264DF" w:rsidP="001C1D37">
            <w:pPr>
              <w:pStyle w:val="NoSpacing"/>
              <w:jc w:val="center"/>
              <w:rPr>
                <w:rFonts w:ascii="Times New Roman" w:hAnsi="Times New Roman"/>
                <w:b/>
                <w:sz w:val="20"/>
                <w:szCs w:val="20"/>
              </w:rPr>
            </w:pPr>
            <w:r w:rsidRPr="001C1D37">
              <w:rPr>
                <w:rFonts w:ascii="Times New Roman" w:hAnsi="Times New Roman"/>
                <w:b/>
                <w:sz w:val="20"/>
                <w:szCs w:val="20"/>
              </w:rPr>
              <w:t>Coverage</w:t>
            </w:r>
          </w:p>
        </w:tc>
        <w:tc>
          <w:tcPr>
            <w:tcW w:w="906" w:type="dxa"/>
            <w:tcBorders>
              <w:left w:val="single" w:sz="12" w:space="0" w:color="000000"/>
              <w:bottom w:val="single" w:sz="12" w:space="0" w:color="000000"/>
            </w:tcBorders>
            <w:vAlign w:val="center"/>
          </w:tcPr>
          <w:p w:rsidR="003264DF" w:rsidRPr="001C1D37" w:rsidRDefault="001C1D37" w:rsidP="001C1D37">
            <w:pPr>
              <w:pStyle w:val="NoSpacing"/>
              <w:jc w:val="center"/>
              <w:rPr>
                <w:rFonts w:ascii="Times New Roman" w:hAnsi="Times New Roman"/>
                <w:b/>
                <w:sz w:val="20"/>
                <w:szCs w:val="20"/>
              </w:rPr>
            </w:pPr>
            <m:oMathPara>
              <m:oMath>
                <m:acc>
                  <m:accPr>
                    <m:ctrlPr>
                      <w:rPr>
                        <w:rFonts w:ascii="Cambria Math" w:hAnsi="Cambria Math"/>
                        <w:b/>
                        <w:i/>
                        <w:sz w:val="20"/>
                        <w:szCs w:val="20"/>
                      </w:rPr>
                    </m:ctrlPr>
                  </m:accPr>
                  <m:e>
                    <m:r>
                      <m:rPr>
                        <m:sty m:val="bi"/>
                      </m:rPr>
                      <w:rPr>
                        <w:rFonts w:ascii="Cambria Math" w:hAnsi="Cambria Math"/>
                        <w:sz w:val="20"/>
                        <w:szCs w:val="20"/>
                      </w:rPr>
                      <m:t>α</m:t>
                    </m:r>
                  </m:e>
                </m:acc>
              </m:oMath>
            </m:oMathPara>
          </w:p>
        </w:tc>
        <w:tc>
          <w:tcPr>
            <w:tcW w:w="786" w:type="dxa"/>
            <w:tcBorders>
              <w:bottom w:val="single" w:sz="12" w:space="0" w:color="000000"/>
            </w:tcBorders>
            <w:vAlign w:val="center"/>
          </w:tcPr>
          <w:p w:rsidR="003264DF" w:rsidRPr="001C1D37" w:rsidRDefault="003264DF" w:rsidP="001C1D37">
            <w:pPr>
              <w:pStyle w:val="NoSpacing"/>
              <w:jc w:val="center"/>
              <w:rPr>
                <w:rFonts w:ascii="Times New Roman" w:hAnsi="Times New Roman"/>
                <w:b/>
                <w:sz w:val="20"/>
                <w:szCs w:val="20"/>
              </w:rPr>
            </w:pPr>
            <w:r w:rsidRPr="001C1D37">
              <w:rPr>
                <w:rFonts w:ascii="Times New Roman" w:hAnsi="Times New Roman"/>
                <w:b/>
                <w:sz w:val="20"/>
                <w:szCs w:val="20"/>
              </w:rPr>
              <w:t>SE</w:t>
            </w:r>
          </w:p>
        </w:tc>
        <w:tc>
          <w:tcPr>
            <w:tcW w:w="790" w:type="dxa"/>
            <w:tcBorders>
              <w:bottom w:val="single" w:sz="12" w:space="0" w:color="000000"/>
            </w:tcBorders>
            <w:vAlign w:val="center"/>
          </w:tcPr>
          <w:p w:rsidR="003264DF" w:rsidRPr="001C1D37" w:rsidRDefault="003264DF" w:rsidP="001C1D37">
            <w:pPr>
              <w:pStyle w:val="NoSpacing"/>
              <w:jc w:val="center"/>
              <w:rPr>
                <w:rFonts w:ascii="Times New Roman" w:hAnsi="Times New Roman"/>
                <w:b/>
                <w:sz w:val="20"/>
                <w:szCs w:val="20"/>
              </w:rPr>
            </w:pPr>
            <w:r w:rsidRPr="001C1D37">
              <w:rPr>
                <w:rFonts w:ascii="Times New Roman" w:hAnsi="Times New Roman"/>
                <w:b/>
                <w:sz w:val="20"/>
                <w:szCs w:val="20"/>
              </w:rPr>
              <w:t>Bias</w:t>
            </w:r>
          </w:p>
        </w:tc>
        <w:tc>
          <w:tcPr>
            <w:tcW w:w="1098" w:type="dxa"/>
            <w:tcBorders>
              <w:bottom w:val="single" w:sz="12" w:space="0" w:color="000000"/>
            </w:tcBorders>
            <w:vAlign w:val="center"/>
          </w:tcPr>
          <w:p w:rsidR="003264DF" w:rsidRPr="001C1D37" w:rsidRDefault="003264DF" w:rsidP="001C1D37">
            <w:pPr>
              <w:pStyle w:val="NoSpacing"/>
              <w:jc w:val="center"/>
              <w:rPr>
                <w:rFonts w:ascii="Times New Roman" w:hAnsi="Times New Roman"/>
                <w:b/>
                <w:sz w:val="20"/>
                <w:szCs w:val="20"/>
              </w:rPr>
            </w:pPr>
            <w:r w:rsidRPr="001C1D37">
              <w:rPr>
                <w:rFonts w:ascii="Times New Roman" w:hAnsi="Times New Roman"/>
                <w:b/>
                <w:sz w:val="20"/>
                <w:szCs w:val="20"/>
              </w:rPr>
              <w:t>Coverage</w:t>
            </w:r>
          </w:p>
        </w:tc>
      </w:tr>
      <w:tr w:rsidR="001C1D37" w:rsidRPr="001C1D37" w:rsidTr="0054053D">
        <w:trPr>
          <w:trHeight w:val="298"/>
        </w:trPr>
        <w:tc>
          <w:tcPr>
            <w:tcW w:w="8501" w:type="dxa"/>
            <w:gridSpan w:val="9"/>
            <w:tcBorders>
              <w:top w:val="single" w:sz="12" w:space="0" w:color="000000"/>
              <w:bottom w:val="single" w:sz="12" w:space="0" w:color="000000"/>
            </w:tcBorders>
            <w:vAlign w:val="center"/>
          </w:tcPr>
          <w:p w:rsidR="00A10218" w:rsidRPr="001C1D37" w:rsidRDefault="00A10218" w:rsidP="001C1D37">
            <w:pPr>
              <w:pStyle w:val="NoSpacing"/>
              <w:rPr>
                <w:rFonts w:ascii="Times New Roman" w:hAnsi="Times New Roman"/>
                <w:sz w:val="20"/>
                <w:szCs w:val="20"/>
              </w:rPr>
            </w:pPr>
            <w:r w:rsidRPr="001C1D37">
              <w:rPr>
                <w:rFonts w:ascii="Times New Roman" w:eastAsia="Times New Roman" w:hAnsi="Times New Roman"/>
                <w:bCs/>
                <w:sz w:val="20"/>
                <w:szCs w:val="20"/>
              </w:rPr>
              <w:t xml:space="preserve">Measurement error  </w:t>
            </w:r>
            <m:oMath>
              <m:sSubSup>
                <m:sSubSupPr>
                  <m:ctrlPr>
                    <w:rPr>
                      <w:rFonts w:ascii="Cambria Math" w:hAnsi="Cambria Math"/>
                      <w:bCs/>
                      <w:i/>
                      <w:sz w:val="20"/>
                      <w:szCs w:val="20"/>
                    </w:rPr>
                  </m:ctrlPr>
                </m:sSubSupPr>
                <m:e>
                  <m:r>
                    <w:rPr>
                      <w:rFonts w:ascii="Cambria Math" w:hAnsi="Cambria Math"/>
                      <w:sz w:val="20"/>
                      <w:szCs w:val="20"/>
                    </w:rPr>
                    <m:t>σ</m:t>
                  </m:r>
                </m:e>
                <m:sub>
                  <m:r>
                    <w:rPr>
                      <w:rFonts w:ascii="Cambria Math" w:hAnsi="Cambria Math"/>
                      <w:sz w:val="20"/>
                      <w:szCs w:val="20"/>
                    </w:rPr>
                    <m:t>e</m:t>
                  </m:r>
                </m:sub>
                <m:sup>
                  <m:r>
                    <w:rPr>
                      <w:rFonts w:ascii="Cambria Math" w:hAnsi="Cambria Math"/>
                      <w:sz w:val="20"/>
                      <w:szCs w:val="20"/>
                    </w:rPr>
                    <m:t>2</m:t>
                  </m:r>
                </m:sup>
              </m:sSubSup>
              <m:r>
                <w:rPr>
                  <w:rFonts w:ascii="Cambria Math" w:hAnsi="Cambria Math"/>
                  <w:sz w:val="20"/>
                  <w:szCs w:val="20"/>
                </w:rPr>
                <m:t>=</m:t>
              </m:r>
            </m:oMath>
            <w:r w:rsidRPr="001C1D37">
              <w:rPr>
                <w:rFonts w:ascii="Times New Roman" w:hAnsi="Times New Roman"/>
                <w:sz w:val="20"/>
                <w:szCs w:val="20"/>
              </w:rPr>
              <w:t xml:space="preserve"> 0.5</w:t>
            </w:r>
          </w:p>
        </w:tc>
      </w:tr>
      <w:tr w:rsidR="001C1D37" w:rsidRPr="001C1D37" w:rsidTr="000A044D">
        <w:tc>
          <w:tcPr>
            <w:tcW w:w="1305" w:type="dxa"/>
            <w:tcBorders>
              <w:top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-0.25</w:t>
            </w:r>
          </w:p>
        </w:tc>
        <w:tc>
          <w:tcPr>
            <w:tcW w:w="794" w:type="dxa"/>
            <w:tcBorders>
              <w:top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-0.248</w:t>
            </w:r>
          </w:p>
        </w:tc>
        <w:tc>
          <w:tcPr>
            <w:tcW w:w="796" w:type="dxa"/>
            <w:tcBorders>
              <w:top w:val="single" w:sz="12" w:space="0" w:color="000000"/>
            </w:tcBorders>
            <w:vAlign w:val="center"/>
          </w:tcPr>
          <w:p w:rsidR="000A044D" w:rsidRPr="001C1D37" w:rsidRDefault="000A044D" w:rsidP="001C1D37">
            <w:pPr>
              <w:jc w:val="center"/>
              <w:rPr>
                <w:sz w:val="20"/>
                <w:szCs w:val="20"/>
              </w:rPr>
            </w:pPr>
            <w:r w:rsidRPr="001C1D37">
              <w:rPr>
                <w:sz w:val="20"/>
                <w:szCs w:val="20"/>
              </w:rPr>
              <w:t>0.024</w:t>
            </w:r>
          </w:p>
        </w:tc>
        <w:tc>
          <w:tcPr>
            <w:tcW w:w="884" w:type="dxa"/>
            <w:tcBorders>
              <w:top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0.002</w:t>
            </w:r>
          </w:p>
        </w:tc>
        <w:tc>
          <w:tcPr>
            <w:tcW w:w="1142" w:type="dxa"/>
            <w:tcBorders>
              <w:top w:val="single" w:sz="12" w:space="0" w:color="000000"/>
              <w:right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95.1</w:t>
            </w:r>
          </w:p>
        </w:tc>
        <w:tc>
          <w:tcPr>
            <w:tcW w:w="906" w:type="dxa"/>
            <w:tcBorders>
              <w:top w:val="single" w:sz="12" w:space="0" w:color="000000"/>
              <w:left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-0.297</w:t>
            </w:r>
          </w:p>
        </w:tc>
        <w:tc>
          <w:tcPr>
            <w:tcW w:w="786" w:type="dxa"/>
            <w:tcBorders>
              <w:top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0.023</w:t>
            </w:r>
          </w:p>
        </w:tc>
        <w:tc>
          <w:tcPr>
            <w:tcW w:w="790" w:type="dxa"/>
            <w:tcBorders>
              <w:top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-0.047</w:t>
            </w:r>
          </w:p>
        </w:tc>
        <w:tc>
          <w:tcPr>
            <w:tcW w:w="1098" w:type="dxa"/>
            <w:tcBorders>
              <w:top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46.8</w:t>
            </w:r>
          </w:p>
        </w:tc>
      </w:tr>
      <w:tr w:rsidR="001C1D37" w:rsidRPr="001C1D37" w:rsidTr="000A044D">
        <w:tc>
          <w:tcPr>
            <w:tcW w:w="1305" w:type="dxa"/>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-0.5</w:t>
            </w:r>
          </w:p>
        </w:tc>
        <w:tc>
          <w:tcPr>
            <w:tcW w:w="794" w:type="dxa"/>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-0.495</w:t>
            </w:r>
          </w:p>
        </w:tc>
        <w:tc>
          <w:tcPr>
            <w:tcW w:w="796" w:type="dxa"/>
            <w:vAlign w:val="center"/>
          </w:tcPr>
          <w:p w:rsidR="000A044D" w:rsidRPr="001C1D37" w:rsidRDefault="000A044D" w:rsidP="001C1D37">
            <w:pPr>
              <w:jc w:val="center"/>
              <w:rPr>
                <w:sz w:val="20"/>
                <w:szCs w:val="20"/>
              </w:rPr>
            </w:pPr>
            <w:r w:rsidRPr="001C1D37">
              <w:rPr>
                <w:sz w:val="20"/>
                <w:szCs w:val="20"/>
              </w:rPr>
              <w:t>0.035</w:t>
            </w:r>
          </w:p>
        </w:tc>
        <w:tc>
          <w:tcPr>
            <w:tcW w:w="884" w:type="dxa"/>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0.005</w:t>
            </w:r>
          </w:p>
        </w:tc>
        <w:tc>
          <w:tcPr>
            <w:tcW w:w="1142" w:type="dxa"/>
            <w:tcBorders>
              <w:right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94.7</w:t>
            </w:r>
          </w:p>
        </w:tc>
        <w:tc>
          <w:tcPr>
            <w:tcW w:w="906" w:type="dxa"/>
            <w:tcBorders>
              <w:left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-0.498</w:t>
            </w:r>
          </w:p>
        </w:tc>
        <w:tc>
          <w:tcPr>
            <w:tcW w:w="786" w:type="dxa"/>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0.030</w:t>
            </w:r>
          </w:p>
        </w:tc>
        <w:tc>
          <w:tcPr>
            <w:tcW w:w="790" w:type="dxa"/>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0.002</w:t>
            </w:r>
          </w:p>
        </w:tc>
        <w:tc>
          <w:tcPr>
            <w:tcW w:w="1098" w:type="dxa"/>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94.8</w:t>
            </w:r>
          </w:p>
        </w:tc>
      </w:tr>
      <w:tr w:rsidR="001C1D37" w:rsidRPr="001C1D37" w:rsidTr="000A044D">
        <w:tc>
          <w:tcPr>
            <w:tcW w:w="1305" w:type="dxa"/>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-0.75</w:t>
            </w:r>
          </w:p>
        </w:tc>
        <w:tc>
          <w:tcPr>
            <w:tcW w:w="794" w:type="dxa"/>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-0.734</w:t>
            </w:r>
          </w:p>
        </w:tc>
        <w:tc>
          <w:tcPr>
            <w:tcW w:w="796" w:type="dxa"/>
            <w:vAlign w:val="center"/>
          </w:tcPr>
          <w:p w:rsidR="000A044D" w:rsidRPr="001C1D37" w:rsidRDefault="000A044D" w:rsidP="001C1D37">
            <w:pPr>
              <w:jc w:val="center"/>
              <w:rPr>
                <w:sz w:val="20"/>
                <w:szCs w:val="20"/>
              </w:rPr>
            </w:pPr>
            <w:r w:rsidRPr="001C1D37">
              <w:rPr>
                <w:sz w:val="20"/>
                <w:szCs w:val="20"/>
              </w:rPr>
              <w:t>0.050</w:t>
            </w:r>
          </w:p>
        </w:tc>
        <w:tc>
          <w:tcPr>
            <w:tcW w:w="884" w:type="dxa"/>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0.016</w:t>
            </w:r>
          </w:p>
        </w:tc>
        <w:tc>
          <w:tcPr>
            <w:tcW w:w="1142" w:type="dxa"/>
            <w:tcBorders>
              <w:right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93.9</w:t>
            </w:r>
          </w:p>
        </w:tc>
        <w:tc>
          <w:tcPr>
            <w:tcW w:w="906" w:type="dxa"/>
            <w:tcBorders>
              <w:left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-0.647</w:t>
            </w:r>
          </w:p>
        </w:tc>
        <w:tc>
          <w:tcPr>
            <w:tcW w:w="786" w:type="dxa"/>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0.036</w:t>
            </w:r>
          </w:p>
        </w:tc>
        <w:tc>
          <w:tcPr>
            <w:tcW w:w="790" w:type="dxa"/>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0.103</w:t>
            </w:r>
          </w:p>
        </w:tc>
        <w:tc>
          <w:tcPr>
            <w:tcW w:w="1098" w:type="dxa"/>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18.1</w:t>
            </w:r>
          </w:p>
        </w:tc>
      </w:tr>
      <w:tr w:rsidR="001C1D37" w:rsidRPr="001C1D37" w:rsidTr="000A044D">
        <w:tc>
          <w:tcPr>
            <w:tcW w:w="1305" w:type="dxa"/>
            <w:tcBorders>
              <w:bottom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-1</w:t>
            </w:r>
          </w:p>
        </w:tc>
        <w:tc>
          <w:tcPr>
            <w:tcW w:w="794" w:type="dxa"/>
            <w:tcBorders>
              <w:bottom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-0.961</w:t>
            </w:r>
          </w:p>
        </w:tc>
        <w:tc>
          <w:tcPr>
            <w:tcW w:w="796" w:type="dxa"/>
            <w:tcBorders>
              <w:bottom w:val="single" w:sz="12" w:space="0" w:color="000000"/>
            </w:tcBorders>
            <w:vAlign w:val="center"/>
          </w:tcPr>
          <w:p w:rsidR="000A044D" w:rsidRPr="001C1D37" w:rsidRDefault="000A044D" w:rsidP="001C1D37">
            <w:pPr>
              <w:jc w:val="center"/>
              <w:rPr>
                <w:sz w:val="20"/>
                <w:szCs w:val="20"/>
              </w:rPr>
            </w:pPr>
            <w:r w:rsidRPr="001C1D37">
              <w:rPr>
                <w:sz w:val="20"/>
                <w:szCs w:val="20"/>
              </w:rPr>
              <w:t>0.067</w:t>
            </w:r>
          </w:p>
        </w:tc>
        <w:tc>
          <w:tcPr>
            <w:tcW w:w="884" w:type="dxa"/>
            <w:tcBorders>
              <w:bottom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0.039</w:t>
            </w:r>
          </w:p>
        </w:tc>
        <w:tc>
          <w:tcPr>
            <w:tcW w:w="1142" w:type="dxa"/>
            <w:tcBorders>
              <w:bottom w:val="single" w:sz="12" w:space="0" w:color="000000"/>
              <w:right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91.4</w:t>
            </w:r>
          </w:p>
        </w:tc>
        <w:tc>
          <w:tcPr>
            <w:tcW w:w="906" w:type="dxa"/>
            <w:tcBorders>
              <w:left w:val="single" w:sz="12" w:space="0" w:color="000000"/>
              <w:bottom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-0.757</w:t>
            </w:r>
          </w:p>
        </w:tc>
        <w:tc>
          <w:tcPr>
            <w:tcW w:w="786" w:type="dxa"/>
            <w:tcBorders>
              <w:bottom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0.041</w:t>
            </w:r>
          </w:p>
        </w:tc>
        <w:tc>
          <w:tcPr>
            <w:tcW w:w="790" w:type="dxa"/>
            <w:tcBorders>
              <w:bottom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0.243</w:t>
            </w:r>
          </w:p>
        </w:tc>
        <w:tc>
          <w:tcPr>
            <w:tcW w:w="1098" w:type="dxa"/>
            <w:tcBorders>
              <w:bottom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0.0</w:t>
            </w:r>
          </w:p>
        </w:tc>
      </w:tr>
      <w:tr w:rsidR="001C1D37" w:rsidRPr="001C1D37" w:rsidTr="0054053D">
        <w:trPr>
          <w:trHeight w:val="302"/>
        </w:trPr>
        <w:tc>
          <w:tcPr>
            <w:tcW w:w="8501" w:type="dxa"/>
            <w:gridSpan w:val="9"/>
            <w:tcBorders>
              <w:top w:val="single" w:sz="12" w:space="0" w:color="000000"/>
              <w:bottom w:val="single" w:sz="12" w:space="0" w:color="000000"/>
            </w:tcBorders>
            <w:vAlign w:val="center"/>
          </w:tcPr>
          <w:p w:rsidR="00A10218" w:rsidRPr="001C1D37" w:rsidRDefault="00A10218" w:rsidP="001C1D37">
            <w:pPr>
              <w:pStyle w:val="NoSpacing"/>
              <w:rPr>
                <w:rFonts w:ascii="Times New Roman" w:hAnsi="Times New Roman"/>
                <w:sz w:val="20"/>
                <w:szCs w:val="20"/>
              </w:rPr>
            </w:pPr>
            <w:r w:rsidRPr="001C1D37">
              <w:rPr>
                <w:rFonts w:ascii="Times New Roman" w:eastAsia="Times New Roman" w:hAnsi="Times New Roman"/>
                <w:bCs/>
                <w:sz w:val="20"/>
                <w:szCs w:val="20"/>
              </w:rPr>
              <w:t xml:space="preserve">Measurement error </w:t>
            </w:r>
            <m:oMath>
              <m:r>
                <w:rPr>
                  <w:rFonts w:ascii="Cambria Math" w:eastAsia="Times New Roman" w:hAnsi="Cambria Math"/>
                  <w:sz w:val="20"/>
                  <w:szCs w:val="20"/>
                </w:rPr>
                <m:t xml:space="preserve"> </m:t>
              </m:r>
              <m:sSubSup>
                <m:sSubSupPr>
                  <m:ctrlPr>
                    <w:rPr>
                      <w:rFonts w:ascii="Cambria Math" w:hAnsi="Cambria Math"/>
                      <w:bCs/>
                      <w:i/>
                      <w:sz w:val="20"/>
                      <w:szCs w:val="20"/>
                    </w:rPr>
                  </m:ctrlPr>
                </m:sSubSupPr>
                <m:e>
                  <m:r>
                    <w:rPr>
                      <w:rFonts w:ascii="Cambria Math" w:hAnsi="Cambria Math"/>
                      <w:sz w:val="20"/>
                      <w:szCs w:val="20"/>
                    </w:rPr>
                    <m:t>σ</m:t>
                  </m:r>
                </m:e>
                <m:sub>
                  <m:r>
                    <w:rPr>
                      <w:rFonts w:ascii="Cambria Math" w:hAnsi="Cambria Math"/>
                      <w:sz w:val="20"/>
                      <w:szCs w:val="20"/>
                    </w:rPr>
                    <m:t>e</m:t>
                  </m:r>
                </m:sub>
                <m:sup>
                  <m:r>
                    <w:rPr>
                      <w:rFonts w:ascii="Cambria Math" w:hAnsi="Cambria Math"/>
                      <w:sz w:val="20"/>
                      <w:szCs w:val="20"/>
                    </w:rPr>
                    <m:t>2</m:t>
                  </m:r>
                </m:sup>
              </m:sSubSup>
              <m:r>
                <w:rPr>
                  <w:rFonts w:ascii="Cambria Math" w:hAnsi="Cambria Math"/>
                  <w:sz w:val="20"/>
                  <w:szCs w:val="20"/>
                </w:rPr>
                <m:t>=</m:t>
              </m:r>
            </m:oMath>
            <w:r w:rsidRPr="001C1D37">
              <w:rPr>
                <w:rFonts w:ascii="Times New Roman" w:hAnsi="Times New Roman"/>
                <w:sz w:val="20"/>
                <w:szCs w:val="20"/>
              </w:rPr>
              <w:t xml:space="preserve"> 1.5</w:t>
            </w:r>
          </w:p>
        </w:tc>
      </w:tr>
      <w:tr w:rsidR="001C1D37" w:rsidRPr="001C1D37" w:rsidTr="000A044D">
        <w:tc>
          <w:tcPr>
            <w:tcW w:w="1305" w:type="dxa"/>
            <w:tcBorders>
              <w:top w:val="single" w:sz="12" w:space="0" w:color="000000"/>
              <w:bottom w:val="single" w:sz="12" w:space="0" w:color="000000"/>
            </w:tcBorders>
            <w:vAlign w:val="center"/>
          </w:tcPr>
          <w:p w:rsidR="000A044D" w:rsidRPr="001C1D37" w:rsidRDefault="000A044D" w:rsidP="001C1D37">
            <w:pPr>
              <w:jc w:val="center"/>
              <w:rPr>
                <w:sz w:val="20"/>
                <w:szCs w:val="20"/>
              </w:rPr>
            </w:pPr>
            <w:r w:rsidRPr="001C1D37">
              <w:rPr>
                <w:sz w:val="20"/>
                <w:szCs w:val="20"/>
              </w:rPr>
              <w:t>-1</w:t>
            </w:r>
          </w:p>
        </w:tc>
        <w:tc>
          <w:tcPr>
            <w:tcW w:w="794" w:type="dxa"/>
            <w:tcBorders>
              <w:top w:val="single" w:sz="12" w:space="0" w:color="000000"/>
              <w:bottom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-0.912</w:t>
            </w:r>
          </w:p>
        </w:tc>
        <w:tc>
          <w:tcPr>
            <w:tcW w:w="796" w:type="dxa"/>
            <w:tcBorders>
              <w:top w:val="single" w:sz="12" w:space="0" w:color="000000"/>
              <w:bottom w:val="single" w:sz="12" w:space="0" w:color="000000"/>
            </w:tcBorders>
            <w:vAlign w:val="center"/>
          </w:tcPr>
          <w:p w:rsidR="000A044D" w:rsidRPr="001C1D37" w:rsidRDefault="000A044D" w:rsidP="001C1D37">
            <w:pPr>
              <w:jc w:val="center"/>
              <w:rPr>
                <w:sz w:val="20"/>
                <w:szCs w:val="20"/>
              </w:rPr>
            </w:pPr>
            <w:r w:rsidRPr="001C1D37">
              <w:rPr>
                <w:sz w:val="20"/>
                <w:szCs w:val="20"/>
              </w:rPr>
              <w:t>0.088</w:t>
            </w:r>
          </w:p>
        </w:tc>
        <w:tc>
          <w:tcPr>
            <w:tcW w:w="884" w:type="dxa"/>
            <w:tcBorders>
              <w:top w:val="single" w:sz="12" w:space="0" w:color="000000"/>
              <w:bottom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0.088</w:t>
            </w:r>
          </w:p>
        </w:tc>
        <w:tc>
          <w:tcPr>
            <w:tcW w:w="1142" w:type="dxa"/>
            <w:tcBorders>
              <w:top w:val="single" w:sz="12" w:space="0" w:color="000000"/>
              <w:bottom w:val="single" w:sz="12" w:space="0" w:color="000000"/>
              <w:right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83.8</w:t>
            </w:r>
          </w:p>
        </w:tc>
        <w:tc>
          <w:tcPr>
            <w:tcW w:w="906" w:type="dxa"/>
            <w:tcBorders>
              <w:top w:val="single" w:sz="12" w:space="0" w:color="000000"/>
              <w:left w:val="single" w:sz="12" w:space="0" w:color="000000"/>
              <w:bottom w:val="single" w:sz="12" w:space="0" w:color="000000"/>
            </w:tcBorders>
            <w:vAlign w:val="center"/>
          </w:tcPr>
          <w:p w:rsidR="000A044D" w:rsidRPr="001C1D37" w:rsidRDefault="000A044D" w:rsidP="001C1D37">
            <w:pPr>
              <w:jc w:val="center"/>
              <w:rPr>
                <w:sz w:val="20"/>
                <w:szCs w:val="20"/>
              </w:rPr>
            </w:pPr>
            <w:r w:rsidRPr="001C1D37">
              <w:rPr>
                <w:sz w:val="20"/>
                <w:szCs w:val="20"/>
              </w:rPr>
              <w:t>-0.535</w:t>
            </w:r>
          </w:p>
        </w:tc>
        <w:tc>
          <w:tcPr>
            <w:tcW w:w="786" w:type="dxa"/>
            <w:tcBorders>
              <w:top w:val="single" w:sz="12" w:space="0" w:color="000000"/>
              <w:bottom w:val="single" w:sz="12" w:space="0" w:color="000000"/>
            </w:tcBorders>
            <w:vAlign w:val="center"/>
          </w:tcPr>
          <w:p w:rsidR="000A044D" w:rsidRPr="001C1D37" w:rsidRDefault="000A044D" w:rsidP="001C1D37">
            <w:pPr>
              <w:jc w:val="center"/>
              <w:rPr>
                <w:sz w:val="20"/>
                <w:szCs w:val="20"/>
              </w:rPr>
            </w:pPr>
            <w:r w:rsidRPr="001C1D37">
              <w:rPr>
                <w:sz w:val="20"/>
                <w:szCs w:val="20"/>
              </w:rPr>
              <w:t>0.032</w:t>
            </w:r>
          </w:p>
        </w:tc>
        <w:tc>
          <w:tcPr>
            <w:tcW w:w="790" w:type="dxa"/>
            <w:tcBorders>
              <w:top w:val="single" w:sz="12" w:space="0" w:color="000000"/>
              <w:bottom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0.465</w:t>
            </w:r>
          </w:p>
        </w:tc>
        <w:tc>
          <w:tcPr>
            <w:tcW w:w="1098" w:type="dxa"/>
            <w:tcBorders>
              <w:top w:val="single" w:sz="12" w:space="0" w:color="000000"/>
              <w:bottom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0.0</w:t>
            </w:r>
          </w:p>
        </w:tc>
      </w:tr>
      <w:tr w:rsidR="001C1D37" w:rsidRPr="001C1D37" w:rsidTr="0054053D">
        <w:trPr>
          <w:trHeight w:val="309"/>
        </w:trPr>
        <w:tc>
          <w:tcPr>
            <w:tcW w:w="7403" w:type="dxa"/>
            <w:gridSpan w:val="8"/>
            <w:tcBorders>
              <w:top w:val="single" w:sz="12" w:space="0" w:color="000000"/>
              <w:bottom w:val="single" w:sz="12" w:space="0" w:color="000000"/>
            </w:tcBorders>
            <w:vAlign w:val="center"/>
          </w:tcPr>
          <w:p w:rsidR="00A10218" w:rsidRPr="001C1D37" w:rsidRDefault="00A10218" w:rsidP="001C1D37">
            <w:pPr>
              <w:pStyle w:val="NoSpacing"/>
              <w:rPr>
                <w:rFonts w:ascii="Times New Roman" w:hAnsi="Times New Roman"/>
                <w:sz w:val="20"/>
                <w:szCs w:val="20"/>
              </w:rPr>
            </w:pPr>
            <w:r w:rsidRPr="001C1D37">
              <w:rPr>
                <w:rFonts w:ascii="Times New Roman" w:eastAsia="Times New Roman" w:hAnsi="Times New Roman"/>
                <w:bCs/>
                <w:sz w:val="20"/>
                <w:szCs w:val="20"/>
              </w:rPr>
              <w:t xml:space="preserve">Measurement error  </w:t>
            </w:r>
            <m:oMath>
              <m:sSubSup>
                <m:sSubSupPr>
                  <m:ctrlPr>
                    <w:rPr>
                      <w:rFonts w:ascii="Cambria Math" w:hAnsi="Cambria Math"/>
                      <w:bCs/>
                      <w:i/>
                      <w:sz w:val="20"/>
                      <w:szCs w:val="20"/>
                    </w:rPr>
                  </m:ctrlPr>
                </m:sSubSupPr>
                <m:e>
                  <m:r>
                    <w:rPr>
                      <w:rFonts w:ascii="Cambria Math" w:hAnsi="Cambria Math"/>
                      <w:sz w:val="20"/>
                      <w:szCs w:val="20"/>
                    </w:rPr>
                    <m:t>σ</m:t>
                  </m:r>
                </m:e>
                <m:sub>
                  <m:r>
                    <w:rPr>
                      <w:rFonts w:ascii="Cambria Math" w:hAnsi="Cambria Math"/>
                      <w:sz w:val="20"/>
                      <w:szCs w:val="20"/>
                    </w:rPr>
                    <m:t>e</m:t>
                  </m:r>
                </m:sub>
                <m:sup>
                  <m:r>
                    <w:rPr>
                      <w:rFonts w:ascii="Cambria Math" w:hAnsi="Cambria Math"/>
                      <w:sz w:val="20"/>
                      <w:szCs w:val="20"/>
                    </w:rPr>
                    <m:t>2</m:t>
                  </m:r>
                </m:sup>
              </m:sSubSup>
              <m:r>
                <w:rPr>
                  <w:rFonts w:ascii="Cambria Math" w:hAnsi="Cambria Math"/>
                  <w:sz w:val="20"/>
                  <w:szCs w:val="20"/>
                </w:rPr>
                <m:t>=</m:t>
              </m:r>
            </m:oMath>
            <w:r w:rsidRPr="001C1D37">
              <w:rPr>
                <w:rFonts w:ascii="Times New Roman" w:hAnsi="Times New Roman"/>
                <w:sz w:val="20"/>
                <w:szCs w:val="20"/>
              </w:rPr>
              <w:t xml:space="preserve"> 2.5</w:t>
            </w:r>
          </w:p>
        </w:tc>
        <w:tc>
          <w:tcPr>
            <w:tcW w:w="1098" w:type="dxa"/>
            <w:tcBorders>
              <w:top w:val="single" w:sz="12" w:space="0" w:color="000000"/>
              <w:bottom w:val="single" w:sz="12" w:space="0" w:color="000000"/>
            </w:tcBorders>
            <w:vAlign w:val="center"/>
          </w:tcPr>
          <w:p w:rsidR="00A10218" w:rsidRPr="001C1D37" w:rsidRDefault="00A10218" w:rsidP="001C1D37">
            <w:pPr>
              <w:pStyle w:val="NoSpacing"/>
              <w:jc w:val="center"/>
              <w:rPr>
                <w:rFonts w:ascii="Times New Roman" w:hAnsi="Times New Roman"/>
                <w:sz w:val="20"/>
                <w:szCs w:val="20"/>
              </w:rPr>
            </w:pPr>
          </w:p>
        </w:tc>
      </w:tr>
      <w:tr w:rsidR="001C1D37" w:rsidRPr="001C1D37" w:rsidTr="000A044D">
        <w:tc>
          <w:tcPr>
            <w:tcW w:w="1305" w:type="dxa"/>
            <w:tcBorders>
              <w:top w:val="single" w:sz="12" w:space="0" w:color="000000"/>
              <w:bottom w:val="single" w:sz="12" w:space="0" w:color="000000"/>
            </w:tcBorders>
            <w:vAlign w:val="center"/>
          </w:tcPr>
          <w:p w:rsidR="000A044D" w:rsidRPr="001C1D37" w:rsidRDefault="000A044D" w:rsidP="001C1D37">
            <w:pPr>
              <w:jc w:val="center"/>
              <w:rPr>
                <w:sz w:val="20"/>
                <w:szCs w:val="20"/>
              </w:rPr>
            </w:pPr>
            <w:r w:rsidRPr="001C1D37">
              <w:rPr>
                <w:sz w:val="20"/>
                <w:szCs w:val="20"/>
              </w:rPr>
              <w:t>-1</w:t>
            </w:r>
          </w:p>
        </w:tc>
        <w:tc>
          <w:tcPr>
            <w:tcW w:w="794" w:type="dxa"/>
            <w:tcBorders>
              <w:top w:val="single" w:sz="12" w:space="0" w:color="000000"/>
              <w:bottom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-0.873</w:t>
            </w:r>
          </w:p>
        </w:tc>
        <w:tc>
          <w:tcPr>
            <w:tcW w:w="796" w:type="dxa"/>
            <w:tcBorders>
              <w:top w:val="single" w:sz="12" w:space="0" w:color="000000"/>
              <w:bottom w:val="single" w:sz="12" w:space="0" w:color="000000"/>
            </w:tcBorders>
            <w:vAlign w:val="center"/>
          </w:tcPr>
          <w:p w:rsidR="000A044D" w:rsidRPr="001C1D37" w:rsidRDefault="000A044D" w:rsidP="001C1D37">
            <w:pPr>
              <w:jc w:val="center"/>
              <w:rPr>
                <w:sz w:val="20"/>
                <w:szCs w:val="20"/>
              </w:rPr>
            </w:pPr>
            <w:r w:rsidRPr="001C1D37">
              <w:rPr>
                <w:sz w:val="20"/>
                <w:szCs w:val="20"/>
              </w:rPr>
              <w:t>0.098</w:t>
            </w:r>
          </w:p>
        </w:tc>
        <w:tc>
          <w:tcPr>
            <w:tcW w:w="884" w:type="dxa"/>
            <w:tcBorders>
              <w:top w:val="single" w:sz="12" w:space="0" w:color="000000"/>
              <w:bottom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0.127</w:t>
            </w:r>
          </w:p>
        </w:tc>
        <w:tc>
          <w:tcPr>
            <w:tcW w:w="1142" w:type="dxa"/>
            <w:tcBorders>
              <w:top w:val="single" w:sz="12" w:space="0" w:color="000000"/>
              <w:bottom w:val="single" w:sz="12" w:space="0" w:color="000000"/>
              <w:right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73.4</w:t>
            </w:r>
          </w:p>
        </w:tc>
        <w:tc>
          <w:tcPr>
            <w:tcW w:w="906" w:type="dxa"/>
            <w:tcBorders>
              <w:top w:val="single" w:sz="12" w:space="0" w:color="000000"/>
              <w:left w:val="single" w:sz="12" w:space="0" w:color="000000"/>
              <w:bottom w:val="single" w:sz="12" w:space="0" w:color="000000"/>
            </w:tcBorders>
            <w:vAlign w:val="center"/>
          </w:tcPr>
          <w:p w:rsidR="000A044D" w:rsidRPr="001C1D37" w:rsidRDefault="000A044D" w:rsidP="001C1D37">
            <w:pPr>
              <w:jc w:val="center"/>
              <w:rPr>
                <w:sz w:val="20"/>
                <w:szCs w:val="20"/>
              </w:rPr>
            </w:pPr>
            <w:r w:rsidRPr="001C1D37">
              <w:rPr>
                <w:sz w:val="20"/>
                <w:szCs w:val="20"/>
              </w:rPr>
              <w:t>-0.428</w:t>
            </w:r>
          </w:p>
        </w:tc>
        <w:tc>
          <w:tcPr>
            <w:tcW w:w="786" w:type="dxa"/>
            <w:tcBorders>
              <w:top w:val="single" w:sz="12" w:space="0" w:color="000000"/>
              <w:bottom w:val="single" w:sz="12" w:space="0" w:color="000000"/>
            </w:tcBorders>
            <w:vAlign w:val="center"/>
          </w:tcPr>
          <w:p w:rsidR="000A044D" w:rsidRPr="001C1D37" w:rsidRDefault="000A044D" w:rsidP="001C1D37">
            <w:pPr>
              <w:jc w:val="center"/>
              <w:rPr>
                <w:sz w:val="20"/>
                <w:szCs w:val="20"/>
              </w:rPr>
            </w:pPr>
            <w:r w:rsidRPr="001C1D37">
              <w:rPr>
                <w:sz w:val="20"/>
                <w:szCs w:val="20"/>
              </w:rPr>
              <w:t>0.027</w:t>
            </w:r>
          </w:p>
        </w:tc>
        <w:tc>
          <w:tcPr>
            <w:tcW w:w="790" w:type="dxa"/>
            <w:tcBorders>
              <w:top w:val="single" w:sz="12" w:space="0" w:color="000000"/>
              <w:bottom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0.572</w:t>
            </w:r>
          </w:p>
        </w:tc>
        <w:tc>
          <w:tcPr>
            <w:tcW w:w="1098" w:type="dxa"/>
            <w:tcBorders>
              <w:top w:val="single" w:sz="12" w:space="0" w:color="000000"/>
              <w:bottom w:val="single" w:sz="12" w:space="0" w:color="000000"/>
            </w:tcBorders>
            <w:vAlign w:val="center"/>
          </w:tcPr>
          <w:p w:rsidR="000A044D" w:rsidRPr="001C1D37" w:rsidRDefault="000A044D" w:rsidP="001C1D37">
            <w:pPr>
              <w:pStyle w:val="NoSpacing"/>
              <w:jc w:val="center"/>
              <w:rPr>
                <w:rFonts w:ascii="Times New Roman" w:hAnsi="Times New Roman"/>
                <w:sz w:val="20"/>
                <w:szCs w:val="20"/>
              </w:rPr>
            </w:pPr>
            <w:r w:rsidRPr="001C1D37">
              <w:rPr>
                <w:rFonts w:ascii="Times New Roman" w:hAnsi="Times New Roman"/>
                <w:sz w:val="20"/>
                <w:szCs w:val="20"/>
              </w:rPr>
              <w:t>0.0</w:t>
            </w:r>
          </w:p>
        </w:tc>
      </w:tr>
    </w:tbl>
    <w:p w:rsidR="00E458E1" w:rsidRPr="001C1D37" w:rsidRDefault="00E458E1" w:rsidP="001C1D37">
      <w:pPr>
        <w:rPr>
          <w:rFonts w:eastAsia="Calibri"/>
        </w:rPr>
      </w:pPr>
      <w:r w:rsidRPr="001C1D37">
        <w:br w:type="page"/>
      </w:r>
    </w:p>
    <w:p w:rsidR="00355928" w:rsidRPr="001C1D37" w:rsidRDefault="00355928" w:rsidP="001C1D37">
      <w:pPr>
        <w:pStyle w:val="NoSpacing"/>
        <w:contextualSpacing/>
        <w:rPr>
          <w:rFonts w:ascii="Times New Roman" w:hAnsi="Times New Roman"/>
          <w:sz w:val="24"/>
          <w:szCs w:val="24"/>
        </w:rPr>
        <w:sectPr w:rsidR="00355928" w:rsidRPr="001C1D37" w:rsidSect="001C1D37">
          <w:footerReference w:type="default" r:id="rId11"/>
          <w:pgSz w:w="11906" w:h="16838"/>
          <w:pgMar w:top="1135" w:right="849" w:bottom="1985" w:left="1134" w:header="709" w:footer="709" w:gutter="0"/>
          <w:cols w:space="708"/>
          <w:docGrid w:linePitch="360"/>
        </w:sectPr>
      </w:pPr>
    </w:p>
    <w:p w:rsidR="00E458E1" w:rsidRPr="001C1D37" w:rsidRDefault="00E458E1" w:rsidP="001C1D37">
      <w:pPr>
        <w:pStyle w:val="NoSpacing"/>
        <w:contextualSpacing/>
        <w:rPr>
          <w:rFonts w:ascii="Times New Roman" w:hAnsi="Times New Roman"/>
          <w:sz w:val="24"/>
          <w:szCs w:val="24"/>
        </w:rPr>
      </w:pPr>
      <w:proofErr w:type="gramStart"/>
      <w:r w:rsidRPr="001C1D37">
        <w:rPr>
          <w:rFonts w:ascii="Times New Roman" w:hAnsi="Times New Roman"/>
          <w:sz w:val="24"/>
          <w:szCs w:val="24"/>
        </w:rPr>
        <w:lastRenderedPageBreak/>
        <w:t>Table 2.</w:t>
      </w:r>
      <w:proofErr w:type="gramEnd"/>
      <w:r w:rsidRPr="001C1D37">
        <w:rPr>
          <w:rFonts w:ascii="Times New Roman" w:hAnsi="Times New Roman"/>
          <w:sz w:val="24"/>
          <w:szCs w:val="24"/>
        </w:rPr>
        <w:t xml:space="preserve"> </w:t>
      </w:r>
      <w:r w:rsidR="004D4A3C" w:rsidRPr="001C1D37">
        <w:rPr>
          <w:rFonts w:ascii="Times New Roman" w:hAnsi="Times New Roman"/>
          <w:sz w:val="24"/>
          <w:szCs w:val="24"/>
        </w:rPr>
        <w:t xml:space="preserve">Simulated results of varying strength of association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t</m:t>
            </m:r>
          </m:sub>
        </m:sSub>
      </m:oMath>
      <w:r w:rsidR="004D4A3C" w:rsidRPr="001C1D37">
        <w:rPr>
          <w:rFonts w:ascii="Times New Roman" w:hAnsi="Times New Roman"/>
          <w:sz w:val="24"/>
          <w:szCs w:val="24"/>
        </w:rPr>
        <w:t xml:space="preserve"> between the biomarker and event-time process</w:t>
      </w:r>
      <w:r w:rsidR="004D4A3C" w:rsidRPr="001C1D37">
        <w:rPr>
          <w:rFonts w:ascii="Times New Roman" w:eastAsiaTheme="minorEastAsia" w:hAnsi="Times New Roman"/>
          <w:sz w:val="24"/>
          <w:szCs w:val="24"/>
        </w:rPr>
        <w:t xml:space="preserve"> and</w:t>
      </w:r>
      <w:r w:rsidR="004D4A3C" w:rsidRPr="001C1D37">
        <w:rPr>
          <w:rFonts w:ascii="Times New Roman" w:hAnsi="Times New Roman"/>
          <w:sz w:val="24"/>
          <w:szCs w:val="24"/>
        </w:rPr>
        <w:t xml:space="preserve"> discriminatory potential of </w:t>
      </w:r>
      <w:r w:rsidR="006A1BFB" w:rsidRPr="001C1D37">
        <w:rPr>
          <w:rFonts w:ascii="Times New Roman" w:hAnsi="Times New Roman"/>
          <w:sz w:val="24"/>
          <w:szCs w:val="24"/>
        </w:rPr>
        <w:t>the</w:t>
      </w:r>
      <w:r w:rsidR="004D4A3C" w:rsidRPr="001C1D37">
        <w:rPr>
          <w:rFonts w:ascii="Times New Roman" w:hAnsi="Times New Roman"/>
          <w:sz w:val="24"/>
          <w:szCs w:val="24"/>
        </w:rPr>
        <w:t xml:space="preserve"> biomarker (as estimated by </w:t>
      </w:r>
      <w:r w:rsidR="006A1BFB" w:rsidRPr="001C1D37">
        <w:rPr>
          <w:rFonts w:ascii="Times New Roman" w:hAnsi="Times New Roman"/>
          <w:sz w:val="24"/>
          <w:szCs w:val="24"/>
        </w:rPr>
        <w:t xml:space="preserve">area under the receiver operating characteristic curve </w:t>
      </w:r>
      <w:r w:rsidR="004D4A3C" w:rsidRPr="001C1D37">
        <w:rPr>
          <w:rFonts w:ascii="Times New Roman" w:hAnsi="Times New Roman"/>
          <w:sz w:val="24"/>
          <w:szCs w:val="24"/>
        </w:rPr>
        <w:t>AUC)</w:t>
      </w:r>
      <w:r w:rsidR="00000191" w:rsidRPr="001C1D37">
        <w:rPr>
          <w:rFonts w:ascii="Times New Roman" w:hAnsi="Times New Roman"/>
          <w:sz w:val="24"/>
          <w:szCs w:val="24"/>
        </w:rPr>
        <w:t xml:space="preserve"> </w:t>
      </w:r>
    </w:p>
    <w:tbl>
      <w:tblPr>
        <w:tblpPr w:leftFromText="180" w:rightFromText="180" w:vertAnchor="text" w:tblpY="1"/>
        <w:tblOverlap w:val="never"/>
        <w:tblW w:w="6961"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83"/>
        <w:gridCol w:w="1134"/>
        <w:gridCol w:w="1276"/>
        <w:gridCol w:w="1181"/>
        <w:gridCol w:w="1087"/>
      </w:tblGrid>
      <w:tr w:rsidR="001C1D37" w:rsidRPr="001C1D37" w:rsidTr="00064B59">
        <w:trPr>
          <w:trHeight w:hRule="exact" w:val="340"/>
        </w:trPr>
        <w:tc>
          <w:tcPr>
            <w:tcW w:w="2283" w:type="dxa"/>
            <w:vMerge w:val="restart"/>
            <w:tcBorders>
              <w:top w:val="single" w:sz="12" w:space="0" w:color="auto"/>
              <w:left w:val="nil"/>
              <w:right w:val="single" w:sz="4" w:space="0" w:color="auto"/>
            </w:tcBorders>
            <w:vAlign w:val="center"/>
          </w:tcPr>
          <w:p w:rsidR="00153205" w:rsidRPr="001C1D37" w:rsidRDefault="00153205" w:rsidP="001C1D37">
            <w:pPr>
              <w:pStyle w:val="NoSpacing"/>
              <w:jc w:val="center"/>
              <w:rPr>
                <w:rFonts w:ascii="Times New Roman" w:eastAsia="Times New Roman" w:hAnsi="Times New Roman"/>
                <w:b/>
              </w:rPr>
            </w:pPr>
            <w:r w:rsidRPr="001C1D37">
              <w:rPr>
                <w:rFonts w:ascii="Times New Roman" w:hAnsi="Times New Roman"/>
                <w:b/>
              </w:rPr>
              <w:t>True</w:t>
            </w:r>
            <w:r w:rsidR="00064B59" w:rsidRPr="001C1D37">
              <w:rPr>
                <w:rFonts w:ascii="Times New Roman" w:hAnsi="Times New Roman"/>
                <w:b/>
              </w:rPr>
              <w:t xml:space="preserve"> </w:t>
            </w:r>
            <w:r w:rsidRPr="001C1D37">
              <w:rPr>
                <w:rFonts w:ascii="Times New Roman" w:hAnsi="Times New Roman"/>
                <w:b/>
              </w:rPr>
              <w:t xml:space="preserve"> </w:t>
            </w:r>
            <m:oMath>
              <m:r>
                <m:rPr>
                  <m:sty m:val="bi"/>
                </m:rPr>
                <w:rPr>
                  <w:rFonts w:ascii="Cambria Math" w:hAnsi="Cambria Math"/>
                </w:rPr>
                <m:t>γ</m:t>
              </m:r>
            </m:oMath>
          </w:p>
        </w:tc>
        <w:tc>
          <w:tcPr>
            <w:tcW w:w="2410" w:type="dxa"/>
            <w:gridSpan w:val="2"/>
            <w:tcBorders>
              <w:top w:val="single" w:sz="12" w:space="0" w:color="auto"/>
              <w:bottom w:val="single" w:sz="2" w:space="0" w:color="auto"/>
            </w:tcBorders>
            <w:shd w:val="clear" w:color="auto" w:fill="auto"/>
            <w:noWrap/>
            <w:vAlign w:val="center"/>
          </w:tcPr>
          <w:p w:rsidR="00153205" w:rsidRPr="001C1D37" w:rsidRDefault="00333FD4" w:rsidP="001C1D37">
            <w:pPr>
              <w:pStyle w:val="NoSpacing"/>
              <w:jc w:val="center"/>
              <w:rPr>
                <w:rFonts w:ascii="Times New Roman" w:hAnsi="Times New Roman"/>
                <w:b/>
                <w:lang w:eastAsia="en-GB"/>
              </w:rPr>
            </w:pPr>
            <m:oMathPara>
              <m:oMath>
                <m:r>
                  <m:rPr>
                    <m:sty m:val="bi"/>
                  </m:rPr>
                  <w:rPr>
                    <w:rFonts w:ascii="Cambria Math" w:hAnsi="Cambria Math"/>
                  </w:rPr>
                  <m:t>γ</m:t>
                </m:r>
              </m:oMath>
            </m:oMathPara>
          </w:p>
        </w:tc>
        <w:tc>
          <w:tcPr>
            <w:tcW w:w="2268" w:type="dxa"/>
            <w:gridSpan w:val="2"/>
            <w:tcBorders>
              <w:top w:val="single" w:sz="12" w:space="0" w:color="auto"/>
              <w:bottom w:val="single" w:sz="2" w:space="0" w:color="auto"/>
              <w:right w:val="nil"/>
            </w:tcBorders>
            <w:shd w:val="clear" w:color="auto" w:fill="auto"/>
            <w:noWrap/>
            <w:vAlign w:val="center"/>
          </w:tcPr>
          <w:p w:rsidR="00153205" w:rsidRPr="001C1D37" w:rsidRDefault="00153205" w:rsidP="001C1D37">
            <w:pPr>
              <w:pStyle w:val="NoSpacing"/>
              <w:jc w:val="center"/>
              <w:rPr>
                <w:rFonts w:ascii="Times New Roman" w:hAnsi="Times New Roman"/>
                <w:b/>
                <w:lang w:eastAsia="en-GB"/>
              </w:rPr>
            </w:pPr>
            <w:r w:rsidRPr="001C1D37">
              <w:rPr>
                <w:rFonts w:ascii="Times New Roman" w:hAnsi="Times New Roman"/>
                <w:b/>
                <w:lang w:eastAsia="en-GB"/>
              </w:rPr>
              <w:t>AUC</w:t>
            </w:r>
          </w:p>
        </w:tc>
      </w:tr>
      <w:tr w:rsidR="001C1D37" w:rsidRPr="001C1D37" w:rsidTr="00064B59">
        <w:trPr>
          <w:trHeight w:hRule="exact" w:val="340"/>
        </w:trPr>
        <w:tc>
          <w:tcPr>
            <w:tcW w:w="2283" w:type="dxa"/>
            <w:vMerge/>
            <w:tcBorders>
              <w:left w:val="nil"/>
              <w:bottom w:val="single" w:sz="12" w:space="0" w:color="auto"/>
              <w:right w:val="single" w:sz="4" w:space="0" w:color="auto"/>
            </w:tcBorders>
            <w:vAlign w:val="center"/>
          </w:tcPr>
          <w:p w:rsidR="00153205" w:rsidRPr="001C1D37" w:rsidRDefault="00153205" w:rsidP="001C1D37">
            <w:pPr>
              <w:pStyle w:val="NoSpacing"/>
              <w:jc w:val="center"/>
              <w:rPr>
                <w:rFonts w:ascii="Times New Roman" w:hAnsi="Times New Roman"/>
                <w:b/>
              </w:rPr>
            </w:pPr>
          </w:p>
        </w:tc>
        <w:tc>
          <w:tcPr>
            <w:tcW w:w="1134" w:type="dxa"/>
            <w:tcBorders>
              <w:top w:val="single" w:sz="2" w:space="0" w:color="auto"/>
              <w:bottom w:val="single" w:sz="12" w:space="0" w:color="auto"/>
              <w:right w:val="single" w:sz="4" w:space="0" w:color="auto"/>
            </w:tcBorders>
            <w:shd w:val="clear" w:color="auto" w:fill="auto"/>
            <w:noWrap/>
            <w:vAlign w:val="center"/>
          </w:tcPr>
          <w:p w:rsidR="00153205" w:rsidRPr="001C1D37" w:rsidRDefault="00153205" w:rsidP="001C1D37">
            <w:pPr>
              <w:pStyle w:val="NoSpacing"/>
              <w:jc w:val="center"/>
              <w:rPr>
                <w:rFonts w:ascii="Times New Roman" w:eastAsia="Times New Roman" w:hAnsi="Times New Roman"/>
                <w:b/>
              </w:rPr>
            </w:pPr>
            <w:r w:rsidRPr="001C1D37">
              <w:rPr>
                <w:rFonts w:ascii="Times New Roman" w:eastAsia="Times New Roman" w:hAnsi="Times New Roman"/>
                <w:b/>
              </w:rPr>
              <w:t>Est.</w:t>
            </w:r>
          </w:p>
        </w:tc>
        <w:tc>
          <w:tcPr>
            <w:tcW w:w="1276" w:type="dxa"/>
            <w:tcBorders>
              <w:top w:val="single" w:sz="2" w:space="0" w:color="auto"/>
              <w:left w:val="single" w:sz="4" w:space="0" w:color="auto"/>
              <w:bottom w:val="single" w:sz="12" w:space="0" w:color="auto"/>
              <w:right w:val="single" w:sz="2" w:space="0" w:color="auto"/>
            </w:tcBorders>
            <w:shd w:val="clear" w:color="auto" w:fill="auto"/>
            <w:vAlign w:val="center"/>
          </w:tcPr>
          <w:p w:rsidR="00153205" w:rsidRPr="001C1D37" w:rsidRDefault="00153205" w:rsidP="001C1D37">
            <w:pPr>
              <w:pStyle w:val="NoSpacing"/>
              <w:jc w:val="center"/>
              <w:rPr>
                <w:rFonts w:ascii="Times New Roman" w:hAnsi="Times New Roman"/>
                <w:b/>
                <w:lang w:eastAsia="en-GB"/>
              </w:rPr>
            </w:pPr>
            <w:r w:rsidRPr="001C1D37">
              <w:rPr>
                <w:rFonts w:ascii="Times New Roman" w:hAnsi="Times New Roman"/>
                <w:b/>
                <w:lang w:eastAsia="en-GB"/>
              </w:rPr>
              <w:t>SE</w:t>
            </w:r>
          </w:p>
        </w:tc>
        <w:tc>
          <w:tcPr>
            <w:tcW w:w="1181" w:type="dxa"/>
            <w:tcBorders>
              <w:top w:val="single" w:sz="2" w:space="0" w:color="auto"/>
              <w:left w:val="single" w:sz="2" w:space="0" w:color="auto"/>
              <w:bottom w:val="single" w:sz="12" w:space="0" w:color="auto"/>
              <w:right w:val="single" w:sz="4" w:space="0" w:color="auto"/>
            </w:tcBorders>
            <w:shd w:val="clear" w:color="auto" w:fill="auto"/>
            <w:noWrap/>
            <w:vAlign w:val="center"/>
          </w:tcPr>
          <w:p w:rsidR="00153205" w:rsidRPr="001C1D37" w:rsidRDefault="00153205" w:rsidP="001C1D37">
            <w:pPr>
              <w:pStyle w:val="NoSpacing"/>
              <w:jc w:val="center"/>
              <w:rPr>
                <w:rFonts w:ascii="Times New Roman" w:eastAsia="Times New Roman" w:hAnsi="Times New Roman"/>
                <w:b/>
              </w:rPr>
            </w:pPr>
            <w:r w:rsidRPr="001C1D37">
              <w:rPr>
                <w:rFonts w:ascii="Times New Roman" w:eastAsia="Times New Roman" w:hAnsi="Times New Roman"/>
                <w:b/>
              </w:rPr>
              <w:t>Est.</w:t>
            </w:r>
          </w:p>
        </w:tc>
        <w:tc>
          <w:tcPr>
            <w:tcW w:w="1087" w:type="dxa"/>
            <w:tcBorders>
              <w:top w:val="single" w:sz="2" w:space="0" w:color="auto"/>
              <w:left w:val="single" w:sz="4" w:space="0" w:color="auto"/>
              <w:bottom w:val="single" w:sz="12" w:space="0" w:color="auto"/>
              <w:right w:val="nil"/>
            </w:tcBorders>
            <w:shd w:val="clear" w:color="auto" w:fill="auto"/>
            <w:vAlign w:val="center"/>
          </w:tcPr>
          <w:p w:rsidR="00153205" w:rsidRPr="001C1D37" w:rsidRDefault="00153205" w:rsidP="001C1D37">
            <w:pPr>
              <w:pStyle w:val="NoSpacing"/>
              <w:jc w:val="center"/>
              <w:rPr>
                <w:rFonts w:ascii="Times New Roman" w:hAnsi="Times New Roman"/>
                <w:b/>
                <w:lang w:eastAsia="en-GB"/>
              </w:rPr>
            </w:pPr>
            <w:r w:rsidRPr="001C1D37">
              <w:rPr>
                <w:rFonts w:ascii="Times New Roman" w:hAnsi="Times New Roman"/>
                <w:b/>
                <w:lang w:eastAsia="en-GB"/>
              </w:rPr>
              <w:t>SE</w:t>
            </w:r>
          </w:p>
        </w:tc>
      </w:tr>
      <w:tr w:rsidR="001C1D37" w:rsidRPr="001C1D37" w:rsidTr="00813B65">
        <w:trPr>
          <w:trHeight w:hRule="exact" w:val="340"/>
        </w:trPr>
        <w:tc>
          <w:tcPr>
            <w:tcW w:w="6961" w:type="dxa"/>
            <w:gridSpan w:val="5"/>
            <w:tcBorders>
              <w:top w:val="single" w:sz="12" w:space="0" w:color="auto"/>
              <w:left w:val="nil"/>
              <w:bottom w:val="single" w:sz="12" w:space="0" w:color="auto"/>
              <w:right w:val="nil"/>
            </w:tcBorders>
            <w:vAlign w:val="center"/>
          </w:tcPr>
          <w:p w:rsidR="00813B65" w:rsidRPr="001C1D37" w:rsidRDefault="00813B65" w:rsidP="001C1D37">
            <w:pPr>
              <w:pStyle w:val="NoSpacing"/>
              <w:rPr>
                <w:rFonts w:ascii="Times New Roman" w:hAnsi="Times New Roman"/>
                <w:lang w:eastAsia="en-GB"/>
              </w:rPr>
            </w:pPr>
            <w:r w:rsidRPr="001C1D37">
              <w:rPr>
                <w:rFonts w:ascii="Times New Roman" w:hAnsi="Times New Roman"/>
                <w:b/>
              </w:rPr>
              <w:t>80% events</w:t>
            </w:r>
          </w:p>
        </w:tc>
      </w:tr>
      <w:tr w:rsidR="001C1D37" w:rsidRPr="001C1D37" w:rsidTr="00333FD4">
        <w:trPr>
          <w:trHeight w:hRule="exact" w:val="284"/>
        </w:trPr>
        <w:tc>
          <w:tcPr>
            <w:tcW w:w="2283" w:type="dxa"/>
            <w:tcBorders>
              <w:top w:val="single" w:sz="12" w:space="0" w:color="auto"/>
              <w:left w:val="nil"/>
              <w:bottom w:val="single" w:sz="2" w:space="0" w:color="auto"/>
              <w:right w:val="single" w:sz="4" w:space="0" w:color="auto"/>
            </w:tcBorders>
            <w:vAlign w:val="center"/>
          </w:tcPr>
          <w:p w:rsidR="00153205" w:rsidRPr="001C1D37" w:rsidRDefault="00153205" w:rsidP="001C1D37">
            <w:pPr>
              <w:pStyle w:val="NoSpacing"/>
              <w:jc w:val="center"/>
              <w:rPr>
                <w:rFonts w:ascii="Times New Roman" w:hAnsi="Times New Roman"/>
                <w:lang w:eastAsia="en-GB"/>
              </w:rPr>
            </w:pPr>
            <w:r w:rsidRPr="001C1D37">
              <w:rPr>
                <w:rFonts w:ascii="Times New Roman" w:hAnsi="Times New Roman"/>
                <w:lang w:eastAsia="en-GB"/>
              </w:rPr>
              <w:t>0</w:t>
            </w:r>
          </w:p>
        </w:tc>
        <w:tc>
          <w:tcPr>
            <w:tcW w:w="1134" w:type="dxa"/>
            <w:tcBorders>
              <w:top w:val="single" w:sz="12" w:space="0" w:color="auto"/>
              <w:bottom w:val="single" w:sz="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-0.009</w:t>
            </w:r>
          </w:p>
        </w:tc>
        <w:tc>
          <w:tcPr>
            <w:tcW w:w="1276" w:type="dxa"/>
            <w:tcBorders>
              <w:top w:val="single" w:sz="12" w:space="0" w:color="auto"/>
              <w:left w:val="single" w:sz="4" w:space="0" w:color="auto"/>
              <w:bottom w:val="single" w:sz="2" w:space="0" w:color="auto"/>
              <w:right w:val="single" w:sz="2" w:space="0" w:color="auto"/>
            </w:tcBorders>
            <w:shd w:val="clear" w:color="auto" w:fill="auto"/>
            <w:vAlign w:val="bottom"/>
          </w:tcPr>
          <w:p w:rsidR="00153205" w:rsidRPr="001C1D37" w:rsidRDefault="00153205" w:rsidP="001C1D37">
            <w:pPr>
              <w:jc w:val="center"/>
              <w:rPr>
                <w:sz w:val="22"/>
                <w:szCs w:val="22"/>
              </w:rPr>
            </w:pPr>
            <w:r w:rsidRPr="001C1D37">
              <w:rPr>
                <w:sz w:val="22"/>
                <w:szCs w:val="22"/>
              </w:rPr>
              <w:t>0.006</w:t>
            </w:r>
          </w:p>
        </w:tc>
        <w:tc>
          <w:tcPr>
            <w:tcW w:w="1181" w:type="dxa"/>
            <w:tcBorders>
              <w:top w:val="single" w:sz="12" w:space="0" w:color="auto"/>
              <w:left w:val="single" w:sz="2" w:space="0" w:color="auto"/>
              <w:bottom w:val="single" w:sz="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0.518</w:t>
            </w:r>
          </w:p>
        </w:tc>
        <w:tc>
          <w:tcPr>
            <w:tcW w:w="1087" w:type="dxa"/>
            <w:tcBorders>
              <w:top w:val="single" w:sz="12" w:space="0" w:color="auto"/>
              <w:left w:val="single" w:sz="4" w:space="0" w:color="auto"/>
              <w:bottom w:val="single" w:sz="2" w:space="0" w:color="auto"/>
              <w:right w:val="nil"/>
            </w:tcBorders>
            <w:shd w:val="clear" w:color="auto" w:fill="auto"/>
            <w:vAlign w:val="bottom"/>
          </w:tcPr>
          <w:p w:rsidR="00153205" w:rsidRPr="001C1D37" w:rsidRDefault="00153205" w:rsidP="001C1D37">
            <w:pPr>
              <w:jc w:val="center"/>
              <w:rPr>
                <w:sz w:val="22"/>
                <w:szCs w:val="22"/>
              </w:rPr>
            </w:pPr>
            <w:r w:rsidRPr="001C1D37">
              <w:rPr>
                <w:sz w:val="22"/>
                <w:szCs w:val="22"/>
              </w:rPr>
              <w:t>0.019</w:t>
            </w:r>
          </w:p>
        </w:tc>
      </w:tr>
      <w:tr w:rsidR="001C1D37" w:rsidRPr="001C1D37" w:rsidTr="00333FD4">
        <w:trPr>
          <w:trHeight w:hRule="exact" w:val="284"/>
        </w:trPr>
        <w:tc>
          <w:tcPr>
            <w:tcW w:w="2283" w:type="dxa"/>
            <w:tcBorders>
              <w:top w:val="single" w:sz="2" w:space="0" w:color="auto"/>
              <w:left w:val="nil"/>
              <w:right w:val="single" w:sz="4" w:space="0" w:color="auto"/>
            </w:tcBorders>
            <w:vAlign w:val="center"/>
          </w:tcPr>
          <w:p w:rsidR="00153205" w:rsidRPr="001C1D37" w:rsidRDefault="00153205" w:rsidP="001C1D37">
            <w:pPr>
              <w:pStyle w:val="NoSpacing"/>
              <w:jc w:val="center"/>
              <w:rPr>
                <w:rFonts w:ascii="Times New Roman" w:hAnsi="Times New Roman"/>
                <w:lang w:eastAsia="en-GB"/>
              </w:rPr>
            </w:pPr>
            <w:r w:rsidRPr="001C1D37">
              <w:rPr>
                <w:rFonts w:ascii="Times New Roman" w:hAnsi="Times New Roman"/>
                <w:lang w:eastAsia="en-GB"/>
              </w:rPr>
              <w:t>-0.25</w:t>
            </w:r>
          </w:p>
        </w:tc>
        <w:tc>
          <w:tcPr>
            <w:tcW w:w="1134" w:type="dxa"/>
            <w:tcBorders>
              <w:top w:val="single" w:sz="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-0.251</w:t>
            </w:r>
          </w:p>
        </w:tc>
        <w:tc>
          <w:tcPr>
            <w:tcW w:w="1276" w:type="dxa"/>
            <w:tcBorders>
              <w:top w:val="single" w:sz="2" w:space="0" w:color="auto"/>
              <w:left w:val="single" w:sz="4" w:space="0" w:color="auto"/>
              <w:right w:val="single" w:sz="2" w:space="0" w:color="auto"/>
            </w:tcBorders>
            <w:shd w:val="clear" w:color="auto" w:fill="auto"/>
            <w:vAlign w:val="bottom"/>
          </w:tcPr>
          <w:p w:rsidR="00153205" w:rsidRPr="001C1D37" w:rsidRDefault="00153205" w:rsidP="001C1D37">
            <w:pPr>
              <w:jc w:val="center"/>
              <w:rPr>
                <w:sz w:val="22"/>
                <w:szCs w:val="22"/>
              </w:rPr>
            </w:pPr>
            <w:r w:rsidRPr="001C1D37">
              <w:rPr>
                <w:sz w:val="22"/>
                <w:szCs w:val="22"/>
              </w:rPr>
              <w:t>0.020</w:t>
            </w:r>
          </w:p>
        </w:tc>
        <w:tc>
          <w:tcPr>
            <w:tcW w:w="1181" w:type="dxa"/>
            <w:tcBorders>
              <w:top w:val="single" w:sz="2" w:space="0" w:color="auto"/>
              <w:left w:val="single" w:sz="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0.586</w:t>
            </w:r>
          </w:p>
        </w:tc>
        <w:tc>
          <w:tcPr>
            <w:tcW w:w="1087" w:type="dxa"/>
            <w:tcBorders>
              <w:top w:val="single" w:sz="2" w:space="0" w:color="auto"/>
              <w:left w:val="single" w:sz="4" w:space="0" w:color="auto"/>
              <w:right w:val="nil"/>
            </w:tcBorders>
            <w:shd w:val="clear" w:color="auto" w:fill="auto"/>
            <w:vAlign w:val="bottom"/>
          </w:tcPr>
          <w:p w:rsidR="00153205" w:rsidRPr="001C1D37" w:rsidRDefault="00153205" w:rsidP="001C1D37">
            <w:pPr>
              <w:jc w:val="center"/>
              <w:rPr>
                <w:sz w:val="22"/>
                <w:szCs w:val="22"/>
              </w:rPr>
            </w:pPr>
            <w:r w:rsidRPr="001C1D37">
              <w:rPr>
                <w:sz w:val="22"/>
                <w:szCs w:val="22"/>
              </w:rPr>
              <w:t>0.029</w:t>
            </w:r>
          </w:p>
        </w:tc>
      </w:tr>
      <w:tr w:rsidR="001C1D37" w:rsidRPr="001C1D37" w:rsidTr="00333FD4">
        <w:trPr>
          <w:trHeight w:hRule="exact" w:val="284"/>
        </w:trPr>
        <w:tc>
          <w:tcPr>
            <w:tcW w:w="2283" w:type="dxa"/>
            <w:tcBorders>
              <w:left w:val="nil"/>
              <w:right w:val="single" w:sz="4" w:space="0" w:color="auto"/>
            </w:tcBorders>
            <w:vAlign w:val="center"/>
          </w:tcPr>
          <w:p w:rsidR="00153205" w:rsidRPr="001C1D37" w:rsidRDefault="00153205" w:rsidP="001C1D37">
            <w:pPr>
              <w:pStyle w:val="NoSpacing"/>
              <w:jc w:val="center"/>
              <w:rPr>
                <w:rFonts w:ascii="Times New Roman" w:hAnsi="Times New Roman"/>
                <w:lang w:eastAsia="en-GB"/>
              </w:rPr>
            </w:pPr>
            <w:r w:rsidRPr="001C1D37">
              <w:rPr>
                <w:rFonts w:ascii="Times New Roman" w:hAnsi="Times New Roman"/>
                <w:lang w:eastAsia="en-GB"/>
              </w:rPr>
              <w:t>-0.5</w:t>
            </w:r>
          </w:p>
        </w:tc>
        <w:tc>
          <w:tcPr>
            <w:tcW w:w="1134" w:type="dxa"/>
            <w:tcBorders>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-0.494</w:t>
            </w:r>
          </w:p>
        </w:tc>
        <w:tc>
          <w:tcPr>
            <w:tcW w:w="1276" w:type="dxa"/>
            <w:tcBorders>
              <w:left w:val="single" w:sz="4" w:space="0" w:color="auto"/>
              <w:right w:val="single" w:sz="2" w:space="0" w:color="auto"/>
            </w:tcBorders>
            <w:shd w:val="clear" w:color="auto" w:fill="auto"/>
            <w:vAlign w:val="bottom"/>
          </w:tcPr>
          <w:p w:rsidR="00153205" w:rsidRPr="001C1D37" w:rsidRDefault="00153205" w:rsidP="001C1D37">
            <w:pPr>
              <w:jc w:val="center"/>
              <w:rPr>
                <w:sz w:val="22"/>
                <w:szCs w:val="22"/>
              </w:rPr>
            </w:pPr>
            <w:r w:rsidRPr="001C1D37">
              <w:rPr>
                <w:sz w:val="22"/>
                <w:szCs w:val="22"/>
              </w:rPr>
              <w:t>0.024</w:t>
            </w:r>
          </w:p>
        </w:tc>
        <w:tc>
          <w:tcPr>
            <w:tcW w:w="1181" w:type="dxa"/>
            <w:tcBorders>
              <w:left w:val="single" w:sz="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0.694</w:t>
            </w:r>
          </w:p>
        </w:tc>
        <w:tc>
          <w:tcPr>
            <w:tcW w:w="1087" w:type="dxa"/>
            <w:tcBorders>
              <w:left w:val="single" w:sz="4" w:space="0" w:color="auto"/>
              <w:right w:val="nil"/>
            </w:tcBorders>
            <w:shd w:val="clear" w:color="auto" w:fill="auto"/>
            <w:vAlign w:val="bottom"/>
          </w:tcPr>
          <w:p w:rsidR="00153205" w:rsidRPr="001C1D37" w:rsidRDefault="00153205" w:rsidP="001C1D37">
            <w:pPr>
              <w:jc w:val="center"/>
              <w:rPr>
                <w:sz w:val="22"/>
                <w:szCs w:val="22"/>
              </w:rPr>
            </w:pPr>
            <w:r w:rsidRPr="001C1D37">
              <w:rPr>
                <w:sz w:val="22"/>
                <w:szCs w:val="22"/>
              </w:rPr>
              <w:t>0.028</w:t>
            </w:r>
          </w:p>
        </w:tc>
      </w:tr>
      <w:tr w:rsidR="001C1D37" w:rsidRPr="001C1D37" w:rsidTr="00333FD4">
        <w:trPr>
          <w:trHeight w:hRule="exact" w:val="284"/>
        </w:trPr>
        <w:tc>
          <w:tcPr>
            <w:tcW w:w="2283" w:type="dxa"/>
            <w:tcBorders>
              <w:left w:val="nil"/>
              <w:bottom w:val="single" w:sz="2" w:space="0" w:color="auto"/>
              <w:right w:val="single" w:sz="4" w:space="0" w:color="auto"/>
            </w:tcBorders>
            <w:vAlign w:val="center"/>
          </w:tcPr>
          <w:p w:rsidR="00153205" w:rsidRPr="001C1D37" w:rsidRDefault="00153205" w:rsidP="001C1D37">
            <w:pPr>
              <w:pStyle w:val="NoSpacing"/>
              <w:jc w:val="center"/>
              <w:rPr>
                <w:rFonts w:ascii="Times New Roman" w:hAnsi="Times New Roman"/>
                <w:lang w:eastAsia="en-GB"/>
              </w:rPr>
            </w:pPr>
            <w:r w:rsidRPr="001C1D37">
              <w:rPr>
                <w:rFonts w:ascii="Times New Roman" w:hAnsi="Times New Roman"/>
                <w:lang w:eastAsia="en-GB"/>
              </w:rPr>
              <w:t>-0.75</w:t>
            </w:r>
          </w:p>
        </w:tc>
        <w:tc>
          <w:tcPr>
            <w:tcW w:w="1134" w:type="dxa"/>
            <w:tcBorders>
              <w:bottom w:val="single" w:sz="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-0.738</w:t>
            </w:r>
          </w:p>
        </w:tc>
        <w:tc>
          <w:tcPr>
            <w:tcW w:w="1276" w:type="dxa"/>
            <w:tcBorders>
              <w:left w:val="single" w:sz="4" w:space="0" w:color="auto"/>
              <w:bottom w:val="single" w:sz="2" w:space="0" w:color="auto"/>
              <w:right w:val="single" w:sz="2" w:space="0" w:color="auto"/>
            </w:tcBorders>
            <w:shd w:val="clear" w:color="auto" w:fill="auto"/>
            <w:vAlign w:val="bottom"/>
          </w:tcPr>
          <w:p w:rsidR="00153205" w:rsidRPr="001C1D37" w:rsidRDefault="00153205" w:rsidP="001C1D37">
            <w:pPr>
              <w:jc w:val="center"/>
              <w:rPr>
                <w:sz w:val="22"/>
                <w:szCs w:val="22"/>
              </w:rPr>
            </w:pPr>
            <w:r w:rsidRPr="001C1D37">
              <w:rPr>
                <w:sz w:val="22"/>
                <w:szCs w:val="22"/>
              </w:rPr>
              <w:t>0.026</w:t>
            </w:r>
          </w:p>
        </w:tc>
        <w:tc>
          <w:tcPr>
            <w:tcW w:w="1181" w:type="dxa"/>
            <w:tcBorders>
              <w:left w:val="single" w:sz="2" w:space="0" w:color="auto"/>
              <w:bottom w:val="single" w:sz="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0.774</w:t>
            </w:r>
          </w:p>
        </w:tc>
        <w:tc>
          <w:tcPr>
            <w:tcW w:w="1087" w:type="dxa"/>
            <w:tcBorders>
              <w:left w:val="single" w:sz="4" w:space="0" w:color="auto"/>
              <w:bottom w:val="single" w:sz="2" w:space="0" w:color="auto"/>
              <w:right w:val="nil"/>
            </w:tcBorders>
            <w:shd w:val="clear" w:color="auto" w:fill="auto"/>
            <w:vAlign w:val="bottom"/>
          </w:tcPr>
          <w:p w:rsidR="00153205" w:rsidRPr="001C1D37" w:rsidRDefault="00153205" w:rsidP="001C1D37">
            <w:pPr>
              <w:jc w:val="center"/>
              <w:rPr>
                <w:sz w:val="22"/>
                <w:szCs w:val="22"/>
              </w:rPr>
            </w:pPr>
            <w:r w:rsidRPr="001C1D37">
              <w:rPr>
                <w:sz w:val="22"/>
                <w:szCs w:val="22"/>
              </w:rPr>
              <w:t>0.025</w:t>
            </w:r>
          </w:p>
        </w:tc>
      </w:tr>
      <w:tr w:rsidR="001C1D37" w:rsidRPr="001C1D37" w:rsidTr="00333FD4">
        <w:trPr>
          <w:trHeight w:hRule="exact" w:val="284"/>
        </w:trPr>
        <w:tc>
          <w:tcPr>
            <w:tcW w:w="2283" w:type="dxa"/>
            <w:tcBorders>
              <w:left w:val="nil"/>
              <w:bottom w:val="single" w:sz="12" w:space="0" w:color="auto"/>
              <w:right w:val="single" w:sz="4" w:space="0" w:color="auto"/>
            </w:tcBorders>
            <w:vAlign w:val="center"/>
          </w:tcPr>
          <w:p w:rsidR="00153205" w:rsidRPr="001C1D37" w:rsidRDefault="00153205" w:rsidP="001C1D37">
            <w:pPr>
              <w:pStyle w:val="NoSpacing"/>
              <w:jc w:val="center"/>
              <w:rPr>
                <w:rFonts w:ascii="Times New Roman" w:hAnsi="Times New Roman"/>
                <w:lang w:eastAsia="en-GB"/>
              </w:rPr>
            </w:pPr>
            <w:r w:rsidRPr="001C1D37">
              <w:rPr>
                <w:rFonts w:ascii="Times New Roman" w:hAnsi="Times New Roman"/>
                <w:lang w:eastAsia="en-GB"/>
              </w:rPr>
              <w:t>-1</w:t>
            </w:r>
          </w:p>
        </w:tc>
        <w:tc>
          <w:tcPr>
            <w:tcW w:w="1134" w:type="dxa"/>
            <w:tcBorders>
              <w:bottom w:val="single" w:sz="1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-0.956</w:t>
            </w:r>
          </w:p>
        </w:tc>
        <w:tc>
          <w:tcPr>
            <w:tcW w:w="1276" w:type="dxa"/>
            <w:tcBorders>
              <w:left w:val="single" w:sz="4" w:space="0" w:color="auto"/>
              <w:bottom w:val="single" w:sz="12" w:space="0" w:color="auto"/>
              <w:right w:val="single" w:sz="2" w:space="0" w:color="auto"/>
            </w:tcBorders>
            <w:shd w:val="clear" w:color="auto" w:fill="auto"/>
            <w:vAlign w:val="bottom"/>
          </w:tcPr>
          <w:p w:rsidR="00153205" w:rsidRPr="001C1D37" w:rsidRDefault="00153205" w:rsidP="001C1D37">
            <w:pPr>
              <w:jc w:val="center"/>
              <w:rPr>
                <w:sz w:val="22"/>
                <w:szCs w:val="22"/>
              </w:rPr>
            </w:pPr>
            <w:r w:rsidRPr="001C1D37">
              <w:rPr>
                <w:sz w:val="22"/>
                <w:szCs w:val="22"/>
              </w:rPr>
              <w:t>0.040</w:t>
            </w:r>
          </w:p>
        </w:tc>
        <w:tc>
          <w:tcPr>
            <w:tcW w:w="1181" w:type="dxa"/>
            <w:tcBorders>
              <w:left w:val="single" w:sz="2" w:space="0" w:color="auto"/>
              <w:bottom w:val="single" w:sz="1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0.860</w:t>
            </w:r>
          </w:p>
        </w:tc>
        <w:tc>
          <w:tcPr>
            <w:tcW w:w="1087" w:type="dxa"/>
            <w:tcBorders>
              <w:left w:val="single" w:sz="4" w:space="0" w:color="auto"/>
              <w:bottom w:val="single" w:sz="12" w:space="0" w:color="auto"/>
              <w:right w:val="nil"/>
            </w:tcBorders>
            <w:shd w:val="clear" w:color="auto" w:fill="auto"/>
            <w:vAlign w:val="bottom"/>
          </w:tcPr>
          <w:p w:rsidR="00153205" w:rsidRPr="001C1D37" w:rsidRDefault="00153205" w:rsidP="001C1D37">
            <w:pPr>
              <w:jc w:val="center"/>
              <w:rPr>
                <w:sz w:val="22"/>
                <w:szCs w:val="22"/>
              </w:rPr>
            </w:pPr>
            <w:r w:rsidRPr="001C1D37">
              <w:rPr>
                <w:sz w:val="22"/>
                <w:szCs w:val="22"/>
              </w:rPr>
              <w:t>0.021</w:t>
            </w:r>
          </w:p>
        </w:tc>
      </w:tr>
      <w:tr w:rsidR="001C1D37" w:rsidRPr="001C1D37" w:rsidTr="00813B65">
        <w:trPr>
          <w:trHeight w:hRule="exact" w:val="340"/>
        </w:trPr>
        <w:tc>
          <w:tcPr>
            <w:tcW w:w="6961" w:type="dxa"/>
            <w:gridSpan w:val="5"/>
            <w:tcBorders>
              <w:top w:val="single" w:sz="12" w:space="0" w:color="auto"/>
              <w:left w:val="nil"/>
              <w:bottom w:val="single" w:sz="12" w:space="0" w:color="auto"/>
              <w:right w:val="nil"/>
            </w:tcBorders>
            <w:vAlign w:val="center"/>
          </w:tcPr>
          <w:p w:rsidR="00813B65" w:rsidRPr="001C1D37" w:rsidRDefault="00813B65" w:rsidP="001C1D37">
            <w:pPr>
              <w:pStyle w:val="NoSpacing"/>
              <w:rPr>
                <w:rFonts w:ascii="Times New Roman" w:hAnsi="Times New Roman"/>
                <w:lang w:eastAsia="en-GB"/>
              </w:rPr>
            </w:pPr>
            <w:r w:rsidRPr="001C1D37">
              <w:rPr>
                <w:rFonts w:ascii="Times New Roman" w:hAnsi="Times New Roman"/>
                <w:b/>
              </w:rPr>
              <w:t>50% events</w:t>
            </w:r>
          </w:p>
        </w:tc>
      </w:tr>
      <w:tr w:rsidR="001C1D37" w:rsidRPr="001C1D37" w:rsidTr="00333FD4">
        <w:trPr>
          <w:trHeight w:hRule="exact" w:val="284"/>
        </w:trPr>
        <w:tc>
          <w:tcPr>
            <w:tcW w:w="2283" w:type="dxa"/>
            <w:tcBorders>
              <w:top w:val="single" w:sz="12" w:space="0" w:color="auto"/>
              <w:left w:val="nil"/>
              <w:right w:val="single" w:sz="4" w:space="0" w:color="auto"/>
            </w:tcBorders>
            <w:vAlign w:val="center"/>
          </w:tcPr>
          <w:p w:rsidR="00153205" w:rsidRPr="001C1D37" w:rsidRDefault="00153205" w:rsidP="001C1D37">
            <w:pPr>
              <w:pStyle w:val="NoSpacing"/>
              <w:jc w:val="center"/>
              <w:rPr>
                <w:rFonts w:ascii="Times New Roman" w:hAnsi="Times New Roman"/>
                <w:lang w:eastAsia="en-GB"/>
              </w:rPr>
            </w:pPr>
            <w:r w:rsidRPr="001C1D37">
              <w:rPr>
                <w:rFonts w:ascii="Times New Roman" w:hAnsi="Times New Roman"/>
                <w:lang w:eastAsia="en-GB"/>
              </w:rPr>
              <w:t>0</w:t>
            </w:r>
          </w:p>
        </w:tc>
        <w:tc>
          <w:tcPr>
            <w:tcW w:w="1134" w:type="dxa"/>
            <w:tcBorders>
              <w:top w:val="single" w:sz="1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-0.009</w:t>
            </w:r>
          </w:p>
        </w:tc>
        <w:tc>
          <w:tcPr>
            <w:tcW w:w="1276" w:type="dxa"/>
            <w:tcBorders>
              <w:top w:val="single" w:sz="12" w:space="0" w:color="auto"/>
              <w:left w:val="single" w:sz="4" w:space="0" w:color="auto"/>
              <w:right w:val="single" w:sz="2" w:space="0" w:color="auto"/>
            </w:tcBorders>
            <w:shd w:val="clear" w:color="auto" w:fill="auto"/>
            <w:vAlign w:val="bottom"/>
          </w:tcPr>
          <w:p w:rsidR="00153205" w:rsidRPr="001C1D37" w:rsidRDefault="00153205" w:rsidP="001C1D37">
            <w:pPr>
              <w:jc w:val="center"/>
              <w:rPr>
                <w:sz w:val="22"/>
                <w:szCs w:val="22"/>
              </w:rPr>
            </w:pPr>
            <w:r w:rsidRPr="001C1D37">
              <w:rPr>
                <w:sz w:val="22"/>
                <w:szCs w:val="22"/>
              </w:rPr>
              <w:t>0.005</w:t>
            </w:r>
          </w:p>
        </w:tc>
        <w:tc>
          <w:tcPr>
            <w:tcW w:w="1181" w:type="dxa"/>
            <w:tcBorders>
              <w:top w:val="single" w:sz="12" w:space="0" w:color="auto"/>
              <w:left w:val="single" w:sz="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0.517</w:t>
            </w:r>
          </w:p>
        </w:tc>
        <w:tc>
          <w:tcPr>
            <w:tcW w:w="1087" w:type="dxa"/>
            <w:tcBorders>
              <w:top w:val="single" w:sz="12" w:space="0" w:color="auto"/>
              <w:left w:val="single" w:sz="4" w:space="0" w:color="auto"/>
              <w:right w:val="nil"/>
            </w:tcBorders>
            <w:shd w:val="clear" w:color="auto" w:fill="auto"/>
            <w:vAlign w:val="bottom"/>
          </w:tcPr>
          <w:p w:rsidR="00153205" w:rsidRPr="001C1D37" w:rsidRDefault="00153205" w:rsidP="001C1D37">
            <w:pPr>
              <w:jc w:val="center"/>
              <w:rPr>
                <w:sz w:val="22"/>
                <w:szCs w:val="22"/>
              </w:rPr>
            </w:pPr>
            <w:r w:rsidRPr="001C1D37">
              <w:rPr>
                <w:sz w:val="22"/>
                <w:szCs w:val="22"/>
              </w:rPr>
              <w:t>0.016</w:t>
            </w:r>
          </w:p>
        </w:tc>
      </w:tr>
      <w:tr w:rsidR="001C1D37" w:rsidRPr="001C1D37" w:rsidTr="00333FD4">
        <w:trPr>
          <w:trHeight w:hRule="exact" w:val="284"/>
        </w:trPr>
        <w:tc>
          <w:tcPr>
            <w:tcW w:w="2283" w:type="dxa"/>
            <w:tcBorders>
              <w:left w:val="nil"/>
              <w:right w:val="single" w:sz="4" w:space="0" w:color="auto"/>
            </w:tcBorders>
            <w:vAlign w:val="center"/>
          </w:tcPr>
          <w:p w:rsidR="00153205" w:rsidRPr="001C1D37" w:rsidRDefault="00153205" w:rsidP="001C1D37">
            <w:pPr>
              <w:pStyle w:val="NoSpacing"/>
              <w:jc w:val="center"/>
              <w:rPr>
                <w:rFonts w:ascii="Times New Roman" w:hAnsi="Times New Roman"/>
                <w:lang w:eastAsia="en-GB"/>
              </w:rPr>
            </w:pPr>
            <w:r w:rsidRPr="001C1D37">
              <w:rPr>
                <w:rFonts w:ascii="Times New Roman" w:hAnsi="Times New Roman"/>
                <w:lang w:eastAsia="en-GB"/>
              </w:rPr>
              <w:t>-0.25</w:t>
            </w:r>
          </w:p>
        </w:tc>
        <w:tc>
          <w:tcPr>
            <w:tcW w:w="1134" w:type="dxa"/>
            <w:tcBorders>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-0.249</w:t>
            </w:r>
          </w:p>
        </w:tc>
        <w:tc>
          <w:tcPr>
            <w:tcW w:w="1276" w:type="dxa"/>
            <w:tcBorders>
              <w:left w:val="single" w:sz="4" w:space="0" w:color="auto"/>
              <w:right w:val="single" w:sz="2" w:space="0" w:color="auto"/>
            </w:tcBorders>
            <w:shd w:val="clear" w:color="auto" w:fill="auto"/>
            <w:vAlign w:val="bottom"/>
          </w:tcPr>
          <w:p w:rsidR="00153205" w:rsidRPr="001C1D37" w:rsidRDefault="00153205" w:rsidP="001C1D37">
            <w:pPr>
              <w:jc w:val="center"/>
              <w:rPr>
                <w:sz w:val="22"/>
                <w:szCs w:val="22"/>
              </w:rPr>
            </w:pPr>
            <w:r w:rsidRPr="001C1D37">
              <w:rPr>
                <w:sz w:val="22"/>
                <w:szCs w:val="22"/>
              </w:rPr>
              <w:t>0.022</w:t>
            </w:r>
          </w:p>
        </w:tc>
        <w:tc>
          <w:tcPr>
            <w:tcW w:w="1181" w:type="dxa"/>
            <w:tcBorders>
              <w:left w:val="single" w:sz="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0.582</w:t>
            </w:r>
          </w:p>
        </w:tc>
        <w:tc>
          <w:tcPr>
            <w:tcW w:w="1087" w:type="dxa"/>
            <w:tcBorders>
              <w:left w:val="single" w:sz="4" w:space="0" w:color="auto"/>
              <w:right w:val="nil"/>
            </w:tcBorders>
            <w:shd w:val="clear" w:color="auto" w:fill="auto"/>
            <w:vAlign w:val="bottom"/>
          </w:tcPr>
          <w:p w:rsidR="00153205" w:rsidRPr="001C1D37" w:rsidRDefault="00153205" w:rsidP="001C1D37">
            <w:pPr>
              <w:jc w:val="center"/>
              <w:rPr>
                <w:sz w:val="22"/>
                <w:szCs w:val="22"/>
              </w:rPr>
            </w:pPr>
            <w:r w:rsidRPr="001C1D37">
              <w:rPr>
                <w:sz w:val="22"/>
                <w:szCs w:val="22"/>
              </w:rPr>
              <w:t>0.025</w:t>
            </w:r>
          </w:p>
        </w:tc>
      </w:tr>
      <w:tr w:rsidR="001C1D37" w:rsidRPr="001C1D37" w:rsidTr="00333FD4">
        <w:trPr>
          <w:trHeight w:hRule="exact" w:val="284"/>
        </w:trPr>
        <w:tc>
          <w:tcPr>
            <w:tcW w:w="2283" w:type="dxa"/>
            <w:tcBorders>
              <w:left w:val="nil"/>
              <w:right w:val="single" w:sz="4" w:space="0" w:color="auto"/>
            </w:tcBorders>
            <w:vAlign w:val="center"/>
          </w:tcPr>
          <w:p w:rsidR="00153205" w:rsidRPr="001C1D37" w:rsidRDefault="00153205" w:rsidP="001C1D37">
            <w:pPr>
              <w:pStyle w:val="NoSpacing"/>
              <w:jc w:val="center"/>
              <w:rPr>
                <w:rFonts w:ascii="Times New Roman" w:hAnsi="Times New Roman"/>
                <w:lang w:eastAsia="en-GB"/>
              </w:rPr>
            </w:pPr>
            <w:r w:rsidRPr="001C1D37">
              <w:rPr>
                <w:rFonts w:ascii="Times New Roman" w:hAnsi="Times New Roman"/>
                <w:lang w:eastAsia="en-GB"/>
              </w:rPr>
              <w:t>-0.5</w:t>
            </w:r>
          </w:p>
        </w:tc>
        <w:tc>
          <w:tcPr>
            <w:tcW w:w="1134" w:type="dxa"/>
            <w:tcBorders>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-0.496</w:t>
            </w:r>
          </w:p>
        </w:tc>
        <w:tc>
          <w:tcPr>
            <w:tcW w:w="1276" w:type="dxa"/>
            <w:tcBorders>
              <w:left w:val="single" w:sz="4" w:space="0" w:color="auto"/>
              <w:right w:val="single" w:sz="2" w:space="0" w:color="auto"/>
            </w:tcBorders>
            <w:shd w:val="clear" w:color="auto" w:fill="auto"/>
            <w:vAlign w:val="bottom"/>
          </w:tcPr>
          <w:p w:rsidR="00153205" w:rsidRPr="001C1D37" w:rsidRDefault="00153205" w:rsidP="001C1D37">
            <w:pPr>
              <w:jc w:val="center"/>
              <w:rPr>
                <w:sz w:val="22"/>
                <w:szCs w:val="22"/>
              </w:rPr>
            </w:pPr>
            <w:r w:rsidRPr="001C1D37">
              <w:rPr>
                <w:sz w:val="22"/>
                <w:szCs w:val="22"/>
              </w:rPr>
              <w:t>0.027</w:t>
            </w:r>
          </w:p>
        </w:tc>
        <w:tc>
          <w:tcPr>
            <w:tcW w:w="1181" w:type="dxa"/>
            <w:tcBorders>
              <w:left w:val="single" w:sz="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0.671</w:t>
            </w:r>
          </w:p>
        </w:tc>
        <w:tc>
          <w:tcPr>
            <w:tcW w:w="1087" w:type="dxa"/>
            <w:tcBorders>
              <w:left w:val="single" w:sz="4" w:space="0" w:color="auto"/>
              <w:right w:val="nil"/>
            </w:tcBorders>
            <w:shd w:val="clear" w:color="auto" w:fill="auto"/>
            <w:vAlign w:val="bottom"/>
          </w:tcPr>
          <w:p w:rsidR="00153205" w:rsidRPr="001C1D37" w:rsidRDefault="00153205" w:rsidP="001C1D37">
            <w:pPr>
              <w:jc w:val="center"/>
              <w:rPr>
                <w:sz w:val="22"/>
                <w:szCs w:val="22"/>
              </w:rPr>
            </w:pPr>
            <w:r w:rsidRPr="001C1D37">
              <w:rPr>
                <w:sz w:val="22"/>
                <w:szCs w:val="22"/>
              </w:rPr>
              <w:t>0.023</w:t>
            </w:r>
          </w:p>
        </w:tc>
      </w:tr>
      <w:tr w:rsidR="001C1D37" w:rsidRPr="001C1D37" w:rsidTr="00333FD4">
        <w:trPr>
          <w:trHeight w:hRule="exact" w:val="284"/>
        </w:trPr>
        <w:tc>
          <w:tcPr>
            <w:tcW w:w="2283" w:type="dxa"/>
            <w:tcBorders>
              <w:left w:val="nil"/>
              <w:bottom w:val="single" w:sz="2" w:space="0" w:color="auto"/>
              <w:right w:val="single" w:sz="4" w:space="0" w:color="auto"/>
            </w:tcBorders>
            <w:vAlign w:val="center"/>
          </w:tcPr>
          <w:p w:rsidR="00153205" w:rsidRPr="001C1D37" w:rsidRDefault="00153205" w:rsidP="001C1D37">
            <w:pPr>
              <w:pStyle w:val="NoSpacing"/>
              <w:jc w:val="center"/>
              <w:rPr>
                <w:rFonts w:ascii="Times New Roman" w:hAnsi="Times New Roman"/>
                <w:lang w:eastAsia="en-GB"/>
              </w:rPr>
            </w:pPr>
            <w:r w:rsidRPr="001C1D37">
              <w:rPr>
                <w:rFonts w:ascii="Times New Roman" w:hAnsi="Times New Roman"/>
                <w:lang w:eastAsia="en-GB"/>
              </w:rPr>
              <w:t>-0.75</w:t>
            </w:r>
          </w:p>
        </w:tc>
        <w:tc>
          <w:tcPr>
            <w:tcW w:w="1134" w:type="dxa"/>
            <w:tcBorders>
              <w:bottom w:val="single" w:sz="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-0.744</w:t>
            </w:r>
          </w:p>
        </w:tc>
        <w:tc>
          <w:tcPr>
            <w:tcW w:w="1276" w:type="dxa"/>
            <w:tcBorders>
              <w:left w:val="single" w:sz="4" w:space="0" w:color="auto"/>
              <w:bottom w:val="single" w:sz="2" w:space="0" w:color="auto"/>
              <w:right w:val="single" w:sz="2" w:space="0" w:color="auto"/>
            </w:tcBorders>
            <w:shd w:val="clear" w:color="auto" w:fill="auto"/>
            <w:vAlign w:val="bottom"/>
          </w:tcPr>
          <w:p w:rsidR="00153205" w:rsidRPr="001C1D37" w:rsidRDefault="00153205" w:rsidP="001C1D37">
            <w:pPr>
              <w:jc w:val="center"/>
              <w:rPr>
                <w:sz w:val="22"/>
                <w:szCs w:val="22"/>
              </w:rPr>
            </w:pPr>
            <w:r w:rsidRPr="001C1D37">
              <w:rPr>
                <w:sz w:val="22"/>
                <w:szCs w:val="22"/>
              </w:rPr>
              <w:t>0.026</w:t>
            </w:r>
          </w:p>
        </w:tc>
        <w:tc>
          <w:tcPr>
            <w:tcW w:w="1181" w:type="dxa"/>
            <w:tcBorders>
              <w:left w:val="single" w:sz="2" w:space="0" w:color="auto"/>
              <w:bottom w:val="single" w:sz="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0.750</w:t>
            </w:r>
          </w:p>
        </w:tc>
        <w:tc>
          <w:tcPr>
            <w:tcW w:w="1087" w:type="dxa"/>
            <w:tcBorders>
              <w:left w:val="single" w:sz="4" w:space="0" w:color="auto"/>
              <w:bottom w:val="single" w:sz="2" w:space="0" w:color="auto"/>
              <w:right w:val="nil"/>
            </w:tcBorders>
            <w:shd w:val="clear" w:color="auto" w:fill="auto"/>
            <w:vAlign w:val="bottom"/>
          </w:tcPr>
          <w:p w:rsidR="00153205" w:rsidRPr="001C1D37" w:rsidRDefault="00153205" w:rsidP="001C1D37">
            <w:pPr>
              <w:jc w:val="center"/>
              <w:rPr>
                <w:sz w:val="22"/>
                <w:szCs w:val="22"/>
              </w:rPr>
            </w:pPr>
            <w:r w:rsidRPr="001C1D37">
              <w:rPr>
                <w:sz w:val="22"/>
                <w:szCs w:val="22"/>
              </w:rPr>
              <w:t>0.022</w:t>
            </w:r>
          </w:p>
        </w:tc>
      </w:tr>
      <w:tr w:rsidR="001C1D37" w:rsidRPr="001C1D37" w:rsidTr="00333FD4">
        <w:trPr>
          <w:trHeight w:hRule="exact" w:val="284"/>
        </w:trPr>
        <w:tc>
          <w:tcPr>
            <w:tcW w:w="2283" w:type="dxa"/>
            <w:tcBorders>
              <w:left w:val="nil"/>
              <w:bottom w:val="single" w:sz="12" w:space="0" w:color="auto"/>
              <w:right w:val="single" w:sz="4" w:space="0" w:color="auto"/>
            </w:tcBorders>
            <w:vAlign w:val="center"/>
          </w:tcPr>
          <w:p w:rsidR="00153205" w:rsidRPr="001C1D37" w:rsidRDefault="00153205" w:rsidP="001C1D37">
            <w:pPr>
              <w:pStyle w:val="NoSpacing"/>
              <w:jc w:val="center"/>
              <w:rPr>
                <w:rFonts w:ascii="Times New Roman" w:hAnsi="Times New Roman"/>
                <w:lang w:eastAsia="en-GB"/>
              </w:rPr>
            </w:pPr>
            <w:r w:rsidRPr="001C1D37">
              <w:rPr>
                <w:rFonts w:ascii="Times New Roman" w:hAnsi="Times New Roman"/>
                <w:lang w:eastAsia="en-GB"/>
              </w:rPr>
              <w:t>-1</w:t>
            </w:r>
          </w:p>
        </w:tc>
        <w:tc>
          <w:tcPr>
            <w:tcW w:w="1134" w:type="dxa"/>
            <w:tcBorders>
              <w:bottom w:val="single" w:sz="1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-0.978</w:t>
            </w:r>
          </w:p>
        </w:tc>
        <w:tc>
          <w:tcPr>
            <w:tcW w:w="1276" w:type="dxa"/>
            <w:tcBorders>
              <w:left w:val="single" w:sz="4" w:space="0" w:color="auto"/>
              <w:bottom w:val="single" w:sz="12" w:space="0" w:color="auto"/>
              <w:right w:val="single" w:sz="2" w:space="0" w:color="auto"/>
            </w:tcBorders>
            <w:shd w:val="clear" w:color="auto" w:fill="auto"/>
            <w:vAlign w:val="bottom"/>
          </w:tcPr>
          <w:p w:rsidR="00153205" w:rsidRPr="001C1D37" w:rsidRDefault="00153205" w:rsidP="001C1D37">
            <w:pPr>
              <w:jc w:val="center"/>
              <w:rPr>
                <w:sz w:val="22"/>
                <w:szCs w:val="22"/>
              </w:rPr>
            </w:pPr>
            <w:r w:rsidRPr="001C1D37">
              <w:rPr>
                <w:sz w:val="22"/>
                <w:szCs w:val="22"/>
              </w:rPr>
              <w:t>0.050</w:t>
            </w:r>
          </w:p>
        </w:tc>
        <w:tc>
          <w:tcPr>
            <w:tcW w:w="1181" w:type="dxa"/>
            <w:tcBorders>
              <w:left w:val="single" w:sz="2" w:space="0" w:color="auto"/>
              <w:bottom w:val="single" w:sz="12" w:space="0" w:color="auto"/>
              <w:right w:val="single" w:sz="4" w:space="0" w:color="auto"/>
            </w:tcBorders>
            <w:shd w:val="clear" w:color="auto" w:fill="auto"/>
            <w:noWrap/>
            <w:vAlign w:val="bottom"/>
          </w:tcPr>
          <w:p w:rsidR="00153205" w:rsidRPr="001C1D37" w:rsidRDefault="00153205" w:rsidP="001C1D37">
            <w:pPr>
              <w:jc w:val="center"/>
              <w:rPr>
                <w:sz w:val="22"/>
                <w:szCs w:val="22"/>
              </w:rPr>
            </w:pPr>
            <w:r w:rsidRPr="001C1D37">
              <w:rPr>
                <w:sz w:val="22"/>
                <w:szCs w:val="22"/>
              </w:rPr>
              <w:t>0.824</w:t>
            </w:r>
          </w:p>
        </w:tc>
        <w:tc>
          <w:tcPr>
            <w:tcW w:w="1087" w:type="dxa"/>
            <w:tcBorders>
              <w:left w:val="single" w:sz="4" w:space="0" w:color="auto"/>
              <w:bottom w:val="single" w:sz="12" w:space="0" w:color="auto"/>
              <w:right w:val="nil"/>
            </w:tcBorders>
            <w:shd w:val="clear" w:color="auto" w:fill="auto"/>
            <w:vAlign w:val="bottom"/>
          </w:tcPr>
          <w:p w:rsidR="00153205" w:rsidRPr="001C1D37" w:rsidRDefault="00153205" w:rsidP="001C1D37">
            <w:pPr>
              <w:jc w:val="center"/>
              <w:rPr>
                <w:sz w:val="22"/>
                <w:szCs w:val="22"/>
              </w:rPr>
            </w:pPr>
            <w:r w:rsidRPr="001C1D37">
              <w:rPr>
                <w:sz w:val="22"/>
                <w:szCs w:val="22"/>
              </w:rPr>
              <w:t>0.022</w:t>
            </w:r>
          </w:p>
        </w:tc>
      </w:tr>
      <w:tr w:rsidR="001C1D37" w:rsidRPr="001C1D37" w:rsidTr="00813B65">
        <w:trPr>
          <w:trHeight w:hRule="exact" w:val="340"/>
        </w:trPr>
        <w:tc>
          <w:tcPr>
            <w:tcW w:w="6961" w:type="dxa"/>
            <w:gridSpan w:val="5"/>
            <w:tcBorders>
              <w:top w:val="single" w:sz="12" w:space="0" w:color="auto"/>
              <w:left w:val="nil"/>
              <w:bottom w:val="single" w:sz="12" w:space="0" w:color="auto"/>
              <w:right w:val="nil"/>
            </w:tcBorders>
            <w:vAlign w:val="center"/>
          </w:tcPr>
          <w:p w:rsidR="00813B65" w:rsidRPr="001C1D37" w:rsidRDefault="00813B65" w:rsidP="001C1D37">
            <w:pPr>
              <w:pStyle w:val="NoSpacing"/>
              <w:rPr>
                <w:rFonts w:ascii="Times New Roman" w:hAnsi="Times New Roman"/>
                <w:lang w:eastAsia="en-GB"/>
              </w:rPr>
            </w:pPr>
            <w:r w:rsidRPr="001C1D37">
              <w:rPr>
                <w:rFonts w:ascii="Times New Roman" w:hAnsi="Times New Roman"/>
                <w:b/>
              </w:rPr>
              <w:t>30% events</w:t>
            </w:r>
          </w:p>
        </w:tc>
      </w:tr>
      <w:tr w:rsidR="001C1D37" w:rsidRPr="001C1D37" w:rsidTr="002B402D">
        <w:trPr>
          <w:trHeight w:hRule="exact" w:val="284"/>
        </w:trPr>
        <w:tc>
          <w:tcPr>
            <w:tcW w:w="2283" w:type="dxa"/>
            <w:tcBorders>
              <w:top w:val="single" w:sz="12" w:space="0" w:color="auto"/>
              <w:left w:val="nil"/>
              <w:right w:val="single" w:sz="4" w:space="0" w:color="auto"/>
            </w:tcBorders>
            <w:vAlign w:val="bottom"/>
          </w:tcPr>
          <w:p w:rsidR="002E4B25" w:rsidRPr="001C1D37" w:rsidRDefault="002E4B25" w:rsidP="001C1D37">
            <w:pPr>
              <w:jc w:val="center"/>
              <w:rPr>
                <w:sz w:val="22"/>
                <w:szCs w:val="22"/>
              </w:rPr>
            </w:pPr>
            <w:r w:rsidRPr="001C1D37">
              <w:rPr>
                <w:sz w:val="22"/>
                <w:szCs w:val="22"/>
              </w:rPr>
              <w:t>0</w:t>
            </w:r>
          </w:p>
        </w:tc>
        <w:tc>
          <w:tcPr>
            <w:tcW w:w="1134" w:type="dxa"/>
            <w:tcBorders>
              <w:top w:val="single" w:sz="12" w:space="0" w:color="auto"/>
              <w:right w:val="single" w:sz="4" w:space="0" w:color="auto"/>
            </w:tcBorders>
            <w:shd w:val="clear" w:color="auto" w:fill="auto"/>
            <w:noWrap/>
            <w:vAlign w:val="bottom"/>
          </w:tcPr>
          <w:p w:rsidR="002E4B25" w:rsidRPr="001C1D37" w:rsidRDefault="002E4B25" w:rsidP="001C1D37">
            <w:pPr>
              <w:jc w:val="center"/>
              <w:rPr>
                <w:sz w:val="22"/>
                <w:szCs w:val="22"/>
              </w:rPr>
            </w:pPr>
            <w:r w:rsidRPr="001C1D37">
              <w:rPr>
                <w:sz w:val="22"/>
                <w:szCs w:val="22"/>
              </w:rPr>
              <w:t>-0.009</w:t>
            </w:r>
          </w:p>
        </w:tc>
        <w:tc>
          <w:tcPr>
            <w:tcW w:w="1276" w:type="dxa"/>
            <w:tcBorders>
              <w:top w:val="single" w:sz="12" w:space="0" w:color="auto"/>
              <w:left w:val="single" w:sz="4" w:space="0" w:color="auto"/>
              <w:right w:val="single" w:sz="2" w:space="0" w:color="auto"/>
            </w:tcBorders>
            <w:shd w:val="clear" w:color="auto" w:fill="auto"/>
            <w:vAlign w:val="bottom"/>
          </w:tcPr>
          <w:p w:rsidR="002E4B25" w:rsidRPr="001C1D37" w:rsidRDefault="002E4B25" w:rsidP="001C1D37">
            <w:pPr>
              <w:jc w:val="center"/>
              <w:rPr>
                <w:sz w:val="22"/>
                <w:szCs w:val="22"/>
              </w:rPr>
            </w:pPr>
            <w:r w:rsidRPr="001C1D37">
              <w:rPr>
                <w:sz w:val="22"/>
                <w:szCs w:val="22"/>
              </w:rPr>
              <w:t>0.006</w:t>
            </w:r>
          </w:p>
        </w:tc>
        <w:tc>
          <w:tcPr>
            <w:tcW w:w="1181" w:type="dxa"/>
            <w:tcBorders>
              <w:top w:val="single" w:sz="12" w:space="0" w:color="auto"/>
              <w:left w:val="single" w:sz="2" w:space="0" w:color="auto"/>
              <w:right w:val="single" w:sz="4" w:space="0" w:color="auto"/>
            </w:tcBorders>
            <w:shd w:val="clear" w:color="auto" w:fill="auto"/>
            <w:noWrap/>
            <w:vAlign w:val="bottom"/>
          </w:tcPr>
          <w:p w:rsidR="002E4B25" w:rsidRPr="001C1D37" w:rsidRDefault="002E4B25" w:rsidP="001C1D37">
            <w:pPr>
              <w:jc w:val="center"/>
              <w:rPr>
                <w:sz w:val="22"/>
                <w:szCs w:val="22"/>
              </w:rPr>
            </w:pPr>
            <w:r w:rsidRPr="001C1D37">
              <w:rPr>
                <w:sz w:val="22"/>
                <w:szCs w:val="22"/>
              </w:rPr>
              <w:t>0.515</w:t>
            </w:r>
          </w:p>
        </w:tc>
        <w:tc>
          <w:tcPr>
            <w:tcW w:w="1087" w:type="dxa"/>
            <w:tcBorders>
              <w:top w:val="single" w:sz="12" w:space="0" w:color="auto"/>
              <w:left w:val="single" w:sz="4" w:space="0" w:color="auto"/>
              <w:right w:val="nil"/>
            </w:tcBorders>
            <w:shd w:val="clear" w:color="auto" w:fill="auto"/>
            <w:vAlign w:val="bottom"/>
          </w:tcPr>
          <w:p w:rsidR="002E4B25" w:rsidRPr="001C1D37" w:rsidRDefault="002E4B25" w:rsidP="001C1D37">
            <w:pPr>
              <w:jc w:val="center"/>
              <w:rPr>
                <w:sz w:val="22"/>
                <w:szCs w:val="22"/>
              </w:rPr>
            </w:pPr>
            <w:r w:rsidRPr="001C1D37">
              <w:rPr>
                <w:sz w:val="22"/>
                <w:szCs w:val="22"/>
              </w:rPr>
              <w:t>0.020</w:t>
            </w:r>
          </w:p>
        </w:tc>
      </w:tr>
      <w:tr w:rsidR="001C1D37" w:rsidRPr="001C1D37" w:rsidTr="002B402D">
        <w:trPr>
          <w:trHeight w:hRule="exact" w:val="284"/>
        </w:trPr>
        <w:tc>
          <w:tcPr>
            <w:tcW w:w="2283" w:type="dxa"/>
            <w:tcBorders>
              <w:left w:val="nil"/>
              <w:right w:val="single" w:sz="4" w:space="0" w:color="auto"/>
            </w:tcBorders>
            <w:vAlign w:val="bottom"/>
          </w:tcPr>
          <w:p w:rsidR="002E4B25" w:rsidRPr="001C1D37" w:rsidRDefault="002E4B25" w:rsidP="001C1D37">
            <w:pPr>
              <w:jc w:val="center"/>
              <w:rPr>
                <w:sz w:val="22"/>
                <w:szCs w:val="22"/>
              </w:rPr>
            </w:pPr>
            <w:r w:rsidRPr="001C1D37">
              <w:rPr>
                <w:sz w:val="22"/>
                <w:szCs w:val="22"/>
              </w:rPr>
              <w:t>-0.25</w:t>
            </w:r>
          </w:p>
        </w:tc>
        <w:tc>
          <w:tcPr>
            <w:tcW w:w="1134" w:type="dxa"/>
            <w:tcBorders>
              <w:right w:val="single" w:sz="4" w:space="0" w:color="auto"/>
            </w:tcBorders>
            <w:shd w:val="clear" w:color="auto" w:fill="auto"/>
            <w:noWrap/>
            <w:vAlign w:val="bottom"/>
          </w:tcPr>
          <w:p w:rsidR="002E4B25" w:rsidRPr="001C1D37" w:rsidRDefault="002E4B25" w:rsidP="001C1D37">
            <w:pPr>
              <w:jc w:val="center"/>
              <w:rPr>
                <w:sz w:val="22"/>
                <w:szCs w:val="22"/>
              </w:rPr>
            </w:pPr>
            <w:r w:rsidRPr="001C1D37">
              <w:rPr>
                <w:sz w:val="22"/>
                <w:szCs w:val="22"/>
              </w:rPr>
              <w:t>-0.248</w:t>
            </w:r>
          </w:p>
        </w:tc>
        <w:tc>
          <w:tcPr>
            <w:tcW w:w="1276" w:type="dxa"/>
            <w:tcBorders>
              <w:left w:val="single" w:sz="4" w:space="0" w:color="auto"/>
              <w:right w:val="single" w:sz="2" w:space="0" w:color="auto"/>
            </w:tcBorders>
            <w:shd w:val="clear" w:color="auto" w:fill="auto"/>
            <w:vAlign w:val="bottom"/>
          </w:tcPr>
          <w:p w:rsidR="002E4B25" w:rsidRPr="001C1D37" w:rsidRDefault="002E4B25" w:rsidP="001C1D37">
            <w:pPr>
              <w:jc w:val="center"/>
              <w:rPr>
                <w:sz w:val="22"/>
                <w:szCs w:val="22"/>
              </w:rPr>
            </w:pPr>
            <w:r w:rsidRPr="001C1D37">
              <w:rPr>
                <w:sz w:val="22"/>
                <w:szCs w:val="22"/>
              </w:rPr>
              <w:t>0.025</w:t>
            </w:r>
          </w:p>
        </w:tc>
        <w:tc>
          <w:tcPr>
            <w:tcW w:w="1181" w:type="dxa"/>
            <w:tcBorders>
              <w:left w:val="single" w:sz="2" w:space="0" w:color="auto"/>
              <w:right w:val="single" w:sz="4" w:space="0" w:color="auto"/>
            </w:tcBorders>
            <w:shd w:val="clear" w:color="auto" w:fill="auto"/>
            <w:noWrap/>
            <w:vAlign w:val="bottom"/>
          </w:tcPr>
          <w:p w:rsidR="002E4B25" w:rsidRPr="001C1D37" w:rsidRDefault="002E4B25" w:rsidP="001C1D37">
            <w:pPr>
              <w:jc w:val="center"/>
              <w:rPr>
                <w:sz w:val="22"/>
                <w:szCs w:val="22"/>
              </w:rPr>
            </w:pPr>
            <w:r w:rsidRPr="001C1D37">
              <w:rPr>
                <w:sz w:val="22"/>
                <w:szCs w:val="22"/>
              </w:rPr>
              <w:t>0.569</w:t>
            </w:r>
          </w:p>
        </w:tc>
        <w:tc>
          <w:tcPr>
            <w:tcW w:w="1087" w:type="dxa"/>
            <w:tcBorders>
              <w:left w:val="single" w:sz="4" w:space="0" w:color="auto"/>
              <w:right w:val="nil"/>
            </w:tcBorders>
            <w:shd w:val="clear" w:color="auto" w:fill="auto"/>
            <w:vAlign w:val="bottom"/>
          </w:tcPr>
          <w:p w:rsidR="002E4B25" w:rsidRPr="001C1D37" w:rsidRDefault="002E4B25" w:rsidP="001C1D37">
            <w:pPr>
              <w:jc w:val="center"/>
              <w:rPr>
                <w:sz w:val="22"/>
                <w:szCs w:val="22"/>
              </w:rPr>
            </w:pPr>
            <w:r w:rsidRPr="001C1D37">
              <w:rPr>
                <w:sz w:val="22"/>
                <w:szCs w:val="22"/>
              </w:rPr>
              <w:t>0.027</w:t>
            </w:r>
          </w:p>
        </w:tc>
      </w:tr>
      <w:tr w:rsidR="001C1D37" w:rsidRPr="001C1D37" w:rsidTr="002B402D">
        <w:trPr>
          <w:trHeight w:hRule="exact" w:val="284"/>
        </w:trPr>
        <w:tc>
          <w:tcPr>
            <w:tcW w:w="2283" w:type="dxa"/>
            <w:tcBorders>
              <w:left w:val="nil"/>
              <w:bottom w:val="single" w:sz="2" w:space="0" w:color="auto"/>
              <w:right w:val="single" w:sz="4" w:space="0" w:color="auto"/>
            </w:tcBorders>
            <w:vAlign w:val="bottom"/>
          </w:tcPr>
          <w:p w:rsidR="002E4B25" w:rsidRPr="001C1D37" w:rsidRDefault="002E4B25" w:rsidP="001C1D37">
            <w:pPr>
              <w:jc w:val="center"/>
              <w:rPr>
                <w:sz w:val="22"/>
                <w:szCs w:val="22"/>
              </w:rPr>
            </w:pPr>
            <w:r w:rsidRPr="001C1D37">
              <w:rPr>
                <w:sz w:val="22"/>
                <w:szCs w:val="22"/>
              </w:rPr>
              <w:t>-0.5</w:t>
            </w:r>
          </w:p>
        </w:tc>
        <w:tc>
          <w:tcPr>
            <w:tcW w:w="1134" w:type="dxa"/>
            <w:tcBorders>
              <w:bottom w:val="single" w:sz="2" w:space="0" w:color="auto"/>
              <w:right w:val="single" w:sz="4" w:space="0" w:color="auto"/>
            </w:tcBorders>
            <w:shd w:val="clear" w:color="auto" w:fill="auto"/>
            <w:noWrap/>
            <w:vAlign w:val="bottom"/>
          </w:tcPr>
          <w:p w:rsidR="002E4B25" w:rsidRPr="001C1D37" w:rsidRDefault="002E4B25" w:rsidP="001C1D37">
            <w:pPr>
              <w:jc w:val="center"/>
              <w:rPr>
                <w:sz w:val="22"/>
                <w:szCs w:val="22"/>
              </w:rPr>
            </w:pPr>
            <w:r w:rsidRPr="001C1D37">
              <w:rPr>
                <w:sz w:val="22"/>
                <w:szCs w:val="22"/>
              </w:rPr>
              <w:t>-0.500</w:t>
            </w:r>
          </w:p>
        </w:tc>
        <w:tc>
          <w:tcPr>
            <w:tcW w:w="1276" w:type="dxa"/>
            <w:tcBorders>
              <w:left w:val="single" w:sz="4" w:space="0" w:color="auto"/>
              <w:bottom w:val="single" w:sz="2" w:space="0" w:color="auto"/>
              <w:right w:val="single" w:sz="2" w:space="0" w:color="auto"/>
            </w:tcBorders>
            <w:shd w:val="clear" w:color="auto" w:fill="auto"/>
            <w:vAlign w:val="bottom"/>
          </w:tcPr>
          <w:p w:rsidR="002E4B25" w:rsidRPr="001C1D37" w:rsidRDefault="002E4B25" w:rsidP="001C1D37">
            <w:pPr>
              <w:jc w:val="center"/>
              <w:rPr>
                <w:sz w:val="22"/>
                <w:szCs w:val="22"/>
              </w:rPr>
            </w:pPr>
            <w:r w:rsidRPr="001C1D37">
              <w:rPr>
                <w:sz w:val="22"/>
                <w:szCs w:val="22"/>
              </w:rPr>
              <w:t>0.028</w:t>
            </w:r>
          </w:p>
        </w:tc>
        <w:tc>
          <w:tcPr>
            <w:tcW w:w="1181" w:type="dxa"/>
            <w:tcBorders>
              <w:left w:val="single" w:sz="2" w:space="0" w:color="auto"/>
              <w:bottom w:val="single" w:sz="2" w:space="0" w:color="auto"/>
              <w:right w:val="single" w:sz="4" w:space="0" w:color="auto"/>
            </w:tcBorders>
            <w:shd w:val="clear" w:color="auto" w:fill="auto"/>
            <w:noWrap/>
            <w:vAlign w:val="bottom"/>
          </w:tcPr>
          <w:p w:rsidR="002E4B25" w:rsidRPr="001C1D37" w:rsidRDefault="002E4B25" w:rsidP="001C1D37">
            <w:pPr>
              <w:jc w:val="center"/>
              <w:rPr>
                <w:sz w:val="22"/>
                <w:szCs w:val="22"/>
              </w:rPr>
            </w:pPr>
            <w:r w:rsidRPr="001C1D37">
              <w:rPr>
                <w:sz w:val="22"/>
                <w:szCs w:val="22"/>
              </w:rPr>
              <w:t>0.649</w:t>
            </w:r>
          </w:p>
        </w:tc>
        <w:tc>
          <w:tcPr>
            <w:tcW w:w="1087" w:type="dxa"/>
            <w:tcBorders>
              <w:left w:val="single" w:sz="4" w:space="0" w:color="auto"/>
              <w:bottom w:val="single" w:sz="2" w:space="0" w:color="auto"/>
              <w:right w:val="nil"/>
            </w:tcBorders>
            <w:shd w:val="clear" w:color="auto" w:fill="auto"/>
            <w:vAlign w:val="bottom"/>
          </w:tcPr>
          <w:p w:rsidR="002E4B25" w:rsidRPr="001C1D37" w:rsidRDefault="002E4B25" w:rsidP="001C1D37">
            <w:pPr>
              <w:jc w:val="center"/>
              <w:rPr>
                <w:sz w:val="22"/>
                <w:szCs w:val="22"/>
              </w:rPr>
            </w:pPr>
            <w:r w:rsidRPr="001C1D37">
              <w:rPr>
                <w:sz w:val="22"/>
                <w:szCs w:val="22"/>
              </w:rPr>
              <w:t>0.025</w:t>
            </w:r>
          </w:p>
        </w:tc>
      </w:tr>
      <w:tr w:rsidR="001C1D37" w:rsidRPr="001C1D37" w:rsidTr="002B402D">
        <w:trPr>
          <w:trHeight w:hRule="exact" w:val="284"/>
        </w:trPr>
        <w:tc>
          <w:tcPr>
            <w:tcW w:w="2283" w:type="dxa"/>
            <w:tcBorders>
              <w:left w:val="nil"/>
              <w:bottom w:val="single" w:sz="2" w:space="0" w:color="auto"/>
              <w:right w:val="single" w:sz="4" w:space="0" w:color="auto"/>
            </w:tcBorders>
            <w:vAlign w:val="bottom"/>
          </w:tcPr>
          <w:p w:rsidR="002E4B25" w:rsidRPr="001C1D37" w:rsidRDefault="002E4B25" w:rsidP="001C1D37">
            <w:pPr>
              <w:jc w:val="center"/>
              <w:rPr>
                <w:sz w:val="22"/>
                <w:szCs w:val="22"/>
              </w:rPr>
            </w:pPr>
            <w:r w:rsidRPr="001C1D37">
              <w:rPr>
                <w:sz w:val="22"/>
                <w:szCs w:val="22"/>
              </w:rPr>
              <w:t>-0.75</w:t>
            </w:r>
          </w:p>
        </w:tc>
        <w:tc>
          <w:tcPr>
            <w:tcW w:w="1134" w:type="dxa"/>
            <w:tcBorders>
              <w:bottom w:val="single" w:sz="2" w:space="0" w:color="auto"/>
              <w:right w:val="single" w:sz="4" w:space="0" w:color="auto"/>
            </w:tcBorders>
            <w:shd w:val="clear" w:color="auto" w:fill="auto"/>
            <w:noWrap/>
            <w:vAlign w:val="bottom"/>
          </w:tcPr>
          <w:p w:rsidR="002E4B25" w:rsidRPr="001C1D37" w:rsidRDefault="002E4B25" w:rsidP="001C1D37">
            <w:pPr>
              <w:jc w:val="center"/>
              <w:rPr>
                <w:sz w:val="22"/>
                <w:szCs w:val="22"/>
              </w:rPr>
            </w:pPr>
            <w:r w:rsidRPr="001C1D37">
              <w:rPr>
                <w:sz w:val="22"/>
                <w:szCs w:val="22"/>
              </w:rPr>
              <w:t>-0.745</w:t>
            </w:r>
          </w:p>
        </w:tc>
        <w:tc>
          <w:tcPr>
            <w:tcW w:w="1276" w:type="dxa"/>
            <w:tcBorders>
              <w:left w:val="single" w:sz="4" w:space="0" w:color="auto"/>
              <w:bottom w:val="single" w:sz="2" w:space="0" w:color="auto"/>
              <w:right w:val="single" w:sz="2" w:space="0" w:color="auto"/>
            </w:tcBorders>
            <w:shd w:val="clear" w:color="auto" w:fill="auto"/>
            <w:vAlign w:val="bottom"/>
          </w:tcPr>
          <w:p w:rsidR="002E4B25" w:rsidRPr="001C1D37" w:rsidRDefault="002E4B25" w:rsidP="001C1D37">
            <w:pPr>
              <w:jc w:val="center"/>
              <w:rPr>
                <w:sz w:val="22"/>
                <w:szCs w:val="22"/>
              </w:rPr>
            </w:pPr>
            <w:r w:rsidRPr="001C1D37">
              <w:rPr>
                <w:sz w:val="22"/>
                <w:szCs w:val="22"/>
              </w:rPr>
              <w:t>0.029</w:t>
            </w:r>
          </w:p>
        </w:tc>
        <w:tc>
          <w:tcPr>
            <w:tcW w:w="1181" w:type="dxa"/>
            <w:tcBorders>
              <w:left w:val="single" w:sz="2" w:space="0" w:color="auto"/>
              <w:bottom w:val="single" w:sz="2" w:space="0" w:color="auto"/>
              <w:right w:val="single" w:sz="4" w:space="0" w:color="auto"/>
            </w:tcBorders>
            <w:shd w:val="clear" w:color="auto" w:fill="auto"/>
            <w:noWrap/>
            <w:vAlign w:val="bottom"/>
          </w:tcPr>
          <w:p w:rsidR="002E4B25" w:rsidRPr="001C1D37" w:rsidRDefault="002E4B25" w:rsidP="001C1D37">
            <w:pPr>
              <w:jc w:val="center"/>
              <w:rPr>
                <w:sz w:val="22"/>
                <w:szCs w:val="22"/>
              </w:rPr>
            </w:pPr>
            <w:r w:rsidRPr="001C1D37">
              <w:rPr>
                <w:sz w:val="22"/>
                <w:szCs w:val="22"/>
              </w:rPr>
              <w:t>0.749</w:t>
            </w:r>
          </w:p>
        </w:tc>
        <w:tc>
          <w:tcPr>
            <w:tcW w:w="1087" w:type="dxa"/>
            <w:tcBorders>
              <w:left w:val="single" w:sz="4" w:space="0" w:color="auto"/>
              <w:bottom w:val="single" w:sz="2" w:space="0" w:color="auto"/>
              <w:right w:val="nil"/>
            </w:tcBorders>
            <w:shd w:val="clear" w:color="auto" w:fill="auto"/>
            <w:vAlign w:val="bottom"/>
          </w:tcPr>
          <w:p w:rsidR="002E4B25" w:rsidRPr="001C1D37" w:rsidRDefault="002E4B25" w:rsidP="001C1D37">
            <w:pPr>
              <w:jc w:val="center"/>
              <w:rPr>
                <w:sz w:val="22"/>
                <w:szCs w:val="22"/>
              </w:rPr>
            </w:pPr>
            <w:r w:rsidRPr="001C1D37">
              <w:rPr>
                <w:sz w:val="22"/>
                <w:szCs w:val="22"/>
              </w:rPr>
              <w:t>0.024</w:t>
            </w:r>
          </w:p>
        </w:tc>
      </w:tr>
      <w:tr w:rsidR="001C1D37" w:rsidRPr="001C1D37" w:rsidTr="002B402D">
        <w:trPr>
          <w:trHeight w:hRule="exact" w:val="284"/>
        </w:trPr>
        <w:tc>
          <w:tcPr>
            <w:tcW w:w="2283" w:type="dxa"/>
            <w:tcBorders>
              <w:left w:val="nil"/>
              <w:bottom w:val="single" w:sz="12" w:space="0" w:color="auto"/>
              <w:right w:val="single" w:sz="4" w:space="0" w:color="auto"/>
            </w:tcBorders>
            <w:vAlign w:val="bottom"/>
          </w:tcPr>
          <w:p w:rsidR="002E4B25" w:rsidRPr="001C1D37" w:rsidRDefault="002E4B25" w:rsidP="001C1D37">
            <w:pPr>
              <w:jc w:val="center"/>
              <w:rPr>
                <w:sz w:val="22"/>
                <w:szCs w:val="22"/>
              </w:rPr>
            </w:pPr>
            <w:r w:rsidRPr="001C1D37">
              <w:rPr>
                <w:sz w:val="22"/>
                <w:szCs w:val="22"/>
              </w:rPr>
              <w:t>-1</w:t>
            </w:r>
          </w:p>
        </w:tc>
        <w:tc>
          <w:tcPr>
            <w:tcW w:w="1134" w:type="dxa"/>
            <w:tcBorders>
              <w:bottom w:val="single" w:sz="12" w:space="0" w:color="auto"/>
              <w:right w:val="single" w:sz="4" w:space="0" w:color="auto"/>
            </w:tcBorders>
            <w:shd w:val="clear" w:color="auto" w:fill="auto"/>
            <w:noWrap/>
            <w:vAlign w:val="bottom"/>
          </w:tcPr>
          <w:p w:rsidR="002E4B25" w:rsidRPr="001C1D37" w:rsidRDefault="002E4B25" w:rsidP="001C1D37">
            <w:pPr>
              <w:jc w:val="center"/>
              <w:rPr>
                <w:sz w:val="22"/>
                <w:szCs w:val="22"/>
              </w:rPr>
            </w:pPr>
            <w:r w:rsidRPr="001C1D37">
              <w:rPr>
                <w:sz w:val="22"/>
                <w:szCs w:val="22"/>
              </w:rPr>
              <w:t>-0.986</w:t>
            </w:r>
          </w:p>
        </w:tc>
        <w:tc>
          <w:tcPr>
            <w:tcW w:w="1276" w:type="dxa"/>
            <w:tcBorders>
              <w:left w:val="single" w:sz="4" w:space="0" w:color="auto"/>
              <w:bottom w:val="single" w:sz="12" w:space="0" w:color="auto"/>
              <w:right w:val="single" w:sz="2" w:space="0" w:color="auto"/>
            </w:tcBorders>
            <w:shd w:val="clear" w:color="auto" w:fill="auto"/>
            <w:vAlign w:val="bottom"/>
          </w:tcPr>
          <w:p w:rsidR="002E4B25" w:rsidRPr="001C1D37" w:rsidRDefault="002E4B25" w:rsidP="001C1D37">
            <w:pPr>
              <w:jc w:val="center"/>
              <w:rPr>
                <w:sz w:val="22"/>
                <w:szCs w:val="22"/>
              </w:rPr>
            </w:pPr>
            <w:r w:rsidRPr="001C1D37">
              <w:rPr>
                <w:sz w:val="22"/>
                <w:szCs w:val="22"/>
              </w:rPr>
              <w:t>0.056</w:t>
            </w:r>
          </w:p>
        </w:tc>
        <w:tc>
          <w:tcPr>
            <w:tcW w:w="1181" w:type="dxa"/>
            <w:tcBorders>
              <w:left w:val="single" w:sz="2" w:space="0" w:color="auto"/>
              <w:bottom w:val="single" w:sz="12" w:space="0" w:color="auto"/>
              <w:right w:val="single" w:sz="4" w:space="0" w:color="auto"/>
            </w:tcBorders>
            <w:shd w:val="clear" w:color="auto" w:fill="auto"/>
            <w:noWrap/>
            <w:vAlign w:val="bottom"/>
          </w:tcPr>
          <w:p w:rsidR="002E4B25" w:rsidRPr="001C1D37" w:rsidRDefault="002E4B25" w:rsidP="001C1D37">
            <w:pPr>
              <w:jc w:val="center"/>
              <w:rPr>
                <w:sz w:val="22"/>
                <w:szCs w:val="22"/>
              </w:rPr>
            </w:pPr>
            <w:r w:rsidRPr="001C1D37">
              <w:rPr>
                <w:sz w:val="22"/>
                <w:szCs w:val="22"/>
              </w:rPr>
              <w:t>0.807</w:t>
            </w:r>
          </w:p>
        </w:tc>
        <w:tc>
          <w:tcPr>
            <w:tcW w:w="1087" w:type="dxa"/>
            <w:tcBorders>
              <w:left w:val="single" w:sz="4" w:space="0" w:color="auto"/>
              <w:bottom w:val="single" w:sz="12" w:space="0" w:color="auto"/>
              <w:right w:val="nil"/>
            </w:tcBorders>
            <w:shd w:val="clear" w:color="auto" w:fill="auto"/>
            <w:vAlign w:val="bottom"/>
          </w:tcPr>
          <w:p w:rsidR="002E4B25" w:rsidRPr="001C1D37" w:rsidRDefault="002E4B25" w:rsidP="001C1D37">
            <w:pPr>
              <w:jc w:val="center"/>
              <w:rPr>
                <w:sz w:val="22"/>
                <w:szCs w:val="22"/>
              </w:rPr>
            </w:pPr>
            <w:r w:rsidRPr="001C1D37">
              <w:rPr>
                <w:sz w:val="22"/>
                <w:szCs w:val="22"/>
              </w:rPr>
              <w:t>0.022</w:t>
            </w:r>
          </w:p>
        </w:tc>
      </w:tr>
      <w:tr w:rsidR="001C1D37" w:rsidRPr="001C1D37" w:rsidTr="002E4B25">
        <w:trPr>
          <w:trHeight w:hRule="exact" w:val="284"/>
        </w:trPr>
        <w:tc>
          <w:tcPr>
            <w:tcW w:w="6961" w:type="dxa"/>
            <w:gridSpan w:val="5"/>
            <w:tcBorders>
              <w:top w:val="single" w:sz="12" w:space="0" w:color="auto"/>
              <w:left w:val="nil"/>
              <w:bottom w:val="single" w:sz="12" w:space="0" w:color="auto"/>
              <w:right w:val="nil"/>
            </w:tcBorders>
            <w:vAlign w:val="center"/>
          </w:tcPr>
          <w:p w:rsidR="002E4B25" w:rsidRPr="001C1D37" w:rsidRDefault="002E4B25" w:rsidP="001C1D37">
            <w:pPr>
              <w:jc w:val="center"/>
              <w:rPr>
                <w:sz w:val="22"/>
                <w:szCs w:val="22"/>
              </w:rPr>
            </w:pPr>
          </w:p>
        </w:tc>
      </w:tr>
    </w:tbl>
    <w:p w:rsidR="00A07518" w:rsidRPr="001C1D37" w:rsidRDefault="00A07518" w:rsidP="001C1D37"/>
    <w:p w:rsidR="00EF7058" w:rsidRPr="001C1D37" w:rsidRDefault="00EF7058" w:rsidP="001C1D37"/>
    <w:p w:rsidR="000B32AA" w:rsidRPr="001C1D37" w:rsidRDefault="000B32AA" w:rsidP="001C1D37"/>
    <w:p w:rsidR="00333FD4" w:rsidRPr="001C1D37" w:rsidRDefault="00333FD4" w:rsidP="001C1D37">
      <w:r w:rsidRPr="001C1D37">
        <w:br w:type="page"/>
      </w:r>
    </w:p>
    <w:p w:rsidR="00C130C0" w:rsidRPr="001C1D37" w:rsidRDefault="00C130C0" w:rsidP="001C1D37">
      <w:pPr>
        <w:pStyle w:val="NoSpacing"/>
        <w:contextualSpacing/>
        <w:rPr>
          <w:rFonts w:ascii="Times New Roman" w:hAnsi="Times New Roman"/>
          <w:sz w:val="24"/>
          <w:szCs w:val="24"/>
        </w:rPr>
      </w:pPr>
      <w:proofErr w:type="gramStart"/>
      <w:r w:rsidRPr="001C1D37">
        <w:rPr>
          <w:rFonts w:ascii="Times New Roman" w:hAnsi="Times New Roman"/>
          <w:sz w:val="24"/>
          <w:szCs w:val="24"/>
        </w:rPr>
        <w:lastRenderedPageBreak/>
        <w:t xml:space="preserve">Table </w:t>
      </w:r>
      <w:r w:rsidR="00D111AF" w:rsidRPr="001C1D37">
        <w:rPr>
          <w:rFonts w:ascii="Times New Roman" w:hAnsi="Times New Roman"/>
          <w:sz w:val="24"/>
          <w:szCs w:val="24"/>
        </w:rPr>
        <w:t>3</w:t>
      </w:r>
      <w:r w:rsidRPr="001C1D37">
        <w:rPr>
          <w:rFonts w:ascii="Times New Roman" w:hAnsi="Times New Roman"/>
          <w:sz w:val="24"/>
          <w:szCs w:val="24"/>
        </w:rPr>
        <w:t>.</w:t>
      </w:r>
      <w:proofErr w:type="gramEnd"/>
      <w:r w:rsidRPr="001C1D37">
        <w:rPr>
          <w:rFonts w:ascii="Times New Roman" w:hAnsi="Times New Roman"/>
          <w:sz w:val="24"/>
          <w:szCs w:val="24"/>
        </w:rPr>
        <w:t xml:space="preserve"> </w:t>
      </w:r>
      <w:r w:rsidR="004D4A3C" w:rsidRPr="001C1D37">
        <w:rPr>
          <w:rFonts w:ascii="Times New Roman" w:hAnsi="Times New Roman"/>
          <w:sz w:val="24"/>
          <w:szCs w:val="24"/>
        </w:rPr>
        <w:t>Simulated results for e</w:t>
      </w:r>
      <w:r w:rsidRPr="001C1D37">
        <w:rPr>
          <w:rFonts w:ascii="Times New Roman" w:hAnsi="Times New Roman"/>
          <w:sz w:val="24"/>
          <w:szCs w:val="24"/>
        </w:rPr>
        <w:t xml:space="preserve">stimated </w:t>
      </w:r>
      <w:r w:rsidR="00BC5F00" w:rsidRPr="001C1D37">
        <w:rPr>
          <w:rFonts w:ascii="Times New Roman" w:hAnsi="Times New Roman"/>
          <w:sz w:val="24"/>
          <w:szCs w:val="24"/>
        </w:rPr>
        <w:t>ROC summaries</w:t>
      </w:r>
      <w:r w:rsidRPr="001C1D37">
        <w:rPr>
          <w:rFonts w:ascii="Times New Roman" w:hAnsi="Times New Roman"/>
          <w:sz w:val="24"/>
          <w:szCs w:val="24"/>
        </w:rPr>
        <w:t xml:space="preserve"> from the proposed </w:t>
      </w:r>
      <w:r w:rsidR="00BC5F00" w:rsidRPr="001C1D37">
        <w:rPr>
          <w:rFonts w:ascii="Times New Roman" w:hAnsi="Times New Roman"/>
          <w:sz w:val="24"/>
          <w:szCs w:val="24"/>
        </w:rPr>
        <w:t>approach</w:t>
      </w:r>
      <w:r w:rsidRPr="001C1D37">
        <w:rPr>
          <w:rFonts w:ascii="Times New Roman" w:hAnsi="Times New Roman"/>
          <w:sz w:val="24"/>
          <w:szCs w:val="24"/>
        </w:rPr>
        <w:t xml:space="preserve"> </w:t>
      </w:r>
      <w:r w:rsidR="004D4A3C" w:rsidRPr="001C1D37">
        <w:rPr>
          <w:rFonts w:ascii="Times New Roman" w:hAnsi="Times New Roman"/>
          <w:sz w:val="24"/>
          <w:szCs w:val="24"/>
        </w:rPr>
        <w:t>for time point</w:t>
      </w:r>
      <w:r w:rsidR="006A1BFB" w:rsidRPr="001C1D37">
        <w:rPr>
          <w:rFonts w:ascii="Times New Roman" w:hAnsi="Times New Roman"/>
          <w:sz w:val="24"/>
          <w:szCs w:val="24"/>
        </w:rPr>
        <w:t>s</w:t>
      </w:r>
      <w:r w:rsidR="004D4A3C" w:rsidRPr="001C1D37">
        <w:rPr>
          <w:rFonts w:ascii="Times New Roman" w:hAnsi="Times New Roman"/>
          <w:sz w:val="24"/>
          <w:szCs w:val="24"/>
        </w:rPr>
        <w:t xml:space="preserve"> </w:t>
      </w:r>
      <m:oMath>
        <m:sSub>
          <m:sSubPr>
            <m:ctrlPr>
              <w:rPr>
                <w:rFonts w:ascii="Cambria Math" w:hAnsi="Cambria Math"/>
                <w:i/>
                <w:sz w:val="24"/>
                <w:szCs w:val="24"/>
                <w:lang w:eastAsia="en-GB"/>
              </w:rPr>
            </m:ctrlPr>
          </m:sSubPr>
          <m:e>
            <m:r>
              <w:rPr>
                <w:rFonts w:ascii="Cambria Math" w:hAnsi="Cambria Math"/>
                <w:sz w:val="24"/>
                <w:szCs w:val="24"/>
                <w:lang w:eastAsia="en-GB"/>
              </w:rPr>
              <m:t>t</m:t>
            </m:r>
          </m:e>
          <m:sub>
            <m:r>
              <w:rPr>
                <w:rFonts w:ascii="Cambria Math" w:hAnsi="Cambria Math"/>
                <w:sz w:val="24"/>
                <w:szCs w:val="24"/>
                <w:lang w:eastAsia="en-GB"/>
              </w:rPr>
              <m:t>s</m:t>
            </m:r>
          </m:sub>
        </m:sSub>
      </m:oMath>
      <w:r w:rsidR="004D4A3C" w:rsidRPr="001C1D37">
        <w:rPr>
          <w:rFonts w:ascii="Times New Roman" w:hAnsi="Times New Roman"/>
          <w:sz w:val="24"/>
          <w:szCs w:val="24"/>
          <w:lang w:eastAsia="en-GB"/>
        </w:rPr>
        <w:t xml:space="preserve"> at which the best </w:t>
      </w:r>
      <w:r w:rsidR="004D4A3C" w:rsidRPr="001C1D37">
        <w:rPr>
          <w:rFonts w:ascii="Times New Roman" w:hAnsi="Times New Roman"/>
          <w:sz w:val="24"/>
          <w:szCs w:val="24"/>
        </w:rPr>
        <w:t xml:space="preserve">discriminatory potential of </w:t>
      </w:r>
      <w:r w:rsidR="006A1BFB" w:rsidRPr="001C1D37">
        <w:rPr>
          <w:rFonts w:ascii="Times New Roman" w:hAnsi="Times New Roman"/>
          <w:sz w:val="24"/>
          <w:szCs w:val="24"/>
        </w:rPr>
        <w:t>the</w:t>
      </w:r>
      <w:r w:rsidR="004D4A3C" w:rsidRPr="001C1D37">
        <w:rPr>
          <w:rFonts w:ascii="Times New Roman" w:hAnsi="Times New Roman"/>
          <w:sz w:val="24"/>
          <w:szCs w:val="24"/>
        </w:rPr>
        <w:t xml:space="preserve"> biomarker is reached (as estimated by the highest AUC)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850"/>
        <w:gridCol w:w="851"/>
        <w:gridCol w:w="850"/>
        <w:gridCol w:w="851"/>
        <w:gridCol w:w="850"/>
        <w:gridCol w:w="851"/>
        <w:gridCol w:w="850"/>
      </w:tblGrid>
      <w:tr w:rsidR="001C1D37" w:rsidRPr="001C1D37" w:rsidTr="008044DD">
        <w:trPr>
          <w:trHeight w:val="385"/>
        </w:trPr>
        <w:tc>
          <w:tcPr>
            <w:tcW w:w="851" w:type="dxa"/>
            <w:vMerge w:val="restart"/>
            <w:tcBorders>
              <w:top w:val="single" w:sz="12" w:space="0" w:color="auto"/>
              <w:left w:val="nil"/>
            </w:tcBorders>
            <w:vAlign w:val="center"/>
          </w:tcPr>
          <w:p w:rsidR="008044DD" w:rsidRPr="001C1D37" w:rsidRDefault="00EE0B8F" w:rsidP="001C1D37">
            <w:pPr>
              <w:pStyle w:val="NoSpacing"/>
              <w:jc w:val="center"/>
              <w:rPr>
                <w:rFonts w:ascii="Times New Roman" w:hAnsi="Times New Roman"/>
                <w:b/>
                <w:lang w:eastAsia="en-GB"/>
              </w:rPr>
            </w:pPr>
            <w:r w:rsidRPr="001C1D37">
              <w:rPr>
                <w:rFonts w:ascii="Times New Roman" w:eastAsia="Times New Roman" w:hAnsi="Times New Roman"/>
                <w:b/>
              </w:rPr>
              <w:t>Time period</w:t>
            </w:r>
          </w:p>
        </w:tc>
        <w:tc>
          <w:tcPr>
            <w:tcW w:w="850" w:type="dxa"/>
            <w:vMerge w:val="restart"/>
            <w:tcBorders>
              <w:top w:val="single" w:sz="12" w:space="0" w:color="auto"/>
            </w:tcBorders>
            <w:vAlign w:val="center"/>
          </w:tcPr>
          <w:p w:rsidR="008044DD" w:rsidRPr="001C1D37" w:rsidRDefault="008044DD" w:rsidP="001C1D37">
            <w:pPr>
              <w:pStyle w:val="NoSpacing"/>
              <w:jc w:val="center"/>
              <w:rPr>
                <w:rFonts w:ascii="Times New Roman" w:eastAsia="Times New Roman" w:hAnsi="Times New Roman"/>
                <w:b/>
              </w:rPr>
            </w:pPr>
            <w:r w:rsidRPr="001C1D37">
              <w:rPr>
                <w:rFonts w:ascii="Times New Roman" w:eastAsia="Times New Roman" w:hAnsi="Times New Roman"/>
                <w:b/>
              </w:rPr>
              <w:t>% events</w:t>
            </w:r>
          </w:p>
        </w:tc>
        <w:tc>
          <w:tcPr>
            <w:tcW w:w="1701" w:type="dxa"/>
            <w:gridSpan w:val="2"/>
            <w:tcBorders>
              <w:top w:val="single" w:sz="12" w:space="0" w:color="auto"/>
            </w:tcBorders>
            <w:shd w:val="clear" w:color="auto" w:fill="auto"/>
            <w:vAlign w:val="center"/>
          </w:tcPr>
          <w:p w:rsidR="008044DD" w:rsidRPr="001C1D37" w:rsidRDefault="001C1D37" w:rsidP="001C1D37">
            <w:pPr>
              <w:pStyle w:val="NoSpacing"/>
              <w:jc w:val="center"/>
              <w:rPr>
                <w:rFonts w:ascii="Times New Roman" w:hAnsi="Times New Roman"/>
                <w:b/>
              </w:rPr>
            </w:pPr>
            <m:oMathPara>
              <m:oMath>
                <m:sSub>
                  <m:sSubPr>
                    <m:ctrlPr>
                      <w:rPr>
                        <w:rFonts w:ascii="Cambria Math" w:hAnsi="Cambria Math"/>
                        <w:b/>
                        <w:i/>
                      </w:rPr>
                    </m:ctrlPr>
                  </m:sSubPr>
                  <m:e>
                    <m:r>
                      <m:rPr>
                        <m:sty m:val="bi"/>
                      </m:rPr>
                      <w:rPr>
                        <w:rFonts w:ascii="Cambria Math" w:hAnsi="Cambria Math"/>
                      </w:rPr>
                      <m:t>γ</m:t>
                    </m:r>
                  </m:e>
                  <m:sub>
                    <m:r>
                      <m:rPr>
                        <m:sty m:val="bi"/>
                      </m:rPr>
                      <w:rPr>
                        <w:rFonts w:ascii="Cambria Math" w:hAnsi="Cambria Math"/>
                      </w:rPr>
                      <m:t>t</m:t>
                    </m:r>
                  </m:sub>
                </m:sSub>
              </m:oMath>
            </m:oMathPara>
          </w:p>
        </w:tc>
        <w:tc>
          <w:tcPr>
            <w:tcW w:w="1701" w:type="dxa"/>
            <w:gridSpan w:val="2"/>
            <w:tcBorders>
              <w:top w:val="single" w:sz="12" w:space="0" w:color="auto"/>
            </w:tcBorders>
            <w:shd w:val="clear" w:color="auto" w:fill="auto"/>
            <w:vAlign w:val="center"/>
          </w:tcPr>
          <w:p w:rsidR="008044DD" w:rsidRPr="001C1D37" w:rsidRDefault="008044DD" w:rsidP="001C1D37">
            <w:pPr>
              <w:pStyle w:val="NoSpacing"/>
              <w:jc w:val="center"/>
              <w:rPr>
                <w:rFonts w:ascii="Times New Roman" w:hAnsi="Times New Roman"/>
                <w:b/>
              </w:rPr>
            </w:pPr>
            <w:r w:rsidRPr="001C1D37">
              <w:rPr>
                <w:rFonts w:ascii="Times New Roman" w:hAnsi="Times New Roman"/>
                <w:b/>
              </w:rPr>
              <w:t>AUC</w:t>
            </w:r>
          </w:p>
        </w:tc>
        <w:tc>
          <w:tcPr>
            <w:tcW w:w="1701" w:type="dxa"/>
            <w:gridSpan w:val="2"/>
            <w:tcBorders>
              <w:top w:val="single" w:sz="12" w:space="0" w:color="auto"/>
            </w:tcBorders>
            <w:shd w:val="clear" w:color="auto" w:fill="auto"/>
            <w:vAlign w:val="center"/>
          </w:tcPr>
          <w:p w:rsidR="008044DD" w:rsidRPr="001C1D37" w:rsidRDefault="008044DD" w:rsidP="001C1D37">
            <w:pPr>
              <w:pStyle w:val="NoSpacing"/>
              <w:jc w:val="center"/>
              <w:rPr>
                <w:rFonts w:ascii="Times New Roman" w:hAnsi="Times New Roman"/>
                <w:b/>
              </w:rPr>
            </w:pPr>
            <w:r w:rsidRPr="001C1D37">
              <w:rPr>
                <w:rFonts w:ascii="Times New Roman" w:eastAsia="Times New Roman" w:hAnsi="Times New Roman"/>
                <w:b/>
              </w:rPr>
              <w:t>Sensitivity</w:t>
            </w:r>
          </w:p>
        </w:tc>
        <w:tc>
          <w:tcPr>
            <w:tcW w:w="1701" w:type="dxa"/>
            <w:gridSpan w:val="2"/>
            <w:tcBorders>
              <w:top w:val="single" w:sz="12" w:space="0" w:color="auto"/>
              <w:right w:val="nil"/>
            </w:tcBorders>
            <w:shd w:val="clear" w:color="auto" w:fill="auto"/>
            <w:vAlign w:val="center"/>
          </w:tcPr>
          <w:p w:rsidR="008044DD" w:rsidRPr="001C1D37" w:rsidRDefault="008044DD" w:rsidP="001C1D37">
            <w:pPr>
              <w:pStyle w:val="NoSpacing"/>
              <w:jc w:val="center"/>
              <w:rPr>
                <w:rFonts w:ascii="Times New Roman" w:hAnsi="Times New Roman"/>
                <w:b/>
              </w:rPr>
            </w:pPr>
            <w:r w:rsidRPr="001C1D37">
              <w:rPr>
                <w:rFonts w:ascii="Times New Roman" w:eastAsia="Times New Roman" w:hAnsi="Times New Roman"/>
                <w:b/>
              </w:rPr>
              <w:t>Specificity</w:t>
            </w:r>
          </w:p>
        </w:tc>
      </w:tr>
      <w:tr w:rsidR="001C1D37" w:rsidRPr="001C1D37" w:rsidTr="008044DD">
        <w:trPr>
          <w:trHeight w:val="288"/>
        </w:trPr>
        <w:tc>
          <w:tcPr>
            <w:tcW w:w="851" w:type="dxa"/>
            <w:vMerge/>
            <w:tcBorders>
              <w:left w:val="nil"/>
              <w:bottom w:val="single" w:sz="12" w:space="0" w:color="auto"/>
            </w:tcBorders>
            <w:vAlign w:val="center"/>
          </w:tcPr>
          <w:p w:rsidR="008044DD" w:rsidRPr="001C1D37" w:rsidRDefault="008044DD" w:rsidP="001C1D37">
            <w:pPr>
              <w:pStyle w:val="NoSpacing"/>
              <w:jc w:val="center"/>
              <w:rPr>
                <w:rFonts w:ascii="Times New Roman" w:hAnsi="Times New Roman"/>
                <w:b/>
              </w:rPr>
            </w:pPr>
          </w:p>
        </w:tc>
        <w:tc>
          <w:tcPr>
            <w:tcW w:w="850" w:type="dxa"/>
            <w:vMerge/>
            <w:tcBorders>
              <w:bottom w:val="single" w:sz="12" w:space="0" w:color="auto"/>
            </w:tcBorders>
            <w:vAlign w:val="center"/>
          </w:tcPr>
          <w:p w:rsidR="008044DD" w:rsidRPr="001C1D37" w:rsidRDefault="008044DD" w:rsidP="001C1D37">
            <w:pPr>
              <w:pStyle w:val="NoSpacing"/>
              <w:jc w:val="center"/>
              <w:rPr>
                <w:rFonts w:ascii="Times New Roman" w:hAnsi="Times New Roman"/>
                <w:b/>
              </w:rPr>
            </w:pPr>
          </w:p>
        </w:tc>
        <w:tc>
          <w:tcPr>
            <w:tcW w:w="851" w:type="dxa"/>
            <w:tcBorders>
              <w:bottom w:val="single" w:sz="12" w:space="0" w:color="auto"/>
            </w:tcBorders>
            <w:shd w:val="clear" w:color="auto" w:fill="auto"/>
            <w:vAlign w:val="center"/>
          </w:tcPr>
          <w:p w:rsidR="008044DD" w:rsidRPr="001C1D37" w:rsidRDefault="008044DD" w:rsidP="001C1D37">
            <w:pPr>
              <w:pStyle w:val="NoSpacing"/>
              <w:jc w:val="center"/>
              <w:rPr>
                <w:rFonts w:ascii="Times New Roman" w:hAnsi="Times New Roman"/>
                <w:b/>
              </w:rPr>
            </w:pPr>
            <w:r w:rsidRPr="001C1D37">
              <w:rPr>
                <w:rFonts w:ascii="Times New Roman" w:hAnsi="Times New Roman"/>
                <w:b/>
              </w:rPr>
              <w:t>Est.</w:t>
            </w:r>
          </w:p>
        </w:tc>
        <w:tc>
          <w:tcPr>
            <w:tcW w:w="850" w:type="dxa"/>
            <w:tcBorders>
              <w:bottom w:val="single" w:sz="12" w:space="0" w:color="auto"/>
            </w:tcBorders>
            <w:shd w:val="clear" w:color="auto" w:fill="auto"/>
            <w:vAlign w:val="center"/>
          </w:tcPr>
          <w:p w:rsidR="008044DD" w:rsidRPr="001C1D37" w:rsidRDefault="008044DD" w:rsidP="001C1D37">
            <w:pPr>
              <w:pStyle w:val="NoSpacing"/>
              <w:jc w:val="center"/>
              <w:rPr>
                <w:rFonts w:ascii="Times New Roman" w:hAnsi="Times New Roman"/>
                <w:b/>
              </w:rPr>
            </w:pPr>
            <w:r w:rsidRPr="001C1D37">
              <w:rPr>
                <w:rFonts w:ascii="Times New Roman" w:hAnsi="Times New Roman"/>
                <w:b/>
              </w:rPr>
              <w:t>SE</w:t>
            </w:r>
          </w:p>
        </w:tc>
        <w:tc>
          <w:tcPr>
            <w:tcW w:w="851" w:type="dxa"/>
            <w:tcBorders>
              <w:bottom w:val="single" w:sz="12" w:space="0" w:color="auto"/>
            </w:tcBorders>
            <w:shd w:val="clear" w:color="auto" w:fill="auto"/>
            <w:vAlign w:val="center"/>
          </w:tcPr>
          <w:p w:rsidR="008044DD" w:rsidRPr="001C1D37" w:rsidRDefault="008044DD" w:rsidP="001C1D37">
            <w:pPr>
              <w:pStyle w:val="NoSpacing"/>
              <w:jc w:val="center"/>
              <w:rPr>
                <w:rFonts w:ascii="Times New Roman" w:hAnsi="Times New Roman"/>
                <w:b/>
              </w:rPr>
            </w:pPr>
            <w:r w:rsidRPr="001C1D37">
              <w:rPr>
                <w:rFonts w:ascii="Times New Roman" w:hAnsi="Times New Roman"/>
                <w:b/>
              </w:rPr>
              <w:t>Est.</w:t>
            </w:r>
          </w:p>
        </w:tc>
        <w:tc>
          <w:tcPr>
            <w:tcW w:w="850" w:type="dxa"/>
            <w:tcBorders>
              <w:bottom w:val="single" w:sz="12" w:space="0" w:color="auto"/>
            </w:tcBorders>
            <w:shd w:val="clear" w:color="auto" w:fill="auto"/>
            <w:vAlign w:val="center"/>
          </w:tcPr>
          <w:p w:rsidR="008044DD" w:rsidRPr="001C1D37" w:rsidRDefault="008044DD" w:rsidP="001C1D37">
            <w:pPr>
              <w:pStyle w:val="NoSpacing"/>
              <w:jc w:val="center"/>
              <w:rPr>
                <w:rFonts w:ascii="Times New Roman" w:hAnsi="Times New Roman"/>
                <w:b/>
              </w:rPr>
            </w:pPr>
            <w:r w:rsidRPr="001C1D37">
              <w:rPr>
                <w:rFonts w:ascii="Times New Roman" w:hAnsi="Times New Roman"/>
                <w:b/>
              </w:rPr>
              <w:t>SE</w:t>
            </w:r>
          </w:p>
        </w:tc>
        <w:tc>
          <w:tcPr>
            <w:tcW w:w="851" w:type="dxa"/>
            <w:tcBorders>
              <w:bottom w:val="single" w:sz="12" w:space="0" w:color="auto"/>
            </w:tcBorders>
            <w:shd w:val="clear" w:color="auto" w:fill="auto"/>
            <w:vAlign w:val="center"/>
          </w:tcPr>
          <w:p w:rsidR="008044DD" w:rsidRPr="001C1D37" w:rsidRDefault="008044DD" w:rsidP="001C1D37">
            <w:pPr>
              <w:pStyle w:val="NoSpacing"/>
              <w:jc w:val="center"/>
              <w:rPr>
                <w:rFonts w:ascii="Times New Roman" w:hAnsi="Times New Roman"/>
                <w:b/>
              </w:rPr>
            </w:pPr>
            <w:r w:rsidRPr="001C1D37">
              <w:rPr>
                <w:rFonts w:ascii="Times New Roman" w:hAnsi="Times New Roman"/>
                <w:b/>
              </w:rPr>
              <w:t>Est.</w:t>
            </w:r>
          </w:p>
        </w:tc>
        <w:tc>
          <w:tcPr>
            <w:tcW w:w="850" w:type="dxa"/>
            <w:tcBorders>
              <w:bottom w:val="single" w:sz="12" w:space="0" w:color="auto"/>
            </w:tcBorders>
            <w:shd w:val="clear" w:color="auto" w:fill="auto"/>
            <w:vAlign w:val="center"/>
          </w:tcPr>
          <w:p w:rsidR="008044DD" w:rsidRPr="001C1D37" w:rsidRDefault="008044DD" w:rsidP="001C1D37">
            <w:pPr>
              <w:pStyle w:val="NoSpacing"/>
              <w:jc w:val="center"/>
              <w:rPr>
                <w:rFonts w:ascii="Times New Roman" w:hAnsi="Times New Roman"/>
                <w:b/>
              </w:rPr>
            </w:pPr>
            <w:r w:rsidRPr="001C1D37">
              <w:rPr>
                <w:rFonts w:ascii="Times New Roman" w:hAnsi="Times New Roman"/>
                <w:b/>
              </w:rPr>
              <w:t>SE</w:t>
            </w:r>
          </w:p>
        </w:tc>
        <w:tc>
          <w:tcPr>
            <w:tcW w:w="851" w:type="dxa"/>
            <w:tcBorders>
              <w:bottom w:val="single" w:sz="12" w:space="0" w:color="auto"/>
            </w:tcBorders>
            <w:shd w:val="clear" w:color="auto" w:fill="auto"/>
            <w:vAlign w:val="center"/>
          </w:tcPr>
          <w:p w:rsidR="008044DD" w:rsidRPr="001C1D37" w:rsidRDefault="008044DD" w:rsidP="001C1D37">
            <w:pPr>
              <w:pStyle w:val="NoSpacing"/>
              <w:jc w:val="center"/>
              <w:rPr>
                <w:rFonts w:ascii="Times New Roman" w:hAnsi="Times New Roman"/>
                <w:b/>
              </w:rPr>
            </w:pPr>
            <w:r w:rsidRPr="001C1D37">
              <w:rPr>
                <w:rFonts w:ascii="Times New Roman" w:hAnsi="Times New Roman"/>
                <w:b/>
              </w:rPr>
              <w:t>Est.</w:t>
            </w:r>
          </w:p>
        </w:tc>
        <w:tc>
          <w:tcPr>
            <w:tcW w:w="850" w:type="dxa"/>
            <w:tcBorders>
              <w:bottom w:val="single" w:sz="12" w:space="0" w:color="auto"/>
              <w:right w:val="nil"/>
            </w:tcBorders>
            <w:shd w:val="clear" w:color="auto" w:fill="auto"/>
            <w:vAlign w:val="center"/>
          </w:tcPr>
          <w:p w:rsidR="008044DD" w:rsidRPr="001C1D37" w:rsidRDefault="008044DD" w:rsidP="001C1D37">
            <w:pPr>
              <w:pStyle w:val="NoSpacing"/>
              <w:jc w:val="center"/>
              <w:rPr>
                <w:rFonts w:ascii="Times New Roman" w:hAnsi="Times New Roman"/>
                <w:b/>
              </w:rPr>
            </w:pPr>
            <w:r w:rsidRPr="001C1D37">
              <w:rPr>
                <w:rFonts w:ascii="Times New Roman" w:hAnsi="Times New Roman"/>
                <w:b/>
              </w:rPr>
              <w:t>SE</w:t>
            </w:r>
          </w:p>
        </w:tc>
      </w:tr>
      <w:tr w:rsidR="001C1D37" w:rsidRPr="001C1D37" w:rsidTr="00D111AF">
        <w:trPr>
          <w:trHeight w:hRule="exact" w:val="340"/>
        </w:trPr>
        <w:tc>
          <w:tcPr>
            <w:tcW w:w="8505" w:type="dxa"/>
            <w:gridSpan w:val="10"/>
            <w:tcBorders>
              <w:top w:val="single" w:sz="12" w:space="0" w:color="auto"/>
              <w:left w:val="nil"/>
              <w:right w:val="nil"/>
            </w:tcBorders>
            <w:vAlign w:val="center"/>
          </w:tcPr>
          <w:p w:rsidR="00D111AF" w:rsidRPr="001C1D37" w:rsidRDefault="001C1D37" w:rsidP="001C1D37">
            <w:pPr>
              <w:rPr>
                <w:b/>
                <w:sz w:val="22"/>
                <w:szCs w:val="22"/>
              </w:rPr>
            </w:pPr>
            <m:oMath>
              <m:sSub>
                <m:sSubPr>
                  <m:ctrlPr>
                    <w:rPr>
                      <w:rFonts w:ascii="Cambria Math" w:eastAsia="Calibri" w:hAnsi="Cambria Math"/>
                      <w:b/>
                      <w:i/>
                      <w:sz w:val="22"/>
                      <w:szCs w:val="22"/>
                      <w:lang w:eastAsia="en-GB"/>
                    </w:rPr>
                  </m:ctrlPr>
                </m:sSubPr>
                <m:e>
                  <m:r>
                    <m:rPr>
                      <m:sty m:val="bi"/>
                    </m:rPr>
                    <w:rPr>
                      <w:rFonts w:ascii="Cambria Math" w:hAnsi="Cambria Math"/>
                      <w:sz w:val="22"/>
                      <w:szCs w:val="22"/>
                      <w:lang w:eastAsia="en-GB"/>
                    </w:rPr>
                    <m:t>t</m:t>
                  </m:r>
                </m:e>
                <m:sub>
                  <m:r>
                    <m:rPr>
                      <m:sty m:val="bi"/>
                    </m:rPr>
                    <w:rPr>
                      <w:rFonts w:ascii="Cambria Math" w:hAnsi="Cambria Math"/>
                      <w:sz w:val="22"/>
                      <w:szCs w:val="22"/>
                      <w:lang w:eastAsia="en-GB"/>
                    </w:rPr>
                    <m:t>s</m:t>
                  </m:r>
                </m:sub>
              </m:sSub>
              <m:r>
                <m:rPr>
                  <m:sty m:val="bi"/>
                </m:rPr>
                <w:rPr>
                  <w:rFonts w:ascii="Cambria Math" w:hAnsi="Cambria Math"/>
                  <w:sz w:val="22"/>
                  <w:szCs w:val="22"/>
                  <w:lang w:eastAsia="en-GB"/>
                </w:rPr>
                <m:t>=</m:t>
              </m:r>
            </m:oMath>
            <w:r w:rsidR="00D111AF" w:rsidRPr="001C1D37">
              <w:rPr>
                <w:b/>
                <w:sz w:val="22"/>
                <w:szCs w:val="22"/>
                <w:lang w:eastAsia="en-GB"/>
              </w:rPr>
              <w:t xml:space="preserve"> 2</w:t>
            </w:r>
          </w:p>
        </w:tc>
      </w:tr>
      <w:tr w:rsidR="001C1D37" w:rsidRPr="001C1D37" w:rsidTr="008044DD">
        <w:trPr>
          <w:trHeight w:hRule="exact" w:val="340"/>
        </w:trPr>
        <w:tc>
          <w:tcPr>
            <w:tcW w:w="851" w:type="dxa"/>
            <w:tcBorders>
              <w:top w:val="single" w:sz="12" w:space="0" w:color="auto"/>
              <w:left w:val="nil"/>
            </w:tcBorders>
            <w:vAlign w:val="center"/>
          </w:tcPr>
          <w:p w:rsidR="008044DD" w:rsidRPr="001C1D37" w:rsidRDefault="008044DD" w:rsidP="001C1D37">
            <w:pPr>
              <w:pStyle w:val="NoSpacing"/>
              <w:jc w:val="center"/>
              <w:rPr>
                <w:rFonts w:ascii="Times New Roman" w:hAnsi="Times New Roman"/>
                <w:lang w:eastAsia="en-GB"/>
              </w:rPr>
            </w:pPr>
            <w:r w:rsidRPr="001C1D37">
              <w:rPr>
                <w:rFonts w:ascii="Times New Roman" w:hAnsi="Times New Roman"/>
                <w:lang w:eastAsia="en-GB"/>
              </w:rPr>
              <w:t>(0, 1)</w:t>
            </w:r>
          </w:p>
        </w:tc>
        <w:tc>
          <w:tcPr>
            <w:tcW w:w="850" w:type="dxa"/>
            <w:tcBorders>
              <w:top w:val="single" w:sz="12" w:space="0" w:color="auto"/>
            </w:tcBorders>
            <w:vAlign w:val="center"/>
          </w:tcPr>
          <w:p w:rsidR="008044DD" w:rsidRPr="001C1D37" w:rsidRDefault="008044DD" w:rsidP="001C1D37">
            <w:pPr>
              <w:jc w:val="center"/>
              <w:rPr>
                <w:sz w:val="22"/>
                <w:szCs w:val="22"/>
              </w:rPr>
            </w:pPr>
            <w:r w:rsidRPr="001C1D37">
              <w:rPr>
                <w:sz w:val="22"/>
                <w:szCs w:val="22"/>
              </w:rPr>
              <w:t>10.8</w:t>
            </w:r>
          </w:p>
        </w:tc>
        <w:tc>
          <w:tcPr>
            <w:tcW w:w="851" w:type="dxa"/>
            <w:tcBorders>
              <w:top w:val="single" w:sz="12"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-0.391</w:t>
            </w:r>
          </w:p>
        </w:tc>
        <w:tc>
          <w:tcPr>
            <w:tcW w:w="850" w:type="dxa"/>
            <w:tcBorders>
              <w:top w:val="single" w:sz="12"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0.112</w:t>
            </w:r>
          </w:p>
        </w:tc>
        <w:tc>
          <w:tcPr>
            <w:tcW w:w="851" w:type="dxa"/>
            <w:tcBorders>
              <w:top w:val="single" w:sz="12"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0.660</w:t>
            </w:r>
          </w:p>
        </w:tc>
        <w:tc>
          <w:tcPr>
            <w:tcW w:w="850" w:type="dxa"/>
            <w:tcBorders>
              <w:top w:val="single" w:sz="12"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0.045</w:t>
            </w:r>
          </w:p>
        </w:tc>
        <w:tc>
          <w:tcPr>
            <w:tcW w:w="851" w:type="dxa"/>
            <w:tcBorders>
              <w:top w:val="single" w:sz="12" w:space="0" w:color="auto"/>
            </w:tcBorders>
            <w:vAlign w:val="center"/>
          </w:tcPr>
          <w:p w:rsidR="008044DD" w:rsidRPr="001C1D37" w:rsidRDefault="008044DD" w:rsidP="001C1D37">
            <w:pPr>
              <w:jc w:val="center"/>
              <w:rPr>
                <w:sz w:val="22"/>
                <w:szCs w:val="22"/>
              </w:rPr>
            </w:pPr>
            <w:r w:rsidRPr="001C1D37">
              <w:rPr>
                <w:sz w:val="22"/>
                <w:szCs w:val="22"/>
              </w:rPr>
              <w:t>0.689</w:t>
            </w:r>
          </w:p>
        </w:tc>
        <w:tc>
          <w:tcPr>
            <w:tcW w:w="850" w:type="dxa"/>
            <w:tcBorders>
              <w:top w:val="single" w:sz="12" w:space="0" w:color="auto"/>
            </w:tcBorders>
            <w:vAlign w:val="center"/>
          </w:tcPr>
          <w:p w:rsidR="008044DD" w:rsidRPr="001C1D37" w:rsidRDefault="008044DD" w:rsidP="001C1D37">
            <w:pPr>
              <w:jc w:val="center"/>
              <w:rPr>
                <w:sz w:val="22"/>
                <w:szCs w:val="22"/>
              </w:rPr>
            </w:pPr>
            <w:r w:rsidRPr="001C1D37">
              <w:rPr>
                <w:sz w:val="22"/>
                <w:szCs w:val="22"/>
              </w:rPr>
              <w:t>0.137</w:t>
            </w:r>
          </w:p>
        </w:tc>
        <w:tc>
          <w:tcPr>
            <w:tcW w:w="851" w:type="dxa"/>
            <w:tcBorders>
              <w:top w:val="single" w:sz="12" w:space="0" w:color="auto"/>
            </w:tcBorders>
            <w:vAlign w:val="center"/>
          </w:tcPr>
          <w:p w:rsidR="008044DD" w:rsidRPr="001C1D37" w:rsidRDefault="008044DD" w:rsidP="001C1D37">
            <w:pPr>
              <w:jc w:val="center"/>
              <w:rPr>
                <w:sz w:val="22"/>
                <w:szCs w:val="22"/>
              </w:rPr>
            </w:pPr>
            <w:r w:rsidRPr="001C1D37">
              <w:rPr>
                <w:sz w:val="22"/>
                <w:szCs w:val="22"/>
              </w:rPr>
              <w:t>0.597</w:t>
            </w:r>
          </w:p>
        </w:tc>
        <w:tc>
          <w:tcPr>
            <w:tcW w:w="850" w:type="dxa"/>
            <w:tcBorders>
              <w:top w:val="single" w:sz="12" w:space="0" w:color="auto"/>
              <w:right w:val="nil"/>
            </w:tcBorders>
            <w:vAlign w:val="center"/>
          </w:tcPr>
          <w:p w:rsidR="008044DD" w:rsidRPr="001C1D37" w:rsidRDefault="008044DD" w:rsidP="001C1D37">
            <w:pPr>
              <w:jc w:val="center"/>
              <w:rPr>
                <w:sz w:val="22"/>
                <w:szCs w:val="22"/>
              </w:rPr>
            </w:pPr>
            <w:r w:rsidRPr="001C1D37">
              <w:rPr>
                <w:sz w:val="22"/>
                <w:szCs w:val="22"/>
              </w:rPr>
              <w:t>0.135</w:t>
            </w:r>
          </w:p>
        </w:tc>
      </w:tr>
      <w:tr w:rsidR="001C1D37" w:rsidRPr="001C1D37" w:rsidTr="008044DD">
        <w:trPr>
          <w:trHeight w:hRule="exact" w:val="340"/>
        </w:trPr>
        <w:tc>
          <w:tcPr>
            <w:tcW w:w="851" w:type="dxa"/>
            <w:tcBorders>
              <w:left w:val="nil"/>
            </w:tcBorders>
            <w:vAlign w:val="center"/>
          </w:tcPr>
          <w:p w:rsidR="008044DD" w:rsidRPr="001C1D37" w:rsidRDefault="008044DD" w:rsidP="001C1D37">
            <w:pPr>
              <w:pStyle w:val="NoSpacing"/>
              <w:jc w:val="center"/>
              <w:rPr>
                <w:rFonts w:ascii="Times New Roman" w:hAnsi="Times New Roman"/>
                <w:b/>
                <w:lang w:eastAsia="en-GB"/>
              </w:rPr>
            </w:pPr>
            <w:r w:rsidRPr="001C1D37">
              <w:rPr>
                <w:rFonts w:ascii="Times New Roman" w:hAnsi="Times New Roman"/>
                <w:b/>
                <w:lang w:eastAsia="en-GB"/>
              </w:rPr>
              <w:t>(0, 2)</w:t>
            </w:r>
          </w:p>
        </w:tc>
        <w:tc>
          <w:tcPr>
            <w:tcW w:w="850" w:type="dxa"/>
            <w:vAlign w:val="center"/>
          </w:tcPr>
          <w:p w:rsidR="008044DD" w:rsidRPr="001C1D37" w:rsidRDefault="008044DD" w:rsidP="001C1D37">
            <w:pPr>
              <w:jc w:val="center"/>
              <w:rPr>
                <w:b/>
                <w:sz w:val="22"/>
                <w:szCs w:val="22"/>
              </w:rPr>
            </w:pPr>
            <w:r w:rsidRPr="001C1D37">
              <w:rPr>
                <w:b/>
                <w:sz w:val="22"/>
                <w:szCs w:val="22"/>
              </w:rPr>
              <w:t>20.5</w:t>
            </w:r>
          </w:p>
        </w:tc>
        <w:tc>
          <w:tcPr>
            <w:tcW w:w="851" w:type="dxa"/>
            <w:shd w:val="clear" w:color="auto" w:fill="auto"/>
            <w:vAlign w:val="center"/>
          </w:tcPr>
          <w:p w:rsidR="008044DD" w:rsidRPr="001C1D37" w:rsidRDefault="008044DD" w:rsidP="001C1D37">
            <w:pPr>
              <w:jc w:val="center"/>
              <w:rPr>
                <w:b/>
                <w:sz w:val="22"/>
                <w:szCs w:val="22"/>
              </w:rPr>
            </w:pPr>
            <w:r w:rsidRPr="001C1D37">
              <w:rPr>
                <w:b/>
                <w:sz w:val="22"/>
                <w:szCs w:val="22"/>
              </w:rPr>
              <w:t>-0.626</w:t>
            </w:r>
          </w:p>
        </w:tc>
        <w:tc>
          <w:tcPr>
            <w:tcW w:w="850" w:type="dxa"/>
            <w:shd w:val="clear" w:color="auto" w:fill="auto"/>
            <w:vAlign w:val="center"/>
          </w:tcPr>
          <w:p w:rsidR="008044DD" w:rsidRPr="001C1D37" w:rsidRDefault="008044DD" w:rsidP="001C1D37">
            <w:pPr>
              <w:jc w:val="center"/>
              <w:rPr>
                <w:b/>
                <w:sz w:val="22"/>
                <w:szCs w:val="22"/>
              </w:rPr>
            </w:pPr>
            <w:r w:rsidRPr="001C1D37">
              <w:rPr>
                <w:b/>
                <w:sz w:val="22"/>
                <w:szCs w:val="22"/>
              </w:rPr>
              <w:t>0.083</w:t>
            </w:r>
          </w:p>
        </w:tc>
        <w:tc>
          <w:tcPr>
            <w:tcW w:w="851" w:type="dxa"/>
            <w:shd w:val="clear" w:color="auto" w:fill="auto"/>
            <w:vAlign w:val="center"/>
          </w:tcPr>
          <w:p w:rsidR="008044DD" w:rsidRPr="001C1D37" w:rsidRDefault="008044DD" w:rsidP="001C1D37">
            <w:pPr>
              <w:jc w:val="center"/>
              <w:rPr>
                <w:b/>
                <w:sz w:val="22"/>
                <w:szCs w:val="22"/>
              </w:rPr>
            </w:pPr>
            <w:r w:rsidRPr="001C1D37">
              <w:rPr>
                <w:b/>
                <w:sz w:val="22"/>
                <w:szCs w:val="22"/>
              </w:rPr>
              <w:t>0.735</w:t>
            </w:r>
          </w:p>
        </w:tc>
        <w:tc>
          <w:tcPr>
            <w:tcW w:w="850" w:type="dxa"/>
            <w:shd w:val="clear" w:color="auto" w:fill="auto"/>
            <w:vAlign w:val="center"/>
          </w:tcPr>
          <w:p w:rsidR="008044DD" w:rsidRPr="001C1D37" w:rsidRDefault="008044DD" w:rsidP="001C1D37">
            <w:pPr>
              <w:jc w:val="center"/>
              <w:rPr>
                <w:b/>
                <w:sz w:val="22"/>
                <w:szCs w:val="22"/>
              </w:rPr>
            </w:pPr>
            <w:r w:rsidRPr="001C1D37">
              <w:rPr>
                <w:b/>
                <w:sz w:val="22"/>
                <w:szCs w:val="22"/>
              </w:rPr>
              <w:t>0.030</w:t>
            </w:r>
          </w:p>
        </w:tc>
        <w:tc>
          <w:tcPr>
            <w:tcW w:w="851" w:type="dxa"/>
            <w:vAlign w:val="center"/>
          </w:tcPr>
          <w:p w:rsidR="008044DD" w:rsidRPr="001C1D37" w:rsidRDefault="008044DD" w:rsidP="001C1D37">
            <w:pPr>
              <w:jc w:val="center"/>
              <w:rPr>
                <w:b/>
                <w:sz w:val="22"/>
                <w:szCs w:val="22"/>
              </w:rPr>
            </w:pPr>
            <w:r w:rsidRPr="001C1D37">
              <w:rPr>
                <w:b/>
                <w:sz w:val="22"/>
                <w:szCs w:val="22"/>
              </w:rPr>
              <w:t>0.735</w:t>
            </w:r>
          </w:p>
        </w:tc>
        <w:tc>
          <w:tcPr>
            <w:tcW w:w="850" w:type="dxa"/>
            <w:vAlign w:val="center"/>
          </w:tcPr>
          <w:p w:rsidR="008044DD" w:rsidRPr="001C1D37" w:rsidRDefault="008044DD" w:rsidP="001C1D37">
            <w:pPr>
              <w:jc w:val="center"/>
              <w:rPr>
                <w:b/>
                <w:sz w:val="22"/>
                <w:szCs w:val="22"/>
              </w:rPr>
            </w:pPr>
            <w:r w:rsidRPr="001C1D37">
              <w:rPr>
                <w:b/>
                <w:sz w:val="22"/>
                <w:szCs w:val="22"/>
              </w:rPr>
              <w:t>0.085</w:t>
            </w:r>
          </w:p>
        </w:tc>
        <w:tc>
          <w:tcPr>
            <w:tcW w:w="851" w:type="dxa"/>
            <w:vAlign w:val="center"/>
          </w:tcPr>
          <w:p w:rsidR="008044DD" w:rsidRPr="001C1D37" w:rsidRDefault="008044DD" w:rsidP="001C1D37">
            <w:pPr>
              <w:jc w:val="center"/>
              <w:rPr>
                <w:b/>
                <w:sz w:val="22"/>
                <w:szCs w:val="22"/>
              </w:rPr>
            </w:pPr>
            <w:r w:rsidRPr="001C1D37">
              <w:rPr>
                <w:b/>
                <w:sz w:val="22"/>
                <w:szCs w:val="22"/>
              </w:rPr>
              <w:t>0.646</w:t>
            </w:r>
          </w:p>
        </w:tc>
        <w:tc>
          <w:tcPr>
            <w:tcW w:w="850" w:type="dxa"/>
            <w:tcBorders>
              <w:right w:val="nil"/>
            </w:tcBorders>
            <w:vAlign w:val="center"/>
          </w:tcPr>
          <w:p w:rsidR="008044DD" w:rsidRPr="001C1D37" w:rsidRDefault="008044DD" w:rsidP="001C1D37">
            <w:pPr>
              <w:jc w:val="center"/>
              <w:rPr>
                <w:b/>
                <w:sz w:val="22"/>
                <w:szCs w:val="22"/>
              </w:rPr>
            </w:pPr>
            <w:r w:rsidRPr="001C1D37">
              <w:rPr>
                <w:b/>
                <w:sz w:val="22"/>
                <w:szCs w:val="22"/>
              </w:rPr>
              <w:t>0.086</w:t>
            </w:r>
          </w:p>
        </w:tc>
      </w:tr>
      <w:tr w:rsidR="001C1D37" w:rsidRPr="001C1D37" w:rsidTr="008044DD">
        <w:trPr>
          <w:trHeight w:hRule="exact" w:val="340"/>
        </w:trPr>
        <w:tc>
          <w:tcPr>
            <w:tcW w:w="851" w:type="dxa"/>
            <w:tcBorders>
              <w:left w:val="nil"/>
            </w:tcBorders>
            <w:vAlign w:val="center"/>
          </w:tcPr>
          <w:p w:rsidR="008044DD" w:rsidRPr="001C1D37" w:rsidRDefault="008044DD" w:rsidP="001C1D37">
            <w:pPr>
              <w:jc w:val="center"/>
              <w:rPr>
                <w:sz w:val="22"/>
                <w:szCs w:val="22"/>
              </w:rPr>
            </w:pPr>
            <w:r w:rsidRPr="001C1D37">
              <w:rPr>
                <w:sz w:val="22"/>
                <w:szCs w:val="22"/>
                <w:lang w:eastAsia="en-GB"/>
              </w:rPr>
              <w:t>(0, 3)</w:t>
            </w:r>
          </w:p>
        </w:tc>
        <w:tc>
          <w:tcPr>
            <w:tcW w:w="850" w:type="dxa"/>
            <w:vAlign w:val="center"/>
          </w:tcPr>
          <w:p w:rsidR="008044DD" w:rsidRPr="001C1D37" w:rsidRDefault="008044DD" w:rsidP="001C1D37">
            <w:pPr>
              <w:jc w:val="center"/>
              <w:rPr>
                <w:sz w:val="22"/>
                <w:szCs w:val="22"/>
              </w:rPr>
            </w:pPr>
            <w:r w:rsidRPr="001C1D37">
              <w:rPr>
                <w:sz w:val="22"/>
                <w:szCs w:val="22"/>
              </w:rPr>
              <w:t>27.5</w:t>
            </w:r>
          </w:p>
        </w:tc>
        <w:tc>
          <w:tcPr>
            <w:tcW w:w="851" w:type="dxa"/>
            <w:shd w:val="clear" w:color="auto" w:fill="auto"/>
            <w:vAlign w:val="center"/>
          </w:tcPr>
          <w:p w:rsidR="008044DD" w:rsidRPr="001C1D37" w:rsidRDefault="008044DD" w:rsidP="001C1D37">
            <w:pPr>
              <w:jc w:val="center"/>
              <w:rPr>
                <w:sz w:val="22"/>
                <w:szCs w:val="22"/>
              </w:rPr>
            </w:pPr>
            <w:r w:rsidRPr="001C1D37">
              <w:rPr>
                <w:sz w:val="22"/>
                <w:szCs w:val="22"/>
              </w:rPr>
              <w:t>-0.573</w:t>
            </w:r>
          </w:p>
        </w:tc>
        <w:tc>
          <w:tcPr>
            <w:tcW w:w="850" w:type="dxa"/>
            <w:shd w:val="clear" w:color="auto" w:fill="auto"/>
            <w:vAlign w:val="center"/>
          </w:tcPr>
          <w:p w:rsidR="008044DD" w:rsidRPr="001C1D37" w:rsidRDefault="008044DD" w:rsidP="001C1D37">
            <w:pPr>
              <w:jc w:val="center"/>
              <w:rPr>
                <w:sz w:val="22"/>
                <w:szCs w:val="22"/>
              </w:rPr>
            </w:pPr>
            <w:r w:rsidRPr="001C1D37">
              <w:rPr>
                <w:sz w:val="22"/>
                <w:szCs w:val="22"/>
              </w:rPr>
              <w:t>0.113</w:t>
            </w:r>
          </w:p>
        </w:tc>
        <w:tc>
          <w:tcPr>
            <w:tcW w:w="851" w:type="dxa"/>
            <w:shd w:val="clear" w:color="auto" w:fill="auto"/>
            <w:vAlign w:val="center"/>
          </w:tcPr>
          <w:p w:rsidR="008044DD" w:rsidRPr="001C1D37" w:rsidRDefault="008044DD" w:rsidP="001C1D37">
            <w:pPr>
              <w:jc w:val="center"/>
              <w:rPr>
                <w:sz w:val="22"/>
                <w:szCs w:val="22"/>
              </w:rPr>
            </w:pPr>
            <w:r w:rsidRPr="001C1D37">
              <w:rPr>
                <w:sz w:val="22"/>
                <w:szCs w:val="22"/>
              </w:rPr>
              <w:t>0.711</w:t>
            </w:r>
          </w:p>
        </w:tc>
        <w:tc>
          <w:tcPr>
            <w:tcW w:w="850" w:type="dxa"/>
            <w:shd w:val="clear" w:color="auto" w:fill="auto"/>
            <w:vAlign w:val="center"/>
          </w:tcPr>
          <w:p w:rsidR="008044DD" w:rsidRPr="001C1D37" w:rsidRDefault="008044DD" w:rsidP="001C1D37">
            <w:pPr>
              <w:jc w:val="center"/>
              <w:rPr>
                <w:sz w:val="22"/>
                <w:szCs w:val="22"/>
              </w:rPr>
            </w:pPr>
            <w:r w:rsidRPr="001C1D37">
              <w:rPr>
                <w:sz w:val="22"/>
                <w:szCs w:val="22"/>
              </w:rPr>
              <w:t>0.038</w:t>
            </w:r>
          </w:p>
        </w:tc>
        <w:tc>
          <w:tcPr>
            <w:tcW w:w="851" w:type="dxa"/>
            <w:vAlign w:val="center"/>
          </w:tcPr>
          <w:p w:rsidR="008044DD" w:rsidRPr="001C1D37" w:rsidRDefault="008044DD" w:rsidP="001C1D37">
            <w:pPr>
              <w:jc w:val="center"/>
              <w:rPr>
                <w:sz w:val="22"/>
                <w:szCs w:val="22"/>
              </w:rPr>
            </w:pPr>
            <w:r w:rsidRPr="001C1D37">
              <w:rPr>
                <w:sz w:val="22"/>
                <w:szCs w:val="22"/>
              </w:rPr>
              <w:t>0.713</w:t>
            </w:r>
          </w:p>
        </w:tc>
        <w:tc>
          <w:tcPr>
            <w:tcW w:w="850" w:type="dxa"/>
            <w:vAlign w:val="center"/>
          </w:tcPr>
          <w:p w:rsidR="008044DD" w:rsidRPr="001C1D37" w:rsidRDefault="008044DD" w:rsidP="001C1D37">
            <w:pPr>
              <w:jc w:val="center"/>
              <w:rPr>
                <w:sz w:val="22"/>
                <w:szCs w:val="22"/>
              </w:rPr>
            </w:pPr>
            <w:r w:rsidRPr="001C1D37">
              <w:rPr>
                <w:sz w:val="22"/>
                <w:szCs w:val="22"/>
              </w:rPr>
              <w:t>0.097</w:t>
            </w:r>
          </w:p>
        </w:tc>
        <w:tc>
          <w:tcPr>
            <w:tcW w:w="851" w:type="dxa"/>
            <w:vAlign w:val="center"/>
          </w:tcPr>
          <w:p w:rsidR="008044DD" w:rsidRPr="001C1D37" w:rsidRDefault="008044DD" w:rsidP="001C1D37">
            <w:pPr>
              <w:jc w:val="center"/>
              <w:rPr>
                <w:sz w:val="22"/>
                <w:szCs w:val="22"/>
              </w:rPr>
            </w:pPr>
            <w:r w:rsidRPr="001C1D37">
              <w:rPr>
                <w:sz w:val="22"/>
                <w:szCs w:val="22"/>
              </w:rPr>
              <w:t>0.634</w:t>
            </w:r>
          </w:p>
        </w:tc>
        <w:tc>
          <w:tcPr>
            <w:tcW w:w="850" w:type="dxa"/>
            <w:tcBorders>
              <w:right w:val="nil"/>
            </w:tcBorders>
            <w:vAlign w:val="center"/>
          </w:tcPr>
          <w:p w:rsidR="008044DD" w:rsidRPr="001C1D37" w:rsidRDefault="008044DD" w:rsidP="001C1D37">
            <w:pPr>
              <w:jc w:val="center"/>
              <w:rPr>
                <w:sz w:val="22"/>
                <w:szCs w:val="22"/>
              </w:rPr>
            </w:pPr>
            <w:r w:rsidRPr="001C1D37">
              <w:rPr>
                <w:sz w:val="22"/>
                <w:szCs w:val="22"/>
              </w:rPr>
              <w:t>0.098</w:t>
            </w:r>
          </w:p>
        </w:tc>
      </w:tr>
      <w:tr w:rsidR="001C1D37" w:rsidRPr="001C1D37" w:rsidTr="008044DD">
        <w:trPr>
          <w:trHeight w:hRule="exact" w:val="340"/>
        </w:trPr>
        <w:tc>
          <w:tcPr>
            <w:tcW w:w="851" w:type="dxa"/>
            <w:tcBorders>
              <w:left w:val="nil"/>
            </w:tcBorders>
            <w:vAlign w:val="center"/>
          </w:tcPr>
          <w:p w:rsidR="008044DD" w:rsidRPr="001C1D37" w:rsidRDefault="008044DD" w:rsidP="001C1D37">
            <w:pPr>
              <w:jc w:val="center"/>
              <w:rPr>
                <w:sz w:val="22"/>
                <w:szCs w:val="22"/>
              </w:rPr>
            </w:pPr>
            <w:r w:rsidRPr="001C1D37">
              <w:rPr>
                <w:sz w:val="22"/>
                <w:szCs w:val="22"/>
                <w:lang w:eastAsia="en-GB"/>
              </w:rPr>
              <w:t>(0, 4)</w:t>
            </w:r>
          </w:p>
        </w:tc>
        <w:tc>
          <w:tcPr>
            <w:tcW w:w="850" w:type="dxa"/>
            <w:vAlign w:val="center"/>
          </w:tcPr>
          <w:p w:rsidR="008044DD" w:rsidRPr="001C1D37" w:rsidRDefault="008044DD" w:rsidP="001C1D37">
            <w:pPr>
              <w:jc w:val="center"/>
              <w:rPr>
                <w:sz w:val="22"/>
                <w:szCs w:val="22"/>
              </w:rPr>
            </w:pPr>
            <w:r w:rsidRPr="001C1D37">
              <w:rPr>
                <w:sz w:val="22"/>
                <w:szCs w:val="22"/>
              </w:rPr>
              <w:t>31.2</w:t>
            </w:r>
          </w:p>
        </w:tc>
        <w:tc>
          <w:tcPr>
            <w:tcW w:w="851" w:type="dxa"/>
            <w:shd w:val="clear" w:color="auto" w:fill="auto"/>
            <w:vAlign w:val="center"/>
          </w:tcPr>
          <w:p w:rsidR="008044DD" w:rsidRPr="001C1D37" w:rsidRDefault="008044DD" w:rsidP="001C1D37">
            <w:pPr>
              <w:jc w:val="center"/>
              <w:rPr>
                <w:sz w:val="22"/>
                <w:szCs w:val="22"/>
              </w:rPr>
            </w:pPr>
            <w:r w:rsidRPr="001C1D37">
              <w:rPr>
                <w:sz w:val="22"/>
                <w:szCs w:val="22"/>
              </w:rPr>
              <w:t>-0.568</w:t>
            </w:r>
          </w:p>
        </w:tc>
        <w:tc>
          <w:tcPr>
            <w:tcW w:w="850" w:type="dxa"/>
            <w:shd w:val="clear" w:color="auto" w:fill="auto"/>
            <w:vAlign w:val="center"/>
          </w:tcPr>
          <w:p w:rsidR="008044DD" w:rsidRPr="001C1D37" w:rsidRDefault="008044DD" w:rsidP="001C1D37">
            <w:pPr>
              <w:jc w:val="center"/>
              <w:rPr>
                <w:sz w:val="22"/>
                <w:szCs w:val="22"/>
              </w:rPr>
            </w:pPr>
            <w:r w:rsidRPr="001C1D37">
              <w:rPr>
                <w:sz w:val="22"/>
                <w:szCs w:val="22"/>
              </w:rPr>
              <w:t>0.057</w:t>
            </w:r>
          </w:p>
        </w:tc>
        <w:tc>
          <w:tcPr>
            <w:tcW w:w="851" w:type="dxa"/>
            <w:shd w:val="clear" w:color="auto" w:fill="auto"/>
            <w:vAlign w:val="center"/>
          </w:tcPr>
          <w:p w:rsidR="008044DD" w:rsidRPr="001C1D37" w:rsidRDefault="008044DD" w:rsidP="001C1D37">
            <w:pPr>
              <w:jc w:val="center"/>
              <w:rPr>
                <w:sz w:val="22"/>
                <w:szCs w:val="22"/>
              </w:rPr>
            </w:pPr>
            <w:r w:rsidRPr="001C1D37">
              <w:rPr>
                <w:sz w:val="22"/>
                <w:szCs w:val="22"/>
              </w:rPr>
              <w:t>0.703</w:t>
            </w:r>
          </w:p>
        </w:tc>
        <w:tc>
          <w:tcPr>
            <w:tcW w:w="850" w:type="dxa"/>
            <w:shd w:val="clear" w:color="auto" w:fill="auto"/>
            <w:vAlign w:val="center"/>
          </w:tcPr>
          <w:p w:rsidR="008044DD" w:rsidRPr="001C1D37" w:rsidRDefault="008044DD" w:rsidP="001C1D37">
            <w:pPr>
              <w:jc w:val="center"/>
              <w:rPr>
                <w:sz w:val="22"/>
                <w:szCs w:val="22"/>
              </w:rPr>
            </w:pPr>
            <w:r w:rsidRPr="001C1D37">
              <w:rPr>
                <w:sz w:val="22"/>
                <w:szCs w:val="22"/>
              </w:rPr>
              <w:t>0.026</w:t>
            </w:r>
          </w:p>
        </w:tc>
        <w:tc>
          <w:tcPr>
            <w:tcW w:w="851" w:type="dxa"/>
            <w:vAlign w:val="center"/>
          </w:tcPr>
          <w:p w:rsidR="008044DD" w:rsidRPr="001C1D37" w:rsidRDefault="008044DD" w:rsidP="001C1D37">
            <w:pPr>
              <w:jc w:val="center"/>
              <w:rPr>
                <w:sz w:val="22"/>
                <w:szCs w:val="22"/>
              </w:rPr>
            </w:pPr>
            <w:r w:rsidRPr="001C1D37">
              <w:rPr>
                <w:sz w:val="22"/>
                <w:szCs w:val="22"/>
              </w:rPr>
              <w:t>0.682</w:t>
            </w:r>
          </w:p>
        </w:tc>
        <w:tc>
          <w:tcPr>
            <w:tcW w:w="850" w:type="dxa"/>
            <w:vAlign w:val="center"/>
          </w:tcPr>
          <w:p w:rsidR="008044DD" w:rsidRPr="001C1D37" w:rsidRDefault="008044DD" w:rsidP="001C1D37">
            <w:pPr>
              <w:jc w:val="center"/>
              <w:rPr>
                <w:sz w:val="22"/>
                <w:szCs w:val="22"/>
              </w:rPr>
            </w:pPr>
            <w:r w:rsidRPr="001C1D37">
              <w:rPr>
                <w:sz w:val="22"/>
                <w:szCs w:val="22"/>
              </w:rPr>
              <w:t>0.084</w:t>
            </w:r>
          </w:p>
        </w:tc>
        <w:tc>
          <w:tcPr>
            <w:tcW w:w="851" w:type="dxa"/>
            <w:vAlign w:val="center"/>
          </w:tcPr>
          <w:p w:rsidR="008044DD" w:rsidRPr="001C1D37" w:rsidRDefault="008044DD" w:rsidP="001C1D37">
            <w:pPr>
              <w:jc w:val="center"/>
              <w:rPr>
                <w:sz w:val="22"/>
                <w:szCs w:val="22"/>
              </w:rPr>
            </w:pPr>
            <w:r w:rsidRPr="001C1D37">
              <w:rPr>
                <w:sz w:val="22"/>
                <w:szCs w:val="22"/>
              </w:rPr>
              <w:t>0.653</w:t>
            </w:r>
          </w:p>
        </w:tc>
        <w:tc>
          <w:tcPr>
            <w:tcW w:w="850" w:type="dxa"/>
            <w:tcBorders>
              <w:right w:val="nil"/>
            </w:tcBorders>
            <w:vAlign w:val="center"/>
          </w:tcPr>
          <w:p w:rsidR="008044DD" w:rsidRPr="001C1D37" w:rsidRDefault="008044DD" w:rsidP="001C1D37">
            <w:pPr>
              <w:jc w:val="center"/>
              <w:rPr>
                <w:sz w:val="22"/>
                <w:szCs w:val="22"/>
              </w:rPr>
            </w:pPr>
            <w:r w:rsidRPr="001C1D37">
              <w:rPr>
                <w:sz w:val="22"/>
                <w:szCs w:val="22"/>
              </w:rPr>
              <w:t>0.089</w:t>
            </w:r>
          </w:p>
        </w:tc>
      </w:tr>
      <w:tr w:rsidR="001C1D37" w:rsidRPr="001C1D37" w:rsidTr="008044DD">
        <w:trPr>
          <w:trHeight w:hRule="exact" w:val="340"/>
        </w:trPr>
        <w:tc>
          <w:tcPr>
            <w:tcW w:w="851" w:type="dxa"/>
            <w:tcBorders>
              <w:left w:val="nil"/>
              <w:bottom w:val="single" w:sz="4" w:space="0" w:color="auto"/>
            </w:tcBorders>
            <w:vAlign w:val="center"/>
          </w:tcPr>
          <w:p w:rsidR="008044DD" w:rsidRPr="001C1D37" w:rsidRDefault="008044DD" w:rsidP="001C1D37">
            <w:pPr>
              <w:jc w:val="center"/>
              <w:rPr>
                <w:sz w:val="22"/>
                <w:szCs w:val="22"/>
              </w:rPr>
            </w:pPr>
            <w:r w:rsidRPr="001C1D37">
              <w:rPr>
                <w:sz w:val="22"/>
                <w:szCs w:val="22"/>
                <w:lang w:eastAsia="en-GB"/>
              </w:rPr>
              <w:t>(0, 5)</w:t>
            </w:r>
          </w:p>
        </w:tc>
        <w:tc>
          <w:tcPr>
            <w:tcW w:w="850" w:type="dxa"/>
            <w:tcBorders>
              <w:bottom w:val="single" w:sz="4" w:space="0" w:color="auto"/>
            </w:tcBorders>
            <w:vAlign w:val="center"/>
          </w:tcPr>
          <w:p w:rsidR="008044DD" w:rsidRPr="001C1D37" w:rsidRDefault="008044DD" w:rsidP="001C1D37">
            <w:pPr>
              <w:jc w:val="center"/>
              <w:rPr>
                <w:sz w:val="22"/>
                <w:szCs w:val="22"/>
              </w:rPr>
            </w:pPr>
            <w:r w:rsidRPr="001C1D37">
              <w:rPr>
                <w:sz w:val="22"/>
                <w:szCs w:val="22"/>
              </w:rPr>
              <w:t>32.5</w:t>
            </w:r>
          </w:p>
        </w:tc>
        <w:tc>
          <w:tcPr>
            <w:tcW w:w="851" w:type="dxa"/>
            <w:tcBorders>
              <w:bottom w:val="single" w:sz="4"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-0.520</w:t>
            </w:r>
          </w:p>
        </w:tc>
        <w:tc>
          <w:tcPr>
            <w:tcW w:w="850" w:type="dxa"/>
            <w:tcBorders>
              <w:bottom w:val="single" w:sz="4"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0.039</w:t>
            </w:r>
          </w:p>
        </w:tc>
        <w:tc>
          <w:tcPr>
            <w:tcW w:w="851" w:type="dxa"/>
            <w:tcBorders>
              <w:bottom w:val="single" w:sz="4"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0.677</w:t>
            </w:r>
          </w:p>
        </w:tc>
        <w:tc>
          <w:tcPr>
            <w:tcW w:w="850" w:type="dxa"/>
            <w:tcBorders>
              <w:bottom w:val="single" w:sz="4"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0.024</w:t>
            </w:r>
          </w:p>
        </w:tc>
        <w:tc>
          <w:tcPr>
            <w:tcW w:w="851" w:type="dxa"/>
            <w:tcBorders>
              <w:bottom w:val="single" w:sz="4" w:space="0" w:color="auto"/>
            </w:tcBorders>
            <w:vAlign w:val="center"/>
          </w:tcPr>
          <w:p w:rsidR="008044DD" w:rsidRPr="001C1D37" w:rsidRDefault="008044DD" w:rsidP="001C1D37">
            <w:pPr>
              <w:jc w:val="center"/>
              <w:rPr>
                <w:sz w:val="22"/>
                <w:szCs w:val="22"/>
              </w:rPr>
            </w:pPr>
            <w:r w:rsidRPr="001C1D37">
              <w:rPr>
                <w:sz w:val="22"/>
                <w:szCs w:val="22"/>
              </w:rPr>
              <w:t>0.638</w:t>
            </w:r>
          </w:p>
        </w:tc>
        <w:tc>
          <w:tcPr>
            <w:tcW w:w="850" w:type="dxa"/>
            <w:tcBorders>
              <w:bottom w:val="single" w:sz="4" w:space="0" w:color="auto"/>
            </w:tcBorders>
            <w:vAlign w:val="center"/>
          </w:tcPr>
          <w:p w:rsidR="008044DD" w:rsidRPr="001C1D37" w:rsidRDefault="008044DD" w:rsidP="001C1D37">
            <w:pPr>
              <w:jc w:val="center"/>
              <w:rPr>
                <w:sz w:val="22"/>
                <w:szCs w:val="22"/>
              </w:rPr>
            </w:pPr>
            <w:r w:rsidRPr="001C1D37">
              <w:rPr>
                <w:sz w:val="22"/>
                <w:szCs w:val="22"/>
              </w:rPr>
              <w:t>0.090</w:t>
            </w:r>
          </w:p>
        </w:tc>
        <w:tc>
          <w:tcPr>
            <w:tcW w:w="851" w:type="dxa"/>
            <w:tcBorders>
              <w:bottom w:val="single" w:sz="4" w:space="0" w:color="auto"/>
            </w:tcBorders>
            <w:vAlign w:val="center"/>
          </w:tcPr>
          <w:p w:rsidR="008044DD" w:rsidRPr="001C1D37" w:rsidRDefault="008044DD" w:rsidP="001C1D37">
            <w:pPr>
              <w:jc w:val="center"/>
              <w:rPr>
                <w:sz w:val="22"/>
                <w:szCs w:val="22"/>
              </w:rPr>
            </w:pPr>
            <w:r w:rsidRPr="001C1D37">
              <w:rPr>
                <w:sz w:val="22"/>
                <w:szCs w:val="22"/>
              </w:rPr>
              <w:t>0.665</w:t>
            </w:r>
          </w:p>
        </w:tc>
        <w:tc>
          <w:tcPr>
            <w:tcW w:w="850" w:type="dxa"/>
            <w:tcBorders>
              <w:bottom w:val="single" w:sz="4" w:space="0" w:color="auto"/>
              <w:right w:val="nil"/>
            </w:tcBorders>
            <w:vAlign w:val="center"/>
          </w:tcPr>
          <w:p w:rsidR="008044DD" w:rsidRPr="001C1D37" w:rsidRDefault="008044DD" w:rsidP="001C1D37">
            <w:pPr>
              <w:jc w:val="center"/>
              <w:rPr>
                <w:sz w:val="22"/>
                <w:szCs w:val="22"/>
              </w:rPr>
            </w:pPr>
            <w:r w:rsidRPr="001C1D37">
              <w:rPr>
                <w:sz w:val="22"/>
                <w:szCs w:val="22"/>
              </w:rPr>
              <w:t>0.092</w:t>
            </w:r>
          </w:p>
        </w:tc>
      </w:tr>
      <w:tr w:rsidR="001C1D37" w:rsidRPr="001C1D37" w:rsidTr="006278BB">
        <w:trPr>
          <w:trHeight w:hRule="exact" w:val="340"/>
        </w:trPr>
        <w:tc>
          <w:tcPr>
            <w:tcW w:w="8505" w:type="dxa"/>
            <w:gridSpan w:val="10"/>
            <w:tcBorders>
              <w:top w:val="single" w:sz="12" w:space="0" w:color="auto"/>
              <w:left w:val="nil"/>
              <w:right w:val="nil"/>
            </w:tcBorders>
            <w:vAlign w:val="center"/>
          </w:tcPr>
          <w:p w:rsidR="00D111AF" w:rsidRPr="001C1D37" w:rsidRDefault="001C1D37" w:rsidP="001C1D37">
            <w:pPr>
              <w:rPr>
                <w:b/>
                <w:sz w:val="22"/>
                <w:szCs w:val="22"/>
              </w:rPr>
            </w:pPr>
            <m:oMath>
              <m:sSub>
                <m:sSubPr>
                  <m:ctrlPr>
                    <w:rPr>
                      <w:rFonts w:ascii="Cambria Math" w:eastAsia="Calibri" w:hAnsi="Cambria Math"/>
                      <w:b/>
                      <w:i/>
                      <w:sz w:val="22"/>
                      <w:szCs w:val="22"/>
                      <w:lang w:eastAsia="en-GB"/>
                    </w:rPr>
                  </m:ctrlPr>
                </m:sSubPr>
                <m:e>
                  <m:r>
                    <m:rPr>
                      <m:sty m:val="bi"/>
                    </m:rPr>
                    <w:rPr>
                      <w:rFonts w:ascii="Cambria Math" w:hAnsi="Cambria Math"/>
                      <w:sz w:val="22"/>
                      <w:szCs w:val="22"/>
                      <w:lang w:eastAsia="en-GB"/>
                    </w:rPr>
                    <m:t>t</m:t>
                  </m:r>
                </m:e>
                <m:sub>
                  <m:r>
                    <m:rPr>
                      <m:sty m:val="bi"/>
                    </m:rPr>
                    <w:rPr>
                      <w:rFonts w:ascii="Cambria Math" w:hAnsi="Cambria Math"/>
                      <w:sz w:val="22"/>
                      <w:szCs w:val="22"/>
                      <w:lang w:eastAsia="en-GB"/>
                    </w:rPr>
                    <m:t>s</m:t>
                  </m:r>
                </m:sub>
              </m:sSub>
              <m:r>
                <m:rPr>
                  <m:sty m:val="bi"/>
                </m:rPr>
                <w:rPr>
                  <w:rFonts w:ascii="Cambria Math" w:hAnsi="Cambria Math"/>
                  <w:sz w:val="22"/>
                  <w:szCs w:val="22"/>
                  <w:lang w:eastAsia="en-GB"/>
                </w:rPr>
                <m:t>=</m:t>
              </m:r>
            </m:oMath>
            <w:r w:rsidR="00D111AF" w:rsidRPr="001C1D37">
              <w:rPr>
                <w:b/>
                <w:sz w:val="22"/>
                <w:szCs w:val="22"/>
                <w:lang w:eastAsia="en-GB"/>
              </w:rPr>
              <w:t xml:space="preserve"> 3</w:t>
            </w:r>
          </w:p>
        </w:tc>
      </w:tr>
      <w:tr w:rsidR="001C1D37" w:rsidRPr="001C1D37" w:rsidTr="008044DD">
        <w:trPr>
          <w:trHeight w:hRule="exact" w:val="340"/>
        </w:trPr>
        <w:tc>
          <w:tcPr>
            <w:tcW w:w="851" w:type="dxa"/>
            <w:tcBorders>
              <w:top w:val="single" w:sz="12" w:space="0" w:color="auto"/>
              <w:left w:val="nil"/>
            </w:tcBorders>
            <w:vAlign w:val="center"/>
          </w:tcPr>
          <w:p w:rsidR="008044DD" w:rsidRPr="001C1D37" w:rsidRDefault="008044DD" w:rsidP="001C1D37">
            <w:pPr>
              <w:pStyle w:val="NoSpacing"/>
              <w:jc w:val="center"/>
              <w:rPr>
                <w:rFonts w:ascii="Times New Roman" w:hAnsi="Times New Roman"/>
                <w:lang w:eastAsia="en-GB"/>
              </w:rPr>
            </w:pPr>
            <w:r w:rsidRPr="001C1D37">
              <w:rPr>
                <w:rFonts w:ascii="Times New Roman" w:hAnsi="Times New Roman"/>
                <w:lang w:eastAsia="en-GB"/>
              </w:rPr>
              <w:t>(0, 1)</w:t>
            </w:r>
          </w:p>
        </w:tc>
        <w:tc>
          <w:tcPr>
            <w:tcW w:w="850" w:type="dxa"/>
            <w:tcBorders>
              <w:top w:val="single" w:sz="12" w:space="0" w:color="auto"/>
            </w:tcBorders>
            <w:vAlign w:val="center"/>
          </w:tcPr>
          <w:p w:rsidR="008044DD" w:rsidRPr="001C1D37" w:rsidRDefault="008044DD" w:rsidP="001C1D37">
            <w:pPr>
              <w:jc w:val="center"/>
              <w:rPr>
                <w:sz w:val="22"/>
                <w:szCs w:val="22"/>
              </w:rPr>
            </w:pPr>
            <w:r w:rsidRPr="001C1D37">
              <w:rPr>
                <w:sz w:val="22"/>
                <w:szCs w:val="22"/>
              </w:rPr>
              <w:t>3.1</w:t>
            </w:r>
          </w:p>
        </w:tc>
        <w:tc>
          <w:tcPr>
            <w:tcW w:w="851" w:type="dxa"/>
            <w:tcBorders>
              <w:top w:val="single" w:sz="12"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-0.217</w:t>
            </w:r>
          </w:p>
        </w:tc>
        <w:tc>
          <w:tcPr>
            <w:tcW w:w="850" w:type="dxa"/>
            <w:tcBorders>
              <w:top w:val="single" w:sz="12"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0.113</w:t>
            </w:r>
          </w:p>
        </w:tc>
        <w:tc>
          <w:tcPr>
            <w:tcW w:w="851" w:type="dxa"/>
            <w:tcBorders>
              <w:top w:val="single" w:sz="12"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0.601</w:t>
            </w:r>
          </w:p>
        </w:tc>
        <w:tc>
          <w:tcPr>
            <w:tcW w:w="850" w:type="dxa"/>
            <w:tcBorders>
              <w:top w:val="single" w:sz="12"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0.071</w:t>
            </w:r>
          </w:p>
        </w:tc>
        <w:tc>
          <w:tcPr>
            <w:tcW w:w="851" w:type="dxa"/>
            <w:tcBorders>
              <w:top w:val="single" w:sz="12" w:space="0" w:color="auto"/>
            </w:tcBorders>
            <w:vAlign w:val="center"/>
          </w:tcPr>
          <w:p w:rsidR="008044DD" w:rsidRPr="001C1D37" w:rsidRDefault="008044DD" w:rsidP="001C1D37">
            <w:pPr>
              <w:jc w:val="center"/>
              <w:rPr>
                <w:sz w:val="22"/>
                <w:szCs w:val="22"/>
              </w:rPr>
            </w:pPr>
            <w:r w:rsidRPr="001C1D37">
              <w:rPr>
                <w:sz w:val="22"/>
                <w:szCs w:val="22"/>
              </w:rPr>
              <w:t>0.675</w:t>
            </w:r>
          </w:p>
        </w:tc>
        <w:tc>
          <w:tcPr>
            <w:tcW w:w="850" w:type="dxa"/>
            <w:tcBorders>
              <w:top w:val="single" w:sz="12" w:space="0" w:color="auto"/>
            </w:tcBorders>
            <w:vAlign w:val="center"/>
          </w:tcPr>
          <w:p w:rsidR="008044DD" w:rsidRPr="001C1D37" w:rsidRDefault="008044DD" w:rsidP="001C1D37">
            <w:pPr>
              <w:jc w:val="center"/>
              <w:rPr>
                <w:sz w:val="22"/>
                <w:szCs w:val="22"/>
              </w:rPr>
            </w:pPr>
            <w:r w:rsidRPr="001C1D37">
              <w:rPr>
                <w:sz w:val="22"/>
                <w:szCs w:val="22"/>
              </w:rPr>
              <w:t>0.180</w:t>
            </w:r>
          </w:p>
        </w:tc>
        <w:tc>
          <w:tcPr>
            <w:tcW w:w="851" w:type="dxa"/>
            <w:tcBorders>
              <w:top w:val="single" w:sz="12" w:space="0" w:color="auto"/>
            </w:tcBorders>
            <w:vAlign w:val="center"/>
          </w:tcPr>
          <w:p w:rsidR="008044DD" w:rsidRPr="001C1D37" w:rsidRDefault="008044DD" w:rsidP="001C1D37">
            <w:pPr>
              <w:jc w:val="center"/>
              <w:rPr>
                <w:sz w:val="22"/>
                <w:szCs w:val="22"/>
              </w:rPr>
            </w:pPr>
            <w:r w:rsidRPr="001C1D37">
              <w:rPr>
                <w:sz w:val="22"/>
                <w:szCs w:val="22"/>
              </w:rPr>
              <w:t>0.627</w:t>
            </w:r>
          </w:p>
        </w:tc>
        <w:tc>
          <w:tcPr>
            <w:tcW w:w="850" w:type="dxa"/>
            <w:tcBorders>
              <w:top w:val="single" w:sz="12" w:space="0" w:color="auto"/>
              <w:right w:val="nil"/>
            </w:tcBorders>
            <w:vAlign w:val="center"/>
          </w:tcPr>
          <w:p w:rsidR="008044DD" w:rsidRPr="001C1D37" w:rsidRDefault="008044DD" w:rsidP="001C1D37">
            <w:pPr>
              <w:jc w:val="center"/>
              <w:rPr>
                <w:sz w:val="22"/>
                <w:szCs w:val="22"/>
              </w:rPr>
            </w:pPr>
            <w:r w:rsidRPr="001C1D37">
              <w:rPr>
                <w:sz w:val="22"/>
                <w:szCs w:val="22"/>
              </w:rPr>
              <w:t>0.176</w:t>
            </w:r>
          </w:p>
        </w:tc>
      </w:tr>
      <w:tr w:rsidR="001C1D37" w:rsidRPr="001C1D37" w:rsidTr="008044DD">
        <w:trPr>
          <w:trHeight w:hRule="exact" w:val="340"/>
        </w:trPr>
        <w:tc>
          <w:tcPr>
            <w:tcW w:w="851" w:type="dxa"/>
            <w:tcBorders>
              <w:left w:val="nil"/>
            </w:tcBorders>
            <w:vAlign w:val="center"/>
          </w:tcPr>
          <w:p w:rsidR="008044DD" w:rsidRPr="001C1D37" w:rsidRDefault="008044DD" w:rsidP="001C1D37">
            <w:pPr>
              <w:pStyle w:val="NoSpacing"/>
              <w:jc w:val="center"/>
              <w:rPr>
                <w:rFonts w:ascii="Times New Roman" w:hAnsi="Times New Roman"/>
                <w:lang w:eastAsia="en-GB"/>
              </w:rPr>
            </w:pPr>
            <w:r w:rsidRPr="001C1D37">
              <w:rPr>
                <w:rFonts w:ascii="Times New Roman" w:hAnsi="Times New Roman"/>
                <w:lang w:eastAsia="en-GB"/>
              </w:rPr>
              <w:t>(0, 2)</w:t>
            </w:r>
          </w:p>
        </w:tc>
        <w:tc>
          <w:tcPr>
            <w:tcW w:w="850" w:type="dxa"/>
            <w:vAlign w:val="center"/>
          </w:tcPr>
          <w:p w:rsidR="008044DD" w:rsidRPr="001C1D37" w:rsidRDefault="008044DD" w:rsidP="001C1D37">
            <w:pPr>
              <w:jc w:val="center"/>
              <w:rPr>
                <w:sz w:val="22"/>
                <w:szCs w:val="22"/>
              </w:rPr>
            </w:pPr>
            <w:r w:rsidRPr="001C1D37">
              <w:rPr>
                <w:sz w:val="22"/>
                <w:szCs w:val="22"/>
              </w:rPr>
              <w:t>12.3</w:t>
            </w:r>
          </w:p>
        </w:tc>
        <w:tc>
          <w:tcPr>
            <w:tcW w:w="851" w:type="dxa"/>
            <w:shd w:val="clear" w:color="auto" w:fill="auto"/>
            <w:vAlign w:val="center"/>
          </w:tcPr>
          <w:p w:rsidR="008044DD" w:rsidRPr="001C1D37" w:rsidRDefault="008044DD" w:rsidP="001C1D37">
            <w:pPr>
              <w:jc w:val="center"/>
              <w:rPr>
                <w:sz w:val="22"/>
                <w:szCs w:val="22"/>
              </w:rPr>
            </w:pPr>
            <w:r w:rsidRPr="001C1D37">
              <w:rPr>
                <w:sz w:val="22"/>
                <w:szCs w:val="22"/>
              </w:rPr>
              <w:t>-0.323</w:t>
            </w:r>
          </w:p>
        </w:tc>
        <w:tc>
          <w:tcPr>
            <w:tcW w:w="850" w:type="dxa"/>
            <w:shd w:val="clear" w:color="auto" w:fill="auto"/>
            <w:vAlign w:val="center"/>
          </w:tcPr>
          <w:p w:rsidR="008044DD" w:rsidRPr="001C1D37" w:rsidRDefault="008044DD" w:rsidP="001C1D37">
            <w:pPr>
              <w:jc w:val="center"/>
              <w:rPr>
                <w:sz w:val="22"/>
                <w:szCs w:val="22"/>
              </w:rPr>
            </w:pPr>
            <w:r w:rsidRPr="001C1D37">
              <w:rPr>
                <w:sz w:val="22"/>
                <w:szCs w:val="22"/>
              </w:rPr>
              <w:t>0.073</w:t>
            </w:r>
          </w:p>
        </w:tc>
        <w:tc>
          <w:tcPr>
            <w:tcW w:w="851" w:type="dxa"/>
            <w:shd w:val="clear" w:color="auto" w:fill="auto"/>
            <w:vAlign w:val="center"/>
          </w:tcPr>
          <w:p w:rsidR="008044DD" w:rsidRPr="001C1D37" w:rsidRDefault="008044DD" w:rsidP="001C1D37">
            <w:pPr>
              <w:jc w:val="center"/>
              <w:rPr>
                <w:sz w:val="22"/>
                <w:szCs w:val="22"/>
              </w:rPr>
            </w:pPr>
            <w:r w:rsidRPr="001C1D37">
              <w:rPr>
                <w:sz w:val="22"/>
                <w:szCs w:val="22"/>
              </w:rPr>
              <w:t>0.603</w:t>
            </w:r>
          </w:p>
        </w:tc>
        <w:tc>
          <w:tcPr>
            <w:tcW w:w="850" w:type="dxa"/>
            <w:shd w:val="clear" w:color="auto" w:fill="auto"/>
            <w:vAlign w:val="center"/>
          </w:tcPr>
          <w:p w:rsidR="008044DD" w:rsidRPr="001C1D37" w:rsidRDefault="008044DD" w:rsidP="001C1D37">
            <w:pPr>
              <w:jc w:val="center"/>
              <w:rPr>
                <w:sz w:val="22"/>
                <w:szCs w:val="22"/>
              </w:rPr>
            </w:pPr>
            <w:r w:rsidRPr="001C1D37">
              <w:rPr>
                <w:sz w:val="22"/>
                <w:szCs w:val="22"/>
              </w:rPr>
              <w:t>0.033</w:t>
            </w:r>
          </w:p>
        </w:tc>
        <w:tc>
          <w:tcPr>
            <w:tcW w:w="851" w:type="dxa"/>
            <w:vAlign w:val="center"/>
          </w:tcPr>
          <w:p w:rsidR="008044DD" w:rsidRPr="001C1D37" w:rsidRDefault="008044DD" w:rsidP="001C1D37">
            <w:pPr>
              <w:jc w:val="center"/>
              <w:rPr>
                <w:sz w:val="22"/>
                <w:szCs w:val="22"/>
              </w:rPr>
            </w:pPr>
            <w:r w:rsidRPr="001C1D37">
              <w:rPr>
                <w:sz w:val="22"/>
                <w:szCs w:val="22"/>
              </w:rPr>
              <w:t>0.729</w:t>
            </w:r>
          </w:p>
        </w:tc>
        <w:tc>
          <w:tcPr>
            <w:tcW w:w="850" w:type="dxa"/>
            <w:vAlign w:val="center"/>
          </w:tcPr>
          <w:p w:rsidR="008044DD" w:rsidRPr="001C1D37" w:rsidRDefault="008044DD" w:rsidP="001C1D37">
            <w:pPr>
              <w:jc w:val="center"/>
              <w:rPr>
                <w:sz w:val="22"/>
                <w:szCs w:val="22"/>
              </w:rPr>
            </w:pPr>
            <w:r w:rsidRPr="001C1D37">
              <w:rPr>
                <w:sz w:val="22"/>
                <w:szCs w:val="22"/>
              </w:rPr>
              <w:t>0.124</w:t>
            </w:r>
          </w:p>
        </w:tc>
        <w:tc>
          <w:tcPr>
            <w:tcW w:w="851" w:type="dxa"/>
            <w:vAlign w:val="center"/>
          </w:tcPr>
          <w:p w:rsidR="008044DD" w:rsidRPr="001C1D37" w:rsidRDefault="008044DD" w:rsidP="001C1D37">
            <w:pPr>
              <w:jc w:val="center"/>
              <w:rPr>
                <w:sz w:val="22"/>
                <w:szCs w:val="22"/>
              </w:rPr>
            </w:pPr>
            <w:r w:rsidRPr="001C1D37">
              <w:rPr>
                <w:sz w:val="22"/>
                <w:szCs w:val="22"/>
              </w:rPr>
              <w:t>0.529</w:t>
            </w:r>
          </w:p>
        </w:tc>
        <w:tc>
          <w:tcPr>
            <w:tcW w:w="850" w:type="dxa"/>
            <w:tcBorders>
              <w:right w:val="nil"/>
            </w:tcBorders>
            <w:vAlign w:val="center"/>
          </w:tcPr>
          <w:p w:rsidR="008044DD" w:rsidRPr="001C1D37" w:rsidRDefault="008044DD" w:rsidP="001C1D37">
            <w:pPr>
              <w:jc w:val="center"/>
              <w:rPr>
                <w:sz w:val="22"/>
                <w:szCs w:val="22"/>
              </w:rPr>
            </w:pPr>
            <w:r w:rsidRPr="001C1D37">
              <w:rPr>
                <w:sz w:val="22"/>
                <w:szCs w:val="22"/>
              </w:rPr>
              <w:t>0.126</w:t>
            </w:r>
          </w:p>
        </w:tc>
      </w:tr>
      <w:tr w:rsidR="001C1D37" w:rsidRPr="001C1D37" w:rsidTr="008044DD">
        <w:trPr>
          <w:trHeight w:hRule="exact" w:val="340"/>
        </w:trPr>
        <w:tc>
          <w:tcPr>
            <w:tcW w:w="851" w:type="dxa"/>
            <w:tcBorders>
              <w:left w:val="nil"/>
            </w:tcBorders>
            <w:vAlign w:val="center"/>
          </w:tcPr>
          <w:p w:rsidR="008044DD" w:rsidRPr="001C1D37" w:rsidRDefault="008044DD" w:rsidP="001C1D37">
            <w:pPr>
              <w:jc w:val="center"/>
              <w:rPr>
                <w:b/>
                <w:sz w:val="22"/>
                <w:szCs w:val="22"/>
              </w:rPr>
            </w:pPr>
            <w:r w:rsidRPr="001C1D37">
              <w:rPr>
                <w:b/>
                <w:sz w:val="22"/>
                <w:szCs w:val="22"/>
                <w:lang w:eastAsia="en-GB"/>
              </w:rPr>
              <w:t>(0, 3)</w:t>
            </w:r>
          </w:p>
        </w:tc>
        <w:tc>
          <w:tcPr>
            <w:tcW w:w="850" w:type="dxa"/>
            <w:vAlign w:val="center"/>
          </w:tcPr>
          <w:p w:rsidR="008044DD" w:rsidRPr="001C1D37" w:rsidRDefault="008044DD" w:rsidP="001C1D37">
            <w:pPr>
              <w:jc w:val="center"/>
              <w:rPr>
                <w:b/>
                <w:sz w:val="22"/>
                <w:szCs w:val="22"/>
              </w:rPr>
            </w:pPr>
            <w:r w:rsidRPr="001C1D37">
              <w:rPr>
                <w:b/>
                <w:sz w:val="22"/>
                <w:szCs w:val="22"/>
              </w:rPr>
              <w:t>24.6</w:t>
            </w:r>
          </w:p>
        </w:tc>
        <w:tc>
          <w:tcPr>
            <w:tcW w:w="851" w:type="dxa"/>
            <w:shd w:val="clear" w:color="auto" w:fill="auto"/>
            <w:vAlign w:val="center"/>
          </w:tcPr>
          <w:p w:rsidR="008044DD" w:rsidRPr="001C1D37" w:rsidRDefault="008044DD" w:rsidP="001C1D37">
            <w:pPr>
              <w:jc w:val="center"/>
              <w:rPr>
                <w:b/>
                <w:sz w:val="22"/>
                <w:szCs w:val="22"/>
              </w:rPr>
            </w:pPr>
            <w:r w:rsidRPr="001C1D37">
              <w:rPr>
                <w:b/>
                <w:sz w:val="22"/>
                <w:szCs w:val="22"/>
              </w:rPr>
              <w:t>-0.493</w:t>
            </w:r>
          </w:p>
        </w:tc>
        <w:tc>
          <w:tcPr>
            <w:tcW w:w="850" w:type="dxa"/>
            <w:shd w:val="clear" w:color="auto" w:fill="auto"/>
            <w:vAlign w:val="center"/>
          </w:tcPr>
          <w:p w:rsidR="008044DD" w:rsidRPr="001C1D37" w:rsidRDefault="008044DD" w:rsidP="001C1D37">
            <w:pPr>
              <w:jc w:val="center"/>
              <w:rPr>
                <w:b/>
                <w:sz w:val="22"/>
                <w:szCs w:val="22"/>
              </w:rPr>
            </w:pPr>
            <w:r w:rsidRPr="001C1D37">
              <w:rPr>
                <w:b/>
                <w:sz w:val="22"/>
                <w:szCs w:val="22"/>
              </w:rPr>
              <w:t>0.041</w:t>
            </w:r>
          </w:p>
        </w:tc>
        <w:tc>
          <w:tcPr>
            <w:tcW w:w="851" w:type="dxa"/>
            <w:shd w:val="clear" w:color="auto" w:fill="auto"/>
            <w:vAlign w:val="center"/>
          </w:tcPr>
          <w:p w:rsidR="008044DD" w:rsidRPr="001C1D37" w:rsidRDefault="008044DD" w:rsidP="001C1D37">
            <w:pPr>
              <w:jc w:val="center"/>
              <w:rPr>
                <w:b/>
                <w:sz w:val="22"/>
                <w:szCs w:val="22"/>
              </w:rPr>
            </w:pPr>
            <w:r w:rsidRPr="001C1D37">
              <w:rPr>
                <w:b/>
                <w:sz w:val="22"/>
                <w:szCs w:val="22"/>
              </w:rPr>
              <w:t>0.637</w:t>
            </w:r>
          </w:p>
        </w:tc>
        <w:tc>
          <w:tcPr>
            <w:tcW w:w="850" w:type="dxa"/>
            <w:shd w:val="clear" w:color="auto" w:fill="auto"/>
            <w:vAlign w:val="center"/>
          </w:tcPr>
          <w:p w:rsidR="008044DD" w:rsidRPr="001C1D37" w:rsidRDefault="008044DD" w:rsidP="001C1D37">
            <w:pPr>
              <w:jc w:val="center"/>
              <w:rPr>
                <w:b/>
                <w:sz w:val="22"/>
                <w:szCs w:val="22"/>
              </w:rPr>
            </w:pPr>
            <w:r w:rsidRPr="001C1D37">
              <w:rPr>
                <w:b/>
                <w:sz w:val="22"/>
                <w:szCs w:val="22"/>
              </w:rPr>
              <w:t>0.022</w:t>
            </w:r>
          </w:p>
        </w:tc>
        <w:tc>
          <w:tcPr>
            <w:tcW w:w="851" w:type="dxa"/>
            <w:vAlign w:val="center"/>
          </w:tcPr>
          <w:p w:rsidR="008044DD" w:rsidRPr="001C1D37" w:rsidRDefault="008044DD" w:rsidP="001C1D37">
            <w:pPr>
              <w:jc w:val="center"/>
              <w:rPr>
                <w:b/>
                <w:sz w:val="22"/>
                <w:szCs w:val="22"/>
              </w:rPr>
            </w:pPr>
            <w:r w:rsidRPr="001C1D37">
              <w:rPr>
                <w:b/>
                <w:sz w:val="22"/>
                <w:szCs w:val="22"/>
              </w:rPr>
              <w:t>0.816</w:t>
            </w:r>
          </w:p>
        </w:tc>
        <w:tc>
          <w:tcPr>
            <w:tcW w:w="850" w:type="dxa"/>
            <w:vAlign w:val="center"/>
          </w:tcPr>
          <w:p w:rsidR="008044DD" w:rsidRPr="001C1D37" w:rsidRDefault="008044DD" w:rsidP="001C1D37">
            <w:pPr>
              <w:jc w:val="center"/>
              <w:rPr>
                <w:b/>
                <w:sz w:val="22"/>
                <w:szCs w:val="22"/>
              </w:rPr>
            </w:pPr>
            <w:r w:rsidRPr="001C1D37">
              <w:rPr>
                <w:b/>
                <w:sz w:val="22"/>
                <w:szCs w:val="22"/>
              </w:rPr>
              <w:t>0.071</w:t>
            </w:r>
          </w:p>
        </w:tc>
        <w:tc>
          <w:tcPr>
            <w:tcW w:w="851" w:type="dxa"/>
            <w:vAlign w:val="center"/>
          </w:tcPr>
          <w:p w:rsidR="008044DD" w:rsidRPr="001C1D37" w:rsidRDefault="008044DD" w:rsidP="001C1D37">
            <w:pPr>
              <w:jc w:val="center"/>
              <w:rPr>
                <w:b/>
                <w:sz w:val="22"/>
                <w:szCs w:val="22"/>
              </w:rPr>
            </w:pPr>
            <w:r w:rsidRPr="001C1D37">
              <w:rPr>
                <w:b/>
                <w:sz w:val="22"/>
                <w:szCs w:val="22"/>
              </w:rPr>
              <w:t>0.464</w:t>
            </w:r>
          </w:p>
        </w:tc>
        <w:tc>
          <w:tcPr>
            <w:tcW w:w="850" w:type="dxa"/>
            <w:tcBorders>
              <w:right w:val="nil"/>
            </w:tcBorders>
            <w:vAlign w:val="center"/>
          </w:tcPr>
          <w:p w:rsidR="008044DD" w:rsidRPr="001C1D37" w:rsidRDefault="008044DD" w:rsidP="001C1D37">
            <w:pPr>
              <w:jc w:val="center"/>
              <w:rPr>
                <w:b/>
                <w:sz w:val="22"/>
                <w:szCs w:val="22"/>
              </w:rPr>
            </w:pPr>
            <w:r w:rsidRPr="001C1D37">
              <w:rPr>
                <w:b/>
                <w:sz w:val="22"/>
                <w:szCs w:val="22"/>
              </w:rPr>
              <w:t>0.076</w:t>
            </w:r>
          </w:p>
        </w:tc>
      </w:tr>
      <w:tr w:rsidR="001C1D37" w:rsidRPr="001C1D37" w:rsidTr="008044DD">
        <w:trPr>
          <w:trHeight w:hRule="exact" w:val="340"/>
        </w:trPr>
        <w:tc>
          <w:tcPr>
            <w:tcW w:w="851" w:type="dxa"/>
            <w:tcBorders>
              <w:left w:val="nil"/>
            </w:tcBorders>
            <w:vAlign w:val="center"/>
          </w:tcPr>
          <w:p w:rsidR="008044DD" w:rsidRPr="001C1D37" w:rsidRDefault="008044DD" w:rsidP="001C1D37">
            <w:pPr>
              <w:jc w:val="center"/>
              <w:rPr>
                <w:sz w:val="22"/>
                <w:szCs w:val="22"/>
              </w:rPr>
            </w:pPr>
            <w:r w:rsidRPr="001C1D37">
              <w:rPr>
                <w:sz w:val="22"/>
                <w:szCs w:val="22"/>
                <w:lang w:eastAsia="en-GB"/>
              </w:rPr>
              <w:t>(0, 4)</w:t>
            </w:r>
          </w:p>
        </w:tc>
        <w:tc>
          <w:tcPr>
            <w:tcW w:w="850" w:type="dxa"/>
            <w:vAlign w:val="center"/>
          </w:tcPr>
          <w:p w:rsidR="008044DD" w:rsidRPr="001C1D37" w:rsidRDefault="008044DD" w:rsidP="001C1D37">
            <w:pPr>
              <w:jc w:val="center"/>
              <w:rPr>
                <w:sz w:val="22"/>
                <w:szCs w:val="22"/>
              </w:rPr>
            </w:pPr>
            <w:r w:rsidRPr="001C1D37">
              <w:rPr>
                <w:sz w:val="22"/>
                <w:szCs w:val="22"/>
              </w:rPr>
              <w:t>29.8</w:t>
            </w:r>
          </w:p>
        </w:tc>
        <w:tc>
          <w:tcPr>
            <w:tcW w:w="851" w:type="dxa"/>
            <w:shd w:val="clear" w:color="auto" w:fill="auto"/>
            <w:vAlign w:val="center"/>
          </w:tcPr>
          <w:p w:rsidR="008044DD" w:rsidRPr="001C1D37" w:rsidRDefault="008044DD" w:rsidP="001C1D37">
            <w:pPr>
              <w:jc w:val="center"/>
              <w:rPr>
                <w:sz w:val="22"/>
                <w:szCs w:val="22"/>
              </w:rPr>
            </w:pPr>
            <w:r w:rsidRPr="001C1D37">
              <w:rPr>
                <w:sz w:val="22"/>
                <w:szCs w:val="22"/>
              </w:rPr>
              <w:t>-0.462</w:t>
            </w:r>
          </w:p>
        </w:tc>
        <w:tc>
          <w:tcPr>
            <w:tcW w:w="850" w:type="dxa"/>
            <w:shd w:val="clear" w:color="auto" w:fill="auto"/>
            <w:vAlign w:val="center"/>
          </w:tcPr>
          <w:p w:rsidR="008044DD" w:rsidRPr="001C1D37" w:rsidRDefault="008044DD" w:rsidP="001C1D37">
            <w:pPr>
              <w:jc w:val="center"/>
              <w:rPr>
                <w:sz w:val="22"/>
                <w:szCs w:val="22"/>
              </w:rPr>
            </w:pPr>
            <w:r w:rsidRPr="001C1D37">
              <w:rPr>
                <w:sz w:val="22"/>
                <w:szCs w:val="22"/>
              </w:rPr>
              <w:t>0.030</w:t>
            </w:r>
          </w:p>
        </w:tc>
        <w:tc>
          <w:tcPr>
            <w:tcW w:w="851" w:type="dxa"/>
            <w:shd w:val="clear" w:color="auto" w:fill="auto"/>
            <w:vAlign w:val="center"/>
          </w:tcPr>
          <w:p w:rsidR="008044DD" w:rsidRPr="001C1D37" w:rsidRDefault="008044DD" w:rsidP="001C1D37">
            <w:pPr>
              <w:jc w:val="center"/>
              <w:rPr>
                <w:sz w:val="22"/>
                <w:szCs w:val="22"/>
              </w:rPr>
            </w:pPr>
            <w:r w:rsidRPr="001C1D37">
              <w:rPr>
                <w:sz w:val="22"/>
                <w:szCs w:val="22"/>
              </w:rPr>
              <w:t>0.584</w:t>
            </w:r>
          </w:p>
        </w:tc>
        <w:tc>
          <w:tcPr>
            <w:tcW w:w="850" w:type="dxa"/>
            <w:shd w:val="clear" w:color="auto" w:fill="auto"/>
            <w:vAlign w:val="center"/>
          </w:tcPr>
          <w:p w:rsidR="008044DD" w:rsidRPr="001C1D37" w:rsidRDefault="008044DD" w:rsidP="001C1D37">
            <w:pPr>
              <w:jc w:val="center"/>
              <w:rPr>
                <w:sz w:val="22"/>
                <w:szCs w:val="22"/>
              </w:rPr>
            </w:pPr>
            <w:r w:rsidRPr="001C1D37">
              <w:rPr>
                <w:sz w:val="22"/>
                <w:szCs w:val="22"/>
              </w:rPr>
              <w:t>0.022</w:t>
            </w:r>
          </w:p>
        </w:tc>
        <w:tc>
          <w:tcPr>
            <w:tcW w:w="851" w:type="dxa"/>
            <w:vAlign w:val="center"/>
          </w:tcPr>
          <w:p w:rsidR="008044DD" w:rsidRPr="001C1D37" w:rsidRDefault="008044DD" w:rsidP="001C1D37">
            <w:pPr>
              <w:jc w:val="center"/>
              <w:rPr>
                <w:sz w:val="22"/>
                <w:szCs w:val="22"/>
              </w:rPr>
            </w:pPr>
            <w:r w:rsidRPr="001C1D37">
              <w:rPr>
                <w:sz w:val="22"/>
                <w:szCs w:val="22"/>
              </w:rPr>
              <w:t>0.780</w:t>
            </w:r>
          </w:p>
        </w:tc>
        <w:tc>
          <w:tcPr>
            <w:tcW w:w="850" w:type="dxa"/>
            <w:vAlign w:val="center"/>
          </w:tcPr>
          <w:p w:rsidR="008044DD" w:rsidRPr="001C1D37" w:rsidRDefault="008044DD" w:rsidP="001C1D37">
            <w:pPr>
              <w:jc w:val="center"/>
              <w:rPr>
                <w:sz w:val="22"/>
                <w:szCs w:val="22"/>
              </w:rPr>
            </w:pPr>
            <w:r w:rsidRPr="001C1D37">
              <w:rPr>
                <w:sz w:val="22"/>
                <w:szCs w:val="22"/>
              </w:rPr>
              <w:t>0.089</w:t>
            </w:r>
          </w:p>
        </w:tc>
        <w:tc>
          <w:tcPr>
            <w:tcW w:w="851" w:type="dxa"/>
            <w:vAlign w:val="center"/>
          </w:tcPr>
          <w:p w:rsidR="008044DD" w:rsidRPr="001C1D37" w:rsidRDefault="008044DD" w:rsidP="001C1D37">
            <w:pPr>
              <w:jc w:val="center"/>
              <w:rPr>
                <w:sz w:val="22"/>
                <w:szCs w:val="22"/>
              </w:rPr>
            </w:pPr>
            <w:r w:rsidRPr="001C1D37">
              <w:rPr>
                <w:sz w:val="22"/>
                <w:szCs w:val="22"/>
              </w:rPr>
              <w:t>0.418</w:t>
            </w:r>
          </w:p>
        </w:tc>
        <w:tc>
          <w:tcPr>
            <w:tcW w:w="850" w:type="dxa"/>
            <w:tcBorders>
              <w:right w:val="nil"/>
            </w:tcBorders>
            <w:vAlign w:val="center"/>
          </w:tcPr>
          <w:p w:rsidR="008044DD" w:rsidRPr="001C1D37" w:rsidRDefault="008044DD" w:rsidP="001C1D37">
            <w:pPr>
              <w:jc w:val="center"/>
              <w:rPr>
                <w:sz w:val="22"/>
                <w:szCs w:val="22"/>
              </w:rPr>
            </w:pPr>
            <w:r w:rsidRPr="001C1D37">
              <w:rPr>
                <w:sz w:val="22"/>
                <w:szCs w:val="22"/>
              </w:rPr>
              <w:t>0.093</w:t>
            </w:r>
          </w:p>
        </w:tc>
      </w:tr>
      <w:tr w:rsidR="001C1D37" w:rsidRPr="001C1D37" w:rsidTr="008044DD">
        <w:trPr>
          <w:trHeight w:hRule="exact" w:val="340"/>
        </w:trPr>
        <w:tc>
          <w:tcPr>
            <w:tcW w:w="851" w:type="dxa"/>
            <w:tcBorders>
              <w:left w:val="nil"/>
            </w:tcBorders>
            <w:vAlign w:val="center"/>
          </w:tcPr>
          <w:p w:rsidR="008044DD" w:rsidRPr="001C1D37" w:rsidRDefault="008044DD" w:rsidP="001C1D37">
            <w:pPr>
              <w:jc w:val="center"/>
              <w:rPr>
                <w:sz w:val="22"/>
                <w:szCs w:val="22"/>
              </w:rPr>
            </w:pPr>
            <w:r w:rsidRPr="001C1D37">
              <w:rPr>
                <w:sz w:val="22"/>
                <w:szCs w:val="22"/>
                <w:lang w:eastAsia="en-GB"/>
              </w:rPr>
              <w:t>(0, 5)</w:t>
            </w:r>
          </w:p>
        </w:tc>
        <w:tc>
          <w:tcPr>
            <w:tcW w:w="850" w:type="dxa"/>
            <w:vAlign w:val="center"/>
          </w:tcPr>
          <w:p w:rsidR="008044DD" w:rsidRPr="001C1D37" w:rsidRDefault="008044DD" w:rsidP="001C1D37">
            <w:pPr>
              <w:jc w:val="center"/>
              <w:rPr>
                <w:sz w:val="22"/>
                <w:szCs w:val="22"/>
              </w:rPr>
            </w:pPr>
            <w:r w:rsidRPr="001C1D37">
              <w:rPr>
                <w:sz w:val="22"/>
                <w:szCs w:val="22"/>
              </w:rPr>
              <w:t>30.4</w:t>
            </w:r>
          </w:p>
        </w:tc>
        <w:tc>
          <w:tcPr>
            <w:tcW w:w="851" w:type="dxa"/>
            <w:shd w:val="clear" w:color="auto" w:fill="auto"/>
            <w:vAlign w:val="center"/>
          </w:tcPr>
          <w:p w:rsidR="008044DD" w:rsidRPr="001C1D37" w:rsidRDefault="008044DD" w:rsidP="001C1D37">
            <w:pPr>
              <w:jc w:val="center"/>
              <w:rPr>
                <w:sz w:val="22"/>
                <w:szCs w:val="22"/>
              </w:rPr>
            </w:pPr>
            <w:r w:rsidRPr="001C1D37">
              <w:rPr>
                <w:sz w:val="22"/>
                <w:szCs w:val="22"/>
              </w:rPr>
              <w:t>-0.460</w:t>
            </w:r>
          </w:p>
        </w:tc>
        <w:tc>
          <w:tcPr>
            <w:tcW w:w="850" w:type="dxa"/>
            <w:shd w:val="clear" w:color="auto" w:fill="auto"/>
            <w:vAlign w:val="center"/>
          </w:tcPr>
          <w:p w:rsidR="008044DD" w:rsidRPr="001C1D37" w:rsidRDefault="008044DD" w:rsidP="001C1D37">
            <w:pPr>
              <w:jc w:val="center"/>
              <w:rPr>
                <w:sz w:val="22"/>
                <w:szCs w:val="22"/>
              </w:rPr>
            </w:pPr>
            <w:r w:rsidRPr="001C1D37">
              <w:rPr>
                <w:sz w:val="22"/>
                <w:szCs w:val="22"/>
              </w:rPr>
              <w:t>0.029</w:t>
            </w:r>
          </w:p>
        </w:tc>
        <w:tc>
          <w:tcPr>
            <w:tcW w:w="851" w:type="dxa"/>
            <w:shd w:val="clear" w:color="auto" w:fill="auto"/>
            <w:vAlign w:val="center"/>
          </w:tcPr>
          <w:p w:rsidR="008044DD" w:rsidRPr="001C1D37" w:rsidRDefault="008044DD" w:rsidP="001C1D37">
            <w:pPr>
              <w:jc w:val="center"/>
              <w:rPr>
                <w:sz w:val="22"/>
                <w:szCs w:val="22"/>
              </w:rPr>
            </w:pPr>
            <w:r w:rsidRPr="001C1D37">
              <w:rPr>
                <w:sz w:val="22"/>
                <w:szCs w:val="22"/>
              </w:rPr>
              <w:t>0.570</w:t>
            </w:r>
          </w:p>
        </w:tc>
        <w:tc>
          <w:tcPr>
            <w:tcW w:w="850" w:type="dxa"/>
            <w:shd w:val="clear" w:color="auto" w:fill="auto"/>
            <w:vAlign w:val="center"/>
          </w:tcPr>
          <w:p w:rsidR="008044DD" w:rsidRPr="001C1D37" w:rsidRDefault="008044DD" w:rsidP="001C1D37">
            <w:pPr>
              <w:jc w:val="center"/>
              <w:rPr>
                <w:sz w:val="22"/>
                <w:szCs w:val="22"/>
              </w:rPr>
            </w:pPr>
            <w:r w:rsidRPr="001C1D37">
              <w:rPr>
                <w:sz w:val="22"/>
                <w:szCs w:val="22"/>
              </w:rPr>
              <w:t>0.022</w:t>
            </w:r>
          </w:p>
        </w:tc>
        <w:tc>
          <w:tcPr>
            <w:tcW w:w="851" w:type="dxa"/>
            <w:vAlign w:val="center"/>
          </w:tcPr>
          <w:p w:rsidR="008044DD" w:rsidRPr="001C1D37" w:rsidRDefault="008044DD" w:rsidP="001C1D37">
            <w:pPr>
              <w:jc w:val="center"/>
              <w:rPr>
                <w:sz w:val="22"/>
                <w:szCs w:val="22"/>
              </w:rPr>
            </w:pPr>
            <w:r w:rsidRPr="001C1D37">
              <w:rPr>
                <w:sz w:val="22"/>
                <w:szCs w:val="22"/>
              </w:rPr>
              <w:t>0.755</w:t>
            </w:r>
          </w:p>
        </w:tc>
        <w:tc>
          <w:tcPr>
            <w:tcW w:w="850" w:type="dxa"/>
            <w:vAlign w:val="center"/>
          </w:tcPr>
          <w:p w:rsidR="008044DD" w:rsidRPr="001C1D37" w:rsidRDefault="008044DD" w:rsidP="001C1D37">
            <w:pPr>
              <w:jc w:val="center"/>
              <w:rPr>
                <w:sz w:val="22"/>
                <w:szCs w:val="22"/>
              </w:rPr>
            </w:pPr>
            <w:r w:rsidRPr="001C1D37">
              <w:rPr>
                <w:sz w:val="22"/>
                <w:szCs w:val="22"/>
              </w:rPr>
              <w:t>0.091</w:t>
            </w:r>
          </w:p>
        </w:tc>
        <w:tc>
          <w:tcPr>
            <w:tcW w:w="851" w:type="dxa"/>
            <w:vAlign w:val="center"/>
          </w:tcPr>
          <w:p w:rsidR="008044DD" w:rsidRPr="001C1D37" w:rsidRDefault="008044DD" w:rsidP="001C1D37">
            <w:pPr>
              <w:jc w:val="center"/>
              <w:rPr>
                <w:sz w:val="22"/>
                <w:szCs w:val="22"/>
              </w:rPr>
            </w:pPr>
            <w:r w:rsidRPr="001C1D37">
              <w:rPr>
                <w:sz w:val="22"/>
                <w:szCs w:val="22"/>
              </w:rPr>
              <w:t>0.423</w:t>
            </w:r>
          </w:p>
        </w:tc>
        <w:tc>
          <w:tcPr>
            <w:tcW w:w="850" w:type="dxa"/>
            <w:tcBorders>
              <w:right w:val="nil"/>
            </w:tcBorders>
            <w:vAlign w:val="center"/>
          </w:tcPr>
          <w:p w:rsidR="008044DD" w:rsidRPr="001C1D37" w:rsidRDefault="008044DD" w:rsidP="001C1D37">
            <w:pPr>
              <w:jc w:val="center"/>
              <w:rPr>
                <w:sz w:val="22"/>
                <w:szCs w:val="22"/>
              </w:rPr>
            </w:pPr>
            <w:r w:rsidRPr="001C1D37">
              <w:rPr>
                <w:sz w:val="22"/>
                <w:szCs w:val="22"/>
              </w:rPr>
              <w:t>0.095</w:t>
            </w:r>
          </w:p>
        </w:tc>
      </w:tr>
      <w:tr w:rsidR="001C1D37" w:rsidRPr="001C1D37" w:rsidTr="006278BB">
        <w:trPr>
          <w:trHeight w:hRule="exact" w:val="340"/>
        </w:trPr>
        <w:tc>
          <w:tcPr>
            <w:tcW w:w="8505" w:type="dxa"/>
            <w:gridSpan w:val="10"/>
            <w:tcBorders>
              <w:top w:val="single" w:sz="12" w:space="0" w:color="auto"/>
              <w:left w:val="nil"/>
              <w:right w:val="nil"/>
            </w:tcBorders>
            <w:vAlign w:val="center"/>
          </w:tcPr>
          <w:p w:rsidR="00D111AF" w:rsidRPr="001C1D37" w:rsidRDefault="001C1D37" w:rsidP="001C1D37">
            <w:pPr>
              <w:rPr>
                <w:b/>
                <w:sz w:val="22"/>
                <w:szCs w:val="22"/>
              </w:rPr>
            </w:pPr>
            <m:oMath>
              <m:sSub>
                <m:sSubPr>
                  <m:ctrlPr>
                    <w:rPr>
                      <w:rFonts w:ascii="Cambria Math" w:eastAsia="Calibri" w:hAnsi="Cambria Math"/>
                      <w:b/>
                      <w:i/>
                      <w:sz w:val="22"/>
                      <w:szCs w:val="22"/>
                      <w:lang w:eastAsia="en-GB"/>
                    </w:rPr>
                  </m:ctrlPr>
                </m:sSubPr>
                <m:e>
                  <m:r>
                    <m:rPr>
                      <m:sty m:val="bi"/>
                    </m:rPr>
                    <w:rPr>
                      <w:rFonts w:ascii="Cambria Math" w:hAnsi="Cambria Math"/>
                      <w:sz w:val="22"/>
                      <w:szCs w:val="22"/>
                      <w:lang w:eastAsia="en-GB"/>
                    </w:rPr>
                    <m:t>t</m:t>
                  </m:r>
                </m:e>
                <m:sub>
                  <m:r>
                    <m:rPr>
                      <m:sty m:val="bi"/>
                    </m:rPr>
                    <w:rPr>
                      <w:rFonts w:ascii="Cambria Math" w:hAnsi="Cambria Math"/>
                      <w:sz w:val="22"/>
                      <w:szCs w:val="22"/>
                      <w:lang w:eastAsia="en-GB"/>
                    </w:rPr>
                    <m:t>s</m:t>
                  </m:r>
                </m:sub>
              </m:sSub>
              <m:r>
                <m:rPr>
                  <m:sty m:val="bi"/>
                </m:rPr>
                <w:rPr>
                  <w:rFonts w:ascii="Cambria Math" w:hAnsi="Cambria Math"/>
                  <w:sz w:val="22"/>
                  <w:szCs w:val="22"/>
                  <w:lang w:eastAsia="en-GB"/>
                </w:rPr>
                <m:t>=</m:t>
              </m:r>
            </m:oMath>
            <w:r w:rsidR="00D111AF" w:rsidRPr="001C1D37">
              <w:rPr>
                <w:b/>
                <w:sz w:val="22"/>
                <w:szCs w:val="22"/>
                <w:lang w:eastAsia="en-GB"/>
              </w:rPr>
              <w:t xml:space="preserve"> 4</w:t>
            </w:r>
          </w:p>
        </w:tc>
      </w:tr>
      <w:tr w:rsidR="001C1D37" w:rsidRPr="001C1D37" w:rsidTr="008044DD">
        <w:trPr>
          <w:trHeight w:hRule="exact" w:val="340"/>
        </w:trPr>
        <w:tc>
          <w:tcPr>
            <w:tcW w:w="851" w:type="dxa"/>
            <w:tcBorders>
              <w:top w:val="single" w:sz="12" w:space="0" w:color="auto"/>
              <w:left w:val="nil"/>
            </w:tcBorders>
            <w:vAlign w:val="center"/>
          </w:tcPr>
          <w:p w:rsidR="008044DD" w:rsidRPr="001C1D37" w:rsidRDefault="008044DD" w:rsidP="001C1D37">
            <w:pPr>
              <w:pStyle w:val="NoSpacing"/>
              <w:jc w:val="center"/>
              <w:rPr>
                <w:rFonts w:ascii="Times New Roman" w:hAnsi="Times New Roman"/>
                <w:lang w:eastAsia="en-GB"/>
              </w:rPr>
            </w:pPr>
            <w:r w:rsidRPr="001C1D37">
              <w:rPr>
                <w:rFonts w:ascii="Times New Roman" w:hAnsi="Times New Roman"/>
                <w:lang w:eastAsia="en-GB"/>
              </w:rPr>
              <w:lastRenderedPageBreak/>
              <w:t>(0, 1)</w:t>
            </w:r>
          </w:p>
        </w:tc>
        <w:tc>
          <w:tcPr>
            <w:tcW w:w="850" w:type="dxa"/>
            <w:tcBorders>
              <w:top w:val="single" w:sz="12" w:space="0" w:color="auto"/>
            </w:tcBorders>
            <w:vAlign w:val="center"/>
          </w:tcPr>
          <w:p w:rsidR="008044DD" w:rsidRPr="001C1D37" w:rsidRDefault="008044DD" w:rsidP="001C1D37">
            <w:pPr>
              <w:jc w:val="center"/>
              <w:rPr>
                <w:sz w:val="22"/>
                <w:szCs w:val="22"/>
              </w:rPr>
            </w:pPr>
            <w:r w:rsidRPr="001C1D37">
              <w:rPr>
                <w:sz w:val="22"/>
                <w:szCs w:val="22"/>
              </w:rPr>
              <w:t>0.2</w:t>
            </w:r>
          </w:p>
        </w:tc>
        <w:tc>
          <w:tcPr>
            <w:tcW w:w="851" w:type="dxa"/>
            <w:tcBorders>
              <w:top w:val="single" w:sz="12"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-0.021</w:t>
            </w:r>
          </w:p>
        </w:tc>
        <w:tc>
          <w:tcPr>
            <w:tcW w:w="850" w:type="dxa"/>
            <w:tcBorders>
              <w:top w:val="single" w:sz="12"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0.128</w:t>
            </w:r>
          </w:p>
        </w:tc>
        <w:tc>
          <w:tcPr>
            <w:tcW w:w="851" w:type="dxa"/>
            <w:tcBorders>
              <w:top w:val="single" w:sz="12" w:space="0" w:color="auto"/>
            </w:tcBorders>
            <w:shd w:val="clear" w:color="auto" w:fill="auto"/>
            <w:vAlign w:val="center"/>
          </w:tcPr>
          <w:p w:rsidR="008044DD" w:rsidRPr="001C1D37" w:rsidRDefault="008044DD" w:rsidP="001C1D37">
            <w:pPr>
              <w:jc w:val="center"/>
              <w:rPr>
                <w:sz w:val="22"/>
                <w:szCs w:val="22"/>
              </w:rPr>
            </w:pPr>
            <w:r w:rsidRPr="001C1D37">
              <w:rPr>
                <w:sz w:val="22"/>
                <w:szCs w:val="22"/>
              </w:rPr>
              <w:t>-</w:t>
            </w:r>
          </w:p>
        </w:tc>
        <w:tc>
          <w:tcPr>
            <w:tcW w:w="850" w:type="dxa"/>
            <w:tcBorders>
              <w:top w:val="single" w:sz="12" w:space="0" w:color="auto"/>
            </w:tcBorders>
            <w:shd w:val="clear" w:color="auto" w:fill="auto"/>
            <w:vAlign w:val="center"/>
          </w:tcPr>
          <w:p w:rsidR="008044DD" w:rsidRPr="001C1D37" w:rsidRDefault="008044DD" w:rsidP="001C1D37">
            <w:pPr>
              <w:jc w:val="center"/>
              <w:rPr>
                <w:sz w:val="22"/>
                <w:szCs w:val="22"/>
              </w:rPr>
            </w:pPr>
            <w:r w:rsidRPr="001C1D37">
              <w:rPr>
                <w:sz w:val="22"/>
                <w:szCs w:val="22"/>
              </w:rPr>
              <w:t>-</w:t>
            </w:r>
          </w:p>
        </w:tc>
        <w:tc>
          <w:tcPr>
            <w:tcW w:w="851" w:type="dxa"/>
            <w:tcBorders>
              <w:top w:val="single" w:sz="12" w:space="0" w:color="auto"/>
            </w:tcBorders>
            <w:vAlign w:val="center"/>
          </w:tcPr>
          <w:p w:rsidR="008044DD" w:rsidRPr="001C1D37" w:rsidRDefault="008044DD" w:rsidP="001C1D37">
            <w:pPr>
              <w:jc w:val="center"/>
              <w:rPr>
                <w:sz w:val="22"/>
                <w:szCs w:val="22"/>
              </w:rPr>
            </w:pPr>
            <w:r w:rsidRPr="001C1D37">
              <w:rPr>
                <w:sz w:val="22"/>
                <w:szCs w:val="22"/>
              </w:rPr>
              <w:t>-</w:t>
            </w:r>
          </w:p>
        </w:tc>
        <w:tc>
          <w:tcPr>
            <w:tcW w:w="850" w:type="dxa"/>
            <w:tcBorders>
              <w:top w:val="single" w:sz="12" w:space="0" w:color="auto"/>
            </w:tcBorders>
            <w:vAlign w:val="center"/>
          </w:tcPr>
          <w:p w:rsidR="008044DD" w:rsidRPr="001C1D37" w:rsidRDefault="008044DD" w:rsidP="001C1D37">
            <w:pPr>
              <w:jc w:val="center"/>
              <w:rPr>
                <w:sz w:val="22"/>
                <w:szCs w:val="22"/>
              </w:rPr>
            </w:pPr>
            <w:r w:rsidRPr="001C1D37">
              <w:rPr>
                <w:sz w:val="22"/>
                <w:szCs w:val="22"/>
              </w:rPr>
              <w:t>-</w:t>
            </w:r>
          </w:p>
        </w:tc>
        <w:tc>
          <w:tcPr>
            <w:tcW w:w="851" w:type="dxa"/>
            <w:tcBorders>
              <w:top w:val="single" w:sz="12" w:space="0" w:color="auto"/>
            </w:tcBorders>
            <w:vAlign w:val="center"/>
          </w:tcPr>
          <w:p w:rsidR="008044DD" w:rsidRPr="001C1D37" w:rsidRDefault="008044DD" w:rsidP="001C1D37">
            <w:pPr>
              <w:jc w:val="center"/>
              <w:rPr>
                <w:sz w:val="22"/>
                <w:szCs w:val="22"/>
              </w:rPr>
            </w:pPr>
            <w:r w:rsidRPr="001C1D37">
              <w:rPr>
                <w:sz w:val="22"/>
                <w:szCs w:val="22"/>
              </w:rPr>
              <w:t>-</w:t>
            </w:r>
          </w:p>
        </w:tc>
        <w:tc>
          <w:tcPr>
            <w:tcW w:w="850" w:type="dxa"/>
            <w:tcBorders>
              <w:top w:val="single" w:sz="12" w:space="0" w:color="auto"/>
              <w:right w:val="nil"/>
            </w:tcBorders>
            <w:vAlign w:val="center"/>
          </w:tcPr>
          <w:p w:rsidR="008044DD" w:rsidRPr="001C1D37" w:rsidRDefault="008044DD" w:rsidP="001C1D37">
            <w:pPr>
              <w:jc w:val="center"/>
              <w:rPr>
                <w:sz w:val="22"/>
                <w:szCs w:val="22"/>
              </w:rPr>
            </w:pPr>
            <w:r w:rsidRPr="001C1D37">
              <w:rPr>
                <w:sz w:val="22"/>
                <w:szCs w:val="22"/>
              </w:rPr>
              <w:t>-</w:t>
            </w:r>
          </w:p>
        </w:tc>
      </w:tr>
      <w:tr w:rsidR="001C1D37" w:rsidRPr="001C1D37" w:rsidTr="008044DD">
        <w:trPr>
          <w:trHeight w:hRule="exact" w:val="340"/>
        </w:trPr>
        <w:tc>
          <w:tcPr>
            <w:tcW w:w="851" w:type="dxa"/>
            <w:tcBorders>
              <w:left w:val="nil"/>
            </w:tcBorders>
            <w:vAlign w:val="center"/>
          </w:tcPr>
          <w:p w:rsidR="008044DD" w:rsidRPr="001C1D37" w:rsidRDefault="008044DD" w:rsidP="001C1D37">
            <w:pPr>
              <w:pStyle w:val="NoSpacing"/>
              <w:jc w:val="center"/>
              <w:rPr>
                <w:rFonts w:ascii="Times New Roman" w:hAnsi="Times New Roman"/>
                <w:lang w:eastAsia="en-GB"/>
              </w:rPr>
            </w:pPr>
            <w:r w:rsidRPr="001C1D37">
              <w:rPr>
                <w:rFonts w:ascii="Times New Roman" w:hAnsi="Times New Roman"/>
                <w:lang w:eastAsia="en-GB"/>
              </w:rPr>
              <w:t>(0, 2)</w:t>
            </w:r>
          </w:p>
        </w:tc>
        <w:tc>
          <w:tcPr>
            <w:tcW w:w="850" w:type="dxa"/>
            <w:vAlign w:val="center"/>
          </w:tcPr>
          <w:p w:rsidR="008044DD" w:rsidRPr="001C1D37" w:rsidRDefault="008044DD" w:rsidP="001C1D37">
            <w:pPr>
              <w:jc w:val="center"/>
              <w:rPr>
                <w:sz w:val="22"/>
                <w:szCs w:val="22"/>
              </w:rPr>
            </w:pPr>
            <w:r w:rsidRPr="001C1D37">
              <w:rPr>
                <w:sz w:val="22"/>
                <w:szCs w:val="22"/>
              </w:rPr>
              <w:t>1.4</w:t>
            </w:r>
          </w:p>
        </w:tc>
        <w:tc>
          <w:tcPr>
            <w:tcW w:w="851" w:type="dxa"/>
            <w:shd w:val="clear" w:color="auto" w:fill="auto"/>
            <w:vAlign w:val="center"/>
          </w:tcPr>
          <w:p w:rsidR="008044DD" w:rsidRPr="001C1D37" w:rsidRDefault="008044DD" w:rsidP="001C1D37">
            <w:pPr>
              <w:jc w:val="center"/>
              <w:rPr>
                <w:sz w:val="22"/>
                <w:szCs w:val="22"/>
              </w:rPr>
            </w:pPr>
            <w:r w:rsidRPr="001C1D37">
              <w:rPr>
                <w:sz w:val="22"/>
                <w:szCs w:val="22"/>
              </w:rPr>
              <w:t>-0.053</w:t>
            </w:r>
          </w:p>
        </w:tc>
        <w:tc>
          <w:tcPr>
            <w:tcW w:w="850" w:type="dxa"/>
            <w:shd w:val="clear" w:color="auto" w:fill="auto"/>
            <w:vAlign w:val="center"/>
          </w:tcPr>
          <w:p w:rsidR="008044DD" w:rsidRPr="001C1D37" w:rsidRDefault="008044DD" w:rsidP="001C1D37">
            <w:pPr>
              <w:jc w:val="center"/>
              <w:rPr>
                <w:sz w:val="22"/>
                <w:szCs w:val="22"/>
              </w:rPr>
            </w:pPr>
            <w:r w:rsidRPr="001C1D37">
              <w:rPr>
                <w:sz w:val="22"/>
                <w:szCs w:val="22"/>
              </w:rPr>
              <w:t>0.136</w:t>
            </w:r>
          </w:p>
        </w:tc>
        <w:tc>
          <w:tcPr>
            <w:tcW w:w="851" w:type="dxa"/>
            <w:shd w:val="clear" w:color="auto" w:fill="auto"/>
            <w:vAlign w:val="center"/>
          </w:tcPr>
          <w:p w:rsidR="008044DD" w:rsidRPr="001C1D37" w:rsidRDefault="008044DD" w:rsidP="001C1D37">
            <w:pPr>
              <w:jc w:val="center"/>
              <w:rPr>
                <w:sz w:val="22"/>
                <w:szCs w:val="22"/>
              </w:rPr>
            </w:pPr>
            <w:r w:rsidRPr="001C1D37">
              <w:rPr>
                <w:sz w:val="22"/>
                <w:szCs w:val="22"/>
              </w:rPr>
              <w:t>0.595</w:t>
            </w:r>
          </w:p>
        </w:tc>
        <w:tc>
          <w:tcPr>
            <w:tcW w:w="850" w:type="dxa"/>
            <w:shd w:val="clear" w:color="auto" w:fill="auto"/>
            <w:vAlign w:val="center"/>
          </w:tcPr>
          <w:p w:rsidR="008044DD" w:rsidRPr="001C1D37" w:rsidRDefault="008044DD" w:rsidP="001C1D37">
            <w:pPr>
              <w:jc w:val="center"/>
              <w:rPr>
                <w:sz w:val="22"/>
                <w:szCs w:val="22"/>
              </w:rPr>
            </w:pPr>
            <w:r w:rsidRPr="001C1D37">
              <w:rPr>
                <w:sz w:val="22"/>
                <w:szCs w:val="22"/>
              </w:rPr>
              <w:t>0.081</w:t>
            </w:r>
          </w:p>
        </w:tc>
        <w:tc>
          <w:tcPr>
            <w:tcW w:w="851" w:type="dxa"/>
            <w:vAlign w:val="center"/>
          </w:tcPr>
          <w:p w:rsidR="008044DD" w:rsidRPr="001C1D37" w:rsidRDefault="008044DD" w:rsidP="001C1D37">
            <w:pPr>
              <w:jc w:val="center"/>
              <w:rPr>
                <w:sz w:val="22"/>
                <w:szCs w:val="22"/>
              </w:rPr>
            </w:pPr>
            <w:r w:rsidRPr="001C1D37">
              <w:rPr>
                <w:sz w:val="22"/>
                <w:szCs w:val="22"/>
              </w:rPr>
              <w:t>0.723</w:t>
            </w:r>
          </w:p>
        </w:tc>
        <w:tc>
          <w:tcPr>
            <w:tcW w:w="850" w:type="dxa"/>
            <w:vAlign w:val="center"/>
          </w:tcPr>
          <w:p w:rsidR="008044DD" w:rsidRPr="001C1D37" w:rsidRDefault="008044DD" w:rsidP="001C1D37">
            <w:pPr>
              <w:jc w:val="center"/>
              <w:rPr>
                <w:sz w:val="22"/>
                <w:szCs w:val="22"/>
              </w:rPr>
            </w:pPr>
            <w:r w:rsidRPr="001C1D37">
              <w:rPr>
                <w:sz w:val="22"/>
                <w:szCs w:val="22"/>
              </w:rPr>
              <w:t>0.200</w:t>
            </w:r>
          </w:p>
        </w:tc>
        <w:tc>
          <w:tcPr>
            <w:tcW w:w="851" w:type="dxa"/>
            <w:vAlign w:val="center"/>
          </w:tcPr>
          <w:p w:rsidR="008044DD" w:rsidRPr="001C1D37" w:rsidRDefault="008044DD" w:rsidP="001C1D37">
            <w:pPr>
              <w:jc w:val="center"/>
              <w:rPr>
                <w:sz w:val="22"/>
                <w:szCs w:val="22"/>
              </w:rPr>
            </w:pPr>
            <w:r w:rsidRPr="001C1D37">
              <w:rPr>
                <w:sz w:val="22"/>
                <w:szCs w:val="22"/>
              </w:rPr>
              <w:t>0.596</w:t>
            </w:r>
          </w:p>
        </w:tc>
        <w:tc>
          <w:tcPr>
            <w:tcW w:w="850" w:type="dxa"/>
            <w:tcBorders>
              <w:right w:val="nil"/>
            </w:tcBorders>
            <w:vAlign w:val="center"/>
          </w:tcPr>
          <w:p w:rsidR="008044DD" w:rsidRPr="001C1D37" w:rsidRDefault="008044DD" w:rsidP="001C1D37">
            <w:pPr>
              <w:jc w:val="center"/>
              <w:rPr>
                <w:sz w:val="22"/>
                <w:szCs w:val="22"/>
              </w:rPr>
            </w:pPr>
            <w:r w:rsidRPr="001C1D37">
              <w:rPr>
                <w:sz w:val="22"/>
                <w:szCs w:val="22"/>
              </w:rPr>
              <w:t>0.202</w:t>
            </w:r>
          </w:p>
        </w:tc>
      </w:tr>
      <w:tr w:rsidR="001C1D37" w:rsidRPr="001C1D37" w:rsidTr="008044DD">
        <w:trPr>
          <w:trHeight w:hRule="exact" w:val="340"/>
        </w:trPr>
        <w:tc>
          <w:tcPr>
            <w:tcW w:w="851" w:type="dxa"/>
            <w:tcBorders>
              <w:left w:val="nil"/>
            </w:tcBorders>
            <w:vAlign w:val="center"/>
          </w:tcPr>
          <w:p w:rsidR="008044DD" w:rsidRPr="001C1D37" w:rsidRDefault="008044DD" w:rsidP="001C1D37">
            <w:pPr>
              <w:jc w:val="center"/>
              <w:rPr>
                <w:sz w:val="22"/>
                <w:szCs w:val="22"/>
              </w:rPr>
            </w:pPr>
            <w:r w:rsidRPr="001C1D37">
              <w:rPr>
                <w:sz w:val="22"/>
                <w:szCs w:val="22"/>
                <w:lang w:eastAsia="en-GB"/>
              </w:rPr>
              <w:t>(0, 3)</w:t>
            </w:r>
          </w:p>
        </w:tc>
        <w:tc>
          <w:tcPr>
            <w:tcW w:w="850" w:type="dxa"/>
            <w:vAlign w:val="center"/>
          </w:tcPr>
          <w:p w:rsidR="008044DD" w:rsidRPr="001C1D37" w:rsidRDefault="008044DD" w:rsidP="001C1D37">
            <w:pPr>
              <w:jc w:val="center"/>
              <w:rPr>
                <w:sz w:val="22"/>
                <w:szCs w:val="22"/>
              </w:rPr>
            </w:pPr>
            <w:r w:rsidRPr="001C1D37">
              <w:rPr>
                <w:sz w:val="22"/>
                <w:szCs w:val="22"/>
              </w:rPr>
              <w:t>5.9</w:t>
            </w:r>
          </w:p>
        </w:tc>
        <w:tc>
          <w:tcPr>
            <w:tcW w:w="851" w:type="dxa"/>
            <w:shd w:val="clear" w:color="auto" w:fill="auto"/>
            <w:vAlign w:val="center"/>
          </w:tcPr>
          <w:p w:rsidR="008044DD" w:rsidRPr="001C1D37" w:rsidRDefault="008044DD" w:rsidP="001C1D37">
            <w:pPr>
              <w:jc w:val="center"/>
              <w:rPr>
                <w:sz w:val="22"/>
                <w:szCs w:val="22"/>
              </w:rPr>
            </w:pPr>
            <w:r w:rsidRPr="001C1D37">
              <w:rPr>
                <w:sz w:val="22"/>
                <w:szCs w:val="22"/>
              </w:rPr>
              <w:t>-0.172</w:t>
            </w:r>
          </w:p>
        </w:tc>
        <w:tc>
          <w:tcPr>
            <w:tcW w:w="850" w:type="dxa"/>
            <w:shd w:val="clear" w:color="auto" w:fill="auto"/>
            <w:vAlign w:val="center"/>
          </w:tcPr>
          <w:p w:rsidR="008044DD" w:rsidRPr="001C1D37" w:rsidRDefault="008044DD" w:rsidP="001C1D37">
            <w:pPr>
              <w:jc w:val="center"/>
              <w:rPr>
                <w:sz w:val="22"/>
                <w:szCs w:val="22"/>
              </w:rPr>
            </w:pPr>
            <w:r w:rsidRPr="001C1D37">
              <w:rPr>
                <w:sz w:val="22"/>
                <w:szCs w:val="22"/>
              </w:rPr>
              <w:t>0.109</w:t>
            </w:r>
          </w:p>
        </w:tc>
        <w:tc>
          <w:tcPr>
            <w:tcW w:w="851" w:type="dxa"/>
            <w:shd w:val="clear" w:color="auto" w:fill="auto"/>
            <w:vAlign w:val="center"/>
          </w:tcPr>
          <w:p w:rsidR="008044DD" w:rsidRPr="001C1D37" w:rsidRDefault="008044DD" w:rsidP="001C1D37">
            <w:pPr>
              <w:jc w:val="center"/>
              <w:rPr>
                <w:sz w:val="22"/>
                <w:szCs w:val="22"/>
              </w:rPr>
            </w:pPr>
            <w:r w:rsidRPr="001C1D37">
              <w:rPr>
                <w:sz w:val="22"/>
                <w:szCs w:val="22"/>
              </w:rPr>
              <w:t>0.587</w:t>
            </w:r>
          </w:p>
        </w:tc>
        <w:tc>
          <w:tcPr>
            <w:tcW w:w="850" w:type="dxa"/>
            <w:shd w:val="clear" w:color="auto" w:fill="auto"/>
            <w:vAlign w:val="center"/>
          </w:tcPr>
          <w:p w:rsidR="008044DD" w:rsidRPr="001C1D37" w:rsidRDefault="008044DD" w:rsidP="001C1D37">
            <w:pPr>
              <w:jc w:val="center"/>
              <w:rPr>
                <w:sz w:val="22"/>
                <w:szCs w:val="22"/>
              </w:rPr>
            </w:pPr>
            <w:r w:rsidRPr="001C1D37">
              <w:rPr>
                <w:sz w:val="22"/>
                <w:szCs w:val="22"/>
              </w:rPr>
              <w:t>0.047</w:t>
            </w:r>
          </w:p>
        </w:tc>
        <w:tc>
          <w:tcPr>
            <w:tcW w:w="851" w:type="dxa"/>
            <w:vAlign w:val="center"/>
          </w:tcPr>
          <w:p w:rsidR="008044DD" w:rsidRPr="001C1D37" w:rsidRDefault="008044DD" w:rsidP="001C1D37">
            <w:pPr>
              <w:jc w:val="center"/>
              <w:rPr>
                <w:sz w:val="22"/>
                <w:szCs w:val="22"/>
              </w:rPr>
            </w:pPr>
            <w:r w:rsidRPr="001C1D37">
              <w:rPr>
                <w:sz w:val="22"/>
                <w:szCs w:val="22"/>
              </w:rPr>
              <w:t>0.759</w:t>
            </w:r>
          </w:p>
        </w:tc>
        <w:tc>
          <w:tcPr>
            <w:tcW w:w="850" w:type="dxa"/>
            <w:vAlign w:val="center"/>
          </w:tcPr>
          <w:p w:rsidR="008044DD" w:rsidRPr="001C1D37" w:rsidRDefault="008044DD" w:rsidP="001C1D37">
            <w:pPr>
              <w:jc w:val="center"/>
              <w:rPr>
                <w:sz w:val="22"/>
                <w:szCs w:val="22"/>
              </w:rPr>
            </w:pPr>
            <w:r w:rsidRPr="001C1D37">
              <w:rPr>
                <w:sz w:val="22"/>
                <w:szCs w:val="22"/>
              </w:rPr>
              <w:t>0.150</w:t>
            </w:r>
          </w:p>
        </w:tc>
        <w:tc>
          <w:tcPr>
            <w:tcW w:w="851" w:type="dxa"/>
            <w:vAlign w:val="center"/>
          </w:tcPr>
          <w:p w:rsidR="008044DD" w:rsidRPr="001C1D37" w:rsidRDefault="008044DD" w:rsidP="001C1D37">
            <w:pPr>
              <w:jc w:val="center"/>
              <w:rPr>
                <w:sz w:val="22"/>
                <w:szCs w:val="22"/>
              </w:rPr>
            </w:pPr>
            <w:r w:rsidRPr="001C1D37">
              <w:rPr>
                <w:sz w:val="22"/>
                <w:szCs w:val="22"/>
              </w:rPr>
              <w:t>0.473</w:t>
            </w:r>
          </w:p>
        </w:tc>
        <w:tc>
          <w:tcPr>
            <w:tcW w:w="850" w:type="dxa"/>
            <w:tcBorders>
              <w:right w:val="nil"/>
            </w:tcBorders>
            <w:vAlign w:val="center"/>
          </w:tcPr>
          <w:p w:rsidR="008044DD" w:rsidRPr="001C1D37" w:rsidRDefault="008044DD" w:rsidP="001C1D37">
            <w:pPr>
              <w:jc w:val="center"/>
              <w:rPr>
                <w:sz w:val="22"/>
                <w:szCs w:val="22"/>
              </w:rPr>
            </w:pPr>
            <w:r w:rsidRPr="001C1D37">
              <w:rPr>
                <w:sz w:val="22"/>
                <w:szCs w:val="22"/>
              </w:rPr>
              <w:t>0.155</w:t>
            </w:r>
          </w:p>
        </w:tc>
      </w:tr>
      <w:tr w:rsidR="001C1D37" w:rsidRPr="001C1D37" w:rsidTr="00431394">
        <w:trPr>
          <w:trHeight w:hRule="exact" w:val="340"/>
        </w:trPr>
        <w:tc>
          <w:tcPr>
            <w:tcW w:w="851" w:type="dxa"/>
            <w:tcBorders>
              <w:left w:val="nil"/>
              <w:bottom w:val="single" w:sz="4" w:space="0" w:color="auto"/>
            </w:tcBorders>
            <w:vAlign w:val="center"/>
          </w:tcPr>
          <w:p w:rsidR="008044DD" w:rsidRPr="001C1D37" w:rsidRDefault="008044DD" w:rsidP="001C1D37">
            <w:pPr>
              <w:jc w:val="center"/>
              <w:rPr>
                <w:b/>
                <w:sz w:val="22"/>
                <w:szCs w:val="22"/>
              </w:rPr>
            </w:pPr>
            <w:r w:rsidRPr="001C1D37">
              <w:rPr>
                <w:b/>
                <w:sz w:val="22"/>
                <w:szCs w:val="22"/>
                <w:lang w:eastAsia="en-GB"/>
              </w:rPr>
              <w:t>(0, 4)</w:t>
            </w:r>
          </w:p>
        </w:tc>
        <w:tc>
          <w:tcPr>
            <w:tcW w:w="850" w:type="dxa"/>
            <w:tcBorders>
              <w:bottom w:val="single" w:sz="4" w:space="0" w:color="auto"/>
            </w:tcBorders>
            <w:vAlign w:val="center"/>
          </w:tcPr>
          <w:p w:rsidR="008044DD" w:rsidRPr="001C1D37" w:rsidRDefault="008044DD" w:rsidP="001C1D37">
            <w:pPr>
              <w:jc w:val="center"/>
              <w:rPr>
                <w:b/>
                <w:sz w:val="22"/>
                <w:szCs w:val="22"/>
              </w:rPr>
            </w:pPr>
            <w:r w:rsidRPr="001C1D37">
              <w:rPr>
                <w:b/>
                <w:sz w:val="22"/>
                <w:szCs w:val="22"/>
              </w:rPr>
              <w:t>17.3</w:t>
            </w:r>
          </w:p>
        </w:tc>
        <w:tc>
          <w:tcPr>
            <w:tcW w:w="851" w:type="dxa"/>
            <w:tcBorders>
              <w:bottom w:val="single" w:sz="4" w:space="0" w:color="auto"/>
            </w:tcBorders>
            <w:shd w:val="clear" w:color="auto" w:fill="auto"/>
            <w:vAlign w:val="center"/>
          </w:tcPr>
          <w:p w:rsidR="008044DD" w:rsidRPr="001C1D37" w:rsidRDefault="008044DD" w:rsidP="001C1D37">
            <w:pPr>
              <w:jc w:val="center"/>
              <w:rPr>
                <w:b/>
                <w:sz w:val="22"/>
                <w:szCs w:val="22"/>
              </w:rPr>
            </w:pPr>
            <w:r w:rsidRPr="001C1D37">
              <w:rPr>
                <w:b/>
                <w:sz w:val="22"/>
                <w:szCs w:val="22"/>
              </w:rPr>
              <w:t>-0.502</w:t>
            </w:r>
          </w:p>
        </w:tc>
        <w:tc>
          <w:tcPr>
            <w:tcW w:w="850" w:type="dxa"/>
            <w:tcBorders>
              <w:bottom w:val="single" w:sz="4" w:space="0" w:color="auto"/>
            </w:tcBorders>
            <w:shd w:val="clear" w:color="auto" w:fill="auto"/>
            <w:vAlign w:val="center"/>
          </w:tcPr>
          <w:p w:rsidR="008044DD" w:rsidRPr="001C1D37" w:rsidRDefault="008044DD" w:rsidP="001C1D37">
            <w:pPr>
              <w:jc w:val="center"/>
              <w:rPr>
                <w:b/>
                <w:sz w:val="22"/>
                <w:szCs w:val="22"/>
              </w:rPr>
            </w:pPr>
            <w:r w:rsidRPr="001C1D37">
              <w:rPr>
                <w:b/>
                <w:sz w:val="22"/>
                <w:szCs w:val="22"/>
              </w:rPr>
              <w:t>0.066</w:t>
            </w:r>
          </w:p>
        </w:tc>
        <w:tc>
          <w:tcPr>
            <w:tcW w:w="851" w:type="dxa"/>
            <w:tcBorders>
              <w:bottom w:val="single" w:sz="4" w:space="0" w:color="auto"/>
            </w:tcBorders>
            <w:shd w:val="clear" w:color="auto" w:fill="auto"/>
            <w:vAlign w:val="center"/>
          </w:tcPr>
          <w:p w:rsidR="008044DD" w:rsidRPr="001C1D37" w:rsidRDefault="008044DD" w:rsidP="001C1D37">
            <w:pPr>
              <w:jc w:val="center"/>
              <w:rPr>
                <w:b/>
                <w:sz w:val="22"/>
                <w:szCs w:val="22"/>
              </w:rPr>
            </w:pPr>
            <w:r w:rsidRPr="001C1D37">
              <w:rPr>
                <w:b/>
                <w:sz w:val="22"/>
                <w:szCs w:val="22"/>
              </w:rPr>
              <w:t>0.626</w:t>
            </w:r>
          </w:p>
        </w:tc>
        <w:tc>
          <w:tcPr>
            <w:tcW w:w="850" w:type="dxa"/>
            <w:tcBorders>
              <w:bottom w:val="single" w:sz="4" w:space="0" w:color="auto"/>
            </w:tcBorders>
            <w:shd w:val="clear" w:color="auto" w:fill="auto"/>
            <w:vAlign w:val="center"/>
          </w:tcPr>
          <w:p w:rsidR="008044DD" w:rsidRPr="001C1D37" w:rsidRDefault="008044DD" w:rsidP="001C1D37">
            <w:pPr>
              <w:jc w:val="center"/>
              <w:rPr>
                <w:b/>
                <w:sz w:val="22"/>
                <w:szCs w:val="22"/>
              </w:rPr>
            </w:pPr>
            <w:r w:rsidRPr="001C1D37">
              <w:rPr>
                <w:b/>
                <w:sz w:val="22"/>
                <w:szCs w:val="22"/>
              </w:rPr>
              <w:t>0.026</w:t>
            </w:r>
          </w:p>
        </w:tc>
        <w:tc>
          <w:tcPr>
            <w:tcW w:w="851" w:type="dxa"/>
            <w:tcBorders>
              <w:bottom w:val="single" w:sz="4" w:space="0" w:color="auto"/>
            </w:tcBorders>
            <w:vAlign w:val="center"/>
          </w:tcPr>
          <w:p w:rsidR="008044DD" w:rsidRPr="001C1D37" w:rsidRDefault="008044DD" w:rsidP="001C1D37">
            <w:pPr>
              <w:jc w:val="center"/>
              <w:rPr>
                <w:b/>
                <w:sz w:val="22"/>
                <w:szCs w:val="22"/>
              </w:rPr>
            </w:pPr>
            <w:r w:rsidRPr="001C1D37">
              <w:rPr>
                <w:b/>
                <w:sz w:val="22"/>
                <w:szCs w:val="22"/>
              </w:rPr>
              <w:t>0.819</w:t>
            </w:r>
          </w:p>
        </w:tc>
        <w:tc>
          <w:tcPr>
            <w:tcW w:w="850" w:type="dxa"/>
            <w:tcBorders>
              <w:bottom w:val="single" w:sz="4" w:space="0" w:color="auto"/>
            </w:tcBorders>
            <w:vAlign w:val="center"/>
          </w:tcPr>
          <w:p w:rsidR="008044DD" w:rsidRPr="001C1D37" w:rsidRDefault="008044DD" w:rsidP="001C1D37">
            <w:pPr>
              <w:jc w:val="center"/>
              <w:rPr>
                <w:b/>
                <w:sz w:val="22"/>
                <w:szCs w:val="22"/>
              </w:rPr>
            </w:pPr>
            <w:r w:rsidRPr="001C1D37">
              <w:rPr>
                <w:b/>
                <w:sz w:val="22"/>
                <w:szCs w:val="22"/>
              </w:rPr>
              <w:t>0.078</w:t>
            </w:r>
          </w:p>
        </w:tc>
        <w:tc>
          <w:tcPr>
            <w:tcW w:w="851" w:type="dxa"/>
            <w:tcBorders>
              <w:bottom w:val="single" w:sz="4" w:space="0" w:color="auto"/>
            </w:tcBorders>
            <w:vAlign w:val="center"/>
          </w:tcPr>
          <w:p w:rsidR="008044DD" w:rsidRPr="001C1D37" w:rsidRDefault="008044DD" w:rsidP="001C1D37">
            <w:pPr>
              <w:jc w:val="center"/>
              <w:rPr>
                <w:b/>
                <w:sz w:val="22"/>
                <w:szCs w:val="22"/>
              </w:rPr>
            </w:pPr>
            <w:r w:rsidRPr="001C1D37">
              <w:rPr>
                <w:b/>
                <w:sz w:val="22"/>
                <w:szCs w:val="22"/>
              </w:rPr>
              <w:t>0.465</w:t>
            </w:r>
          </w:p>
        </w:tc>
        <w:tc>
          <w:tcPr>
            <w:tcW w:w="850" w:type="dxa"/>
            <w:tcBorders>
              <w:bottom w:val="single" w:sz="4" w:space="0" w:color="auto"/>
              <w:right w:val="nil"/>
            </w:tcBorders>
            <w:vAlign w:val="center"/>
          </w:tcPr>
          <w:p w:rsidR="008044DD" w:rsidRPr="001C1D37" w:rsidRDefault="008044DD" w:rsidP="001C1D37">
            <w:pPr>
              <w:jc w:val="center"/>
              <w:rPr>
                <w:b/>
                <w:sz w:val="22"/>
                <w:szCs w:val="22"/>
              </w:rPr>
            </w:pPr>
            <w:r w:rsidRPr="001C1D37">
              <w:rPr>
                <w:b/>
                <w:sz w:val="22"/>
                <w:szCs w:val="22"/>
              </w:rPr>
              <w:t>0.086</w:t>
            </w:r>
          </w:p>
        </w:tc>
      </w:tr>
      <w:tr w:rsidR="001C1D37" w:rsidRPr="001C1D37" w:rsidTr="00431394">
        <w:trPr>
          <w:trHeight w:hRule="exact" w:val="340"/>
        </w:trPr>
        <w:tc>
          <w:tcPr>
            <w:tcW w:w="851" w:type="dxa"/>
            <w:tcBorders>
              <w:left w:val="nil"/>
              <w:bottom w:val="single" w:sz="12" w:space="0" w:color="auto"/>
            </w:tcBorders>
            <w:vAlign w:val="center"/>
          </w:tcPr>
          <w:p w:rsidR="008044DD" w:rsidRPr="001C1D37" w:rsidRDefault="008044DD" w:rsidP="001C1D37">
            <w:pPr>
              <w:jc w:val="center"/>
              <w:rPr>
                <w:sz w:val="22"/>
                <w:szCs w:val="22"/>
              </w:rPr>
            </w:pPr>
            <w:r w:rsidRPr="001C1D37">
              <w:rPr>
                <w:sz w:val="22"/>
                <w:szCs w:val="22"/>
                <w:lang w:eastAsia="en-GB"/>
              </w:rPr>
              <w:t>(0, 5)</w:t>
            </w:r>
          </w:p>
        </w:tc>
        <w:tc>
          <w:tcPr>
            <w:tcW w:w="850" w:type="dxa"/>
            <w:tcBorders>
              <w:bottom w:val="single" w:sz="12" w:space="0" w:color="auto"/>
            </w:tcBorders>
            <w:vAlign w:val="center"/>
          </w:tcPr>
          <w:p w:rsidR="008044DD" w:rsidRPr="001C1D37" w:rsidRDefault="008044DD" w:rsidP="001C1D37">
            <w:pPr>
              <w:jc w:val="center"/>
              <w:rPr>
                <w:sz w:val="22"/>
                <w:szCs w:val="22"/>
              </w:rPr>
            </w:pPr>
            <w:r w:rsidRPr="001C1D37">
              <w:rPr>
                <w:sz w:val="22"/>
                <w:szCs w:val="22"/>
              </w:rPr>
              <w:t>27.7</w:t>
            </w:r>
          </w:p>
        </w:tc>
        <w:tc>
          <w:tcPr>
            <w:tcW w:w="851" w:type="dxa"/>
            <w:tcBorders>
              <w:bottom w:val="single" w:sz="12"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-0.402</w:t>
            </w:r>
          </w:p>
        </w:tc>
        <w:tc>
          <w:tcPr>
            <w:tcW w:w="850" w:type="dxa"/>
            <w:tcBorders>
              <w:bottom w:val="single" w:sz="12"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0.039</w:t>
            </w:r>
          </w:p>
        </w:tc>
        <w:tc>
          <w:tcPr>
            <w:tcW w:w="851" w:type="dxa"/>
            <w:tcBorders>
              <w:bottom w:val="single" w:sz="12"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0.583</w:t>
            </w:r>
          </w:p>
        </w:tc>
        <w:tc>
          <w:tcPr>
            <w:tcW w:w="850" w:type="dxa"/>
            <w:tcBorders>
              <w:bottom w:val="single" w:sz="12" w:space="0" w:color="auto"/>
            </w:tcBorders>
            <w:shd w:val="clear" w:color="auto" w:fill="auto"/>
            <w:vAlign w:val="center"/>
          </w:tcPr>
          <w:p w:rsidR="008044DD" w:rsidRPr="001C1D37" w:rsidRDefault="008044DD" w:rsidP="001C1D37">
            <w:pPr>
              <w:jc w:val="center"/>
              <w:rPr>
                <w:sz w:val="22"/>
                <w:szCs w:val="22"/>
              </w:rPr>
            </w:pPr>
            <w:r w:rsidRPr="001C1D37">
              <w:rPr>
                <w:sz w:val="22"/>
                <w:szCs w:val="22"/>
              </w:rPr>
              <w:t>0.022</w:t>
            </w:r>
          </w:p>
        </w:tc>
        <w:tc>
          <w:tcPr>
            <w:tcW w:w="851" w:type="dxa"/>
            <w:tcBorders>
              <w:bottom w:val="single" w:sz="12" w:space="0" w:color="auto"/>
            </w:tcBorders>
            <w:vAlign w:val="center"/>
          </w:tcPr>
          <w:p w:rsidR="008044DD" w:rsidRPr="001C1D37" w:rsidRDefault="008044DD" w:rsidP="001C1D37">
            <w:pPr>
              <w:jc w:val="center"/>
              <w:rPr>
                <w:sz w:val="22"/>
                <w:szCs w:val="22"/>
              </w:rPr>
            </w:pPr>
            <w:r w:rsidRPr="001C1D37">
              <w:rPr>
                <w:sz w:val="22"/>
                <w:szCs w:val="22"/>
              </w:rPr>
              <w:t>0.8</w:t>
            </w:r>
            <w:r w:rsidR="00D111AF" w:rsidRPr="001C1D37">
              <w:rPr>
                <w:sz w:val="22"/>
                <w:szCs w:val="22"/>
              </w:rPr>
              <w:t>0</w:t>
            </w:r>
            <w:r w:rsidRPr="001C1D37">
              <w:rPr>
                <w:sz w:val="22"/>
                <w:szCs w:val="22"/>
              </w:rPr>
              <w:t>9</w:t>
            </w:r>
          </w:p>
        </w:tc>
        <w:tc>
          <w:tcPr>
            <w:tcW w:w="850" w:type="dxa"/>
            <w:tcBorders>
              <w:bottom w:val="single" w:sz="12" w:space="0" w:color="auto"/>
            </w:tcBorders>
            <w:vAlign w:val="center"/>
          </w:tcPr>
          <w:p w:rsidR="008044DD" w:rsidRPr="001C1D37" w:rsidRDefault="008044DD" w:rsidP="001C1D37">
            <w:pPr>
              <w:jc w:val="center"/>
              <w:rPr>
                <w:sz w:val="22"/>
                <w:szCs w:val="22"/>
              </w:rPr>
            </w:pPr>
            <w:r w:rsidRPr="001C1D37">
              <w:rPr>
                <w:sz w:val="22"/>
                <w:szCs w:val="22"/>
              </w:rPr>
              <w:t>0.073</w:t>
            </w:r>
          </w:p>
        </w:tc>
        <w:tc>
          <w:tcPr>
            <w:tcW w:w="851" w:type="dxa"/>
            <w:tcBorders>
              <w:bottom w:val="single" w:sz="12" w:space="0" w:color="auto"/>
            </w:tcBorders>
            <w:vAlign w:val="center"/>
          </w:tcPr>
          <w:p w:rsidR="008044DD" w:rsidRPr="001C1D37" w:rsidRDefault="008044DD" w:rsidP="001C1D37">
            <w:pPr>
              <w:jc w:val="center"/>
              <w:rPr>
                <w:sz w:val="22"/>
                <w:szCs w:val="22"/>
              </w:rPr>
            </w:pPr>
            <w:r w:rsidRPr="001C1D37">
              <w:rPr>
                <w:sz w:val="22"/>
                <w:szCs w:val="22"/>
              </w:rPr>
              <w:t>0.390</w:t>
            </w:r>
          </w:p>
        </w:tc>
        <w:tc>
          <w:tcPr>
            <w:tcW w:w="850" w:type="dxa"/>
            <w:tcBorders>
              <w:bottom w:val="single" w:sz="12" w:space="0" w:color="auto"/>
              <w:right w:val="nil"/>
            </w:tcBorders>
            <w:vAlign w:val="center"/>
          </w:tcPr>
          <w:p w:rsidR="008044DD" w:rsidRPr="001C1D37" w:rsidRDefault="008044DD" w:rsidP="001C1D37">
            <w:pPr>
              <w:jc w:val="center"/>
              <w:rPr>
                <w:sz w:val="22"/>
                <w:szCs w:val="22"/>
              </w:rPr>
            </w:pPr>
            <w:r w:rsidRPr="001C1D37">
              <w:rPr>
                <w:sz w:val="22"/>
                <w:szCs w:val="22"/>
              </w:rPr>
              <w:t>0.076</w:t>
            </w:r>
          </w:p>
        </w:tc>
      </w:tr>
    </w:tbl>
    <w:p w:rsidR="00C130C0" w:rsidRPr="001C1D37" w:rsidRDefault="00C130C0" w:rsidP="001C1D37">
      <w:r w:rsidRPr="001C1D37">
        <w:br w:type="page"/>
      </w:r>
    </w:p>
    <w:p w:rsidR="00067F92" w:rsidRPr="001C1D37" w:rsidRDefault="00E458E1" w:rsidP="001C1D37">
      <w:pPr>
        <w:jc w:val="both"/>
      </w:pPr>
      <w:proofErr w:type="gramStart"/>
      <w:r w:rsidRPr="001C1D37">
        <w:lastRenderedPageBreak/>
        <w:t xml:space="preserve">Table </w:t>
      </w:r>
      <w:r w:rsidR="00E55553" w:rsidRPr="001C1D37">
        <w:t>4</w:t>
      </w:r>
      <w:r w:rsidRPr="001C1D37">
        <w:t>.</w:t>
      </w:r>
      <w:proofErr w:type="gramEnd"/>
      <w:r w:rsidRPr="001C1D37">
        <w:t xml:space="preserve"> Number of cases</w:t>
      </w:r>
      <w:r w:rsidR="00324192" w:rsidRPr="001C1D37">
        <w:t xml:space="preserve"> (developed sepsis</w:t>
      </w:r>
      <w:r w:rsidR="00067F92" w:rsidRPr="001C1D37">
        <w:t xml:space="preserve"> </w:t>
      </w:r>
      <w:proofErr w:type="gramStart"/>
      <w:r w:rsidR="00067F92" w:rsidRPr="001C1D37">
        <w:t xml:space="preserve">over </w:t>
      </w:r>
      <w:proofErr w:type="gramEnd"/>
      <m:oMath>
        <m:r>
          <w:rPr>
            <w:rFonts w:ascii="Cambria Math" w:hAnsi="Cambria Math"/>
          </w:rPr>
          <m:t xml:space="preserve">(0, </m:t>
        </m:r>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m:t>
        </m:r>
      </m:oMath>
      <w:r w:rsidR="00324192" w:rsidRPr="001C1D37">
        <w:t>)</w:t>
      </w:r>
      <w:r w:rsidRPr="001C1D37">
        <w:t xml:space="preserve"> and controls</w:t>
      </w:r>
      <w:r w:rsidR="00324192" w:rsidRPr="001C1D37">
        <w:t xml:space="preserve"> (remained sepsis-free</w:t>
      </w:r>
      <w:r w:rsidR="00067F92" w:rsidRPr="001C1D37">
        <w:t xml:space="preserve"> at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324192" w:rsidRPr="001C1D37">
        <w:t>)</w:t>
      </w:r>
      <w:r w:rsidRPr="001C1D37">
        <w:t xml:space="preserve"> </w:t>
      </w:r>
      <w:r w:rsidR="00067F92" w:rsidRPr="001C1D37">
        <w:t xml:space="preserve">over </w:t>
      </w:r>
      <w:r w:rsidR="00DC7038" w:rsidRPr="001C1D37">
        <w:t xml:space="preserve">study </w:t>
      </w:r>
      <w:r w:rsidR="00067F92" w:rsidRPr="001C1D37">
        <w:t>follow-up</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14"/>
        <w:gridCol w:w="957"/>
        <w:gridCol w:w="957"/>
        <w:gridCol w:w="957"/>
        <w:gridCol w:w="957"/>
        <w:gridCol w:w="957"/>
        <w:gridCol w:w="957"/>
        <w:gridCol w:w="957"/>
      </w:tblGrid>
      <w:tr w:rsidR="001C1D37" w:rsidRPr="001C1D37" w:rsidTr="00E86015">
        <w:trPr>
          <w:trHeight w:val="345"/>
        </w:trPr>
        <w:tc>
          <w:tcPr>
            <w:tcW w:w="1951" w:type="dxa"/>
            <w:tcBorders>
              <w:top w:val="single" w:sz="12" w:space="0" w:color="000000"/>
              <w:left w:val="nil"/>
              <w:bottom w:val="single" w:sz="12" w:space="0" w:color="auto"/>
              <w:right w:val="single" w:sz="4" w:space="0" w:color="auto"/>
            </w:tcBorders>
            <w:shd w:val="clear" w:color="auto" w:fill="auto"/>
            <w:vAlign w:val="center"/>
          </w:tcPr>
          <w:p w:rsidR="00E458E1" w:rsidRPr="001C1D37" w:rsidRDefault="001C1D37" w:rsidP="001C1D37">
            <w:pPr>
              <w:autoSpaceDE w:val="0"/>
              <w:autoSpaceDN w:val="0"/>
              <w:adjustRightInd w:val="0"/>
              <w:contextualSpacing/>
              <w:jc w:val="center"/>
              <w:rPr>
                <w:b/>
                <w:sz w:val="20"/>
                <w:szCs w:val="20"/>
              </w:rPr>
            </w:pPr>
            <m:oMath>
              <m:sSub>
                <m:sSubPr>
                  <m:ctrlPr>
                    <w:rPr>
                      <w:rFonts w:ascii="Cambria Math" w:hAnsi="Cambria Math"/>
                      <w:b/>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h</m:t>
                  </m:r>
                </m:sub>
              </m:sSub>
            </m:oMath>
            <w:r w:rsidR="00E458E1" w:rsidRPr="001C1D37">
              <w:rPr>
                <w:b/>
                <w:sz w:val="20"/>
                <w:szCs w:val="20"/>
              </w:rPr>
              <w:t xml:space="preserve"> (hours)</w:t>
            </w:r>
          </w:p>
        </w:tc>
        <w:tc>
          <w:tcPr>
            <w:tcW w:w="814" w:type="dxa"/>
            <w:tcBorders>
              <w:top w:val="single" w:sz="12" w:space="0" w:color="000000"/>
              <w:left w:val="single" w:sz="4" w:space="0" w:color="auto"/>
              <w:bottom w:val="single" w:sz="12" w:space="0" w:color="auto"/>
              <w:right w:val="single" w:sz="4" w:space="0" w:color="auto"/>
            </w:tcBorders>
            <w:vAlign w:val="center"/>
          </w:tcPr>
          <w:p w:rsidR="00E458E1" w:rsidRPr="001C1D37" w:rsidRDefault="00E458E1" w:rsidP="001C1D37">
            <w:pPr>
              <w:autoSpaceDE w:val="0"/>
              <w:autoSpaceDN w:val="0"/>
              <w:adjustRightInd w:val="0"/>
              <w:contextualSpacing/>
              <w:jc w:val="center"/>
              <w:rPr>
                <w:b/>
                <w:sz w:val="20"/>
                <w:szCs w:val="20"/>
              </w:rPr>
            </w:pPr>
            <w:r w:rsidRPr="001C1D37">
              <w:rPr>
                <w:b/>
                <w:sz w:val="20"/>
                <w:szCs w:val="20"/>
              </w:rPr>
              <w:t>0</w:t>
            </w:r>
          </w:p>
        </w:tc>
        <w:tc>
          <w:tcPr>
            <w:tcW w:w="957" w:type="dxa"/>
            <w:tcBorders>
              <w:top w:val="single" w:sz="12" w:space="0" w:color="000000"/>
              <w:left w:val="single" w:sz="4" w:space="0" w:color="auto"/>
              <w:bottom w:val="single" w:sz="12" w:space="0" w:color="auto"/>
              <w:right w:val="single" w:sz="4" w:space="0" w:color="auto"/>
            </w:tcBorders>
            <w:vAlign w:val="center"/>
          </w:tcPr>
          <w:p w:rsidR="00E458E1" w:rsidRPr="001C1D37" w:rsidRDefault="00E458E1" w:rsidP="001C1D37">
            <w:pPr>
              <w:autoSpaceDE w:val="0"/>
              <w:autoSpaceDN w:val="0"/>
              <w:adjustRightInd w:val="0"/>
              <w:contextualSpacing/>
              <w:jc w:val="center"/>
              <w:rPr>
                <w:b/>
                <w:sz w:val="20"/>
                <w:szCs w:val="20"/>
              </w:rPr>
            </w:pPr>
            <w:r w:rsidRPr="001C1D37">
              <w:rPr>
                <w:b/>
                <w:sz w:val="20"/>
                <w:szCs w:val="20"/>
              </w:rPr>
              <w:t>24</w:t>
            </w:r>
          </w:p>
        </w:tc>
        <w:tc>
          <w:tcPr>
            <w:tcW w:w="957" w:type="dxa"/>
            <w:tcBorders>
              <w:top w:val="single" w:sz="12" w:space="0" w:color="000000"/>
              <w:left w:val="single" w:sz="4" w:space="0" w:color="auto"/>
              <w:bottom w:val="single" w:sz="12" w:space="0" w:color="auto"/>
              <w:right w:val="nil"/>
            </w:tcBorders>
            <w:vAlign w:val="center"/>
          </w:tcPr>
          <w:p w:rsidR="00E458E1" w:rsidRPr="001C1D37" w:rsidRDefault="00E458E1" w:rsidP="001C1D37">
            <w:pPr>
              <w:autoSpaceDE w:val="0"/>
              <w:autoSpaceDN w:val="0"/>
              <w:adjustRightInd w:val="0"/>
              <w:contextualSpacing/>
              <w:jc w:val="center"/>
              <w:rPr>
                <w:b/>
                <w:sz w:val="20"/>
                <w:szCs w:val="20"/>
              </w:rPr>
            </w:pPr>
            <w:r w:rsidRPr="001C1D37">
              <w:rPr>
                <w:b/>
                <w:sz w:val="20"/>
                <w:szCs w:val="20"/>
              </w:rPr>
              <w:t>48</w:t>
            </w:r>
          </w:p>
        </w:tc>
        <w:tc>
          <w:tcPr>
            <w:tcW w:w="957" w:type="dxa"/>
            <w:tcBorders>
              <w:top w:val="single" w:sz="12" w:space="0" w:color="000000"/>
              <w:left w:val="single" w:sz="4" w:space="0" w:color="auto"/>
              <w:bottom w:val="single" w:sz="12" w:space="0" w:color="auto"/>
              <w:right w:val="nil"/>
            </w:tcBorders>
            <w:vAlign w:val="center"/>
          </w:tcPr>
          <w:p w:rsidR="00E458E1" w:rsidRPr="001C1D37" w:rsidRDefault="00E458E1" w:rsidP="001C1D37">
            <w:pPr>
              <w:autoSpaceDE w:val="0"/>
              <w:autoSpaceDN w:val="0"/>
              <w:adjustRightInd w:val="0"/>
              <w:contextualSpacing/>
              <w:jc w:val="center"/>
              <w:rPr>
                <w:b/>
                <w:sz w:val="20"/>
                <w:szCs w:val="20"/>
              </w:rPr>
            </w:pPr>
            <w:r w:rsidRPr="001C1D37">
              <w:rPr>
                <w:b/>
                <w:sz w:val="20"/>
                <w:szCs w:val="20"/>
              </w:rPr>
              <w:t>72</w:t>
            </w:r>
          </w:p>
        </w:tc>
        <w:tc>
          <w:tcPr>
            <w:tcW w:w="957" w:type="dxa"/>
            <w:tcBorders>
              <w:top w:val="single" w:sz="12" w:space="0" w:color="000000"/>
              <w:left w:val="single" w:sz="4" w:space="0" w:color="auto"/>
              <w:bottom w:val="single" w:sz="12" w:space="0" w:color="auto"/>
              <w:right w:val="nil"/>
            </w:tcBorders>
            <w:vAlign w:val="center"/>
          </w:tcPr>
          <w:p w:rsidR="00E458E1" w:rsidRPr="001C1D37" w:rsidRDefault="00E458E1" w:rsidP="001C1D37">
            <w:pPr>
              <w:autoSpaceDE w:val="0"/>
              <w:autoSpaceDN w:val="0"/>
              <w:adjustRightInd w:val="0"/>
              <w:contextualSpacing/>
              <w:jc w:val="center"/>
              <w:rPr>
                <w:b/>
                <w:sz w:val="20"/>
                <w:szCs w:val="20"/>
              </w:rPr>
            </w:pPr>
            <w:r w:rsidRPr="001C1D37">
              <w:rPr>
                <w:b/>
                <w:sz w:val="20"/>
                <w:szCs w:val="20"/>
              </w:rPr>
              <w:t>96</w:t>
            </w:r>
          </w:p>
        </w:tc>
        <w:tc>
          <w:tcPr>
            <w:tcW w:w="957" w:type="dxa"/>
            <w:tcBorders>
              <w:top w:val="single" w:sz="12" w:space="0" w:color="000000"/>
              <w:left w:val="single" w:sz="4" w:space="0" w:color="auto"/>
              <w:bottom w:val="single" w:sz="12" w:space="0" w:color="auto"/>
              <w:right w:val="nil"/>
            </w:tcBorders>
            <w:vAlign w:val="center"/>
          </w:tcPr>
          <w:p w:rsidR="00E458E1" w:rsidRPr="001C1D37" w:rsidRDefault="00E458E1" w:rsidP="001C1D37">
            <w:pPr>
              <w:autoSpaceDE w:val="0"/>
              <w:autoSpaceDN w:val="0"/>
              <w:adjustRightInd w:val="0"/>
              <w:contextualSpacing/>
              <w:jc w:val="center"/>
              <w:rPr>
                <w:b/>
                <w:sz w:val="20"/>
                <w:szCs w:val="20"/>
              </w:rPr>
            </w:pPr>
            <w:r w:rsidRPr="001C1D37">
              <w:rPr>
                <w:b/>
                <w:sz w:val="20"/>
                <w:szCs w:val="20"/>
              </w:rPr>
              <w:t>120</w:t>
            </w:r>
          </w:p>
        </w:tc>
        <w:tc>
          <w:tcPr>
            <w:tcW w:w="957" w:type="dxa"/>
            <w:tcBorders>
              <w:top w:val="single" w:sz="12" w:space="0" w:color="000000"/>
              <w:left w:val="single" w:sz="4" w:space="0" w:color="auto"/>
              <w:bottom w:val="single" w:sz="12" w:space="0" w:color="auto"/>
              <w:right w:val="nil"/>
            </w:tcBorders>
            <w:vAlign w:val="center"/>
          </w:tcPr>
          <w:p w:rsidR="00E458E1" w:rsidRPr="001C1D37" w:rsidRDefault="00E458E1" w:rsidP="001C1D37">
            <w:pPr>
              <w:autoSpaceDE w:val="0"/>
              <w:autoSpaceDN w:val="0"/>
              <w:adjustRightInd w:val="0"/>
              <w:contextualSpacing/>
              <w:jc w:val="center"/>
              <w:rPr>
                <w:b/>
                <w:sz w:val="20"/>
                <w:szCs w:val="20"/>
              </w:rPr>
            </w:pPr>
            <w:r w:rsidRPr="001C1D37">
              <w:rPr>
                <w:b/>
                <w:sz w:val="20"/>
                <w:szCs w:val="20"/>
              </w:rPr>
              <w:t>144</w:t>
            </w:r>
          </w:p>
        </w:tc>
        <w:tc>
          <w:tcPr>
            <w:tcW w:w="957" w:type="dxa"/>
            <w:tcBorders>
              <w:top w:val="single" w:sz="12" w:space="0" w:color="000000"/>
              <w:left w:val="single" w:sz="4" w:space="0" w:color="auto"/>
              <w:bottom w:val="single" w:sz="12" w:space="0" w:color="auto"/>
              <w:right w:val="nil"/>
            </w:tcBorders>
            <w:vAlign w:val="center"/>
          </w:tcPr>
          <w:p w:rsidR="00E458E1" w:rsidRPr="001C1D37" w:rsidRDefault="00E458E1" w:rsidP="001C1D37">
            <w:pPr>
              <w:autoSpaceDE w:val="0"/>
              <w:autoSpaceDN w:val="0"/>
              <w:adjustRightInd w:val="0"/>
              <w:contextualSpacing/>
              <w:jc w:val="center"/>
              <w:rPr>
                <w:b/>
                <w:sz w:val="20"/>
                <w:szCs w:val="20"/>
              </w:rPr>
            </w:pPr>
            <w:r w:rsidRPr="001C1D37">
              <w:rPr>
                <w:b/>
                <w:sz w:val="20"/>
                <w:szCs w:val="20"/>
              </w:rPr>
              <w:t>168</w:t>
            </w:r>
          </w:p>
        </w:tc>
      </w:tr>
      <w:tr w:rsidR="001C1D37" w:rsidRPr="001C1D37" w:rsidTr="00E86015">
        <w:trPr>
          <w:trHeight w:val="313"/>
        </w:trPr>
        <w:tc>
          <w:tcPr>
            <w:tcW w:w="1951" w:type="dxa"/>
            <w:tcBorders>
              <w:top w:val="single" w:sz="12" w:space="0" w:color="auto"/>
              <w:left w:val="nil"/>
              <w:bottom w:val="single" w:sz="4" w:space="0" w:color="000000"/>
              <w:right w:val="single" w:sz="4" w:space="0" w:color="auto"/>
            </w:tcBorders>
            <w:shd w:val="clear" w:color="auto" w:fill="auto"/>
            <w:vAlign w:val="center"/>
          </w:tcPr>
          <w:p w:rsidR="00E458E1" w:rsidRPr="001C1D37" w:rsidRDefault="00E458E1" w:rsidP="001C1D37">
            <w:pPr>
              <w:rPr>
                <w:sz w:val="20"/>
                <w:szCs w:val="20"/>
                <w:lang w:eastAsia="en-GB"/>
              </w:rPr>
            </w:pPr>
            <w:r w:rsidRPr="001C1D37">
              <w:rPr>
                <w:sz w:val="20"/>
                <w:szCs w:val="20"/>
                <w:lang w:eastAsia="en-GB"/>
              </w:rPr>
              <w:t>N Cases</w:t>
            </w:r>
          </w:p>
        </w:tc>
        <w:tc>
          <w:tcPr>
            <w:tcW w:w="814" w:type="dxa"/>
            <w:tcBorders>
              <w:top w:val="single" w:sz="12" w:space="0" w:color="auto"/>
              <w:left w:val="single" w:sz="4" w:space="0" w:color="auto"/>
              <w:bottom w:val="single" w:sz="4" w:space="0" w:color="000000"/>
              <w:right w:val="single" w:sz="4" w:space="0" w:color="auto"/>
            </w:tcBorders>
            <w:vAlign w:val="center"/>
          </w:tcPr>
          <w:p w:rsidR="00E458E1" w:rsidRPr="001C1D37" w:rsidRDefault="00E458E1" w:rsidP="001C1D37">
            <w:pPr>
              <w:jc w:val="center"/>
              <w:rPr>
                <w:sz w:val="20"/>
                <w:szCs w:val="20"/>
                <w:lang w:eastAsia="en-GB"/>
              </w:rPr>
            </w:pPr>
            <w:r w:rsidRPr="001C1D37">
              <w:rPr>
                <w:sz w:val="20"/>
                <w:szCs w:val="20"/>
                <w:lang w:eastAsia="en-GB"/>
              </w:rPr>
              <w:t>0</w:t>
            </w:r>
          </w:p>
        </w:tc>
        <w:tc>
          <w:tcPr>
            <w:tcW w:w="957" w:type="dxa"/>
            <w:tcBorders>
              <w:top w:val="single" w:sz="12" w:space="0" w:color="auto"/>
              <w:left w:val="single" w:sz="4" w:space="0" w:color="auto"/>
              <w:bottom w:val="single" w:sz="4" w:space="0" w:color="000000"/>
              <w:right w:val="single" w:sz="4" w:space="0" w:color="auto"/>
            </w:tcBorders>
            <w:vAlign w:val="center"/>
          </w:tcPr>
          <w:p w:rsidR="00E458E1" w:rsidRPr="001C1D37" w:rsidRDefault="00E458E1" w:rsidP="001C1D37">
            <w:pPr>
              <w:jc w:val="center"/>
              <w:rPr>
                <w:sz w:val="20"/>
                <w:szCs w:val="20"/>
                <w:lang w:eastAsia="en-GB"/>
              </w:rPr>
            </w:pPr>
            <w:r w:rsidRPr="001C1D37">
              <w:rPr>
                <w:sz w:val="20"/>
                <w:szCs w:val="20"/>
                <w:lang w:eastAsia="en-GB"/>
              </w:rPr>
              <w:t>17</w:t>
            </w:r>
          </w:p>
        </w:tc>
        <w:tc>
          <w:tcPr>
            <w:tcW w:w="957" w:type="dxa"/>
            <w:tcBorders>
              <w:top w:val="single" w:sz="12" w:space="0" w:color="auto"/>
              <w:left w:val="single" w:sz="4" w:space="0" w:color="auto"/>
              <w:bottom w:val="single" w:sz="4" w:space="0" w:color="000000"/>
              <w:right w:val="nil"/>
            </w:tcBorders>
            <w:vAlign w:val="center"/>
          </w:tcPr>
          <w:p w:rsidR="00E458E1" w:rsidRPr="001C1D37" w:rsidRDefault="00E458E1" w:rsidP="001C1D37">
            <w:pPr>
              <w:jc w:val="center"/>
              <w:rPr>
                <w:sz w:val="20"/>
                <w:szCs w:val="20"/>
                <w:lang w:eastAsia="en-GB"/>
              </w:rPr>
            </w:pPr>
            <w:r w:rsidRPr="001C1D37">
              <w:rPr>
                <w:sz w:val="20"/>
                <w:szCs w:val="20"/>
                <w:lang w:eastAsia="en-GB"/>
              </w:rPr>
              <w:t>22</w:t>
            </w:r>
          </w:p>
        </w:tc>
        <w:tc>
          <w:tcPr>
            <w:tcW w:w="957" w:type="dxa"/>
            <w:tcBorders>
              <w:top w:val="single" w:sz="12" w:space="0" w:color="auto"/>
              <w:left w:val="single" w:sz="4" w:space="0" w:color="auto"/>
              <w:bottom w:val="single" w:sz="4" w:space="0" w:color="000000"/>
              <w:right w:val="nil"/>
            </w:tcBorders>
            <w:vAlign w:val="center"/>
          </w:tcPr>
          <w:p w:rsidR="00E458E1" w:rsidRPr="001C1D37" w:rsidRDefault="00E458E1" w:rsidP="001C1D37">
            <w:pPr>
              <w:jc w:val="center"/>
              <w:rPr>
                <w:sz w:val="20"/>
                <w:szCs w:val="20"/>
                <w:lang w:eastAsia="en-GB"/>
              </w:rPr>
            </w:pPr>
            <w:r w:rsidRPr="001C1D37">
              <w:rPr>
                <w:sz w:val="20"/>
                <w:szCs w:val="20"/>
                <w:lang w:eastAsia="en-GB"/>
              </w:rPr>
              <w:t>25</w:t>
            </w:r>
          </w:p>
        </w:tc>
        <w:tc>
          <w:tcPr>
            <w:tcW w:w="957" w:type="dxa"/>
            <w:tcBorders>
              <w:top w:val="single" w:sz="12" w:space="0" w:color="auto"/>
              <w:left w:val="single" w:sz="4" w:space="0" w:color="auto"/>
              <w:bottom w:val="single" w:sz="4" w:space="0" w:color="000000"/>
              <w:right w:val="nil"/>
            </w:tcBorders>
            <w:vAlign w:val="center"/>
          </w:tcPr>
          <w:p w:rsidR="00E458E1" w:rsidRPr="001C1D37" w:rsidRDefault="00E458E1" w:rsidP="001C1D37">
            <w:pPr>
              <w:jc w:val="center"/>
              <w:rPr>
                <w:sz w:val="20"/>
                <w:szCs w:val="20"/>
                <w:lang w:eastAsia="en-GB"/>
              </w:rPr>
            </w:pPr>
            <w:r w:rsidRPr="001C1D37">
              <w:rPr>
                <w:sz w:val="20"/>
                <w:szCs w:val="20"/>
                <w:lang w:eastAsia="en-GB"/>
              </w:rPr>
              <w:t>29</w:t>
            </w:r>
          </w:p>
        </w:tc>
        <w:tc>
          <w:tcPr>
            <w:tcW w:w="957" w:type="dxa"/>
            <w:tcBorders>
              <w:top w:val="single" w:sz="12" w:space="0" w:color="auto"/>
              <w:left w:val="single" w:sz="4" w:space="0" w:color="auto"/>
              <w:bottom w:val="single" w:sz="4" w:space="0" w:color="000000"/>
              <w:right w:val="nil"/>
            </w:tcBorders>
            <w:vAlign w:val="center"/>
          </w:tcPr>
          <w:p w:rsidR="00E458E1" w:rsidRPr="001C1D37" w:rsidRDefault="00E458E1" w:rsidP="001C1D37">
            <w:pPr>
              <w:jc w:val="center"/>
              <w:rPr>
                <w:sz w:val="20"/>
                <w:szCs w:val="20"/>
                <w:lang w:eastAsia="en-GB"/>
              </w:rPr>
            </w:pPr>
            <w:r w:rsidRPr="001C1D37">
              <w:rPr>
                <w:sz w:val="20"/>
                <w:szCs w:val="20"/>
                <w:lang w:eastAsia="en-GB"/>
              </w:rPr>
              <w:t>35</w:t>
            </w:r>
          </w:p>
        </w:tc>
        <w:tc>
          <w:tcPr>
            <w:tcW w:w="957" w:type="dxa"/>
            <w:tcBorders>
              <w:top w:val="single" w:sz="12" w:space="0" w:color="auto"/>
              <w:left w:val="single" w:sz="4" w:space="0" w:color="auto"/>
              <w:bottom w:val="single" w:sz="4" w:space="0" w:color="000000"/>
              <w:right w:val="nil"/>
            </w:tcBorders>
            <w:vAlign w:val="center"/>
          </w:tcPr>
          <w:p w:rsidR="00E458E1" w:rsidRPr="001C1D37" w:rsidRDefault="00E458E1" w:rsidP="001C1D37">
            <w:pPr>
              <w:jc w:val="center"/>
              <w:rPr>
                <w:sz w:val="20"/>
                <w:szCs w:val="20"/>
                <w:lang w:eastAsia="en-GB"/>
              </w:rPr>
            </w:pPr>
            <w:r w:rsidRPr="001C1D37">
              <w:rPr>
                <w:sz w:val="20"/>
                <w:szCs w:val="20"/>
                <w:lang w:eastAsia="en-GB"/>
              </w:rPr>
              <w:t>37</w:t>
            </w:r>
          </w:p>
        </w:tc>
        <w:tc>
          <w:tcPr>
            <w:tcW w:w="957" w:type="dxa"/>
            <w:tcBorders>
              <w:top w:val="single" w:sz="12" w:space="0" w:color="auto"/>
              <w:left w:val="single" w:sz="4" w:space="0" w:color="auto"/>
              <w:bottom w:val="single" w:sz="4" w:space="0" w:color="000000"/>
              <w:right w:val="nil"/>
            </w:tcBorders>
            <w:vAlign w:val="center"/>
          </w:tcPr>
          <w:p w:rsidR="00E458E1" w:rsidRPr="001C1D37" w:rsidRDefault="00E458E1" w:rsidP="001C1D37">
            <w:pPr>
              <w:jc w:val="center"/>
              <w:rPr>
                <w:sz w:val="20"/>
                <w:szCs w:val="20"/>
                <w:lang w:eastAsia="en-GB"/>
              </w:rPr>
            </w:pPr>
            <w:r w:rsidRPr="001C1D37">
              <w:rPr>
                <w:sz w:val="20"/>
                <w:szCs w:val="20"/>
                <w:lang w:eastAsia="en-GB"/>
              </w:rPr>
              <w:t>39</w:t>
            </w:r>
          </w:p>
        </w:tc>
      </w:tr>
      <w:tr w:rsidR="00E458E1" w:rsidRPr="001C1D37" w:rsidTr="00E86015">
        <w:trPr>
          <w:trHeight w:val="313"/>
        </w:trPr>
        <w:tc>
          <w:tcPr>
            <w:tcW w:w="1951" w:type="dxa"/>
            <w:tcBorders>
              <w:top w:val="single" w:sz="4" w:space="0" w:color="000000"/>
              <w:left w:val="nil"/>
              <w:bottom w:val="single" w:sz="12" w:space="0" w:color="auto"/>
              <w:right w:val="single" w:sz="4" w:space="0" w:color="auto"/>
            </w:tcBorders>
            <w:shd w:val="clear" w:color="auto" w:fill="auto"/>
            <w:vAlign w:val="center"/>
          </w:tcPr>
          <w:p w:rsidR="00E458E1" w:rsidRPr="001C1D37" w:rsidRDefault="00E458E1" w:rsidP="001C1D37">
            <w:pPr>
              <w:rPr>
                <w:sz w:val="20"/>
                <w:szCs w:val="20"/>
                <w:lang w:eastAsia="en-GB"/>
              </w:rPr>
            </w:pPr>
            <w:r w:rsidRPr="001C1D37">
              <w:rPr>
                <w:sz w:val="20"/>
                <w:szCs w:val="20"/>
                <w:lang w:eastAsia="en-GB"/>
              </w:rPr>
              <w:t>N Controls</w:t>
            </w:r>
          </w:p>
        </w:tc>
        <w:tc>
          <w:tcPr>
            <w:tcW w:w="814" w:type="dxa"/>
            <w:tcBorders>
              <w:top w:val="single" w:sz="4" w:space="0" w:color="000000"/>
              <w:left w:val="single" w:sz="4" w:space="0" w:color="auto"/>
              <w:bottom w:val="single" w:sz="12" w:space="0" w:color="auto"/>
              <w:right w:val="single" w:sz="4" w:space="0" w:color="auto"/>
            </w:tcBorders>
            <w:vAlign w:val="center"/>
          </w:tcPr>
          <w:p w:rsidR="00E458E1" w:rsidRPr="001C1D37" w:rsidRDefault="00E458E1" w:rsidP="001C1D37">
            <w:pPr>
              <w:jc w:val="center"/>
              <w:rPr>
                <w:sz w:val="20"/>
                <w:szCs w:val="20"/>
                <w:lang w:eastAsia="en-GB"/>
              </w:rPr>
            </w:pPr>
            <w:r w:rsidRPr="001C1D37">
              <w:rPr>
                <w:sz w:val="20"/>
                <w:szCs w:val="20"/>
                <w:lang w:eastAsia="en-GB"/>
              </w:rPr>
              <w:t>129</w:t>
            </w:r>
          </w:p>
        </w:tc>
        <w:tc>
          <w:tcPr>
            <w:tcW w:w="957" w:type="dxa"/>
            <w:tcBorders>
              <w:top w:val="single" w:sz="4" w:space="0" w:color="000000"/>
              <w:left w:val="single" w:sz="4" w:space="0" w:color="auto"/>
              <w:bottom w:val="single" w:sz="12" w:space="0" w:color="auto"/>
              <w:right w:val="single" w:sz="4" w:space="0" w:color="auto"/>
            </w:tcBorders>
            <w:vAlign w:val="center"/>
          </w:tcPr>
          <w:p w:rsidR="00E458E1" w:rsidRPr="001C1D37" w:rsidRDefault="00E458E1" w:rsidP="001C1D37">
            <w:pPr>
              <w:jc w:val="center"/>
              <w:rPr>
                <w:sz w:val="20"/>
                <w:szCs w:val="20"/>
                <w:lang w:eastAsia="en-GB"/>
              </w:rPr>
            </w:pPr>
            <w:r w:rsidRPr="001C1D37">
              <w:rPr>
                <w:sz w:val="20"/>
                <w:szCs w:val="20"/>
                <w:lang w:eastAsia="en-GB"/>
              </w:rPr>
              <w:t>112</w:t>
            </w:r>
          </w:p>
        </w:tc>
        <w:tc>
          <w:tcPr>
            <w:tcW w:w="957" w:type="dxa"/>
            <w:tcBorders>
              <w:top w:val="single" w:sz="4" w:space="0" w:color="000000"/>
              <w:left w:val="single" w:sz="4" w:space="0" w:color="auto"/>
              <w:bottom w:val="single" w:sz="12" w:space="0" w:color="auto"/>
              <w:right w:val="nil"/>
            </w:tcBorders>
            <w:vAlign w:val="center"/>
          </w:tcPr>
          <w:p w:rsidR="00E458E1" w:rsidRPr="001C1D37" w:rsidRDefault="00E458E1" w:rsidP="001C1D37">
            <w:pPr>
              <w:jc w:val="center"/>
              <w:rPr>
                <w:sz w:val="20"/>
                <w:szCs w:val="20"/>
                <w:lang w:eastAsia="en-GB"/>
              </w:rPr>
            </w:pPr>
            <w:r w:rsidRPr="001C1D37">
              <w:rPr>
                <w:sz w:val="20"/>
                <w:szCs w:val="20"/>
                <w:lang w:eastAsia="en-GB"/>
              </w:rPr>
              <w:t>107</w:t>
            </w:r>
          </w:p>
        </w:tc>
        <w:tc>
          <w:tcPr>
            <w:tcW w:w="957" w:type="dxa"/>
            <w:tcBorders>
              <w:top w:val="single" w:sz="4" w:space="0" w:color="000000"/>
              <w:left w:val="single" w:sz="4" w:space="0" w:color="auto"/>
              <w:bottom w:val="single" w:sz="12" w:space="0" w:color="auto"/>
              <w:right w:val="nil"/>
            </w:tcBorders>
            <w:vAlign w:val="center"/>
          </w:tcPr>
          <w:p w:rsidR="00E458E1" w:rsidRPr="001C1D37" w:rsidRDefault="00E458E1" w:rsidP="001C1D37">
            <w:pPr>
              <w:jc w:val="center"/>
              <w:rPr>
                <w:sz w:val="20"/>
                <w:szCs w:val="20"/>
                <w:lang w:eastAsia="en-GB"/>
              </w:rPr>
            </w:pPr>
            <w:r w:rsidRPr="001C1D37">
              <w:rPr>
                <w:sz w:val="20"/>
                <w:szCs w:val="20"/>
                <w:lang w:eastAsia="en-GB"/>
              </w:rPr>
              <w:t>104</w:t>
            </w:r>
          </w:p>
        </w:tc>
        <w:tc>
          <w:tcPr>
            <w:tcW w:w="957" w:type="dxa"/>
            <w:tcBorders>
              <w:top w:val="single" w:sz="4" w:space="0" w:color="000000"/>
              <w:left w:val="single" w:sz="4" w:space="0" w:color="auto"/>
              <w:bottom w:val="single" w:sz="12" w:space="0" w:color="auto"/>
              <w:right w:val="nil"/>
            </w:tcBorders>
            <w:vAlign w:val="center"/>
          </w:tcPr>
          <w:p w:rsidR="00E458E1" w:rsidRPr="001C1D37" w:rsidRDefault="00E458E1" w:rsidP="001C1D37">
            <w:pPr>
              <w:jc w:val="center"/>
              <w:rPr>
                <w:sz w:val="20"/>
                <w:szCs w:val="20"/>
                <w:lang w:eastAsia="en-GB"/>
              </w:rPr>
            </w:pPr>
            <w:r w:rsidRPr="001C1D37">
              <w:rPr>
                <w:sz w:val="20"/>
                <w:szCs w:val="20"/>
                <w:lang w:eastAsia="en-GB"/>
              </w:rPr>
              <w:t>100</w:t>
            </w:r>
          </w:p>
        </w:tc>
        <w:tc>
          <w:tcPr>
            <w:tcW w:w="957" w:type="dxa"/>
            <w:tcBorders>
              <w:top w:val="single" w:sz="4" w:space="0" w:color="000000"/>
              <w:left w:val="single" w:sz="4" w:space="0" w:color="auto"/>
              <w:bottom w:val="single" w:sz="12" w:space="0" w:color="auto"/>
              <w:right w:val="nil"/>
            </w:tcBorders>
            <w:vAlign w:val="center"/>
          </w:tcPr>
          <w:p w:rsidR="00E458E1" w:rsidRPr="001C1D37" w:rsidRDefault="00E458E1" w:rsidP="001C1D37">
            <w:pPr>
              <w:jc w:val="center"/>
              <w:rPr>
                <w:sz w:val="20"/>
                <w:szCs w:val="20"/>
                <w:lang w:eastAsia="en-GB"/>
              </w:rPr>
            </w:pPr>
            <w:r w:rsidRPr="001C1D37">
              <w:rPr>
                <w:sz w:val="20"/>
                <w:szCs w:val="20"/>
                <w:lang w:eastAsia="en-GB"/>
              </w:rPr>
              <w:t>94</w:t>
            </w:r>
          </w:p>
        </w:tc>
        <w:tc>
          <w:tcPr>
            <w:tcW w:w="957" w:type="dxa"/>
            <w:tcBorders>
              <w:top w:val="single" w:sz="4" w:space="0" w:color="000000"/>
              <w:left w:val="single" w:sz="4" w:space="0" w:color="auto"/>
              <w:bottom w:val="single" w:sz="12" w:space="0" w:color="auto"/>
              <w:right w:val="nil"/>
            </w:tcBorders>
            <w:vAlign w:val="center"/>
          </w:tcPr>
          <w:p w:rsidR="00E458E1" w:rsidRPr="001C1D37" w:rsidRDefault="00E458E1" w:rsidP="001C1D37">
            <w:pPr>
              <w:jc w:val="center"/>
              <w:rPr>
                <w:sz w:val="20"/>
                <w:szCs w:val="20"/>
                <w:lang w:eastAsia="en-GB"/>
              </w:rPr>
            </w:pPr>
            <w:r w:rsidRPr="001C1D37">
              <w:rPr>
                <w:sz w:val="20"/>
                <w:szCs w:val="20"/>
                <w:lang w:eastAsia="en-GB"/>
              </w:rPr>
              <w:t>92</w:t>
            </w:r>
          </w:p>
        </w:tc>
        <w:tc>
          <w:tcPr>
            <w:tcW w:w="957" w:type="dxa"/>
            <w:tcBorders>
              <w:top w:val="single" w:sz="4" w:space="0" w:color="000000"/>
              <w:left w:val="single" w:sz="4" w:space="0" w:color="auto"/>
              <w:bottom w:val="single" w:sz="12" w:space="0" w:color="auto"/>
              <w:right w:val="nil"/>
            </w:tcBorders>
            <w:vAlign w:val="center"/>
          </w:tcPr>
          <w:p w:rsidR="00E458E1" w:rsidRPr="001C1D37" w:rsidRDefault="00E458E1" w:rsidP="001C1D37">
            <w:pPr>
              <w:jc w:val="center"/>
              <w:rPr>
                <w:sz w:val="20"/>
                <w:szCs w:val="20"/>
                <w:lang w:eastAsia="en-GB"/>
              </w:rPr>
            </w:pPr>
            <w:r w:rsidRPr="001C1D37">
              <w:rPr>
                <w:sz w:val="20"/>
                <w:szCs w:val="20"/>
                <w:lang w:eastAsia="en-GB"/>
              </w:rPr>
              <w:t>90</w:t>
            </w:r>
          </w:p>
        </w:tc>
      </w:tr>
    </w:tbl>
    <w:p w:rsidR="00E458E1" w:rsidRPr="001C1D37" w:rsidRDefault="00E458E1" w:rsidP="001C1D37">
      <w:pPr>
        <w:jc w:val="both"/>
      </w:pPr>
    </w:p>
    <w:p w:rsidR="00E458E1" w:rsidRPr="001C1D37" w:rsidRDefault="00E458E1" w:rsidP="001C1D37">
      <w:pPr>
        <w:jc w:val="both"/>
      </w:pPr>
    </w:p>
    <w:p w:rsidR="00E458E1" w:rsidRPr="001C1D37" w:rsidRDefault="00E458E1" w:rsidP="001C1D37">
      <w:r w:rsidRPr="001C1D37">
        <w:br w:type="page"/>
      </w:r>
    </w:p>
    <w:p w:rsidR="00E458E1" w:rsidRPr="001C1D37" w:rsidRDefault="00E458E1" w:rsidP="001C1D37">
      <w:pPr>
        <w:jc w:val="both"/>
      </w:pPr>
      <w:proofErr w:type="gramStart"/>
      <w:r w:rsidRPr="001C1D37">
        <w:lastRenderedPageBreak/>
        <w:t xml:space="preserve">Table </w:t>
      </w:r>
      <w:r w:rsidR="00E55553" w:rsidRPr="001C1D37">
        <w:t>5</w:t>
      </w:r>
      <w:r w:rsidRPr="001C1D37">
        <w:t>.</w:t>
      </w:r>
      <w:proofErr w:type="gramEnd"/>
      <w:r w:rsidRPr="001C1D37">
        <w:t xml:space="preserve"> Sepsis study results from the </w:t>
      </w:r>
      <w:r w:rsidR="005B1322" w:rsidRPr="001C1D37">
        <w:t xml:space="preserve">joint </w:t>
      </w:r>
      <w:r w:rsidRPr="001C1D37">
        <w:t>model over</w:t>
      </w:r>
      <w:r w:rsidR="008B5887" w:rsidRPr="001C1D37">
        <w:t xml:space="preserve"> time</w:t>
      </w:r>
      <w:r w:rsidR="00B55406" w:rsidRPr="001C1D37">
        <w:t xml:space="preserve"> periods </w:t>
      </w:r>
      <m:oMath>
        <m:r>
          <w:rPr>
            <w:rFonts w:ascii="Cambria Math" w:hAnsi="Cambria Math"/>
          </w:rPr>
          <m:t xml:space="preserve">(0, </m:t>
        </m:r>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m:t>
        </m:r>
      </m:oMath>
      <w:r w:rsidR="00B55406" w:rsidRPr="001C1D37">
        <w:t xml:space="preserve"> where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00B55406" w:rsidRPr="001C1D37">
        <w:t xml:space="preserve"> </w:t>
      </w:r>
      <w:proofErr w:type="gramStart"/>
      <w:r w:rsidR="00B55406" w:rsidRPr="001C1D37">
        <w:t>=  24</w:t>
      </w:r>
      <w:proofErr w:type="gramEnd"/>
      <w:r w:rsidR="00B55406" w:rsidRPr="001C1D37">
        <w:t xml:space="preserve">, 48, 72, 96 hours </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5"/>
        <w:gridCol w:w="666"/>
        <w:gridCol w:w="752"/>
        <w:gridCol w:w="666"/>
        <w:gridCol w:w="1035"/>
        <w:gridCol w:w="696"/>
        <w:gridCol w:w="850"/>
        <w:gridCol w:w="666"/>
        <w:gridCol w:w="850"/>
        <w:gridCol w:w="666"/>
      </w:tblGrid>
      <w:tr w:rsidR="001C1D37" w:rsidRPr="001C1D37" w:rsidTr="00E458E1">
        <w:trPr>
          <w:trHeight w:val="300"/>
        </w:trPr>
        <w:tc>
          <w:tcPr>
            <w:tcW w:w="2090" w:type="dxa"/>
            <w:vMerge w:val="restart"/>
            <w:tcBorders>
              <w:top w:val="single" w:sz="12" w:space="0" w:color="auto"/>
              <w:left w:val="nil"/>
            </w:tcBorders>
            <w:shd w:val="clear" w:color="auto" w:fill="auto"/>
            <w:noWrap/>
            <w:vAlign w:val="center"/>
            <w:hideMark/>
          </w:tcPr>
          <w:p w:rsidR="00E458E1" w:rsidRPr="001C1D37" w:rsidRDefault="00E458E1" w:rsidP="001C1D37">
            <w:pPr>
              <w:pStyle w:val="NoSpacing"/>
              <w:rPr>
                <w:rFonts w:ascii="Times New Roman" w:hAnsi="Times New Roman"/>
                <w:b/>
                <w:sz w:val="20"/>
                <w:szCs w:val="20"/>
                <w:lang w:eastAsia="en-GB"/>
              </w:rPr>
            </w:pPr>
          </w:p>
        </w:tc>
        <w:tc>
          <w:tcPr>
            <w:tcW w:w="1411" w:type="dxa"/>
            <w:gridSpan w:val="2"/>
            <w:tcBorders>
              <w:top w:val="single" w:sz="12" w:space="0" w:color="auto"/>
            </w:tcBorders>
            <w:shd w:val="clear" w:color="auto" w:fill="auto"/>
            <w:noWrap/>
            <w:vAlign w:val="center"/>
            <w:hideMark/>
          </w:tcPr>
          <w:p w:rsidR="00E458E1" w:rsidRPr="001C1D37" w:rsidRDefault="001C1D37" w:rsidP="001C1D37">
            <w:pPr>
              <w:pStyle w:val="NoSpacing"/>
              <w:jc w:val="center"/>
              <w:rPr>
                <w:rFonts w:ascii="Times New Roman" w:hAnsi="Times New Roman"/>
                <w:b/>
                <w:sz w:val="20"/>
                <w:szCs w:val="20"/>
                <w:lang w:eastAsia="en-GB"/>
              </w:rPr>
            </w:pPr>
            <m:oMath>
              <m:sSub>
                <m:sSubPr>
                  <m:ctrlPr>
                    <w:rPr>
                      <w:rFonts w:ascii="Cambria Math" w:hAnsi="Cambria Math"/>
                      <w:b/>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h</m:t>
                  </m:r>
                </m:sub>
              </m:sSub>
            </m:oMath>
            <w:r w:rsidR="00B55406" w:rsidRPr="001C1D37">
              <w:rPr>
                <w:rFonts w:ascii="Times New Roman" w:hAnsi="Times New Roman"/>
                <w:b/>
                <w:sz w:val="20"/>
                <w:szCs w:val="20"/>
              </w:rPr>
              <w:t xml:space="preserve"> =  24</w:t>
            </w:r>
          </w:p>
        </w:tc>
        <w:tc>
          <w:tcPr>
            <w:tcW w:w="1418" w:type="dxa"/>
            <w:gridSpan w:val="2"/>
            <w:tcBorders>
              <w:top w:val="single" w:sz="12" w:space="0" w:color="auto"/>
            </w:tcBorders>
            <w:shd w:val="clear" w:color="auto" w:fill="auto"/>
            <w:noWrap/>
            <w:vAlign w:val="center"/>
            <w:hideMark/>
          </w:tcPr>
          <w:p w:rsidR="00E458E1" w:rsidRPr="001C1D37" w:rsidRDefault="001C1D37" w:rsidP="001C1D37">
            <w:pPr>
              <w:pStyle w:val="NoSpacing"/>
              <w:jc w:val="center"/>
              <w:rPr>
                <w:rFonts w:ascii="Times New Roman" w:hAnsi="Times New Roman"/>
                <w:b/>
                <w:sz w:val="20"/>
                <w:szCs w:val="20"/>
                <w:lang w:eastAsia="en-GB"/>
              </w:rPr>
            </w:pPr>
            <m:oMath>
              <m:sSub>
                <m:sSubPr>
                  <m:ctrlPr>
                    <w:rPr>
                      <w:rFonts w:ascii="Cambria Math" w:hAnsi="Cambria Math"/>
                      <w:b/>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h</m:t>
                  </m:r>
                </m:sub>
              </m:sSub>
            </m:oMath>
            <w:r w:rsidR="00B55406" w:rsidRPr="001C1D37">
              <w:rPr>
                <w:rFonts w:ascii="Times New Roman" w:hAnsi="Times New Roman"/>
                <w:b/>
                <w:sz w:val="20"/>
                <w:szCs w:val="20"/>
              </w:rPr>
              <w:t xml:space="preserve"> =  48</w:t>
            </w:r>
          </w:p>
        </w:tc>
        <w:tc>
          <w:tcPr>
            <w:tcW w:w="1731" w:type="dxa"/>
            <w:gridSpan w:val="2"/>
            <w:tcBorders>
              <w:top w:val="single" w:sz="12" w:space="0" w:color="auto"/>
            </w:tcBorders>
            <w:shd w:val="clear" w:color="auto" w:fill="auto"/>
            <w:noWrap/>
            <w:vAlign w:val="center"/>
            <w:hideMark/>
          </w:tcPr>
          <w:p w:rsidR="00E458E1" w:rsidRPr="001C1D37" w:rsidRDefault="001C1D37" w:rsidP="001C1D37">
            <w:pPr>
              <w:pStyle w:val="NoSpacing"/>
              <w:jc w:val="center"/>
              <w:rPr>
                <w:rFonts w:ascii="Times New Roman" w:hAnsi="Times New Roman"/>
                <w:b/>
                <w:sz w:val="20"/>
                <w:szCs w:val="20"/>
                <w:lang w:eastAsia="en-GB"/>
              </w:rPr>
            </w:pPr>
            <m:oMath>
              <m:sSub>
                <m:sSubPr>
                  <m:ctrlPr>
                    <w:rPr>
                      <w:rFonts w:ascii="Cambria Math" w:hAnsi="Cambria Math"/>
                      <w:b/>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h</m:t>
                  </m:r>
                </m:sub>
              </m:sSub>
            </m:oMath>
            <w:r w:rsidR="00B55406" w:rsidRPr="001C1D37">
              <w:rPr>
                <w:rFonts w:ascii="Times New Roman" w:hAnsi="Times New Roman"/>
                <w:b/>
                <w:sz w:val="20"/>
                <w:szCs w:val="20"/>
              </w:rPr>
              <w:t xml:space="preserve"> =  72</w:t>
            </w:r>
          </w:p>
        </w:tc>
        <w:tc>
          <w:tcPr>
            <w:tcW w:w="1516" w:type="dxa"/>
            <w:gridSpan w:val="2"/>
            <w:tcBorders>
              <w:top w:val="single" w:sz="12" w:space="0" w:color="auto"/>
            </w:tcBorders>
            <w:shd w:val="clear" w:color="auto" w:fill="auto"/>
            <w:noWrap/>
            <w:vAlign w:val="center"/>
            <w:hideMark/>
          </w:tcPr>
          <w:p w:rsidR="00E458E1" w:rsidRPr="001C1D37" w:rsidRDefault="001C1D37" w:rsidP="001C1D37">
            <w:pPr>
              <w:pStyle w:val="NoSpacing"/>
              <w:jc w:val="center"/>
              <w:rPr>
                <w:rFonts w:ascii="Times New Roman" w:hAnsi="Times New Roman"/>
                <w:b/>
                <w:sz w:val="20"/>
                <w:szCs w:val="20"/>
                <w:lang w:eastAsia="en-GB"/>
              </w:rPr>
            </w:pPr>
            <m:oMath>
              <m:sSub>
                <m:sSubPr>
                  <m:ctrlPr>
                    <w:rPr>
                      <w:rFonts w:ascii="Cambria Math" w:hAnsi="Cambria Math"/>
                      <w:b/>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h</m:t>
                  </m:r>
                </m:sub>
              </m:sSub>
            </m:oMath>
            <w:r w:rsidR="00B55406" w:rsidRPr="001C1D37">
              <w:rPr>
                <w:rFonts w:ascii="Times New Roman" w:hAnsi="Times New Roman"/>
                <w:b/>
                <w:sz w:val="20"/>
                <w:szCs w:val="20"/>
              </w:rPr>
              <w:t xml:space="preserve"> =  96</w:t>
            </w:r>
          </w:p>
        </w:tc>
        <w:tc>
          <w:tcPr>
            <w:tcW w:w="1516" w:type="dxa"/>
            <w:gridSpan w:val="2"/>
            <w:tcBorders>
              <w:top w:val="single" w:sz="12" w:space="0" w:color="auto"/>
              <w:right w:val="nil"/>
            </w:tcBorders>
            <w:shd w:val="clear" w:color="auto" w:fill="auto"/>
            <w:noWrap/>
            <w:vAlign w:val="center"/>
            <w:hideMark/>
          </w:tcPr>
          <w:p w:rsidR="00E458E1" w:rsidRPr="001C1D37" w:rsidRDefault="001C1D37" w:rsidP="001C1D37">
            <w:pPr>
              <w:pStyle w:val="NoSpacing"/>
              <w:jc w:val="center"/>
              <w:rPr>
                <w:rFonts w:ascii="Times New Roman" w:hAnsi="Times New Roman"/>
                <w:b/>
                <w:sz w:val="20"/>
                <w:szCs w:val="20"/>
                <w:lang w:eastAsia="en-GB"/>
              </w:rPr>
            </w:pPr>
            <m:oMath>
              <m:sSub>
                <m:sSubPr>
                  <m:ctrlPr>
                    <w:rPr>
                      <w:rFonts w:ascii="Cambria Math" w:hAnsi="Cambria Math"/>
                      <w:b/>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h</m:t>
                  </m:r>
                </m:sub>
              </m:sSub>
            </m:oMath>
            <w:r w:rsidR="00B55406" w:rsidRPr="001C1D37">
              <w:rPr>
                <w:rFonts w:ascii="Times New Roman" w:hAnsi="Times New Roman"/>
                <w:b/>
                <w:sz w:val="20"/>
                <w:szCs w:val="20"/>
              </w:rPr>
              <w:t xml:space="preserve"> =  120</w:t>
            </w:r>
          </w:p>
        </w:tc>
      </w:tr>
      <w:tr w:rsidR="001C1D37" w:rsidRPr="001C1D37" w:rsidTr="00E458E1">
        <w:trPr>
          <w:trHeight w:val="300"/>
        </w:trPr>
        <w:tc>
          <w:tcPr>
            <w:tcW w:w="2090" w:type="dxa"/>
            <w:vMerge/>
            <w:tcBorders>
              <w:left w:val="nil"/>
              <w:bottom w:val="single" w:sz="12" w:space="0" w:color="auto"/>
            </w:tcBorders>
            <w:shd w:val="clear" w:color="auto" w:fill="auto"/>
            <w:noWrap/>
            <w:vAlign w:val="center"/>
          </w:tcPr>
          <w:p w:rsidR="00E458E1" w:rsidRPr="001C1D37" w:rsidRDefault="00E458E1" w:rsidP="001C1D37">
            <w:pPr>
              <w:pStyle w:val="NoSpacing"/>
              <w:rPr>
                <w:rFonts w:ascii="Times New Roman" w:hAnsi="Times New Roman"/>
                <w:sz w:val="20"/>
                <w:szCs w:val="20"/>
                <w:lang w:eastAsia="en-GB"/>
              </w:rPr>
            </w:pPr>
          </w:p>
        </w:tc>
        <w:tc>
          <w:tcPr>
            <w:tcW w:w="745" w:type="dxa"/>
            <w:tcBorders>
              <w:bottom w:val="single" w:sz="12" w:space="0" w:color="auto"/>
              <w:right w:val="nil"/>
            </w:tcBorders>
            <w:shd w:val="clear" w:color="auto" w:fill="auto"/>
            <w:noWrap/>
            <w:vAlign w:val="center"/>
          </w:tcPr>
          <w:p w:rsidR="00E458E1" w:rsidRPr="001C1D37" w:rsidRDefault="00E458E1" w:rsidP="001C1D37">
            <w:pPr>
              <w:pStyle w:val="NoSpacing"/>
              <w:jc w:val="center"/>
              <w:rPr>
                <w:rFonts w:ascii="Times New Roman" w:hAnsi="Times New Roman"/>
                <w:b/>
                <w:sz w:val="20"/>
                <w:szCs w:val="20"/>
                <w:lang w:eastAsia="en-GB"/>
              </w:rPr>
            </w:pPr>
            <w:r w:rsidRPr="001C1D37">
              <w:rPr>
                <w:rFonts w:ascii="Times New Roman" w:hAnsi="Times New Roman"/>
                <w:b/>
                <w:sz w:val="20"/>
                <w:szCs w:val="20"/>
                <w:lang w:eastAsia="en-GB"/>
              </w:rPr>
              <w:t>Est</w:t>
            </w:r>
          </w:p>
        </w:tc>
        <w:tc>
          <w:tcPr>
            <w:tcW w:w="666" w:type="dxa"/>
            <w:tcBorders>
              <w:left w:val="nil"/>
              <w:bottom w:val="single" w:sz="12" w:space="0" w:color="auto"/>
            </w:tcBorders>
            <w:shd w:val="clear" w:color="auto" w:fill="auto"/>
            <w:noWrap/>
            <w:vAlign w:val="center"/>
          </w:tcPr>
          <w:p w:rsidR="00E458E1" w:rsidRPr="001C1D37" w:rsidRDefault="00E458E1" w:rsidP="001C1D37">
            <w:pPr>
              <w:pStyle w:val="NoSpacing"/>
              <w:jc w:val="center"/>
              <w:rPr>
                <w:rFonts w:ascii="Times New Roman" w:hAnsi="Times New Roman"/>
                <w:b/>
                <w:sz w:val="20"/>
                <w:szCs w:val="20"/>
                <w:lang w:eastAsia="en-GB"/>
              </w:rPr>
            </w:pPr>
            <w:r w:rsidRPr="001C1D37">
              <w:rPr>
                <w:rFonts w:ascii="Times New Roman" w:hAnsi="Times New Roman"/>
                <w:b/>
                <w:sz w:val="20"/>
                <w:szCs w:val="20"/>
                <w:lang w:eastAsia="en-GB"/>
              </w:rPr>
              <w:t>SE</w:t>
            </w:r>
          </w:p>
        </w:tc>
        <w:tc>
          <w:tcPr>
            <w:tcW w:w="752" w:type="dxa"/>
            <w:tcBorders>
              <w:bottom w:val="single" w:sz="12" w:space="0" w:color="auto"/>
              <w:right w:val="nil"/>
            </w:tcBorders>
            <w:shd w:val="clear" w:color="auto" w:fill="auto"/>
            <w:noWrap/>
            <w:vAlign w:val="center"/>
          </w:tcPr>
          <w:p w:rsidR="00E458E1" w:rsidRPr="001C1D37" w:rsidRDefault="00E458E1" w:rsidP="001C1D37">
            <w:pPr>
              <w:pStyle w:val="NoSpacing"/>
              <w:jc w:val="center"/>
              <w:rPr>
                <w:rFonts w:ascii="Times New Roman" w:hAnsi="Times New Roman"/>
                <w:b/>
                <w:sz w:val="20"/>
                <w:szCs w:val="20"/>
                <w:lang w:eastAsia="en-GB"/>
              </w:rPr>
            </w:pPr>
            <w:r w:rsidRPr="001C1D37">
              <w:rPr>
                <w:rFonts w:ascii="Times New Roman" w:hAnsi="Times New Roman"/>
                <w:b/>
                <w:sz w:val="20"/>
                <w:szCs w:val="20"/>
                <w:lang w:eastAsia="en-GB"/>
              </w:rPr>
              <w:t>Est</w:t>
            </w:r>
          </w:p>
        </w:tc>
        <w:tc>
          <w:tcPr>
            <w:tcW w:w="666" w:type="dxa"/>
            <w:tcBorders>
              <w:left w:val="nil"/>
              <w:bottom w:val="single" w:sz="12" w:space="0" w:color="auto"/>
            </w:tcBorders>
            <w:shd w:val="clear" w:color="auto" w:fill="auto"/>
            <w:noWrap/>
            <w:vAlign w:val="center"/>
          </w:tcPr>
          <w:p w:rsidR="00E458E1" w:rsidRPr="001C1D37" w:rsidRDefault="00E458E1" w:rsidP="001C1D37">
            <w:pPr>
              <w:pStyle w:val="NoSpacing"/>
              <w:jc w:val="center"/>
              <w:rPr>
                <w:rFonts w:ascii="Times New Roman" w:hAnsi="Times New Roman"/>
                <w:b/>
                <w:sz w:val="20"/>
                <w:szCs w:val="20"/>
                <w:lang w:eastAsia="en-GB"/>
              </w:rPr>
            </w:pPr>
            <w:r w:rsidRPr="001C1D37">
              <w:rPr>
                <w:rFonts w:ascii="Times New Roman" w:hAnsi="Times New Roman"/>
                <w:b/>
                <w:sz w:val="20"/>
                <w:szCs w:val="20"/>
                <w:lang w:eastAsia="en-GB"/>
              </w:rPr>
              <w:t>SE</w:t>
            </w:r>
          </w:p>
        </w:tc>
        <w:tc>
          <w:tcPr>
            <w:tcW w:w="1035" w:type="dxa"/>
            <w:tcBorders>
              <w:bottom w:val="single" w:sz="12" w:space="0" w:color="auto"/>
              <w:right w:val="nil"/>
            </w:tcBorders>
            <w:shd w:val="clear" w:color="auto" w:fill="auto"/>
            <w:noWrap/>
            <w:vAlign w:val="center"/>
          </w:tcPr>
          <w:p w:rsidR="00E458E1" w:rsidRPr="001C1D37" w:rsidRDefault="00E458E1" w:rsidP="001C1D37">
            <w:pPr>
              <w:pStyle w:val="NoSpacing"/>
              <w:jc w:val="center"/>
              <w:rPr>
                <w:rFonts w:ascii="Times New Roman" w:hAnsi="Times New Roman"/>
                <w:b/>
                <w:sz w:val="20"/>
                <w:szCs w:val="20"/>
                <w:lang w:eastAsia="en-GB"/>
              </w:rPr>
            </w:pPr>
            <w:r w:rsidRPr="001C1D37">
              <w:rPr>
                <w:rFonts w:ascii="Times New Roman" w:hAnsi="Times New Roman"/>
                <w:b/>
                <w:sz w:val="20"/>
                <w:szCs w:val="20"/>
                <w:lang w:eastAsia="en-GB"/>
              </w:rPr>
              <w:t>Est</w:t>
            </w:r>
          </w:p>
        </w:tc>
        <w:tc>
          <w:tcPr>
            <w:tcW w:w="696" w:type="dxa"/>
            <w:tcBorders>
              <w:left w:val="nil"/>
              <w:bottom w:val="single" w:sz="12" w:space="0" w:color="auto"/>
            </w:tcBorders>
            <w:shd w:val="clear" w:color="auto" w:fill="auto"/>
            <w:noWrap/>
            <w:vAlign w:val="center"/>
          </w:tcPr>
          <w:p w:rsidR="00E458E1" w:rsidRPr="001C1D37" w:rsidRDefault="00E458E1" w:rsidP="001C1D37">
            <w:pPr>
              <w:pStyle w:val="NoSpacing"/>
              <w:jc w:val="center"/>
              <w:rPr>
                <w:rFonts w:ascii="Times New Roman" w:hAnsi="Times New Roman"/>
                <w:b/>
                <w:sz w:val="20"/>
                <w:szCs w:val="20"/>
                <w:lang w:eastAsia="en-GB"/>
              </w:rPr>
            </w:pPr>
            <w:r w:rsidRPr="001C1D37">
              <w:rPr>
                <w:rFonts w:ascii="Times New Roman" w:hAnsi="Times New Roman"/>
                <w:b/>
                <w:sz w:val="20"/>
                <w:szCs w:val="20"/>
                <w:lang w:eastAsia="en-GB"/>
              </w:rPr>
              <w:t>SE</w:t>
            </w:r>
          </w:p>
        </w:tc>
        <w:tc>
          <w:tcPr>
            <w:tcW w:w="850" w:type="dxa"/>
            <w:tcBorders>
              <w:bottom w:val="single" w:sz="12" w:space="0" w:color="auto"/>
              <w:right w:val="nil"/>
            </w:tcBorders>
            <w:shd w:val="clear" w:color="auto" w:fill="auto"/>
            <w:noWrap/>
            <w:vAlign w:val="center"/>
          </w:tcPr>
          <w:p w:rsidR="00E458E1" w:rsidRPr="001C1D37" w:rsidRDefault="00E458E1" w:rsidP="001C1D37">
            <w:pPr>
              <w:pStyle w:val="NoSpacing"/>
              <w:jc w:val="center"/>
              <w:rPr>
                <w:rFonts w:ascii="Times New Roman" w:hAnsi="Times New Roman"/>
                <w:b/>
                <w:sz w:val="20"/>
                <w:szCs w:val="20"/>
                <w:lang w:eastAsia="en-GB"/>
              </w:rPr>
            </w:pPr>
            <w:r w:rsidRPr="001C1D37">
              <w:rPr>
                <w:rFonts w:ascii="Times New Roman" w:hAnsi="Times New Roman"/>
                <w:b/>
                <w:sz w:val="20"/>
                <w:szCs w:val="20"/>
                <w:lang w:eastAsia="en-GB"/>
              </w:rPr>
              <w:t>Est</w:t>
            </w:r>
          </w:p>
        </w:tc>
        <w:tc>
          <w:tcPr>
            <w:tcW w:w="666" w:type="dxa"/>
            <w:tcBorders>
              <w:left w:val="nil"/>
              <w:bottom w:val="single" w:sz="12" w:space="0" w:color="auto"/>
            </w:tcBorders>
            <w:shd w:val="clear" w:color="auto" w:fill="auto"/>
            <w:noWrap/>
            <w:vAlign w:val="center"/>
          </w:tcPr>
          <w:p w:rsidR="00E458E1" w:rsidRPr="001C1D37" w:rsidRDefault="00E458E1" w:rsidP="001C1D37">
            <w:pPr>
              <w:pStyle w:val="NoSpacing"/>
              <w:jc w:val="center"/>
              <w:rPr>
                <w:rFonts w:ascii="Times New Roman" w:hAnsi="Times New Roman"/>
                <w:b/>
                <w:sz w:val="20"/>
                <w:szCs w:val="20"/>
                <w:lang w:eastAsia="en-GB"/>
              </w:rPr>
            </w:pPr>
            <w:r w:rsidRPr="001C1D37">
              <w:rPr>
                <w:rFonts w:ascii="Times New Roman" w:hAnsi="Times New Roman"/>
                <w:b/>
                <w:sz w:val="20"/>
                <w:szCs w:val="20"/>
                <w:lang w:eastAsia="en-GB"/>
              </w:rPr>
              <w:t>SE</w:t>
            </w:r>
          </w:p>
        </w:tc>
        <w:tc>
          <w:tcPr>
            <w:tcW w:w="850" w:type="dxa"/>
            <w:tcBorders>
              <w:bottom w:val="single" w:sz="12" w:space="0" w:color="auto"/>
              <w:right w:val="nil"/>
            </w:tcBorders>
            <w:shd w:val="clear" w:color="auto" w:fill="auto"/>
            <w:noWrap/>
            <w:vAlign w:val="center"/>
          </w:tcPr>
          <w:p w:rsidR="00E458E1" w:rsidRPr="001C1D37" w:rsidRDefault="00E458E1" w:rsidP="001C1D37">
            <w:pPr>
              <w:pStyle w:val="NoSpacing"/>
              <w:jc w:val="center"/>
              <w:rPr>
                <w:rFonts w:ascii="Times New Roman" w:hAnsi="Times New Roman"/>
                <w:b/>
                <w:sz w:val="20"/>
                <w:szCs w:val="20"/>
                <w:lang w:eastAsia="en-GB"/>
              </w:rPr>
            </w:pPr>
            <w:r w:rsidRPr="001C1D37">
              <w:rPr>
                <w:rFonts w:ascii="Times New Roman" w:hAnsi="Times New Roman"/>
                <w:b/>
                <w:sz w:val="20"/>
                <w:szCs w:val="20"/>
                <w:lang w:eastAsia="en-GB"/>
              </w:rPr>
              <w:t>Est</w:t>
            </w:r>
          </w:p>
        </w:tc>
        <w:tc>
          <w:tcPr>
            <w:tcW w:w="666" w:type="dxa"/>
            <w:tcBorders>
              <w:left w:val="nil"/>
              <w:bottom w:val="single" w:sz="12" w:space="0" w:color="auto"/>
              <w:right w:val="nil"/>
            </w:tcBorders>
            <w:shd w:val="clear" w:color="auto" w:fill="auto"/>
            <w:noWrap/>
            <w:vAlign w:val="center"/>
          </w:tcPr>
          <w:p w:rsidR="00E458E1" w:rsidRPr="001C1D37" w:rsidRDefault="00E458E1" w:rsidP="001C1D37">
            <w:pPr>
              <w:pStyle w:val="NoSpacing"/>
              <w:jc w:val="center"/>
              <w:rPr>
                <w:rFonts w:ascii="Times New Roman" w:hAnsi="Times New Roman"/>
                <w:b/>
                <w:sz w:val="20"/>
                <w:szCs w:val="20"/>
                <w:lang w:eastAsia="en-GB"/>
              </w:rPr>
            </w:pPr>
            <w:r w:rsidRPr="001C1D37">
              <w:rPr>
                <w:rFonts w:ascii="Times New Roman" w:hAnsi="Times New Roman"/>
                <w:b/>
                <w:sz w:val="20"/>
                <w:szCs w:val="20"/>
                <w:lang w:eastAsia="en-GB"/>
              </w:rPr>
              <w:t>SE</w:t>
            </w:r>
          </w:p>
        </w:tc>
      </w:tr>
      <w:tr w:rsidR="001C1D37" w:rsidRPr="001C1D37" w:rsidTr="00E458E1">
        <w:trPr>
          <w:trHeight w:val="300"/>
        </w:trPr>
        <w:tc>
          <w:tcPr>
            <w:tcW w:w="2090" w:type="dxa"/>
            <w:tcBorders>
              <w:top w:val="single" w:sz="12" w:space="0" w:color="auto"/>
              <w:left w:val="nil"/>
            </w:tcBorders>
            <w:shd w:val="clear" w:color="auto" w:fill="auto"/>
            <w:noWrap/>
            <w:vAlign w:val="center"/>
            <w:hideMark/>
          </w:tcPr>
          <w:p w:rsidR="00E458E1" w:rsidRPr="001C1D37" w:rsidRDefault="00E458E1" w:rsidP="001C1D37">
            <w:pPr>
              <w:pStyle w:val="NoSpacing"/>
              <w:rPr>
                <w:rFonts w:ascii="Times New Roman" w:hAnsi="Times New Roman"/>
                <w:sz w:val="20"/>
                <w:szCs w:val="20"/>
                <w:lang w:eastAsia="en-GB"/>
              </w:rPr>
            </w:pPr>
            <w:r w:rsidRPr="001C1D37">
              <w:rPr>
                <w:rFonts w:ascii="Times New Roman" w:hAnsi="Times New Roman"/>
                <w:sz w:val="20"/>
                <w:szCs w:val="20"/>
                <w:lang w:eastAsia="en-GB"/>
              </w:rPr>
              <w:t>Constant</w:t>
            </w:r>
          </w:p>
        </w:tc>
        <w:tc>
          <w:tcPr>
            <w:tcW w:w="745" w:type="dxa"/>
            <w:tcBorders>
              <w:top w:val="single" w:sz="12" w:space="0" w:color="auto"/>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-1.656</w:t>
            </w:r>
          </w:p>
        </w:tc>
        <w:tc>
          <w:tcPr>
            <w:tcW w:w="666" w:type="dxa"/>
            <w:tcBorders>
              <w:top w:val="single" w:sz="12" w:space="0" w:color="auto"/>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0.140</w:t>
            </w:r>
          </w:p>
        </w:tc>
        <w:tc>
          <w:tcPr>
            <w:tcW w:w="752" w:type="dxa"/>
            <w:tcBorders>
              <w:top w:val="single" w:sz="12" w:space="0" w:color="auto"/>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-1.713</w:t>
            </w:r>
          </w:p>
        </w:tc>
        <w:tc>
          <w:tcPr>
            <w:tcW w:w="666" w:type="dxa"/>
            <w:tcBorders>
              <w:top w:val="single" w:sz="12" w:space="0" w:color="auto"/>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0.128</w:t>
            </w:r>
          </w:p>
        </w:tc>
        <w:tc>
          <w:tcPr>
            <w:tcW w:w="1035" w:type="dxa"/>
            <w:tcBorders>
              <w:top w:val="single" w:sz="12" w:space="0" w:color="auto"/>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-1.949</w:t>
            </w:r>
          </w:p>
        </w:tc>
        <w:tc>
          <w:tcPr>
            <w:tcW w:w="696" w:type="dxa"/>
            <w:tcBorders>
              <w:top w:val="single" w:sz="12" w:space="0" w:color="auto"/>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0.133</w:t>
            </w:r>
          </w:p>
        </w:tc>
        <w:tc>
          <w:tcPr>
            <w:tcW w:w="850" w:type="dxa"/>
            <w:tcBorders>
              <w:top w:val="single" w:sz="12" w:space="0" w:color="auto"/>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-1.999</w:t>
            </w:r>
          </w:p>
        </w:tc>
        <w:tc>
          <w:tcPr>
            <w:tcW w:w="666" w:type="dxa"/>
            <w:tcBorders>
              <w:top w:val="single" w:sz="12" w:space="0" w:color="auto"/>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0.124</w:t>
            </w:r>
          </w:p>
        </w:tc>
        <w:tc>
          <w:tcPr>
            <w:tcW w:w="850" w:type="dxa"/>
            <w:tcBorders>
              <w:top w:val="single" w:sz="12" w:space="0" w:color="auto"/>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-1.981</w:t>
            </w:r>
          </w:p>
        </w:tc>
        <w:tc>
          <w:tcPr>
            <w:tcW w:w="666" w:type="dxa"/>
            <w:tcBorders>
              <w:top w:val="single" w:sz="12" w:space="0" w:color="auto"/>
              <w:left w:val="nil"/>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0.120</w:t>
            </w:r>
          </w:p>
        </w:tc>
      </w:tr>
      <w:tr w:rsidR="001C1D37" w:rsidRPr="001C1D37" w:rsidTr="00E458E1">
        <w:trPr>
          <w:trHeight w:val="300"/>
        </w:trPr>
        <w:tc>
          <w:tcPr>
            <w:tcW w:w="2090" w:type="dxa"/>
            <w:tcBorders>
              <w:left w:val="nil"/>
            </w:tcBorders>
            <w:shd w:val="clear" w:color="auto" w:fill="auto"/>
            <w:noWrap/>
            <w:vAlign w:val="center"/>
            <w:hideMark/>
          </w:tcPr>
          <w:p w:rsidR="00E458E1" w:rsidRPr="001C1D37" w:rsidRDefault="00E458E1" w:rsidP="001C1D37">
            <w:pPr>
              <w:pStyle w:val="NoSpacing"/>
              <w:rPr>
                <w:rFonts w:ascii="Times New Roman" w:hAnsi="Times New Roman"/>
                <w:sz w:val="20"/>
                <w:szCs w:val="20"/>
                <w:lang w:eastAsia="en-GB"/>
              </w:rPr>
            </w:pPr>
            <w:r w:rsidRPr="001C1D37">
              <w:rPr>
                <w:rFonts w:ascii="Times New Roman" w:hAnsi="Times New Roman"/>
                <w:sz w:val="20"/>
                <w:szCs w:val="20"/>
                <w:lang w:eastAsia="en-GB"/>
              </w:rPr>
              <w:t xml:space="preserve">Time, </w:t>
            </w:r>
            <m:oMath>
              <m:r>
                <w:rPr>
                  <w:rFonts w:ascii="Cambria Math" w:hAnsi="Cambria Math"/>
                  <w:sz w:val="20"/>
                  <w:szCs w:val="20"/>
                </w:rPr>
                <m:t>t</m:t>
              </m:r>
            </m:oMath>
          </w:p>
        </w:tc>
        <w:tc>
          <w:tcPr>
            <w:tcW w:w="745"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-0.008</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0.009</w:t>
            </w:r>
          </w:p>
        </w:tc>
        <w:tc>
          <w:tcPr>
            <w:tcW w:w="752"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-0.006</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0.004</w:t>
            </w:r>
          </w:p>
        </w:tc>
        <w:tc>
          <w:tcPr>
            <w:tcW w:w="1035"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0.006</w:t>
            </w:r>
          </w:p>
        </w:tc>
        <w:tc>
          <w:tcPr>
            <w:tcW w:w="69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0.003</w:t>
            </w:r>
          </w:p>
        </w:tc>
        <w:tc>
          <w:tcPr>
            <w:tcW w:w="850"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0.008</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0.002</w:t>
            </w:r>
          </w:p>
        </w:tc>
        <w:tc>
          <w:tcPr>
            <w:tcW w:w="850"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0.008</w:t>
            </w:r>
          </w:p>
        </w:tc>
        <w:tc>
          <w:tcPr>
            <w:tcW w:w="666" w:type="dxa"/>
            <w:tcBorders>
              <w:left w:val="nil"/>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0.002</w:t>
            </w:r>
          </w:p>
        </w:tc>
      </w:tr>
      <w:tr w:rsidR="001C1D37" w:rsidRPr="001C1D37" w:rsidTr="00E458E1">
        <w:trPr>
          <w:trHeight w:val="300"/>
        </w:trPr>
        <w:tc>
          <w:tcPr>
            <w:tcW w:w="2090" w:type="dxa"/>
            <w:tcBorders>
              <w:left w:val="nil"/>
            </w:tcBorders>
            <w:shd w:val="clear" w:color="auto" w:fill="auto"/>
            <w:noWrap/>
            <w:vAlign w:val="center"/>
            <w:hideMark/>
          </w:tcPr>
          <w:p w:rsidR="00E458E1" w:rsidRPr="001C1D37" w:rsidRDefault="00E458E1" w:rsidP="001C1D37">
            <w:pPr>
              <w:pStyle w:val="NoSpacing"/>
              <w:rPr>
                <w:rFonts w:ascii="Times New Roman" w:hAnsi="Times New Roman"/>
                <w:sz w:val="20"/>
                <w:szCs w:val="20"/>
                <w:lang w:eastAsia="en-GB"/>
              </w:rPr>
            </w:pPr>
            <w:r w:rsidRPr="001C1D37">
              <w:rPr>
                <w:rFonts w:ascii="Times New Roman" w:hAnsi="Times New Roman"/>
                <w:sz w:val="20"/>
                <w:szCs w:val="20"/>
                <w:lang w:eastAsia="en-GB"/>
              </w:rPr>
              <w:t xml:space="preserve">Indicator, </w:t>
            </w:r>
            <m:oMath>
              <m:r>
                <m:rPr>
                  <m:sty m:val="p"/>
                </m:rPr>
                <w:rPr>
                  <w:rFonts w:ascii="Cambria Math" w:hAnsi="Cambria Math"/>
                  <w:sz w:val="20"/>
                  <w:szCs w:val="20"/>
                </w:rPr>
                <m:t xml:space="preserve">time </m:t>
              </m:r>
            </m:oMath>
            <w:r w:rsidRPr="001C1D37">
              <w:rPr>
                <w:rFonts w:ascii="Times New Roman" w:hAnsi="Times New Roman"/>
                <w:sz w:val="20"/>
                <w:szCs w:val="20"/>
                <w:lang w:eastAsia="en-GB"/>
              </w:rPr>
              <w:t>= 0</w:t>
            </w:r>
          </w:p>
        </w:tc>
        <w:tc>
          <w:tcPr>
            <w:tcW w:w="745"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0.208</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0.096</w:t>
            </w:r>
          </w:p>
        </w:tc>
        <w:tc>
          <w:tcPr>
            <w:tcW w:w="752"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0.268</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0.089</w:t>
            </w:r>
          </w:p>
        </w:tc>
        <w:tc>
          <w:tcPr>
            <w:tcW w:w="1035"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0.505</w:t>
            </w:r>
          </w:p>
        </w:tc>
        <w:tc>
          <w:tcPr>
            <w:tcW w:w="69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0.087</w:t>
            </w:r>
          </w:p>
        </w:tc>
        <w:tc>
          <w:tcPr>
            <w:tcW w:w="850"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0.555</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0.094</w:t>
            </w:r>
          </w:p>
        </w:tc>
        <w:tc>
          <w:tcPr>
            <w:tcW w:w="850"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0.538</w:t>
            </w:r>
          </w:p>
        </w:tc>
        <w:tc>
          <w:tcPr>
            <w:tcW w:w="666" w:type="dxa"/>
            <w:tcBorders>
              <w:left w:val="nil"/>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0.093</w:t>
            </w:r>
          </w:p>
        </w:tc>
      </w:tr>
      <w:tr w:rsidR="001C1D37" w:rsidRPr="001C1D37" w:rsidTr="00E458E1">
        <w:trPr>
          <w:trHeight w:val="300"/>
        </w:trPr>
        <w:tc>
          <w:tcPr>
            <w:tcW w:w="2090" w:type="dxa"/>
            <w:tcBorders>
              <w:left w:val="nil"/>
            </w:tcBorders>
            <w:shd w:val="clear" w:color="auto" w:fill="auto"/>
            <w:noWrap/>
            <w:vAlign w:val="center"/>
            <w:hideMark/>
          </w:tcPr>
          <w:p w:rsidR="00E458E1" w:rsidRPr="001C1D37" w:rsidRDefault="00E458E1" w:rsidP="001C1D37">
            <w:pPr>
              <w:pStyle w:val="NoSpacing"/>
              <w:rPr>
                <w:rFonts w:ascii="Times New Roman" w:hAnsi="Times New Roman"/>
                <w:sz w:val="20"/>
                <w:szCs w:val="20"/>
                <w:lang w:eastAsia="en-GB"/>
              </w:rPr>
            </w:pPr>
            <w:r w:rsidRPr="001C1D37">
              <w:rPr>
                <w:rFonts w:ascii="Times New Roman" w:hAnsi="Times New Roman"/>
                <w:sz w:val="20"/>
                <w:szCs w:val="20"/>
                <w:lang w:eastAsia="en-GB"/>
              </w:rPr>
              <w:t xml:space="preserve">Latent association, </w:t>
            </w:r>
            <m:oMath>
              <m:sSub>
                <m:sSubPr>
                  <m:ctrlPr>
                    <w:rPr>
                      <w:rFonts w:ascii="Cambria Math" w:hAnsi="Cambria Math"/>
                      <w:bCs/>
                      <w:i/>
                      <w:sz w:val="20"/>
                      <w:szCs w:val="20"/>
                    </w:rPr>
                  </m:ctrlPr>
                </m:sSubPr>
                <m:e>
                  <m:r>
                    <w:rPr>
                      <w:rFonts w:ascii="Cambria Math" w:hAnsi="Cambria Math"/>
                      <w:sz w:val="20"/>
                      <w:szCs w:val="20"/>
                    </w:rPr>
                    <m:t>γ</m:t>
                  </m:r>
                </m:e>
                <m:sub>
                  <m:r>
                    <w:rPr>
                      <w:rFonts w:ascii="Cambria Math" w:hAnsi="Cambria Math"/>
                      <w:sz w:val="20"/>
                      <w:szCs w:val="20"/>
                    </w:rPr>
                    <m:t>t</m:t>
                  </m:r>
                </m:sub>
              </m:sSub>
            </m:oMath>
          </w:p>
        </w:tc>
        <w:tc>
          <w:tcPr>
            <w:tcW w:w="745"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-0.556</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0.246</w:t>
            </w:r>
          </w:p>
        </w:tc>
        <w:tc>
          <w:tcPr>
            <w:tcW w:w="752"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-0.554</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0.262</w:t>
            </w:r>
          </w:p>
        </w:tc>
        <w:tc>
          <w:tcPr>
            <w:tcW w:w="1035"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-0.493</w:t>
            </w:r>
          </w:p>
        </w:tc>
        <w:tc>
          <w:tcPr>
            <w:tcW w:w="69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0.210</w:t>
            </w:r>
          </w:p>
        </w:tc>
        <w:tc>
          <w:tcPr>
            <w:tcW w:w="850"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-0.440</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0.206</w:t>
            </w:r>
          </w:p>
        </w:tc>
        <w:tc>
          <w:tcPr>
            <w:tcW w:w="850"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-0.466</w:t>
            </w:r>
          </w:p>
        </w:tc>
        <w:tc>
          <w:tcPr>
            <w:tcW w:w="666" w:type="dxa"/>
            <w:tcBorders>
              <w:left w:val="nil"/>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0.182</w:t>
            </w:r>
          </w:p>
        </w:tc>
      </w:tr>
      <w:tr w:rsidR="001C1D37" w:rsidRPr="001C1D37" w:rsidTr="00E458E1">
        <w:trPr>
          <w:trHeight w:val="300"/>
        </w:trPr>
        <w:tc>
          <w:tcPr>
            <w:tcW w:w="2090" w:type="dxa"/>
            <w:tcBorders>
              <w:left w:val="nil"/>
            </w:tcBorders>
            <w:shd w:val="clear" w:color="auto" w:fill="auto"/>
            <w:noWrap/>
            <w:vAlign w:val="center"/>
            <w:hideMark/>
          </w:tcPr>
          <w:p w:rsidR="00E458E1" w:rsidRPr="001C1D37" w:rsidRDefault="001C1D37" w:rsidP="001C1D37">
            <w:pPr>
              <w:pStyle w:val="NoSpacing"/>
              <w:rPr>
                <w:rFonts w:ascii="Times New Roman" w:hAnsi="Times New Roman"/>
                <w:noProof/>
                <w:sz w:val="20"/>
                <w:szCs w:val="20"/>
              </w:rPr>
            </w:pPr>
            <m:oMathPara>
              <m:oMathParaPr>
                <m:jc m:val="left"/>
              </m:oMathParaPr>
              <m:oMath>
                <m:sSubSup>
                  <m:sSubSupPr>
                    <m:ctrlPr>
                      <w:rPr>
                        <w:rFonts w:ascii="Cambria Math" w:hAnsi="Cambria Math"/>
                        <w:i/>
                        <w:sz w:val="20"/>
                        <w:szCs w:val="20"/>
                      </w:rPr>
                    </m:ctrlPr>
                  </m:sSubSupPr>
                  <m:e>
                    <m:r>
                      <w:rPr>
                        <w:rFonts w:ascii="Cambria Math" w:hAnsi="Cambria Math"/>
                        <w:sz w:val="20"/>
                        <w:szCs w:val="20"/>
                      </w:rPr>
                      <m:t>σ</m:t>
                    </m:r>
                  </m:e>
                  <m:sub>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0</m:t>
                        </m:r>
                      </m:sub>
                    </m:sSub>
                  </m:sub>
                  <m:sup>
                    <m:r>
                      <w:rPr>
                        <w:rFonts w:ascii="Cambria Math" w:hAnsi="Cambria Math"/>
                        <w:sz w:val="20"/>
                        <w:szCs w:val="20"/>
                      </w:rPr>
                      <m:t>2</m:t>
                    </m:r>
                  </m:sup>
                </m:sSubSup>
              </m:oMath>
            </m:oMathPara>
          </w:p>
        </w:tc>
        <w:tc>
          <w:tcPr>
            <w:tcW w:w="745"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1.027</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0.099</w:t>
            </w:r>
          </w:p>
        </w:tc>
        <w:tc>
          <w:tcPr>
            <w:tcW w:w="752"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0.933</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0.110</w:t>
            </w:r>
          </w:p>
        </w:tc>
        <w:tc>
          <w:tcPr>
            <w:tcW w:w="1035"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0.956</w:t>
            </w:r>
          </w:p>
        </w:tc>
        <w:tc>
          <w:tcPr>
            <w:tcW w:w="69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0.119</w:t>
            </w:r>
          </w:p>
        </w:tc>
        <w:tc>
          <w:tcPr>
            <w:tcW w:w="850"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0.940</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0.111</w:t>
            </w:r>
          </w:p>
        </w:tc>
        <w:tc>
          <w:tcPr>
            <w:tcW w:w="850"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0.915</w:t>
            </w:r>
          </w:p>
        </w:tc>
        <w:tc>
          <w:tcPr>
            <w:tcW w:w="666" w:type="dxa"/>
            <w:tcBorders>
              <w:left w:val="nil"/>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0.104</w:t>
            </w:r>
          </w:p>
        </w:tc>
      </w:tr>
      <w:tr w:rsidR="001C1D37" w:rsidRPr="001C1D37" w:rsidTr="00E458E1">
        <w:trPr>
          <w:trHeight w:val="300"/>
        </w:trPr>
        <w:tc>
          <w:tcPr>
            <w:tcW w:w="2090" w:type="dxa"/>
            <w:tcBorders>
              <w:left w:val="nil"/>
            </w:tcBorders>
            <w:shd w:val="clear" w:color="auto" w:fill="auto"/>
            <w:noWrap/>
            <w:vAlign w:val="center"/>
            <w:hideMark/>
          </w:tcPr>
          <w:p w:rsidR="00E458E1" w:rsidRPr="001C1D37" w:rsidRDefault="001C1D37" w:rsidP="001C1D37">
            <w:pPr>
              <w:pStyle w:val="NoSpacing"/>
              <w:rPr>
                <w:rFonts w:ascii="Times New Roman" w:hAnsi="Times New Roman"/>
                <w:noProof/>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σ</m:t>
                    </m:r>
                  </m:e>
                  <m:sub>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1</m:t>
                        </m:r>
                      </m:sub>
                    </m:sSub>
                  </m:sub>
                </m:sSub>
              </m:oMath>
            </m:oMathPara>
          </w:p>
        </w:tc>
        <w:tc>
          <w:tcPr>
            <w:tcW w:w="745"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-0.004</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0.000</w:t>
            </w:r>
          </w:p>
        </w:tc>
        <w:tc>
          <w:tcPr>
            <w:tcW w:w="752"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-0.003</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0.000</w:t>
            </w:r>
          </w:p>
        </w:tc>
        <w:tc>
          <w:tcPr>
            <w:tcW w:w="1035"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-0.005</w:t>
            </w:r>
          </w:p>
        </w:tc>
        <w:tc>
          <w:tcPr>
            <w:tcW w:w="69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0.000</w:t>
            </w:r>
          </w:p>
        </w:tc>
        <w:tc>
          <w:tcPr>
            <w:tcW w:w="850"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-0.004</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0.000</w:t>
            </w:r>
          </w:p>
        </w:tc>
        <w:tc>
          <w:tcPr>
            <w:tcW w:w="850"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-0.003</w:t>
            </w:r>
          </w:p>
        </w:tc>
        <w:tc>
          <w:tcPr>
            <w:tcW w:w="666" w:type="dxa"/>
            <w:tcBorders>
              <w:left w:val="nil"/>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0.000</w:t>
            </w:r>
          </w:p>
        </w:tc>
      </w:tr>
      <w:tr w:rsidR="001C1D37" w:rsidRPr="001C1D37" w:rsidTr="00E458E1">
        <w:trPr>
          <w:trHeight w:val="300"/>
        </w:trPr>
        <w:tc>
          <w:tcPr>
            <w:tcW w:w="2090" w:type="dxa"/>
            <w:tcBorders>
              <w:left w:val="nil"/>
            </w:tcBorders>
            <w:shd w:val="clear" w:color="auto" w:fill="auto"/>
            <w:noWrap/>
            <w:vAlign w:val="center"/>
          </w:tcPr>
          <w:p w:rsidR="00E458E1" w:rsidRPr="001C1D37" w:rsidRDefault="001C1D37" w:rsidP="001C1D37">
            <w:pPr>
              <w:pStyle w:val="NoSpacing"/>
              <w:rPr>
                <w:rFonts w:ascii="Times New Roman" w:hAnsi="Times New Roman"/>
                <w:sz w:val="20"/>
                <w:szCs w:val="20"/>
                <w:lang w:eastAsia="en-GB"/>
              </w:rPr>
            </w:pPr>
            <m:oMathPara>
              <m:oMathParaPr>
                <m:jc m:val="left"/>
              </m:oMathParaPr>
              <m:oMath>
                <m:sSubSup>
                  <m:sSubSupPr>
                    <m:ctrlPr>
                      <w:rPr>
                        <w:rFonts w:ascii="Cambria Math" w:hAnsi="Cambria Math"/>
                        <w:i/>
                        <w:sz w:val="20"/>
                        <w:szCs w:val="20"/>
                      </w:rPr>
                    </m:ctrlPr>
                  </m:sSubSupPr>
                  <m:e>
                    <m:r>
                      <w:rPr>
                        <w:rFonts w:ascii="Cambria Math" w:hAnsi="Cambria Math"/>
                        <w:sz w:val="20"/>
                        <w:szCs w:val="20"/>
                      </w:rPr>
                      <m:t>σ</m:t>
                    </m:r>
                  </m:e>
                  <m:sub>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1</m:t>
                        </m:r>
                      </m:sub>
                    </m:sSub>
                  </m:sub>
                  <m:sup>
                    <m:r>
                      <w:rPr>
                        <w:rFonts w:ascii="Cambria Math" w:hAnsi="Cambria Math"/>
                        <w:sz w:val="20"/>
                        <w:szCs w:val="20"/>
                      </w:rPr>
                      <m:t>2</m:t>
                    </m:r>
                  </m:sup>
                </m:sSubSup>
              </m:oMath>
            </m:oMathPara>
          </w:p>
        </w:tc>
        <w:tc>
          <w:tcPr>
            <w:tcW w:w="745"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0.002</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0.005</w:t>
            </w:r>
          </w:p>
        </w:tc>
        <w:tc>
          <w:tcPr>
            <w:tcW w:w="752"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0.001</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0.003</w:t>
            </w:r>
          </w:p>
        </w:tc>
        <w:tc>
          <w:tcPr>
            <w:tcW w:w="1035"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0.000</w:t>
            </w:r>
          </w:p>
        </w:tc>
        <w:tc>
          <w:tcPr>
            <w:tcW w:w="69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0.003</w:t>
            </w:r>
          </w:p>
        </w:tc>
        <w:tc>
          <w:tcPr>
            <w:tcW w:w="850"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0.000</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0.002</w:t>
            </w:r>
          </w:p>
        </w:tc>
        <w:tc>
          <w:tcPr>
            <w:tcW w:w="850"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0.000</w:t>
            </w:r>
          </w:p>
        </w:tc>
        <w:tc>
          <w:tcPr>
            <w:tcW w:w="666" w:type="dxa"/>
            <w:tcBorders>
              <w:left w:val="nil"/>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0.001</w:t>
            </w:r>
          </w:p>
        </w:tc>
      </w:tr>
      <w:tr w:rsidR="001C1D37" w:rsidRPr="001C1D37" w:rsidTr="00E458E1">
        <w:trPr>
          <w:trHeight w:val="300"/>
        </w:trPr>
        <w:tc>
          <w:tcPr>
            <w:tcW w:w="2090" w:type="dxa"/>
            <w:tcBorders>
              <w:left w:val="nil"/>
            </w:tcBorders>
            <w:shd w:val="clear" w:color="auto" w:fill="auto"/>
            <w:noWrap/>
            <w:vAlign w:val="center"/>
            <w:hideMark/>
          </w:tcPr>
          <w:p w:rsidR="00E458E1" w:rsidRPr="001C1D37" w:rsidRDefault="00E458E1" w:rsidP="001C1D37">
            <w:pPr>
              <w:pStyle w:val="NoSpacing"/>
              <w:rPr>
                <w:rFonts w:ascii="Times New Roman" w:hAnsi="Times New Roman"/>
                <w:sz w:val="20"/>
                <w:szCs w:val="20"/>
                <w:lang w:eastAsia="en-GB"/>
              </w:rPr>
            </w:pPr>
            <w:r w:rsidRPr="001C1D37">
              <w:rPr>
                <w:rFonts w:ascii="Times New Roman" w:hAnsi="Times New Roman"/>
                <w:sz w:val="20"/>
                <w:szCs w:val="20"/>
                <w:lang w:eastAsia="en-GB"/>
              </w:rPr>
              <w:t>Measurement error</w:t>
            </w:r>
          </w:p>
        </w:tc>
        <w:tc>
          <w:tcPr>
            <w:tcW w:w="745"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0.052</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0.018</w:t>
            </w:r>
          </w:p>
        </w:tc>
        <w:tc>
          <w:tcPr>
            <w:tcW w:w="752"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0.203</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0.043</w:t>
            </w:r>
          </w:p>
        </w:tc>
        <w:tc>
          <w:tcPr>
            <w:tcW w:w="1035"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0.253</w:t>
            </w:r>
          </w:p>
        </w:tc>
        <w:tc>
          <w:tcPr>
            <w:tcW w:w="69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0.032</w:t>
            </w:r>
          </w:p>
        </w:tc>
        <w:tc>
          <w:tcPr>
            <w:tcW w:w="850"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0.306</w:t>
            </w:r>
          </w:p>
        </w:tc>
        <w:tc>
          <w:tcPr>
            <w:tcW w:w="666" w:type="dxa"/>
            <w:tcBorders>
              <w:left w:val="nil"/>
            </w:tcBorders>
            <w:shd w:val="clear" w:color="auto" w:fill="auto"/>
            <w:noWrap/>
            <w:vAlign w:val="center"/>
          </w:tcPr>
          <w:p w:rsidR="00E458E1" w:rsidRPr="001C1D37" w:rsidRDefault="00E458E1" w:rsidP="001C1D37">
            <w:pPr>
              <w:jc w:val="center"/>
              <w:rPr>
                <w:sz w:val="20"/>
                <w:szCs w:val="20"/>
              </w:rPr>
            </w:pPr>
            <w:r w:rsidRPr="001C1D37">
              <w:rPr>
                <w:sz w:val="20"/>
                <w:szCs w:val="20"/>
              </w:rPr>
              <w:t>0.038</w:t>
            </w:r>
          </w:p>
        </w:tc>
        <w:tc>
          <w:tcPr>
            <w:tcW w:w="850" w:type="dxa"/>
            <w:tcBorders>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0.315</w:t>
            </w:r>
          </w:p>
        </w:tc>
        <w:tc>
          <w:tcPr>
            <w:tcW w:w="666" w:type="dxa"/>
            <w:tcBorders>
              <w:left w:val="nil"/>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0.039</w:t>
            </w:r>
          </w:p>
        </w:tc>
      </w:tr>
      <w:tr w:rsidR="00827038" w:rsidRPr="001C1D37" w:rsidTr="00E458E1">
        <w:trPr>
          <w:trHeight w:val="300"/>
        </w:trPr>
        <w:tc>
          <w:tcPr>
            <w:tcW w:w="2090" w:type="dxa"/>
            <w:tcBorders>
              <w:left w:val="nil"/>
              <w:bottom w:val="single" w:sz="12" w:space="0" w:color="auto"/>
            </w:tcBorders>
            <w:shd w:val="clear" w:color="auto" w:fill="auto"/>
            <w:noWrap/>
            <w:vAlign w:val="center"/>
            <w:hideMark/>
          </w:tcPr>
          <w:p w:rsidR="00E458E1" w:rsidRPr="001C1D37" w:rsidRDefault="00E458E1" w:rsidP="001C1D37">
            <w:pPr>
              <w:pStyle w:val="NoSpacing"/>
              <w:rPr>
                <w:rFonts w:ascii="Times New Roman" w:hAnsi="Times New Roman"/>
                <w:sz w:val="20"/>
                <w:szCs w:val="20"/>
                <w:lang w:eastAsia="en-GB"/>
              </w:rPr>
            </w:pPr>
            <w:r w:rsidRPr="001C1D37">
              <w:rPr>
                <w:rFonts w:ascii="Times New Roman" w:hAnsi="Times New Roman"/>
                <w:sz w:val="20"/>
                <w:szCs w:val="20"/>
                <w:lang w:eastAsia="en-GB"/>
              </w:rPr>
              <w:t>Joint log-likelihood</w:t>
            </w:r>
          </w:p>
        </w:tc>
        <w:tc>
          <w:tcPr>
            <w:tcW w:w="1411" w:type="dxa"/>
            <w:gridSpan w:val="2"/>
            <w:tcBorders>
              <w:bottom w:val="single" w:sz="12" w:space="0" w:color="auto"/>
            </w:tcBorders>
            <w:shd w:val="clear" w:color="auto" w:fill="auto"/>
            <w:noWrap/>
            <w:vAlign w:val="center"/>
          </w:tcPr>
          <w:p w:rsidR="00E458E1" w:rsidRPr="001C1D37" w:rsidRDefault="00E458E1" w:rsidP="001C1D37">
            <w:pPr>
              <w:jc w:val="center"/>
              <w:rPr>
                <w:sz w:val="20"/>
                <w:szCs w:val="20"/>
              </w:rPr>
            </w:pPr>
            <w:r w:rsidRPr="001C1D37">
              <w:rPr>
                <w:sz w:val="20"/>
                <w:szCs w:val="20"/>
              </w:rPr>
              <w:t>-372.504</w:t>
            </w:r>
          </w:p>
        </w:tc>
        <w:tc>
          <w:tcPr>
            <w:tcW w:w="1418" w:type="dxa"/>
            <w:gridSpan w:val="2"/>
            <w:tcBorders>
              <w:bottom w:val="single" w:sz="12" w:space="0" w:color="auto"/>
            </w:tcBorders>
            <w:shd w:val="clear" w:color="auto" w:fill="auto"/>
            <w:noWrap/>
            <w:vAlign w:val="center"/>
          </w:tcPr>
          <w:p w:rsidR="00E458E1" w:rsidRPr="001C1D37" w:rsidRDefault="00E458E1" w:rsidP="001C1D37">
            <w:pPr>
              <w:jc w:val="center"/>
              <w:rPr>
                <w:sz w:val="20"/>
                <w:szCs w:val="20"/>
              </w:rPr>
            </w:pPr>
            <w:r w:rsidRPr="001C1D37">
              <w:rPr>
                <w:sz w:val="20"/>
                <w:szCs w:val="20"/>
              </w:rPr>
              <w:t>-524.440</w:t>
            </w:r>
          </w:p>
        </w:tc>
        <w:tc>
          <w:tcPr>
            <w:tcW w:w="1731" w:type="dxa"/>
            <w:gridSpan w:val="2"/>
            <w:tcBorders>
              <w:bottom w:val="single" w:sz="12" w:space="0" w:color="auto"/>
            </w:tcBorders>
            <w:shd w:val="clear" w:color="auto" w:fill="auto"/>
            <w:noWrap/>
            <w:vAlign w:val="center"/>
          </w:tcPr>
          <w:p w:rsidR="00E458E1" w:rsidRPr="001C1D37" w:rsidRDefault="00E458E1" w:rsidP="001C1D37">
            <w:pPr>
              <w:jc w:val="center"/>
              <w:rPr>
                <w:sz w:val="20"/>
                <w:szCs w:val="20"/>
              </w:rPr>
            </w:pPr>
            <w:r w:rsidRPr="001C1D37">
              <w:rPr>
                <w:sz w:val="20"/>
                <w:szCs w:val="20"/>
              </w:rPr>
              <w:t>-621.848</w:t>
            </w:r>
          </w:p>
        </w:tc>
        <w:tc>
          <w:tcPr>
            <w:tcW w:w="1516" w:type="dxa"/>
            <w:gridSpan w:val="2"/>
            <w:tcBorders>
              <w:bottom w:val="single" w:sz="12" w:space="0" w:color="auto"/>
            </w:tcBorders>
            <w:shd w:val="clear" w:color="auto" w:fill="auto"/>
            <w:noWrap/>
            <w:vAlign w:val="center"/>
          </w:tcPr>
          <w:p w:rsidR="00E458E1" w:rsidRPr="001C1D37" w:rsidRDefault="00E458E1" w:rsidP="001C1D37">
            <w:pPr>
              <w:jc w:val="center"/>
              <w:rPr>
                <w:sz w:val="20"/>
                <w:szCs w:val="20"/>
              </w:rPr>
            </w:pPr>
            <w:r w:rsidRPr="001C1D37">
              <w:rPr>
                <w:sz w:val="20"/>
                <w:szCs w:val="20"/>
              </w:rPr>
              <w:t>-715.838</w:t>
            </w:r>
          </w:p>
        </w:tc>
        <w:tc>
          <w:tcPr>
            <w:tcW w:w="1516" w:type="dxa"/>
            <w:gridSpan w:val="2"/>
            <w:tcBorders>
              <w:bottom w:val="single" w:sz="12" w:space="0" w:color="auto"/>
              <w:right w:val="nil"/>
            </w:tcBorders>
            <w:shd w:val="clear" w:color="auto" w:fill="auto"/>
            <w:noWrap/>
            <w:vAlign w:val="center"/>
          </w:tcPr>
          <w:p w:rsidR="00E458E1" w:rsidRPr="001C1D37" w:rsidRDefault="00E458E1" w:rsidP="001C1D37">
            <w:pPr>
              <w:jc w:val="center"/>
              <w:rPr>
                <w:sz w:val="20"/>
                <w:szCs w:val="20"/>
              </w:rPr>
            </w:pPr>
            <w:r w:rsidRPr="001C1D37">
              <w:rPr>
                <w:sz w:val="20"/>
                <w:szCs w:val="20"/>
              </w:rPr>
              <w:t>-791.582</w:t>
            </w:r>
          </w:p>
        </w:tc>
      </w:tr>
    </w:tbl>
    <w:p w:rsidR="00E458E1" w:rsidRPr="001C1D37" w:rsidRDefault="00E458E1" w:rsidP="001C1D37"/>
    <w:p w:rsidR="005B1322" w:rsidRPr="001C1D37" w:rsidRDefault="005B1322" w:rsidP="001C1D37">
      <w:r w:rsidRPr="001C1D37">
        <w:br w:type="page"/>
      </w:r>
    </w:p>
    <w:p w:rsidR="00E458E1" w:rsidRPr="001C1D37" w:rsidRDefault="00E458E1" w:rsidP="001C1D37">
      <w:pPr>
        <w:jc w:val="both"/>
      </w:pPr>
      <w:proofErr w:type="gramStart"/>
      <w:r w:rsidRPr="001C1D37">
        <w:lastRenderedPageBreak/>
        <w:t xml:space="preserve">Table </w:t>
      </w:r>
      <w:r w:rsidR="00E55553" w:rsidRPr="001C1D37">
        <w:t>6</w:t>
      </w:r>
      <w:r w:rsidRPr="001C1D37">
        <w:t>.</w:t>
      </w:r>
      <w:proofErr w:type="gramEnd"/>
      <w:r w:rsidRPr="001C1D37">
        <w:t xml:space="preserve"> Estimated </w:t>
      </w:r>
      <w:proofErr w:type="gramStart"/>
      <w:r w:rsidRPr="001C1D37">
        <w:t>AUC(</w:t>
      </w:r>
      <w:proofErr w:type="gramEnd"/>
      <m:oMath>
        <m:r>
          <w:rPr>
            <w:rFonts w:ascii="Cambria Math" w:hAnsi="Cambria Math"/>
          </w:rPr>
          <m:t>t</m:t>
        </m:r>
      </m:oMath>
      <w:r w:rsidRPr="001C1D37">
        <w:t>), sensitivity(</w:t>
      </w:r>
      <m:oMath>
        <m:r>
          <w:rPr>
            <w:rFonts w:ascii="Cambria Math" w:hAnsi="Cambria Math"/>
          </w:rPr>
          <m:t>t</m:t>
        </m:r>
      </m:oMath>
      <w:r w:rsidRPr="001C1D37">
        <w:t>) and specificity(</w:t>
      </w:r>
      <m:oMath>
        <m:r>
          <w:rPr>
            <w:rFonts w:ascii="Cambria Math" w:hAnsi="Cambria Math"/>
          </w:rPr>
          <m:t>t</m:t>
        </m:r>
      </m:oMath>
      <w:r w:rsidRPr="001C1D37">
        <w:t xml:space="preserve">) </w:t>
      </w:r>
      <w:r w:rsidR="00064B59" w:rsidRPr="001C1D37">
        <w:t>at</w:t>
      </w:r>
      <w:r w:rsidRPr="001C1D37">
        <w:t xml:space="preserve"> </w:t>
      </w:r>
      <m:oMath>
        <m:sSub>
          <m:sSubPr>
            <m:ctrlPr>
              <w:rPr>
                <w:rFonts w:ascii="Cambria Math" w:hAnsi="Cambria Math"/>
                <w:i/>
              </w:rPr>
            </m:ctrlPr>
          </m:sSubPr>
          <m:e>
            <m:r>
              <w:rPr>
                <w:rFonts w:ascii="Cambria Math" w:hAnsi="Cambria Math"/>
              </w:rPr>
              <m:t>t</m:t>
            </m:r>
          </m:e>
          <m:sub>
            <m:r>
              <w:rPr>
                <w:rFonts w:ascii="Cambria Math" w:hAnsi="Cambria Math"/>
              </w:rPr>
              <m:t>h</m:t>
            </m:r>
          </m:sub>
        </m:sSub>
      </m:oMath>
      <w:r w:rsidRPr="001C1D37">
        <w:t xml:space="preserve"> =  24, 48, 72, 96</w:t>
      </w:r>
      <w:r w:rsidR="00DC7038" w:rsidRPr="001C1D37">
        <w:t>, 120</w:t>
      </w:r>
      <w:r w:rsidRPr="001C1D37">
        <w:t xml:space="preserve"> hours </w:t>
      </w:r>
      <w:r w:rsidR="008716F2" w:rsidRPr="001C1D37">
        <w:t>from the proposed and alternative approaches</w:t>
      </w:r>
    </w:p>
    <w:tbl>
      <w:tblPr>
        <w:tblW w:w="880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26"/>
        <w:gridCol w:w="2268"/>
        <w:gridCol w:w="2410"/>
      </w:tblGrid>
      <w:tr w:rsidR="001C1D37" w:rsidRPr="001C1D37" w:rsidTr="00064B59">
        <w:trPr>
          <w:trHeight w:val="388"/>
        </w:trPr>
        <w:tc>
          <w:tcPr>
            <w:tcW w:w="2000" w:type="dxa"/>
            <w:tcBorders>
              <w:top w:val="single" w:sz="12" w:space="0" w:color="auto"/>
              <w:left w:val="nil"/>
              <w:bottom w:val="single" w:sz="12" w:space="0" w:color="auto"/>
              <w:right w:val="single" w:sz="4" w:space="0" w:color="auto"/>
            </w:tcBorders>
            <w:shd w:val="clear" w:color="auto" w:fill="auto"/>
            <w:noWrap/>
            <w:vAlign w:val="center"/>
            <w:hideMark/>
          </w:tcPr>
          <w:p w:rsidR="00EC37D0" w:rsidRPr="001C1D37" w:rsidRDefault="001C1D37" w:rsidP="001C1D37">
            <w:pPr>
              <w:jc w:val="center"/>
              <w:rPr>
                <w:b/>
                <w:bCs/>
                <w:sz w:val="22"/>
                <w:szCs w:val="22"/>
                <w:lang w:eastAsia="en-GB"/>
              </w:rPr>
            </w:pPr>
            <m:oMathPara>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h</m:t>
                    </m:r>
                  </m:sub>
                </m:sSub>
              </m:oMath>
            </m:oMathPara>
          </w:p>
        </w:tc>
        <w:tc>
          <w:tcPr>
            <w:tcW w:w="2126" w:type="dxa"/>
            <w:tcBorders>
              <w:top w:val="single" w:sz="12" w:space="0" w:color="auto"/>
              <w:bottom w:val="single" w:sz="12" w:space="0" w:color="auto"/>
            </w:tcBorders>
            <w:shd w:val="clear" w:color="auto" w:fill="auto"/>
            <w:noWrap/>
            <w:vAlign w:val="center"/>
            <w:hideMark/>
          </w:tcPr>
          <w:p w:rsidR="00EC37D0" w:rsidRPr="001C1D37" w:rsidRDefault="00EC37D0" w:rsidP="001C1D37">
            <w:pPr>
              <w:autoSpaceDE w:val="0"/>
              <w:autoSpaceDN w:val="0"/>
              <w:adjustRightInd w:val="0"/>
              <w:contextualSpacing/>
              <w:jc w:val="center"/>
              <w:rPr>
                <w:b/>
                <w:sz w:val="22"/>
                <w:szCs w:val="22"/>
              </w:rPr>
            </w:pPr>
            <w:r w:rsidRPr="001C1D37">
              <w:rPr>
                <w:b/>
                <w:sz w:val="22"/>
                <w:szCs w:val="22"/>
              </w:rPr>
              <w:t>AUC (SE)</w:t>
            </w:r>
          </w:p>
        </w:tc>
        <w:tc>
          <w:tcPr>
            <w:tcW w:w="2268" w:type="dxa"/>
            <w:tcBorders>
              <w:top w:val="single" w:sz="12" w:space="0" w:color="auto"/>
              <w:bottom w:val="single" w:sz="12" w:space="0" w:color="auto"/>
            </w:tcBorders>
            <w:shd w:val="clear" w:color="auto" w:fill="auto"/>
            <w:noWrap/>
            <w:vAlign w:val="center"/>
            <w:hideMark/>
          </w:tcPr>
          <w:p w:rsidR="00EC37D0" w:rsidRPr="001C1D37" w:rsidRDefault="00EC37D0" w:rsidP="001C1D37">
            <w:pPr>
              <w:jc w:val="center"/>
              <w:rPr>
                <w:sz w:val="22"/>
                <w:szCs w:val="22"/>
                <w:lang w:eastAsia="en-GB"/>
              </w:rPr>
            </w:pPr>
            <w:r w:rsidRPr="001C1D37">
              <w:rPr>
                <w:b/>
                <w:sz w:val="22"/>
                <w:szCs w:val="22"/>
              </w:rPr>
              <w:t>Sensitivity (SE)</w:t>
            </w:r>
            <w:r w:rsidR="00E55553" w:rsidRPr="001C1D37">
              <w:rPr>
                <w:sz w:val="22"/>
                <w:szCs w:val="22"/>
                <w:vertAlign w:val="superscript"/>
              </w:rPr>
              <w:t>‡</w:t>
            </w:r>
          </w:p>
        </w:tc>
        <w:tc>
          <w:tcPr>
            <w:tcW w:w="2410" w:type="dxa"/>
            <w:tcBorders>
              <w:top w:val="single" w:sz="12" w:space="0" w:color="auto"/>
              <w:bottom w:val="single" w:sz="12" w:space="0" w:color="auto"/>
              <w:right w:val="nil"/>
            </w:tcBorders>
            <w:shd w:val="clear" w:color="auto" w:fill="auto"/>
            <w:noWrap/>
            <w:vAlign w:val="center"/>
            <w:hideMark/>
          </w:tcPr>
          <w:p w:rsidR="00EC37D0" w:rsidRPr="001C1D37" w:rsidRDefault="00EC37D0" w:rsidP="001C1D37">
            <w:pPr>
              <w:jc w:val="center"/>
              <w:rPr>
                <w:sz w:val="22"/>
                <w:szCs w:val="22"/>
                <w:lang w:eastAsia="en-GB"/>
              </w:rPr>
            </w:pPr>
            <w:r w:rsidRPr="001C1D37">
              <w:rPr>
                <w:b/>
                <w:sz w:val="22"/>
                <w:szCs w:val="22"/>
              </w:rPr>
              <w:t>Specificity (SE)</w:t>
            </w:r>
            <w:r w:rsidR="00E55553" w:rsidRPr="001C1D37">
              <w:rPr>
                <w:sz w:val="22"/>
                <w:szCs w:val="22"/>
                <w:vertAlign w:val="superscript"/>
              </w:rPr>
              <w:t>‡</w:t>
            </w:r>
          </w:p>
        </w:tc>
      </w:tr>
      <w:tr w:rsidR="001C1D37" w:rsidRPr="001C1D37" w:rsidTr="00EC37D0">
        <w:trPr>
          <w:trHeight w:val="384"/>
        </w:trPr>
        <w:tc>
          <w:tcPr>
            <w:tcW w:w="8804" w:type="dxa"/>
            <w:gridSpan w:val="4"/>
            <w:tcBorders>
              <w:top w:val="single" w:sz="12" w:space="0" w:color="auto"/>
              <w:left w:val="nil"/>
              <w:bottom w:val="single" w:sz="12" w:space="0" w:color="auto"/>
              <w:right w:val="nil"/>
            </w:tcBorders>
            <w:shd w:val="clear" w:color="auto" w:fill="auto"/>
            <w:noWrap/>
            <w:vAlign w:val="center"/>
          </w:tcPr>
          <w:p w:rsidR="00EC37D0" w:rsidRPr="001C1D37" w:rsidRDefault="005C0C22" w:rsidP="001C1D37">
            <w:pPr>
              <w:rPr>
                <w:sz w:val="22"/>
                <w:szCs w:val="22"/>
                <w:lang w:eastAsia="en-GB"/>
              </w:rPr>
            </w:pPr>
            <w:r w:rsidRPr="001C1D37">
              <w:rPr>
                <w:b/>
                <w:sz w:val="22"/>
                <w:szCs w:val="22"/>
              </w:rPr>
              <w:t>Proposed approach</w:t>
            </w:r>
            <m:oMath>
              <m:r>
                <w:rPr>
                  <w:rFonts w:ascii="Cambria Math" w:hAnsi="Cambria Math"/>
                  <w:sz w:val="22"/>
                  <w:szCs w:val="22"/>
                </w:rPr>
                <m:t xml:space="preserve"> </m:t>
              </m:r>
            </m:oMath>
          </w:p>
        </w:tc>
      </w:tr>
      <w:tr w:rsidR="001C1D37" w:rsidRPr="001C1D37" w:rsidTr="00DC7038">
        <w:trPr>
          <w:trHeight w:hRule="exact" w:val="284"/>
        </w:trPr>
        <w:tc>
          <w:tcPr>
            <w:tcW w:w="2000" w:type="dxa"/>
            <w:tcBorders>
              <w:top w:val="single" w:sz="12" w:space="0" w:color="auto"/>
              <w:left w:val="nil"/>
              <w:right w:val="single" w:sz="4" w:space="0" w:color="auto"/>
            </w:tcBorders>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24</w:t>
            </w:r>
          </w:p>
        </w:tc>
        <w:tc>
          <w:tcPr>
            <w:tcW w:w="2126" w:type="dxa"/>
            <w:tcBorders>
              <w:top w:val="single" w:sz="12" w:space="0" w:color="auto"/>
            </w:tcBorders>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0.722 (0.077)</w:t>
            </w:r>
          </w:p>
        </w:tc>
        <w:tc>
          <w:tcPr>
            <w:tcW w:w="2268" w:type="dxa"/>
            <w:tcBorders>
              <w:top w:val="single" w:sz="12" w:space="0" w:color="auto"/>
            </w:tcBorders>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0.750 (0.110)</w:t>
            </w:r>
          </w:p>
        </w:tc>
        <w:tc>
          <w:tcPr>
            <w:tcW w:w="2410" w:type="dxa"/>
            <w:tcBorders>
              <w:top w:val="single" w:sz="12" w:space="0" w:color="auto"/>
              <w:right w:val="nil"/>
            </w:tcBorders>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0.584 (0.119)</w:t>
            </w:r>
          </w:p>
        </w:tc>
      </w:tr>
      <w:tr w:rsidR="001C1D37" w:rsidRPr="001C1D37" w:rsidTr="00DC7038">
        <w:trPr>
          <w:trHeight w:hRule="exact" w:val="284"/>
        </w:trPr>
        <w:tc>
          <w:tcPr>
            <w:tcW w:w="2000" w:type="dxa"/>
            <w:tcBorders>
              <w:left w:val="nil"/>
              <w:right w:val="single" w:sz="4" w:space="0" w:color="auto"/>
            </w:tcBorders>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48</w:t>
            </w:r>
          </w:p>
        </w:tc>
        <w:tc>
          <w:tcPr>
            <w:tcW w:w="2126" w:type="dxa"/>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0.699 (0.069)</w:t>
            </w:r>
          </w:p>
        </w:tc>
        <w:tc>
          <w:tcPr>
            <w:tcW w:w="2268" w:type="dxa"/>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0.753 (0.083)</w:t>
            </w:r>
          </w:p>
        </w:tc>
        <w:tc>
          <w:tcPr>
            <w:tcW w:w="2410" w:type="dxa"/>
            <w:tcBorders>
              <w:right w:val="nil"/>
            </w:tcBorders>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0.547 (0.103)</w:t>
            </w:r>
          </w:p>
        </w:tc>
      </w:tr>
      <w:tr w:rsidR="001C1D37" w:rsidRPr="001C1D37" w:rsidTr="00DC7038">
        <w:trPr>
          <w:trHeight w:hRule="exact" w:val="284"/>
        </w:trPr>
        <w:tc>
          <w:tcPr>
            <w:tcW w:w="2000" w:type="dxa"/>
            <w:tcBorders>
              <w:left w:val="nil"/>
              <w:right w:val="single" w:sz="4" w:space="0" w:color="auto"/>
            </w:tcBorders>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72</w:t>
            </w:r>
          </w:p>
        </w:tc>
        <w:tc>
          <w:tcPr>
            <w:tcW w:w="2126" w:type="dxa"/>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0.683 (0.057)</w:t>
            </w:r>
          </w:p>
        </w:tc>
        <w:tc>
          <w:tcPr>
            <w:tcW w:w="2268" w:type="dxa"/>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0.746 (0.067)</w:t>
            </w:r>
          </w:p>
        </w:tc>
        <w:tc>
          <w:tcPr>
            <w:tcW w:w="2410" w:type="dxa"/>
            <w:tcBorders>
              <w:right w:val="nil"/>
            </w:tcBorders>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0.531 (0.082)</w:t>
            </w:r>
          </w:p>
        </w:tc>
      </w:tr>
      <w:tr w:rsidR="001C1D37" w:rsidRPr="001C1D37" w:rsidTr="00DC7038">
        <w:trPr>
          <w:trHeight w:hRule="exact" w:val="284"/>
        </w:trPr>
        <w:tc>
          <w:tcPr>
            <w:tcW w:w="2000" w:type="dxa"/>
            <w:tcBorders>
              <w:left w:val="nil"/>
              <w:right w:val="single" w:sz="4" w:space="0" w:color="auto"/>
            </w:tcBorders>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96</w:t>
            </w:r>
          </w:p>
        </w:tc>
        <w:tc>
          <w:tcPr>
            <w:tcW w:w="2126" w:type="dxa"/>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0.666 (0.061)</w:t>
            </w:r>
          </w:p>
        </w:tc>
        <w:tc>
          <w:tcPr>
            <w:tcW w:w="2268" w:type="dxa"/>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0.771 (0.075)</w:t>
            </w:r>
          </w:p>
        </w:tc>
        <w:tc>
          <w:tcPr>
            <w:tcW w:w="2410" w:type="dxa"/>
            <w:tcBorders>
              <w:right w:val="nil"/>
            </w:tcBorders>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0.490 (0.089)</w:t>
            </w:r>
          </w:p>
        </w:tc>
      </w:tr>
      <w:tr w:rsidR="001C1D37" w:rsidRPr="001C1D37" w:rsidTr="00DC7038">
        <w:trPr>
          <w:trHeight w:hRule="exact" w:val="284"/>
        </w:trPr>
        <w:tc>
          <w:tcPr>
            <w:tcW w:w="2000" w:type="dxa"/>
            <w:tcBorders>
              <w:left w:val="nil"/>
              <w:bottom w:val="single" w:sz="12" w:space="0" w:color="auto"/>
              <w:right w:val="single" w:sz="4" w:space="0" w:color="auto"/>
            </w:tcBorders>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120</w:t>
            </w:r>
          </w:p>
        </w:tc>
        <w:tc>
          <w:tcPr>
            <w:tcW w:w="2126" w:type="dxa"/>
            <w:tcBorders>
              <w:bottom w:val="single" w:sz="12" w:space="0" w:color="auto"/>
            </w:tcBorders>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0.674 (0.068)</w:t>
            </w:r>
          </w:p>
        </w:tc>
        <w:tc>
          <w:tcPr>
            <w:tcW w:w="2268" w:type="dxa"/>
            <w:tcBorders>
              <w:bottom w:val="single" w:sz="12" w:space="0" w:color="auto"/>
            </w:tcBorders>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0.744 (0.084)</w:t>
            </w:r>
          </w:p>
        </w:tc>
        <w:tc>
          <w:tcPr>
            <w:tcW w:w="2410" w:type="dxa"/>
            <w:tcBorders>
              <w:bottom w:val="single" w:sz="12" w:space="0" w:color="auto"/>
              <w:right w:val="nil"/>
            </w:tcBorders>
            <w:shd w:val="clear" w:color="auto" w:fill="auto"/>
            <w:noWrap/>
            <w:vAlign w:val="center"/>
            <w:hideMark/>
          </w:tcPr>
          <w:p w:rsidR="005B1322" w:rsidRPr="001C1D37" w:rsidRDefault="005B1322" w:rsidP="001C1D37">
            <w:pPr>
              <w:jc w:val="center"/>
              <w:rPr>
                <w:sz w:val="22"/>
                <w:szCs w:val="22"/>
                <w:lang w:eastAsia="en-GB"/>
              </w:rPr>
            </w:pPr>
            <w:r w:rsidRPr="001C1D37">
              <w:rPr>
                <w:sz w:val="22"/>
                <w:szCs w:val="22"/>
                <w:lang w:eastAsia="en-GB"/>
              </w:rPr>
              <w:t>0.520 (0.106)</w:t>
            </w:r>
          </w:p>
        </w:tc>
      </w:tr>
      <w:tr w:rsidR="001C1D37" w:rsidRPr="001C1D37" w:rsidTr="00EC37D0">
        <w:trPr>
          <w:trHeight w:val="424"/>
        </w:trPr>
        <w:tc>
          <w:tcPr>
            <w:tcW w:w="8804" w:type="dxa"/>
            <w:gridSpan w:val="4"/>
            <w:tcBorders>
              <w:top w:val="single" w:sz="12" w:space="0" w:color="auto"/>
              <w:left w:val="nil"/>
              <w:bottom w:val="single" w:sz="12" w:space="0" w:color="auto"/>
              <w:right w:val="nil"/>
            </w:tcBorders>
            <w:shd w:val="clear" w:color="auto" w:fill="auto"/>
            <w:noWrap/>
            <w:vAlign w:val="center"/>
          </w:tcPr>
          <w:p w:rsidR="00EC37D0" w:rsidRPr="001C1D37" w:rsidRDefault="00EC37D0" w:rsidP="001C1D37">
            <w:pPr>
              <w:rPr>
                <w:b/>
                <w:sz w:val="22"/>
                <w:szCs w:val="22"/>
                <w:lang w:eastAsia="en-GB"/>
              </w:rPr>
            </w:pPr>
            <w:proofErr w:type="spellStart"/>
            <w:r w:rsidRPr="001C1D37">
              <w:rPr>
                <w:b/>
                <w:sz w:val="22"/>
                <w:szCs w:val="22"/>
              </w:rPr>
              <w:t>Heagerty</w:t>
            </w:r>
            <w:proofErr w:type="spellEnd"/>
            <w:r w:rsidRPr="001C1D37">
              <w:rPr>
                <w:b/>
                <w:sz w:val="22"/>
                <w:szCs w:val="22"/>
              </w:rPr>
              <w:t xml:space="preserve"> et al (2000)[</w:t>
            </w:r>
            <w:r w:rsidR="002E4B25" w:rsidRPr="001C1D37">
              <w:rPr>
                <w:b/>
                <w:sz w:val="22"/>
                <w:szCs w:val="22"/>
              </w:rPr>
              <w:t>4</w:t>
            </w:r>
            <w:r w:rsidRPr="001C1D37">
              <w:rPr>
                <w:b/>
                <w:sz w:val="22"/>
                <w:szCs w:val="22"/>
              </w:rPr>
              <w:t>]</w:t>
            </w:r>
          </w:p>
        </w:tc>
      </w:tr>
      <w:tr w:rsidR="001C1D37" w:rsidRPr="001C1D37" w:rsidTr="00DC7038">
        <w:trPr>
          <w:trHeight w:hRule="exact" w:val="284"/>
        </w:trPr>
        <w:tc>
          <w:tcPr>
            <w:tcW w:w="2000" w:type="dxa"/>
            <w:tcBorders>
              <w:top w:val="single" w:sz="12" w:space="0" w:color="auto"/>
              <w:left w:val="nil"/>
              <w:right w:val="single" w:sz="4" w:space="0" w:color="auto"/>
            </w:tcBorders>
            <w:shd w:val="clear" w:color="auto" w:fill="auto"/>
            <w:noWrap/>
            <w:vAlign w:val="center"/>
            <w:hideMark/>
          </w:tcPr>
          <w:p w:rsidR="00EC37D0" w:rsidRPr="001C1D37" w:rsidRDefault="00EC37D0" w:rsidP="001C1D37">
            <w:pPr>
              <w:jc w:val="center"/>
              <w:rPr>
                <w:sz w:val="22"/>
                <w:szCs w:val="22"/>
                <w:lang w:eastAsia="en-GB"/>
              </w:rPr>
            </w:pPr>
            <w:r w:rsidRPr="001C1D37">
              <w:rPr>
                <w:sz w:val="22"/>
                <w:szCs w:val="22"/>
                <w:lang w:eastAsia="en-GB"/>
              </w:rPr>
              <w:t>24</w:t>
            </w:r>
          </w:p>
        </w:tc>
        <w:tc>
          <w:tcPr>
            <w:tcW w:w="2126" w:type="dxa"/>
            <w:tcBorders>
              <w:top w:val="single" w:sz="12" w:space="0" w:color="auto"/>
            </w:tcBorders>
            <w:shd w:val="clear" w:color="auto" w:fill="auto"/>
            <w:noWrap/>
            <w:vAlign w:val="bottom"/>
          </w:tcPr>
          <w:p w:rsidR="00EC37D0" w:rsidRPr="001C1D37" w:rsidRDefault="00EC37D0" w:rsidP="001C1D37">
            <w:pPr>
              <w:jc w:val="center"/>
              <w:rPr>
                <w:sz w:val="22"/>
                <w:szCs w:val="22"/>
              </w:rPr>
            </w:pPr>
            <w:r w:rsidRPr="001C1D37">
              <w:rPr>
                <w:sz w:val="22"/>
                <w:szCs w:val="22"/>
              </w:rPr>
              <w:t>0.728 (0.056)</w:t>
            </w:r>
          </w:p>
        </w:tc>
        <w:tc>
          <w:tcPr>
            <w:tcW w:w="2268" w:type="dxa"/>
            <w:tcBorders>
              <w:top w:val="single" w:sz="12" w:space="0" w:color="auto"/>
            </w:tcBorders>
            <w:shd w:val="clear" w:color="auto" w:fill="auto"/>
            <w:noWrap/>
            <w:vAlign w:val="bottom"/>
          </w:tcPr>
          <w:p w:rsidR="00781548" w:rsidRPr="001C1D37" w:rsidRDefault="00EC37D0" w:rsidP="001C1D37">
            <w:pPr>
              <w:jc w:val="center"/>
              <w:rPr>
                <w:sz w:val="22"/>
                <w:szCs w:val="22"/>
              </w:rPr>
            </w:pPr>
            <w:r w:rsidRPr="001C1D37">
              <w:rPr>
                <w:sz w:val="22"/>
                <w:szCs w:val="22"/>
              </w:rPr>
              <w:t>0.725</w:t>
            </w:r>
            <w:r w:rsidR="00781548" w:rsidRPr="001C1D37">
              <w:rPr>
                <w:sz w:val="22"/>
                <w:szCs w:val="22"/>
              </w:rPr>
              <w:t xml:space="preserve"> (0.085)</w:t>
            </w:r>
          </w:p>
        </w:tc>
        <w:tc>
          <w:tcPr>
            <w:tcW w:w="2410" w:type="dxa"/>
            <w:tcBorders>
              <w:top w:val="single" w:sz="12" w:space="0" w:color="auto"/>
              <w:right w:val="nil"/>
            </w:tcBorders>
            <w:shd w:val="clear" w:color="auto" w:fill="auto"/>
            <w:noWrap/>
            <w:vAlign w:val="bottom"/>
          </w:tcPr>
          <w:p w:rsidR="00781548" w:rsidRPr="001C1D37" w:rsidRDefault="00EC37D0" w:rsidP="001C1D37">
            <w:pPr>
              <w:jc w:val="center"/>
              <w:rPr>
                <w:sz w:val="22"/>
                <w:szCs w:val="22"/>
              </w:rPr>
            </w:pPr>
            <w:r w:rsidRPr="001C1D37">
              <w:rPr>
                <w:sz w:val="22"/>
                <w:szCs w:val="22"/>
              </w:rPr>
              <w:t>0.630</w:t>
            </w:r>
            <w:r w:rsidR="00781548" w:rsidRPr="001C1D37">
              <w:rPr>
                <w:sz w:val="22"/>
                <w:szCs w:val="22"/>
              </w:rPr>
              <w:t xml:space="preserve"> (0.071)</w:t>
            </w:r>
          </w:p>
        </w:tc>
      </w:tr>
      <w:tr w:rsidR="001C1D37" w:rsidRPr="001C1D37" w:rsidTr="00DC7038">
        <w:trPr>
          <w:trHeight w:hRule="exact" w:val="284"/>
        </w:trPr>
        <w:tc>
          <w:tcPr>
            <w:tcW w:w="2000" w:type="dxa"/>
            <w:tcBorders>
              <w:left w:val="nil"/>
              <w:right w:val="single" w:sz="4" w:space="0" w:color="auto"/>
            </w:tcBorders>
            <w:shd w:val="clear" w:color="auto" w:fill="auto"/>
            <w:noWrap/>
            <w:vAlign w:val="center"/>
            <w:hideMark/>
          </w:tcPr>
          <w:p w:rsidR="00EC37D0" w:rsidRPr="001C1D37" w:rsidRDefault="00EC37D0" w:rsidP="001C1D37">
            <w:pPr>
              <w:jc w:val="center"/>
              <w:rPr>
                <w:sz w:val="22"/>
                <w:szCs w:val="22"/>
                <w:lang w:eastAsia="en-GB"/>
              </w:rPr>
            </w:pPr>
            <w:r w:rsidRPr="001C1D37">
              <w:rPr>
                <w:sz w:val="22"/>
                <w:szCs w:val="22"/>
                <w:lang w:eastAsia="en-GB"/>
              </w:rPr>
              <w:t>48</w:t>
            </w:r>
          </w:p>
        </w:tc>
        <w:tc>
          <w:tcPr>
            <w:tcW w:w="2126" w:type="dxa"/>
            <w:shd w:val="clear" w:color="auto" w:fill="auto"/>
            <w:noWrap/>
            <w:vAlign w:val="bottom"/>
          </w:tcPr>
          <w:p w:rsidR="00EC37D0" w:rsidRPr="001C1D37" w:rsidRDefault="00EC37D0" w:rsidP="001C1D37">
            <w:pPr>
              <w:jc w:val="center"/>
              <w:rPr>
                <w:sz w:val="22"/>
                <w:szCs w:val="22"/>
              </w:rPr>
            </w:pPr>
            <w:r w:rsidRPr="001C1D37">
              <w:rPr>
                <w:sz w:val="22"/>
                <w:szCs w:val="22"/>
              </w:rPr>
              <w:t>0.714 (0.057)</w:t>
            </w:r>
          </w:p>
        </w:tc>
        <w:tc>
          <w:tcPr>
            <w:tcW w:w="2268" w:type="dxa"/>
            <w:shd w:val="clear" w:color="auto" w:fill="auto"/>
            <w:noWrap/>
            <w:vAlign w:val="bottom"/>
          </w:tcPr>
          <w:p w:rsidR="00781548" w:rsidRPr="001C1D37" w:rsidRDefault="00EC37D0" w:rsidP="001C1D37">
            <w:pPr>
              <w:jc w:val="center"/>
              <w:rPr>
                <w:sz w:val="22"/>
                <w:szCs w:val="22"/>
              </w:rPr>
            </w:pPr>
            <w:r w:rsidRPr="001C1D37">
              <w:rPr>
                <w:sz w:val="22"/>
                <w:szCs w:val="22"/>
              </w:rPr>
              <w:t>0.687</w:t>
            </w:r>
            <w:r w:rsidR="00781548" w:rsidRPr="001C1D37">
              <w:rPr>
                <w:sz w:val="22"/>
                <w:szCs w:val="22"/>
              </w:rPr>
              <w:t xml:space="preserve"> (0.078)</w:t>
            </w:r>
          </w:p>
        </w:tc>
        <w:tc>
          <w:tcPr>
            <w:tcW w:w="2410" w:type="dxa"/>
            <w:tcBorders>
              <w:right w:val="nil"/>
            </w:tcBorders>
            <w:shd w:val="clear" w:color="auto" w:fill="auto"/>
            <w:noWrap/>
            <w:vAlign w:val="bottom"/>
          </w:tcPr>
          <w:p w:rsidR="00781548" w:rsidRPr="001C1D37" w:rsidRDefault="00EC37D0" w:rsidP="001C1D37">
            <w:pPr>
              <w:jc w:val="center"/>
              <w:rPr>
                <w:sz w:val="22"/>
                <w:szCs w:val="22"/>
              </w:rPr>
            </w:pPr>
            <w:r w:rsidRPr="001C1D37">
              <w:rPr>
                <w:sz w:val="22"/>
                <w:szCs w:val="22"/>
              </w:rPr>
              <w:t>0.633</w:t>
            </w:r>
            <w:r w:rsidR="00781548" w:rsidRPr="001C1D37">
              <w:rPr>
                <w:sz w:val="22"/>
                <w:szCs w:val="22"/>
              </w:rPr>
              <w:t xml:space="preserve"> (0.073)</w:t>
            </w:r>
          </w:p>
        </w:tc>
      </w:tr>
      <w:tr w:rsidR="001C1D37" w:rsidRPr="001C1D37" w:rsidTr="00DC7038">
        <w:trPr>
          <w:trHeight w:hRule="exact" w:val="284"/>
        </w:trPr>
        <w:tc>
          <w:tcPr>
            <w:tcW w:w="2000" w:type="dxa"/>
            <w:tcBorders>
              <w:left w:val="nil"/>
              <w:right w:val="single" w:sz="4" w:space="0" w:color="auto"/>
            </w:tcBorders>
            <w:shd w:val="clear" w:color="auto" w:fill="auto"/>
            <w:noWrap/>
            <w:vAlign w:val="center"/>
            <w:hideMark/>
          </w:tcPr>
          <w:p w:rsidR="00EC37D0" w:rsidRPr="001C1D37" w:rsidRDefault="00EC37D0" w:rsidP="001C1D37">
            <w:pPr>
              <w:jc w:val="center"/>
              <w:rPr>
                <w:sz w:val="22"/>
                <w:szCs w:val="22"/>
                <w:lang w:eastAsia="en-GB"/>
              </w:rPr>
            </w:pPr>
            <w:r w:rsidRPr="001C1D37">
              <w:rPr>
                <w:sz w:val="22"/>
                <w:szCs w:val="22"/>
                <w:lang w:eastAsia="en-GB"/>
              </w:rPr>
              <w:t>72</w:t>
            </w:r>
          </w:p>
        </w:tc>
        <w:tc>
          <w:tcPr>
            <w:tcW w:w="2126" w:type="dxa"/>
            <w:shd w:val="clear" w:color="auto" w:fill="auto"/>
            <w:noWrap/>
            <w:vAlign w:val="bottom"/>
          </w:tcPr>
          <w:p w:rsidR="00EC37D0" w:rsidRPr="001C1D37" w:rsidRDefault="00EC37D0" w:rsidP="001C1D37">
            <w:pPr>
              <w:jc w:val="center"/>
              <w:rPr>
                <w:sz w:val="22"/>
                <w:szCs w:val="22"/>
              </w:rPr>
            </w:pPr>
            <w:r w:rsidRPr="001C1D37">
              <w:rPr>
                <w:sz w:val="22"/>
                <w:szCs w:val="22"/>
              </w:rPr>
              <w:t>0.670 (0.057)</w:t>
            </w:r>
          </w:p>
        </w:tc>
        <w:tc>
          <w:tcPr>
            <w:tcW w:w="2268" w:type="dxa"/>
            <w:shd w:val="clear" w:color="auto" w:fill="auto"/>
            <w:noWrap/>
            <w:vAlign w:val="bottom"/>
          </w:tcPr>
          <w:p w:rsidR="00781548" w:rsidRPr="001C1D37" w:rsidRDefault="00EC37D0" w:rsidP="001C1D37">
            <w:pPr>
              <w:jc w:val="center"/>
              <w:rPr>
                <w:sz w:val="22"/>
                <w:szCs w:val="22"/>
              </w:rPr>
            </w:pPr>
            <w:r w:rsidRPr="001C1D37">
              <w:rPr>
                <w:sz w:val="22"/>
                <w:szCs w:val="22"/>
              </w:rPr>
              <w:t>0.673</w:t>
            </w:r>
            <w:r w:rsidR="00781548" w:rsidRPr="001C1D37">
              <w:rPr>
                <w:sz w:val="22"/>
                <w:szCs w:val="22"/>
              </w:rPr>
              <w:t xml:space="preserve"> (0.083)</w:t>
            </w:r>
          </w:p>
        </w:tc>
        <w:tc>
          <w:tcPr>
            <w:tcW w:w="2410" w:type="dxa"/>
            <w:tcBorders>
              <w:right w:val="nil"/>
            </w:tcBorders>
            <w:shd w:val="clear" w:color="auto" w:fill="auto"/>
            <w:noWrap/>
            <w:vAlign w:val="bottom"/>
          </w:tcPr>
          <w:p w:rsidR="00781548" w:rsidRPr="001C1D37" w:rsidRDefault="00EC37D0" w:rsidP="001C1D37">
            <w:pPr>
              <w:jc w:val="center"/>
              <w:rPr>
                <w:sz w:val="22"/>
                <w:szCs w:val="22"/>
              </w:rPr>
            </w:pPr>
            <w:r w:rsidRPr="001C1D37">
              <w:rPr>
                <w:sz w:val="22"/>
                <w:szCs w:val="22"/>
              </w:rPr>
              <w:t>0.574</w:t>
            </w:r>
            <w:r w:rsidR="00781548" w:rsidRPr="001C1D37">
              <w:rPr>
                <w:sz w:val="22"/>
                <w:szCs w:val="22"/>
              </w:rPr>
              <w:t xml:space="preserve"> (0.080)</w:t>
            </w:r>
          </w:p>
        </w:tc>
      </w:tr>
      <w:tr w:rsidR="001C1D37" w:rsidRPr="001C1D37" w:rsidTr="00DC7038">
        <w:trPr>
          <w:trHeight w:hRule="exact" w:val="284"/>
        </w:trPr>
        <w:tc>
          <w:tcPr>
            <w:tcW w:w="2000" w:type="dxa"/>
            <w:tcBorders>
              <w:left w:val="nil"/>
              <w:right w:val="single" w:sz="4" w:space="0" w:color="auto"/>
            </w:tcBorders>
            <w:shd w:val="clear" w:color="auto" w:fill="auto"/>
            <w:noWrap/>
            <w:vAlign w:val="center"/>
            <w:hideMark/>
          </w:tcPr>
          <w:p w:rsidR="00EC37D0" w:rsidRPr="001C1D37" w:rsidRDefault="00EC37D0" w:rsidP="001C1D37">
            <w:pPr>
              <w:jc w:val="center"/>
              <w:rPr>
                <w:sz w:val="22"/>
                <w:szCs w:val="22"/>
                <w:lang w:eastAsia="en-GB"/>
              </w:rPr>
            </w:pPr>
            <w:r w:rsidRPr="001C1D37">
              <w:rPr>
                <w:sz w:val="22"/>
                <w:szCs w:val="22"/>
                <w:lang w:eastAsia="en-GB"/>
              </w:rPr>
              <w:t>96</w:t>
            </w:r>
          </w:p>
        </w:tc>
        <w:tc>
          <w:tcPr>
            <w:tcW w:w="2126" w:type="dxa"/>
            <w:shd w:val="clear" w:color="auto" w:fill="auto"/>
            <w:noWrap/>
            <w:vAlign w:val="bottom"/>
          </w:tcPr>
          <w:p w:rsidR="00EC37D0" w:rsidRPr="001C1D37" w:rsidRDefault="00EC37D0" w:rsidP="001C1D37">
            <w:pPr>
              <w:jc w:val="center"/>
              <w:rPr>
                <w:sz w:val="22"/>
                <w:szCs w:val="22"/>
              </w:rPr>
            </w:pPr>
            <w:r w:rsidRPr="001C1D37">
              <w:rPr>
                <w:sz w:val="22"/>
                <w:szCs w:val="22"/>
              </w:rPr>
              <w:t>0.649 (0.069)</w:t>
            </w:r>
          </w:p>
        </w:tc>
        <w:tc>
          <w:tcPr>
            <w:tcW w:w="2268" w:type="dxa"/>
            <w:shd w:val="clear" w:color="auto" w:fill="auto"/>
            <w:noWrap/>
            <w:vAlign w:val="bottom"/>
          </w:tcPr>
          <w:p w:rsidR="00781548" w:rsidRPr="001C1D37" w:rsidRDefault="00EC37D0" w:rsidP="001C1D37">
            <w:pPr>
              <w:jc w:val="center"/>
              <w:rPr>
                <w:sz w:val="22"/>
                <w:szCs w:val="22"/>
              </w:rPr>
            </w:pPr>
            <w:r w:rsidRPr="001C1D37">
              <w:rPr>
                <w:sz w:val="22"/>
                <w:szCs w:val="22"/>
              </w:rPr>
              <w:t>0.681</w:t>
            </w:r>
            <w:r w:rsidR="00781548" w:rsidRPr="001C1D37">
              <w:rPr>
                <w:sz w:val="22"/>
                <w:szCs w:val="22"/>
              </w:rPr>
              <w:t xml:space="preserve"> (0.086)</w:t>
            </w:r>
          </w:p>
        </w:tc>
        <w:tc>
          <w:tcPr>
            <w:tcW w:w="2410" w:type="dxa"/>
            <w:tcBorders>
              <w:right w:val="nil"/>
            </w:tcBorders>
            <w:shd w:val="clear" w:color="auto" w:fill="auto"/>
            <w:noWrap/>
            <w:vAlign w:val="bottom"/>
          </w:tcPr>
          <w:p w:rsidR="00781548" w:rsidRPr="001C1D37" w:rsidRDefault="00EC37D0" w:rsidP="001C1D37">
            <w:pPr>
              <w:jc w:val="center"/>
              <w:rPr>
                <w:sz w:val="22"/>
                <w:szCs w:val="22"/>
              </w:rPr>
            </w:pPr>
            <w:r w:rsidRPr="001C1D37">
              <w:rPr>
                <w:sz w:val="22"/>
                <w:szCs w:val="22"/>
              </w:rPr>
              <w:t>0.583</w:t>
            </w:r>
            <w:r w:rsidR="00781548" w:rsidRPr="001C1D37">
              <w:rPr>
                <w:sz w:val="22"/>
                <w:szCs w:val="22"/>
              </w:rPr>
              <w:t xml:space="preserve"> (0.061)</w:t>
            </w:r>
          </w:p>
        </w:tc>
      </w:tr>
      <w:tr w:rsidR="001C1D37" w:rsidRPr="001C1D37" w:rsidTr="00DC7038">
        <w:trPr>
          <w:trHeight w:hRule="exact" w:val="284"/>
        </w:trPr>
        <w:tc>
          <w:tcPr>
            <w:tcW w:w="2000" w:type="dxa"/>
            <w:tcBorders>
              <w:left w:val="nil"/>
              <w:bottom w:val="single" w:sz="12" w:space="0" w:color="auto"/>
              <w:right w:val="single" w:sz="4" w:space="0" w:color="auto"/>
            </w:tcBorders>
            <w:shd w:val="clear" w:color="auto" w:fill="auto"/>
            <w:noWrap/>
            <w:vAlign w:val="center"/>
            <w:hideMark/>
          </w:tcPr>
          <w:p w:rsidR="00EC37D0" w:rsidRPr="001C1D37" w:rsidRDefault="00EC37D0" w:rsidP="001C1D37">
            <w:pPr>
              <w:jc w:val="center"/>
              <w:rPr>
                <w:sz w:val="22"/>
                <w:szCs w:val="22"/>
                <w:lang w:eastAsia="en-GB"/>
              </w:rPr>
            </w:pPr>
            <w:r w:rsidRPr="001C1D37">
              <w:rPr>
                <w:sz w:val="22"/>
                <w:szCs w:val="22"/>
                <w:lang w:eastAsia="en-GB"/>
              </w:rPr>
              <w:t>120</w:t>
            </w:r>
          </w:p>
        </w:tc>
        <w:tc>
          <w:tcPr>
            <w:tcW w:w="2126" w:type="dxa"/>
            <w:tcBorders>
              <w:bottom w:val="single" w:sz="12" w:space="0" w:color="auto"/>
            </w:tcBorders>
            <w:shd w:val="clear" w:color="auto" w:fill="auto"/>
            <w:noWrap/>
            <w:vAlign w:val="bottom"/>
          </w:tcPr>
          <w:p w:rsidR="00EC37D0" w:rsidRPr="001C1D37" w:rsidRDefault="00EC37D0" w:rsidP="001C1D37">
            <w:pPr>
              <w:jc w:val="center"/>
              <w:rPr>
                <w:sz w:val="22"/>
                <w:szCs w:val="22"/>
              </w:rPr>
            </w:pPr>
            <w:r w:rsidRPr="001C1D37">
              <w:rPr>
                <w:sz w:val="22"/>
                <w:szCs w:val="22"/>
              </w:rPr>
              <w:t>0.644 (0.062)</w:t>
            </w:r>
          </w:p>
        </w:tc>
        <w:tc>
          <w:tcPr>
            <w:tcW w:w="2268" w:type="dxa"/>
            <w:tcBorders>
              <w:bottom w:val="single" w:sz="12" w:space="0" w:color="auto"/>
            </w:tcBorders>
            <w:shd w:val="clear" w:color="auto" w:fill="auto"/>
            <w:noWrap/>
            <w:vAlign w:val="bottom"/>
          </w:tcPr>
          <w:p w:rsidR="00781548" w:rsidRPr="001C1D37" w:rsidRDefault="00EC37D0" w:rsidP="001C1D37">
            <w:pPr>
              <w:jc w:val="center"/>
              <w:rPr>
                <w:sz w:val="22"/>
                <w:szCs w:val="22"/>
              </w:rPr>
            </w:pPr>
            <w:r w:rsidRPr="001C1D37">
              <w:rPr>
                <w:sz w:val="22"/>
                <w:szCs w:val="22"/>
              </w:rPr>
              <w:t>0.613</w:t>
            </w:r>
            <w:r w:rsidR="00781548" w:rsidRPr="001C1D37">
              <w:rPr>
                <w:sz w:val="22"/>
                <w:szCs w:val="22"/>
              </w:rPr>
              <w:t xml:space="preserve"> (0.095)</w:t>
            </w:r>
          </w:p>
        </w:tc>
        <w:tc>
          <w:tcPr>
            <w:tcW w:w="2410" w:type="dxa"/>
            <w:tcBorders>
              <w:bottom w:val="single" w:sz="12" w:space="0" w:color="auto"/>
              <w:right w:val="nil"/>
            </w:tcBorders>
            <w:shd w:val="clear" w:color="auto" w:fill="auto"/>
            <w:noWrap/>
            <w:vAlign w:val="bottom"/>
          </w:tcPr>
          <w:p w:rsidR="00781548" w:rsidRPr="001C1D37" w:rsidRDefault="00EC37D0" w:rsidP="001C1D37">
            <w:pPr>
              <w:jc w:val="center"/>
              <w:rPr>
                <w:sz w:val="22"/>
                <w:szCs w:val="22"/>
              </w:rPr>
            </w:pPr>
            <w:r w:rsidRPr="001C1D37">
              <w:rPr>
                <w:sz w:val="22"/>
                <w:szCs w:val="22"/>
              </w:rPr>
              <w:t>0.593</w:t>
            </w:r>
            <w:r w:rsidR="00781548" w:rsidRPr="001C1D37">
              <w:rPr>
                <w:sz w:val="22"/>
                <w:szCs w:val="22"/>
              </w:rPr>
              <w:t xml:space="preserve"> (0.083)</w:t>
            </w:r>
          </w:p>
        </w:tc>
      </w:tr>
      <w:tr w:rsidR="001C1D37" w:rsidRPr="001C1D37" w:rsidTr="00EC37D0">
        <w:trPr>
          <w:trHeight w:val="425"/>
        </w:trPr>
        <w:tc>
          <w:tcPr>
            <w:tcW w:w="8804" w:type="dxa"/>
            <w:gridSpan w:val="4"/>
            <w:tcBorders>
              <w:top w:val="single" w:sz="12" w:space="0" w:color="auto"/>
              <w:left w:val="nil"/>
              <w:bottom w:val="single" w:sz="12" w:space="0" w:color="auto"/>
              <w:right w:val="nil"/>
            </w:tcBorders>
            <w:shd w:val="clear" w:color="auto" w:fill="auto"/>
            <w:noWrap/>
            <w:vAlign w:val="center"/>
          </w:tcPr>
          <w:p w:rsidR="00EC37D0" w:rsidRPr="001C1D37" w:rsidRDefault="00EC37D0" w:rsidP="001C1D37">
            <w:pPr>
              <w:rPr>
                <w:b/>
                <w:sz w:val="22"/>
                <w:szCs w:val="22"/>
                <w:lang w:eastAsia="en-GB"/>
              </w:rPr>
            </w:pPr>
            <w:proofErr w:type="spellStart"/>
            <w:r w:rsidRPr="001C1D37">
              <w:rPr>
                <w:b/>
                <w:sz w:val="22"/>
                <w:szCs w:val="22"/>
              </w:rPr>
              <w:t>Heagerty</w:t>
            </w:r>
            <w:proofErr w:type="spellEnd"/>
            <w:r w:rsidRPr="001C1D37">
              <w:rPr>
                <w:b/>
                <w:sz w:val="22"/>
                <w:szCs w:val="22"/>
              </w:rPr>
              <w:t xml:space="preserve"> and Zheng (2005)[</w:t>
            </w:r>
            <w:r w:rsidR="002E4B25" w:rsidRPr="001C1D37">
              <w:rPr>
                <w:b/>
                <w:sz w:val="22"/>
                <w:szCs w:val="22"/>
              </w:rPr>
              <w:t>5</w:t>
            </w:r>
            <w:r w:rsidRPr="001C1D37">
              <w:rPr>
                <w:b/>
                <w:sz w:val="22"/>
                <w:szCs w:val="22"/>
              </w:rPr>
              <w:t>]</w:t>
            </w:r>
          </w:p>
        </w:tc>
      </w:tr>
      <w:tr w:rsidR="001C1D37" w:rsidRPr="001C1D37" w:rsidTr="00DC7038">
        <w:trPr>
          <w:trHeight w:hRule="exact" w:val="284"/>
        </w:trPr>
        <w:tc>
          <w:tcPr>
            <w:tcW w:w="2000" w:type="dxa"/>
            <w:tcBorders>
              <w:top w:val="single" w:sz="12" w:space="0" w:color="auto"/>
              <w:left w:val="nil"/>
              <w:right w:val="single" w:sz="4" w:space="0" w:color="auto"/>
            </w:tcBorders>
            <w:shd w:val="clear" w:color="auto" w:fill="auto"/>
            <w:noWrap/>
            <w:vAlign w:val="center"/>
            <w:hideMark/>
          </w:tcPr>
          <w:p w:rsidR="00781548" w:rsidRPr="001C1D37" w:rsidRDefault="00781548" w:rsidP="001C1D37">
            <w:pPr>
              <w:jc w:val="center"/>
              <w:rPr>
                <w:sz w:val="22"/>
                <w:szCs w:val="22"/>
                <w:lang w:eastAsia="en-GB"/>
              </w:rPr>
            </w:pPr>
            <w:r w:rsidRPr="001C1D37">
              <w:rPr>
                <w:sz w:val="22"/>
                <w:szCs w:val="22"/>
                <w:lang w:eastAsia="en-GB"/>
              </w:rPr>
              <w:t>24</w:t>
            </w:r>
          </w:p>
        </w:tc>
        <w:tc>
          <w:tcPr>
            <w:tcW w:w="2126" w:type="dxa"/>
            <w:tcBorders>
              <w:top w:val="single" w:sz="12" w:space="0" w:color="auto"/>
            </w:tcBorders>
            <w:shd w:val="clear" w:color="auto" w:fill="auto"/>
            <w:noWrap/>
            <w:vAlign w:val="bottom"/>
          </w:tcPr>
          <w:p w:rsidR="00781548" w:rsidRPr="001C1D37" w:rsidRDefault="00781548" w:rsidP="001C1D37">
            <w:pPr>
              <w:jc w:val="center"/>
              <w:rPr>
                <w:sz w:val="22"/>
                <w:szCs w:val="22"/>
              </w:rPr>
            </w:pPr>
            <w:r w:rsidRPr="001C1D37">
              <w:rPr>
                <w:sz w:val="22"/>
                <w:szCs w:val="22"/>
              </w:rPr>
              <w:t>0.646 (0.045)</w:t>
            </w:r>
          </w:p>
        </w:tc>
        <w:tc>
          <w:tcPr>
            <w:tcW w:w="2268" w:type="dxa"/>
            <w:tcBorders>
              <w:top w:val="single" w:sz="12" w:space="0" w:color="auto"/>
            </w:tcBorders>
            <w:shd w:val="clear" w:color="auto" w:fill="auto"/>
            <w:noWrap/>
            <w:vAlign w:val="bottom"/>
          </w:tcPr>
          <w:p w:rsidR="00781548" w:rsidRPr="001C1D37" w:rsidRDefault="00781548" w:rsidP="001C1D37">
            <w:pPr>
              <w:jc w:val="center"/>
              <w:rPr>
                <w:sz w:val="22"/>
                <w:szCs w:val="22"/>
              </w:rPr>
            </w:pPr>
            <w:r w:rsidRPr="001C1D37">
              <w:rPr>
                <w:sz w:val="22"/>
                <w:szCs w:val="22"/>
              </w:rPr>
              <w:t>0.608</w:t>
            </w:r>
            <w:r w:rsidR="005C0C22" w:rsidRPr="001C1D37">
              <w:rPr>
                <w:sz w:val="22"/>
                <w:szCs w:val="22"/>
              </w:rPr>
              <w:t xml:space="preserve"> (</w:t>
            </w:r>
            <w:r w:rsidRPr="001C1D37">
              <w:rPr>
                <w:sz w:val="22"/>
                <w:szCs w:val="22"/>
              </w:rPr>
              <w:t>0.040</w:t>
            </w:r>
            <w:r w:rsidR="005C0C22" w:rsidRPr="001C1D37">
              <w:rPr>
                <w:sz w:val="22"/>
                <w:szCs w:val="22"/>
              </w:rPr>
              <w:t>)</w:t>
            </w:r>
          </w:p>
        </w:tc>
        <w:tc>
          <w:tcPr>
            <w:tcW w:w="2410" w:type="dxa"/>
            <w:tcBorders>
              <w:top w:val="single" w:sz="12" w:space="0" w:color="auto"/>
              <w:right w:val="nil"/>
            </w:tcBorders>
            <w:shd w:val="clear" w:color="auto" w:fill="auto"/>
            <w:noWrap/>
            <w:vAlign w:val="bottom"/>
          </w:tcPr>
          <w:p w:rsidR="005C0C22" w:rsidRPr="001C1D37" w:rsidRDefault="00781548" w:rsidP="001C1D37">
            <w:pPr>
              <w:jc w:val="center"/>
              <w:rPr>
                <w:sz w:val="22"/>
                <w:szCs w:val="22"/>
              </w:rPr>
            </w:pPr>
            <w:r w:rsidRPr="001C1D37">
              <w:rPr>
                <w:sz w:val="22"/>
                <w:szCs w:val="22"/>
              </w:rPr>
              <w:t>0.622</w:t>
            </w:r>
            <w:r w:rsidR="005C0C22" w:rsidRPr="001C1D37">
              <w:rPr>
                <w:sz w:val="22"/>
                <w:szCs w:val="22"/>
              </w:rPr>
              <w:t xml:space="preserve"> (0.037)</w:t>
            </w:r>
          </w:p>
        </w:tc>
      </w:tr>
      <w:tr w:rsidR="001C1D37" w:rsidRPr="001C1D37" w:rsidTr="00DC7038">
        <w:trPr>
          <w:trHeight w:hRule="exact" w:val="284"/>
        </w:trPr>
        <w:tc>
          <w:tcPr>
            <w:tcW w:w="2000" w:type="dxa"/>
            <w:tcBorders>
              <w:left w:val="nil"/>
              <w:right w:val="single" w:sz="4" w:space="0" w:color="auto"/>
            </w:tcBorders>
            <w:shd w:val="clear" w:color="auto" w:fill="auto"/>
            <w:noWrap/>
            <w:vAlign w:val="center"/>
            <w:hideMark/>
          </w:tcPr>
          <w:p w:rsidR="00781548" w:rsidRPr="001C1D37" w:rsidRDefault="00781548" w:rsidP="001C1D37">
            <w:pPr>
              <w:jc w:val="center"/>
              <w:rPr>
                <w:sz w:val="22"/>
                <w:szCs w:val="22"/>
                <w:lang w:eastAsia="en-GB"/>
              </w:rPr>
            </w:pPr>
            <w:r w:rsidRPr="001C1D37">
              <w:rPr>
                <w:sz w:val="22"/>
                <w:szCs w:val="22"/>
                <w:lang w:eastAsia="en-GB"/>
              </w:rPr>
              <w:t>48</w:t>
            </w:r>
          </w:p>
        </w:tc>
        <w:tc>
          <w:tcPr>
            <w:tcW w:w="2126" w:type="dxa"/>
            <w:shd w:val="clear" w:color="auto" w:fill="auto"/>
            <w:noWrap/>
            <w:vAlign w:val="bottom"/>
          </w:tcPr>
          <w:p w:rsidR="00781548" w:rsidRPr="001C1D37" w:rsidRDefault="00781548" w:rsidP="001C1D37">
            <w:pPr>
              <w:jc w:val="center"/>
              <w:rPr>
                <w:sz w:val="22"/>
                <w:szCs w:val="22"/>
              </w:rPr>
            </w:pPr>
            <w:r w:rsidRPr="001C1D37">
              <w:rPr>
                <w:sz w:val="22"/>
                <w:szCs w:val="22"/>
              </w:rPr>
              <w:t>0.618 (0.051)</w:t>
            </w:r>
          </w:p>
        </w:tc>
        <w:tc>
          <w:tcPr>
            <w:tcW w:w="2268" w:type="dxa"/>
            <w:shd w:val="clear" w:color="auto" w:fill="auto"/>
            <w:noWrap/>
            <w:vAlign w:val="bottom"/>
          </w:tcPr>
          <w:p w:rsidR="00781548" w:rsidRPr="001C1D37" w:rsidRDefault="00781548" w:rsidP="001C1D37">
            <w:pPr>
              <w:jc w:val="center"/>
              <w:rPr>
                <w:sz w:val="22"/>
                <w:szCs w:val="22"/>
              </w:rPr>
            </w:pPr>
            <w:r w:rsidRPr="001C1D37">
              <w:rPr>
                <w:sz w:val="22"/>
                <w:szCs w:val="22"/>
              </w:rPr>
              <w:t>0.585</w:t>
            </w:r>
            <w:r w:rsidR="005C0C22" w:rsidRPr="001C1D37">
              <w:rPr>
                <w:sz w:val="22"/>
                <w:szCs w:val="22"/>
              </w:rPr>
              <w:t xml:space="preserve"> (</w:t>
            </w:r>
            <w:r w:rsidRPr="001C1D37">
              <w:rPr>
                <w:sz w:val="22"/>
                <w:szCs w:val="22"/>
              </w:rPr>
              <w:t>0.041</w:t>
            </w:r>
            <w:r w:rsidR="005C0C22" w:rsidRPr="001C1D37">
              <w:rPr>
                <w:sz w:val="22"/>
                <w:szCs w:val="22"/>
              </w:rPr>
              <w:t>)</w:t>
            </w:r>
          </w:p>
        </w:tc>
        <w:tc>
          <w:tcPr>
            <w:tcW w:w="2410" w:type="dxa"/>
            <w:tcBorders>
              <w:right w:val="nil"/>
            </w:tcBorders>
            <w:shd w:val="clear" w:color="auto" w:fill="auto"/>
            <w:noWrap/>
            <w:vAlign w:val="bottom"/>
          </w:tcPr>
          <w:p w:rsidR="005C0C22" w:rsidRPr="001C1D37" w:rsidRDefault="00781548" w:rsidP="001C1D37">
            <w:pPr>
              <w:jc w:val="center"/>
              <w:rPr>
                <w:sz w:val="22"/>
                <w:szCs w:val="22"/>
              </w:rPr>
            </w:pPr>
            <w:r w:rsidRPr="001C1D37">
              <w:rPr>
                <w:sz w:val="22"/>
                <w:szCs w:val="22"/>
              </w:rPr>
              <w:t>0.597</w:t>
            </w:r>
            <w:r w:rsidR="005C0C22" w:rsidRPr="001C1D37">
              <w:rPr>
                <w:sz w:val="22"/>
                <w:szCs w:val="22"/>
              </w:rPr>
              <w:t xml:space="preserve"> (0.042)</w:t>
            </w:r>
          </w:p>
        </w:tc>
      </w:tr>
      <w:tr w:rsidR="001C1D37" w:rsidRPr="001C1D37" w:rsidTr="00DC7038">
        <w:trPr>
          <w:trHeight w:hRule="exact" w:val="284"/>
        </w:trPr>
        <w:tc>
          <w:tcPr>
            <w:tcW w:w="2000" w:type="dxa"/>
            <w:tcBorders>
              <w:left w:val="nil"/>
              <w:right w:val="single" w:sz="4" w:space="0" w:color="auto"/>
            </w:tcBorders>
            <w:shd w:val="clear" w:color="auto" w:fill="auto"/>
            <w:noWrap/>
            <w:vAlign w:val="center"/>
            <w:hideMark/>
          </w:tcPr>
          <w:p w:rsidR="00781548" w:rsidRPr="001C1D37" w:rsidRDefault="00781548" w:rsidP="001C1D37">
            <w:pPr>
              <w:jc w:val="center"/>
              <w:rPr>
                <w:sz w:val="22"/>
                <w:szCs w:val="22"/>
                <w:lang w:eastAsia="en-GB"/>
              </w:rPr>
            </w:pPr>
            <w:r w:rsidRPr="001C1D37">
              <w:rPr>
                <w:sz w:val="22"/>
                <w:szCs w:val="22"/>
                <w:lang w:eastAsia="en-GB"/>
              </w:rPr>
              <w:t>72</w:t>
            </w:r>
          </w:p>
        </w:tc>
        <w:tc>
          <w:tcPr>
            <w:tcW w:w="2126" w:type="dxa"/>
            <w:shd w:val="clear" w:color="auto" w:fill="auto"/>
            <w:noWrap/>
            <w:vAlign w:val="bottom"/>
          </w:tcPr>
          <w:p w:rsidR="00781548" w:rsidRPr="001C1D37" w:rsidRDefault="00781548" w:rsidP="001C1D37">
            <w:pPr>
              <w:jc w:val="center"/>
              <w:rPr>
                <w:sz w:val="22"/>
                <w:szCs w:val="22"/>
              </w:rPr>
            </w:pPr>
            <w:r w:rsidRPr="001C1D37">
              <w:rPr>
                <w:sz w:val="22"/>
                <w:szCs w:val="22"/>
              </w:rPr>
              <w:t>0.598 (0.056)</w:t>
            </w:r>
          </w:p>
        </w:tc>
        <w:tc>
          <w:tcPr>
            <w:tcW w:w="2268" w:type="dxa"/>
            <w:shd w:val="clear" w:color="auto" w:fill="auto"/>
            <w:noWrap/>
            <w:vAlign w:val="bottom"/>
          </w:tcPr>
          <w:p w:rsidR="00781548" w:rsidRPr="001C1D37" w:rsidRDefault="00781548" w:rsidP="001C1D37">
            <w:pPr>
              <w:jc w:val="center"/>
              <w:rPr>
                <w:sz w:val="22"/>
                <w:szCs w:val="22"/>
              </w:rPr>
            </w:pPr>
            <w:r w:rsidRPr="001C1D37">
              <w:rPr>
                <w:sz w:val="22"/>
                <w:szCs w:val="22"/>
              </w:rPr>
              <w:t>0.576</w:t>
            </w:r>
            <w:r w:rsidR="005C0C22" w:rsidRPr="001C1D37">
              <w:rPr>
                <w:sz w:val="22"/>
                <w:szCs w:val="22"/>
              </w:rPr>
              <w:t xml:space="preserve"> (</w:t>
            </w:r>
            <w:r w:rsidRPr="001C1D37">
              <w:rPr>
                <w:sz w:val="22"/>
                <w:szCs w:val="22"/>
              </w:rPr>
              <w:t>0.046</w:t>
            </w:r>
            <w:r w:rsidR="005C0C22" w:rsidRPr="001C1D37">
              <w:rPr>
                <w:sz w:val="22"/>
                <w:szCs w:val="22"/>
              </w:rPr>
              <w:t>)</w:t>
            </w:r>
          </w:p>
        </w:tc>
        <w:tc>
          <w:tcPr>
            <w:tcW w:w="2410" w:type="dxa"/>
            <w:tcBorders>
              <w:right w:val="nil"/>
            </w:tcBorders>
            <w:shd w:val="clear" w:color="auto" w:fill="auto"/>
            <w:noWrap/>
            <w:vAlign w:val="bottom"/>
          </w:tcPr>
          <w:p w:rsidR="005C0C22" w:rsidRPr="001C1D37" w:rsidRDefault="00781548" w:rsidP="001C1D37">
            <w:pPr>
              <w:jc w:val="center"/>
              <w:rPr>
                <w:sz w:val="22"/>
                <w:szCs w:val="22"/>
              </w:rPr>
            </w:pPr>
            <w:r w:rsidRPr="001C1D37">
              <w:rPr>
                <w:sz w:val="22"/>
                <w:szCs w:val="22"/>
              </w:rPr>
              <w:t>0.576</w:t>
            </w:r>
            <w:r w:rsidR="005C0C22" w:rsidRPr="001C1D37">
              <w:rPr>
                <w:sz w:val="22"/>
                <w:szCs w:val="22"/>
              </w:rPr>
              <w:t xml:space="preserve"> (0.046)</w:t>
            </w:r>
          </w:p>
        </w:tc>
      </w:tr>
      <w:tr w:rsidR="001C1D37" w:rsidRPr="001C1D37" w:rsidTr="00DC7038">
        <w:trPr>
          <w:trHeight w:hRule="exact" w:val="284"/>
        </w:trPr>
        <w:tc>
          <w:tcPr>
            <w:tcW w:w="2000" w:type="dxa"/>
            <w:tcBorders>
              <w:left w:val="nil"/>
              <w:bottom w:val="single" w:sz="4" w:space="0" w:color="auto"/>
              <w:right w:val="single" w:sz="4" w:space="0" w:color="auto"/>
            </w:tcBorders>
            <w:shd w:val="clear" w:color="auto" w:fill="auto"/>
            <w:noWrap/>
            <w:vAlign w:val="center"/>
            <w:hideMark/>
          </w:tcPr>
          <w:p w:rsidR="00781548" w:rsidRPr="001C1D37" w:rsidRDefault="00781548" w:rsidP="001C1D37">
            <w:pPr>
              <w:jc w:val="center"/>
              <w:rPr>
                <w:sz w:val="22"/>
                <w:szCs w:val="22"/>
                <w:lang w:eastAsia="en-GB"/>
              </w:rPr>
            </w:pPr>
            <w:r w:rsidRPr="001C1D37">
              <w:rPr>
                <w:sz w:val="22"/>
                <w:szCs w:val="22"/>
                <w:lang w:eastAsia="en-GB"/>
              </w:rPr>
              <w:t>96</w:t>
            </w:r>
          </w:p>
        </w:tc>
        <w:tc>
          <w:tcPr>
            <w:tcW w:w="2126" w:type="dxa"/>
            <w:tcBorders>
              <w:bottom w:val="single" w:sz="4" w:space="0" w:color="auto"/>
            </w:tcBorders>
            <w:shd w:val="clear" w:color="auto" w:fill="auto"/>
            <w:noWrap/>
            <w:vAlign w:val="bottom"/>
          </w:tcPr>
          <w:p w:rsidR="00781548" w:rsidRPr="001C1D37" w:rsidRDefault="00781548" w:rsidP="001C1D37">
            <w:pPr>
              <w:jc w:val="center"/>
              <w:rPr>
                <w:sz w:val="22"/>
                <w:szCs w:val="22"/>
              </w:rPr>
            </w:pPr>
            <w:r w:rsidRPr="001C1D37">
              <w:rPr>
                <w:sz w:val="22"/>
                <w:szCs w:val="22"/>
              </w:rPr>
              <w:t>0.562 (0.048)</w:t>
            </w:r>
          </w:p>
        </w:tc>
        <w:tc>
          <w:tcPr>
            <w:tcW w:w="2268" w:type="dxa"/>
            <w:tcBorders>
              <w:bottom w:val="single" w:sz="4" w:space="0" w:color="auto"/>
            </w:tcBorders>
            <w:shd w:val="clear" w:color="auto" w:fill="auto"/>
            <w:noWrap/>
            <w:vAlign w:val="bottom"/>
          </w:tcPr>
          <w:p w:rsidR="005C0C22" w:rsidRPr="001C1D37" w:rsidRDefault="00781548" w:rsidP="001C1D37">
            <w:pPr>
              <w:jc w:val="center"/>
              <w:rPr>
                <w:sz w:val="22"/>
                <w:szCs w:val="22"/>
              </w:rPr>
            </w:pPr>
            <w:r w:rsidRPr="001C1D37">
              <w:rPr>
                <w:sz w:val="22"/>
                <w:szCs w:val="22"/>
              </w:rPr>
              <w:t>0.550</w:t>
            </w:r>
            <w:r w:rsidR="005C0C22" w:rsidRPr="001C1D37">
              <w:rPr>
                <w:sz w:val="22"/>
                <w:szCs w:val="22"/>
              </w:rPr>
              <w:t xml:space="preserve"> (0.037)</w:t>
            </w:r>
          </w:p>
        </w:tc>
        <w:tc>
          <w:tcPr>
            <w:tcW w:w="2410" w:type="dxa"/>
            <w:tcBorders>
              <w:bottom w:val="single" w:sz="4" w:space="0" w:color="auto"/>
              <w:right w:val="nil"/>
            </w:tcBorders>
            <w:shd w:val="clear" w:color="auto" w:fill="auto"/>
            <w:noWrap/>
            <w:vAlign w:val="bottom"/>
          </w:tcPr>
          <w:p w:rsidR="005C0C22" w:rsidRPr="001C1D37" w:rsidRDefault="00781548" w:rsidP="001C1D37">
            <w:pPr>
              <w:jc w:val="center"/>
              <w:rPr>
                <w:sz w:val="22"/>
                <w:szCs w:val="22"/>
              </w:rPr>
            </w:pPr>
            <w:r w:rsidRPr="001C1D37">
              <w:rPr>
                <w:sz w:val="22"/>
                <w:szCs w:val="22"/>
              </w:rPr>
              <w:t>0.545</w:t>
            </w:r>
            <w:r w:rsidR="005C0C22" w:rsidRPr="001C1D37">
              <w:rPr>
                <w:sz w:val="22"/>
                <w:szCs w:val="22"/>
              </w:rPr>
              <w:t xml:space="preserve"> (0.041)</w:t>
            </w:r>
          </w:p>
        </w:tc>
      </w:tr>
      <w:tr w:rsidR="001C1D37" w:rsidRPr="001C1D37" w:rsidTr="00DC7038">
        <w:trPr>
          <w:trHeight w:hRule="exact" w:val="284"/>
        </w:trPr>
        <w:tc>
          <w:tcPr>
            <w:tcW w:w="2000" w:type="dxa"/>
            <w:tcBorders>
              <w:left w:val="nil"/>
              <w:bottom w:val="single" w:sz="12" w:space="0" w:color="auto"/>
              <w:right w:val="single" w:sz="4" w:space="0" w:color="auto"/>
            </w:tcBorders>
            <w:shd w:val="clear" w:color="auto" w:fill="auto"/>
            <w:noWrap/>
            <w:vAlign w:val="center"/>
            <w:hideMark/>
          </w:tcPr>
          <w:p w:rsidR="00781548" w:rsidRPr="001C1D37" w:rsidRDefault="00781548" w:rsidP="001C1D37">
            <w:pPr>
              <w:jc w:val="center"/>
              <w:rPr>
                <w:sz w:val="22"/>
                <w:szCs w:val="22"/>
                <w:lang w:eastAsia="en-GB"/>
              </w:rPr>
            </w:pPr>
            <w:r w:rsidRPr="001C1D37">
              <w:rPr>
                <w:sz w:val="22"/>
                <w:szCs w:val="22"/>
                <w:lang w:eastAsia="en-GB"/>
              </w:rPr>
              <w:t>120</w:t>
            </w:r>
          </w:p>
        </w:tc>
        <w:tc>
          <w:tcPr>
            <w:tcW w:w="2126" w:type="dxa"/>
            <w:tcBorders>
              <w:bottom w:val="single" w:sz="12" w:space="0" w:color="auto"/>
            </w:tcBorders>
            <w:shd w:val="clear" w:color="auto" w:fill="auto"/>
            <w:noWrap/>
            <w:vAlign w:val="bottom"/>
          </w:tcPr>
          <w:p w:rsidR="00781548" w:rsidRPr="001C1D37" w:rsidRDefault="00781548" w:rsidP="001C1D37">
            <w:pPr>
              <w:jc w:val="center"/>
              <w:rPr>
                <w:sz w:val="22"/>
                <w:szCs w:val="22"/>
              </w:rPr>
            </w:pPr>
            <w:r w:rsidRPr="001C1D37">
              <w:rPr>
                <w:sz w:val="22"/>
                <w:szCs w:val="22"/>
              </w:rPr>
              <w:t>0.561 (0.057)</w:t>
            </w:r>
          </w:p>
        </w:tc>
        <w:tc>
          <w:tcPr>
            <w:tcW w:w="2268" w:type="dxa"/>
            <w:tcBorders>
              <w:bottom w:val="single" w:sz="12" w:space="0" w:color="auto"/>
            </w:tcBorders>
            <w:shd w:val="clear" w:color="auto" w:fill="auto"/>
            <w:noWrap/>
            <w:vAlign w:val="bottom"/>
          </w:tcPr>
          <w:p w:rsidR="005C0C22" w:rsidRPr="001C1D37" w:rsidRDefault="00781548" w:rsidP="001C1D37">
            <w:pPr>
              <w:jc w:val="center"/>
              <w:rPr>
                <w:sz w:val="22"/>
                <w:szCs w:val="22"/>
              </w:rPr>
            </w:pPr>
            <w:r w:rsidRPr="001C1D37">
              <w:rPr>
                <w:sz w:val="22"/>
                <w:szCs w:val="22"/>
              </w:rPr>
              <w:t>0.545</w:t>
            </w:r>
            <w:r w:rsidR="005C0C22" w:rsidRPr="001C1D37">
              <w:rPr>
                <w:sz w:val="22"/>
                <w:szCs w:val="22"/>
              </w:rPr>
              <w:t xml:space="preserve"> (0.043)</w:t>
            </w:r>
          </w:p>
        </w:tc>
        <w:tc>
          <w:tcPr>
            <w:tcW w:w="2410" w:type="dxa"/>
            <w:tcBorders>
              <w:bottom w:val="single" w:sz="12" w:space="0" w:color="auto"/>
              <w:right w:val="nil"/>
            </w:tcBorders>
            <w:shd w:val="clear" w:color="auto" w:fill="auto"/>
            <w:noWrap/>
            <w:vAlign w:val="bottom"/>
          </w:tcPr>
          <w:p w:rsidR="005C0C22" w:rsidRPr="001C1D37" w:rsidRDefault="00781548" w:rsidP="001C1D37">
            <w:pPr>
              <w:jc w:val="center"/>
              <w:rPr>
                <w:sz w:val="22"/>
                <w:szCs w:val="22"/>
              </w:rPr>
            </w:pPr>
            <w:r w:rsidRPr="001C1D37">
              <w:rPr>
                <w:sz w:val="22"/>
                <w:szCs w:val="22"/>
              </w:rPr>
              <w:t>0.548</w:t>
            </w:r>
            <w:r w:rsidR="005C0C22" w:rsidRPr="001C1D37">
              <w:rPr>
                <w:sz w:val="22"/>
                <w:szCs w:val="22"/>
              </w:rPr>
              <w:t xml:space="preserve"> (0.048)</w:t>
            </w:r>
          </w:p>
        </w:tc>
      </w:tr>
      <w:tr w:rsidR="001C1D37" w:rsidRPr="001C1D37" w:rsidTr="005C0C22">
        <w:trPr>
          <w:trHeight w:val="425"/>
        </w:trPr>
        <w:tc>
          <w:tcPr>
            <w:tcW w:w="8804" w:type="dxa"/>
            <w:gridSpan w:val="4"/>
            <w:tcBorders>
              <w:top w:val="single" w:sz="12" w:space="0" w:color="auto"/>
              <w:left w:val="nil"/>
              <w:bottom w:val="single" w:sz="12" w:space="0" w:color="auto"/>
              <w:right w:val="nil"/>
            </w:tcBorders>
            <w:shd w:val="clear" w:color="auto" w:fill="auto"/>
            <w:noWrap/>
            <w:vAlign w:val="center"/>
          </w:tcPr>
          <w:p w:rsidR="00EC37D0" w:rsidRPr="001C1D37" w:rsidRDefault="00EC37D0" w:rsidP="001C1D37">
            <w:pPr>
              <w:rPr>
                <w:b/>
                <w:sz w:val="22"/>
                <w:szCs w:val="22"/>
              </w:rPr>
            </w:pPr>
            <w:proofErr w:type="spellStart"/>
            <w:r w:rsidRPr="001C1D37">
              <w:rPr>
                <w:rFonts w:eastAsiaTheme="minorEastAsia"/>
                <w:b/>
                <w:sz w:val="22"/>
                <w:szCs w:val="22"/>
              </w:rPr>
              <w:t>Etzioni</w:t>
            </w:r>
            <w:proofErr w:type="spellEnd"/>
            <w:r w:rsidRPr="001C1D37">
              <w:rPr>
                <w:rFonts w:eastAsiaTheme="minorEastAsia"/>
                <w:b/>
                <w:sz w:val="22"/>
                <w:szCs w:val="22"/>
              </w:rPr>
              <w:t xml:space="preserve"> et al (1999)[</w:t>
            </w:r>
            <w:r w:rsidR="002E4B25" w:rsidRPr="001C1D37">
              <w:rPr>
                <w:rFonts w:eastAsiaTheme="minorEastAsia"/>
                <w:b/>
                <w:sz w:val="22"/>
                <w:szCs w:val="22"/>
              </w:rPr>
              <w:t>6</w:t>
            </w:r>
            <w:r w:rsidRPr="001C1D37">
              <w:rPr>
                <w:rFonts w:eastAsiaTheme="minorEastAsia"/>
                <w:b/>
                <w:sz w:val="22"/>
                <w:szCs w:val="22"/>
              </w:rPr>
              <w:t xml:space="preserve">] </w:t>
            </w:r>
          </w:p>
        </w:tc>
      </w:tr>
      <w:tr w:rsidR="001C1D37" w:rsidRPr="001C1D37" w:rsidTr="00DC7038">
        <w:trPr>
          <w:trHeight w:hRule="exact" w:val="284"/>
        </w:trPr>
        <w:tc>
          <w:tcPr>
            <w:tcW w:w="2000" w:type="dxa"/>
            <w:tcBorders>
              <w:top w:val="single" w:sz="12" w:space="0" w:color="auto"/>
              <w:left w:val="nil"/>
              <w:right w:val="single" w:sz="4" w:space="0" w:color="auto"/>
            </w:tcBorders>
            <w:shd w:val="clear" w:color="auto" w:fill="auto"/>
            <w:noWrap/>
            <w:vAlign w:val="center"/>
            <w:hideMark/>
          </w:tcPr>
          <w:p w:rsidR="005C0C22" w:rsidRPr="001C1D37" w:rsidRDefault="005C0C22" w:rsidP="001C1D37">
            <w:pPr>
              <w:jc w:val="center"/>
              <w:rPr>
                <w:sz w:val="22"/>
                <w:szCs w:val="22"/>
                <w:lang w:eastAsia="en-GB"/>
              </w:rPr>
            </w:pPr>
            <w:r w:rsidRPr="001C1D37">
              <w:rPr>
                <w:sz w:val="22"/>
                <w:szCs w:val="22"/>
                <w:lang w:eastAsia="en-GB"/>
              </w:rPr>
              <w:t>24</w:t>
            </w:r>
          </w:p>
        </w:tc>
        <w:tc>
          <w:tcPr>
            <w:tcW w:w="2126" w:type="dxa"/>
            <w:tcBorders>
              <w:top w:val="single" w:sz="12" w:space="0" w:color="auto"/>
            </w:tcBorders>
            <w:shd w:val="clear" w:color="auto" w:fill="auto"/>
            <w:noWrap/>
            <w:vAlign w:val="bottom"/>
          </w:tcPr>
          <w:p w:rsidR="005C0C22" w:rsidRPr="001C1D37" w:rsidRDefault="005C0C22" w:rsidP="001C1D37">
            <w:pPr>
              <w:jc w:val="center"/>
              <w:rPr>
                <w:sz w:val="22"/>
                <w:szCs w:val="22"/>
              </w:rPr>
            </w:pPr>
            <w:r w:rsidRPr="001C1D37">
              <w:rPr>
                <w:sz w:val="22"/>
                <w:szCs w:val="22"/>
              </w:rPr>
              <w:t>0.629 (0.073)</w:t>
            </w:r>
          </w:p>
        </w:tc>
        <w:tc>
          <w:tcPr>
            <w:tcW w:w="2268" w:type="dxa"/>
            <w:tcBorders>
              <w:top w:val="single" w:sz="12" w:space="0" w:color="auto"/>
            </w:tcBorders>
            <w:shd w:val="clear" w:color="auto" w:fill="auto"/>
            <w:noWrap/>
            <w:vAlign w:val="bottom"/>
          </w:tcPr>
          <w:p w:rsidR="005C0C22" w:rsidRPr="001C1D37" w:rsidRDefault="005C0C22" w:rsidP="001C1D37">
            <w:pPr>
              <w:jc w:val="center"/>
              <w:rPr>
                <w:sz w:val="22"/>
                <w:szCs w:val="22"/>
              </w:rPr>
            </w:pPr>
            <w:r w:rsidRPr="001C1D37">
              <w:rPr>
                <w:sz w:val="22"/>
                <w:szCs w:val="22"/>
              </w:rPr>
              <w:t>0.595 (0.063)</w:t>
            </w:r>
          </w:p>
        </w:tc>
        <w:tc>
          <w:tcPr>
            <w:tcW w:w="2410" w:type="dxa"/>
            <w:tcBorders>
              <w:top w:val="single" w:sz="12" w:space="0" w:color="auto"/>
              <w:right w:val="nil"/>
            </w:tcBorders>
            <w:shd w:val="clear" w:color="auto" w:fill="auto"/>
            <w:noWrap/>
            <w:vAlign w:val="bottom"/>
          </w:tcPr>
          <w:p w:rsidR="005C0C22" w:rsidRPr="001C1D37" w:rsidRDefault="005C0C22" w:rsidP="001C1D37">
            <w:pPr>
              <w:jc w:val="center"/>
              <w:rPr>
                <w:sz w:val="22"/>
                <w:szCs w:val="22"/>
              </w:rPr>
            </w:pPr>
            <w:r w:rsidRPr="001C1D37">
              <w:rPr>
                <w:sz w:val="22"/>
                <w:szCs w:val="22"/>
              </w:rPr>
              <w:t>0.589 (0.062)</w:t>
            </w:r>
          </w:p>
        </w:tc>
      </w:tr>
      <w:tr w:rsidR="001C1D37" w:rsidRPr="001C1D37" w:rsidTr="00DC7038">
        <w:trPr>
          <w:trHeight w:hRule="exact" w:val="284"/>
        </w:trPr>
        <w:tc>
          <w:tcPr>
            <w:tcW w:w="2000" w:type="dxa"/>
            <w:tcBorders>
              <w:left w:val="nil"/>
              <w:right w:val="single" w:sz="4" w:space="0" w:color="auto"/>
            </w:tcBorders>
            <w:shd w:val="clear" w:color="auto" w:fill="auto"/>
            <w:noWrap/>
            <w:vAlign w:val="center"/>
            <w:hideMark/>
          </w:tcPr>
          <w:p w:rsidR="005C0C22" w:rsidRPr="001C1D37" w:rsidRDefault="005C0C22" w:rsidP="001C1D37">
            <w:pPr>
              <w:jc w:val="center"/>
              <w:rPr>
                <w:sz w:val="22"/>
                <w:szCs w:val="22"/>
                <w:lang w:eastAsia="en-GB"/>
              </w:rPr>
            </w:pPr>
            <w:r w:rsidRPr="001C1D37">
              <w:rPr>
                <w:sz w:val="22"/>
                <w:szCs w:val="22"/>
                <w:lang w:eastAsia="en-GB"/>
              </w:rPr>
              <w:t>48</w:t>
            </w:r>
          </w:p>
        </w:tc>
        <w:tc>
          <w:tcPr>
            <w:tcW w:w="2126" w:type="dxa"/>
            <w:shd w:val="clear" w:color="auto" w:fill="auto"/>
            <w:noWrap/>
            <w:vAlign w:val="bottom"/>
          </w:tcPr>
          <w:p w:rsidR="005C0C22" w:rsidRPr="001C1D37" w:rsidRDefault="005C0C22" w:rsidP="001C1D37">
            <w:pPr>
              <w:jc w:val="center"/>
              <w:rPr>
                <w:sz w:val="22"/>
                <w:szCs w:val="22"/>
              </w:rPr>
            </w:pPr>
            <w:r w:rsidRPr="001C1D37">
              <w:rPr>
                <w:sz w:val="22"/>
                <w:szCs w:val="22"/>
              </w:rPr>
              <w:t>0.636 (0.071)</w:t>
            </w:r>
          </w:p>
        </w:tc>
        <w:tc>
          <w:tcPr>
            <w:tcW w:w="2268" w:type="dxa"/>
            <w:shd w:val="clear" w:color="auto" w:fill="auto"/>
            <w:noWrap/>
            <w:vAlign w:val="bottom"/>
          </w:tcPr>
          <w:p w:rsidR="005C0C22" w:rsidRPr="001C1D37" w:rsidRDefault="005C0C22" w:rsidP="001C1D37">
            <w:pPr>
              <w:jc w:val="center"/>
              <w:rPr>
                <w:sz w:val="22"/>
                <w:szCs w:val="22"/>
              </w:rPr>
            </w:pPr>
            <w:r w:rsidRPr="001C1D37">
              <w:rPr>
                <w:sz w:val="22"/>
                <w:szCs w:val="22"/>
              </w:rPr>
              <w:t>0.590 (0.060)</w:t>
            </w:r>
          </w:p>
        </w:tc>
        <w:tc>
          <w:tcPr>
            <w:tcW w:w="2410" w:type="dxa"/>
            <w:tcBorders>
              <w:right w:val="nil"/>
            </w:tcBorders>
            <w:shd w:val="clear" w:color="auto" w:fill="auto"/>
            <w:noWrap/>
            <w:vAlign w:val="bottom"/>
          </w:tcPr>
          <w:p w:rsidR="005C0C22" w:rsidRPr="001C1D37" w:rsidRDefault="005C0C22" w:rsidP="001C1D37">
            <w:pPr>
              <w:jc w:val="center"/>
              <w:rPr>
                <w:sz w:val="22"/>
                <w:szCs w:val="22"/>
              </w:rPr>
            </w:pPr>
            <w:r w:rsidRPr="001C1D37">
              <w:rPr>
                <w:sz w:val="22"/>
                <w:szCs w:val="22"/>
              </w:rPr>
              <w:t>0.605 (0.064)</w:t>
            </w:r>
          </w:p>
        </w:tc>
      </w:tr>
      <w:tr w:rsidR="001C1D37" w:rsidRPr="001C1D37" w:rsidTr="00DC7038">
        <w:trPr>
          <w:trHeight w:hRule="exact" w:val="284"/>
        </w:trPr>
        <w:tc>
          <w:tcPr>
            <w:tcW w:w="2000" w:type="dxa"/>
            <w:tcBorders>
              <w:left w:val="nil"/>
              <w:right w:val="single" w:sz="4" w:space="0" w:color="auto"/>
            </w:tcBorders>
            <w:shd w:val="clear" w:color="auto" w:fill="auto"/>
            <w:noWrap/>
            <w:vAlign w:val="center"/>
            <w:hideMark/>
          </w:tcPr>
          <w:p w:rsidR="005C0C22" w:rsidRPr="001C1D37" w:rsidRDefault="005C0C22" w:rsidP="001C1D37">
            <w:pPr>
              <w:jc w:val="center"/>
              <w:rPr>
                <w:sz w:val="22"/>
                <w:szCs w:val="22"/>
                <w:lang w:eastAsia="en-GB"/>
              </w:rPr>
            </w:pPr>
            <w:r w:rsidRPr="001C1D37">
              <w:rPr>
                <w:sz w:val="22"/>
                <w:szCs w:val="22"/>
                <w:lang w:eastAsia="en-GB"/>
              </w:rPr>
              <w:t>72</w:t>
            </w:r>
          </w:p>
        </w:tc>
        <w:tc>
          <w:tcPr>
            <w:tcW w:w="2126" w:type="dxa"/>
            <w:shd w:val="clear" w:color="auto" w:fill="auto"/>
            <w:noWrap/>
            <w:vAlign w:val="bottom"/>
          </w:tcPr>
          <w:p w:rsidR="005C0C22" w:rsidRPr="001C1D37" w:rsidRDefault="005C0C22" w:rsidP="001C1D37">
            <w:pPr>
              <w:jc w:val="center"/>
              <w:rPr>
                <w:sz w:val="22"/>
                <w:szCs w:val="22"/>
              </w:rPr>
            </w:pPr>
            <w:r w:rsidRPr="001C1D37">
              <w:rPr>
                <w:sz w:val="22"/>
                <w:szCs w:val="22"/>
              </w:rPr>
              <w:t>0.643 (0.076)</w:t>
            </w:r>
          </w:p>
        </w:tc>
        <w:tc>
          <w:tcPr>
            <w:tcW w:w="2268" w:type="dxa"/>
            <w:shd w:val="clear" w:color="auto" w:fill="auto"/>
            <w:noWrap/>
            <w:vAlign w:val="bottom"/>
          </w:tcPr>
          <w:p w:rsidR="005C0C22" w:rsidRPr="001C1D37" w:rsidRDefault="005C0C22" w:rsidP="001C1D37">
            <w:pPr>
              <w:jc w:val="center"/>
              <w:rPr>
                <w:sz w:val="22"/>
                <w:szCs w:val="22"/>
              </w:rPr>
            </w:pPr>
            <w:r w:rsidRPr="001C1D37">
              <w:rPr>
                <w:sz w:val="22"/>
                <w:szCs w:val="22"/>
              </w:rPr>
              <w:t>0.593 (0.061)</w:t>
            </w:r>
          </w:p>
        </w:tc>
        <w:tc>
          <w:tcPr>
            <w:tcW w:w="2410" w:type="dxa"/>
            <w:tcBorders>
              <w:right w:val="nil"/>
            </w:tcBorders>
            <w:shd w:val="clear" w:color="auto" w:fill="auto"/>
            <w:noWrap/>
            <w:vAlign w:val="bottom"/>
          </w:tcPr>
          <w:p w:rsidR="005C0C22" w:rsidRPr="001C1D37" w:rsidRDefault="005C0C22" w:rsidP="001C1D37">
            <w:pPr>
              <w:jc w:val="center"/>
              <w:rPr>
                <w:sz w:val="22"/>
                <w:szCs w:val="22"/>
              </w:rPr>
            </w:pPr>
            <w:r w:rsidRPr="001C1D37">
              <w:rPr>
                <w:sz w:val="22"/>
                <w:szCs w:val="22"/>
              </w:rPr>
              <w:t>0.612 (0.071)</w:t>
            </w:r>
          </w:p>
        </w:tc>
      </w:tr>
      <w:tr w:rsidR="001C1D37" w:rsidRPr="001C1D37" w:rsidTr="00DC7038">
        <w:trPr>
          <w:trHeight w:hRule="exact" w:val="284"/>
        </w:trPr>
        <w:tc>
          <w:tcPr>
            <w:tcW w:w="2000" w:type="dxa"/>
            <w:tcBorders>
              <w:left w:val="nil"/>
              <w:bottom w:val="single" w:sz="4" w:space="0" w:color="auto"/>
              <w:right w:val="single" w:sz="4" w:space="0" w:color="auto"/>
            </w:tcBorders>
            <w:shd w:val="clear" w:color="auto" w:fill="auto"/>
            <w:noWrap/>
            <w:vAlign w:val="center"/>
            <w:hideMark/>
          </w:tcPr>
          <w:p w:rsidR="005C0C22" w:rsidRPr="001C1D37" w:rsidRDefault="005C0C22" w:rsidP="001C1D37">
            <w:pPr>
              <w:jc w:val="center"/>
              <w:rPr>
                <w:sz w:val="22"/>
                <w:szCs w:val="22"/>
                <w:lang w:eastAsia="en-GB"/>
              </w:rPr>
            </w:pPr>
            <w:r w:rsidRPr="001C1D37">
              <w:rPr>
                <w:sz w:val="22"/>
                <w:szCs w:val="22"/>
                <w:lang w:eastAsia="en-GB"/>
              </w:rPr>
              <w:lastRenderedPageBreak/>
              <w:t>96</w:t>
            </w:r>
          </w:p>
        </w:tc>
        <w:tc>
          <w:tcPr>
            <w:tcW w:w="2126" w:type="dxa"/>
            <w:tcBorders>
              <w:bottom w:val="single" w:sz="4" w:space="0" w:color="auto"/>
            </w:tcBorders>
            <w:shd w:val="clear" w:color="auto" w:fill="auto"/>
            <w:noWrap/>
            <w:vAlign w:val="bottom"/>
          </w:tcPr>
          <w:p w:rsidR="005C0C22" w:rsidRPr="001C1D37" w:rsidRDefault="005C0C22" w:rsidP="001C1D37">
            <w:pPr>
              <w:jc w:val="center"/>
              <w:rPr>
                <w:sz w:val="22"/>
                <w:szCs w:val="22"/>
              </w:rPr>
            </w:pPr>
            <w:r w:rsidRPr="001C1D37">
              <w:rPr>
                <w:sz w:val="22"/>
                <w:szCs w:val="22"/>
              </w:rPr>
              <w:t>0.649 (0.086)</w:t>
            </w:r>
          </w:p>
        </w:tc>
        <w:tc>
          <w:tcPr>
            <w:tcW w:w="2268" w:type="dxa"/>
            <w:tcBorders>
              <w:bottom w:val="single" w:sz="4" w:space="0" w:color="auto"/>
            </w:tcBorders>
            <w:shd w:val="clear" w:color="auto" w:fill="auto"/>
            <w:noWrap/>
            <w:vAlign w:val="bottom"/>
          </w:tcPr>
          <w:p w:rsidR="005C0C22" w:rsidRPr="001C1D37" w:rsidRDefault="005C0C22" w:rsidP="001C1D37">
            <w:pPr>
              <w:jc w:val="center"/>
              <w:rPr>
                <w:sz w:val="22"/>
                <w:szCs w:val="22"/>
              </w:rPr>
            </w:pPr>
            <w:r w:rsidRPr="001C1D37">
              <w:rPr>
                <w:sz w:val="22"/>
                <w:szCs w:val="22"/>
              </w:rPr>
              <w:t>0.594 (0.067)</w:t>
            </w:r>
          </w:p>
        </w:tc>
        <w:tc>
          <w:tcPr>
            <w:tcW w:w="2410" w:type="dxa"/>
            <w:tcBorders>
              <w:bottom w:val="single" w:sz="4" w:space="0" w:color="auto"/>
              <w:right w:val="nil"/>
            </w:tcBorders>
            <w:shd w:val="clear" w:color="auto" w:fill="auto"/>
            <w:noWrap/>
            <w:vAlign w:val="bottom"/>
          </w:tcPr>
          <w:p w:rsidR="005C0C22" w:rsidRPr="001C1D37" w:rsidRDefault="005C0C22" w:rsidP="001C1D37">
            <w:pPr>
              <w:jc w:val="center"/>
              <w:rPr>
                <w:sz w:val="22"/>
                <w:szCs w:val="22"/>
              </w:rPr>
            </w:pPr>
            <w:r w:rsidRPr="001C1D37">
              <w:rPr>
                <w:sz w:val="22"/>
                <w:szCs w:val="22"/>
              </w:rPr>
              <w:t>0.620 (0.080)</w:t>
            </w:r>
          </w:p>
        </w:tc>
      </w:tr>
      <w:tr w:rsidR="001C1D37" w:rsidRPr="001C1D37" w:rsidTr="00DC7038">
        <w:trPr>
          <w:trHeight w:hRule="exact" w:val="284"/>
        </w:trPr>
        <w:tc>
          <w:tcPr>
            <w:tcW w:w="2000" w:type="dxa"/>
            <w:tcBorders>
              <w:left w:val="nil"/>
              <w:bottom w:val="single" w:sz="12" w:space="0" w:color="auto"/>
              <w:right w:val="single" w:sz="4" w:space="0" w:color="auto"/>
            </w:tcBorders>
            <w:shd w:val="clear" w:color="auto" w:fill="auto"/>
            <w:noWrap/>
            <w:vAlign w:val="center"/>
            <w:hideMark/>
          </w:tcPr>
          <w:p w:rsidR="005C0C22" w:rsidRPr="001C1D37" w:rsidRDefault="005C0C22" w:rsidP="001C1D37">
            <w:pPr>
              <w:jc w:val="center"/>
              <w:rPr>
                <w:sz w:val="22"/>
                <w:szCs w:val="22"/>
                <w:lang w:eastAsia="en-GB"/>
              </w:rPr>
            </w:pPr>
            <w:r w:rsidRPr="001C1D37">
              <w:rPr>
                <w:sz w:val="22"/>
                <w:szCs w:val="22"/>
                <w:lang w:eastAsia="en-GB"/>
              </w:rPr>
              <w:t>120</w:t>
            </w:r>
          </w:p>
        </w:tc>
        <w:tc>
          <w:tcPr>
            <w:tcW w:w="2126" w:type="dxa"/>
            <w:tcBorders>
              <w:bottom w:val="single" w:sz="12" w:space="0" w:color="auto"/>
            </w:tcBorders>
            <w:shd w:val="clear" w:color="auto" w:fill="auto"/>
            <w:noWrap/>
            <w:vAlign w:val="bottom"/>
          </w:tcPr>
          <w:p w:rsidR="005C0C22" w:rsidRPr="001C1D37" w:rsidRDefault="005C0C22" w:rsidP="001C1D37">
            <w:pPr>
              <w:jc w:val="center"/>
              <w:rPr>
                <w:sz w:val="22"/>
                <w:szCs w:val="22"/>
              </w:rPr>
            </w:pPr>
            <w:r w:rsidRPr="001C1D37">
              <w:rPr>
                <w:sz w:val="22"/>
                <w:szCs w:val="22"/>
              </w:rPr>
              <w:t>0.653 (0.100)</w:t>
            </w:r>
          </w:p>
        </w:tc>
        <w:tc>
          <w:tcPr>
            <w:tcW w:w="2268" w:type="dxa"/>
            <w:tcBorders>
              <w:bottom w:val="single" w:sz="12" w:space="0" w:color="auto"/>
            </w:tcBorders>
            <w:shd w:val="clear" w:color="auto" w:fill="auto"/>
            <w:noWrap/>
            <w:vAlign w:val="bottom"/>
          </w:tcPr>
          <w:p w:rsidR="005C0C22" w:rsidRPr="001C1D37" w:rsidRDefault="005C0C22" w:rsidP="001C1D37">
            <w:pPr>
              <w:jc w:val="center"/>
              <w:rPr>
                <w:sz w:val="22"/>
                <w:szCs w:val="22"/>
              </w:rPr>
            </w:pPr>
            <w:r w:rsidRPr="001C1D37">
              <w:rPr>
                <w:sz w:val="22"/>
                <w:szCs w:val="22"/>
              </w:rPr>
              <w:t>0.600 (0.077)</w:t>
            </w:r>
          </w:p>
        </w:tc>
        <w:tc>
          <w:tcPr>
            <w:tcW w:w="2410" w:type="dxa"/>
            <w:tcBorders>
              <w:bottom w:val="single" w:sz="12" w:space="0" w:color="auto"/>
              <w:right w:val="nil"/>
            </w:tcBorders>
            <w:shd w:val="clear" w:color="auto" w:fill="auto"/>
            <w:noWrap/>
            <w:vAlign w:val="bottom"/>
          </w:tcPr>
          <w:p w:rsidR="005C0C22" w:rsidRPr="001C1D37" w:rsidRDefault="005C0C22" w:rsidP="001C1D37">
            <w:pPr>
              <w:jc w:val="center"/>
              <w:rPr>
                <w:sz w:val="22"/>
                <w:szCs w:val="22"/>
              </w:rPr>
            </w:pPr>
            <w:r w:rsidRPr="001C1D37">
              <w:rPr>
                <w:sz w:val="22"/>
                <w:szCs w:val="22"/>
              </w:rPr>
              <w:t>0.620 (0.091)</w:t>
            </w:r>
          </w:p>
        </w:tc>
      </w:tr>
    </w:tbl>
    <w:p w:rsidR="00E458E1" w:rsidRPr="001C1D37" w:rsidRDefault="008B5887" w:rsidP="001C1D37">
      <w:pPr>
        <w:jc w:val="both"/>
        <w:rPr>
          <w:i/>
          <w:sz w:val="20"/>
          <w:szCs w:val="20"/>
        </w:rPr>
      </w:pPr>
      <w:r w:rsidRPr="001C1D37">
        <w:rPr>
          <w:sz w:val="20"/>
          <w:szCs w:val="20"/>
        </w:rPr>
        <w:t>‡</w:t>
      </w:r>
      <w:r w:rsidR="00E458E1" w:rsidRPr="001C1D37">
        <w:rPr>
          <w:i/>
          <w:sz w:val="20"/>
          <w:szCs w:val="20"/>
        </w:rPr>
        <w:t xml:space="preserve"> Sensitivities and specificities are derived at the optimum probability threshold.</w:t>
      </w:r>
    </w:p>
    <w:p w:rsidR="001C1D37" w:rsidRDefault="001C1D37" w:rsidP="001C1D37">
      <w:pPr>
        <w:rPr>
          <w:i/>
          <w:sz w:val="20"/>
          <w:szCs w:val="20"/>
        </w:rPr>
      </w:pPr>
      <w:r>
        <w:rPr>
          <w:i/>
          <w:sz w:val="20"/>
          <w:szCs w:val="20"/>
        </w:rPr>
        <w:br w:type="page"/>
      </w:r>
    </w:p>
    <w:p w:rsidR="001C1D37" w:rsidRDefault="001C1D37" w:rsidP="001C1D37">
      <w:pPr>
        <w:rPr>
          <w:noProof/>
          <w:lang w:eastAsia="en-GB"/>
        </w:rPr>
      </w:pPr>
      <w:r>
        <w:rPr>
          <w:noProof/>
          <w:lang w:eastAsia="en-GB"/>
        </w:rPr>
        <w:lastRenderedPageBreak/>
        <w:drawing>
          <wp:inline distT="0" distB="0" distL="0" distR="0" wp14:anchorId="4FFC0B26" wp14:editId="13449F07">
            <wp:extent cx="5731510" cy="3821007"/>
            <wp:effectExtent l="0" t="0" r="2540" b="8255"/>
            <wp:docPr id="3" name="Picture 3" descr="Z:\Ruwanthi\Working-Papers\JointROC\Figure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uwanthi\Working-Papers\JointROC\Figure 1.ti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1C1D37" w:rsidRDefault="001C1D37" w:rsidP="001C1D37">
      <w:pPr>
        <w:rPr>
          <w:noProof/>
          <w:lang w:eastAsia="en-GB"/>
        </w:rPr>
      </w:pPr>
      <w:r>
        <w:rPr>
          <w:noProof/>
          <w:lang w:eastAsia="en-GB"/>
        </w:rPr>
        <w:t>Figure 1. Observed mean profiles of aPTT LT18 measured over (0,t) for (a) cases (had sepsis onset prior to or at time t) and (b) controls (free of sepsis at time t) where t = 24, 48, 72, 96, 120, 144, 168 hours.</w:t>
      </w:r>
    </w:p>
    <w:p w:rsidR="001C1D37" w:rsidRDefault="001C1D37" w:rsidP="001C1D37">
      <w:pPr>
        <w:rPr>
          <w:noProof/>
          <w:lang w:eastAsia="en-GB"/>
        </w:rPr>
      </w:pPr>
      <w:r>
        <w:rPr>
          <w:noProof/>
          <w:lang w:eastAsia="en-GB"/>
        </w:rPr>
        <w:lastRenderedPageBreak/>
        <w:drawing>
          <wp:inline distT="0" distB="0" distL="0" distR="0" wp14:anchorId="4A958A70" wp14:editId="65ECBBAF">
            <wp:extent cx="5731510" cy="5731510"/>
            <wp:effectExtent l="0" t="0" r="2540" b="2540"/>
            <wp:docPr id="2" name="Picture 2" descr="Z:\Ruwanthi\Working-Papers\JointROC\Figure 2REV.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uwanthi\Working-Papers\JointROC\Figure 2REV.tif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1C1D37" w:rsidRDefault="001C1D37" w:rsidP="001C1D37">
      <w:pPr>
        <w:rPr>
          <w:noProof/>
          <w:lang w:eastAsia="en-GB"/>
        </w:rPr>
      </w:pPr>
    </w:p>
    <w:p w:rsidR="001C1D37" w:rsidRPr="001C1D37" w:rsidRDefault="001C1D37" w:rsidP="001C1D37">
      <w:pPr>
        <w:rPr>
          <w:noProof/>
          <w:lang w:eastAsia="en-GB"/>
        </w:rPr>
      </w:pPr>
      <w:r w:rsidRPr="001C1D37">
        <w:rPr>
          <w:noProof/>
          <w:lang w:eastAsia="en-GB"/>
        </w:rPr>
        <w:lastRenderedPageBreak/>
        <w:t xml:space="preserve">Figure 2. </w:t>
      </w:r>
      <w:r w:rsidRPr="001C1D37">
        <w:t xml:space="preserve">Estimated </w:t>
      </w:r>
      <w:proofErr w:type="gramStart"/>
      <w:r w:rsidRPr="001C1D37">
        <w:t>ROC(</w:t>
      </w:r>
      <w:proofErr w:type="gramEnd"/>
      <w:r w:rsidRPr="001C1D37">
        <w:t>t) curves at times t = 24, 48, 72, 96 and 120 hours</w:t>
      </w:r>
    </w:p>
    <w:p w:rsidR="001C1D37" w:rsidRDefault="001C1D37" w:rsidP="001C1D37">
      <w:pPr>
        <w:rPr>
          <w:noProof/>
          <w:lang w:eastAsia="en-GB"/>
        </w:rPr>
      </w:pPr>
    </w:p>
    <w:p w:rsidR="001C1D37" w:rsidRDefault="001C1D37" w:rsidP="001C1D37">
      <w:pPr>
        <w:rPr>
          <w:noProof/>
          <w:lang w:eastAsia="en-GB"/>
        </w:rPr>
      </w:pPr>
    </w:p>
    <w:p w:rsidR="001C1D37" w:rsidRDefault="001C1D37" w:rsidP="001C1D37">
      <w:pPr>
        <w:rPr>
          <w:noProof/>
          <w:lang w:eastAsia="en-GB"/>
        </w:rPr>
      </w:pPr>
    </w:p>
    <w:p w:rsidR="001C1D37" w:rsidRDefault="001C1D37" w:rsidP="001C1D37">
      <w:r>
        <w:rPr>
          <w:noProof/>
          <w:lang w:eastAsia="en-GB"/>
        </w:rPr>
        <w:drawing>
          <wp:inline distT="0" distB="0" distL="0" distR="0" wp14:anchorId="45E90FFA" wp14:editId="1916B6C6">
            <wp:extent cx="5731510" cy="5731510"/>
            <wp:effectExtent l="0" t="0" r="2540" b="2540"/>
            <wp:docPr id="1" name="Picture 1" descr="Z:\Ruwanthi\Working-Papers\JointROC\Figure 3REV.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uwanthi\Working-Papers\JointROC\Figure 3REV.tif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1C1D37" w:rsidRDefault="001C1D37" w:rsidP="001C1D37"/>
    <w:p w:rsidR="001C1D37" w:rsidRPr="001C1D37" w:rsidRDefault="001C1D37" w:rsidP="001C1D37">
      <w:proofErr w:type="gramStart"/>
      <w:r w:rsidRPr="001C1D37">
        <w:t>Figure 3.</w:t>
      </w:r>
      <w:proofErr w:type="gramEnd"/>
      <w:r w:rsidRPr="001C1D37">
        <w:t xml:space="preserve"> Predicted </w:t>
      </w:r>
      <w:proofErr w:type="gramStart"/>
      <w:r w:rsidRPr="001C1D37">
        <w:t>ROC(</w:t>
      </w:r>
      <w:proofErr w:type="gramEnd"/>
      <w:r w:rsidRPr="001C1D37">
        <w:t>t*) curves at future times t* = 48, 72, 96 and 120 hours from t = 24 hours</w:t>
      </w:r>
    </w:p>
    <w:p w:rsidR="001C1D37" w:rsidRDefault="001C1D37" w:rsidP="001C1D37">
      <w:pPr>
        <w:rPr>
          <w:rFonts w:ascii="Calibri" w:eastAsia="Calibri" w:hAnsi="Calibri"/>
          <w:b/>
          <w:sz w:val="22"/>
          <w:szCs w:val="22"/>
          <w:u w:val="single"/>
        </w:rPr>
      </w:pPr>
      <w:r>
        <w:rPr>
          <w:b/>
          <w:u w:val="single"/>
        </w:rPr>
        <w:br w:type="page"/>
      </w:r>
    </w:p>
    <w:p w:rsidR="001C1D37" w:rsidRPr="001C1D37" w:rsidRDefault="001C1D37" w:rsidP="001C1D37">
      <w:pPr>
        <w:pStyle w:val="NoSpacing"/>
        <w:rPr>
          <w:rFonts w:ascii="Times New Roman" w:hAnsi="Times New Roman"/>
          <w:b/>
          <w:sz w:val="24"/>
          <w:szCs w:val="24"/>
          <w:u w:val="single"/>
        </w:rPr>
      </w:pPr>
      <w:r w:rsidRPr="001C1D37">
        <w:rPr>
          <w:rFonts w:ascii="Times New Roman" w:hAnsi="Times New Roman"/>
          <w:b/>
          <w:sz w:val="24"/>
          <w:szCs w:val="24"/>
          <w:u w:val="single"/>
        </w:rPr>
        <w:lastRenderedPageBreak/>
        <w:t>Supplementary File: Additional association structures</w:t>
      </w:r>
    </w:p>
    <w:p w:rsidR="001C1D37" w:rsidRPr="001C1D37" w:rsidRDefault="001C1D37" w:rsidP="001C1D37">
      <w:pPr>
        <w:pStyle w:val="NoSpacing"/>
        <w:rPr>
          <w:rFonts w:ascii="Times New Roman" w:hAnsi="Times New Roman"/>
          <w:sz w:val="24"/>
          <w:szCs w:val="24"/>
        </w:rPr>
      </w:pPr>
    </w:p>
    <w:p w:rsidR="001C1D37" w:rsidRPr="001C1D37" w:rsidRDefault="001C1D37" w:rsidP="001C1D37">
      <w:pPr>
        <w:pStyle w:val="NoSpacing"/>
        <w:rPr>
          <w:rFonts w:ascii="Times New Roman" w:hAnsi="Times New Roman"/>
          <w:b/>
          <w:sz w:val="24"/>
          <w:szCs w:val="24"/>
        </w:rPr>
      </w:pPr>
      <w:r w:rsidRPr="001C1D37">
        <w:rPr>
          <w:rFonts w:ascii="Times New Roman" w:hAnsi="Times New Roman"/>
          <w:b/>
          <w:sz w:val="24"/>
          <w:szCs w:val="24"/>
        </w:rPr>
        <w:t xml:space="preserve">(1) Model A: </w:t>
      </w:r>
      <m:oMath>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2</m:t>
            </m:r>
            <m:r>
              <m:rPr>
                <m:sty m:val="bi"/>
              </m:rPr>
              <w:rPr>
                <w:rFonts w:ascii="Cambria Math" w:hAnsi="Cambria Math"/>
                <w:sz w:val="24"/>
                <w:szCs w:val="24"/>
              </w:rPr>
              <m:t>i</m:t>
            </m:r>
          </m:sub>
        </m:sSub>
        <m:d>
          <m:dPr>
            <m:ctrlPr>
              <w:rPr>
                <w:rFonts w:ascii="Cambria Math" w:hAnsi="Cambria Math"/>
                <w:b/>
                <w:i/>
                <w:sz w:val="24"/>
                <w:szCs w:val="24"/>
              </w:rPr>
            </m:ctrlPr>
          </m:dPr>
          <m:e>
            <m:r>
              <m:rPr>
                <m:sty m:val="bi"/>
              </m:rPr>
              <w:rPr>
                <w:rFonts w:ascii="Cambria Math" w:hAnsi="Cambria Math"/>
                <w:sz w:val="24"/>
                <w:szCs w:val="24"/>
                <w:lang w:eastAsia="en-GB" w:bidi="ta-IN"/>
              </w:rPr>
              <m:t>z</m:t>
            </m:r>
          </m:e>
        </m:d>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γ</m:t>
            </m:r>
          </m:e>
          <m:sub>
            <m:r>
              <m:rPr>
                <m:sty m:val="bi"/>
              </m:rPr>
              <w:rPr>
                <w:rFonts w:ascii="Cambria Math" w:hAnsi="Cambria Math"/>
                <w:sz w:val="24"/>
                <w:szCs w:val="24"/>
              </w:rPr>
              <m:t>0</m:t>
            </m:r>
          </m:sub>
        </m:sSub>
        <m:sSub>
          <m:sSubPr>
            <m:ctrlPr>
              <w:rPr>
                <w:rFonts w:ascii="Cambria Math" w:hAnsi="Cambria Math"/>
                <w:b/>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0</m:t>
            </m:r>
            <m:r>
              <m:rPr>
                <m:sty m:val="bi"/>
              </m:rPr>
              <w:rPr>
                <w:rFonts w:ascii="Cambria Math" w:hAnsi="Cambria Math"/>
                <w:sz w:val="24"/>
                <w:szCs w:val="24"/>
              </w:rPr>
              <m:t>i</m:t>
            </m:r>
          </m:sub>
        </m:sSub>
      </m:oMath>
      <w:r w:rsidRPr="001C1D37">
        <w:rPr>
          <w:rFonts w:ascii="Times New Roman" w:hAnsi="Times New Roman"/>
          <w:b/>
          <w:sz w:val="24"/>
          <w:szCs w:val="24"/>
        </w:rPr>
        <w:t xml:space="preserve"> (Model A)</w:t>
      </w:r>
    </w:p>
    <w:p w:rsidR="001C1D37" w:rsidRPr="001C1D37" w:rsidRDefault="001C1D37" w:rsidP="001C1D37">
      <w:pPr>
        <w:pStyle w:val="NoSpacing"/>
        <w:rPr>
          <w:rFonts w:ascii="Times New Roman" w:hAnsi="Times New Roman"/>
          <w:sz w:val="24"/>
          <w:szCs w:val="24"/>
        </w:rPr>
      </w:pPr>
      <w:r w:rsidRPr="001C1D37">
        <w:rPr>
          <w:rFonts w:ascii="Times New Roman" w:hAnsi="Times New Roman"/>
          <w:sz w:val="24"/>
          <w:szCs w:val="24"/>
        </w:rPr>
        <w:t>This association structure assumes that the association between the biomarker and clinical event is based only on the individual-specific deviations from the population mean intercept, that is, baseline value. The joint model is defined by</w:t>
      </w:r>
    </w:p>
    <w:p w:rsidR="001C1D37" w:rsidRPr="001C1D37" w:rsidRDefault="001C1D37" w:rsidP="001C1D37">
      <w:pPr>
        <w:pStyle w:val="NoSpacing"/>
        <w:rPr>
          <w:rFonts w:ascii="Times New Roman" w:hAnsi="Times New Roman"/>
          <w:sz w:val="24"/>
          <w:szCs w:val="24"/>
        </w:rPr>
      </w:pPr>
    </w:p>
    <w:p w:rsidR="001C1D37" w:rsidRPr="001C1D37" w:rsidRDefault="001C1D37" w:rsidP="001C1D37">
      <w:pPr>
        <w:pStyle w:val="NoSpacing"/>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v</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v+</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m:t>
              </m:r>
            </m:sub>
          </m:sSub>
          <m:r>
            <w:rPr>
              <w:rFonts w:ascii="Cambria Math" w:hAnsi="Cambria Math"/>
              <w:sz w:val="24"/>
              <w:szCs w:val="24"/>
            </w:rPr>
            <m:t>(v),   v≤t</m:t>
          </m:r>
        </m:oMath>
      </m:oMathPara>
    </w:p>
    <w:p w:rsidR="001C1D37" w:rsidRPr="001C1D37" w:rsidRDefault="001C1D37" w:rsidP="001C1D37">
      <w:pPr>
        <w:pStyle w:val="NoSpacing"/>
        <w:rPr>
          <w:rFonts w:ascii="Times New Roman" w:hAnsi="Times New Roman"/>
          <w:sz w:val="24"/>
          <w:szCs w:val="24"/>
        </w:rPr>
      </w:pPr>
      <m:oMathPara>
        <m:oMath>
          <m:r>
            <w:rPr>
              <w:rFonts w:ascii="Cambria Math" w:hAnsi="Cambria Math"/>
              <w:sz w:val="24"/>
              <w:szCs w:val="24"/>
            </w:rPr>
            <m:t>λ</m:t>
          </m:r>
          <m:d>
            <m:dPr>
              <m:ctrlPr>
                <w:rPr>
                  <w:rFonts w:ascii="Cambria Math" w:hAnsi="Cambria Math"/>
                  <w:i/>
                  <w:sz w:val="24"/>
                  <w:szCs w:val="24"/>
                </w:rPr>
              </m:ctrlPr>
            </m:dPr>
            <m:e>
              <m:r>
                <w:rPr>
                  <w:rFonts w:ascii="Cambria Math" w:hAnsi="Cambria Math"/>
                  <w:sz w:val="24"/>
                  <w:szCs w:val="24"/>
                </w:rPr>
                <m:t>z|</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z</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z</m:t>
              </m:r>
            </m:e>
          </m:d>
          <m:func>
            <m:funcPr>
              <m:ctrlPr>
                <w:rPr>
                  <w:rFonts w:ascii="Cambria Math" w:hAnsi="Cambria Math"/>
                  <w:sz w:val="24"/>
                  <w:szCs w:val="24"/>
                </w:rPr>
              </m:ctrlPr>
            </m:funcPr>
            <m:fName>
              <m:r>
                <m:rPr>
                  <m:sty m:val="p"/>
                </m:rPr>
                <w:rPr>
                  <w:rFonts w:ascii="Cambria Math" w:hAnsi="Cambria Math"/>
                  <w:sz w:val="24"/>
                  <w:szCs w:val="24"/>
                </w:rPr>
                <m:t>exp</m:t>
              </m:r>
            </m:fName>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0i</m:t>
                  </m:r>
                </m:sub>
              </m:sSub>
              <m:r>
                <w:rPr>
                  <w:rFonts w:ascii="Cambria Math" w:hAnsi="Cambria Math"/>
                  <w:sz w:val="24"/>
                  <w:szCs w:val="24"/>
                </w:rPr>
                <m:t>)</m:t>
              </m:r>
            </m:e>
          </m:func>
          <m:r>
            <w:rPr>
              <w:rFonts w:ascii="Cambria Math" w:hAnsi="Cambria Math"/>
              <w:sz w:val="24"/>
              <w:szCs w:val="24"/>
            </w:rPr>
            <m:t>,   z≤t</m:t>
          </m:r>
        </m:oMath>
      </m:oMathPara>
    </w:p>
    <w:p w:rsidR="001C1D37" w:rsidRPr="001C1D37" w:rsidRDefault="001C1D37" w:rsidP="001C1D37">
      <w:pPr>
        <w:pStyle w:val="NoSpacing"/>
        <w:rPr>
          <w:rFonts w:ascii="Times New Roman" w:hAnsi="Times New Roman"/>
          <w:sz w:val="24"/>
          <w:szCs w:val="24"/>
        </w:rPr>
      </w:pPr>
    </w:p>
    <w:p w:rsidR="001C1D37" w:rsidRPr="001C1D37" w:rsidRDefault="001C1D37" w:rsidP="001C1D37">
      <w:pPr>
        <w:pStyle w:val="NoSpacing"/>
        <w:rPr>
          <w:rFonts w:ascii="Times New Roman" w:hAnsi="Times New Roman"/>
          <w:sz w:val="24"/>
          <w:szCs w:val="24"/>
        </w:rPr>
      </w:pPr>
      <w:proofErr w:type="gramStart"/>
      <w:r w:rsidRPr="001C1D37">
        <w:rPr>
          <w:rFonts w:ascii="Times New Roman" w:hAnsi="Times New Roman"/>
          <w:sz w:val="24"/>
          <w:szCs w:val="24"/>
        </w:rPr>
        <w:t>where</w:t>
      </w:r>
      <w:proofErr w:type="gramEnd"/>
      <w:r w:rsidRPr="001C1D37">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z</m:t>
            </m:r>
          </m:e>
        </m:d>
      </m:oMath>
      <w:r w:rsidRPr="001C1D37">
        <w:rPr>
          <w:rFonts w:ascii="Times New Roman" w:hAnsi="Times New Roman"/>
          <w:sz w:val="24"/>
          <w:szCs w:val="24"/>
        </w:rPr>
        <w:t xml:space="preserve"> is the true unknown longitudinal biomarker trajectory at the event-time </w:t>
      </w:r>
      <m:oMath>
        <m:r>
          <w:rPr>
            <w:rFonts w:ascii="Cambria Math" w:hAnsi="Cambria Math"/>
            <w:sz w:val="24"/>
            <w:szCs w:val="24"/>
          </w:rPr>
          <m:t>z</m:t>
        </m:r>
      </m:oMath>
      <w:r w:rsidRPr="001C1D37">
        <w:rPr>
          <w:rFonts w:ascii="Times New Roman" w:hAnsi="Times New Roman"/>
          <w:sz w:val="24"/>
          <w:szCs w:val="24"/>
        </w:rPr>
        <w:t>.</w:t>
      </w:r>
      <w:r w:rsidRPr="001C1D37">
        <w:rPr>
          <w:rFonts w:ascii="Times New Roman" w:hAnsi="Times New Roman"/>
          <w:b/>
          <w:sz w:val="24"/>
          <w:szCs w:val="24"/>
        </w:rPr>
        <w:t xml:space="preserve"> </w:t>
      </w:r>
      <w:r w:rsidRPr="001C1D37">
        <w:rPr>
          <w:rFonts w:ascii="Times New Roman" w:hAnsi="Times New Roman"/>
          <w:sz w:val="24"/>
          <w:szCs w:val="24"/>
        </w:rPr>
        <w:t xml:space="preserve">The parameter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0</m:t>
            </m:r>
          </m:sub>
        </m:sSub>
      </m:oMath>
      <w:r w:rsidRPr="001C1D37">
        <w:rPr>
          <w:rFonts w:ascii="Times New Roman" w:hAnsi="Times New Roman"/>
          <w:sz w:val="24"/>
          <w:szCs w:val="24"/>
        </w:rPr>
        <w:t xml:space="preserve"> estimates the strength of the association between the individual-specific baseline biomarker measurements and occurrence of the clinical endpoint </w:t>
      </w:r>
      <w:proofErr w:type="gramStart"/>
      <w:r w:rsidRPr="001C1D37">
        <w:rPr>
          <w:rFonts w:ascii="Times New Roman" w:hAnsi="Times New Roman"/>
          <w:sz w:val="24"/>
          <w:szCs w:val="24"/>
        </w:rPr>
        <w:t xml:space="preserve">over </w:t>
      </w:r>
      <w:proofErr w:type="gramEnd"/>
      <m:oMath>
        <m:r>
          <w:rPr>
            <w:rFonts w:ascii="Cambria Math" w:hAnsi="Cambria Math"/>
            <w:sz w:val="24"/>
            <w:szCs w:val="24"/>
          </w:rPr>
          <m:t>(0,t)</m:t>
        </m:r>
      </m:oMath>
      <w:r w:rsidRPr="001C1D37">
        <w:rPr>
          <w:rFonts w:ascii="Times New Roman" w:hAnsi="Times New Roman"/>
          <w:sz w:val="24"/>
          <w:szCs w:val="24"/>
        </w:rPr>
        <w:t xml:space="preserve">, and </w:t>
      </w:r>
      <m:oMath>
        <m:r>
          <m:rPr>
            <m:sty m:val="p"/>
          </m:rPr>
          <w:rPr>
            <w:rFonts w:ascii="Cambria Math" w:hAnsi="Cambria Math"/>
            <w:sz w:val="24"/>
            <w:szCs w:val="24"/>
          </w:rPr>
          <m:t>exp⁡</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0</m:t>
            </m:r>
          </m:sub>
        </m:sSub>
        <m:r>
          <w:rPr>
            <w:rFonts w:ascii="Cambria Math" w:hAnsi="Cambria Math"/>
            <w:sz w:val="24"/>
            <w:szCs w:val="24"/>
          </w:rPr>
          <m:t>)</m:t>
        </m:r>
      </m:oMath>
      <w:r w:rsidRPr="001C1D37">
        <w:rPr>
          <w:rFonts w:ascii="Times New Roman" w:hAnsi="Times New Roman"/>
          <w:sz w:val="24"/>
          <w:szCs w:val="24"/>
        </w:rPr>
        <w:t xml:space="preserve"> is the hazard ratio for a one-unit increase in above deviation at the baseline. Therefore, in this model, the baseline biomarker value alone is linked to </w:t>
      </w:r>
      <w:r w:rsidRPr="001C1D37">
        <w:rPr>
          <w:rFonts w:ascii="Times New Roman" w:hAnsi="Times New Roman"/>
          <w:sz w:val="24"/>
          <w:szCs w:val="24"/>
          <w:lang w:eastAsia="en-GB" w:bidi="ta-IN"/>
        </w:rPr>
        <w:t xml:space="preserve">hazard </w:t>
      </w:r>
      <w:r w:rsidRPr="001C1D37">
        <w:rPr>
          <w:rFonts w:ascii="Times New Roman" w:hAnsi="Times New Roman"/>
          <w:sz w:val="24"/>
          <w:szCs w:val="24"/>
        </w:rPr>
        <w:t xml:space="preserve">for occurrence of the clinical endpoint </w:t>
      </w:r>
      <w:proofErr w:type="gramStart"/>
      <w:r w:rsidRPr="001C1D37">
        <w:rPr>
          <w:rFonts w:ascii="Times New Roman" w:hAnsi="Times New Roman"/>
          <w:sz w:val="24"/>
          <w:szCs w:val="24"/>
        </w:rPr>
        <w:t xml:space="preserve">over </w:t>
      </w:r>
      <w:proofErr w:type="gramEnd"/>
      <m:oMath>
        <m:r>
          <w:rPr>
            <w:rFonts w:ascii="Cambria Math" w:hAnsi="Cambria Math"/>
            <w:sz w:val="24"/>
            <w:szCs w:val="24"/>
          </w:rPr>
          <m:t>(</m:t>
        </m:r>
        <m:r>
          <m:rPr>
            <m:sty m:val="p"/>
          </m:rPr>
          <w:rPr>
            <w:rFonts w:ascii="Cambria Math" w:hAnsi="Cambria Math"/>
            <w:sz w:val="24"/>
            <w:szCs w:val="24"/>
          </w:rPr>
          <m:t xml:space="preserve">0, </m:t>
        </m:r>
        <m:r>
          <w:rPr>
            <w:rFonts w:ascii="Cambria Math" w:hAnsi="Cambria Math"/>
            <w:sz w:val="24"/>
            <w:szCs w:val="24"/>
          </w:rPr>
          <m:t>t)</m:t>
        </m:r>
      </m:oMath>
      <w:r w:rsidRPr="001C1D37">
        <w:rPr>
          <w:rFonts w:ascii="Times New Roman" w:hAnsi="Times New Roman"/>
          <w:sz w:val="24"/>
          <w:szCs w:val="24"/>
        </w:rPr>
        <w:t xml:space="preserve">. In this model, the latent association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1i</m:t>
            </m:r>
          </m:sub>
        </m:sSub>
        <m:d>
          <m:dPr>
            <m:ctrlPr>
              <w:rPr>
                <w:rFonts w:ascii="Cambria Math" w:hAnsi="Cambria Math"/>
                <w:i/>
                <w:sz w:val="24"/>
                <w:szCs w:val="24"/>
              </w:rPr>
            </m:ctrlPr>
          </m:dPr>
          <m:e>
            <m:r>
              <w:rPr>
                <w:rFonts w:ascii="Cambria Math" w:hAnsi="Cambria Math"/>
                <w:sz w:val="24"/>
                <w:szCs w:val="24"/>
                <w:lang w:eastAsia="en-GB" w:bidi="ta-IN"/>
              </w:rPr>
              <m:t>z</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0i</m:t>
            </m:r>
          </m:sub>
        </m:sSub>
      </m:oMath>
      <w:r w:rsidRPr="001C1D37">
        <w:rPr>
          <w:rFonts w:ascii="Times New Roman" w:hAnsi="Times New Roman"/>
          <w:sz w:val="24"/>
          <w:szCs w:val="24"/>
        </w:rPr>
        <w:t xml:space="preserve"> is time independent.</w:t>
      </w:r>
    </w:p>
    <w:p w:rsidR="001C1D37" w:rsidRPr="001C1D37" w:rsidRDefault="001C1D37" w:rsidP="001C1D37">
      <w:pPr>
        <w:pStyle w:val="NoSpacing"/>
        <w:rPr>
          <w:rFonts w:ascii="Times New Roman" w:hAnsi="Times New Roman"/>
          <w:sz w:val="24"/>
          <w:szCs w:val="24"/>
        </w:rPr>
      </w:pPr>
    </w:p>
    <w:p w:rsidR="001C1D37" w:rsidRPr="001C1D37" w:rsidRDefault="001C1D37" w:rsidP="001C1D37">
      <w:pPr>
        <w:pStyle w:val="NoSpacing"/>
        <w:rPr>
          <w:rFonts w:ascii="Times New Roman" w:hAnsi="Times New Roman"/>
          <w:b/>
          <w:sz w:val="24"/>
          <w:szCs w:val="24"/>
        </w:rPr>
      </w:pPr>
      <w:r w:rsidRPr="001C1D37">
        <w:rPr>
          <w:rFonts w:ascii="Times New Roman" w:hAnsi="Times New Roman"/>
          <w:b/>
          <w:sz w:val="24"/>
          <w:szCs w:val="24"/>
        </w:rPr>
        <w:t xml:space="preserve">(2) Model C: </w:t>
      </w:r>
      <m:oMath>
        <m:sSub>
          <m:sSubPr>
            <m:ctrlPr>
              <w:rPr>
                <w:rFonts w:ascii="Cambria Math" w:hAnsi="Cambria Math"/>
                <w:b/>
                <w:i/>
                <w:sz w:val="24"/>
                <w:szCs w:val="24"/>
              </w:rPr>
            </m:ctrlPr>
          </m:sSubPr>
          <m:e>
            <m:r>
              <m:rPr>
                <m:sty m:val="bi"/>
              </m:rPr>
              <w:rPr>
                <w:rFonts w:ascii="Cambria Math" w:hAnsi="Cambria Math"/>
                <w:sz w:val="24"/>
                <w:szCs w:val="24"/>
              </w:rPr>
              <m:t>W</m:t>
            </m:r>
          </m:e>
          <m:sub>
            <m:r>
              <m:rPr>
                <m:sty m:val="bi"/>
              </m:rPr>
              <w:rPr>
                <w:rFonts w:ascii="Cambria Math" w:hAnsi="Cambria Math"/>
                <w:sz w:val="24"/>
                <w:szCs w:val="24"/>
              </w:rPr>
              <m:t>2</m:t>
            </m:r>
            <m:r>
              <m:rPr>
                <m:sty m:val="bi"/>
              </m:rPr>
              <w:rPr>
                <w:rFonts w:ascii="Cambria Math" w:hAnsi="Cambria Math"/>
                <w:sz w:val="24"/>
                <w:szCs w:val="24"/>
              </w:rPr>
              <m:t>i</m:t>
            </m:r>
          </m:sub>
        </m:sSub>
        <m:d>
          <m:dPr>
            <m:ctrlPr>
              <w:rPr>
                <w:rFonts w:ascii="Cambria Math" w:hAnsi="Cambria Math"/>
                <w:b/>
                <w:i/>
                <w:sz w:val="24"/>
                <w:szCs w:val="24"/>
              </w:rPr>
            </m:ctrlPr>
          </m:dPr>
          <m:e>
            <m:r>
              <m:rPr>
                <m:sty m:val="bi"/>
              </m:rPr>
              <w:rPr>
                <w:rFonts w:ascii="Cambria Math" w:hAnsi="Cambria Math"/>
                <w:sz w:val="24"/>
                <w:szCs w:val="24"/>
                <w:lang w:eastAsia="en-GB" w:bidi="ta-IN"/>
              </w:rPr>
              <m:t>z</m:t>
            </m:r>
          </m:e>
        </m:d>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γ</m:t>
            </m:r>
          </m:e>
          <m:sub>
            <m:r>
              <m:rPr>
                <m:sty m:val="bi"/>
              </m:rPr>
              <w:rPr>
                <w:rFonts w:ascii="Cambria Math" w:hAnsi="Cambria Math"/>
                <w:sz w:val="24"/>
                <w:szCs w:val="24"/>
              </w:rPr>
              <m:t>0</m:t>
            </m:r>
            <m:r>
              <m:rPr>
                <m:sty m:val="bi"/>
              </m:rPr>
              <w:rPr>
                <w:rFonts w:ascii="Cambria Math" w:hAnsi="Cambria Math"/>
                <w:sz w:val="24"/>
                <w:szCs w:val="24"/>
              </w:rPr>
              <m:t>t</m:t>
            </m:r>
          </m:sub>
        </m:sSub>
        <m:sSub>
          <m:sSubPr>
            <m:ctrlPr>
              <w:rPr>
                <w:rFonts w:ascii="Cambria Math" w:hAnsi="Cambria Math"/>
                <w:b/>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0</m:t>
            </m:r>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γ</m:t>
            </m:r>
          </m:e>
          <m:sub>
            <m:r>
              <m:rPr>
                <m:sty m:val="bi"/>
              </m:rPr>
              <w:rPr>
                <w:rFonts w:ascii="Cambria Math" w:hAnsi="Cambria Math"/>
                <w:sz w:val="24"/>
                <w:szCs w:val="24"/>
              </w:rPr>
              <m:t>1</m:t>
            </m:r>
            <m:r>
              <m:rPr>
                <m:sty m:val="bi"/>
              </m:rPr>
              <w:rPr>
                <w:rFonts w:ascii="Cambria Math" w:hAnsi="Cambria Math"/>
                <w:sz w:val="24"/>
                <w:szCs w:val="24"/>
              </w:rPr>
              <m:t>t</m:t>
            </m:r>
          </m:sub>
        </m:sSub>
        <m:sSub>
          <m:sSubPr>
            <m:ctrlPr>
              <w:rPr>
                <w:rFonts w:ascii="Cambria Math" w:hAnsi="Cambria Math"/>
                <w:b/>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1</m:t>
            </m:r>
            <m:r>
              <m:rPr>
                <m:sty m:val="bi"/>
              </m:rPr>
              <w:rPr>
                <w:rFonts w:ascii="Cambria Math" w:hAnsi="Cambria Math"/>
                <w:sz w:val="24"/>
                <w:szCs w:val="24"/>
              </w:rPr>
              <m:t>i</m:t>
            </m:r>
          </m:sub>
        </m:sSub>
        <m:r>
          <m:rPr>
            <m:sty m:val="bi"/>
          </m:rPr>
          <w:rPr>
            <w:rFonts w:ascii="Cambria Math" w:hAnsi="Cambria Math"/>
            <w:sz w:val="24"/>
            <w:szCs w:val="24"/>
            <w:lang w:eastAsia="en-GB" w:bidi="ta-IN"/>
          </w:rPr>
          <m:t>z</m:t>
        </m:r>
      </m:oMath>
      <w:r w:rsidRPr="001C1D37">
        <w:rPr>
          <w:rFonts w:ascii="Times New Roman" w:hAnsi="Times New Roman"/>
          <w:b/>
          <w:sz w:val="24"/>
          <w:szCs w:val="24"/>
          <w:lang w:eastAsia="en-GB" w:bidi="ta-IN"/>
        </w:rPr>
        <w:t xml:space="preserve"> (Model C)</w:t>
      </w:r>
    </w:p>
    <w:p w:rsidR="001C1D37" w:rsidRPr="001C1D37" w:rsidRDefault="001C1D37" w:rsidP="001C1D37">
      <w:pPr>
        <w:pStyle w:val="NoSpacing"/>
        <w:rPr>
          <w:rFonts w:ascii="Times New Roman" w:hAnsi="Times New Roman"/>
          <w:sz w:val="24"/>
          <w:szCs w:val="24"/>
        </w:rPr>
      </w:pPr>
      <w:r w:rsidRPr="001C1D37">
        <w:rPr>
          <w:rFonts w:ascii="Times New Roman" w:hAnsi="Times New Roman"/>
          <w:sz w:val="24"/>
          <w:szCs w:val="24"/>
        </w:rPr>
        <w:t>This association structure assumes that the individual-specific deviations from the population mean intercept and slope of the corresponding biomarker profile to have separate effects on the clinical endpoint. The joint model is defined by</w:t>
      </w:r>
    </w:p>
    <w:p w:rsidR="001C1D37" w:rsidRPr="001C1D37" w:rsidRDefault="001C1D37" w:rsidP="001C1D37">
      <w:pPr>
        <w:pStyle w:val="NoSpacing"/>
        <w:rPr>
          <w:rFonts w:ascii="Times New Roman" w:hAnsi="Times New Roman"/>
          <w:sz w:val="24"/>
          <w:szCs w:val="24"/>
        </w:rPr>
      </w:pPr>
      <w:r w:rsidRPr="001C1D37">
        <w:rPr>
          <w:rFonts w:ascii="Times New Roman" w:hAnsi="Times New Roman"/>
          <w:sz w:val="24"/>
          <w:szCs w:val="24"/>
        </w:rPr>
        <w:tab/>
      </w:r>
      <m:oMath>
        <m:r>
          <m:rPr>
            <m:sty m:val="p"/>
          </m:rPr>
          <w:rPr>
            <w:rFonts w:ascii="Cambria Math" w:hAnsi="Cambria Math"/>
            <w:sz w:val="24"/>
            <w:szCs w:val="24"/>
          </w:rPr>
          <w:br/>
        </m:r>
      </m:oMath>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v</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v+</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1i</m:t>
              </m:r>
            </m:sub>
          </m:sSub>
          <m:r>
            <w:rPr>
              <w:rFonts w:ascii="Cambria Math" w:hAnsi="Cambria Math"/>
              <w:sz w:val="24"/>
              <w:szCs w:val="24"/>
            </w:rPr>
            <m:t>v+</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m:t>
              </m:r>
            </m:sub>
          </m:sSub>
          <m:r>
            <w:rPr>
              <w:rFonts w:ascii="Cambria Math" w:hAnsi="Cambria Math"/>
              <w:sz w:val="24"/>
              <w:szCs w:val="24"/>
            </w:rPr>
            <m:t>(v)</m:t>
          </m:r>
        </m:oMath>
      </m:oMathPara>
    </w:p>
    <w:p w:rsidR="001C1D37" w:rsidRPr="001C1D37" w:rsidRDefault="001C1D37" w:rsidP="001C1D37">
      <w:pPr>
        <w:pStyle w:val="NoSpacing"/>
        <w:rPr>
          <w:rFonts w:ascii="Times New Roman" w:hAnsi="Times New Roman"/>
          <w:sz w:val="24"/>
          <w:szCs w:val="24"/>
        </w:rPr>
      </w:pPr>
      <m:oMathPara>
        <m:oMath>
          <m:r>
            <w:rPr>
              <w:rFonts w:ascii="Cambria Math" w:hAnsi="Cambria Math"/>
              <w:sz w:val="24"/>
              <w:szCs w:val="24"/>
            </w:rPr>
            <m:t>λ</m:t>
          </m:r>
          <m:d>
            <m:dPr>
              <m:ctrlPr>
                <w:rPr>
                  <w:rFonts w:ascii="Cambria Math" w:hAnsi="Cambria Math"/>
                  <w:i/>
                  <w:sz w:val="24"/>
                  <w:szCs w:val="24"/>
                </w:rPr>
              </m:ctrlPr>
            </m:dPr>
            <m:e>
              <m:r>
                <w:rPr>
                  <w:rFonts w:ascii="Cambria Math" w:hAnsi="Cambria Math"/>
                  <w:sz w:val="24"/>
                  <w:szCs w:val="24"/>
                </w:rPr>
                <m:t>z|</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d>
                <m:dPr>
                  <m:ctrlPr>
                    <w:rPr>
                      <w:rFonts w:ascii="Cambria Math" w:hAnsi="Cambria Math"/>
                      <w:i/>
                      <w:sz w:val="24"/>
                      <w:szCs w:val="24"/>
                    </w:rPr>
                  </m:ctrlPr>
                </m:dPr>
                <m:e>
                  <m:r>
                    <w:rPr>
                      <w:rFonts w:ascii="Cambria Math" w:hAnsi="Cambria Math"/>
                      <w:sz w:val="24"/>
                      <w:szCs w:val="24"/>
                    </w:rPr>
                    <m:t>z</m:t>
                  </m: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z</m:t>
              </m:r>
            </m:e>
          </m:d>
          <m:func>
            <m:funcPr>
              <m:ctrlPr>
                <w:rPr>
                  <w:rFonts w:ascii="Cambria Math" w:hAnsi="Cambria Math"/>
                  <w:sz w:val="24"/>
                  <w:szCs w:val="24"/>
                </w:rPr>
              </m:ctrlPr>
            </m:funcPr>
            <m:fName>
              <m:r>
                <m:rPr>
                  <m:sty m:val="p"/>
                </m:rPr>
                <w:rPr>
                  <w:rFonts w:ascii="Cambria Math" w:hAnsi="Cambria Math"/>
                  <w:sz w:val="24"/>
                  <w:szCs w:val="24"/>
                </w:rPr>
                <m:t>exp</m:t>
              </m:r>
            </m:fName>
            <m:e>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0t</m:t>
                  </m:r>
                </m:sub>
              </m:s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1t</m:t>
                  </m:r>
                </m:sub>
              </m:s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1i</m:t>
                  </m:r>
                </m:sub>
              </m:sSub>
              <m:r>
                <w:rPr>
                  <w:rFonts w:ascii="Cambria Math" w:hAnsi="Cambria Math"/>
                  <w:sz w:val="24"/>
                  <w:szCs w:val="24"/>
                  <w:lang w:eastAsia="en-GB" w:bidi="ta-IN"/>
                </w:rPr>
                <m:t>z</m:t>
              </m:r>
              <m:r>
                <w:rPr>
                  <w:rFonts w:ascii="Cambria Math" w:hAnsi="Cambria Math"/>
                  <w:sz w:val="24"/>
                  <w:szCs w:val="24"/>
                </w:rPr>
                <m:t>)</m:t>
              </m:r>
            </m:e>
          </m:func>
          <m:r>
            <w:rPr>
              <w:rFonts w:ascii="Cambria Math" w:hAnsi="Cambria Math"/>
              <w:sz w:val="24"/>
              <w:szCs w:val="24"/>
            </w:rPr>
            <m:t>; v,z≤t</m:t>
          </m:r>
        </m:oMath>
      </m:oMathPara>
    </w:p>
    <w:p w:rsidR="001C1D37" w:rsidRPr="001C1D37" w:rsidRDefault="001C1D37" w:rsidP="001C1D37">
      <w:pPr>
        <w:pStyle w:val="NoSpacing"/>
        <w:rPr>
          <w:rFonts w:ascii="Times New Roman" w:hAnsi="Times New Roman"/>
          <w:sz w:val="24"/>
          <w:szCs w:val="24"/>
        </w:rPr>
      </w:pPr>
    </w:p>
    <w:p w:rsidR="001C1D37" w:rsidRPr="001C1D37" w:rsidRDefault="001C1D37" w:rsidP="001C1D37">
      <w:pPr>
        <w:pStyle w:val="NoSpacing"/>
        <w:rPr>
          <w:rFonts w:ascii="Times New Roman" w:hAnsi="Times New Roman"/>
          <w:sz w:val="24"/>
          <w:szCs w:val="24"/>
        </w:rPr>
      </w:pPr>
      <w:proofErr w:type="gramStart"/>
      <w:r w:rsidRPr="001C1D37">
        <w:rPr>
          <w:rFonts w:ascii="Times New Roman" w:hAnsi="Times New Roman"/>
          <w:sz w:val="24"/>
          <w:szCs w:val="24"/>
        </w:rPr>
        <w:lastRenderedPageBreak/>
        <w:t>where</w:t>
      </w:r>
      <w:proofErr w:type="gramEnd"/>
      <w:r w:rsidRPr="001C1D37">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0t</m:t>
            </m:r>
          </m:sub>
        </m:sSub>
      </m:oMath>
      <w:r w:rsidRPr="001C1D37">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1t</m:t>
            </m:r>
          </m:sub>
        </m:sSub>
      </m:oMath>
      <w:r w:rsidRPr="001C1D37">
        <w:rPr>
          <w:rFonts w:ascii="Times New Roman" w:hAnsi="Times New Roman"/>
          <w:sz w:val="24"/>
          <w:szCs w:val="24"/>
        </w:rPr>
        <w:t xml:space="preserve"> estimate the strength of the association between the biomarker at baseline and at time </w:t>
      </w:r>
      <m:oMath>
        <m:r>
          <w:rPr>
            <w:rFonts w:ascii="Cambria Math" w:hAnsi="Cambria Math"/>
            <w:sz w:val="24"/>
            <w:szCs w:val="24"/>
          </w:rPr>
          <m:t>z</m:t>
        </m:r>
      </m:oMath>
      <w:r w:rsidRPr="001C1D37">
        <w:rPr>
          <w:rFonts w:ascii="Times New Roman" w:hAnsi="Times New Roman"/>
          <w:sz w:val="24"/>
          <w:szCs w:val="24"/>
        </w:rPr>
        <w:t xml:space="preserve"> and occurrence of the clinical endpoint over </w:t>
      </w:r>
      <m:oMath>
        <m:r>
          <w:rPr>
            <w:rFonts w:ascii="Cambria Math" w:hAnsi="Cambria Math"/>
            <w:sz w:val="24"/>
            <w:szCs w:val="24"/>
          </w:rPr>
          <m:t>(0, t)</m:t>
        </m:r>
      </m:oMath>
      <w:r w:rsidRPr="001C1D37">
        <w:rPr>
          <w:rFonts w:ascii="Times New Roman" w:hAnsi="Times New Roman"/>
          <w:sz w:val="24"/>
          <w:szCs w:val="24"/>
        </w:rPr>
        <w:t xml:space="preserve"> respectively. In this model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1i</m:t>
            </m:r>
          </m:sub>
        </m:sSub>
        <m:d>
          <m:dPr>
            <m:ctrlPr>
              <w:rPr>
                <w:rFonts w:ascii="Cambria Math" w:hAnsi="Cambria Math"/>
                <w:i/>
                <w:sz w:val="24"/>
                <w:szCs w:val="24"/>
              </w:rPr>
            </m:ctrlPr>
          </m:dPr>
          <m:e>
            <m:r>
              <w:rPr>
                <w:rFonts w:ascii="Cambria Math" w:hAnsi="Cambria Math"/>
                <w:sz w:val="24"/>
                <w:szCs w:val="24"/>
                <w:lang w:eastAsia="en-GB" w:bidi="ta-IN"/>
              </w:rPr>
              <m:t>z</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1i</m:t>
            </m:r>
          </m:sub>
        </m:sSub>
        <m:r>
          <w:rPr>
            <w:rFonts w:ascii="Cambria Math" w:hAnsi="Cambria Math"/>
            <w:sz w:val="24"/>
            <w:szCs w:val="24"/>
            <w:lang w:eastAsia="en-GB" w:bidi="ta-IN"/>
          </w:rPr>
          <m:t xml:space="preserve">z. </m:t>
        </m:r>
      </m:oMath>
      <w:r w:rsidRPr="001C1D37">
        <w:rPr>
          <w:rFonts w:ascii="Times New Roman" w:hAnsi="Times New Roman"/>
          <w:sz w:val="24"/>
          <w:szCs w:val="24"/>
          <w:lang w:eastAsia="en-GB" w:bidi="ta-IN"/>
        </w:rPr>
        <w:t xml:space="preserve"> </w:t>
      </w:r>
    </w:p>
    <w:p w:rsidR="001C1D37" w:rsidRPr="001C1D37" w:rsidRDefault="001C1D37" w:rsidP="001C1D37">
      <w:pPr>
        <w:pStyle w:val="NoSpacing"/>
        <w:rPr>
          <w:rFonts w:ascii="Times New Roman" w:hAnsi="Times New Roman"/>
          <w:sz w:val="24"/>
          <w:szCs w:val="24"/>
        </w:rPr>
      </w:pPr>
    </w:p>
    <w:p w:rsidR="001C1D37" w:rsidRPr="001C1D37" w:rsidRDefault="001C1D37" w:rsidP="001C1D37">
      <w:pPr>
        <w:autoSpaceDE w:val="0"/>
        <w:autoSpaceDN w:val="0"/>
        <w:adjustRightInd w:val="0"/>
      </w:pPr>
      <w:r w:rsidRPr="001C1D37">
        <w:rPr>
          <w:rFonts w:eastAsia="Calibri"/>
        </w:rPr>
        <w:t>Once the j</w:t>
      </w:r>
      <w:r w:rsidRPr="001C1D37">
        <w:t>oint model is implemented</w:t>
      </w:r>
      <w:r w:rsidRPr="001C1D37">
        <w:rPr>
          <w:rFonts w:eastAsia="Calibri"/>
        </w:rPr>
        <w:t xml:space="preserve">, we calculate the </w:t>
      </w:r>
      <w:r w:rsidRPr="001C1D37">
        <w:t xml:space="preserve">corresponding model (or risk) score for the </w:t>
      </w:r>
      <m:oMath>
        <m:r>
          <w:rPr>
            <w:rFonts w:ascii="Cambria Math" w:hAnsi="Cambria Math"/>
          </w:rPr>
          <m:t>i</m:t>
        </m:r>
      </m:oMath>
      <w:proofErr w:type="gramStart"/>
      <w:r w:rsidRPr="001C1D37">
        <w:t>th</w:t>
      </w:r>
      <w:proofErr w:type="gramEnd"/>
      <w:r w:rsidRPr="001C1D37">
        <w:t xml:space="preserve"> individual at their event-time </w:t>
      </w: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=z</m:t>
        </m:r>
      </m:oMath>
      <w:r w:rsidRPr="001C1D37">
        <w:t xml:space="preserve"> by </w:t>
      </w:r>
    </w:p>
    <w:p w:rsidR="001C1D37" w:rsidRPr="001C1D37" w:rsidRDefault="001C1D37" w:rsidP="001C1D37">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7355"/>
        <w:gridCol w:w="764"/>
      </w:tblGrid>
      <w:tr w:rsidR="001C1D37" w:rsidRPr="001C1D37" w:rsidTr="001C1D37">
        <w:tc>
          <w:tcPr>
            <w:tcW w:w="601" w:type="dxa"/>
            <w:vAlign w:val="center"/>
          </w:tcPr>
          <w:p w:rsidR="001C1D37" w:rsidRPr="001C1D37" w:rsidRDefault="001C1D37" w:rsidP="001C1D37">
            <w:pPr>
              <w:pStyle w:val="NoSpacing"/>
              <w:rPr>
                <w:rFonts w:ascii="Times New Roman" w:hAnsi="Times New Roman"/>
                <w:sz w:val="24"/>
                <w:szCs w:val="24"/>
              </w:rPr>
            </w:pPr>
          </w:p>
        </w:tc>
        <w:tc>
          <w:tcPr>
            <w:tcW w:w="7355" w:type="dxa"/>
            <w:vAlign w:val="center"/>
          </w:tcPr>
          <w:p w:rsidR="001C1D37" w:rsidRPr="001C1D37" w:rsidRDefault="001C1D37" w:rsidP="001C1D37">
            <w:pPr>
              <w:autoSpaceDE w:val="0"/>
              <w:autoSpaceDN w:val="0"/>
              <w:adjustRightInd w:val="0"/>
              <w:rPr>
                <w:rFonts w:eastAsia="Calibri"/>
              </w:rPr>
            </w:pPr>
            <m:oMathPara>
              <m:oMath>
                <m:acc>
                  <m:accPr>
                    <m:ctrlPr>
                      <w:rPr>
                        <w:rFonts w:ascii="Cambria Math" w:eastAsia="Calibri" w:hAnsi="Cambria Math"/>
                        <w:i/>
                      </w:rPr>
                    </m:ctrlPr>
                  </m:accPr>
                  <m:e>
                    <m:r>
                      <m:rPr>
                        <m:sty m:val="p"/>
                      </m:rPr>
                      <w:rPr>
                        <w:rFonts w:ascii="Cambria Math" w:eastAsia="Calibri" w:hAnsi="Cambria Math"/>
                      </w:rPr>
                      <m:t>M</m:t>
                    </m:r>
                  </m:e>
                </m:acc>
                <m:d>
                  <m:dPr>
                    <m:ctrlPr>
                      <w:rPr>
                        <w:rFonts w:ascii="Cambria Math" w:eastAsia="Calibri" w:hAnsi="Cambria Math"/>
                        <w:i/>
                      </w:rPr>
                    </m:ctrlPr>
                  </m:dPr>
                  <m:e>
                    <m:r>
                      <w:rPr>
                        <w:rFonts w:ascii="Cambria Math" w:hAnsi="Cambria Math"/>
                      </w:rPr>
                      <m:t>z|</m:t>
                    </m:r>
                    <m:sSub>
                      <m:sSubPr>
                        <m:ctrlPr>
                          <w:rPr>
                            <w:rFonts w:ascii="Cambria Math" w:hAnsi="Cambria Math"/>
                            <w:i/>
                          </w:rPr>
                        </m:ctrlPr>
                      </m:sSubPr>
                      <m:e>
                        <m:r>
                          <w:rPr>
                            <w:rFonts w:ascii="Cambria Math" w:hAnsi="Cambria Math"/>
                          </w:rPr>
                          <m:t>Y</m:t>
                        </m:r>
                      </m:e>
                      <m:sub>
                        <m:r>
                          <w:rPr>
                            <w:rFonts w:ascii="Cambria Math" w:hAnsi="Cambria Math"/>
                          </w:rPr>
                          <m:t>i</m:t>
                        </m:r>
                      </m:sub>
                    </m:sSub>
                    <m:d>
                      <m:dPr>
                        <m:ctrlPr>
                          <w:rPr>
                            <w:rFonts w:ascii="Cambria Math" w:hAnsi="Cambria Math"/>
                            <w:i/>
                          </w:rPr>
                        </m:ctrlPr>
                      </m:dPr>
                      <m:e>
                        <m:r>
                          <w:rPr>
                            <w:rFonts w:ascii="Cambria Math" w:hAnsi="Cambria Math"/>
                          </w:rPr>
                          <m:t>z</m:t>
                        </m:r>
                      </m:e>
                    </m:d>
                  </m:e>
                </m:d>
                <m:r>
                  <w:rPr>
                    <w:rFonts w:ascii="Cambria Math" w:eastAsia="Calibri" w:hAnsi="Cambria Math"/>
                  </w:rPr>
                  <m:t>=f</m:t>
                </m:r>
                <m:d>
                  <m:dPr>
                    <m:ctrlPr>
                      <w:rPr>
                        <w:rFonts w:ascii="Cambria Math" w:hAnsi="Cambria Math"/>
                        <w:b/>
                        <w:i/>
                      </w:rPr>
                    </m:ctrlPr>
                  </m:dPr>
                  <m:e>
                    <m:r>
                      <m:rPr>
                        <m:sty m:val="bi"/>
                      </m:rPr>
                      <w:rPr>
                        <w:rFonts w:ascii="Cambria Math" w:hAnsi="Cambria Math"/>
                      </w:rPr>
                      <m:t>γ</m:t>
                    </m:r>
                  </m:e>
                </m:d>
                <m:sSub>
                  <m:sSubPr>
                    <m:ctrlPr>
                      <w:rPr>
                        <w:rFonts w:ascii="Cambria Math" w:hAnsi="Cambria Math"/>
                        <w:b/>
                        <w:i/>
                      </w:rPr>
                    </m:ctrlPr>
                  </m:sSubPr>
                  <m:e>
                    <m:acc>
                      <m:accPr>
                        <m:ctrlPr>
                          <w:rPr>
                            <w:rFonts w:ascii="Cambria Math" w:hAnsi="Cambria Math"/>
                            <w:b/>
                            <w:i/>
                          </w:rPr>
                        </m:ctrlPr>
                      </m:accPr>
                      <m:e>
                        <m:r>
                          <m:rPr>
                            <m:sty m:val="bi"/>
                          </m:rPr>
                          <w:rPr>
                            <w:rFonts w:ascii="Cambria Math" w:hAnsi="Cambria Math"/>
                          </w:rPr>
                          <m:t>U</m:t>
                        </m:r>
                      </m:e>
                    </m:acc>
                  </m:e>
                  <m:sub>
                    <m:r>
                      <m:rPr>
                        <m:sty m:val="bi"/>
                      </m:rPr>
                      <w:rPr>
                        <w:rFonts w:ascii="Cambria Math" w:hAnsi="Cambria Math"/>
                      </w:rPr>
                      <m:t>i</m:t>
                    </m:r>
                  </m:sub>
                </m:sSub>
                <m:d>
                  <m:dPr>
                    <m:ctrlPr>
                      <w:rPr>
                        <w:rFonts w:ascii="Cambria Math" w:hAnsi="Cambria Math"/>
                        <w:b/>
                        <w:i/>
                      </w:rPr>
                    </m:ctrlPr>
                  </m:dPr>
                  <m:e>
                    <m:r>
                      <w:rPr>
                        <w:rFonts w:ascii="Cambria Math" w:hAnsi="Cambria Math"/>
                      </w:rPr>
                      <m:t>z</m:t>
                    </m:r>
                  </m:e>
                </m:d>
                <m:r>
                  <m:rPr>
                    <m:sty m:val="bi"/>
                  </m:rPr>
                  <w:rPr>
                    <w:rFonts w:ascii="Cambria Math" w:hAnsi="Cambria Math"/>
                  </w:rPr>
                  <m:t xml:space="preserve">, </m:t>
                </m:r>
                <m:r>
                  <w:rPr>
                    <w:rFonts w:ascii="Cambria Math" w:hAnsi="Cambria Math"/>
                  </w:rPr>
                  <m:t>z≤t</m:t>
                </m:r>
              </m:oMath>
            </m:oMathPara>
          </w:p>
        </w:tc>
        <w:tc>
          <w:tcPr>
            <w:tcW w:w="764" w:type="dxa"/>
            <w:vAlign w:val="center"/>
          </w:tcPr>
          <w:p w:rsidR="001C1D37" w:rsidRPr="001C1D37" w:rsidRDefault="001C1D37" w:rsidP="001C1D37">
            <w:pPr>
              <w:pStyle w:val="NoSpacing"/>
              <w:rPr>
                <w:rFonts w:ascii="Times New Roman" w:hAnsi="Times New Roman"/>
                <w:sz w:val="24"/>
                <w:szCs w:val="24"/>
              </w:rPr>
            </w:pPr>
          </w:p>
        </w:tc>
      </w:tr>
    </w:tbl>
    <w:p w:rsidR="001C1D37" w:rsidRPr="001C1D37" w:rsidRDefault="001C1D37" w:rsidP="001C1D37">
      <w:pPr>
        <w:autoSpaceDE w:val="0"/>
        <w:autoSpaceDN w:val="0"/>
        <w:adjustRightInd w:val="0"/>
      </w:pPr>
    </w:p>
    <w:p w:rsidR="001C1D37" w:rsidRPr="001C1D37" w:rsidRDefault="001C1D37" w:rsidP="001C1D37">
      <w:pPr>
        <w:autoSpaceDE w:val="0"/>
        <w:autoSpaceDN w:val="0"/>
        <w:adjustRightInd w:val="0"/>
        <w:rPr>
          <w:rFonts w:eastAsia="Calibri"/>
        </w:rPr>
      </w:pPr>
      <w:proofErr w:type="gramStart"/>
      <w:r w:rsidRPr="001C1D37">
        <w:rPr>
          <w:rFonts w:eastAsia="Calibri"/>
        </w:rPr>
        <w:t>where</w:t>
      </w:r>
      <w:proofErr w:type="gramEnd"/>
      <w:r w:rsidRPr="001C1D37">
        <w:rPr>
          <w:rFonts w:eastAsia="Calibri"/>
        </w:rPr>
        <w:t xml:space="preserve"> </w:t>
      </w:r>
      <m:oMath>
        <m:sSub>
          <m:sSubPr>
            <m:ctrlPr>
              <w:rPr>
                <w:rFonts w:ascii="Cambria Math" w:hAnsi="Cambria Math"/>
                <w:b/>
                <w:i/>
              </w:rPr>
            </m:ctrlPr>
          </m:sSubPr>
          <m:e>
            <m:acc>
              <m:accPr>
                <m:ctrlPr>
                  <w:rPr>
                    <w:rFonts w:ascii="Cambria Math" w:hAnsi="Cambria Math"/>
                    <w:b/>
                    <w:i/>
                  </w:rPr>
                </m:ctrlPr>
              </m:accPr>
              <m:e>
                <m:r>
                  <m:rPr>
                    <m:sty m:val="bi"/>
                  </m:rPr>
                  <w:rPr>
                    <w:rFonts w:ascii="Cambria Math" w:hAnsi="Cambria Math"/>
                  </w:rPr>
                  <m:t>U</m:t>
                </m:r>
              </m:e>
            </m:acc>
          </m:e>
          <m:sub>
            <m:r>
              <m:rPr>
                <m:sty m:val="bi"/>
              </m:rPr>
              <w:rPr>
                <w:rFonts w:ascii="Cambria Math" w:hAnsi="Cambria Math"/>
              </w:rPr>
              <m:t>i</m:t>
            </m:r>
          </m:sub>
        </m:sSub>
        <m:d>
          <m:dPr>
            <m:ctrlPr>
              <w:rPr>
                <w:rFonts w:ascii="Cambria Math" w:hAnsi="Cambria Math"/>
                <w:b/>
                <w:i/>
              </w:rPr>
            </m:ctrlPr>
          </m:dPr>
          <m:e>
            <m:r>
              <w:rPr>
                <w:rFonts w:ascii="Cambria Math" w:hAnsi="Cambria Math"/>
              </w:rPr>
              <m:t>z</m:t>
            </m:r>
          </m:e>
        </m:d>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U</m:t>
                </m:r>
              </m:e>
            </m:acc>
          </m:e>
          <m:sub>
            <m:r>
              <w:rPr>
                <w:rFonts w:ascii="Cambria Math" w:hAnsi="Cambria Math"/>
              </w:rPr>
              <m:t>0i</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U</m:t>
                </m:r>
              </m:e>
            </m:acc>
          </m:e>
          <m:sub>
            <m:r>
              <w:rPr>
                <w:rFonts w:ascii="Cambria Math" w:hAnsi="Cambria Math"/>
              </w:rPr>
              <m:t>1i</m:t>
            </m:r>
          </m:sub>
        </m:sSub>
        <m:sSub>
          <m:sSubPr>
            <m:ctrlPr>
              <w:rPr>
                <w:rFonts w:ascii="Cambria Math" w:eastAsia="Calibri" w:hAnsi="Cambria Math"/>
                <w:i/>
              </w:rPr>
            </m:ctrlPr>
          </m:sSubPr>
          <m:e>
            <m:r>
              <w:rPr>
                <w:rFonts w:ascii="Cambria Math" w:eastAsia="Calibri" w:hAnsi="Cambria Math"/>
              </w:rPr>
              <m:t>Z</m:t>
            </m:r>
          </m:e>
          <m:sub>
            <m:r>
              <w:rPr>
                <w:rFonts w:ascii="Cambria Math" w:eastAsia="Calibri" w:hAnsi="Cambria Math"/>
              </w:rPr>
              <m:t>i</m:t>
            </m:r>
          </m:sub>
        </m:sSub>
        <m:r>
          <w:rPr>
            <w:rFonts w:ascii="Cambria Math" w:hAnsi="Cambria Math"/>
          </w:rPr>
          <m:t>)</m:t>
        </m:r>
      </m:oMath>
      <w:r w:rsidRPr="001C1D37">
        <w:rPr>
          <w:rFonts w:eastAsia="Calibri"/>
        </w:rPr>
        <w:t xml:space="preserve"> and </w:t>
      </w:r>
    </w:p>
    <w:p w:rsidR="001C1D37" w:rsidRPr="001C1D37" w:rsidRDefault="001C1D37" w:rsidP="001C1D37">
      <w:pPr>
        <w:autoSpaceDE w:val="0"/>
        <w:autoSpaceDN w:val="0"/>
        <w:adjustRightInd w:val="0"/>
        <w:rPr>
          <w:rFonts w:eastAsia="Calibri"/>
        </w:rPr>
      </w:pPr>
    </w:p>
    <w:p w:rsidR="001C1D37" w:rsidRPr="001C1D37" w:rsidRDefault="001C1D37" w:rsidP="001C1D37">
      <w:pPr>
        <w:autoSpaceDE w:val="0"/>
        <w:autoSpaceDN w:val="0"/>
        <w:adjustRightInd w:val="0"/>
        <w:rPr>
          <w:rFonts w:eastAsia="Calibri"/>
        </w:rPr>
      </w:pPr>
      <m:oMathPara>
        <m:oMathParaPr>
          <m:jc m:val="center"/>
        </m:oMathParaPr>
        <m:oMath>
          <m:r>
            <m:rPr>
              <m:sty m:val="bi"/>
            </m:rPr>
            <w:rPr>
              <w:rFonts w:ascii="Cambria Math" w:hAnsi="Cambria Math"/>
            </w:rPr>
            <m:t>f</m:t>
          </m:r>
          <m:d>
            <m:dPr>
              <m:ctrlPr>
                <w:rPr>
                  <w:rFonts w:ascii="Cambria Math" w:hAnsi="Cambria Math"/>
                  <w:b/>
                  <w:i/>
                </w:rPr>
              </m:ctrlPr>
            </m:dPr>
            <m:e>
              <m:r>
                <m:rPr>
                  <m:sty m:val="bi"/>
                </m:rPr>
                <w:rPr>
                  <w:rFonts w:ascii="Cambria Math" w:hAnsi="Cambria Math"/>
                </w:rPr>
                <m:t>γ</m:t>
              </m:r>
            </m:e>
          </m:d>
          <m:r>
            <w:rPr>
              <w:rFonts w:ascii="Cambria Math" w:eastAsia="Calibri" w:hAnsi="Cambria Math"/>
            </w:rPr>
            <m:t>=</m:t>
          </m:r>
          <m:d>
            <m:dPr>
              <m:begChr m:val="{"/>
              <m:endChr m:val=""/>
              <m:ctrlPr>
                <w:rPr>
                  <w:rFonts w:ascii="Cambria Math" w:eastAsia="Calibri" w:hAnsi="Cambria Math"/>
                  <w:i/>
                </w:rPr>
              </m:ctrlPr>
            </m:dPr>
            <m:e>
              <m:m>
                <m:mPr>
                  <m:mcs>
                    <m:mc>
                      <m:mcPr>
                        <m:count m:val="2"/>
                        <m:mcJc m:val="center"/>
                      </m:mcPr>
                    </m:mc>
                  </m:mcs>
                  <m:ctrlPr>
                    <w:rPr>
                      <w:rFonts w:ascii="Cambria Math" w:eastAsia="Calibri" w:hAnsi="Cambria Math"/>
                      <w:i/>
                    </w:rPr>
                  </m:ctrlPr>
                </m:mPr>
                <m:mr>
                  <m:e>
                    <m:sSub>
                      <m:sSubPr>
                        <m:ctrlPr>
                          <w:rPr>
                            <w:rFonts w:ascii="Cambria Math" w:hAnsi="Cambria Math"/>
                            <w:bCs/>
                            <w:i/>
                          </w:rPr>
                        </m:ctrlPr>
                      </m:sSubPr>
                      <m:e>
                        <m:r>
                          <w:rPr>
                            <w:rFonts w:ascii="Cambria Math" w:hAnsi="Cambria Math"/>
                          </w:rPr>
                          <m:t>(</m:t>
                        </m:r>
                        <m:acc>
                          <m:accPr>
                            <m:ctrlPr>
                              <w:rPr>
                                <w:rFonts w:ascii="Cambria Math" w:hAnsi="Cambria Math"/>
                                <w:i/>
                              </w:rPr>
                            </m:ctrlPr>
                          </m:accPr>
                          <m:e>
                            <m:r>
                              <w:rPr>
                                <w:rFonts w:ascii="Cambria Math" w:hAnsi="Cambria Math"/>
                              </w:rPr>
                              <m:t>γ</m:t>
                            </m:r>
                          </m:e>
                        </m:acc>
                      </m:e>
                      <m:sub>
                        <m:r>
                          <w:rPr>
                            <w:rFonts w:ascii="Cambria Math" w:hAnsi="Cambria Math"/>
                          </w:rPr>
                          <m:t>0</m:t>
                        </m:r>
                      </m:sub>
                    </m:sSub>
                    <m:r>
                      <w:rPr>
                        <w:rFonts w:ascii="Cambria Math" w:hAnsi="Cambria Math"/>
                      </w:rPr>
                      <m:t>, 0)</m:t>
                    </m:r>
                    <m:r>
                      <w:rPr>
                        <w:rFonts w:ascii="Cambria Math" w:eastAsia="Calibri" w:hAnsi="Cambria Math"/>
                      </w:rPr>
                      <m:t xml:space="preserve">       </m:t>
                    </m:r>
                  </m:e>
                  <m:e>
                    <m:r>
                      <m:rPr>
                        <m:sty m:val="p"/>
                      </m:rPr>
                      <w:rPr>
                        <w:rFonts w:ascii="Cambria Math" w:eastAsia="Calibri" w:hAnsi="Cambria Math"/>
                      </w:rPr>
                      <m:t>for Model A</m:t>
                    </m:r>
                    <m:r>
                      <w:rPr>
                        <w:rFonts w:ascii="Cambria Math" w:hAnsi="Cambria Math"/>
                      </w:rPr>
                      <m:t xml:space="preserve">                                       </m:t>
                    </m:r>
                  </m:e>
                </m:mr>
                <m:mr>
                  <m:e>
                    <m:r>
                      <m:rPr>
                        <m:sty m:val="p"/>
                      </m:rPr>
                      <w:rPr>
                        <w:rFonts w:ascii="Cambria Math" w:eastAsia="Calibri" w:hAnsi="Cambria Math"/>
                      </w:rPr>
                      <m:t xml:space="preserve"> </m:t>
                    </m:r>
                    <m:d>
                      <m:dPr>
                        <m:ctrlPr>
                          <w:rPr>
                            <w:rFonts w:ascii="Cambria Math" w:eastAsia="Calibri" w:hAnsi="Cambria Math"/>
                            <w:i/>
                          </w:rPr>
                        </m:ctrlPr>
                      </m:dPr>
                      <m:e>
                        <m:sSub>
                          <m:sSubPr>
                            <m:ctrlPr>
                              <w:rPr>
                                <w:rFonts w:ascii="Cambria Math" w:eastAsia="Calibri" w:hAnsi="Cambria Math"/>
                                <w:i/>
                              </w:rPr>
                            </m:ctrlPr>
                          </m:sSubPr>
                          <m:e>
                            <m:acc>
                              <m:accPr>
                                <m:ctrlPr>
                                  <w:rPr>
                                    <w:rFonts w:ascii="Cambria Math" w:eastAsia="Calibri" w:hAnsi="Cambria Math"/>
                                    <w:i/>
                                  </w:rPr>
                                </m:ctrlPr>
                              </m:accPr>
                              <m:e>
                                <m:r>
                                  <w:rPr>
                                    <w:rFonts w:ascii="Cambria Math" w:eastAsia="Calibri" w:hAnsi="Cambria Math"/>
                                  </w:rPr>
                                  <m:t>γ</m:t>
                                </m:r>
                              </m:e>
                            </m:acc>
                          </m:e>
                          <m:sub>
                            <m:r>
                              <w:rPr>
                                <w:rFonts w:ascii="Cambria Math" w:eastAsia="Calibri" w:hAnsi="Cambria Math"/>
                              </w:rPr>
                              <m:t>t</m:t>
                            </m:r>
                          </m:sub>
                        </m:sSub>
                        <m:r>
                          <w:rPr>
                            <w:rFonts w:ascii="Cambria Math" w:eastAsia="Calibri" w:hAnsi="Cambria Math"/>
                          </w:rPr>
                          <m:t xml:space="preserve"> , </m:t>
                        </m:r>
                        <m:sSub>
                          <m:sSubPr>
                            <m:ctrlPr>
                              <w:rPr>
                                <w:rFonts w:ascii="Cambria Math" w:eastAsia="Calibri" w:hAnsi="Cambria Math"/>
                                <w:i/>
                              </w:rPr>
                            </m:ctrlPr>
                          </m:sSubPr>
                          <m:e>
                            <m:acc>
                              <m:accPr>
                                <m:ctrlPr>
                                  <w:rPr>
                                    <w:rFonts w:ascii="Cambria Math" w:eastAsia="Calibri" w:hAnsi="Cambria Math"/>
                                    <w:i/>
                                  </w:rPr>
                                </m:ctrlPr>
                              </m:accPr>
                              <m:e>
                                <m:r>
                                  <w:rPr>
                                    <w:rFonts w:ascii="Cambria Math" w:eastAsia="Calibri" w:hAnsi="Cambria Math"/>
                                  </w:rPr>
                                  <m:t>γ</m:t>
                                </m:r>
                              </m:e>
                            </m:acc>
                          </m:e>
                          <m:sub>
                            <m:r>
                              <w:rPr>
                                <w:rFonts w:ascii="Cambria Math" w:eastAsia="Calibri" w:hAnsi="Cambria Math"/>
                              </w:rPr>
                              <m:t>t</m:t>
                            </m:r>
                          </m:sub>
                        </m:sSub>
                      </m:e>
                    </m:d>
                    <m:r>
                      <w:rPr>
                        <w:rFonts w:ascii="Cambria Math" w:hAnsi="Cambria Math"/>
                      </w:rPr>
                      <m:t xml:space="preserve">      </m:t>
                    </m:r>
                  </m:e>
                  <m:e>
                    <m:r>
                      <m:rPr>
                        <m:sty m:val="p"/>
                      </m:rPr>
                      <w:rPr>
                        <w:rFonts w:ascii="Cambria Math" w:eastAsia="Calibri" w:hAnsi="Cambria Math"/>
                      </w:rPr>
                      <m:t xml:space="preserve">            for Model B (used in the main article)</m:t>
                    </m:r>
                    <m:r>
                      <w:rPr>
                        <w:rFonts w:ascii="Cambria Math" w:hAnsi="Cambria Math"/>
                      </w:rPr>
                      <m:t xml:space="preserve"> </m:t>
                    </m:r>
                  </m:e>
                </m:mr>
                <m:mr>
                  <m:e>
                    <m:d>
                      <m:dPr>
                        <m:ctrlPr>
                          <w:rPr>
                            <w:rFonts w:ascii="Cambria Math" w:eastAsia="Calibri" w:hAnsi="Cambria Math"/>
                            <w:i/>
                          </w:rPr>
                        </m:ctrlPr>
                      </m:dPr>
                      <m:e>
                        <m:sSub>
                          <m:sSubPr>
                            <m:ctrlPr>
                              <w:rPr>
                                <w:rFonts w:ascii="Cambria Math" w:hAnsi="Cambria Math"/>
                                <w:bCs/>
                                <w:i/>
                              </w:rPr>
                            </m:ctrlPr>
                          </m:sSubPr>
                          <m:e>
                            <m:acc>
                              <m:accPr>
                                <m:ctrlPr>
                                  <w:rPr>
                                    <w:rFonts w:ascii="Cambria Math" w:hAnsi="Cambria Math"/>
                                    <w:i/>
                                  </w:rPr>
                                </m:ctrlPr>
                              </m:accPr>
                              <m:e>
                                <m:r>
                                  <w:rPr>
                                    <w:rFonts w:ascii="Cambria Math" w:hAnsi="Cambria Math"/>
                                  </w:rPr>
                                  <m:t>γ</m:t>
                                </m:r>
                              </m:e>
                            </m:acc>
                          </m:e>
                          <m:sub>
                            <m:r>
                              <w:rPr>
                                <w:rFonts w:ascii="Cambria Math" w:hAnsi="Cambria Math"/>
                              </w:rPr>
                              <m:t>0t</m:t>
                            </m:r>
                          </m:sub>
                        </m:sSub>
                        <m:r>
                          <w:rPr>
                            <w:rFonts w:ascii="Cambria Math" w:hAnsi="Cambria Math"/>
                          </w:rPr>
                          <m:t>,</m:t>
                        </m:r>
                        <m:sSub>
                          <m:sSubPr>
                            <m:ctrlPr>
                              <w:rPr>
                                <w:rFonts w:ascii="Cambria Math" w:hAnsi="Cambria Math"/>
                                <w:bCs/>
                                <w:i/>
                              </w:rPr>
                            </m:ctrlPr>
                          </m:sSubPr>
                          <m:e>
                            <m:r>
                              <w:rPr>
                                <w:rFonts w:ascii="Cambria Math" w:hAnsi="Cambria Math"/>
                              </w:rPr>
                              <m:t xml:space="preserve"> </m:t>
                            </m:r>
                            <m:acc>
                              <m:accPr>
                                <m:ctrlPr>
                                  <w:rPr>
                                    <w:rFonts w:ascii="Cambria Math" w:hAnsi="Cambria Math"/>
                                    <w:i/>
                                  </w:rPr>
                                </m:ctrlPr>
                              </m:accPr>
                              <m:e>
                                <m:r>
                                  <w:rPr>
                                    <w:rFonts w:ascii="Cambria Math" w:hAnsi="Cambria Math"/>
                                  </w:rPr>
                                  <m:t>γ</m:t>
                                </m:r>
                              </m:e>
                            </m:acc>
                          </m:e>
                          <m:sub>
                            <m:r>
                              <w:rPr>
                                <w:rFonts w:ascii="Cambria Math" w:hAnsi="Cambria Math"/>
                              </w:rPr>
                              <m:t>1t</m:t>
                            </m:r>
                          </m:sub>
                        </m:sSub>
                      </m:e>
                    </m:d>
                    <m:r>
                      <w:rPr>
                        <w:rFonts w:ascii="Cambria Math" w:eastAsia="Calibri" w:hAnsi="Cambria Math"/>
                      </w:rPr>
                      <m:t xml:space="preserve"> </m:t>
                    </m:r>
                  </m:e>
                  <m:e>
                    <m:r>
                      <m:rPr>
                        <m:sty m:val="p"/>
                      </m:rPr>
                      <w:rPr>
                        <w:rFonts w:ascii="Cambria Math" w:eastAsia="Calibri" w:hAnsi="Cambria Math"/>
                      </w:rPr>
                      <m:t xml:space="preserve">for Model C                       </m:t>
                    </m:r>
                    <m:r>
                      <w:rPr>
                        <w:rFonts w:ascii="Cambria Math" w:hAnsi="Cambria Math"/>
                      </w:rPr>
                      <m:t xml:space="preserve">                </m:t>
                    </m:r>
                  </m:e>
                </m:mr>
              </m:m>
            </m:e>
          </m:d>
        </m:oMath>
      </m:oMathPara>
    </w:p>
    <w:p w:rsidR="001C1D37" w:rsidRPr="001C1D37" w:rsidRDefault="001C1D37" w:rsidP="001C1D37">
      <w:pPr>
        <w:autoSpaceDE w:val="0"/>
        <w:autoSpaceDN w:val="0"/>
        <w:adjustRightInd w:val="0"/>
        <w:rPr>
          <w:rFonts w:eastAsia="Calibri"/>
        </w:rPr>
      </w:pPr>
    </w:p>
    <w:p w:rsidR="001C1D37" w:rsidRPr="001C1D37" w:rsidRDefault="001C1D37" w:rsidP="001C1D37">
      <w:pPr>
        <w:pStyle w:val="NoSpacing"/>
        <w:rPr>
          <w:rFonts w:ascii="Times New Roman" w:hAnsi="Times New Roman"/>
          <w:sz w:val="24"/>
          <w:szCs w:val="24"/>
        </w:rPr>
      </w:pPr>
      <w:proofErr w:type="gramStart"/>
      <w:r w:rsidRPr="001C1D37">
        <w:rPr>
          <w:rFonts w:ascii="Times New Roman" w:hAnsi="Times New Roman"/>
          <w:sz w:val="24"/>
          <w:szCs w:val="24"/>
        </w:rPr>
        <w:t>where</w:t>
      </w:r>
      <w:proofErr w:type="gramEnd"/>
      <w:r w:rsidRPr="001C1D37">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m:t>
            </m:r>
          </m:sub>
        </m:sSub>
      </m:oMath>
      <w:r w:rsidRPr="001C1D37">
        <w:rPr>
          <w:rFonts w:ascii="Times New Roman" w:hAnsi="Times New Roman"/>
          <w:sz w:val="24"/>
          <w:szCs w:val="24"/>
        </w:rPr>
        <w:t xml:space="preserve"> is defined by (4) (see main article) for a time period </w:t>
      </w:r>
      <m:oMath>
        <m:r>
          <w:rPr>
            <w:rFonts w:ascii="Cambria Math" w:hAnsi="Cambria Math"/>
            <w:sz w:val="24"/>
            <w:szCs w:val="24"/>
          </w:rPr>
          <m:t>(</m:t>
        </m:r>
        <m:r>
          <m:rPr>
            <m:sty m:val="p"/>
          </m:rPr>
          <w:rPr>
            <w:rFonts w:ascii="Cambria Math" w:hAnsi="Cambria Math"/>
            <w:sz w:val="24"/>
            <w:szCs w:val="24"/>
          </w:rPr>
          <m:t xml:space="preserve">0, </m:t>
        </m:r>
        <m:r>
          <w:rPr>
            <w:rFonts w:ascii="Cambria Math" w:hAnsi="Cambria Math"/>
            <w:sz w:val="24"/>
            <w:szCs w:val="24"/>
          </w:rPr>
          <m:t>t)</m:t>
        </m:r>
      </m:oMath>
      <w:r w:rsidRPr="001C1D37">
        <w:rPr>
          <w:rFonts w:ascii="Times New Roman" w:hAnsi="Times New Roman"/>
          <w:sz w:val="24"/>
          <w:szCs w:val="24"/>
        </w:rPr>
        <w:t xml:space="preserve">, and </w:t>
      </w:r>
      <m:oMath>
        <m:r>
          <m:rPr>
            <m:sty m:val="bi"/>
          </m:rPr>
          <w:rPr>
            <w:rFonts w:ascii="Cambria Math" w:hAnsi="Cambria Math"/>
            <w:sz w:val="24"/>
            <w:szCs w:val="24"/>
          </w:rPr>
          <m:t>f</m:t>
        </m:r>
        <m:d>
          <m:dPr>
            <m:ctrlPr>
              <w:rPr>
                <w:rFonts w:ascii="Cambria Math" w:hAnsi="Cambria Math"/>
                <w:b/>
                <w:i/>
                <w:sz w:val="24"/>
                <w:szCs w:val="24"/>
              </w:rPr>
            </m:ctrlPr>
          </m:dPr>
          <m:e>
            <m:r>
              <m:rPr>
                <m:sty m:val="bi"/>
              </m:rPr>
              <w:rPr>
                <w:rFonts w:ascii="Cambria Math" w:hAnsi="Cambria Math"/>
                <w:sz w:val="24"/>
                <w:szCs w:val="24"/>
              </w:rPr>
              <m:t>γ</m:t>
            </m:r>
          </m:e>
        </m:d>
      </m:oMath>
      <w:r w:rsidRPr="001C1D37">
        <w:rPr>
          <w:rFonts w:ascii="Times New Roman" w:hAnsi="Times New Roman"/>
          <w:b/>
          <w:sz w:val="24"/>
          <w:szCs w:val="24"/>
        </w:rPr>
        <w:t xml:space="preserve"> </w:t>
      </w:r>
      <w:r w:rsidRPr="001C1D37">
        <w:rPr>
          <w:rFonts w:ascii="Times New Roman" w:hAnsi="Times New Roman"/>
          <w:sz w:val="24"/>
          <w:szCs w:val="24"/>
        </w:rPr>
        <w:t xml:space="preserve">estimates the corresponding association over </w:t>
      </w:r>
      <m:oMath>
        <m:r>
          <w:rPr>
            <w:rFonts w:ascii="Cambria Math" w:hAnsi="Cambria Math"/>
            <w:sz w:val="24"/>
            <w:szCs w:val="24"/>
          </w:rPr>
          <m:t>(0,t)</m:t>
        </m:r>
      </m:oMath>
      <w:r w:rsidRPr="001C1D37">
        <w:rPr>
          <w:rFonts w:ascii="Times New Roman" w:hAnsi="Times New Roman"/>
          <w:sz w:val="24"/>
          <w:szCs w:val="24"/>
        </w:rPr>
        <w:t xml:space="preserve">. </w:t>
      </w:r>
    </w:p>
    <w:p w:rsidR="001C1D37" w:rsidRDefault="001C1D37" w:rsidP="001C1D37">
      <w:pPr>
        <w:pStyle w:val="NoSpacing"/>
        <w:rPr>
          <w:rFonts w:ascii="Times New Roman" w:hAnsi="Times New Roman"/>
          <w:sz w:val="24"/>
          <w:szCs w:val="24"/>
        </w:rPr>
      </w:pPr>
    </w:p>
    <w:p w:rsidR="00DE7EBE" w:rsidRPr="001C1D37" w:rsidRDefault="00DE7EBE" w:rsidP="001C1D37">
      <w:pPr>
        <w:pStyle w:val="NoSpacing"/>
        <w:rPr>
          <w:rFonts w:ascii="Times New Roman" w:hAnsi="Times New Roman"/>
          <w:sz w:val="24"/>
          <w:szCs w:val="24"/>
        </w:rPr>
      </w:pPr>
    </w:p>
    <w:p w:rsidR="001C1D37" w:rsidRPr="001C1D37" w:rsidRDefault="001C1D37" w:rsidP="001C1D37">
      <w:pPr>
        <w:pStyle w:val="NoSpacing"/>
        <w:rPr>
          <w:rFonts w:ascii="Times New Roman" w:hAnsi="Times New Roman"/>
          <w:b/>
          <w:sz w:val="24"/>
          <w:szCs w:val="24"/>
        </w:rPr>
      </w:pPr>
      <w:r w:rsidRPr="001C1D37">
        <w:rPr>
          <w:rFonts w:ascii="Times New Roman" w:hAnsi="Times New Roman"/>
          <w:b/>
          <w:sz w:val="24"/>
          <w:szCs w:val="24"/>
        </w:rPr>
        <w:t>Simulation study</w:t>
      </w:r>
    </w:p>
    <w:p w:rsidR="001C1D37" w:rsidRPr="001C1D37" w:rsidRDefault="001C1D37" w:rsidP="001C1D37">
      <w:pPr>
        <w:pStyle w:val="NoSpacing"/>
        <w:rPr>
          <w:rFonts w:ascii="Times New Roman" w:hAnsi="Times New Roman"/>
          <w:sz w:val="24"/>
          <w:szCs w:val="24"/>
        </w:rPr>
      </w:pPr>
      <w:r w:rsidRPr="001C1D37">
        <w:rPr>
          <w:rFonts w:ascii="Times New Roman" w:hAnsi="Times New Roman"/>
          <w:sz w:val="24"/>
          <w:szCs w:val="24"/>
        </w:rPr>
        <w:t xml:space="preserve">We have conducted the simulation study 2 based on the above two association structures to explore how these association structures affect the discriminatory potential of a biomarker (as estimated by AUC). Event rates were varied at 80% and 30%. </w:t>
      </w:r>
    </w:p>
    <w:p w:rsidR="001C1D37" w:rsidRDefault="001C1D37" w:rsidP="001C1D37">
      <w:pPr>
        <w:pStyle w:val="NoSpacing"/>
        <w:contextualSpacing/>
        <w:rPr>
          <w:rFonts w:ascii="Times New Roman" w:hAnsi="Times New Roman"/>
          <w:b/>
          <w:sz w:val="24"/>
          <w:szCs w:val="24"/>
        </w:rPr>
      </w:pPr>
    </w:p>
    <w:p w:rsidR="00DE7EBE" w:rsidRDefault="00DE7EBE" w:rsidP="001C1D37">
      <w:pPr>
        <w:pStyle w:val="NoSpacing"/>
        <w:contextualSpacing/>
        <w:rPr>
          <w:rFonts w:ascii="Times New Roman" w:hAnsi="Times New Roman"/>
          <w:b/>
          <w:sz w:val="24"/>
          <w:szCs w:val="24"/>
        </w:rPr>
      </w:pPr>
    </w:p>
    <w:p w:rsidR="00DE7EBE" w:rsidRPr="001C1D37" w:rsidRDefault="00DE7EBE" w:rsidP="001C1D37">
      <w:pPr>
        <w:pStyle w:val="NoSpacing"/>
        <w:contextualSpacing/>
        <w:rPr>
          <w:rFonts w:ascii="Times New Roman" w:hAnsi="Times New Roman"/>
          <w:b/>
          <w:sz w:val="24"/>
          <w:szCs w:val="24"/>
        </w:rPr>
      </w:pPr>
    </w:p>
    <w:p w:rsidR="001C1D37" w:rsidRPr="00DE7EBE" w:rsidRDefault="001C1D37" w:rsidP="001C1D37">
      <w:pPr>
        <w:pStyle w:val="NoSpacing"/>
        <w:contextualSpacing/>
        <w:rPr>
          <w:rFonts w:ascii="Times New Roman" w:hAnsi="Times New Roman"/>
          <w:b/>
          <w:sz w:val="24"/>
          <w:szCs w:val="24"/>
        </w:rPr>
      </w:pPr>
      <w:r w:rsidRPr="00DE7EBE">
        <w:rPr>
          <w:rFonts w:ascii="Times New Roman" w:hAnsi="Times New Roman"/>
          <w:b/>
          <w:sz w:val="24"/>
          <w:szCs w:val="24"/>
        </w:rPr>
        <w:t xml:space="preserve">Table S1. Model A </w:t>
      </w:r>
    </w:p>
    <w:tbl>
      <w:tblPr>
        <w:tblpPr w:leftFromText="180" w:rightFromText="180" w:vertAnchor="text" w:tblpY="1"/>
        <w:tblOverlap w:val="never"/>
        <w:tblW w:w="69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83"/>
        <w:gridCol w:w="1134"/>
        <w:gridCol w:w="1276"/>
        <w:gridCol w:w="1181"/>
        <w:gridCol w:w="1087"/>
      </w:tblGrid>
      <w:tr w:rsidR="001C1D37" w:rsidRPr="004655FB" w:rsidTr="001C1D37">
        <w:trPr>
          <w:trHeight w:hRule="exact" w:val="340"/>
        </w:trPr>
        <w:tc>
          <w:tcPr>
            <w:tcW w:w="2283" w:type="dxa"/>
            <w:vMerge w:val="restart"/>
            <w:tcBorders>
              <w:top w:val="single" w:sz="12" w:space="0" w:color="auto"/>
              <w:left w:val="nil"/>
              <w:right w:val="single" w:sz="4" w:space="0" w:color="auto"/>
            </w:tcBorders>
            <w:vAlign w:val="center"/>
          </w:tcPr>
          <w:p w:rsidR="001C1D37" w:rsidRPr="004655FB" w:rsidRDefault="001C1D37" w:rsidP="001C1D37">
            <w:pPr>
              <w:pStyle w:val="NoSpacing"/>
              <w:jc w:val="center"/>
              <w:rPr>
                <w:b/>
              </w:rPr>
            </w:pPr>
            <w:r w:rsidRPr="004655FB">
              <w:rPr>
                <w:b/>
              </w:rPr>
              <w:lastRenderedPageBreak/>
              <w:t xml:space="preserve">True  </w:t>
            </w:r>
            <m:oMath>
              <m:sSub>
                <m:sSubPr>
                  <m:ctrlPr>
                    <w:rPr>
                      <w:rFonts w:ascii="Cambria Math" w:hAnsi="Cambria Math"/>
                      <w:b/>
                      <w:i/>
                    </w:rPr>
                  </m:ctrlPr>
                </m:sSubPr>
                <m:e>
                  <m:r>
                    <m:rPr>
                      <m:sty m:val="bi"/>
                    </m:rPr>
                    <w:rPr>
                      <w:rFonts w:ascii="Cambria Math" w:hAnsi="Cambria Math"/>
                    </w:rPr>
                    <m:t>γ</m:t>
                  </m:r>
                </m:e>
                <m:sub>
                  <m:r>
                    <m:rPr>
                      <m:sty m:val="bi"/>
                    </m:rPr>
                    <w:rPr>
                      <w:rFonts w:ascii="Cambria Math" w:hAnsi="Cambria Math"/>
                    </w:rPr>
                    <m:t>0</m:t>
                  </m:r>
                </m:sub>
              </m:sSub>
            </m:oMath>
          </w:p>
        </w:tc>
        <w:tc>
          <w:tcPr>
            <w:tcW w:w="2410" w:type="dxa"/>
            <w:gridSpan w:val="2"/>
            <w:tcBorders>
              <w:top w:val="single" w:sz="12" w:space="0" w:color="auto"/>
              <w:bottom w:val="single" w:sz="2" w:space="0" w:color="auto"/>
            </w:tcBorders>
            <w:shd w:val="clear" w:color="auto" w:fill="auto"/>
            <w:noWrap/>
            <w:vAlign w:val="center"/>
          </w:tcPr>
          <w:p w:rsidR="001C1D37" w:rsidRPr="004655FB" w:rsidRDefault="001C1D37" w:rsidP="001C1D37">
            <w:pPr>
              <w:pStyle w:val="NoSpacing"/>
              <w:jc w:val="center"/>
              <w:rPr>
                <w:b/>
                <w:lang w:eastAsia="en-GB"/>
              </w:rPr>
            </w:pPr>
            <m:oMathPara>
              <m:oMath>
                <m:sSub>
                  <m:sSubPr>
                    <m:ctrlPr>
                      <w:rPr>
                        <w:rFonts w:ascii="Cambria Math" w:hAnsi="Cambria Math"/>
                        <w:b/>
                        <w:i/>
                      </w:rPr>
                    </m:ctrlPr>
                  </m:sSubPr>
                  <m:e>
                    <m:r>
                      <m:rPr>
                        <m:sty m:val="bi"/>
                      </m:rPr>
                      <w:rPr>
                        <w:rFonts w:ascii="Cambria Math" w:hAnsi="Cambria Math"/>
                      </w:rPr>
                      <m:t>γ</m:t>
                    </m:r>
                  </m:e>
                  <m:sub>
                    <m:r>
                      <m:rPr>
                        <m:sty m:val="bi"/>
                      </m:rPr>
                      <w:rPr>
                        <w:rFonts w:ascii="Cambria Math" w:hAnsi="Cambria Math"/>
                      </w:rPr>
                      <m:t>0</m:t>
                    </m:r>
                  </m:sub>
                </m:sSub>
              </m:oMath>
            </m:oMathPara>
          </w:p>
        </w:tc>
        <w:tc>
          <w:tcPr>
            <w:tcW w:w="2268" w:type="dxa"/>
            <w:gridSpan w:val="2"/>
            <w:tcBorders>
              <w:top w:val="single" w:sz="12" w:space="0" w:color="auto"/>
              <w:bottom w:val="single" w:sz="2" w:space="0" w:color="auto"/>
              <w:right w:val="nil"/>
            </w:tcBorders>
            <w:shd w:val="clear" w:color="auto" w:fill="auto"/>
            <w:noWrap/>
            <w:vAlign w:val="center"/>
          </w:tcPr>
          <w:p w:rsidR="001C1D37" w:rsidRPr="004655FB" w:rsidRDefault="001C1D37" w:rsidP="001C1D37">
            <w:pPr>
              <w:pStyle w:val="NoSpacing"/>
              <w:jc w:val="center"/>
              <w:rPr>
                <w:b/>
                <w:lang w:eastAsia="en-GB"/>
              </w:rPr>
            </w:pPr>
            <w:r w:rsidRPr="004655FB">
              <w:rPr>
                <w:b/>
                <w:lang w:eastAsia="en-GB"/>
              </w:rPr>
              <w:t>AUC</w:t>
            </w:r>
          </w:p>
        </w:tc>
      </w:tr>
      <w:tr w:rsidR="001C1D37" w:rsidRPr="004655FB" w:rsidTr="001C1D37">
        <w:trPr>
          <w:trHeight w:hRule="exact" w:val="340"/>
        </w:trPr>
        <w:tc>
          <w:tcPr>
            <w:tcW w:w="2283" w:type="dxa"/>
            <w:vMerge/>
            <w:tcBorders>
              <w:left w:val="nil"/>
              <w:bottom w:val="single" w:sz="12" w:space="0" w:color="auto"/>
              <w:right w:val="single" w:sz="4" w:space="0" w:color="auto"/>
            </w:tcBorders>
            <w:vAlign w:val="center"/>
          </w:tcPr>
          <w:p w:rsidR="001C1D37" w:rsidRPr="004655FB" w:rsidRDefault="001C1D37" w:rsidP="001C1D37">
            <w:pPr>
              <w:pStyle w:val="NoSpacing"/>
              <w:jc w:val="center"/>
              <w:rPr>
                <w:b/>
              </w:rPr>
            </w:pPr>
          </w:p>
        </w:tc>
        <w:tc>
          <w:tcPr>
            <w:tcW w:w="1134" w:type="dxa"/>
            <w:tcBorders>
              <w:top w:val="single" w:sz="2" w:space="0" w:color="auto"/>
              <w:bottom w:val="single" w:sz="12" w:space="0" w:color="auto"/>
              <w:right w:val="single" w:sz="4" w:space="0" w:color="auto"/>
            </w:tcBorders>
            <w:shd w:val="clear" w:color="auto" w:fill="auto"/>
            <w:noWrap/>
            <w:vAlign w:val="center"/>
          </w:tcPr>
          <w:p w:rsidR="001C1D37" w:rsidRPr="004655FB" w:rsidRDefault="001C1D37" w:rsidP="001C1D37">
            <w:pPr>
              <w:pStyle w:val="NoSpacing"/>
              <w:jc w:val="center"/>
              <w:rPr>
                <w:b/>
              </w:rPr>
            </w:pPr>
            <w:r w:rsidRPr="004655FB">
              <w:rPr>
                <w:b/>
              </w:rPr>
              <w:t>Est.</w:t>
            </w:r>
          </w:p>
        </w:tc>
        <w:tc>
          <w:tcPr>
            <w:tcW w:w="1276" w:type="dxa"/>
            <w:tcBorders>
              <w:top w:val="single" w:sz="2" w:space="0" w:color="auto"/>
              <w:left w:val="single" w:sz="4" w:space="0" w:color="auto"/>
              <w:bottom w:val="single" w:sz="12" w:space="0" w:color="auto"/>
              <w:right w:val="single" w:sz="2" w:space="0" w:color="auto"/>
            </w:tcBorders>
            <w:shd w:val="clear" w:color="auto" w:fill="auto"/>
            <w:vAlign w:val="center"/>
          </w:tcPr>
          <w:p w:rsidR="001C1D37" w:rsidRPr="004655FB" w:rsidRDefault="001C1D37" w:rsidP="001C1D37">
            <w:pPr>
              <w:pStyle w:val="NoSpacing"/>
              <w:jc w:val="center"/>
              <w:rPr>
                <w:b/>
                <w:lang w:eastAsia="en-GB"/>
              </w:rPr>
            </w:pPr>
            <w:r w:rsidRPr="004655FB">
              <w:rPr>
                <w:b/>
                <w:lang w:eastAsia="en-GB"/>
              </w:rPr>
              <w:t>SE</w:t>
            </w:r>
          </w:p>
        </w:tc>
        <w:tc>
          <w:tcPr>
            <w:tcW w:w="1181" w:type="dxa"/>
            <w:tcBorders>
              <w:top w:val="single" w:sz="2" w:space="0" w:color="auto"/>
              <w:left w:val="single" w:sz="2" w:space="0" w:color="auto"/>
              <w:bottom w:val="single" w:sz="12" w:space="0" w:color="auto"/>
              <w:right w:val="single" w:sz="4" w:space="0" w:color="auto"/>
            </w:tcBorders>
            <w:shd w:val="clear" w:color="auto" w:fill="auto"/>
            <w:noWrap/>
            <w:vAlign w:val="center"/>
          </w:tcPr>
          <w:p w:rsidR="001C1D37" w:rsidRPr="004655FB" w:rsidRDefault="001C1D37" w:rsidP="001C1D37">
            <w:pPr>
              <w:pStyle w:val="NoSpacing"/>
              <w:jc w:val="center"/>
              <w:rPr>
                <w:b/>
              </w:rPr>
            </w:pPr>
            <w:r w:rsidRPr="004655FB">
              <w:rPr>
                <w:b/>
              </w:rPr>
              <w:t>Est.</w:t>
            </w:r>
          </w:p>
        </w:tc>
        <w:tc>
          <w:tcPr>
            <w:tcW w:w="1087" w:type="dxa"/>
            <w:tcBorders>
              <w:top w:val="single" w:sz="2" w:space="0" w:color="auto"/>
              <w:left w:val="single" w:sz="4" w:space="0" w:color="auto"/>
              <w:bottom w:val="single" w:sz="12" w:space="0" w:color="auto"/>
              <w:right w:val="nil"/>
            </w:tcBorders>
            <w:shd w:val="clear" w:color="auto" w:fill="auto"/>
            <w:vAlign w:val="center"/>
          </w:tcPr>
          <w:p w:rsidR="001C1D37" w:rsidRPr="004655FB" w:rsidRDefault="001C1D37" w:rsidP="001C1D37">
            <w:pPr>
              <w:pStyle w:val="NoSpacing"/>
              <w:jc w:val="center"/>
              <w:rPr>
                <w:b/>
                <w:lang w:eastAsia="en-GB"/>
              </w:rPr>
            </w:pPr>
            <w:r w:rsidRPr="004655FB">
              <w:rPr>
                <w:b/>
                <w:lang w:eastAsia="en-GB"/>
              </w:rPr>
              <w:t>SE</w:t>
            </w:r>
          </w:p>
        </w:tc>
      </w:tr>
      <w:tr w:rsidR="001C1D37" w:rsidRPr="004655FB" w:rsidTr="001C1D37">
        <w:trPr>
          <w:trHeight w:hRule="exact" w:val="340"/>
        </w:trPr>
        <w:tc>
          <w:tcPr>
            <w:tcW w:w="6961" w:type="dxa"/>
            <w:gridSpan w:val="5"/>
            <w:tcBorders>
              <w:top w:val="single" w:sz="12" w:space="0" w:color="auto"/>
              <w:left w:val="nil"/>
              <w:bottom w:val="single" w:sz="12" w:space="0" w:color="auto"/>
              <w:right w:val="nil"/>
            </w:tcBorders>
            <w:vAlign w:val="center"/>
          </w:tcPr>
          <w:p w:rsidR="001C1D37" w:rsidRPr="004655FB" w:rsidRDefault="001C1D37" w:rsidP="001C1D37">
            <w:pPr>
              <w:pStyle w:val="NoSpacing"/>
              <w:rPr>
                <w:lang w:eastAsia="en-GB"/>
              </w:rPr>
            </w:pPr>
            <w:r w:rsidRPr="004655FB">
              <w:rPr>
                <w:b/>
              </w:rPr>
              <w:t>80% events</w:t>
            </w:r>
          </w:p>
        </w:tc>
      </w:tr>
      <w:tr w:rsidR="001C1D37" w:rsidRPr="004655FB" w:rsidTr="001C1D37">
        <w:trPr>
          <w:trHeight w:hRule="exact" w:val="284"/>
        </w:trPr>
        <w:tc>
          <w:tcPr>
            <w:tcW w:w="2283" w:type="dxa"/>
            <w:tcBorders>
              <w:top w:val="single" w:sz="12" w:space="0" w:color="auto"/>
              <w:left w:val="nil"/>
              <w:bottom w:val="single" w:sz="2" w:space="0" w:color="auto"/>
              <w:right w:val="single" w:sz="4" w:space="0" w:color="auto"/>
            </w:tcBorders>
            <w:vAlign w:val="center"/>
          </w:tcPr>
          <w:p w:rsidR="001C1D37" w:rsidRPr="004655FB" w:rsidRDefault="001C1D37" w:rsidP="001C1D37">
            <w:pPr>
              <w:pStyle w:val="NoSpacing"/>
              <w:jc w:val="center"/>
              <w:rPr>
                <w:lang w:eastAsia="en-GB"/>
              </w:rPr>
            </w:pPr>
            <w:r w:rsidRPr="004655FB">
              <w:rPr>
                <w:lang w:eastAsia="en-GB"/>
              </w:rPr>
              <w:t>0</w:t>
            </w:r>
          </w:p>
        </w:tc>
        <w:tc>
          <w:tcPr>
            <w:tcW w:w="1134" w:type="dxa"/>
            <w:tcBorders>
              <w:top w:val="single" w:sz="12" w:space="0" w:color="auto"/>
              <w:bottom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-0.010</w:t>
            </w:r>
          </w:p>
        </w:tc>
        <w:tc>
          <w:tcPr>
            <w:tcW w:w="1276" w:type="dxa"/>
            <w:tcBorders>
              <w:top w:val="single" w:sz="12" w:space="0" w:color="auto"/>
              <w:left w:val="single" w:sz="4" w:space="0" w:color="auto"/>
              <w:bottom w:val="single" w:sz="2" w:space="0" w:color="auto"/>
              <w:right w:val="single" w:sz="2" w:space="0" w:color="auto"/>
            </w:tcBorders>
            <w:shd w:val="clear" w:color="auto" w:fill="auto"/>
            <w:vAlign w:val="bottom"/>
          </w:tcPr>
          <w:p w:rsidR="001C1D37" w:rsidRPr="004655FB" w:rsidRDefault="001C1D37" w:rsidP="001C1D37">
            <w:pPr>
              <w:jc w:val="right"/>
              <w:rPr>
                <w:color w:val="000000"/>
              </w:rPr>
            </w:pPr>
            <w:r w:rsidRPr="004655FB">
              <w:rPr>
                <w:color w:val="000000"/>
              </w:rPr>
              <w:t>0.006</w:t>
            </w:r>
          </w:p>
        </w:tc>
        <w:tc>
          <w:tcPr>
            <w:tcW w:w="1181" w:type="dxa"/>
            <w:tcBorders>
              <w:top w:val="single" w:sz="12" w:space="0" w:color="auto"/>
              <w:left w:val="single" w:sz="2" w:space="0" w:color="auto"/>
              <w:bottom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0.520</w:t>
            </w:r>
          </w:p>
        </w:tc>
        <w:tc>
          <w:tcPr>
            <w:tcW w:w="1087" w:type="dxa"/>
            <w:tcBorders>
              <w:top w:val="single" w:sz="12" w:space="0" w:color="auto"/>
              <w:left w:val="single" w:sz="4" w:space="0" w:color="auto"/>
              <w:bottom w:val="single" w:sz="2" w:space="0" w:color="auto"/>
              <w:right w:val="nil"/>
            </w:tcBorders>
            <w:shd w:val="clear" w:color="auto" w:fill="auto"/>
            <w:vAlign w:val="bottom"/>
          </w:tcPr>
          <w:p w:rsidR="001C1D37" w:rsidRPr="004655FB" w:rsidRDefault="001C1D37" w:rsidP="001C1D37">
            <w:pPr>
              <w:jc w:val="right"/>
              <w:rPr>
                <w:color w:val="000000"/>
              </w:rPr>
            </w:pPr>
            <w:r w:rsidRPr="004655FB">
              <w:rPr>
                <w:color w:val="000000"/>
              </w:rPr>
              <w:t>0.019</w:t>
            </w:r>
          </w:p>
        </w:tc>
      </w:tr>
      <w:tr w:rsidR="001C1D37" w:rsidRPr="004655FB" w:rsidTr="001C1D37">
        <w:trPr>
          <w:trHeight w:hRule="exact" w:val="284"/>
        </w:trPr>
        <w:tc>
          <w:tcPr>
            <w:tcW w:w="2283" w:type="dxa"/>
            <w:tcBorders>
              <w:top w:val="single" w:sz="2" w:space="0" w:color="auto"/>
              <w:left w:val="nil"/>
              <w:right w:val="single" w:sz="4" w:space="0" w:color="auto"/>
            </w:tcBorders>
            <w:vAlign w:val="center"/>
          </w:tcPr>
          <w:p w:rsidR="001C1D37" w:rsidRPr="004655FB" w:rsidRDefault="001C1D37" w:rsidP="001C1D37">
            <w:pPr>
              <w:pStyle w:val="NoSpacing"/>
              <w:jc w:val="center"/>
              <w:rPr>
                <w:lang w:eastAsia="en-GB"/>
              </w:rPr>
            </w:pPr>
            <w:r w:rsidRPr="004655FB">
              <w:rPr>
                <w:lang w:eastAsia="en-GB"/>
              </w:rPr>
              <w:t>-0.25</w:t>
            </w:r>
          </w:p>
        </w:tc>
        <w:tc>
          <w:tcPr>
            <w:tcW w:w="1134" w:type="dxa"/>
            <w:tcBorders>
              <w:top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-0.236</w:t>
            </w:r>
          </w:p>
        </w:tc>
        <w:tc>
          <w:tcPr>
            <w:tcW w:w="1276" w:type="dxa"/>
            <w:tcBorders>
              <w:top w:val="single" w:sz="2" w:space="0" w:color="auto"/>
              <w:left w:val="single" w:sz="4" w:space="0" w:color="auto"/>
              <w:right w:val="single" w:sz="2" w:space="0" w:color="auto"/>
            </w:tcBorders>
            <w:shd w:val="clear" w:color="auto" w:fill="auto"/>
            <w:vAlign w:val="bottom"/>
          </w:tcPr>
          <w:p w:rsidR="001C1D37" w:rsidRPr="004655FB" w:rsidRDefault="001C1D37" w:rsidP="001C1D37">
            <w:pPr>
              <w:jc w:val="right"/>
              <w:rPr>
                <w:color w:val="000000"/>
              </w:rPr>
            </w:pPr>
            <w:r w:rsidRPr="004655FB">
              <w:rPr>
                <w:color w:val="000000"/>
              </w:rPr>
              <w:t>0.025</w:t>
            </w:r>
          </w:p>
        </w:tc>
        <w:tc>
          <w:tcPr>
            <w:tcW w:w="1181" w:type="dxa"/>
            <w:tcBorders>
              <w:top w:val="single" w:sz="2" w:space="0" w:color="auto"/>
              <w:left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0.550</w:t>
            </w:r>
          </w:p>
        </w:tc>
        <w:tc>
          <w:tcPr>
            <w:tcW w:w="1087" w:type="dxa"/>
            <w:tcBorders>
              <w:top w:val="single" w:sz="2" w:space="0" w:color="auto"/>
              <w:left w:val="single" w:sz="4" w:space="0" w:color="auto"/>
              <w:right w:val="nil"/>
            </w:tcBorders>
            <w:shd w:val="clear" w:color="auto" w:fill="auto"/>
            <w:vAlign w:val="bottom"/>
          </w:tcPr>
          <w:p w:rsidR="001C1D37" w:rsidRPr="004655FB" w:rsidRDefault="001C1D37" w:rsidP="001C1D37">
            <w:pPr>
              <w:jc w:val="right"/>
              <w:rPr>
                <w:color w:val="000000"/>
              </w:rPr>
            </w:pPr>
            <w:r w:rsidRPr="004655FB">
              <w:rPr>
                <w:color w:val="000000"/>
              </w:rPr>
              <w:t>0.026</w:t>
            </w:r>
          </w:p>
        </w:tc>
      </w:tr>
      <w:tr w:rsidR="001C1D37" w:rsidRPr="004655FB" w:rsidTr="001C1D37">
        <w:trPr>
          <w:trHeight w:hRule="exact" w:val="284"/>
        </w:trPr>
        <w:tc>
          <w:tcPr>
            <w:tcW w:w="2283" w:type="dxa"/>
            <w:tcBorders>
              <w:left w:val="nil"/>
              <w:right w:val="single" w:sz="4" w:space="0" w:color="auto"/>
            </w:tcBorders>
            <w:vAlign w:val="center"/>
          </w:tcPr>
          <w:p w:rsidR="001C1D37" w:rsidRPr="004655FB" w:rsidRDefault="001C1D37" w:rsidP="001C1D37">
            <w:pPr>
              <w:pStyle w:val="NoSpacing"/>
              <w:jc w:val="center"/>
              <w:rPr>
                <w:lang w:eastAsia="en-GB"/>
              </w:rPr>
            </w:pPr>
            <w:r w:rsidRPr="004655FB">
              <w:rPr>
                <w:lang w:eastAsia="en-GB"/>
              </w:rPr>
              <w:t>-0.5</w:t>
            </w:r>
          </w:p>
        </w:tc>
        <w:tc>
          <w:tcPr>
            <w:tcW w:w="1134" w:type="dxa"/>
            <w:tcBorders>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-0.492</w:t>
            </w:r>
          </w:p>
        </w:tc>
        <w:tc>
          <w:tcPr>
            <w:tcW w:w="1276" w:type="dxa"/>
            <w:tcBorders>
              <w:left w:val="single" w:sz="4" w:space="0" w:color="auto"/>
              <w:right w:val="single" w:sz="2" w:space="0" w:color="auto"/>
            </w:tcBorders>
            <w:shd w:val="clear" w:color="auto" w:fill="auto"/>
            <w:vAlign w:val="bottom"/>
          </w:tcPr>
          <w:p w:rsidR="001C1D37" w:rsidRPr="004655FB" w:rsidRDefault="001C1D37" w:rsidP="001C1D37">
            <w:pPr>
              <w:jc w:val="right"/>
              <w:rPr>
                <w:color w:val="000000"/>
              </w:rPr>
            </w:pPr>
            <w:r w:rsidRPr="004655FB">
              <w:rPr>
                <w:color w:val="000000"/>
              </w:rPr>
              <w:t>0.028</w:t>
            </w:r>
          </w:p>
        </w:tc>
        <w:tc>
          <w:tcPr>
            <w:tcW w:w="1181" w:type="dxa"/>
            <w:tcBorders>
              <w:left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0.590</w:t>
            </w:r>
          </w:p>
        </w:tc>
        <w:tc>
          <w:tcPr>
            <w:tcW w:w="1087" w:type="dxa"/>
            <w:tcBorders>
              <w:left w:val="single" w:sz="4" w:space="0" w:color="auto"/>
              <w:right w:val="nil"/>
            </w:tcBorders>
            <w:shd w:val="clear" w:color="auto" w:fill="auto"/>
            <w:vAlign w:val="bottom"/>
          </w:tcPr>
          <w:p w:rsidR="001C1D37" w:rsidRPr="004655FB" w:rsidRDefault="001C1D37" w:rsidP="001C1D37">
            <w:pPr>
              <w:jc w:val="right"/>
              <w:rPr>
                <w:color w:val="000000"/>
              </w:rPr>
            </w:pPr>
            <w:r w:rsidRPr="004655FB">
              <w:rPr>
                <w:color w:val="000000"/>
              </w:rPr>
              <w:t>0.023</w:t>
            </w:r>
          </w:p>
        </w:tc>
      </w:tr>
      <w:tr w:rsidR="001C1D37" w:rsidRPr="004655FB" w:rsidTr="001C1D37">
        <w:trPr>
          <w:trHeight w:hRule="exact" w:val="284"/>
        </w:trPr>
        <w:tc>
          <w:tcPr>
            <w:tcW w:w="2283" w:type="dxa"/>
            <w:tcBorders>
              <w:left w:val="nil"/>
              <w:bottom w:val="single" w:sz="2" w:space="0" w:color="auto"/>
              <w:right w:val="single" w:sz="4" w:space="0" w:color="auto"/>
            </w:tcBorders>
            <w:vAlign w:val="center"/>
          </w:tcPr>
          <w:p w:rsidR="001C1D37" w:rsidRPr="004655FB" w:rsidRDefault="001C1D37" w:rsidP="001C1D37">
            <w:pPr>
              <w:pStyle w:val="NoSpacing"/>
              <w:jc w:val="center"/>
              <w:rPr>
                <w:lang w:eastAsia="en-GB"/>
              </w:rPr>
            </w:pPr>
            <w:r w:rsidRPr="004655FB">
              <w:rPr>
                <w:lang w:eastAsia="en-GB"/>
              </w:rPr>
              <w:t>-0.75</w:t>
            </w:r>
          </w:p>
        </w:tc>
        <w:tc>
          <w:tcPr>
            <w:tcW w:w="1134" w:type="dxa"/>
            <w:tcBorders>
              <w:bottom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-0.749</w:t>
            </w:r>
          </w:p>
        </w:tc>
        <w:tc>
          <w:tcPr>
            <w:tcW w:w="1276" w:type="dxa"/>
            <w:tcBorders>
              <w:left w:val="single" w:sz="4" w:space="0" w:color="auto"/>
              <w:bottom w:val="single" w:sz="2" w:space="0" w:color="auto"/>
              <w:right w:val="single" w:sz="2" w:space="0" w:color="auto"/>
            </w:tcBorders>
            <w:shd w:val="clear" w:color="auto" w:fill="auto"/>
            <w:vAlign w:val="bottom"/>
          </w:tcPr>
          <w:p w:rsidR="001C1D37" w:rsidRPr="004655FB" w:rsidRDefault="001C1D37" w:rsidP="001C1D37">
            <w:pPr>
              <w:jc w:val="right"/>
              <w:rPr>
                <w:color w:val="000000"/>
              </w:rPr>
            </w:pPr>
            <w:r w:rsidRPr="004655FB">
              <w:rPr>
                <w:color w:val="000000"/>
              </w:rPr>
              <w:t>0.028</w:t>
            </w:r>
          </w:p>
        </w:tc>
        <w:tc>
          <w:tcPr>
            <w:tcW w:w="1181" w:type="dxa"/>
            <w:tcBorders>
              <w:left w:val="single" w:sz="2" w:space="0" w:color="auto"/>
              <w:bottom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0.633</w:t>
            </w:r>
          </w:p>
        </w:tc>
        <w:tc>
          <w:tcPr>
            <w:tcW w:w="1087" w:type="dxa"/>
            <w:tcBorders>
              <w:left w:val="single" w:sz="4" w:space="0" w:color="auto"/>
              <w:bottom w:val="single" w:sz="2" w:space="0" w:color="auto"/>
              <w:right w:val="nil"/>
            </w:tcBorders>
            <w:shd w:val="clear" w:color="auto" w:fill="auto"/>
            <w:vAlign w:val="bottom"/>
          </w:tcPr>
          <w:p w:rsidR="001C1D37" w:rsidRPr="004655FB" w:rsidRDefault="001C1D37" w:rsidP="001C1D37">
            <w:pPr>
              <w:jc w:val="right"/>
              <w:rPr>
                <w:color w:val="000000"/>
              </w:rPr>
            </w:pPr>
            <w:r w:rsidRPr="004655FB">
              <w:rPr>
                <w:color w:val="000000"/>
              </w:rPr>
              <w:t>0.025</w:t>
            </w:r>
          </w:p>
        </w:tc>
      </w:tr>
      <w:tr w:rsidR="001C1D37" w:rsidRPr="004655FB" w:rsidTr="001C1D37">
        <w:trPr>
          <w:trHeight w:hRule="exact" w:val="284"/>
        </w:trPr>
        <w:tc>
          <w:tcPr>
            <w:tcW w:w="2283" w:type="dxa"/>
            <w:tcBorders>
              <w:left w:val="nil"/>
              <w:bottom w:val="single" w:sz="12" w:space="0" w:color="auto"/>
              <w:right w:val="single" w:sz="4" w:space="0" w:color="auto"/>
            </w:tcBorders>
            <w:vAlign w:val="center"/>
          </w:tcPr>
          <w:p w:rsidR="001C1D37" w:rsidRPr="004655FB" w:rsidRDefault="001C1D37" w:rsidP="001C1D37">
            <w:pPr>
              <w:pStyle w:val="NoSpacing"/>
              <w:jc w:val="center"/>
              <w:rPr>
                <w:lang w:eastAsia="en-GB"/>
              </w:rPr>
            </w:pPr>
            <w:r w:rsidRPr="004655FB">
              <w:rPr>
                <w:lang w:eastAsia="en-GB"/>
              </w:rPr>
              <w:t>-1</w:t>
            </w:r>
          </w:p>
        </w:tc>
        <w:tc>
          <w:tcPr>
            <w:tcW w:w="1134" w:type="dxa"/>
            <w:tcBorders>
              <w:bottom w:val="single" w:sz="1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-0.979</w:t>
            </w:r>
          </w:p>
        </w:tc>
        <w:tc>
          <w:tcPr>
            <w:tcW w:w="1276" w:type="dxa"/>
            <w:tcBorders>
              <w:left w:val="single" w:sz="4" w:space="0" w:color="auto"/>
              <w:bottom w:val="single" w:sz="12" w:space="0" w:color="auto"/>
              <w:right w:val="single" w:sz="2" w:space="0" w:color="auto"/>
            </w:tcBorders>
            <w:shd w:val="clear" w:color="auto" w:fill="auto"/>
            <w:vAlign w:val="bottom"/>
          </w:tcPr>
          <w:p w:rsidR="001C1D37" w:rsidRPr="004655FB" w:rsidRDefault="001C1D37" w:rsidP="001C1D37">
            <w:pPr>
              <w:jc w:val="right"/>
              <w:rPr>
                <w:color w:val="000000"/>
              </w:rPr>
            </w:pPr>
            <w:r w:rsidRPr="004655FB">
              <w:rPr>
                <w:color w:val="000000"/>
              </w:rPr>
              <w:t>0.053</w:t>
            </w:r>
          </w:p>
        </w:tc>
        <w:tc>
          <w:tcPr>
            <w:tcW w:w="1181" w:type="dxa"/>
            <w:tcBorders>
              <w:left w:val="single" w:sz="2" w:space="0" w:color="auto"/>
              <w:bottom w:val="single" w:sz="1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0.678</w:t>
            </w:r>
          </w:p>
        </w:tc>
        <w:tc>
          <w:tcPr>
            <w:tcW w:w="1087" w:type="dxa"/>
            <w:tcBorders>
              <w:left w:val="single" w:sz="4" w:space="0" w:color="auto"/>
              <w:bottom w:val="single" w:sz="12" w:space="0" w:color="auto"/>
              <w:right w:val="nil"/>
            </w:tcBorders>
            <w:shd w:val="clear" w:color="auto" w:fill="auto"/>
            <w:vAlign w:val="bottom"/>
          </w:tcPr>
          <w:p w:rsidR="001C1D37" w:rsidRPr="004655FB" w:rsidRDefault="001C1D37" w:rsidP="001C1D37">
            <w:pPr>
              <w:jc w:val="right"/>
              <w:rPr>
                <w:color w:val="000000"/>
              </w:rPr>
            </w:pPr>
            <w:r w:rsidRPr="004655FB">
              <w:rPr>
                <w:color w:val="000000"/>
              </w:rPr>
              <w:t>0.027</w:t>
            </w:r>
          </w:p>
        </w:tc>
      </w:tr>
      <w:tr w:rsidR="001C1D37" w:rsidRPr="004655FB" w:rsidTr="001C1D37">
        <w:trPr>
          <w:trHeight w:hRule="exact" w:val="340"/>
        </w:trPr>
        <w:tc>
          <w:tcPr>
            <w:tcW w:w="6961" w:type="dxa"/>
            <w:gridSpan w:val="5"/>
            <w:tcBorders>
              <w:top w:val="single" w:sz="12" w:space="0" w:color="auto"/>
              <w:left w:val="nil"/>
              <w:bottom w:val="single" w:sz="12" w:space="0" w:color="auto"/>
              <w:right w:val="nil"/>
            </w:tcBorders>
            <w:vAlign w:val="center"/>
          </w:tcPr>
          <w:p w:rsidR="001C1D37" w:rsidRPr="004655FB" w:rsidRDefault="001C1D37" w:rsidP="001C1D37">
            <w:pPr>
              <w:pStyle w:val="NoSpacing"/>
              <w:rPr>
                <w:lang w:eastAsia="en-GB"/>
              </w:rPr>
            </w:pPr>
            <w:r w:rsidRPr="004655FB">
              <w:rPr>
                <w:b/>
              </w:rPr>
              <w:t>30% events</w:t>
            </w:r>
          </w:p>
        </w:tc>
      </w:tr>
      <w:tr w:rsidR="001C1D37" w:rsidRPr="004655FB" w:rsidTr="001C1D37">
        <w:trPr>
          <w:trHeight w:hRule="exact" w:val="284"/>
        </w:trPr>
        <w:tc>
          <w:tcPr>
            <w:tcW w:w="2283" w:type="dxa"/>
            <w:tcBorders>
              <w:top w:val="single" w:sz="12" w:space="0" w:color="auto"/>
              <w:left w:val="nil"/>
              <w:right w:val="single" w:sz="4" w:space="0" w:color="auto"/>
            </w:tcBorders>
            <w:vAlign w:val="center"/>
          </w:tcPr>
          <w:p w:rsidR="001C1D37" w:rsidRPr="004655FB" w:rsidRDefault="001C1D37" w:rsidP="001C1D37">
            <w:pPr>
              <w:pStyle w:val="NoSpacing"/>
              <w:jc w:val="center"/>
              <w:rPr>
                <w:lang w:eastAsia="en-GB"/>
              </w:rPr>
            </w:pPr>
            <w:r w:rsidRPr="004655FB">
              <w:rPr>
                <w:lang w:eastAsia="en-GB"/>
              </w:rPr>
              <w:t>0</w:t>
            </w:r>
          </w:p>
        </w:tc>
        <w:tc>
          <w:tcPr>
            <w:tcW w:w="1134" w:type="dxa"/>
            <w:tcBorders>
              <w:top w:val="single" w:sz="1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-0.010</w:t>
            </w:r>
          </w:p>
        </w:tc>
        <w:tc>
          <w:tcPr>
            <w:tcW w:w="1276" w:type="dxa"/>
            <w:tcBorders>
              <w:top w:val="single" w:sz="12" w:space="0" w:color="auto"/>
              <w:left w:val="single" w:sz="4" w:space="0" w:color="auto"/>
              <w:right w:val="single" w:sz="2" w:space="0" w:color="auto"/>
            </w:tcBorders>
            <w:shd w:val="clear" w:color="auto" w:fill="auto"/>
            <w:vAlign w:val="bottom"/>
          </w:tcPr>
          <w:p w:rsidR="001C1D37" w:rsidRPr="004655FB" w:rsidRDefault="001C1D37" w:rsidP="001C1D37">
            <w:pPr>
              <w:jc w:val="right"/>
              <w:rPr>
                <w:color w:val="000000"/>
              </w:rPr>
            </w:pPr>
            <w:r w:rsidRPr="004655FB">
              <w:rPr>
                <w:color w:val="000000"/>
              </w:rPr>
              <w:t>0.006</w:t>
            </w:r>
          </w:p>
        </w:tc>
        <w:tc>
          <w:tcPr>
            <w:tcW w:w="1181" w:type="dxa"/>
            <w:tcBorders>
              <w:top w:val="single" w:sz="12" w:space="0" w:color="auto"/>
              <w:left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0.517</w:t>
            </w:r>
          </w:p>
        </w:tc>
        <w:tc>
          <w:tcPr>
            <w:tcW w:w="1087" w:type="dxa"/>
            <w:tcBorders>
              <w:top w:val="single" w:sz="12" w:space="0" w:color="auto"/>
              <w:left w:val="single" w:sz="4" w:space="0" w:color="auto"/>
              <w:right w:val="nil"/>
            </w:tcBorders>
            <w:shd w:val="clear" w:color="auto" w:fill="auto"/>
            <w:vAlign w:val="bottom"/>
          </w:tcPr>
          <w:p w:rsidR="001C1D37" w:rsidRPr="004655FB" w:rsidRDefault="001C1D37" w:rsidP="001C1D37">
            <w:pPr>
              <w:jc w:val="right"/>
              <w:rPr>
                <w:color w:val="000000"/>
              </w:rPr>
            </w:pPr>
            <w:r w:rsidRPr="004655FB">
              <w:rPr>
                <w:color w:val="000000"/>
              </w:rPr>
              <w:t>0.019</w:t>
            </w:r>
          </w:p>
        </w:tc>
      </w:tr>
      <w:tr w:rsidR="001C1D37" w:rsidRPr="004655FB" w:rsidTr="001C1D37">
        <w:trPr>
          <w:trHeight w:hRule="exact" w:val="284"/>
        </w:trPr>
        <w:tc>
          <w:tcPr>
            <w:tcW w:w="2283" w:type="dxa"/>
            <w:tcBorders>
              <w:left w:val="nil"/>
              <w:right w:val="single" w:sz="4" w:space="0" w:color="auto"/>
            </w:tcBorders>
            <w:vAlign w:val="center"/>
          </w:tcPr>
          <w:p w:rsidR="001C1D37" w:rsidRPr="004655FB" w:rsidRDefault="001C1D37" w:rsidP="001C1D37">
            <w:pPr>
              <w:pStyle w:val="NoSpacing"/>
              <w:jc w:val="center"/>
              <w:rPr>
                <w:lang w:eastAsia="en-GB"/>
              </w:rPr>
            </w:pPr>
            <w:r w:rsidRPr="004655FB">
              <w:rPr>
                <w:lang w:eastAsia="en-GB"/>
              </w:rPr>
              <w:t>-0.25</w:t>
            </w:r>
          </w:p>
        </w:tc>
        <w:tc>
          <w:tcPr>
            <w:tcW w:w="1134" w:type="dxa"/>
            <w:tcBorders>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-0.239</w:t>
            </w:r>
          </w:p>
        </w:tc>
        <w:tc>
          <w:tcPr>
            <w:tcW w:w="1276" w:type="dxa"/>
            <w:tcBorders>
              <w:left w:val="single" w:sz="4" w:space="0" w:color="auto"/>
              <w:right w:val="single" w:sz="2" w:space="0" w:color="auto"/>
            </w:tcBorders>
            <w:shd w:val="clear" w:color="auto" w:fill="auto"/>
            <w:vAlign w:val="bottom"/>
          </w:tcPr>
          <w:p w:rsidR="001C1D37" w:rsidRPr="004655FB" w:rsidRDefault="001C1D37" w:rsidP="001C1D37">
            <w:pPr>
              <w:jc w:val="right"/>
              <w:rPr>
                <w:color w:val="000000"/>
              </w:rPr>
            </w:pPr>
            <w:r w:rsidRPr="004655FB">
              <w:rPr>
                <w:color w:val="000000"/>
              </w:rPr>
              <w:t>0.027</w:t>
            </w:r>
          </w:p>
        </w:tc>
        <w:tc>
          <w:tcPr>
            <w:tcW w:w="1181" w:type="dxa"/>
            <w:tcBorders>
              <w:left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0.540</w:t>
            </w:r>
          </w:p>
        </w:tc>
        <w:tc>
          <w:tcPr>
            <w:tcW w:w="1087" w:type="dxa"/>
            <w:tcBorders>
              <w:left w:val="single" w:sz="4" w:space="0" w:color="auto"/>
              <w:right w:val="nil"/>
            </w:tcBorders>
            <w:shd w:val="clear" w:color="auto" w:fill="auto"/>
            <w:vAlign w:val="bottom"/>
          </w:tcPr>
          <w:p w:rsidR="001C1D37" w:rsidRPr="004655FB" w:rsidRDefault="001C1D37" w:rsidP="001C1D37">
            <w:pPr>
              <w:jc w:val="right"/>
              <w:rPr>
                <w:color w:val="000000"/>
              </w:rPr>
            </w:pPr>
            <w:r w:rsidRPr="004655FB">
              <w:rPr>
                <w:color w:val="000000"/>
              </w:rPr>
              <w:t>0.030</w:t>
            </w:r>
          </w:p>
        </w:tc>
      </w:tr>
      <w:tr w:rsidR="001C1D37" w:rsidRPr="004655FB" w:rsidTr="001C1D37">
        <w:trPr>
          <w:trHeight w:hRule="exact" w:val="284"/>
        </w:trPr>
        <w:tc>
          <w:tcPr>
            <w:tcW w:w="2283" w:type="dxa"/>
            <w:tcBorders>
              <w:left w:val="nil"/>
              <w:right w:val="single" w:sz="4" w:space="0" w:color="auto"/>
            </w:tcBorders>
            <w:vAlign w:val="center"/>
          </w:tcPr>
          <w:p w:rsidR="001C1D37" w:rsidRPr="004655FB" w:rsidRDefault="001C1D37" w:rsidP="001C1D37">
            <w:pPr>
              <w:pStyle w:val="NoSpacing"/>
              <w:jc w:val="center"/>
              <w:rPr>
                <w:lang w:eastAsia="en-GB"/>
              </w:rPr>
            </w:pPr>
            <w:r w:rsidRPr="004655FB">
              <w:rPr>
                <w:lang w:eastAsia="en-GB"/>
              </w:rPr>
              <w:t>-0.5</w:t>
            </w:r>
          </w:p>
        </w:tc>
        <w:tc>
          <w:tcPr>
            <w:tcW w:w="1134" w:type="dxa"/>
            <w:tcBorders>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-0.497</w:t>
            </w:r>
          </w:p>
        </w:tc>
        <w:tc>
          <w:tcPr>
            <w:tcW w:w="1276" w:type="dxa"/>
            <w:tcBorders>
              <w:left w:val="single" w:sz="4" w:space="0" w:color="auto"/>
              <w:right w:val="single" w:sz="2" w:space="0" w:color="auto"/>
            </w:tcBorders>
            <w:shd w:val="clear" w:color="auto" w:fill="auto"/>
            <w:vAlign w:val="bottom"/>
          </w:tcPr>
          <w:p w:rsidR="001C1D37" w:rsidRPr="004655FB" w:rsidRDefault="001C1D37" w:rsidP="001C1D37">
            <w:pPr>
              <w:jc w:val="right"/>
              <w:rPr>
                <w:color w:val="000000"/>
              </w:rPr>
            </w:pPr>
            <w:r w:rsidRPr="004655FB">
              <w:rPr>
                <w:color w:val="000000"/>
              </w:rPr>
              <w:t>0.028</w:t>
            </w:r>
          </w:p>
        </w:tc>
        <w:tc>
          <w:tcPr>
            <w:tcW w:w="1181" w:type="dxa"/>
            <w:tcBorders>
              <w:left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0.569</w:t>
            </w:r>
          </w:p>
        </w:tc>
        <w:tc>
          <w:tcPr>
            <w:tcW w:w="1087" w:type="dxa"/>
            <w:tcBorders>
              <w:left w:val="single" w:sz="4" w:space="0" w:color="auto"/>
              <w:right w:val="nil"/>
            </w:tcBorders>
            <w:shd w:val="clear" w:color="auto" w:fill="auto"/>
            <w:vAlign w:val="bottom"/>
          </w:tcPr>
          <w:p w:rsidR="001C1D37" w:rsidRPr="004655FB" w:rsidRDefault="001C1D37" w:rsidP="001C1D37">
            <w:pPr>
              <w:jc w:val="right"/>
              <w:rPr>
                <w:color w:val="000000"/>
              </w:rPr>
            </w:pPr>
            <w:r w:rsidRPr="004655FB">
              <w:rPr>
                <w:color w:val="000000"/>
              </w:rPr>
              <w:t>0.031</w:t>
            </w:r>
          </w:p>
        </w:tc>
      </w:tr>
      <w:tr w:rsidR="001C1D37" w:rsidRPr="004655FB" w:rsidTr="001C1D37">
        <w:trPr>
          <w:trHeight w:hRule="exact" w:val="284"/>
        </w:trPr>
        <w:tc>
          <w:tcPr>
            <w:tcW w:w="2283" w:type="dxa"/>
            <w:tcBorders>
              <w:left w:val="nil"/>
              <w:bottom w:val="single" w:sz="2" w:space="0" w:color="auto"/>
              <w:right w:val="single" w:sz="4" w:space="0" w:color="auto"/>
            </w:tcBorders>
            <w:vAlign w:val="center"/>
          </w:tcPr>
          <w:p w:rsidR="001C1D37" w:rsidRPr="004655FB" w:rsidRDefault="001C1D37" w:rsidP="001C1D37">
            <w:pPr>
              <w:pStyle w:val="NoSpacing"/>
              <w:jc w:val="center"/>
              <w:rPr>
                <w:lang w:eastAsia="en-GB"/>
              </w:rPr>
            </w:pPr>
            <w:r w:rsidRPr="004655FB">
              <w:rPr>
                <w:lang w:eastAsia="en-GB"/>
              </w:rPr>
              <w:t>-0.75</w:t>
            </w:r>
          </w:p>
        </w:tc>
        <w:tc>
          <w:tcPr>
            <w:tcW w:w="1134" w:type="dxa"/>
            <w:tcBorders>
              <w:bottom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-0.748</w:t>
            </w:r>
          </w:p>
        </w:tc>
        <w:tc>
          <w:tcPr>
            <w:tcW w:w="1276" w:type="dxa"/>
            <w:tcBorders>
              <w:left w:val="single" w:sz="4" w:space="0" w:color="auto"/>
              <w:bottom w:val="single" w:sz="2" w:space="0" w:color="auto"/>
              <w:right w:val="single" w:sz="2" w:space="0" w:color="auto"/>
            </w:tcBorders>
            <w:shd w:val="clear" w:color="auto" w:fill="auto"/>
            <w:vAlign w:val="bottom"/>
          </w:tcPr>
          <w:p w:rsidR="001C1D37" w:rsidRPr="004655FB" w:rsidRDefault="001C1D37" w:rsidP="001C1D37">
            <w:pPr>
              <w:jc w:val="right"/>
              <w:rPr>
                <w:color w:val="000000"/>
              </w:rPr>
            </w:pPr>
            <w:r w:rsidRPr="004655FB">
              <w:rPr>
                <w:color w:val="000000"/>
              </w:rPr>
              <w:t>0.027</w:t>
            </w:r>
          </w:p>
        </w:tc>
        <w:tc>
          <w:tcPr>
            <w:tcW w:w="1181" w:type="dxa"/>
            <w:tcBorders>
              <w:left w:val="single" w:sz="2" w:space="0" w:color="auto"/>
              <w:bottom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0.593</w:t>
            </w:r>
          </w:p>
        </w:tc>
        <w:tc>
          <w:tcPr>
            <w:tcW w:w="1087" w:type="dxa"/>
            <w:tcBorders>
              <w:left w:val="single" w:sz="4" w:space="0" w:color="auto"/>
              <w:bottom w:val="single" w:sz="2" w:space="0" w:color="auto"/>
              <w:right w:val="nil"/>
            </w:tcBorders>
            <w:shd w:val="clear" w:color="auto" w:fill="auto"/>
            <w:vAlign w:val="bottom"/>
          </w:tcPr>
          <w:p w:rsidR="001C1D37" w:rsidRPr="004655FB" w:rsidRDefault="001C1D37" w:rsidP="001C1D37">
            <w:pPr>
              <w:jc w:val="right"/>
              <w:rPr>
                <w:color w:val="000000"/>
              </w:rPr>
            </w:pPr>
            <w:r w:rsidRPr="004655FB">
              <w:rPr>
                <w:color w:val="000000"/>
              </w:rPr>
              <w:t>0.031</w:t>
            </w:r>
          </w:p>
        </w:tc>
      </w:tr>
      <w:tr w:rsidR="001C1D37" w:rsidRPr="004655FB" w:rsidTr="001C1D37">
        <w:trPr>
          <w:trHeight w:hRule="exact" w:val="284"/>
        </w:trPr>
        <w:tc>
          <w:tcPr>
            <w:tcW w:w="2283" w:type="dxa"/>
            <w:tcBorders>
              <w:left w:val="nil"/>
              <w:bottom w:val="single" w:sz="12" w:space="0" w:color="auto"/>
              <w:right w:val="single" w:sz="4" w:space="0" w:color="auto"/>
            </w:tcBorders>
            <w:vAlign w:val="center"/>
          </w:tcPr>
          <w:p w:rsidR="001C1D37" w:rsidRPr="004655FB" w:rsidRDefault="001C1D37" w:rsidP="001C1D37">
            <w:pPr>
              <w:pStyle w:val="NoSpacing"/>
              <w:jc w:val="center"/>
              <w:rPr>
                <w:lang w:eastAsia="en-GB"/>
              </w:rPr>
            </w:pPr>
            <w:r w:rsidRPr="004655FB">
              <w:rPr>
                <w:lang w:eastAsia="en-GB"/>
              </w:rPr>
              <w:t>-1</w:t>
            </w:r>
          </w:p>
        </w:tc>
        <w:tc>
          <w:tcPr>
            <w:tcW w:w="1134" w:type="dxa"/>
            <w:tcBorders>
              <w:bottom w:val="single" w:sz="1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-0.990</w:t>
            </w:r>
          </w:p>
        </w:tc>
        <w:tc>
          <w:tcPr>
            <w:tcW w:w="1276" w:type="dxa"/>
            <w:tcBorders>
              <w:left w:val="single" w:sz="4" w:space="0" w:color="auto"/>
              <w:bottom w:val="single" w:sz="12" w:space="0" w:color="auto"/>
              <w:right w:val="single" w:sz="2" w:space="0" w:color="auto"/>
            </w:tcBorders>
            <w:shd w:val="clear" w:color="auto" w:fill="auto"/>
            <w:vAlign w:val="bottom"/>
          </w:tcPr>
          <w:p w:rsidR="001C1D37" w:rsidRPr="004655FB" w:rsidRDefault="001C1D37" w:rsidP="001C1D37">
            <w:pPr>
              <w:jc w:val="right"/>
              <w:rPr>
                <w:color w:val="000000"/>
              </w:rPr>
            </w:pPr>
            <w:r w:rsidRPr="004655FB">
              <w:rPr>
                <w:color w:val="000000"/>
              </w:rPr>
              <w:t>0.054</w:t>
            </w:r>
          </w:p>
        </w:tc>
        <w:tc>
          <w:tcPr>
            <w:tcW w:w="1181" w:type="dxa"/>
            <w:tcBorders>
              <w:left w:val="single" w:sz="2" w:space="0" w:color="auto"/>
              <w:bottom w:val="single" w:sz="1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0.627</w:t>
            </w:r>
          </w:p>
        </w:tc>
        <w:tc>
          <w:tcPr>
            <w:tcW w:w="1087" w:type="dxa"/>
            <w:tcBorders>
              <w:left w:val="single" w:sz="4" w:space="0" w:color="auto"/>
              <w:bottom w:val="single" w:sz="12" w:space="0" w:color="auto"/>
              <w:right w:val="nil"/>
            </w:tcBorders>
            <w:shd w:val="clear" w:color="auto" w:fill="auto"/>
            <w:vAlign w:val="bottom"/>
          </w:tcPr>
          <w:p w:rsidR="001C1D37" w:rsidRPr="004655FB" w:rsidRDefault="001C1D37" w:rsidP="001C1D37">
            <w:pPr>
              <w:jc w:val="right"/>
              <w:rPr>
                <w:color w:val="000000"/>
              </w:rPr>
            </w:pPr>
            <w:r w:rsidRPr="004655FB">
              <w:rPr>
                <w:color w:val="000000"/>
              </w:rPr>
              <w:t>0.025</w:t>
            </w:r>
          </w:p>
        </w:tc>
      </w:tr>
      <w:tr w:rsidR="001C1D37" w:rsidTr="001C1D37">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961" w:type="dxa"/>
            <w:gridSpan w:val="5"/>
          </w:tcPr>
          <w:p w:rsidR="001C1D37" w:rsidRDefault="001C1D37" w:rsidP="001C1D37">
            <w:pPr>
              <w:pStyle w:val="NoSpacing"/>
            </w:pPr>
          </w:p>
        </w:tc>
      </w:tr>
    </w:tbl>
    <w:p w:rsidR="001C1D37" w:rsidRDefault="001C1D37" w:rsidP="001C1D37">
      <w:pPr>
        <w:pStyle w:val="NoSpacing"/>
      </w:pPr>
    </w:p>
    <w:p w:rsidR="001C1D37" w:rsidRDefault="001C1D37" w:rsidP="001C1D37">
      <w:pPr>
        <w:pStyle w:val="NoSpacing"/>
      </w:pPr>
    </w:p>
    <w:p w:rsidR="001C1D37" w:rsidRDefault="001C1D37" w:rsidP="001C1D37">
      <w:pPr>
        <w:pStyle w:val="NoSpacing"/>
      </w:pPr>
    </w:p>
    <w:p w:rsidR="001C1D37" w:rsidRDefault="001C1D37" w:rsidP="001C1D37">
      <w:pPr>
        <w:pStyle w:val="NoSpacing"/>
      </w:pPr>
    </w:p>
    <w:p w:rsidR="001C1D37" w:rsidRDefault="001C1D37" w:rsidP="001C1D37">
      <w:pPr>
        <w:pStyle w:val="NoSpacing"/>
      </w:pPr>
    </w:p>
    <w:p w:rsidR="001C1D37" w:rsidRDefault="001C1D37" w:rsidP="001C1D37">
      <w:pPr>
        <w:pStyle w:val="NoSpacing"/>
      </w:pPr>
    </w:p>
    <w:p w:rsidR="001C1D37" w:rsidRDefault="001C1D37" w:rsidP="001C1D37">
      <w:pPr>
        <w:pStyle w:val="NoSpacing"/>
      </w:pPr>
    </w:p>
    <w:p w:rsidR="001C1D37" w:rsidRDefault="001C1D37" w:rsidP="001C1D37">
      <w:pPr>
        <w:pStyle w:val="NoSpacing"/>
      </w:pPr>
    </w:p>
    <w:p w:rsidR="001C1D37" w:rsidRDefault="001C1D37" w:rsidP="001C1D37">
      <w:pPr>
        <w:pStyle w:val="NoSpacing"/>
      </w:pPr>
    </w:p>
    <w:p w:rsidR="001C1D37" w:rsidRDefault="001C1D37" w:rsidP="001C1D37">
      <w:pPr>
        <w:pStyle w:val="NoSpacing"/>
      </w:pPr>
    </w:p>
    <w:p w:rsidR="001C1D37" w:rsidRDefault="001C1D37" w:rsidP="001C1D37">
      <w:pPr>
        <w:pStyle w:val="NoSpacing"/>
      </w:pPr>
    </w:p>
    <w:p w:rsidR="001C1D37" w:rsidRDefault="001C1D37" w:rsidP="001C1D37">
      <w:pPr>
        <w:pStyle w:val="NoSpacing"/>
      </w:pPr>
    </w:p>
    <w:p w:rsidR="001C1D37" w:rsidRDefault="001C1D37" w:rsidP="001C1D37">
      <w:pPr>
        <w:pStyle w:val="NoSpacing"/>
      </w:pPr>
    </w:p>
    <w:p w:rsidR="001C1D37" w:rsidRDefault="001C1D37" w:rsidP="001C1D37">
      <w:pPr>
        <w:pStyle w:val="NoSpacing"/>
      </w:pPr>
    </w:p>
    <w:p w:rsidR="001C1D37" w:rsidRDefault="001C1D37" w:rsidP="001C1D37">
      <w:pPr>
        <w:pStyle w:val="NoSpacing"/>
      </w:pPr>
    </w:p>
    <w:p w:rsidR="001C1D37" w:rsidRDefault="001C1D37" w:rsidP="001C1D37">
      <w:pPr>
        <w:pStyle w:val="NoSpacing"/>
      </w:pPr>
    </w:p>
    <w:p w:rsidR="001C1D37" w:rsidRDefault="001C1D37" w:rsidP="001C1D37">
      <w:pPr>
        <w:pStyle w:val="NoSpacing"/>
      </w:pPr>
    </w:p>
    <w:p w:rsidR="004969A9" w:rsidRDefault="004969A9" w:rsidP="001C1D37">
      <w:pPr>
        <w:autoSpaceDE w:val="0"/>
        <w:autoSpaceDN w:val="0"/>
        <w:adjustRightInd w:val="0"/>
      </w:pPr>
    </w:p>
    <w:p w:rsidR="001C1D37" w:rsidRDefault="001C1D37" w:rsidP="001C1D37">
      <w:pPr>
        <w:autoSpaceDE w:val="0"/>
        <w:autoSpaceDN w:val="0"/>
        <w:adjustRightInd w:val="0"/>
      </w:pPr>
      <w:r>
        <w:t>As given by Table S1, w</w:t>
      </w:r>
      <w:r w:rsidRPr="004655FB">
        <w:t xml:space="preserve">hen </w:t>
      </w:r>
      <w:r w:rsidRPr="004655FB">
        <w:rPr>
          <w:rFonts w:eastAsia="Calibri"/>
          <w:lang w:eastAsia="en-GB"/>
        </w:rPr>
        <w:t>there is no association between the</w:t>
      </w:r>
      <w:r w:rsidRPr="004655FB">
        <w:t xml:space="preserve"> biomarker </w:t>
      </w:r>
      <w:r w:rsidRPr="004655FB">
        <w:rPr>
          <w:rFonts w:eastAsia="Calibri"/>
          <w:lang w:eastAsia="en-GB"/>
        </w:rPr>
        <w:t xml:space="preserve">and event-time process, the AUC is estimated fairly close to the null value of 0.5 </w:t>
      </w:r>
      <w:r>
        <w:rPr>
          <w:rFonts w:eastAsia="Calibri"/>
          <w:lang w:eastAsia="en-GB"/>
        </w:rPr>
        <w:t xml:space="preserve">from the Model A. </w:t>
      </w:r>
      <w:r w:rsidRPr="004655FB">
        <w:rPr>
          <w:rFonts w:eastAsia="Calibri"/>
          <w:lang w:eastAsia="en-GB"/>
        </w:rPr>
        <w:t>As</w:t>
      </w:r>
      <w:r w:rsidRPr="004655FB">
        <w:t xml:space="preserve"> strength of the association becomes stronger, the estimated AUC is increased</w:t>
      </w:r>
      <w:r>
        <w:t xml:space="preserve">; however, the model only links the </w:t>
      </w:r>
      <w:r w:rsidRPr="00015F67">
        <w:t xml:space="preserve">baseline </w:t>
      </w:r>
      <w:r>
        <w:t xml:space="preserve">value of the </w:t>
      </w:r>
      <w:r w:rsidRPr="00015F67">
        <w:t xml:space="preserve">biomarker </w:t>
      </w:r>
      <w:r>
        <w:t>to</w:t>
      </w:r>
      <w:r w:rsidRPr="00015F67">
        <w:t xml:space="preserve"> </w:t>
      </w:r>
      <w:r w:rsidRPr="00015F67">
        <w:rPr>
          <w:lang w:eastAsia="en-GB" w:bidi="ta-IN"/>
        </w:rPr>
        <w:t xml:space="preserve">hazard </w:t>
      </w:r>
      <w:r w:rsidRPr="00015F67">
        <w:t>for occurrence of the clinical endpoint</w:t>
      </w:r>
      <w:r>
        <w:t xml:space="preserve"> ignoring any effect from random slope over time. Therefore, unless the association is very high (</w:t>
      </w:r>
      <w:proofErr w:type="gramStart"/>
      <w:r>
        <w:t xml:space="preserve">possibly </w:t>
      </w:r>
      <w:proofErr w:type="gramEnd"/>
      <m:oMath>
        <m:sSub>
          <m:sSubPr>
            <m:ctrlPr>
              <w:rPr>
                <w:rFonts w:ascii="Cambria Math" w:hAnsi="Cambria Math"/>
                <w:i/>
              </w:rPr>
            </m:ctrlPr>
          </m:sSubPr>
          <m:e>
            <m:r>
              <w:rPr>
                <w:rFonts w:ascii="Cambria Math" w:hAnsi="Cambria Math"/>
              </w:rPr>
              <m:t>γ</m:t>
            </m:r>
          </m:e>
          <m:sub>
            <m:r>
              <w:rPr>
                <w:rFonts w:ascii="Cambria Math" w:hAnsi="Cambria Math"/>
              </w:rPr>
              <m:t xml:space="preserve">0 </m:t>
            </m:r>
          </m:sub>
        </m:sSub>
        <m:r>
          <w:rPr>
            <w:rFonts w:ascii="Cambria Math" w:hAnsi="Cambria Math"/>
          </w:rPr>
          <m:t>≫1</m:t>
        </m:r>
      </m:oMath>
      <w:r w:rsidRPr="002243CC">
        <w:t>)</w:t>
      </w:r>
      <w:r>
        <w:t xml:space="preserve">, the model may not able to detect the discriminatory potential of the biomarker. This observation has not been changed on the event rate. This model may only be useful if there is fairly high association between the biomarker and risk of clinical endpoint.  </w:t>
      </w:r>
    </w:p>
    <w:p w:rsidR="001C1D37" w:rsidRDefault="001C1D37" w:rsidP="001C1D37">
      <w:pPr>
        <w:pStyle w:val="NoSpacing"/>
        <w:contextualSpacing/>
        <w:rPr>
          <w:b/>
        </w:rPr>
      </w:pPr>
    </w:p>
    <w:p w:rsidR="004969A9" w:rsidRDefault="004969A9" w:rsidP="001C1D37">
      <w:pPr>
        <w:pStyle w:val="NoSpacing"/>
        <w:rPr>
          <w:rFonts w:ascii="Times New Roman" w:hAnsi="Times New Roman"/>
          <w:sz w:val="24"/>
          <w:szCs w:val="24"/>
        </w:rPr>
      </w:pPr>
    </w:p>
    <w:p w:rsidR="001C1D37" w:rsidRPr="001C1D37" w:rsidRDefault="001C1D37" w:rsidP="001C1D37">
      <w:pPr>
        <w:pStyle w:val="NoSpacing"/>
        <w:rPr>
          <w:rFonts w:ascii="Times New Roman" w:hAnsi="Times New Roman"/>
          <w:sz w:val="24"/>
          <w:szCs w:val="24"/>
        </w:rPr>
      </w:pPr>
      <w:r w:rsidRPr="001C1D37">
        <w:rPr>
          <w:rFonts w:ascii="Times New Roman" w:hAnsi="Times New Roman"/>
          <w:sz w:val="24"/>
          <w:szCs w:val="24"/>
        </w:rPr>
        <w:t xml:space="preserve">For the association structure in model C, we have considered several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0t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1t</m:t>
            </m:r>
          </m:sub>
        </m:sSub>
      </m:oMath>
      <w:r w:rsidRPr="001C1D37">
        <w:rPr>
          <w:rFonts w:ascii="Times New Roman" w:hAnsi="Times New Roman"/>
          <w:sz w:val="24"/>
          <w:szCs w:val="24"/>
        </w:rPr>
        <w:t xml:space="preserve"> combinations for event rates at 80% and 30%. The results from the simulation are tabulated in Table S2.</w:t>
      </w:r>
    </w:p>
    <w:p w:rsidR="001C1D37" w:rsidRPr="002243CC" w:rsidRDefault="001C1D37" w:rsidP="001C1D37">
      <w:pPr>
        <w:pStyle w:val="NoSpacing"/>
      </w:pPr>
    </w:p>
    <w:p w:rsidR="001C1D37" w:rsidRPr="00DE7EBE" w:rsidRDefault="001C1D37" w:rsidP="001C1D37">
      <w:pPr>
        <w:pStyle w:val="NoSpacing"/>
        <w:contextualSpacing/>
        <w:rPr>
          <w:rFonts w:ascii="Times New Roman" w:hAnsi="Times New Roman"/>
          <w:b/>
          <w:sz w:val="24"/>
          <w:szCs w:val="24"/>
        </w:rPr>
      </w:pPr>
      <w:r w:rsidRPr="00DE7EBE">
        <w:rPr>
          <w:rFonts w:ascii="Times New Roman" w:hAnsi="Times New Roman"/>
          <w:b/>
          <w:sz w:val="24"/>
          <w:szCs w:val="24"/>
        </w:rPr>
        <w:t xml:space="preserve">Table S2. Model C </w:t>
      </w:r>
    </w:p>
    <w:tbl>
      <w:tblPr>
        <w:tblpPr w:leftFromText="180" w:rightFromText="180" w:vertAnchor="text" w:tblpX="93" w:tblpY="1"/>
        <w:tblOverlap w:val="never"/>
        <w:tblW w:w="92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83"/>
        <w:gridCol w:w="1133"/>
        <w:gridCol w:w="1275"/>
        <w:gridCol w:w="1164"/>
        <w:gridCol w:w="1106"/>
        <w:gridCol w:w="1180"/>
        <w:gridCol w:w="1090"/>
      </w:tblGrid>
      <w:tr w:rsidR="001C1D37" w:rsidRPr="004655FB" w:rsidTr="001C1D37">
        <w:trPr>
          <w:trHeight w:hRule="exact" w:val="340"/>
        </w:trPr>
        <w:tc>
          <w:tcPr>
            <w:tcW w:w="2283" w:type="dxa"/>
            <w:vMerge w:val="restart"/>
            <w:tcBorders>
              <w:top w:val="single" w:sz="12" w:space="0" w:color="auto"/>
              <w:left w:val="nil"/>
              <w:right w:val="single" w:sz="4" w:space="0" w:color="auto"/>
            </w:tcBorders>
            <w:vAlign w:val="center"/>
          </w:tcPr>
          <w:p w:rsidR="001C1D37" w:rsidRPr="004655FB" w:rsidRDefault="001C1D37" w:rsidP="001C1D37">
            <w:pPr>
              <w:pStyle w:val="NoSpacing"/>
              <w:jc w:val="center"/>
              <w:rPr>
                <w:b/>
              </w:rPr>
            </w:pPr>
            <w:r w:rsidRPr="004655FB">
              <w:rPr>
                <w:b/>
              </w:rPr>
              <w:t xml:space="preserve">True  </w:t>
            </w:r>
            <m:oMath>
              <m:sSub>
                <m:sSubPr>
                  <m:ctrlPr>
                    <w:rPr>
                      <w:rFonts w:ascii="Cambria Math" w:hAnsi="Cambria Math"/>
                      <w:b/>
                      <w:i/>
                    </w:rPr>
                  </m:ctrlPr>
                </m:sSubPr>
                <m:e>
                  <m:r>
                    <m:rPr>
                      <m:sty m:val="bi"/>
                    </m:rPr>
                    <w:rPr>
                      <w:rFonts w:ascii="Cambria Math" w:hAnsi="Cambria Math"/>
                    </w:rPr>
                    <m:t>γ</m:t>
                  </m:r>
                </m:e>
                <m:sub>
                  <m:r>
                    <m:rPr>
                      <m:sty m:val="bi"/>
                    </m:rPr>
                    <w:rPr>
                      <w:rFonts w:ascii="Cambria Math" w:hAnsi="Cambria Math"/>
                    </w:rPr>
                    <m:t>0</m:t>
                  </m:r>
                  <m:r>
                    <m:rPr>
                      <m:sty m:val="bi"/>
                    </m:rPr>
                    <w:rPr>
                      <w:rFonts w:ascii="Cambria Math" w:hAnsi="Cambria Math"/>
                    </w:rPr>
                    <m:t>t</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γ</m:t>
                  </m:r>
                </m:e>
                <m:sub>
                  <m:r>
                    <m:rPr>
                      <m:sty m:val="bi"/>
                    </m:rPr>
                    <w:rPr>
                      <w:rFonts w:ascii="Cambria Math" w:hAnsi="Cambria Math"/>
                    </w:rPr>
                    <m:t>1</m:t>
                  </m:r>
                  <m:r>
                    <m:rPr>
                      <m:sty m:val="bi"/>
                    </m:rPr>
                    <w:rPr>
                      <w:rFonts w:ascii="Cambria Math" w:hAnsi="Cambria Math"/>
                    </w:rPr>
                    <m:t>t</m:t>
                  </m:r>
                </m:sub>
              </m:sSub>
            </m:oMath>
          </w:p>
        </w:tc>
        <w:tc>
          <w:tcPr>
            <w:tcW w:w="2408" w:type="dxa"/>
            <w:gridSpan w:val="2"/>
            <w:tcBorders>
              <w:top w:val="single" w:sz="12" w:space="0" w:color="auto"/>
              <w:bottom w:val="single" w:sz="2" w:space="0" w:color="auto"/>
              <w:right w:val="single" w:sz="2" w:space="0" w:color="auto"/>
            </w:tcBorders>
            <w:shd w:val="clear" w:color="auto" w:fill="auto"/>
            <w:noWrap/>
            <w:vAlign w:val="center"/>
          </w:tcPr>
          <w:p w:rsidR="001C1D37" w:rsidRPr="004655FB" w:rsidRDefault="001C1D37" w:rsidP="001C1D37">
            <w:pPr>
              <w:pStyle w:val="NoSpacing"/>
              <w:jc w:val="center"/>
              <w:rPr>
                <w:b/>
                <w:lang w:eastAsia="en-GB"/>
              </w:rPr>
            </w:pPr>
            <m:oMathPara>
              <m:oMath>
                <m:sSub>
                  <m:sSubPr>
                    <m:ctrlPr>
                      <w:rPr>
                        <w:rFonts w:ascii="Cambria Math" w:hAnsi="Cambria Math"/>
                        <w:b/>
                        <w:i/>
                      </w:rPr>
                    </m:ctrlPr>
                  </m:sSubPr>
                  <m:e>
                    <m:r>
                      <m:rPr>
                        <m:sty m:val="bi"/>
                      </m:rPr>
                      <w:rPr>
                        <w:rFonts w:ascii="Cambria Math" w:hAnsi="Cambria Math"/>
                      </w:rPr>
                      <m:t>γ</m:t>
                    </m:r>
                  </m:e>
                  <m:sub>
                    <m:r>
                      <m:rPr>
                        <m:sty m:val="bi"/>
                      </m:rPr>
                      <w:rPr>
                        <w:rFonts w:ascii="Cambria Math" w:hAnsi="Cambria Math"/>
                      </w:rPr>
                      <m:t>0</m:t>
                    </m:r>
                    <m:r>
                      <m:rPr>
                        <m:sty m:val="bi"/>
                      </m:rPr>
                      <w:rPr>
                        <w:rFonts w:ascii="Cambria Math" w:hAnsi="Cambria Math"/>
                      </w:rPr>
                      <m:t>t</m:t>
                    </m:r>
                  </m:sub>
                </m:sSub>
              </m:oMath>
            </m:oMathPara>
          </w:p>
        </w:tc>
        <w:tc>
          <w:tcPr>
            <w:tcW w:w="2270" w:type="dxa"/>
            <w:gridSpan w:val="2"/>
            <w:tcBorders>
              <w:top w:val="single" w:sz="12" w:space="0" w:color="auto"/>
              <w:left w:val="single" w:sz="2" w:space="0" w:color="auto"/>
              <w:bottom w:val="single" w:sz="2" w:space="0" w:color="auto"/>
              <w:right w:val="single" w:sz="2" w:space="0" w:color="auto"/>
            </w:tcBorders>
          </w:tcPr>
          <w:p w:rsidR="001C1D37" w:rsidRPr="004655FB" w:rsidRDefault="001C1D37" w:rsidP="001C1D37">
            <w:pPr>
              <w:pStyle w:val="NoSpacing"/>
              <w:jc w:val="center"/>
              <w:rPr>
                <w:b/>
                <w:lang w:eastAsia="en-GB"/>
              </w:rPr>
            </w:pPr>
            <m:oMathPara>
              <m:oMath>
                <m:sSub>
                  <m:sSubPr>
                    <m:ctrlPr>
                      <w:rPr>
                        <w:rFonts w:ascii="Cambria Math" w:hAnsi="Cambria Math"/>
                        <w:b/>
                        <w:i/>
                      </w:rPr>
                    </m:ctrlPr>
                  </m:sSubPr>
                  <m:e>
                    <m:r>
                      <m:rPr>
                        <m:sty m:val="bi"/>
                      </m:rPr>
                      <w:rPr>
                        <w:rFonts w:ascii="Cambria Math" w:hAnsi="Cambria Math"/>
                      </w:rPr>
                      <m:t>γ</m:t>
                    </m:r>
                  </m:e>
                  <m:sub>
                    <m:r>
                      <m:rPr>
                        <m:sty m:val="bi"/>
                      </m:rPr>
                      <w:rPr>
                        <w:rFonts w:ascii="Cambria Math" w:hAnsi="Cambria Math"/>
                      </w:rPr>
                      <m:t>1</m:t>
                    </m:r>
                    <m:r>
                      <m:rPr>
                        <m:sty m:val="bi"/>
                      </m:rPr>
                      <w:rPr>
                        <w:rFonts w:ascii="Cambria Math" w:hAnsi="Cambria Math"/>
                      </w:rPr>
                      <m:t>t</m:t>
                    </m:r>
                  </m:sub>
                </m:sSub>
              </m:oMath>
            </m:oMathPara>
          </w:p>
        </w:tc>
        <w:tc>
          <w:tcPr>
            <w:tcW w:w="2270" w:type="dxa"/>
            <w:gridSpan w:val="2"/>
            <w:tcBorders>
              <w:top w:val="single" w:sz="12" w:space="0" w:color="auto"/>
              <w:left w:val="single" w:sz="2" w:space="0" w:color="auto"/>
              <w:bottom w:val="single" w:sz="2" w:space="0" w:color="auto"/>
              <w:right w:val="nil"/>
            </w:tcBorders>
            <w:shd w:val="clear" w:color="auto" w:fill="auto"/>
            <w:noWrap/>
            <w:vAlign w:val="center"/>
          </w:tcPr>
          <w:p w:rsidR="001C1D37" w:rsidRPr="004655FB" w:rsidRDefault="001C1D37" w:rsidP="001C1D37">
            <w:pPr>
              <w:pStyle w:val="NoSpacing"/>
              <w:jc w:val="center"/>
              <w:rPr>
                <w:b/>
                <w:lang w:eastAsia="en-GB"/>
              </w:rPr>
            </w:pPr>
            <w:r w:rsidRPr="004655FB">
              <w:rPr>
                <w:b/>
                <w:lang w:eastAsia="en-GB"/>
              </w:rPr>
              <w:t>AUC</w:t>
            </w:r>
          </w:p>
        </w:tc>
      </w:tr>
      <w:tr w:rsidR="001C1D37" w:rsidRPr="004655FB" w:rsidTr="001C1D37">
        <w:trPr>
          <w:trHeight w:hRule="exact" w:val="340"/>
        </w:trPr>
        <w:tc>
          <w:tcPr>
            <w:tcW w:w="2283" w:type="dxa"/>
            <w:vMerge/>
            <w:tcBorders>
              <w:left w:val="nil"/>
              <w:bottom w:val="single" w:sz="12" w:space="0" w:color="auto"/>
              <w:right w:val="single" w:sz="4" w:space="0" w:color="auto"/>
            </w:tcBorders>
            <w:vAlign w:val="center"/>
          </w:tcPr>
          <w:p w:rsidR="001C1D37" w:rsidRPr="004655FB" w:rsidRDefault="001C1D37" w:rsidP="001C1D37">
            <w:pPr>
              <w:pStyle w:val="NoSpacing"/>
              <w:jc w:val="center"/>
              <w:rPr>
                <w:b/>
              </w:rPr>
            </w:pPr>
          </w:p>
        </w:tc>
        <w:tc>
          <w:tcPr>
            <w:tcW w:w="1133" w:type="dxa"/>
            <w:tcBorders>
              <w:top w:val="single" w:sz="2" w:space="0" w:color="auto"/>
              <w:bottom w:val="single" w:sz="12" w:space="0" w:color="auto"/>
              <w:right w:val="single" w:sz="4" w:space="0" w:color="auto"/>
            </w:tcBorders>
            <w:shd w:val="clear" w:color="auto" w:fill="auto"/>
            <w:noWrap/>
            <w:vAlign w:val="center"/>
          </w:tcPr>
          <w:p w:rsidR="001C1D37" w:rsidRPr="004655FB" w:rsidRDefault="001C1D37" w:rsidP="001C1D37">
            <w:pPr>
              <w:pStyle w:val="NoSpacing"/>
              <w:jc w:val="center"/>
              <w:rPr>
                <w:b/>
              </w:rPr>
            </w:pPr>
            <w:r w:rsidRPr="004655FB">
              <w:rPr>
                <w:b/>
              </w:rPr>
              <w:t>Est.</w:t>
            </w:r>
          </w:p>
        </w:tc>
        <w:tc>
          <w:tcPr>
            <w:tcW w:w="1275" w:type="dxa"/>
            <w:tcBorders>
              <w:top w:val="single" w:sz="2" w:space="0" w:color="auto"/>
              <w:left w:val="single" w:sz="4" w:space="0" w:color="auto"/>
              <w:bottom w:val="single" w:sz="12" w:space="0" w:color="auto"/>
              <w:right w:val="single" w:sz="2" w:space="0" w:color="auto"/>
            </w:tcBorders>
            <w:shd w:val="clear" w:color="auto" w:fill="auto"/>
            <w:vAlign w:val="center"/>
          </w:tcPr>
          <w:p w:rsidR="001C1D37" w:rsidRPr="004655FB" w:rsidRDefault="001C1D37" w:rsidP="001C1D37">
            <w:pPr>
              <w:pStyle w:val="NoSpacing"/>
              <w:jc w:val="center"/>
              <w:rPr>
                <w:b/>
                <w:lang w:eastAsia="en-GB"/>
              </w:rPr>
            </w:pPr>
            <w:r w:rsidRPr="004655FB">
              <w:rPr>
                <w:b/>
                <w:lang w:eastAsia="en-GB"/>
              </w:rPr>
              <w:t>SE</w:t>
            </w:r>
          </w:p>
        </w:tc>
        <w:tc>
          <w:tcPr>
            <w:tcW w:w="1164" w:type="dxa"/>
            <w:tcBorders>
              <w:top w:val="single" w:sz="2" w:space="0" w:color="auto"/>
              <w:left w:val="single" w:sz="2" w:space="0" w:color="auto"/>
              <w:bottom w:val="single" w:sz="12" w:space="0" w:color="auto"/>
              <w:right w:val="single" w:sz="2" w:space="0" w:color="auto"/>
            </w:tcBorders>
            <w:vAlign w:val="center"/>
          </w:tcPr>
          <w:p w:rsidR="001C1D37" w:rsidRPr="004655FB" w:rsidRDefault="001C1D37" w:rsidP="001C1D37">
            <w:pPr>
              <w:pStyle w:val="NoSpacing"/>
              <w:jc w:val="center"/>
              <w:rPr>
                <w:b/>
              </w:rPr>
            </w:pPr>
            <w:r w:rsidRPr="004655FB">
              <w:rPr>
                <w:b/>
              </w:rPr>
              <w:t>Est.</w:t>
            </w:r>
          </w:p>
        </w:tc>
        <w:tc>
          <w:tcPr>
            <w:tcW w:w="1106" w:type="dxa"/>
            <w:tcBorders>
              <w:top w:val="single" w:sz="2" w:space="0" w:color="auto"/>
              <w:left w:val="single" w:sz="2" w:space="0" w:color="auto"/>
              <w:bottom w:val="single" w:sz="12" w:space="0" w:color="auto"/>
              <w:right w:val="single" w:sz="2" w:space="0" w:color="auto"/>
            </w:tcBorders>
            <w:vAlign w:val="center"/>
          </w:tcPr>
          <w:p w:rsidR="001C1D37" w:rsidRPr="004655FB" w:rsidRDefault="001C1D37" w:rsidP="001C1D37">
            <w:pPr>
              <w:pStyle w:val="NoSpacing"/>
              <w:jc w:val="center"/>
              <w:rPr>
                <w:b/>
                <w:lang w:eastAsia="en-GB"/>
              </w:rPr>
            </w:pPr>
            <w:r w:rsidRPr="004655FB">
              <w:rPr>
                <w:b/>
                <w:lang w:eastAsia="en-GB"/>
              </w:rPr>
              <w:t>SE</w:t>
            </w:r>
          </w:p>
        </w:tc>
        <w:tc>
          <w:tcPr>
            <w:tcW w:w="1180" w:type="dxa"/>
            <w:tcBorders>
              <w:top w:val="single" w:sz="2" w:space="0" w:color="auto"/>
              <w:left w:val="single" w:sz="2" w:space="0" w:color="auto"/>
              <w:bottom w:val="single" w:sz="12" w:space="0" w:color="auto"/>
              <w:right w:val="single" w:sz="4" w:space="0" w:color="auto"/>
            </w:tcBorders>
            <w:shd w:val="clear" w:color="auto" w:fill="auto"/>
            <w:noWrap/>
            <w:vAlign w:val="center"/>
          </w:tcPr>
          <w:p w:rsidR="001C1D37" w:rsidRPr="004655FB" w:rsidRDefault="001C1D37" w:rsidP="001C1D37">
            <w:pPr>
              <w:pStyle w:val="NoSpacing"/>
              <w:jc w:val="center"/>
              <w:rPr>
                <w:b/>
              </w:rPr>
            </w:pPr>
            <w:r w:rsidRPr="004655FB">
              <w:rPr>
                <w:b/>
              </w:rPr>
              <w:t>Est.</w:t>
            </w:r>
          </w:p>
        </w:tc>
        <w:tc>
          <w:tcPr>
            <w:tcW w:w="1090" w:type="dxa"/>
            <w:tcBorders>
              <w:top w:val="single" w:sz="2" w:space="0" w:color="auto"/>
              <w:left w:val="single" w:sz="4" w:space="0" w:color="auto"/>
              <w:bottom w:val="single" w:sz="12" w:space="0" w:color="auto"/>
              <w:right w:val="nil"/>
            </w:tcBorders>
            <w:shd w:val="clear" w:color="auto" w:fill="auto"/>
            <w:vAlign w:val="center"/>
          </w:tcPr>
          <w:p w:rsidR="001C1D37" w:rsidRPr="004655FB" w:rsidRDefault="001C1D37" w:rsidP="001C1D37">
            <w:pPr>
              <w:pStyle w:val="NoSpacing"/>
              <w:jc w:val="center"/>
              <w:rPr>
                <w:b/>
                <w:lang w:eastAsia="en-GB"/>
              </w:rPr>
            </w:pPr>
            <w:r w:rsidRPr="004655FB">
              <w:rPr>
                <w:b/>
                <w:lang w:eastAsia="en-GB"/>
              </w:rPr>
              <w:t>SE</w:t>
            </w:r>
          </w:p>
        </w:tc>
      </w:tr>
      <w:tr w:rsidR="001C1D37" w:rsidRPr="004655FB" w:rsidTr="001C1D37">
        <w:trPr>
          <w:trHeight w:hRule="exact" w:val="340"/>
        </w:trPr>
        <w:tc>
          <w:tcPr>
            <w:tcW w:w="4691" w:type="dxa"/>
            <w:gridSpan w:val="3"/>
            <w:tcBorders>
              <w:top w:val="single" w:sz="12" w:space="0" w:color="auto"/>
              <w:left w:val="nil"/>
              <w:bottom w:val="single" w:sz="12" w:space="0" w:color="auto"/>
              <w:right w:val="single" w:sz="2" w:space="0" w:color="auto"/>
            </w:tcBorders>
            <w:vAlign w:val="center"/>
          </w:tcPr>
          <w:p w:rsidR="001C1D37" w:rsidRPr="004655FB" w:rsidRDefault="001C1D37" w:rsidP="001C1D37">
            <w:pPr>
              <w:pStyle w:val="NoSpacing"/>
              <w:rPr>
                <w:lang w:eastAsia="en-GB"/>
              </w:rPr>
            </w:pPr>
            <w:r w:rsidRPr="004655FB">
              <w:rPr>
                <w:b/>
              </w:rPr>
              <w:t>80% events</w:t>
            </w:r>
          </w:p>
        </w:tc>
        <w:tc>
          <w:tcPr>
            <w:tcW w:w="2270" w:type="dxa"/>
            <w:gridSpan w:val="2"/>
            <w:tcBorders>
              <w:top w:val="single" w:sz="12" w:space="0" w:color="auto"/>
              <w:left w:val="single" w:sz="2" w:space="0" w:color="auto"/>
              <w:bottom w:val="single" w:sz="12" w:space="0" w:color="auto"/>
              <w:right w:val="single" w:sz="2" w:space="0" w:color="auto"/>
            </w:tcBorders>
          </w:tcPr>
          <w:p w:rsidR="001C1D37" w:rsidRPr="004655FB" w:rsidRDefault="001C1D37" w:rsidP="001C1D37">
            <w:pPr>
              <w:pStyle w:val="NoSpacing"/>
              <w:rPr>
                <w:lang w:eastAsia="en-GB"/>
              </w:rPr>
            </w:pPr>
          </w:p>
        </w:tc>
        <w:tc>
          <w:tcPr>
            <w:tcW w:w="2270" w:type="dxa"/>
            <w:gridSpan w:val="2"/>
            <w:tcBorders>
              <w:top w:val="single" w:sz="12" w:space="0" w:color="auto"/>
              <w:left w:val="single" w:sz="2" w:space="0" w:color="auto"/>
              <w:bottom w:val="single" w:sz="12" w:space="0" w:color="auto"/>
              <w:right w:val="nil"/>
            </w:tcBorders>
            <w:vAlign w:val="center"/>
          </w:tcPr>
          <w:p w:rsidR="001C1D37" w:rsidRPr="004655FB" w:rsidRDefault="001C1D37" w:rsidP="001C1D37">
            <w:pPr>
              <w:pStyle w:val="NoSpacing"/>
              <w:rPr>
                <w:lang w:eastAsia="en-GB"/>
              </w:rPr>
            </w:pPr>
          </w:p>
        </w:tc>
      </w:tr>
      <w:tr w:rsidR="001C1D37" w:rsidRPr="004655FB" w:rsidTr="001C1D37">
        <w:trPr>
          <w:trHeight w:hRule="exact" w:val="284"/>
        </w:trPr>
        <w:tc>
          <w:tcPr>
            <w:tcW w:w="2283" w:type="dxa"/>
            <w:tcBorders>
              <w:top w:val="single" w:sz="12" w:space="0" w:color="auto"/>
              <w:left w:val="nil"/>
              <w:bottom w:val="single" w:sz="2" w:space="0" w:color="auto"/>
              <w:right w:val="single" w:sz="4" w:space="0" w:color="auto"/>
            </w:tcBorders>
            <w:vAlign w:val="center"/>
          </w:tcPr>
          <w:p w:rsidR="001C1D37" w:rsidRPr="004655FB" w:rsidRDefault="001C1D37" w:rsidP="001C1D37">
            <w:pPr>
              <w:pStyle w:val="NoSpacing"/>
              <w:jc w:val="center"/>
              <w:rPr>
                <w:lang w:eastAsia="en-GB"/>
              </w:rPr>
            </w:pPr>
            <w:r w:rsidRPr="004655FB">
              <w:rPr>
                <w:lang w:eastAsia="en-GB"/>
              </w:rPr>
              <w:t>-0.25; -1</w:t>
            </w:r>
          </w:p>
        </w:tc>
        <w:tc>
          <w:tcPr>
            <w:tcW w:w="1133" w:type="dxa"/>
            <w:tcBorders>
              <w:top w:val="single" w:sz="12" w:space="0" w:color="auto"/>
              <w:bottom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-0.255</w:t>
            </w:r>
          </w:p>
        </w:tc>
        <w:tc>
          <w:tcPr>
            <w:tcW w:w="1275" w:type="dxa"/>
            <w:tcBorders>
              <w:top w:val="single" w:sz="12" w:space="0" w:color="auto"/>
              <w:left w:val="single" w:sz="4" w:space="0" w:color="auto"/>
              <w:bottom w:val="single" w:sz="2" w:space="0" w:color="auto"/>
              <w:right w:val="single" w:sz="2" w:space="0" w:color="auto"/>
            </w:tcBorders>
            <w:shd w:val="clear" w:color="auto" w:fill="auto"/>
            <w:vAlign w:val="bottom"/>
          </w:tcPr>
          <w:p w:rsidR="001C1D37" w:rsidRPr="004655FB" w:rsidRDefault="001C1D37" w:rsidP="001C1D37">
            <w:pPr>
              <w:jc w:val="right"/>
              <w:rPr>
                <w:color w:val="000000"/>
              </w:rPr>
            </w:pPr>
            <w:r w:rsidRPr="004655FB">
              <w:rPr>
                <w:color w:val="000000"/>
              </w:rPr>
              <w:t>0.028</w:t>
            </w:r>
          </w:p>
        </w:tc>
        <w:tc>
          <w:tcPr>
            <w:tcW w:w="1164" w:type="dxa"/>
            <w:tcBorders>
              <w:top w:val="single" w:sz="12" w:space="0" w:color="auto"/>
              <w:left w:val="single" w:sz="2" w:space="0" w:color="auto"/>
              <w:bottom w:val="single" w:sz="2" w:space="0" w:color="auto"/>
              <w:right w:val="single" w:sz="2" w:space="0" w:color="auto"/>
            </w:tcBorders>
            <w:vAlign w:val="bottom"/>
          </w:tcPr>
          <w:p w:rsidR="001C1D37" w:rsidRPr="004655FB" w:rsidRDefault="001C1D37" w:rsidP="001C1D37">
            <w:pPr>
              <w:jc w:val="right"/>
              <w:rPr>
                <w:color w:val="000000"/>
              </w:rPr>
            </w:pPr>
            <w:r w:rsidRPr="004655FB">
              <w:rPr>
                <w:color w:val="000000"/>
              </w:rPr>
              <w:t>-0.924</w:t>
            </w:r>
          </w:p>
        </w:tc>
        <w:tc>
          <w:tcPr>
            <w:tcW w:w="1106" w:type="dxa"/>
            <w:tcBorders>
              <w:top w:val="single" w:sz="12" w:space="0" w:color="auto"/>
              <w:left w:val="single" w:sz="2" w:space="0" w:color="auto"/>
              <w:bottom w:val="single" w:sz="2" w:space="0" w:color="auto"/>
              <w:right w:val="single" w:sz="2" w:space="0" w:color="auto"/>
            </w:tcBorders>
            <w:vAlign w:val="bottom"/>
          </w:tcPr>
          <w:p w:rsidR="001C1D37" w:rsidRPr="004655FB" w:rsidRDefault="001C1D37" w:rsidP="001C1D37">
            <w:pPr>
              <w:jc w:val="right"/>
              <w:rPr>
                <w:color w:val="000000"/>
              </w:rPr>
            </w:pPr>
            <w:r w:rsidRPr="004655FB">
              <w:rPr>
                <w:color w:val="000000"/>
              </w:rPr>
              <w:t>0.173</w:t>
            </w:r>
          </w:p>
        </w:tc>
        <w:tc>
          <w:tcPr>
            <w:tcW w:w="1180" w:type="dxa"/>
            <w:tcBorders>
              <w:top w:val="single" w:sz="12" w:space="0" w:color="auto"/>
              <w:left w:val="single" w:sz="2" w:space="0" w:color="auto"/>
              <w:bottom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0.737</w:t>
            </w:r>
          </w:p>
        </w:tc>
        <w:tc>
          <w:tcPr>
            <w:tcW w:w="1090" w:type="dxa"/>
            <w:tcBorders>
              <w:top w:val="single" w:sz="12" w:space="0" w:color="auto"/>
              <w:left w:val="single" w:sz="4" w:space="0" w:color="auto"/>
              <w:bottom w:val="single" w:sz="2" w:space="0" w:color="auto"/>
              <w:right w:val="nil"/>
            </w:tcBorders>
            <w:shd w:val="clear" w:color="auto" w:fill="auto"/>
            <w:vAlign w:val="bottom"/>
          </w:tcPr>
          <w:p w:rsidR="001C1D37" w:rsidRPr="004655FB" w:rsidRDefault="001C1D37" w:rsidP="001C1D37">
            <w:pPr>
              <w:jc w:val="right"/>
              <w:rPr>
                <w:color w:val="000000"/>
              </w:rPr>
            </w:pPr>
            <w:r w:rsidRPr="004655FB">
              <w:rPr>
                <w:color w:val="000000"/>
              </w:rPr>
              <w:t>0.032</w:t>
            </w:r>
          </w:p>
        </w:tc>
      </w:tr>
      <w:tr w:rsidR="001C1D37" w:rsidRPr="004655FB" w:rsidTr="001C1D37">
        <w:trPr>
          <w:trHeight w:hRule="exact" w:val="284"/>
        </w:trPr>
        <w:tc>
          <w:tcPr>
            <w:tcW w:w="2283" w:type="dxa"/>
            <w:tcBorders>
              <w:top w:val="single" w:sz="2" w:space="0" w:color="auto"/>
              <w:left w:val="nil"/>
              <w:right w:val="single" w:sz="4" w:space="0" w:color="auto"/>
            </w:tcBorders>
            <w:vAlign w:val="center"/>
          </w:tcPr>
          <w:p w:rsidR="001C1D37" w:rsidRPr="004655FB" w:rsidRDefault="001C1D37" w:rsidP="001C1D37">
            <w:pPr>
              <w:pStyle w:val="NoSpacing"/>
              <w:jc w:val="center"/>
              <w:rPr>
                <w:lang w:eastAsia="en-GB"/>
              </w:rPr>
            </w:pPr>
            <w:r w:rsidRPr="004655FB">
              <w:rPr>
                <w:lang w:eastAsia="en-GB"/>
              </w:rPr>
              <w:lastRenderedPageBreak/>
              <w:t>-0.5; -1</w:t>
            </w:r>
          </w:p>
        </w:tc>
        <w:tc>
          <w:tcPr>
            <w:tcW w:w="1133" w:type="dxa"/>
            <w:tcBorders>
              <w:top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-0.497</w:t>
            </w:r>
          </w:p>
        </w:tc>
        <w:tc>
          <w:tcPr>
            <w:tcW w:w="1275" w:type="dxa"/>
            <w:tcBorders>
              <w:top w:val="single" w:sz="2" w:space="0" w:color="auto"/>
              <w:left w:val="single" w:sz="4" w:space="0" w:color="auto"/>
              <w:right w:val="single" w:sz="2" w:space="0" w:color="auto"/>
            </w:tcBorders>
            <w:shd w:val="clear" w:color="auto" w:fill="auto"/>
            <w:vAlign w:val="bottom"/>
          </w:tcPr>
          <w:p w:rsidR="001C1D37" w:rsidRPr="004655FB" w:rsidRDefault="001C1D37" w:rsidP="001C1D37">
            <w:pPr>
              <w:jc w:val="right"/>
              <w:rPr>
                <w:color w:val="000000"/>
              </w:rPr>
            </w:pPr>
            <w:r w:rsidRPr="004655FB">
              <w:rPr>
                <w:color w:val="000000"/>
              </w:rPr>
              <w:t>0.027</w:t>
            </w:r>
          </w:p>
        </w:tc>
        <w:tc>
          <w:tcPr>
            <w:tcW w:w="1164" w:type="dxa"/>
            <w:tcBorders>
              <w:top w:val="single" w:sz="2" w:space="0" w:color="auto"/>
              <w:left w:val="single" w:sz="2" w:space="0" w:color="auto"/>
              <w:right w:val="single" w:sz="2" w:space="0" w:color="auto"/>
            </w:tcBorders>
            <w:vAlign w:val="bottom"/>
          </w:tcPr>
          <w:p w:rsidR="001C1D37" w:rsidRPr="004655FB" w:rsidRDefault="001C1D37" w:rsidP="001C1D37">
            <w:pPr>
              <w:jc w:val="right"/>
              <w:rPr>
                <w:color w:val="000000"/>
              </w:rPr>
            </w:pPr>
            <w:r w:rsidRPr="004655FB">
              <w:rPr>
                <w:color w:val="000000"/>
              </w:rPr>
              <w:t>-0.939</w:t>
            </w:r>
          </w:p>
        </w:tc>
        <w:tc>
          <w:tcPr>
            <w:tcW w:w="1106" w:type="dxa"/>
            <w:tcBorders>
              <w:top w:val="single" w:sz="2" w:space="0" w:color="auto"/>
              <w:left w:val="single" w:sz="2" w:space="0" w:color="auto"/>
              <w:right w:val="single" w:sz="2" w:space="0" w:color="auto"/>
            </w:tcBorders>
            <w:vAlign w:val="bottom"/>
          </w:tcPr>
          <w:p w:rsidR="001C1D37" w:rsidRPr="004655FB" w:rsidRDefault="001C1D37" w:rsidP="001C1D37">
            <w:pPr>
              <w:jc w:val="right"/>
              <w:rPr>
                <w:color w:val="000000"/>
              </w:rPr>
            </w:pPr>
            <w:r w:rsidRPr="004655FB">
              <w:rPr>
                <w:color w:val="000000"/>
              </w:rPr>
              <w:t>0.178</w:t>
            </w:r>
          </w:p>
        </w:tc>
        <w:tc>
          <w:tcPr>
            <w:tcW w:w="1180" w:type="dxa"/>
            <w:tcBorders>
              <w:top w:val="single" w:sz="2" w:space="0" w:color="auto"/>
              <w:left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0.703</w:t>
            </w:r>
          </w:p>
        </w:tc>
        <w:tc>
          <w:tcPr>
            <w:tcW w:w="1090" w:type="dxa"/>
            <w:tcBorders>
              <w:top w:val="single" w:sz="2" w:space="0" w:color="auto"/>
              <w:left w:val="single" w:sz="4" w:space="0" w:color="auto"/>
              <w:right w:val="nil"/>
            </w:tcBorders>
            <w:shd w:val="clear" w:color="auto" w:fill="auto"/>
            <w:vAlign w:val="bottom"/>
          </w:tcPr>
          <w:p w:rsidR="001C1D37" w:rsidRPr="004655FB" w:rsidRDefault="001C1D37" w:rsidP="001C1D37">
            <w:pPr>
              <w:jc w:val="right"/>
              <w:rPr>
                <w:color w:val="000000"/>
              </w:rPr>
            </w:pPr>
            <w:r w:rsidRPr="004655FB">
              <w:rPr>
                <w:color w:val="000000"/>
              </w:rPr>
              <w:t>0.032</w:t>
            </w:r>
          </w:p>
        </w:tc>
      </w:tr>
      <w:tr w:rsidR="001C1D37" w:rsidRPr="004655FB" w:rsidTr="001C1D37">
        <w:trPr>
          <w:trHeight w:hRule="exact" w:val="284"/>
        </w:trPr>
        <w:tc>
          <w:tcPr>
            <w:tcW w:w="2283" w:type="dxa"/>
            <w:tcBorders>
              <w:left w:val="nil"/>
              <w:bottom w:val="single" w:sz="12" w:space="0" w:color="auto"/>
              <w:right w:val="single" w:sz="4" w:space="0" w:color="auto"/>
            </w:tcBorders>
            <w:vAlign w:val="center"/>
          </w:tcPr>
          <w:p w:rsidR="001C1D37" w:rsidRPr="004655FB" w:rsidRDefault="001C1D37" w:rsidP="001C1D37">
            <w:pPr>
              <w:pStyle w:val="NoSpacing"/>
              <w:jc w:val="center"/>
              <w:rPr>
                <w:lang w:eastAsia="en-GB"/>
              </w:rPr>
            </w:pPr>
            <w:r w:rsidRPr="004655FB">
              <w:rPr>
                <w:lang w:eastAsia="en-GB"/>
              </w:rPr>
              <w:t>-0.5; -0.25</w:t>
            </w:r>
          </w:p>
        </w:tc>
        <w:tc>
          <w:tcPr>
            <w:tcW w:w="1133" w:type="dxa"/>
            <w:tcBorders>
              <w:bottom w:val="single" w:sz="1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-0.500</w:t>
            </w:r>
          </w:p>
        </w:tc>
        <w:tc>
          <w:tcPr>
            <w:tcW w:w="1275" w:type="dxa"/>
            <w:tcBorders>
              <w:left w:val="single" w:sz="4" w:space="0" w:color="auto"/>
              <w:bottom w:val="single" w:sz="12" w:space="0" w:color="auto"/>
              <w:right w:val="single" w:sz="2" w:space="0" w:color="auto"/>
            </w:tcBorders>
            <w:shd w:val="clear" w:color="auto" w:fill="auto"/>
            <w:vAlign w:val="bottom"/>
          </w:tcPr>
          <w:p w:rsidR="001C1D37" w:rsidRPr="004655FB" w:rsidRDefault="001C1D37" w:rsidP="001C1D37">
            <w:pPr>
              <w:jc w:val="right"/>
              <w:rPr>
                <w:color w:val="000000"/>
              </w:rPr>
            </w:pPr>
            <w:r w:rsidRPr="004655FB">
              <w:rPr>
                <w:color w:val="000000"/>
              </w:rPr>
              <w:t>0.029</w:t>
            </w:r>
          </w:p>
        </w:tc>
        <w:tc>
          <w:tcPr>
            <w:tcW w:w="1164" w:type="dxa"/>
            <w:tcBorders>
              <w:left w:val="single" w:sz="2" w:space="0" w:color="auto"/>
              <w:right w:val="single" w:sz="2" w:space="0" w:color="auto"/>
            </w:tcBorders>
            <w:vAlign w:val="bottom"/>
          </w:tcPr>
          <w:p w:rsidR="001C1D37" w:rsidRPr="004655FB" w:rsidRDefault="001C1D37" w:rsidP="001C1D37">
            <w:pPr>
              <w:jc w:val="right"/>
              <w:rPr>
                <w:color w:val="000000"/>
              </w:rPr>
            </w:pPr>
            <w:r w:rsidRPr="004655FB">
              <w:rPr>
                <w:color w:val="000000"/>
              </w:rPr>
              <w:t>-0.270</w:t>
            </w:r>
          </w:p>
        </w:tc>
        <w:tc>
          <w:tcPr>
            <w:tcW w:w="1106" w:type="dxa"/>
            <w:tcBorders>
              <w:left w:val="single" w:sz="2" w:space="0" w:color="auto"/>
              <w:right w:val="single" w:sz="2" w:space="0" w:color="auto"/>
            </w:tcBorders>
            <w:vAlign w:val="bottom"/>
          </w:tcPr>
          <w:p w:rsidR="001C1D37" w:rsidRPr="004655FB" w:rsidRDefault="001C1D37" w:rsidP="001C1D37">
            <w:pPr>
              <w:jc w:val="right"/>
              <w:rPr>
                <w:color w:val="000000"/>
              </w:rPr>
            </w:pPr>
            <w:r w:rsidRPr="004655FB">
              <w:rPr>
                <w:color w:val="000000"/>
              </w:rPr>
              <w:t>0.082</w:t>
            </w:r>
          </w:p>
        </w:tc>
        <w:tc>
          <w:tcPr>
            <w:tcW w:w="1180" w:type="dxa"/>
            <w:tcBorders>
              <w:left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0.579</w:t>
            </w:r>
          </w:p>
        </w:tc>
        <w:tc>
          <w:tcPr>
            <w:tcW w:w="1090" w:type="dxa"/>
            <w:tcBorders>
              <w:left w:val="single" w:sz="4" w:space="0" w:color="auto"/>
              <w:right w:val="nil"/>
            </w:tcBorders>
            <w:shd w:val="clear" w:color="auto" w:fill="auto"/>
            <w:vAlign w:val="bottom"/>
          </w:tcPr>
          <w:p w:rsidR="001C1D37" w:rsidRPr="004655FB" w:rsidRDefault="001C1D37" w:rsidP="001C1D37">
            <w:pPr>
              <w:jc w:val="right"/>
              <w:rPr>
                <w:color w:val="000000"/>
              </w:rPr>
            </w:pPr>
            <w:r w:rsidRPr="004655FB">
              <w:rPr>
                <w:color w:val="000000"/>
              </w:rPr>
              <w:t>0.027</w:t>
            </w:r>
          </w:p>
        </w:tc>
      </w:tr>
      <w:tr w:rsidR="001C1D37" w:rsidRPr="004655FB" w:rsidTr="001C1D37">
        <w:trPr>
          <w:trHeight w:hRule="exact" w:val="340"/>
        </w:trPr>
        <w:tc>
          <w:tcPr>
            <w:tcW w:w="4691" w:type="dxa"/>
            <w:gridSpan w:val="3"/>
            <w:tcBorders>
              <w:top w:val="single" w:sz="12" w:space="0" w:color="auto"/>
              <w:left w:val="nil"/>
              <w:bottom w:val="single" w:sz="12" w:space="0" w:color="auto"/>
              <w:right w:val="single" w:sz="2" w:space="0" w:color="auto"/>
            </w:tcBorders>
            <w:vAlign w:val="center"/>
          </w:tcPr>
          <w:p w:rsidR="001C1D37" w:rsidRPr="004655FB" w:rsidRDefault="001C1D37" w:rsidP="001C1D37">
            <w:pPr>
              <w:pStyle w:val="NoSpacing"/>
              <w:rPr>
                <w:lang w:eastAsia="en-GB"/>
              </w:rPr>
            </w:pPr>
            <w:r w:rsidRPr="004655FB">
              <w:rPr>
                <w:b/>
              </w:rPr>
              <w:t>30% events</w:t>
            </w:r>
          </w:p>
        </w:tc>
        <w:tc>
          <w:tcPr>
            <w:tcW w:w="4540" w:type="dxa"/>
            <w:gridSpan w:val="4"/>
            <w:tcBorders>
              <w:top w:val="single" w:sz="12" w:space="0" w:color="auto"/>
              <w:left w:val="single" w:sz="2" w:space="0" w:color="auto"/>
              <w:bottom w:val="single" w:sz="12" w:space="0" w:color="auto"/>
              <w:right w:val="nil"/>
            </w:tcBorders>
          </w:tcPr>
          <w:p w:rsidR="001C1D37" w:rsidRPr="004655FB" w:rsidRDefault="001C1D37" w:rsidP="001C1D37">
            <w:pPr>
              <w:pStyle w:val="NoSpacing"/>
              <w:rPr>
                <w:lang w:eastAsia="en-GB"/>
              </w:rPr>
            </w:pPr>
          </w:p>
        </w:tc>
      </w:tr>
      <w:tr w:rsidR="001C1D37" w:rsidRPr="004655FB" w:rsidTr="001C1D37">
        <w:trPr>
          <w:trHeight w:hRule="exact" w:val="284"/>
        </w:trPr>
        <w:tc>
          <w:tcPr>
            <w:tcW w:w="2283" w:type="dxa"/>
            <w:tcBorders>
              <w:top w:val="single" w:sz="12" w:space="0" w:color="auto"/>
              <w:left w:val="nil"/>
              <w:right w:val="single" w:sz="4" w:space="0" w:color="auto"/>
            </w:tcBorders>
            <w:vAlign w:val="center"/>
          </w:tcPr>
          <w:p w:rsidR="001C1D37" w:rsidRPr="004655FB" w:rsidRDefault="001C1D37" w:rsidP="001C1D37">
            <w:pPr>
              <w:pStyle w:val="NoSpacing"/>
              <w:jc w:val="center"/>
              <w:rPr>
                <w:lang w:eastAsia="en-GB"/>
              </w:rPr>
            </w:pPr>
            <w:r w:rsidRPr="004655FB">
              <w:rPr>
                <w:lang w:eastAsia="en-GB"/>
              </w:rPr>
              <w:t>-0.25; -1</w:t>
            </w:r>
          </w:p>
        </w:tc>
        <w:tc>
          <w:tcPr>
            <w:tcW w:w="1133" w:type="dxa"/>
            <w:tcBorders>
              <w:top w:val="single" w:sz="1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-0.251</w:t>
            </w:r>
          </w:p>
        </w:tc>
        <w:tc>
          <w:tcPr>
            <w:tcW w:w="1275" w:type="dxa"/>
            <w:tcBorders>
              <w:top w:val="single" w:sz="12" w:space="0" w:color="auto"/>
              <w:left w:val="single" w:sz="4" w:space="0" w:color="auto"/>
              <w:right w:val="single" w:sz="2" w:space="0" w:color="auto"/>
            </w:tcBorders>
            <w:shd w:val="clear" w:color="auto" w:fill="auto"/>
            <w:vAlign w:val="bottom"/>
          </w:tcPr>
          <w:p w:rsidR="001C1D37" w:rsidRPr="004655FB" w:rsidRDefault="001C1D37" w:rsidP="001C1D37">
            <w:pPr>
              <w:jc w:val="right"/>
              <w:rPr>
                <w:color w:val="000000"/>
              </w:rPr>
            </w:pPr>
            <w:r w:rsidRPr="004655FB">
              <w:rPr>
                <w:color w:val="000000"/>
              </w:rPr>
              <w:t>0.029</w:t>
            </w:r>
          </w:p>
        </w:tc>
        <w:tc>
          <w:tcPr>
            <w:tcW w:w="1164" w:type="dxa"/>
            <w:tcBorders>
              <w:top w:val="single" w:sz="12" w:space="0" w:color="auto"/>
              <w:left w:val="single" w:sz="2" w:space="0" w:color="auto"/>
              <w:right w:val="single" w:sz="2" w:space="0" w:color="auto"/>
            </w:tcBorders>
            <w:vAlign w:val="bottom"/>
          </w:tcPr>
          <w:p w:rsidR="001C1D37" w:rsidRPr="004655FB" w:rsidRDefault="001C1D37" w:rsidP="001C1D37">
            <w:pPr>
              <w:jc w:val="right"/>
              <w:rPr>
                <w:color w:val="000000"/>
              </w:rPr>
            </w:pPr>
            <w:r w:rsidRPr="004655FB">
              <w:rPr>
                <w:color w:val="000000"/>
              </w:rPr>
              <w:t>-0.897</w:t>
            </w:r>
          </w:p>
        </w:tc>
        <w:tc>
          <w:tcPr>
            <w:tcW w:w="1106" w:type="dxa"/>
            <w:tcBorders>
              <w:top w:val="single" w:sz="12" w:space="0" w:color="auto"/>
              <w:left w:val="single" w:sz="2" w:space="0" w:color="auto"/>
              <w:right w:val="single" w:sz="2" w:space="0" w:color="auto"/>
            </w:tcBorders>
            <w:vAlign w:val="bottom"/>
          </w:tcPr>
          <w:p w:rsidR="001C1D37" w:rsidRPr="004655FB" w:rsidRDefault="001C1D37" w:rsidP="001C1D37">
            <w:pPr>
              <w:jc w:val="right"/>
              <w:rPr>
                <w:color w:val="000000"/>
              </w:rPr>
            </w:pPr>
            <w:r w:rsidRPr="004655FB">
              <w:rPr>
                <w:color w:val="000000"/>
              </w:rPr>
              <w:t>0.103</w:t>
            </w:r>
          </w:p>
        </w:tc>
        <w:tc>
          <w:tcPr>
            <w:tcW w:w="1180" w:type="dxa"/>
            <w:tcBorders>
              <w:top w:val="single" w:sz="12" w:space="0" w:color="auto"/>
              <w:left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0.694</w:t>
            </w:r>
          </w:p>
        </w:tc>
        <w:tc>
          <w:tcPr>
            <w:tcW w:w="1090" w:type="dxa"/>
            <w:tcBorders>
              <w:top w:val="single" w:sz="12" w:space="0" w:color="auto"/>
              <w:left w:val="single" w:sz="4" w:space="0" w:color="auto"/>
              <w:right w:val="nil"/>
            </w:tcBorders>
            <w:shd w:val="clear" w:color="auto" w:fill="auto"/>
            <w:vAlign w:val="bottom"/>
          </w:tcPr>
          <w:p w:rsidR="001C1D37" w:rsidRPr="004655FB" w:rsidRDefault="001C1D37" w:rsidP="001C1D37">
            <w:pPr>
              <w:jc w:val="right"/>
              <w:rPr>
                <w:color w:val="000000"/>
              </w:rPr>
            </w:pPr>
            <w:r w:rsidRPr="004655FB">
              <w:rPr>
                <w:color w:val="000000"/>
              </w:rPr>
              <w:t>0.026</w:t>
            </w:r>
          </w:p>
        </w:tc>
      </w:tr>
      <w:tr w:rsidR="001C1D37" w:rsidRPr="004655FB" w:rsidTr="001C1D37">
        <w:trPr>
          <w:trHeight w:hRule="exact" w:val="284"/>
        </w:trPr>
        <w:tc>
          <w:tcPr>
            <w:tcW w:w="2283" w:type="dxa"/>
            <w:tcBorders>
              <w:left w:val="nil"/>
              <w:right w:val="single" w:sz="4" w:space="0" w:color="auto"/>
            </w:tcBorders>
            <w:vAlign w:val="center"/>
          </w:tcPr>
          <w:p w:rsidR="001C1D37" w:rsidRPr="004655FB" w:rsidRDefault="001C1D37" w:rsidP="001C1D37">
            <w:pPr>
              <w:pStyle w:val="NoSpacing"/>
              <w:jc w:val="center"/>
              <w:rPr>
                <w:lang w:eastAsia="en-GB"/>
              </w:rPr>
            </w:pPr>
            <w:r w:rsidRPr="004655FB">
              <w:rPr>
                <w:lang w:eastAsia="en-GB"/>
              </w:rPr>
              <w:t>-0.5; -1</w:t>
            </w:r>
          </w:p>
        </w:tc>
        <w:tc>
          <w:tcPr>
            <w:tcW w:w="1133" w:type="dxa"/>
            <w:tcBorders>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-0.497</w:t>
            </w:r>
          </w:p>
        </w:tc>
        <w:tc>
          <w:tcPr>
            <w:tcW w:w="1275" w:type="dxa"/>
            <w:tcBorders>
              <w:left w:val="single" w:sz="4" w:space="0" w:color="auto"/>
              <w:right w:val="single" w:sz="2" w:space="0" w:color="auto"/>
            </w:tcBorders>
            <w:shd w:val="clear" w:color="auto" w:fill="auto"/>
            <w:vAlign w:val="bottom"/>
          </w:tcPr>
          <w:p w:rsidR="001C1D37" w:rsidRPr="004655FB" w:rsidRDefault="001C1D37" w:rsidP="001C1D37">
            <w:pPr>
              <w:jc w:val="right"/>
              <w:rPr>
                <w:color w:val="000000"/>
              </w:rPr>
            </w:pPr>
            <w:r w:rsidRPr="004655FB">
              <w:rPr>
                <w:color w:val="000000"/>
              </w:rPr>
              <w:t>0.028</w:t>
            </w:r>
          </w:p>
        </w:tc>
        <w:tc>
          <w:tcPr>
            <w:tcW w:w="1164" w:type="dxa"/>
            <w:tcBorders>
              <w:left w:val="single" w:sz="2" w:space="0" w:color="auto"/>
              <w:right w:val="single" w:sz="2" w:space="0" w:color="auto"/>
            </w:tcBorders>
            <w:vAlign w:val="bottom"/>
          </w:tcPr>
          <w:p w:rsidR="001C1D37" w:rsidRPr="004655FB" w:rsidRDefault="001C1D37" w:rsidP="001C1D37">
            <w:pPr>
              <w:jc w:val="right"/>
              <w:rPr>
                <w:color w:val="000000"/>
              </w:rPr>
            </w:pPr>
            <w:r w:rsidRPr="004655FB">
              <w:rPr>
                <w:color w:val="000000"/>
              </w:rPr>
              <w:t>-0.891</w:t>
            </w:r>
          </w:p>
        </w:tc>
        <w:tc>
          <w:tcPr>
            <w:tcW w:w="1106" w:type="dxa"/>
            <w:tcBorders>
              <w:left w:val="single" w:sz="2" w:space="0" w:color="auto"/>
              <w:right w:val="single" w:sz="2" w:space="0" w:color="auto"/>
            </w:tcBorders>
            <w:vAlign w:val="bottom"/>
          </w:tcPr>
          <w:p w:rsidR="001C1D37" w:rsidRPr="004655FB" w:rsidRDefault="001C1D37" w:rsidP="001C1D37">
            <w:pPr>
              <w:jc w:val="right"/>
              <w:rPr>
                <w:color w:val="000000"/>
              </w:rPr>
            </w:pPr>
            <w:r w:rsidRPr="004655FB">
              <w:rPr>
                <w:color w:val="000000"/>
              </w:rPr>
              <w:t>0.119</w:t>
            </w:r>
          </w:p>
        </w:tc>
        <w:tc>
          <w:tcPr>
            <w:tcW w:w="1180" w:type="dxa"/>
            <w:tcBorders>
              <w:left w:val="single" w:sz="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0.650</w:t>
            </w:r>
          </w:p>
        </w:tc>
        <w:tc>
          <w:tcPr>
            <w:tcW w:w="1090" w:type="dxa"/>
            <w:tcBorders>
              <w:left w:val="single" w:sz="4" w:space="0" w:color="auto"/>
              <w:right w:val="nil"/>
            </w:tcBorders>
            <w:shd w:val="clear" w:color="auto" w:fill="auto"/>
            <w:vAlign w:val="bottom"/>
          </w:tcPr>
          <w:p w:rsidR="001C1D37" w:rsidRPr="004655FB" w:rsidRDefault="001C1D37" w:rsidP="001C1D37">
            <w:pPr>
              <w:jc w:val="right"/>
              <w:rPr>
                <w:color w:val="000000"/>
              </w:rPr>
            </w:pPr>
            <w:r w:rsidRPr="004655FB">
              <w:rPr>
                <w:color w:val="000000"/>
              </w:rPr>
              <w:t>0.026</w:t>
            </w:r>
          </w:p>
        </w:tc>
      </w:tr>
      <w:tr w:rsidR="001C1D37" w:rsidRPr="004655FB" w:rsidTr="001C1D37">
        <w:trPr>
          <w:trHeight w:hRule="exact" w:val="284"/>
        </w:trPr>
        <w:tc>
          <w:tcPr>
            <w:tcW w:w="2283" w:type="dxa"/>
            <w:tcBorders>
              <w:left w:val="nil"/>
              <w:bottom w:val="single" w:sz="12" w:space="0" w:color="auto"/>
              <w:right w:val="single" w:sz="4" w:space="0" w:color="auto"/>
            </w:tcBorders>
            <w:vAlign w:val="center"/>
          </w:tcPr>
          <w:p w:rsidR="001C1D37" w:rsidRPr="004655FB" w:rsidRDefault="001C1D37" w:rsidP="001C1D37">
            <w:pPr>
              <w:pStyle w:val="NoSpacing"/>
              <w:jc w:val="center"/>
              <w:rPr>
                <w:lang w:eastAsia="en-GB"/>
              </w:rPr>
            </w:pPr>
            <w:r w:rsidRPr="004655FB">
              <w:rPr>
                <w:lang w:eastAsia="en-GB"/>
              </w:rPr>
              <w:t>-0.5; -0.25</w:t>
            </w:r>
          </w:p>
        </w:tc>
        <w:tc>
          <w:tcPr>
            <w:tcW w:w="1133" w:type="dxa"/>
            <w:tcBorders>
              <w:bottom w:val="single" w:sz="1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-0.499</w:t>
            </w:r>
          </w:p>
        </w:tc>
        <w:tc>
          <w:tcPr>
            <w:tcW w:w="1275" w:type="dxa"/>
            <w:tcBorders>
              <w:left w:val="single" w:sz="4" w:space="0" w:color="auto"/>
              <w:bottom w:val="single" w:sz="12" w:space="0" w:color="auto"/>
              <w:right w:val="single" w:sz="2" w:space="0" w:color="auto"/>
            </w:tcBorders>
            <w:shd w:val="clear" w:color="auto" w:fill="auto"/>
            <w:vAlign w:val="bottom"/>
          </w:tcPr>
          <w:p w:rsidR="001C1D37" w:rsidRPr="004655FB" w:rsidRDefault="001C1D37" w:rsidP="001C1D37">
            <w:pPr>
              <w:jc w:val="right"/>
              <w:rPr>
                <w:color w:val="000000"/>
              </w:rPr>
            </w:pPr>
            <w:r w:rsidRPr="004655FB">
              <w:rPr>
                <w:color w:val="000000"/>
              </w:rPr>
              <w:t>0.027</w:t>
            </w:r>
          </w:p>
        </w:tc>
        <w:tc>
          <w:tcPr>
            <w:tcW w:w="1164" w:type="dxa"/>
            <w:tcBorders>
              <w:left w:val="single" w:sz="2" w:space="0" w:color="auto"/>
              <w:bottom w:val="single" w:sz="12" w:space="0" w:color="auto"/>
              <w:right w:val="single" w:sz="2" w:space="0" w:color="auto"/>
            </w:tcBorders>
            <w:vAlign w:val="bottom"/>
          </w:tcPr>
          <w:p w:rsidR="001C1D37" w:rsidRPr="004655FB" w:rsidRDefault="001C1D37" w:rsidP="001C1D37">
            <w:pPr>
              <w:jc w:val="right"/>
              <w:rPr>
                <w:color w:val="000000"/>
              </w:rPr>
            </w:pPr>
            <w:r w:rsidRPr="004655FB">
              <w:rPr>
                <w:color w:val="000000"/>
              </w:rPr>
              <w:t>-0.253</w:t>
            </w:r>
          </w:p>
        </w:tc>
        <w:tc>
          <w:tcPr>
            <w:tcW w:w="1106" w:type="dxa"/>
            <w:tcBorders>
              <w:left w:val="single" w:sz="2" w:space="0" w:color="auto"/>
              <w:bottom w:val="single" w:sz="12" w:space="0" w:color="auto"/>
              <w:right w:val="single" w:sz="2" w:space="0" w:color="auto"/>
            </w:tcBorders>
            <w:vAlign w:val="bottom"/>
          </w:tcPr>
          <w:p w:rsidR="001C1D37" w:rsidRPr="004655FB" w:rsidRDefault="001C1D37" w:rsidP="001C1D37">
            <w:pPr>
              <w:jc w:val="right"/>
              <w:rPr>
                <w:color w:val="000000"/>
              </w:rPr>
            </w:pPr>
            <w:r w:rsidRPr="004655FB">
              <w:rPr>
                <w:color w:val="000000"/>
              </w:rPr>
              <w:t>0.050</w:t>
            </w:r>
          </w:p>
        </w:tc>
        <w:tc>
          <w:tcPr>
            <w:tcW w:w="1180" w:type="dxa"/>
            <w:tcBorders>
              <w:left w:val="single" w:sz="2" w:space="0" w:color="auto"/>
              <w:bottom w:val="single" w:sz="12" w:space="0" w:color="auto"/>
              <w:right w:val="single" w:sz="4" w:space="0" w:color="auto"/>
            </w:tcBorders>
            <w:shd w:val="clear" w:color="auto" w:fill="auto"/>
            <w:noWrap/>
            <w:vAlign w:val="bottom"/>
          </w:tcPr>
          <w:p w:rsidR="001C1D37" w:rsidRPr="004655FB" w:rsidRDefault="001C1D37" w:rsidP="001C1D37">
            <w:pPr>
              <w:jc w:val="right"/>
              <w:rPr>
                <w:color w:val="000000"/>
              </w:rPr>
            </w:pPr>
            <w:r w:rsidRPr="004655FB">
              <w:rPr>
                <w:color w:val="000000"/>
              </w:rPr>
              <w:t>0.556</w:t>
            </w:r>
          </w:p>
        </w:tc>
        <w:tc>
          <w:tcPr>
            <w:tcW w:w="1090" w:type="dxa"/>
            <w:tcBorders>
              <w:left w:val="single" w:sz="4" w:space="0" w:color="auto"/>
              <w:bottom w:val="single" w:sz="12" w:space="0" w:color="auto"/>
              <w:right w:val="nil"/>
            </w:tcBorders>
            <w:shd w:val="clear" w:color="auto" w:fill="auto"/>
            <w:vAlign w:val="bottom"/>
          </w:tcPr>
          <w:p w:rsidR="001C1D37" w:rsidRPr="004655FB" w:rsidRDefault="001C1D37" w:rsidP="001C1D37">
            <w:pPr>
              <w:jc w:val="right"/>
              <w:rPr>
                <w:color w:val="000000"/>
              </w:rPr>
            </w:pPr>
            <w:r w:rsidRPr="004655FB">
              <w:rPr>
                <w:color w:val="000000"/>
              </w:rPr>
              <w:t>0.029</w:t>
            </w:r>
          </w:p>
        </w:tc>
      </w:tr>
    </w:tbl>
    <w:p w:rsidR="001C1D37" w:rsidRDefault="001C1D37" w:rsidP="001C1D37">
      <w:pPr>
        <w:autoSpaceDE w:val="0"/>
        <w:autoSpaceDN w:val="0"/>
        <w:adjustRightInd w:val="0"/>
      </w:pPr>
    </w:p>
    <w:p w:rsidR="00843183" w:rsidRDefault="00843183" w:rsidP="001C1D37">
      <w:pPr>
        <w:autoSpaceDE w:val="0"/>
        <w:autoSpaceDN w:val="0"/>
        <w:adjustRightInd w:val="0"/>
      </w:pPr>
    </w:p>
    <w:p w:rsidR="00843183" w:rsidRDefault="00843183" w:rsidP="001C1D37">
      <w:pPr>
        <w:autoSpaceDE w:val="0"/>
        <w:autoSpaceDN w:val="0"/>
        <w:adjustRightInd w:val="0"/>
      </w:pPr>
    </w:p>
    <w:p w:rsidR="00843183" w:rsidRDefault="00843183" w:rsidP="001C1D37">
      <w:pPr>
        <w:autoSpaceDE w:val="0"/>
        <w:autoSpaceDN w:val="0"/>
        <w:adjustRightInd w:val="0"/>
      </w:pPr>
    </w:p>
    <w:p w:rsidR="00843183" w:rsidRDefault="00843183" w:rsidP="001C1D37">
      <w:pPr>
        <w:autoSpaceDE w:val="0"/>
        <w:autoSpaceDN w:val="0"/>
        <w:adjustRightInd w:val="0"/>
      </w:pPr>
    </w:p>
    <w:p w:rsidR="00843183" w:rsidRDefault="00843183" w:rsidP="001C1D37">
      <w:pPr>
        <w:autoSpaceDE w:val="0"/>
        <w:autoSpaceDN w:val="0"/>
        <w:adjustRightInd w:val="0"/>
      </w:pPr>
    </w:p>
    <w:p w:rsidR="00843183" w:rsidRDefault="00843183" w:rsidP="001C1D37">
      <w:pPr>
        <w:autoSpaceDE w:val="0"/>
        <w:autoSpaceDN w:val="0"/>
        <w:adjustRightInd w:val="0"/>
      </w:pPr>
    </w:p>
    <w:p w:rsidR="00843183" w:rsidRDefault="00843183" w:rsidP="001C1D37">
      <w:pPr>
        <w:autoSpaceDE w:val="0"/>
        <w:autoSpaceDN w:val="0"/>
        <w:adjustRightInd w:val="0"/>
      </w:pPr>
    </w:p>
    <w:p w:rsidR="00843183" w:rsidRDefault="00843183" w:rsidP="001C1D37">
      <w:pPr>
        <w:autoSpaceDE w:val="0"/>
        <w:autoSpaceDN w:val="0"/>
        <w:adjustRightInd w:val="0"/>
      </w:pPr>
    </w:p>
    <w:p w:rsidR="00843183" w:rsidRDefault="00843183" w:rsidP="001C1D37">
      <w:pPr>
        <w:autoSpaceDE w:val="0"/>
        <w:autoSpaceDN w:val="0"/>
        <w:adjustRightInd w:val="0"/>
      </w:pPr>
    </w:p>
    <w:p w:rsidR="00843183" w:rsidRDefault="00843183" w:rsidP="001C1D37">
      <w:pPr>
        <w:autoSpaceDE w:val="0"/>
        <w:autoSpaceDN w:val="0"/>
        <w:adjustRightInd w:val="0"/>
      </w:pPr>
    </w:p>
    <w:p w:rsidR="00843183" w:rsidRDefault="00843183" w:rsidP="001C1D37">
      <w:pPr>
        <w:autoSpaceDE w:val="0"/>
        <w:autoSpaceDN w:val="0"/>
        <w:adjustRightInd w:val="0"/>
      </w:pPr>
    </w:p>
    <w:p w:rsidR="00843183" w:rsidRDefault="00843183" w:rsidP="001C1D37">
      <w:pPr>
        <w:autoSpaceDE w:val="0"/>
        <w:autoSpaceDN w:val="0"/>
        <w:adjustRightInd w:val="0"/>
      </w:pPr>
    </w:p>
    <w:p w:rsidR="001C1D37" w:rsidRPr="004655FB" w:rsidRDefault="001C1D37" w:rsidP="001C1D37">
      <w:pPr>
        <w:autoSpaceDE w:val="0"/>
        <w:autoSpaceDN w:val="0"/>
        <w:adjustRightInd w:val="0"/>
        <w:rPr>
          <w:rStyle w:val="ft"/>
        </w:rPr>
      </w:pPr>
      <w:r>
        <w:t>Model C allows baseline</w:t>
      </w:r>
      <w:r w:rsidRPr="00015F67">
        <w:t xml:space="preserve"> and slope of the</w:t>
      </w:r>
      <w:r>
        <w:t xml:space="preserve"> </w:t>
      </w:r>
      <w:r w:rsidRPr="00015F67">
        <w:t>biomarker profile to have separate effects on the clinical endpoint</w:t>
      </w:r>
      <w:r>
        <w:t xml:space="preserve">. As shown in Table S1, when either (at baseline or at event-time) is fairly </w:t>
      </w:r>
      <w:r w:rsidRPr="004655FB">
        <w:t>strong, the estimated AUC</w:t>
      </w:r>
      <w:r>
        <w:t xml:space="preserve"> is</w:t>
      </w:r>
      <w:r w:rsidRPr="004655FB">
        <w:t xml:space="preserve"> </w:t>
      </w:r>
      <w:r>
        <w:t xml:space="preserve">appropriately high. However, this model may not be useful if both </w:t>
      </w:r>
      <m:oMath>
        <m:sSub>
          <m:sSubPr>
            <m:ctrlPr>
              <w:rPr>
                <w:rFonts w:ascii="Cambria Math" w:hAnsi="Cambria Math"/>
                <w:i/>
              </w:rPr>
            </m:ctrlPr>
          </m:sSubPr>
          <m:e>
            <m:r>
              <w:rPr>
                <w:rFonts w:ascii="Cambria Math" w:hAnsi="Cambria Math"/>
              </w:rPr>
              <m:t>γ</m:t>
            </m:r>
          </m:e>
          <m:sub>
            <m:r>
              <w:rPr>
                <w:rFonts w:ascii="Cambria Math" w:hAnsi="Cambria Math"/>
              </w:rPr>
              <m:t>0t</m:t>
            </m:r>
          </m:sub>
        </m:sSub>
      </m:oMath>
      <w:r>
        <w:t xml:space="preserve"> and </w:t>
      </w:r>
      <m:oMath>
        <m:sSub>
          <m:sSubPr>
            <m:ctrlPr>
              <w:rPr>
                <w:rFonts w:ascii="Cambria Math" w:hAnsi="Cambria Math"/>
                <w:i/>
              </w:rPr>
            </m:ctrlPr>
          </m:sSubPr>
          <m:e>
            <m:r>
              <w:rPr>
                <w:rFonts w:ascii="Cambria Math" w:hAnsi="Cambria Math"/>
              </w:rPr>
              <m:t>γ</m:t>
            </m:r>
          </m:e>
          <m:sub>
            <m:r>
              <w:rPr>
                <w:rFonts w:ascii="Cambria Math" w:hAnsi="Cambria Math"/>
              </w:rPr>
              <m:t>1t</m:t>
            </m:r>
          </m:sub>
        </m:sSub>
      </m:oMath>
      <w:r>
        <w:t xml:space="preserve"> are weaker, and requires longer computational time due to the increased complexity from separate association parameters. Further work is needed to validate this model via the </w:t>
      </w:r>
      <w:r w:rsidRPr="00E00805">
        <w:t xml:space="preserve">proposed estimation procedure </w:t>
      </w:r>
      <w:r>
        <w:t>for</w:t>
      </w:r>
      <w:r w:rsidRPr="00E00805">
        <w:t xml:space="preserve"> identifying the time at which the best discriminatory potential of the biomarker is reached.</w:t>
      </w:r>
      <w:r>
        <w:t xml:space="preserve">    </w:t>
      </w:r>
    </w:p>
    <w:p w:rsidR="001C1D37" w:rsidRDefault="001C1D37" w:rsidP="001C1D37">
      <w:pPr>
        <w:pStyle w:val="NoSpacing"/>
      </w:pPr>
    </w:p>
    <w:p w:rsidR="001C1D37" w:rsidRDefault="001C1D37" w:rsidP="001C1D37">
      <w:pPr>
        <w:pStyle w:val="NoSpacing"/>
      </w:pPr>
    </w:p>
    <w:p w:rsidR="001C1D37" w:rsidRPr="00DE7EBE" w:rsidRDefault="001C1D37" w:rsidP="001C1D37">
      <w:pPr>
        <w:pStyle w:val="NoSpacing"/>
        <w:rPr>
          <w:rFonts w:ascii="Times New Roman" w:hAnsi="Times New Roman"/>
          <w:sz w:val="24"/>
          <w:szCs w:val="24"/>
        </w:rPr>
      </w:pPr>
      <w:r w:rsidRPr="00DE7EBE">
        <w:rPr>
          <w:rFonts w:ascii="Times New Roman" w:hAnsi="Times New Roman"/>
          <w:b/>
          <w:sz w:val="24"/>
          <w:szCs w:val="24"/>
        </w:rPr>
        <w:lastRenderedPageBreak/>
        <w:t xml:space="preserve">Table S3. </w:t>
      </w:r>
      <w:r w:rsidRPr="00DE7EBE">
        <w:rPr>
          <w:rFonts w:ascii="Times New Roman" w:hAnsi="Times New Roman"/>
          <w:sz w:val="24"/>
          <w:szCs w:val="24"/>
        </w:rPr>
        <w:t xml:space="preserve">Sepsis study results from the above latent association models over time periods </w:t>
      </w:r>
      <m:oMath>
        <m:r>
          <w:rPr>
            <w:rFonts w:ascii="Cambria Math" w:hAnsi="Cambria Math"/>
            <w:sz w:val="24"/>
            <w:szCs w:val="24"/>
          </w:rPr>
          <m:t xml:space="preserve">(0, </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m:t>
            </m:r>
          </m:sub>
        </m:sSub>
        <m:r>
          <w:rPr>
            <w:rFonts w:ascii="Cambria Math" w:hAnsi="Cambria Math"/>
            <w:sz w:val="24"/>
            <w:szCs w:val="24"/>
          </w:rPr>
          <m:t>)</m:t>
        </m:r>
      </m:oMath>
      <w:r w:rsidRPr="00DE7EBE">
        <w:rPr>
          <w:rFonts w:ascii="Times New Roman" w:hAnsi="Times New Roman"/>
          <w:sz w:val="24"/>
          <w:szCs w:val="24"/>
        </w:rPr>
        <w:t xml:space="preserve"> where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h</m:t>
            </m:r>
          </m:sub>
        </m:sSub>
      </m:oMath>
      <w:r w:rsidRPr="00DE7EBE">
        <w:rPr>
          <w:rFonts w:ascii="Times New Roman" w:hAnsi="Times New Roman"/>
          <w:sz w:val="24"/>
          <w:szCs w:val="24"/>
        </w:rPr>
        <w:t xml:space="preserve"> </w:t>
      </w:r>
      <w:proofErr w:type="gramStart"/>
      <w:r w:rsidRPr="00DE7EBE">
        <w:rPr>
          <w:rFonts w:ascii="Times New Roman" w:hAnsi="Times New Roman"/>
          <w:sz w:val="24"/>
          <w:szCs w:val="24"/>
        </w:rPr>
        <w:t>=  24</w:t>
      </w:r>
      <w:proofErr w:type="gramEnd"/>
      <w:r w:rsidRPr="00DE7EBE">
        <w:rPr>
          <w:rFonts w:ascii="Times New Roman" w:hAnsi="Times New Roman"/>
          <w:sz w:val="24"/>
          <w:szCs w:val="24"/>
        </w:rPr>
        <w:t xml:space="preserve">, 48, 72, 96 hours </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5"/>
        <w:gridCol w:w="666"/>
        <w:gridCol w:w="752"/>
        <w:gridCol w:w="666"/>
        <w:gridCol w:w="1035"/>
        <w:gridCol w:w="696"/>
        <w:gridCol w:w="850"/>
        <w:gridCol w:w="666"/>
        <w:gridCol w:w="850"/>
        <w:gridCol w:w="666"/>
      </w:tblGrid>
      <w:tr w:rsidR="001C1D37" w:rsidRPr="00B55406" w:rsidTr="001C1D37">
        <w:trPr>
          <w:trHeight w:val="300"/>
        </w:trPr>
        <w:tc>
          <w:tcPr>
            <w:tcW w:w="2090" w:type="dxa"/>
            <w:vMerge w:val="restart"/>
            <w:tcBorders>
              <w:top w:val="single" w:sz="12" w:space="0" w:color="auto"/>
              <w:left w:val="nil"/>
            </w:tcBorders>
            <w:shd w:val="clear" w:color="auto" w:fill="auto"/>
            <w:noWrap/>
            <w:vAlign w:val="center"/>
            <w:hideMark/>
          </w:tcPr>
          <w:p w:rsidR="001C1D37" w:rsidRPr="00B55406" w:rsidRDefault="001C1D37" w:rsidP="001C1D37">
            <w:pPr>
              <w:pStyle w:val="NoSpacing"/>
              <w:rPr>
                <w:b/>
                <w:sz w:val="20"/>
                <w:szCs w:val="20"/>
                <w:lang w:eastAsia="en-GB"/>
              </w:rPr>
            </w:pPr>
          </w:p>
        </w:tc>
        <w:tc>
          <w:tcPr>
            <w:tcW w:w="1411" w:type="dxa"/>
            <w:gridSpan w:val="2"/>
            <w:tcBorders>
              <w:top w:val="single" w:sz="12" w:space="0" w:color="auto"/>
            </w:tcBorders>
            <w:shd w:val="clear" w:color="auto" w:fill="auto"/>
            <w:noWrap/>
            <w:vAlign w:val="center"/>
            <w:hideMark/>
          </w:tcPr>
          <w:p w:rsidR="001C1D37" w:rsidRPr="00B55406" w:rsidRDefault="001C1D37" w:rsidP="001C1D37">
            <w:pPr>
              <w:pStyle w:val="NoSpacing"/>
              <w:jc w:val="center"/>
              <w:rPr>
                <w:b/>
                <w:sz w:val="20"/>
                <w:szCs w:val="20"/>
                <w:lang w:eastAsia="en-GB"/>
              </w:rPr>
            </w:pPr>
            <m:oMath>
              <m:sSub>
                <m:sSubPr>
                  <m:ctrlPr>
                    <w:rPr>
                      <w:rFonts w:ascii="Cambria Math" w:hAnsi="Cambria Math"/>
                      <w:b/>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h</m:t>
                  </m:r>
                </m:sub>
              </m:sSub>
            </m:oMath>
            <w:r w:rsidRPr="00B55406">
              <w:rPr>
                <w:b/>
                <w:sz w:val="20"/>
                <w:szCs w:val="20"/>
              </w:rPr>
              <w:t xml:space="preserve"> =  24</w:t>
            </w:r>
          </w:p>
        </w:tc>
        <w:tc>
          <w:tcPr>
            <w:tcW w:w="1418" w:type="dxa"/>
            <w:gridSpan w:val="2"/>
            <w:tcBorders>
              <w:top w:val="single" w:sz="12" w:space="0" w:color="auto"/>
            </w:tcBorders>
            <w:shd w:val="clear" w:color="auto" w:fill="auto"/>
            <w:noWrap/>
            <w:vAlign w:val="center"/>
            <w:hideMark/>
          </w:tcPr>
          <w:p w:rsidR="001C1D37" w:rsidRPr="00B55406" w:rsidRDefault="001C1D37" w:rsidP="001C1D37">
            <w:pPr>
              <w:pStyle w:val="NoSpacing"/>
              <w:jc w:val="center"/>
              <w:rPr>
                <w:b/>
                <w:sz w:val="20"/>
                <w:szCs w:val="20"/>
                <w:lang w:eastAsia="en-GB"/>
              </w:rPr>
            </w:pPr>
            <m:oMath>
              <m:sSub>
                <m:sSubPr>
                  <m:ctrlPr>
                    <w:rPr>
                      <w:rFonts w:ascii="Cambria Math" w:hAnsi="Cambria Math"/>
                      <w:b/>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h</m:t>
                  </m:r>
                </m:sub>
              </m:sSub>
            </m:oMath>
            <w:r w:rsidRPr="00B55406">
              <w:rPr>
                <w:b/>
                <w:sz w:val="20"/>
                <w:szCs w:val="20"/>
              </w:rPr>
              <w:t xml:space="preserve"> =  48</w:t>
            </w:r>
          </w:p>
        </w:tc>
        <w:tc>
          <w:tcPr>
            <w:tcW w:w="1731" w:type="dxa"/>
            <w:gridSpan w:val="2"/>
            <w:tcBorders>
              <w:top w:val="single" w:sz="12" w:space="0" w:color="auto"/>
            </w:tcBorders>
            <w:shd w:val="clear" w:color="auto" w:fill="auto"/>
            <w:noWrap/>
            <w:vAlign w:val="center"/>
            <w:hideMark/>
          </w:tcPr>
          <w:p w:rsidR="001C1D37" w:rsidRPr="00B55406" w:rsidRDefault="001C1D37" w:rsidP="001C1D37">
            <w:pPr>
              <w:pStyle w:val="NoSpacing"/>
              <w:jc w:val="center"/>
              <w:rPr>
                <w:b/>
                <w:sz w:val="20"/>
                <w:szCs w:val="20"/>
                <w:lang w:eastAsia="en-GB"/>
              </w:rPr>
            </w:pPr>
            <m:oMath>
              <m:sSub>
                <m:sSubPr>
                  <m:ctrlPr>
                    <w:rPr>
                      <w:rFonts w:ascii="Cambria Math" w:hAnsi="Cambria Math"/>
                      <w:b/>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h</m:t>
                  </m:r>
                </m:sub>
              </m:sSub>
            </m:oMath>
            <w:r w:rsidRPr="00B55406">
              <w:rPr>
                <w:b/>
                <w:sz w:val="20"/>
                <w:szCs w:val="20"/>
              </w:rPr>
              <w:t xml:space="preserve"> =  72</w:t>
            </w:r>
          </w:p>
        </w:tc>
        <w:tc>
          <w:tcPr>
            <w:tcW w:w="1516" w:type="dxa"/>
            <w:gridSpan w:val="2"/>
            <w:tcBorders>
              <w:top w:val="single" w:sz="12" w:space="0" w:color="auto"/>
            </w:tcBorders>
            <w:shd w:val="clear" w:color="auto" w:fill="auto"/>
            <w:noWrap/>
            <w:vAlign w:val="center"/>
            <w:hideMark/>
          </w:tcPr>
          <w:p w:rsidR="001C1D37" w:rsidRPr="00B55406" w:rsidRDefault="001C1D37" w:rsidP="001C1D37">
            <w:pPr>
              <w:pStyle w:val="NoSpacing"/>
              <w:jc w:val="center"/>
              <w:rPr>
                <w:b/>
                <w:sz w:val="20"/>
                <w:szCs w:val="20"/>
                <w:lang w:eastAsia="en-GB"/>
              </w:rPr>
            </w:pPr>
            <m:oMath>
              <m:sSub>
                <m:sSubPr>
                  <m:ctrlPr>
                    <w:rPr>
                      <w:rFonts w:ascii="Cambria Math" w:hAnsi="Cambria Math"/>
                      <w:b/>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h</m:t>
                  </m:r>
                </m:sub>
              </m:sSub>
            </m:oMath>
            <w:r w:rsidRPr="00B55406">
              <w:rPr>
                <w:b/>
                <w:sz w:val="20"/>
                <w:szCs w:val="20"/>
              </w:rPr>
              <w:t xml:space="preserve"> =  96</w:t>
            </w:r>
          </w:p>
        </w:tc>
        <w:tc>
          <w:tcPr>
            <w:tcW w:w="1516" w:type="dxa"/>
            <w:gridSpan w:val="2"/>
            <w:tcBorders>
              <w:top w:val="single" w:sz="12" w:space="0" w:color="auto"/>
              <w:right w:val="nil"/>
            </w:tcBorders>
            <w:shd w:val="clear" w:color="auto" w:fill="auto"/>
            <w:noWrap/>
            <w:vAlign w:val="center"/>
            <w:hideMark/>
          </w:tcPr>
          <w:p w:rsidR="001C1D37" w:rsidRPr="00B55406" w:rsidRDefault="001C1D37" w:rsidP="001C1D37">
            <w:pPr>
              <w:pStyle w:val="NoSpacing"/>
              <w:jc w:val="center"/>
              <w:rPr>
                <w:b/>
                <w:sz w:val="20"/>
                <w:szCs w:val="20"/>
                <w:lang w:eastAsia="en-GB"/>
              </w:rPr>
            </w:pPr>
            <m:oMath>
              <m:sSub>
                <m:sSubPr>
                  <m:ctrlPr>
                    <w:rPr>
                      <w:rFonts w:ascii="Cambria Math" w:hAnsi="Cambria Math"/>
                      <w:b/>
                      <w:i/>
                      <w:sz w:val="20"/>
                      <w:szCs w:val="20"/>
                    </w:rPr>
                  </m:ctrlPr>
                </m:sSubPr>
                <m:e>
                  <m:r>
                    <m:rPr>
                      <m:sty m:val="bi"/>
                    </m:rPr>
                    <w:rPr>
                      <w:rFonts w:ascii="Cambria Math" w:hAnsi="Cambria Math"/>
                      <w:sz w:val="20"/>
                      <w:szCs w:val="20"/>
                    </w:rPr>
                    <m:t>t</m:t>
                  </m:r>
                </m:e>
                <m:sub>
                  <m:r>
                    <m:rPr>
                      <m:sty m:val="bi"/>
                    </m:rPr>
                    <w:rPr>
                      <w:rFonts w:ascii="Cambria Math" w:hAnsi="Cambria Math"/>
                      <w:sz w:val="20"/>
                      <w:szCs w:val="20"/>
                    </w:rPr>
                    <m:t>h</m:t>
                  </m:r>
                </m:sub>
              </m:sSub>
            </m:oMath>
            <w:r w:rsidRPr="00B55406">
              <w:rPr>
                <w:b/>
                <w:sz w:val="20"/>
                <w:szCs w:val="20"/>
              </w:rPr>
              <w:t xml:space="preserve"> =  120</w:t>
            </w:r>
          </w:p>
        </w:tc>
      </w:tr>
      <w:tr w:rsidR="001C1D37" w:rsidRPr="00A27FD3" w:rsidTr="001C1D37">
        <w:trPr>
          <w:trHeight w:val="300"/>
        </w:trPr>
        <w:tc>
          <w:tcPr>
            <w:tcW w:w="2090" w:type="dxa"/>
            <w:vMerge/>
            <w:tcBorders>
              <w:left w:val="nil"/>
              <w:bottom w:val="single" w:sz="12" w:space="0" w:color="auto"/>
            </w:tcBorders>
            <w:shd w:val="clear" w:color="auto" w:fill="auto"/>
            <w:noWrap/>
            <w:vAlign w:val="center"/>
          </w:tcPr>
          <w:p w:rsidR="001C1D37" w:rsidRPr="00A27FD3" w:rsidRDefault="001C1D37" w:rsidP="001C1D37">
            <w:pPr>
              <w:pStyle w:val="NoSpacing"/>
              <w:rPr>
                <w:sz w:val="20"/>
                <w:szCs w:val="20"/>
                <w:lang w:eastAsia="en-GB"/>
              </w:rPr>
            </w:pPr>
          </w:p>
        </w:tc>
        <w:tc>
          <w:tcPr>
            <w:tcW w:w="745" w:type="dxa"/>
            <w:tcBorders>
              <w:bottom w:val="single" w:sz="12" w:space="0" w:color="auto"/>
              <w:right w:val="nil"/>
            </w:tcBorders>
            <w:shd w:val="clear" w:color="auto" w:fill="auto"/>
            <w:noWrap/>
            <w:vAlign w:val="center"/>
          </w:tcPr>
          <w:p w:rsidR="001C1D37" w:rsidRPr="00A27FD3" w:rsidRDefault="001C1D37" w:rsidP="001C1D37">
            <w:pPr>
              <w:pStyle w:val="NoSpacing"/>
              <w:jc w:val="center"/>
              <w:rPr>
                <w:b/>
                <w:sz w:val="20"/>
                <w:szCs w:val="20"/>
                <w:lang w:eastAsia="en-GB"/>
              </w:rPr>
            </w:pPr>
            <w:r w:rsidRPr="00A27FD3">
              <w:rPr>
                <w:b/>
                <w:sz w:val="20"/>
                <w:szCs w:val="20"/>
                <w:lang w:eastAsia="en-GB"/>
              </w:rPr>
              <w:t>Est</w:t>
            </w:r>
          </w:p>
        </w:tc>
        <w:tc>
          <w:tcPr>
            <w:tcW w:w="666" w:type="dxa"/>
            <w:tcBorders>
              <w:left w:val="nil"/>
              <w:bottom w:val="single" w:sz="12" w:space="0" w:color="auto"/>
            </w:tcBorders>
            <w:shd w:val="clear" w:color="auto" w:fill="auto"/>
            <w:noWrap/>
            <w:vAlign w:val="center"/>
          </w:tcPr>
          <w:p w:rsidR="001C1D37" w:rsidRPr="00A27FD3" w:rsidRDefault="001C1D37" w:rsidP="001C1D37">
            <w:pPr>
              <w:pStyle w:val="NoSpacing"/>
              <w:jc w:val="center"/>
              <w:rPr>
                <w:b/>
                <w:sz w:val="20"/>
                <w:szCs w:val="20"/>
                <w:lang w:eastAsia="en-GB"/>
              </w:rPr>
            </w:pPr>
            <w:r w:rsidRPr="00A27FD3">
              <w:rPr>
                <w:b/>
                <w:sz w:val="20"/>
                <w:szCs w:val="20"/>
                <w:lang w:eastAsia="en-GB"/>
              </w:rPr>
              <w:t>SE</w:t>
            </w:r>
          </w:p>
        </w:tc>
        <w:tc>
          <w:tcPr>
            <w:tcW w:w="752" w:type="dxa"/>
            <w:tcBorders>
              <w:bottom w:val="single" w:sz="12" w:space="0" w:color="auto"/>
              <w:right w:val="nil"/>
            </w:tcBorders>
            <w:shd w:val="clear" w:color="auto" w:fill="auto"/>
            <w:noWrap/>
            <w:vAlign w:val="center"/>
          </w:tcPr>
          <w:p w:rsidR="001C1D37" w:rsidRPr="00A27FD3" w:rsidRDefault="001C1D37" w:rsidP="001C1D37">
            <w:pPr>
              <w:pStyle w:val="NoSpacing"/>
              <w:jc w:val="center"/>
              <w:rPr>
                <w:b/>
                <w:sz w:val="20"/>
                <w:szCs w:val="20"/>
                <w:lang w:eastAsia="en-GB"/>
              </w:rPr>
            </w:pPr>
            <w:r w:rsidRPr="00A27FD3">
              <w:rPr>
                <w:b/>
                <w:sz w:val="20"/>
                <w:szCs w:val="20"/>
                <w:lang w:eastAsia="en-GB"/>
              </w:rPr>
              <w:t>Est</w:t>
            </w:r>
          </w:p>
        </w:tc>
        <w:tc>
          <w:tcPr>
            <w:tcW w:w="666" w:type="dxa"/>
            <w:tcBorders>
              <w:left w:val="nil"/>
              <w:bottom w:val="single" w:sz="12" w:space="0" w:color="auto"/>
            </w:tcBorders>
            <w:shd w:val="clear" w:color="auto" w:fill="auto"/>
            <w:noWrap/>
            <w:vAlign w:val="center"/>
          </w:tcPr>
          <w:p w:rsidR="001C1D37" w:rsidRPr="00A27FD3" w:rsidRDefault="001C1D37" w:rsidP="001C1D37">
            <w:pPr>
              <w:pStyle w:val="NoSpacing"/>
              <w:jc w:val="center"/>
              <w:rPr>
                <w:b/>
                <w:sz w:val="20"/>
                <w:szCs w:val="20"/>
                <w:lang w:eastAsia="en-GB"/>
              </w:rPr>
            </w:pPr>
            <w:r w:rsidRPr="00A27FD3">
              <w:rPr>
                <w:b/>
                <w:sz w:val="20"/>
                <w:szCs w:val="20"/>
                <w:lang w:eastAsia="en-GB"/>
              </w:rPr>
              <w:t>SE</w:t>
            </w:r>
          </w:p>
        </w:tc>
        <w:tc>
          <w:tcPr>
            <w:tcW w:w="1035" w:type="dxa"/>
            <w:tcBorders>
              <w:bottom w:val="single" w:sz="12" w:space="0" w:color="auto"/>
              <w:right w:val="nil"/>
            </w:tcBorders>
            <w:shd w:val="clear" w:color="auto" w:fill="auto"/>
            <w:noWrap/>
            <w:vAlign w:val="center"/>
          </w:tcPr>
          <w:p w:rsidR="001C1D37" w:rsidRPr="00A27FD3" w:rsidRDefault="001C1D37" w:rsidP="001C1D37">
            <w:pPr>
              <w:pStyle w:val="NoSpacing"/>
              <w:jc w:val="center"/>
              <w:rPr>
                <w:b/>
                <w:sz w:val="20"/>
                <w:szCs w:val="20"/>
                <w:lang w:eastAsia="en-GB"/>
              </w:rPr>
            </w:pPr>
            <w:r w:rsidRPr="00A27FD3">
              <w:rPr>
                <w:b/>
                <w:sz w:val="20"/>
                <w:szCs w:val="20"/>
                <w:lang w:eastAsia="en-GB"/>
              </w:rPr>
              <w:t>Est</w:t>
            </w:r>
          </w:p>
        </w:tc>
        <w:tc>
          <w:tcPr>
            <w:tcW w:w="696" w:type="dxa"/>
            <w:tcBorders>
              <w:left w:val="nil"/>
              <w:bottom w:val="single" w:sz="12" w:space="0" w:color="auto"/>
            </w:tcBorders>
            <w:shd w:val="clear" w:color="auto" w:fill="auto"/>
            <w:noWrap/>
            <w:vAlign w:val="center"/>
          </w:tcPr>
          <w:p w:rsidR="001C1D37" w:rsidRPr="00A27FD3" w:rsidRDefault="001C1D37" w:rsidP="001C1D37">
            <w:pPr>
              <w:pStyle w:val="NoSpacing"/>
              <w:jc w:val="center"/>
              <w:rPr>
                <w:b/>
                <w:sz w:val="20"/>
                <w:szCs w:val="20"/>
                <w:lang w:eastAsia="en-GB"/>
              </w:rPr>
            </w:pPr>
            <w:r w:rsidRPr="00A27FD3">
              <w:rPr>
                <w:b/>
                <w:sz w:val="20"/>
                <w:szCs w:val="20"/>
                <w:lang w:eastAsia="en-GB"/>
              </w:rPr>
              <w:t>SE</w:t>
            </w:r>
          </w:p>
        </w:tc>
        <w:tc>
          <w:tcPr>
            <w:tcW w:w="850" w:type="dxa"/>
            <w:tcBorders>
              <w:bottom w:val="single" w:sz="12" w:space="0" w:color="auto"/>
              <w:right w:val="nil"/>
            </w:tcBorders>
            <w:shd w:val="clear" w:color="auto" w:fill="auto"/>
            <w:noWrap/>
            <w:vAlign w:val="center"/>
          </w:tcPr>
          <w:p w:rsidR="001C1D37" w:rsidRPr="00A27FD3" w:rsidRDefault="001C1D37" w:rsidP="001C1D37">
            <w:pPr>
              <w:pStyle w:val="NoSpacing"/>
              <w:jc w:val="center"/>
              <w:rPr>
                <w:b/>
                <w:sz w:val="20"/>
                <w:szCs w:val="20"/>
                <w:lang w:eastAsia="en-GB"/>
              </w:rPr>
            </w:pPr>
            <w:r w:rsidRPr="00A27FD3">
              <w:rPr>
                <w:b/>
                <w:sz w:val="20"/>
                <w:szCs w:val="20"/>
                <w:lang w:eastAsia="en-GB"/>
              </w:rPr>
              <w:t>Est</w:t>
            </w:r>
          </w:p>
        </w:tc>
        <w:tc>
          <w:tcPr>
            <w:tcW w:w="666" w:type="dxa"/>
            <w:tcBorders>
              <w:left w:val="nil"/>
              <w:bottom w:val="single" w:sz="12" w:space="0" w:color="auto"/>
            </w:tcBorders>
            <w:shd w:val="clear" w:color="auto" w:fill="auto"/>
            <w:noWrap/>
            <w:vAlign w:val="center"/>
          </w:tcPr>
          <w:p w:rsidR="001C1D37" w:rsidRPr="00A27FD3" w:rsidRDefault="001C1D37" w:rsidP="001C1D37">
            <w:pPr>
              <w:pStyle w:val="NoSpacing"/>
              <w:jc w:val="center"/>
              <w:rPr>
                <w:b/>
                <w:sz w:val="20"/>
                <w:szCs w:val="20"/>
                <w:lang w:eastAsia="en-GB"/>
              </w:rPr>
            </w:pPr>
            <w:r w:rsidRPr="00A27FD3">
              <w:rPr>
                <w:b/>
                <w:sz w:val="20"/>
                <w:szCs w:val="20"/>
                <w:lang w:eastAsia="en-GB"/>
              </w:rPr>
              <w:t>SE</w:t>
            </w:r>
          </w:p>
        </w:tc>
        <w:tc>
          <w:tcPr>
            <w:tcW w:w="850" w:type="dxa"/>
            <w:tcBorders>
              <w:bottom w:val="single" w:sz="12" w:space="0" w:color="auto"/>
              <w:right w:val="nil"/>
            </w:tcBorders>
            <w:shd w:val="clear" w:color="auto" w:fill="auto"/>
            <w:noWrap/>
            <w:vAlign w:val="center"/>
          </w:tcPr>
          <w:p w:rsidR="001C1D37" w:rsidRPr="00A27FD3" w:rsidRDefault="001C1D37" w:rsidP="001C1D37">
            <w:pPr>
              <w:pStyle w:val="NoSpacing"/>
              <w:jc w:val="center"/>
              <w:rPr>
                <w:b/>
                <w:sz w:val="20"/>
                <w:szCs w:val="20"/>
                <w:lang w:eastAsia="en-GB"/>
              </w:rPr>
            </w:pPr>
            <w:r w:rsidRPr="00A27FD3">
              <w:rPr>
                <w:b/>
                <w:sz w:val="20"/>
                <w:szCs w:val="20"/>
                <w:lang w:eastAsia="en-GB"/>
              </w:rPr>
              <w:t>Est</w:t>
            </w:r>
          </w:p>
        </w:tc>
        <w:tc>
          <w:tcPr>
            <w:tcW w:w="666" w:type="dxa"/>
            <w:tcBorders>
              <w:left w:val="nil"/>
              <w:bottom w:val="single" w:sz="12" w:space="0" w:color="auto"/>
              <w:right w:val="nil"/>
            </w:tcBorders>
            <w:shd w:val="clear" w:color="auto" w:fill="auto"/>
            <w:noWrap/>
            <w:vAlign w:val="center"/>
          </w:tcPr>
          <w:p w:rsidR="001C1D37" w:rsidRPr="00A27FD3" w:rsidRDefault="001C1D37" w:rsidP="001C1D37">
            <w:pPr>
              <w:pStyle w:val="NoSpacing"/>
              <w:jc w:val="center"/>
              <w:rPr>
                <w:b/>
                <w:sz w:val="20"/>
                <w:szCs w:val="20"/>
                <w:lang w:eastAsia="en-GB"/>
              </w:rPr>
            </w:pPr>
            <w:r w:rsidRPr="00A27FD3">
              <w:rPr>
                <w:b/>
                <w:sz w:val="20"/>
                <w:szCs w:val="20"/>
                <w:lang w:eastAsia="en-GB"/>
              </w:rPr>
              <w:t>SE</w:t>
            </w:r>
          </w:p>
        </w:tc>
      </w:tr>
      <w:tr w:rsidR="001C1D37" w:rsidRPr="001D41C5" w:rsidTr="001C1D37">
        <w:trPr>
          <w:trHeight w:val="415"/>
        </w:trPr>
        <w:tc>
          <w:tcPr>
            <w:tcW w:w="2835" w:type="dxa"/>
            <w:gridSpan w:val="2"/>
            <w:tcBorders>
              <w:top w:val="single" w:sz="12" w:space="0" w:color="auto"/>
              <w:left w:val="nil"/>
              <w:bottom w:val="single" w:sz="12" w:space="0" w:color="auto"/>
              <w:right w:val="nil"/>
            </w:tcBorders>
            <w:shd w:val="clear" w:color="auto" w:fill="auto"/>
            <w:noWrap/>
            <w:vAlign w:val="center"/>
          </w:tcPr>
          <w:p w:rsidR="001C1D37" w:rsidRPr="001D41C5" w:rsidRDefault="001C1D37" w:rsidP="001C1D37">
            <w:pPr>
              <w:rPr>
                <w:b/>
                <w:color w:val="000000"/>
                <w:sz w:val="20"/>
                <w:szCs w:val="20"/>
              </w:rPr>
            </w:pPr>
            <w:r w:rsidRPr="001D41C5">
              <w:rPr>
                <w:b/>
                <w:color w:val="000000"/>
                <w:sz w:val="20"/>
                <w:szCs w:val="20"/>
              </w:rPr>
              <w:t>Model A</w:t>
            </w:r>
          </w:p>
        </w:tc>
        <w:tc>
          <w:tcPr>
            <w:tcW w:w="1418" w:type="dxa"/>
            <w:gridSpan w:val="2"/>
            <w:tcBorders>
              <w:top w:val="single" w:sz="12" w:space="0" w:color="auto"/>
              <w:left w:val="nil"/>
              <w:bottom w:val="single" w:sz="12" w:space="0" w:color="auto"/>
              <w:right w:val="nil"/>
            </w:tcBorders>
            <w:shd w:val="clear" w:color="auto" w:fill="auto"/>
            <w:noWrap/>
            <w:vAlign w:val="center"/>
          </w:tcPr>
          <w:p w:rsidR="001C1D37" w:rsidRPr="001D41C5" w:rsidRDefault="001C1D37" w:rsidP="001C1D37">
            <w:pPr>
              <w:jc w:val="center"/>
              <w:rPr>
                <w:b/>
                <w:color w:val="000000"/>
                <w:sz w:val="20"/>
                <w:szCs w:val="20"/>
              </w:rPr>
            </w:pPr>
          </w:p>
        </w:tc>
        <w:tc>
          <w:tcPr>
            <w:tcW w:w="1701" w:type="dxa"/>
            <w:gridSpan w:val="2"/>
            <w:tcBorders>
              <w:top w:val="single" w:sz="12" w:space="0" w:color="auto"/>
              <w:left w:val="nil"/>
              <w:bottom w:val="single" w:sz="12" w:space="0" w:color="auto"/>
              <w:right w:val="nil"/>
            </w:tcBorders>
            <w:shd w:val="clear" w:color="auto" w:fill="auto"/>
            <w:noWrap/>
            <w:vAlign w:val="center"/>
          </w:tcPr>
          <w:p w:rsidR="001C1D37" w:rsidRPr="001D41C5" w:rsidRDefault="001C1D37" w:rsidP="001C1D37">
            <w:pPr>
              <w:jc w:val="center"/>
              <w:rPr>
                <w:b/>
                <w:color w:val="000000"/>
                <w:sz w:val="20"/>
                <w:szCs w:val="20"/>
              </w:rPr>
            </w:pPr>
          </w:p>
        </w:tc>
        <w:tc>
          <w:tcPr>
            <w:tcW w:w="1546" w:type="dxa"/>
            <w:gridSpan w:val="2"/>
            <w:tcBorders>
              <w:top w:val="single" w:sz="12" w:space="0" w:color="auto"/>
              <w:left w:val="nil"/>
              <w:bottom w:val="single" w:sz="12" w:space="0" w:color="auto"/>
              <w:right w:val="nil"/>
            </w:tcBorders>
            <w:shd w:val="clear" w:color="auto" w:fill="auto"/>
            <w:noWrap/>
            <w:vAlign w:val="center"/>
          </w:tcPr>
          <w:p w:rsidR="001C1D37" w:rsidRPr="001D41C5" w:rsidRDefault="001C1D37" w:rsidP="001C1D37">
            <w:pPr>
              <w:jc w:val="center"/>
              <w:rPr>
                <w:b/>
                <w:color w:val="000000"/>
                <w:sz w:val="20"/>
                <w:szCs w:val="20"/>
              </w:rPr>
            </w:pPr>
          </w:p>
        </w:tc>
        <w:tc>
          <w:tcPr>
            <w:tcW w:w="1516" w:type="dxa"/>
            <w:gridSpan w:val="2"/>
            <w:tcBorders>
              <w:top w:val="single" w:sz="12" w:space="0" w:color="auto"/>
              <w:left w:val="nil"/>
              <w:bottom w:val="single" w:sz="12" w:space="0" w:color="auto"/>
              <w:right w:val="nil"/>
            </w:tcBorders>
            <w:shd w:val="clear" w:color="auto" w:fill="auto"/>
            <w:noWrap/>
            <w:vAlign w:val="center"/>
          </w:tcPr>
          <w:p w:rsidR="001C1D37" w:rsidRPr="001D41C5" w:rsidRDefault="001C1D37" w:rsidP="001C1D37">
            <w:pPr>
              <w:jc w:val="center"/>
              <w:rPr>
                <w:b/>
                <w:color w:val="000000"/>
                <w:sz w:val="20"/>
                <w:szCs w:val="20"/>
              </w:rPr>
            </w:pPr>
          </w:p>
        </w:tc>
        <w:tc>
          <w:tcPr>
            <w:tcW w:w="666" w:type="dxa"/>
            <w:tcBorders>
              <w:top w:val="single" w:sz="12" w:space="0" w:color="auto"/>
              <w:left w:val="nil"/>
              <w:bottom w:val="single" w:sz="12" w:space="0" w:color="auto"/>
              <w:right w:val="nil"/>
            </w:tcBorders>
            <w:shd w:val="clear" w:color="auto" w:fill="auto"/>
            <w:noWrap/>
            <w:vAlign w:val="center"/>
          </w:tcPr>
          <w:p w:rsidR="001C1D37" w:rsidRPr="001D41C5" w:rsidRDefault="001C1D37" w:rsidP="001C1D37">
            <w:pPr>
              <w:jc w:val="center"/>
              <w:rPr>
                <w:b/>
                <w:color w:val="000000"/>
                <w:sz w:val="20"/>
                <w:szCs w:val="20"/>
              </w:rPr>
            </w:pPr>
          </w:p>
        </w:tc>
      </w:tr>
      <w:tr w:rsidR="001C1D37" w:rsidRPr="00A27FD3" w:rsidTr="001C1D37">
        <w:trPr>
          <w:trHeight w:hRule="exact" w:val="284"/>
        </w:trPr>
        <w:tc>
          <w:tcPr>
            <w:tcW w:w="2090" w:type="dxa"/>
            <w:tcBorders>
              <w:top w:val="single" w:sz="12" w:space="0" w:color="auto"/>
              <w:left w:val="nil"/>
            </w:tcBorders>
            <w:shd w:val="clear" w:color="auto" w:fill="auto"/>
            <w:noWrap/>
            <w:vAlign w:val="center"/>
            <w:hideMark/>
          </w:tcPr>
          <w:p w:rsidR="001C1D37" w:rsidRPr="00A27FD3" w:rsidRDefault="001C1D37" w:rsidP="001C1D37">
            <w:pPr>
              <w:pStyle w:val="NoSpacing"/>
              <w:rPr>
                <w:sz w:val="20"/>
                <w:szCs w:val="20"/>
                <w:lang w:eastAsia="en-GB"/>
              </w:rPr>
            </w:pPr>
            <w:r w:rsidRPr="00A27FD3">
              <w:rPr>
                <w:sz w:val="20"/>
                <w:szCs w:val="20"/>
                <w:lang w:eastAsia="en-GB"/>
              </w:rPr>
              <w:t>Constant</w:t>
            </w:r>
          </w:p>
        </w:tc>
        <w:tc>
          <w:tcPr>
            <w:tcW w:w="745" w:type="dxa"/>
            <w:tcBorders>
              <w:top w:val="single" w:sz="12"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-1.620</w:t>
            </w:r>
          </w:p>
        </w:tc>
        <w:tc>
          <w:tcPr>
            <w:tcW w:w="666" w:type="dxa"/>
            <w:tcBorders>
              <w:top w:val="single" w:sz="12" w:space="0" w:color="auto"/>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0.181</w:t>
            </w:r>
          </w:p>
        </w:tc>
        <w:tc>
          <w:tcPr>
            <w:tcW w:w="752" w:type="dxa"/>
            <w:tcBorders>
              <w:top w:val="single" w:sz="12"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-1.707</w:t>
            </w:r>
          </w:p>
        </w:tc>
        <w:tc>
          <w:tcPr>
            <w:tcW w:w="666" w:type="dxa"/>
            <w:tcBorders>
              <w:top w:val="single" w:sz="12" w:space="0" w:color="auto"/>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0.128</w:t>
            </w:r>
          </w:p>
        </w:tc>
        <w:tc>
          <w:tcPr>
            <w:tcW w:w="1035" w:type="dxa"/>
            <w:tcBorders>
              <w:top w:val="single" w:sz="12"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-1.925</w:t>
            </w:r>
          </w:p>
        </w:tc>
        <w:tc>
          <w:tcPr>
            <w:tcW w:w="696" w:type="dxa"/>
            <w:tcBorders>
              <w:top w:val="single" w:sz="12" w:space="0" w:color="auto"/>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0.126</w:t>
            </w:r>
          </w:p>
        </w:tc>
        <w:tc>
          <w:tcPr>
            <w:tcW w:w="850" w:type="dxa"/>
            <w:tcBorders>
              <w:top w:val="single" w:sz="12"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-1.984</w:t>
            </w:r>
          </w:p>
        </w:tc>
        <w:tc>
          <w:tcPr>
            <w:tcW w:w="666" w:type="dxa"/>
            <w:tcBorders>
              <w:top w:val="single" w:sz="12" w:space="0" w:color="auto"/>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0.128</w:t>
            </w:r>
          </w:p>
        </w:tc>
        <w:tc>
          <w:tcPr>
            <w:tcW w:w="850" w:type="dxa"/>
            <w:tcBorders>
              <w:top w:val="single" w:sz="12"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-1.972</w:t>
            </w:r>
          </w:p>
        </w:tc>
        <w:tc>
          <w:tcPr>
            <w:tcW w:w="666" w:type="dxa"/>
            <w:tcBorders>
              <w:top w:val="single" w:sz="12" w:space="0" w:color="auto"/>
              <w:left w:val="nil"/>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0.119</w:t>
            </w:r>
          </w:p>
        </w:tc>
      </w:tr>
      <w:tr w:rsidR="001C1D37" w:rsidRPr="00A27FD3" w:rsidTr="001C1D37">
        <w:trPr>
          <w:trHeight w:hRule="exact" w:val="284"/>
        </w:trPr>
        <w:tc>
          <w:tcPr>
            <w:tcW w:w="2090" w:type="dxa"/>
            <w:tcBorders>
              <w:left w:val="nil"/>
            </w:tcBorders>
            <w:shd w:val="clear" w:color="auto" w:fill="auto"/>
            <w:noWrap/>
            <w:vAlign w:val="center"/>
            <w:hideMark/>
          </w:tcPr>
          <w:p w:rsidR="001C1D37" w:rsidRPr="00A27FD3" w:rsidRDefault="001C1D37" w:rsidP="001C1D37">
            <w:pPr>
              <w:pStyle w:val="NoSpacing"/>
              <w:rPr>
                <w:sz w:val="20"/>
                <w:szCs w:val="20"/>
                <w:lang w:eastAsia="en-GB"/>
              </w:rPr>
            </w:pPr>
            <w:r w:rsidRPr="00A27FD3">
              <w:rPr>
                <w:sz w:val="20"/>
                <w:szCs w:val="20"/>
                <w:lang w:eastAsia="en-GB"/>
              </w:rPr>
              <w:t xml:space="preserve">Time, </w:t>
            </w:r>
            <m:oMath>
              <m:r>
                <w:rPr>
                  <w:rFonts w:ascii="Cambria Math" w:hAnsi="Cambria Math"/>
                  <w:sz w:val="20"/>
                  <w:szCs w:val="20"/>
                </w:rPr>
                <m:t>t</m:t>
              </m:r>
            </m:oMath>
          </w:p>
        </w:tc>
        <w:tc>
          <w:tcPr>
            <w:tcW w:w="74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-0.010</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0.012</w:t>
            </w:r>
          </w:p>
        </w:tc>
        <w:tc>
          <w:tcPr>
            <w:tcW w:w="752"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-0.006</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0.004</w:t>
            </w:r>
          </w:p>
        </w:tc>
        <w:tc>
          <w:tcPr>
            <w:tcW w:w="103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0.006</w:t>
            </w:r>
          </w:p>
        </w:tc>
        <w:tc>
          <w:tcPr>
            <w:tcW w:w="69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0.003</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0.008</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0.002</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0.008</w:t>
            </w:r>
          </w:p>
        </w:tc>
        <w:tc>
          <w:tcPr>
            <w:tcW w:w="666" w:type="dxa"/>
            <w:tcBorders>
              <w:left w:val="nil"/>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0.002</w:t>
            </w:r>
          </w:p>
        </w:tc>
      </w:tr>
      <w:tr w:rsidR="001C1D37" w:rsidRPr="00A27FD3" w:rsidTr="001C1D37">
        <w:trPr>
          <w:trHeight w:hRule="exact" w:val="284"/>
        </w:trPr>
        <w:tc>
          <w:tcPr>
            <w:tcW w:w="2090" w:type="dxa"/>
            <w:tcBorders>
              <w:left w:val="nil"/>
            </w:tcBorders>
            <w:shd w:val="clear" w:color="auto" w:fill="auto"/>
            <w:noWrap/>
            <w:vAlign w:val="center"/>
            <w:hideMark/>
          </w:tcPr>
          <w:p w:rsidR="001C1D37" w:rsidRPr="00A27FD3" w:rsidRDefault="001C1D37" w:rsidP="001C1D37">
            <w:pPr>
              <w:pStyle w:val="NoSpacing"/>
              <w:rPr>
                <w:sz w:val="20"/>
                <w:szCs w:val="20"/>
                <w:lang w:eastAsia="en-GB"/>
              </w:rPr>
            </w:pPr>
            <w:r w:rsidRPr="00A27FD3">
              <w:rPr>
                <w:sz w:val="20"/>
                <w:szCs w:val="20"/>
                <w:lang w:eastAsia="en-GB"/>
              </w:rPr>
              <w:t xml:space="preserve">Indicator, </w:t>
            </w:r>
            <m:oMath>
              <m:r>
                <m:rPr>
                  <m:sty m:val="p"/>
                </m:rPr>
                <w:rPr>
                  <w:rFonts w:ascii="Cambria Math" w:hAnsi="Cambria Math"/>
                  <w:sz w:val="20"/>
                  <w:szCs w:val="20"/>
                </w:rPr>
                <m:t>time</m:t>
              </m:r>
            </m:oMath>
            <w:r w:rsidRPr="00A27FD3">
              <w:rPr>
                <w:sz w:val="20"/>
                <w:szCs w:val="20"/>
                <w:lang w:eastAsia="en-GB"/>
              </w:rPr>
              <w:t xml:space="preserve"> = 0</w:t>
            </w:r>
          </w:p>
        </w:tc>
        <w:tc>
          <w:tcPr>
            <w:tcW w:w="74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0.171</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0.154</w:t>
            </w:r>
          </w:p>
        </w:tc>
        <w:tc>
          <w:tcPr>
            <w:tcW w:w="752"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0.260</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0.092</w:t>
            </w:r>
          </w:p>
        </w:tc>
        <w:tc>
          <w:tcPr>
            <w:tcW w:w="103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0.479</w:t>
            </w:r>
          </w:p>
        </w:tc>
        <w:tc>
          <w:tcPr>
            <w:tcW w:w="69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0.091</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0.538</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0.100</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0.528</w:t>
            </w:r>
          </w:p>
        </w:tc>
        <w:tc>
          <w:tcPr>
            <w:tcW w:w="666" w:type="dxa"/>
            <w:tcBorders>
              <w:left w:val="nil"/>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0.096</w:t>
            </w:r>
          </w:p>
        </w:tc>
      </w:tr>
      <w:tr w:rsidR="001C1D37" w:rsidRPr="00A27FD3" w:rsidTr="001C1D37">
        <w:trPr>
          <w:trHeight w:hRule="exact" w:val="284"/>
        </w:trPr>
        <w:tc>
          <w:tcPr>
            <w:tcW w:w="2090" w:type="dxa"/>
            <w:tcBorders>
              <w:left w:val="nil"/>
            </w:tcBorders>
            <w:shd w:val="clear" w:color="auto" w:fill="auto"/>
            <w:noWrap/>
            <w:vAlign w:val="center"/>
            <w:hideMark/>
          </w:tcPr>
          <w:p w:rsidR="001C1D37" w:rsidRPr="00A27FD3" w:rsidRDefault="001C1D37" w:rsidP="001C1D37">
            <w:pPr>
              <w:pStyle w:val="NoSpacing"/>
              <w:rPr>
                <w:sz w:val="20"/>
                <w:szCs w:val="20"/>
                <w:lang w:eastAsia="en-GB"/>
              </w:rPr>
            </w:pPr>
            <w:r w:rsidRPr="00A27FD3">
              <w:rPr>
                <w:sz w:val="20"/>
                <w:szCs w:val="20"/>
                <w:lang w:eastAsia="en-GB"/>
              </w:rPr>
              <w:t xml:space="preserve">Latent association, </w:t>
            </w:r>
            <m:oMath>
              <m:sSub>
                <m:sSubPr>
                  <m:ctrlPr>
                    <w:rPr>
                      <w:rFonts w:ascii="Cambria Math" w:hAnsi="Cambria Math"/>
                      <w:bCs/>
                      <w:i/>
                      <w:sz w:val="20"/>
                      <w:szCs w:val="20"/>
                    </w:rPr>
                  </m:ctrlPr>
                </m:sSubPr>
                <m:e>
                  <m:r>
                    <w:rPr>
                      <w:rFonts w:ascii="Cambria Math" w:hAnsi="Cambria Math"/>
                      <w:sz w:val="20"/>
                      <w:szCs w:val="20"/>
                    </w:rPr>
                    <m:t>γ</m:t>
                  </m:r>
                </m:e>
                <m:sub>
                  <m:r>
                    <w:rPr>
                      <w:rFonts w:ascii="Cambria Math" w:hAnsi="Cambria Math"/>
                      <w:sz w:val="20"/>
                      <w:szCs w:val="20"/>
                    </w:rPr>
                    <m:t>0</m:t>
                  </m:r>
                </m:sub>
              </m:sSub>
            </m:oMath>
          </w:p>
        </w:tc>
        <w:tc>
          <w:tcPr>
            <w:tcW w:w="74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-0.693</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0.291</w:t>
            </w:r>
          </w:p>
        </w:tc>
        <w:tc>
          <w:tcPr>
            <w:tcW w:w="752"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-0.632</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0.253</w:t>
            </w:r>
          </w:p>
        </w:tc>
        <w:tc>
          <w:tcPr>
            <w:tcW w:w="103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-0.540</w:t>
            </w:r>
          </w:p>
        </w:tc>
        <w:tc>
          <w:tcPr>
            <w:tcW w:w="69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0.235</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-0.490</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0.219</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-0.518</w:t>
            </w:r>
          </w:p>
        </w:tc>
        <w:tc>
          <w:tcPr>
            <w:tcW w:w="666" w:type="dxa"/>
            <w:tcBorders>
              <w:left w:val="nil"/>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0.186</w:t>
            </w:r>
          </w:p>
        </w:tc>
      </w:tr>
      <w:tr w:rsidR="001C1D37" w:rsidRPr="00A27FD3" w:rsidTr="001C1D37">
        <w:trPr>
          <w:trHeight w:hRule="exact" w:val="284"/>
        </w:trPr>
        <w:tc>
          <w:tcPr>
            <w:tcW w:w="2090" w:type="dxa"/>
            <w:tcBorders>
              <w:left w:val="nil"/>
            </w:tcBorders>
            <w:shd w:val="clear" w:color="auto" w:fill="auto"/>
            <w:noWrap/>
            <w:vAlign w:val="center"/>
            <w:hideMark/>
          </w:tcPr>
          <w:p w:rsidR="001C1D37" w:rsidRPr="00A27FD3" w:rsidRDefault="001C1D37" w:rsidP="001C1D37">
            <w:pPr>
              <w:pStyle w:val="NoSpacing"/>
              <w:rPr>
                <w:sz w:val="20"/>
                <w:szCs w:val="20"/>
              </w:rPr>
            </w:pPr>
            <m:oMathPara>
              <m:oMathParaPr>
                <m:jc m:val="left"/>
              </m:oMathParaPr>
              <m:oMath>
                <m:sSubSup>
                  <m:sSubSupPr>
                    <m:ctrlPr>
                      <w:rPr>
                        <w:rFonts w:ascii="Cambria Math" w:hAnsi="Cambria Math"/>
                        <w:i/>
                        <w:sz w:val="20"/>
                        <w:szCs w:val="20"/>
                      </w:rPr>
                    </m:ctrlPr>
                  </m:sSubSupPr>
                  <m:e>
                    <m:r>
                      <w:rPr>
                        <w:rFonts w:ascii="Cambria Math" w:hAnsi="Cambria Math"/>
                        <w:sz w:val="20"/>
                        <w:szCs w:val="20"/>
                      </w:rPr>
                      <m:t>σ</m:t>
                    </m:r>
                  </m:e>
                  <m:sub>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0</m:t>
                        </m:r>
                      </m:sub>
                    </m:sSub>
                  </m:sub>
                  <m:sup>
                    <m:r>
                      <w:rPr>
                        <w:rFonts w:ascii="Cambria Math" w:hAnsi="Cambria Math"/>
                        <w:sz w:val="20"/>
                        <w:szCs w:val="20"/>
                      </w:rPr>
                      <m:t>2</m:t>
                    </m:r>
                  </m:sup>
                </m:sSubSup>
              </m:oMath>
            </m:oMathPara>
          </w:p>
        </w:tc>
        <w:tc>
          <w:tcPr>
            <w:tcW w:w="74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0.898</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0.112</w:t>
            </w:r>
          </w:p>
        </w:tc>
        <w:tc>
          <w:tcPr>
            <w:tcW w:w="752"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0.889</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0.097</w:t>
            </w:r>
          </w:p>
        </w:tc>
        <w:tc>
          <w:tcPr>
            <w:tcW w:w="103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0.823</w:t>
            </w:r>
          </w:p>
        </w:tc>
        <w:tc>
          <w:tcPr>
            <w:tcW w:w="69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0.095</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0.780</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0.093</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0.777</w:t>
            </w:r>
          </w:p>
        </w:tc>
        <w:tc>
          <w:tcPr>
            <w:tcW w:w="666" w:type="dxa"/>
            <w:tcBorders>
              <w:left w:val="nil"/>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0.093</w:t>
            </w:r>
          </w:p>
        </w:tc>
      </w:tr>
      <w:tr w:rsidR="001C1D37" w:rsidRPr="00A27FD3" w:rsidTr="001C1D37">
        <w:trPr>
          <w:trHeight w:hRule="exact" w:val="284"/>
        </w:trPr>
        <w:tc>
          <w:tcPr>
            <w:tcW w:w="2090" w:type="dxa"/>
            <w:tcBorders>
              <w:left w:val="nil"/>
            </w:tcBorders>
            <w:shd w:val="clear" w:color="auto" w:fill="auto"/>
            <w:noWrap/>
            <w:vAlign w:val="center"/>
            <w:hideMark/>
          </w:tcPr>
          <w:p w:rsidR="001C1D37" w:rsidRPr="00A27FD3" w:rsidRDefault="001C1D37" w:rsidP="001C1D37">
            <w:pPr>
              <w:pStyle w:val="NoSpacing"/>
              <w:rPr>
                <w:sz w:val="20"/>
                <w:szCs w:val="20"/>
                <w:lang w:eastAsia="en-GB"/>
              </w:rPr>
            </w:pPr>
            <w:r w:rsidRPr="00A27FD3">
              <w:rPr>
                <w:sz w:val="20"/>
                <w:szCs w:val="20"/>
                <w:lang w:eastAsia="en-GB"/>
              </w:rPr>
              <w:t>Measurement error</w:t>
            </w:r>
          </w:p>
        </w:tc>
        <w:tc>
          <w:tcPr>
            <w:tcW w:w="74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0.287</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0.052</w:t>
            </w:r>
          </w:p>
        </w:tc>
        <w:tc>
          <w:tcPr>
            <w:tcW w:w="752"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0.351</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0.045</w:t>
            </w:r>
          </w:p>
        </w:tc>
        <w:tc>
          <w:tcPr>
            <w:tcW w:w="103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0.419</w:t>
            </w:r>
          </w:p>
        </w:tc>
        <w:tc>
          <w:tcPr>
            <w:tcW w:w="69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0.051</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0.427</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0.047</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0.414</w:t>
            </w:r>
          </w:p>
        </w:tc>
        <w:tc>
          <w:tcPr>
            <w:tcW w:w="666" w:type="dxa"/>
            <w:tcBorders>
              <w:left w:val="nil"/>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0.044</w:t>
            </w:r>
          </w:p>
        </w:tc>
      </w:tr>
      <w:tr w:rsidR="001C1D37" w:rsidRPr="00A27FD3" w:rsidTr="001C1D37">
        <w:trPr>
          <w:trHeight w:hRule="exact" w:val="284"/>
        </w:trPr>
        <w:tc>
          <w:tcPr>
            <w:tcW w:w="2090" w:type="dxa"/>
            <w:tcBorders>
              <w:left w:val="nil"/>
              <w:bottom w:val="single" w:sz="12" w:space="0" w:color="auto"/>
            </w:tcBorders>
            <w:shd w:val="clear" w:color="auto" w:fill="auto"/>
            <w:noWrap/>
            <w:vAlign w:val="center"/>
            <w:hideMark/>
          </w:tcPr>
          <w:p w:rsidR="001C1D37" w:rsidRPr="00A27FD3" w:rsidRDefault="001C1D37" w:rsidP="001C1D37">
            <w:pPr>
              <w:pStyle w:val="NoSpacing"/>
              <w:rPr>
                <w:sz w:val="20"/>
                <w:szCs w:val="20"/>
                <w:lang w:eastAsia="en-GB"/>
              </w:rPr>
            </w:pPr>
            <w:r w:rsidRPr="00A27FD3">
              <w:rPr>
                <w:sz w:val="20"/>
                <w:szCs w:val="20"/>
                <w:lang w:eastAsia="en-GB"/>
              </w:rPr>
              <w:t>Joint log-likelihood</w:t>
            </w:r>
          </w:p>
        </w:tc>
        <w:tc>
          <w:tcPr>
            <w:tcW w:w="1411" w:type="dxa"/>
            <w:gridSpan w:val="2"/>
            <w:tcBorders>
              <w:bottom w:val="single" w:sz="12" w:space="0" w:color="auto"/>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-393.622</w:t>
            </w:r>
          </w:p>
        </w:tc>
        <w:tc>
          <w:tcPr>
            <w:tcW w:w="1418" w:type="dxa"/>
            <w:gridSpan w:val="2"/>
            <w:tcBorders>
              <w:bottom w:val="single" w:sz="12" w:space="0" w:color="auto"/>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-536.886</w:t>
            </w:r>
          </w:p>
        </w:tc>
        <w:tc>
          <w:tcPr>
            <w:tcW w:w="1731" w:type="dxa"/>
            <w:gridSpan w:val="2"/>
            <w:tcBorders>
              <w:bottom w:val="single" w:sz="12" w:space="0" w:color="auto"/>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-644.654</w:t>
            </w:r>
          </w:p>
        </w:tc>
        <w:tc>
          <w:tcPr>
            <w:tcW w:w="1516" w:type="dxa"/>
            <w:gridSpan w:val="2"/>
            <w:tcBorders>
              <w:bottom w:val="single" w:sz="12" w:space="0" w:color="auto"/>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-734.611</w:t>
            </w:r>
          </w:p>
        </w:tc>
        <w:tc>
          <w:tcPr>
            <w:tcW w:w="1516" w:type="dxa"/>
            <w:gridSpan w:val="2"/>
            <w:tcBorders>
              <w:bottom w:val="single" w:sz="12"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-809.629</w:t>
            </w:r>
          </w:p>
        </w:tc>
      </w:tr>
      <w:tr w:rsidR="001C1D37" w:rsidRPr="001D41C5" w:rsidTr="001C1D37">
        <w:trPr>
          <w:trHeight w:val="405"/>
        </w:trPr>
        <w:tc>
          <w:tcPr>
            <w:tcW w:w="5954" w:type="dxa"/>
            <w:gridSpan w:val="6"/>
            <w:tcBorders>
              <w:top w:val="single" w:sz="12" w:space="0" w:color="auto"/>
              <w:left w:val="nil"/>
              <w:bottom w:val="single" w:sz="12" w:space="0" w:color="auto"/>
              <w:right w:val="nil"/>
            </w:tcBorders>
            <w:shd w:val="clear" w:color="auto" w:fill="auto"/>
            <w:noWrap/>
            <w:vAlign w:val="center"/>
            <w:hideMark/>
          </w:tcPr>
          <w:p w:rsidR="001C1D37" w:rsidRPr="001D41C5" w:rsidRDefault="001C1D37" w:rsidP="001C1D37">
            <w:pPr>
              <w:rPr>
                <w:b/>
                <w:color w:val="000000"/>
                <w:sz w:val="20"/>
                <w:szCs w:val="20"/>
              </w:rPr>
            </w:pPr>
            <w:r w:rsidRPr="001D41C5">
              <w:rPr>
                <w:b/>
                <w:color w:val="000000"/>
                <w:sz w:val="20"/>
                <w:szCs w:val="20"/>
              </w:rPr>
              <w:lastRenderedPageBreak/>
              <w:t>Model C</w:t>
            </w:r>
          </w:p>
        </w:tc>
        <w:tc>
          <w:tcPr>
            <w:tcW w:w="1546" w:type="dxa"/>
            <w:gridSpan w:val="2"/>
            <w:tcBorders>
              <w:top w:val="single" w:sz="12" w:space="0" w:color="auto"/>
              <w:left w:val="nil"/>
              <w:bottom w:val="single" w:sz="12" w:space="0" w:color="auto"/>
              <w:right w:val="nil"/>
            </w:tcBorders>
            <w:shd w:val="clear" w:color="auto" w:fill="auto"/>
            <w:noWrap/>
            <w:vAlign w:val="center"/>
          </w:tcPr>
          <w:p w:rsidR="001C1D37" w:rsidRPr="001D41C5" w:rsidRDefault="001C1D37" w:rsidP="001C1D37">
            <w:pPr>
              <w:jc w:val="center"/>
              <w:rPr>
                <w:b/>
                <w:color w:val="000000"/>
                <w:sz w:val="20"/>
                <w:szCs w:val="20"/>
              </w:rPr>
            </w:pPr>
          </w:p>
        </w:tc>
        <w:tc>
          <w:tcPr>
            <w:tcW w:w="1516" w:type="dxa"/>
            <w:gridSpan w:val="2"/>
            <w:tcBorders>
              <w:top w:val="single" w:sz="12" w:space="0" w:color="auto"/>
              <w:left w:val="nil"/>
              <w:bottom w:val="single" w:sz="12" w:space="0" w:color="auto"/>
              <w:right w:val="nil"/>
            </w:tcBorders>
            <w:shd w:val="clear" w:color="auto" w:fill="auto"/>
            <w:noWrap/>
            <w:vAlign w:val="center"/>
          </w:tcPr>
          <w:p w:rsidR="001C1D37" w:rsidRPr="001D41C5" w:rsidRDefault="001C1D37" w:rsidP="001C1D37">
            <w:pPr>
              <w:jc w:val="center"/>
              <w:rPr>
                <w:b/>
                <w:color w:val="000000"/>
                <w:sz w:val="20"/>
                <w:szCs w:val="20"/>
              </w:rPr>
            </w:pPr>
          </w:p>
        </w:tc>
        <w:tc>
          <w:tcPr>
            <w:tcW w:w="666" w:type="dxa"/>
            <w:tcBorders>
              <w:top w:val="single" w:sz="12" w:space="0" w:color="auto"/>
              <w:left w:val="nil"/>
              <w:bottom w:val="single" w:sz="12" w:space="0" w:color="auto"/>
              <w:right w:val="nil"/>
            </w:tcBorders>
            <w:shd w:val="clear" w:color="auto" w:fill="auto"/>
            <w:noWrap/>
            <w:vAlign w:val="center"/>
          </w:tcPr>
          <w:p w:rsidR="001C1D37" w:rsidRPr="001D41C5" w:rsidRDefault="001C1D37" w:rsidP="001C1D37">
            <w:pPr>
              <w:jc w:val="center"/>
              <w:rPr>
                <w:b/>
                <w:color w:val="000000"/>
                <w:sz w:val="20"/>
                <w:szCs w:val="20"/>
              </w:rPr>
            </w:pPr>
          </w:p>
        </w:tc>
      </w:tr>
      <w:tr w:rsidR="001C1D37" w:rsidRPr="00A27FD3" w:rsidTr="001C1D37">
        <w:trPr>
          <w:trHeight w:hRule="exact" w:val="284"/>
        </w:trPr>
        <w:tc>
          <w:tcPr>
            <w:tcW w:w="2090" w:type="dxa"/>
            <w:tcBorders>
              <w:top w:val="single" w:sz="12" w:space="0" w:color="auto"/>
              <w:left w:val="nil"/>
            </w:tcBorders>
            <w:shd w:val="clear" w:color="auto" w:fill="auto"/>
            <w:noWrap/>
            <w:vAlign w:val="center"/>
            <w:hideMark/>
          </w:tcPr>
          <w:p w:rsidR="001C1D37" w:rsidRPr="00A27FD3" w:rsidRDefault="001C1D37" w:rsidP="001C1D37">
            <w:pPr>
              <w:pStyle w:val="NoSpacing"/>
              <w:rPr>
                <w:sz w:val="20"/>
                <w:szCs w:val="20"/>
                <w:lang w:eastAsia="en-GB"/>
              </w:rPr>
            </w:pPr>
            <w:r w:rsidRPr="00A27FD3">
              <w:rPr>
                <w:sz w:val="20"/>
                <w:szCs w:val="20"/>
                <w:lang w:eastAsia="en-GB"/>
              </w:rPr>
              <w:t>Constant</w:t>
            </w:r>
          </w:p>
        </w:tc>
        <w:tc>
          <w:tcPr>
            <w:tcW w:w="745" w:type="dxa"/>
            <w:tcBorders>
              <w:top w:val="single" w:sz="12"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-1.660</w:t>
            </w:r>
          </w:p>
        </w:tc>
        <w:tc>
          <w:tcPr>
            <w:tcW w:w="666" w:type="dxa"/>
            <w:tcBorders>
              <w:top w:val="single" w:sz="12" w:space="0" w:color="auto"/>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0.143</w:t>
            </w:r>
          </w:p>
        </w:tc>
        <w:tc>
          <w:tcPr>
            <w:tcW w:w="752" w:type="dxa"/>
            <w:tcBorders>
              <w:top w:val="single" w:sz="12"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-1.746</w:t>
            </w:r>
          </w:p>
        </w:tc>
        <w:tc>
          <w:tcPr>
            <w:tcW w:w="666" w:type="dxa"/>
            <w:tcBorders>
              <w:top w:val="single" w:sz="12" w:space="0" w:color="auto"/>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0.124</w:t>
            </w:r>
          </w:p>
        </w:tc>
        <w:tc>
          <w:tcPr>
            <w:tcW w:w="1035" w:type="dxa"/>
            <w:tcBorders>
              <w:top w:val="single" w:sz="12"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-1.956</w:t>
            </w:r>
          </w:p>
        </w:tc>
        <w:tc>
          <w:tcPr>
            <w:tcW w:w="696" w:type="dxa"/>
            <w:tcBorders>
              <w:top w:val="single" w:sz="12" w:space="0" w:color="auto"/>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0.125</w:t>
            </w:r>
          </w:p>
        </w:tc>
        <w:tc>
          <w:tcPr>
            <w:tcW w:w="850" w:type="dxa"/>
            <w:tcBorders>
              <w:top w:val="single" w:sz="12"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-2.004</w:t>
            </w:r>
          </w:p>
        </w:tc>
        <w:tc>
          <w:tcPr>
            <w:tcW w:w="666" w:type="dxa"/>
            <w:tcBorders>
              <w:top w:val="single" w:sz="12" w:space="0" w:color="auto"/>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0.128</w:t>
            </w:r>
          </w:p>
        </w:tc>
        <w:tc>
          <w:tcPr>
            <w:tcW w:w="850" w:type="dxa"/>
            <w:tcBorders>
              <w:top w:val="single" w:sz="12"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-1.986</w:t>
            </w:r>
          </w:p>
        </w:tc>
        <w:tc>
          <w:tcPr>
            <w:tcW w:w="666" w:type="dxa"/>
            <w:tcBorders>
              <w:top w:val="single" w:sz="12" w:space="0" w:color="auto"/>
              <w:left w:val="nil"/>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0.119</w:t>
            </w:r>
          </w:p>
        </w:tc>
      </w:tr>
      <w:tr w:rsidR="001C1D37" w:rsidRPr="00A27FD3" w:rsidTr="001C1D37">
        <w:trPr>
          <w:trHeight w:hRule="exact" w:val="284"/>
        </w:trPr>
        <w:tc>
          <w:tcPr>
            <w:tcW w:w="2090" w:type="dxa"/>
            <w:tcBorders>
              <w:left w:val="nil"/>
            </w:tcBorders>
            <w:shd w:val="clear" w:color="auto" w:fill="auto"/>
            <w:noWrap/>
            <w:vAlign w:val="center"/>
            <w:hideMark/>
          </w:tcPr>
          <w:p w:rsidR="001C1D37" w:rsidRPr="00A27FD3" w:rsidRDefault="001C1D37" w:rsidP="001C1D37">
            <w:pPr>
              <w:pStyle w:val="NoSpacing"/>
              <w:rPr>
                <w:sz w:val="20"/>
                <w:szCs w:val="20"/>
                <w:lang w:eastAsia="en-GB"/>
              </w:rPr>
            </w:pPr>
            <w:r w:rsidRPr="00A27FD3">
              <w:rPr>
                <w:sz w:val="20"/>
                <w:szCs w:val="20"/>
                <w:lang w:eastAsia="en-GB"/>
              </w:rPr>
              <w:t xml:space="preserve">Time, </w:t>
            </w:r>
            <m:oMath>
              <m:r>
                <w:rPr>
                  <w:rFonts w:ascii="Cambria Math" w:hAnsi="Cambria Math"/>
                  <w:sz w:val="20"/>
                  <w:szCs w:val="20"/>
                </w:rPr>
                <m:t>t</m:t>
              </m:r>
            </m:oMath>
          </w:p>
        </w:tc>
        <w:tc>
          <w:tcPr>
            <w:tcW w:w="74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-0.007</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0.009</w:t>
            </w:r>
          </w:p>
        </w:tc>
        <w:tc>
          <w:tcPr>
            <w:tcW w:w="752"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-0.003</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0.004</w:t>
            </w:r>
          </w:p>
        </w:tc>
        <w:tc>
          <w:tcPr>
            <w:tcW w:w="103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0.006</w:t>
            </w:r>
          </w:p>
        </w:tc>
        <w:tc>
          <w:tcPr>
            <w:tcW w:w="69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0.002</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0.008</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0.002</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0.008</w:t>
            </w:r>
          </w:p>
        </w:tc>
        <w:tc>
          <w:tcPr>
            <w:tcW w:w="666" w:type="dxa"/>
            <w:tcBorders>
              <w:left w:val="nil"/>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0.001</w:t>
            </w:r>
          </w:p>
        </w:tc>
      </w:tr>
      <w:tr w:rsidR="001C1D37" w:rsidRPr="00A27FD3" w:rsidTr="001C1D37">
        <w:trPr>
          <w:trHeight w:hRule="exact" w:val="284"/>
        </w:trPr>
        <w:tc>
          <w:tcPr>
            <w:tcW w:w="2090" w:type="dxa"/>
            <w:tcBorders>
              <w:left w:val="nil"/>
            </w:tcBorders>
            <w:shd w:val="clear" w:color="auto" w:fill="auto"/>
            <w:noWrap/>
            <w:vAlign w:val="center"/>
            <w:hideMark/>
          </w:tcPr>
          <w:p w:rsidR="001C1D37" w:rsidRPr="00A27FD3" w:rsidRDefault="001C1D37" w:rsidP="001C1D37">
            <w:pPr>
              <w:pStyle w:val="NoSpacing"/>
              <w:rPr>
                <w:sz w:val="20"/>
                <w:szCs w:val="20"/>
                <w:lang w:eastAsia="en-GB"/>
              </w:rPr>
            </w:pPr>
            <w:r w:rsidRPr="00A27FD3">
              <w:rPr>
                <w:sz w:val="20"/>
                <w:szCs w:val="20"/>
                <w:lang w:eastAsia="en-GB"/>
              </w:rPr>
              <w:t xml:space="preserve">Indicator, </w:t>
            </w:r>
            <m:oMath>
              <m:r>
                <m:rPr>
                  <m:sty m:val="p"/>
                </m:rPr>
                <w:rPr>
                  <w:rFonts w:ascii="Cambria Math" w:hAnsi="Cambria Math"/>
                  <w:sz w:val="20"/>
                  <w:szCs w:val="20"/>
                </w:rPr>
                <m:t xml:space="preserve">time </m:t>
              </m:r>
            </m:oMath>
            <w:r w:rsidRPr="00A27FD3">
              <w:rPr>
                <w:sz w:val="20"/>
                <w:szCs w:val="20"/>
                <w:lang w:eastAsia="en-GB"/>
              </w:rPr>
              <w:t>= 0</w:t>
            </w:r>
          </w:p>
        </w:tc>
        <w:tc>
          <w:tcPr>
            <w:tcW w:w="74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0.209</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0.100</w:t>
            </w:r>
          </w:p>
        </w:tc>
        <w:tc>
          <w:tcPr>
            <w:tcW w:w="752"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0.293</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0.088</w:t>
            </w:r>
          </w:p>
        </w:tc>
        <w:tc>
          <w:tcPr>
            <w:tcW w:w="103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0.509</w:t>
            </w:r>
          </w:p>
        </w:tc>
        <w:tc>
          <w:tcPr>
            <w:tcW w:w="69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0.087</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0.558</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0.092</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0.541</w:t>
            </w:r>
          </w:p>
        </w:tc>
        <w:tc>
          <w:tcPr>
            <w:tcW w:w="666" w:type="dxa"/>
            <w:tcBorders>
              <w:left w:val="nil"/>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0.091</w:t>
            </w:r>
          </w:p>
        </w:tc>
      </w:tr>
      <w:tr w:rsidR="001C1D37" w:rsidRPr="00A27FD3" w:rsidTr="001C1D37">
        <w:trPr>
          <w:trHeight w:hRule="exact" w:val="284"/>
        </w:trPr>
        <w:tc>
          <w:tcPr>
            <w:tcW w:w="2090" w:type="dxa"/>
            <w:tcBorders>
              <w:left w:val="nil"/>
            </w:tcBorders>
            <w:shd w:val="clear" w:color="auto" w:fill="auto"/>
            <w:noWrap/>
            <w:vAlign w:val="center"/>
            <w:hideMark/>
          </w:tcPr>
          <w:p w:rsidR="001C1D37" w:rsidRPr="00A27FD3" w:rsidRDefault="001C1D37" w:rsidP="001C1D37">
            <w:pPr>
              <w:pStyle w:val="NoSpacing"/>
              <w:rPr>
                <w:sz w:val="20"/>
                <w:szCs w:val="20"/>
                <w:lang w:eastAsia="en-GB"/>
              </w:rPr>
            </w:pPr>
            <w:r w:rsidRPr="00A27FD3">
              <w:rPr>
                <w:sz w:val="20"/>
                <w:szCs w:val="20"/>
                <w:lang w:eastAsia="en-GB"/>
              </w:rPr>
              <w:t xml:space="preserve">Latent </w:t>
            </w:r>
            <w:r w:rsidRPr="00A27FD3">
              <w:rPr>
                <w:sz w:val="20"/>
                <w:szCs w:val="20"/>
                <w:lang w:eastAsia="en-GB"/>
              </w:rPr>
              <w:lastRenderedPageBreak/>
              <w:t xml:space="preserve">association, </w:t>
            </w:r>
            <m:oMath>
              <m:sSub>
                <m:sSubPr>
                  <m:ctrlPr>
                    <w:rPr>
                      <w:rFonts w:ascii="Cambria Math" w:hAnsi="Cambria Math"/>
                      <w:bCs/>
                      <w:i/>
                      <w:sz w:val="20"/>
                      <w:szCs w:val="20"/>
                    </w:rPr>
                  </m:ctrlPr>
                </m:sSubPr>
                <m:e>
                  <m:r>
                    <w:rPr>
                      <w:rFonts w:ascii="Cambria Math" w:hAnsi="Cambria Math"/>
                      <w:sz w:val="20"/>
                      <w:szCs w:val="20"/>
                    </w:rPr>
                    <m:t>γ</m:t>
                  </m:r>
                </m:e>
                <m:sub>
                  <m:r>
                    <w:rPr>
                      <w:rFonts w:ascii="Cambria Math" w:hAnsi="Cambria Math"/>
                      <w:sz w:val="20"/>
                      <w:szCs w:val="20"/>
                    </w:rPr>
                    <m:t>0t</m:t>
                  </m:r>
                </m:sub>
              </m:sSub>
            </m:oMath>
          </w:p>
        </w:tc>
        <w:tc>
          <w:tcPr>
            <w:tcW w:w="74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lastRenderedPageBreak/>
              <w:t>-</w:t>
            </w:r>
            <w:r w:rsidRPr="00A27FD3">
              <w:rPr>
                <w:color w:val="000000"/>
                <w:sz w:val="20"/>
                <w:szCs w:val="20"/>
              </w:rPr>
              <w:lastRenderedPageBreak/>
              <w:t>0.586</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lastRenderedPageBreak/>
              <w:t>0.2</w:t>
            </w:r>
            <w:r w:rsidRPr="00A27FD3">
              <w:rPr>
                <w:color w:val="000000"/>
                <w:sz w:val="20"/>
                <w:szCs w:val="20"/>
              </w:rPr>
              <w:lastRenderedPageBreak/>
              <w:t>50</w:t>
            </w:r>
          </w:p>
        </w:tc>
        <w:tc>
          <w:tcPr>
            <w:tcW w:w="752"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lastRenderedPageBreak/>
              <w:t>-</w:t>
            </w:r>
            <w:r w:rsidRPr="00A27FD3">
              <w:rPr>
                <w:color w:val="000000"/>
                <w:sz w:val="20"/>
                <w:szCs w:val="20"/>
              </w:rPr>
              <w:lastRenderedPageBreak/>
              <w:t>0.565</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lastRenderedPageBreak/>
              <w:t>0.2</w:t>
            </w:r>
            <w:r w:rsidRPr="00A27FD3">
              <w:rPr>
                <w:color w:val="000000"/>
                <w:sz w:val="20"/>
                <w:szCs w:val="20"/>
              </w:rPr>
              <w:lastRenderedPageBreak/>
              <w:t>76</w:t>
            </w:r>
          </w:p>
        </w:tc>
        <w:tc>
          <w:tcPr>
            <w:tcW w:w="103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lastRenderedPageBreak/>
              <w:t>-0.500</w:t>
            </w:r>
          </w:p>
        </w:tc>
        <w:tc>
          <w:tcPr>
            <w:tcW w:w="69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0.2</w:t>
            </w:r>
            <w:r w:rsidRPr="00A27FD3">
              <w:rPr>
                <w:color w:val="000000"/>
                <w:sz w:val="20"/>
                <w:szCs w:val="20"/>
              </w:rPr>
              <w:lastRenderedPageBreak/>
              <w:t>27</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lastRenderedPageBreak/>
              <w:t>-</w:t>
            </w:r>
            <w:r w:rsidRPr="00A27FD3">
              <w:rPr>
                <w:color w:val="000000"/>
                <w:sz w:val="20"/>
                <w:szCs w:val="20"/>
              </w:rPr>
              <w:lastRenderedPageBreak/>
              <w:t>0.449</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lastRenderedPageBreak/>
              <w:t>0.1</w:t>
            </w:r>
            <w:r w:rsidRPr="00A27FD3">
              <w:rPr>
                <w:color w:val="000000"/>
                <w:sz w:val="20"/>
                <w:szCs w:val="20"/>
              </w:rPr>
              <w:lastRenderedPageBreak/>
              <w:t>97</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lastRenderedPageBreak/>
              <w:t>-</w:t>
            </w:r>
            <w:r w:rsidRPr="00A27FD3">
              <w:rPr>
                <w:color w:val="000000"/>
                <w:sz w:val="20"/>
                <w:szCs w:val="20"/>
              </w:rPr>
              <w:lastRenderedPageBreak/>
              <w:t>0.488</w:t>
            </w:r>
          </w:p>
        </w:tc>
        <w:tc>
          <w:tcPr>
            <w:tcW w:w="666" w:type="dxa"/>
            <w:tcBorders>
              <w:left w:val="nil"/>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lastRenderedPageBreak/>
              <w:t>0.1</w:t>
            </w:r>
            <w:r w:rsidRPr="00A27FD3">
              <w:rPr>
                <w:color w:val="000000"/>
                <w:sz w:val="20"/>
                <w:szCs w:val="20"/>
              </w:rPr>
              <w:lastRenderedPageBreak/>
              <w:t>83</w:t>
            </w:r>
          </w:p>
        </w:tc>
      </w:tr>
      <w:tr w:rsidR="001C1D37" w:rsidRPr="00A27FD3" w:rsidTr="001C1D37">
        <w:trPr>
          <w:trHeight w:hRule="exact" w:val="284"/>
        </w:trPr>
        <w:tc>
          <w:tcPr>
            <w:tcW w:w="2090" w:type="dxa"/>
            <w:tcBorders>
              <w:left w:val="nil"/>
            </w:tcBorders>
            <w:shd w:val="clear" w:color="auto" w:fill="auto"/>
            <w:noWrap/>
            <w:vAlign w:val="center"/>
            <w:hideMark/>
          </w:tcPr>
          <w:p w:rsidR="001C1D37" w:rsidRPr="00A27FD3" w:rsidRDefault="001C1D37" w:rsidP="001C1D37">
            <w:pPr>
              <w:pStyle w:val="NoSpacing"/>
              <w:rPr>
                <w:sz w:val="20"/>
                <w:szCs w:val="20"/>
                <w:lang w:eastAsia="en-GB"/>
              </w:rPr>
            </w:pPr>
            <w:r w:rsidRPr="00A27FD3">
              <w:rPr>
                <w:sz w:val="20"/>
                <w:szCs w:val="20"/>
                <w:lang w:eastAsia="en-GB"/>
              </w:rPr>
              <w:lastRenderedPageBreak/>
              <w:t xml:space="preserve">Latent association, </w:t>
            </w:r>
            <m:oMath>
              <m:sSub>
                <m:sSubPr>
                  <m:ctrlPr>
                    <w:rPr>
                      <w:rFonts w:ascii="Cambria Math" w:hAnsi="Cambria Math"/>
                      <w:bCs/>
                      <w:i/>
                      <w:sz w:val="20"/>
                      <w:szCs w:val="20"/>
                    </w:rPr>
                  </m:ctrlPr>
                </m:sSubPr>
                <m:e>
                  <m:r>
                    <w:rPr>
                      <w:rFonts w:ascii="Cambria Math" w:hAnsi="Cambria Math"/>
                      <w:sz w:val="20"/>
                      <w:szCs w:val="20"/>
                    </w:rPr>
                    <m:t>γ</m:t>
                  </m:r>
                </m:e>
                <m:sub>
                  <m:r>
                    <w:rPr>
                      <w:rFonts w:ascii="Cambria Math" w:hAnsi="Cambria Math"/>
                      <w:sz w:val="20"/>
                      <w:szCs w:val="20"/>
                    </w:rPr>
                    <m:t>1t</m:t>
                  </m:r>
                </m:sub>
              </m:sSub>
            </m:oMath>
          </w:p>
        </w:tc>
        <w:tc>
          <w:tcPr>
            <w:tcW w:w="74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0.182</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Pr>
                <w:color w:val="000000"/>
                <w:sz w:val="20"/>
                <w:szCs w:val="20"/>
              </w:rPr>
              <w:t>0</w:t>
            </w:r>
            <w:r w:rsidRPr="00A27FD3">
              <w:rPr>
                <w:color w:val="000000"/>
                <w:sz w:val="20"/>
                <w:szCs w:val="20"/>
              </w:rPr>
              <w:t>.138</w:t>
            </w:r>
          </w:p>
        </w:tc>
        <w:tc>
          <w:tcPr>
            <w:tcW w:w="752"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1.135</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Pr>
                <w:color w:val="000000"/>
                <w:sz w:val="20"/>
                <w:szCs w:val="20"/>
              </w:rPr>
              <w:t>0</w:t>
            </w:r>
            <w:r w:rsidRPr="00A27FD3">
              <w:rPr>
                <w:color w:val="000000"/>
                <w:sz w:val="20"/>
                <w:szCs w:val="20"/>
              </w:rPr>
              <w:t>.501</w:t>
            </w:r>
          </w:p>
        </w:tc>
        <w:tc>
          <w:tcPr>
            <w:tcW w:w="103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-0.221</w:t>
            </w:r>
          </w:p>
        </w:tc>
        <w:tc>
          <w:tcPr>
            <w:tcW w:w="69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0.632</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-0.167</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0.699</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-0.235</w:t>
            </w:r>
          </w:p>
        </w:tc>
        <w:tc>
          <w:tcPr>
            <w:tcW w:w="666" w:type="dxa"/>
            <w:tcBorders>
              <w:left w:val="nil"/>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0.496</w:t>
            </w:r>
          </w:p>
        </w:tc>
      </w:tr>
      <w:tr w:rsidR="001C1D37" w:rsidRPr="00A27FD3" w:rsidTr="001C1D37">
        <w:trPr>
          <w:trHeight w:hRule="exact" w:val="284"/>
        </w:trPr>
        <w:tc>
          <w:tcPr>
            <w:tcW w:w="2090" w:type="dxa"/>
            <w:tcBorders>
              <w:left w:val="nil"/>
            </w:tcBorders>
            <w:shd w:val="clear" w:color="auto" w:fill="auto"/>
            <w:noWrap/>
            <w:vAlign w:val="center"/>
          </w:tcPr>
          <w:p w:rsidR="001C1D37" w:rsidRPr="00A27FD3" w:rsidRDefault="001C1D37" w:rsidP="001C1D37">
            <w:pPr>
              <w:pStyle w:val="NoSpacing"/>
              <w:rPr>
                <w:noProof/>
                <w:sz w:val="20"/>
                <w:szCs w:val="20"/>
              </w:rPr>
            </w:pPr>
            <m:oMathPara>
              <m:oMathParaPr>
                <m:jc m:val="left"/>
              </m:oMathParaPr>
              <m:oMath>
                <m:sSubSup>
                  <m:sSubSupPr>
                    <m:ctrlPr>
                      <w:rPr>
                        <w:rFonts w:ascii="Cambria Math" w:hAnsi="Cambria Math"/>
                        <w:i/>
                        <w:sz w:val="20"/>
                        <w:szCs w:val="20"/>
                      </w:rPr>
                    </m:ctrlPr>
                  </m:sSubSupPr>
                  <m:e>
                    <m:r>
                      <w:rPr>
                        <w:rFonts w:ascii="Cambria Math" w:hAnsi="Cambria Math"/>
                        <w:sz w:val="20"/>
                        <w:szCs w:val="20"/>
                      </w:rPr>
                      <m:t>σ</m:t>
                    </m:r>
                  </m:e>
                  <m:sub>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0</m:t>
                        </m:r>
                      </m:sub>
                    </m:sSub>
                  </m:sub>
                  <m:sup>
                    <m:r>
                      <w:rPr>
                        <w:rFonts w:ascii="Cambria Math" w:hAnsi="Cambria Math"/>
                        <w:sz w:val="20"/>
                        <w:szCs w:val="20"/>
                      </w:rPr>
                      <m:t>2</m:t>
                    </m:r>
                  </m:sup>
                </m:sSubSup>
              </m:oMath>
            </m:oMathPara>
          </w:p>
        </w:tc>
        <w:tc>
          <w:tcPr>
            <w:tcW w:w="74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1.029</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0.102</w:t>
            </w:r>
          </w:p>
        </w:tc>
        <w:tc>
          <w:tcPr>
            <w:tcW w:w="752"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0.943</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0.107</w:t>
            </w:r>
          </w:p>
        </w:tc>
        <w:tc>
          <w:tcPr>
            <w:tcW w:w="103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0.955</w:t>
            </w:r>
          </w:p>
        </w:tc>
        <w:tc>
          <w:tcPr>
            <w:tcW w:w="69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0.119</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0.939</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0.106</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0.915</w:t>
            </w:r>
          </w:p>
        </w:tc>
        <w:tc>
          <w:tcPr>
            <w:tcW w:w="666" w:type="dxa"/>
            <w:tcBorders>
              <w:left w:val="nil"/>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0.102</w:t>
            </w:r>
          </w:p>
        </w:tc>
      </w:tr>
      <w:tr w:rsidR="001C1D37" w:rsidRPr="00A27FD3" w:rsidTr="001C1D37">
        <w:trPr>
          <w:trHeight w:hRule="exact" w:val="284"/>
        </w:trPr>
        <w:tc>
          <w:tcPr>
            <w:tcW w:w="2090" w:type="dxa"/>
            <w:tcBorders>
              <w:left w:val="nil"/>
            </w:tcBorders>
            <w:shd w:val="clear" w:color="auto" w:fill="auto"/>
            <w:noWrap/>
            <w:vAlign w:val="center"/>
          </w:tcPr>
          <w:p w:rsidR="001C1D37" w:rsidRPr="00A27FD3" w:rsidRDefault="001C1D37" w:rsidP="001C1D37">
            <w:pPr>
              <w:pStyle w:val="NoSpacing"/>
              <w:rPr>
                <w:noProof/>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σ</m:t>
                    </m:r>
                  </m:e>
                  <m:sub>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1</m:t>
                        </m:r>
                      </m:sub>
                    </m:sSub>
                  </m:sub>
                </m:sSub>
              </m:oMath>
            </m:oMathPara>
          </w:p>
        </w:tc>
        <w:tc>
          <w:tcPr>
            <w:tcW w:w="74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-0.005</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0.000</w:t>
            </w:r>
          </w:p>
        </w:tc>
        <w:tc>
          <w:tcPr>
            <w:tcW w:w="752"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-0.005</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0.000</w:t>
            </w:r>
          </w:p>
        </w:tc>
        <w:tc>
          <w:tcPr>
            <w:tcW w:w="103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-0.005</w:t>
            </w:r>
          </w:p>
        </w:tc>
        <w:tc>
          <w:tcPr>
            <w:tcW w:w="69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0.000</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-0.004</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0.000</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-0.003</w:t>
            </w:r>
          </w:p>
        </w:tc>
        <w:tc>
          <w:tcPr>
            <w:tcW w:w="666" w:type="dxa"/>
            <w:tcBorders>
              <w:left w:val="nil"/>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0.000</w:t>
            </w:r>
          </w:p>
        </w:tc>
      </w:tr>
      <w:tr w:rsidR="001C1D37" w:rsidRPr="00A27FD3" w:rsidTr="001C1D37">
        <w:trPr>
          <w:trHeight w:hRule="exact" w:val="284"/>
        </w:trPr>
        <w:tc>
          <w:tcPr>
            <w:tcW w:w="2090" w:type="dxa"/>
            <w:tcBorders>
              <w:left w:val="nil"/>
            </w:tcBorders>
            <w:shd w:val="clear" w:color="auto" w:fill="auto"/>
            <w:noWrap/>
            <w:vAlign w:val="center"/>
          </w:tcPr>
          <w:p w:rsidR="001C1D37" w:rsidRPr="00A27FD3" w:rsidRDefault="001C1D37" w:rsidP="001C1D37">
            <w:pPr>
              <w:pStyle w:val="NoSpacing"/>
              <w:rPr>
                <w:sz w:val="20"/>
                <w:szCs w:val="20"/>
                <w:lang w:eastAsia="en-GB"/>
              </w:rPr>
            </w:pPr>
            <m:oMathPara>
              <m:oMathParaPr>
                <m:jc m:val="left"/>
              </m:oMathParaPr>
              <m:oMath>
                <m:sSubSup>
                  <m:sSubSupPr>
                    <m:ctrlPr>
                      <w:rPr>
                        <w:rFonts w:ascii="Cambria Math" w:hAnsi="Cambria Math"/>
                        <w:i/>
                        <w:sz w:val="20"/>
                        <w:szCs w:val="20"/>
                      </w:rPr>
                    </m:ctrlPr>
                  </m:sSubSupPr>
                  <m:e>
                    <m:r>
                      <w:rPr>
                        <w:rFonts w:ascii="Cambria Math" w:hAnsi="Cambria Math"/>
                        <w:sz w:val="20"/>
                        <w:szCs w:val="20"/>
                      </w:rPr>
                      <m:t>σ</m:t>
                    </m:r>
                  </m:e>
                  <m:sub>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1</m:t>
                        </m:r>
                      </m:sub>
                    </m:sSub>
                  </m:sub>
                  <m:sup>
                    <m:r>
                      <w:rPr>
                        <w:rFonts w:ascii="Cambria Math" w:hAnsi="Cambria Math"/>
                        <w:sz w:val="20"/>
                        <w:szCs w:val="20"/>
                      </w:rPr>
                      <m:t>2</m:t>
                    </m:r>
                  </m:sup>
                </m:sSubSup>
              </m:oMath>
            </m:oMathPara>
          </w:p>
        </w:tc>
        <w:tc>
          <w:tcPr>
            <w:tcW w:w="74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0.002</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0.005</w:t>
            </w:r>
          </w:p>
        </w:tc>
        <w:tc>
          <w:tcPr>
            <w:tcW w:w="752"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0.001</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0.003</w:t>
            </w:r>
          </w:p>
        </w:tc>
        <w:tc>
          <w:tcPr>
            <w:tcW w:w="1035"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0.000</w:t>
            </w:r>
          </w:p>
        </w:tc>
        <w:tc>
          <w:tcPr>
            <w:tcW w:w="69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0.003</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0.000</w:t>
            </w:r>
          </w:p>
        </w:tc>
        <w:tc>
          <w:tcPr>
            <w:tcW w:w="666" w:type="dxa"/>
            <w:tcBorders>
              <w:lef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0.002</w:t>
            </w:r>
          </w:p>
        </w:tc>
        <w:tc>
          <w:tcPr>
            <w:tcW w:w="850" w:type="dxa"/>
            <w:tcBorders>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0.000</w:t>
            </w:r>
          </w:p>
        </w:tc>
        <w:tc>
          <w:tcPr>
            <w:tcW w:w="666" w:type="dxa"/>
            <w:tcBorders>
              <w:left w:val="nil"/>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0.001</w:t>
            </w:r>
          </w:p>
        </w:tc>
      </w:tr>
      <w:tr w:rsidR="001C1D37" w:rsidRPr="00A27FD3" w:rsidTr="001C1D37">
        <w:trPr>
          <w:trHeight w:hRule="exact" w:val="284"/>
        </w:trPr>
        <w:tc>
          <w:tcPr>
            <w:tcW w:w="2090" w:type="dxa"/>
            <w:tcBorders>
              <w:left w:val="nil"/>
              <w:bottom w:val="single" w:sz="4" w:space="0" w:color="auto"/>
            </w:tcBorders>
            <w:shd w:val="clear" w:color="auto" w:fill="auto"/>
            <w:noWrap/>
            <w:vAlign w:val="center"/>
            <w:hideMark/>
          </w:tcPr>
          <w:p w:rsidR="001C1D37" w:rsidRPr="00A27FD3" w:rsidRDefault="001C1D37" w:rsidP="001C1D37">
            <w:pPr>
              <w:pStyle w:val="NoSpacing"/>
              <w:rPr>
                <w:sz w:val="20"/>
                <w:szCs w:val="20"/>
                <w:lang w:eastAsia="en-GB"/>
              </w:rPr>
            </w:pPr>
            <w:r w:rsidRPr="00A27FD3">
              <w:rPr>
                <w:sz w:val="20"/>
                <w:szCs w:val="20"/>
                <w:lang w:eastAsia="en-GB"/>
              </w:rPr>
              <w:t>Measurement error</w:t>
            </w:r>
          </w:p>
        </w:tc>
        <w:tc>
          <w:tcPr>
            <w:tcW w:w="745" w:type="dxa"/>
            <w:tcBorders>
              <w:bottom w:val="single" w:sz="4"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0.051</w:t>
            </w:r>
          </w:p>
        </w:tc>
        <w:tc>
          <w:tcPr>
            <w:tcW w:w="666" w:type="dxa"/>
            <w:tcBorders>
              <w:left w:val="nil"/>
              <w:bottom w:val="single" w:sz="4" w:space="0" w:color="auto"/>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0.018</w:t>
            </w:r>
          </w:p>
        </w:tc>
        <w:tc>
          <w:tcPr>
            <w:tcW w:w="752" w:type="dxa"/>
            <w:tcBorders>
              <w:bottom w:val="single" w:sz="4"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0.200</w:t>
            </w:r>
          </w:p>
        </w:tc>
        <w:tc>
          <w:tcPr>
            <w:tcW w:w="666" w:type="dxa"/>
            <w:tcBorders>
              <w:left w:val="nil"/>
              <w:bottom w:val="single" w:sz="4" w:space="0" w:color="auto"/>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0.040</w:t>
            </w:r>
          </w:p>
        </w:tc>
        <w:tc>
          <w:tcPr>
            <w:tcW w:w="1035" w:type="dxa"/>
            <w:tcBorders>
              <w:bottom w:val="single" w:sz="4"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0.253</w:t>
            </w:r>
          </w:p>
        </w:tc>
        <w:tc>
          <w:tcPr>
            <w:tcW w:w="696" w:type="dxa"/>
            <w:tcBorders>
              <w:left w:val="nil"/>
              <w:bottom w:val="single" w:sz="4" w:space="0" w:color="auto"/>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0.030</w:t>
            </w:r>
          </w:p>
        </w:tc>
        <w:tc>
          <w:tcPr>
            <w:tcW w:w="850" w:type="dxa"/>
            <w:tcBorders>
              <w:bottom w:val="single" w:sz="4"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0.305</w:t>
            </w:r>
          </w:p>
        </w:tc>
        <w:tc>
          <w:tcPr>
            <w:tcW w:w="666" w:type="dxa"/>
            <w:tcBorders>
              <w:left w:val="nil"/>
              <w:bottom w:val="single" w:sz="4" w:space="0" w:color="auto"/>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0.037</w:t>
            </w:r>
          </w:p>
        </w:tc>
        <w:tc>
          <w:tcPr>
            <w:tcW w:w="850" w:type="dxa"/>
            <w:tcBorders>
              <w:bottom w:val="single" w:sz="4"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0.315</w:t>
            </w:r>
          </w:p>
        </w:tc>
        <w:tc>
          <w:tcPr>
            <w:tcW w:w="666" w:type="dxa"/>
            <w:tcBorders>
              <w:left w:val="nil"/>
              <w:bottom w:val="single" w:sz="4"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0.040</w:t>
            </w:r>
          </w:p>
        </w:tc>
      </w:tr>
      <w:tr w:rsidR="001C1D37" w:rsidRPr="00A27FD3" w:rsidTr="001C1D37">
        <w:trPr>
          <w:trHeight w:hRule="exact" w:val="284"/>
        </w:trPr>
        <w:tc>
          <w:tcPr>
            <w:tcW w:w="2090" w:type="dxa"/>
            <w:tcBorders>
              <w:left w:val="nil"/>
              <w:bottom w:val="single" w:sz="12" w:space="0" w:color="auto"/>
            </w:tcBorders>
            <w:shd w:val="clear" w:color="auto" w:fill="auto"/>
            <w:noWrap/>
            <w:vAlign w:val="center"/>
            <w:hideMark/>
          </w:tcPr>
          <w:p w:rsidR="001C1D37" w:rsidRPr="00A27FD3" w:rsidRDefault="001C1D37" w:rsidP="001C1D37">
            <w:pPr>
              <w:pStyle w:val="NoSpacing"/>
              <w:rPr>
                <w:sz w:val="20"/>
                <w:szCs w:val="20"/>
                <w:lang w:eastAsia="en-GB"/>
              </w:rPr>
            </w:pPr>
            <w:r w:rsidRPr="00A27FD3">
              <w:rPr>
                <w:sz w:val="20"/>
                <w:szCs w:val="20"/>
                <w:lang w:eastAsia="en-GB"/>
              </w:rPr>
              <w:t>Joint log-likelihood</w:t>
            </w:r>
          </w:p>
        </w:tc>
        <w:tc>
          <w:tcPr>
            <w:tcW w:w="1411" w:type="dxa"/>
            <w:gridSpan w:val="2"/>
            <w:tcBorders>
              <w:bottom w:val="single" w:sz="12" w:space="0" w:color="auto"/>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-372.043</w:t>
            </w:r>
          </w:p>
        </w:tc>
        <w:tc>
          <w:tcPr>
            <w:tcW w:w="1418" w:type="dxa"/>
            <w:gridSpan w:val="2"/>
            <w:tcBorders>
              <w:bottom w:val="single" w:sz="12" w:space="0" w:color="auto"/>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-523.205</w:t>
            </w:r>
          </w:p>
        </w:tc>
        <w:tc>
          <w:tcPr>
            <w:tcW w:w="1731" w:type="dxa"/>
            <w:gridSpan w:val="2"/>
            <w:tcBorders>
              <w:bottom w:val="single" w:sz="12" w:space="0" w:color="auto"/>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-621.769</w:t>
            </w:r>
          </w:p>
        </w:tc>
        <w:tc>
          <w:tcPr>
            <w:tcW w:w="1516" w:type="dxa"/>
            <w:gridSpan w:val="2"/>
            <w:tcBorders>
              <w:bottom w:val="single" w:sz="12" w:space="0" w:color="auto"/>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-715.731</w:t>
            </w:r>
          </w:p>
        </w:tc>
        <w:tc>
          <w:tcPr>
            <w:tcW w:w="1516" w:type="dxa"/>
            <w:gridSpan w:val="2"/>
            <w:tcBorders>
              <w:bottom w:val="single" w:sz="12" w:space="0" w:color="auto"/>
              <w:right w:val="nil"/>
            </w:tcBorders>
            <w:shd w:val="clear" w:color="auto" w:fill="auto"/>
            <w:noWrap/>
            <w:vAlign w:val="center"/>
          </w:tcPr>
          <w:p w:rsidR="001C1D37" w:rsidRPr="00A27FD3" w:rsidRDefault="001C1D37" w:rsidP="001C1D37">
            <w:pPr>
              <w:jc w:val="center"/>
              <w:rPr>
                <w:color w:val="000000"/>
                <w:sz w:val="20"/>
                <w:szCs w:val="20"/>
              </w:rPr>
            </w:pPr>
            <w:r w:rsidRPr="00A27FD3">
              <w:rPr>
                <w:color w:val="000000"/>
                <w:sz w:val="20"/>
                <w:szCs w:val="20"/>
              </w:rPr>
              <w:t>-791.439</w:t>
            </w:r>
          </w:p>
        </w:tc>
      </w:tr>
    </w:tbl>
    <w:p w:rsidR="001C1D37" w:rsidRDefault="001C1D37" w:rsidP="001C1D37">
      <w:pPr>
        <w:jc w:val="both"/>
      </w:pPr>
    </w:p>
    <w:p w:rsidR="001C1D37" w:rsidRDefault="001C1D37" w:rsidP="001C1D37">
      <w:pPr>
        <w:pStyle w:val="NoSpacing"/>
      </w:pPr>
    </w:p>
    <w:p w:rsidR="003B58BB" w:rsidRPr="001C1D37" w:rsidRDefault="003B58BB" w:rsidP="001C1D37">
      <w:pPr>
        <w:jc w:val="both"/>
        <w:rPr>
          <w:i/>
          <w:sz w:val="20"/>
          <w:szCs w:val="20"/>
        </w:rPr>
      </w:pPr>
      <w:bookmarkStart w:id="0" w:name="_GoBack"/>
      <w:bookmarkEnd w:id="0"/>
    </w:p>
    <w:sectPr w:rsidR="003B58BB" w:rsidRPr="001C1D37" w:rsidSect="001C1D37">
      <w:pgSz w:w="11906" w:h="16838"/>
      <w:pgMar w:top="851" w:right="849" w:bottom="156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37" w:rsidRDefault="001C1D37" w:rsidP="00A2582A">
      <w:r>
        <w:separator/>
      </w:r>
    </w:p>
  </w:endnote>
  <w:endnote w:type="continuationSeparator" w:id="0">
    <w:p w:rsidR="001C1D37" w:rsidRDefault="001C1D37" w:rsidP="00A2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CMR9">
    <w:altName w:val="MS Mincho"/>
    <w:panose1 w:val="00000000000000000000"/>
    <w:charset w:val="80"/>
    <w:family w:val="auto"/>
    <w:notTrueType/>
    <w:pitch w:val="default"/>
    <w:sig w:usb0="00000001" w:usb1="08070000" w:usb2="00000010" w:usb3="00000000" w:csb0="00020000"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83540"/>
      <w:docPartObj>
        <w:docPartGallery w:val="Page Numbers (Bottom of Page)"/>
        <w:docPartUnique/>
      </w:docPartObj>
    </w:sdtPr>
    <w:sdtEndPr>
      <w:rPr>
        <w:noProof/>
      </w:rPr>
    </w:sdtEndPr>
    <w:sdtContent>
      <w:p w:rsidR="001C1D37" w:rsidRDefault="001C1D37">
        <w:pPr>
          <w:pStyle w:val="Footer"/>
          <w:jc w:val="right"/>
        </w:pPr>
        <w:r>
          <w:fldChar w:fldCharType="begin"/>
        </w:r>
        <w:r>
          <w:instrText xml:space="preserve"> PAGE   \* MERGEFORMAT </w:instrText>
        </w:r>
        <w:r>
          <w:fldChar w:fldCharType="separate"/>
        </w:r>
        <w:r w:rsidR="00B80FE8">
          <w:rPr>
            <w:noProof/>
          </w:rPr>
          <w:t>29</w:t>
        </w:r>
        <w:r>
          <w:rPr>
            <w:noProof/>
          </w:rPr>
          <w:fldChar w:fldCharType="end"/>
        </w:r>
      </w:p>
    </w:sdtContent>
  </w:sdt>
  <w:p w:rsidR="001C1D37" w:rsidRDefault="001C1D3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37" w:rsidRDefault="001C1D37" w:rsidP="00A2582A">
      <w:r>
        <w:separator/>
      </w:r>
    </w:p>
  </w:footnote>
  <w:footnote w:type="continuationSeparator" w:id="0">
    <w:p w:rsidR="001C1D37" w:rsidRDefault="001C1D37" w:rsidP="00A25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10D"/>
    <w:multiLevelType w:val="hybridMultilevel"/>
    <w:tmpl w:val="B316E9E6"/>
    <w:lvl w:ilvl="0" w:tplc="7E54C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795C98"/>
    <w:multiLevelType w:val="hybridMultilevel"/>
    <w:tmpl w:val="C0F058F6"/>
    <w:lvl w:ilvl="0" w:tplc="313E67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380294"/>
    <w:multiLevelType w:val="hybridMultilevel"/>
    <w:tmpl w:val="0F6AB126"/>
    <w:lvl w:ilvl="0" w:tplc="90C083C8">
      <w:start w:val="1"/>
      <w:numFmt w:val="bullet"/>
      <w:lvlText w:val="•"/>
      <w:lvlJc w:val="left"/>
      <w:pPr>
        <w:tabs>
          <w:tab w:val="num" w:pos="720"/>
        </w:tabs>
        <w:ind w:left="720" w:hanging="360"/>
      </w:pPr>
      <w:rPr>
        <w:rFonts w:ascii="Arial" w:hAnsi="Arial" w:hint="default"/>
      </w:rPr>
    </w:lvl>
    <w:lvl w:ilvl="1" w:tplc="0E32ED62" w:tentative="1">
      <w:start w:val="1"/>
      <w:numFmt w:val="bullet"/>
      <w:lvlText w:val="•"/>
      <w:lvlJc w:val="left"/>
      <w:pPr>
        <w:tabs>
          <w:tab w:val="num" w:pos="1440"/>
        </w:tabs>
        <w:ind w:left="1440" w:hanging="360"/>
      </w:pPr>
      <w:rPr>
        <w:rFonts w:ascii="Arial" w:hAnsi="Arial" w:hint="default"/>
      </w:rPr>
    </w:lvl>
    <w:lvl w:ilvl="2" w:tplc="69AAF9E2" w:tentative="1">
      <w:start w:val="1"/>
      <w:numFmt w:val="bullet"/>
      <w:lvlText w:val="•"/>
      <w:lvlJc w:val="left"/>
      <w:pPr>
        <w:tabs>
          <w:tab w:val="num" w:pos="2160"/>
        </w:tabs>
        <w:ind w:left="2160" w:hanging="360"/>
      </w:pPr>
      <w:rPr>
        <w:rFonts w:ascii="Arial" w:hAnsi="Arial" w:hint="default"/>
      </w:rPr>
    </w:lvl>
    <w:lvl w:ilvl="3" w:tplc="1D22277C" w:tentative="1">
      <w:start w:val="1"/>
      <w:numFmt w:val="bullet"/>
      <w:lvlText w:val="•"/>
      <w:lvlJc w:val="left"/>
      <w:pPr>
        <w:tabs>
          <w:tab w:val="num" w:pos="2880"/>
        </w:tabs>
        <w:ind w:left="2880" w:hanging="360"/>
      </w:pPr>
      <w:rPr>
        <w:rFonts w:ascii="Arial" w:hAnsi="Arial" w:hint="default"/>
      </w:rPr>
    </w:lvl>
    <w:lvl w:ilvl="4" w:tplc="4044E7F8" w:tentative="1">
      <w:start w:val="1"/>
      <w:numFmt w:val="bullet"/>
      <w:lvlText w:val="•"/>
      <w:lvlJc w:val="left"/>
      <w:pPr>
        <w:tabs>
          <w:tab w:val="num" w:pos="3600"/>
        </w:tabs>
        <w:ind w:left="3600" w:hanging="360"/>
      </w:pPr>
      <w:rPr>
        <w:rFonts w:ascii="Arial" w:hAnsi="Arial" w:hint="default"/>
      </w:rPr>
    </w:lvl>
    <w:lvl w:ilvl="5" w:tplc="AB6CB7D4" w:tentative="1">
      <w:start w:val="1"/>
      <w:numFmt w:val="bullet"/>
      <w:lvlText w:val="•"/>
      <w:lvlJc w:val="left"/>
      <w:pPr>
        <w:tabs>
          <w:tab w:val="num" w:pos="4320"/>
        </w:tabs>
        <w:ind w:left="4320" w:hanging="360"/>
      </w:pPr>
      <w:rPr>
        <w:rFonts w:ascii="Arial" w:hAnsi="Arial" w:hint="default"/>
      </w:rPr>
    </w:lvl>
    <w:lvl w:ilvl="6" w:tplc="AF48CFFE" w:tentative="1">
      <w:start w:val="1"/>
      <w:numFmt w:val="bullet"/>
      <w:lvlText w:val="•"/>
      <w:lvlJc w:val="left"/>
      <w:pPr>
        <w:tabs>
          <w:tab w:val="num" w:pos="5040"/>
        </w:tabs>
        <w:ind w:left="5040" w:hanging="360"/>
      </w:pPr>
      <w:rPr>
        <w:rFonts w:ascii="Arial" w:hAnsi="Arial" w:hint="default"/>
      </w:rPr>
    </w:lvl>
    <w:lvl w:ilvl="7" w:tplc="DA523B8C" w:tentative="1">
      <w:start w:val="1"/>
      <w:numFmt w:val="bullet"/>
      <w:lvlText w:val="•"/>
      <w:lvlJc w:val="left"/>
      <w:pPr>
        <w:tabs>
          <w:tab w:val="num" w:pos="5760"/>
        </w:tabs>
        <w:ind w:left="5760" w:hanging="360"/>
      </w:pPr>
      <w:rPr>
        <w:rFonts w:ascii="Arial" w:hAnsi="Arial" w:hint="default"/>
      </w:rPr>
    </w:lvl>
    <w:lvl w:ilvl="8" w:tplc="C77C9786" w:tentative="1">
      <w:start w:val="1"/>
      <w:numFmt w:val="bullet"/>
      <w:lvlText w:val="•"/>
      <w:lvlJc w:val="left"/>
      <w:pPr>
        <w:tabs>
          <w:tab w:val="num" w:pos="6480"/>
        </w:tabs>
        <w:ind w:left="6480" w:hanging="360"/>
      </w:pPr>
      <w:rPr>
        <w:rFonts w:ascii="Arial" w:hAnsi="Arial" w:hint="default"/>
      </w:rPr>
    </w:lvl>
  </w:abstractNum>
  <w:abstractNum w:abstractNumId="3">
    <w:nsid w:val="1A6C4A96"/>
    <w:multiLevelType w:val="hybridMultilevel"/>
    <w:tmpl w:val="35A8E9AA"/>
    <w:lvl w:ilvl="0" w:tplc="C88AE4A0">
      <w:start w:val="1"/>
      <w:numFmt w:val="bullet"/>
      <w:lvlText w:val="•"/>
      <w:lvlJc w:val="left"/>
      <w:pPr>
        <w:tabs>
          <w:tab w:val="num" w:pos="720"/>
        </w:tabs>
        <w:ind w:left="720" w:hanging="360"/>
      </w:pPr>
      <w:rPr>
        <w:rFonts w:ascii="Arial" w:hAnsi="Arial" w:hint="default"/>
      </w:rPr>
    </w:lvl>
    <w:lvl w:ilvl="1" w:tplc="4C223DA2" w:tentative="1">
      <w:start w:val="1"/>
      <w:numFmt w:val="bullet"/>
      <w:lvlText w:val="•"/>
      <w:lvlJc w:val="left"/>
      <w:pPr>
        <w:tabs>
          <w:tab w:val="num" w:pos="1440"/>
        </w:tabs>
        <w:ind w:left="1440" w:hanging="360"/>
      </w:pPr>
      <w:rPr>
        <w:rFonts w:ascii="Arial" w:hAnsi="Arial" w:hint="default"/>
      </w:rPr>
    </w:lvl>
    <w:lvl w:ilvl="2" w:tplc="BD748734" w:tentative="1">
      <w:start w:val="1"/>
      <w:numFmt w:val="bullet"/>
      <w:lvlText w:val="•"/>
      <w:lvlJc w:val="left"/>
      <w:pPr>
        <w:tabs>
          <w:tab w:val="num" w:pos="2160"/>
        </w:tabs>
        <w:ind w:left="2160" w:hanging="360"/>
      </w:pPr>
      <w:rPr>
        <w:rFonts w:ascii="Arial" w:hAnsi="Arial" w:hint="default"/>
      </w:rPr>
    </w:lvl>
    <w:lvl w:ilvl="3" w:tplc="7518ACAC" w:tentative="1">
      <w:start w:val="1"/>
      <w:numFmt w:val="bullet"/>
      <w:lvlText w:val="•"/>
      <w:lvlJc w:val="left"/>
      <w:pPr>
        <w:tabs>
          <w:tab w:val="num" w:pos="2880"/>
        </w:tabs>
        <w:ind w:left="2880" w:hanging="360"/>
      </w:pPr>
      <w:rPr>
        <w:rFonts w:ascii="Arial" w:hAnsi="Arial" w:hint="default"/>
      </w:rPr>
    </w:lvl>
    <w:lvl w:ilvl="4" w:tplc="F21A72DC" w:tentative="1">
      <w:start w:val="1"/>
      <w:numFmt w:val="bullet"/>
      <w:lvlText w:val="•"/>
      <w:lvlJc w:val="left"/>
      <w:pPr>
        <w:tabs>
          <w:tab w:val="num" w:pos="3600"/>
        </w:tabs>
        <w:ind w:left="3600" w:hanging="360"/>
      </w:pPr>
      <w:rPr>
        <w:rFonts w:ascii="Arial" w:hAnsi="Arial" w:hint="default"/>
      </w:rPr>
    </w:lvl>
    <w:lvl w:ilvl="5" w:tplc="C9B48A56" w:tentative="1">
      <w:start w:val="1"/>
      <w:numFmt w:val="bullet"/>
      <w:lvlText w:val="•"/>
      <w:lvlJc w:val="left"/>
      <w:pPr>
        <w:tabs>
          <w:tab w:val="num" w:pos="4320"/>
        </w:tabs>
        <w:ind w:left="4320" w:hanging="360"/>
      </w:pPr>
      <w:rPr>
        <w:rFonts w:ascii="Arial" w:hAnsi="Arial" w:hint="default"/>
      </w:rPr>
    </w:lvl>
    <w:lvl w:ilvl="6" w:tplc="A12EE17C" w:tentative="1">
      <w:start w:val="1"/>
      <w:numFmt w:val="bullet"/>
      <w:lvlText w:val="•"/>
      <w:lvlJc w:val="left"/>
      <w:pPr>
        <w:tabs>
          <w:tab w:val="num" w:pos="5040"/>
        </w:tabs>
        <w:ind w:left="5040" w:hanging="360"/>
      </w:pPr>
      <w:rPr>
        <w:rFonts w:ascii="Arial" w:hAnsi="Arial" w:hint="default"/>
      </w:rPr>
    </w:lvl>
    <w:lvl w:ilvl="7" w:tplc="0366AF6C" w:tentative="1">
      <w:start w:val="1"/>
      <w:numFmt w:val="bullet"/>
      <w:lvlText w:val="•"/>
      <w:lvlJc w:val="left"/>
      <w:pPr>
        <w:tabs>
          <w:tab w:val="num" w:pos="5760"/>
        </w:tabs>
        <w:ind w:left="5760" w:hanging="360"/>
      </w:pPr>
      <w:rPr>
        <w:rFonts w:ascii="Arial" w:hAnsi="Arial" w:hint="default"/>
      </w:rPr>
    </w:lvl>
    <w:lvl w:ilvl="8" w:tplc="6AD836A4" w:tentative="1">
      <w:start w:val="1"/>
      <w:numFmt w:val="bullet"/>
      <w:lvlText w:val="•"/>
      <w:lvlJc w:val="left"/>
      <w:pPr>
        <w:tabs>
          <w:tab w:val="num" w:pos="6480"/>
        </w:tabs>
        <w:ind w:left="6480" w:hanging="360"/>
      </w:pPr>
      <w:rPr>
        <w:rFonts w:ascii="Arial" w:hAnsi="Arial" w:hint="default"/>
      </w:rPr>
    </w:lvl>
  </w:abstractNum>
  <w:abstractNum w:abstractNumId="4">
    <w:nsid w:val="26CD4FDD"/>
    <w:multiLevelType w:val="hybridMultilevel"/>
    <w:tmpl w:val="F710CB9E"/>
    <w:lvl w:ilvl="0" w:tplc="63CA9B6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B60D94"/>
    <w:multiLevelType w:val="multilevel"/>
    <w:tmpl w:val="0F8CE4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CD5B64"/>
    <w:multiLevelType w:val="multilevel"/>
    <w:tmpl w:val="8BF4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E282F"/>
    <w:multiLevelType w:val="multilevel"/>
    <w:tmpl w:val="8F10F59A"/>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nsid w:val="3A7303B6"/>
    <w:multiLevelType w:val="hybridMultilevel"/>
    <w:tmpl w:val="15A8320C"/>
    <w:lvl w:ilvl="0" w:tplc="6606520E">
      <w:start w:val="1"/>
      <w:numFmt w:val="bullet"/>
      <w:lvlText w:val="–"/>
      <w:lvlJc w:val="left"/>
      <w:pPr>
        <w:tabs>
          <w:tab w:val="num" w:pos="720"/>
        </w:tabs>
        <w:ind w:left="720" w:hanging="360"/>
      </w:pPr>
      <w:rPr>
        <w:rFonts w:ascii="Arial" w:hAnsi="Arial" w:hint="default"/>
      </w:rPr>
    </w:lvl>
    <w:lvl w:ilvl="1" w:tplc="4608320E">
      <w:start w:val="1"/>
      <w:numFmt w:val="bullet"/>
      <w:lvlText w:val="–"/>
      <w:lvlJc w:val="left"/>
      <w:pPr>
        <w:tabs>
          <w:tab w:val="num" w:pos="1440"/>
        </w:tabs>
        <w:ind w:left="1440" w:hanging="360"/>
      </w:pPr>
      <w:rPr>
        <w:rFonts w:ascii="Arial" w:hAnsi="Arial" w:hint="default"/>
      </w:rPr>
    </w:lvl>
    <w:lvl w:ilvl="2" w:tplc="CDB075A4" w:tentative="1">
      <w:start w:val="1"/>
      <w:numFmt w:val="bullet"/>
      <w:lvlText w:val="–"/>
      <w:lvlJc w:val="left"/>
      <w:pPr>
        <w:tabs>
          <w:tab w:val="num" w:pos="2160"/>
        </w:tabs>
        <w:ind w:left="2160" w:hanging="360"/>
      </w:pPr>
      <w:rPr>
        <w:rFonts w:ascii="Arial" w:hAnsi="Arial" w:hint="default"/>
      </w:rPr>
    </w:lvl>
    <w:lvl w:ilvl="3" w:tplc="B91A8AA4" w:tentative="1">
      <w:start w:val="1"/>
      <w:numFmt w:val="bullet"/>
      <w:lvlText w:val="–"/>
      <w:lvlJc w:val="left"/>
      <w:pPr>
        <w:tabs>
          <w:tab w:val="num" w:pos="2880"/>
        </w:tabs>
        <w:ind w:left="2880" w:hanging="360"/>
      </w:pPr>
      <w:rPr>
        <w:rFonts w:ascii="Arial" w:hAnsi="Arial" w:hint="default"/>
      </w:rPr>
    </w:lvl>
    <w:lvl w:ilvl="4" w:tplc="5256174E" w:tentative="1">
      <w:start w:val="1"/>
      <w:numFmt w:val="bullet"/>
      <w:lvlText w:val="–"/>
      <w:lvlJc w:val="left"/>
      <w:pPr>
        <w:tabs>
          <w:tab w:val="num" w:pos="3600"/>
        </w:tabs>
        <w:ind w:left="3600" w:hanging="360"/>
      </w:pPr>
      <w:rPr>
        <w:rFonts w:ascii="Arial" w:hAnsi="Arial" w:hint="default"/>
      </w:rPr>
    </w:lvl>
    <w:lvl w:ilvl="5" w:tplc="83D4EA4A" w:tentative="1">
      <w:start w:val="1"/>
      <w:numFmt w:val="bullet"/>
      <w:lvlText w:val="–"/>
      <w:lvlJc w:val="left"/>
      <w:pPr>
        <w:tabs>
          <w:tab w:val="num" w:pos="4320"/>
        </w:tabs>
        <w:ind w:left="4320" w:hanging="360"/>
      </w:pPr>
      <w:rPr>
        <w:rFonts w:ascii="Arial" w:hAnsi="Arial" w:hint="default"/>
      </w:rPr>
    </w:lvl>
    <w:lvl w:ilvl="6" w:tplc="DE864AFA" w:tentative="1">
      <w:start w:val="1"/>
      <w:numFmt w:val="bullet"/>
      <w:lvlText w:val="–"/>
      <w:lvlJc w:val="left"/>
      <w:pPr>
        <w:tabs>
          <w:tab w:val="num" w:pos="5040"/>
        </w:tabs>
        <w:ind w:left="5040" w:hanging="360"/>
      </w:pPr>
      <w:rPr>
        <w:rFonts w:ascii="Arial" w:hAnsi="Arial" w:hint="default"/>
      </w:rPr>
    </w:lvl>
    <w:lvl w:ilvl="7" w:tplc="AB78B8A4" w:tentative="1">
      <w:start w:val="1"/>
      <w:numFmt w:val="bullet"/>
      <w:lvlText w:val="–"/>
      <w:lvlJc w:val="left"/>
      <w:pPr>
        <w:tabs>
          <w:tab w:val="num" w:pos="5760"/>
        </w:tabs>
        <w:ind w:left="5760" w:hanging="360"/>
      </w:pPr>
      <w:rPr>
        <w:rFonts w:ascii="Arial" w:hAnsi="Arial" w:hint="default"/>
      </w:rPr>
    </w:lvl>
    <w:lvl w:ilvl="8" w:tplc="ED709796" w:tentative="1">
      <w:start w:val="1"/>
      <w:numFmt w:val="bullet"/>
      <w:lvlText w:val="–"/>
      <w:lvlJc w:val="left"/>
      <w:pPr>
        <w:tabs>
          <w:tab w:val="num" w:pos="6480"/>
        </w:tabs>
        <w:ind w:left="6480" w:hanging="360"/>
      </w:pPr>
      <w:rPr>
        <w:rFonts w:ascii="Arial" w:hAnsi="Arial" w:hint="default"/>
      </w:rPr>
    </w:lvl>
  </w:abstractNum>
  <w:abstractNum w:abstractNumId="9">
    <w:nsid w:val="3E4937F3"/>
    <w:multiLevelType w:val="multilevel"/>
    <w:tmpl w:val="6C34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FE05D0"/>
    <w:multiLevelType w:val="hybridMultilevel"/>
    <w:tmpl w:val="5254E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D93BF8"/>
    <w:multiLevelType w:val="hybridMultilevel"/>
    <w:tmpl w:val="EF924E30"/>
    <w:lvl w:ilvl="0" w:tplc="0AB06A62">
      <w:start w:val="1"/>
      <w:numFmt w:val="bullet"/>
      <w:lvlText w:val="•"/>
      <w:lvlJc w:val="left"/>
      <w:pPr>
        <w:tabs>
          <w:tab w:val="num" w:pos="720"/>
        </w:tabs>
        <w:ind w:left="720" w:hanging="360"/>
      </w:pPr>
      <w:rPr>
        <w:rFonts w:ascii="Times New Roman" w:hAnsi="Times New Roman" w:hint="default"/>
      </w:rPr>
    </w:lvl>
    <w:lvl w:ilvl="1" w:tplc="C9A0B944" w:tentative="1">
      <w:start w:val="1"/>
      <w:numFmt w:val="bullet"/>
      <w:lvlText w:val="•"/>
      <w:lvlJc w:val="left"/>
      <w:pPr>
        <w:tabs>
          <w:tab w:val="num" w:pos="1440"/>
        </w:tabs>
        <w:ind w:left="1440" w:hanging="360"/>
      </w:pPr>
      <w:rPr>
        <w:rFonts w:ascii="Times New Roman" w:hAnsi="Times New Roman" w:hint="default"/>
      </w:rPr>
    </w:lvl>
    <w:lvl w:ilvl="2" w:tplc="D6A89D2E" w:tentative="1">
      <w:start w:val="1"/>
      <w:numFmt w:val="bullet"/>
      <w:lvlText w:val="•"/>
      <w:lvlJc w:val="left"/>
      <w:pPr>
        <w:tabs>
          <w:tab w:val="num" w:pos="2160"/>
        </w:tabs>
        <w:ind w:left="2160" w:hanging="360"/>
      </w:pPr>
      <w:rPr>
        <w:rFonts w:ascii="Times New Roman" w:hAnsi="Times New Roman" w:hint="default"/>
      </w:rPr>
    </w:lvl>
    <w:lvl w:ilvl="3" w:tplc="8F2E5830" w:tentative="1">
      <w:start w:val="1"/>
      <w:numFmt w:val="bullet"/>
      <w:lvlText w:val="•"/>
      <w:lvlJc w:val="left"/>
      <w:pPr>
        <w:tabs>
          <w:tab w:val="num" w:pos="2880"/>
        </w:tabs>
        <w:ind w:left="2880" w:hanging="360"/>
      </w:pPr>
      <w:rPr>
        <w:rFonts w:ascii="Times New Roman" w:hAnsi="Times New Roman" w:hint="default"/>
      </w:rPr>
    </w:lvl>
    <w:lvl w:ilvl="4" w:tplc="8C807A36" w:tentative="1">
      <w:start w:val="1"/>
      <w:numFmt w:val="bullet"/>
      <w:lvlText w:val="•"/>
      <w:lvlJc w:val="left"/>
      <w:pPr>
        <w:tabs>
          <w:tab w:val="num" w:pos="3600"/>
        </w:tabs>
        <w:ind w:left="3600" w:hanging="360"/>
      </w:pPr>
      <w:rPr>
        <w:rFonts w:ascii="Times New Roman" w:hAnsi="Times New Roman" w:hint="default"/>
      </w:rPr>
    </w:lvl>
    <w:lvl w:ilvl="5" w:tplc="E9A64832" w:tentative="1">
      <w:start w:val="1"/>
      <w:numFmt w:val="bullet"/>
      <w:lvlText w:val="•"/>
      <w:lvlJc w:val="left"/>
      <w:pPr>
        <w:tabs>
          <w:tab w:val="num" w:pos="4320"/>
        </w:tabs>
        <w:ind w:left="4320" w:hanging="360"/>
      </w:pPr>
      <w:rPr>
        <w:rFonts w:ascii="Times New Roman" w:hAnsi="Times New Roman" w:hint="default"/>
      </w:rPr>
    </w:lvl>
    <w:lvl w:ilvl="6" w:tplc="1DA00E1C" w:tentative="1">
      <w:start w:val="1"/>
      <w:numFmt w:val="bullet"/>
      <w:lvlText w:val="•"/>
      <w:lvlJc w:val="left"/>
      <w:pPr>
        <w:tabs>
          <w:tab w:val="num" w:pos="5040"/>
        </w:tabs>
        <w:ind w:left="5040" w:hanging="360"/>
      </w:pPr>
      <w:rPr>
        <w:rFonts w:ascii="Times New Roman" w:hAnsi="Times New Roman" w:hint="default"/>
      </w:rPr>
    </w:lvl>
    <w:lvl w:ilvl="7" w:tplc="CD04BDB8" w:tentative="1">
      <w:start w:val="1"/>
      <w:numFmt w:val="bullet"/>
      <w:lvlText w:val="•"/>
      <w:lvlJc w:val="left"/>
      <w:pPr>
        <w:tabs>
          <w:tab w:val="num" w:pos="5760"/>
        </w:tabs>
        <w:ind w:left="5760" w:hanging="360"/>
      </w:pPr>
      <w:rPr>
        <w:rFonts w:ascii="Times New Roman" w:hAnsi="Times New Roman" w:hint="default"/>
      </w:rPr>
    </w:lvl>
    <w:lvl w:ilvl="8" w:tplc="DEE6DC9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F874143"/>
    <w:multiLevelType w:val="hybridMultilevel"/>
    <w:tmpl w:val="AFC82FC2"/>
    <w:lvl w:ilvl="0" w:tplc="6F8825F4">
      <w:start w:val="1"/>
      <w:numFmt w:val="bullet"/>
      <w:lvlText w:val="•"/>
      <w:lvlJc w:val="left"/>
      <w:pPr>
        <w:tabs>
          <w:tab w:val="num" w:pos="720"/>
        </w:tabs>
        <w:ind w:left="720" w:hanging="360"/>
      </w:pPr>
      <w:rPr>
        <w:rFonts w:ascii="Arial" w:hAnsi="Arial" w:hint="default"/>
      </w:rPr>
    </w:lvl>
    <w:lvl w:ilvl="1" w:tplc="77AEF3A2" w:tentative="1">
      <w:start w:val="1"/>
      <w:numFmt w:val="bullet"/>
      <w:lvlText w:val="•"/>
      <w:lvlJc w:val="left"/>
      <w:pPr>
        <w:tabs>
          <w:tab w:val="num" w:pos="1440"/>
        </w:tabs>
        <w:ind w:left="1440" w:hanging="360"/>
      </w:pPr>
      <w:rPr>
        <w:rFonts w:ascii="Arial" w:hAnsi="Arial" w:hint="default"/>
      </w:rPr>
    </w:lvl>
    <w:lvl w:ilvl="2" w:tplc="158014A6" w:tentative="1">
      <w:start w:val="1"/>
      <w:numFmt w:val="bullet"/>
      <w:lvlText w:val="•"/>
      <w:lvlJc w:val="left"/>
      <w:pPr>
        <w:tabs>
          <w:tab w:val="num" w:pos="2160"/>
        </w:tabs>
        <w:ind w:left="2160" w:hanging="360"/>
      </w:pPr>
      <w:rPr>
        <w:rFonts w:ascii="Arial" w:hAnsi="Arial" w:hint="default"/>
      </w:rPr>
    </w:lvl>
    <w:lvl w:ilvl="3" w:tplc="8752DE28" w:tentative="1">
      <w:start w:val="1"/>
      <w:numFmt w:val="bullet"/>
      <w:lvlText w:val="•"/>
      <w:lvlJc w:val="left"/>
      <w:pPr>
        <w:tabs>
          <w:tab w:val="num" w:pos="2880"/>
        </w:tabs>
        <w:ind w:left="2880" w:hanging="360"/>
      </w:pPr>
      <w:rPr>
        <w:rFonts w:ascii="Arial" w:hAnsi="Arial" w:hint="default"/>
      </w:rPr>
    </w:lvl>
    <w:lvl w:ilvl="4" w:tplc="438CDBEE" w:tentative="1">
      <w:start w:val="1"/>
      <w:numFmt w:val="bullet"/>
      <w:lvlText w:val="•"/>
      <w:lvlJc w:val="left"/>
      <w:pPr>
        <w:tabs>
          <w:tab w:val="num" w:pos="3600"/>
        </w:tabs>
        <w:ind w:left="3600" w:hanging="360"/>
      </w:pPr>
      <w:rPr>
        <w:rFonts w:ascii="Arial" w:hAnsi="Arial" w:hint="default"/>
      </w:rPr>
    </w:lvl>
    <w:lvl w:ilvl="5" w:tplc="DF70560E" w:tentative="1">
      <w:start w:val="1"/>
      <w:numFmt w:val="bullet"/>
      <w:lvlText w:val="•"/>
      <w:lvlJc w:val="left"/>
      <w:pPr>
        <w:tabs>
          <w:tab w:val="num" w:pos="4320"/>
        </w:tabs>
        <w:ind w:left="4320" w:hanging="360"/>
      </w:pPr>
      <w:rPr>
        <w:rFonts w:ascii="Arial" w:hAnsi="Arial" w:hint="default"/>
      </w:rPr>
    </w:lvl>
    <w:lvl w:ilvl="6" w:tplc="E0CA59D4" w:tentative="1">
      <w:start w:val="1"/>
      <w:numFmt w:val="bullet"/>
      <w:lvlText w:val="•"/>
      <w:lvlJc w:val="left"/>
      <w:pPr>
        <w:tabs>
          <w:tab w:val="num" w:pos="5040"/>
        </w:tabs>
        <w:ind w:left="5040" w:hanging="360"/>
      </w:pPr>
      <w:rPr>
        <w:rFonts w:ascii="Arial" w:hAnsi="Arial" w:hint="default"/>
      </w:rPr>
    </w:lvl>
    <w:lvl w:ilvl="7" w:tplc="94C25178" w:tentative="1">
      <w:start w:val="1"/>
      <w:numFmt w:val="bullet"/>
      <w:lvlText w:val="•"/>
      <w:lvlJc w:val="left"/>
      <w:pPr>
        <w:tabs>
          <w:tab w:val="num" w:pos="5760"/>
        </w:tabs>
        <w:ind w:left="5760" w:hanging="360"/>
      </w:pPr>
      <w:rPr>
        <w:rFonts w:ascii="Arial" w:hAnsi="Arial" w:hint="default"/>
      </w:rPr>
    </w:lvl>
    <w:lvl w:ilvl="8" w:tplc="E8F80758" w:tentative="1">
      <w:start w:val="1"/>
      <w:numFmt w:val="bullet"/>
      <w:lvlText w:val="•"/>
      <w:lvlJc w:val="left"/>
      <w:pPr>
        <w:tabs>
          <w:tab w:val="num" w:pos="6480"/>
        </w:tabs>
        <w:ind w:left="6480" w:hanging="360"/>
      </w:pPr>
      <w:rPr>
        <w:rFonts w:ascii="Arial" w:hAnsi="Arial" w:hint="default"/>
      </w:rPr>
    </w:lvl>
  </w:abstractNum>
  <w:abstractNum w:abstractNumId="13">
    <w:nsid w:val="59B713E6"/>
    <w:multiLevelType w:val="hybridMultilevel"/>
    <w:tmpl w:val="B796AB78"/>
    <w:lvl w:ilvl="0" w:tplc="DFAC4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9056D0"/>
    <w:multiLevelType w:val="multilevel"/>
    <w:tmpl w:val="665A0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EA700F"/>
    <w:multiLevelType w:val="hybridMultilevel"/>
    <w:tmpl w:val="697633E0"/>
    <w:lvl w:ilvl="0" w:tplc="830621E4">
      <w:start w:val="1"/>
      <w:numFmt w:val="decimal"/>
      <w:lvlText w:val="%1)"/>
      <w:lvlJc w:val="left"/>
      <w:pPr>
        <w:tabs>
          <w:tab w:val="num" w:pos="720"/>
        </w:tabs>
        <w:ind w:left="720" w:hanging="360"/>
      </w:pPr>
    </w:lvl>
    <w:lvl w:ilvl="1" w:tplc="A732C4C0" w:tentative="1">
      <w:start w:val="1"/>
      <w:numFmt w:val="decimal"/>
      <w:lvlText w:val="%2)"/>
      <w:lvlJc w:val="left"/>
      <w:pPr>
        <w:tabs>
          <w:tab w:val="num" w:pos="1440"/>
        </w:tabs>
        <w:ind w:left="1440" w:hanging="360"/>
      </w:pPr>
    </w:lvl>
    <w:lvl w:ilvl="2" w:tplc="A85A0570" w:tentative="1">
      <w:start w:val="1"/>
      <w:numFmt w:val="decimal"/>
      <w:lvlText w:val="%3)"/>
      <w:lvlJc w:val="left"/>
      <w:pPr>
        <w:tabs>
          <w:tab w:val="num" w:pos="2160"/>
        </w:tabs>
        <w:ind w:left="2160" w:hanging="360"/>
      </w:pPr>
    </w:lvl>
    <w:lvl w:ilvl="3" w:tplc="FA841C30" w:tentative="1">
      <w:start w:val="1"/>
      <w:numFmt w:val="decimal"/>
      <w:lvlText w:val="%4)"/>
      <w:lvlJc w:val="left"/>
      <w:pPr>
        <w:tabs>
          <w:tab w:val="num" w:pos="2880"/>
        </w:tabs>
        <w:ind w:left="2880" w:hanging="360"/>
      </w:pPr>
    </w:lvl>
    <w:lvl w:ilvl="4" w:tplc="BE402CEA" w:tentative="1">
      <w:start w:val="1"/>
      <w:numFmt w:val="decimal"/>
      <w:lvlText w:val="%5)"/>
      <w:lvlJc w:val="left"/>
      <w:pPr>
        <w:tabs>
          <w:tab w:val="num" w:pos="3600"/>
        </w:tabs>
        <w:ind w:left="3600" w:hanging="360"/>
      </w:pPr>
    </w:lvl>
    <w:lvl w:ilvl="5" w:tplc="9616517A" w:tentative="1">
      <w:start w:val="1"/>
      <w:numFmt w:val="decimal"/>
      <w:lvlText w:val="%6)"/>
      <w:lvlJc w:val="left"/>
      <w:pPr>
        <w:tabs>
          <w:tab w:val="num" w:pos="4320"/>
        </w:tabs>
        <w:ind w:left="4320" w:hanging="360"/>
      </w:pPr>
    </w:lvl>
    <w:lvl w:ilvl="6" w:tplc="4A3AFBF2" w:tentative="1">
      <w:start w:val="1"/>
      <w:numFmt w:val="decimal"/>
      <w:lvlText w:val="%7)"/>
      <w:lvlJc w:val="left"/>
      <w:pPr>
        <w:tabs>
          <w:tab w:val="num" w:pos="5040"/>
        </w:tabs>
        <w:ind w:left="5040" w:hanging="360"/>
      </w:pPr>
    </w:lvl>
    <w:lvl w:ilvl="7" w:tplc="1D6E57DE" w:tentative="1">
      <w:start w:val="1"/>
      <w:numFmt w:val="decimal"/>
      <w:lvlText w:val="%8)"/>
      <w:lvlJc w:val="left"/>
      <w:pPr>
        <w:tabs>
          <w:tab w:val="num" w:pos="5760"/>
        </w:tabs>
        <w:ind w:left="5760" w:hanging="360"/>
      </w:pPr>
    </w:lvl>
    <w:lvl w:ilvl="8" w:tplc="484C0CF8" w:tentative="1">
      <w:start w:val="1"/>
      <w:numFmt w:val="decimal"/>
      <w:lvlText w:val="%9)"/>
      <w:lvlJc w:val="left"/>
      <w:pPr>
        <w:tabs>
          <w:tab w:val="num" w:pos="6480"/>
        </w:tabs>
        <w:ind w:left="6480" w:hanging="360"/>
      </w:pPr>
    </w:lvl>
  </w:abstractNum>
  <w:abstractNum w:abstractNumId="16">
    <w:nsid w:val="735E1FD8"/>
    <w:multiLevelType w:val="hybridMultilevel"/>
    <w:tmpl w:val="AA90F5B4"/>
    <w:lvl w:ilvl="0" w:tplc="AFD40B80">
      <w:start w:val="1"/>
      <w:numFmt w:val="bullet"/>
      <w:lvlText w:val="–"/>
      <w:lvlJc w:val="left"/>
      <w:pPr>
        <w:tabs>
          <w:tab w:val="num" w:pos="720"/>
        </w:tabs>
        <w:ind w:left="720" w:hanging="360"/>
      </w:pPr>
      <w:rPr>
        <w:rFonts w:ascii="Arial" w:hAnsi="Arial" w:hint="default"/>
      </w:rPr>
    </w:lvl>
    <w:lvl w:ilvl="1" w:tplc="B3C2A0F4">
      <w:start w:val="1"/>
      <w:numFmt w:val="bullet"/>
      <w:lvlText w:val="–"/>
      <w:lvlJc w:val="left"/>
      <w:pPr>
        <w:tabs>
          <w:tab w:val="num" w:pos="1440"/>
        </w:tabs>
        <w:ind w:left="1440" w:hanging="360"/>
      </w:pPr>
      <w:rPr>
        <w:rFonts w:ascii="Arial" w:hAnsi="Arial" w:hint="default"/>
      </w:rPr>
    </w:lvl>
    <w:lvl w:ilvl="2" w:tplc="559EF678" w:tentative="1">
      <w:start w:val="1"/>
      <w:numFmt w:val="bullet"/>
      <w:lvlText w:val="–"/>
      <w:lvlJc w:val="left"/>
      <w:pPr>
        <w:tabs>
          <w:tab w:val="num" w:pos="2160"/>
        </w:tabs>
        <w:ind w:left="2160" w:hanging="360"/>
      </w:pPr>
      <w:rPr>
        <w:rFonts w:ascii="Arial" w:hAnsi="Arial" w:hint="default"/>
      </w:rPr>
    </w:lvl>
    <w:lvl w:ilvl="3" w:tplc="F284421A" w:tentative="1">
      <w:start w:val="1"/>
      <w:numFmt w:val="bullet"/>
      <w:lvlText w:val="–"/>
      <w:lvlJc w:val="left"/>
      <w:pPr>
        <w:tabs>
          <w:tab w:val="num" w:pos="2880"/>
        </w:tabs>
        <w:ind w:left="2880" w:hanging="360"/>
      </w:pPr>
      <w:rPr>
        <w:rFonts w:ascii="Arial" w:hAnsi="Arial" w:hint="default"/>
      </w:rPr>
    </w:lvl>
    <w:lvl w:ilvl="4" w:tplc="30347FAE" w:tentative="1">
      <w:start w:val="1"/>
      <w:numFmt w:val="bullet"/>
      <w:lvlText w:val="–"/>
      <w:lvlJc w:val="left"/>
      <w:pPr>
        <w:tabs>
          <w:tab w:val="num" w:pos="3600"/>
        </w:tabs>
        <w:ind w:left="3600" w:hanging="360"/>
      </w:pPr>
      <w:rPr>
        <w:rFonts w:ascii="Arial" w:hAnsi="Arial" w:hint="default"/>
      </w:rPr>
    </w:lvl>
    <w:lvl w:ilvl="5" w:tplc="A0F8B484" w:tentative="1">
      <w:start w:val="1"/>
      <w:numFmt w:val="bullet"/>
      <w:lvlText w:val="–"/>
      <w:lvlJc w:val="left"/>
      <w:pPr>
        <w:tabs>
          <w:tab w:val="num" w:pos="4320"/>
        </w:tabs>
        <w:ind w:left="4320" w:hanging="360"/>
      </w:pPr>
      <w:rPr>
        <w:rFonts w:ascii="Arial" w:hAnsi="Arial" w:hint="default"/>
      </w:rPr>
    </w:lvl>
    <w:lvl w:ilvl="6" w:tplc="D3642220" w:tentative="1">
      <w:start w:val="1"/>
      <w:numFmt w:val="bullet"/>
      <w:lvlText w:val="–"/>
      <w:lvlJc w:val="left"/>
      <w:pPr>
        <w:tabs>
          <w:tab w:val="num" w:pos="5040"/>
        </w:tabs>
        <w:ind w:left="5040" w:hanging="360"/>
      </w:pPr>
      <w:rPr>
        <w:rFonts w:ascii="Arial" w:hAnsi="Arial" w:hint="default"/>
      </w:rPr>
    </w:lvl>
    <w:lvl w:ilvl="7" w:tplc="A5A2C926" w:tentative="1">
      <w:start w:val="1"/>
      <w:numFmt w:val="bullet"/>
      <w:lvlText w:val="–"/>
      <w:lvlJc w:val="left"/>
      <w:pPr>
        <w:tabs>
          <w:tab w:val="num" w:pos="5760"/>
        </w:tabs>
        <w:ind w:left="5760" w:hanging="360"/>
      </w:pPr>
      <w:rPr>
        <w:rFonts w:ascii="Arial" w:hAnsi="Arial" w:hint="default"/>
      </w:rPr>
    </w:lvl>
    <w:lvl w:ilvl="8" w:tplc="57F84AAC" w:tentative="1">
      <w:start w:val="1"/>
      <w:numFmt w:val="bullet"/>
      <w:lvlText w:val="–"/>
      <w:lvlJc w:val="left"/>
      <w:pPr>
        <w:tabs>
          <w:tab w:val="num" w:pos="6480"/>
        </w:tabs>
        <w:ind w:left="6480" w:hanging="360"/>
      </w:pPr>
      <w:rPr>
        <w:rFonts w:ascii="Arial" w:hAnsi="Arial" w:hint="default"/>
      </w:rPr>
    </w:lvl>
  </w:abstractNum>
  <w:abstractNum w:abstractNumId="17">
    <w:nsid w:val="7FDF5B60"/>
    <w:multiLevelType w:val="hybridMultilevel"/>
    <w:tmpl w:val="87D8DE68"/>
    <w:lvl w:ilvl="0" w:tplc="B7C81BB0">
      <w:start w:val="1"/>
      <w:numFmt w:val="bullet"/>
      <w:lvlText w:val="–"/>
      <w:lvlJc w:val="left"/>
      <w:pPr>
        <w:tabs>
          <w:tab w:val="num" w:pos="720"/>
        </w:tabs>
        <w:ind w:left="720" w:hanging="360"/>
      </w:pPr>
      <w:rPr>
        <w:rFonts w:ascii="Arial" w:hAnsi="Arial" w:hint="default"/>
      </w:rPr>
    </w:lvl>
    <w:lvl w:ilvl="1" w:tplc="7D98BC4C">
      <w:start w:val="1"/>
      <w:numFmt w:val="bullet"/>
      <w:lvlText w:val="–"/>
      <w:lvlJc w:val="left"/>
      <w:pPr>
        <w:tabs>
          <w:tab w:val="num" w:pos="1440"/>
        </w:tabs>
        <w:ind w:left="1440" w:hanging="360"/>
      </w:pPr>
      <w:rPr>
        <w:rFonts w:ascii="Arial" w:hAnsi="Arial" w:hint="default"/>
      </w:rPr>
    </w:lvl>
    <w:lvl w:ilvl="2" w:tplc="1F487BF8" w:tentative="1">
      <w:start w:val="1"/>
      <w:numFmt w:val="bullet"/>
      <w:lvlText w:val="–"/>
      <w:lvlJc w:val="left"/>
      <w:pPr>
        <w:tabs>
          <w:tab w:val="num" w:pos="2160"/>
        </w:tabs>
        <w:ind w:left="2160" w:hanging="360"/>
      </w:pPr>
      <w:rPr>
        <w:rFonts w:ascii="Arial" w:hAnsi="Arial" w:hint="default"/>
      </w:rPr>
    </w:lvl>
    <w:lvl w:ilvl="3" w:tplc="63C8490C" w:tentative="1">
      <w:start w:val="1"/>
      <w:numFmt w:val="bullet"/>
      <w:lvlText w:val="–"/>
      <w:lvlJc w:val="left"/>
      <w:pPr>
        <w:tabs>
          <w:tab w:val="num" w:pos="2880"/>
        </w:tabs>
        <w:ind w:left="2880" w:hanging="360"/>
      </w:pPr>
      <w:rPr>
        <w:rFonts w:ascii="Arial" w:hAnsi="Arial" w:hint="default"/>
      </w:rPr>
    </w:lvl>
    <w:lvl w:ilvl="4" w:tplc="C81A2A2E" w:tentative="1">
      <w:start w:val="1"/>
      <w:numFmt w:val="bullet"/>
      <w:lvlText w:val="–"/>
      <w:lvlJc w:val="left"/>
      <w:pPr>
        <w:tabs>
          <w:tab w:val="num" w:pos="3600"/>
        </w:tabs>
        <w:ind w:left="3600" w:hanging="360"/>
      </w:pPr>
      <w:rPr>
        <w:rFonts w:ascii="Arial" w:hAnsi="Arial" w:hint="default"/>
      </w:rPr>
    </w:lvl>
    <w:lvl w:ilvl="5" w:tplc="86866DB2" w:tentative="1">
      <w:start w:val="1"/>
      <w:numFmt w:val="bullet"/>
      <w:lvlText w:val="–"/>
      <w:lvlJc w:val="left"/>
      <w:pPr>
        <w:tabs>
          <w:tab w:val="num" w:pos="4320"/>
        </w:tabs>
        <w:ind w:left="4320" w:hanging="360"/>
      </w:pPr>
      <w:rPr>
        <w:rFonts w:ascii="Arial" w:hAnsi="Arial" w:hint="default"/>
      </w:rPr>
    </w:lvl>
    <w:lvl w:ilvl="6" w:tplc="B6BE07E8" w:tentative="1">
      <w:start w:val="1"/>
      <w:numFmt w:val="bullet"/>
      <w:lvlText w:val="–"/>
      <w:lvlJc w:val="left"/>
      <w:pPr>
        <w:tabs>
          <w:tab w:val="num" w:pos="5040"/>
        </w:tabs>
        <w:ind w:left="5040" w:hanging="360"/>
      </w:pPr>
      <w:rPr>
        <w:rFonts w:ascii="Arial" w:hAnsi="Arial" w:hint="default"/>
      </w:rPr>
    </w:lvl>
    <w:lvl w:ilvl="7" w:tplc="A24A8C88" w:tentative="1">
      <w:start w:val="1"/>
      <w:numFmt w:val="bullet"/>
      <w:lvlText w:val="–"/>
      <w:lvlJc w:val="left"/>
      <w:pPr>
        <w:tabs>
          <w:tab w:val="num" w:pos="5760"/>
        </w:tabs>
        <w:ind w:left="5760" w:hanging="360"/>
      </w:pPr>
      <w:rPr>
        <w:rFonts w:ascii="Arial" w:hAnsi="Arial" w:hint="default"/>
      </w:rPr>
    </w:lvl>
    <w:lvl w:ilvl="8" w:tplc="E82C62E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0"/>
  </w:num>
  <w:num w:numId="4">
    <w:abstractNumId w:val="1"/>
  </w:num>
  <w:num w:numId="5">
    <w:abstractNumId w:val="16"/>
  </w:num>
  <w:num w:numId="6">
    <w:abstractNumId w:val="15"/>
  </w:num>
  <w:num w:numId="7">
    <w:abstractNumId w:val="17"/>
  </w:num>
  <w:num w:numId="8">
    <w:abstractNumId w:val="12"/>
  </w:num>
  <w:num w:numId="9">
    <w:abstractNumId w:val="7"/>
  </w:num>
  <w:num w:numId="10">
    <w:abstractNumId w:val="3"/>
  </w:num>
  <w:num w:numId="11">
    <w:abstractNumId w:val="8"/>
  </w:num>
  <w:num w:numId="12">
    <w:abstractNumId w:val="2"/>
  </w:num>
  <w:num w:numId="13">
    <w:abstractNumId w:val="5"/>
  </w:num>
  <w:num w:numId="14">
    <w:abstractNumId w:val="9"/>
  </w:num>
  <w:num w:numId="15">
    <w:abstractNumId w:val="10"/>
  </w:num>
  <w:num w:numId="16">
    <w:abstractNumId w:val="14"/>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B7"/>
    <w:rsid w:val="00000025"/>
    <w:rsid w:val="00000191"/>
    <w:rsid w:val="000007DF"/>
    <w:rsid w:val="00000AC3"/>
    <w:rsid w:val="00000ECC"/>
    <w:rsid w:val="00002423"/>
    <w:rsid w:val="00002A26"/>
    <w:rsid w:val="00003070"/>
    <w:rsid w:val="0000344F"/>
    <w:rsid w:val="000036B8"/>
    <w:rsid w:val="00003FE7"/>
    <w:rsid w:val="000043EB"/>
    <w:rsid w:val="0000481C"/>
    <w:rsid w:val="00004B84"/>
    <w:rsid w:val="00005657"/>
    <w:rsid w:val="00005F28"/>
    <w:rsid w:val="0000629E"/>
    <w:rsid w:val="000067A4"/>
    <w:rsid w:val="00006AB6"/>
    <w:rsid w:val="0000756C"/>
    <w:rsid w:val="00007F06"/>
    <w:rsid w:val="000110DE"/>
    <w:rsid w:val="000112D4"/>
    <w:rsid w:val="00011CB9"/>
    <w:rsid w:val="00011CFF"/>
    <w:rsid w:val="0001227B"/>
    <w:rsid w:val="0001271C"/>
    <w:rsid w:val="00012A4C"/>
    <w:rsid w:val="00012A7A"/>
    <w:rsid w:val="00013045"/>
    <w:rsid w:val="000132FB"/>
    <w:rsid w:val="0001379F"/>
    <w:rsid w:val="00013D79"/>
    <w:rsid w:val="00014171"/>
    <w:rsid w:val="00014985"/>
    <w:rsid w:val="00015F67"/>
    <w:rsid w:val="00016199"/>
    <w:rsid w:val="0001732E"/>
    <w:rsid w:val="00017623"/>
    <w:rsid w:val="00017639"/>
    <w:rsid w:val="00017BE0"/>
    <w:rsid w:val="0002030C"/>
    <w:rsid w:val="00020324"/>
    <w:rsid w:val="00020EBE"/>
    <w:rsid w:val="00020F13"/>
    <w:rsid w:val="000214C2"/>
    <w:rsid w:val="00022A4C"/>
    <w:rsid w:val="000230DC"/>
    <w:rsid w:val="00023231"/>
    <w:rsid w:val="000233C0"/>
    <w:rsid w:val="00023AF2"/>
    <w:rsid w:val="00024952"/>
    <w:rsid w:val="00024BC0"/>
    <w:rsid w:val="00025838"/>
    <w:rsid w:val="00025F07"/>
    <w:rsid w:val="000263FA"/>
    <w:rsid w:val="0002724B"/>
    <w:rsid w:val="0002744D"/>
    <w:rsid w:val="000303C3"/>
    <w:rsid w:val="0003072B"/>
    <w:rsid w:val="00030AB3"/>
    <w:rsid w:val="00031549"/>
    <w:rsid w:val="00031E7F"/>
    <w:rsid w:val="00032170"/>
    <w:rsid w:val="000327BE"/>
    <w:rsid w:val="000336D9"/>
    <w:rsid w:val="00033F29"/>
    <w:rsid w:val="000346BC"/>
    <w:rsid w:val="000348C1"/>
    <w:rsid w:val="00035585"/>
    <w:rsid w:val="00035890"/>
    <w:rsid w:val="00035BE4"/>
    <w:rsid w:val="00036C38"/>
    <w:rsid w:val="00040253"/>
    <w:rsid w:val="0004032B"/>
    <w:rsid w:val="000405C5"/>
    <w:rsid w:val="0004076C"/>
    <w:rsid w:val="00041491"/>
    <w:rsid w:val="00042229"/>
    <w:rsid w:val="000423EF"/>
    <w:rsid w:val="00044497"/>
    <w:rsid w:val="000464F7"/>
    <w:rsid w:val="00046937"/>
    <w:rsid w:val="00046ACB"/>
    <w:rsid w:val="000477F1"/>
    <w:rsid w:val="00047A55"/>
    <w:rsid w:val="00047D5E"/>
    <w:rsid w:val="00050945"/>
    <w:rsid w:val="00051215"/>
    <w:rsid w:val="000517CC"/>
    <w:rsid w:val="00052021"/>
    <w:rsid w:val="00052995"/>
    <w:rsid w:val="00052F7A"/>
    <w:rsid w:val="000533C0"/>
    <w:rsid w:val="000534A2"/>
    <w:rsid w:val="00053539"/>
    <w:rsid w:val="000537D9"/>
    <w:rsid w:val="00053A5B"/>
    <w:rsid w:val="00053B1B"/>
    <w:rsid w:val="00054125"/>
    <w:rsid w:val="00055741"/>
    <w:rsid w:val="0005640B"/>
    <w:rsid w:val="00056991"/>
    <w:rsid w:val="00056C3B"/>
    <w:rsid w:val="00056CE1"/>
    <w:rsid w:val="000575F2"/>
    <w:rsid w:val="00057EA3"/>
    <w:rsid w:val="000613C9"/>
    <w:rsid w:val="00061682"/>
    <w:rsid w:val="00061715"/>
    <w:rsid w:val="00062009"/>
    <w:rsid w:val="000630BF"/>
    <w:rsid w:val="00063D3D"/>
    <w:rsid w:val="00064A71"/>
    <w:rsid w:val="00064B59"/>
    <w:rsid w:val="00064E06"/>
    <w:rsid w:val="00067089"/>
    <w:rsid w:val="00067F92"/>
    <w:rsid w:val="000708D4"/>
    <w:rsid w:val="00072839"/>
    <w:rsid w:val="00072DB8"/>
    <w:rsid w:val="00072F38"/>
    <w:rsid w:val="000735D4"/>
    <w:rsid w:val="00073600"/>
    <w:rsid w:val="00073865"/>
    <w:rsid w:val="00073A68"/>
    <w:rsid w:val="00074695"/>
    <w:rsid w:val="00075779"/>
    <w:rsid w:val="000757CF"/>
    <w:rsid w:val="00075C75"/>
    <w:rsid w:val="00075E27"/>
    <w:rsid w:val="0007617D"/>
    <w:rsid w:val="00076235"/>
    <w:rsid w:val="0007763D"/>
    <w:rsid w:val="00080771"/>
    <w:rsid w:val="00080927"/>
    <w:rsid w:val="00080CF6"/>
    <w:rsid w:val="00081006"/>
    <w:rsid w:val="000815D0"/>
    <w:rsid w:val="00081B15"/>
    <w:rsid w:val="00082021"/>
    <w:rsid w:val="0008362C"/>
    <w:rsid w:val="000836F5"/>
    <w:rsid w:val="000838CB"/>
    <w:rsid w:val="000839F6"/>
    <w:rsid w:val="000840B6"/>
    <w:rsid w:val="00084C94"/>
    <w:rsid w:val="00084FB8"/>
    <w:rsid w:val="000850DC"/>
    <w:rsid w:val="00086E99"/>
    <w:rsid w:val="000877E7"/>
    <w:rsid w:val="000879C6"/>
    <w:rsid w:val="00091405"/>
    <w:rsid w:val="000915FD"/>
    <w:rsid w:val="0009194D"/>
    <w:rsid w:val="0009212C"/>
    <w:rsid w:val="0009256E"/>
    <w:rsid w:val="00093B41"/>
    <w:rsid w:val="00093F50"/>
    <w:rsid w:val="0009453A"/>
    <w:rsid w:val="0009568E"/>
    <w:rsid w:val="0009634F"/>
    <w:rsid w:val="000963ED"/>
    <w:rsid w:val="00096748"/>
    <w:rsid w:val="00096B62"/>
    <w:rsid w:val="00096B68"/>
    <w:rsid w:val="000970A5"/>
    <w:rsid w:val="000A0019"/>
    <w:rsid w:val="000A044D"/>
    <w:rsid w:val="000A1AB4"/>
    <w:rsid w:val="000A1B03"/>
    <w:rsid w:val="000A22BA"/>
    <w:rsid w:val="000A234A"/>
    <w:rsid w:val="000A2888"/>
    <w:rsid w:val="000A2BBB"/>
    <w:rsid w:val="000A2C73"/>
    <w:rsid w:val="000A31FC"/>
    <w:rsid w:val="000A3AB5"/>
    <w:rsid w:val="000A4740"/>
    <w:rsid w:val="000A4E1C"/>
    <w:rsid w:val="000A4F8D"/>
    <w:rsid w:val="000A5D6F"/>
    <w:rsid w:val="000B105C"/>
    <w:rsid w:val="000B22C7"/>
    <w:rsid w:val="000B293C"/>
    <w:rsid w:val="000B2BCA"/>
    <w:rsid w:val="000B32AA"/>
    <w:rsid w:val="000B3345"/>
    <w:rsid w:val="000B3731"/>
    <w:rsid w:val="000B482B"/>
    <w:rsid w:val="000B5340"/>
    <w:rsid w:val="000B5D81"/>
    <w:rsid w:val="000B5FCF"/>
    <w:rsid w:val="000B69CE"/>
    <w:rsid w:val="000B6D84"/>
    <w:rsid w:val="000B75FF"/>
    <w:rsid w:val="000B78C1"/>
    <w:rsid w:val="000C0E72"/>
    <w:rsid w:val="000C10E6"/>
    <w:rsid w:val="000C1576"/>
    <w:rsid w:val="000C1D73"/>
    <w:rsid w:val="000C1DA4"/>
    <w:rsid w:val="000C212F"/>
    <w:rsid w:val="000C23AD"/>
    <w:rsid w:val="000C2CF7"/>
    <w:rsid w:val="000C2F79"/>
    <w:rsid w:val="000C3D54"/>
    <w:rsid w:val="000C4016"/>
    <w:rsid w:val="000C4286"/>
    <w:rsid w:val="000C4CDA"/>
    <w:rsid w:val="000C4D0C"/>
    <w:rsid w:val="000C4D2B"/>
    <w:rsid w:val="000C5DB9"/>
    <w:rsid w:val="000C6100"/>
    <w:rsid w:val="000C610D"/>
    <w:rsid w:val="000C6792"/>
    <w:rsid w:val="000C6A58"/>
    <w:rsid w:val="000C6A6B"/>
    <w:rsid w:val="000C6DBC"/>
    <w:rsid w:val="000C73C4"/>
    <w:rsid w:val="000C7813"/>
    <w:rsid w:val="000D1B49"/>
    <w:rsid w:val="000D2172"/>
    <w:rsid w:val="000D2179"/>
    <w:rsid w:val="000D253F"/>
    <w:rsid w:val="000D25FF"/>
    <w:rsid w:val="000D26B3"/>
    <w:rsid w:val="000D274B"/>
    <w:rsid w:val="000D3851"/>
    <w:rsid w:val="000D3EDD"/>
    <w:rsid w:val="000D3F41"/>
    <w:rsid w:val="000D488F"/>
    <w:rsid w:val="000D49D7"/>
    <w:rsid w:val="000D4C2A"/>
    <w:rsid w:val="000D4C3C"/>
    <w:rsid w:val="000D5183"/>
    <w:rsid w:val="000D51E2"/>
    <w:rsid w:val="000D576C"/>
    <w:rsid w:val="000D582E"/>
    <w:rsid w:val="000D6734"/>
    <w:rsid w:val="000D6ECD"/>
    <w:rsid w:val="000D709D"/>
    <w:rsid w:val="000D72C2"/>
    <w:rsid w:val="000E0712"/>
    <w:rsid w:val="000E0E12"/>
    <w:rsid w:val="000E13C1"/>
    <w:rsid w:val="000E1A49"/>
    <w:rsid w:val="000E207C"/>
    <w:rsid w:val="000E22B0"/>
    <w:rsid w:val="000E2512"/>
    <w:rsid w:val="000E2557"/>
    <w:rsid w:val="000E2808"/>
    <w:rsid w:val="000E309A"/>
    <w:rsid w:val="000E3902"/>
    <w:rsid w:val="000E40A8"/>
    <w:rsid w:val="000E466D"/>
    <w:rsid w:val="000E476C"/>
    <w:rsid w:val="000E5D2B"/>
    <w:rsid w:val="000E63CD"/>
    <w:rsid w:val="000E7336"/>
    <w:rsid w:val="000E77BB"/>
    <w:rsid w:val="000E7D55"/>
    <w:rsid w:val="000E7E2D"/>
    <w:rsid w:val="000E7ED2"/>
    <w:rsid w:val="000F0257"/>
    <w:rsid w:val="000F085F"/>
    <w:rsid w:val="000F0EC8"/>
    <w:rsid w:val="000F14F6"/>
    <w:rsid w:val="000F1A90"/>
    <w:rsid w:val="000F1DF8"/>
    <w:rsid w:val="000F2D67"/>
    <w:rsid w:val="000F4650"/>
    <w:rsid w:val="000F4758"/>
    <w:rsid w:val="000F4AEA"/>
    <w:rsid w:val="000F4D6A"/>
    <w:rsid w:val="000F500A"/>
    <w:rsid w:val="000F5441"/>
    <w:rsid w:val="000F58A5"/>
    <w:rsid w:val="000F61CE"/>
    <w:rsid w:val="000F6940"/>
    <w:rsid w:val="000F7D3E"/>
    <w:rsid w:val="00100657"/>
    <w:rsid w:val="001006D9"/>
    <w:rsid w:val="00101DC7"/>
    <w:rsid w:val="0010214B"/>
    <w:rsid w:val="00102344"/>
    <w:rsid w:val="001025E5"/>
    <w:rsid w:val="001034AB"/>
    <w:rsid w:val="001039CC"/>
    <w:rsid w:val="00104A83"/>
    <w:rsid w:val="00105A89"/>
    <w:rsid w:val="00105E96"/>
    <w:rsid w:val="0010652B"/>
    <w:rsid w:val="00106DED"/>
    <w:rsid w:val="0010744F"/>
    <w:rsid w:val="0010753E"/>
    <w:rsid w:val="001079EE"/>
    <w:rsid w:val="00107EAE"/>
    <w:rsid w:val="0011131F"/>
    <w:rsid w:val="00111BBA"/>
    <w:rsid w:val="00111FBA"/>
    <w:rsid w:val="00111FC0"/>
    <w:rsid w:val="001123B8"/>
    <w:rsid w:val="00112B87"/>
    <w:rsid w:val="00112FBF"/>
    <w:rsid w:val="00113CE5"/>
    <w:rsid w:val="00113E1A"/>
    <w:rsid w:val="00116EB0"/>
    <w:rsid w:val="001179CC"/>
    <w:rsid w:val="00117B29"/>
    <w:rsid w:val="001204C6"/>
    <w:rsid w:val="001208F6"/>
    <w:rsid w:val="00121234"/>
    <w:rsid w:val="00121D74"/>
    <w:rsid w:val="00121D7A"/>
    <w:rsid w:val="001229A9"/>
    <w:rsid w:val="001229E1"/>
    <w:rsid w:val="00123B11"/>
    <w:rsid w:val="00124112"/>
    <w:rsid w:val="0012509F"/>
    <w:rsid w:val="00125B52"/>
    <w:rsid w:val="00125F8D"/>
    <w:rsid w:val="00126057"/>
    <w:rsid w:val="00126A6F"/>
    <w:rsid w:val="00127287"/>
    <w:rsid w:val="00127478"/>
    <w:rsid w:val="00127C51"/>
    <w:rsid w:val="00127C72"/>
    <w:rsid w:val="00130757"/>
    <w:rsid w:val="00130AE0"/>
    <w:rsid w:val="00131810"/>
    <w:rsid w:val="00132C25"/>
    <w:rsid w:val="00132C3F"/>
    <w:rsid w:val="00132ED7"/>
    <w:rsid w:val="00133111"/>
    <w:rsid w:val="0013508A"/>
    <w:rsid w:val="001353BE"/>
    <w:rsid w:val="00136297"/>
    <w:rsid w:val="00136335"/>
    <w:rsid w:val="00136594"/>
    <w:rsid w:val="00137118"/>
    <w:rsid w:val="001372EA"/>
    <w:rsid w:val="001375AE"/>
    <w:rsid w:val="00137B5B"/>
    <w:rsid w:val="00137ECE"/>
    <w:rsid w:val="0014048A"/>
    <w:rsid w:val="0014055F"/>
    <w:rsid w:val="001406B8"/>
    <w:rsid w:val="00141705"/>
    <w:rsid w:val="00142486"/>
    <w:rsid w:val="001440FE"/>
    <w:rsid w:val="00144C27"/>
    <w:rsid w:val="00147EF2"/>
    <w:rsid w:val="0015042C"/>
    <w:rsid w:val="00150D40"/>
    <w:rsid w:val="00151A08"/>
    <w:rsid w:val="00151C63"/>
    <w:rsid w:val="00151C87"/>
    <w:rsid w:val="00152472"/>
    <w:rsid w:val="00153205"/>
    <w:rsid w:val="001532B9"/>
    <w:rsid w:val="001542E8"/>
    <w:rsid w:val="00154604"/>
    <w:rsid w:val="0015470A"/>
    <w:rsid w:val="00154E95"/>
    <w:rsid w:val="00154FF4"/>
    <w:rsid w:val="001557E0"/>
    <w:rsid w:val="00155928"/>
    <w:rsid w:val="00155EE4"/>
    <w:rsid w:val="00155F2E"/>
    <w:rsid w:val="0015614A"/>
    <w:rsid w:val="00156186"/>
    <w:rsid w:val="001563F5"/>
    <w:rsid w:val="0015750D"/>
    <w:rsid w:val="00157DC9"/>
    <w:rsid w:val="0016022B"/>
    <w:rsid w:val="0016078E"/>
    <w:rsid w:val="00160D6E"/>
    <w:rsid w:val="0016105E"/>
    <w:rsid w:val="001624B5"/>
    <w:rsid w:val="001624EE"/>
    <w:rsid w:val="00163009"/>
    <w:rsid w:val="00163026"/>
    <w:rsid w:val="001649C5"/>
    <w:rsid w:val="00164EAA"/>
    <w:rsid w:val="00165862"/>
    <w:rsid w:val="001658B8"/>
    <w:rsid w:val="00165D05"/>
    <w:rsid w:val="00165F3B"/>
    <w:rsid w:val="001667B5"/>
    <w:rsid w:val="00166CE7"/>
    <w:rsid w:val="001673CD"/>
    <w:rsid w:val="001677A2"/>
    <w:rsid w:val="00167FFA"/>
    <w:rsid w:val="001709CC"/>
    <w:rsid w:val="00170CA1"/>
    <w:rsid w:val="00170DAC"/>
    <w:rsid w:val="00171880"/>
    <w:rsid w:val="001729D2"/>
    <w:rsid w:val="001732AE"/>
    <w:rsid w:val="001734A5"/>
    <w:rsid w:val="00173C00"/>
    <w:rsid w:val="00173FBF"/>
    <w:rsid w:val="001761B9"/>
    <w:rsid w:val="001765B1"/>
    <w:rsid w:val="00176BC9"/>
    <w:rsid w:val="0017712D"/>
    <w:rsid w:val="00177486"/>
    <w:rsid w:val="0017777D"/>
    <w:rsid w:val="00180BCD"/>
    <w:rsid w:val="00180CA8"/>
    <w:rsid w:val="00180DAE"/>
    <w:rsid w:val="00181141"/>
    <w:rsid w:val="0018138D"/>
    <w:rsid w:val="001813EF"/>
    <w:rsid w:val="00182EC4"/>
    <w:rsid w:val="001834A5"/>
    <w:rsid w:val="00183B74"/>
    <w:rsid w:val="00183E10"/>
    <w:rsid w:val="0018433C"/>
    <w:rsid w:val="00184809"/>
    <w:rsid w:val="00184F30"/>
    <w:rsid w:val="001855AF"/>
    <w:rsid w:val="00185F43"/>
    <w:rsid w:val="0019023B"/>
    <w:rsid w:val="0019077F"/>
    <w:rsid w:val="00190A72"/>
    <w:rsid w:val="001911D2"/>
    <w:rsid w:val="00191AF4"/>
    <w:rsid w:val="00191C37"/>
    <w:rsid w:val="00192080"/>
    <w:rsid w:val="001928D5"/>
    <w:rsid w:val="0019349A"/>
    <w:rsid w:val="0019392A"/>
    <w:rsid w:val="00193C5B"/>
    <w:rsid w:val="00194883"/>
    <w:rsid w:val="00194F3A"/>
    <w:rsid w:val="001954C8"/>
    <w:rsid w:val="00195C45"/>
    <w:rsid w:val="00196009"/>
    <w:rsid w:val="001969B4"/>
    <w:rsid w:val="001975D5"/>
    <w:rsid w:val="00197E9F"/>
    <w:rsid w:val="00197F92"/>
    <w:rsid w:val="001A1E59"/>
    <w:rsid w:val="001A2243"/>
    <w:rsid w:val="001A34C7"/>
    <w:rsid w:val="001A3602"/>
    <w:rsid w:val="001A39D6"/>
    <w:rsid w:val="001A518A"/>
    <w:rsid w:val="001A5FEA"/>
    <w:rsid w:val="001A6CA5"/>
    <w:rsid w:val="001A7D73"/>
    <w:rsid w:val="001B0233"/>
    <w:rsid w:val="001B108B"/>
    <w:rsid w:val="001B1D17"/>
    <w:rsid w:val="001B2016"/>
    <w:rsid w:val="001B335F"/>
    <w:rsid w:val="001B37A8"/>
    <w:rsid w:val="001B3E29"/>
    <w:rsid w:val="001B4242"/>
    <w:rsid w:val="001B428A"/>
    <w:rsid w:val="001B5064"/>
    <w:rsid w:val="001B547C"/>
    <w:rsid w:val="001B57D0"/>
    <w:rsid w:val="001B6109"/>
    <w:rsid w:val="001B625D"/>
    <w:rsid w:val="001B6517"/>
    <w:rsid w:val="001B6B32"/>
    <w:rsid w:val="001B7B33"/>
    <w:rsid w:val="001C04EC"/>
    <w:rsid w:val="001C061E"/>
    <w:rsid w:val="001C072A"/>
    <w:rsid w:val="001C1482"/>
    <w:rsid w:val="001C1855"/>
    <w:rsid w:val="001C1902"/>
    <w:rsid w:val="001C1D37"/>
    <w:rsid w:val="001C2D0B"/>
    <w:rsid w:val="001C50C2"/>
    <w:rsid w:val="001C53FA"/>
    <w:rsid w:val="001C55F7"/>
    <w:rsid w:val="001C5D69"/>
    <w:rsid w:val="001C6614"/>
    <w:rsid w:val="001C67D2"/>
    <w:rsid w:val="001C6D64"/>
    <w:rsid w:val="001C70E0"/>
    <w:rsid w:val="001C7271"/>
    <w:rsid w:val="001C7387"/>
    <w:rsid w:val="001D0110"/>
    <w:rsid w:val="001D0563"/>
    <w:rsid w:val="001D0C6A"/>
    <w:rsid w:val="001D0F5B"/>
    <w:rsid w:val="001D1073"/>
    <w:rsid w:val="001D18D5"/>
    <w:rsid w:val="001D1F20"/>
    <w:rsid w:val="001D1F9F"/>
    <w:rsid w:val="001D2ADB"/>
    <w:rsid w:val="001D2FF2"/>
    <w:rsid w:val="001D3308"/>
    <w:rsid w:val="001D344B"/>
    <w:rsid w:val="001D350D"/>
    <w:rsid w:val="001D3DC3"/>
    <w:rsid w:val="001D49C0"/>
    <w:rsid w:val="001D50B1"/>
    <w:rsid w:val="001D5C03"/>
    <w:rsid w:val="001D5F01"/>
    <w:rsid w:val="001D6252"/>
    <w:rsid w:val="001D62F4"/>
    <w:rsid w:val="001D6426"/>
    <w:rsid w:val="001D7019"/>
    <w:rsid w:val="001D7B57"/>
    <w:rsid w:val="001D7D52"/>
    <w:rsid w:val="001E02F1"/>
    <w:rsid w:val="001E0345"/>
    <w:rsid w:val="001E0F65"/>
    <w:rsid w:val="001E11DF"/>
    <w:rsid w:val="001E133E"/>
    <w:rsid w:val="001E2605"/>
    <w:rsid w:val="001E4704"/>
    <w:rsid w:val="001E5792"/>
    <w:rsid w:val="001E5E07"/>
    <w:rsid w:val="001E5E7A"/>
    <w:rsid w:val="001E6CFE"/>
    <w:rsid w:val="001F0008"/>
    <w:rsid w:val="001F1CB6"/>
    <w:rsid w:val="001F25E1"/>
    <w:rsid w:val="001F265C"/>
    <w:rsid w:val="001F29E1"/>
    <w:rsid w:val="001F332B"/>
    <w:rsid w:val="001F3B2B"/>
    <w:rsid w:val="001F3D6E"/>
    <w:rsid w:val="001F4B1C"/>
    <w:rsid w:val="001F4F36"/>
    <w:rsid w:val="001F5C9B"/>
    <w:rsid w:val="001F614F"/>
    <w:rsid w:val="001F6173"/>
    <w:rsid w:val="001F633B"/>
    <w:rsid w:val="001F6C8E"/>
    <w:rsid w:val="001F79E3"/>
    <w:rsid w:val="001F7AB5"/>
    <w:rsid w:val="001F7D22"/>
    <w:rsid w:val="002006EB"/>
    <w:rsid w:val="00200F5B"/>
    <w:rsid w:val="00201979"/>
    <w:rsid w:val="00202712"/>
    <w:rsid w:val="002038AD"/>
    <w:rsid w:val="0020434A"/>
    <w:rsid w:val="0020464B"/>
    <w:rsid w:val="00204AEE"/>
    <w:rsid w:val="00205228"/>
    <w:rsid w:val="00205498"/>
    <w:rsid w:val="00205820"/>
    <w:rsid w:val="002058CA"/>
    <w:rsid w:val="002058E5"/>
    <w:rsid w:val="002065FC"/>
    <w:rsid w:val="00206964"/>
    <w:rsid w:val="00207664"/>
    <w:rsid w:val="002078B0"/>
    <w:rsid w:val="00207B2B"/>
    <w:rsid w:val="002102D3"/>
    <w:rsid w:val="00210A1A"/>
    <w:rsid w:val="00210A38"/>
    <w:rsid w:val="00211CF0"/>
    <w:rsid w:val="002129BA"/>
    <w:rsid w:val="00212A48"/>
    <w:rsid w:val="002137B1"/>
    <w:rsid w:val="00213936"/>
    <w:rsid w:val="00213AFF"/>
    <w:rsid w:val="00213C47"/>
    <w:rsid w:val="00214CBC"/>
    <w:rsid w:val="0021552B"/>
    <w:rsid w:val="0021553D"/>
    <w:rsid w:val="0021588D"/>
    <w:rsid w:val="00215DFA"/>
    <w:rsid w:val="002163C8"/>
    <w:rsid w:val="00216A20"/>
    <w:rsid w:val="00216F27"/>
    <w:rsid w:val="00217EAB"/>
    <w:rsid w:val="00220306"/>
    <w:rsid w:val="00220690"/>
    <w:rsid w:val="00220F27"/>
    <w:rsid w:val="00220F61"/>
    <w:rsid w:val="00221805"/>
    <w:rsid w:val="00221DA3"/>
    <w:rsid w:val="00222271"/>
    <w:rsid w:val="0022232E"/>
    <w:rsid w:val="00222402"/>
    <w:rsid w:val="002231DE"/>
    <w:rsid w:val="00223541"/>
    <w:rsid w:val="00223866"/>
    <w:rsid w:val="00223C47"/>
    <w:rsid w:val="00223FD6"/>
    <w:rsid w:val="0022462C"/>
    <w:rsid w:val="00224E66"/>
    <w:rsid w:val="00225985"/>
    <w:rsid w:val="00227441"/>
    <w:rsid w:val="0023013D"/>
    <w:rsid w:val="00230345"/>
    <w:rsid w:val="0023061E"/>
    <w:rsid w:val="00230EE6"/>
    <w:rsid w:val="0023197F"/>
    <w:rsid w:val="00231A6D"/>
    <w:rsid w:val="0023213C"/>
    <w:rsid w:val="0023233D"/>
    <w:rsid w:val="002327D9"/>
    <w:rsid w:val="00232FEF"/>
    <w:rsid w:val="0023373A"/>
    <w:rsid w:val="002337E4"/>
    <w:rsid w:val="00234594"/>
    <w:rsid w:val="00234773"/>
    <w:rsid w:val="002351FC"/>
    <w:rsid w:val="002353F0"/>
    <w:rsid w:val="00235B66"/>
    <w:rsid w:val="00235EA4"/>
    <w:rsid w:val="00235EFF"/>
    <w:rsid w:val="00235FE5"/>
    <w:rsid w:val="00236266"/>
    <w:rsid w:val="00237020"/>
    <w:rsid w:val="002373E4"/>
    <w:rsid w:val="00237C84"/>
    <w:rsid w:val="00240580"/>
    <w:rsid w:val="0024064B"/>
    <w:rsid w:val="00240D87"/>
    <w:rsid w:val="0024106C"/>
    <w:rsid w:val="002417B9"/>
    <w:rsid w:val="00241A1E"/>
    <w:rsid w:val="00241BA4"/>
    <w:rsid w:val="00242346"/>
    <w:rsid w:val="00242F05"/>
    <w:rsid w:val="00243089"/>
    <w:rsid w:val="00243881"/>
    <w:rsid w:val="00243FAC"/>
    <w:rsid w:val="00244133"/>
    <w:rsid w:val="002448FA"/>
    <w:rsid w:val="00245CBC"/>
    <w:rsid w:val="0024612C"/>
    <w:rsid w:val="002464FE"/>
    <w:rsid w:val="00246F40"/>
    <w:rsid w:val="002475E9"/>
    <w:rsid w:val="00250761"/>
    <w:rsid w:val="002507F2"/>
    <w:rsid w:val="00250921"/>
    <w:rsid w:val="00250EFD"/>
    <w:rsid w:val="00251362"/>
    <w:rsid w:val="00252EE2"/>
    <w:rsid w:val="00253206"/>
    <w:rsid w:val="00253392"/>
    <w:rsid w:val="002548AA"/>
    <w:rsid w:val="002550DA"/>
    <w:rsid w:val="002554DF"/>
    <w:rsid w:val="00255F05"/>
    <w:rsid w:val="002560B1"/>
    <w:rsid w:val="002561E9"/>
    <w:rsid w:val="00256BC7"/>
    <w:rsid w:val="00256DF7"/>
    <w:rsid w:val="00257BDE"/>
    <w:rsid w:val="00257E4F"/>
    <w:rsid w:val="002606AD"/>
    <w:rsid w:val="002609C3"/>
    <w:rsid w:val="00260B3E"/>
    <w:rsid w:val="00262132"/>
    <w:rsid w:val="00262676"/>
    <w:rsid w:val="0026285E"/>
    <w:rsid w:val="00264143"/>
    <w:rsid w:val="00264C26"/>
    <w:rsid w:val="00264F76"/>
    <w:rsid w:val="00266410"/>
    <w:rsid w:val="00266544"/>
    <w:rsid w:val="002666BA"/>
    <w:rsid w:val="0026692E"/>
    <w:rsid w:val="002673C9"/>
    <w:rsid w:val="00267A74"/>
    <w:rsid w:val="00270084"/>
    <w:rsid w:val="00270419"/>
    <w:rsid w:val="0027051F"/>
    <w:rsid w:val="0027056F"/>
    <w:rsid w:val="00270689"/>
    <w:rsid w:val="002708C3"/>
    <w:rsid w:val="00271EFA"/>
    <w:rsid w:val="00273DAF"/>
    <w:rsid w:val="0027455D"/>
    <w:rsid w:val="0027462F"/>
    <w:rsid w:val="00274A08"/>
    <w:rsid w:val="00275146"/>
    <w:rsid w:val="00275BA9"/>
    <w:rsid w:val="00275E7F"/>
    <w:rsid w:val="002765F3"/>
    <w:rsid w:val="0027681A"/>
    <w:rsid w:val="0027685D"/>
    <w:rsid w:val="00276D74"/>
    <w:rsid w:val="00277E7E"/>
    <w:rsid w:val="00282404"/>
    <w:rsid w:val="002825A8"/>
    <w:rsid w:val="00282800"/>
    <w:rsid w:val="00282B56"/>
    <w:rsid w:val="00282E07"/>
    <w:rsid w:val="00283555"/>
    <w:rsid w:val="00283E36"/>
    <w:rsid w:val="00284808"/>
    <w:rsid w:val="002850AD"/>
    <w:rsid w:val="00285723"/>
    <w:rsid w:val="002862E9"/>
    <w:rsid w:val="002864B0"/>
    <w:rsid w:val="00286C78"/>
    <w:rsid w:val="00287829"/>
    <w:rsid w:val="00290557"/>
    <w:rsid w:val="00292675"/>
    <w:rsid w:val="00293080"/>
    <w:rsid w:val="00293253"/>
    <w:rsid w:val="00293CAB"/>
    <w:rsid w:val="00293CE2"/>
    <w:rsid w:val="002940A4"/>
    <w:rsid w:val="002946C9"/>
    <w:rsid w:val="00294C6C"/>
    <w:rsid w:val="002950B9"/>
    <w:rsid w:val="00295C9A"/>
    <w:rsid w:val="00295D5F"/>
    <w:rsid w:val="002961DD"/>
    <w:rsid w:val="002965BF"/>
    <w:rsid w:val="00296757"/>
    <w:rsid w:val="00296862"/>
    <w:rsid w:val="00296D67"/>
    <w:rsid w:val="00296EC5"/>
    <w:rsid w:val="002970C2"/>
    <w:rsid w:val="00297DF8"/>
    <w:rsid w:val="002A029B"/>
    <w:rsid w:val="002A0A7A"/>
    <w:rsid w:val="002A0F18"/>
    <w:rsid w:val="002A1465"/>
    <w:rsid w:val="002A1CCD"/>
    <w:rsid w:val="002A2796"/>
    <w:rsid w:val="002A30A7"/>
    <w:rsid w:val="002A3D29"/>
    <w:rsid w:val="002A5B6A"/>
    <w:rsid w:val="002A61F3"/>
    <w:rsid w:val="002A6373"/>
    <w:rsid w:val="002A6700"/>
    <w:rsid w:val="002A7240"/>
    <w:rsid w:val="002A76EA"/>
    <w:rsid w:val="002A77F6"/>
    <w:rsid w:val="002A79E4"/>
    <w:rsid w:val="002B06F5"/>
    <w:rsid w:val="002B0929"/>
    <w:rsid w:val="002B0EE4"/>
    <w:rsid w:val="002B14C3"/>
    <w:rsid w:val="002B1B20"/>
    <w:rsid w:val="002B21F1"/>
    <w:rsid w:val="002B2CA9"/>
    <w:rsid w:val="002B37BD"/>
    <w:rsid w:val="002B3C26"/>
    <w:rsid w:val="002B3F7C"/>
    <w:rsid w:val="002B402D"/>
    <w:rsid w:val="002B4064"/>
    <w:rsid w:val="002B41D6"/>
    <w:rsid w:val="002B4422"/>
    <w:rsid w:val="002B4A0A"/>
    <w:rsid w:val="002B58BA"/>
    <w:rsid w:val="002B6199"/>
    <w:rsid w:val="002B6A56"/>
    <w:rsid w:val="002B6F3B"/>
    <w:rsid w:val="002B7588"/>
    <w:rsid w:val="002C0FCF"/>
    <w:rsid w:val="002C1301"/>
    <w:rsid w:val="002C293A"/>
    <w:rsid w:val="002C2A13"/>
    <w:rsid w:val="002C315D"/>
    <w:rsid w:val="002C3200"/>
    <w:rsid w:val="002C3CBF"/>
    <w:rsid w:val="002C4AE8"/>
    <w:rsid w:val="002C4B21"/>
    <w:rsid w:val="002C4F14"/>
    <w:rsid w:val="002C50A3"/>
    <w:rsid w:val="002C540C"/>
    <w:rsid w:val="002C55FE"/>
    <w:rsid w:val="002C5D2D"/>
    <w:rsid w:val="002C6585"/>
    <w:rsid w:val="002C6915"/>
    <w:rsid w:val="002C7C45"/>
    <w:rsid w:val="002D0A1E"/>
    <w:rsid w:val="002D18A3"/>
    <w:rsid w:val="002D1B07"/>
    <w:rsid w:val="002D1B48"/>
    <w:rsid w:val="002D2422"/>
    <w:rsid w:val="002D2948"/>
    <w:rsid w:val="002D2DC8"/>
    <w:rsid w:val="002D2EAA"/>
    <w:rsid w:val="002D3C93"/>
    <w:rsid w:val="002D5228"/>
    <w:rsid w:val="002D5E6D"/>
    <w:rsid w:val="002D68B2"/>
    <w:rsid w:val="002D6D34"/>
    <w:rsid w:val="002D707C"/>
    <w:rsid w:val="002E0C80"/>
    <w:rsid w:val="002E1616"/>
    <w:rsid w:val="002E31F3"/>
    <w:rsid w:val="002E3231"/>
    <w:rsid w:val="002E3BF0"/>
    <w:rsid w:val="002E448E"/>
    <w:rsid w:val="002E4B25"/>
    <w:rsid w:val="002E4F79"/>
    <w:rsid w:val="002E59B0"/>
    <w:rsid w:val="002E5AA9"/>
    <w:rsid w:val="002E5B8D"/>
    <w:rsid w:val="002E5C83"/>
    <w:rsid w:val="002E699E"/>
    <w:rsid w:val="002E75BC"/>
    <w:rsid w:val="002F0A15"/>
    <w:rsid w:val="002F1319"/>
    <w:rsid w:val="002F141C"/>
    <w:rsid w:val="002F3226"/>
    <w:rsid w:val="002F36A2"/>
    <w:rsid w:val="002F37EE"/>
    <w:rsid w:val="002F3842"/>
    <w:rsid w:val="002F3D7E"/>
    <w:rsid w:val="002F4B11"/>
    <w:rsid w:val="002F4CF8"/>
    <w:rsid w:val="002F4ED4"/>
    <w:rsid w:val="002F4F45"/>
    <w:rsid w:val="002F5C43"/>
    <w:rsid w:val="002F5FAF"/>
    <w:rsid w:val="002F6087"/>
    <w:rsid w:val="002F69EA"/>
    <w:rsid w:val="002F7117"/>
    <w:rsid w:val="002F795C"/>
    <w:rsid w:val="002F7978"/>
    <w:rsid w:val="002F7AEE"/>
    <w:rsid w:val="002F7CF7"/>
    <w:rsid w:val="00300B9F"/>
    <w:rsid w:val="003018D5"/>
    <w:rsid w:val="003023C4"/>
    <w:rsid w:val="00302775"/>
    <w:rsid w:val="00302A5D"/>
    <w:rsid w:val="00302D6F"/>
    <w:rsid w:val="0030317A"/>
    <w:rsid w:val="0030335F"/>
    <w:rsid w:val="00303363"/>
    <w:rsid w:val="003036EC"/>
    <w:rsid w:val="003048E3"/>
    <w:rsid w:val="00304D5F"/>
    <w:rsid w:val="00305635"/>
    <w:rsid w:val="00305EBA"/>
    <w:rsid w:val="0030641C"/>
    <w:rsid w:val="00306591"/>
    <w:rsid w:val="003067C2"/>
    <w:rsid w:val="00306E9F"/>
    <w:rsid w:val="0030758F"/>
    <w:rsid w:val="003078C5"/>
    <w:rsid w:val="00310602"/>
    <w:rsid w:val="00311687"/>
    <w:rsid w:val="00311920"/>
    <w:rsid w:val="00312050"/>
    <w:rsid w:val="00312FE5"/>
    <w:rsid w:val="00313530"/>
    <w:rsid w:val="00313978"/>
    <w:rsid w:val="00313A17"/>
    <w:rsid w:val="00313B3E"/>
    <w:rsid w:val="00314058"/>
    <w:rsid w:val="00314D69"/>
    <w:rsid w:val="00314E89"/>
    <w:rsid w:val="00315017"/>
    <w:rsid w:val="003161A2"/>
    <w:rsid w:val="00316BB0"/>
    <w:rsid w:val="0031701B"/>
    <w:rsid w:val="003200B1"/>
    <w:rsid w:val="003207A0"/>
    <w:rsid w:val="00320AE3"/>
    <w:rsid w:val="0032165D"/>
    <w:rsid w:val="0032198F"/>
    <w:rsid w:val="00321BFB"/>
    <w:rsid w:val="00323333"/>
    <w:rsid w:val="003234C4"/>
    <w:rsid w:val="00323718"/>
    <w:rsid w:val="00323FDC"/>
    <w:rsid w:val="00324192"/>
    <w:rsid w:val="003245AC"/>
    <w:rsid w:val="0032477E"/>
    <w:rsid w:val="003258E2"/>
    <w:rsid w:val="00325976"/>
    <w:rsid w:val="00325980"/>
    <w:rsid w:val="003260C1"/>
    <w:rsid w:val="003260EC"/>
    <w:rsid w:val="00326336"/>
    <w:rsid w:val="003264DF"/>
    <w:rsid w:val="00326768"/>
    <w:rsid w:val="00326AFC"/>
    <w:rsid w:val="0032721A"/>
    <w:rsid w:val="00327393"/>
    <w:rsid w:val="003275FD"/>
    <w:rsid w:val="00327AA3"/>
    <w:rsid w:val="00327EAE"/>
    <w:rsid w:val="00330743"/>
    <w:rsid w:val="0033080F"/>
    <w:rsid w:val="003311F9"/>
    <w:rsid w:val="00331404"/>
    <w:rsid w:val="00331E5F"/>
    <w:rsid w:val="0033215F"/>
    <w:rsid w:val="00332D3A"/>
    <w:rsid w:val="00333999"/>
    <w:rsid w:val="00333AB1"/>
    <w:rsid w:val="00333FD4"/>
    <w:rsid w:val="00334BDF"/>
    <w:rsid w:val="0033546B"/>
    <w:rsid w:val="003356F4"/>
    <w:rsid w:val="00335A2B"/>
    <w:rsid w:val="00336632"/>
    <w:rsid w:val="00336AEF"/>
    <w:rsid w:val="00336D9D"/>
    <w:rsid w:val="003374BE"/>
    <w:rsid w:val="00340673"/>
    <w:rsid w:val="00340717"/>
    <w:rsid w:val="003409DF"/>
    <w:rsid w:val="003419E4"/>
    <w:rsid w:val="00342581"/>
    <w:rsid w:val="00342705"/>
    <w:rsid w:val="003439E1"/>
    <w:rsid w:val="0034456C"/>
    <w:rsid w:val="00344FE7"/>
    <w:rsid w:val="0034585C"/>
    <w:rsid w:val="00345AA4"/>
    <w:rsid w:val="003504FB"/>
    <w:rsid w:val="003518AB"/>
    <w:rsid w:val="00351EEF"/>
    <w:rsid w:val="00352133"/>
    <w:rsid w:val="0035251C"/>
    <w:rsid w:val="00352726"/>
    <w:rsid w:val="0035302B"/>
    <w:rsid w:val="003536EE"/>
    <w:rsid w:val="00353F7F"/>
    <w:rsid w:val="003547C8"/>
    <w:rsid w:val="00355928"/>
    <w:rsid w:val="00355C25"/>
    <w:rsid w:val="00355D53"/>
    <w:rsid w:val="00355F23"/>
    <w:rsid w:val="0035613F"/>
    <w:rsid w:val="003563CD"/>
    <w:rsid w:val="0035696C"/>
    <w:rsid w:val="00357E7E"/>
    <w:rsid w:val="00360636"/>
    <w:rsid w:val="00361C87"/>
    <w:rsid w:val="00361D3E"/>
    <w:rsid w:val="00361DEC"/>
    <w:rsid w:val="00362FCB"/>
    <w:rsid w:val="00363ABD"/>
    <w:rsid w:val="00365067"/>
    <w:rsid w:val="003652DD"/>
    <w:rsid w:val="0036581A"/>
    <w:rsid w:val="0036588C"/>
    <w:rsid w:val="003660BE"/>
    <w:rsid w:val="0036646D"/>
    <w:rsid w:val="00366C97"/>
    <w:rsid w:val="00366DB0"/>
    <w:rsid w:val="00366F80"/>
    <w:rsid w:val="00367725"/>
    <w:rsid w:val="00367D11"/>
    <w:rsid w:val="0037036E"/>
    <w:rsid w:val="00370405"/>
    <w:rsid w:val="00371381"/>
    <w:rsid w:val="003713DA"/>
    <w:rsid w:val="0037153E"/>
    <w:rsid w:val="0037179B"/>
    <w:rsid w:val="00371EF8"/>
    <w:rsid w:val="00371F19"/>
    <w:rsid w:val="00372D2B"/>
    <w:rsid w:val="00373C51"/>
    <w:rsid w:val="00373E42"/>
    <w:rsid w:val="003749C1"/>
    <w:rsid w:val="0037532F"/>
    <w:rsid w:val="00375423"/>
    <w:rsid w:val="00375AB8"/>
    <w:rsid w:val="00376407"/>
    <w:rsid w:val="003765C9"/>
    <w:rsid w:val="00377039"/>
    <w:rsid w:val="00377188"/>
    <w:rsid w:val="0037721A"/>
    <w:rsid w:val="0038178D"/>
    <w:rsid w:val="00381CF3"/>
    <w:rsid w:val="00382661"/>
    <w:rsid w:val="00382B25"/>
    <w:rsid w:val="0038344B"/>
    <w:rsid w:val="0038344E"/>
    <w:rsid w:val="003834D6"/>
    <w:rsid w:val="00383FBB"/>
    <w:rsid w:val="0038550A"/>
    <w:rsid w:val="00385C3A"/>
    <w:rsid w:val="00386008"/>
    <w:rsid w:val="00386052"/>
    <w:rsid w:val="0038605E"/>
    <w:rsid w:val="003860EE"/>
    <w:rsid w:val="00386C93"/>
    <w:rsid w:val="00387746"/>
    <w:rsid w:val="00387B82"/>
    <w:rsid w:val="00387EF3"/>
    <w:rsid w:val="0039068C"/>
    <w:rsid w:val="00390F35"/>
    <w:rsid w:val="00391BEC"/>
    <w:rsid w:val="003934C9"/>
    <w:rsid w:val="00393F9B"/>
    <w:rsid w:val="0039418A"/>
    <w:rsid w:val="003941D3"/>
    <w:rsid w:val="00394697"/>
    <w:rsid w:val="00395685"/>
    <w:rsid w:val="003959B5"/>
    <w:rsid w:val="00395A66"/>
    <w:rsid w:val="00395ABF"/>
    <w:rsid w:val="00396263"/>
    <w:rsid w:val="00396530"/>
    <w:rsid w:val="003965C6"/>
    <w:rsid w:val="00396B98"/>
    <w:rsid w:val="00397173"/>
    <w:rsid w:val="003973ED"/>
    <w:rsid w:val="003A015E"/>
    <w:rsid w:val="003A0437"/>
    <w:rsid w:val="003A073A"/>
    <w:rsid w:val="003A0BCD"/>
    <w:rsid w:val="003A0E57"/>
    <w:rsid w:val="003A0EB2"/>
    <w:rsid w:val="003A2438"/>
    <w:rsid w:val="003A2DD9"/>
    <w:rsid w:val="003A3581"/>
    <w:rsid w:val="003A37B0"/>
    <w:rsid w:val="003A4224"/>
    <w:rsid w:val="003A4775"/>
    <w:rsid w:val="003A4B1B"/>
    <w:rsid w:val="003A63AE"/>
    <w:rsid w:val="003A67E5"/>
    <w:rsid w:val="003A7092"/>
    <w:rsid w:val="003A7255"/>
    <w:rsid w:val="003B0237"/>
    <w:rsid w:val="003B0544"/>
    <w:rsid w:val="003B112D"/>
    <w:rsid w:val="003B1F65"/>
    <w:rsid w:val="003B1FCD"/>
    <w:rsid w:val="003B280F"/>
    <w:rsid w:val="003B2829"/>
    <w:rsid w:val="003B2A08"/>
    <w:rsid w:val="003B30E7"/>
    <w:rsid w:val="003B357E"/>
    <w:rsid w:val="003B368D"/>
    <w:rsid w:val="003B37E0"/>
    <w:rsid w:val="003B3E5C"/>
    <w:rsid w:val="003B3F95"/>
    <w:rsid w:val="003B48A9"/>
    <w:rsid w:val="003B48E5"/>
    <w:rsid w:val="003B4DFC"/>
    <w:rsid w:val="003B540B"/>
    <w:rsid w:val="003B5857"/>
    <w:rsid w:val="003B58BB"/>
    <w:rsid w:val="003B5D33"/>
    <w:rsid w:val="003B6179"/>
    <w:rsid w:val="003B6B0C"/>
    <w:rsid w:val="003B6DE8"/>
    <w:rsid w:val="003B6ECB"/>
    <w:rsid w:val="003B7070"/>
    <w:rsid w:val="003B710F"/>
    <w:rsid w:val="003B74BF"/>
    <w:rsid w:val="003C0207"/>
    <w:rsid w:val="003C0230"/>
    <w:rsid w:val="003C10BA"/>
    <w:rsid w:val="003C1756"/>
    <w:rsid w:val="003C1FBB"/>
    <w:rsid w:val="003C28B8"/>
    <w:rsid w:val="003C2A4B"/>
    <w:rsid w:val="003C3100"/>
    <w:rsid w:val="003C4585"/>
    <w:rsid w:val="003C518E"/>
    <w:rsid w:val="003C5796"/>
    <w:rsid w:val="003C58E4"/>
    <w:rsid w:val="003C6028"/>
    <w:rsid w:val="003C64C4"/>
    <w:rsid w:val="003C6C82"/>
    <w:rsid w:val="003C6CB0"/>
    <w:rsid w:val="003C6D0F"/>
    <w:rsid w:val="003C779D"/>
    <w:rsid w:val="003C7CE0"/>
    <w:rsid w:val="003D12B1"/>
    <w:rsid w:val="003D162C"/>
    <w:rsid w:val="003D21A1"/>
    <w:rsid w:val="003D2AE2"/>
    <w:rsid w:val="003D34B3"/>
    <w:rsid w:val="003D4635"/>
    <w:rsid w:val="003D4E9A"/>
    <w:rsid w:val="003D4ED4"/>
    <w:rsid w:val="003D5D67"/>
    <w:rsid w:val="003D5ED9"/>
    <w:rsid w:val="003D6837"/>
    <w:rsid w:val="003D6FAC"/>
    <w:rsid w:val="003D7E5F"/>
    <w:rsid w:val="003E012D"/>
    <w:rsid w:val="003E105A"/>
    <w:rsid w:val="003E1492"/>
    <w:rsid w:val="003E1655"/>
    <w:rsid w:val="003E187A"/>
    <w:rsid w:val="003E22F5"/>
    <w:rsid w:val="003E2349"/>
    <w:rsid w:val="003E24B8"/>
    <w:rsid w:val="003E2BA4"/>
    <w:rsid w:val="003E38F5"/>
    <w:rsid w:val="003E3A03"/>
    <w:rsid w:val="003E4B3D"/>
    <w:rsid w:val="003E4C84"/>
    <w:rsid w:val="003E503A"/>
    <w:rsid w:val="003E51F2"/>
    <w:rsid w:val="003E53FC"/>
    <w:rsid w:val="003E5D0E"/>
    <w:rsid w:val="003E6684"/>
    <w:rsid w:val="003E6831"/>
    <w:rsid w:val="003E6A3E"/>
    <w:rsid w:val="003E707C"/>
    <w:rsid w:val="003E7E5F"/>
    <w:rsid w:val="003F04E9"/>
    <w:rsid w:val="003F1A20"/>
    <w:rsid w:val="003F2F75"/>
    <w:rsid w:val="003F41CC"/>
    <w:rsid w:val="003F471C"/>
    <w:rsid w:val="003F48D3"/>
    <w:rsid w:val="003F4913"/>
    <w:rsid w:val="003F58CF"/>
    <w:rsid w:val="003F59BE"/>
    <w:rsid w:val="003F611B"/>
    <w:rsid w:val="003F621F"/>
    <w:rsid w:val="003F6561"/>
    <w:rsid w:val="003F65C1"/>
    <w:rsid w:val="003F679D"/>
    <w:rsid w:val="003F6A6F"/>
    <w:rsid w:val="003F77A5"/>
    <w:rsid w:val="003F7FB2"/>
    <w:rsid w:val="00400E11"/>
    <w:rsid w:val="00401075"/>
    <w:rsid w:val="0040122C"/>
    <w:rsid w:val="004015DB"/>
    <w:rsid w:val="004016FB"/>
    <w:rsid w:val="00401E40"/>
    <w:rsid w:val="004021D3"/>
    <w:rsid w:val="00402336"/>
    <w:rsid w:val="004025E7"/>
    <w:rsid w:val="00402FF3"/>
    <w:rsid w:val="004036A3"/>
    <w:rsid w:val="00403C16"/>
    <w:rsid w:val="0040462A"/>
    <w:rsid w:val="00405299"/>
    <w:rsid w:val="00405ED6"/>
    <w:rsid w:val="00406064"/>
    <w:rsid w:val="00406A6A"/>
    <w:rsid w:val="00406B38"/>
    <w:rsid w:val="0040753E"/>
    <w:rsid w:val="0040755D"/>
    <w:rsid w:val="00410172"/>
    <w:rsid w:val="00410510"/>
    <w:rsid w:val="00410A58"/>
    <w:rsid w:val="00410AC3"/>
    <w:rsid w:val="00410D4F"/>
    <w:rsid w:val="0041198A"/>
    <w:rsid w:val="00411C67"/>
    <w:rsid w:val="00411CD3"/>
    <w:rsid w:val="00412749"/>
    <w:rsid w:val="00412987"/>
    <w:rsid w:val="00414118"/>
    <w:rsid w:val="004144AD"/>
    <w:rsid w:val="00415D9C"/>
    <w:rsid w:val="00416D88"/>
    <w:rsid w:val="00420612"/>
    <w:rsid w:val="00420C22"/>
    <w:rsid w:val="00420E5C"/>
    <w:rsid w:val="00421357"/>
    <w:rsid w:val="0042169C"/>
    <w:rsid w:val="00421727"/>
    <w:rsid w:val="004219CC"/>
    <w:rsid w:val="004220EE"/>
    <w:rsid w:val="0042290A"/>
    <w:rsid w:val="00423BCF"/>
    <w:rsid w:val="0042487A"/>
    <w:rsid w:val="00424AB3"/>
    <w:rsid w:val="00424F7E"/>
    <w:rsid w:val="00424FA7"/>
    <w:rsid w:val="0042521B"/>
    <w:rsid w:val="00425EB6"/>
    <w:rsid w:val="00426455"/>
    <w:rsid w:val="00426B04"/>
    <w:rsid w:val="00426B88"/>
    <w:rsid w:val="00427B0D"/>
    <w:rsid w:val="00427E20"/>
    <w:rsid w:val="00427EFA"/>
    <w:rsid w:val="004302F0"/>
    <w:rsid w:val="004304E3"/>
    <w:rsid w:val="00430F61"/>
    <w:rsid w:val="00431394"/>
    <w:rsid w:val="00431957"/>
    <w:rsid w:val="00431D24"/>
    <w:rsid w:val="004321FE"/>
    <w:rsid w:val="004322D7"/>
    <w:rsid w:val="004324BF"/>
    <w:rsid w:val="004329D9"/>
    <w:rsid w:val="00432BAE"/>
    <w:rsid w:val="004332DE"/>
    <w:rsid w:val="00433A03"/>
    <w:rsid w:val="0043404E"/>
    <w:rsid w:val="004351B5"/>
    <w:rsid w:val="00435EC3"/>
    <w:rsid w:val="004362F9"/>
    <w:rsid w:val="00436A65"/>
    <w:rsid w:val="00436ECE"/>
    <w:rsid w:val="00436F26"/>
    <w:rsid w:val="00436F5D"/>
    <w:rsid w:val="0043718E"/>
    <w:rsid w:val="00437285"/>
    <w:rsid w:val="00437AC3"/>
    <w:rsid w:val="0044081F"/>
    <w:rsid w:val="00441092"/>
    <w:rsid w:val="00441292"/>
    <w:rsid w:val="00441D99"/>
    <w:rsid w:val="00442711"/>
    <w:rsid w:val="00443CD7"/>
    <w:rsid w:val="004445FC"/>
    <w:rsid w:val="00444609"/>
    <w:rsid w:val="00444DE7"/>
    <w:rsid w:val="0044648D"/>
    <w:rsid w:val="00446578"/>
    <w:rsid w:val="004469E2"/>
    <w:rsid w:val="00446C2F"/>
    <w:rsid w:val="00446F5B"/>
    <w:rsid w:val="0044713A"/>
    <w:rsid w:val="00447C29"/>
    <w:rsid w:val="0045024B"/>
    <w:rsid w:val="00450660"/>
    <w:rsid w:val="00450C84"/>
    <w:rsid w:val="00451018"/>
    <w:rsid w:val="00451C28"/>
    <w:rsid w:val="00452928"/>
    <w:rsid w:val="00452A37"/>
    <w:rsid w:val="00452A9B"/>
    <w:rsid w:val="00452F9A"/>
    <w:rsid w:val="004534A6"/>
    <w:rsid w:val="00453F22"/>
    <w:rsid w:val="00454B27"/>
    <w:rsid w:val="00457092"/>
    <w:rsid w:val="00457D38"/>
    <w:rsid w:val="00460025"/>
    <w:rsid w:val="004622AB"/>
    <w:rsid w:val="004622B9"/>
    <w:rsid w:val="0046250E"/>
    <w:rsid w:val="00464D85"/>
    <w:rsid w:val="00465B21"/>
    <w:rsid w:val="00465BC7"/>
    <w:rsid w:val="004660EF"/>
    <w:rsid w:val="004669AF"/>
    <w:rsid w:val="00466CC4"/>
    <w:rsid w:val="00466F5C"/>
    <w:rsid w:val="00470211"/>
    <w:rsid w:val="00470E2A"/>
    <w:rsid w:val="0047123E"/>
    <w:rsid w:val="0047151C"/>
    <w:rsid w:val="00471582"/>
    <w:rsid w:val="00471A88"/>
    <w:rsid w:val="004723C0"/>
    <w:rsid w:val="004723D0"/>
    <w:rsid w:val="00472A0B"/>
    <w:rsid w:val="00473640"/>
    <w:rsid w:val="00473C28"/>
    <w:rsid w:val="004743AB"/>
    <w:rsid w:val="004745BB"/>
    <w:rsid w:val="00475353"/>
    <w:rsid w:val="0047676F"/>
    <w:rsid w:val="00476904"/>
    <w:rsid w:val="0048095D"/>
    <w:rsid w:val="00480FFE"/>
    <w:rsid w:val="004815CA"/>
    <w:rsid w:val="00481D58"/>
    <w:rsid w:val="00482788"/>
    <w:rsid w:val="00482D99"/>
    <w:rsid w:val="0048300B"/>
    <w:rsid w:val="00483FD7"/>
    <w:rsid w:val="00484D0B"/>
    <w:rsid w:val="00485DCD"/>
    <w:rsid w:val="00485FA0"/>
    <w:rsid w:val="00486E9B"/>
    <w:rsid w:val="00486EFC"/>
    <w:rsid w:val="0048723E"/>
    <w:rsid w:val="004873CC"/>
    <w:rsid w:val="00487EDB"/>
    <w:rsid w:val="00490422"/>
    <w:rsid w:val="00490ABA"/>
    <w:rsid w:val="00491075"/>
    <w:rsid w:val="004911D4"/>
    <w:rsid w:val="00491905"/>
    <w:rsid w:val="00491A7D"/>
    <w:rsid w:val="00491D93"/>
    <w:rsid w:val="00492598"/>
    <w:rsid w:val="00492A8B"/>
    <w:rsid w:val="00492D09"/>
    <w:rsid w:val="00492E25"/>
    <w:rsid w:val="00493344"/>
    <w:rsid w:val="004933CC"/>
    <w:rsid w:val="00493B33"/>
    <w:rsid w:val="004941CF"/>
    <w:rsid w:val="004946CC"/>
    <w:rsid w:val="00494D6B"/>
    <w:rsid w:val="0049500B"/>
    <w:rsid w:val="00495270"/>
    <w:rsid w:val="00495A77"/>
    <w:rsid w:val="00496297"/>
    <w:rsid w:val="004962AD"/>
    <w:rsid w:val="0049655E"/>
    <w:rsid w:val="004967BB"/>
    <w:rsid w:val="004969A9"/>
    <w:rsid w:val="004A0A59"/>
    <w:rsid w:val="004A167C"/>
    <w:rsid w:val="004A1A67"/>
    <w:rsid w:val="004A1B6B"/>
    <w:rsid w:val="004A20E7"/>
    <w:rsid w:val="004A21DD"/>
    <w:rsid w:val="004A2BC0"/>
    <w:rsid w:val="004A2D68"/>
    <w:rsid w:val="004A2DFA"/>
    <w:rsid w:val="004A32C5"/>
    <w:rsid w:val="004A4AC3"/>
    <w:rsid w:val="004A502A"/>
    <w:rsid w:val="004A53DD"/>
    <w:rsid w:val="004A6434"/>
    <w:rsid w:val="004A6C05"/>
    <w:rsid w:val="004A6EFA"/>
    <w:rsid w:val="004A7030"/>
    <w:rsid w:val="004A746E"/>
    <w:rsid w:val="004A7CA9"/>
    <w:rsid w:val="004A7DC0"/>
    <w:rsid w:val="004B0B1B"/>
    <w:rsid w:val="004B13F2"/>
    <w:rsid w:val="004B1723"/>
    <w:rsid w:val="004B21A4"/>
    <w:rsid w:val="004B2466"/>
    <w:rsid w:val="004B258A"/>
    <w:rsid w:val="004B274A"/>
    <w:rsid w:val="004B3B46"/>
    <w:rsid w:val="004B3CA8"/>
    <w:rsid w:val="004B57BB"/>
    <w:rsid w:val="004B5F9F"/>
    <w:rsid w:val="004B5FBD"/>
    <w:rsid w:val="004B64F5"/>
    <w:rsid w:val="004B6652"/>
    <w:rsid w:val="004B6757"/>
    <w:rsid w:val="004B6830"/>
    <w:rsid w:val="004B7209"/>
    <w:rsid w:val="004B7B9A"/>
    <w:rsid w:val="004C0052"/>
    <w:rsid w:val="004C06D8"/>
    <w:rsid w:val="004C0C5C"/>
    <w:rsid w:val="004C0C9F"/>
    <w:rsid w:val="004C1871"/>
    <w:rsid w:val="004C3032"/>
    <w:rsid w:val="004C3099"/>
    <w:rsid w:val="004C34F6"/>
    <w:rsid w:val="004C35A4"/>
    <w:rsid w:val="004C3A77"/>
    <w:rsid w:val="004C3E47"/>
    <w:rsid w:val="004C3FA2"/>
    <w:rsid w:val="004C4372"/>
    <w:rsid w:val="004C4518"/>
    <w:rsid w:val="004C485B"/>
    <w:rsid w:val="004C4869"/>
    <w:rsid w:val="004C499A"/>
    <w:rsid w:val="004C5143"/>
    <w:rsid w:val="004C5281"/>
    <w:rsid w:val="004C617F"/>
    <w:rsid w:val="004C6C7B"/>
    <w:rsid w:val="004D01C8"/>
    <w:rsid w:val="004D141D"/>
    <w:rsid w:val="004D172C"/>
    <w:rsid w:val="004D1EB2"/>
    <w:rsid w:val="004D23D2"/>
    <w:rsid w:val="004D2F79"/>
    <w:rsid w:val="004D344F"/>
    <w:rsid w:val="004D385D"/>
    <w:rsid w:val="004D49E2"/>
    <w:rsid w:val="004D4A3C"/>
    <w:rsid w:val="004D4B5D"/>
    <w:rsid w:val="004D4C0E"/>
    <w:rsid w:val="004D5837"/>
    <w:rsid w:val="004D5DAA"/>
    <w:rsid w:val="004D62D2"/>
    <w:rsid w:val="004D6658"/>
    <w:rsid w:val="004D703A"/>
    <w:rsid w:val="004D773B"/>
    <w:rsid w:val="004E046C"/>
    <w:rsid w:val="004E0F6A"/>
    <w:rsid w:val="004E0F86"/>
    <w:rsid w:val="004E13CA"/>
    <w:rsid w:val="004E1976"/>
    <w:rsid w:val="004E2004"/>
    <w:rsid w:val="004E36E7"/>
    <w:rsid w:val="004E3EA1"/>
    <w:rsid w:val="004E47D0"/>
    <w:rsid w:val="004E4BC0"/>
    <w:rsid w:val="004E510A"/>
    <w:rsid w:val="004E6897"/>
    <w:rsid w:val="004E694F"/>
    <w:rsid w:val="004E6A09"/>
    <w:rsid w:val="004F05A8"/>
    <w:rsid w:val="004F05F5"/>
    <w:rsid w:val="004F0B15"/>
    <w:rsid w:val="004F1440"/>
    <w:rsid w:val="004F1A7F"/>
    <w:rsid w:val="004F1BFD"/>
    <w:rsid w:val="004F1CBE"/>
    <w:rsid w:val="004F2106"/>
    <w:rsid w:val="004F2BE6"/>
    <w:rsid w:val="004F303F"/>
    <w:rsid w:val="004F3591"/>
    <w:rsid w:val="004F3DC8"/>
    <w:rsid w:val="004F476C"/>
    <w:rsid w:val="004F4787"/>
    <w:rsid w:val="004F48A8"/>
    <w:rsid w:val="004F49D0"/>
    <w:rsid w:val="004F4A0E"/>
    <w:rsid w:val="004F5127"/>
    <w:rsid w:val="004F55A3"/>
    <w:rsid w:val="004F6A34"/>
    <w:rsid w:val="004F72E3"/>
    <w:rsid w:val="004F7563"/>
    <w:rsid w:val="004F79F6"/>
    <w:rsid w:val="004F7AC7"/>
    <w:rsid w:val="005003A0"/>
    <w:rsid w:val="00500AE1"/>
    <w:rsid w:val="00500E5B"/>
    <w:rsid w:val="00501132"/>
    <w:rsid w:val="005012A1"/>
    <w:rsid w:val="00501F45"/>
    <w:rsid w:val="005020F7"/>
    <w:rsid w:val="005026E0"/>
    <w:rsid w:val="00502B7C"/>
    <w:rsid w:val="005031DE"/>
    <w:rsid w:val="00503854"/>
    <w:rsid w:val="00503AE7"/>
    <w:rsid w:val="00503CB0"/>
    <w:rsid w:val="00504535"/>
    <w:rsid w:val="005049A6"/>
    <w:rsid w:val="0050590F"/>
    <w:rsid w:val="00505E12"/>
    <w:rsid w:val="005062AD"/>
    <w:rsid w:val="005065FD"/>
    <w:rsid w:val="00507C61"/>
    <w:rsid w:val="00507F87"/>
    <w:rsid w:val="00510567"/>
    <w:rsid w:val="00510D47"/>
    <w:rsid w:val="0051102A"/>
    <w:rsid w:val="00512749"/>
    <w:rsid w:val="00512D9F"/>
    <w:rsid w:val="00512E07"/>
    <w:rsid w:val="0051305D"/>
    <w:rsid w:val="00513565"/>
    <w:rsid w:val="0051406A"/>
    <w:rsid w:val="00514A70"/>
    <w:rsid w:val="00514AEE"/>
    <w:rsid w:val="00514F2A"/>
    <w:rsid w:val="005153E3"/>
    <w:rsid w:val="00515FA5"/>
    <w:rsid w:val="00516092"/>
    <w:rsid w:val="00517052"/>
    <w:rsid w:val="0051786A"/>
    <w:rsid w:val="005200B5"/>
    <w:rsid w:val="005200DA"/>
    <w:rsid w:val="00520A57"/>
    <w:rsid w:val="00521BBB"/>
    <w:rsid w:val="00521D29"/>
    <w:rsid w:val="005220E8"/>
    <w:rsid w:val="00523582"/>
    <w:rsid w:val="005245EF"/>
    <w:rsid w:val="005248B0"/>
    <w:rsid w:val="0052524E"/>
    <w:rsid w:val="005253CA"/>
    <w:rsid w:val="0052667A"/>
    <w:rsid w:val="00527232"/>
    <w:rsid w:val="0052748C"/>
    <w:rsid w:val="00531382"/>
    <w:rsid w:val="005316A3"/>
    <w:rsid w:val="00531F4B"/>
    <w:rsid w:val="005329D0"/>
    <w:rsid w:val="00532CBD"/>
    <w:rsid w:val="00533128"/>
    <w:rsid w:val="0053344D"/>
    <w:rsid w:val="0053368D"/>
    <w:rsid w:val="005339FC"/>
    <w:rsid w:val="00534225"/>
    <w:rsid w:val="005345AB"/>
    <w:rsid w:val="00536442"/>
    <w:rsid w:val="00536684"/>
    <w:rsid w:val="00536A01"/>
    <w:rsid w:val="0053755A"/>
    <w:rsid w:val="005376EC"/>
    <w:rsid w:val="00537A12"/>
    <w:rsid w:val="00537CCB"/>
    <w:rsid w:val="0054053D"/>
    <w:rsid w:val="00540D45"/>
    <w:rsid w:val="005410EE"/>
    <w:rsid w:val="0054156F"/>
    <w:rsid w:val="00541EB5"/>
    <w:rsid w:val="00542477"/>
    <w:rsid w:val="00542C3E"/>
    <w:rsid w:val="00542EE2"/>
    <w:rsid w:val="0054331B"/>
    <w:rsid w:val="00543B54"/>
    <w:rsid w:val="005442F8"/>
    <w:rsid w:val="00545711"/>
    <w:rsid w:val="005459D7"/>
    <w:rsid w:val="00546E46"/>
    <w:rsid w:val="00547CCF"/>
    <w:rsid w:val="00550061"/>
    <w:rsid w:val="0055148D"/>
    <w:rsid w:val="005529C1"/>
    <w:rsid w:val="00552B78"/>
    <w:rsid w:val="00552D46"/>
    <w:rsid w:val="00552F4D"/>
    <w:rsid w:val="00553123"/>
    <w:rsid w:val="005537AD"/>
    <w:rsid w:val="00554382"/>
    <w:rsid w:val="0055457F"/>
    <w:rsid w:val="0055462B"/>
    <w:rsid w:val="0055539C"/>
    <w:rsid w:val="00555C91"/>
    <w:rsid w:val="00555DC3"/>
    <w:rsid w:val="0055663C"/>
    <w:rsid w:val="00556F83"/>
    <w:rsid w:val="00557E76"/>
    <w:rsid w:val="005601FF"/>
    <w:rsid w:val="00560335"/>
    <w:rsid w:val="00560E70"/>
    <w:rsid w:val="00560EDE"/>
    <w:rsid w:val="00561259"/>
    <w:rsid w:val="00561D84"/>
    <w:rsid w:val="0056293D"/>
    <w:rsid w:val="00562E1B"/>
    <w:rsid w:val="00562EAE"/>
    <w:rsid w:val="00562FD1"/>
    <w:rsid w:val="005644C3"/>
    <w:rsid w:val="00564B44"/>
    <w:rsid w:val="00564BDF"/>
    <w:rsid w:val="00564C7B"/>
    <w:rsid w:val="00565888"/>
    <w:rsid w:val="00565A2C"/>
    <w:rsid w:val="00566342"/>
    <w:rsid w:val="00566A4F"/>
    <w:rsid w:val="00567169"/>
    <w:rsid w:val="005674A5"/>
    <w:rsid w:val="005675B9"/>
    <w:rsid w:val="00567641"/>
    <w:rsid w:val="00567791"/>
    <w:rsid w:val="00567EAC"/>
    <w:rsid w:val="00567EE9"/>
    <w:rsid w:val="005708A5"/>
    <w:rsid w:val="005708EF"/>
    <w:rsid w:val="005717D6"/>
    <w:rsid w:val="00571CF5"/>
    <w:rsid w:val="0057253F"/>
    <w:rsid w:val="00572BCB"/>
    <w:rsid w:val="00572C88"/>
    <w:rsid w:val="005737E8"/>
    <w:rsid w:val="00573F98"/>
    <w:rsid w:val="00574D0E"/>
    <w:rsid w:val="00574ED2"/>
    <w:rsid w:val="005751B1"/>
    <w:rsid w:val="005751D0"/>
    <w:rsid w:val="005751E5"/>
    <w:rsid w:val="0057529F"/>
    <w:rsid w:val="00576337"/>
    <w:rsid w:val="0057659E"/>
    <w:rsid w:val="00576B02"/>
    <w:rsid w:val="00576EDB"/>
    <w:rsid w:val="0057725B"/>
    <w:rsid w:val="00577DD5"/>
    <w:rsid w:val="00577DE7"/>
    <w:rsid w:val="00577F59"/>
    <w:rsid w:val="00580312"/>
    <w:rsid w:val="005809F3"/>
    <w:rsid w:val="00581745"/>
    <w:rsid w:val="005817D0"/>
    <w:rsid w:val="00581CE9"/>
    <w:rsid w:val="00581D58"/>
    <w:rsid w:val="0058204D"/>
    <w:rsid w:val="00582460"/>
    <w:rsid w:val="005838BB"/>
    <w:rsid w:val="0058409D"/>
    <w:rsid w:val="0058493C"/>
    <w:rsid w:val="00585363"/>
    <w:rsid w:val="00585408"/>
    <w:rsid w:val="0058584E"/>
    <w:rsid w:val="005858A0"/>
    <w:rsid w:val="00585905"/>
    <w:rsid w:val="0058639E"/>
    <w:rsid w:val="0058723F"/>
    <w:rsid w:val="00590450"/>
    <w:rsid w:val="00590B03"/>
    <w:rsid w:val="00590BA6"/>
    <w:rsid w:val="00590F70"/>
    <w:rsid w:val="00591D4B"/>
    <w:rsid w:val="00591D56"/>
    <w:rsid w:val="005922F9"/>
    <w:rsid w:val="005928A7"/>
    <w:rsid w:val="00592F76"/>
    <w:rsid w:val="005938EA"/>
    <w:rsid w:val="00593913"/>
    <w:rsid w:val="00593CAD"/>
    <w:rsid w:val="00593FC7"/>
    <w:rsid w:val="0059431C"/>
    <w:rsid w:val="00594DC2"/>
    <w:rsid w:val="00594F6A"/>
    <w:rsid w:val="00595119"/>
    <w:rsid w:val="0059511C"/>
    <w:rsid w:val="00595738"/>
    <w:rsid w:val="00595E05"/>
    <w:rsid w:val="00596AB7"/>
    <w:rsid w:val="00596C54"/>
    <w:rsid w:val="0059734F"/>
    <w:rsid w:val="00597D31"/>
    <w:rsid w:val="005A02DA"/>
    <w:rsid w:val="005A057F"/>
    <w:rsid w:val="005A0B94"/>
    <w:rsid w:val="005A0E35"/>
    <w:rsid w:val="005A0EEC"/>
    <w:rsid w:val="005A10AD"/>
    <w:rsid w:val="005A316A"/>
    <w:rsid w:val="005A4BE2"/>
    <w:rsid w:val="005A4F1B"/>
    <w:rsid w:val="005A6386"/>
    <w:rsid w:val="005A67CE"/>
    <w:rsid w:val="005A6803"/>
    <w:rsid w:val="005A68B1"/>
    <w:rsid w:val="005A68D1"/>
    <w:rsid w:val="005A6A09"/>
    <w:rsid w:val="005A6C23"/>
    <w:rsid w:val="005A6D68"/>
    <w:rsid w:val="005A75B6"/>
    <w:rsid w:val="005A78E8"/>
    <w:rsid w:val="005A7DBC"/>
    <w:rsid w:val="005B0032"/>
    <w:rsid w:val="005B06F7"/>
    <w:rsid w:val="005B0E75"/>
    <w:rsid w:val="005B104F"/>
    <w:rsid w:val="005B105D"/>
    <w:rsid w:val="005B1322"/>
    <w:rsid w:val="005B1BD8"/>
    <w:rsid w:val="005B1DCD"/>
    <w:rsid w:val="005B2060"/>
    <w:rsid w:val="005B22D7"/>
    <w:rsid w:val="005B3592"/>
    <w:rsid w:val="005B369D"/>
    <w:rsid w:val="005B37FA"/>
    <w:rsid w:val="005B51CE"/>
    <w:rsid w:val="005B598E"/>
    <w:rsid w:val="005B61BF"/>
    <w:rsid w:val="005B6CA1"/>
    <w:rsid w:val="005B6D94"/>
    <w:rsid w:val="005B74BE"/>
    <w:rsid w:val="005B75CB"/>
    <w:rsid w:val="005B7DDC"/>
    <w:rsid w:val="005C0C22"/>
    <w:rsid w:val="005C0C3D"/>
    <w:rsid w:val="005C111F"/>
    <w:rsid w:val="005C1B76"/>
    <w:rsid w:val="005C1D15"/>
    <w:rsid w:val="005C2045"/>
    <w:rsid w:val="005C274C"/>
    <w:rsid w:val="005C286E"/>
    <w:rsid w:val="005C2AAF"/>
    <w:rsid w:val="005C3C54"/>
    <w:rsid w:val="005C4997"/>
    <w:rsid w:val="005C4EA2"/>
    <w:rsid w:val="005C5418"/>
    <w:rsid w:val="005C5F6C"/>
    <w:rsid w:val="005C66EB"/>
    <w:rsid w:val="005C6C1F"/>
    <w:rsid w:val="005C71B3"/>
    <w:rsid w:val="005C7962"/>
    <w:rsid w:val="005C7B5C"/>
    <w:rsid w:val="005D0FEC"/>
    <w:rsid w:val="005D152F"/>
    <w:rsid w:val="005D1747"/>
    <w:rsid w:val="005D1AD9"/>
    <w:rsid w:val="005D2812"/>
    <w:rsid w:val="005D2A0B"/>
    <w:rsid w:val="005D2E2D"/>
    <w:rsid w:val="005D32BE"/>
    <w:rsid w:val="005D3EB5"/>
    <w:rsid w:val="005D404D"/>
    <w:rsid w:val="005D4FEA"/>
    <w:rsid w:val="005D5581"/>
    <w:rsid w:val="005D5B58"/>
    <w:rsid w:val="005D6CE6"/>
    <w:rsid w:val="005D6FAA"/>
    <w:rsid w:val="005D7D92"/>
    <w:rsid w:val="005E0038"/>
    <w:rsid w:val="005E0046"/>
    <w:rsid w:val="005E0F98"/>
    <w:rsid w:val="005E14C8"/>
    <w:rsid w:val="005E2097"/>
    <w:rsid w:val="005E21E0"/>
    <w:rsid w:val="005E3030"/>
    <w:rsid w:val="005E305F"/>
    <w:rsid w:val="005E30C5"/>
    <w:rsid w:val="005E33C3"/>
    <w:rsid w:val="005E3737"/>
    <w:rsid w:val="005E3FF8"/>
    <w:rsid w:val="005E43C8"/>
    <w:rsid w:val="005E5010"/>
    <w:rsid w:val="005E5FED"/>
    <w:rsid w:val="005E7ED9"/>
    <w:rsid w:val="005F0EE9"/>
    <w:rsid w:val="005F1553"/>
    <w:rsid w:val="005F1C3E"/>
    <w:rsid w:val="005F244B"/>
    <w:rsid w:val="005F249C"/>
    <w:rsid w:val="005F24EC"/>
    <w:rsid w:val="005F2F73"/>
    <w:rsid w:val="005F399A"/>
    <w:rsid w:val="005F4F01"/>
    <w:rsid w:val="005F54EE"/>
    <w:rsid w:val="005F601B"/>
    <w:rsid w:val="005F623F"/>
    <w:rsid w:val="005F63C0"/>
    <w:rsid w:val="005F6837"/>
    <w:rsid w:val="005F7C69"/>
    <w:rsid w:val="00600302"/>
    <w:rsid w:val="00600CA8"/>
    <w:rsid w:val="00600DAE"/>
    <w:rsid w:val="00600FA8"/>
    <w:rsid w:val="0060157D"/>
    <w:rsid w:val="006029BA"/>
    <w:rsid w:val="00604507"/>
    <w:rsid w:val="0060490E"/>
    <w:rsid w:val="00605DA1"/>
    <w:rsid w:val="00605EAF"/>
    <w:rsid w:val="00605F73"/>
    <w:rsid w:val="0060644E"/>
    <w:rsid w:val="00606823"/>
    <w:rsid w:val="006071BF"/>
    <w:rsid w:val="006072F8"/>
    <w:rsid w:val="006074A0"/>
    <w:rsid w:val="00607DE3"/>
    <w:rsid w:val="00607F68"/>
    <w:rsid w:val="006103A5"/>
    <w:rsid w:val="0061050C"/>
    <w:rsid w:val="00610EDE"/>
    <w:rsid w:val="00611912"/>
    <w:rsid w:val="00611C07"/>
    <w:rsid w:val="00612674"/>
    <w:rsid w:val="00612676"/>
    <w:rsid w:val="00612BAA"/>
    <w:rsid w:val="00612DA6"/>
    <w:rsid w:val="00613ACA"/>
    <w:rsid w:val="00614446"/>
    <w:rsid w:val="00614C8E"/>
    <w:rsid w:val="00616EFA"/>
    <w:rsid w:val="006170EC"/>
    <w:rsid w:val="0061764B"/>
    <w:rsid w:val="0061769D"/>
    <w:rsid w:val="00617B72"/>
    <w:rsid w:val="00617F10"/>
    <w:rsid w:val="006210D9"/>
    <w:rsid w:val="00621BE2"/>
    <w:rsid w:val="00622318"/>
    <w:rsid w:val="0062392B"/>
    <w:rsid w:val="00623BDD"/>
    <w:rsid w:val="00623E19"/>
    <w:rsid w:val="00623E53"/>
    <w:rsid w:val="00624072"/>
    <w:rsid w:val="00624845"/>
    <w:rsid w:val="0062496D"/>
    <w:rsid w:val="00625373"/>
    <w:rsid w:val="00625500"/>
    <w:rsid w:val="00625CA6"/>
    <w:rsid w:val="006266A0"/>
    <w:rsid w:val="00626AC2"/>
    <w:rsid w:val="00627324"/>
    <w:rsid w:val="0062785C"/>
    <w:rsid w:val="006278BB"/>
    <w:rsid w:val="00627BF9"/>
    <w:rsid w:val="00627D33"/>
    <w:rsid w:val="00627EDC"/>
    <w:rsid w:val="00630663"/>
    <w:rsid w:val="00630ECC"/>
    <w:rsid w:val="00631B65"/>
    <w:rsid w:val="006320B8"/>
    <w:rsid w:val="00632DF2"/>
    <w:rsid w:val="0063334D"/>
    <w:rsid w:val="00633910"/>
    <w:rsid w:val="00633EF8"/>
    <w:rsid w:val="006341B2"/>
    <w:rsid w:val="006341C8"/>
    <w:rsid w:val="0063428D"/>
    <w:rsid w:val="00634315"/>
    <w:rsid w:val="006347C8"/>
    <w:rsid w:val="00634850"/>
    <w:rsid w:val="00634AE3"/>
    <w:rsid w:val="00634BE2"/>
    <w:rsid w:val="00634DFF"/>
    <w:rsid w:val="00634EC2"/>
    <w:rsid w:val="00635017"/>
    <w:rsid w:val="006357FC"/>
    <w:rsid w:val="006366CD"/>
    <w:rsid w:val="00636B94"/>
    <w:rsid w:val="00637395"/>
    <w:rsid w:val="00637663"/>
    <w:rsid w:val="00637F6B"/>
    <w:rsid w:val="006403C8"/>
    <w:rsid w:val="00640E15"/>
    <w:rsid w:val="00641515"/>
    <w:rsid w:val="00641FD9"/>
    <w:rsid w:val="00643202"/>
    <w:rsid w:val="00643BC4"/>
    <w:rsid w:val="00643DE4"/>
    <w:rsid w:val="00644A95"/>
    <w:rsid w:val="00644B7A"/>
    <w:rsid w:val="00644C8B"/>
    <w:rsid w:val="00645483"/>
    <w:rsid w:val="00645B4C"/>
    <w:rsid w:val="006464D2"/>
    <w:rsid w:val="0064654E"/>
    <w:rsid w:val="00646725"/>
    <w:rsid w:val="006468DA"/>
    <w:rsid w:val="006469E8"/>
    <w:rsid w:val="00647557"/>
    <w:rsid w:val="00647690"/>
    <w:rsid w:val="00647B6B"/>
    <w:rsid w:val="00647D70"/>
    <w:rsid w:val="00650CC2"/>
    <w:rsid w:val="00651026"/>
    <w:rsid w:val="006510AE"/>
    <w:rsid w:val="00651210"/>
    <w:rsid w:val="00651414"/>
    <w:rsid w:val="006518A3"/>
    <w:rsid w:val="006530DA"/>
    <w:rsid w:val="0065389A"/>
    <w:rsid w:val="00653D22"/>
    <w:rsid w:val="00653DC5"/>
    <w:rsid w:val="0065436F"/>
    <w:rsid w:val="006543FE"/>
    <w:rsid w:val="00654AD0"/>
    <w:rsid w:val="006560BB"/>
    <w:rsid w:val="006566B0"/>
    <w:rsid w:val="00656A1B"/>
    <w:rsid w:val="00656C66"/>
    <w:rsid w:val="00657040"/>
    <w:rsid w:val="00657828"/>
    <w:rsid w:val="00657B24"/>
    <w:rsid w:val="00660FA3"/>
    <w:rsid w:val="006617EA"/>
    <w:rsid w:val="0066202E"/>
    <w:rsid w:val="00662471"/>
    <w:rsid w:val="006625CF"/>
    <w:rsid w:val="00663804"/>
    <w:rsid w:val="00663A6F"/>
    <w:rsid w:val="00663F73"/>
    <w:rsid w:val="006649F2"/>
    <w:rsid w:val="00665727"/>
    <w:rsid w:val="0066753C"/>
    <w:rsid w:val="00667876"/>
    <w:rsid w:val="00670076"/>
    <w:rsid w:val="006701D1"/>
    <w:rsid w:val="0067086A"/>
    <w:rsid w:val="00670D73"/>
    <w:rsid w:val="00671F1E"/>
    <w:rsid w:val="0067284D"/>
    <w:rsid w:val="00672B2C"/>
    <w:rsid w:val="00673237"/>
    <w:rsid w:val="00673494"/>
    <w:rsid w:val="0067391A"/>
    <w:rsid w:val="00673BED"/>
    <w:rsid w:val="00674CA0"/>
    <w:rsid w:val="0067656A"/>
    <w:rsid w:val="006772DA"/>
    <w:rsid w:val="00680928"/>
    <w:rsid w:val="00680FDE"/>
    <w:rsid w:val="006819CD"/>
    <w:rsid w:val="0068267C"/>
    <w:rsid w:val="006828E5"/>
    <w:rsid w:val="00683736"/>
    <w:rsid w:val="0068400B"/>
    <w:rsid w:val="00684C19"/>
    <w:rsid w:val="0068533B"/>
    <w:rsid w:val="006856B9"/>
    <w:rsid w:val="00685A80"/>
    <w:rsid w:val="00685BD4"/>
    <w:rsid w:val="00685C20"/>
    <w:rsid w:val="00685F6F"/>
    <w:rsid w:val="006872F6"/>
    <w:rsid w:val="006877D1"/>
    <w:rsid w:val="00690BD5"/>
    <w:rsid w:val="006917DB"/>
    <w:rsid w:val="00691BBE"/>
    <w:rsid w:val="00691CCD"/>
    <w:rsid w:val="00692F5F"/>
    <w:rsid w:val="00693497"/>
    <w:rsid w:val="006937E0"/>
    <w:rsid w:val="0069410C"/>
    <w:rsid w:val="00694F73"/>
    <w:rsid w:val="006958EE"/>
    <w:rsid w:val="00696862"/>
    <w:rsid w:val="00696C9D"/>
    <w:rsid w:val="00696FA1"/>
    <w:rsid w:val="00697356"/>
    <w:rsid w:val="00697DA6"/>
    <w:rsid w:val="006A045D"/>
    <w:rsid w:val="006A0679"/>
    <w:rsid w:val="006A1BFB"/>
    <w:rsid w:val="006A1ED6"/>
    <w:rsid w:val="006A26AA"/>
    <w:rsid w:val="006A28B9"/>
    <w:rsid w:val="006A36E8"/>
    <w:rsid w:val="006A38E6"/>
    <w:rsid w:val="006A3B6F"/>
    <w:rsid w:val="006A3F0E"/>
    <w:rsid w:val="006A499A"/>
    <w:rsid w:val="006A4D0A"/>
    <w:rsid w:val="006A4D82"/>
    <w:rsid w:val="006A5555"/>
    <w:rsid w:val="006A5E38"/>
    <w:rsid w:val="006A5F7F"/>
    <w:rsid w:val="006A6D8A"/>
    <w:rsid w:val="006A7182"/>
    <w:rsid w:val="006A78F5"/>
    <w:rsid w:val="006A7C01"/>
    <w:rsid w:val="006B08F4"/>
    <w:rsid w:val="006B0E32"/>
    <w:rsid w:val="006B1587"/>
    <w:rsid w:val="006B1C40"/>
    <w:rsid w:val="006B1DAF"/>
    <w:rsid w:val="006B2E12"/>
    <w:rsid w:val="006B37E2"/>
    <w:rsid w:val="006B4A06"/>
    <w:rsid w:val="006B4B0C"/>
    <w:rsid w:val="006B4D46"/>
    <w:rsid w:val="006B5233"/>
    <w:rsid w:val="006B5D38"/>
    <w:rsid w:val="006B69C4"/>
    <w:rsid w:val="006B6FC3"/>
    <w:rsid w:val="006B76E8"/>
    <w:rsid w:val="006C0562"/>
    <w:rsid w:val="006C07A9"/>
    <w:rsid w:val="006C0A88"/>
    <w:rsid w:val="006C1289"/>
    <w:rsid w:val="006C16BB"/>
    <w:rsid w:val="006C1B7E"/>
    <w:rsid w:val="006C245E"/>
    <w:rsid w:val="006C28A7"/>
    <w:rsid w:val="006C3BA3"/>
    <w:rsid w:val="006C3F54"/>
    <w:rsid w:val="006C43BA"/>
    <w:rsid w:val="006C4D13"/>
    <w:rsid w:val="006C5034"/>
    <w:rsid w:val="006C527B"/>
    <w:rsid w:val="006C55D5"/>
    <w:rsid w:val="006C578B"/>
    <w:rsid w:val="006C5BF1"/>
    <w:rsid w:val="006C5EAD"/>
    <w:rsid w:val="006C6AE8"/>
    <w:rsid w:val="006C704B"/>
    <w:rsid w:val="006C7C22"/>
    <w:rsid w:val="006D02D3"/>
    <w:rsid w:val="006D0FE8"/>
    <w:rsid w:val="006D12F8"/>
    <w:rsid w:val="006D14D6"/>
    <w:rsid w:val="006D1935"/>
    <w:rsid w:val="006D1FA6"/>
    <w:rsid w:val="006D226C"/>
    <w:rsid w:val="006D2D72"/>
    <w:rsid w:val="006D3BB0"/>
    <w:rsid w:val="006D46C3"/>
    <w:rsid w:val="006D51EA"/>
    <w:rsid w:val="006D556F"/>
    <w:rsid w:val="006D56D3"/>
    <w:rsid w:val="006D7755"/>
    <w:rsid w:val="006D77C4"/>
    <w:rsid w:val="006E0592"/>
    <w:rsid w:val="006E0A05"/>
    <w:rsid w:val="006E0B5E"/>
    <w:rsid w:val="006E170B"/>
    <w:rsid w:val="006E1D21"/>
    <w:rsid w:val="006E3191"/>
    <w:rsid w:val="006E3263"/>
    <w:rsid w:val="006E33DC"/>
    <w:rsid w:val="006E3938"/>
    <w:rsid w:val="006E3EC2"/>
    <w:rsid w:val="006E5679"/>
    <w:rsid w:val="006E5704"/>
    <w:rsid w:val="006E5CC1"/>
    <w:rsid w:val="006E67FE"/>
    <w:rsid w:val="006E697C"/>
    <w:rsid w:val="006E6F99"/>
    <w:rsid w:val="006E733F"/>
    <w:rsid w:val="006E77B4"/>
    <w:rsid w:val="006F01AC"/>
    <w:rsid w:val="006F13DF"/>
    <w:rsid w:val="006F20BC"/>
    <w:rsid w:val="006F236E"/>
    <w:rsid w:val="006F2A04"/>
    <w:rsid w:val="006F2BC6"/>
    <w:rsid w:val="006F328B"/>
    <w:rsid w:val="006F4D60"/>
    <w:rsid w:val="006F51C1"/>
    <w:rsid w:val="006F5D02"/>
    <w:rsid w:val="006F65A2"/>
    <w:rsid w:val="006F67D3"/>
    <w:rsid w:val="006F6CF5"/>
    <w:rsid w:val="006F6E25"/>
    <w:rsid w:val="006F7746"/>
    <w:rsid w:val="006F7AC9"/>
    <w:rsid w:val="006F7C17"/>
    <w:rsid w:val="00700695"/>
    <w:rsid w:val="007008D5"/>
    <w:rsid w:val="00702065"/>
    <w:rsid w:val="007020D9"/>
    <w:rsid w:val="00702B8A"/>
    <w:rsid w:val="0070318F"/>
    <w:rsid w:val="00703B77"/>
    <w:rsid w:val="00704292"/>
    <w:rsid w:val="00704AE7"/>
    <w:rsid w:val="0070501C"/>
    <w:rsid w:val="00705381"/>
    <w:rsid w:val="0070544C"/>
    <w:rsid w:val="0070567C"/>
    <w:rsid w:val="007056D2"/>
    <w:rsid w:val="00705DE8"/>
    <w:rsid w:val="00706626"/>
    <w:rsid w:val="00706C79"/>
    <w:rsid w:val="007072EE"/>
    <w:rsid w:val="0070765F"/>
    <w:rsid w:val="00707A8F"/>
    <w:rsid w:val="007105C0"/>
    <w:rsid w:val="007106F2"/>
    <w:rsid w:val="00711748"/>
    <w:rsid w:val="007119E8"/>
    <w:rsid w:val="00711F3A"/>
    <w:rsid w:val="00711FEE"/>
    <w:rsid w:val="00712CB3"/>
    <w:rsid w:val="00713085"/>
    <w:rsid w:val="0071380D"/>
    <w:rsid w:val="00714764"/>
    <w:rsid w:val="007153BC"/>
    <w:rsid w:val="00715808"/>
    <w:rsid w:val="00716084"/>
    <w:rsid w:val="0071723A"/>
    <w:rsid w:val="00720076"/>
    <w:rsid w:val="007202DE"/>
    <w:rsid w:val="007208E1"/>
    <w:rsid w:val="00720DFF"/>
    <w:rsid w:val="007225E5"/>
    <w:rsid w:val="00722E21"/>
    <w:rsid w:val="007232A1"/>
    <w:rsid w:val="00723D11"/>
    <w:rsid w:val="007250A7"/>
    <w:rsid w:val="00726927"/>
    <w:rsid w:val="00726D28"/>
    <w:rsid w:val="00727958"/>
    <w:rsid w:val="00731609"/>
    <w:rsid w:val="00731E9C"/>
    <w:rsid w:val="00731FA0"/>
    <w:rsid w:val="0073234F"/>
    <w:rsid w:val="007333EB"/>
    <w:rsid w:val="007338DC"/>
    <w:rsid w:val="00733AC9"/>
    <w:rsid w:val="00735B02"/>
    <w:rsid w:val="00735C82"/>
    <w:rsid w:val="00736214"/>
    <w:rsid w:val="00736656"/>
    <w:rsid w:val="00736932"/>
    <w:rsid w:val="00737F76"/>
    <w:rsid w:val="0074005B"/>
    <w:rsid w:val="00740888"/>
    <w:rsid w:val="00740F30"/>
    <w:rsid w:val="00740FFF"/>
    <w:rsid w:val="00741CA9"/>
    <w:rsid w:val="00741F12"/>
    <w:rsid w:val="007427E5"/>
    <w:rsid w:val="007428D8"/>
    <w:rsid w:val="00742F83"/>
    <w:rsid w:val="00743112"/>
    <w:rsid w:val="00743515"/>
    <w:rsid w:val="007438F9"/>
    <w:rsid w:val="0074407B"/>
    <w:rsid w:val="00744421"/>
    <w:rsid w:val="00744819"/>
    <w:rsid w:val="00744C83"/>
    <w:rsid w:val="00744DA5"/>
    <w:rsid w:val="0074599A"/>
    <w:rsid w:val="007463EA"/>
    <w:rsid w:val="00750D67"/>
    <w:rsid w:val="00750F4D"/>
    <w:rsid w:val="00752531"/>
    <w:rsid w:val="0075286A"/>
    <w:rsid w:val="007528C0"/>
    <w:rsid w:val="00753E58"/>
    <w:rsid w:val="00753F7B"/>
    <w:rsid w:val="00753FB6"/>
    <w:rsid w:val="00754521"/>
    <w:rsid w:val="00754839"/>
    <w:rsid w:val="00756300"/>
    <w:rsid w:val="007575B4"/>
    <w:rsid w:val="007603FE"/>
    <w:rsid w:val="0076089B"/>
    <w:rsid w:val="00760E90"/>
    <w:rsid w:val="007617A5"/>
    <w:rsid w:val="00761E7E"/>
    <w:rsid w:val="00762E27"/>
    <w:rsid w:val="00763711"/>
    <w:rsid w:val="0076423E"/>
    <w:rsid w:val="007642FE"/>
    <w:rsid w:val="0076440B"/>
    <w:rsid w:val="007644D6"/>
    <w:rsid w:val="0076481C"/>
    <w:rsid w:val="00764888"/>
    <w:rsid w:val="007649DB"/>
    <w:rsid w:val="007668EC"/>
    <w:rsid w:val="007676B7"/>
    <w:rsid w:val="00772660"/>
    <w:rsid w:val="007726EC"/>
    <w:rsid w:val="00772D49"/>
    <w:rsid w:val="00773CB7"/>
    <w:rsid w:val="00773F16"/>
    <w:rsid w:val="00773FD0"/>
    <w:rsid w:val="0077415F"/>
    <w:rsid w:val="0077485D"/>
    <w:rsid w:val="00775558"/>
    <w:rsid w:val="00776306"/>
    <w:rsid w:val="007763C1"/>
    <w:rsid w:val="00777755"/>
    <w:rsid w:val="00777D67"/>
    <w:rsid w:val="00780743"/>
    <w:rsid w:val="00780DB0"/>
    <w:rsid w:val="00781548"/>
    <w:rsid w:val="00781617"/>
    <w:rsid w:val="00782555"/>
    <w:rsid w:val="00783590"/>
    <w:rsid w:val="007836C1"/>
    <w:rsid w:val="00783DC4"/>
    <w:rsid w:val="007841D1"/>
    <w:rsid w:val="0078495F"/>
    <w:rsid w:val="007853EA"/>
    <w:rsid w:val="00785A91"/>
    <w:rsid w:val="00785E6E"/>
    <w:rsid w:val="007867EB"/>
    <w:rsid w:val="00787684"/>
    <w:rsid w:val="007900BA"/>
    <w:rsid w:val="00790487"/>
    <w:rsid w:val="007907E4"/>
    <w:rsid w:val="0079116F"/>
    <w:rsid w:val="007913E4"/>
    <w:rsid w:val="00792C5F"/>
    <w:rsid w:val="00792DD7"/>
    <w:rsid w:val="007936BB"/>
    <w:rsid w:val="00793F15"/>
    <w:rsid w:val="00794406"/>
    <w:rsid w:val="00794839"/>
    <w:rsid w:val="00794FC7"/>
    <w:rsid w:val="0079559B"/>
    <w:rsid w:val="00795D4D"/>
    <w:rsid w:val="00796AB0"/>
    <w:rsid w:val="00796D5E"/>
    <w:rsid w:val="0079702E"/>
    <w:rsid w:val="00797574"/>
    <w:rsid w:val="00797F30"/>
    <w:rsid w:val="007A048A"/>
    <w:rsid w:val="007A08B3"/>
    <w:rsid w:val="007A0F08"/>
    <w:rsid w:val="007A1B9F"/>
    <w:rsid w:val="007A1D07"/>
    <w:rsid w:val="007A1FDF"/>
    <w:rsid w:val="007A28DF"/>
    <w:rsid w:val="007A2DBA"/>
    <w:rsid w:val="007A3464"/>
    <w:rsid w:val="007A38A7"/>
    <w:rsid w:val="007A3CE3"/>
    <w:rsid w:val="007A432A"/>
    <w:rsid w:val="007A66C0"/>
    <w:rsid w:val="007A673E"/>
    <w:rsid w:val="007A7190"/>
    <w:rsid w:val="007A766B"/>
    <w:rsid w:val="007A7817"/>
    <w:rsid w:val="007A7E13"/>
    <w:rsid w:val="007B21CC"/>
    <w:rsid w:val="007B21DA"/>
    <w:rsid w:val="007B28D0"/>
    <w:rsid w:val="007B2AF3"/>
    <w:rsid w:val="007B2FF0"/>
    <w:rsid w:val="007B3CB8"/>
    <w:rsid w:val="007B3D1D"/>
    <w:rsid w:val="007B4B3A"/>
    <w:rsid w:val="007B59DE"/>
    <w:rsid w:val="007B5D9D"/>
    <w:rsid w:val="007B6B49"/>
    <w:rsid w:val="007C0451"/>
    <w:rsid w:val="007C060F"/>
    <w:rsid w:val="007C08D7"/>
    <w:rsid w:val="007C0FD6"/>
    <w:rsid w:val="007C22CD"/>
    <w:rsid w:val="007C230E"/>
    <w:rsid w:val="007C23A5"/>
    <w:rsid w:val="007C2BAE"/>
    <w:rsid w:val="007C2C93"/>
    <w:rsid w:val="007C311D"/>
    <w:rsid w:val="007C351D"/>
    <w:rsid w:val="007C3604"/>
    <w:rsid w:val="007C3B21"/>
    <w:rsid w:val="007C3DFE"/>
    <w:rsid w:val="007C3EB2"/>
    <w:rsid w:val="007C49E2"/>
    <w:rsid w:val="007C4D00"/>
    <w:rsid w:val="007C6E99"/>
    <w:rsid w:val="007C7A25"/>
    <w:rsid w:val="007C7BFC"/>
    <w:rsid w:val="007C7D83"/>
    <w:rsid w:val="007D02B0"/>
    <w:rsid w:val="007D05F8"/>
    <w:rsid w:val="007D079F"/>
    <w:rsid w:val="007D1116"/>
    <w:rsid w:val="007D1399"/>
    <w:rsid w:val="007D16CC"/>
    <w:rsid w:val="007D1D9D"/>
    <w:rsid w:val="007D1E70"/>
    <w:rsid w:val="007D3A5A"/>
    <w:rsid w:val="007D42A5"/>
    <w:rsid w:val="007D4504"/>
    <w:rsid w:val="007D45EB"/>
    <w:rsid w:val="007D5694"/>
    <w:rsid w:val="007D5B4B"/>
    <w:rsid w:val="007E0073"/>
    <w:rsid w:val="007E022E"/>
    <w:rsid w:val="007E0235"/>
    <w:rsid w:val="007E070F"/>
    <w:rsid w:val="007E0D24"/>
    <w:rsid w:val="007E17C1"/>
    <w:rsid w:val="007E1BA1"/>
    <w:rsid w:val="007E1E4D"/>
    <w:rsid w:val="007E20D6"/>
    <w:rsid w:val="007E2138"/>
    <w:rsid w:val="007E23BA"/>
    <w:rsid w:val="007E26B8"/>
    <w:rsid w:val="007E29ED"/>
    <w:rsid w:val="007E2BB4"/>
    <w:rsid w:val="007E2CE4"/>
    <w:rsid w:val="007E333F"/>
    <w:rsid w:val="007E3A9A"/>
    <w:rsid w:val="007E3B27"/>
    <w:rsid w:val="007E4357"/>
    <w:rsid w:val="007E4589"/>
    <w:rsid w:val="007E45BC"/>
    <w:rsid w:val="007E4E3C"/>
    <w:rsid w:val="007E55D5"/>
    <w:rsid w:val="007E5979"/>
    <w:rsid w:val="007E6170"/>
    <w:rsid w:val="007E6396"/>
    <w:rsid w:val="007E6D89"/>
    <w:rsid w:val="007F0318"/>
    <w:rsid w:val="007F0875"/>
    <w:rsid w:val="007F1F66"/>
    <w:rsid w:val="007F23EA"/>
    <w:rsid w:val="007F282A"/>
    <w:rsid w:val="007F2BAA"/>
    <w:rsid w:val="007F304D"/>
    <w:rsid w:val="007F377D"/>
    <w:rsid w:val="007F3858"/>
    <w:rsid w:val="007F3977"/>
    <w:rsid w:val="007F3E9E"/>
    <w:rsid w:val="007F3F21"/>
    <w:rsid w:val="007F41A1"/>
    <w:rsid w:val="007F44E7"/>
    <w:rsid w:val="007F48B5"/>
    <w:rsid w:val="007F5BD7"/>
    <w:rsid w:val="007F5C97"/>
    <w:rsid w:val="007F60CF"/>
    <w:rsid w:val="007F6F35"/>
    <w:rsid w:val="007F754E"/>
    <w:rsid w:val="007F77C9"/>
    <w:rsid w:val="007F7C9B"/>
    <w:rsid w:val="0080015D"/>
    <w:rsid w:val="0080027F"/>
    <w:rsid w:val="0080256F"/>
    <w:rsid w:val="00802ACC"/>
    <w:rsid w:val="00804182"/>
    <w:rsid w:val="00804439"/>
    <w:rsid w:val="008044DD"/>
    <w:rsid w:val="00804BFC"/>
    <w:rsid w:val="00805864"/>
    <w:rsid w:val="00805DAC"/>
    <w:rsid w:val="008062ED"/>
    <w:rsid w:val="008063CF"/>
    <w:rsid w:val="0080666B"/>
    <w:rsid w:val="00806EC6"/>
    <w:rsid w:val="0080742E"/>
    <w:rsid w:val="0080771F"/>
    <w:rsid w:val="00807B79"/>
    <w:rsid w:val="00807B7B"/>
    <w:rsid w:val="00807CC8"/>
    <w:rsid w:val="0081081E"/>
    <w:rsid w:val="0081089E"/>
    <w:rsid w:val="00810BE8"/>
    <w:rsid w:val="00811821"/>
    <w:rsid w:val="00812D43"/>
    <w:rsid w:val="00812EBA"/>
    <w:rsid w:val="00813581"/>
    <w:rsid w:val="00813B65"/>
    <w:rsid w:val="00813FA4"/>
    <w:rsid w:val="008148C5"/>
    <w:rsid w:val="008163D2"/>
    <w:rsid w:val="008167EC"/>
    <w:rsid w:val="008173CC"/>
    <w:rsid w:val="00817F94"/>
    <w:rsid w:val="00821541"/>
    <w:rsid w:val="00821C80"/>
    <w:rsid w:val="00821D81"/>
    <w:rsid w:val="00822A30"/>
    <w:rsid w:val="00822FD5"/>
    <w:rsid w:val="00823107"/>
    <w:rsid w:val="00823558"/>
    <w:rsid w:val="008240E1"/>
    <w:rsid w:val="008249D4"/>
    <w:rsid w:val="0082534C"/>
    <w:rsid w:val="00825432"/>
    <w:rsid w:val="0082548A"/>
    <w:rsid w:val="00826C0D"/>
    <w:rsid w:val="00827038"/>
    <w:rsid w:val="00827DD7"/>
    <w:rsid w:val="00827DE6"/>
    <w:rsid w:val="008305BA"/>
    <w:rsid w:val="008326AB"/>
    <w:rsid w:val="008327B0"/>
    <w:rsid w:val="008327C2"/>
    <w:rsid w:val="00833C49"/>
    <w:rsid w:val="00833EC9"/>
    <w:rsid w:val="00835BBD"/>
    <w:rsid w:val="00835E4F"/>
    <w:rsid w:val="008365B6"/>
    <w:rsid w:val="00836932"/>
    <w:rsid w:val="00837393"/>
    <w:rsid w:val="008375D9"/>
    <w:rsid w:val="008400A8"/>
    <w:rsid w:val="00840A56"/>
    <w:rsid w:val="00840C63"/>
    <w:rsid w:val="008416AC"/>
    <w:rsid w:val="00842B86"/>
    <w:rsid w:val="00842F12"/>
    <w:rsid w:val="00843183"/>
    <w:rsid w:val="00843527"/>
    <w:rsid w:val="0084409A"/>
    <w:rsid w:val="00844642"/>
    <w:rsid w:val="00844BC8"/>
    <w:rsid w:val="00844EC5"/>
    <w:rsid w:val="0084518B"/>
    <w:rsid w:val="00845389"/>
    <w:rsid w:val="00845457"/>
    <w:rsid w:val="008458D0"/>
    <w:rsid w:val="00845DB6"/>
    <w:rsid w:val="00846AE1"/>
    <w:rsid w:val="008471BA"/>
    <w:rsid w:val="008472C1"/>
    <w:rsid w:val="00850111"/>
    <w:rsid w:val="0085146C"/>
    <w:rsid w:val="00851654"/>
    <w:rsid w:val="00851B25"/>
    <w:rsid w:val="00852F7C"/>
    <w:rsid w:val="00852FE6"/>
    <w:rsid w:val="008534C6"/>
    <w:rsid w:val="008539CE"/>
    <w:rsid w:val="00853ED0"/>
    <w:rsid w:val="0085416E"/>
    <w:rsid w:val="008546C6"/>
    <w:rsid w:val="00854ED2"/>
    <w:rsid w:val="0085505F"/>
    <w:rsid w:val="008552F8"/>
    <w:rsid w:val="0085648A"/>
    <w:rsid w:val="00856542"/>
    <w:rsid w:val="00856839"/>
    <w:rsid w:val="00857083"/>
    <w:rsid w:val="008571A2"/>
    <w:rsid w:val="00857D0F"/>
    <w:rsid w:val="008601EA"/>
    <w:rsid w:val="00860CCB"/>
    <w:rsid w:val="00860DDF"/>
    <w:rsid w:val="00860EFD"/>
    <w:rsid w:val="00861659"/>
    <w:rsid w:val="00861A30"/>
    <w:rsid w:val="00862077"/>
    <w:rsid w:val="00862A43"/>
    <w:rsid w:val="00862B7B"/>
    <w:rsid w:val="00862D01"/>
    <w:rsid w:val="00863BF9"/>
    <w:rsid w:val="00864E6B"/>
    <w:rsid w:val="0086546A"/>
    <w:rsid w:val="00865DD3"/>
    <w:rsid w:val="008663D6"/>
    <w:rsid w:val="00866652"/>
    <w:rsid w:val="00866779"/>
    <w:rsid w:val="00867026"/>
    <w:rsid w:val="008671FE"/>
    <w:rsid w:val="0086791B"/>
    <w:rsid w:val="00867DF2"/>
    <w:rsid w:val="008702A3"/>
    <w:rsid w:val="00870906"/>
    <w:rsid w:val="008716F2"/>
    <w:rsid w:val="0087208F"/>
    <w:rsid w:val="008724E6"/>
    <w:rsid w:val="0087318B"/>
    <w:rsid w:val="0087330D"/>
    <w:rsid w:val="0087375C"/>
    <w:rsid w:val="00873A68"/>
    <w:rsid w:val="00873E38"/>
    <w:rsid w:val="0087584B"/>
    <w:rsid w:val="008767E5"/>
    <w:rsid w:val="00876D54"/>
    <w:rsid w:val="008775DC"/>
    <w:rsid w:val="008776B0"/>
    <w:rsid w:val="00877EB5"/>
    <w:rsid w:val="00877F30"/>
    <w:rsid w:val="0088050A"/>
    <w:rsid w:val="00880822"/>
    <w:rsid w:val="00880DB1"/>
    <w:rsid w:val="0088283A"/>
    <w:rsid w:val="008831B6"/>
    <w:rsid w:val="00883534"/>
    <w:rsid w:val="008837DC"/>
    <w:rsid w:val="00884416"/>
    <w:rsid w:val="0088518A"/>
    <w:rsid w:val="00885FA9"/>
    <w:rsid w:val="008861C4"/>
    <w:rsid w:val="0088636D"/>
    <w:rsid w:val="00886FBF"/>
    <w:rsid w:val="0088716E"/>
    <w:rsid w:val="008879F3"/>
    <w:rsid w:val="00887A76"/>
    <w:rsid w:val="00887D4D"/>
    <w:rsid w:val="00890010"/>
    <w:rsid w:val="008901B4"/>
    <w:rsid w:val="00891A6A"/>
    <w:rsid w:val="00891D62"/>
    <w:rsid w:val="00892426"/>
    <w:rsid w:val="00892DE3"/>
    <w:rsid w:val="008931ED"/>
    <w:rsid w:val="00893338"/>
    <w:rsid w:val="0089363D"/>
    <w:rsid w:val="00893653"/>
    <w:rsid w:val="00893DBC"/>
    <w:rsid w:val="00893E1D"/>
    <w:rsid w:val="00893EC6"/>
    <w:rsid w:val="0089439C"/>
    <w:rsid w:val="00894459"/>
    <w:rsid w:val="008945F5"/>
    <w:rsid w:val="00894FA3"/>
    <w:rsid w:val="00895260"/>
    <w:rsid w:val="008952E3"/>
    <w:rsid w:val="008952F3"/>
    <w:rsid w:val="008958FF"/>
    <w:rsid w:val="00895A16"/>
    <w:rsid w:val="00896570"/>
    <w:rsid w:val="008969EB"/>
    <w:rsid w:val="00896BF8"/>
    <w:rsid w:val="008A00BE"/>
    <w:rsid w:val="008A05F4"/>
    <w:rsid w:val="008A062C"/>
    <w:rsid w:val="008A077F"/>
    <w:rsid w:val="008A0C62"/>
    <w:rsid w:val="008A16BB"/>
    <w:rsid w:val="008A1E0A"/>
    <w:rsid w:val="008A1EB6"/>
    <w:rsid w:val="008A1FEA"/>
    <w:rsid w:val="008A22E8"/>
    <w:rsid w:val="008A233E"/>
    <w:rsid w:val="008A3D81"/>
    <w:rsid w:val="008A5374"/>
    <w:rsid w:val="008A5B1A"/>
    <w:rsid w:val="008A5B87"/>
    <w:rsid w:val="008A5E2D"/>
    <w:rsid w:val="008A5FA5"/>
    <w:rsid w:val="008A6D3B"/>
    <w:rsid w:val="008B07A5"/>
    <w:rsid w:val="008B0BB5"/>
    <w:rsid w:val="008B1317"/>
    <w:rsid w:val="008B24AA"/>
    <w:rsid w:val="008B2B99"/>
    <w:rsid w:val="008B2E7B"/>
    <w:rsid w:val="008B392D"/>
    <w:rsid w:val="008B3C0C"/>
    <w:rsid w:val="008B54D9"/>
    <w:rsid w:val="008B54F7"/>
    <w:rsid w:val="008B5655"/>
    <w:rsid w:val="008B5887"/>
    <w:rsid w:val="008B6244"/>
    <w:rsid w:val="008B62A8"/>
    <w:rsid w:val="008B68D8"/>
    <w:rsid w:val="008B7C58"/>
    <w:rsid w:val="008C0952"/>
    <w:rsid w:val="008C1677"/>
    <w:rsid w:val="008C1CBC"/>
    <w:rsid w:val="008C3162"/>
    <w:rsid w:val="008C438B"/>
    <w:rsid w:val="008C454E"/>
    <w:rsid w:val="008C4E54"/>
    <w:rsid w:val="008C5C9E"/>
    <w:rsid w:val="008C6AB3"/>
    <w:rsid w:val="008C710A"/>
    <w:rsid w:val="008C7452"/>
    <w:rsid w:val="008C7714"/>
    <w:rsid w:val="008D104D"/>
    <w:rsid w:val="008D10BB"/>
    <w:rsid w:val="008D1A68"/>
    <w:rsid w:val="008D1E37"/>
    <w:rsid w:val="008D3378"/>
    <w:rsid w:val="008D3DF7"/>
    <w:rsid w:val="008D485B"/>
    <w:rsid w:val="008D4A34"/>
    <w:rsid w:val="008D50BC"/>
    <w:rsid w:val="008D5119"/>
    <w:rsid w:val="008D5D95"/>
    <w:rsid w:val="008D61F0"/>
    <w:rsid w:val="008D75D9"/>
    <w:rsid w:val="008E0089"/>
    <w:rsid w:val="008E00A3"/>
    <w:rsid w:val="008E0E85"/>
    <w:rsid w:val="008E14A4"/>
    <w:rsid w:val="008E1967"/>
    <w:rsid w:val="008E2357"/>
    <w:rsid w:val="008E3259"/>
    <w:rsid w:val="008E34A9"/>
    <w:rsid w:val="008E3B7A"/>
    <w:rsid w:val="008E3F3C"/>
    <w:rsid w:val="008E47D7"/>
    <w:rsid w:val="008E4F9C"/>
    <w:rsid w:val="008E5147"/>
    <w:rsid w:val="008E5A29"/>
    <w:rsid w:val="008E6113"/>
    <w:rsid w:val="008E6410"/>
    <w:rsid w:val="008E6550"/>
    <w:rsid w:val="008E6695"/>
    <w:rsid w:val="008E66E3"/>
    <w:rsid w:val="008E709D"/>
    <w:rsid w:val="008E795E"/>
    <w:rsid w:val="008E7C79"/>
    <w:rsid w:val="008F0022"/>
    <w:rsid w:val="008F024B"/>
    <w:rsid w:val="008F0A25"/>
    <w:rsid w:val="008F131D"/>
    <w:rsid w:val="008F1786"/>
    <w:rsid w:val="008F23AC"/>
    <w:rsid w:val="008F2DA9"/>
    <w:rsid w:val="008F3153"/>
    <w:rsid w:val="008F3337"/>
    <w:rsid w:val="008F4143"/>
    <w:rsid w:val="008F41BB"/>
    <w:rsid w:val="008F41D6"/>
    <w:rsid w:val="008F4445"/>
    <w:rsid w:val="008F4E60"/>
    <w:rsid w:val="008F51DE"/>
    <w:rsid w:val="008F5967"/>
    <w:rsid w:val="008F5BBC"/>
    <w:rsid w:val="008F5D27"/>
    <w:rsid w:val="008F6EF3"/>
    <w:rsid w:val="008F74D9"/>
    <w:rsid w:val="00900B3D"/>
    <w:rsid w:val="009011C5"/>
    <w:rsid w:val="00901250"/>
    <w:rsid w:val="009015B1"/>
    <w:rsid w:val="0090248E"/>
    <w:rsid w:val="00903D80"/>
    <w:rsid w:val="009051FF"/>
    <w:rsid w:val="009055FF"/>
    <w:rsid w:val="009058AE"/>
    <w:rsid w:val="00905BF3"/>
    <w:rsid w:val="00906535"/>
    <w:rsid w:val="00906C9C"/>
    <w:rsid w:val="00907692"/>
    <w:rsid w:val="00907C99"/>
    <w:rsid w:val="00907D2E"/>
    <w:rsid w:val="009101FB"/>
    <w:rsid w:val="00911474"/>
    <w:rsid w:val="00911AB9"/>
    <w:rsid w:val="00911AC0"/>
    <w:rsid w:val="00911EB4"/>
    <w:rsid w:val="0091257F"/>
    <w:rsid w:val="009125B7"/>
    <w:rsid w:val="009125C5"/>
    <w:rsid w:val="00913A24"/>
    <w:rsid w:val="00913C1A"/>
    <w:rsid w:val="00914338"/>
    <w:rsid w:val="00914AA6"/>
    <w:rsid w:val="00914D50"/>
    <w:rsid w:val="0091511C"/>
    <w:rsid w:val="0091713A"/>
    <w:rsid w:val="0091720E"/>
    <w:rsid w:val="00917779"/>
    <w:rsid w:val="00917949"/>
    <w:rsid w:val="00920079"/>
    <w:rsid w:val="009201A5"/>
    <w:rsid w:val="009206D3"/>
    <w:rsid w:val="00920C2D"/>
    <w:rsid w:val="00921227"/>
    <w:rsid w:val="0092246F"/>
    <w:rsid w:val="00922D86"/>
    <w:rsid w:val="00922F15"/>
    <w:rsid w:val="0092330D"/>
    <w:rsid w:val="00923409"/>
    <w:rsid w:val="00923AB6"/>
    <w:rsid w:val="009243E6"/>
    <w:rsid w:val="00924574"/>
    <w:rsid w:val="00924669"/>
    <w:rsid w:val="00924A4A"/>
    <w:rsid w:val="00926757"/>
    <w:rsid w:val="00926D84"/>
    <w:rsid w:val="009274FF"/>
    <w:rsid w:val="009301D3"/>
    <w:rsid w:val="009306AF"/>
    <w:rsid w:val="0093105E"/>
    <w:rsid w:val="00931219"/>
    <w:rsid w:val="00932612"/>
    <w:rsid w:val="00933F09"/>
    <w:rsid w:val="0093701E"/>
    <w:rsid w:val="00937659"/>
    <w:rsid w:val="00937B1B"/>
    <w:rsid w:val="009410F2"/>
    <w:rsid w:val="0094170A"/>
    <w:rsid w:val="00941783"/>
    <w:rsid w:val="00941C6F"/>
    <w:rsid w:val="00941EB2"/>
    <w:rsid w:val="00942D83"/>
    <w:rsid w:val="0094352A"/>
    <w:rsid w:val="009437B5"/>
    <w:rsid w:val="00943F3E"/>
    <w:rsid w:val="00943FDB"/>
    <w:rsid w:val="009443B2"/>
    <w:rsid w:val="00944683"/>
    <w:rsid w:val="00944A09"/>
    <w:rsid w:val="00944AD2"/>
    <w:rsid w:val="00945527"/>
    <w:rsid w:val="00945888"/>
    <w:rsid w:val="0094664F"/>
    <w:rsid w:val="00946821"/>
    <w:rsid w:val="00946C5B"/>
    <w:rsid w:val="00946F24"/>
    <w:rsid w:val="00947185"/>
    <w:rsid w:val="00947650"/>
    <w:rsid w:val="00947698"/>
    <w:rsid w:val="0094787A"/>
    <w:rsid w:val="00950440"/>
    <w:rsid w:val="00950B41"/>
    <w:rsid w:val="0095113E"/>
    <w:rsid w:val="009516E4"/>
    <w:rsid w:val="00952115"/>
    <w:rsid w:val="0095220D"/>
    <w:rsid w:val="00952411"/>
    <w:rsid w:val="00952ECA"/>
    <w:rsid w:val="00952FF4"/>
    <w:rsid w:val="00953CCF"/>
    <w:rsid w:val="00954227"/>
    <w:rsid w:val="009545A1"/>
    <w:rsid w:val="00954706"/>
    <w:rsid w:val="009547C7"/>
    <w:rsid w:val="00954D08"/>
    <w:rsid w:val="0095569C"/>
    <w:rsid w:val="00955A23"/>
    <w:rsid w:val="00956404"/>
    <w:rsid w:val="00956A29"/>
    <w:rsid w:val="0095711A"/>
    <w:rsid w:val="00960AC4"/>
    <w:rsid w:val="00960CCF"/>
    <w:rsid w:val="009611CC"/>
    <w:rsid w:val="00961A1D"/>
    <w:rsid w:val="00961D78"/>
    <w:rsid w:val="00962E37"/>
    <w:rsid w:val="00963786"/>
    <w:rsid w:val="00965570"/>
    <w:rsid w:val="00966197"/>
    <w:rsid w:val="00966480"/>
    <w:rsid w:val="009665FD"/>
    <w:rsid w:val="00966985"/>
    <w:rsid w:val="00966995"/>
    <w:rsid w:val="00967689"/>
    <w:rsid w:val="0096781F"/>
    <w:rsid w:val="00967FE4"/>
    <w:rsid w:val="00970234"/>
    <w:rsid w:val="00970451"/>
    <w:rsid w:val="00970E1E"/>
    <w:rsid w:val="00971103"/>
    <w:rsid w:val="00971A78"/>
    <w:rsid w:val="00973857"/>
    <w:rsid w:val="00973989"/>
    <w:rsid w:val="0097437A"/>
    <w:rsid w:val="00974A7D"/>
    <w:rsid w:val="00974D68"/>
    <w:rsid w:val="00975159"/>
    <w:rsid w:val="0097528B"/>
    <w:rsid w:val="00975752"/>
    <w:rsid w:val="00975F84"/>
    <w:rsid w:val="00976399"/>
    <w:rsid w:val="009765DF"/>
    <w:rsid w:val="0097698A"/>
    <w:rsid w:val="00977970"/>
    <w:rsid w:val="00977EA7"/>
    <w:rsid w:val="009805AA"/>
    <w:rsid w:val="00980B05"/>
    <w:rsid w:val="0098266D"/>
    <w:rsid w:val="00982AA0"/>
    <w:rsid w:val="00982C97"/>
    <w:rsid w:val="00982EED"/>
    <w:rsid w:val="009830B4"/>
    <w:rsid w:val="009833EF"/>
    <w:rsid w:val="00984FF8"/>
    <w:rsid w:val="00985369"/>
    <w:rsid w:val="0098596D"/>
    <w:rsid w:val="00985996"/>
    <w:rsid w:val="009869A0"/>
    <w:rsid w:val="00987C93"/>
    <w:rsid w:val="00987D23"/>
    <w:rsid w:val="00990467"/>
    <w:rsid w:val="0099080E"/>
    <w:rsid w:val="00990CAC"/>
    <w:rsid w:val="00991072"/>
    <w:rsid w:val="00991213"/>
    <w:rsid w:val="0099124E"/>
    <w:rsid w:val="009913B4"/>
    <w:rsid w:val="00992107"/>
    <w:rsid w:val="00993240"/>
    <w:rsid w:val="009936EC"/>
    <w:rsid w:val="00993CB9"/>
    <w:rsid w:val="00993EE8"/>
    <w:rsid w:val="009949B3"/>
    <w:rsid w:val="00995295"/>
    <w:rsid w:val="00995485"/>
    <w:rsid w:val="00996626"/>
    <w:rsid w:val="00997E13"/>
    <w:rsid w:val="009A01C1"/>
    <w:rsid w:val="009A0FCC"/>
    <w:rsid w:val="009A1764"/>
    <w:rsid w:val="009A1A1C"/>
    <w:rsid w:val="009A1C2B"/>
    <w:rsid w:val="009A28E5"/>
    <w:rsid w:val="009A3868"/>
    <w:rsid w:val="009A3EE0"/>
    <w:rsid w:val="009A477C"/>
    <w:rsid w:val="009A47B7"/>
    <w:rsid w:val="009A5538"/>
    <w:rsid w:val="009A5FD5"/>
    <w:rsid w:val="009A6136"/>
    <w:rsid w:val="009A62DF"/>
    <w:rsid w:val="009A699A"/>
    <w:rsid w:val="009A6A79"/>
    <w:rsid w:val="009A6CCB"/>
    <w:rsid w:val="009A6E2C"/>
    <w:rsid w:val="009A7E8C"/>
    <w:rsid w:val="009B15E1"/>
    <w:rsid w:val="009B15FC"/>
    <w:rsid w:val="009B1605"/>
    <w:rsid w:val="009B1988"/>
    <w:rsid w:val="009B1A25"/>
    <w:rsid w:val="009B1F85"/>
    <w:rsid w:val="009B2699"/>
    <w:rsid w:val="009B2E8D"/>
    <w:rsid w:val="009B3026"/>
    <w:rsid w:val="009B3621"/>
    <w:rsid w:val="009B4481"/>
    <w:rsid w:val="009B538A"/>
    <w:rsid w:val="009B5453"/>
    <w:rsid w:val="009B551D"/>
    <w:rsid w:val="009B55B5"/>
    <w:rsid w:val="009B5FC8"/>
    <w:rsid w:val="009B6B23"/>
    <w:rsid w:val="009B6C16"/>
    <w:rsid w:val="009C0345"/>
    <w:rsid w:val="009C1100"/>
    <w:rsid w:val="009C138A"/>
    <w:rsid w:val="009C2088"/>
    <w:rsid w:val="009C2A48"/>
    <w:rsid w:val="009C2BFE"/>
    <w:rsid w:val="009C3005"/>
    <w:rsid w:val="009C303F"/>
    <w:rsid w:val="009C352B"/>
    <w:rsid w:val="009C3D2E"/>
    <w:rsid w:val="009C43A3"/>
    <w:rsid w:val="009C457C"/>
    <w:rsid w:val="009C5C0A"/>
    <w:rsid w:val="009C62F5"/>
    <w:rsid w:val="009C6699"/>
    <w:rsid w:val="009C68DE"/>
    <w:rsid w:val="009C7964"/>
    <w:rsid w:val="009C7C4F"/>
    <w:rsid w:val="009D00A3"/>
    <w:rsid w:val="009D1258"/>
    <w:rsid w:val="009D170D"/>
    <w:rsid w:val="009D2401"/>
    <w:rsid w:val="009D2C1C"/>
    <w:rsid w:val="009D3AA9"/>
    <w:rsid w:val="009D3CA3"/>
    <w:rsid w:val="009D43D6"/>
    <w:rsid w:val="009D4740"/>
    <w:rsid w:val="009D58D0"/>
    <w:rsid w:val="009D6ADE"/>
    <w:rsid w:val="009D6F09"/>
    <w:rsid w:val="009D7E4D"/>
    <w:rsid w:val="009E1057"/>
    <w:rsid w:val="009E274D"/>
    <w:rsid w:val="009E28B5"/>
    <w:rsid w:val="009E2938"/>
    <w:rsid w:val="009E2F74"/>
    <w:rsid w:val="009E37D6"/>
    <w:rsid w:val="009E40AA"/>
    <w:rsid w:val="009E40B9"/>
    <w:rsid w:val="009E5A14"/>
    <w:rsid w:val="009E65E8"/>
    <w:rsid w:val="009E6CC5"/>
    <w:rsid w:val="009E76AF"/>
    <w:rsid w:val="009F044D"/>
    <w:rsid w:val="009F099A"/>
    <w:rsid w:val="009F0B3F"/>
    <w:rsid w:val="009F0BE8"/>
    <w:rsid w:val="009F1669"/>
    <w:rsid w:val="009F166A"/>
    <w:rsid w:val="009F1691"/>
    <w:rsid w:val="009F2B76"/>
    <w:rsid w:val="009F2CE8"/>
    <w:rsid w:val="009F36D9"/>
    <w:rsid w:val="009F3B0B"/>
    <w:rsid w:val="009F3B0E"/>
    <w:rsid w:val="009F4079"/>
    <w:rsid w:val="009F41D3"/>
    <w:rsid w:val="009F4327"/>
    <w:rsid w:val="009F4CA5"/>
    <w:rsid w:val="009F4D9B"/>
    <w:rsid w:val="009F517B"/>
    <w:rsid w:val="009F567C"/>
    <w:rsid w:val="009F593F"/>
    <w:rsid w:val="009F5AB9"/>
    <w:rsid w:val="009F5B13"/>
    <w:rsid w:val="009F6394"/>
    <w:rsid w:val="009F674C"/>
    <w:rsid w:val="009F6B43"/>
    <w:rsid w:val="009F6F22"/>
    <w:rsid w:val="009F7585"/>
    <w:rsid w:val="009F7909"/>
    <w:rsid w:val="009F7A17"/>
    <w:rsid w:val="00A0099D"/>
    <w:rsid w:val="00A00AB5"/>
    <w:rsid w:val="00A00C9A"/>
    <w:rsid w:val="00A01B9B"/>
    <w:rsid w:val="00A01CAE"/>
    <w:rsid w:val="00A026DA"/>
    <w:rsid w:val="00A026FF"/>
    <w:rsid w:val="00A02910"/>
    <w:rsid w:val="00A0331A"/>
    <w:rsid w:val="00A036A8"/>
    <w:rsid w:val="00A03943"/>
    <w:rsid w:val="00A03F33"/>
    <w:rsid w:val="00A040F4"/>
    <w:rsid w:val="00A04FD0"/>
    <w:rsid w:val="00A065E1"/>
    <w:rsid w:val="00A07518"/>
    <w:rsid w:val="00A07674"/>
    <w:rsid w:val="00A10218"/>
    <w:rsid w:val="00A104D1"/>
    <w:rsid w:val="00A1102C"/>
    <w:rsid w:val="00A116A6"/>
    <w:rsid w:val="00A12C80"/>
    <w:rsid w:val="00A13127"/>
    <w:rsid w:val="00A1327F"/>
    <w:rsid w:val="00A14303"/>
    <w:rsid w:val="00A14429"/>
    <w:rsid w:val="00A1539F"/>
    <w:rsid w:val="00A15EF4"/>
    <w:rsid w:val="00A15FAF"/>
    <w:rsid w:val="00A1694F"/>
    <w:rsid w:val="00A170BF"/>
    <w:rsid w:val="00A1720B"/>
    <w:rsid w:val="00A1723C"/>
    <w:rsid w:val="00A177E1"/>
    <w:rsid w:val="00A20092"/>
    <w:rsid w:val="00A20ED7"/>
    <w:rsid w:val="00A21546"/>
    <w:rsid w:val="00A21C1D"/>
    <w:rsid w:val="00A2272F"/>
    <w:rsid w:val="00A23083"/>
    <w:rsid w:val="00A2520A"/>
    <w:rsid w:val="00A2557C"/>
    <w:rsid w:val="00A2582A"/>
    <w:rsid w:val="00A25C40"/>
    <w:rsid w:val="00A265EF"/>
    <w:rsid w:val="00A270D8"/>
    <w:rsid w:val="00A2723E"/>
    <w:rsid w:val="00A27584"/>
    <w:rsid w:val="00A27FD3"/>
    <w:rsid w:val="00A30005"/>
    <w:rsid w:val="00A30797"/>
    <w:rsid w:val="00A30B42"/>
    <w:rsid w:val="00A30FE5"/>
    <w:rsid w:val="00A32261"/>
    <w:rsid w:val="00A328A7"/>
    <w:rsid w:val="00A32AE1"/>
    <w:rsid w:val="00A32D01"/>
    <w:rsid w:val="00A335DD"/>
    <w:rsid w:val="00A33C34"/>
    <w:rsid w:val="00A33E24"/>
    <w:rsid w:val="00A34858"/>
    <w:rsid w:val="00A34DC8"/>
    <w:rsid w:val="00A34F0F"/>
    <w:rsid w:val="00A35143"/>
    <w:rsid w:val="00A35BFD"/>
    <w:rsid w:val="00A35F91"/>
    <w:rsid w:val="00A36865"/>
    <w:rsid w:val="00A370EC"/>
    <w:rsid w:val="00A37633"/>
    <w:rsid w:val="00A40A26"/>
    <w:rsid w:val="00A40CE6"/>
    <w:rsid w:val="00A4127F"/>
    <w:rsid w:val="00A421E4"/>
    <w:rsid w:val="00A42C90"/>
    <w:rsid w:val="00A43D86"/>
    <w:rsid w:val="00A440C1"/>
    <w:rsid w:val="00A44393"/>
    <w:rsid w:val="00A44558"/>
    <w:rsid w:val="00A44642"/>
    <w:rsid w:val="00A4532D"/>
    <w:rsid w:val="00A4595D"/>
    <w:rsid w:val="00A45E20"/>
    <w:rsid w:val="00A461D3"/>
    <w:rsid w:val="00A462A7"/>
    <w:rsid w:val="00A479BF"/>
    <w:rsid w:val="00A47F75"/>
    <w:rsid w:val="00A50A21"/>
    <w:rsid w:val="00A53570"/>
    <w:rsid w:val="00A5360F"/>
    <w:rsid w:val="00A55480"/>
    <w:rsid w:val="00A5559A"/>
    <w:rsid w:val="00A56418"/>
    <w:rsid w:val="00A56484"/>
    <w:rsid w:val="00A56CAC"/>
    <w:rsid w:val="00A579E7"/>
    <w:rsid w:val="00A60AFE"/>
    <w:rsid w:val="00A60D90"/>
    <w:rsid w:val="00A6125F"/>
    <w:rsid w:val="00A614F5"/>
    <w:rsid w:val="00A61A3F"/>
    <w:rsid w:val="00A61A46"/>
    <w:rsid w:val="00A62027"/>
    <w:rsid w:val="00A6360F"/>
    <w:rsid w:val="00A63BA7"/>
    <w:rsid w:val="00A64354"/>
    <w:rsid w:val="00A6461B"/>
    <w:rsid w:val="00A657B9"/>
    <w:rsid w:val="00A66053"/>
    <w:rsid w:val="00A66384"/>
    <w:rsid w:val="00A66CC5"/>
    <w:rsid w:val="00A676CE"/>
    <w:rsid w:val="00A67CD6"/>
    <w:rsid w:val="00A7023C"/>
    <w:rsid w:val="00A714E1"/>
    <w:rsid w:val="00A7158A"/>
    <w:rsid w:val="00A71890"/>
    <w:rsid w:val="00A71923"/>
    <w:rsid w:val="00A727D8"/>
    <w:rsid w:val="00A72A38"/>
    <w:rsid w:val="00A73A18"/>
    <w:rsid w:val="00A74082"/>
    <w:rsid w:val="00A744ED"/>
    <w:rsid w:val="00A80509"/>
    <w:rsid w:val="00A80C79"/>
    <w:rsid w:val="00A80E44"/>
    <w:rsid w:val="00A814D5"/>
    <w:rsid w:val="00A81B40"/>
    <w:rsid w:val="00A81C59"/>
    <w:rsid w:val="00A81FE7"/>
    <w:rsid w:val="00A82717"/>
    <w:rsid w:val="00A8302E"/>
    <w:rsid w:val="00A836D7"/>
    <w:rsid w:val="00A850C2"/>
    <w:rsid w:val="00A85438"/>
    <w:rsid w:val="00A8604E"/>
    <w:rsid w:val="00A87053"/>
    <w:rsid w:val="00A87125"/>
    <w:rsid w:val="00A87A92"/>
    <w:rsid w:val="00A87ADD"/>
    <w:rsid w:val="00A87B98"/>
    <w:rsid w:val="00A87E5B"/>
    <w:rsid w:val="00A87F3E"/>
    <w:rsid w:val="00A90A09"/>
    <w:rsid w:val="00A91057"/>
    <w:rsid w:val="00A9136D"/>
    <w:rsid w:val="00A91D24"/>
    <w:rsid w:val="00A91E71"/>
    <w:rsid w:val="00A926BC"/>
    <w:rsid w:val="00A92D32"/>
    <w:rsid w:val="00A934A5"/>
    <w:rsid w:val="00A9410E"/>
    <w:rsid w:val="00A94165"/>
    <w:rsid w:val="00A94654"/>
    <w:rsid w:val="00A948C0"/>
    <w:rsid w:val="00A950C3"/>
    <w:rsid w:val="00A95306"/>
    <w:rsid w:val="00A954C9"/>
    <w:rsid w:val="00A95BF4"/>
    <w:rsid w:val="00A9622F"/>
    <w:rsid w:val="00A9735B"/>
    <w:rsid w:val="00A9797C"/>
    <w:rsid w:val="00AA0BF0"/>
    <w:rsid w:val="00AA10F9"/>
    <w:rsid w:val="00AA14A2"/>
    <w:rsid w:val="00AA17E3"/>
    <w:rsid w:val="00AA2357"/>
    <w:rsid w:val="00AA2D19"/>
    <w:rsid w:val="00AA2D73"/>
    <w:rsid w:val="00AA379C"/>
    <w:rsid w:val="00AA3C1E"/>
    <w:rsid w:val="00AA4274"/>
    <w:rsid w:val="00AA5DEC"/>
    <w:rsid w:val="00AB12FA"/>
    <w:rsid w:val="00AB287F"/>
    <w:rsid w:val="00AB32AE"/>
    <w:rsid w:val="00AB3421"/>
    <w:rsid w:val="00AB3921"/>
    <w:rsid w:val="00AB4105"/>
    <w:rsid w:val="00AB50AD"/>
    <w:rsid w:val="00AB6467"/>
    <w:rsid w:val="00AB6540"/>
    <w:rsid w:val="00AB6640"/>
    <w:rsid w:val="00AB6882"/>
    <w:rsid w:val="00AB7442"/>
    <w:rsid w:val="00AB795A"/>
    <w:rsid w:val="00AB7965"/>
    <w:rsid w:val="00AB7BE9"/>
    <w:rsid w:val="00AB7D26"/>
    <w:rsid w:val="00AC0144"/>
    <w:rsid w:val="00AC0749"/>
    <w:rsid w:val="00AC0B14"/>
    <w:rsid w:val="00AC0C46"/>
    <w:rsid w:val="00AC0CC3"/>
    <w:rsid w:val="00AC1CCC"/>
    <w:rsid w:val="00AC21A5"/>
    <w:rsid w:val="00AC2289"/>
    <w:rsid w:val="00AC267E"/>
    <w:rsid w:val="00AC51B8"/>
    <w:rsid w:val="00AC6C58"/>
    <w:rsid w:val="00AC7ED9"/>
    <w:rsid w:val="00AD056F"/>
    <w:rsid w:val="00AD09F6"/>
    <w:rsid w:val="00AD0BB9"/>
    <w:rsid w:val="00AD1227"/>
    <w:rsid w:val="00AD1395"/>
    <w:rsid w:val="00AD15F9"/>
    <w:rsid w:val="00AD178C"/>
    <w:rsid w:val="00AD195D"/>
    <w:rsid w:val="00AD1C4A"/>
    <w:rsid w:val="00AD3456"/>
    <w:rsid w:val="00AD3E2D"/>
    <w:rsid w:val="00AD3F9D"/>
    <w:rsid w:val="00AD3FC5"/>
    <w:rsid w:val="00AD4A5F"/>
    <w:rsid w:val="00AD4B8F"/>
    <w:rsid w:val="00AD6DB2"/>
    <w:rsid w:val="00AD7C47"/>
    <w:rsid w:val="00AE1850"/>
    <w:rsid w:val="00AE1D9D"/>
    <w:rsid w:val="00AE2D69"/>
    <w:rsid w:val="00AE32FC"/>
    <w:rsid w:val="00AE3333"/>
    <w:rsid w:val="00AE39AB"/>
    <w:rsid w:val="00AE3DA0"/>
    <w:rsid w:val="00AE45B9"/>
    <w:rsid w:val="00AE47DB"/>
    <w:rsid w:val="00AE4B05"/>
    <w:rsid w:val="00AE5C46"/>
    <w:rsid w:val="00AE5E78"/>
    <w:rsid w:val="00AE642F"/>
    <w:rsid w:val="00AE7CAB"/>
    <w:rsid w:val="00AE7D92"/>
    <w:rsid w:val="00AE7FB9"/>
    <w:rsid w:val="00AF02C5"/>
    <w:rsid w:val="00AF06F3"/>
    <w:rsid w:val="00AF0B36"/>
    <w:rsid w:val="00AF157C"/>
    <w:rsid w:val="00AF1762"/>
    <w:rsid w:val="00AF1B0F"/>
    <w:rsid w:val="00AF26D3"/>
    <w:rsid w:val="00AF2994"/>
    <w:rsid w:val="00AF37E4"/>
    <w:rsid w:val="00AF3BE3"/>
    <w:rsid w:val="00AF3CAA"/>
    <w:rsid w:val="00AF3D48"/>
    <w:rsid w:val="00AF4191"/>
    <w:rsid w:val="00AF4B92"/>
    <w:rsid w:val="00AF4BA1"/>
    <w:rsid w:val="00AF5812"/>
    <w:rsid w:val="00AF5920"/>
    <w:rsid w:val="00AF5ACA"/>
    <w:rsid w:val="00AF7496"/>
    <w:rsid w:val="00AF7F5E"/>
    <w:rsid w:val="00B0063D"/>
    <w:rsid w:val="00B0130D"/>
    <w:rsid w:val="00B02742"/>
    <w:rsid w:val="00B02A9F"/>
    <w:rsid w:val="00B02AB2"/>
    <w:rsid w:val="00B049E1"/>
    <w:rsid w:val="00B04ABA"/>
    <w:rsid w:val="00B04EDD"/>
    <w:rsid w:val="00B05667"/>
    <w:rsid w:val="00B05A83"/>
    <w:rsid w:val="00B05D7B"/>
    <w:rsid w:val="00B060DF"/>
    <w:rsid w:val="00B0623D"/>
    <w:rsid w:val="00B06C40"/>
    <w:rsid w:val="00B06F9D"/>
    <w:rsid w:val="00B0772E"/>
    <w:rsid w:val="00B0783F"/>
    <w:rsid w:val="00B07A92"/>
    <w:rsid w:val="00B07EB9"/>
    <w:rsid w:val="00B10292"/>
    <w:rsid w:val="00B1056E"/>
    <w:rsid w:val="00B107F3"/>
    <w:rsid w:val="00B10A0A"/>
    <w:rsid w:val="00B10C51"/>
    <w:rsid w:val="00B11EDB"/>
    <w:rsid w:val="00B120C2"/>
    <w:rsid w:val="00B122E3"/>
    <w:rsid w:val="00B128A3"/>
    <w:rsid w:val="00B12CED"/>
    <w:rsid w:val="00B1338E"/>
    <w:rsid w:val="00B134F8"/>
    <w:rsid w:val="00B1384A"/>
    <w:rsid w:val="00B13AB8"/>
    <w:rsid w:val="00B13BE9"/>
    <w:rsid w:val="00B1468D"/>
    <w:rsid w:val="00B14F5D"/>
    <w:rsid w:val="00B15681"/>
    <w:rsid w:val="00B1724F"/>
    <w:rsid w:val="00B1731C"/>
    <w:rsid w:val="00B201CF"/>
    <w:rsid w:val="00B209AF"/>
    <w:rsid w:val="00B20B91"/>
    <w:rsid w:val="00B211DC"/>
    <w:rsid w:val="00B21889"/>
    <w:rsid w:val="00B21EAA"/>
    <w:rsid w:val="00B2213A"/>
    <w:rsid w:val="00B227F9"/>
    <w:rsid w:val="00B22DE6"/>
    <w:rsid w:val="00B23121"/>
    <w:rsid w:val="00B241DC"/>
    <w:rsid w:val="00B248D1"/>
    <w:rsid w:val="00B26322"/>
    <w:rsid w:val="00B267B2"/>
    <w:rsid w:val="00B269E7"/>
    <w:rsid w:val="00B279B5"/>
    <w:rsid w:val="00B27F34"/>
    <w:rsid w:val="00B3139F"/>
    <w:rsid w:val="00B3181B"/>
    <w:rsid w:val="00B31925"/>
    <w:rsid w:val="00B322D3"/>
    <w:rsid w:val="00B32BCC"/>
    <w:rsid w:val="00B32E16"/>
    <w:rsid w:val="00B33172"/>
    <w:rsid w:val="00B335EB"/>
    <w:rsid w:val="00B337C0"/>
    <w:rsid w:val="00B33BC8"/>
    <w:rsid w:val="00B33CBD"/>
    <w:rsid w:val="00B33F84"/>
    <w:rsid w:val="00B34B8B"/>
    <w:rsid w:val="00B3515D"/>
    <w:rsid w:val="00B35181"/>
    <w:rsid w:val="00B35651"/>
    <w:rsid w:val="00B35AA7"/>
    <w:rsid w:val="00B35B3F"/>
    <w:rsid w:val="00B35C73"/>
    <w:rsid w:val="00B35CE3"/>
    <w:rsid w:val="00B35F8F"/>
    <w:rsid w:val="00B3749B"/>
    <w:rsid w:val="00B409D8"/>
    <w:rsid w:val="00B40D02"/>
    <w:rsid w:val="00B40D48"/>
    <w:rsid w:val="00B42D9F"/>
    <w:rsid w:val="00B441F7"/>
    <w:rsid w:val="00B446CB"/>
    <w:rsid w:val="00B44D42"/>
    <w:rsid w:val="00B45614"/>
    <w:rsid w:val="00B46771"/>
    <w:rsid w:val="00B46D89"/>
    <w:rsid w:val="00B46F0C"/>
    <w:rsid w:val="00B47B11"/>
    <w:rsid w:val="00B500B1"/>
    <w:rsid w:val="00B50B83"/>
    <w:rsid w:val="00B51A2B"/>
    <w:rsid w:val="00B51F6E"/>
    <w:rsid w:val="00B52443"/>
    <w:rsid w:val="00B52E3E"/>
    <w:rsid w:val="00B53922"/>
    <w:rsid w:val="00B53EF5"/>
    <w:rsid w:val="00B54BAB"/>
    <w:rsid w:val="00B55406"/>
    <w:rsid w:val="00B554D7"/>
    <w:rsid w:val="00B55E5A"/>
    <w:rsid w:val="00B562CA"/>
    <w:rsid w:val="00B571AE"/>
    <w:rsid w:val="00B577CA"/>
    <w:rsid w:val="00B578E6"/>
    <w:rsid w:val="00B6028C"/>
    <w:rsid w:val="00B608F1"/>
    <w:rsid w:val="00B608FF"/>
    <w:rsid w:val="00B613E4"/>
    <w:rsid w:val="00B61E0A"/>
    <w:rsid w:val="00B62B3D"/>
    <w:rsid w:val="00B62D04"/>
    <w:rsid w:val="00B63109"/>
    <w:rsid w:val="00B63962"/>
    <w:rsid w:val="00B63C6D"/>
    <w:rsid w:val="00B6416C"/>
    <w:rsid w:val="00B645E6"/>
    <w:rsid w:val="00B6464C"/>
    <w:rsid w:val="00B64E49"/>
    <w:rsid w:val="00B65505"/>
    <w:rsid w:val="00B6566D"/>
    <w:rsid w:val="00B65F5E"/>
    <w:rsid w:val="00B66168"/>
    <w:rsid w:val="00B6639B"/>
    <w:rsid w:val="00B66AD8"/>
    <w:rsid w:val="00B6727B"/>
    <w:rsid w:val="00B67ECB"/>
    <w:rsid w:val="00B702B6"/>
    <w:rsid w:val="00B70DF5"/>
    <w:rsid w:val="00B70FAF"/>
    <w:rsid w:val="00B71092"/>
    <w:rsid w:val="00B71991"/>
    <w:rsid w:val="00B71D2F"/>
    <w:rsid w:val="00B72EB0"/>
    <w:rsid w:val="00B72FCB"/>
    <w:rsid w:val="00B738E9"/>
    <w:rsid w:val="00B74498"/>
    <w:rsid w:val="00B7545F"/>
    <w:rsid w:val="00B75844"/>
    <w:rsid w:val="00B75CCC"/>
    <w:rsid w:val="00B7623E"/>
    <w:rsid w:val="00B76379"/>
    <w:rsid w:val="00B766CE"/>
    <w:rsid w:val="00B76BA9"/>
    <w:rsid w:val="00B7711E"/>
    <w:rsid w:val="00B771F7"/>
    <w:rsid w:val="00B775AF"/>
    <w:rsid w:val="00B77D4E"/>
    <w:rsid w:val="00B80313"/>
    <w:rsid w:val="00B80632"/>
    <w:rsid w:val="00B8068A"/>
    <w:rsid w:val="00B80980"/>
    <w:rsid w:val="00B80B5C"/>
    <w:rsid w:val="00B80FE8"/>
    <w:rsid w:val="00B816DE"/>
    <w:rsid w:val="00B81980"/>
    <w:rsid w:val="00B81ADA"/>
    <w:rsid w:val="00B8283D"/>
    <w:rsid w:val="00B82880"/>
    <w:rsid w:val="00B82950"/>
    <w:rsid w:val="00B82BF2"/>
    <w:rsid w:val="00B835EC"/>
    <w:rsid w:val="00B83CDC"/>
    <w:rsid w:val="00B83F6A"/>
    <w:rsid w:val="00B8407E"/>
    <w:rsid w:val="00B840B3"/>
    <w:rsid w:val="00B85190"/>
    <w:rsid w:val="00B85522"/>
    <w:rsid w:val="00B862CD"/>
    <w:rsid w:val="00B86580"/>
    <w:rsid w:val="00B87C5A"/>
    <w:rsid w:val="00B90CCD"/>
    <w:rsid w:val="00B90F14"/>
    <w:rsid w:val="00B910B5"/>
    <w:rsid w:val="00B922D0"/>
    <w:rsid w:val="00B92902"/>
    <w:rsid w:val="00B92AD4"/>
    <w:rsid w:val="00B937D6"/>
    <w:rsid w:val="00B937FE"/>
    <w:rsid w:val="00B93A5A"/>
    <w:rsid w:val="00B93A96"/>
    <w:rsid w:val="00B93EFD"/>
    <w:rsid w:val="00B94004"/>
    <w:rsid w:val="00B94410"/>
    <w:rsid w:val="00B94751"/>
    <w:rsid w:val="00B95716"/>
    <w:rsid w:val="00B9681B"/>
    <w:rsid w:val="00B9696C"/>
    <w:rsid w:val="00B97E7E"/>
    <w:rsid w:val="00B97E94"/>
    <w:rsid w:val="00BA0DC7"/>
    <w:rsid w:val="00BA0FBA"/>
    <w:rsid w:val="00BA13A6"/>
    <w:rsid w:val="00BA1E06"/>
    <w:rsid w:val="00BA22EE"/>
    <w:rsid w:val="00BA2AFA"/>
    <w:rsid w:val="00BA2BE3"/>
    <w:rsid w:val="00BA370B"/>
    <w:rsid w:val="00BA4FA1"/>
    <w:rsid w:val="00BA5606"/>
    <w:rsid w:val="00BA564F"/>
    <w:rsid w:val="00BA5871"/>
    <w:rsid w:val="00BA5879"/>
    <w:rsid w:val="00BA5D9C"/>
    <w:rsid w:val="00BA653C"/>
    <w:rsid w:val="00BA6594"/>
    <w:rsid w:val="00BA718D"/>
    <w:rsid w:val="00BA7970"/>
    <w:rsid w:val="00BA7E35"/>
    <w:rsid w:val="00BB02C2"/>
    <w:rsid w:val="00BB140E"/>
    <w:rsid w:val="00BB17F2"/>
    <w:rsid w:val="00BB1B13"/>
    <w:rsid w:val="00BB1F10"/>
    <w:rsid w:val="00BB1FAE"/>
    <w:rsid w:val="00BB1FF6"/>
    <w:rsid w:val="00BB200B"/>
    <w:rsid w:val="00BB23BC"/>
    <w:rsid w:val="00BB2A98"/>
    <w:rsid w:val="00BB2DB7"/>
    <w:rsid w:val="00BB30D4"/>
    <w:rsid w:val="00BB33B4"/>
    <w:rsid w:val="00BB4497"/>
    <w:rsid w:val="00BB487B"/>
    <w:rsid w:val="00BB5BDF"/>
    <w:rsid w:val="00BB5E2D"/>
    <w:rsid w:val="00BB7308"/>
    <w:rsid w:val="00BB753C"/>
    <w:rsid w:val="00BB7659"/>
    <w:rsid w:val="00BB77CE"/>
    <w:rsid w:val="00BC0156"/>
    <w:rsid w:val="00BC0388"/>
    <w:rsid w:val="00BC06A8"/>
    <w:rsid w:val="00BC0AE6"/>
    <w:rsid w:val="00BC11C0"/>
    <w:rsid w:val="00BC163B"/>
    <w:rsid w:val="00BC172B"/>
    <w:rsid w:val="00BC1B23"/>
    <w:rsid w:val="00BC2548"/>
    <w:rsid w:val="00BC2641"/>
    <w:rsid w:val="00BC3010"/>
    <w:rsid w:val="00BC33F7"/>
    <w:rsid w:val="00BC360F"/>
    <w:rsid w:val="00BC3941"/>
    <w:rsid w:val="00BC3F80"/>
    <w:rsid w:val="00BC4650"/>
    <w:rsid w:val="00BC58D1"/>
    <w:rsid w:val="00BC5F00"/>
    <w:rsid w:val="00BC60D2"/>
    <w:rsid w:val="00BC61D6"/>
    <w:rsid w:val="00BC63ED"/>
    <w:rsid w:val="00BC65E6"/>
    <w:rsid w:val="00BC7982"/>
    <w:rsid w:val="00BC7B30"/>
    <w:rsid w:val="00BD03BB"/>
    <w:rsid w:val="00BD171C"/>
    <w:rsid w:val="00BD1736"/>
    <w:rsid w:val="00BD3FE8"/>
    <w:rsid w:val="00BD420D"/>
    <w:rsid w:val="00BD4391"/>
    <w:rsid w:val="00BD5124"/>
    <w:rsid w:val="00BD5379"/>
    <w:rsid w:val="00BD560F"/>
    <w:rsid w:val="00BD5659"/>
    <w:rsid w:val="00BD5DEB"/>
    <w:rsid w:val="00BD6769"/>
    <w:rsid w:val="00BE04D9"/>
    <w:rsid w:val="00BE08AF"/>
    <w:rsid w:val="00BE0F83"/>
    <w:rsid w:val="00BE0FD7"/>
    <w:rsid w:val="00BE1B1E"/>
    <w:rsid w:val="00BE1D55"/>
    <w:rsid w:val="00BE2189"/>
    <w:rsid w:val="00BE2949"/>
    <w:rsid w:val="00BE2AEF"/>
    <w:rsid w:val="00BE2D00"/>
    <w:rsid w:val="00BE2D74"/>
    <w:rsid w:val="00BE3547"/>
    <w:rsid w:val="00BE41B8"/>
    <w:rsid w:val="00BE42F9"/>
    <w:rsid w:val="00BE4ECE"/>
    <w:rsid w:val="00BE5491"/>
    <w:rsid w:val="00BE5D22"/>
    <w:rsid w:val="00BE6619"/>
    <w:rsid w:val="00BE6C96"/>
    <w:rsid w:val="00BE6C97"/>
    <w:rsid w:val="00BE6D06"/>
    <w:rsid w:val="00BE792F"/>
    <w:rsid w:val="00BE7F8F"/>
    <w:rsid w:val="00BF0AFA"/>
    <w:rsid w:val="00BF0B24"/>
    <w:rsid w:val="00BF0D6A"/>
    <w:rsid w:val="00BF0D86"/>
    <w:rsid w:val="00BF13B2"/>
    <w:rsid w:val="00BF1725"/>
    <w:rsid w:val="00BF173E"/>
    <w:rsid w:val="00BF2126"/>
    <w:rsid w:val="00BF27F1"/>
    <w:rsid w:val="00BF2FC5"/>
    <w:rsid w:val="00BF32D9"/>
    <w:rsid w:val="00BF348F"/>
    <w:rsid w:val="00BF395A"/>
    <w:rsid w:val="00BF3A6A"/>
    <w:rsid w:val="00BF40ED"/>
    <w:rsid w:val="00BF429C"/>
    <w:rsid w:val="00BF4406"/>
    <w:rsid w:val="00BF4A60"/>
    <w:rsid w:val="00BF4EB9"/>
    <w:rsid w:val="00BF65EB"/>
    <w:rsid w:val="00BF66CF"/>
    <w:rsid w:val="00BF7A8C"/>
    <w:rsid w:val="00C005C3"/>
    <w:rsid w:val="00C005DC"/>
    <w:rsid w:val="00C00D80"/>
    <w:rsid w:val="00C0109B"/>
    <w:rsid w:val="00C019FC"/>
    <w:rsid w:val="00C01AEF"/>
    <w:rsid w:val="00C021A4"/>
    <w:rsid w:val="00C027D8"/>
    <w:rsid w:val="00C035B1"/>
    <w:rsid w:val="00C04582"/>
    <w:rsid w:val="00C068DC"/>
    <w:rsid w:val="00C06AD0"/>
    <w:rsid w:val="00C06E0D"/>
    <w:rsid w:val="00C10191"/>
    <w:rsid w:val="00C10528"/>
    <w:rsid w:val="00C10624"/>
    <w:rsid w:val="00C106A2"/>
    <w:rsid w:val="00C11938"/>
    <w:rsid w:val="00C1207F"/>
    <w:rsid w:val="00C128FA"/>
    <w:rsid w:val="00C12BD8"/>
    <w:rsid w:val="00C12E43"/>
    <w:rsid w:val="00C130C0"/>
    <w:rsid w:val="00C13240"/>
    <w:rsid w:val="00C13345"/>
    <w:rsid w:val="00C1391B"/>
    <w:rsid w:val="00C141FA"/>
    <w:rsid w:val="00C1439A"/>
    <w:rsid w:val="00C147F0"/>
    <w:rsid w:val="00C15506"/>
    <w:rsid w:val="00C15695"/>
    <w:rsid w:val="00C15971"/>
    <w:rsid w:val="00C15AA4"/>
    <w:rsid w:val="00C16DE4"/>
    <w:rsid w:val="00C17D64"/>
    <w:rsid w:val="00C200C5"/>
    <w:rsid w:val="00C206F7"/>
    <w:rsid w:val="00C21C58"/>
    <w:rsid w:val="00C22523"/>
    <w:rsid w:val="00C22944"/>
    <w:rsid w:val="00C229C5"/>
    <w:rsid w:val="00C22C11"/>
    <w:rsid w:val="00C22DFD"/>
    <w:rsid w:val="00C235ED"/>
    <w:rsid w:val="00C2372B"/>
    <w:rsid w:val="00C23BFE"/>
    <w:rsid w:val="00C245D5"/>
    <w:rsid w:val="00C246BA"/>
    <w:rsid w:val="00C2609E"/>
    <w:rsid w:val="00C26CE4"/>
    <w:rsid w:val="00C26DD0"/>
    <w:rsid w:val="00C27BC3"/>
    <w:rsid w:val="00C30218"/>
    <w:rsid w:val="00C3023F"/>
    <w:rsid w:val="00C30761"/>
    <w:rsid w:val="00C30CEC"/>
    <w:rsid w:val="00C30E76"/>
    <w:rsid w:val="00C32EE0"/>
    <w:rsid w:val="00C3474B"/>
    <w:rsid w:val="00C349B0"/>
    <w:rsid w:val="00C34ACB"/>
    <w:rsid w:val="00C34F4A"/>
    <w:rsid w:val="00C356E6"/>
    <w:rsid w:val="00C36B0B"/>
    <w:rsid w:val="00C372B9"/>
    <w:rsid w:val="00C373EA"/>
    <w:rsid w:val="00C37BC7"/>
    <w:rsid w:val="00C40894"/>
    <w:rsid w:val="00C41418"/>
    <w:rsid w:val="00C41FD0"/>
    <w:rsid w:val="00C42563"/>
    <w:rsid w:val="00C42581"/>
    <w:rsid w:val="00C43463"/>
    <w:rsid w:val="00C4391A"/>
    <w:rsid w:val="00C440B4"/>
    <w:rsid w:val="00C4529E"/>
    <w:rsid w:val="00C45557"/>
    <w:rsid w:val="00C462A1"/>
    <w:rsid w:val="00C466A6"/>
    <w:rsid w:val="00C466EB"/>
    <w:rsid w:val="00C46B27"/>
    <w:rsid w:val="00C46B86"/>
    <w:rsid w:val="00C5061C"/>
    <w:rsid w:val="00C50EDF"/>
    <w:rsid w:val="00C51032"/>
    <w:rsid w:val="00C5142B"/>
    <w:rsid w:val="00C51F29"/>
    <w:rsid w:val="00C52186"/>
    <w:rsid w:val="00C527AB"/>
    <w:rsid w:val="00C5327A"/>
    <w:rsid w:val="00C5338E"/>
    <w:rsid w:val="00C53432"/>
    <w:rsid w:val="00C53853"/>
    <w:rsid w:val="00C53940"/>
    <w:rsid w:val="00C540B9"/>
    <w:rsid w:val="00C547BB"/>
    <w:rsid w:val="00C54C46"/>
    <w:rsid w:val="00C56A60"/>
    <w:rsid w:val="00C56C72"/>
    <w:rsid w:val="00C5788A"/>
    <w:rsid w:val="00C57F20"/>
    <w:rsid w:val="00C60766"/>
    <w:rsid w:val="00C60A84"/>
    <w:rsid w:val="00C61172"/>
    <w:rsid w:val="00C61D26"/>
    <w:rsid w:val="00C61E0A"/>
    <w:rsid w:val="00C63752"/>
    <w:rsid w:val="00C652DE"/>
    <w:rsid w:val="00C6573F"/>
    <w:rsid w:val="00C66894"/>
    <w:rsid w:val="00C66B65"/>
    <w:rsid w:val="00C66EBD"/>
    <w:rsid w:val="00C6704C"/>
    <w:rsid w:val="00C709B6"/>
    <w:rsid w:val="00C71456"/>
    <w:rsid w:val="00C718BC"/>
    <w:rsid w:val="00C71C64"/>
    <w:rsid w:val="00C724BA"/>
    <w:rsid w:val="00C724ED"/>
    <w:rsid w:val="00C72F01"/>
    <w:rsid w:val="00C72FAF"/>
    <w:rsid w:val="00C7375A"/>
    <w:rsid w:val="00C737A2"/>
    <w:rsid w:val="00C7397E"/>
    <w:rsid w:val="00C73EE5"/>
    <w:rsid w:val="00C741DA"/>
    <w:rsid w:val="00C74FDA"/>
    <w:rsid w:val="00C758A4"/>
    <w:rsid w:val="00C75936"/>
    <w:rsid w:val="00C759EB"/>
    <w:rsid w:val="00C75D91"/>
    <w:rsid w:val="00C75E3D"/>
    <w:rsid w:val="00C76260"/>
    <w:rsid w:val="00C7670B"/>
    <w:rsid w:val="00C76BCE"/>
    <w:rsid w:val="00C777E7"/>
    <w:rsid w:val="00C77B19"/>
    <w:rsid w:val="00C81597"/>
    <w:rsid w:val="00C81A41"/>
    <w:rsid w:val="00C823C0"/>
    <w:rsid w:val="00C8349B"/>
    <w:rsid w:val="00C83BA5"/>
    <w:rsid w:val="00C844D4"/>
    <w:rsid w:val="00C8469E"/>
    <w:rsid w:val="00C84E7D"/>
    <w:rsid w:val="00C858AC"/>
    <w:rsid w:val="00C867C2"/>
    <w:rsid w:val="00C8680B"/>
    <w:rsid w:val="00C86DFB"/>
    <w:rsid w:val="00C87DD1"/>
    <w:rsid w:val="00C90267"/>
    <w:rsid w:val="00C9041F"/>
    <w:rsid w:val="00C9065B"/>
    <w:rsid w:val="00C90926"/>
    <w:rsid w:val="00C90A96"/>
    <w:rsid w:val="00C91069"/>
    <w:rsid w:val="00C92170"/>
    <w:rsid w:val="00C92896"/>
    <w:rsid w:val="00C92D96"/>
    <w:rsid w:val="00C92E27"/>
    <w:rsid w:val="00C932F9"/>
    <w:rsid w:val="00C9364A"/>
    <w:rsid w:val="00C945AA"/>
    <w:rsid w:val="00C94D53"/>
    <w:rsid w:val="00C95BB4"/>
    <w:rsid w:val="00C95CDB"/>
    <w:rsid w:val="00C95DAE"/>
    <w:rsid w:val="00C979A1"/>
    <w:rsid w:val="00C97B1D"/>
    <w:rsid w:val="00CA0120"/>
    <w:rsid w:val="00CA0725"/>
    <w:rsid w:val="00CA091A"/>
    <w:rsid w:val="00CA091E"/>
    <w:rsid w:val="00CA0B6D"/>
    <w:rsid w:val="00CA10DC"/>
    <w:rsid w:val="00CA12A6"/>
    <w:rsid w:val="00CA151A"/>
    <w:rsid w:val="00CA16D0"/>
    <w:rsid w:val="00CA1FE6"/>
    <w:rsid w:val="00CA30F6"/>
    <w:rsid w:val="00CA3CC2"/>
    <w:rsid w:val="00CA450F"/>
    <w:rsid w:val="00CA46A3"/>
    <w:rsid w:val="00CA4B70"/>
    <w:rsid w:val="00CA4C2B"/>
    <w:rsid w:val="00CA5EDF"/>
    <w:rsid w:val="00CA5F23"/>
    <w:rsid w:val="00CA6189"/>
    <w:rsid w:val="00CA6CF0"/>
    <w:rsid w:val="00CA6EB9"/>
    <w:rsid w:val="00CA6EE6"/>
    <w:rsid w:val="00CA6FFF"/>
    <w:rsid w:val="00CA724B"/>
    <w:rsid w:val="00CA7286"/>
    <w:rsid w:val="00CA73F7"/>
    <w:rsid w:val="00CA7522"/>
    <w:rsid w:val="00CA7B52"/>
    <w:rsid w:val="00CB1227"/>
    <w:rsid w:val="00CB17CE"/>
    <w:rsid w:val="00CB1EA5"/>
    <w:rsid w:val="00CB256E"/>
    <w:rsid w:val="00CB2B9C"/>
    <w:rsid w:val="00CB308D"/>
    <w:rsid w:val="00CB5514"/>
    <w:rsid w:val="00CB59BC"/>
    <w:rsid w:val="00CB62EB"/>
    <w:rsid w:val="00CB6A63"/>
    <w:rsid w:val="00CB6BC2"/>
    <w:rsid w:val="00CB6DE3"/>
    <w:rsid w:val="00CC01CE"/>
    <w:rsid w:val="00CC04CF"/>
    <w:rsid w:val="00CC0A80"/>
    <w:rsid w:val="00CC0C9E"/>
    <w:rsid w:val="00CC0F78"/>
    <w:rsid w:val="00CC1120"/>
    <w:rsid w:val="00CC14C1"/>
    <w:rsid w:val="00CC22CC"/>
    <w:rsid w:val="00CC2716"/>
    <w:rsid w:val="00CC364B"/>
    <w:rsid w:val="00CC3D21"/>
    <w:rsid w:val="00CC4E3C"/>
    <w:rsid w:val="00CC510F"/>
    <w:rsid w:val="00CC523C"/>
    <w:rsid w:val="00CC527E"/>
    <w:rsid w:val="00CC54D8"/>
    <w:rsid w:val="00CC552D"/>
    <w:rsid w:val="00CC5FAB"/>
    <w:rsid w:val="00CC7067"/>
    <w:rsid w:val="00CC7398"/>
    <w:rsid w:val="00CC7D3A"/>
    <w:rsid w:val="00CC7F11"/>
    <w:rsid w:val="00CD01EC"/>
    <w:rsid w:val="00CD03A2"/>
    <w:rsid w:val="00CD0A55"/>
    <w:rsid w:val="00CD0A75"/>
    <w:rsid w:val="00CD0C7B"/>
    <w:rsid w:val="00CD11DC"/>
    <w:rsid w:val="00CD17CC"/>
    <w:rsid w:val="00CD2267"/>
    <w:rsid w:val="00CD232D"/>
    <w:rsid w:val="00CD2C7E"/>
    <w:rsid w:val="00CD30D4"/>
    <w:rsid w:val="00CD3582"/>
    <w:rsid w:val="00CD42D6"/>
    <w:rsid w:val="00CD4DB9"/>
    <w:rsid w:val="00CD51BA"/>
    <w:rsid w:val="00CD5404"/>
    <w:rsid w:val="00CD6060"/>
    <w:rsid w:val="00CD6098"/>
    <w:rsid w:val="00CD6247"/>
    <w:rsid w:val="00CD66A8"/>
    <w:rsid w:val="00CD6B25"/>
    <w:rsid w:val="00CD75D1"/>
    <w:rsid w:val="00CD7A48"/>
    <w:rsid w:val="00CE22D0"/>
    <w:rsid w:val="00CE2913"/>
    <w:rsid w:val="00CE2DB4"/>
    <w:rsid w:val="00CE3030"/>
    <w:rsid w:val="00CE3D7B"/>
    <w:rsid w:val="00CE4AC0"/>
    <w:rsid w:val="00CE53B6"/>
    <w:rsid w:val="00CE55C6"/>
    <w:rsid w:val="00CE5D2E"/>
    <w:rsid w:val="00CE5E9E"/>
    <w:rsid w:val="00CE6963"/>
    <w:rsid w:val="00CE6A17"/>
    <w:rsid w:val="00CE6FFE"/>
    <w:rsid w:val="00CE7DA2"/>
    <w:rsid w:val="00CF0751"/>
    <w:rsid w:val="00CF0A73"/>
    <w:rsid w:val="00CF174A"/>
    <w:rsid w:val="00CF1F5B"/>
    <w:rsid w:val="00CF21C2"/>
    <w:rsid w:val="00CF21FB"/>
    <w:rsid w:val="00CF2674"/>
    <w:rsid w:val="00CF2CB6"/>
    <w:rsid w:val="00CF3354"/>
    <w:rsid w:val="00CF38F1"/>
    <w:rsid w:val="00CF3CD4"/>
    <w:rsid w:val="00CF463A"/>
    <w:rsid w:val="00CF4835"/>
    <w:rsid w:val="00CF4A38"/>
    <w:rsid w:val="00CF4F86"/>
    <w:rsid w:val="00CF5559"/>
    <w:rsid w:val="00CF59AF"/>
    <w:rsid w:val="00CF5B35"/>
    <w:rsid w:val="00CF5EA5"/>
    <w:rsid w:val="00CF7C98"/>
    <w:rsid w:val="00D0019F"/>
    <w:rsid w:val="00D0077A"/>
    <w:rsid w:val="00D0151F"/>
    <w:rsid w:val="00D015FA"/>
    <w:rsid w:val="00D01640"/>
    <w:rsid w:val="00D0187D"/>
    <w:rsid w:val="00D01B5C"/>
    <w:rsid w:val="00D01DEF"/>
    <w:rsid w:val="00D02065"/>
    <w:rsid w:val="00D02A37"/>
    <w:rsid w:val="00D02B82"/>
    <w:rsid w:val="00D03138"/>
    <w:rsid w:val="00D03836"/>
    <w:rsid w:val="00D03B7E"/>
    <w:rsid w:val="00D0433D"/>
    <w:rsid w:val="00D0467E"/>
    <w:rsid w:val="00D04750"/>
    <w:rsid w:val="00D04B48"/>
    <w:rsid w:val="00D04ECA"/>
    <w:rsid w:val="00D05B08"/>
    <w:rsid w:val="00D05D83"/>
    <w:rsid w:val="00D06495"/>
    <w:rsid w:val="00D06A7E"/>
    <w:rsid w:val="00D06FAD"/>
    <w:rsid w:val="00D10395"/>
    <w:rsid w:val="00D106A0"/>
    <w:rsid w:val="00D10865"/>
    <w:rsid w:val="00D111AF"/>
    <w:rsid w:val="00D1140C"/>
    <w:rsid w:val="00D117D1"/>
    <w:rsid w:val="00D120BF"/>
    <w:rsid w:val="00D123C4"/>
    <w:rsid w:val="00D13045"/>
    <w:rsid w:val="00D13CEB"/>
    <w:rsid w:val="00D13ECA"/>
    <w:rsid w:val="00D13EE5"/>
    <w:rsid w:val="00D140D2"/>
    <w:rsid w:val="00D144EB"/>
    <w:rsid w:val="00D14609"/>
    <w:rsid w:val="00D1591C"/>
    <w:rsid w:val="00D161D9"/>
    <w:rsid w:val="00D16273"/>
    <w:rsid w:val="00D1686B"/>
    <w:rsid w:val="00D16B0E"/>
    <w:rsid w:val="00D16F34"/>
    <w:rsid w:val="00D17B7A"/>
    <w:rsid w:val="00D20AE7"/>
    <w:rsid w:val="00D20BD7"/>
    <w:rsid w:val="00D20CE7"/>
    <w:rsid w:val="00D20D9B"/>
    <w:rsid w:val="00D2133B"/>
    <w:rsid w:val="00D21FA9"/>
    <w:rsid w:val="00D2218B"/>
    <w:rsid w:val="00D22C54"/>
    <w:rsid w:val="00D238DD"/>
    <w:rsid w:val="00D25B0C"/>
    <w:rsid w:val="00D25B86"/>
    <w:rsid w:val="00D269FF"/>
    <w:rsid w:val="00D26BAF"/>
    <w:rsid w:val="00D270A2"/>
    <w:rsid w:val="00D27389"/>
    <w:rsid w:val="00D275A6"/>
    <w:rsid w:val="00D275EE"/>
    <w:rsid w:val="00D279A4"/>
    <w:rsid w:val="00D31464"/>
    <w:rsid w:val="00D31FA9"/>
    <w:rsid w:val="00D3204B"/>
    <w:rsid w:val="00D320E6"/>
    <w:rsid w:val="00D32927"/>
    <w:rsid w:val="00D32F69"/>
    <w:rsid w:val="00D3342F"/>
    <w:rsid w:val="00D34DCA"/>
    <w:rsid w:val="00D37519"/>
    <w:rsid w:val="00D37668"/>
    <w:rsid w:val="00D379E1"/>
    <w:rsid w:val="00D37CED"/>
    <w:rsid w:val="00D37F24"/>
    <w:rsid w:val="00D4104B"/>
    <w:rsid w:val="00D4124C"/>
    <w:rsid w:val="00D42771"/>
    <w:rsid w:val="00D42E4F"/>
    <w:rsid w:val="00D43594"/>
    <w:rsid w:val="00D43C15"/>
    <w:rsid w:val="00D43DC9"/>
    <w:rsid w:val="00D43EA6"/>
    <w:rsid w:val="00D4419D"/>
    <w:rsid w:val="00D4503C"/>
    <w:rsid w:val="00D4512E"/>
    <w:rsid w:val="00D467DA"/>
    <w:rsid w:val="00D4750E"/>
    <w:rsid w:val="00D4759F"/>
    <w:rsid w:val="00D477B2"/>
    <w:rsid w:val="00D479C5"/>
    <w:rsid w:val="00D47AD4"/>
    <w:rsid w:val="00D5005E"/>
    <w:rsid w:val="00D50063"/>
    <w:rsid w:val="00D50471"/>
    <w:rsid w:val="00D51222"/>
    <w:rsid w:val="00D518A3"/>
    <w:rsid w:val="00D51DD1"/>
    <w:rsid w:val="00D534A1"/>
    <w:rsid w:val="00D53895"/>
    <w:rsid w:val="00D53962"/>
    <w:rsid w:val="00D545C9"/>
    <w:rsid w:val="00D54736"/>
    <w:rsid w:val="00D56796"/>
    <w:rsid w:val="00D5702D"/>
    <w:rsid w:val="00D57543"/>
    <w:rsid w:val="00D60E61"/>
    <w:rsid w:val="00D60F40"/>
    <w:rsid w:val="00D60F5B"/>
    <w:rsid w:val="00D61958"/>
    <w:rsid w:val="00D61D99"/>
    <w:rsid w:val="00D6276A"/>
    <w:rsid w:val="00D630BB"/>
    <w:rsid w:val="00D633B1"/>
    <w:rsid w:val="00D63CF3"/>
    <w:rsid w:val="00D63DBB"/>
    <w:rsid w:val="00D63E13"/>
    <w:rsid w:val="00D63EB1"/>
    <w:rsid w:val="00D649B7"/>
    <w:rsid w:val="00D64B1A"/>
    <w:rsid w:val="00D64FE7"/>
    <w:rsid w:val="00D65A8D"/>
    <w:rsid w:val="00D660EC"/>
    <w:rsid w:val="00D66D00"/>
    <w:rsid w:val="00D6759A"/>
    <w:rsid w:val="00D67A14"/>
    <w:rsid w:val="00D701F5"/>
    <w:rsid w:val="00D70609"/>
    <w:rsid w:val="00D70BDF"/>
    <w:rsid w:val="00D72B04"/>
    <w:rsid w:val="00D72DD3"/>
    <w:rsid w:val="00D73472"/>
    <w:rsid w:val="00D73CBD"/>
    <w:rsid w:val="00D74F70"/>
    <w:rsid w:val="00D759A2"/>
    <w:rsid w:val="00D76360"/>
    <w:rsid w:val="00D76579"/>
    <w:rsid w:val="00D7679D"/>
    <w:rsid w:val="00D774EB"/>
    <w:rsid w:val="00D8010B"/>
    <w:rsid w:val="00D803BE"/>
    <w:rsid w:val="00D8101A"/>
    <w:rsid w:val="00D812D7"/>
    <w:rsid w:val="00D81469"/>
    <w:rsid w:val="00D8151A"/>
    <w:rsid w:val="00D81A8B"/>
    <w:rsid w:val="00D81DA7"/>
    <w:rsid w:val="00D8319A"/>
    <w:rsid w:val="00D837D9"/>
    <w:rsid w:val="00D837F4"/>
    <w:rsid w:val="00D8432E"/>
    <w:rsid w:val="00D8495F"/>
    <w:rsid w:val="00D84B81"/>
    <w:rsid w:val="00D84DE4"/>
    <w:rsid w:val="00D850E5"/>
    <w:rsid w:val="00D8551B"/>
    <w:rsid w:val="00D8591F"/>
    <w:rsid w:val="00D85B9E"/>
    <w:rsid w:val="00D8628F"/>
    <w:rsid w:val="00D86A98"/>
    <w:rsid w:val="00D86CC2"/>
    <w:rsid w:val="00D87D7A"/>
    <w:rsid w:val="00D87E4C"/>
    <w:rsid w:val="00D91766"/>
    <w:rsid w:val="00D919DF"/>
    <w:rsid w:val="00D91CF6"/>
    <w:rsid w:val="00D92283"/>
    <w:rsid w:val="00D92955"/>
    <w:rsid w:val="00D92C69"/>
    <w:rsid w:val="00D92CA1"/>
    <w:rsid w:val="00D92EAA"/>
    <w:rsid w:val="00D946B1"/>
    <w:rsid w:val="00D948AA"/>
    <w:rsid w:val="00D94FAF"/>
    <w:rsid w:val="00D95CDD"/>
    <w:rsid w:val="00D968EE"/>
    <w:rsid w:val="00D96BF7"/>
    <w:rsid w:val="00D96FF8"/>
    <w:rsid w:val="00D97282"/>
    <w:rsid w:val="00D97D16"/>
    <w:rsid w:val="00DA099D"/>
    <w:rsid w:val="00DA1631"/>
    <w:rsid w:val="00DA1E03"/>
    <w:rsid w:val="00DA2129"/>
    <w:rsid w:val="00DA2319"/>
    <w:rsid w:val="00DA2412"/>
    <w:rsid w:val="00DA2495"/>
    <w:rsid w:val="00DA2906"/>
    <w:rsid w:val="00DA5078"/>
    <w:rsid w:val="00DA51FA"/>
    <w:rsid w:val="00DA5D69"/>
    <w:rsid w:val="00DA614A"/>
    <w:rsid w:val="00DA764C"/>
    <w:rsid w:val="00DA7FAC"/>
    <w:rsid w:val="00DB0713"/>
    <w:rsid w:val="00DB112B"/>
    <w:rsid w:val="00DB2CDB"/>
    <w:rsid w:val="00DB314F"/>
    <w:rsid w:val="00DB31C2"/>
    <w:rsid w:val="00DB375A"/>
    <w:rsid w:val="00DB3856"/>
    <w:rsid w:val="00DB4878"/>
    <w:rsid w:val="00DB4A38"/>
    <w:rsid w:val="00DB4E86"/>
    <w:rsid w:val="00DB5B65"/>
    <w:rsid w:val="00DB6997"/>
    <w:rsid w:val="00DB6FD7"/>
    <w:rsid w:val="00DB7283"/>
    <w:rsid w:val="00DB7815"/>
    <w:rsid w:val="00DB7BAF"/>
    <w:rsid w:val="00DB7F89"/>
    <w:rsid w:val="00DC07E3"/>
    <w:rsid w:val="00DC0990"/>
    <w:rsid w:val="00DC1180"/>
    <w:rsid w:val="00DC1666"/>
    <w:rsid w:val="00DC1754"/>
    <w:rsid w:val="00DC1832"/>
    <w:rsid w:val="00DC20D8"/>
    <w:rsid w:val="00DC2502"/>
    <w:rsid w:val="00DC2537"/>
    <w:rsid w:val="00DC2A09"/>
    <w:rsid w:val="00DC2D83"/>
    <w:rsid w:val="00DC486E"/>
    <w:rsid w:val="00DC4924"/>
    <w:rsid w:val="00DC4C0E"/>
    <w:rsid w:val="00DC4C18"/>
    <w:rsid w:val="00DC5604"/>
    <w:rsid w:val="00DC5762"/>
    <w:rsid w:val="00DC60DB"/>
    <w:rsid w:val="00DC6217"/>
    <w:rsid w:val="00DC678A"/>
    <w:rsid w:val="00DC6A6D"/>
    <w:rsid w:val="00DC6CAD"/>
    <w:rsid w:val="00DC7038"/>
    <w:rsid w:val="00DC76D5"/>
    <w:rsid w:val="00DC76FD"/>
    <w:rsid w:val="00DC7CE3"/>
    <w:rsid w:val="00DD0B02"/>
    <w:rsid w:val="00DD0E2B"/>
    <w:rsid w:val="00DD12EA"/>
    <w:rsid w:val="00DD1967"/>
    <w:rsid w:val="00DD1D50"/>
    <w:rsid w:val="00DD2189"/>
    <w:rsid w:val="00DD23C6"/>
    <w:rsid w:val="00DD346D"/>
    <w:rsid w:val="00DD3BAA"/>
    <w:rsid w:val="00DD4099"/>
    <w:rsid w:val="00DE001A"/>
    <w:rsid w:val="00DE03C5"/>
    <w:rsid w:val="00DE0C00"/>
    <w:rsid w:val="00DE1420"/>
    <w:rsid w:val="00DE1A8F"/>
    <w:rsid w:val="00DE1BAB"/>
    <w:rsid w:val="00DE21E0"/>
    <w:rsid w:val="00DE351E"/>
    <w:rsid w:val="00DE38C6"/>
    <w:rsid w:val="00DE3FCA"/>
    <w:rsid w:val="00DE40E1"/>
    <w:rsid w:val="00DE41B9"/>
    <w:rsid w:val="00DE5E9B"/>
    <w:rsid w:val="00DE657A"/>
    <w:rsid w:val="00DE6C91"/>
    <w:rsid w:val="00DE7193"/>
    <w:rsid w:val="00DE74BB"/>
    <w:rsid w:val="00DE7D98"/>
    <w:rsid w:val="00DE7EBE"/>
    <w:rsid w:val="00DF0041"/>
    <w:rsid w:val="00DF0D0B"/>
    <w:rsid w:val="00DF0DC4"/>
    <w:rsid w:val="00DF1D7F"/>
    <w:rsid w:val="00DF23DC"/>
    <w:rsid w:val="00DF38BF"/>
    <w:rsid w:val="00DF39B7"/>
    <w:rsid w:val="00DF4655"/>
    <w:rsid w:val="00DF46FB"/>
    <w:rsid w:val="00DF4C46"/>
    <w:rsid w:val="00DF5B0B"/>
    <w:rsid w:val="00DF6587"/>
    <w:rsid w:val="00DF6C9D"/>
    <w:rsid w:val="00DF7146"/>
    <w:rsid w:val="00DF730B"/>
    <w:rsid w:val="00DF78AD"/>
    <w:rsid w:val="00E00479"/>
    <w:rsid w:val="00E0078D"/>
    <w:rsid w:val="00E00945"/>
    <w:rsid w:val="00E00C00"/>
    <w:rsid w:val="00E01107"/>
    <w:rsid w:val="00E015C0"/>
    <w:rsid w:val="00E015D6"/>
    <w:rsid w:val="00E021F8"/>
    <w:rsid w:val="00E024F4"/>
    <w:rsid w:val="00E038C9"/>
    <w:rsid w:val="00E03F70"/>
    <w:rsid w:val="00E0433D"/>
    <w:rsid w:val="00E0443B"/>
    <w:rsid w:val="00E0458E"/>
    <w:rsid w:val="00E04EA7"/>
    <w:rsid w:val="00E05200"/>
    <w:rsid w:val="00E05F81"/>
    <w:rsid w:val="00E06463"/>
    <w:rsid w:val="00E06895"/>
    <w:rsid w:val="00E06A9E"/>
    <w:rsid w:val="00E10163"/>
    <w:rsid w:val="00E10C92"/>
    <w:rsid w:val="00E1137A"/>
    <w:rsid w:val="00E13265"/>
    <w:rsid w:val="00E1357B"/>
    <w:rsid w:val="00E13763"/>
    <w:rsid w:val="00E14016"/>
    <w:rsid w:val="00E140E1"/>
    <w:rsid w:val="00E144DB"/>
    <w:rsid w:val="00E146C8"/>
    <w:rsid w:val="00E15395"/>
    <w:rsid w:val="00E16B08"/>
    <w:rsid w:val="00E176DB"/>
    <w:rsid w:val="00E17FD7"/>
    <w:rsid w:val="00E207E5"/>
    <w:rsid w:val="00E20AC0"/>
    <w:rsid w:val="00E20AE4"/>
    <w:rsid w:val="00E20BB8"/>
    <w:rsid w:val="00E21EA4"/>
    <w:rsid w:val="00E22208"/>
    <w:rsid w:val="00E226E3"/>
    <w:rsid w:val="00E2293A"/>
    <w:rsid w:val="00E23279"/>
    <w:rsid w:val="00E232D9"/>
    <w:rsid w:val="00E23786"/>
    <w:rsid w:val="00E23B8F"/>
    <w:rsid w:val="00E23E2D"/>
    <w:rsid w:val="00E242D9"/>
    <w:rsid w:val="00E24332"/>
    <w:rsid w:val="00E24544"/>
    <w:rsid w:val="00E24C98"/>
    <w:rsid w:val="00E25D2F"/>
    <w:rsid w:val="00E25DC2"/>
    <w:rsid w:val="00E26407"/>
    <w:rsid w:val="00E26E35"/>
    <w:rsid w:val="00E27124"/>
    <w:rsid w:val="00E307B4"/>
    <w:rsid w:val="00E30C8D"/>
    <w:rsid w:val="00E31071"/>
    <w:rsid w:val="00E315B2"/>
    <w:rsid w:val="00E31845"/>
    <w:rsid w:val="00E32028"/>
    <w:rsid w:val="00E32B60"/>
    <w:rsid w:val="00E338C8"/>
    <w:rsid w:val="00E3410C"/>
    <w:rsid w:val="00E342E2"/>
    <w:rsid w:val="00E34AD0"/>
    <w:rsid w:val="00E34ADD"/>
    <w:rsid w:val="00E34CBC"/>
    <w:rsid w:val="00E34DB3"/>
    <w:rsid w:val="00E34FC1"/>
    <w:rsid w:val="00E35083"/>
    <w:rsid w:val="00E352B9"/>
    <w:rsid w:val="00E35F7E"/>
    <w:rsid w:val="00E370AF"/>
    <w:rsid w:val="00E377E2"/>
    <w:rsid w:val="00E37FA0"/>
    <w:rsid w:val="00E40614"/>
    <w:rsid w:val="00E4075A"/>
    <w:rsid w:val="00E40802"/>
    <w:rsid w:val="00E408D6"/>
    <w:rsid w:val="00E4156C"/>
    <w:rsid w:val="00E41C78"/>
    <w:rsid w:val="00E426CF"/>
    <w:rsid w:val="00E42B65"/>
    <w:rsid w:val="00E43116"/>
    <w:rsid w:val="00E43611"/>
    <w:rsid w:val="00E4413F"/>
    <w:rsid w:val="00E442D9"/>
    <w:rsid w:val="00E448BB"/>
    <w:rsid w:val="00E44A10"/>
    <w:rsid w:val="00E44A82"/>
    <w:rsid w:val="00E455B3"/>
    <w:rsid w:val="00E458E1"/>
    <w:rsid w:val="00E45A3C"/>
    <w:rsid w:val="00E45AFA"/>
    <w:rsid w:val="00E45E27"/>
    <w:rsid w:val="00E460C7"/>
    <w:rsid w:val="00E467FA"/>
    <w:rsid w:val="00E46A7A"/>
    <w:rsid w:val="00E46CB2"/>
    <w:rsid w:val="00E47335"/>
    <w:rsid w:val="00E47640"/>
    <w:rsid w:val="00E47951"/>
    <w:rsid w:val="00E51851"/>
    <w:rsid w:val="00E518AD"/>
    <w:rsid w:val="00E52F62"/>
    <w:rsid w:val="00E53A9A"/>
    <w:rsid w:val="00E5496D"/>
    <w:rsid w:val="00E549C4"/>
    <w:rsid w:val="00E54E71"/>
    <w:rsid w:val="00E551B5"/>
    <w:rsid w:val="00E5529B"/>
    <w:rsid w:val="00E55553"/>
    <w:rsid w:val="00E55DC3"/>
    <w:rsid w:val="00E56D68"/>
    <w:rsid w:val="00E6001A"/>
    <w:rsid w:val="00E60079"/>
    <w:rsid w:val="00E600FA"/>
    <w:rsid w:val="00E60318"/>
    <w:rsid w:val="00E6033E"/>
    <w:rsid w:val="00E60DC9"/>
    <w:rsid w:val="00E618BF"/>
    <w:rsid w:val="00E61BF1"/>
    <w:rsid w:val="00E61CC4"/>
    <w:rsid w:val="00E62043"/>
    <w:rsid w:val="00E624D9"/>
    <w:rsid w:val="00E630E8"/>
    <w:rsid w:val="00E63294"/>
    <w:rsid w:val="00E63C71"/>
    <w:rsid w:val="00E63FFD"/>
    <w:rsid w:val="00E641BE"/>
    <w:rsid w:val="00E64E6F"/>
    <w:rsid w:val="00E65B00"/>
    <w:rsid w:val="00E65BD2"/>
    <w:rsid w:val="00E66F94"/>
    <w:rsid w:val="00E67F64"/>
    <w:rsid w:val="00E705AC"/>
    <w:rsid w:val="00E72902"/>
    <w:rsid w:val="00E72AA6"/>
    <w:rsid w:val="00E72E56"/>
    <w:rsid w:val="00E73198"/>
    <w:rsid w:val="00E736E7"/>
    <w:rsid w:val="00E73CF5"/>
    <w:rsid w:val="00E73EFC"/>
    <w:rsid w:val="00E741E7"/>
    <w:rsid w:val="00E748D6"/>
    <w:rsid w:val="00E74DA2"/>
    <w:rsid w:val="00E75191"/>
    <w:rsid w:val="00E754DE"/>
    <w:rsid w:val="00E76350"/>
    <w:rsid w:val="00E767CF"/>
    <w:rsid w:val="00E76F59"/>
    <w:rsid w:val="00E82261"/>
    <w:rsid w:val="00E82C91"/>
    <w:rsid w:val="00E83451"/>
    <w:rsid w:val="00E842C1"/>
    <w:rsid w:val="00E84442"/>
    <w:rsid w:val="00E84C20"/>
    <w:rsid w:val="00E84F88"/>
    <w:rsid w:val="00E858E7"/>
    <w:rsid w:val="00E86015"/>
    <w:rsid w:val="00E86996"/>
    <w:rsid w:val="00E87FA9"/>
    <w:rsid w:val="00E916FF"/>
    <w:rsid w:val="00E92454"/>
    <w:rsid w:val="00E92A36"/>
    <w:rsid w:val="00E92BE3"/>
    <w:rsid w:val="00E934AC"/>
    <w:rsid w:val="00E93593"/>
    <w:rsid w:val="00E93FAD"/>
    <w:rsid w:val="00E942BB"/>
    <w:rsid w:val="00E94F01"/>
    <w:rsid w:val="00E9529C"/>
    <w:rsid w:val="00E958B3"/>
    <w:rsid w:val="00E96ACB"/>
    <w:rsid w:val="00E96D57"/>
    <w:rsid w:val="00E96E8E"/>
    <w:rsid w:val="00E970D1"/>
    <w:rsid w:val="00E976B7"/>
    <w:rsid w:val="00E97C6D"/>
    <w:rsid w:val="00EA044A"/>
    <w:rsid w:val="00EA1B55"/>
    <w:rsid w:val="00EA2276"/>
    <w:rsid w:val="00EA24C0"/>
    <w:rsid w:val="00EA28B9"/>
    <w:rsid w:val="00EA2E09"/>
    <w:rsid w:val="00EA307F"/>
    <w:rsid w:val="00EA32C8"/>
    <w:rsid w:val="00EA34F9"/>
    <w:rsid w:val="00EA35A4"/>
    <w:rsid w:val="00EA37C9"/>
    <w:rsid w:val="00EA40DB"/>
    <w:rsid w:val="00EA486C"/>
    <w:rsid w:val="00EA4B64"/>
    <w:rsid w:val="00EA5553"/>
    <w:rsid w:val="00EA5E95"/>
    <w:rsid w:val="00EA6489"/>
    <w:rsid w:val="00EA6665"/>
    <w:rsid w:val="00EA66BA"/>
    <w:rsid w:val="00EA6C30"/>
    <w:rsid w:val="00EA6C5D"/>
    <w:rsid w:val="00EA728D"/>
    <w:rsid w:val="00EA7892"/>
    <w:rsid w:val="00EB008D"/>
    <w:rsid w:val="00EB1BDF"/>
    <w:rsid w:val="00EB2195"/>
    <w:rsid w:val="00EB2703"/>
    <w:rsid w:val="00EB34DC"/>
    <w:rsid w:val="00EB484B"/>
    <w:rsid w:val="00EB52C1"/>
    <w:rsid w:val="00EB5864"/>
    <w:rsid w:val="00EB5B64"/>
    <w:rsid w:val="00EB69C5"/>
    <w:rsid w:val="00EB6A8A"/>
    <w:rsid w:val="00EB6E40"/>
    <w:rsid w:val="00EB7A9B"/>
    <w:rsid w:val="00EB7C82"/>
    <w:rsid w:val="00EB7DB8"/>
    <w:rsid w:val="00EC0524"/>
    <w:rsid w:val="00EC0692"/>
    <w:rsid w:val="00EC09ED"/>
    <w:rsid w:val="00EC09F0"/>
    <w:rsid w:val="00EC0BEE"/>
    <w:rsid w:val="00EC0D87"/>
    <w:rsid w:val="00EC0DC8"/>
    <w:rsid w:val="00EC0F60"/>
    <w:rsid w:val="00EC1EF8"/>
    <w:rsid w:val="00EC2972"/>
    <w:rsid w:val="00EC2A0A"/>
    <w:rsid w:val="00EC2ECB"/>
    <w:rsid w:val="00EC34D3"/>
    <w:rsid w:val="00EC37D0"/>
    <w:rsid w:val="00EC3824"/>
    <w:rsid w:val="00EC3A8B"/>
    <w:rsid w:val="00EC3C2B"/>
    <w:rsid w:val="00EC4787"/>
    <w:rsid w:val="00EC4B70"/>
    <w:rsid w:val="00EC56C7"/>
    <w:rsid w:val="00EC6511"/>
    <w:rsid w:val="00EC6C56"/>
    <w:rsid w:val="00EC6CBF"/>
    <w:rsid w:val="00EC78D9"/>
    <w:rsid w:val="00EC7A56"/>
    <w:rsid w:val="00EC7A87"/>
    <w:rsid w:val="00ED008C"/>
    <w:rsid w:val="00ED01D4"/>
    <w:rsid w:val="00ED02C1"/>
    <w:rsid w:val="00ED03CE"/>
    <w:rsid w:val="00ED06B1"/>
    <w:rsid w:val="00ED137E"/>
    <w:rsid w:val="00ED1825"/>
    <w:rsid w:val="00ED1A36"/>
    <w:rsid w:val="00ED254B"/>
    <w:rsid w:val="00ED26CD"/>
    <w:rsid w:val="00ED33CB"/>
    <w:rsid w:val="00ED35CC"/>
    <w:rsid w:val="00ED3C5B"/>
    <w:rsid w:val="00ED3EE3"/>
    <w:rsid w:val="00ED45D1"/>
    <w:rsid w:val="00ED474D"/>
    <w:rsid w:val="00ED532F"/>
    <w:rsid w:val="00ED5418"/>
    <w:rsid w:val="00ED69C1"/>
    <w:rsid w:val="00ED6D07"/>
    <w:rsid w:val="00ED6D8B"/>
    <w:rsid w:val="00ED7162"/>
    <w:rsid w:val="00ED743D"/>
    <w:rsid w:val="00ED7F19"/>
    <w:rsid w:val="00EE04E7"/>
    <w:rsid w:val="00EE08B7"/>
    <w:rsid w:val="00EE0B8F"/>
    <w:rsid w:val="00EE10A1"/>
    <w:rsid w:val="00EE17A6"/>
    <w:rsid w:val="00EE17E1"/>
    <w:rsid w:val="00EE1868"/>
    <w:rsid w:val="00EE2CDF"/>
    <w:rsid w:val="00EE2E91"/>
    <w:rsid w:val="00EE3687"/>
    <w:rsid w:val="00EE4200"/>
    <w:rsid w:val="00EE4895"/>
    <w:rsid w:val="00EE4978"/>
    <w:rsid w:val="00EE4C8D"/>
    <w:rsid w:val="00EE4C9C"/>
    <w:rsid w:val="00EE4D93"/>
    <w:rsid w:val="00EE58AF"/>
    <w:rsid w:val="00EE60DD"/>
    <w:rsid w:val="00EE6738"/>
    <w:rsid w:val="00EE67C5"/>
    <w:rsid w:val="00EE6E95"/>
    <w:rsid w:val="00EE7460"/>
    <w:rsid w:val="00EE7A78"/>
    <w:rsid w:val="00EF0D1C"/>
    <w:rsid w:val="00EF164C"/>
    <w:rsid w:val="00EF5443"/>
    <w:rsid w:val="00EF7058"/>
    <w:rsid w:val="00EF7C77"/>
    <w:rsid w:val="00F0008B"/>
    <w:rsid w:val="00F00276"/>
    <w:rsid w:val="00F00353"/>
    <w:rsid w:val="00F008ED"/>
    <w:rsid w:val="00F0178D"/>
    <w:rsid w:val="00F01C61"/>
    <w:rsid w:val="00F01D60"/>
    <w:rsid w:val="00F02138"/>
    <w:rsid w:val="00F02305"/>
    <w:rsid w:val="00F02BE6"/>
    <w:rsid w:val="00F03859"/>
    <w:rsid w:val="00F0397F"/>
    <w:rsid w:val="00F03A1C"/>
    <w:rsid w:val="00F04A42"/>
    <w:rsid w:val="00F04F50"/>
    <w:rsid w:val="00F05836"/>
    <w:rsid w:val="00F058FB"/>
    <w:rsid w:val="00F064DC"/>
    <w:rsid w:val="00F065E7"/>
    <w:rsid w:val="00F0713A"/>
    <w:rsid w:val="00F0776B"/>
    <w:rsid w:val="00F105ED"/>
    <w:rsid w:val="00F11762"/>
    <w:rsid w:val="00F120E4"/>
    <w:rsid w:val="00F123B8"/>
    <w:rsid w:val="00F134CD"/>
    <w:rsid w:val="00F138E4"/>
    <w:rsid w:val="00F13E47"/>
    <w:rsid w:val="00F13F71"/>
    <w:rsid w:val="00F14E2E"/>
    <w:rsid w:val="00F14ED8"/>
    <w:rsid w:val="00F15201"/>
    <w:rsid w:val="00F1545B"/>
    <w:rsid w:val="00F16524"/>
    <w:rsid w:val="00F16602"/>
    <w:rsid w:val="00F17898"/>
    <w:rsid w:val="00F178CF"/>
    <w:rsid w:val="00F205B4"/>
    <w:rsid w:val="00F21195"/>
    <w:rsid w:val="00F21294"/>
    <w:rsid w:val="00F21988"/>
    <w:rsid w:val="00F2326F"/>
    <w:rsid w:val="00F23FA6"/>
    <w:rsid w:val="00F23FF0"/>
    <w:rsid w:val="00F2405B"/>
    <w:rsid w:val="00F25CF7"/>
    <w:rsid w:val="00F26B7B"/>
    <w:rsid w:val="00F27119"/>
    <w:rsid w:val="00F271D6"/>
    <w:rsid w:val="00F27CE3"/>
    <w:rsid w:val="00F30136"/>
    <w:rsid w:val="00F30A5F"/>
    <w:rsid w:val="00F30C04"/>
    <w:rsid w:val="00F310B7"/>
    <w:rsid w:val="00F310DA"/>
    <w:rsid w:val="00F31C24"/>
    <w:rsid w:val="00F32027"/>
    <w:rsid w:val="00F32212"/>
    <w:rsid w:val="00F32557"/>
    <w:rsid w:val="00F32D4C"/>
    <w:rsid w:val="00F33E4F"/>
    <w:rsid w:val="00F34F44"/>
    <w:rsid w:val="00F356F0"/>
    <w:rsid w:val="00F35DA8"/>
    <w:rsid w:val="00F3609B"/>
    <w:rsid w:val="00F362D9"/>
    <w:rsid w:val="00F366C6"/>
    <w:rsid w:val="00F36881"/>
    <w:rsid w:val="00F36883"/>
    <w:rsid w:val="00F37C4B"/>
    <w:rsid w:val="00F40763"/>
    <w:rsid w:val="00F4079B"/>
    <w:rsid w:val="00F40D3A"/>
    <w:rsid w:val="00F4105B"/>
    <w:rsid w:val="00F411B6"/>
    <w:rsid w:val="00F41D31"/>
    <w:rsid w:val="00F41FB2"/>
    <w:rsid w:val="00F42AC0"/>
    <w:rsid w:val="00F42E19"/>
    <w:rsid w:val="00F4381A"/>
    <w:rsid w:val="00F43D25"/>
    <w:rsid w:val="00F43FDC"/>
    <w:rsid w:val="00F4431E"/>
    <w:rsid w:val="00F44AE5"/>
    <w:rsid w:val="00F44D3E"/>
    <w:rsid w:val="00F44E74"/>
    <w:rsid w:val="00F45C33"/>
    <w:rsid w:val="00F45D48"/>
    <w:rsid w:val="00F46B6A"/>
    <w:rsid w:val="00F46F3B"/>
    <w:rsid w:val="00F50116"/>
    <w:rsid w:val="00F5299E"/>
    <w:rsid w:val="00F52CA6"/>
    <w:rsid w:val="00F53543"/>
    <w:rsid w:val="00F53926"/>
    <w:rsid w:val="00F53DB9"/>
    <w:rsid w:val="00F556A9"/>
    <w:rsid w:val="00F55775"/>
    <w:rsid w:val="00F55A68"/>
    <w:rsid w:val="00F55AF2"/>
    <w:rsid w:val="00F560F7"/>
    <w:rsid w:val="00F563B4"/>
    <w:rsid w:val="00F56BB5"/>
    <w:rsid w:val="00F57251"/>
    <w:rsid w:val="00F5736C"/>
    <w:rsid w:val="00F5789B"/>
    <w:rsid w:val="00F57949"/>
    <w:rsid w:val="00F57C38"/>
    <w:rsid w:val="00F60282"/>
    <w:rsid w:val="00F605E3"/>
    <w:rsid w:val="00F60F20"/>
    <w:rsid w:val="00F6144D"/>
    <w:rsid w:val="00F6197D"/>
    <w:rsid w:val="00F61BE6"/>
    <w:rsid w:val="00F62382"/>
    <w:rsid w:val="00F62A2E"/>
    <w:rsid w:val="00F630B7"/>
    <w:rsid w:val="00F63219"/>
    <w:rsid w:val="00F63DD3"/>
    <w:rsid w:val="00F64B33"/>
    <w:rsid w:val="00F64FEB"/>
    <w:rsid w:val="00F65DDD"/>
    <w:rsid w:val="00F66213"/>
    <w:rsid w:val="00F66298"/>
    <w:rsid w:val="00F662AE"/>
    <w:rsid w:val="00F668EA"/>
    <w:rsid w:val="00F66DAE"/>
    <w:rsid w:val="00F6738F"/>
    <w:rsid w:val="00F700FE"/>
    <w:rsid w:val="00F70113"/>
    <w:rsid w:val="00F70724"/>
    <w:rsid w:val="00F70D1A"/>
    <w:rsid w:val="00F727AF"/>
    <w:rsid w:val="00F729D4"/>
    <w:rsid w:val="00F72C34"/>
    <w:rsid w:val="00F738C6"/>
    <w:rsid w:val="00F74E7C"/>
    <w:rsid w:val="00F757BF"/>
    <w:rsid w:val="00F767EC"/>
    <w:rsid w:val="00F77019"/>
    <w:rsid w:val="00F770BF"/>
    <w:rsid w:val="00F77504"/>
    <w:rsid w:val="00F80541"/>
    <w:rsid w:val="00F805C2"/>
    <w:rsid w:val="00F805D6"/>
    <w:rsid w:val="00F805DE"/>
    <w:rsid w:val="00F80923"/>
    <w:rsid w:val="00F813E9"/>
    <w:rsid w:val="00F820C2"/>
    <w:rsid w:val="00F82A10"/>
    <w:rsid w:val="00F82C4D"/>
    <w:rsid w:val="00F8403C"/>
    <w:rsid w:val="00F8471B"/>
    <w:rsid w:val="00F85280"/>
    <w:rsid w:val="00F854E1"/>
    <w:rsid w:val="00F8574B"/>
    <w:rsid w:val="00F8587D"/>
    <w:rsid w:val="00F85A57"/>
    <w:rsid w:val="00F86084"/>
    <w:rsid w:val="00F8647B"/>
    <w:rsid w:val="00F876B1"/>
    <w:rsid w:val="00F90480"/>
    <w:rsid w:val="00F9107C"/>
    <w:rsid w:val="00F92989"/>
    <w:rsid w:val="00F932FB"/>
    <w:rsid w:val="00F961C5"/>
    <w:rsid w:val="00F9634D"/>
    <w:rsid w:val="00F972F6"/>
    <w:rsid w:val="00F97682"/>
    <w:rsid w:val="00FA04B6"/>
    <w:rsid w:val="00FA15B9"/>
    <w:rsid w:val="00FA1A1F"/>
    <w:rsid w:val="00FA21A8"/>
    <w:rsid w:val="00FA2A48"/>
    <w:rsid w:val="00FA2A60"/>
    <w:rsid w:val="00FA38D4"/>
    <w:rsid w:val="00FA485C"/>
    <w:rsid w:val="00FA51AA"/>
    <w:rsid w:val="00FA5F3C"/>
    <w:rsid w:val="00FA6B45"/>
    <w:rsid w:val="00FA6BA1"/>
    <w:rsid w:val="00FA7303"/>
    <w:rsid w:val="00FA78FC"/>
    <w:rsid w:val="00FB0155"/>
    <w:rsid w:val="00FB0D7D"/>
    <w:rsid w:val="00FB17FD"/>
    <w:rsid w:val="00FB1A1C"/>
    <w:rsid w:val="00FB1B90"/>
    <w:rsid w:val="00FB241E"/>
    <w:rsid w:val="00FB2978"/>
    <w:rsid w:val="00FB2C2B"/>
    <w:rsid w:val="00FB334D"/>
    <w:rsid w:val="00FB39DC"/>
    <w:rsid w:val="00FB3A26"/>
    <w:rsid w:val="00FB3AC9"/>
    <w:rsid w:val="00FB3B8C"/>
    <w:rsid w:val="00FB4590"/>
    <w:rsid w:val="00FB5B8F"/>
    <w:rsid w:val="00FB5F24"/>
    <w:rsid w:val="00FB66C0"/>
    <w:rsid w:val="00FB6CCA"/>
    <w:rsid w:val="00FB7274"/>
    <w:rsid w:val="00FB737F"/>
    <w:rsid w:val="00FB7ADC"/>
    <w:rsid w:val="00FC10EF"/>
    <w:rsid w:val="00FC161E"/>
    <w:rsid w:val="00FC1DB8"/>
    <w:rsid w:val="00FC21C4"/>
    <w:rsid w:val="00FC26A9"/>
    <w:rsid w:val="00FC295C"/>
    <w:rsid w:val="00FC2C22"/>
    <w:rsid w:val="00FC37CF"/>
    <w:rsid w:val="00FC409E"/>
    <w:rsid w:val="00FC43AD"/>
    <w:rsid w:val="00FC6404"/>
    <w:rsid w:val="00FD094C"/>
    <w:rsid w:val="00FD0EE1"/>
    <w:rsid w:val="00FD1658"/>
    <w:rsid w:val="00FD1722"/>
    <w:rsid w:val="00FD180A"/>
    <w:rsid w:val="00FD1C6C"/>
    <w:rsid w:val="00FD2A51"/>
    <w:rsid w:val="00FD2D18"/>
    <w:rsid w:val="00FD31D7"/>
    <w:rsid w:val="00FD32AF"/>
    <w:rsid w:val="00FD3688"/>
    <w:rsid w:val="00FD3A2F"/>
    <w:rsid w:val="00FD3DFB"/>
    <w:rsid w:val="00FD618C"/>
    <w:rsid w:val="00FD63D6"/>
    <w:rsid w:val="00FD7B2D"/>
    <w:rsid w:val="00FD7E07"/>
    <w:rsid w:val="00FE10D7"/>
    <w:rsid w:val="00FE1725"/>
    <w:rsid w:val="00FE1E0F"/>
    <w:rsid w:val="00FE2831"/>
    <w:rsid w:val="00FE3339"/>
    <w:rsid w:val="00FE3344"/>
    <w:rsid w:val="00FE35F2"/>
    <w:rsid w:val="00FE4A84"/>
    <w:rsid w:val="00FE4C3F"/>
    <w:rsid w:val="00FE4D8C"/>
    <w:rsid w:val="00FE5238"/>
    <w:rsid w:val="00FE58D4"/>
    <w:rsid w:val="00FE6C8E"/>
    <w:rsid w:val="00FE71BF"/>
    <w:rsid w:val="00FE72A3"/>
    <w:rsid w:val="00FE7F8E"/>
    <w:rsid w:val="00FF03E4"/>
    <w:rsid w:val="00FF089A"/>
    <w:rsid w:val="00FF189B"/>
    <w:rsid w:val="00FF1BEF"/>
    <w:rsid w:val="00FF1D53"/>
    <w:rsid w:val="00FF2125"/>
    <w:rsid w:val="00FF3531"/>
    <w:rsid w:val="00FF45ED"/>
    <w:rsid w:val="00FF4ADA"/>
    <w:rsid w:val="00FF4EB7"/>
    <w:rsid w:val="00FF5AE9"/>
    <w:rsid w:val="00FF5D55"/>
    <w:rsid w:val="00FF5EA1"/>
    <w:rsid w:val="00FF5F55"/>
    <w:rsid w:val="00FF640B"/>
    <w:rsid w:val="00FF64BD"/>
    <w:rsid w:val="00FF691C"/>
    <w:rsid w:val="00FF69AB"/>
    <w:rsid w:val="00FF74F9"/>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F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87D2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B4D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6B7"/>
    <w:rPr>
      <w:sz w:val="22"/>
      <w:szCs w:val="22"/>
      <w:lang w:eastAsia="en-US"/>
    </w:rPr>
  </w:style>
  <w:style w:type="paragraph" w:customStyle="1" w:styleId="Default">
    <w:name w:val="Default"/>
    <w:rsid w:val="00243881"/>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0C10E6"/>
    <w:rPr>
      <w:rFonts w:ascii="Tahoma" w:hAnsi="Tahoma" w:cs="Tahoma"/>
      <w:sz w:val="16"/>
      <w:szCs w:val="16"/>
    </w:rPr>
  </w:style>
  <w:style w:type="character" w:customStyle="1" w:styleId="BalloonTextChar">
    <w:name w:val="Balloon Text Char"/>
    <w:basedOn w:val="DefaultParagraphFont"/>
    <w:link w:val="BalloonText"/>
    <w:uiPriority w:val="99"/>
    <w:semiHidden/>
    <w:rsid w:val="000C10E6"/>
    <w:rPr>
      <w:rFonts w:ascii="Tahoma" w:eastAsia="Times New Roman" w:hAnsi="Tahoma" w:cs="Tahoma"/>
      <w:sz w:val="16"/>
      <w:szCs w:val="16"/>
    </w:rPr>
  </w:style>
  <w:style w:type="character" w:customStyle="1" w:styleId="bodytextblack1">
    <w:name w:val="bodytextblack1"/>
    <w:basedOn w:val="DefaultParagraphFont"/>
    <w:rsid w:val="002F1319"/>
    <w:rPr>
      <w:rFonts w:ascii="Verdana" w:hAnsi="Verdana" w:hint="default"/>
      <w:b w:val="0"/>
      <w:bCs w:val="0"/>
      <w:strike w:val="0"/>
      <w:dstrike w:val="0"/>
      <w:color w:val="333333"/>
      <w:sz w:val="15"/>
      <w:szCs w:val="15"/>
      <w:u w:val="none"/>
      <w:effect w:val="none"/>
    </w:rPr>
  </w:style>
  <w:style w:type="character" w:styleId="PlaceholderText">
    <w:name w:val="Placeholder Text"/>
    <w:basedOn w:val="DefaultParagraphFont"/>
    <w:uiPriority w:val="99"/>
    <w:semiHidden/>
    <w:rsid w:val="00827DD7"/>
    <w:rPr>
      <w:color w:val="808080"/>
    </w:rPr>
  </w:style>
  <w:style w:type="character" w:customStyle="1" w:styleId="number">
    <w:name w:val="number"/>
    <w:basedOn w:val="DefaultParagraphFont"/>
    <w:rsid w:val="0047151C"/>
  </w:style>
  <w:style w:type="character" w:customStyle="1" w:styleId="i2">
    <w:name w:val="i2"/>
    <w:basedOn w:val="DefaultParagraphFont"/>
    <w:rsid w:val="0047151C"/>
    <w:rPr>
      <w:i/>
      <w:iCs/>
    </w:rPr>
  </w:style>
  <w:style w:type="paragraph" w:customStyle="1" w:styleId="para2">
    <w:name w:val="para2"/>
    <w:basedOn w:val="Normal"/>
    <w:rsid w:val="0047151C"/>
    <w:pPr>
      <w:spacing w:after="100" w:afterAutospacing="1"/>
    </w:pPr>
    <w:rPr>
      <w:rFonts w:ascii="Arial" w:hAnsi="Arial" w:cs="Arial"/>
      <w:color w:val="333333"/>
      <w:sz w:val="16"/>
      <w:szCs w:val="16"/>
      <w:lang w:eastAsia="en-GB"/>
    </w:rPr>
  </w:style>
  <w:style w:type="character" w:customStyle="1" w:styleId="inlineformula">
    <w:name w:val="inline_formula"/>
    <w:basedOn w:val="DefaultParagraphFont"/>
    <w:rsid w:val="0047151C"/>
  </w:style>
  <w:style w:type="paragraph" w:styleId="Header">
    <w:name w:val="header"/>
    <w:basedOn w:val="Normal"/>
    <w:link w:val="HeaderChar"/>
    <w:uiPriority w:val="99"/>
    <w:unhideWhenUsed/>
    <w:rsid w:val="00A2582A"/>
    <w:pPr>
      <w:tabs>
        <w:tab w:val="center" w:pos="4513"/>
        <w:tab w:val="right" w:pos="9026"/>
      </w:tabs>
    </w:pPr>
  </w:style>
  <w:style w:type="character" w:customStyle="1" w:styleId="HeaderChar">
    <w:name w:val="Header Char"/>
    <w:basedOn w:val="DefaultParagraphFont"/>
    <w:link w:val="Header"/>
    <w:uiPriority w:val="99"/>
    <w:rsid w:val="00A258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582A"/>
    <w:pPr>
      <w:tabs>
        <w:tab w:val="center" w:pos="4513"/>
        <w:tab w:val="right" w:pos="9026"/>
      </w:tabs>
    </w:pPr>
  </w:style>
  <w:style w:type="character" w:customStyle="1" w:styleId="FooterChar">
    <w:name w:val="Footer Char"/>
    <w:basedOn w:val="DefaultParagraphFont"/>
    <w:link w:val="Footer"/>
    <w:uiPriority w:val="99"/>
    <w:rsid w:val="00A2582A"/>
    <w:rPr>
      <w:rFonts w:ascii="Times New Roman" w:eastAsia="Times New Roman" w:hAnsi="Times New Roman" w:cs="Times New Roman"/>
      <w:sz w:val="24"/>
      <w:szCs w:val="24"/>
    </w:rPr>
  </w:style>
  <w:style w:type="paragraph" w:styleId="ListParagraph">
    <w:name w:val="List Paragraph"/>
    <w:basedOn w:val="Normal"/>
    <w:uiPriority w:val="34"/>
    <w:qFormat/>
    <w:rsid w:val="00F04F50"/>
    <w:pPr>
      <w:ind w:left="720"/>
      <w:contextualSpacing/>
    </w:pPr>
    <w:rPr>
      <w:lang w:eastAsia="en-GB"/>
    </w:rPr>
  </w:style>
  <w:style w:type="table" w:styleId="TableGrid">
    <w:name w:val="Table Grid"/>
    <w:basedOn w:val="TableNormal"/>
    <w:uiPriority w:val="59"/>
    <w:rsid w:val="00E92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260EC"/>
    <w:rPr>
      <w:sz w:val="16"/>
      <w:szCs w:val="16"/>
    </w:rPr>
  </w:style>
  <w:style w:type="paragraph" w:styleId="CommentText">
    <w:name w:val="annotation text"/>
    <w:basedOn w:val="Normal"/>
    <w:link w:val="CommentTextChar"/>
    <w:uiPriority w:val="99"/>
    <w:unhideWhenUsed/>
    <w:rsid w:val="003260EC"/>
    <w:rPr>
      <w:sz w:val="20"/>
      <w:szCs w:val="20"/>
    </w:rPr>
  </w:style>
  <w:style w:type="character" w:customStyle="1" w:styleId="CommentTextChar">
    <w:name w:val="Comment Text Char"/>
    <w:basedOn w:val="DefaultParagraphFont"/>
    <w:link w:val="CommentText"/>
    <w:uiPriority w:val="99"/>
    <w:rsid w:val="003260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0EC"/>
    <w:rPr>
      <w:b/>
      <w:bCs/>
    </w:rPr>
  </w:style>
  <w:style w:type="character" w:customStyle="1" w:styleId="CommentSubjectChar">
    <w:name w:val="Comment Subject Char"/>
    <w:basedOn w:val="CommentTextChar"/>
    <w:link w:val="CommentSubject"/>
    <w:uiPriority w:val="99"/>
    <w:semiHidden/>
    <w:rsid w:val="003260EC"/>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87D23"/>
    <w:rPr>
      <w:rFonts w:ascii="Cambria" w:eastAsia="Times New Roman" w:hAnsi="Cambria" w:cs="Times New Roman"/>
      <w:b/>
      <w:bCs/>
      <w:color w:val="365F91"/>
      <w:sz w:val="28"/>
      <w:szCs w:val="28"/>
    </w:rPr>
  </w:style>
  <w:style w:type="paragraph" w:styleId="NormalWeb">
    <w:name w:val="Normal (Web)"/>
    <w:basedOn w:val="Normal"/>
    <w:uiPriority w:val="99"/>
    <w:unhideWhenUsed/>
    <w:rsid w:val="00292675"/>
    <w:pPr>
      <w:spacing w:before="100" w:beforeAutospacing="1" w:after="100" w:afterAutospacing="1"/>
    </w:pPr>
    <w:rPr>
      <w:lang w:eastAsia="en-GB"/>
    </w:rPr>
  </w:style>
  <w:style w:type="character" w:styleId="Hyperlink">
    <w:name w:val="Hyperlink"/>
    <w:basedOn w:val="DefaultParagraphFont"/>
    <w:uiPriority w:val="99"/>
    <w:unhideWhenUsed/>
    <w:rsid w:val="005062AD"/>
    <w:rPr>
      <w:strike w:val="0"/>
      <w:dstrike w:val="0"/>
      <w:color w:val="0156AA"/>
      <w:u w:val="none"/>
      <w:effect w:val="none"/>
    </w:rPr>
  </w:style>
  <w:style w:type="paragraph" w:customStyle="1" w:styleId="Correspondencedetails">
    <w:name w:val="Correspondence details"/>
    <w:basedOn w:val="Normal"/>
    <w:next w:val="Normal"/>
    <w:qFormat/>
    <w:rsid w:val="004A32C5"/>
    <w:pPr>
      <w:spacing w:before="240" w:line="360" w:lineRule="auto"/>
    </w:pPr>
    <w:rPr>
      <w:lang w:eastAsia="en-GB"/>
    </w:rPr>
  </w:style>
  <w:style w:type="character" w:customStyle="1" w:styleId="apple-style-span">
    <w:name w:val="apple-style-span"/>
    <w:basedOn w:val="DefaultParagraphFont"/>
    <w:rsid w:val="004A32C5"/>
  </w:style>
  <w:style w:type="character" w:styleId="Strong">
    <w:name w:val="Strong"/>
    <w:basedOn w:val="DefaultParagraphFont"/>
    <w:uiPriority w:val="22"/>
    <w:qFormat/>
    <w:rsid w:val="006071BF"/>
    <w:rPr>
      <w:b/>
      <w:bCs/>
    </w:rPr>
  </w:style>
  <w:style w:type="paragraph" w:customStyle="1" w:styleId="small">
    <w:name w:val="small"/>
    <w:basedOn w:val="Normal"/>
    <w:rsid w:val="00862D01"/>
    <w:pPr>
      <w:spacing w:before="100" w:beforeAutospacing="1" w:after="100" w:afterAutospacing="1"/>
    </w:pPr>
    <w:rPr>
      <w:rFonts w:ascii="Arial" w:hAnsi="Arial" w:cs="Arial"/>
      <w:color w:val="000000"/>
      <w:sz w:val="18"/>
      <w:szCs w:val="18"/>
      <w:lang w:eastAsia="en-GB"/>
    </w:rPr>
  </w:style>
  <w:style w:type="character" w:styleId="BookTitle">
    <w:name w:val="Book Title"/>
    <w:basedOn w:val="DefaultParagraphFont"/>
    <w:uiPriority w:val="33"/>
    <w:qFormat/>
    <w:rsid w:val="00D04B48"/>
    <w:rPr>
      <w:b/>
      <w:bCs/>
      <w:smallCaps/>
      <w:spacing w:val="5"/>
    </w:rPr>
  </w:style>
  <w:style w:type="character" w:customStyle="1" w:styleId="ft">
    <w:name w:val="ft"/>
    <w:basedOn w:val="DefaultParagraphFont"/>
    <w:rsid w:val="00792DD7"/>
  </w:style>
  <w:style w:type="character" w:customStyle="1" w:styleId="citation">
    <w:name w:val="citation"/>
    <w:basedOn w:val="DefaultParagraphFont"/>
    <w:rsid w:val="00A850C2"/>
  </w:style>
  <w:style w:type="character" w:customStyle="1" w:styleId="ref-journal">
    <w:name w:val="ref-journal"/>
    <w:basedOn w:val="DefaultParagraphFont"/>
    <w:rsid w:val="00A850C2"/>
  </w:style>
  <w:style w:type="character" w:customStyle="1" w:styleId="ref-vol">
    <w:name w:val="ref-vol"/>
    <w:basedOn w:val="DefaultParagraphFont"/>
    <w:rsid w:val="00A850C2"/>
  </w:style>
  <w:style w:type="character" w:customStyle="1" w:styleId="Heading2Char">
    <w:name w:val="Heading 2 Char"/>
    <w:basedOn w:val="DefaultParagraphFont"/>
    <w:link w:val="Heading2"/>
    <w:uiPriority w:val="9"/>
    <w:rsid w:val="006B4D46"/>
    <w:rPr>
      <w:rFonts w:asciiTheme="majorHAnsi" w:eastAsiaTheme="majorEastAsia" w:hAnsiTheme="majorHAnsi" w:cstheme="majorBidi"/>
      <w:b/>
      <w:bCs/>
      <w:color w:val="4F81BD" w:themeColor="accent1"/>
      <w:sz w:val="26"/>
      <w:szCs w:val="26"/>
      <w:lang w:eastAsia="en-US"/>
    </w:rPr>
  </w:style>
  <w:style w:type="character" w:customStyle="1" w:styleId="nowrap">
    <w:name w:val="nowrap"/>
    <w:basedOn w:val="DefaultParagraphFont"/>
    <w:rsid w:val="00DC7CE3"/>
  </w:style>
  <w:style w:type="character" w:styleId="HTMLCite">
    <w:name w:val="HTML Cite"/>
    <w:basedOn w:val="DefaultParagraphFont"/>
    <w:uiPriority w:val="99"/>
    <w:semiHidden/>
    <w:unhideWhenUsed/>
    <w:rsid w:val="00492D09"/>
    <w:rPr>
      <w:i/>
      <w:iCs/>
    </w:rPr>
  </w:style>
  <w:style w:type="character" w:customStyle="1" w:styleId="ref-label">
    <w:name w:val="ref-label"/>
    <w:basedOn w:val="DefaultParagraphFont"/>
    <w:rsid w:val="00492D09"/>
  </w:style>
  <w:style w:type="character" w:customStyle="1" w:styleId="cit-auth2">
    <w:name w:val="cit-auth2"/>
    <w:basedOn w:val="DefaultParagraphFont"/>
    <w:rsid w:val="00492D09"/>
  </w:style>
  <w:style w:type="character" w:customStyle="1" w:styleId="cit-name-surname">
    <w:name w:val="cit-name-surname"/>
    <w:basedOn w:val="DefaultParagraphFont"/>
    <w:rsid w:val="00492D09"/>
  </w:style>
  <w:style w:type="character" w:customStyle="1" w:styleId="cit-name-given-names">
    <w:name w:val="cit-name-given-names"/>
    <w:basedOn w:val="DefaultParagraphFont"/>
    <w:rsid w:val="00492D09"/>
  </w:style>
  <w:style w:type="character" w:customStyle="1" w:styleId="cit-name-suffix">
    <w:name w:val="cit-name-suffix"/>
    <w:basedOn w:val="DefaultParagraphFont"/>
    <w:rsid w:val="00492D09"/>
  </w:style>
  <w:style w:type="character" w:customStyle="1" w:styleId="cit-article-title">
    <w:name w:val="cit-article-title"/>
    <w:basedOn w:val="DefaultParagraphFont"/>
    <w:rsid w:val="00492D09"/>
  </w:style>
  <w:style w:type="character" w:customStyle="1" w:styleId="cit-vol4">
    <w:name w:val="cit-vol4"/>
    <w:basedOn w:val="DefaultParagraphFont"/>
    <w:rsid w:val="00492D09"/>
  </w:style>
  <w:style w:type="character" w:customStyle="1" w:styleId="cit-fpage">
    <w:name w:val="cit-fpage"/>
    <w:basedOn w:val="DefaultParagraphFont"/>
    <w:rsid w:val="00492D09"/>
  </w:style>
  <w:style w:type="character" w:customStyle="1" w:styleId="cit-lpage">
    <w:name w:val="cit-lpage"/>
    <w:basedOn w:val="DefaultParagraphFont"/>
    <w:rsid w:val="00492D09"/>
  </w:style>
  <w:style w:type="character" w:customStyle="1" w:styleId="cit-pub-date">
    <w:name w:val="cit-pub-date"/>
    <w:basedOn w:val="DefaultParagraphFont"/>
    <w:rsid w:val="00492D09"/>
  </w:style>
  <w:style w:type="character" w:styleId="LineNumber">
    <w:name w:val="line number"/>
    <w:basedOn w:val="DefaultParagraphFont"/>
    <w:uiPriority w:val="99"/>
    <w:semiHidden/>
    <w:unhideWhenUsed/>
    <w:rsid w:val="00634850"/>
  </w:style>
  <w:style w:type="paragraph" w:customStyle="1" w:styleId="para">
    <w:name w:val="para"/>
    <w:basedOn w:val="Normal"/>
    <w:rsid w:val="000D576C"/>
    <w:pPr>
      <w:spacing w:before="100" w:beforeAutospacing="1" w:after="100" w:afterAutospacing="1"/>
    </w:pPr>
    <w:rPr>
      <w:lang w:eastAsia="en-GB"/>
    </w:rPr>
  </w:style>
  <w:style w:type="character" w:customStyle="1" w:styleId="citationref">
    <w:name w:val="citationref"/>
    <w:basedOn w:val="DefaultParagraphFont"/>
    <w:rsid w:val="000D576C"/>
  </w:style>
  <w:style w:type="paragraph" w:styleId="PlainText">
    <w:name w:val="Plain Text"/>
    <w:basedOn w:val="Normal"/>
    <w:link w:val="PlainTextChar"/>
    <w:uiPriority w:val="99"/>
    <w:unhideWhenUsed/>
    <w:rsid w:val="00D91C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91CF6"/>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F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87D2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B4D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6B7"/>
    <w:rPr>
      <w:sz w:val="22"/>
      <w:szCs w:val="22"/>
      <w:lang w:eastAsia="en-US"/>
    </w:rPr>
  </w:style>
  <w:style w:type="paragraph" w:customStyle="1" w:styleId="Default">
    <w:name w:val="Default"/>
    <w:rsid w:val="00243881"/>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0C10E6"/>
    <w:rPr>
      <w:rFonts w:ascii="Tahoma" w:hAnsi="Tahoma" w:cs="Tahoma"/>
      <w:sz w:val="16"/>
      <w:szCs w:val="16"/>
    </w:rPr>
  </w:style>
  <w:style w:type="character" w:customStyle="1" w:styleId="BalloonTextChar">
    <w:name w:val="Balloon Text Char"/>
    <w:basedOn w:val="DefaultParagraphFont"/>
    <w:link w:val="BalloonText"/>
    <w:uiPriority w:val="99"/>
    <w:semiHidden/>
    <w:rsid w:val="000C10E6"/>
    <w:rPr>
      <w:rFonts w:ascii="Tahoma" w:eastAsia="Times New Roman" w:hAnsi="Tahoma" w:cs="Tahoma"/>
      <w:sz w:val="16"/>
      <w:szCs w:val="16"/>
    </w:rPr>
  </w:style>
  <w:style w:type="character" w:customStyle="1" w:styleId="bodytextblack1">
    <w:name w:val="bodytextblack1"/>
    <w:basedOn w:val="DefaultParagraphFont"/>
    <w:rsid w:val="002F1319"/>
    <w:rPr>
      <w:rFonts w:ascii="Verdana" w:hAnsi="Verdana" w:hint="default"/>
      <w:b w:val="0"/>
      <w:bCs w:val="0"/>
      <w:strike w:val="0"/>
      <w:dstrike w:val="0"/>
      <w:color w:val="333333"/>
      <w:sz w:val="15"/>
      <w:szCs w:val="15"/>
      <w:u w:val="none"/>
      <w:effect w:val="none"/>
    </w:rPr>
  </w:style>
  <w:style w:type="character" w:styleId="PlaceholderText">
    <w:name w:val="Placeholder Text"/>
    <w:basedOn w:val="DefaultParagraphFont"/>
    <w:uiPriority w:val="99"/>
    <w:semiHidden/>
    <w:rsid w:val="00827DD7"/>
    <w:rPr>
      <w:color w:val="808080"/>
    </w:rPr>
  </w:style>
  <w:style w:type="character" w:customStyle="1" w:styleId="number">
    <w:name w:val="number"/>
    <w:basedOn w:val="DefaultParagraphFont"/>
    <w:rsid w:val="0047151C"/>
  </w:style>
  <w:style w:type="character" w:customStyle="1" w:styleId="i2">
    <w:name w:val="i2"/>
    <w:basedOn w:val="DefaultParagraphFont"/>
    <w:rsid w:val="0047151C"/>
    <w:rPr>
      <w:i/>
      <w:iCs/>
    </w:rPr>
  </w:style>
  <w:style w:type="paragraph" w:customStyle="1" w:styleId="para2">
    <w:name w:val="para2"/>
    <w:basedOn w:val="Normal"/>
    <w:rsid w:val="0047151C"/>
    <w:pPr>
      <w:spacing w:after="100" w:afterAutospacing="1"/>
    </w:pPr>
    <w:rPr>
      <w:rFonts w:ascii="Arial" w:hAnsi="Arial" w:cs="Arial"/>
      <w:color w:val="333333"/>
      <w:sz w:val="16"/>
      <w:szCs w:val="16"/>
      <w:lang w:eastAsia="en-GB"/>
    </w:rPr>
  </w:style>
  <w:style w:type="character" w:customStyle="1" w:styleId="inlineformula">
    <w:name w:val="inline_formula"/>
    <w:basedOn w:val="DefaultParagraphFont"/>
    <w:rsid w:val="0047151C"/>
  </w:style>
  <w:style w:type="paragraph" w:styleId="Header">
    <w:name w:val="header"/>
    <w:basedOn w:val="Normal"/>
    <w:link w:val="HeaderChar"/>
    <w:uiPriority w:val="99"/>
    <w:unhideWhenUsed/>
    <w:rsid w:val="00A2582A"/>
    <w:pPr>
      <w:tabs>
        <w:tab w:val="center" w:pos="4513"/>
        <w:tab w:val="right" w:pos="9026"/>
      </w:tabs>
    </w:pPr>
  </w:style>
  <w:style w:type="character" w:customStyle="1" w:styleId="HeaderChar">
    <w:name w:val="Header Char"/>
    <w:basedOn w:val="DefaultParagraphFont"/>
    <w:link w:val="Header"/>
    <w:uiPriority w:val="99"/>
    <w:rsid w:val="00A258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582A"/>
    <w:pPr>
      <w:tabs>
        <w:tab w:val="center" w:pos="4513"/>
        <w:tab w:val="right" w:pos="9026"/>
      </w:tabs>
    </w:pPr>
  </w:style>
  <w:style w:type="character" w:customStyle="1" w:styleId="FooterChar">
    <w:name w:val="Footer Char"/>
    <w:basedOn w:val="DefaultParagraphFont"/>
    <w:link w:val="Footer"/>
    <w:uiPriority w:val="99"/>
    <w:rsid w:val="00A2582A"/>
    <w:rPr>
      <w:rFonts w:ascii="Times New Roman" w:eastAsia="Times New Roman" w:hAnsi="Times New Roman" w:cs="Times New Roman"/>
      <w:sz w:val="24"/>
      <w:szCs w:val="24"/>
    </w:rPr>
  </w:style>
  <w:style w:type="paragraph" w:styleId="ListParagraph">
    <w:name w:val="List Paragraph"/>
    <w:basedOn w:val="Normal"/>
    <w:uiPriority w:val="34"/>
    <w:qFormat/>
    <w:rsid w:val="00F04F50"/>
    <w:pPr>
      <w:ind w:left="720"/>
      <w:contextualSpacing/>
    </w:pPr>
    <w:rPr>
      <w:lang w:eastAsia="en-GB"/>
    </w:rPr>
  </w:style>
  <w:style w:type="table" w:styleId="TableGrid">
    <w:name w:val="Table Grid"/>
    <w:basedOn w:val="TableNormal"/>
    <w:uiPriority w:val="59"/>
    <w:rsid w:val="00E92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260EC"/>
    <w:rPr>
      <w:sz w:val="16"/>
      <w:szCs w:val="16"/>
    </w:rPr>
  </w:style>
  <w:style w:type="paragraph" w:styleId="CommentText">
    <w:name w:val="annotation text"/>
    <w:basedOn w:val="Normal"/>
    <w:link w:val="CommentTextChar"/>
    <w:uiPriority w:val="99"/>
    <w:unhideWhenUsed/>
    <w:rsid w:val="003260EC"/>
    <w:rPr>
      <w:sz w:val="20"/>
      <w:szCs w:val="20"/>
    </w:rPr>
  </w:style>
  <w:style w:type="character" w:customStyle="1" w:styleId="CommentTextChar">
    <w:name w:val="Comment Text Char"/>
    <w:basedOn w:val="DefaultParagraphFont"/>
    <w:link w:val="CommentText"/>
    <w:uiPriority w:val="99"/>
    <w:rsid w:val="003260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0EC"/>
    <w:rPr>
      <w:b/>
      <w:bCs/>
    </w:rPr>
  </w:style>
  <w:style w:type="character" w:customStyle="1" w:styleId="CommentSubjectChar">
    <w:name w:val="Comment Subject Char"/>
    <w:basedOn w:val="CommentTextChar"/>
    <w:link w:val="CommentSubject"/>
    <w:uiPriority w:val="99"/>
    <w:semiHidden/>
    <w:rsid w:val="003260EC"/>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87D23"/>
    <w:rPr>
      <w:rFonts w:ascii="Cambria" w:eastAsia="Times New Roman" w:hAnsi="Cambria" w:cs="Times New Roman"/>
      <w:b/>
      <w:bCs/>
      <w:color w:val="365F91"/>
      <w:sz w:val="28"/>
      <w:szCs w:val="28"/>
    </w:rPr>
  </w:style>
  <w:style w:type="paragraph" w:styleId="NormalWeb">
    <w:name w:val="Normal (Web)"/>
    <w:basedOn w:val="Normal"/>
    <w:uiPriority w:val="99"/>
    <w:unhideWhenUsed/>
    <w:rsid w:val="00292675"/>
    <w:pPr>
      <w:spacing w:before="100" w:beforeAutospacing="1" w:after="100" w:afterAutospacing="1"/>
    </w:pPr>
    <w:rPr>
      <w:lang w:eastAsia="en-GB"/>
    </w:rPr>
  </w:style>
  <w:style w:type="character" w:styleId="Hyperlink">
    <w:name w:val="Hyperlink"/>
    <w:basedOn w:val="DefaultParagraphFont"/>
    <w:uiPriority w:val="99"/>
    <w:unhideWhenUsed/>
    <w:rsid w:val="005062AD"/>
    <w:rPr>
      <w:strike w:val="0"/>
      <w:dstrike w:val="0"/>
      <w:color w:val="0156AA"/>
      <w:u w:val="none"/>
      <w:effect w:val="none"/>
    </w:rPr>
  </w:style>
  <w:style w:type="paragraph" w:customStyle="1" w:styleId="Correspondencedetails">
    <w:name w:val="Correspondence details"/>
    <w:basedOn w:val="Normal"/>
    <w:next w:val="Normal"/>
    <w:qFormat/>
    <w:rsid w:val="004A32C5"/>
    <w:pPr>
      <w:spacing w:before="240" w:line="360" w:lineRule="auto"/>
    </w:pPr>
    <w:rPr>
      <w:lang w:eastAsia="en-GB"/>
    </w:rPr>
  </w:style>
  <w:style w:type="character" w:customStyle="1" w:styleId="apple-style-span">
    <w:name w:val="apple-style-span"/>
    <w:basedOn w:val="DefaultParagraphFont"/>
    <w:rsid w:val="004A32C5"/>
  </w:style>
  <w:style w:type="character" w:styleId="Strong">
    <w:name w:val="Strong"/>
    <w:basedOn w:val="DefaultParagraphFont"/>
    <w:uiPriority w:val="22"/>
    <w:qFormat/>
    <w:rsid w:val="006071BF"/>
    <w:rPr>
      <w:b/>
      <w:bCs/>
    </w:rPr>
  </w:style>
  <w:style w:type="paragraph" w:customStyle="1" w:styleId="small">
    <w:name w:val="small"/>
    <w:basedOn w:val="Normal"/>
    <w:rsid w:val="00862D01"/>
    <w:pPr>
      <w:spacing w:before="100" w:beforeAutospacing="1" w:after="100" w:afterAutospacing="1"/>
    </w:pPr>
    <w:rPr>
      <w:rFonts w:ascii="Arial" w:hAnsi="Arial" w:cs="Arial"/>
      <w:color w:val="000000"/>
      <w:sz w:val="18"/>
      <w:szCs w:val="18"/>
      <w:lang w:eastAsia="en-GB"/>
    </w:rPr>
  </w:style>
  <w:style w:type="character" w:styleId="BookTitle">
    <w:name w:val="Book Title"/>
    <w:basedOn w:val="DefaultParagraphFont"/>
    <w:uiPriority w:val="33"/>
    <w:qFormat/>
    <w:rsid w:val="00D04B48"/>
    <w:rPr>
      <w:b/>
      <w:bCs/>
      <w:smallCaps/>
      <w:spacing w:val="5"/>
    </w:rPr>
  </w:style>
  <w:style w:type="character" w:customStyle="1" w:styleId="ft">
    <w:name w:val="ft"/>
    <w:basedOn w:val="DefaultParagraphFont"/>
    <w:rsid w:val="00792DD7"/>
  </w:style>
  <w:style w:type="character" w:customStyle="1" w:styleId="citation">
    <w:name w:val="citation"/>
    <w:basedOn w:val="DefaultParagraphFont"/>
    <w:rsid w:val="00A850C2"/>
  </w:style>
  <w:style w:type="character" w:customStyle="1" w:styleId="ref-journal">
    <w:name w:val="ref-journal"/>
    <w:basedOn w:val="DefaultParagraphFont"/>
    <w:rsid w:val="00A850C2"/>
  </w:style>
  <w:style w:type="character" w:customStyle="1" w:styleId="ref-vol">
    <w:name w:val="ref-vol"/>
    <w:basedOn w:val="DefaultParagraphFont"/>
    <w:rsid w:val="00A850C2"/>
  </w:style>
  <w:style w:type="character" w:customStyle="1" w:styleId="Heading2Char">
    <w:name w:val="Heading 2 Char"/>
    <w:basedOn w:val="DefaultParagraphFont"/>
    <w:link w:val="Heading2"/>
    <w:uiPriority w:val="9"/>
    <w:rsid w:val="006B4D46"/>
    <w:rPr>
      <w:rFonts w:asciiTheme="majorHAnsi" w:eastAsiaTheme="majorEastAsia" w:hAnsiTheme="majorHAnsi" w:cstheme="majorBidi"/>
      <w:b/>
      <w:bCs/>
      <w:color w:val="4F81BD" w:themeColor="accent1"/>
      <w:sz w:val="26"/>
      <w:szCs w:val="26"/>
      <w:lang w:eastAsia="en-US"/>
    </w:rPr>
  </w:style>
  <w:style w:type="character" w:customStyle="1" w:styleId="nowrap">
    <w:name w:val="nowrap"/>
    <w:basedOn w:val="DefaultParagraphFont"/>
    <w:rsid w:val="00DC7CE3"/>
  </w:style>
  <w:style w:type="character" w:styleId="HTMLCite">
    <w:name w:val="HTML Cite"/>
    <w:basedOn w:val="DefaultParagraphFont"/>
    <w:uiPriority w:val="99"/>
    <w:semiHidden/>
    <w:unhideWhenUsed/>
    <w:rsid w:val="00492D09"/>
    <w:rPr>
      <w:i/>
      <w:iCs/>
    </w:rPr>
  </w:style>
  <w:style w:type="character" w:customStyle="1" w:styleId="ref-label">
    <w:name w:val="ref-label"/>
    <w:basedOn w:val="DefaultParagraphFont"/>
    <w:rsid w:val="00492D09"/>
  </w:style>
  <w:style w:type="character" w:customStyle="1" w:styleId="cit-auth2">
    <w:name w:val="cit-auth2"/>
    <w:basedOn w:val="DefaultParagraphFont"/>
    <w:rsid w:val="00492D09"/>
  </w:style>
  <w:style w:type="character" w:customStyle="1" w:styleId="cit-name-surname">
    <w:name w:val="cit-name-surname"/>
    <w:basedOn w:val="DefaultParagraphFont"/>
    <w:rsid w:val="00492D09"/>
  </w:style>
  <w:style w:type="character" w:customStyle="1" w:styleId="cit-name-given-names">
    <w:name w:val="cit-name-given-names"/>
    <w:basedOn w:val="DefaultParagraphFont"/>
    <w:rsid w:val="00492D09"/>
  </w:style>
  <w:style w:type="character" w:customStyle="1" w:styleId="cit-name-suffix">
    <w:name w:val="cit-name-suffix"/>
    <w:basedOn w:val="DefaultParagraphFont"/>
    <w:rsid w:val="00492D09"/>
  </w:style>
  <w:style w:type="character" w:customStyle="1" w:styleId="cit-article-title">
    <w:name w:val="cit-article-title"/>
    <w:basedOn w:val="DefaultParagraphFont"/>
    <w:rsid w:val="00492D09"/>
  </w:style>
  <w:style w:type="character" w:customStyle="1" w:styleId="cit-vol4">
    <w:name w:val="cit-vol4"/>
    <w:basedOn w:val="DefaultParagraphFont"/>
    <w:rsid w:val="00492D09"/>
  </w:style>
  <w:style w:type="character" w:customStyle="1" w:styleId="cit-fpage">
    <w:name w:val="cit-fpage"/>
    <w:basedOn w:val="DefaultParagraphFont"/>
    <w:rsid w:val="00492D09"/>
  </w:style>
  <w:style w:type="character" w:customStyle="1" w:styleId="cit-lpage">
    <w:name w:val="cit-lpage"/>
    <w:basedOn w:val="DefaultParagraphFont"/>
    <w:rsid w:val="00492D09"/>
  </w:style>
  <w:style w:type="character" w:customStyle="1" w:styleId="cit-pub-date">
    <w:name w:val="cit-pub-date"/>
    <w:basedOn w:val="DefaultParagraphFont"/>
    <w:rsid w:val="00492D09"/>
  </w:style>
  <w:style w:type="character" w:styleId="LineNumber">
    <w:name w:val="line number"/>
    <w:basedOn w:val="DefaultParagraphFont"/>
    <w:uiPriority w:val="99"/>
    <w:semiHidden/>
    <w:unhideWhenUsed/>
    <w:rsid w:val="00634850"/>
  </w:style>
  <w:style w:type="paragraph" w:customStyle="1" w:styleId="para">
    <w:name w:val="para"/>
    <w:basedOn w:val="Normal"/>
    <w:rsid w:val="000D576C"/>
    <w:pPr>
      <w:spacing w:before="100" w:beforeAutospacing="1" w:after="100" w:afterAutospacing="1"/>
    </w:pPr>
    <w:rPr>
      <w:lang w:eastAsia="en-GB"/>
    </w:rPr>
  </w:style>
  <w:style w:type="character" w:customStyle="1" w:styleId="citationref">
    <w:name w:val="citationref"/>
    <w:basedOn w:val="DefaultParagraphFont"/>
    <w:rsid w:val="000D576C"/>
  </w:style>
  <w:style w:type="paragraph" w:styleId="PlainText">
    <w:name w:val="Plain Text"/>
    <w:basedOn w:val="Normal"/>
    <w:link w:val="PlainTextChar"/>
    <w:uiPriority w:val="99"/>
    <w:unhideWhenUsed/>
    <w:rsid w:val="00D91C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91CF6"/>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8840">
      <w:bodyDiv w:val="1"/>
      <w:marLeft w:val="0"/>
      <w:marRight w:val="0"/>
      <w:marTop w:val="0"/>
      <w:marBottom w:val="0"/>
      <w:divBdr>
        <w:top w:val="none" w:sz="0" w:space="0" w:color="auto"/>
        <w:left w:val="none" w:sz="0" w:space="0" w:color="auto"/>
        <w:bottom w:val="none" w:sz="0" w:space="0" w:color="auto"/>
        <w:right w:val="none" w:sz="0" w:space="0" w:color="auto"/>
      </w:divBdr>
      <w:divsChild>
        <w:div w:id="1065639482">
          <w:marLeft w:val="1987"/>
          <w:marRight w:val="0"/>
          <w:marTop w:val="115"/>
          <w:marBottom w:val="0"/>
          <w:divBdr>
            <w:top w:val="none" w:sz="0" w:space="0" w:color="auto"/>
            <w:left w:val="none" w:sz="0" w:space="0" w:color="auto"/>
            <w:bottom w:val="none" w:sz="0" w:space="0" w:color="auto"/>
            <w:right w:val="none" w:sz="0" w:space="0" w:color="auto"/>
          </w:divBdr>
        </w:div>
      </w:divsChild>
    </w:div>
    <w:div w:id="101997468">
      <w:bodyDiv w:val="1"/>
      <w:marLeft w:val="0"/>
      <w:marRight w:val="0"/>
      <w:marTop w:val="0"/>
      <w:marBottom w:val="0"/>
      <w:divBdr>
        <w:top w:val="none" w:sz="0" w:space="0" w:color="auto"/>
        <w:left w:val="none" w:sz="0" w:space="0" w:color="auto"/>
        <w:bottom w:val="none" w:sz="0" w:space="0" w:color="auto"/>
        <w:right w:val="none" w:sz="0" w:space="0" w:color="auto"/>
      </w:divBdr>
      <w:divsChild>
        <w:div w:id="758722016">
          <w:marLeft w:val="0"/>
          <w:marRight w:val="0"/>
          <w:marTop w:val="100"/>
          <w:marBottom w:val="100"/>
          <w:divBdr>
            <w:top w:val="none" w:sz="0" w:space="0" w:color="auto"/>
            <w:left w:val="none" w:sz="0" w:space="0" w:color="auto"/>
            <w:bottom w:val="none" w:sz="0" w:space="0" w:color="auto"/>
            <w:right w:val="none" w:sz="0" w:space="0" w:color="auto"/>
          </w:divBdr>
          <w:divsChild>
            <w:div w:id="1706368507">
              <w:marLeft w:val="0"/>
              <w:marRight w:val="0"/>
              <w:marTop w:val="0"/>
              <w:marBottom w:val="0"/>
              <w:divBdr>
                <w:top w:val="none" w:sz="0" w:space="0" w:color="auto"/>
                <w:left w:val="none" w:sz="0" w:space="0" w:color="auto"/>
                <w:bottom w:val="none" w:sz="0" w:space="0" w:color="auto"/>
                <w:right w:val="none" w:sz="0" w:space="0" w:color="auto"/>
              </w:divBdr>
              <w:divsChild>
                <w:div w:id="814105050">
                  <w:marLeft w:val="0"/>
                  <w:marRight w:val="0"/>
                  <w:marTop w:val="0"/>
                  <w:marBottom w:val="0"/>
                  <w:divBdr>
                    <w:top w:val="none" w:sz="0" w:space="0" w:color="auto"/>
                    <w:left w:val="single" w:sz="4" w:space="8" w:color="9A9A9A"/>
                    <w:bottom w:val="none" w:sz="0" w:space="0" w:color="auto"/>
                    <w:right w:val="none" w:sz="0" w:space="0" w:color="auto"/>
                  </w:divBdr>
                  <w:divsChild>
                    <w:div w:id="877743127">
                      <w:marLeft w:val="0"/>
                      <w:marRight w:val="0"/>
                      <w:marTop w:val="0"/>
                      <w:marBottom w:val="0"/>
                      <w:divBdr>
                        <w:top w:val="none" w:sz="0" w:space="0" w:color="auto"/>
                        <w:left w:val="none" w:sz="0" w:space="0" w:color="auto"/>
                        <w:bottom w:val="none" w:sz="0" w:space="0" w:color="auto"/>
                        <w:right w:val="none" w:sz="0" w:space="0" w:color="auto"/>
                      </w:divBdr>
                      <w:divsChild>
                        <w:div w:id="2091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3376">
      <w:bodyDiv w:val="1"/>
      <w:marLeft w:val="0"/>
      <w:marRight w:val="0"/>
      <w:marTop w:val="0"/>
      <w:marBottom w:val="0"/>
      <w:divBdr>
        <w:top w:val="none" w:sz="0" w:space="0" w:color="auto"/>
        <w:left w:val="none" w:sz="0" w:space="0" w:color="auto"/>
        <w:bottom w:val="none" w:sz="0" w:space="0" w:color="auto"/>
        <w:right w:val="none" w:sz="0" w:space="0" w:color="auto"/>
      </w:divBdr>
      <w:divsChild>
        <w:div w:id="2078044108">
          <w:marLeft w:val="0"/>
          <w:marRight w:val="0"/>
          <w:marTop w:val="0"/>
          <w:marBottom w:val="0"/>
          <w:divBdr>
            <w:top w:val="none" w:sz="0" w:space="0" w:color="auto"/>
            <w:left w:val="none" w:sz="0" w:space="0" w:color="auto"/>
            <w:bottom w:val="none" w:sz="0" w:space="0" w:color="auto"/>
            <w:right w:val="none" w:sz="0" w:space="0" w:color="auto"/>
          </w:divBdr>
          <w:divsChild>
            <w:div w:id="1515997362">
              <w:marLeft w:val="0"/>
              <w:marRight w:val="0"/>
              <w:marTop w:val="0"/>
              <w:marBottom w:val="0"/>
              <w:divBdr>
                <w:top w:val="none" w:sz="0" w:space="0" w:color="auto"/>
                <w:left w:val="none" w:sz="0" w:space="0" w:color="auto"/>
                <w:bottom w:val="none" w:sz="0" w:space="0" w:color="auto"/>
                <w:right w:val="none" w:sz="0" w:space="0" w:color="auto"/>
              </w:divBdr>
              <w:divsChild>
                <w:div w:id="281544670">
                  <w:marLeft w:val="0"/>
                  <w:marRight w:val="0"/>
                  <w:marTop w:val="0"/>
                  <w:marBottom w:val="0"/>
                  <w:divBdr>
                    <w:top w:val="none" w:sz="0" w:space="0" w:color="auto"/>
                    <w:left w:val="none" w:sz="0" w:space="0" w:color="auto"/>
                    <w:bottom w:val="none" w:sz="0" w:space="0" w:color="auto"/>
                    <w:right w:val="none" w:sz="0" w:space="0" w:color="auto"/>
                  </w:divBdr>
                  <w:divsChild>
                    <w:div w:id="361786806">
                      <w:marLeft w:val="0"/>
                      <w:marRight w:val="0"/>
                      <w:marTop w:val="0"/>
                      <w:marBottom w:val="0"/>
                      <w:divBdr>
                        <w:top w:val="none" w:sz="0" w:space="0" w:color="auto"/>
                        <w:left w:val="none" w:sz="0" w:space="0" w:color="auto"/>
                        <w:bottom w:val="none" w:sz="0" w:space="0" w:color="auto"/>
                        <w:right w:val="none" w:sz="0" w:space="0" w:color="auto"/>
                      </w:divBdr>
                      <w:divsChild>
                        <w:div w:id="1042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64132">
      <w:bodyDiv w:val="1"/>
      <w:marLeft w:val="0"/>
      <w:marRight w:val="0"/>
      <w:marTop w:val="0"/>
      <w:marBottom w:val="0"/>
      <w:divBdr>
        <w:top w:val="none" w:sz="0" w:space="0" w:color="auto"/>
        <w:left w:val="none" w:sz="0" w:space="0" w:color="auto"/>
        <w:bottom w:val="none" w:sz="0" w:space="0" w:color="auto"/>
        <w:right w:val="none" w:sz="0" w:space="0" w:color="auto"/>
      </w:divBdr>
      <w:divsChild>
        <w:div w:id="546724542">
          <w:marLeft w:val="1166"/>
          <w:marRight w:val="0"/>
          <w:marTop w:val="240"/>
          <w:marBottom w:val="0"/>
          <w:divBdr>
            <w:top w:val="none" w:sz="0" w:space="0" w:color="auto"/>
            <w:left w:val="none" w:sz="0" w:space="0" w:color="auto"/>
            <w:bottom w:val="none" w:sz="0" w:space="0" w:color="auto"/>
            <w:right w:val="none" w:sz="0" w:space="0" w:color="auto"/>
          </w:divBdr>
        </w:div>
        <w:div w:id="1081874881">
          <w:marLeft w:val="1166"/>
          <w:marRight w:val="0"/>
          <w:marTop w:val="240"/>
          <w:marBottom w:val="0"/>
          <w:divBdr>
            <w:top w:val="none" w:sz="0" w:space="0" w:color="auto"/>
            <w:left w:val="none" w:sz="0" w:space="0" w:color="auto"/>
            <w:bottom w:val="none" w:sz="0" w:space="0" w:color="auto"/>
            <w:right w:val="none" w:sz="0" w:space="0" w:color="auto"/>
          </w:divBdr>
        </w:div>
      </w:divsChild>
    </w:div>
    <w:div w:id="250772054">
      <w:bodyDiv w:val="1"/>
      <w:marLeft w:val="0"/>
      <w:marRight w:val="0"/>
      <w:marTop w:val="0"/>
      <w:marBottom w:val="0"/>
      <w:divBdr>
        <w:top w:val="none" w:sz="0" w:space="0" w:color="auto"/>
        <w:left w:val="none" w:sz="0" w:space="0" w:color="auto"/>
        <w:bottom w:val="none" w:sz="0" w:space="0" w:color="auto"/>
        <w:right w:val="none" w:sz="0" w:space="0" w:color="auto"/>
      </w:divBdr>
      <w:divsChild>
        <w:div w:id="2140800194">
          <w:marLeft w:val="0"/>
          <w:marRight w:val="0"/>
          <w:marTop w:val="0"/>
          <w:marBottom w:val="0"/>
          <w:divBdr>
            <w:top w:val="none" w:sz="0" w:space="0" w:color="auto"/>
            <w:left w:val="none" w:sz="0" w:space="0" w:color="auto"/>
            <w:bottom w:val="none" w:sz="0" w:space="0" w:color="auto"/>
            <w:right w:val="none" w:sz="0" w:space="0" w:color="auto"/>
          </w:divBdr>
          <w:divsChild>
            <w:div w:id="316613988">
              <w:marLeft w:val="0"/>
              <w:marRight w:val="0"/>
              <w:marTop w:val="0"/>
              <w:marBottom w:val="0"/>
              <w:divBdr>
                <w:top w:val="none" w:sz="0" w:space="0" w:color="auto"/>
                <w:left w:val="single" w:sz="4" w:space="0" w:color="91999D"/>
                <w:bottom w:val="none" w:sz="0" w:space="0" w:color="auto"/>
                <w:right w:val="single" w:sz="4" w:space="0" w:color="91999D"/>
              </w:divBdr>
              <w:divsChild>
                <w:div w:id="22363197">
                  <w:marLeft w:val="0"/>
                  <w:marRight w:val="0"/>
                  <w:marTop w:val="227"/>
                  <w:marBottom w:val="113"/>
                  <w:divBdr>
                    <w:top w:val="none" w:sz="0" w:space="0" w:color="auto"/>
                    <w:left w:val="none" w:sz="0" w:space="0" w:color="auto"/>
                    <w:bottom w:val="none" w:sz="0" w:space="0" w:color="auto"/>
                    <w:right w:val="none" w:sz="0" w:space="0" w:color="auto"/>
                  </w:divBdr>
                </w:div>
              </w:divsChild>
            </w:div>
          </w:divsChild>
        </w:div>
      </w:divsChild>
    </w:div>
    <w:div w:id="267003820">
      <w:bodyDiv w:val="1"/>
      <w:marLeft w:val="0"/>
      <w:marRight w:val="0"/>
      <w:marTop w:val="0"/>
      <w:marBottom w:val="0"/>
      <w:divBdr>
        <w:top w:val="none" w:sz="0" w:space="0" w:color="auto"/>
        <w:left w:val="none" w:sz="0" w:space="0" w:color="auto"/>
        <w:bottom w:val="none" w:sz="0" w:space="0" w:color="auto"/>
        <w:right w:val="none" w:sz="0" w:space="0" w:color="auto"/>
      </w:divBdr>
      <w:divsChild>
        <w:div w:id="48309361">
          <w:marLeft w:val="0"/>
          <w:marRight w:val="0"/>
          <w:marTop w:val="150"/>
          <w:marBottom w:val="0"/>
          <w:divBdr>
            <w:top w:val="none" w:sz="0" w:space="0" w:color="auto"/>
            <w:left w:val="none" w:sz="0" w:space="0" w:color="auto"/>
            <w:bottom w:val="none" w:sz="0" w:space="0" w:color="auto"/>
            <w:right w:val="none" w:sz="0" w:space="0" w:color="auto"/>
          </w:divBdr>
          <w:divsChild>
            <w:div w:id="906451400">
              <w:marLeft w:val="0"/>
              <w:marRight w:val="0"/>
              <w:marTop w:val="0"/>
              <w:marBottom w:val="0"/>
              <w:divBdr>
                <w:top w:val="none" w:sz="0" w:space="0" w:color="auto"/>
                <w:left w:val="none" w:sz="0" w:space="0" w:color="auto"/>
                <w:bottom w:val="none" w:sz="0" w:space="0" w:color="auto"/>
                <w:right w:val="none" w:sz="0" w:space="0" w:color="auto"/>
              </w:divBdr>
              <w:divsChild>
                <w:div w:id="715743060">
                  <w:marLeft w:val="0"/>
                  <w:marRight w:val="0"/>
                  <w:marTop w:val="0"/>
                  <w:marBottom w:val="0"/>
                  <w:divBdr>
                    <w:top w:val="none" w:sz="0" w:space="0" w:color="auto"/>
                    <w:left w:val="none" w:sz="0" w:space="0" w:color="auto"/>
                    <w:bottom w:val="none" w:sz="0" w:space="0" w:color="auto"/>
                    <w:right w:val="none" w:sz="0" w:space="0" w:color="auto"/>
                  </w:divBdr>
                  <w:divsChild>
                    <w:div w:id="89932015">
                      <w:marLeft w:val="0"/>
                      <w:marRight w:val="0"/>
                      <w:marTop w:val="0"/>
                      <w:marBottom w:val="0"/>
                      <w:divBdr>
                        <w:top w:val="none" w:sz="0" w:space="0" w:color="auto"/>
                        <w:left w:val="none" w:sz="0" w:space="0" w:color="auto"/>
                        <w:bottom w:val="none" w:sz="0" w:space="0" w:color="auto"/>
                        <w:right w:val="none" w:sz="0" w:space="0" w:color="auto"/>
                      </w:divBdr>
                      <w:divsChild>
                        <w:div w:id="21396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933125">
      <w:bodyDiv w:val="1"/>
      <w:marLeft w:val="0"/>
      <w:marRight w:val="0"/>
      <w:marTop w:val="0"/>
      <w:marBottom w:val="0"/>
      <w:divBdr>
        <w:top w:val="none" w:sz="0" w:space="0" w:color="auto"/>
        <w:left w:val="none" w:sz="0" w:space="0" w:color="auto"/>
        <w:bottom w:val="none" w:sz="0" w:space="0" w:color="auto"/>
        <w:right w:val="none" w:sz="0" w:space="0" w:color="auto"/>
      </w:divBdr>
    </w:div>
    <w:div w:id="441266216">
      <w:bodyDiv w:val="1"/>
      <w:marLeft w:val="0"/>
      <w:marRight w:val="0"/>
      <w:marTop w:val="0"/>
      <w:marBottom w:val="0"/>
      <w:divBdr>
        <w:top w:val="none" w:sz="0" w:space="0" w:color="auto"/>
        <w:left w:val="none" w:sz="0" w:space="0" w:color="auto"/>
        <w:bottom w:val="none" w:sz="0" w:space="0" w:color="auto"/>
        <w:right w:val="none" w:sz="0" w:space="0" w:color="auto"/>
      </w:divBdr>
    </w:div>
    <w:div w:id="463233504">
      <w:bodyDiv w:val="1"/>
      <w:marLeft w:val="0"/>
      <w:marRight w:val="0"/>
      <w:marTop w:val="0"/>
      <w:marBottom w:val="0"/>
      <w:divBdr>
        <w:top w:val="none" w:sz="0" w:space="0" w:color="auto"/>
        <w:left w:val="none" w:sz="0" w:space="0" w:color="auto"/>
        <w:bottom w:val="none" w:sz="0" w:space="0" w:color="auto"/>
        <w:right w:val="none" w:sz="0" w:space="0" w:color="auto"/>
      </w:divBdr>
      <w:divsChild>
        <w:div w:id="315570671">
          <w:marLeft w:val="562"/>
          <w:marRight w:val="0"/>
          <w:marTop w:val="115"/>
          <w:marBottom w:val="0"/>
          <w:divBdr>
            <w:top w:val="none" w:sz="0" w:space="0" w:color="auto"/>
            <w:left w:val="none" w:sz="0" w:space="0" w:color="auto"/>
            <w:bottom w:val="none" w:sz="0" w:space="0" w:color="auto"/>
            <w:right w:val="none" w:sz="0" w:space="0" w:color="auto"/>
          </w:divBdr>
        </w:div>
      </w:divsChild>
    </w:div>
    <w:div w:id="464006744">
      <w:bodyDiv w:val="1"/>
      <w:marLeft w:val="0"/>
      <w:marRight w:val="0"/>
      <w:marTop w:val="0"/>
      <w:marBottom w:val="0"/>
      <w:divBdr>
        <w:top w:val="none" w:sz="0" w:space="0" w:color="auto"/>
        <w:left w:val="none" w:sz="0" w:space="0" w:color="auto"/>
        <w:bottom w:val="none" w:sz="0" w:space="0" w:color="auto"/>
        <w:right w:val="none" w:sz="0" w:space="0" w:color="auto"/>
      </w:divBdr>
    </w:div>
    <w:div w:id="480656781">
      <w:bodyDiv w:val="1"/>
      <w:marLeft w:val="0"/>
      <w:marRight w:val="0"/>
      <w:marTop w:val="0"/>
      <w:marBottom w:val="0"/>
      <w:divBdr>
        <w:top w:val="none" w:sz="0" w:space="0" w:color="auto"/>
        <w:left w:val="none" w:sz="0" w:space="0" w:color="auto"/>
        <w:bottom w:val="none" w:sz="0" w:space="0" w:color="auto"/>
        <w:right w:val="none" w:sz="0" w:space="0" w:color="auto"/>
      </w:divBdr>
    </w:div>
    <w:div w:id="507062201">
      <w:bodyDiv w:val="1"/>
      <w:marLeft w:val="0"/>
      <w:marRight w:val="0"/>
      <w:marTop w:val="0"/>
      <w:marBottom w:val="0"/>
      <w:divBdr>
        <w:top w:val="none" w:sz="0" w:space="0" w:color="auto"/>
        <w:left w:val="none" w:sz="0" w:space="0" w:color="auto"/>
        <w:bottom w:val="none" w:sz="0" w:space="0" w:color="auto"/>
        <w:right w:val="none" w:sz="0" w:space="0" w:color="auto"/>
      </w:divBdr>
    </w:div>
    <w:div w:id="558250531">
      <w:bodyDiv w:val="1"/>
      <w:marLeft w:val="0"/>
      <w:marRight w:val="0"/>
      <w:marTop w:val="0"/>
      <w:marBottom w:val="0"/>
      <w:divBdr>
        <w:top w:val="none" w:sz="0" w:space="0" w:color="auto"/>
        <w:left w:val="none" w:sz="0" w:space="0" w:color="auto"/>
        <w:bottom w:val="none" w:sz="0" w:space="0" w:color="auto"/>
        <w:right w:val="none" w:sz="0" w:space="0" w:color="auto"/>
      </w:divBdr>
    </w:div>
    <w:div w:id="576859899">
      <w:bodyDiv w:val="1"/>
      <w:marLeft w:val="0"/>
      <w:marRight w:val="0"/>
      <w:marTop w:val="0"/>
      <w:marBottom w:val="0"/>
      <w:divBdr>
        <w:top w:val="none" w:sz="0" w:space="0" w:color="auto"/>
        <w:left w:val="none" w:sz="0" w:space="0" w:color="auto"/>
        <w:bottom w:val="none" w:sz="0" w:space="0" w:color="auto"/>
        <w:right w:val="none" w:sz="0" w:space="0" w:color="auto"/>
      </w:divBdr>
      <w:divsChild>
        <w:div w:id="1212840615">
          <w:marLeft w:val="547"/>
          <w:marRight w:val="0"/>
          <w:marTop w:val="115"/>
          <w:marBottom w:val="0"/>
          <w:divBdr>
            <w:top w:val="none" w:sz="0" w:space="0" w:color="auto"/>
            <w:left w:val="none" w:sz="0" w:space="0" w:color="auto"/>
            <w:bottom w:val="none" w:sz="0" w:space="0" w:color="auto"/>
            <w:right w:val="none" w:sz="0" w:space="0" w:color="auto"/>
          </w:divBdr>
        </w:div>
        <w:div w:id="1703706210">
          <w:marLeft w:val="2131"/>
          <w:marRight w:val="0"/>
          <w:marTop w:val="115"/>
          <w:marBottom w:val="0"/>
          <w:divBdr>
            <w:top w:val="none" w:sz="0" w:space="0" w:color="auto"/>
            <w:left w:val="none" w:sz="0" w:space="0" w:color="auto"/>
            <w:bottom w:val="none" w:sz="0" w:space="0" w:color="auto"/>
            <w:right w:val="none" w:sz="0" w:space="0" w:color="auto"/>
          </w:divBdr>
        </w:div>
        <w:div w:id="1821842139">
          <w:marLeft w:val="1987"/>
          <w:marRight w:val="0"/>
          <w:marTop w:val="115"/>
          <w:marBottom w:val="0"/>
          <w:divBdr>
            <w:top w:val="none" w:sz="0" w:space="0" w:color="auto"/>
            <w:left w:val="none" w:sz="0" w:space="0" w:color="auto"/>
            <w:bottom w:val="none" w:sz="0" w:space="0" w:color="auto"/>
            <w:right w:val="none" w:sz="0" w:space="0" w:color="auto"/>
          </w:divBdr>
        </w:div>
        <w:div w:id="1963804664">
          <w:marLeft w:val="547"/>
          <w:marRight w:val="0"/>
          <w:marTop w:val="115"/>
          <w:marBottom w:val="0"/>
          <w:divBdr>
            <w:top w:val="none" w:sz="0" w:space="0" w:color="auto"/>
            <w:left w:val="none" w:sz="0" w:space="0" w:color="auto"/>
            <w:bottom w:val="none" w:sz="0" w:space="0" w:color="auto"/>
            <w:right w:val="none" w:sz="0" w:space="0" w:color="auto"/>
          </w:divBdr>
        </w:div>
      </w:divsChild>
    </w:div>
    <w:div w:id="606354486">
      <w:bodyDiv w:val="1"/>
      <w:marLeft w:val="0"/>
      <w:marRight w:val="0"/>
      <w:marTop w:val="0"/>
      <w:marBottom w:val="0"/>
      <w:divBdr>
        <w:top w:val="none" w:sz="0" w:space="0" w:color="auto"/>
        <w:left w:val="none" w:sz="0" w:space="0" w:color="auto"/>
        <w:bottom w:val="none" w:sz="0" w:space="0" w:color="auto"/>
        <w:right w:val="none" w:sz="0" w:space="0" w:color="auto"/>
      </w:divBdr>
    </w:div>
    <w:div w:id="705563692">
      <w:bodyDiv w:val="1"/>
      <w:marLeft w:val="0"/>
      <w:marRight w:val="0"/>
      <w:marTop w:val="0"/>
      <w:marBottom w:val="0"/>
      <w:divBdr>
        <w:top w:val="none" w:sz="0" w:space="0" w:color="auto"/>
        <w:left w:val="none" w:sz="0" w:space="0" w:color="auto"/>
        <w:bottom w:val="none" w:sz="0" w:space="0" w:color="auto"/>
        <w:right w:val="none" w:sz="0" w:space="0" w:color="auto"/>
      </w:divBdr>
      <w:divsChild>
        <w:div w:id="268053935">
          <w:marLeft w:val="0"/>
          <w:marRight w:val="0"/>
          <w:marTop w:val="0"/>
          <w:marBottom w:val="0"/>
          <w:divBdr>
            <w:top w:val="none" w:sz="0" w:space="0" w:color="auto"/>
            <w:left w:val="none" w:sz="0" w:space="0" w:color="auto"/>
            <w:bottom w:val="none" w:sz="0" w:space="0" w:color="auto"/>
            <w:right w:val="none" w:sz="0" w:space="0" w:color="auto"/>
          </w:divBdr>
          <w:divsChild>
            <w:div w:id="780607417">
              <w:marLeft w:val="0"/>
              <w:marRight w:val="0"/>
              <w:marTop w:val="0"/>
              <w:marBottom w:val="0"/>
              <w:divBdr>
                <w:top w:val="none" w:sz="0" w:space="0" w:color="auto"/>
                <w:left w:val="none" w:sz="0" w:space="0" w:color="auto"/>
                <w:bottom w:val="none" w:sz="0" w:space="0" w:color="auto"/>
                <w:right w:val="none" w:sz="0" w:space="0" w:color="auto"/>
              </w:divBdr>
              <w:divsChild>
                <w:div w:id="1432164972">
                  <w:marLeft w:val="0"/>
                  <w:marRight w:val="0"/>
                  <w:marTop w:val="0"/>
                  <w:marBottom w:val="0"/>
                  <w:divBdr>
                    <w:top w:val="none" w:sz="0" w:space="0" w:color="auto"/>
                    <w:left w:val="none" w:sz="0" w:space="0" w:color="auto"/>
                    <w:bottom w:val="none" w:sz="0" w:space="0" w:color="auto"/>
                    <w:right w:val="none" w:sz="0" w:space="0" w:color="auto"/>
                  </w:divBdr>
                  <w:divsChild>
                    <w:div w:id="1289358619">
                      <w:marLeft w:val="0"/>
                      <w:marRight w:val="0"/>
                      <w:marTop w:val="0"/>
                      <w:marBottom w:val="0"/>
                      <w:divBdr>
                        <w:top w:val="none" w:sz="0" w:space="0" w:color="auto"/>
                        <w:left w:val="none" w:sz="0" w:space="0" w:color="auto"/>
                        <w:bottom w:val="none" w:sz="0" w:space="0" w:color="auto"/>
                        <w:right w:val="none" w:sz="0" w:space="0" w:color="auto"/>
                      </w:divBdr>
                      <w:divsChild>
                        <w:div w:id="1125462108">
                          <w:marLeft w:val="0"/>
                          <w:marRight w:val="0"/>
                          <w:marTop w:val="0"/>
                          <w:marBottom w:val="0"/>
                          <w:divBdr>
                            <w:top w:val="none" w:sz="0" w:space="0" w:color="auto"/>
                            <w:left w:val="none" w:sz="0" w:space="0" w:color="auto"/>
                            <w:bottom w:val="none" w:sz="0" w:space="0" w:color="auto"/>
                            <w:right w:val="none" w:sz="0" w:space="0" w:color="auto"/>
                          </w:divBdr>
                          <w:divsChild>
                            <w:div w:id="43990913">
                              <w:marLeft w:val="0"/>
                              <w:marRight w:val="0"/>
                              <w:marTop w:val="0"/>
                              <w:marBottom w:val="0"/>
                              <w:divBdr>
                                <w:top w:val="none" w:sz="0" w:space="0" w:color="auto"/>
                                <w:left w:val="none" w:sz="0" w:space="0" w:color="auto"/>
                                <w:bottom w:val="none" w:sz="0" w:space="0" w:color="auto"/>
                                <w:right w:val="none" w:sz="0" w:space="0" w:color="auto"/>
                              </w:divBdr>
                              <w:divsChild>
                                <w:div w:id="19224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232839">
      <w:bodyDiv w:val="1"/>
      <w:marLeft w:val="0"/>
      <w:marRight w:val="0"/>
      <w:marTop w:val="0"/>
      <w:marBottom w:val="0"/>
      <w:divBdr>
        <w:top w:val="none" w:sz="0" w:space="0" w:color="auto"/>
        <w:left w:val="none" w:sz="0" w:space="0" w:color="auto"/>
        <w:bottom w:val="none" w:sz="0" w:space="0" w:color="auto"/>
        <w:right w:val="none" w:sz="0" w:space="0" w:color="auto"/>
      </w:divBdr>
    </w:div>
    <w:div w:id="778649510">
      <w:bodyDiv w:val="1"/>
      <w:marLeft w:val="0"/>
      <w:marRight w:val="0"/>
      <w:marTop w:val="0"/>
      <w:marBottom w:val="0"/>
      <w:divBdr>
        <w:top w:val="none" w:sz="0" w:space="0" w:color="auto"/>
        <w:left w:val="none" w:sz="0" w:space="0" w:color="auto"/>
        <w:bottom w:val="none" w:sz="0" w:space="0" w:color="auto"/>
        <w:right w:val="none" w:sz="0" w:space="0" w:color="auto"/>
      </w:divBdr>
    </w:div>
    <w:div w:id="793717455">
      <w:bodyDiv w:val="1"/>
      <w:marLeft w:val="0"/>
      <w:marRight w:val="0"/>
      <w:marTop w:val="0"/>
      <w:marBottom w:val="0"/>
      <w:divBdr>
        <w:top w:val="none" w:sz="0" w:space="0" w:color="auto"/>
        <w:left w:val="none" w:sz="0" w:space="0" w:color="auto"/>
        <w:bottom w:val="none" w:sz="0" w:space="0" w:color="auto"/>
        <w:right w:val="none" w:sz="0" w:space="0" w:color="auto"/>
      </w:divBdr>
    </w:div>
    <w:div w:id="863981234">
      <w:bodyDiv w:val="1"/>
      <w:marLeft w:val="0"/>
      <w:marRight w:val="0"/>
      <w:marTop w:val="0"/>
      <w:marBottom w:val="0"/>
      <w:divBdr>
        <w:top w:val="none" w:sz="0" w:space="0" w:color="auto"/>
        <w:left w:val="none" w:sz="0" w:space="0" w:color="auto"/>
        <w:bottom w:val="none" w:sz="0" w:space="0" w:color="auto"/>
        <w:right w:val="none" w:sz="0" w:space="0" w:color="auto"/>
      </w:divBdr>
      <w:divsChild>
        <w:div w:id="1258556361">
          <w:marLeft w:val="0"/>
          <w:marRight w:val="0"/>
          <w:marTop w:val="150"/>
          <w:marBottom w:val="0"/>
          <w:divBdr>
            <w:top w:val="none" w:sz="0" w:space="0" w:color="auto"/>
            <w:left w:val="none" w:sz="0" w:space="0" w:color="auto"/>
            <w:bottom w:val="none" w:sz="0" w:space="0" w:color="auto"/>
            <w:right w:val="none" w:sz="0" w:space="0" w:color="auto"/>
          </w:divBdr>
          <w:divsChild>
            <w:div w:id="331106261">
              <w:marLeft w:val="0"/>
              <w:marRight w:val="0"/>
              <w:marTop w:val="0"/>
              <w:marBottom w:val="0"/>
              <w:divBdr>
                <w:top w:val="none" w:sz="0" w:space="0" w:color="auto"/>
                <w:left w:val="none" w:sz="0" w:space="0" w:color="auto"/>
                <w:bottom w:val="none" w:sz="0" w:space="0" w:color="auto"/>
                <w:right w:val="none" w:sz="0" w:space="0" w:color="auto"/>
              </w:divBdr>
              <w:divsChild>
                <w:div w:id="1244219601">
                  <w:marLeft w:val="0"/>
                  <w:marRight w:val="0"/>
                  <w:marTop w:val="0"/>
                  <w:marBottom w:val="0"/>
                  <w:divBdr>
                    <w:top w:val="none" w:sz="0" w:space="0" w:color="auto"/>
                    <w:left w:val="none" w:sz="0" w:space="0" w:color="auto"/>
                    <w:bottom w:val="none" w:sz="0" w:space="0" w:color="auto"/>
                    <w:right w:val="none" w:sz="0" w:space="0" w:color="auto"/>
                  </w:divBdr>
                  <w:divsChild>
                    <w:div w:id="506091178">
                      <w:marLeft w:val="0"/>
                      <w:marRight w:val="0"/>
                      <w:marTop w:val="168"/>
                      <w:marBottom w:val="0"/>
                      <w:divBdr>
                        <w:top w:val="none" w:sz="0" w:space="0" w:color="auto"/>
                        <w:left w:val="none" w:sz="0" w:space="0" w:color="auto"/>
                        <w:bottom w:val="none" w:sz="0" w:space="0" w:color="auto"/>
                        <w:right w:val="none" w:sz="0" w:space="0" w:color="auto"/>
                      </w:divBdr>
                      <w:divsChild>
                        <w:div w:id="1911380111">
                          <w:marLeft w:val="0"/>
                          <w:marRight w:val="0"/>
                          <w:marTop w:val="0"/>
                          <w:marBottom w:val="0"/>
                          <w:divBdr>
                            <w:top w:val="none" w:sz="0" w:space="0" w:color="auto"/>
                            <w:left w:val="none" w:sz="0" w:space="0" w:color="auto"/>
                            <w:bottom w:val="none" w:sz="0" w:space="0" w:color="auto"/>
                            <w:right w:val="none" w:sz="0" w:space="0" w:color="auto"/>
                          </w:divBdr>
                        </w:div>
                        <w:div w:id="4495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304342">
      <w:bodyDiv w:val="1"/>
      <w:marLeft w:val="0"/>
      <w:marRight w:val="0"/>
      <w:marTop w:val="0"/>
      <w:marBottom w:val="0"/>
      <w:divBdr>
        <w:top w:val="none" w:sz="0" w:space="0" w:color="auto"/>
        <w:left w:val="none" w:sz="0" w:space="0" w:color="auto"/>
        <w:bottom w:val="none" w:sz="0" w:space="0" w:color="auto"/>
        <w:right w:val="none" w:sz="0" w:space="0" w:color="auto"/>
      </w:divBdr>
    </w:div>
    <w:div w:id="926619748">
      <w:bodyDiv w:val="1"/>
      <w:marLeft w:val="0"/>
      <w:marRight w:val="0"/>
      <w:marTop w:val="0"/>
      <w:marBottom w:val="0"/>
      <w:divBdr>
        <w:top w:val="none" w:sz="0" w:space="0" w:color="auto"/>
        <w:left w:val="none" w:sz="0" w:space="0" w:color="auto"/>
        <w:bottom w:val="none" w:sz="0" w:space="0" w:color="auto"/>
        <w:right w:val="none" w:sz="0" w:space="0" w:color="auto"/>
      </w:divBdr>
      <w:divsChild>
        <w:div w:id="1244686528">
          <w:marLeft w:val="0"/>
          <w:marRight w:val="0"/>
          <w:marTop w:val="0"/>
          <w:marBottom w:val="0"/>
          <w:divBdr>
            <w:top w:val="none" w:sz="0" w:space="0" w:color="auto"/>
            <w:left w:val="none" w:sz="0" w:space="0" w:color="auto"/>
            <w:bottom w:val="none" w:sz="0" w:space="0" w:color="auto"/>
            <w:right w:val="none" w:sz="0" w:space="0" w:color="auto"/>
          </w:divBdr>
          <w:divsChild>
            <w:div w:id="346955440">
              <w:marLeft w:val="0"/>
              <w:marRight w:val="0"/>
              <w:marTop w:val="0"/>
              <w:marBottom w:val="0"/>
              <w:divBdr>
                <w:top w:val="none" w:sz="0" w:space="0" w:color="auto"/>
                <w:left w:val="none" w:sz="0" w:space="0" w:color="auto"/>
                <w:bottom w:val="none" w:sz="0" w:space="0" w:color="auto"/>
                <w:right w:val="none" w:sz="0" w:space="0" w:color="auto"/>
              </w:divBdr>
              <w:divsChild>
                <w:div w:id="2110467506">
                  <w:marLeft w:val="0"/>
                  <w:marRight w:val="0"/>
                  <w:marTop w:val="0"/>
                  <w:marBottom w:val="0"/>
                  <w:divBdr>
                    <w:top w:val="none" w:sz="0" w:space="0" w:color="auto"/>
                    <w:left w:val="none" w:sz="0" w:space="0" w:color="auto"/>
                    <w:bottom w:val="none" w:sz="0" w:space="0" w:color="auto"/>
                    <w:right w:val="none" w:sz="0" w:space="0" w:color="auto"/>
                  </w:divBdr>
                  <w:divsChild>
                    <w:div w:id="1520385185">
                      <w:marLeft w:val="0"/>
                      <w:marRight w:val="0"/>
                      <w:marTop w:val="0"/>
                      <w:marBottom w:val="0"/>
                      <w:divBdr>
                        <w:top w:val="none" w:sz="0" w:space="0" w:color="auto"/>
                        <w:left w:val="none" w:sz="0" w:space="0" w:color="auto"/>
                        <w:bottom w:val="none" w:sz="0" w:space="0" w:color="auto"/>
                        <w:right w:val="none" w:sz="0" w:space="0" w:color="auto"/>
                      </w:divBdr>
                      <w:divsChild>
                        <w:div w:id="423453585">
                          <w:marLeft w:val="0"/>
                          <w:marRight w:val="0"/>
                          <w:marTop w:val="0"/>
                          <w:marBottom w:val="0"/>
                          <w:divBdr>
                            <w:top w:val="none" w:sz="0" w:space="0" w:color="auto"/>
                            <w:left w:val="none" w:sz="0" w:space="0" w:color="auto"/>
                            <w:bottom w:val="none" w:sz="0" w:space="0" w:color="auto"/>
                            <w:right w:val="none" w:sz="0" w:space="0" w:color="auto"/>
                          </w:divBdr>
                          <w:divsChild>
                            <w:div w:id="1215583609">
                              <w:marLeft w:val="0"/>
                              <w:marRight w:val="0"/>
                              <w:marTop w:val="0"/>
                              <w:marBottom w:val="0"/>
                              <w:divBdr>
                                <w:top w:val="none" w:sz="0" w:space="0" w:color="auto"/>
                                <w:left w:val="none" w:sz="0" w:space="0" w:color="auto"/>
                                <w:bottom w:val="none" w:sz="0" w:space="0" w:color="auto"/>
                                <w:right w:val="none" w:sz="0" w:space="0" w:color="auto"/>
                              </w:divBdr>
                              <w:divsChild>
                                <w:div w:id="184754941">
                                  <w:marLeft w:val="0"/>
                                  <w:marRight w:val="0"/>
                                  <w:marTop w:val="0"/>
                                  <w:marBottom w:val="0"/>
                                  <w:divBdr>
                                    <w:top w:val="none" w:sz="0" w:space="0" w:color="auto"/>
                                    <w:left w:val="none" w:sz="0" w:space="0" w:color="auto"/>
                                    <w:bottom w:val="none" w:sz="0" w:space="0" w:color="auto"/>
                                    <w:right w:val="none" w:sz="0" w:space="0" w:color="auto"/>
                                  </w:divBdr>
                                  <w:divsChild>
                                    <w:div w:id="255014973">
                                      <w:marLeft w:val="0"/>
                                      <w:marRight w:val="0"/>
                                      <w:marTop w:val="0"/>
                                      <w:marBottom w:val="0"/>
                                      <w:divBdr>
                                        <w:top w:val="none" w:sz="0" w:space="0" w:color="auto"/>
                                        <w:left w:val="none" w:sz="0" w:space="0" w:color="auto"/>
                                        <w:bottom w:val="none" w:sz="0" w:space="0" w:color="auto"/>
                                        <w:right w:val="none" w:sz="0" w:space="0" w:color="auto"/>
                                      </w:divBdr>
                                      <w:divsChild>
                                        <w:div w:id="7014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187674">
      <w:bodyDiv w:val="1"/>
      <w:marLeft w:val="0"/>
      <w:marRight w:val="0"/>
      <w:marTop w:val="0"/>
      <w:marBottom w:val="0"/>
      <w:divBdr>
        <w:top w:val="none" w:sz="0" w:space="0" w:color="auto"/>
        <w:left w:val="none" w:sz="0" w:space="0" w:color="auto"/>
        <w:bottom w:val="none" w:sz="0" w:space="0" w:color="auto"/>
        <w:right w:val="none" w:sz="0" w:space="0" w:color="auto"/>
      </w:divBdr>
      <w:divsChild>
        <w:div w:id="2009166517">
          <w:marLeft w:val="0"/>
          <w:marRight w:val="1"/>
          <w:marTop w:val="0"/>
          <w:marBottom w:val="0"/>
          <w:divBdr>
            <w:top w:val="none" w:sz="0" w:space="0" w:color="auto"/>
            <w:left w:val="none" w:sz="0" w:space="0" w:color="auto"/>
            <w:bottom w:val="none" w:sz="0" w:space="0" w:color="auto"/>
            <w:right w:val="none" w:sz="0" w:space="0" w:color="auto"/>
          </w:divBdr>
          <w:divsChild>
            <w:div w:id="1449280643">
              <w:marLeft w:val="0"/>
              <w:marRight w:val="0"/>
              <w:marTop w:val="0"/>
              <w:marBottom w:val="0"/>
              <w:divBdr>
                <w:top w:val="none" w:sz="0" w:space="0" w:color="auto"/>
                <w:left w:val="none" w:sz="0" w:space="0" w:color="auto"/>
                <w:bottom w:val="none" w:sz="0" w:space="0" w:color="auto"/>
                <w:right w:val="none" w:sz="0" w:space="0" w:color="auto"/>
              </w:divBdr>
              <w:divsChild>
                <w:div w:id="1476336067">
                  <w:marLeft w:val="0"/>
                  <w:marRight w:val="1"/>
                  <w:marTop w:val="0"/>
                  <w:marBottom w:val="0"/>
                  <w:divBdr>
                    <w:top w:val="none" w:sz="0" w:space="0" w:color="auto"/>
                    <w:left w:val="none" w:sz="0" w:space="0" w:color="auto"/>
                    <w:bottom w:val="none" w:sz="0" w:space="0" w:color="auto"/>
                    <w:right w:val="none" w:sz="0" w:space="0" w:color="auto"/>
                  </w:divBdr>
                  <w:divsChild>
                    <w:div w:id="1826706033">
                      <w:marLeft w:val="0"/>
                      <w:marRight w:val="0"/>
                      <w:marTop w:val="0"/>
                      <w:marBottom w:val="0"/>
                      <w:divBdr>
                        <w:top w:val="none" w:sz="0" w:space="0" w:color="auto"/>
                        <w:left w:val="none" w:sz="0" w:space="0" w:color="auto"/>
                        <w:bottom w:val="none" w:sz="0" w:space="0" w:color="auto"/>
                        <w:right w:val="none" w:sz="0" w:space="0" w:color="auto"/>
                      </w:divBdr>
                      <w:divsChild>
                        <w:div w:id="1340348580">
                          <w:marLeft w:val="0"/>
                          <w:marRight w:val="0"/>
                          <w:marTop w:val="0"/>
                          <w:marBottom w:val="0"/>
                          <w:divBdr>
                            <w:top w:val="none" w:sz="0" w:space="0" w:color="auto"/>
                            <w:left w:val="none" w:sz="0" w:space="0" w:color="auto"/>
                            <w:bottom w:val="none" w:sz="0" w:space="0" w:color="auto"/>
                            <w:right w:val="none" w:sz="0" w:space="0" w:color="auto"/>
                          </w:divBdr>
                          <w:divsChild>
                            <w:div w:id="1757246391">
                              <w:marLeft w:val="0"/>
                              <w:marRight w:val="0"/>
                              <w:marTop w:val="120"/>
                              <w:marBottom w:val="360"/>
                              <w:divBdr>
                                <w:top w:val="none" w:sz="0" w:space="0" w:color="auto"/>
                                <w:left w:val="none" w:sz="0" w:space="0" w:color="auto"/>
                                <w:bottom w:val="none" w:sz="0" w:space="0" w:color="auto"/>
                                <w:right w:val="none" w:sz="0" w:space="0" w:color="auto"/>
                              </w:divBdr>
                              <w:divsChild>
                                <w:div w:id="1223447084">
                                  <w:marLeft w:val="0"/>
                                  <w:marRight w:val="0"/>
                                  <w:marTop w:val="0"/>
                                  <w:marBottom w:val="0"/>
                                  <w:divBdr>
                                    <w:top w:val="none" w:sz="0" w:space="0" w:color="auto"/>
                                    <w:left w:val="none" w:sz="0" w:space="0" w:color="auto"/>
                                    <w:bottom w:val="none" w:sz="0" w:space="0" w:color="auto"/>
                                    <w:right w:val="none" w:sz="0" w:space="0" w:color="auto"/>
                                  </w:divBdr>
                                </w:div>
                                <w:div w:id="1356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320172">
      <w:bodyDiv w:val="1"/>
      <w:marLeft w:val="0"/>
      <w:marRight w:val="0"/>
      <w:marTop w:val="0"/>
      <w:marBottom w:val="0"/>
      <w:divBdr>
        <w:top w:val="none" w:sz="0" w:space="0" w:color="auto"/>
        <w:left w:val="none" w:sz="0" w:space="0" w:color="auto"/>
        <w:bottom w:val="none" w:sz="0" w:space="0" w:color="auto"/>
        <w:right w:val="none" w:sz="0" w:space="0" w:color="auto"/>
      </w:divBdr>
    </w:div>
    <w:div w:id="1087381100">
      <w:bodyDiv w:val="1"/>
      <w:marLeft w:val="0"/>
      <w:marRight w:val="0"/>
      <w:marTop w:val="0"/>
      <w:marBottom w:val="0"/>
      <w:divBdr>
        <w:top w:val="none" w:sz="0" w:space="0" w:color="auto"/>
        <w:left w:val="none" w:sz="0" w:space="0" w:color="auto"/>
        <w:bottom w:val="none" w:sz="0" w:space="0" w:color="auto"/>
        <w:right w:val="none" w:sz="0" w:space="0" w:color="auto"/>
      </w:divBdr>
    </w:div>
    <w:div w:id="1176844613">
      <w:bodyDiv w:val="1"/>
      <w:marLeft w:val="0"/>
      <w:marRight w:val="0"/>
      <w:marTop w:val="0"/>
      <w:marBottom w:val="0"/>
      <w:divBdr>
        <w:top w:val="none" w:sz="0" w:space="0" w:color="auto"/>
        <w:left w:val="none" w:sz="0" w:space="0" w:color="auto"/>
        <w:bottom w:val="none" w:sz="0" w:space="0" w:color="auto"/>
        <w:right w:val="none" w:sz="0" w:space="0" w:color="auto"/>
      </w:divBdr>
    </w:div>
    <w:div w:id="1185828107">
      <w:bodyDiv w:val="1"/>
      <w:marLeft w:val="0"/>
      <w:marRight w:val="0"/>
      <w:marTop w:val="0"/>
      <w:marBottom w:val="0"/>
      <w:divBdr>
        <w:top w:val="none" w:sz="0" w:space="0" w:color="auto"/>
        <w:left w:val="none" w:sz="0" w:space="0" w:color="auto"/>
        <w:bottom w:val="none" w:sz="0" w:space="0" w:color="auto"/>
        <w:right w:val="none" w:sz="0" w:space="0" w:color="auto"/>
      </w:divBdr>
    </w:div>
    <w:div w:id="1205362347">
      <w:bodyDiv w:val="1"/>
      <w:marLeft w:val="0"/>
      <w:marRight w:val="0"/>
      <w:marTop w:val="0"/>
      <w:marBottom w:val="0"/>
      <w:divBdr>
        <w:top w:val="none" w:sz="0" w:space="0" w:color="auto"/>
        <w:left w:val="none" w:sz="0" w:space="0" w:color="auto"/>
        <w:bottom w:val="none" w:sz="0" w:space="0" w:color="auto"/>
        <w:right w:val="none" w:sz="0" w:space="0" w:color="auto"/>
      </w:divBdr>
    </w:div>
    <w:div w:id="1234580321">
      <w:bodyDiv w:val="1"/>
      <w:marLeft w:val="0"/>
      <w:marRight w:val="0"/>
      <w:marTop w:val="0"/>
      <w:marBottom w:val="0"/>
      <w:divBdr>
        <w:top w:val="none" w:sz="0" w:space="0" w:color="auto"/>
        <w:left w:val="none" w:sz="0" w:space="0" w:color="auto"/>
        <w:bottom w:val="none" w:sz="0" w:space="0" w:color="auto"/>
        <w:right w:val="none" w:sz="0" w:space="0" w:color="auto"/>
      </w:divBdr>
    </w:div>
    <w:div w:id="1237202326">
      <w:bodyDiv w:val="1"/>
      <w:marLeft w:val="0"/>
      <w:marRight w:val="0"/>
      <w:marTop w:val="0"/>
      <w:marBottom w:val="0"/>
      <w:divBdr>
        <w:top w:val="none" w:sz="0" w:space="0" w:color="auto"/>
        <w:left w:val="none" w:sz="0" w:space="0" w:color="auto"/>
        <w:bottom w:val="none" w:sz="0" w:space="0" w:color="auto"/>
        <w:right w:val="none" w:sz="0" w:space="0" w:color="auto"/>
      </w:divBdr>
      <w:divsChild>
        <w:div w:id="1968118591">
          <w:marLeft w:val="806"/>
          <w:marRight w:val="0"/>
          <w:marTop w:val="106"/>
          <w:marBottom w:val="0"/>
          <w:divBdr>
            <w:top w:val="none" w:sz="0" w:space="0" w:color="auto"/>
            <w:left w:val="none" w:sz="0" w:space="0" w:color="auto"/>
            <w:bottom w:val="none" w:sz="0" w:space="0" w:color="auto"/>
            <w:right w:val="none" w:sz="0" w:space="0" w:color="auto"/>
          </w:divBdr>
        </w:div>
      </w:divsChild>
    </w:div>
    <w:div w:id="1240018291">
      <w:bodyDiv w:val="1"/>
      <w:marLeft w:val="0"/>
      <w:marRight w:val="0"/>
      <w:marTop w:val="0"/>
      <w:marBottom w:val="0"/>
      <w:divBdr>
        <w:top w:val="none" w:sz="0" w:space="0" w:color="auto"/>
        <w:left w:val="none" w:sz="0" w:space="0" w:color="auto"/>
        <w:bottom w:val="none" w:sz="0" w:space="0" w:color="auto"/>
        <w:right w:val="none" w:sz="0" w:space="0" w:color="auto"/>
      </w:divBdr>
    </w:div>
    <w:div w:id="1241988430">
      <w:bodyDiv w:val="1"/>
      <w:marLeft w:val="0"/>
      <w:marRight w:val="0"/>
      <w:marTop w:val="0"/>
      <w:marBottom w:val="0"/>
      <w:divBdr>
        <w:top w:val="none" w:sz="0" w:space="0" w:color="auto"/>
        <w:left w:val="none" w:sz="0" w:space="0" w:color="auto"/>
        <w:bottom w:val="none" w:sz="0" w:space="0" w:color="auto"/>
        <w:right w:val="none" w:sz="0" w:space="0" w:color="auto"/>
      </w:divBdr>
    </w:div>
    <w:div w:id="1395737621">
      <w:bodyDiv w:val="1"/>
      <w:marLeft w:val="0"/>
      <w:marRight w:val="0"/>
      <w:marTop w:val="0"/>
      <w:marBottom w:val="0"/>
      <w:divBdr>
        <w:top w:val="none" w:sz="0" w:space="0" w:color="auto"/>
        <w:left w:val="none" w:sz="0" w:space="0" w:color="auto"/>
        <w:bottom w:val="none" w:sz="0" w:space="0" w:color="auto"/>
        <w:right w:val="none" w:sz="0" w:space="0" w:color="auto"/>
      </w:divBdr>
    </w:div>
    <w:div w:id="1419327904">
      <w:bodyDiv w:val="1"/>
      <w:marLeft w:val="0"/>
      <w:marRight w:val="0"/>
      <w:marTop w:val="0"/>
      <w:marBottom w:val="0"/>
      <w:divBdr>
        <w:top w:val="none" w:sz="0" w:space="0" w:color="auto"/>
        <w:left w:val="none" w:sz="0" w:space="0" w:color="auto"/>
        <w:bottom w:val="none" w:sz="0" w:space="0" w:color="auto"/>
        <w:right w:val="none" w:sz="0" w:space="0" w:color="auto"/>
      </w:divBdr>
      <w:divsChild>
        <w:div w:id="1576936015">
          <w:marLeft w:val="0"/>
          <w:marRight w:val="0"/>
          <w:marTop w:val="0"/>
          <w:marBottom w:val="0"/>
          <w:divBdr>
            <w:top w:val="none" w:sz="0" w:space="0" w:color="auto"/>
            <w:left w:val="none" w:sz="0" w:space="0" w:color="auto"/>
            <w:bottom w:val="none" w:sz="0" w:space="0" w:color="auto"/>
            <w:right w:val="none" w:sz="0" w:space="0" w:color="auto"/>
          </w:divBdr>
          <w:divsChild>
            <w:div w:id="832843641">
              <w:marLeft w:val="0"/>
              <w:marRight w:val="0"/>
              <w:marTop w:val="0"/>
              <w:marBottom w:val="0"/>
              <w:divBdr>
                <w:top w:val="none" w:sz="0" w:space="0" w:color="auto"/>
                <w:left w:val="none" w:sz="0" w:space="0" w:color="auto"/>
                <w:bottom w:val="none" w:sz="0" w:space="0" w:color="auto"/>
                <w:right w:val="none" w:sz="0" w:space="0" w:color="auto"/>
              </w:divBdr>
              <w:divsChild>
                <w:div w:id="1114253846">
                  <w:marLeft w:val="0"/>
                  <w:marRight w:val="0"/>
                  <w:marTop w:val="0"/>
                  <w:marBottom w:val="0"/>
                  <w:divBdr>
                    <w:top w:val="none" w:sz="0" w:space="0" w:color="auto"/>
                    <w:left w:val="none" w:sz="0" w:space="0" w:color="auto"/>
                    <w:bottom w:val="none" w:sz="0" w:space="0" w:color="auto"/>
                    <w:right w:val="none" w:sz="0" w:space="0" w:color="auto"/>
                  </w:divBdr>
                  <w:divsChild>
                    <w:div w:id="1180579088">
                      <w:marLeft w:val="0"/>
                      <w:marRight w:val="0"/>
                      <w:marTop w:val="0"/>
                      <w:marBottom w:val="0"/>
                      <w:divBdr>
                        <w:top w:val="none" w:sz="0" w:space="0" w:color="auto"/>
                        <w:left w:val="none" w:sz="0" w:space="0" w:color="auto"/>
                        <w:bottom w:val="none" w:sz="0" w:space="0" w:color="auto"/>
                        <w:right w:val="none" w:sz="0" w:space="0" w:color="auto"/>
                      </w:divBdr>
                      <w:divsChild>
                        <w:div w:id="576478406">
                          <w:marLeft w:val="0"/>
                          <w:marRight w:val="0"/>
                          <w:marTop w:val="0"/>
                          <w:marBottom w:val="0"/>
                          <w:divBdr>
                            <w:top w:val="none" w:sz="0" w:space="0" w:color="auto"/>
                            <w:left w:val="none" w:sz="0" w:space="0" w:color="auto"/>
                            <w:bottom w:val="none" w:sz="0" w:space="0" w:color="auto"/>
                            <w:right w:val="none" w:sz="0" w:space="0" w:color="auto"/>
                          </w:divBdr>
                          <w:divsChild>
                            <w:div w:id="72629964">
                              <w:marLeft w:val="0"/>
                              <w:marRight w:val="0"/>
                              <w:marTop w:val="0"/>
                              <w:marBottom w:val="0"/>
                              <w:divBdr>
                                <w:top w:val="none" w:sz="0" w:space="0" w:color="auto"/>
                                <w:left w:val="none" w:sz="0" w:space="0" w:color="auto"/>
                                <w:bottom w:val="none" w:sz="0" w:space="0" w:color="auto"/>
                                <w:right w:val="none" w:sz="0" w:space="0" w:color="auto"/>
                              </w:divBdr>
                              <w:divsChild>
                                <w:div w:id="1087387382">
                                  <w:marLeft w:val="0"/>
                                  <w:marRight w:val="0"/>
                                  <w:marTop w:val="0"/>
                                  <w:marBottom w:val="0"/>
                                  <w:divBdr>
                                    <w:top w:val="none" w:sz="0" w:space="0" w:color="auto"/>
                                    <w:left w:val="none" w:sz="0" w:space="0" w:color="auto"/>
                                    <w:bottom w:val="none" w:sz="0" w:space="0" w:color="auto"/>
                                    <w:right w:val="none" w:sz="0" w:space="0" w:color="auto"/>
                                  </w:divBdr>
                                  <w:divsChild>
                                    <w:div w:id="739207284">
                                      <w:marLeft w:val="0"/>
                                      <w:marRight w:val="0"/>
                                      <w:marTop w:val="0"/>
                                      <w:marBottom w:val="0"/>
                                      <w:divBdr>
                                        <w:top w:val="none" w:sz="0" w:space="0" w:color="auto"/>
                                        <w:left w:val="none" w:sz="0" w:space="0" w:color="auto"/>
                                        <w:bottom w:val="none" w:sz="0" w:space="0" w:color="auto"/>
                                        <w:right w:val="none" w:sz="0" w:space="0" w:color="auto"/>
                                      </w:divBdr>
                                      <w:divsChild>
                                        <w:div w:id="2131363318">
                                          <w:marLeft w:val="0"/>
                                          <w:marRight w:val="0"/>
                                          <w:marTop w:val="0"/>
                                          <w:marBottom w:val="0"/>
                                          <w:divBdr>
                                            <w:top w:val="none" w:sz="0" w:space="0" w:color="auto"/>
                                            <w:left w:val="none" w:sz="0" w:space="0" w:color="auto"/>
                                            <w:bottom w:val="none" w:sz="0" w:space="0" w:color="auto"/>
                                            <w:right w:val="none" w:sz="0" w:space="0" w:color="auto"/>
                                          </w:divBdr>
                                          <w:divsChild>
                                            <w:div w:id="20474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809035">
      <w:bodyDiv w:val="1"/>
      <w:marLeft w:val="0"/>
      <w:marRight w:val="0"/>
      <w:marTop w:val="0"/>
      <w:marBottom w:val="0"/>
      <w:divBdr>
        <w:top w:val="none" w:sz="0" w:space="0" w:color="auto"/>
        <w:left w:val="none" w:sz="0" w:space="0" w:color="auto"/>
        <w:bottom w:val="none" w:sz="0" w:space="0" w:color="auto"/>
        <w:right w:val="none" w:sz="0" w:space="0" w:color="auto"/>
      </w:divBdr>
    </w:div>
    <w:div w:id="1442913339">
      <w:bodyDiv w:val="1"/>
      <w:marLeft w:val="0"/>
      <w:marRight w:val="0"/>
      <w:marTop w:val="0"/>
      <w:marBottom w:val="0"/>
      <w:divBdr>
        <w:top w:val="none" w:sz="0" w:space="0" w:color="auto"/>
        <w:left w:val="none" w:sz="0" w:space="0" w:color="auto"/>
        <w:bottom w:val="none" w:sz="0" w:space="0" w:color="auto"/>
        <w:right w:val="none" w:sz="0" w:space="0" w:color="auto"/>
      </w:divBdr>
    </w:div>
    <w:div w:id="1473524804">
      <w:bodyDiv w:val="1"/>
      <w:marLeft w:val="0"/>
      <w:marRight w:val="0"/>
      <w:marTop w:val="0"/>
      <w:marBottom w:val="0"/>
      <w:divBdr>
        <w:top w:val="none" w:sz="0" w:space="0" w:color="auto"/>
        <w:left w:val="none" w:sz="0" w:space="0" w:color="auto"/>
        <w:bottom w:val="none" w:sz="0" w:space="0" w:color="auto"/>
        <w:right w:val="none" w:sz="0" w:space="0" w:color="auto"/>
      </w:divBdr>
    </w:div>
    <w:div w:id="1583905528">
      <w:bodyDiv w:val="1"/>
      <w:marLeft w:val="0"/>
      <w:marRight w:val="0"/>
      <w:marTop w:val="0"/>
      <w:marBottom w:val="0"/>
      <w:divBdr>
        <w:top w:val="none" w:sz="0" w:space="0" w:color="auto"/>
        <w:left w:val="none" w:sz="0" w:space="0" w:color="auto"/>
        <w:bottom w:val="none" w:sz="0" w:space="0" w:color="auto"/>
        <w:right w:val="none" w:sz="0" w:space="0" w:color="auto"/>
      </w:divBdr>
    </w:div>
    <w:div w:id="1623227487">
      <w:bodyDiv w:val="1"/>
      <w:marLeft w:val="0"/>
      <w:marRight w:val="0"/>
      <w:marTop w:val="0"/>
      <w:marBottom w:val="0"/>
      <w:divBdr>
        <w:top w:val="none" w:sz="0" w:space="0" w:color="auto"/>
        <w:left w:val="none" w:sz="0" w:space="0" w:color="auto"/>
        <w:bottom w:val="none" w:sz="0" w:space="0" w:color="auto"/>
        <w:right w:val="none" w:sz="0" w:space="0" w:color="auto"/>
      </w:divBdr>
      <w:divsChild>
        <w:div w:id="1476488989">
          <w:marLeft w:val="547"/>
          <w:marRight w:val="0"/>
          <w:marTop w:val="115"/>
          <w:marBottom w:val="0"/>
          <w:divBdr>
            <w:top w:val="none" w:sz="0" w:space="0" w:color="auto"/>
            <w:left w:val="none" w:sz="0" w:space="0" w:color="auto"/>
            <w:bottom w:val="none" w:sz="0" w:space="0" w:color="auto"/>
            <w:right w:val="none" w:sz="0" w:space="0" w:color="auto"/>
          </w:divBdr>
        </w:div>
      </w:divsChild>
    </w:div>
    <w:div w:id="1666469872">
      <w:bodyDiv w:val="1"/>
      <w:marLeft w:val="0"/>
      <w:marRight w:val="0"/>
      <w:marTop w:val="0"/>
      <w:marBottom w:val="0"/>
      <w:divBdr>
        <w:top w:val="none" w:sz="0" w:space="0" w:color="auto"/>
        <w:left w:val="none" w:sz="0" w:space="0" w:color="auto"/>
        <w:bottom w:val="none" w:sz="0" w:space="0" w:color="auto"/>
        <w:right w:val="none" w:sz="0" w:space="0" w:color="auto"/>
      </w:divBdr>
    </w:div>
    <w:div w:id="1706783154">
      <w:bodyDiv w:val="1"/>
      <w:marLeft w:val="0"/>
      <w:marRight w:val="0"/>
      <w:marTop w:val="0"/>
      <w:marBottom w:val="0"/>
      <w:divBdr>
        <w:top w:val="none" w:sz="0" w:space="0" w:color="auto"/>
        <w:left w:val="none" w:sz="0" w:space="0" w:color="auto"/>
        <w:bottom w:val="none" w:sz="0" w:space="0" w:color="auto"/>
        <w:right w:val="none" w:sz="0" w:space="0" w:color="auto"/>
      </w:divBdr>
    </w:div>
    <w:div w:id="1730496315">
      <w:bodyDiv w:val="1"/>
      <w:marLeft w:val="0"/>
      <w:marRight w:val="0"/>
      <w:marTop w:val="0"/>
      <w:marBottom w:val="0"/>
      <w:divBdr>
        <w:top w:val="none" w:sz="0" w:space="0" w:color="auto"/>
        <w:left w:val="none" w:sz="0" w:space="0" w:color="auto"/>
        <w:bottom w:val="none" w:sz="0" w:space="0" w:color="auto"/>
        <w:right w:val="none" w:sz="0" w:space="0" w:color="auto"/>
      </w:divBdr>
    </w:div>
    <w:div w:id="1748766553">
      <w:bodyDiv w:val="1"/>
      <w:marLeft w:val="0"/>
      <w:marRight w:val="0"/>
      <w:marTop w:val="0"/>
      <w:marBottom w:val="0"/>
      <w:divBdr>
        <w:top w:val="none" w:sz="0" w:space="0" w:color="auto"/>
        <w:left w:val="none" w:sz="0" w:space="0" w:color="auto"/>
        <w:bottom w:val="none" w:sz="0" w:space="0" w:color="auto"/>
        <w:right w:val="none" w:sz="0" w:space="0" w:color="auto"/>
      </w:divBdr>
    </w:div>
    <w:div w:id="1769080229">
      <w:bodyDiv w:val="1"/>
      <w:marLeft w:val="0"/>
      <w:marRight w:val="0"/>
      <w:marTop w:val="0"/>
      <w:marBottom w:val="0"/>
      <w:divBdr>
        <w:top w:val="none" w:sz="0" w:space="0" w:color="auto"/>
        <w:left w:val="none" w:sz="0" w:space="0" w:color="auto"/>
        <w:bottom w:val="none" w:sz="0" w:space="0" w:color="auto"/>
        <w:right w:val="none" w:sz="0" w:space="0" w:color="auto"/>
      </w:divBdr>
    </w:div>
    <w:div w:id="1814983928">
      <w:bodyDiv w:val="1"/>
      <w:marLeft w:val="0"/>
      <w:marRight w:val="0"/>
      <w:marTop w:val="0"/>
      <w:marBottom w:val="0"/>
      <w:divBdr>
        <w:top w:val="none" w:sz="0" w:space="0" w:color="auto"/>
        <w:left w:val="none" w:sz="0" w:space="0" w:color="auto"/>
        <w:bottom w:val="none" w:sz="0" w:space="0" w:color="auto"/>
        <w:right w:val="none" w:sz="0" w:space="0" w:color="auto"/>
      </w:divBdr>
      <w:divsChild>
        <w:div w:id="647369562">
          <w:marLeft w:val="547"/>
          <w:marRight w:val="0"/>
          <w:marTop w:val="336"/>
          <w:marBottom w:val="0"/>
          <w:divBdr>
            <w:top w:val="none" w:sz="0" w:space="0" w:color="auto"/>
            <w:left w:val="none" w:sz="0" w:space="0" w:color="auto"/>
            <w:bottom w:val="none" w:sz="0" w:space="0" w:color="auto"/>
            <w:right w:val="none" w:sz="0" w:space="0" w:color="auto"/>
          </w:divBdr>
        </w:div>
      </w:divsChild>
    </w:div>
    <w:div w:id="1878349287">
      <w:bodyDiv w:val="1"/>
      <w:marLeft w:val="0"/>
      <w:marRight w:val="0"/>
      <w:marTop w:val="0"/>
      <w:marBottom w:val="0"/>
      <w:divBdr>
        <w:top w:val="none" w:sz="0" w:space="0" w:color="auto"/>
        <w:left w:val="none" w:sz="0" w:space="0" w:color="auto"/>
        <w:bottom w:val="none" w:sz="0" w:space="0" w:color="auto"/>
        <w:right w:val="none" w:sz="0" w:space="0" w:color="auto"/>
      </w:divBdr>
      <w:divsChild>
        <w:div w:id="395131150">
          <w:marLeft w:val="0"/>
          <w:marRight w:val="0"/>
          <w:marTop w:val="100"/>
          <w:marBottom w:val="100"/>
          <w:divBdr>
            <w:top w:val="none" w:sz="0" w:space="0" w:color="auto"/>
            <w:left w:val="single" w:sz="6" w:space="0" w:color="CCCCCC"/>
            <w:bottom w:val="none" w:sz="0" w:space="0" w:color="auto"/>
            <w:right w:val="single" w:sz="6" w:space="0" w:color="CCCCCC"/>
          </w:divBdr>
          <w:divsChild>
            <w:div w:id="705834521">
              <w:marLeft w:val="0"/>
              <w:marRight w:val="0"/>
              <w:marTop w:val="0"/>
              <w:marBottom w:val="0"/>
              <w:divBdr>
                <w:top w:val="none" w:sz="0" w:space="0" w:color="auto"/>
                <w:left w:val="none" w:sz="0" w:space="0" w:color="auto"/>
                <w:bottom w:val="none" w:sz="0" w:space="0" w:color="auto"/>
                <w:right w:val="none" w:sz="0" w:space="0" w:color="auto"/>
              </w:divBdr>
              <w:divsChild>
                <w:div w:id="1851866147">
                  <w:marLeft w:val="0"/>
                  <w:marRight w:val="0"/>
                  <w:marTop w:val="0"/>
                  <w:marBottom w:val="0"/>
                  <w:divBdr>
                    <w:top w:val="none" w:sz="0" w:space="0" w:color="auto"/>
                    <w:left w:val="none" w:sz="0" w:space="0" w:color="auto"/>
                    <w:bottom w:val="none" w:sz="0" w:space="0" w:color="auto"/>
                    <w:right w:val="none" w:sz="0" w:space="0" w:color="auto"/>
                  </w:divBdr>
                  <w:divsChild>
                    <w:div w:id="1905989636">
                      <w:marLeft w:val="0"/>
                      <w:marRight w:val="0"/>
                      <w:marTop w:val="168"/>
                      <w:marBottom w:val="0"/>
                      <w:divBdr>
                        <w:top w:val="none" w:sz="0" w:space="0" w:color="auto"/>
                        <w:left w:val="none" w:sz="0" w:space="0" w:color="auto"/>
                        <w:bottom w:val="none" w:sz="0" w:space="0" w:color="auto"/>
                        <w:right w:val="none" w:sz="0" w:space="0" w:color="auto"/>
                      </w:divBdr>
                      <w:divsChild>
                        <w:div w:id="18884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778164">
      <w:bodyDiv w:val="1"/>
      <w:marLeft w:val="0"/>
      <w:marRight w:val="0"/>
      <w:marTop w:val="0"/>
      <w:marBottom w:val="0"/>
      <w:divBdr>
        <w:top w:val="none" w:sz="0" w:space="0" w:color="auto"/>
        <w:left w:val="none" w:sz="0" w:space="0" w:color="auto"/>
        <w:bottom w:val="none" w:sz="0" w:space="0" w:color="auto"/>
        <w:right w:val="none" w:sz="0" w:space="0" w:color="auto"/>
      </w:divBdr>
    </w:div>
    <w:div w:id="1900676713">
      <w:bodyDiv w:val="1"/>
      <w:marLeft w:val="0"/>
      <w:marRight w:val="0"/>
      <w:marTop w:val="0"/>
      <w:marBottom w:val="0"/>
      <w:divBdr>
        <w:top w:val="none" w:sz="0" w:space="0" w:color="auto"/>
        <w:left w:val="none" w:sz="0" w:space="0" w:color="auto"/>
        <w:bottom w:val="none" w:sz="0" w:space="0" w:color="auto"/>
        <w:right w:val="none" w:sz="0" w:space="0" w:color="auto"/>
      </w:divBdr>
    </w:div>
    <w:div w:id="1914314741">
      <w:bodyDiv w:val="1"/>
      <w:marLeft w:val="0"/>
      <w:marRight w:val="0"/>
      <w:marTop w:val="0"/>
      <w:marBottom w:val="0"/>
      <w:divBdr>
        <w:top w:val="none" w:sz="0" w:space="0" w:color="auto"/>
        <w:left w:val="none" w:sz="0" w:space="0" w:color="auto"/>
        <w:bottom w:val="none" w:sz="0" w:space="0" w:color="auto"/>
        <w:right w:val="none" w:sz="0" w:space="0" w:color="auto"/>
      </w:divBdr>
    </w:div>
    <w:div w:id="1920168267">
      <w:bodyDiv w:val="1"/>
      <w:marLeft w:val="0"/>
      <w:marRight w:val="0"/>
      <w:marTop w:val="0"/>
      <w:marBottom w:val="0"/>
      <w:divBdr>
        <w:top w:val="none" w:sz="0" w:space="0" w:color="auto"/>
        <w:left w:val="none" w:sz="0" w:space="0" w:color="auto"/>
        <w:bottom w:val="none" w:sz="0" w:space="0" w:color="auto"/>
        <w:right w:val="none" w:sz="0" w:space="0" w:color="auto"/>
      </w:divBdr>
    </w:div>
    <w:div w:id="1951934818">
      <w:bodyDiv w:val="1"/>
      <w:marLeft w:val="0"/>
      <w:marRight w:val="0"/>
      <w:marTop w:val="0"/>
      <w:marBottom w:val="0"/>
      <w:divBdr>
        <w:top w:val="none" w:sz="0" w:space="0" w:color="auto"/>
        <w:left w:val="none" w:sz="0" w:space="0" w:color="auto"/>
        <w:bottom w:val="none" w:sz="0" w:space="0" w:color="auto"/>
        <w:right w:val="none" w:sz="0" w:space="0" w:color="auto"/>
      </w:divBdr>
    </w:div>
    <w:div w:id="1958565888">
      <w:bodyDiv w:val="1"/>
      <w:marLeft w:val="0"/>
      <w:marRight w:val="0"/>
      <w:marTop w:val="0"/>
      <w:marBottom w:val="0"/>
      <w:divBdr>
        <w:top w:val="none" w:sz="0" w:space="0" w:color="auto"/>
        <w:left w:val="none" w:sz="0" w:space="0" w:color="auto"/>
        <w:bottom w:val="none" w:sz="0" w:space="0" w:color="auto"/>
        <w:right w:val="none" w:sz="0" w:space="0" w:color="auto"/>
      </w:divBdr>
    </w:div>
    <w:div w:id="1988823547">
      <w:bodyDiv w:val="1"/>
      <w:marLeft w:val="0"/>
      <w:marRight w:val="0"/>
      <w:marTop w:val="0"/>
      <w:marBottom w:val="0"/>
      <w:divBdr>
        <w:top w:val="none" w:sz="0" w:space="0" w:color="auto"/>
        <w:left w:val="none" w:sz="0" w:space="0" w:color="auto"/>
        <w:bottom w:val="none" w:sz="0" w:space="0" w:color="auto"/>
        <w:right w:val="none" w:sz="0" w:space="0" w:color="auto"/>
      </w:divBdr>
    </w:div>
    <w:div w:id="2039041485">
      <w:bodyDiv w:val="1"/>
      <w:marLeft w:val="0"/>
      <w:marRight w:val="0"/>
      <w:marTop w:val="0"/>
      <w:marBottom w:val="0"/>
      <w:divBdr>
        <w:top w:val="none" w:sz="0" w:space="0" w:color="auto"/>
        <w:left w:val="none" w:sz="0" w:space="0" w:color="auto"/>
        <w:bottom w:val="none" w:sz="0" w:space="0" w:color="auto"/>
        <w:right w:val="none" w:sz="0" w:space="0" w:color="auto"/>
      </w:divBdr>
    </w:div>
    <w:div w:id="2041399116">
      <w:bodyDiv w:val="1"/>
      <w:marLeft w:val="0"/>
      <w:marRight w:val="0"/>
      <w:marTop w:val="0"/>
      <w:marBottom w:val="0"/>
      <w:divBdr>
        <w:top w:val="none" w:sz="0" w:space="0" w:color="auto"/>
        <w:left w:val="none" w:sz="0" w:space="0" w:color="auto"/>
        <w:bottom w:val="none" w:sz="0" w:space="0" w:color="auto"/>
        <w:right w:val="none" w:sz="0" w:space="0" w:color="auto"/>
      </w:divBdr>
    </w:div>
    <w:div w:id="214264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tif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nrl.northumbria.ac.uk/694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5CAC-AFC1-412A-A1D5-1DD9C4369443}">
  <ds:schemaRefs>
    <ds:schemaRef ds:uri="http://schemas.openxmlformats.org/officeDocument/2006/bibliography"/>
  </ds:schemaRefs>
</ds:datastoreItem>
</file>

<file path=customXml/itemProps2.xml><?xml version="1.0" encoding="utf-8"?>
<ds:datastoreItem xmlns:ds="http://schemas.openxmlformats.org/officeDocument/2006/customXml" ds:itemID="{394FA002-CC07-4BE6-8CC6-179E2F03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10807</Words>
  <Characters>61605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72268</CharactersWithSpaces>
  <SharedDoc>false</SharedDoc>
  <HLinks>
    <vt:vector size="12" baseType="variant">
      <vt:variant>
        <vt:i4>3932201</vt:i4>
      </vt:variant>
      <vt:variant>
        <vt:i4>600</vt:i4>
      </vt:variant>
      <vt:variant>
        <vt:i4>0</vt:i4>
      </vt:variant>
      <vt:variant>
        <vt:i4>5</vt:i4>
      </vt:variant>
      <vt:variant>
        <vt:lpwstr>http://cran.open-source-solution.org/web/packages/risksetROC/risksetROC.pdf</vt:lpwstr>
      </vt:variant>
      <vt:variant>
        <vt:lpwstr/>
      </vt:variant>
      <vt:variant>
        <vt:i4>6946825</vt:i4>
      </vt:variant>
      <vt:variant>
        <vt:i4>0</vt:i4>
      </vt:variant>
      <vt:variant>
        <vt:i4>0</vt:i4>
      </vt:variant>
      <vt:variant>
        <vt:i4>5</vt:i4>
      </vt:variant>
      <vt:variant>
        <vt:lpwstr>mailto:kdrr@liv.ac.uk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Ruwanthi</dc:creator>
  <cp:lastModifiedBy>Kolamunnage Dona, Ruwanthi</cp:lastModifiedBy>
  <cp:revision>5</cp:revision>
  <cp:lastPrinted>2016-07-06T11:53:00Z</cp:lastPrinted>
  <dcterms:created xsi:type="dcterms:W3CDTF">2016-09-16T09:00:00Z</dcterms:created>
  <dcterms:modified xsi:type="dcterms:W3CDTF">2016-09-16T09:07:00Z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-1788830542</vt:i4>
  </property>
</Properties>
</file>