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63FD0" w14:textId="229B17B3" w:rsidR="0098176B" w:rsidRDefault="00CF1CE1" w:rsidP="002249E1">
      <w:pPr>
        <w:spacing w:line="480" w:lineRule="auto"/>
        <w:jc w:val="both"/>
        <w:rPr>
          <w:rFonts w:ascii="Times" w:hAnsi="Times"/>
          <w:b/>
        </w:rPr>
      </w:pPr>
      <w:r>
        <w:rPr>
          <w:rFonts w:ascii="Times" w:hAnsi="Times"/>
          <w:b/>
        </w:rPr>
        <w:t>LEGITIMACY AND</w:t>
      </w:r>
      <w:r w:rsidR="00FA2BDE">
        <w:rPr>
          <w:rFonts w:ascii="Times" w:hAnsi="Times"/>
          <w:b/>
        </w:rPr>
        <w:t xml:space="preserve"> MULTI-LEVEL GOVERNANCE</w:t>
      </w:r>
      <w:r>
        <w:rPr>
          <w:rFonts w:ascii="Times" w:hAnsi="Times"/>
          <w:b/>
        </w:rPr>
        <w:t xml:space="preserve"> IN</w:t>
      </w:r>
      <w:r w:rsidR="00FA2BDE">
        <w:rPr>
          <w:rFonts w:ascii="Times" w:hAnsi="Times"/>
          <w:b/>
        </w:rPr>
        <w:t xml:space="preserve"> </w:t>
      </w:r>
      <w:r>
        <w:rPr>
          <w:rFonts w:ascii="Times" w:hAnsi="Times"/>
          <w:b/>
        </w:rPr>
        <w:t>EUROPEAN UNION COMPETITION LAW: A DELIBERATIVE DISCURSIVE APPROACH</w:t>
      </w:r>
    </w:p>
    <w:p w14:paraId="5A4FC06A" w14:textId="77777777" w:rsidR="00B25F6E" w:rsidRDefault="00B25F6E" w:rsidP="002249E1">
      <w:pPr>
        <w:spacing w:line="480" w:lineRule="auto"/>
        <w:jc w:val="both"/>
        <w:rPr>
          <w:rFonts w:ascii="Times" w:hAnsi="Times"/>
          <w:b/>
        </w:rPr>
      </w:pPr>
    </w:p>
    <w:p w14:paraId="40958EC8" w14:textId="6311A4DB" w:rsidR="00B25F6E" w:rsidRDefault="00B25F6E" w:rsidP="002249E1">
      <w:pPr>
        <w:spacing w:line="480" w:lineRule="auto"/>
        <w:jc w:val="both"/>
        <w:rPr>
          <w:rFonts w:ascii="Times" w:hAnsi="Times"/>
          <w:b/>
        </w:rPr>
      </w:pPr>
      <w:r>
        <w:rPr>
          <w:rFonts w:ascii="Times" w:hAnsi="Times"/>
          <w:b/>
        </w:rPr>
        <w:t>Firat Cengiz</w:t>
      </w:r>
    </w:p>
    <w:p w14:paraId="44935431" w14:textId="4D1BA86C" w:rsidR="00B25F6E" w:rsidRDefault="00B25F6E" w:rsidP="002249E1">
      <w:pPr>
        <w:spacing w:line="480" w:lineRule="auto"/>
        <w:jc w:val="both"/>
        <w:rPr>
          <w:rFonts w:ascii="Times" w:hAnsi="Times"/>
        </w:rPr>
      </w:pPr>
      <w:r>
        <w:rPr>
          <w:rFonts w:ascii="Times" w:hAnsi="Times"/>
        </w:rPr>
        <w:t xml:space="preserve">University of Liverpool, School of Law and Social Justice, </w:t>
      </w:r>
      <w:hyperlink r:id="rId9" w:history="1">
        <w:r w:rsidRPr="00A15622">
          <w:rPr>
            <w:rStyle w:val="Hyperlink"/>
            <w:rFonts w:ascii="Times" w:hAnsi="Times"/>
          </w:rPr>
          <w:t>firat.cengiz@liverpool.ac.uk</w:t>
        </w:r>
      </w:hyperlink>
      <w:r>
        <w:rPr>
          <w:rFonts w:ascii="Times" w:hAnsi="Times"/>
        </w:rPr>
        <w:t>.</w:t>
      </w:r>
    </w:p>
    <w:p w14:paraId="1559EC0A" w14:textId="77777777" w:rsidR="00887577" w:rsidRDefault="00887577" w:rsidP="002249E1">
      <w:pPr>
        <w:spacing w:line="480" w:lineRule="auto"/>
        <w:jc w:val="both"/>
        <w:rPr>
          <w:rFonts w:ascii="Times" w:hAnsi="Times"/>
        </w:rPr>
      </w:pPr>
    </w:p>
    <w:p w14:paraId="3919077C" w14:textId="1A805970" w:rsidR="00B25F6E" w:rsidRDefault="00B25F6E" w:rsidP="002249E1">
      <w:pPr>
        <w:spacing w:line="480" w:lineRule="auto"/>
        <w:jc w:val="both"/>
        <w:rPr>
          <w:rFonts w:ascii="Times" w:hAnsi="Times"/>
        </w:rPr>
      </w:pPr>
      <w:r w:rsidRPr="00B25F6E">
        <w:rPr>
          <w:rFonts w:ascii="Times" w:hAnsi="Times"/>
          <w:b/>
        </w:rPr>
        <w:t xml:space="preserve">Acknowledgements: </w:t>
      </w:r>
      <w:r>
        <w:rPr>
          <w:rFonts w:ascii="Times" w:hAnsi="Times"/>
        </w:rPr>
        <w:t>earlier versions of this article have been presented in several places, including the June 2014 Marie Curie Workshop in Liverpool. I am grateful to Phil Cerny, Michael Dougan, Michelle Farrell, Klaus-Gerd Giesen, Helen Stalford, Wouter Wils and the anonymous referees for their helpful comments. All errors remain to be mine.</w:t>
      </w:r>
      <w:r>
        <w:rPr>
          <w:rFonts w:ascii="Times" w:hAnsi="Times"/>
        </w:rPr>
        <w:t xml:space="preserve"> This article is the first publication bringing together initial findings of my </w:t>
      </w:r>
      <w:r w:rsidR="00334EAF">
        <w:rPr>
          <w:rFonts w:ascii="Times" w:hAnsi="Times"/>
        </w:rPr>
        <w:t>p</w:t>
      </w:r>
      <w:r>
        <w:rPr>
          <w:rFonts w:ascii="Times" w:hAnsi="Times"/>
        </w:rPr>
        <w:t xml:space="preserve">roject, ‘Anchoring the Consumer: Accountability and Legitimacy in Competition Law’ funded by a Marie Curie Career Integration Grant </w:t>
      </w:r>
      <w:r w:rsidRPr="00B25F6E">
        <w:rPr>
          <w:rFonts w:ascii="Times New Roman" w:hAnsi="Times New Roman" w:cs="Times New Roman"/>
        </w:rPr>
        <w:t>(</w:t>
      </w:r>
      <w:r w:rsidRPr="00B25F6E">
        <w:rPr>
          <w:rFonts w:ascii="Times New Roman" w:hAnsi="Times New Roman" w:cs="Times New Roman"/>
          <w:bCs/>
          <w:iCs/>
          <w:lang w:val="en-US"/>
        </w:rPr>
        <w:t>FP 7 – 334322</w:t>
      </w:r>
      <w:r w:rsidRPr="00B25F6E">
        <w:rPr>
          <w:rFonts w:ascii="Times New Roman" w:hAnsi="Times New Roman" w:cs="Times New Roman"/>
          <w:bCs/>
          <w:iCs/>
          <w:lang w:val="en-US"/>
        </w:rPr>
        <w:t>)</w:t>
      </w:r>
      <w:r>
        <w:rPr>
          <w:rFonts w:ascii="Times" w:hAnsi="Times"/>
        </w:rPr>
        <w:t xml:space="preserve">. I am grateful for the European Union’s financial support, as this allows me to do critical research on European governance.  </w:t>
      </w:r>
    </w:p>
    <w:p w14:paraId="35C0FD32" w14:textId="77777777" w:rsidR="00887577" w:rsidRDefault="00887577" w:rsidP="002249E1">
      <w:pPr>
        <w:spacing w:line="480" w:lineRule="auto"/>
        <w:jc w:val="both"/>
        <w:rPr>
          <w:rFonts w:ascii="Times" w:hAnsi="Times"/>
        </w:rPr>
      </w:pPr>
      <w:bookmarkStart w:id="0" w:name="_GoBack"/>
      <w:bookmarkEnd w:id="0"/>
    </w:p>
    <w:p w14:paraId="2E24B3ED" w14:textId="70E8282B" w:rsidR="00887577" w:rsidRPr="00887577" w:rsidRDefault="00887577" w:rsidP="002249E1">
      <w:pPr>
        <w:spacing w:line="480" w:lineRule="auto"/>
        <w:jc w:val="both"/>
        <w:rPr>
          <w:rFonts w:ascii="Times" w:hAnsi="Times"/>
          <w:b/>
        </w:rPr>
      </w:pPr>
      <w:r w:rsidRPr="00887577">
        <w:rPr>
          <w:rFonts w:ascii="Times" w:hAnsi="Times"/>
          <w:b/>
        </w:rPr>
        <w:t>Abstract:</w:t>
      </w:r>
      <w:r>
        <w:rPr>
          <w:rFonts w:ascii="Times" w:hAnsi="Times"/>
          <w:b/>
        </w:rPr>
        <w:t xml:space="preserve"> </w:t>
      </w:r>
      <w:r>
        <w:rPr>
          <w:rFonts w:ascii="Times" w:hAnsi="Times"/>
        </w:rPr>
        <w:t xml:space="preserve">The question that this article aims to answer is: Union competition law protects ‘consumer welfare’ but what role do consumers play in competition policymaking? In the search for an answer, the article investigates the moral (output) and procedural (input) legitimacy of the recent competition law reforms. Following a discursive approach, the article looks into the roles played by institutions deliberating for citizens (consumer organisations, European Parliament and the Union Courts) in the reform process. This inquiry results in the questioning of the reforms’ legitimacy, </w:t>
      </w:r>
      <w:r>
        <w:rPr>
          <w:rFonts w:ascii="Times" w:hAnsi="Times"/>
        </w:rPr>
        <w:lastRenderedPageBreak/>
        <w:t>and it also leads to broader conclusions regarding the legitimacy of multi-level governance: expert discourses overshadow potential deliberative qualities of networks, which exacerbates networks’ legitimacy problems. Also, the input/output legitimacy dichotomy appears problematic, as expert policymaking in the absence of citizen participation does not guarantee policies resonating with public interest.</w:t>
      </w:r>
    </w:p>
    <w:p w14:paraId="6D959721" w14:textId="77777777" w:rsidR="00B25F6E" w:rsidRPr="00B25F6E" w:rsidRDefault="00B25F6E" w:rsidP="002249E1">
      <w:pPr>
        <w:spacing w:line="480" w:lineRule="auto"/>
        <w:jc w:val="both"/>
        <w:rPr>
          <w:rFonts w:ascii="Times" w:hAnsi="Times"/>
        </w:rPr>
      </w:pPr>
    </w:p>
    <w:p w14:paraId="0A438471" w14:textId="2B775CAD" w:rsidR="00250366" w:rsidRDefault="00752ADB" w:rsidP="00752ADB">
      <w:pPr>
        <w:tabs>
          <w:tab w:val="left" w:pos="5095"/>
        </w:tabs>
        <w:spacing w:line="480" w:lineRule="auto"/>
        <w:jc w:val="both"/>
        <w:rPr>
          <w:rFonts w:ascii="Times" w:hAnsi="Times"/>
          <w:b/>
        </w:rPr>
      </w:pPr>
      <w:r>
        <w:rPr>
          <w:rFonts w:ascii="Times" w:hAnsi="Times"/>
          <w:b/>
        </w:rPr>
        <w:tab/>
      </w:r>
    </w:p>
    <w:p w14:paraId="15CD31F6" w14:textId="4BDE7906" w:rsidR="0003579F" w:rsidRPr="0098176B" w:rsidRDefault="006F41F2" w:rsidP="002249E1">
      <w:pPr>
        <w:spacing w:line="480" w:lineRule="auto"/>
        <w:jc w:val="both"/>
        <w:rPr>
          <w:rFonts w:ascii="Times" w:hAnsi="Times"/>
          <w:b/>
        </w:rPr>
      </w:pPr>
      <w:r>
        <w:rPr>
          <w:rFonts w:ascii="Times" w:hAnsi="Times"/>
          <w:b/>
        </w:rPr>
        <w:t>INTRODUCTION</w:t>
      </w:r>
    </w:p>
    <w:p w14:paraId="556C7F79" w14:textId="7EA0407A" w:rsidR="00090B85" w:rsidRDefault="006438AB" w:rsidP="002249E1">
      <w:pPr>
        <w:spacing w:line="480" w:lineRule="auto"/>
        <w:jc w:val="both"/>
        <w:rPr>
          <w:rFonts w:ascii="Times" w:hAnsi="Times"/>
        </w:rPr>
      </w:pPr>
      <w:r>
        <w:rPr>
          <w:rFonts w:ascii="Times" w:hAnsi="Times"/>
        </w:rPr>
        <w:t>This article looks</w:t>
      </w:r>
      <w:r w:rsidR="00482EAF">
        <w:rPr>
          <w:rFonts w:ascii="Times" w:hAnsi="Times"/>
        </w:rPr>
        <w:t xml:space="preserve"> </w:t>
      </w:r>
      <w:r w:rsidR="001A2305">
        <w:rPr>
          <w:rFonts w:ascii="Times" w:hAnsi="Times"/>
        </w:rPr>
        <w:t>at</w:t>
      </w:r>
      <w:r w:rsidR="00482EAF">
        <w:rPr>
          <w:rFonts w:ascii="Times" w:hAnsi="Times"/>
        </w:rPr>
        <w:t xml:space="preserve"> the </w:t>
      </w:r>
      <w:r w:rsidR="001604F8">
        <w:rPr>
          <w:rFonts w:ascii="Times" w:hAnsi="Times"/>
        </w:rPr>
        <w:t>tension</w:t>
      </w:r>
      <w:r w:rsidR="00482EAF">
        <w:rPr>
          <w:rFonts w:ascii="Times" w:hAnsi="Times"/>
        </w:rPr>
        <w:t xml:space="preserve"> between </w:t>
      </w:r>
      <w:r w:rsidR="001604F8">
        <w:rPr>
          <w:rFonts w:ascii="Times" w:hAnsi="Times"/>
        </w:rPr>
        <w:t xml:space="preserve">citizen participation and expertise in multi-level governance </w:t>
      </w:r>
      <w:r w:rsidR="006C4909">
        <w:rPr>
          <w:rFonts w:ascii="Times" w:hAnsi="Times"/>
        </w:rPr>
        <w:t xml:space="preserve">in the context of </w:t>
      </w:r>
      <w:r w:rsidR="00296A8C" w:rsidRPr="00964A1C">
        <w:rPr>
          <w:rFonts w:ascii="Times" w:hAnsi="Times"/>
        </w:rPr>
        <w:t xml:space="preserve">European </w:t>
      </w:r>
      <w:r w:rsidR="006C4909" w:rsidRPr="00964A1C">
        <w:rPr>
          <w:rFonts w:ascii="Times" w:hAnsi="Times"/>
        </w:rPr>
        <w:t>Union</w:t>
      </w:r>
      <w:r w:rsidR="006C4909">
        <w:rPr>
          <w:rFonts w:ascii="Times" w:hAnsi="Times"/>
        </w:rPr>
        <w:t xml:space="preserve"> competition law</w:t>
      </w:r>
      <w:r w:rsidR="001604F8">
        <w:rPr>
          <w:rFonts w:ascii="Times" w:hAnsi="Times"/>
        </w:rPr>
        <w:t xml:space="preserve">. </w:t>
      </w:r>
      <w:r w:rsidR="00310BF2">
        <w:rPr>
          <w:rFonts w:ascii="Times" w:hAnsi="Times"/>
        </w:rPr>
        <w:t xml:space="preserve">The choice of competition law for </w:t>
      </w:r>
      <w:r w:rsidR="001A2305">
        <w:rPr>
          <w:rFonts w:ascii="Times" w:hAnsi="Times"/>
        </w:rPr>
        <w:t>this</w:t>
      </w:r>
      <w:r w:rsidR="009245F7">
        <w:rPr>
          <w:rFonts w:ascii="Times" w:hAnsi="Times"/>
        </w:rPr>
        <w:t xml:space="preserve"> inquiry is not an accident.</w:t>
      </w:r>
      <w:r w:rsidR="00310BF2">
        <w:rPr>
          <w:rFonts w:ascii="Times" w:hAnsi="Times"/>
        </w:rPr>
        <w:t xml:space="preserve"> </w:t>
      </w:r>
      <w:r w:rsidR="003525F0">
        <w:rPr>
          <w:rFonts w:ascii="Times" w:hAnsi="Times"/>
        </w:rPr>
        <w:t xml:space="preserve">Union competition </w:t>
      </w:r>
      <w:r w:rsidR="002E4955">
        <w:rPr>
          <w:rFonts w:ascii="Times" w:hAnsi="Times"/>
        </w:rPr>
        <w:t>law has</w:t>
      </w:r>
      <w:r w:rsidR="003525F0">
        <w:rPr>
          <w:rFonts w:ascii="Times" w:hAnsi="Times"/>
        </w:rPr>
        <w:t xml:space="preserve"> been subject to an extensive reform process </w:t>
      </w:r>
      <w:r w:rsidR="00A560A1">
        <w:rPr>
          <w:rFonts w:ascii="Times" w:hAnsi="Times"/>
        </w:rPr>
        <w:t xml:space="preserve">that </w:t>
      </w:r>
      <w:r w:rsidR="00211DA8">
        <w:rPr>
          <w:rFonts w:ascii="Times" w:hAnsi="Times"/>
        </w:rPr>
        <w:t xml:space="preserve">transformed the enforcement of </w:t>
      </w:r>
      <w:r w:rsidR="00A2793E">
        <w:rPr>
          <w:rFonts w:ascii="Times" w:hAnsi="Times"/>
        </w:rPr>
        <w:t xml:space="preserve">rules </w:t>
      </w:r>
      <w:r w:rsidR="00211DA8">
        <w:rPr>
          <w:rFonts w:ascii="Times" w:hAnsi="Times"/>
        </w:rPr>
        <w:t>against anticompetitive mergers (EU Merger Regulation No.</w:t>
      </w:r>
      <w:r w:rsidR="00211DA8" w:rsidRPr="00392028">
        <w:rPr>
          <w:rFonts w:ascii="Times" w:hAnsi="Times" w:cs="EUAlbertina-Bold"/>
          <w:bCs/>
          <w:lang w:val="en-US"/>
        </w:rPr>
        <w:t>139/2004)</w:t>
      </w:r>
      <w:r w:rsidR="00211DA8">
        <w:rPr>
          <w:rFonts w:ascii="Times" w:hAnsi="Times"/>
        </w:rPr>
        <w:t>, anticompetitive agreements (Art.101 Treaty on the Functioning of the European Union, hereinafter ‘TFEU’), and abuse of dominance (Art.102 TFEU)</w:t>
      </w:r>
      <w:r w:rsidR="00CB01CE">
        <w:rPr>
          <w:rFonts w:ascii="Times" w:hAnsi="Times"/>
        </w:rPr>
        <w:t xml:space="preserve">. The policy objective </w:t>
      </w:r>
      <w:r w:rsidR="00A2793E">
        <w:rPr>
          <w:rFonts w:ascii="Times" w:hAnsi="Times"/>
        </w:rPr>
        <w:t>in</w:t>
      </w:r>
      <w:r w:rsidR="00CB01CE">
        <w:rPr>
          <w:rFonts w:ascii="Times" w:hAnsi="Times"/>
        </w:rPr>
        <w:t xml:space="preserve"> this extensive reform process was to prot</w:t>
      </w:r>
      <w:r w:rsidR="008F3137">
        <w:rPr>
          <w:rFonts w:ascii="Times" w:hAnsi="Times"/>
        </w:rPr>
        <w:t xml:space="preserve">ect ‘consumer welfare’. </w:t>
      </w:r>
      <w:r w:rsidR="00A560A1">
        <w:rPr>
          <w:rFonts w:ascii="Times" w:hAnsi="Times"/>
        </w:rPr>
        <w:t xml:space="preserve">The European Commission, the pioneer of </w:t>
      </w:r>
      <w:r w:rsidR="00F25FC0">
        <w:rPr>
          <w:rFonts w:ascii="Times" w:hAnsi="Times"/>
        </w:rPr>
        <w:t xml:space="preserve">the </w:t>
      </w:r>
      <w:r w:rsidR="00A560A1">
        <w:rPr>
          <w:rFonts w:ascii="Times" w:hAnsi="Times"/>
        </w:rPr>
        <w:t>reform</w:t>
      </w:r>
      <w:r w:rsidR="00F25FC0">
        <w:rPr>
          <w:rFonts w:ascii="Times" w:hAnsi="Times"/>
        </w:rPr>
        <w:t xml:space="preserve"> proces</w:t>
      </w:r>
      <w:r w:rsidR="00A560A1">
        <w:rPr>
          <w:rFonts w:ascii="Times" w:hAnsi="Times"/>
        </w:rPr>
        <w:t>s</w:t>
      </w:r>
      <w:r w:rsidR="00F25FC0">
        <w:rPr>
          <w:rFonts w:ascii="Times" w:hAnsi="Times"/>
        </w:rPr>
        <w:t>,</w:t>
      </w:r>
      <w:r w:rsidR="00A560A1">
        <w:rPr>
          <w:rFonts w:ascii="Times" w:hAnsi="Times"/>
        </w:rPr>
        <w:t xml:space="preserve"> relied primarily on </w:t>
      </w:r>
      <w:r w:rsidR="003D2B2F">
        <w:rPr>
          <w:rFonts w:ascii="Times" w:hAnsi="Times"/>
        </w:rPr>
        <w:t xml:space="preserve">soft </w:t>
      </w:r>
      <w:r w:rsidR="00A560A1" w:rsidRPr="00964A1C">
        <w:rPr>
          <w:rFonts w:ascii="Times" w:hAnsi="Times"/>
        </w:rPr>
        <w:t>multi-level governance</w:t>
      </w:r>
      <w:r w:rsidR="004E3B47" w:rsidRPr="00964A1C">
        <w:rPr>
          <w:rStyle w:val="EndnoteReference"/>
          <w:rFonts w:ascii="Times" w:hAnsi="Times"/>
        </w:rPr>
        <w:endnoteReference w:id="1"/>
      </w:r>
      <w:r w:rsidR="00A560A1">
        <w:rPr>
          <w:rFonts w:ascii="Times" w:hAnsi="Times"/>
        </w:rPr>
        <w:t xml:space="preserve"> methods in the </w:t>
      </w:r>
      <w:r w:rsidR="003C7C83">
        <w:rPr>
          <w:rFonts w:ascii="Times" w:hAnsi="Times"/>
        </w:rPr>
        <w:t xml:space="preserve">reform </w:t>
      </w:r>
      <w:r w:rsidR="00A560A1">
        <w:rPr>
          <w:rFonts w:ascii="Times" w:hAnsi="Times"/>
        </w:rPr>
        <w:t xml:space="preserve">process, </w:t>
      </w:r>
      <w:r w:rsidR="00F25FC0">
        <w:rPr>
          <w:rFonts w:ascii="Times" w:hAnsi="Times"/>
        </w:rPr>
        <w:t xml:space="preserve">including coalition </w:t>
      </w:r>
      <w:r w:rsidR="00090B85">
        <w:rPr>
          <w:rFonts w:ascii="Times" w:hAnsi="Times"/>
        </w:rPr>
        <w:t>building with the epistemic community</w:t>
      </w:r>
      <w:r w:rsidR="00F25FC0">
        <w:rPr>
          <w:rStyle w:val="EndnoteReference"/>
          <w:rFonts w:ascii="Times" w:hAnsi="Times"/>
        </w:rPr>
        <w:endnoteReference w:id="2"/>
      </w:r>
      <w:r w:rsidR="00090B85">
        <w:rPr>
          <w:rFonts w:ascii="Times" w:hAnsi="Times"/>
        </w:rPr>
        <w:t xml:space="preserve"> and network governance.  </w:t>
      </w:r>
    </w:p>
    <w:p w14:paraId="340C5784" w14:textId="77777777" w:rsidR="000D066D" w:rsidRDefault="000D066D" w:rsidP="002249E1">
      <w:pPr>
        <w:spacing w:line="480" w:lineRule="auto"/>
        <w:jc w:val="both"/>
        <w:rPr>
          <w:rFonts w:ascii="Times" w:hAnsi="Times"/>
        </w:rPr>
      </w:pPr>
    </w:p>
    <w:p w14:paraId="6F070869" w14:textId="26F361BB" w:rsidR="00680B8E" w:rsidRDefault="00A621FF" w:rsidP="002249E1">
      <w:pPr>
        <w:spacing w:line="480" w:lineRule="auto"/>
        <w:jc w:val="both"/>
        <w:rPr>
          <w:rFonts w:ascii="Times" w:hAnsi="Times"/>
        </w:rPr>
      </w:pPr>
      <w:r>
        <w:rPr>
          <w:rFonts w:ascii="Times" w:hAnsi="Times"/>
        </w:rPr>
        <w:t xml:space="preserve">The extensiveness of the reform process and the fundamental changes it brought require a balance between expertise and citizen participation for reforms to enjoy legitimacy. </w:t>
      </w:r>
      <w:r w:rsidR="004F617D">
        <w:rPr>
          <w:rFonts w:ascii="Times" w:hAnsi="Times"/>
        </w:rPr>
        <w:t xml:space="preserve">Principal-agent approaches </w:t>
      </w:r>
      <w:r w:rsidR="00505BAD">
        <w:rPr>
          <w:rFonts w:ascii="Times" w:hAnsi="Times"/>
        </w:rPr>
        <w:t>describe</w:t>
      </w:r>
      <w:r w:rsidR="009A2B0A">
        <w:rPr>
          <w:rFonts w:ascii="Times" w:hAnsi="Times"/>
        </w:rPr>
        <w:t xml:space="preserve"> </w:t>
      </w:r>
      <w:r w:rsidR="004F617D">
        <w:rPr>
          <w:rFonts w:ascii="Times" w:hAnsi="Times"/>
        </w:rPr>
        <w:t xml:space="preserve">the reform process </w:t>
      </w:r>
      <w:r w:rsidR="00F06BFF">
        <w:rPr>
          <w:rFonts w:ascii="Times" w:hAnsi="Times"/>
        </w:rPr>
        <w:t xml:space="preserve">as </w:t>
      </w:r>
      <w:r w:rsidR="009A2B0A">
        <w:rPr>
          <w:rFonts w:ascii="Times" w:hAnsi="Times"/>
        </w:rPr>
        <w:t>‘agency escape’</w:t>
      </w:r>
      <w:r w:rsidR="00E04CFF">
        <w:rPr>
          <w:rFonts w:ascii="Times" w:hAnsi="Times"/>
        </w:rPr>
        <w:t xml:space="preserve"> (Wilks, 2005)</w:t>
      </w:r>
      <w:r w:rsidR="001D166A">
        <w:rPr>
          <w:rFonts w:ascii="Times" w:hAnsi="Times"/>
        </w:rPr>
        <w:t xml:space="preserve"> arguing</w:t>
      </w:r>
      <w:r w:rsidR="0036704F">
        <w:rPr>
          <w:rFonts w:ascii="Times" w:hAnsi="Times"/>
        </w:rPr>
        <w:t xml:space="preserve"> that</w:t>
      </w:r>
      <w:r w:rsidR="00B52E9F">
        <w:rPr>
          <w:rFonts w:ascii="Times" w:hAnsi="Times"/>
        </w:rPr>
        <w:t xml:space="preserve"> </w:t>
      </w:r>
      <w:r w:rsidR="004E59DB">
        <w:rPr>
          <w:rFonts w:ascii="Times" w:hAnsi="Times"/>
        </w:rPr>
        <w:t xml:space="preserve">the Commission </w:t>
      </w:r>
      <w:r w:rsidR="00B52E9F">
        <w:rPr>
          <w:rFonts w:ascii="Times" w:hAnsi="Times"/>
        </w:rPr>
        <w:t>took advantage</w:t>
      </w:r>
      <w:r w:rsidR="0046225D">
        <w:rPr>
          <w:rFonts w:ascii="Times" w:hAnsi="Times"/>
        </w:rPr>
        <w:t xml:space="preserve"> </w:t>
      </w:r>
      <w:r w:rsidR="00B52E9F">
        <w:rPr>
          <w:rFonts w:ascii="Times" w:hAnsi="Times"/>
        </w:rPr>
        <w:t xml:space="preserve">of </w:t>
      </w:r>
      <w:r w:rsidR="0046225D">
        <w:rPr>
          <w:rFonts w:ascii="Times" w:hAnsi="Times"/>
        </w:rPr>
        <w:t xml:space="preserve">the </w:t>
      </w:r>
      <w:r w:rsidR="00073E92">
        <w:rPr>
          <w:rFonts w:ascii="Times" w:hAnsi="Times"/>
        </w:rPr>
        <w:t xml:space="preserve">increasing popularity of neo-liberal </w:t>
      </w:r>
      <w:r w:rsidR="00F040D0">
        <w:rPr>
          <w:rFonts w:ascii="Times" w:hAnsi="Times"/>
        </w:rPr>
        <w:t>norms</w:t>
      </w:r>
      <w:r w:rsidR="001D166A">
        <w:rPr>
          <w:rFonts w:ascii="Times" w:hAnsi="Times"/>
        </w:rPr>
        <w:t xml:space="preserve"> in Union’s </w:t>
      </w:r>
      <w:r w:rsidR="00073E92">
        <w:rPr>
          <w:rFonts w:ascii="Times" w:hAnsi="Times"/>
        </w:rPr>
        <w:t xml:space="preserve">governance </w:t>
      </w:r>
      <w:r w:rsidR="00B52E9F">
        <w:rPr>
          <w:rFonts w:ascii="Times" w:hAnsi="Times"/>
        </w:rPr>
        <w:t xml:space="preserve">reflected in the Lisbon and </w:t>
      </w:r>
      <w:r w:rsidR="00505BAD">
        <w:rPr>
          <w:rFonts w:ascii="Times" w:hAnsi="Times"/>
        </w:rPr>
        <w:t xml:space="preserve">more </w:t>
      </w:r>
      <w:r w:rsidR="00B52E9F">
        <w:rPr>
          <w:rFonts w:ascii="Times" w:hAnsi="Times"/>
        </w:rPr>
        <w:t xml:space="preserve">recently Europe 2020 Agendas to design a regime in which </w:t>
      </w:r>
      <w:r w:rsidR="00A3225E">
        <w:rPr>
          <w:rFonts w:ascii="Times" w:hAnsi="Times"/>
        </w:rPr>
        <w:t>it</w:t>
      </w:r>
      <w:r w:rsidR="00B52E9F">
        <w:rPr>
          <w:rFonts w:ascii="Times" w:hAnsi="Times"/>
        </w:rPr>
        <w:t xml:space="preserve"> </w:t>
      </w:r>
      <w:r w:rsidR="00FD6FA3">
        <w:rPr>
          <w:rFonts w:ascii="Times" w:hAnsi="Times"/>
        </w:rPr>
        <w:t xml:space="preserve">enjoys </w:t>
      </w:r>
      <w:r w:rsidR="008F2418">
        <w:rPr>
          <w:rFonts w:ascii="Times" w:hAnsi="Times"/>
        </w:rPr>
        <w:t>greater powers</w:t>
      </w:r>
      <w:r w:rsidR="0059021E">
        <w:rPr>
          <w:rFonts w:ascii="Times" w:hAnsi="Times"/>
        </w:rPr>
        <w:t xml:space="preserve"> (see also </w:t>
      </w:r>
      <w:r w:rsidR="0059021E" w:rsidRPr="00964A1C">
        <w:rPr>
          <w:rFonts w:ascii="Times" w:hAnsi="Times"/>
        </w:rPr>
        <w:t>Riley, 2003; Maher 2009)</w:t>
      </w:r>
      <w:r w:rsidR="008F2418" w:rsidRPr="00964A1C">
        <w:rPr>
          <w:rFonts w:ascii="Times" w:hAnsi="Times"/>
        </w:rPr>
        <w:t xml:space="preserve">. </w:t>
      </w:r>
      <w:r w:rsidR="006C522D" w:rsidRPr="00964A1C">
        <w:rPr>
          <w:rFonts w:ascii="Times" w:hAnsi="Times"/>
        </w:rPr>
        <w:t>Similarly</w:t>
      </w:r>
      <w:r w:rsidR="006C522D">
        <w:rPr>
          <w:rFonts w:ascii="Times" w:hAnsi="Times"/>
        </w:rPr>
        <w:t xml:space="preserve">, multi-level governance approaches </w:t>
      </w:r>
      <w:r w:rsidR="00166548">
        <w:rPr>
          <w:rFonts w:ascii="Times" w:hAnsi="Times"/>
        </w:rPr>
        <w:t>conclude</w:t>
      </w:r>
      <w:r w:rsidR="0094690E">
        <w:rPr>
          <w:rFonts w:ascii="Times" w:hAnsi="Times"/>
        </w:rPr>
        <w:t xml:space="preserve"> that the </w:t>
      </w:r>
      <w:r w:rsidR="00305065">
        <w:rPr>
          <w:rFonts w:ascii="Times" w:hAnsi="Times"/>
        </w:rPr>
        <w:t xml:space="preserve">increasing </w:t>
      </w:r>
      <w:r w:rsidR="0094690E">
        <w:rPr>
          <w:rFonts w:ascii="Times" w:hAnsi="Times"/>
        </w:rPr>
        <w:t xml:space="preserve">reliance on network governance after </w:t>
      </w:r>
      <w:r w:rsidR="00305065">
        <w:rPr>
          <w:rFonts w:ascii="Times" w:hAnsi="Times"/>
        </w:rPr>
        <w:t xml:space="preserve">the reforms </w:t>
      </w:r>
      <w:r w:rsidR="00505BAD">
        <w:rPr>
          <w:rFonts w:ascii="Times" w:hAnsi="Times"/>
        </w:rPr>
        <w:t>render</w:t>
      </w:r>
      <w:r w:rsidR="00305065">
        <w:rPr>
          <w:rFonts w:ascii="Times" w:hAnsi="Times"/>
        </w:rPr>
        <w:t xml:space="preserve"> Union competition law </w:t>
      </w:r>
      <w:r w:rsidR="00F27A3D">
        <w:rPr>
          <w:rFonts w:ascii="Times" w:hAnsi="Times"/>
        </w:rPr>
        <w:t>vulnerable to legitimacy problems</w:t>
      </w:r>
      <w:r w:rsidR="00F003E7">
        <w:rPr>
          <w:rFonts w:ascii="Times" w:hAnsi="Times"/>
        </w:rPr>
        <w:t xml:space="preserve"> (Cengiz, 2010)</w:t>
      </w:r>
      <w:r w:rsidR="00F27A3D">
        <w:rPr>
          <w:rFonts w:ascii="Times" w:hAnsi="Times"/>
        </w:rPr>
        <w:t>.</w:t>
      </w:r>
      <w:r w:rsidR="00481F79">
        <w:rPr>
          <w:rFonts w:ascii="Times" w:hAnsi="Times"/>
        </w:rPr>
        <w:t xml:space="preserve"> </w:t>
      </w:r>
      <w:r w:rsidR="00A80959">
        <w:rPr>
          <w:rFonts w:ascii="Times" w:hAnsi="Times"/>
        </w:rPr>
        <w:t xml:space="preserve">Nevertheless, </w:t>
      </w:r>
      <w:r w:rsidR="00047393">
        <w:rPr>
          <w:rFonts w:ascii="Times" w:hAnsi="Times"/>
        </w:rPr>
        <w:t xml:space="preserve">the democratic qualities of the reform </w:t>
      </w:r>
      <w:r w:rsidR="00047393" w:rsidRPr="00964A1C">
        <w:rPr>
          <w:rFonts w:ascii="Times" w:hAnsi="Times"/>
        </w:rPr>
        <w:t xml:space="preserve">process have not been investigated holistically. This is the primary aim of this article. </w:t>
      </w:r>
      <w:r w:rsidR="00ED26DD" w:rsidRPr="00964A1C">
        <w:rPr>
          <w:rFonts w:ascii="Times" w:hAnsi="Times"/>
        </w:rPr>
        <w:t xml:space="preserve">The article does not engage with the European Competition Network (ECN) and its policymaking and implementation methods, as these </w:t>
      </w:r>
      <w:r w:rsidR="00FE1FCA" w:rsidRPr="00964A1C">
        <w:rPr>
          <w:rFonts w:ascii="Times" w:hAnsi="Times"/>
        </w:rPr>
        <w:t>issues</w:t>
      </w:r>
      <w:r w:rsidR="00ED26DD" w:rsidRPr="00964A1C">
        <w:rPr>
          <w:rFonts w:ascii="Times" w:hAnsi="Times"/>
        </w:rPr>
        <w:t xml:space="preserve"> have been investigated elsewhere (e.g. Cengiz 2010 and 2013).</w:t>
      </w:r>
      <w:r w:rsidR="00BB5748" w:rsidRPr="00964A1C">
        <w:rPr>
          <w:rFonts w:ascii="Times" w:hAnsi="Times"/>
        </w:rPr>
        <w:t xml:space="preserve"> </w:t>
      </w:r>
      <w:r w:rsidR="007D3AD7" w:rsidRPr="00964A1C">
        <w:rPr>
          <w:rFonts w:ascii="Times" w:hAnsi="Times"/>
        </w:rPr>
        <w:t xml:space="preserve">Nor does the article analyse the substance of the legal reforms, as an abundant legal literature on the modernisation of competition rules already exists (see Chirita 2014 for a review of this literature). </w:t>
      </w:r>
      <w:r w:rsidR="00ED0595" w:rsidRPr="00964A1C">
        <w:rPr>
          <w:rFonts w:ascii="Times" w:hAnsi="Times"/>
        </w:rPr>
        <w:t>Th</w:t>
      </w:r>
      <w:r w:rsidR="005B15DB" w:rsidRPr="00964A1C">
        <w:rPr>
          <w:rFonts w:ascii="Times" w:hAnsi="Times"/>
        </w:rPr>
        <w:t>e</w:t>
      </w:r>
      <w:r w:rsidR="005B15DB">
        <w:rPr>
          <w:rFonts w:ascii="Times" w:hAnsi="Times"/>
        </w:rPr>
        <w:t xml:space="preserve"> question that this article aims to answer is: </w:t>
      </w:r>
      <w:r w:rsidR="00912D9F">
        <w:rPr>
          <w:rFonts w:ascii="Times" w:hAnsi="Times"/>
        </w:rPr>
        <w:t>Union competition law prides itself with protecting consumer welfare,</w:t>
      </w:r>
      <w:r w:rsidR="00604BEE">
        <w:rPr>
          <w:rFonts w:ascii="Times" w:hAnsi="Times"/>
        </w:rPr>
        <w:t xml:space="preserve"> but </w:t>
      </w:r>
      <w:r w:rsidR="003D7B9E">
        <w:rPr>
          <w:rFonts w:ascii="Times" w:hAnsi="Times"/>
        </w:rPr>
        <w:t xml:space="preserve">what </w:t>
      </w:r>
      <w:r w:rsidR="00604BEE">
        <w:rPr>
          <w:rFonts w:ascii="Times" w:hAnsi="Times"/>
        </w:rPr>
        <w:t>kind of role (if any) do</w:t>
      </w:r>
      <w:r w:rsidR="003D7B9E">
        <w:rPr>
          <w:rFonts w:ascii="Times" w:hAnsi="Times"/>
        </w:rPr>
        <w:t xml:space="preserve"> consumers, or citizens in general, </w:t>
      </w:r>
      <w:r w:rsidR="00604BEE">
        <w:rPr>
          <w:rFonts w:ascii="Times" w:hAnsi="Times"/>
        </w:rPr>
        <w:t xml:space="preserve">play </w:t>
      </w:r>
      <w:r w:rsidR="003D7B9E">
        <w:rPr>
          <w:rFonts w:ascii="Times" w:hAnsi="Times"/>
        </w:rPr>
        <w:t>in the making of competition rules?</w:t>
      </w:r>
    </w:p>
    <w:p w14:paraId="19E1304F" w14:textId="77777777" w:rsidR="00680B8E" w:rsidRDefault="00680B8E" w:rsidP="002249E1">
      <w:pPr>
        <w:spacing w:line="480" w:lineRule="auto"/>
        <w:jc w:val="both"/>
        <w:rPr>
          <w:rFonts w:ascii="Times" w:hAnsi="Times"/>
        </w:rPr>
      </w:pPr>
    </w:p>
    <w:p w14:paraId="3C57DDE7" w14:textId="77777777" w:rsidR="000C2F53" w:rsidRDefault="0019617D" w:rsidP="000C2F53">
      <w:pPr>
        <w:spacing w:line="480" w:lineRule="auto"/>
        <w:jc w:val="both"/>
        <w:rPr>
          <w:rFonts w:ascii="Times" w:hAnsi="Times"/>
        </w:rPr>
      </w:pPr>
      <w:r>
        <w:rPr>
          <w:rFonts w:ascii="Times" w:hAnsi="Times"/>
        </w:rPr>
        <w:t xml:space="preserve">The article discusses the </w:t>
      </w:r>
      <w:r w:rsidR="00F54E1A">
        <w:rPr>
          <w:rFonts w:ascii="Times" w:hAnsi="Times"/>
        </w:rPr>
        <w:t xml:space="preserve">reforms’ </w:t>
      </w:r>
      <w:r w:rsidR="00D40226">
        <w:rPr>
          <w:rFonts w:ascii="Times" w:hAnsi="Times"/>
        </w:rPr>
        <w:t>‘</w:t>
      </w:r>
      <w:r w:rsidR="00F54E1A">
        <w:rPr>
          <w:rFonts w:ascii="Times" w:hAnsi="Times"/>
        </w:rPr>
        <w:t>moral legitimacy</w:t>
      </w:r>
      <w:r w:rsidR="00D40226">
        <w:rPr>
          <w:rFonts w:ascii="Times" w:hAnsi="Times"/>
        </w:rPr>
        <w:t>’</w:t>
      </w:r>
      <w:r w:rsidR="00F54E1A">
        <w:rPr>
          <w:rFonts w:ascii="Times" w:hAnsi="Times"/>
        </w:rPr>
        <w:t xml:space="preserve"> (</w:t>
      </w:r>
      <w:r w:rsidR="00C95436">
        <w:rPr>
          <w:rFonts w:ascii="Times" w:hAnsi="Times"/>
        </w:rPr>
        <w:t>‘output legitimacy’, i.e. the reforms’</w:t>
      </w:r>
      <w:r>
        <w:rPr>
          <w:rFonts w:ascii="Times" w:hAnsi="Times"/>
        </w:rPr>
        <w:t xml:space="preserve"> resonance with public interest) </w:t>
      </w:r>
      <w:r w:rsidR="00E10B61">
        <w:rPr>
          <w:rFonts w:ascii="Times" w:hAnsi="Times"/>
        </w:rPr>
        <w:t>as well as</w:t>
      </w:r>
      <w:r>
        <w:rPr>
          <w:rFonts w:ascii="Times" w:hAnsi="Times"/>
        </w:rPr>
        <w:t xml:space="preserve"> th</w:t>
      </w:r>
      <w:r w:rsidR="00F54E1A">
        <w:rPr>
          <w:rFonts w:ascii="Times" w:hAnsi="Times"/>
        </w:rPr>
        <w:t xml:space="preserve">eir </w:t>
      </w:r>
      <w:r w:rsidR="005A575D">
        <w:rPr>
          <w:rFonts w:ascii="Times" w:hAnsi="Times"/>
        </w:rPr>
        <w:t>‘</w:t>
      </w:r>
      <w:r w:rsidR="00F54E1A">
        <w:rPr>
          <w:rFonts w:ascii="Times" w:hAnsi="Times"/>
        </w:rPr>
        <w:t>procedural legitimacy</w:t>
      </w:r>
      <w:r w:rsidR="005A575D">
        <w:rPr>
          <w:rFonts w:ascii="Times" w:hAnsi="Times"/>
        </w:rPr>
        <w:t>’</w:t>
      </w:r>
      <w:r w:rsidR="00F54E1A">
        <w:rPr>
          <w:rFonts w:ascii="Times" w:hAnsi="Times"/>
        </w:rPr>
        <w:t xml:space="preserve"> (</w:t>
      </w:r>
      <w:r w:rsidR="00134187">
        <w:rPr>
          <w:rFonts w:ascii="Times" w:hAnsi="Times"/>
        </w:rPr>
        <w:t xml:space="preserve">‘input legitimacy’, i.e. </w:t>
      </w:r>
      <w:r>
        <w:rPr>
          <w:rFonts w:ascii="Times" w:hAnsi="Times"/>
        </w:rPr>
        <w:t xml:space="preserve">citizen participation in the process). </w:t>
      </w:r>
      <w:r w:rsidR="000C2F53" w:rsidRPr="00964A1C">
        <w:rPr>
          <w:rFonts w:ascii="Times" w:hAnsi="Times"/>
        </w:rPr>
        <w:t>Against the background of extensive utilisation of multi-level governance methods and the absence of direct citizen participation, the article looks at the roles played by institutions responsible for deliberating for citizens at the EU level in the reform process, including consumer organisations, European Parliament and the Union Courts.</w:t>
      </w:r>
      <w:r w:rsidR="000C2F53">
        <w:rPr>
          <w:rFonts w:ascii="Times" w:hAnsi="Times"/>
        </w:rPr>
        <w:t xml:space="preserve"> In this, the article follows a discursive approach: it discusses whether the discourses provided by these institutions have been reflected on in the reform process. This discussion is informed by empirical research in the form of semi-structured interviews with two Commission officials and three members of Brussels-based consumer organisations (hereinafter ‘Brussels interviews’</w:t>
      </w:r>
      <w:r w:rsidR="000C2F53">
        <w:rPr>
          <w:rStyle w:val="EndnoteReference"/>
          <w:rFonts w:ascii="Times" w:hAnsi="Times"/>
        </w:rPr>
        <w:endnoteReference w:id="3"/>
      </w:r>
      <w:r w:rsidR="000C2F53">
        <w:rPr>
          <w:rFonts w:ascii="Times" w:hAnsi="Times"/>
        </w:rPr>
        <w:t xml:space="preserve">) and a discursive analysis of the European Parliament plenary debates. </w:t>
      </w:r>
    </w:p>
    <w:p w14:paraId="79D2284B" w14:textId="74CB7517" w:rsidR="0019617D" w:rsidRDefault="0019617D" w:rsidP="002249E1">
      <w:pPr>
        <w:spacing w:line="480" w:lineRule="auto"/>
        <w:jc w:val="both"/>
        <w:rPr>
          <w:rFonts w:ascii="Times" w:hAnsi="Times"/>
        </w:rPr>
      </w:pPr>
    </w:p>
    <w:p w14:paraId="5F800F3F" w14:textId="77777777" w:rsidR="00DC7881" w:rsidRDefault="00DC7881" w:rsidP="002249E1">
      <w:pPr>
        <w:spacing w:line="480" w:lineRule="auto"/>
        <w:jc w:val="both"/>
        <w:rPr>
          <w:rFonts w:ascii="Times" w:hAnsi="Times"/>
        </w:rPr>
      </w:pPr>
    </w:p>
    <w:p w14:paraId="6A7E256F" w14:textId="24AC892D" w:rsidR="00DC7881" w:rsidRDefault="006F6440" w:rsidP="002249E1">
      <w:pPr>
        <w:spacing w:line="480" w:lineRule="auto"/>
        <w:jc w:val="both"/>
        <w:rPr>
          <w:rFonts w:ascii="Times" w:hAnsi="Times"/>
        </w:rPr>
      </w:pPr>
      <w:r>
        <w:rPr>
          <w:rFonts w:ascii="Times" w:hAnsi="Times"/>
        </w:rPr>
        <w:t>As a result</w:t>
      </w:r>
      <w:r w:rsidR="008B0B5C">
        <w:rPr>
          <w:rFonts w:ascii="Times" w:hAnsi="Times"/>
        </w:rPr>
        <w:t>,</w:t>
      </w:r>
      <w:r>
        <w:rPr>
          <w:rFonts w:ascii="Times" w:hAnsi="Times"/>
        </w:rPr>
        <w:t xml:space="preserve"> it is argued here that the reforms</w:t>
      </w:r>
      <w:r w:rsidR="00C23526">
        <w:rPr>
          <w:rFonts w:ascii="Times" w:hAnsi="Times"/>
        </w:rPr>
        <w:t>’</w:t>
      </w:r>
      <w:r>
        <w:rPr>
          <w:rFonts w:ascii="Times" w:hAnsi="Times"/>
        </w:rPr>
        <w:t xml:space="preserve"> moral legitimacy is questionable, as it is </w:t>
      </w:r>
      <w:r w:rsidR="003F49E1">
        <w:rPr>
          <w:rFonts w:ascii="Times" w:hAnsi="Times"/>
        </w:rPr>
        <w:t>unclear</w:t>
      </w:r>
      <w:r>
        <w:rPr>
          <w:rFonts w:ascii="Times" w:hAnsi="Times"/>
        </w:rPr>
        <w:t xml:space="preserve"> whether the reformed rules serve public interest better than the previous status quo. </w:t>
      </w:r>
      <w:r w:rsidR="003041F5">
        <w:rPr>
          <w:rFonts w:ascii="Times" w:hAnsi="Times"/>
        </w:rPr>
        <w:t>Additionally</w:t>
      </w:r>
      <w:r w:rsidR="00DC7881">
        <w:rPr>
          <w:rFonts w:ascii="Times" w:hAnsi="Times"/>
        </w:rPr>
        <w:t xml:space="preserve">, </w:t>
      </w:r>
      <w:r w:rsidR="005C1359">
        <w:rPr>
          <w:rFonts w:ascii="Times" w:hAnsi="Times"/>
        </w:rPr>
        <w:t xml:space="preserve">institutions deliberating for citizens </w:t>
      </w:r>
      <w:r w:rsidR="00A83251">
        <w:rPr>
          <w:rFonts w:ascii="Times" w:hAnsi="Times"/>
        </w:rPr>
        <w:t xml:space="preserve">participated </w:t>
      </w:r>
      <w:r w:rsidR="00BD7D39">
        <w:rPr>
          <w:rFonts w:ascii="Times" w:hAnsi="Times"/>
        </w:rPr>
        <w:t>in</w:t>
      </w:r>
      <w:r w:rsidR="00390B3A">
        <w:rPr>
          <w:rFonts w:ascii="Times" w:hAnsi="Times"/>
        </w:rPr>
        <w:t xml:space="preserve"> the process only marginally </w:t>
      </w:r>
      <w:r w:rsidR="00390B3A" w:rsidRPr="00964A1C">
        <w:rPr>
          <w:rFonts w:ascii="Times" w:hAnsi="Times"/>
        </w:rPr>
        <w:t xml:space="preserve">for reasons including the </w:t>
      </w:r>
      <w:r w:rsidR="00BE475B" w:rsidRPr="00964A1C">
        <w:rPr>
          <w:rFonts w:ascii="Times" w:hAnsi="Times"/>
        </w:rPr>
        <w:t>increasingly technical nature of competition law in the light of the expert economic</w:t>
      </w:r>
      <w:r w:rsidR="00921915" w:rsidRPr="00964A1C">
        <w:rPr>
          <w:rFonts w:ascii="Times" w:hAnsi="Times"/>
        </w:rPr>
        <w:t>s discourse.</w:t>
      </w:r>
      <w:r w:rsidR="00BE475B">
        <w:rPr>
          <w:rFonts w:ascii="Times" w:hAnsi="Times"/>
        </w:rPr>
        <w:t xml:space="preserve"> </w:t>
      </w:r>
      <w:r w:rsidR="00921915">
        <w:rPr>
          <w:rFonts w:ascii="Times" w:hAnsi="Times"/>
        </w:rPr>
        <w:t xml:space="preserve">This overshadows the reforms’ input legitimacy. </w:t>
      </w:r>
      <w:r w:rsidR="00DC7881">
        <w:rPr>
          <w:rFonts w:ascii="Times" w:hAnsi="Times"/>
        </w:rPr>
        <w:t xml:space="preserve">Fundamentally, consumer organisations, European Parliament and Union Courts envision a multi-faceted competition regime that pursues multiple policy objectives including, </w:t>
      </w:r>
      <w:r w:rsidR="00DC7881" w:rsidRPr="0031069C">
        <w:rPr>
          <w:rFonts w:ascii="Times" w:hAnsi="Times"/>
          <w:i/>
        </w:rPr>
        <w:t>inter alia</w:t>
      </w:r>
      <w:r w:rsidR="00DC7881">
        <w:rPr>
          <w:rFonts w:ascii="Times" w:hAnsi="Times"/>
        </w:rPr>
        <w:t xml:space="preserve"> the </w:t>
      </w:r>
      <w:r w:rsidR="00BC0EA1" w:rsidRPr="00964A1C">
        <w:rPr>
          <w:rFonts w:ascii="Times" w:hAnsi="Times"/>
        </w:rPr>
        <w:t>internal market</w:t>
      </w:r>
      <w:r w:rsidR="00DC7881">
        <w:rPr>
          <w:rFonts w:ascii="Times" w:hAnsi="Times"/>
        </w:rPr>
        <w:t>, in contrast to the emergence of ‘consumer welfare’ as the dominant objective</w:t>
      </w:r>
      <w:r w:rsidR="00842F44">
        <w:rPr>
          <w:rFonts w:ascii="Times" w:hAnsi="Times"/>
        </w:rPr>
        <w:t xml:space="preserve"> of reforms</w:t>
      </w:r>
      <w:r w:rsidR="00DC7881">
        <w:rPr>
          <w:rFonts w:ascii="Times" w:hAnsi="Times"/>
        </w:rPr>
        <w:t>.</w:t>
      </w:r>
      <w:r w:rsidR="00B05E08">
        <w:rPr>
          <w:rFonts w:ascii="Times" w:hAnsi="Times"/>
        </w:rPr>
        <w:t xml:space="preserve"> </w:t>
      </w:r>
      <w:r w:rsidR="00ED5E3B" w:rsidRPr="00964A1C">
        <w:rPr>
          <w:rFonts w:ascii="Times" w:hAnsi="Times"/>
        </w:rPr>
        <w:t>I</w:t>
      </w:r>
      <w:r w:rsidR="00EF105D" w:rsidRPr="00964A1C">
        <w:rPr>
          <w:rFonts w:ascii="Times" w:hAnsi="Times"/>
        </w:rPr>
        <w:t xml:space="preserve">t is not suggested here that </w:t>
      </w:r>
      <w:r w:rsidR="00D95295" w:rsidRPr="00964A1C">
        <w:rPr>
          <w:rFonts w:ascii="Times" w:hAnsi="Times"/>
        </w:rPr>
        <w:t xml:space="preserve">competition law suffers from </w:t>
      </w:r>
      <w:r w:rsidR="00ED5E3B" w:rsidRPr="00964A1C">
        <w:rPr>
          <w:rFonts w:ascii="Times" w:hAnsi="Times"/>
        </w:rPr>
        <w:t>greater legitimacy problem</w:t>
      </w:r>
      <w:r w:rsidR="00D95295" w:rsidRPr="00964A1C">
        <w:rPr>
          <w:rFonts w:ascii="Times" w:hAnsi="Times"/>
        </w:rPr>
        <w:t>s</w:t>
      </w:r>
      <w:r w:rsidR="00ED5E3B" w:rsidRPr="00964A1C">
        <w:rPr>
          <w:rFonts w:ascii="Times" w:hAnsi="Times"/>
        </w:rPr>
        <w:t xml:space="preserve"> than other areas of European economic governance. </w:t>
      </w:r>
      <w:r w:rsidR="00CE6F26" w:rsidRPr="00964A1C">
        <w:rPr>
          <w:rFonts w:ascii="Times" w:hAnsi="Times"/>
        </w:rPr>
        <w:t xml:space="preserve">Nevertheless, competition stands as the only area related to internal market </w:t>
      </w:r>
      <w:r w:rsidR="00DA3AB5" w:rsidRPr="00964A1C">
        <w:rPr>
          <w:rFonts w:ascii="Times" w:hAnsi="Times"/>
        </w:rPr>
        <w:t xml:space="preserve">and </w:t>
      </w:r>
      <w:r w:rsidR="00CE6F26" w:rsidRPr="00964A1C">
        <w:rPr>
          <w:rFonts w:ascii="Times" w:hAnsi="Times"/>
        </w:rPr>
        <w:t xml:space="preserve">subject to exclusive </w:t>
      </w:r>
      <w:r w:rsidR="008C1EA1" w:rsidRPr="00964A1C">
        <w:rPr>
          <w:rFonts w:ascii="Times" w:hAnsi="Times"/>
        </w:rPr>
        <w:t xml:space="preserve">Union </w:t>
      </w:r>
      <w:r w:rsidR="00CE6F26" w:rsidRPr="00964A1C">
        <w:rPr>
          <w:rFonts w:ascii="Times" w:hAnsi="Times"/>
        </w:rPr>
        <w:t>competence in which the Parliament enjoys limited legislative powers</w:t>
      </w:r>
      <w:r w:rsidR="006B48AF" w:rsidRPr="00964A1C">
        <w:rPr>
          <w:rFonts w:ascii="Times" w:hAnsi="Times"/>
        </w:rPr>
        <w:t xml:space="preserve"> (Arts.3 and 103 TFEU)</w:t>
      </w:r>
      <w:r w:rsidR="00CE6F26" w:rsidRPr="00964A1C">
        <w:rPr>
          <w:rFonts w:ascii="Times" w:hAnsi="Times"/>
        </w:rPr>
        <w:t>. This renders the input legitimacy problems of compet</w:t>
      </w:r>
      <w:r w:rsidR="00F27B3B" w:rsidRPr="00964A1C">
        <w:rPr>
          <w:rFonts w:ascii="Times" w:hAnsi="Times"/>
        </w:rPr>
        <w:t>ition more acute compared with other pillars of the internal market.</w:t>
      </w:r>
    </w:p>
    <w:p w14:paraId="06652130" w14:textId="77777777" w:rsidR="008727F0" w:rsidRDefault="008727F0" w:rsidP="002249E1">
      <w:pPr>
        <w:spacing w:line="480" w:lineRule="auto"/>
        <w:jc w:val="both"/>
        <w:rPr>
          <w:rFonts w:ascii="Times" w:hAnsi="Times"/>
        </w:rPr>
      </w:pPr>
    </w:p>
    <w:p w14:paraId="4461B0F8" w14:textId="1A248E36" w:rsidR="00E87124" w:rsidRDefault="008727F0" w:rsidP="002249E1">
      <w:pPr>
        <w:spacing w:line="480" w:lineRule="auto"/>
        <w:jc w:val="both"/>
        <w:rPr>
          <w:rFonts w:ascii="Times" w:hAnsi="Times"/>
        </w:rPr>
      </w:pPr>
      <w:r>
        <w:rPr>
          <w:rFonts w:ascii="Times" w:hAnsi="Times"/>
        </w:rPr>
        <w:t>Since competition law constitute</w:t>
      </w:r>
      <w:r w:rsidR="002B033F">
        <w:rPr>
          <w:rFonts w:ascii="Times" w:hAnsi="Times"/>
        </w:rPr>
        <w:t>s</w:t>
      </w:r>
      <w:r>
        <w:rPr>
          <w:rFonts w:ascii="Times" w:hAnsi="Times"/>
        </w:rPr>
        <w:t xml:space="preserve"> an essential pillar of </w:t>
      </w:r>
      <w:r w:rsidR="00F85949" w:rsidRPr="00964A1C">
        <w:rPr>
          <w:rFonts w:ascii="Times" w:hAnsi="Times"/>
        </w:rPr>
        <w:t>Union</w:t>
      </w:r>
      <w:r>
        <w:rPr>
          <w:rFonts w:ascii="Times" w:hAnsi="Times"/>
        </w:rPr>
        <w:t xml:space="preserve"> economic governance, the inquiry into the democratic qualities of policymaking in this field </w:t>
      </w:r>
      <w:r w:rsidR="0016056B">
        <w:rPr>
          <w:rFonts w:ascii="Times" w:hAnsi="Times"/>
        </w:rPr>
        <w:t>contributes to</w:t>
      </w:r>
      <w:r>
        <w:rPr>
          <w:rFonts w:ascii="Times" w:hAnsi="Times"/>
        </w:rPr>
        <w:t xml:space="preserve"> our understanding of legitimacy in </w:t>
      </w:r>
      <w:r w:rsidR="00F85949" w:rsidRPr="00964A1C">
        <w:rPr>
          <w:rFonts w:ascii="Times" w:hAnsi="Times"/>
        </w:rPr>
        <w:t>Union</w:t>
      </w:r>
      <w:r>
        <w:rPr>
          <w:rFonts w:ascii="Times" w:hAnsi="Times"/>
        </w:rPr>
        <w:t xml:space="preserve"> governance. </w:t>
      </w:r>
      <w:r w:rsidR="00A25DD3">
        <w:rPr>
          <w:rFonts w:ascii="Times" w:hAnsi="Times"/>
        </w:rPr>
        <w:t>Firstly</w:t>
      </w:r>
      <w:r w:rsidR="00CD7E8C">
        <w:rPr>
          <w:rFonts w:ascii="Times" w:hAnsi="Times"/>
        </w:rPr>
        <w:t xml:space="preserve"> and fundamentally</w:t>
      </w:r>
      <w:r w:rsidR="00B4505B">
        <w:rPr>
          <w:rFonts w:ascii="Times" w:hAnsi="Times"/>
        </w:rPr>
        <w:t xml:space="preserve">, as a result of the empirical </w:t>
      </w:r>
      <w:r w:rsidR="00365F2A">
        <w:rPr>
          <w:rFonts w:ascii="Times" w:hAnsi="Times"/>
        </w:rPr>
        <w:t>analysis of</w:t>
      </w:r>
      <w:r w:rsidR="00B4505B">
        <w:rPr>
          <w:rFonts w:ascii="Times" w:hAnsi="Times"/>
        </w:rPr>
        <w:t xml:space="preserve"> competition and based on the deliberative model</w:t>
      </w:r>
      <w:r w:rsidR="00065895">
        <w:rPr>
          <w:rFonts w:ascii="Times" w:hAnsi="Times"/>
        </w:rPr>
        <w:t xml:space="preserve">, this article questions </w:t>
      </w:r>
      <w:r w:rsidR="00B4505B">
        <w:rPr>
          <w:rFonts w:ascii="Times" w:hAnsi="Times"/>
        </w:rPr>
        <w:t xml:space="preserve">the procedural (input) legitimacy – moral (output) legitimacy dichotomy, which has become an established analytical framework for </w:t>
      </w:r>
      <w:r w:rsidR="00A0448B">
        <w:rPr>
          <w:rFonts w:ascii="Times" w:hAnsi="Times"/>
        </w:rPr>
        <w:t xml:space="preserve">understanding legitimacy in Union’s governance. </w:t>
      </w:r>
      <w:r w:rsidR="00860FB0">
        <w:rPr>
          <w:rFonts w:ascii="Times" w:hAnsi="Times"/>
        </w:rPr>
        <w:t xml:space="preserve">The question posed here is: </w:t>
      </w:r>
      <w:r w:rsidR="00B4505B">
        <w:rPr>
          <w:rFonts w:ascii="Times" w:hAnsi="Times"/>
        </w:rPr>
        <w:t xml:space="preserve">if citizens are the primary sources of information with regard to policies’ effects on their welfare, yet if non-quantifiable discourses provided by them or institutions that deliberate for them are excluded from the policymaking processes, can policies adopted in the end realistically resonate with public interest? In other words, </w:t>
      </w:r>
      <w:r w:rsidR="00B4505B" w:rsidRPr="00484898">
        <w:rPr>
          <w:rFonts w:ascii="Times" w:hAnsi="Times"/>
          <w:i/>
        </w:rPr>
        <w:t xml:space="preserve">can moral (output) legitimacy be achieved in the </w:t>
      </w:r>
      <w:r w:rsidR="006B1F36" w:rsidRPr="00484898">
        <w:rPr>
          <w:rFonts w:ascii="Times" w:hAnsi="Times"/>
          <w:i/>
        </w:rPr>
        <w:t>absence</w:t>
      </w:r>
      <w:r w:rsidR="00B4505B" w:rsidRPr="00484898">
        <w:rPr>
          <w:rFonts w:ascii="Times" w:hAnsi="Times"/>
          <w:i/>
        </w:rPr>
        <w:t xml:space="preserve"> of procedural (input) legitimacy</w:t>
      </w:r>
      <w:r w:rsidR="00B4505B">
        <w:rPr>
          <w:rFonts w:ascii="Times" w:hAnsi="Times"/>
        </w:rPr>
        <w:t xml:space="preserve">? </w:t>
      </w:r>
      <w:r w:rsidR="00484898">
        <w:rPr>
          <w:rFonts w:ascii="Times" w:hAnsi="Times"/>
        </w:rPr>
        <w:t>E</w:t>
      </w:r>
      <w:r w:rsidR="00B12029">
        <w:rPr>
          <w:rFonts w:ascii="Times" w:hAnsi="Times"/>
        </w:rPr>
        <w:t xml:space="preserve">mpirical analysis </w:t>
      </w:r>
      <w:r w:rsidR="00484898">
        <w:rPr>
          <w:rFonts w:ascii="Times" w:hAnsi="Times"/>
        </w:rPr>
        <w:t xml:space="preserve">of competition </w:t>
      </w:r>
      <w:r w:rsidR="00E355D9">
        <w:rPr>
          <w:rFonts w:ascii="Times" w:hAnsi="Times"/>
        </w:rPr>
        <w:t xml:space="preserve">illustrates that </w:t>
      </w:r>
      <w:r w:rsidR="00DE1ADB">
        <w:rPr>
          <w:rFonts w:ascii="Times" w:hAnsi="Times"/>
        </w:rPr>
        <w:t>expert policymaking in the absence of citizen participation does not necessarily result in policies resonating with public interest</w:t>
      </w:r>
      <w:r w:rsidR="00BE63A6">
        <w:rPr>
          <w:rFonts w:ascii="Times" w:hAnsi="Times"/>
        </w:rPr>
        <w:t xml:space="preserve">. </w:t>
      </w:r>
      <w:r w:rsidR="00094302">
        <w:rPr>
          <w:rFonts w:ascii="Times" w:hAnsi="Times"/>
        </w:rPr>
        <w:t>In the light of this finding</w:t>
      </w:r>
      <w:r w:rsidR="002825E4">
        <w:rPr>
          <w:rFonts w:ascii="Times" w:hAnsi="Times"/>
        </w:rPr>
        <w:t>,</w:t>
      </w:r>
      <w:r w:rsidR="00094302">
        <w:rPr>
          <w:rFonts w:ascii="Times" w:hAnsi="Times"/>
        </w:rPr>
        <w:t xml:space="preserve"> the input le</w:t>
      </w:r>
      <w:r w:rsidR="00133D72">
        <w:rPr>
          <w:rFonts w:ascii="Times" w:hAnsi="Times"/>
        </w:rPr>
        <w:t xml:space="preserve">gitimacy deficit of Union </w:t>
      </w:r>
      <w:r w:rsidR="00094302">
        <w:rPr>
          <w:rFonts w:ascii="Times" w:hAnsi="Times"/>
        </w:rPr>
        <w:t xml:space="preserve">governance appears more acute. </w:t>
      </w:r>
      <w:r w:rsidR="005236AC">
        <w:rPr>
          <w:rFonts w:ascii="Times" w:hAnsi="Times"/>
        </w:rPr>
        <w:t xml:space="preserve">This deficit cannot be assumed away with the </w:t>
      </w:r>
      <w:r w:rsidR="001F7FC4">
        <w:rPr>
          <w:rFonts w:ascii="Times" w:hAnsi="Times"/>
        </w:rPr>
        <w:t>promise</w:t>
      </w:r>
      <w:r w:rsidR="005236AC">
        <w:rPr>
          <w:rFonts w:ascii="Times" w:hAnsi="Times"/>
        </w:rPr>
        <w:t xml:space="preserve"> that expert policymaking processes will eventually result in policies </w:t>
      </w:r>
      <w:r w:rsidR="006B1F36">
        <w:rPr>
          <w:rFonts w:ascii="Times" w:hAnsi="Times"/>
        </w:rPr>
        <w:t>resonating with public interest</w:t>
      </w:r>
      <w:r w:rsidR="005236AC">
        <w:rPr>
          <w:rFonts w:ascii="Times" w:hAnsi="Times"/>
        </w:rPr>
        <w:t xml:space="preserve">. </w:t>
      </w:r>
      <w:r w:rsidR="00E87124">
        <w:rPr>
          <w:rFonts w:ascii="Times" w:hAnsi="Times"/>
        </w:rPr>
        <w:t xml:space="preserve">Thus, </w:t>
      </w:r>
      <w:r w:rsidR="00FC7242">
        <w:rPr>
          <w:rFonts w:ascii="Times" w:hAnsi="Times"/>
        </w:rPr>
        <w:t xml:space="preserve">in order to improve legitimacy of multi-level governance, one needs to follow a holistic approach </w:t>
      </w:r>
      <w:r w:rsidR="00950D24">
        <w:rPr>
          <w:rFonts w:ascii="Times" w:hAnsi="Times"/>
        </w:rPr>
        <w:t>that</w:t>
      </w:r>
      <w:r w:rsidR="0054589E">
        <w:rPr>
          <w:rFonts w:ascii="Times" w:hAnsi="Times"/>
        </w:rPr>
        <w:t xml:space="preserve"> perceive</w:t>
      </w:r>
      <w:r w:rsidR="00950D24">
        <w:rPr>
          <w:rFonts w:ascii="Times" w:hAnsi="Times"/>
        </w:rPr>
        <w:t>s</w:t>
      </w:r>
      <w:r w:rsidR="0054589E">
        <w:rPr>
          <w:rFonts w:ascii="Times" w:hAnsi="Times"/>
        </w:rPr>
        <w:t xml:space="preserve"> </w:t>
      </w:r>
      <w:r w:rsidR="0054589E" w:rsidRPr="00843D72">
        <w:rPr>
          <w:rFonts w:ascii="Times" w:hAnsi="Times"/>
          <w:i/>
        </w:rPr>
        <w:t>input and output legitimacy as</w:t>
      </w:r>
      <w:r w:rsidR="0054589E">
        <w:rPr>
          <w:rFonts w:ascii="Times" w:hAnsi="Times"/>
        </w:rPr>
        <w:t xml:space="preserve"> </w:t>
      </w:r>
      <w:r w:rsidR="0054589E" w:rsidRPr="0008000D">
        <w:rPr>
          <w:rFonts w:ascii="Times" w:hAnsi="Times"/>
          <w:i/>
        </w:rPr>
        <w:t xml:space="preserve">complementary and cumulative </w:t>
      </w:r>
      <w:r w:rsidR="00B33EB7" w:rsidRPr="0008000D">
        <w:rPr>
          <w:rFonts w:ascii="Times" w:hAnsi="Times"/>
          <w:i/>
        </w:rPr>
        <w:t>conditions</w:t>
      </w:r>
      <w:r w:rsidR="0054589E">
        <w:rPr>
          <w:rFonts w:ascii="Times" w:hAnsi="Times"/>
        </w:rPr>
        <w:t xml:space="preserve">, </w:t>
      </w:r>
      <w:r w:rsidR="0054589E" w:rsidRPr="0008000D">
        <w:rPr>
          <w:rFonts w:ascii="Times" w:hAnsi="Times"/>
          <w:i/>
        </w:rPr>
        <w:t>rather than alternatives</w:t>
      </w:r>
      <w:r w:rsidR="001A5D6A">
        <w:rPr>
          <w:rFonts w:ascii="Times" w:hAnsi="Times"/>
        </w:rPr>
        <w:t>.</w:t>
      </w:r>
    </w:p>
    <w:p w14:paraId="0A0BF702" w14:textId="77777777" w:rsidR="00E87124" w:rsidRDefault="00E87124" w:rsidP="002249E1">
      <w:pPr>
        <w:spacing w:line="480" w:lineRule="auto"/>
        <w:jc w:val="both"/>
        <w:rPr>
          <w:rFonts w:ascii="Times" w:hAnsi="Times"/>
        </w:rPr>
      </w:pPr>
    </w:p>
    <w:p w14:paraId="2A33B62E" w14:textId="1F557579" w:rsidR="00C02640" w:rsidRDefault="00A96A03" w:rsidP="002249E1">
      <w:pPr>
        <w:spacing w:line="480" w:lineRule="auto"/>
        <w:jc w:val="both"/>
        <w:rPr>
          <w:rFonts w:ascii="Times" w:hAnsi="Times"/>
        </w:rPr>
      </w:pPr>
      <w:r>
        <w:rPr>
          <w:rFonts w:ascii="Times" w:hAnsi="Times"/>
        </w:rPr>
        <w:t xml:space="preserve">Secondly, </w:t>
      </w:r>
      <w:r w:rsidR="009C46AE">
        <w:rPr>
          <w:rFonts w:ascii="Times" w:hAnsi="Times"/>
        </w:rPr>
        <w:t xml:space="preserve">in the light of the discursive analysis of competition law, inaccessible expert discourses appear as the most immediate reason for </w:t>
      </w:r>
      <w:r w:rsidR="00D44CF8">
        <w:rPr>
          <w:rFonts w:ascii="Times" w:hAnsi="Times"/>
        </w:rPr>
        <w:t>the weakness</w:t>
      </w:r>
      <w:r w:rsidR="00C340DA">
        <w:rPr>
          <w:rFonts w:ascii="Times" w:hAnsi="Times"/>
        </w:rPr>
        <w:t>es</w:t>
      </w:r>
      <w:r w:rsidR="00D44CF8">
        <w:rPr>
          <w:rFonts w:ascii="Times" w:hAnsi="Times"/>
        </w:rPr>
        <w:t xml:space="preserve"> of citize</w:t>
      </w:r>
      <w:r w:rsidR="008E4248">
        <w:rPr>
          <w:rFonts w:ascii="Times" w:hAnsi="Times"/>
        </w:rPr>
        <w:t>n participation in</w:t>
      </w:r>
      <w:r w:rsidR="00D44CF8">
        <w:rPr>
          <w:rFonts w:ascii="Times" w:hAnsi="Times"/>
        </w:rPr>
        <w:t xml:space="preserve"> </w:t>
      </w:r>
      <w:r w:rsidR="008E4248">
        <w:rPr>
          <w:rFonts w:ascii="Times" w:hAnsi="Times"/>
        </w:rPr>
        <w:t xml:space="preserve">policy networks which otherwise have promising qualities as </w:t>
      </w:r>
      <w:r w:rsidR="006B1F36">
        <w:rPr>
          <w:rFonts w:ascii="Times" w:hAnsi="Times"/>
        </w:rPr>
        <w:t xml:space="preserve">deliberative forums. </w:t>
      </w:r>
      <w:r w:rsidR="007D2E22">
        <w:rPr>
          <w:rFonts w:ascii="Times" w:hAnsi="Times"/>
        </w:rPr>
        <w:t>This is not to deny that</w:t>
      </w:r>
      <w:r w:rsidR="006B1F36">
        <w:rPr>
          <w:rFonts w:ascii="Times" w:hAnsi="Times"/>
        </w:rPr>
        <w:t xml:space="preserve"> expertise has a substantial role to play in t</w:t>
      </w:r>
      <w:r w:rsidR="007D2E22">
        <w:rPr>
          <w:rFonts w:ascii="Times" w:hAnsi="Times"/>
        </w:rPr>
        <w:t xml:space="preserve">he design of effective policies. </w:t>
      </w:r>
      <w:r w:rsidR="006B1F36">
        <w:rPr>
          <w:rFonts w:ascii="Times" w:hAnsi="Times"/>
        </w:rPr>
        <w:t xml:space="preserve">Thus, </w:t>
      </w:r>
      <w:r w:rsidR="00C02640">
        <w:rPr>
          <w:rFonts w:ascii="Times" w:hAnsi="Times"/>
        </w:rPr>
        <w:t>to improve the democratic qualities of network governance, first and foremost, inaccessible expert discourses should be complemented with accessible citizen friendly ones.</w:t>
      </w:r>
      <w:r w:rsidR="00A60F4A">
        <w:rPr>
          <w:rFonts w:ascii="Times" w:hAnsi="Times"/>
        </w:rPr>
        <w:t xml:space="preserve"> </w:t>
      </w:r>
      <w:r w:rsidR="00F33564" w:rsidRPr="00964A1C">
        <w:rPr>
          <w:rFonts w:ascii="Times" w:hAnsi="Times"/>
        </w:rPr>
        <w:t>T</w:t>
      </w:r>
      <w:r w:rsidR="00E60C7B" w:rsidRPr="00964A1C">
        <w:rPr>
          <w:rFonts w:ascii="Times" w:hAnsi="Times"/>
        </w:rPr>
        <w:t xml:space="preserve">his article does not offer a panacea to the legitimacy problems discussed. </w:t>
      </w:r>
      <w:r w:rsidR="00CA579A" w:rsidRPr="00964A1C">
        <w:rPr>
          <w:rFonts w:ascii="Times" w:hAnsi="Times"/>
        </w:rPr>
        <w:t xml:space="preserve">Ideally, legitimacy problems of multi-level governance should be addressed by establishing multi-level deliberative networks and mini-publics that feed directly into the multi-level policymaking processes. </w:t>
      </w:r>
      <w:r w:rsidR="00DA0147" w:rsidRPr="00964A1C">
        <w:rPr>
          <w:rFonts w:ascii="Times" w:hAnsi="Times"/>
        </w:rPr>
        <w:t>T</w:t>
      </w:r>
      <w:r w:rsidR="00CA579A" w:rsidRPr="00964A1C">
        <w:rPr>
          <w:rFonts w:ascii="Times" w:hAnsi="Times"/>
        </w:rPr>
        <w:t>he discussion of the modalities and structure of such deliberative networks is left for future research.</w:t>
      </w:r>
    </w:p>
    <w:p w14:paraId="0E60B558" w14:textId="77777777" w:rsidR="0019617D" w:rsidRDefault="0019617D" w:rsidP="002249E1">
      <w:pPr>
        <w:spacing w:line="480" w:lineRule="auto"/>
        <w:jc w:val="both"/>
        <w:rPr>
          <w:rFonts w:ascii="Times" w:hAnsi="Times"/>
        </w:rPr>
      </w:pPr>
    </w:p>
    <w:p w14:paraId="72606BBE" w14:textId="0A0FE2BA" w:rsidR="00635762" w:rsidRDefault="003D3F8D" w:rsidP="002249E1">
      <w:pPr>
        <w:spacing w:line="480" w:lineRule="auto"/>
        <w:jc w:val="both"/>
        <w:rPr>
          <w:rFonts w:ascii="Times" w:hAnsi="Times"/>
        </w:rPr>
      </w:pPr>
      <w:r>
        <w:rPr>
          <w:rFonts w:ascii="Times" w:hAnsi="Times"/>
        </w:rPr>
        <w:t xml:space="preserve">The structure of the article is as follows: </w:t>
      </w:r>
      <w:r w:rsidR="006A4815">
        <w:rPr>
          <w:rFonts w:ascii="Times" w:hAnsi="Times"/>
        </w:rPr>
        <w:t>next section</w:t>
      </w:r>
      <w:r w:rsidR="00AA1DB7">
        <w:rPr>
          <w:rFonts w:ascii="Times" w:hAnsi="Times"/>
        </w:rPr>
        <w:t xml:space="preserve"> </w:t>
      </w:r>
      <w:r w:rsidR="00D56B95">
        <w:rPr>
          <w:rFonts w:ascii="Times" w:hAnsi="Times"/>
        </w:rPr>
        <w:t>discusses</w:t>
      </w:r>
      <w:r w:rsidR="00AA1DB7">
        <w:rPr>
          <w:rFonts w:ascii="Times" w:hAnsi="Times"/>
        </w:rPr>
        <w:t xml:space="preserve"> </w:t>
      </w:r>
      <w:r w:rsidR="004F37EE">
        <w:rPr>
          <w:rFonts w:ascii="Times" w:hAnsi="Times"/>
        </w:rPr>
        <w:t xml:space="preserve">the </w:t>
      </w:r>
      <w:r w:rsidR="0019617D">
        <w:rPr>
          <w:rFonts w:ascii="Times" w:hAnsi="Times"/>
        </w:rPr>
        <w:t xml:space="preserve">moral and procedural legitimacy of </w:t>
      </w:r>
      <w:r w:rsidR="004F37EE">
        <w:rPr>
          <w:rFonts w:ascii="Times" w:hAnsi="Times"/>
        </w:rPr>
        <w:t>Union</w:t>
      </w:r>
      <w:r w:rsidR="0019617D">
        <w:rPr>
          <w:rFonts w:ascii="Times" w:hAnsi="Times"/>
        </w:rPr>
        <w:t xml:space="preserve"> governance in the light of liberal, republican and deliberative models. </w:t>
      </w:r>
      <w:r w:rsidR="00D56B95">
        <w:rPr>
          <w:rFonts w:ascii="Times" w:hAnsi="Times"/>
        </w:rPr>
        <w:t xml:space="preserve">Then, the penultimate section discusses </w:t>
      </w:r>
      <w:r w:rsidR="00A66715">
        <w:rPr>
          <w:rFonts w:ascii="Times" w:hAnsi="Times"/>
        </w:rPr>
        <w:t xml:space="preserve">respectively </w:t>
      </w:r>
      <w:r w:rsidR="00D56B95">
        <w:rPr>
          <w:rFonts w:ascii="Times" w:hAnsi="Times"/>
        </w:rPr>
        <w:t xml:space="preserve">the moral and </w:t>
      </w:r>
      <w:r w:rsidR="00F16762">
        <w:rPr>
          <w:rFonts w:ascii="Times" w:hAnsi="Times"/>
        </w:rPr>
        <w:t xml:space="preserve">procedural legitimacy of Union competition law reforms </w:t>
      </w:r>
      <w:r w:rsidR="00A66715">
        <w:rPr>
          <w:rFonts w:ascii="Times" w:hAnsi="Times"/>
        </w:rPr>
        <w:t>and</w:t>
      </w:r>
      <w:r w:rsidR="00D56B95">
        <w:rPr>
          <w:rFonts w:ascii="Times" w:hAnsi="Times"/>
        </w:rPr>
        <w:t xml:space="preserve"> the impact of expert economics discourse on </w:t>
      </w:r>
      <w:r w:rsidR="007C488A">
        <w:rPr>
          <w:rFonts w:ascii="Times" w:hAnsi="Times"/>
        </w:rPr>
        <w:t xml:space="preserve">reforms’ legitimacy. </w:t>
      </w:r>
    </w:p>
    <w:p w14:paraId="27BFAD80" w14:textId="77777777" w:rsidR="00D70871" w:rsidRDefault="00D70871" w:rsidP="002249E1">
      <w:pPr>
        <w:spacing w:line="480" w:lineRule="auto"/>
        <w:jc w:val="both"/>
        <w:rPr>
          <w:rFonts w:ascii="Times" w:hAnsi="Times"/>
          <w:b/>
        </w:rPr>
      </w:pPr>
    </w:p>
    <w:p w14:paraId="1F124ED8" w14:textId="301DCF92" w:rsidR="00ED0FC5" w:rsidRDefault="00F31CE4" w:rsidP="002249E1">
      <w:pPr>
        <w:spacing w:line="480" w:lineRule="auto"/>
        <w:jc w:val="both"/>
        <w:rPr>
          <w:rFonts w:ascii="Times" w:hAnsi="Times"/>
          <w:b/>
        </w:rPr>
      </w:pPr>
      <w:r>
        <w:rPr>
          <w:rFonts w:ascii="Times" w:hAnsi="Times"/>
          <w:b/>
        </w:rPr>
        <w:t xml:space="preserve">THE LEGITIMACY OF </w:t>
      </w:r>
      <w:r w:rsidR="00DE250F">
        <w:rPr>
          <w:rFonts w:ascii="Times" w:hAnsi="Times"/>
          <w:b/>
        </w:rPr>
        <w:t>MULTI-LEVEL NETWORK GOVERNANCE</w:t>
      </w:r>
      <w:r>
        <w:rPr>
          <w:rFonts w:ascii="Times" w:hAnsi="Times"/>
          <w:b/>
        </w:rPr>
        <w:t xml:space="preserve"> </w:t>
      </w:r>
    </w:p>
    <w:p w14:paraId="13F173EA" w14:textId="77777777" w:rsidR="000E45B9" w:rsidRDefault="000E45B9" w:rsidP="002249E1">
      <w:pPr>
        <w:spacing w:line="480" w:lineRule="auto"/>
        <w:jc w:val="both"/>
        <w:rPr>
          <w:rFonts w:ascii="Times" w:hAnsi="Times"/>
          <w:b/>
          <w:lang w:val="en-US"/>
        </w:rPr>
      </w:pPr>
    </w:p>
    <w:p w14:paraId="67B51EFE" w14:textId="77777777" w:rsidR="00FF20FF" w:rsidRDefault="00ED0FC5" w:rsidP="002249E1">
      <w:pPr>
        <w:spacing w:line="480" w:lineRule="auto"/>
        <w:jc w:val="both"/>
        <w:rPr>
          <w:rFonts w:ascii="Times" w:hAnsi="Times"/>
          <w:b/>
          <w:lang w:val="en-US"/>
        </w:rPr>
      </w:pPr>
      <w:r>
        <w:rPr>
          <w:rFonts w:ascii="Times" w:hAnsi="Times"/>
          <w:b/>
          <w:lang w:val="en-US"/>
        </w:rPr>
        <w:t>Procedural L</w:t>
      </w:r>
      <w:r w:rsidRPr="00ED0FC5">
        <w:rPr>
          <w:rFonts w:ascii="Times" w:hAnsi="Times"/>
          <w:b/>
          <w:lang w:val="en-US"/>
        </w:rPr>
        <w:t>egitimacy</w:t>
      </w:r>
    </w:p>
    <w:p w14:paraId="7387BEF0" w14:textId="2A72EC36" w:rsidR="00B07A45" w:rsidRPr="00FF20FF" w:rsidRDefault="00621F1B" w:rsidP="002249E1">
      <w:pPr>
        <w:spacing w:line="480" w:lineRule="auto"/>
        <w:jc w:val="both"/>
        <w:rPr>
          <w:rFonts w:ascii="Times" w:hAnsi="Times"/>
          <w:b/>
          <w:lang w:val="en-US"/>
        </w:rPr>
      </w:pPr>
      <w:r>
        <w:rPr>
          <w:rFonts w:ascii="Times" w:hAnsi="Times"/>
          <w:lang w:val="en-US"/>
        </w:rPr>
        <w:t xml:space="preserve">Legitimacy provides citizens with a reference point to judge whether power holders have a rightful claim to their powers and whether they use their powers to society’s best interest. </w:t>
      </w:r>
      <w:r w:rsidR="00F41DDA">
        <w:rPr>
          <w:rFonts w:ascii="Times" w:hAnsi="Times"/>
          <w:lang w:val="en-US"/>
        </w:rPr>
        <w:t>A</w:t>
      </w:r>
      <w:r>
        <w:rPr>
          <w:rFonts w:ascii="Times" w:hAnsi="Times"/>
          <w:lang w:val="en-US"/>
        </w:rPr>
        <w:t xml:space="preserve"> political regime</w:t>
      </w:r>
      <w:r w:rsidR="00352EF5">
        <w:rPr>
          <w:rFonts w:ascii="Times" w:hAnsi="Times"/>
          <w:lang w:val="en-US"/>
        </w:rPr>
        <w:t>’s stability</w:t>
      </w:r>
      <w:r>
        <w:rPr>
          <w:rFonts w:ascii="Times" w:hAnsi="Times"/>
          <w:lang w:val="en-US"/>
        </w:rPr>
        <w:t xml:space="preserve"> </w:t>
      </w:r>
      <w:r w:rsidR="00066E03">
        <w:rPr>
          <w:rFonts w:ascii="Times" w:hAnsi="Times"/>
          <w:lang w:val="en-US"/>
        </w:rPr>
        <w:t>fundamentally</w:t>
      </w:r>
      <w:r>
        <w:rPr>
          <w:rFonts w:ascii="Times" w:hAnsi="Times"/>
          <w:lang w:val="en-US"/>
        </w:rPr>
        <w:t xml:space="preserve"> depends on </w:t>
      </w:r>
      <w:r w:rsidR="00066E03">
        <w:rPr>
          <w:rFonts w:ascii="Times" w:hAnsi="Times"/>
          <w:lang w:val="en-US"/>
        </w:rPr>
        <w:t xml:space="preserve">its </w:t>
      </w:r>
      <w:r>
        <w:rPr>
          <w:rFonts w:ascii="Times" w:hAnsi="Times"/>
          <w:lang w:val="en-US"/>
        </w:rPr>
        <w:t>legitimacy: if not corrected</w:t>
      </w:r>
      <w:r w:rsidR="00D478C5">
        <w:rPr>
          <w:rFonts w:ascii="Times" w:hAnsi="Times"/>
          <w:lang w:val="en-US"/>
        </w:rPr>
        <w:t>,</w:t>
      </w:r>
      <w:r>
        <w:rPr>
          <w:rFonts w:ascii="Times" w:hAnsi="Times"/>
          <w:lang w:val="en-US"/>
        </w:rPr>
        <w:t xml:space="preserve"> a discrepancy between societal beliefs and the way the society is governed (‘legitimacy deficit’) might result in society’s withdrawal of its consent from power holders (‘deligitimation’)</w:t>
      </w:r>
      <w:r w:rsidR="008D590D">
        <w:rPr>
          <w:rFonts w:ascii="Times" w:hAnsi="Times"/>
          <w:lang w:val="en-US"/>
        </w:rPr>
        <w:t xml:space="preserve"> (Beetham 1991, </w:t>
      </w:r>
      <w:r w:rsidR="00892D86">
        <w:rPr>
          <w:rFonts w:ascii="Times" w:hAnsi="Times"/>
          <w:lang w:val="en-US"/>
        </w:rPr>
        <w:t>p.</w:t>
      </w:r>
      <w:r w:rsidR="008D590D">
        <w:rPr>
          <w:rFonts w:ascii="Times" w:hAnsi="Times"/>
          <w:lang w:val="en-US"/>
        </w:rPr>
        <w:t>28)</w:t>
      </w:r>
      <w:r>
        <w:rPr>
          <w:rFonts w:ascii="Times" w:hAnsi="Times"/>
          <w:lang w:val="en-US"/>
        </w:rPr>
        <w:t xml:space="preserve">. </w:t>
      </w:r>
    </w:p>
    <w:p w14:paraId="6CC35598" w14:textId="77777777" w:rsidR="00B07A45" w:rsidRDefault="00B07A45" w:rsidP="002249E1">
      <w:pPr>
        <w:spacing w:line="480" w:lineRule="auto"/>
        <w:jc w:val="both"/>
        <w:rPr>
          <w:rFonts w:ascii="Times" w:hAnsi="Times"/>
          <w:lang w:val="en-US"/>
        </w:rPr>
      </w:pPr>
    </w:p>
    <w:p w14:paraId="02F04371" w14:textId="0BAE5FDE" w:rsidR="00861389" w:rsidRDefault="00C74E97" w:rsidP="002249E1">
      <w:pPr>
        <w:spacing w:line="480" w:lineRule="auto"/>
        <w:jc w:val="both"/>
        <w:rPr>
          <w:rFonts w:ascii="Times" w:hAnsi="Times"/>
          <w:lang w:val="en-US"/>
        </w:rPr>
      </w:pPr>
      <w:r>
        <w:rPr>
          <w:rFonts w:ascii="Times" w:hAnsi="Times"/>
          <w:lang w:val="en-US"/>
        </w:rPr>
        <w:t xml:space="preserve">Traditional liberal/republican legitimacy models take the nation state’s institutional structure as their main template; and </w:t>
      </w:r>
      <w:r w:rsidR="00D478C5">
        <w:rPr>
          <w:rFonts w:ascii="Times" w:hAnsi="Times"/>
          <w:lang w:val="en-US"/>
        </w:rPr>
        <w:t>they</w:t>
      </w:r>
      <w:r>
        <w:rPr>
          <w:rFonts w:ascii="Times" w:hAnsi="Times"/>
          <w:lang w:val="en-US"/>
        </w:rPr>
        <w:t xml:space="preserve"> equate powerholders’ legitimacy wit</w:t>
      </w:r>
      <w:r w:rsidR="00E8468D">
        <w:rPr>
          <w:rFonts w:ascii="Times" w:hAnsi="Times"/>
          <w:lang w:val="en-US"/>
        </w:rPr>
        <w:t xml:space="preserve">h their democratic credentials </w:t>
      </w:r>
      <w:r w:rsidR="00066E03">
        <w:rPr>
          <w:rFonts w:ascii="Times" w:hAnsi="Times"/>
          <w:lang w:val="en-US"/>
        </w:rPr>
        <w:t>(Habermas</w:t>
      </w:r>
      <w:r w:rsidR="000F24F6">
        <w:rPr>
          <w:rFonts w:ascii="Times" w:hAnsi="Times"/>
          <w:lang w:val="en-US"/>
        </w:rPr>
        <w:t>,</w:t>
      </w:r>
      <w:r w:rsidR="00066E03">
        <w:rPr>
          <w:rFonts w:ascii="Times" w:hAnsi="Times"/>
          <w:lang w:val="en-US"/>
        </w:rPr>
        <w:t xml:space="preserve"> 1996, </w:t>
      </w:r>
      <w:r w:rsidR="00892D86">
        <w:rPr>
          <w:rFonts w:ascii="Times" w:hAnsi="Times"/>
          <w:lang w:val="en-US"/>
        </w:rPr>
        <w:t>p.</w:t>
      </w:r>
      <w:r w:rsidR="00B07A45">
        <w:rPr>
          <w:rFonts w:ascii="Times" w:hAnsi="Times"/>
          <w:lang w:val="en-US"/>
        </w:rPr>
        <w:t>21). Thus, t</w:t>
      </w:r>
      <w:r w:rsidR="00611C36">
        <w:rPr>
          <w:rFonts w:ascii="Times" w:hAnsi="Times"/>
          <w:lang w:val="en-US"/>
        </w:rPr>
        <w:t xml:space="preserve">he legitimacy of European Union, as a sui generis multi-level polity, appears problematic </w:t>
      </w:r>
      <w:r w:rsidR="00AD17A2">
        <w:rPr>
          <w:rFonts w:ascii="Times" w:hAnsi="Times"/>
          <w:lang w:val="en-US"/>
        </w:rPr>
        <w:t>in the light of these</w:t>
      </w:r>
      <w:r w:rsidR="002829CE">
        <w:rPr>
          <w:rFonts w:ascii="Times" w:hAnsi="Times"/>
          <w:lang w:val="en-US"/>
        </w:rPr>
        <w:t xml:space="preserve"> models.</w:t>
      </w:r>
      <w:r w:rsidR="006223DA">
        <w:rPr>
          <w:rFonts w:ascii="Times" w:hAnsi="Times"/>
          <w:lang w:val="en-US"/>
        </w:rPr>
        <w:t xml:space="preserve"> </w:t>
      </w:r>
      <w:r w:rsidR="002829CE">
        <w:rPr>
          <w:rFonts w:ascii="Times" w:hAnsi="Times"/>
          <w:lang w:val="en-US"/>
        </w:rPr>
        <w:t>F</w:t>
      </w:r>
      <w:r w:rsidR="00F00712">
        <w:rPr>
          <w:rFonts w:ascii="Times" w:hAnsi="Times"/>
          <w:lang w:val="en-US"/>
        </w:rPr>
        <w:t>rom the liberal perspective that perceives free elections as the key legitimating factor</w:t>
      </w:r>
      <w:r w:rsidR="00AD17A2">
        <w:rPr>
          <w:rFonts w:ascii="Times" w:hAnsi="Times"/>
          <w:lang w:val="en-US"/>
        </w:rPr>
        <w:t>,</w:t>
      </w:r>
      <w:r w:rsidR="00EE3092">
        <w:rPr>
          <w:rFonts w:ascii="Times" w:hAnsi="Times"/>
          <w:lang w:val="en-US"/>
        </w:rPr>
        <w:t xml:space="preserve"> </w:t>
      </w:r>
      <w:r w:rsidR="00EE3092" w:rsidRPr="00964A1C">
        <w:rPr>
          <w:rFonts w:ascii="Times" w:hAnsi="Times"/>
          <w:lang w:val="en-US"/>
        </w:rPr>
        <w:t xml:space="preserve">the </w:t>
      </w:r>
      <w:r w:rsidR="00144EA2" w:rsidRPr="00964A1C">
        <w:rPr>
          <w:rFonts w:ascii="Times" w:hAnsi="Times"/>
          <w:lang w:val="en-US"/>
        </w:rPr>
        <w:t>absence</w:t>
      </w:r>
      <w:r w:rsidR="00EE3092" w:rsidRPr="00964A1C">
        <w:rPr>
          <w:rFonts w:ascii="Times" w:hAnsi="Times"/>
          <w:lang w:val="en-US"/>
        </w:rPr>
        <w:t xml:space="preserve"> </w:t>
      </w:r>
      <w:r w:rsidR="00E757E9" w:rsidRPr="00964A1C">
        <w:rPr>
          <w:rFonts w:ascii="Times" w:hAnsi="Times"/>
          <w:lang w:val="en-US"/>
        </w:rPr>
        <w:t xml:space="preserve">of </w:t>
      </w:r>
      <w:r w:rsidR="002217C7" w:rsidRPr="00964A1C">
        <w:rPr>
          <w:rFonts w:ascii="Times" w:hAnsi="Times"/>
          <w:lang w:val="en-US"/>
        </w:rPr>
        <w:t xml:space="preserve">directly </w:t>
      </w:r>
      <w:r w:rsidR="00F00712" w:rsidRPr="00964A1C">
        <w:rPr>
          <w:rFonts w:ascii="Times" w:hAnsi="Times"/>
          <w:lang w:val="en-US"/>
        </w:rPr>
        <w:t xml:space="preserve">elected </w:t>
      </w:r>
      <w:r w:rsidR="00E82646" w:rsidRPr="00964A1C">
        <w:rPr>
          <w:rFonts w:ascii="Times" w:hAnsi="Times"/>
          <w:lang w:val="en-US"/>
        </w:rPr>
        <w:t xml:space="preserve">and accessible </w:t>
      </w:r>
      <w:r w:rsidR="002217C7" w:rsidRPr="00964A1C">
        <w:rPr>
          <w:rFonts w:ascii="Times" w:hAnsi="Times"/>
          <w:lang w:val="en-US"/>
        </w:rPr>
        <w:t xml:space="preserve">legislative/executive </w:t>
      </w:r>
      <w:r w:rsidR="00F00712" w:rsidRPr="00964A1C">
        <w:rPr>
          <w:rFonts w:ascii="Times" w:hAnsi="Times"/>
          <w:lang w:val="en-US"/>
        </w:rPr>
        <w:t>institution</w:t>
      </w:r>
      <w:r w:rsidR="002217C7" w:rsidRPr="00964A1C">
        <w:rPr>
          <w:rFonts w:ascii="Times" w:hAnsi="Times"/>
          <w:lang w:val="en-US"/>
        </w:rPr>
        <w:t>s</w:t>
      </w:r>
      <w:r w:rsidR="00F00712" w:rsidRPr="00964A1C">
        <w:rPr>
          <w:rFonts w:ascii="Times" w:hAnsi="Times"/>
          <w:lang w:val="en-US"/>
        </w:rPr>
        <w:t xml:space="preserve"> </w:t>
      </w:r>
      <w:r w:rsidR="002217C7" w:rsidRPr="00964A1C">
        <w:rPr>
          <w:rFonts w:ascii="Times" w:hAnsi="Times"/>
          <w:lang w:val="en-US"/>
        </w:rPr>
        <w:t>appear</w:t>
      </w:r>
      <w:r w:rsidR="00AD17A2" w:rsidRPr="00964A1C">
        <w:rPr>
          <w:rFonts w:ascii="Times" w:hAnsi="Times"/>
          <w:lang w:val="en-US"/>
        </w:rPr>
        <w:t xml:space="preserve"> as a fundamental weakness </w:t>
      </w:r>
      <w:r w:rsidR="00A34AEC" w:rsidRPr="00964A1C">
        <w:rPr>
          <w:rFonts w:ascii="Times" w:hAnsi="Times"/>
          <w:lang w:val="en-US"/>
        </w:rPr>
        <w:t>in</w:t>
      </w:r>
      <w:r w:rsidR="00AD17A2" w:rsidRPr="00964A1C">
        <w:rPr>
          <w:rFonts w:ascii="Times" w:hAnsi="Times"/>
          <w:lang w:val="en-US"/>
        </w:rPr>
        <w:t xml:space="preserve"> the legitimacy of Union</w:t>
      </w:r>
      <w:r w:rsidR="00861389" w:rsidRPr="00964A1C">
        <w:rPr>
          <w:rFonts w:ascii="Times" w:hAnsi="Times"/>
          <w:lang w:val="en-US"/>
        </w:rPr>
        <w:t>’s</w:t>
      </w:r>
      <w:r w:rsidR="00AD17A2" w:rsidRPr="00964A1C">
        <w:rPr>
          <w:rFonts w:ascii="Times" w:hAnsi="Times"/>
          <w:lang w:val="en-US"/>
        </w:rPr>
        <w:t xml:space="preserve"> governance</w:t>
      </w:r>
      <w:r w:rsidR="00AA6A2B" w:rsidRPr="00964A1C">
        <w:rPr>
          <w:rFonts w:ascii="Times" w:hAnsi="Times"/>
          <w:lang w:val="en-US"/>
        </w:rPr>
        <w:t xml:space="preserve"> (hence, the Union’s</w:t>
      </w:r>
      <w:r w:rsidR="00F00712" w:rsidRPr="00964A1C">
        <w:rPr>
          <w:rFonts w:ascii="Times" w:hAnsi="Times"/>
          <w:lang w:val="en-US"/>
        </w:rPr>
        <w:t xml:space="preserve"> ‘democratic deficit’</w:t>
      </w:r>
      <w:r w:rsidR="00AD17A2" w:rsidRPr="00964A1C">
        <w:rPr>
          <w:rFonts w:ascii="Times" w:hAnsi="Times"/>
          <w:lang w:val="en-US"/>
        </w:rPr>
        <w:t xml:space="preserve">, see </w:t>
      </w:r>
      <w:r w:rsidR="00F00712" w:rsidRPr="00964A1C">
        <w:rPr>
          <w:rFonts w:ascii="Times" w:hAnsi="Times"/>
          <w:lang w:val="en-US"/>
        </w:rPr>
        <w:t>Hix</w:t>
      </w:r>
      <w:r w:rsidR="000F24F6" w:rsidRPr="00964A1C">
        <w:rPr>
          <w:rFonts w:ascii="Times" w:hAnsi="Times"/>
          <w:lang w:val="en-US"/>
        </w:rPr>
        <w:t>,</w:t>
      </w:r>
      <w:r w:rsidR="003B2731" w:rsidRPr="00964A1C">
        <w:rPr>
          <w:rFonts w:ascii="Times" w:hAnsi="Times"/>
          <w:lang w:val="en-US"/>
        </w:rPr>
        <w:t xml:space="preserve"> 2008</w:t>
      </w:r>
      <w:r w:rsidR="00F00712" w:rsidRPr="00964A1C">
        <w:rPr>
          <w:rFonts w:ascii="Times" w:hAnsi="Times"/>
          <w:lang w:val="en-US"/>
        </w:rPr>
        <w:t>).</w:t>
      </w:r>
      <w:r w:rsidR="00F00712">
        <w:rPr>
          <w:rFonts w:ascii="Times" w:hAnsi="Times"/>
          <w:lang w:val="en-US"/>
        </w:rPr>
        <w:t xml:space="preserve"> </w:t>
      </w:r>
    </w:p>
    <w:p w14:paraId="094013E2" w14:textId="77777777" w:rsidR="00861389" w:rsidRDefault="00861389" w:rsidP="002249E1">
      <w:pPr>
        <w:spacing w:line="480" w:lineRule="auto"/>
        <w:jc w:val="both"/>
        <w:rPr>
          <w:rFonts w:ascii="Times" w:hAnsi="Times"/>
          <w:lang w:val="en-US"/>
        </w:rPr>
      </w:pPr>
    </w:p>
    <w:p w14:paraId="6BEC501D" w14:textId="7CAD05A8" w:rsidR="00515A9F" w:rsidRPr="00AD17A2" w:rsidRDefault="001054B4" w:rsidP="002249E1">
      <w:pPr>
        <w:spacing w:line="480" w:lineRule="auto"/>
        <w:jc w:val="both"/>
        <w:rPr>
          <w:rFonts w:ascii="Times" w:hAnsi="Times"/>
          <w:lang w:val="en-US"/>
        </w:rPr>
      </w:pPr>
      <w:r>
        <w:rPr>
          <w:rFonts w:ascii="Times" w:hAnsi="Times"/>
          <w:lang w:val="en-US"/>
        </w:rPr>
        <w:t xml:space="preserve">The democratic deficit </w:t>
      </w:r>
      <w:r w:rsidR="007E552B">
        <w:rPr>
          <w:rFonts w:ascii="Times" w:hAnsi="Times"/>
          <w:lang w:val="en-US"/>
        </w:rPr>
        <w:t>was</w:t>
      </w:r>
      <w:r w:rsidR="003B38E9">
        <w:rPr>
          <w:rFonts w:ascii="Times" w:hAnsi="Times"/>
          <w:lang w:val="en-US"/>
        </w:rPr>
        <w:t xml:space="preserve"> exacerbated after the </w:t>
      </w:r>
      <w:r w:rsidR="00385D74">
        <w:rPr>
          <w:rFonts w:ascii="Times" w:hAnsi="Times"/>
          <w:lang w:val="en-US"/>
        </w:rPr>
        <w:t xml:space="preserve">2008 </w:t>
      </w:r>
      <w:r w:rsidR="00222B17">
        <w:rPr>
          <w:rFonts w:ascii="Times" w:hAnsi="Times"/>
          <w:lang w:val="en-US"/>
        </w:rPr>
        <w:t>financial crisis.</w:t>
      </w:r>
      <w:r w:rsidR="003B38E9">
        <w:rPr>
          <w:rFonts w:ascii="Times" w:hAnsi="Times"/>
          <w:lang w:val="en-US"/>
        </w:rPr>
        <w:t xml:space="preserve"> </w:t>
      </w:r>
      <w:r w:rsidR="00222B17">
        <w:rPr>
          <w:rFonts w:ascii="Times" w:hAnsi="Times"/>
        </w:rPr>
        <w:t>T</w:t>
      </w:r>
      <w:r w:rsidR="00556F6F">
        <w:rPr>
          <w:rFonts w:ascii="Times" w:hAnsi="Times"/>
        </w:rPr>
        <w:t xml:space="preserve">he Union’s supranational institutional structure </w:t>
      </w:r>
      <w:r w:rsidR="008B3003">
        <w:rPr>
          <w:rFonts w:ascii="Times" w:hAnsi="Times"/>
        </w:rPr>
        <w:t>is</w:t>
      </w:r>
      <w:r w:rsidR="00721E68">
        <w:rPr>
          <w:rFonts w:ascii="Times" w:hAnsi="Times"/>
        </w:rPr>
        <w:t xml:space="preserve"> built on a principle of ‘</w:t>
      </w:r>
      <w:r w:rsidR="00556F6F">
        <w:rPr>
          <w:rFonts w:ascii="Times" w:hAnsi="Times"/>
        </w:rPr>
        <w:t>multi-</w:t>
      </w:r>
      <w:r w:rsidR="00846E4A">
        <w:rPr>
          <w:rFonts w:ascii="Times" w:hAnsi="Times"/>
        </w:rPr>
        <w:t xml:space="preserve">level </w:t>
      </w:r>
      <w:r w:rsidR="00721E68">
        <w:rPr>
          <w:rFonts w:ascii="Times" w:hAnsi="Times"/>
        </w:rPr>
        <w:t>legitimacy intermediation’</w:t>
      </w:r>
      <w:r w:rsidR="00436E32">
        <w:rPr>
          <w:rFonts w:ascii="Times" w:hAnsi="Times"/>
        </w:rPr>
        <w:t xml:space="preserve"> that</w:t>
      </w:r>
      <w:r w:rsidR="00556F6F">
        <w:rPr>
          <w:rFonts w:ascii="Times" w:hAnsi="Times"/>
        </w:rPr>
        <w:t xml:space="preserve"> requires</w:t>
      </w:r>
      <w:r w:rsidR="00436E32">
        <w:rPr>
          <w:rFonts w:ascii="Times" w:hAnsi="Times"/>
        </w:rPr>
        <w:t xml:space="preserve"> decisions to be made as a result of a process in which </w:t>
      </w:r>
      <w:r w:rsidR="00556F6F">
        <w:rPr>
          <w:rFonts w:ascii="Times" w:hAnsi="Times"/>
        </w:rPr>
        <w:t>institutions represe</w:t>
      </w:r>
      <w:r w:rsidR="00892D86">
        <w:rPr>
          <w:rFonts w:ascii="Times" w:hAnsi="Times"/>
        </w:rPr>
        <w:t>nting the Union interests (</w:t>
      </w:r>
      <w:r w:rsidR="00556F6F">
        <w:rPr>
          <w:rFonts w:ascii="Times" w:hAnsi="Times"/>
        </w:rPr>
        <w:t>the Commission</w:t>
      </w:r>
      <w:r w:rsidR="00892D86">
        <w:rPr>
          <w:rFonts w:ascii="Times" w:hAnsi="Times"/>
        </w:rPr>
        <w:t>), Member State interests (</w:t>
      </w:r>
      <w:r w:rsidR="00556F6F">
        <w:rPr>
          <w:rFonts w:ascii="Times" w:hAnsi="Times"/>
        </w:rPr>
        <w:t>the Counc</w:t>
      </w:r>
      <w:r w:rsidR="00892D86">
        <w:rPr>
          <w:rFonts w:ascii="Times" w:hAnsi="Times"/>
        </w:rPr>
        <w:t>il) and citizen interests (</w:t>
      </w:r>
      <w:r w:rsidR="00556F6F">
        <w:rPr>
          <w:rFonts w:ascii="Times" w:hAnsi="Times"/>
        </w:rPr>
        <w:t xml:space="preserve">the Parliament) </w:t>
      </w:r>
      <w:r w:rsidR="00436E32">
        <w:rPr>
          <w:rFonts w:ascii="Times" w:hAnsi="Times"/>
        </w:rPr>
        <w:t>are</w:t>
      </w:r>
      <w:r w:rsidR="00556F6F">
        <w:rPr>
          <w:rFonts w:ascii="Times" w:hAnsi="Times"/>
        </w:rPr>
        <w:t xml:space="preserve"> included</w:t>
      </w:r>
      <w:r w:rsidR="00A03029">
        <w:rPr>
          <w:rFonts w:ascii="Times" w:hAnsi="Times"/>
        </w:rPr>
        <w:t xml:space="preserve"> (Art.</w:t>
      </w:r>
      <w:r w:rsidR="00861389">
        <w:rPr>
          <w:rFonts w:ascii="Times" w:hAnsi="Times"/>
        </w:rPr>
        <w:t xml:space="preserve"> </w:t>
      </w:r>
      <w:r w:rsidR="00A03029">
        <w:rPr>
          <w:rFonts w:ascii="Times" w:hAnsi="Times"/>
        </w:rPr>
        <w:t>13(2) T</w:t>
      </w:r>
      <w:r w:rsidR="00861389">
        <w:rPr>
          <w:rFonts w:ascii="Times" w:hAnsi="Times"/>
        </w:rPr>
        <w:t xml:space="preserve">reaty on </w:t>
      </w:r>
      <w:r w:rsidR="00A03029">
        <w:rPr>
          <w:rFonts w:ascii="Times" w:hAnsi="Times"/>
        </w:rPr>
        <w:t>E</w:t>
      </w:r>
      <w:r w:rsidR="00861389">
        <w:rPr>
          <w:rFonts w:ascii="Times" w:hAnsi="Times"/>
        </w:rPr>
        <w:t xml:space="preserve">uropean </w:t>
      </w:r>
      <w:r w:rsidR="00A03029">
        <w:rPr>
          <w:rFonts w:ascii="Times" w:hAnsi="Times"/>
        </w:rPr>
        <w:t>U</w:t>
      </w:r>
      <w:r w:rsidR="00861389">
        <w:rPr>
          <w:rFonts w:ascii="Times" w:hAnsi="Times"/>
        </w:rPr>
        <w:t>nion</w:t>
      </w:r>
      <w:r w:rsidR="00A03029">
        <w:rPr>
          <w:rFonts w:ascii="Times" w:hAnsi="Times"/>
        </w:rPr>
        <w:t>)</w:t>
      </w:r>
      <w:r w:rsidR="00621F1B">
        <w:rPr>
          <w:rFonts w:ascii="Times" w:hAnsi="Times"/>
        </w:rPr>
        <w:t>.</w:t>
      </w:r>
      <w:r w:rsidR="00556F6F">
        <w:rPr>
          <w:rFonts w:ascii="Times" w:hAnsi="Times"/>
        </w:rPr>
        <w:t xml:space="preserve"> </w:t>
      </w:r>
      <w:r w:rsidR="00CA707A">
        <w:rPr>
          <w:rFonts w:ascii="Times" w:hAnsi="Times"/>
        </w:rPr>
        <w:t>T</w:t>
      </w:r>
      <w:r w:rsidR="00556F6F">
        <w:rPr>
          <w:rFonts w:ascii="Times" w:hAnsi="Times"/>
        </w:rPr>
        <w:t>he increased reliance on intergovernmental policy measures</w:t>
      </w:r>
      <w:r w:rsidR="00786874">
        <w:rPr>
          <w:rStyle w:val="EndnoteReference"/>
          <w:rFonts w:ascii="Times" w:hAnsi="Times"/>
        </w:rPr>
        <w:endnoteReference w:id="4"/>
      </w:r>
      <w:r w:rsidR="00556F6F">
        <w:rPr>
          <w:rFonts w:ascii="Times" w:hAnsi="Times"/>
        </w:rPr>
        <w:t xml:space="preserve"> post-financial crisis </w:t>
      </w:r>
      <w:r w:rsidR="008B0A7E">
        <w:rPr>
          <w:rFonts w:ascii="Times" w:hAnsi="Times"/>
        </w:rPr>
        <w:t>at the expense of European Parliament’s participation and</w:t>
      </w:r>
      <w:r w:rsidR="00556F6F">
        <w:rPr>
          <w:rFonts w:ascii="Times" w:hAnsi="Times"/>
        </w:rPr>
        <w:t xml:space="preserve"> the reliance on a strict conditionality principle in budgetary and fiscal matters</w:t>
      </w:r>
      <w:r w:rsidR="00DB627C">
        <w:rPr>
          <w:rStyle w:val="EndnoteReference"/>
          <w:rFonts w:ascii="Times" w:hAnsi="Times"/>
        </w:rPr>
        <w:endnoteReference w:id="5"/>
      </w:r>
      <w:r w:rsidR="00556F6F">
        <w:rPr>
          <w:rFonts w:ascii="Times" w:hAnsi="Times"/>
        </w:rPr>
        <w:t xml:space="preserve"> that otherwise represent intimate powers of the national parliaments </w:t>
      </w:r>
      <w:r w:rsidR="00931C7B">
        <w:rPr>
          <w:rFonts w:ascii="Times" w:hAnsi="Times"/>
        </w:rPr>
        <w:t xml:space="preserve">raise significant challenges to the </w:t>
      </w:r>
      <w:r w:rsidR="00556F6F">
        <w:rPr>
          <w:rFonts w:ascii="Times" w:hAnsi="Times"/>
        </w:rPr>
        <w:t>principle of multi-</w:t>
      </w:r>
      <w:r w:rsidR="00931C7B">
        <w:rPr>
          <w:rFonts w:ascii="Times" w:hAnsi="Times"/>
        </w:rPr>
        <w:t>level legitimacy intermediation</w:t>
      </w:r>
      <w:r w:rsidR="006A1616">
        <w:rPr>
          <w:rFonts w:ascii="Times" w:hAnsi="Times"/>
        </w:rPr>
        <w:t xml:space="preserve"> (De Witte and Dawson</w:t>
      </w:r>
      <w:r w:rsidR="000F24F6">
        <w:rPr>
          <w:rFonts w:ascii="Times" w:hAnsi="Times"/>
        </w:rPr>
        <w:t>,</w:t>
      </w:r>
      <w:r w:rsidR="00CF13CB">
        <w:rPr>
          <w:rFonts w:ascii="Times" w:hAnsi="Times"/>
        </w:rPr>
        <w:t xml:space="preserve"> 2013</w:t>
      </w:r>
      <w:r w:rsidR="005A3164">
        <w:rPr>
          <w:rFonts w:ascii="Times" w:hAnsi="Times"/>
        </w:rPr>
        <w:t>; Scharpf 2012</w:t>
      </w:r>
      <w:r w:rsidR="006A1616">
        <w:rPr>
          <w:rFonts w:ascii="Times" w:hAnsi="Times"/>
        </w:rPr>
        <w:t>)</w:t>
      </w:r>
      <w:r w:rsidR="00556F6F">
        <w:rPr>
          <w:rFonts w:ascii="Times" w:hAnsi="Times"/>
        </w:rPr>
        <w:t>.</w:t>
      </w:r>
      <w:r w:rsidR="00DE49A2">
        <w:rPr>
          <w:rFonts w:ascii="Times" w:hAnsi="Times"/>
        </w:rPr>
        <w:t xml:space="preserve"> </w:t>
      </w:r>
    </w:p>
    <w:p w14:paraId="7789D01C" w14:textId="77777777" w:rsidR="002F7D0F" w:rsidRDefault="002F7D0F" w:rsidP="002249E1">
      <w:pPr>
        <w:spacing w:line="480" w:lineRule="auto"/>
        <w:jc w:val="both"/>
        <w:rPr>
          <w:rFonts w:ascii="Times" w:hAnsi="Times"/>
          <w:lang w:val="en-US"/>
        </w:rPr>
      </w:pPr>
    </w:p>
    <w:p w14:paraId="6E8EB100" w14:textId="443FD022" w:rsidR="00C51F5D" w:rsidRPr="0018576F" w:rsidRDefault="00E25427" w:rsidP="002249E1">
      <w:pPr>
        <w:spacing w:line="480" w:lineRule="auto"/>
        <w:jc w:val="both"/>
        <w:rPr>
          <w:rFonts w:ascii="Times" w:hAnsi="Times"/>
        </w:rPr>
      </w:pPr>
      <w:r>
        <w:rPr>
          <w:rFonts w:ascii="Times" w:hAnsi="Times"/>
        </w:rPr>
        <w:t>In light of the</w:t>
      </w:r>
      <w:r w:rsidR="00BC638B">
        <w:rPr>
          <w:rFonts w:ascii="Times" w:hAnsi="Times"/>
        </w:rPr>
        <w:t xml:space="preserve"> republican model that perceives the democratic process as a means for </w:t>
      </w:r>
      <w:r>
        <w:rPr>
          <w:rFonts w:ascii="Times" w:hAnsi="Times"/>
        </w:rPr>
        <w:t xml:space="preserve">a </w:t>
      </w:r>
      <w:r w:rsidR="00BC638B" w:rsidRPr="00BC638B">
        <w:rPr>
          <w:rFonts w:ascii="Times" w:hAnsi="Times"/>
          <w:i/>
        </w:rPr>
        <w:t>demos</w:t>
      </w:r>
      <w:r w:rsidR="00BC638B">
        <w:rPr>
          <w:rFonts w:ascii="Times" w:hAnsi="Times"/>
        </w:rPr>
        <w:t xml:space="preserve"> </w:t>
      </w:r>
      <w:r w:rsidR="00C51F5D">
        <w:rPr>
          <w:rFonts w:ascii="Times" w:hAnsi="Times"/>
        </w:rPr>
        <w:t>to achieve common good</w:t>
      </w:r>
      <w:r w:rsidR="002640E9">
        <w:rPr>
          <w:rFonts w:ascii="Times" w:hAnsi="Times"/>
        </w:rPr>
        <w:t>,</w:t>
      </w:r>
      <w:r w:rsidR="00C51F5D">
        <w:rPr>
          <w:rFonts w:ascii="Times" w:hAnsi="Times"/>
        </w:rPr>
        <w:t xml:space="preserve"> </w:t>
      </w:r>
      <w:r>
        <w:rPr>
          <w:rFonts w:ascii="Times" w:hAnsi="Times"/>
        </w:rPr>
        <w:t xml:space="preserve">the </w:t>
      </w:r>
      <w:r w:rsidR="0069654E">
        <w:rPr>
          <w:rFonts w:ascii="Times" w:hAnsi="Times"/>
        </w:rPr>
        <w:t xml:space="preserve">diverse </w:t>
      </w:r>
      <w:r>
        <w:rPr>
          <w:rFonts w:ascii="Times" w:hAnsi="Times"/>
        </w:rPr>
        <w:t xml:space="preserve">Union </w:t>
      </w:r>
      <w:r w:rsidR="0069654E">
        <w:rPr>
          <w:rFonts w:ascii="Times" w:hAnsi="Times"/>
        </w:rPr>
        <w:t xml:space="preserve">citizenship </w:t>
      </w:r>
      <w:r>
        <w:rPr>
          <w:rFonts w:ascii="Times" w:hAnsi="Times"/>
        </w:rPr>
        <w:t>ap</w:t>
      </w:r>
      <w:r w:rsidR="0069654E">
        <w:rPr>
          <w:rFonts w:ascii="Times" w:hAnsi="Times"/>
        </w:rPr>
        <w:t xml:space="preserve">pears problematic: </w:t>
      </w:r>
      <w:r>
        <w:rPr>
          <w:rFonts w:ascii="Times" w:hAnsi="Times"/>
        </w:rPr>
        <w:t xml:space="preserve">it is </w:t>
      </w:r>
      <w:r w:rsidR="00C51F5D">
        <w:rPr>
          <w:rFonts w:ascii="Times" w:hAnsi="Times"/>
          <w:lang w:val="en-US"/>
        </w:rPr>
        <w:t xml:space="preserve">questionable whether Union citizens </w:t>
      </w:r>
      <w:r w:rsidR="0069654E">
        <w:rPr>
          <w:rFonts w:ascii="Times" w:hAnsi="Times"/>
          <w:lang w:val="en-US"/>
        </w:rPr>
        <w:t xml:space="preserve">constitute </w:t>
      </w:r>
      <w:r w:rsidR="007D40A6">
        <w:rPr>
          <w:rFonts w:ascii="Times" w:hAnsi="Times"/>
        </w:rPr>
        <w:t xml:space="preserve">a </w:t>
      </w:r>
      <w:r w:rsidR="00C51F5D">
        <w:rPr>
          <w:rFonts w:ascii="Times" w:hAnsi="Times"/>
        </w:rPr>
        <w:t>harmonious community</w:t>
      </w:r>
      <w:r>
        <w:rPr>
          <w:rFonts w:ascii="Times" w:hAnsi="Times"/>
        </w:rPr>
        <w:t xml:space="preserve"> </w:t>
      </w:r>
      <w:r w:rsidR="00C51F5D">
        <w:rPr>
          <w:rFonts w:ascii="Times" w:hAnsi="Times"/>
        </w:rPr>
        <w:t xml:space="preserve">built on a common history </w:t>
      </w:r>
      <w:r w:rsidR="0069654E">
        <w:rPr>
          <w:rFonts w:ascii="Times" w:hAnsi="Times"/>
        </w:rPr>
        <w:t>and</w:t>
      </w:r>
      <w:r w:rsidR="00C51F5D">
        <w:rPr>
          <w:rFonts w:ascii="Times" w:hAnsi="Times"/>
        </w:rPr>
        <w:t xml:space="preserve"> cultural </w:t>
      </w:r>
      <w:r w:rsidR="005C02E6">
        <w:rPr>
          <w:rFonts w:ascii="Times" w:hAnsi="Times"/>
        </w:rPr>
        <w:t>bo</w:t>
      </w:r>
      <w:r w:rsidR="00A526C0">
        <w:rPr>
          <w:rFonts w:ascii="Times" w:hAnsi="Times"/>
        </w:rPr>
        <w:t>nds</w:t>
      </w:r>
      <w:r w:rsidR="0069654E">
        <w:rPr>
          <w:rFonts w:ascii="Times" w:hAnsi="Times"/>
        </w:rPr>
        <w:t xml:space="preserve"> </w:t>
      </w:r>
      <w:r w:rsidR="00DA4B2C">
        <w:rPr>
          <w:rFonts w:ascii="Times" w:hAnsi="Times"/>
        </w:rPr>
        <w:t>that provide</w:t>
      </w:r>
      <w:r w:rsidR="0069654E">
        <w:rPr>
          <w:rFonts w:ascii="Times" w:hAnsi="Times"/>
        </w:rPr>
        <w:t xml:space="preserve"> them with a political discourse and </w:t>
      </w:r>
      <w:r w:rsidR="00C51F5D">
        <w:rPr>
          <w:rFonts w:ascii="Times" w:hAnsi="Times"/>
        </w:rPr>
        <w:t>willingness to partake in a political process with the aim of achieving common good</w:t>
      </w:r>
      <w:r w:rsidR="008E7933">
        <w:rPr>
          <w:rFonts w:ascii="Times" w:hAnsi="Times"/>
        </w:rPr>
        <w:t xml:space="preserve"> </w:t>
      </w:r>
      <w:r w:rsidR="008E7933" w:rsidRPr="008E7933">
        <w:rPr>
          <w:rFonts w:ascii="Times" w:hAnsi="Times"/>
        </w:rPr>
        <w:t>(</w:t>
      </w:r>
      <w:r w:rsidR="008E7933" w:rsidRPr="008E7933">
        <w:rPr>
          <w:rFonts w:ascii="Times" w:hAnsi="Times"/>
          <w:iCs/>
          <w:szCs w:val="20"/>
          <w:bdr w:val="none" w:sz="0" w:space="0" w:color="auto" w:frame="1"/>
        </w:rPr>
        <w:t>Nicolaïdis</w:t>
      </w:r>
      <w:r w:rsidR="000F24F6">
        <w:rPr>
          <w:rFonts w:ascii="Times" w:hAnsi="Times"/>
          <w:iCs/>
          <w:szCs w:val="20"/>
          <w:bdr w:val="none" w:sz="0" w:space="0" w:color="auto" w:frame="1"/>
        </w:rPr>
        <w:t>,</w:t>
      </w:r>
      <w:r w:rsidR="008E7933" w:rsidRPr="008E7933">
        <w:rPr>
          <w:rStyle w:val="FootnoteReference"/>
          <w:rFonts w:ascii="Times" w:hAnsi="Times"/>
        </w:rPr>
        <w:t xml:space="preserve"> </w:t>
      </w:r>
      <w:r w:rsidR="008E7933" w:rsidRPr="008E7933">
        <w:rPr>
          <w:rFonts w:ascii="Times" w:hAnsi="Times"/>
        </w:rPr>
        <w:t>2014)</w:t>
      </w:r>
      <w:r w:rsidR="008E7933">
        <w:rPr>
          <w:rFonts w:ascii="Times" w:hAnsi="Times"/>
        </w:rPr>
        <w:t xml:space="preserve">. </w:t>
      </w:r>
      <w:r w:rsidR="0058197F">
        <w:rPr>
          <w:rFonts w:ascii="Times" w:hAnsi="Times"/>
        </w:rPr>
        <w:t>T</w:t>
      </w:r>
      <w:r w:rsidR="005B2275">
        <w:rPr>
          <w:rFonts w:ascii="Times" w:hAnsi="Times"/>
        </w:rPr>
        <w:t>he European é</w:t>
      </w:r>
      <w:r w:rsidR="006D773B">
        <w:rPr>
          <w:rFonts w:ascii="Times" w:hAnsi="Times"/>
        </w:rPr>
        <w:t xml:space="preserve">lites’ management of the </w:t>
      </w:r>
      <w:r w:rsidR="00CE0F78">
        <w:rPr>
          <w:rFonts w:ascii="Times" w:hAnsi="Times"/>
        </w:rPr>
        <w:t xml:space="preserve">financial crisis has exacerbated </w:t>
      </w:r>
      <w:r w:rsidR="00A526C0">
        <w:rPr>
          <w:rFonts w:ascii="Times" w:hAnsi="Times"/>
        </w:rPr>
        <w:t xml:space="preserve">these issues by adding economic </w:t>
      </w:r>
      <w:r w:rsidR="00CE0F78">
        <w:rPr>
          <w:rFonts w:ascii="Times" w:hAnsi="Times"/>
        </w:rPr>
        <w:t xml:space="preserve">diversity to the mixture and </w:t>
      </w:r>
      <w:r w:rsidR="002640E9">
        <w:rPr>
          <w:rFonts w:ascii="Times" w:hAnsi="Times"/>
        </w:rPr>
        <w:t xml:space="preserve">by </w:t>
      </w:r>
      <w:r w:rsidR="00CE0F78">
        <w:rPr>
          <w:rFonts w:ascii="Times" w:hAnsi="Times"/>
        </w:rPr>
        <w:t xml:space="preserve">introducing </w:t>
      </w:r>
      <w:r w:rsidR="00981B5A">
        <w:rPr>
          <w:rFonts w:ascii="Times" w:hAnsi="Times"/>
        </w:rPr>
        <w:t>tensions between the people</w:t>
      </w:r>
      <w:r w:rsidR="0058197F">
        <w:rPr>
          <w:rFonts w:ascii="Times" w:hAnsi="Times"/>
        </w:rPr>
        <w:t>s</w:t>
      </w:r>
      <w:r w:rsidR="00981B5A">
        <w:rPr>
          <w:rFonts w:ascii="Times" w:hAnsi="Times"/>
        </w:rPr>
        <w:t xml:space="preserve"> of creditor and debtor states (Habermas</w:t>
      </w:r>
      <w:r w:rsidR="000F24F6">
        <w:rPr>
          <w:rFonts w:ascii="Times" w:hAnsi="Times"/>
        </w:rPr>
        <w:t>,</w:t>
      </w:r>
      <w:r w:rsidR="00892D86">
        <w:rPr>
          <w:rFonts w:ascii="Times" w:hAnsi="Times"/>
        </w:rPr>
        <w:t xml:space="preserve"> </w:t>
      </w:r>
      <w:r w:rsidR="00D53713">
        <w:rPr>
          <w:rFonts w:ascii="Times" w:hAnsi="Times"/>
        </w:rPr>
        <w:t>2011</w:t>
      </w:r>
      <w:r w:rsidR="00892D86">
        <w:rPr>
          <w:rFonts w:ascii="Times" w:hAnsi="Times"/>
        </w:rPr>
        <w:t>, p.</w:t>
      </w:r>
      <w:r w:rsidR="00D53713">
        <w:rPr>
          <w:rFonts w:ascii="Times" w:hAnsi="Times"/>
        </w:rPr>
        <w:t>50</w:t>
      </w:r>
      <w:r w:rsidR="00981B5A">
        <w:rPr>
          <w:rFonts w:ascii="Times" w:hAnsi="Times"/>
        </w:rPr>
        <w:t>).</w:t>
      </w:r>
      <w:r w:rsidR="00CE0F78">
        <w:rPr>
          <w:rFonts w:ascii="Times" w:hAnsi="Times"/>
        </w:rPr>
        <w:t xml:space="preserve"> </w:t>
      </w:r>
    </w:p>
    <w:p w14:paraId="4B0A4CD5" w14:textId="77777777" w:rsidR="007211B4" w:rsidRDefault="007211B4" w:rsidP="002249E1">
      <w:pPr>
        <w:spacing w:line="480" w:lineRule="auto"/>
        <w:jc w:val="both"/>
        <w:rPr>
          <w:rFonts w:ascii="Times" w:hAnsi="Times"/>
          <w:lang w:val="en-US"/>
        </w:rPr>
      </w:pPr>
    </w:p>
    <w:p w14:paraId="4F79E3BC" w14:textId="3C6E8744" w:rsidR="009C7FD4" w:rsidRDefault="00111CC3" w:rsidP="002249E1">
      <w:pPr>
        <w:spacing w:line="480" w:lineRule="auto"/>
        <w:jc w:val="both"/>
        <w:rPr>
          <w:rFonts w:ascii="Times" w:eastAsia="SimSun" w:hAnsi="Times"/>
          <w:iCs/>
          <w:lang w:val="en-US" w:eastAsia="zh-CN"/>
        </w:rPr>
      </w:pPr>
      <w:r>
        <w:rPr>
          <w:rFonts w:ascii="Times" w:hAnsi="Times"/>
          <w:lang w:val="en-US"/>
        </w:rPr>
        <w:t>T</w:t>
      </w:r>
      <w:r w:rsidR="00D55839">
        <w:rPr>
          <w:rFonts w:ascii="Times" w:hAnsi="Times"/>
          <w:lang w:val="en-US"/>
        </w:rPr>
        <w:t xml:space="preserve">he Union’s extensive multi-level network </w:t>
      </w:r>
      <w:r w:rsidR="00C111AE">
        <w:rPr>
          <w:rFonts w:ascii="Times" w:hAnsi="Times"/>
          <w:lang w:val="en-US"/>
        </w:rPr>
        <w:t xml:space="preserve">governance </w:t>
      </w:r>
      <w:r w:rsidR="00D55839">
        <w:rPr>
          <w:rFonts w:ascii="Times" w:hAnsi="Times"/>
          <w:lang w:val="en-US"/>
        </w:rPr>
        <w:t xml:space="preserve">structure </w:t>
      </w:r>
      <w:r w:rsidR="006875AA">
        <w:rPr>
          <w:rFonts w:ascii="Times" w:hAnsi="Times"/>
          <w:lang w:val="en-US"/>
        </w:rPr>
        <w:t>further complicates</w:t>
      </w:r>
      <w:r>
        <w:rPr>
          <w:rFonts w:ascii="Times" w:hAnsi="Times"/>
          <w:lang w:val="en-US"/>
        </w:rPr>
        <w:t xml:space="preserve"> its legitimacy</w:t>
      </w:r>
      <w:r w:rsidR="004C13F3">
        <w:rPr>
          <w:rFonts w:ascii="Times" w:hAnsi="Times"/>
          <w:lang w:val="en-US"/>
        </w:rPr>
        <w:t xml:space="preserve"> </w:t>
      </w:r>
      <w:r w:rsidR="006875AA">
        <w:rPr>
          <w:rFonts w:ascii="Times" w:hAnsi="Times"/>
          <w:lang w:val="en-US"/>
        </w:rPr>
        <w:t xml:space="preserve">relationship with citizens. </w:t>
      </w:r>
      <w:r w:rsidR="006875AA" w:rsidRPr="006875AA">
        <w:rPr>
          <w:rFonts w:ascii="Times" w:hAnsi="Times"/>
          <w:lang w:val="en-US"/>
        </w:rPr>
        <w:t xml:space="preserve">Networks can be defined as </w:t>
      </w:r>
      <w:r w:rsidR="0046679C">
        <w:rPr>
          <w:rFonts w:ascii="Times" w:hAnsi="Times"/>
          <w:lang w:val="en-US"/>
        </w:rPr>
        <w:t>‘</w:t>
      </w:r>
      <w:r w:rsidR="006875AA" w:rsidRPr="0046679C">
        <w:rPr>
          <w:rFonts w:ascii="Times" w:eastAsia="SimSun" w:hAnsi="Times"/>
          <w:iCs/>
          <w:lang w:val="en-US" w:eastAsia="zh-CN"/>
        </w:rPr>
        <w:t>complex and dialectical relations</w:t>
      </w:r>
      <w:r w:rsidR="006875AA" w:rsidRPr="0046679C">
        <w:rPr>
          <w:rFonts w:ascii="Times" w:hAnsi="Times"/>
          <w:lang w:val="en-US"/>
        </w:rPr>
        <w:t xml:space="preserve"> </w:t>
      </w:r>
      <w:r w:rsidR="006875AA" w:rsidRPr="0046679C">
        <w:rPr>
          <w:rFonts w:ascii="Times" w:eastAsia="SimSun" w:hAnsi="Times"/>
          <w:iCs/>
          <w:lang w:val="en-US" w:eastAsia="zh-CN"/>
        </w:rPr>
        <w:t>between multiple and mutually dependent actors which take part in the formulation and enforcement of policies</w:t>
      </w:r>
      <w:r w:rsidR="00F44429">
        <w:rPr>
          <w:rFonts w:ascii="Times" w:eastAsia="SimSun" w:hAnsi="Times"/>
          <w:iCs/>
          <w:lang w:val="en-US" w:eastAsia="zh-CN"/>
        </w:rPr>
        <w:t>’</w:t>
      </w:r>
      <w:r w:rsidR="006875AA">
        <w:rPr>
          <w:rFonts w:ascii="Times" w:eastAsia="SimSun" w:hAnsi="Times"/>
          <w:i/>
          <w:iCs/>
          <w:lang w:val="en-US" w:eastAsia="zh-CN"/>
        </w:rPr>
        <w:t xml:space="preserve"> </w:t>
      </w:r>
      <w:r w:rsidR="00F91028">
        <w:rPr>
          <w:rFonts w:ascii="Times" w:eastAsia="SimSun" w:hAnsi="Times"/>
          <w:iCs/>
          <w:lang w:val="en-US" w:eastAsia="zh-CN"/>
        </w:rPr>
        <w:t>(Cengiz 2013, p.</w:t>
      </w:r>
      <w:r w:rsidR="006875AA">
        <w:rPr>
          <w:rFonts w:ascii="Times" w:eastAsia="SimSun" w:hAnsi="Times"/>
          <w:iCs/>
          <w:lang w:val="en-US" w:eastAsia="zh-CN"/>
        </w:rPr>
        <w:t>26).</w:t>
      </w:r>
      <w:r w:rsidR="003A4BA7">
        <w:rPr>
          <w:rFonts w:ascii="Times" w:eastAsia="SimSun" w:hAnsi="Times"/>
          <w:iCs/>
          <w:lang w:val="en-US" w:eastAsia="zh-CN"/>
        </w:rPr>
        <w:t xml:space="preserve"> </w:t>
      </w:r>
      <w:r w:rsidR="00A03D5A">
        <w:rPr>
          <w:rFonts w:ascii="Times" w:eastAsia="SimSun" w:hAnsi="Times"/>
          <w:iCs/>
          <w:lang w:val="en-US" w:eastAsia="zh-CN"/>
        </w:rPr>
        <w:t>Networks</w:t>
      </w:r>
      <w:r w:rsidR="00C044A6">
        <w:rPr>
          <w:rFonts w:ascii="Times" w:eastAsia="SimSun" w:hAnsi="Times"/>
          <w:iCs/>
          <w:lang w:val="en-US" w:eastAsia="zh-CN"/>
        </w:rPr>
        <w:t xml:space="preserve"> are flexible platforms that bring together </w:t>
      </w:r>
      <w:r w:rsidR="00867E96">
        <w:rPr>
          <w:rFonts w:ascii="Times" w:eastAsia="SimSun" w:hAnsi="Times"/>
          <w:iCs/>
          <w:lang w:val="en-US" w:eastAsia="zh-CN"/>
        </w:rPr>
        <w:t xml:space="preserve">national and Union </w:t>
      </w:r>
      <w:r w:rsidR="00BF05B5">
        <w:rPr>
          <w:rFonts w:ascii="Times" w:eastAsia="SimSun" w:hAnsi="Times"/>
          <w:iCs/>
          <w:lang w:val="en-US" w:eastAsia="zh-CN"/>
        </w:rPr>
        <w:t xml:space="preserve">experts and </w:t>
      </w:r>
      <w:r w:rsidR="00867E96">
        <w:rPr>
          <w:rFonts w:ascii="Times" w:eastAsia="SimSun" w:hAnsi="Times"/>
          <w:iCs/>
          <w:lang w:val="en-US" w:eastAsia="zh-CN"/>
        </w:rPr>
        <w:t xml:space="preserve">officials </w:t>
      </w:r>
      <w:r w:rsidR="00DE060E">
        <w:rPr>
          <w:rFonts w:ascii="Times" w:eastAsia="SimSun" w:hAnsi="Times"/>
          <w:iCs/>
          <w:lang w:val="en-US" w:eastAsia="zh-CN"/>
        </w:rPr>
        <w:t>who need each others’ cooperation to address a policy issue. E</w:t>
      </w:r>
      <w:r w:rsidR="003323BC">
        <w:rPr>
          <w:rFonts w:ascii="Times" w:eastAsia="SimSun" w:hAnsi="Times"/>
          <w:iCs/>
          <w:lang w:val="en-US" w:eastAsia="zh-CN"/>
        </w:rPr>
        <w:t>pistemic community</w:t>
      </w:r>
      <w:r w:rsidR="006A6F9E">
        <w:rPr>
          <w:rFonts w:ascii="Times" w:eastAsia="SimSun" w:hAnsi="Times"/>
          <w:iCs/>
          <w:lang w:val="en-US" w:eastAsia="zh-CN"/>
        </w:rPr>
        <w:t xml:space="preserve"> </w:t>
      </w:r>
      <w:r w:rsidR="009C7FD4">
        <w:rPr>
          <w:rFonts w:ascii="Times" w:eastAsia="SimSun" w:hAnsi="Times"/>
          <w:iCs/>
          <w:lang w:val="en-US" w:eastAsia="zh-CN"/>
        </w:rPr>
        <w:t xml:space="preserve">members, civil society and interest groups </w:t>
      </w:r>
      <w:r w:rsidR="00625316">
        <w:rPr>
          <w:rFonts w:ascii="Times" w:eastAsia="SimSun" w:hAnsi="Times"/>
          <w:iCs/>
          <w:lang w:val="en-US" w:eastAsia="zh-CN"/>
        </w:rPr>
        <w:t>are</w:t>
      </w:r>
      <w:r w:rsidR="009C7FD4">
        <w:rPr>
          <w:rFonts w:ascii="Times" w:eastAsia="SimSun" w:hAnsi="Times"/>
          <w:iCs/>
          <w:lang w:val="en-US" w:eastAsia="zh-CN"/>
        </w:rPr>
        <w:t xml:space="preserve"> given temporary access to networks depending </w:t>
      </w:r>
      <w:r w:rsidR="00515A9F">
        <w:rPr>
          <w:rFonts w:ascii="Times" w:eastAsia="SimSun" w:hAnsi="Times"/>
          <w:iCs/>
          <w:lang w:val="en-US" w:eastAsia="zh-CN"/>
        </w:rPr>
        <w:t xml:space="preserve">on </w:t>
      </w:r>
      <w:r w:rsidR="009C7FD4">
        <w:rPr>
          <w:rFonts w:ascii="Times" w:eastAsia="SimSun" w:hAnsi="Times"/>
          <w:iCs/>
          <w:lang w:val="en-US" w:eastAsia="zh-CN"/>
        </w:rPr>
        <w:t>their ability to provide technical information and expertise.</w:t>
      </w:r>
    </w:p>
    <w:p w14:paraId="1DF17CE4" w14:textId="77777777" w:rsidR="009C7FD4" w:rsidRDefault="009C7FD4" w:rsidP="002249E1">
      <w:pPr>
        <w:spacing w:line="480" w:lineRule="auto"/>
        <w:jc w:val="both"/>
        <w:rPr>
          <w:rFonts w:ascii="Times" w:hAnsi="Times"/>
          <w:lang w:val="en-US"/>
        </w:rPr>
      </w:pPr>
    </w:p>
    <w:p w14:paraId="468D7FD9" w14:textId="38E2FD78" w:rsidR="009C7FD4" w:rsidRPr="00236D6F" w:rsidRDefault="00003297" w:rsidP="002249E1">
      <w:pPr>
        <w:spacing w:line="480" w:lineRule="auto"/>
        <w:jc w:val="both"/>
        <w:rPr>
          <w:rFonts w:ascii="Times" w:hAnsi="Times"/>
        </w:rPr>
      </w:pPr>
      <w:r>
        <w:rPr>
          <w:rFonts w:ascii="Times" w:hAnsi="Times"/>
          <w:lang w:val="en-US"/>
        </w:rPr>
        <w:t>Network</w:t>
      </w:r>
      <w:r w:rsidR="009C7FD4">
        <w:rPr>
          <w:rFonts w:ascii="Times" w:hAnsi="Times"/>
          <w:lang w:val="en-US"/>
        </w:rPr>
        <w:t xml:space="preserve"> governance is not unique to the Union. Twenty-first century economic governance has given body to a plethora of transnational networks, since economic policies in </w:t>
      </w:r>
      <w:r>
        <w:rPr>
          <w:rFonts w:ascii="Times" w:hAnsi="Times"/>
          <w:lang w:val="en-US"/>
        </w:rPr>
        <w:t>one part of the world translate</w:t>
      </w:r>
      <w:r w:rsidR="009C7FD4">
        <w:rPr>
          <w:rFonts w:ascii="Times" w:hAnsi="Times"/>
          <w:lang w:val="en-US"/>
        </w:rPr>
        <w:t xml:space="preserve"> into externalities in other parts that require constant cooperation (Slaughter</w:t>
      </w:r>
      <w:r w:rsidR="000F24F6">
        <w:rPr>
          <w:rFonts w:ascii="Times" w:hAnsi="Times"/>
          <w:lang w:val="en-US"/>
        </w:rPr>
        <w:t>,</w:t>
      </w:r>
      <w:r w:rsidR="009C7FD4">
        <w:rPr>
          <w:rFonts w:ascii="Times" w:hAnsi="Times"/>
          <w:lang w:val="en-US"/>
        </w:rPr>
        <w:t xml:space="preserve"> 2005; Peters</w:t>
      </w:r>
      <w:r w:rsidR="000F24F6">
        <w:rPr>
          <w:rFonts w:ascii="Times" w:hAnsi="Times"/>
          <w:lang w:val="en-US"/>
        </w:rPr>
        <w:t>,</w:t>
      </w:r>
      <w:r w:rsidR="009C7FD4">
        <w:rPr>
          <w:rFonts w:ascii="Times" w:hAnsi="Times"/>
          <w:lang w:val="en-US"/>
        </w:rPr>
        <w:t xml:space="preserve"> 1998). Nevertheless, as a ‘regulatory state’ that aims to achieve a</w:t>
      </w:r>
      <w:r w:rsidR="004D4D2F">
        <w:rPr>
          <w:rFonts w:ascii="Times" w:hAnsi="Times"/>
          <w:lang w:val="en-US"/>
        </w:rPr>
        <w:t>n</w:t>
      </w:r>
      <w:r w:rsidR="009C7FD4">
        <w:rPr>
          <w:rFonts w:ascii="Times" w:hAnsi="Times"/>
          <w:lang w:val="en-US"/>
        </w:rPr>
        <w:t xml:space="preserve"> </w:t>
      </w:r>
      <w:r w:rsidR="004D4D2F" w:rsidRPr="00964A1C">
        <w:rPr>
          <w:rFonts w:ascii="Times" w:hAnsi="Times"/>
          <w:lang w:val="en-US"/>
        </w:rPr>
        <w:t>internal</w:t>
      </w:r>
      <w:r w:rsidR="009C7FD4" w:rsidRPr="00964A1C">
        <w:rPr>
          <w:rFonts w:ascii="Times" w:hAnsi="Times"/>
          <w:lang w:val="en-US"/>
        </w:rPr>
        <w:t xml:space="preserve"> market</w:t>
      </w:r>
      <w:r w:rsidR="009C7FD4">
        <w:rPr>
          <w:rFonts w:ascii="Times" w:hAnsi="Times"/>
          <w:lang w:val="en-US"/>
        </w:rPr>
        <w:t xml:space="preserve"> </w:t>
      </w:r>
      <w:r w:rsidR="009C7FD4">
        <w:rPr>
          <w:rFonts w:ascii="Times" w:hAnsi="Times"/>
        </w:rPr>
        <w:t>in twenty-eight Member States, the Union is particularly hospitable to network governance, as this provides an efficient alternative to red tape and hierarchy (Majone</w:t>
      </w:r>
      <w:r w:rsidR="000F24F6">
        <w:rPr>
          <w:rFonts w:ascii="Times" w:hAnsi="Times"/>
        </w:rPr>
        <w:t>,</w:t>
      </w:r>
      <w:r w:rsidR="009C7FD4">
        <w:rPr>
          <w:rFonts w:ascii="Times" w:hAnsi="Times"/>
        </w:rPr>
        <w:t xml:space="preserve"> 1996). The regulatory landscape of the Union is replete </w:t>
      </w:r>
      <w:r w:rsidR="009C2A2F">
        <w:rPr>
          <w:rFonts w:ascii="Times" w:hAnsi="Times"/>
        </w:rPr>
        <w:t xml:space="preserve">with </w:t>
      </w:r>
      <w:r w:rsidR="004538A2">
        <w:rPr>
          <w:rFonts w:ascii="Times" w:hAnsi="Times"/>
        </w:rPr>
        <w:t>networks</w:t>
      </w:r>
      <w:r w:rsidR="009C7FD4">
        <w:rPr>
          <w:rFonts w:ascii="Times" w:hAnsi="Times"/>
        </w:rPr>
        <w:t>, i</w:t>
      </w:r>
      <w:r w:rsidR="004538A2">
        <w:rPr>
          <w:rFonts w:ascii="Times" w:hAnsi="Times"/>
        </w:rPr>
        <w:t>ncluding comitology committees</w:t>
      </w:r>
      <w:r w:rsidR="009C7FD4">
        <w:rPr>
          <w:rFonts w:ascii="Times" w:hAnsi="Times"/>
        </w:rPr>
        <w:t xml:space="preserve">, </w:t>
      </w:r>
      <w:r w:rsidR="004538A2">
        <w:rPr>
          <w:rFonts w:ascii="Times" w:hAnsi="Times"/>
        </w:rPr>
        <w:t xml:space="preserve">the </w:t>
      </w:r>
      <w:r w:rsidR="009C7FD4">
        <w:rPr>
          <w:rFonts w:ascii="Times" w:hAnsi="Times"/>
        </w:rPr>
        <w:t>open method of coordination, the European regulatory agencies with links in nat</w:t>
      </w:r>
      <w:r w:rsidR="00B70644">
        <w:rPr>
          <w:rFonts w:ascii="Times" w:hAnsi="Times"/>
        </w:rPr>
        <w:t>ional capitals, the ECN</w:t>
      </w:r>
      <w:r w:rsidR="00D14EF3">
        <w:rPr>
          <w:rFonts w:ascii="Times" w:hAnsi="Times"/>
        </w:rPr>
        <w:t xml:space="preserve"> </w:t>
      </w:r>
      <w:r w:rsidR="009C7FD4">
        <w:rPr>
          <w:rFonts w:ascii="Times" w:hAnsi="Times"/>
        </w:rPr>
        <w:t>that brings together the Union and national competition off</w:t>
      </w:r>
      <w:r w:rsidR="00B25081">
        <w:rPr>
          <w:rFonts w:ascii="Times" w:hAnsi="Times"/>
        </w:rPr>
        <w:t xml:space="preserve">icials, and similar networks between regulators of network industries </w:t>
      </w:r>
      <w:r w:rsidR="009C7FD4">
        <w:rPr>
          <w:rFonts w:ascii="Times" w:hAnsi="Times"/>
        </w:rPr>
        <w:t>(Ansell</w:t>
      </w:r>
      <w:r w:rsidR="000F24F6">
        <w:rPr>
          <w:rFonts w:ascii="Times" w:hAnsi="Times"/>
        </w:rPr>
        <w:t>,</w:t>
      </w:r>
      <w:r w:rsidR="009C7FD4">
        <w:rPr>
          <w:rFonts w:ascii="Times" w:hAnsi="Times"/>
        </w:rPr>
        <w:t xml:space="preserve"> 2000; Hooghe and Marks</w:t>
      </w:r>
      <w:r w:rsidR="000F24F6">
        <w:rPr>
          <w:rFonts w:ascii="Times" w:hAnsi="Times"/>
        </w:rPr>
        <w:t>,</w:t>
      </w:r>
      <w:r w:rsidR="009C7FD4">
        <w:rPr>
          <w:rFonts w:ascii="Times" w:hAnsi="Times"/>
        </w:rPr>
        <w:t xml:space="preserve"> 2001). </w:t>
      </w:r>
    </w:p>
    <w:p w14:paraId="3D6E88B7" w14:textId="77777777" w:rsidR="009C7FD4" w:rsidRDefault="009C7FD4" w:rsidP="002249E1">
      <w:pPr>
        <w:spacing w:line="480" w:lineRule="auto"/>
        <w:jc w:val="both"/>
        <w:rPr>
          <w:rFonts w:ascii="Times" w:hAnsi="Times"/>
        </w:rPr>
      </w:pPr>
    </w:p>
    <w:p w14:paraId="42466CA5" w14:textId="10780734" w:rsidR="009C7FD4" w:rsidRDefault="009C7FD4" w:rsidP="002249E1">
      <w:pPr>
        <w:spacing w:line="480" w:lineRule="auto"/>
        <w:jc w:val="both"/>
        <w:rPr>
          <w:rFonts w:ascii="Times" w:hAnsi="Times"/>
          <w:lang w:val="en-US"/>
        </w:rPr>
      </w:pPr>
      <w:r>
        <w:rPr>
          <w:rFonts w:ascii="Times" w:hAnsi="Times"/>
          <w:lang w:val="en-US"/>
        </w:rPr>
        <w:t xml:space="preserve">Political science struggles with </w:t>
      </w:r>
      <w:r w:rsidR="000A2369">
        <w:rPr>
          <w:rFonts w:ascii="Times" w:hAnsi="Times"/>
          <w:lang w:val="en-US"/>
        </w:rPr>
        <w:t xml:space="preserve">the </w:t>
      </w:r>
      <w:r>
        <w:rPr>
          <w:rFonts w:ascii="Times" w:hAnsi="Times"/>
          <w:lang w:val="en-US"/>
        </w:rPr>
        <w:t>democratic qualities of networks</w:t>
      </w:r>
      <w:r w:rsidR="00092B58">
        <w:rPr>
          <w:rFonts w:ascii="Times" w:hAnsi="Times"/>
          <w:lang w:val="en-US"/>
        </w:rPr>
        <w:t>,</w:t>
      </w:r>
      <w:r>
        <w:rPr>
          <w:rFonts w:ascii="Times" w:hAnsi="Times"/>
          <w:lang w:val="en-US"/>
        </w:rPr>
        <w:t xml:space="preserve"> as </w:t>
      </w:r>
      <w:r w:rsidR="00092B58">
        <w:rPr>
          <w:rFonts w:ascii="Times" w:hAnsi="Times"/>
          <w:lang w:val="en-US"/>
        </w:rPr>
        <w:t xml:space="preserve">they are </w:t>
      </w:r>
      <w:r>
        <w:rPr>
          <w:rFonts w:ascii="Times" w:hAnsi="Times"/>
          <w:lang w:val="en-US"/>
        </w:rPr>
        <w:t>n</w:t>
      </w:r>
      <w:r w:rsidR="00CC277C">
        <w:rPr>
          <w:rFonts w:ascii="Times" w:hAnsi="Times"/>
          <w:lang w:val="en-US"/>
        </w:rPr>
        <w:t>ovel governance phenomena. A</w:t>
      </w:r>
      <w:r>
        <w:rPr>
          <w:rFonts w:ascii="Times" w:hAnsi="Times"/>
          <w:lang w:val="en-US"/>
        </w:rPr>
        <w:t xml:space="preserve">lthough </w:t>
      </w:r>
      <w:r w:rsidR="00AE6383">
        <w:rPr>
          <w:rFonts w:ascii="Times" w:hAnsi="Times"/>
          <w:lang w:val="en-US"/>
        </w:rPr>
        <w:t>networks</w:t>
      </w:r>
      <w:r>
        <w:rPr>
          <w:rFonts w:ascii="Times" w:hAnsi="Times"/>
          <w:lang w:val="en-US"/>
        </w:rPr>
        <w:t xml:space="preserve"> influence policies substantially</w:t>
      </w:r>
      <w:r w:rsidR="00AE6383">
        <w:rPr>
          <w:rFonts w:ascii="Times" w:hAnsi="Times"/>
          <w:lang w:val="en-US"/>
        </w:rPr>
        <w:t>,</w:t>
      </w:r>
      <w:r>
        <w:rPr>
          <w:rFonts w:ascii="Times" w:hAnsi="Times"/>
          <w:lang w:val="en-US"/>
        </w:rPr>
        <w:t xml:space="preserve"> </w:t>
      </w:r>
      <w:r w:rsidR="00AE6383">
        <w:rPr>
          <w:rFonts w:ascii="Times" w:hAnsi="Times"/>
          <w:lang w:val="en-US"/>
        </w:rPr>
        <w:t>they</w:t>
      </w:r>
      <w:r w:rsidR="000300C7">
        <w:rPr>
          <w:rFonts w:ascii="Times" w:hAnsi="Times"/>
          <w:lang w:val="en-US"/>
        </w:rPr>
        <w:t xml:space="preserve"> neither share a legitimacy bo</w:t>
      </w:r>
      <w:r>
        <w:rPr>
          <w:rFonts w:ascii="Times" w:hAnsi="Times"/>
          <w:lang w:val="en-US"/>
        </w:rPr>
        <w:t xml:space="preserve">nd with citizens in the form of elections nor do they have a </w:t>
      </w:r>
      <w:r w:rsidRPr="00DA3CDB">
        <w:rPr>
          <w:rFonts w:ascii="Times" w:hAnsi="Times"/>
          <w:i/>
          <w:lang w:val="en-US"/>
        </w:rPr>
        <w:t>demos</w:t>
      </w:r>
      <w:r>
        <w:rPr>
          <w:rFonts w:ascii="Times" w:hAnsi="Times"/>
          <w:lang w:val="en-US"/>
        </w:rPr>
        <w:t xml:space="preserve"> – all they have is policy clienteles</w:t>
      </w:r>
      <w:r w:rsidR="00A501FB">
        <w:rPr>
          <w:rFonts w:ascii="Times" w:hAnsi="Times"/>
          <w:lang w:val="en-US"/>
        </w:rPr>
        <w:t>,</w:t>
      </w:r>
      <w:r>
        <w:rPr>
          <w:rFonts w:ascii="Times" w:hAnsi="Times"/>
          <w:lang w:val="en-US"/>
        </w:rPr>
        <w:t xml:space="preserve"> at times with opposing interest</w:t>
      </w:r>
      <w:r w:rsidR="00A501FB">
        <w:rPr>
          <w:rFonts w:ascii="Times" w:hAnsi="Times"/>
          <w:lang w:val="en-US"/>
        </w:rPr>
        <w:t>s (e.g. consumers v. businesses;</w:t>
      </w:r>
      <w:r>
        <w:rPr>
          <w:rFonts w:ascii="Times" w:hAnsi="Times"/>
          <w:lang w:val="en-US"/>
        </w:rPr>
        <w:t xml:space="preserve"> </w:t>
      </w:r>
      <w:r w:rsidR="00CC277C">
        <w:rPr>
          <w:rFonts w:ascii="Times" w:hAnsi="Times"/>
          <w:lang w:val="en-US"/>
        </w:rPr>
        <w:t>workers</w:t>
      </w:r>
      <w:r>
        <w:rPr>
          <w:rFonts w:ascii="Times" w:hAnsi="Times"/>
          <w:lang w:val="en-US"/>
        </w:rPr>
        <w:t xml:space="preserve"> v. employers) (Peters and Pierre</w:t>
      </w:r>
      <w:r w:rsidR="000F24F6">
        <w:rPr>
          <w:rFonts w:ascii="Times" w:hAnsi="Times"/>
          <w:lang w:val="en-US"/>
        </w:rPr>
        <w:t>,</w:t>
      </w:r>
      <w:r>
        <w:rPr>
          <w:rFonts w:ascii="Times" w:hAnsi="Times"/>
          <w:lang w:val="en-US"/>
        </w:rPr>
        <w:t xml:space="preserve"> 2005; Papadopoulos</w:t>
      </w:r>
      <w:r w:rsidR="000F24F6">
        <w:rPr>
          <w:rFonts w:ascii="Times" w:hAnsi="Times"/>
          <w:lang w:val="en-US"/>
        </w:rPr>
        <w:t>,</w:t>
      </w:r>
      <w:r>
        <w:rPr>
          <w:rFonts w:ascii="Times" w:hAnsi="Times"/>
          <w:lang w:val="en-US"/>
        </w:rPr>
        <w:t xml:space="preserve"> 2007). </w:t>
      </w:r>
      <w:r w:rsidR="003C73FC">
        <w:rPr>
          <w:rFonts w:ascii="Times" w:hAnsi="Times"/>
          <w:lang w:val="en-US"/>
        </w:rPr>
        <w:t xml:space="preserve">These issues appear </w:t>
      </w:r>
      <w:r w:rsidR="00E66F02">
        <w:rPr>
          <w:rFonts w:ascii="Times" w:hAnsi="Times"/>
          <w:lang w:val="en-US"/>
        </w:rPr>
        <w:t>more serious</w:t>
      </w:r>
      <w:r w:rsidR="0061340A">
        <w:rPr>
          <w:rFonts w:ascii="Times" w:hAnsi="Times"/>
          <w:lang w:val="en-US"/>
        </w:rPr>
        <w:t xml:space="preserve"> in the Union. C</w:t>
      </w:r>
      <w:r w:rsidR="00E66F02">
        <w:rPr>
          <w:rFonts w:ascii="Times" w:hAnsi="Times"/>
          <w:lang w:val="en-US"/>
        </w:rPr>
        <w:t xml:space="preserve">oupled with </w:t>
      </w:r>
      <w:r>
        <w:rPr>
          <w:rFonts w:ascii="Times" w:hAnsi="Times"/>
          <w:lang w:val="en-US"/>
        </w:rPr>
        <w:t xml:space="preserve">the general legitimacy problems identified above, extensive network governance </w:t>
      </w:r>
      <w:r w:rsidR="00C06498">
        <w:rPr>
          <w:rFonts w:ascii="Times" w:hAnsi="Times"/>
          <w:lang w:val="en-US"/>
        </w:rPr>
        <w:t xml:space="preserve">brings with it the danger of producing policies </w:t>
      </w:r>
      <w:r>
        <w:rPr>
          <w:rFonts w:ascii="Times" w:hAnsi="Times"/>
          <w:lang w:val="en-US"/>
        </w:rPr>
        <w:t xml:space="preserve">stretched away from expressed </w:t>
      </w:r>
      <w:r w:rsidR="00E56360">
        <w:rPr>
          <w:rFonts w:ascii="Times" w:hAnsi="Times"/>
          <w:lang w:val="en-US"/>
        </w:rPr>
        <w:t xml:space="preserve">citizen </w:t>
      </w:r>
      <w:r>
        <w:rPr>
          <w:rFonts w:ascii="Times" w:hAnsi="Times"/>
          <w:lang w:val="en-US"/>
        </w:rPr>
        <w:t xml:space="preserve">choices. </w:t>
      </w:r>
    </w:p>
    <w:p w14:paraId="26EC1A5B" w14:textId="77777777" w:rsidR="009C7FD4" w:rsidRDefault="009C7FD4" w:rsidP="002249E1">
      <w:pPr>
        <w:spacing w:line="480" w:lineRule="auto"/>
        <w:jc w:val="both"/>
        <w:rPr>
          <w:rFonts w:ascii="Times" w:hAnsi="Times"/>
          <w:lang w:val="en-US"/>
        </w:rPr>
      </w:pPr>
    </w:p>
    <w:p w14:paraId="19D06ED5" w14:textId="4BDB275B" w:rsidR="00AC42A0" w:rsidRDefault="009C7FD4" w:rsidP="002249E1">
      <w:pPr>
        <w:spacing w:line="480" w:lineRule="auto"/>
        <w:jc w:val="both"/>
        <w:rPr>
          <w:rFonts w:ascii="Times" w:hAnsi="Times"/>
          <w:lang w:val="en-US"/>
        </w:rPr>
      </w:pPr>
      <w:r>
        <w:rPr>
          <w:rFonts w:ascii="Times" w:hAnsi="Times"/>
          <w:lang w:val="en-US"/>
        </w:rPr>
        <w:t xml:space="preserve">This, nevertheless, is the conclusion </w:t>
      </w:r>
      <w:r w:rsidR="001D61EC">
        <w:rPr>
          <w:rFonts w:ascii="Times" w:hAnsi="Times"/>
          <w:lang w:val="en-US"/>
        </w:rPr>
        <w:t>of</w:t>
      </w:r>
      <w:r>
        <w:rPr>
          <w:rFonts w:ascii="Times" w:hAnsi="Times"/>
          <w:lang w:val="en-US"/>
        </w:rPr>
        <w:t xml:space="preserve"> the liberal/republican models that </w:t>
      </w:r>
      <w:r>
        <w:rPr>
          <w:rFonts w:ascii="Times" w:hAnsi="Times"/>
        </w:rPr>
        <w:t xml:space="preserve">do not reflect the complexities of governance in post-modern </w:t>
      </w:r>
      <w:r w:rsidR="00E56360">
        <w:rPr>
          <w:rFonts w:ascii="Times" w:hAnsi="Times"/>
        </w:rPr>
        <w:t>polities</w:t>
      </w:r>
      <w:r>
        <w:rPr>
          <w:rFonts w:ascii="Times" w:hAnsi="Times"/>
        </w:rPr>
        <w:t xml:space="preserve">. </w:t>
      </w:r>
      <w:r>
        <w:rPr>
          <w:rFonts w:ascii="Times" w:hAnsi="Times"/>
          <w:lang w:val="en-US"/>
        </w:rPr>
        <w:t>In post-modern polities</w:t>
      </w:r>
      <w:r w:rsidR="00E56360">
        <w:rPr>
          <w:rFonts w:ascii="Times" w:hAnsi="Times"/>
          <w:lang w:val="en-US"/>
        </w:rPr>
        <w:t>,</w:t>
      </w:r>
      <w:r>
        <w:rPr>
          <w:rFonts w:ascii="Times" w:hAnsi="Times"/>
          <w:lang w:val="en-US"/>
        </w:rPr>
        <w:t xml:space="preserve"> policymakers </w:t>
      </w:r>
      <w:r w:rsidR="00962675">
        <w:rPr>
          <w:rFonts w:ascii="Times" w:hAnsi="Times"/>
          <w:lang w:val="en-US"/>
        </w:rPr>
        <w:t xml:space="preserve">frequently </w:t>
      </w:r>
      <w:r>
        <w:rPr>
          <w:rFonts w:ascii="Times" w:hAnsi="Times"/>
          <w:lang w:val="en-US"/>
        </w:rPr>
        <w:t xml:space="preserve">face salient questions that need to be legitimated through </w:t>
      </w:r>
      <w:r w:rsidR="006D0AFE">
        <w:rPr>
          <w:rFonts w:ascii="Times" w:hAnsi="Times"/>
          <w:lang w:val="en-US"/>
        </w:rPr>
        <w:t xml:space="preserve">more frequent </w:t>
      </w:r>
      <w:r>
        <w:rPr>
          <w:rFonts w:ascii="Times" w:hAnsi="Times"/>
          <w:lang w:val="en-US"/>
        </w:rPr>
        <w:t xml:space="preserve">feedback mechanisms </w:t>
      </w:r>
      <w:r w:rsidR="006D0AFE">
        <w:rPr>
          <w:rFonts w:ascii="Times" w:hAnsi="Times"/>
          <w:lang w:val="en-US"/>
        </w:rPr>
        <w:t>than</w:t>
      </w:r>
      <w:r>
        <w:rPr>
          <w:rFonts w:ascii="Times" w:hAnsi="Times"/>
          <w:lang w:val="en-US"/>
        </w:rPr>
        <w:t xml:space="preserve"> political elections (Gutmann and Thompson 1998, </w:t>
      </w:r>
      <w:r w:rsidR="00F91028">
        <w:rPr>
          <w:rFonts w:ascii="Times" w:hAnsi="Times"/>
          <w:lang w:val="en-US"/>
        </w:rPr>
        <w:t>p.</w:t>
      </w:r>
      <w:r>
        <w:rPr>
          <w:rFonts w:ascii="Times" w:hAnsi="Times"/>
          <w:lang w:val="en-US"/>
        </w:rPr>
        <w:t xml:space="preserve">129).  Similarly, in the light of diversities underlying post-modern societies, a thick </w:t>
      </w:r>
      <w:r w:rsidRPr="00B52ABD">
        <w:rPr>
          <w:rFonts w:ascii="Times" w:hAnsi="Times"/>
          <w:i/>
          <w:lang w:val="en-US"/>
        </w:rPr>
        <w:t>demos</w:t>
      </w:r>
      <w:r>
        <w:rPr>
          <w:rFonts w:ascii="Times" w:hAnsi="Times"/>
          <w:lang w:val="en-US"/>
        </w:rPr>
        <w:t xml:space="preserve"> envisaged in republica</w:t>
      </w:r>
      <w:r w:rsidR="00E56360">
        <w:rPr>
          <w:rFonts w:ascii="Times" w:hAnsi="Times"/>
          <w:lang w:val="en-US"/>
        </w:rPr>
        <w:t xml:space="preserve">n ideals does not always exist </w:t>
      </w:r>
      <w:r w:rsidR="00F91028">
        <w:rPr>
          <w:rFonts w:ascii="Times" w:hAnsi="Times"/>
          <w:lang w:val="en-US"/>
        </w:rPr>
        <w:t>(Dryzek 2008, p.</w:t>
      </w:r>
      <w:r>
        <w:rPr>
          <w:rFonts w:ascii="Times" w:hAnsi="Times"/>
          <w:lang w:val="en-US"/>
        </w:rPr>
        <w:t xml:space="preserve">264). Against this background, deliberative models argue that open methods of communication to which all affected citizen groups contribute freely constitute a superior </w:t>
      </w:r>
      <w:r w:rsidR="00387405">
        <w:rPr>
          <w:rFonts w:ascii="Times" w:hAnsi="Times"/>
          <w:lang w:val="en-US"/>
        </w:rPr>
        <w:t xml:space="preserve">legitimating </w:t>
      </w:r>
      <w:r>
        <w:rPr>
          <w:rFonts w:ascii="Times" w:hAnsi="Times"/>
          <w:lang w:val="en-US"/>
        </w:rPr>
        <w:t>mechanism (Habermas</w:t>
      </w:r>
      <w:r w:rsidR="000F24F6">
        <w:rPr>
          <w:rFonts w:ascii="Times" w:hAnsi="Times"/>
          <w:lang w:val="en-US"/>
        </w:rPr>
        <w:t>,</w:t>
      </w:r>
      <w:r w:rsidR="00F91028">
        <w:rPr>
          <w:rFonts w:ascii="Times" w:hAnsi="Times"/>
          <w:lang w:val="en-US"/>
        </w:rPr>
        <w:t xml:space="preserve"> 2012, p.</w:t>
      </w:r>
      <w:r>
        <w:rPr>
          <w:rFonts w:ascii="Times" w:hAnsi="Times"/>
          <w:lang w:val="en-US"/>
        </w:rPr>
        <w:t>315; Young</w:t>
      </w:r>
      <w:r w:rsidR="000F24F6">
        <w:rPr>
          <w:rFonts w:ascii="Times" w:hAnsi="Times"/>
          <w:lang w:val="en-US"/>
        </w:rPr>
        <w:t>,</w:t>
      </w:r>
      <w:r w:rsidR="00F91028">
        <w:rPr>
          <w:rFonts w:ascii="Times" w:hAnsi="Times"/>
          <w:lang w:val="en-US"/>
        </w:rPr>
        <w:t xml:space="preserve"> 2000, p.</w:t>
      </w:r>
      <w:r>
        <w:rPr>
          <w:rFonts w:ascii="Times" w:hAnsi="Times"/>
          <w:lang w:val="en-US"/>
        </w:rPr>
        <w:t>121).</w:t>
      </w:r>
      <w:r w:rsidRPr="00F97413">
        <w:rPr>
          <w:rStyle w:val="EndnoteReference"/>
          <w:rFonts w:ascii="Times" w:hAnsi="Times"/>
          <w:lang w:val="en-US"/>
        </w:rPr>
        <w:t xml:space="preserve"> </w:t>
      </w:r>
      <w:r>
        <w:rPr>
          <w:rFonts w:ascii="Times" w:hAnsi="Times"/>
          <w:lang w:val="en-US"/>
        </w:rPr>
        <w:t xml:space="preserve"> Deliberation doe</w:t>
      </w:r>
      <w:r w:rsidR="000D7368">
        <w:rPr>
          <w:rFonts w:ascii="Times" w:hAnsi="Times"/>
          <w:lang w:val="en-US"/>
        </w:rPr>
        <w:t>s not need to lead to consensus. F</w:t>
      </w:r>
      <w:r>
        <w:rPr>
          <w:rFonts w:ascii="Times" w:hAnsi="Times"/>
          <w:lang w:val="en-US"/>
        </w:rPr>
        <w:t xml:space="preserve">rom the normative perspective of participatory democracy, deliberative experience creates ‘better citizens’ by transforming </w:t>
      </w:r>
      <w:r w:rsidR="00C3276A">
        <w:rPr>
          <w:rFonts w:ascii="Times" w:hAnsi="Times"/>
          <w:lang w:val="en-US"/>
        </w:rPr>
        <w:t>citizens’</w:t>
      </w:r>
      <w:r>
        <w:rPr>
          <w:rFonts w:ascii="Times" w:hAnsi="Times"/>
          <w:lang w:val="en-US"/>
        </w:rPr>
        <w:t xml:space="preserve"> id</w:t>
      </w:r>
      <w:r w:rsidR="00C3276A">
        <w:rPr>
          <w:rFonts w:ascii="Times" w:hAnsi="Times"/>
          <w:lang w:val="en-US"/>
        </w:rPr>
        <w:t xml:space="preserve">eas and decreasing social </w:t>
      </w:r>
      <w:r>
        <w:rPr>
          <w:rFonts w:ascii="Times" w:hAnsi="Times"/>
          <w:lang w:val="en-US"/>
        </w:rPr>
        <w:t xml:space="preserve">prejudices (Andersen and Hansen, 2007). Deliberative models, however, also suffer from weaknesses: they assume </w:t>
      </w:r>
      <w:r w:rsidR="0053446F">
        <w:rPr>
          <w:rFonts w:ascii="Times" w:hAnsi="Times"/>
          <w:lang w:val="en-US"/>
        </w:rPr>
        <w:t>different citizen groups’</w:t>
      </w:r>
      <w:r>
        <w:rPr>
          <w:rFonts w:ascii="Times" w:hAnsi="Times"/>
          <w:lang w:val="en-US"/>
        </w:rPr>
        <w:t xml:space="preserve"> willingness to talk to each other; and they overlook the possibility </w:t>
      </w:r>
      <w:r w:rsidR="008E2E7F">
        <w:rPr>
          <w:rFonts w:ascii="Times" w:hAnsi="Times"/>
          <w:lang w:val="en-US"/>
        </w:rPr>
        <w:t xml:space="preserve">of </w:t>
      </w:r>
      <w:r>
        <w:rPr>
          <w:rFonts w:ascii="Times" w:hAnsi="Times"/>
          <w:lang w:val="en-US"/>
        </w:rPr>
        <w:t>deliberative processes</w:t>
      </w:r>
      <w:r w:rsidR="00387405">
        <w:rPr>
          <w:rFonts w:ascii="Times" w:hAnsi="Times"/>
          <w:lang w:val="en-US"/>
        </w:rPr>
        <w:t xml:space="preserve"> being captured by powerful interest groups</w:t>
      </w:r>
      <w:r>
        <w:rPr>
          <w:rFonts w:ascii="Times" w:hAnsi="Times"/>
          <w:lang w:val="en-US"/>
        </w:rPr>
        <w:t xml:space="preserve"> (Goodin and Dryzek</w:t>
      </w:r>
      <w:r w:rsidR="008F0CCF">
        <w:rPr>
          <w:rFonts w:ascii="Times" w:hAnsi="Times"/>
          <w:lang w:val="en-US"/>
        </w:rPr>
        <w:t>,</w:t>
      </w:r>
      <w:r>
        <w:rPr>
          <w:rFonts w:ascii="Times" w:hAnsi="Times"/>
          <w:lang w:val="en-US"/>
        </w:rPr>
        <w:t xml:space="preserve"> </w:t>
      </w:r>
      <w:r w:rsidR="009643C8">
        <w:rPr>
          <w:rFonts w:ascii="Times" w:hAnsi="Times"/>
          <w:lang w:val="en-US"/>
        </w:rPr>
        <w:t>2008</w:t>
      </w:r>
      <w:r>
        <w:rPr>
          <w:rFonts w:ascii="Times" w:hAnsi="Times"/>
          <w:lang w:val="en-US"/>
        </w:rPr>
        <w:t xml:space="preserve">). </w:t>
      </w:r>
    </w:p>
    <w:p w14:paraId="4F3CE684" w14:textId="77777777" w:rsidR="002A7EC0" w:rsidRDefault="002A7EC0" w:rsidP="002249E1">
      <w:pPr>
        <w:spacing w:line="480" w:lineRule="auto"/>
        <w:jc w:val="both"/>
        <w:rPr>
          <w:rFonts w:ascii="Times" w:hAnsi="Times"/>
          <w:lang w:val="en-US"/>
        </w:rPr>
      </w:pPr>
    </w:p>
    <w:p w14:paraId="5FA34D7C" w14:textId="27B11039" w:rsidR="009C7FD4" w:rsidRDefault="009C7FD4" w:rsidP="002249E1">
      <w:pPr>
        <w:spacing w:line="480" w:lineRule="auto"/>
        <w:jc w:val="both"/>
        <w:rPr>
          <w:rFonts w:ascii="Times" w:hAnsi="Times"/>
          <w:lang w:val="en-US"/>
        </w:rPr>
      </w:pPr>
      <w:r>
        <w:rPr>
          <w:rFonts w:ascii="Times" w:hAnsi="Times"/>
          <w:lang w:val="en-US"/>
        </w:rPr>
        <w:t xml:space="preserve">In loose transnational </w:t>
      </w:r>
      <w:r w:rsidR="00AD13BA">
        <w:rPr>
          <w:rFonts w:ascii="Times" w:hAnsi="Times"/>
          <w:lang w:val="en-US"/>
        </w:rPr>
        <w:t>polities</w:t>
      </w:r>
      <w:r w:rsidR="00902281">
        <w:rPr>
          <w:rFonts w:ascii="Times" w:hAnsi="Times"/>
          <w:lang w:val="en-US"/>
        </w:rPr>
        <w:t>, such as the Union, scale and</w:t>
      </w:r>
      <w:r>
        <w:rPr>
          <w:rFonts w:ascii="Times" w:hAnsi="Times"/>
          <w:lang w:val="en-US"/>
        </w:rPr>
        <w:t xml:space="preserve"> diversity appear as the key obstacles for the implementation of deliberative methods. Thus, in such </w:t>
      </w:r>
      <w:r w:rsidR="00AD13BA">
        <w:rPr>
          <w:rFonts w:ascii="Times" w:hAnsi="Times"/>
          <w:lang w:val="en-US"/>
        </w:rPr>
        <w:t>polities</w:t>
      </w:r>
      <w:r w:rsidR="009339B7">
        <w:rPr>
          <w:rFonts w:ascii="Times" w:hAnsi="Times"/>
          <w:lang w:val="en-US"/>
        </w:rPr>
        <w:t>,</w:t>
      </w:r>
      <w:r>
        <w:rPr>
          <w:rFonts w:ascii="Times" w:hAnsi="Times"/>
          <w:lang w:val="en-US"/>
        </w:rPr>
        <w:t xml:space="preserve"> </w:t>
      </w:r>
      <w:r w:rsidR="009E499D">
        <w:rPr>
          <w:rFonts w:ascii="Times" w:hAnsi="Times"/>
          <w:lang w:val="en-US"/>
        </w:rPr>
        <w:t xml:space="preserve">as a second-best option, </w:t>
      </w:r>
      <w:r>
        <w:rPr>
          <w:rFonts w:ascii="Times" w:hAnsi="Times"/>
          <w:lang w:val="en-US"/>
        </w:rPr>
        <w:t xml:space="preserve">deliberation might be understood as deliberation </w:t>
      </w:r>
      <w:r w:rsidRPr="007D13C2">
        <w:rPr>
          <w:rFonts w:ascii="Times" w:hAnsi="Times"/>
          <w:i/>
          <w:lang w:val="en-US"/>
        </w:rPr>
        <w:t>for</w:t>
      </w:r>
      <w:r>
        <w:rPr>
          <w:rFonts w:ascii="Times" w:hAnsi="Times"/>
          <w:lang w:val="en-US"/>
        </w:rPr>
        <w:t xml:space="preserve"> citizens in different institutional platforms rather than deliberation </w:t>
      </w:r>
      <w:r w:rsidRPr="007D13C2">
        <w:rPr>
          <w:rFonts w:ascii="Times" w:hAnsi="Times"/>
          <w:i/>
          <w:lang w:val="en-US"/>
        </w:rPr>
        <w:t>by</w:t>
      </w:r>
      <w:r w:rsidR="00F91028">
        <w:rPr>
          <w:rFonts w:ascii="Times" w:hAnsi="Times"/>
          <w:lang w:val="en-US"/>
        </w:rPr>
        <w:t xml:space="preserve"> citizens (Dryzek, 2010, p.</w:t>
      </w:r>
      <w:r>
        <w:rPr>
          <w:rFonts w:ascii="Times" w:hAnsi="Times"/>
          <w:lang w:val="en-US"/>
        </w:rPr>
        <w:t xml:space="preserve">24). </w:t>
      </w:r>
      <w:r w:rsidR="009339B7">
        <w:rPr>
          <w:rFonts w:ascii="Times" w:hAnsi="Times"/>
          <w:lang w:val="en-US"/>
        </w:rPr>
        <w:t xml:space="preserve">In </w:t>
      </w:r>
      <w:r w:rsidR="002F5676">
        <w:rPr>
          <w:rFonts w:ascii="Times" w:hAnsi="Times"/>
          <w:lang w:val="en-US"/>
        </w:rPr>
        <w:t xml:space="preserve">the </w:t>
      </w:r>
      <w:r w:rsidR="009339B7">
        <w:rPr>
          <w:rFonts w:ascii="Times" w:hAnsi="Times"/>
          <w:lang w:val="en-US"/>
        </w:rPr>
        <w:t>Union’s governance, t</w:t>
      </w:r>
      <w:r>
        <w:rPr>
          <w:rFonts w:ascii="Times" w:hAnsi="Times"/>
          <w:lang w:val="en-US"/>
        </w:rPr>
        <w:t>he Conventions on the Charter of Fundamental Rights and on the Future o</w:t>
      </w:r>
      <w:r w:rsidR="00AD13BA">
        <w:rPr>
          <w:rFonts w:ascii="Times" w:hAnsi="Times"/>
          <w:lang w:val="en-US"/>
        </w:rPr>
        <w:t>f the European Union constitute</w:t>
      </w:r>
      <w:r>
        <w:rPr>
          <w:rFonts w:ascii="Times" w:hAnsi="Times"/>
          <w:lang w:val="en-US"/>
        </w:rPr>
        <w:t xml:space="preserve"> example</w:t>
      </w:r>
      <w:r w:rsidR="00650F51">
        <w:rPr>
          <w:rFonts w:ascii="Times" w:hAnsi="Times"/>
          <w:lang w:val="en-US"/>
        </w:rPr>
        <w:t xml:space="preserve">s of deliberation </w:t>
      </w:r>
      <w:r w:rsidR="00650F51" w:rsidRPr="008702D5">
        <w:rPr>
          <w:rFonts w:ascii="Times" w:hAnsi="Times"/>
          <w:i/>
          <w:lang w:val="en-US"/>
        </w:rPr>
        <w:t>for</w:t>
      </w:r>
      <w:r w:rsidR="00650F51">
        <w:rPr>
          <w:rFonts w:ascii="Times" w:hAnsi="Times"/>
          <w:lang w:val="en-US"/>
        </w:rPr>
        <w:t xml:space="preserve"> citizens</w:t>
      </w:r>
      <w:r w:rsidR="005A3113">
        <w:rPr>
          <w:rFonts w:ascii="Times" w:hAnsi="Times"/>
          <w:lang w:val="en-US"/>
        </w:rPr>
        <w:t>.</w:t>
      </w:r>
      <w:r w:rsidR="00650F51">
        <w:rPr>
          <w:rFonts w:ascii="Times" w:hAnsi="Times"/>
          <w:lang w:val="en-US"/>
        </w:rPr>
        <w:t xml:space="preserve"> </w:t>
      </w:r>
      <w:r w:rsidR="005A3113">
        <w:rPr>
          <w:rFonts w:ascii="Times" w:hAnsi="Times"/>
          <w:lang w:val="en-US"/>
        </w:rPr>
        <w:t xml:space="preserve">Nevertheless, these experiments had limited success, </w:t>
      </w:r>
      <w:r w:rsidR="007F14AA">
        <w:rPr>
          <w:rFonts w:ascii="Times" w:hAnsi="Times"/>
          <w:lang w:val="en-US"/>
        </w:rPr>
        <w:t xml:space="preserve">as they induced active participation by but a handful of élite citizens </w:t>
      </w:r>
      <w:r>
        <w:rPr>
          <w:rFonts w:ascii="Times" w:hAnsi="Times"/>
          <w:lang w:val="en-US"/>
        </w:rPr>
        <w:t xml:space="preserve">(Karolweski, 2011). </w:t>
      </w:r>
    </w:p>
    <w:p w14:paraId="3F92AE73" w14:textId="77777777" w:rsidR="009C7FD4" w:rsidRDefault="009C7FD4" w:rsidP="002249E1">
      <w:pPr>
        <w:spacing w:line="480" w:lineRule="auto"/>
        <w:jc w:val="both"/>
        <w:rPr>
          <w:rFonts w:ascii="Times" w:hAnsi="Times"/>
          <w:lang w:val="en-US"/>
        </w:rPr>
      </w:pPr>
    </w:p>
    <w:p w14:paraId="76A252FD" w14:textId="466C83DA" w:rsidR="009C7FD4" w:rsidRDefault="00AD13BA" w:rsidP="002249E1">
      <w:pPr>
        <w:spacing w:line="480" w:lineRule="auto"/>
        <w:jc w:val="both"/>
        <w:rPr>
          <w:rFonts w:ascii="Times" w:hAnsi="Times"/>
          <w:lang w:val="en-US"/>
        </w:rPr>
      </w:pPr>
      <w:r>
        <w:rPr>
          <w:rFonts w:ascii="Times" w:hAnsi="Times"/>
          <w:lang w:val="en-US"/>
        </w:rPr>
        <w:t>Network</w:t>
      </w:r>
      <w:r w:rsidR="009C7FD4">
        <w:rPr>
          <w:rFonts w:ascii="Times" w:hAnsi="Times"/>
          <w:lang w:val="en-US"/>
        </w:rPr>
        <w:t xml:space="preserve"> governance appears a double-edged sword from the perspective of deliberative legitimacy: on the one hand, if organised in the light of deliberative principles, networks provide excellent participatory platforms, as they lack the procedural straight-jackets of </w:t>
      </w:r>
      <w:r>
        <w:rPr>
          <w:rFonts w:ascii="Times" w:hAnsi="Times"/>
          <w:lang w:val="en-US"/>
        </w:rPr>
        <w:t>hierarchies</w:t>
      </w:r>
      <w:r w:rsidR="00F91028">
        <w:rPr>
          <w:rFonts w:ascii="Times" w:hAnsi="Times"/>
          <w:lang w:val="en-US"/>
        </w:rPr>
        <w:t xml:space="preserve"> (Dryzek, 2010, p.</w:t>
      </w:r>
      <w:r w:rsidR="00D514FE">
        <w:rPr>
          <w:rFonts w:ascii="Times" w:hAnsi="Times"/>
          <w:lang w:val="en-US"/>
        </w:rPr>
        <w:t>123</w:t>
      </w:r>
      <w:r w:rsidR="009C7FD4">
        <w:rPr>
          <w:rFonts w:ascii="Times" w:hAnsi="Times"/>
          <w:lang w:val="en-US"/>
        </w:rPr>
        <w:t>). On the other hand, networks involved in techn</w:t>
      </w:r>
      <w:r w:rsidR="004F0EBE">
        <w:rPr>
          <w:rFonts w:ascii="Times" w:hAnsi="Times"/>
          <w:lang w:val="en-US"/>
        </w:rPr>
        <w:t xml:space="preserve">ical policies tend to produce </w:t>
      </w:r>
      <w:r w:rsidR="009C7FD4">
        <w:rPr>
          <w:rFonts w:ascii="Times" w:hAnsi="Times"/>
          <w:lang w:val="en-US"/>
        </w:rPr>
        <w:t>technical discourse</w:t>
      </w:r>
      <w:r w:rsidR="004F0EBE">
        <w:rPr>
          <w:rFonts w:ascii="Times" w:hAnsi="Times"/>
          <w:lang w:val="en-US"/>
        </w:rPr>
        <w:t>s</w:t>
      </w:r>
      <w:r w:rsidR="009C7FD4">
        <w:rPr>
          <w:rFonts w:ascii="Times" w:hAnsi="Times"/>
          <w:lang w:val="en-US"/>
        </w:rPr>
        <w:t xml:space="preserve">; and they tend to limit participation to those actors who can provide technical expertise. Anecdotal evidence </w:t>
      </w:r>
      <w:r w:rsidR="003F5A06">
        <w:rPr>
          <w:rFonts w:ascii="Times" w:hAnsi="Times"/>
          <w:lang w:val="en-US"/>
        </w:rPr>
        <w:t>and</w:t>
      </w:r>
      <w:r w:rsidR="009C7FD4">
        <w:rPr>
          <w:rFonts w:ascii="Times" w:hAnsi="Times"/>
          <w:lang w:val="en-US"/>
        </w:rPr>
        <w:t xml:space="preserve"> citizen experiences </w:t>
      </w:r>
      <w:r w:rsidR="003F5A06">
        <w:rPr>
          <w:rFonts w:ascii="Times" w:hAnsi="Times"/>
          <w:lang w:val="en-US"/>
        </w:rPr>
        <w:t>are</w:t>
      </w:r>
      <w:r w:rsidR="009C7FD4">
        <w:rPr>
          <w:rFonts w:ascii="Times" w:hAnsi="Times"/>
          <w:lang w:val="en-US"/>
        </w:rPr>
        <w:t xml:space="preserve"> not valued as highly, </w:t>
      </w:r>
      <w:r w:rsidR="00DE6CC0">
        <w:rPr>
          <w:rFonts w:ascii="Times" w:hAnsi="Times"/>
          <w:lang w:val="en-US"/>
        </w:rPr>
        <w:t>although</w:t>
      </w:r>
      <w:r w:rsidR="009C7FD4">
        <w:rPr>
          <w:rFonts w:ascii="Times" w:hAnsi="Times"/>
          <w:lang w:val="en-US"/>
        </w:rPr>
        <w:t xml:space="preserve"> such experiences constitute the real value of citizen participation, as they are not available through </w:t>
      </w:r>
      <w:r w:rsidR="00F91028">
        <w:rPr>
          <w:rFonts w:ascii="Times" w:hAnsi="Times"/>
          <w:lang w:val="en-US"/>
        </w:rPr>
        <w:t>another source (Dryzek 2010, p.</w:t>
      </w:r>
      <w:r w:rsidR="009C7FD4">
        <w:rPr>
          <w:rFonts w:ascii="Times" w:hAnsi="Times"/>
          <w:lang w:val="en-US"/>
        </w:rPr>
        <w:t>133</w:t>
      </w:r>
      <w:r w:rsidR="00F91028">
        <w:rPr>
          <w:rFonts w:ascii="Times" w:hAnsi="Times"/>
          <w:lang w:val="en-US"/>
        </w:rPr>
        <w:t>; Young, 2000, p.</w:t>
      </w:r>
      <w:r w:rsidR="002B2842">
        <w:rPr>
          <w:rFonts w:ascii="Times" w:hAnsi="Times"/>
          <w:lang w:val="en-US"/>
        </w:rPr>
        <w:t>39</w:t>
      </w:r>
      <w:r w:rsidR="009C7FD4">
        <w:rPr>
          <w:rFonts w:ascii="Times" w:hAnsi="Times"/>
          <w:lang w:val="en-US"/>
        </w:rPr>
        <w:t xml:space="preserve">). </w:t>
      </w:r>
    </w:p>
    <w:p w14:paraId="07358ACF" w14:textId="77777777" w:rsidR="00A976F1" w:rsidRDefault="00A976F1" w:rsidP="002249E1">
      <w:pPr>
        <w:spacing w:line="480" w:lineRule="auto"/>
        <w:jc w:val="both"/>
        <w:rPr>
          <w:rFonts w:ascii="Times" w:hAnsi="Times"/>
        </w:rPr>
      </w:pPr>
    </w:p>
    <w:p w14:paraId="26EEBB29" w14:textId="05E9796F" w:rsidR="00F2536D" w:rsidRDefault="000F6330" w:rsidP="002249E1">
      <w:pPr>
        <w:spacing w:line="480" w:lineRule="auto"/>
        <w:jc w:val="both"/>
        <w:rPr>
          <w:rFonts w:ascii="Times" w:hAnsi="Times"/>
        </w:rPr>
      </w:pPr>
      <w:r>
        <w:rPr>
          <w:rFonts w:ascii="Times" w:hAnsi="Times"/>
        </w:rPr>
        <w:t>The deliberative model attributes accountability forums</w:t>
      </w:r>
      <w:r w:rsidR="00C761E3">
        <w:rPr>
          <w:rFonts w:ascii="Times" w:hAnsi="Times"/>
        </w:rPr>
        <w:t>, including courts and parliaments,</w:t>
      </w:r>
      <w:r>
        <w:rPr>
          <w:rFonts w:ascii="Times" w:hAnsi="Times"/>
        </w:rPr>
        <w:t xml:space="preserve"> the task</w:t>
      </w:r>
      <w:r w:rsidR="000C1B62">
        <w:rPr>
          <w:rFonts w:ascii="Times" w:hAnsi="Times"/>
        </w:rPr>
        <w:t>s</w:t>
      </w:r>
      <w:r>
        <w:rPr>
          <w:rFonts w:ascii="Times" w:hAnsi="Times"/>
        </w:rPr>
        <w:t xml:space="preserve"> of debating </w:t>
      </w:r>
      <w:r w:rsidR="00F2536D">
        <w:rPr>
          <w:rFonts w:ascii="Times" w:hAnsi="Times"/>
        </w:rPr>
        <w:t>policy choices’ resonance with public</w:t>
      </w:r>
      <w:r w:rsidR="00B26C87">
        <w:rPr>
          <w:rFonts w:ascii="Times" w:hAnsi="Times"/>
        </w:rPr>
        <w:t xml:space="preserve"> interest on behalf of citizens</w:t>
      </w:r>
      <w:r w:rsidR="00F2536D">
        <w:rPr>
          <w:rFonts w:ascii="Times" w:hAnsi="Times"/>
        </w:rPr>
        <w:t xml:space="preserve"> and </w:t>
      </w:r>
      <w:r w:rsidR="00B26C87">
        <w:rPr>
          <w:rFonts w:ascii="Times" w:hAnsi="Times"/>
        </w:rPr>
        <w:t xml:space="preserve">of </w:t>
      </w:r>
      <w:r w:rsidR="00F2536D">
        <w:rPr>
          <w:rFonts w:ascii="Times" w:hAnsi="Times"/>
        </w:rPr>
        <w:t xml:space="preserve">translating technical policy choices to a language accessible to citizens, in addition to their tasks of protecting procedural legitimacy and the </w:t>
      </w:r>
      <w:r w:rsidR="00F91028">
        <w:rPr>
          <w:rFonts w:ascii="Times" w:hAnsi="Times"/>
        </w:rPr>
        <w:t>rule of law (Habermas, 2013, p.</w:t>
      </w:r>
      <w:r w:rsidR="00F2536D">
        <w:rPr>
          <w:rFonts w:ascii="Times" w:hAnsi="Times"/>
        </w:rPr>
        <w:t xml:space="preserve">367). </w:t>
      </w:r>
      <w:r w:rsidR="000C1B62">
        <w:rPr>
          <w:rFonts w:ascii="Times" w:hAnsi="Times"/>
        </w:rPr>
        <w:t>Nevertheless</w:t>
      </w:r>
      <w:r w:rsidR="00547996">
        <w:rPr>
          <w:rFonts w:ascii="Times" w:hAnsi="Times"/>
        </w:rPr>
        <w:t>,</w:t>
      </w:r>
      <w:r w:rsidR="000C1B62">
        <w:rPr>
          <w:rFonts w:ascii="Times" w:hAnsi="Times"/>
        </w:rPr>
        <w:t xml:space="preserve"> technical network discourses might be hazardous to accountability forums</w:t>
      </w:r>
      <w:r w:rsidR="00B35423">
        <w:rPr>
          <w:rFonts w:ascii="Times" w:hAnsi="Times"/>
        </w:rPr>
        <w:t>’</w:t>
      </w:r>
      <w:r w:rsidR="00A65EB3">
        <w:rPr>
          <w:rFonts w:ascii="Times" w:hAnsi="Times"/>
        </w:rPr>
        <w:t xml:space="preserve"> performance</w:t>
      </w:r>
      <w:r w:rsidR="000C1B62">
        <w:rPr>
          <w:rFonts w:ascii="Times" w:hAnsi="Times"/>
        </w:rPr>
        <w:t xml:space="preserve"> </w:t>
      </w:r>
      <w:r w:rsidR="00F61ACF">
        <w:rPr>
          <w:rFonts w:ascii="Times" w:hAnsi="Times"/>
        </w:rPr>
        <w:t xml:space="preserve">of </w:t>
      </w:r>
      <w:r w:rsidR="002B295C">
        <w:rPr>
          <w:rFonts w:ascii="Times" w:hAnsi="Times"/>
        </w:rPr>
        <w:t>these tasks.</w:t>
      </w:r>
      <w:r w:rsidR="000C1B62">
        <w:rPr>
          <w:rFonts w:ascii="Times" w:hAnsi="Times"/>
        </w:rPr>
        <w:t xml:space="preserve"> </w:t>
      </w:r>
      <w:r w:rsidR="002B295C">
        <w:rPr>
          <w:rFonts w:ascii="Times" w:hAnsi="Times"/>
        </w:rPr>
        <w:t>W</w:t>
      </w:r>
      <w:r w:rsidR="00F2536D">
        <w:rPr>
          <w:rFonts w:ascii="Times" w:hAnsi="Times"/>
        </w:rPr>
        <w:t xml:space="preserve">ithout possessing the necessary technical knowledge, </w:t>
      </w:r>
      <w:r w:rsidR="000C1B62">
        <w:rPr>
          <w:rFonts w:ascii="Times" w:hAnsi="Times"/>
        </w:rPr>
        <w:t>they</w:t>
      </w:r>
      <w:r w:rsidR="00F2536D">
        <w:rPr>
          <w:rFonts w:ascii="Times" w:hAnsi="Times"/>
        </w:rPr>
        <w:t xml:space="preserve"> cannot effectively deliberate if policy choices resonate with public interest; and they cannot perform their task of translating policy choices </w:t>
      </w:r>
      <w:r w:rsidR="004C1E1B">
        <w:rPr>
          <w:rFonts w:ascii="Times" w:hAnsi="Times"/>
        </w:rPr>
        <w:t>in</w:t>
      </w:r>
      <w:r w:rsidR="00F2536D">
        <w:rPr>
          <w:rFonts w:ascii="Times" w:hAnsi="Times"/>
        </w:rPr>
        <w:t>to an accessible language.</w:t>
      </w:r>
    </w:p>
    <w:p w14:paraId="28E55F09" w14:textId="77777777" w:rsidR="003E2636" w:rsidRDefault="003E2636" w:rsidP="002249E1">
      <w:pPr>
        <w:spacing w:line="480" w:lineRule="auto"/>
        <w:jc w:val="both"/>
        <w:rPr>
          <w:rFonts w:ascii="Times" w:hAnsi="Times"/>
        </w:rPr>
      </w:pPr>
    </w:p>
    <w:p w14:paraId="2F562CE4" w14:textId="522493D7" w:rsidR="00BA5AF5" w:rsidRPr="00C352A8" w:rsidRDefault="003E2636" w:rsidP="002249E1">
      <w:pPr>
        <w:spacing w:line="480" w:lineRule="auto"/>
        <w:jc w:val="both"/>
        <w:rPr>
          <w:rFonts w:ascii="Times" w:hAnsi="Times"/>
          <w:highlight w:val="yellow"/>
        </w:rPr>
      </w:pPr>
      <w:r w:rsidRPr="00964A1C">
        <w:rPr>
          <w:rFonts w:ascii="Times" w:hAnsi="Times"/>
        </w:rPr>
        <w:t>In summary</w:t>
      </w:r>
      <w:r w:rsidR="00330EF4" w:rsidRPr="00964A1C">
        <w:rPr>
          <w:rFonts w:ascii="Times" w:hAnsi="Times"/>
        </w:rPr>
        <w:t>,</w:t>
      </w:r>
      <w:r w:rsidRPr="00964A1C">
        <w:rPr>
          <w:rFonts w:ascii="Times" w:hAnsi="Times"/>
        </w:rPr>
        <w:t xml:space="preserve"> the three models discussed here perceive different criteria as crucial for input legitimacy: </w:t>
      </w:r>
      <w:r w:rsidR="000E0D01" w:rsidRPr="00964A1C">
        <w:rPr>
          <w:rFonts w:ascii="Times" w:hAnsi="Times"/>
        </w:rPr>
        <w:t xml:space="preserve">the liberal model </w:t>
      </w:r>
      <w:r w:rsidR="009E6DE8" w:rsidRPr="00964A1C">
        <w:rPr>
          <w:rFonts w:ascii="Times" w:hAnsi="Times"/>
        </w:rPr>
        <w:t xml:space="preserve">perceives </w:t>
      </w:r>
      <w:r w:rsidR="000E0D01" w:rsidRPr="00964A1C">
        <w:rPr>
          <w:rFonts w:ascii="Times" w:hAnsi="Times"/>
        </w:rPr>
        <w:t xml:space="preserve">policymaking by elected participatory institutions </w:t>
      </w:r>
      <w:r w:rsidR="009E6DE8" w:rsidRPr="00964A1C">
        <w:rPr>
          <w:rFonts w:ascii="Times" w:hAnsi="Times"/>
        </w:rPr>
        <w:t>key</w:t>
      </w:r>
      <w:r w:rsidR="000E0D01" w:rsidRPr="00964A1C">
        <w:rPr>
          <w:rFonts w:ascii="Times" w:hAnsi="Times"/>
        </w:rPr>
        <w:t xml:space="preserve"> for input legitimacy, whereas</w:t>
      </w:r>
      <w:r w:rsidR="00C352A8" w:rsidRPr="00964A1C">
        <w:rPr>
          <w:rFonts w:ascii="Times" w:hAnsi="Times"/>
        </w:rPr>
        <w:t xml:space="preserve"> the same role is </w:t>
      </w:r>
      <w:r w:rsidR="009E6DE8" w:rsidRPr="00964A1C">
        <w:rPr>
          <w:rFonts w:ascii="Times" w:hAnsi="Times"/>
        </w:rPr>
        <w:t>attributed to</w:t>
      </w:r>
      <w:r w:rsidR="00C352A8" w:rsidRPr="00964A1C">
        <w:rPr>
          <w:rFonts w:ascii="Times" w:hAnsi="Times"/>
        </w:rPr>
        <w:t xml:space="preserve"> </w:t>
      </w:r>
      <w:r w:rsidR="000E0D01" w:rsidRPr="00964A1C">
        <w:rPr>
          <w:rFonts w:ascii="Times" w:hAnsi="Times"/>
        </w:rPr>
        <w:t xml:space="preserve">the demos and </w:t>
      </w:r>
      <w:r w:rsidR="00D809F3" w:rsidRPr="00964A1C">
        <w:rPr>
          <w:rFonts w:ascii="Times" w:hAnsi="Times"/>
        </w:rPr>
        <w:t xml:space="preserve">to </w:t>
      </w:r>
      <w:r w:rsidR="000E0D01" w:rsidRPr="00964A1C">
        <w:rPr>
          <w:rFonts w:ascii="Times" w:hAnsi="Times"/>
        </w:rPr>
        <w:t xml:space="preserve">open deliberation in the </w:t>
      </w:r>
      <w:r w:rsidR="0038257A" w:rsidRPr="00964A1C">
        <w:rPr>
          <w:rFonts w:ascii="Times" w:hAnsi="Times"/>
        </w:rPr>
        <w:t xml:space="preserve">republican and </w:t>
      </w:r>
      <w:r w:rsidR="00CB3F6A" w:rsidRPr="00964A1C">
        <w:rPr>
          <w:rFonts w:ascii="Times" w:hAnsi="Times"/>
        </w:rPr>
        <w:t xml:space="preserve">deliberative models respectively. </w:t>
      </w:r>
      <w:r w:rsidR="00CE2416" w:rsidRPr="00964A1C">
        <w:rPr>
          <w:rFonts w:ascii="Times" w:hAnsi="Times"/>
        </w:rPr>
        <w:t>As discussed above</w:t>
      </w:r>
      <w:r w:rsidR="00BA5AF5" w:rsidRPr="00964A1C">
        <w:rPr>
          <w:rFonts w:ascii="Times" w:hAnsi="Times"/>
        </w:rPr>
        <w:t xml:space="preserve">, the Union </w:t>
      </w:r>
      <w:r w:rsidR="001065A7" w:rsidRPr="00964A1C">
        <w:rPr>
          <w:rFonts w:ascii="Times" w:hAnsi="Times"/>
        </w:rPr>
        <w:t xml:space="preserve">faces serious challenges in satisfying </w:t>
      </w:r>
      <w:r w:rsidR="005C4562" w:rsidRPr="00964A1C">
        <w:rPr>
          <w:rFonts w:ascii="Times" w:hAnsi="Times"/>
        </w:rPr>
        <w:t>any of these criteria</w:t>
      </w:r>
      <w:r w:rsidR="001065A7" w:rsidRPr="00964A1C">
        <w:rPr>
          <w:rFonts w:ascii="Times" w:hAnsi="Times"/>
        </w:rPr>
        <w:t>.</w:t>
      </w:r>
    </w:p>
    <w:p w14:paraId="616AEE5C" w14:textId="77777777" w:rsidR="009C7FD4" w:rsidRDefault="009C7FD4" w:rsidP="002249E1">
      <w:pPr>
        <w:spacing w:line="480" w:lineRule="auto"/>
        <w:jc w:val="both"/>
        <w:rPr>
          <w:rFonts w:ascii="Times" w:hAnsi="Times"/>
          <w:lang w:val="en-US"/>
        </w:rPr>
      </w:pPr>
    </w:p>
    <w:p w14:paraId="2A7D66B1" w14:textId="7ECEF74C" w:rsidR="009C7FD4" w:rsidRPr="00ED0FC5" w:rsidRDefault="009C7FD4" w:rsidP="002249E1">
      <w:pPr>
        <w:spacing w:line="480" w:lineRule="auto"/>
        <w:jc w:val="both"/>
        <w:rPr>
          <w:rFonts w:ascii="Times" w:hAnsi="Times"/>
          <w:b/>
          <w:lang w:val="en-US"/>
        </w:rPr>
      </w:pPr>
      <w:r>
        <w:rPr>
          <w:rFonts w:ascii="Times" w:hAnsi="Times"/>
          <w:b/>
          <w:lang w:val="en-US"/>
        </w:rPr>
        <w:t>M</w:t>
      </w:r>
      <w:r w:rsidRPr="00ED0FC5">
        <w:rPr>
          <w:rFonts w:ascii="Times" w:hAnsi="Times"/>
          <w:b/>
          <w:lang w:val="en-US"/>
        </w:rPr>
        <w:t>oral legitimacy</w:t>
      </w:r>
    </w:p>
    <w:p w14:paraId="2C9E64D0" w14:textId="0E5E5B00" w:rsidR="001121F4" w:rsidRDefault="009C7FD4" w:rsidP="002249E1">
      <w:pPr>
        <w:spacing w:line="480" w:lineRule="auto"/>
        <w:jc w:val="both"/>
        <w:rPr>
          <w:rFonts w:ascii="Times" w:hAnsi="Times"/>
          <w:lang w:val="en-US"/>
        </w:rPr>
      </w:pPr>
      <w:r>
        <w:rPr>
          <w:rFonts w:ascii="Times" w:hAnsi="Times"/>
          <w:lang w:val="en-US"/>
        </w:rPr>
        <w:t xml:space="preserve">Legitimacy models discussed so far address only the </w:t>
      </w:r>
      <w:r w:rsidRPr="003368BE">
        <w:rPr>
          <w:rFonts w:ascii="Times" w:hAnsi="Times"/>
          <w:i/>
          <w:lang w:val="en-US"/>
        </w:rPr>
        <w:t>procedural</w:t>
      </w:r>
      <w:r w:rsidR="004B3C69">
        <w:rPr>
          <w:rFonts w:ascii="Times" w:hAnsi="Times"/>
          <w:lang w:val="en-US"/>
        </w:rPr>
        <w:t xml:space="preserve"> conditions of legitimacy (</w:t>
      </w:r>
      <w:r>
        <w:rPr>
          <w:rFonts w:ascii="Times" w:hAnsi="Times"/>
          <w:lang w:val="en-US"/>
        </w:rPr>
        <w:t xml:space="preserve">the modalities of citizen participation) without openly discussing its </w:t>
      </w:r>
      <w:r w:rsidRPr="00694E81">
        <w:rPr>
          <w:rFonts w:ascii="Times" w:hAnsi="Times"/>
          <w:i/>
          <w:lang w:val="en-US"/>
        </w:rPr>
        <w:t>moral</w:t>
      </w:r>
      <w:r w:rsidR="004B3C69">
        <w:rPr>
          <w:rFonts w:ascii="Times" w:hAnsi="Times"/>
          <w:lang w:val="en-US"/>
        </w:rPr>
        <w:t xml:space="preserve"> conditions (</w:t>
      </w:r>
      <w:r>
        <w:rPr>
          <w:rFonts w:ascii="Times" w:hAnsi="Times"/>
          <w:lang w:val="en-US"/>
        </w:rPr>
        <w:t xml:space="preserve">the substantive characteristics of policies that make them acceptable for citizens). The Weberian model takes society’s support as the key reference point for substantive legitimacy; and it argues that if citizens believe that those in power are legitimate power-holders, then those in power </w:t>
      </w:r>
      <w:r w:rsidR="004F6484">
        <w:rPr>
          <w:rFonts w:ascii="Times" w:hAnsi="Times"/>
          <w:lang w:val="en-US"/>
        </w:rPr>
        <w:t>and</w:t>
      </w:r>
      <w:r>
        <w:rPr>
          <w:rFonts w:ascii="Times" w:hAnsi="Times"/>
          <w:lang w:val="en-US"/>
        </w:rPr>
        <w:t xml:space="preserve"> their policy choices ar</w:t>
      </w:r>
      <w:r w:rsidR="00F91028">
        <w:rPr>
          <w:rFonts w:ascii="Times" w:hAnsi="Times"/>
          <w:lang w:val="en-US"/>
        </w:rPr>
        <w:t xml:space="preserve">e considered legitimate (Weber, </w:t>
      </w:r>
      <w:r>
        <w:rPr>
          <w:rFonts w:ascii="Times" w:hAnsi="Times"/>
          <w:lang w:val="en-US"/>
        </w:rPr>
        <w:t>1948). In a powerful critique</w:t>
      </w:r>
      <w:r w:rsidR="009C7444">
        <w:rPr>
          <w:rFonts w:ascii="Times" w:hAnsi="Times"/>
          <w:lang w:val="en-US"/>
        </w:rPr>
        <w:t>,</w:t>
      </w:r>
      <w:r>
        <w:rPr>
          <w:rFonts w:ascii="Times" w:hAnsi="Times"/>
          <w:lang w:val="en-US"/>
        </w:rPr>
        <w:t xml:space="preserve"> Beetham argues that this model empties legitimacy of its moral content, and that it unintentionally gives undemocratic power-holders the ability to argue that they enjoy legitimacy on the basis of citizen approval gained through propaganda and</w:t>
      </w:r>
      <w:r w:rsidR="00F91028">
        <w:rPr>
          <w:rFonts w:ascii="Times" w:hAnsi="Times"/>
          <w:lang w:val="en-US"/>
        </w:rPr>
        <w:t xml:space="preserve"> other means (Beetham, 1991, p.</w:t>
      </w:r>
      <w:r>
        <w:rPr>
          <w:rFonts w:ascii="Times" w:hAnsi="Times"/>
          <w:lang w:val="en-US"/>
        </w:rPr>
        <w:t xml:space="preserve">9). </w:t>
      </w:r>
      <w:r w:rsidR="0001086B">
        <w:rPr>
          <w:rFonts w:ascii="Times" w:hAnsi="Times"/>
          <w:lang w:val="en-US"/>
        </w:rPr>
        <w:t>Nevertheless, Beetham</w:t>
      </w:r>
      <w:r w:rsidR="00FB0DDE">
        <w:rPr>
          <w:rFonts w:ascii="Times" w:hAnsi="Times"/>
          <w:lang w:val="en-US"/>
        </w:rPr>
        <w:t xml:space="preserve"> </w:t>
      </w:r>
      <w:r w:rsidR="008271EA">
        <w:rPr>
          <w:rFonts w:ascii="Times" w:hAnsi="Times"/>
          <w:lang w:val="en-US"/>
        </w:rPr>
        <w:t xml:space="preserve">does not </w:t>
      </w:r>
      <w:r w:rsidR="00FB0DDE">
        <w:rPr>
          <w:rFonts w:ascii="Times" w:hAnsi="Times"/>
          <w:lang w:val="en-US"/>
        </w:rPr>
        <w:t>offer a full account of moral legitimacy other than arguing that, to be morally legitimate</w:t>
      </w:r>
      <w:r w:rsidR="0001086B">
        <w:rPr>
          <w:rFonts w:ascii="Times" w:hAnsi="Times"/>
          <w:lang w:val="en-US"/>
        </w:rPr>
        <w:t>,</w:t>
      </w:r>
      <w:r w:rsidR="008271EA">
        <w:rPr>
          <w:rFonts w:ascii="Times" w:hAnsi="Times"/>
          <w:lang w:val="en-US"/>
        </w:rPr>
        <w:t xml:space="preserve"> </w:t>
      </w:r>
      <w:r>
        <w:rPr>
          <w:rFonts w:ascii="Times" w:hAnsi="Times"/>
          <w:lang w:val="en-US"/>
        </w:rPr>
        <w:t xml:space="preserve">policy choices must serve the general public interest, rather than the </w:t>
      </w:r>
      <w:r w:rsidR="0001086B">
        <w:rPr>
          <w:rFonts w:ascii="Times" w:hAnsi="Times"/>
          <w:lang w:val="en-US"/>
        </w:rPr>
        <w:t>power-holder</w:t>
      </w:r>
      <w:r w:rsidR="00297C7A">
        <w:rPr>
          <w:rFonts w:ascii="Times" w:hAnsi="Times"/>
          <w:lang w:val="en-US"/>
        </w:rPr>
        <w:t>s’</w:t>
      </w:r>
      <w:r>
        <w:rPr>
          <w:rFonts w:ascii="Times" w:hAnsi="Times"/>
          <w:lang w:val="en-US"/>
        </w:rPr>
        <w:t xml:space="preserve"> or </w:t>
      </w:r>
      <w:r w:rsidR="0001086B">
        <w:rPr>
          <w:rFonts w:ascii="Times" w:hAnsi="Times"/>
          <w:lang w:val="en-US"/>
        </w:rPr>
        <w:t>certain class</w:t>
      </w:r>
      <w:r w:rsidR="00297C7A">
        <w:rPr>
          <w:rFonts w:ascii="Times" w:hAnsi="Times"/>
          <w:lang w:val="en-US"/>
        </w:rPr>
        <w:t>es’</w:t>
      </w:r>
      <w:r w:rsidR="0001086B">
        <w:rPr>
          <w:rFonts w:ascii="Times" w:hAnsi="Times"/>
          <w:lang w:val="en-US"/>
        </w:rPr>
        <w:t xml:space="preserve"> interests</w:t>
      </w:r>
      <w:r w:rsidR="00F91028">
        <w:rPr>
          <w:rFonts w:ascii="Times" w:hAnsi="Times"/>
          <w:lang w:val="en-US"/>
        </w:rPr>
        <w:t xml:space="preserve"> (Beetham, 1991, p.</w:t>
      </w:r>
      <w:r>
        <w:rPr>
          <w:rFonts w:ascii="Times" w:hAnsi="Times"/>
          <w:lang w:val="en-US"/>
        </w:rPr>
        <w:t>59).</w:t>
      </w:r>
      <w:r w:rsidRPr="003D37FD">
        <w:rPr>
          <w:rStyle w:val="EndnoteReference"/>
          <w:rFonts w:ascii="Times" w:hAnsi="Times"/>
          <w:lang w:val="en-US"/>
        </w:rPr>
        <w:t xml:space="preserve"> </w:t>
      </w:r>
    </w:p>
    <w:p w14:paraId="2A1FF909" w14:textId="77777777" w:rsidR="00F84B79" w:rsidRDefault="00F84B79" w:rsidP="002249E1">
      <w:pPr>
        <w:spacing w:line="480" w:lineRule="auto"/>
        <w:jc w:val="both"/>
        <w:rPr>
          <w:rFonts w:ascii="Times" w:hAnsi="Times"/>
          <w:lang w:val="en-US"/>
        </w:rPr>
      </w:pPr>
    </w:p>
    <w:p w14:paraId="2420359E" w14:textId="222EC897" w:rsidR="000C0152" w:rsidRPr="001121F4" w:rsidRDefault="009C7FD4" w:rsidP="002249E1">
      <w:pPr>
        <w:spacing w:line="480" w:lineRule="auto"/>
        <w:jc w:val="both"/>
        <w:rPr>
          <w:rFonts w:ascii="Times" w:hAnsi="Times"/>
          <w:lang w:val="en-US"/>
        </w:rPr>
      </w:pPr>
      <w:r>
        <w:rPr>
          <w:rFonts w:ascii="Times" w:hAnsi="Times"/>
          <w:lang w:val="en-US"/>
        </w:rPr>
        <w:t xml:space="preserve">Policies produced by European multi-level networks are presumed to enjoy moral legitimacy in light of the input-output legitimacy </w:t>
      </w:r>
      <w:r w:rsidR="00BB0A2F">
        <w:rPr>
          <w:rFonts w:ascii="Times" w:hAnsi="Times"/>
          <w:lang w:val="en-US"/>
        </w:rPr>
        <w:t>model</w:t>
      </w:r>
      <w:r>
        <w:rPr>
          <w:rFonts w:ascii="Times" w:hAnsi="Times"/>
          <w:lang w:val="en-US"/>
        </w:rPr>
        <w:t xml:space="preserve"> (Scharpf, 1997): according to this model, the Union’s multi-level governance undeniably suffers from a </w:t>
      </w:r>
      <w:r w:rsidRPr="009C7444">
        <w:rPr>
          <w:rFonts w:ascii="Times" w:hAnsi="Times"/>
          <w:lang w:val="en-US"/>
        </w:rPr>
        <w:t xml:space="preserve">procedural legitimacy </w:t>
      </w:r>
      <w:r w:rsidR="009C7444">
        <w:rPr>
          <w:rFonts w:ascii="Times" w:hAnsi="Times"/>
          <w:lang w:val="en-US"/>
        </w:rPr>
        <w:t xml:space="preserve">(input legitimacy) </w:t>
      </w:r>
      <w:r w:rsidRPr="009C7444">
        <w:rPr>
          <w:rFonts w:ascii="Times" w:hAnsi="Times"/>
          <w:lang w:val="en-US"/>
        </w:rPr>
        <w:t>deficit</w:t>
      </w:r>
      <w:r w:rsidR="009C7444">
        <w:rPr>
          <w:rFonts w:ascii="Times" w:hAnsi="Times"/>
          <w:lang w:val="en-US"/>
        </w:rPr>
        <w:t xml:space="preserve"> </w:t>
      </w:r>
      <w:r>
        <w:rPr>
          <w:rFonts w:ascii="Times" w:hAnsi="Times"/>
          <w:lang w:val="en-US"/>
        </w:rPr>
        <w:t xml:space="preserve">due to insufficient citizen participation. Nevertheless, thanks to the expertise it involves the </w:t>
      </w:r>
      <w:r w:rsidR="0074145A">
        <w:rPr>
          <w:rFonts w:ascii="Times" w:hAnsi="Times"/>
          <w:lang w:val="en-US"/>
        </w:rPr>
        <w:t>Union</w:t>
      </w:r>
      <w:r>
        <w:rPr>
          <w:rFonts w:ascii="Times" w:hAnsi="Times"/>
          <w:lang w:val="en-US"/>
        </w:rPr>
        <w:t xml:space="preserve"> g</w:t>
      </w:r>
      <w:r w:rsidR="000C0152">
        <w:rPr>
          <w:rFonts w:ascii="Times" w:hAnsi="Times"/>
          <w:lang w:val="en-US"/>
        </w:rPr>
        <w:t>overnance has created a</w:t>
      </w:r>
      <w:r w:rsidR="00BB14BF">
        <w:rPr>
          <w:rFonts w:ascii="Times" w:hAnsi="Times"/>
          <w:lang w:val="en-US"/>
        </w:rPr>
        <w:t>n</w:t>
      </w:r>
      <w:r w:rsidR="000C0152">
        <w:rPr>
          <w:rFonts w:ascii="Times" w:hAnsi="Times"/>
          <w:lang w:val="en-US"/>
        </w:rPr>
        <w:t xml:space="preserve"> </w:t>
      </w:r>
      <w:r w:rsidR="00BB14BF" w:rsidRPr="00964A1C">
        <w:rPr>
          <w:rFonts w:ascii="Times" w:hAnsi="Times"/>
          <w:lang w:val="en-US"/>
        </w:rPr>
        <w:t>internal</w:t>
      </w:r>
      <w:r w:rsidR="000C0152" w:rsidRPr="00964A1C">
        <w:rPr>
          <w:rFonts w:ascii="Times" w:hAnsi="Times"/>
          <w:lang w:val="en-US"/>
        </w:rPr>
        <w:t xml:space="preserve"> m</w:t>
      </w:r>
      <w:r w:rsidRPr="00964A1C">
        <w:rPr>
          <w:rFonts w:ascii="Times" w:hAnsi="Times"/>
          <w:lang w:val="en-US"/>
        </w:rPr>
        <w:t>arket</w:t>
      </w:r>
      <w:r>
        <w:rPr>
          <w:rFonts w:ascii="Times" w:hAnsi="Times"/>
          <w:lang w:val="en-US"/>
        </w:rPr>
        <w:t xml:space="preserve"> and economic policie</w:t>
      </w:r>
      <w:r w:rsidR="00CB7362">
        <w:rPr>
          <w:rFonts w:ascii="Times" w:hAnsi="Times"/>
          <w:lang w:val="en-US"/>
        </w:rPr>
        <w:t>s that maximis</w:t>
      </w:r>
      <w:r w:rsidR="0074145A">
        <w:rPr>
          <w:rFonts w:ascii="Times" w:hAnsi="Times"/>
          <w:lang w:val="en-US"/>
        </w:rPr>
        <w:t>e citizen welfare.</w:t>
      </w:r>
      <w:r>
        <w:rPr>
          <w:rFonts w:ascii="Times" w:hAnsi="Times"/>
          <w:lang w:val="en-US"/>
        </w:rPr>
        <w:t xml:space="preserve"> </w:t>
      </w:r>
      <w:r w:rsidR="0074145A">
        <w:rPr>
          <w:rFonts w:ascii="Times" w:hAnsi="Times"/>
          <w:lang w:val="en-US"/>
        </w:rPr>
        <w:t>This attributes</w:t>
      </w:r>
      <w:r>
        <w:rPr>
          <w:rFonts w:ascii="Times" w:hAnsi="Times"/>
          <w:lang w:val="en-US"/>
        </w:rPr>
        <w:t xml:space="preserve"> </w:t>
      </w:r>
      <w:r w:rsidRPr="009C7444">
        <w:rPr>
          <w:rFonts w:ascii="Times" w:hAnsi="Times"/>
          <w:lang w:val="en-US"/>
        </w:rPr>
        <w:t>moral legitimacy</w:t>
      </w:r>
      <w:r>
        <w:rPr>
          <w:rFonts w:ascii="Times" w:hAnsi="Times"/>
          <w:i/>
          <w:lang w:val="en-US"/>
        </w:rPr>
        <w:t xml:space="preserve"> </w:t>
      </w:r>
      <w:r w:rsidR="009C7444">
        <w:rPr>
          <w:rFonts w:ascii="Times" w:hAnsi="Times"/>
          <w:lang w:val="en-US"/>
        </w:rPr>
        <w:t>(</w:t>
      </w:r>
      <w:r>
        <w:rPr>
          <w:rFonts w:ascii="Times" w:hAnsi="Times"/>
          <w:lang w:val="en-US"/>
        </w:rPr>
        <w:t>output legitimacy)</w:t>
      </w:r>
      <w:r w:rsidR="0074145A">
        <w:rPr>
          <w:rFonts w:ascii="Times" w:hAnsi="Times"/>
          <w:lang w:val="en-US"/>
        </w:rPr>
        <w:t xml:space="preserve"> to Union governance</w:t>
      </w:r>
      <w:r>
        <w:rPr>
          <w:rFonts w:ascii="Times" w:hAnsi="Times"/>
          <w:lang w:val="en-US"/>
        </w:rPr>
        <w:t xml:space="preserve">. </w:t>
      </w:r>
      <w:r w:rsidR="00A218B8" w:rsidRPr="00964A1C">
        <w:rPr>
          <w:rFonts w:ascii="Times" w:hAnsi="Times"/>
          <w:lang w:val="en-US"/>
        </w:rPr>
        <w:t>Thus, in the light of this model improved citizen welfare constitutes the key criteria for output legitimacy.</w:t>
      </w:r>
      <w:r w:rsidR="00A218B8">
        <w:rPr>
          <w:rFonts w:ascii="Times" w:hAnsi="Times"/>
          <w:lang w:val="en-US"/>
        </w:rPr>
        <w:t xml:space="preserve"> </w:t>
      </w:r>
      <w:r>
        <w:rPr>
          <w:rFonts w:ascii="Times" w:hAnsi="Times"/>
          <w:lang w:val="en-US"/>
        </w:rPr>
        <w:t xml:space="preserve">Additionally, proponents of the regulatory state </w:t>
      </w:r>
      <w:r w:rsidR="00477332">
        <w:rPr>
          <w:rFonts w:ascii="Times" w:hAnsi="Times"/>
          <w:lang w:val="en-US"/>
        </w:rPr>
        <w:t xml:space="preserve">model </w:t>
      </w:r>
      <w:r>
        <w:rPr>
          <w:rFonts w:ascii="Times" w:hAnsi="Times"/>
          <w:lang w:val="en-US"/>
        </w:rPr>
        <w:t xml:space="preserve">argue that </w:t>
      </w:r>
      <w:r>
        <w:rPr>
          <w:rFonts w:ascii="Times" w:hAnsi="Times"/>
        </w:rPr>
        <w:t>Union regulatory policies do not result in redistribution of wealth among citizens;</w:t>
      </w:r>
      <w:r w:rsidR="004611DE">
        <w:rPr>
          <w:rFonts w:ascii="Times" w:hAnsi="Times"/>
        </w:rPr>
        <w:t xml:space="preserve"> thus, they are less in need of legitimation</w:t>
      </w:r>
      <w:r>
        <w:rPr>
          <w:rFonts w:ascii="Times" w:hAnsi="Times"/>
        </w:rPr>
        <w:t xml:space="preserve"> through </w:t>
      </w:r>
      <w:r w:rsidR="00F91028">
        <w:rPr>
          <w:rFonts w:ascii="Times" w:hAnsi="Times"/>
        </w:rPr>
        <w:t>citizen input (Majone, 1996, p.</w:t>
      </w:r>
      <w:r>
        <w:rPr>
          <w:rFonts w:ascii="Times" w:hAnsi="Times"/>
        </w:rPr>
        <w:t xml:space="preserve">284). </w:t>
      </w:r>
    </w:p>
    <w:p w14:paraId="125CA302" w14:textId="77777777" w:rsidR="000C0152" w:rsidRDefault="000C0152" w:rsidP="002249E1">
      <w:pPr>
        <w:spacing w:line="480" w:lineRule="auto"/>
        <w:jc w:val="both"/>
        <w:rPr>
          <w:rFonts w:ascii="Times" w:hAnsi="Times"/>
        </w:rPr>
      </w:pPr>
    </w:p>
    <w:p w14:paraId="0CD487C7" w14:textId="77777777" w:rsidR="00A45EF4" w:rsidRDefault="008E5B7D" w:rsidP="002249E1">
      <w:pPr>
        <w:spacing w:line="480" w:lineRule="auto"/>
        <w:jc w:val="both"/>
        <w:rPr>
          <w:rFonts w:ascii="Times" w:hAnsi="Times"/>
        </w:rPr>
      </w:pPr>
      <w:r>
        <w:rPr>
          <w:rFonts w:ascii="Times" w:hAnsi="Times"/>
        </w:rPr>
        <w:t>The input-output legitimacy model builds the legitimacy relationship between citizens and a political regime on policy success that renders the relationship vulnerable to a legitimation crisis in cases of policy failure.</w:t>
      </w:r>
      <w:r w:rsidR="0042541F">
        <w:rPr>
          <w:rFonts w:ascii="Times" w:hAnsi="Times"/>
        </w:rPr>
        <w:t xml:space="preserve"> </w:t>
      </w:r>
      <w:r w:rsidR="009C7FD4">
        <w:rPr>
          <w:rFonts w:ascii="Times" w:hAnsi="Times"/>
        </w:rPr>
        <w:t xml:space="preserve">This is exemplified in the increasing citizen disaffection towards the Union after the </w:t>
      </w:r>
      <w:r w:rsidR="000C0152">
        <w:rPr>
          <w:rFonts w:ascii="Times" w:hAnsi="Times"/>
        </w:rPr>
        <w:t xml:space="preserve">financial </w:t>
      </w:r>
      <w:r w:rsidR="009C7FD4">
        <w:rPr>
          <w:rFonts w:ascii="Times" w:hAnsi="Times"/>
        </w:rPr>
        <w:t xml:space="preserve">crisis (Scharpf, 2012). </w:t>
      </w:r>
    </w:p>
    <w:p w14:paraId="7E61F609" w14:textId="77777777" w:rsidR="00A45EF4" w:rsidRDefault="00A45EF4" w:rsidP="002249E1">
      <w:pPr>
        <w:spacing w:line="480" w:lineRule="auto"/>
        <w:jc w:val="both"/>
        <w:rPr>
          <w:rFonts w:ascii="Times" w:hAnsi="Times"/>
        </w:rPr>
      </w:pPr>
    </w:p>
    <w:p w14:paraId="15D23792" w14:textId="7A585714" w:rsidR="004663A3" w:rsidRDefault="004C303C" w:rsidP="002249E1">
      <w:pPr>
        <w:spacing w:line="480" w:lineRule="auto"/>
        <w:jc w:val="both"/>
        <w:rPr>
          <w:rFonts w:ascii="Times" w:hAnsi="Times"/>
        </w:rPr>
      </w:pPr>
      <w:r>
        <w:rPr>
          <w:rFonts w:ascii="Times" w:hAnsi="Times"/>
        </w:rPr>
        <w:t xml:space="preserve">Additionally, </w:t>
      </w:r>
      <w:r w:rsidR="00BA4EDA">
        <w:rPr>
          <w:rFonts w:ascii="Times" w:hAnsi="Times"/>
        </w:rPr>
        <w:t xml:space="preserve">the model presents </w:t>
      </w:r>
      <w:r w:rsidR="00934619">
        <w:rPr>
          <w:rFonts w:ascii="Times" w:hAnsi="Times"/>
        </w:rPr>
        <w:t xml:space="preserve">input and output legitimacy as alternatives to improve the democratic qualities of Union governance leaving a fundamental question </w:t>
      </w:r>
      <w:r>
        <w:rPr>
          <w:rFonts w:ascii="Times" w:hAnsi="Times"/>
        </w:rPr>
        <w:t xml:space="preserve">unanswered: </w:t>
      </w:r>
      <w:r w:rsidR="00415574">
        <w:rPr>
          <w:rFonts w:ascii="Times" w:hAnsi="Times"/>
        </w:rPr>
        <w:t>if</w:t>
      </w:r>
      <w:r w:rsidR="00934619">
        <w:rPr>
          <w:rFonts w:ascii="Times" w:hAnsi="Times"/>
        </w:rPr>
        <w:t>, as argued by proponents of deliberative democracy,</w:t>
      </w:r>
      <w:r w:rsidR="00415574">
        <w:rPr>
          <w:rFonts w:ascii="Times" w:hAnsi="Times"/>
        </w:rPr>
        <w:t xml:space="preserve"> citizen experiences constitute the real value of citizen participation, can policies </w:t>
      </w:r>
      <w:r w:rsidR="008C6D20">
        <w:rPr>
          <w:rFonts w:ascii="Times" w:hAnsi="Times"/>
        </w:rPr>
        <w:t xml:space="preserve">resonating with those experiences and maximising </w:t>
      </w:r>
      <w:r w:rsidR="007C1F94">
        <w:rPr>
          <w:rFonts w:ascii="Times" w:hAnsi="Times"/>
        </w:rPr>
        <w:t xml:space="preserve">citizen </w:t>
      </w:r>
      <w:r w:rsidR="008C6D20">
        <w:rPr>
          <w:rFonts w:ascii="Times" w:hAnsi="Times"/>
        </w:rPr>
        <w:t>welfare be produced purely on the basis of expertise</w:t>
      </w:r>
      <w:r w:rsidR="007C1F94">
        <w:rPr>
          <w:rFonts w:ascii="Times" w:hAnsi="Times"/>
        </w:rPr>
        <w:t xml:space="preserve"> without making citizens </w:t>
      </w:r>
      <w:r w:rsidR="008C6D20">
        <w:rPr>
          <w:rFonts w:ascii="Times" w:hAnsi="Times"/>
        </w:rPr>
        <w:t xml:space="preserve">a part of the process? </w:t>
      </w:r>
      <w:r w:rsidR="00A2011C">
        <w:rPr>
          <w:rFonts w:ascii="Times" w:hAnsi="Times"/>
        </w:rPr>
        <w:t xml:space="preserve">In other words, </w:t>
      </w:r>
      <w:r w:rsidR="00A2011C" w:rsidRPr="00280920">
        <w:rPr>
          <w:rFonts w:ascii="Times" w:hAnsi="Times"/>
          <w:i/>
        </w:rPr>
        <w:t xml:space="preserve">can </w:t>
      </w:r>
      <w:r w:rsidR="00B23D4C" w:rsidRPr="00280920">
        <w:rPr>
          <w:rFonts w:ascii="Times" w:hAnsi="Times"/>
          <w:i/>
        </w:rPr>
        <w:t xml:space="preserve">output legitimacy be achieved in the </w:t>
      </w:r>
      <w:r w:rsidR="00F06083">
        <w:rPr>
          <w:rFonts w:ascii="Times" w:hAnsi="Times"/>
          <w:i/>
        </w:rPr>
        <w:t>absence</w:t>
      </w:r>
      <w:r w:rsidR="00B23D4C" w:rsidRPr="00280920">
        <w:rPr>
          <w:rFonts w:ascii="Times" w:hAnsi="Times"/>
          <w:i/>
        </w:rPr>
        <w:t xml:space="preserve"> of </w:t>
      </w:r>
      <w:r w:rsidR="00B97BD7" w:rsidRPr="00280920">
        <w:rPr>
          <w:rFonts w:ascii="Times" w:hAnsi="Times"/>
          <w:i/>
        </w:rPr>
        <w:t>input legitimacy</w:t>
      </w:r>
      <w:r w:rsidR="00B97BD7" w:rsidRPr="00A74270">
        <w:rPr>
          <w:rFonts w:ascii="Times" w:hAnsi="Times"/>
        </w:rPr>
        <w:t>?</w:t>
      </w:r>
      <w:r w:rsidR="00B97BD7">
        <w:rPr>
          <w:rFonts w:ascii="Times" w:hAnsi="Times"/>
        </w:rPr>
        <w:t xml:space="preserve"> </w:t>
      </w:r>
      <w:r w:rsidR="004B2E80">
        <w:rPr>
          <w:rFonts w:ascii="Times" w:hAnsi="Times"/>
        </w:rPr>
        <w:t xml:space="preserve">Without addressing the input-output dichotomy directly, critical studies argue that it might be unrealistic to expect output legitimacy in the absence of input legitimacy. This is because experts who speak the same technical language might be locked in their cosy network discourse and silence critical voices against the dominant beliefs in the network leading to a potential policy failure (Cengiz, 2010, p.674). </w:t>
      </w:r>
      <w:r w:rsidR="00E450F6">
        <w:rPr>
          <w:rFonts w:ascii="Times" w:hAnsi="Times"/>
        </w:rPr>
        <w:t>E</w:t>
      </w:r>
      <w:r w:rsidR="007166D8">
        <w:rPr>
          <w:rFonts w:ascii="Times" w:hAnsi="Times"/>
        </w:rPr>
        <w:t>mpirical analysis of Union competition reforms, provided in the next part of this article, illustrates that expert policymaking at the expense of input legitimacy does</w:t>
      </w:r>
      <w:r w:rsidR="007253F2">
        <w:rPr>
          <w:rFonts w:ascii="Times" w:hAnsi="Times"/>
        </w:rPr>
        <w:t xml:space="preserve"> indeed</w:t>
      </w:r>
      <w:r w:rsidR="007166D8">
        <w:rPr>
          <w:rFonts w:ascii="Times" w:hAnsi="Times"/>
        </w:rPr>
        <w:t xml:space="preserve"> not guarantee output legitimacy.</w:t>
      </w:r>
      <w:r w:rsidR="00E450F6">
        <w:rPr>
          <w:rFonts w:ascii="Times" w:hAnsi="Times"/>
        </w:rPr>
        <w:t xml:space="preserve"> </w:t>
      </w:r>
    </w:p>
    <w:p w14:paraId="3F667355" w14:textId="77777777" w:rsidR="009C7FD4" w:rsidRDefault="009C7FD4" w:rsidP="002249E1">
      <w:pPr>
        <w:spacing w:line="480" w:lineRule="auto"/>
        <w:jc w:val="both"/>
        <w:rPr>
          <w:rFonts w:ascii="Times" w:hAnsi="Times"/>
        </w:rPr>
      </w:pPr>
    </w:p>
    <w:p w14:paraId="2D5DF729" w14:textId="569B8F7E" w:rsidR="009E53C3" w:rsidRDefault="00CC0328" w:rsidP="002249E1">
      <w:pPr>
        <w:spacing w:line="480" w:lineRule="auto"/>
        <w:jc w:val="both"/>
        <w:rPr>
          <w:rFonts w:ascii="Times" w:hAnsi="Times"/>
          <w:b/>
        </w:rPr>
      </w:pPr>
      <w:r>
        <w:rPr>
          <w:rFonts w:ascii="Times" w:hAnsi="Times"/>
          <w:b/>
        </w:rPr>
        <w:t>THE LEGITIMACY OF UNION COMPETITION LAW REFORMS</w:t>
      </w:r>
    </w:p>
    <w:p w14:paraId="08DFBC6F" w14:textId="09203706" w:rsidR="009E53C3" w:rsidRPr="009E53C3" w:rsidRDefault="00871802" w:rsidP="002249E1">
      <w:pPr>
        <w:spacing w:line="480" w:lineRule="auto"/>
        <w:jc w:val="both"/>
        <w:rPr>
          <w:rFonts w:ascii="Times" w:hAnsi="Times"/>
        </w:rPr>
      </w:pPr>
      <w:r>
        <w:rPr>
          <w:rFonts w:ascii="Times" w:hAnsi="Times"/>
        </w:rPr>
        <w:t>Having discussed</w:t>
      </w:r>
      <w:r w:rsidR="009E53C3">
        <w:rPr>
          <w:rFonts w:ascii="Times" w:hAnsi="Times"/>
        </w:rPr>
        <w:t xml:space="preserve"> </w:t>
      </w:r>
      <w:r w:rsidR="00CD1B8D">
        <w:rPr>
          <w:rFonts w:ascii="Times" w:hAnsi="Times"/>
        </w:rPr>
        <w:t xml:space="preserve">the </w:t>
      </w:r>
      <w:r w:rsidR="009E53C3">
        <w:rPr>
          <w:rFonts w:ascii="Times" w:hAnsi="Times"/>
        </w:rPr>
        <w:t xml:space="preserve">legitimacy of multi-level governance, this article now turns to the legitimacy of Union competition law reforms. This second part of the article first </w:t>
      </w:r>
      <w:r w:rsidR="00784CF7">
        <w:rPr>
          <w:rFonts w:ascii="Times" w:hAnsi="Times"/>
        </w:rPr>
        <w:t>introduces</w:t>
      </w:r>
      <w:r w:rsidR="008C1582">
        <w:rPr>
          <w:rFonts w:ascii="Times" w:hAnsi="Times"/>
        </w:rPr>
        <w:t xml:space="preserve"> the reform process, then </w:t>
      </w:r>
      <w:r w:rsidR="00A45F60">
        <w:rPr>
          <w:rFonts w:ascii="Times" w:hAnsi="Times"/>
        </w:rPr>
        <w:t xml:space="preserve">it </w:t>
      </w:r>
      <w:r w:rsidR="008C1582">
        <w:rPr>
          <w:rFonts w:ascii="Times" w:hAnsi="Times"/>
        </w:rPr>
        <w:t>discusses</w:t>
      </w:r>
      <w:r w:rsidR="009E53C3">
        <w:rPr>
          <w:rFonts w:ascii="Times" w:hAnsi="Times"/>
        </w:rPr>
        <w:t xml:space="preserve"> </w:t>
      </w:r>
      <w:r w:rsidR="00A45F60">
        <w:rPr>
          <w:rFonts w:ascii="Times" w:hAnsi="Times"/>
        </w:rPr>
        <w:t>respectively the reforms’</w:t>
      </w:r>
      <w:r w:rsidR="00E108A0">
        <w:rPr>
          <w:rFonts w:ascii="Times" w:hAnsi="Times"/>
        </w:rPr>
        <w:t xml:space="preserve"> </w:t>
      </w:r>
      <w:r w:rsidR="008C1582">
        <w:rPr>
          <w:rFonts w:ascii="Times" w:hAnsi="Times"/>
        </w:rPr>
        <w:t>procedural and moral legitimacy</w:t>
      </w:r>
      <w:r w:rsidR="00E5355A">
        <w:rPr>
          <w:rFonts w:ascii="Times" w:hAnsi="Times"/>
        </w:rPr>
        <w:t xml:space="preserve"> and </w:t>
      </w:r>
      <w:r w:rsidR="00A45F60">
        <w:rPr>
          <w:rFonts w:ascii="Times" w:hAnsi="Times"/>
        </w:rPr>
        <w:t>the</w:t>
      </w:r>
      <w:r w:rsidR="00E5355A">
        <w:rPr>
          <w:rFonts w:ascii="Times" w:hAnsi="Times"/>
        </w:rPr>
        <w:t xml:space="preserve"> </w:t>
      </w:r>
      <w:r w:rsidR="00A45F60">
        <w:rPr>
          <w:rFonts w:ascii="Times" w:hAnsi="Times"/>
        </w:rPr>
        <w:t xml:space="preserve">expert </w:t>
      </w:r>
      <w:r w:rsidR="00E5355A">
        <w:rPr>
          <w:rFonts w:ascii="Times" w:hAnsi="Times"/>
        </w:rPr>
        <w:t>economics discourse</w:t>
      </w:r>
      <w:r w:rsidR="00A45F60">
        <w:rPr>
          <w:rFonts w:ascii="Times" w:hAnsi="Times"/>
        </w:rPr>
        <w:t>’s effect</w:t>
      </w:r>
      <w:r w:rsidR="00FB63A5">
        <w:rPr>
          <w:rFonts w:ascii="Times" w:hAnsi="Times"/>
        </w:rPr>
        <w:t>s</w:t>
      </w:r>
      <w:r w:rsidR="00A45F60">
        <w:rPr>
          <w:rFonts w:ascii="Times" w:hAnsi="Times"/>
        </w:rPr>
        <w:t xml:space="preserve"> on</w:t>
      </w:r>
      <w:r w:rsidR="001D3067">
        <w:rPr>
          <w:rFonts w:ascii="Times" w:hAnsi="Times"/>
        </w:rPr>
        <w:t xml:space="preserve"> legitimacy</w:t>
      </w:r>
      <w:r w:rsidR="00E5355A">
        <w:rPr>
          <w:rFonts w:ascii="Times" w:hAnsi="Times"/>
        </w:rPr>
        <w:t>.</w:t>
      </w:r>
      <w:r w:rsidR="00E108A0">
        <w:rPr>
          <w:rFonts w:ascii="Times" w:hAnsi="Times"/>
        </w:rPr>
        <w:t xml:space="preserve"> </w:t>
      </w:r>
    </w:p>
    <w:p w14:paraId="0F751453" w14:textId="77777777" w:rsidR="009C7FD4" w:rsidRDefault="009C7FD4" w:rsidP="002249E1">
      <w:pPr>
        <w:spacing w:line="480" w:lineRule="auto"/>
        <w:jc w:val="both"/>
        <w:rPr>
          <w:rFonts w:ascii="Times" w:hAnsi="Times"/>
          <w:b/>
        </w:rPr>
      </w:pPr>
    </w:p>
    <w:p w14:paraId="19995C77" w14:textId="213C3123" w:rsidR="009C7FD4" w:rsidRDefault="009C7FD4" w:rsidP="002249E1">
      <w:pPr>
        <w:spacing w:line="480" w:lineRule="auto"/>
        <w:jc w:val="both"/>
        <w:rPr>
          <w:rFonts w:ascii="Times" w:hAnsi="Times"/>
          <w:b/>
        </w:rPr>
      </w:pPr>
      <w:r>
        <w:rPr>
          <w:rFonts w:ascii="Times" w:hAnsi="Times"/>
          <w:b/>
        </w:rPr>
        <w:t>The reform process of Union competition law</w:t>
      </w:r>
    </w:p>
    <w:p w14:paraId="1486919F" w14:textId="0D5CF03A" w:rsidR="009C7FD4" w:rsidRDefault="009C7FD4" w:rsidP="002249E1">
      <w:pPr>
        <w:spacing w:line="480" w:lineRule="auto"/>
        <w:jc w:val="both"/>
        <w:rPr>
          <w:rFonts w:ascii="Times" w:eastAsia="Times New Roman" w:hAnsi="Times" w:cs="Times New Roman"/>
          <w:color w:val="000000"/>
          <w:shd w:val="clear" w:color="auto" w:fill="FFFFFF"/>
        </w:rPr>
      </w:pPr>
      <w:r w:rsidRPr="00A459F5">
        <w:rPr>
          <w:rFonts w:ascii="Times" w:hAnsi="Times"/>
        </w:rPr>
        <w:t xml:space="preserve">Union competition rules comprise </w:t>
      </w:r>
      <w:r w:rsidR="00D018F3">
        <w:rPr>
          <w:rFonts w:ascii="Times" w:hAnsi="Times"/>
        </w:rPr>
        <w:t>the</w:t>
      </w:r>
      <w:r w:rsidRPr="00A459F5">
        <w:rPr>
          <w:rFonts w:ascii="Times" w:hAnsi="Times"/>
        </w:rPr>
        <w:t xml:space="preserve"> Treaty rules against anticompetitive agreements (Art.101</w:t>
      </w:r>
      <w:r w:rsidR="001C28CB">
        <w:rPr>
          <w:rFonts w:ascii="Times" w:hAnsi="Times"/>
        </w:rPr>
        <w:t xml:space="preserve"> </w:t>
      </w:r>
      <w:r w:rsidR="00392028">
        <w:rPr>
          <w:rFonts w:ascii="Times" w:hAnsi="Times"/>
        </w:rPr>
        <w:t>TFEU</w:t>
      </w:r>
      <w:r w:rsidRPr="00A459F5">
        <w:rPr>
          <w:rFonts w:ascii="Times" w:hAnsi="Times"/>
        </w:rPr>
        <w:t>); abusive behaviour by dominant undertakings (Art.102 TFEU); and the Regulation against anticompetitive mergers</w:t>
      </w:r>
      <w:r w:rsidR="00F91028">
        <w:rPr>
          <w:rFonts w:ascii="Times" w:hAnsi="Times"/>
        </w:rPr>
        <w:t xml:space="preserve"> (EU Merger Regulation No.</w:t>
      </w:r>
      <w:r w:rsidR="00F91028" w:rsidRPr="00392028">
        <w:rPr>
          <w:rFonts w:ascii="Times" w:hAnsi="Times" w:cs="EUAlbertina-Bold"/>
          <w:bCs/>
          <w:lang w:val="en-US"/>
        </w:rPr>
        <w:t>139/2004</w:t>
      </w:r>
      <w:r w:rsidR="00F91028">
        <w:rPr>
          <w:rFonts w:ascii="Times" w:hAnsi="Times" w:cs="EUAlbertina-Bold"/>
          <w:bCs/>
          <w:lang w:val="en-US"/>
        </w:rPr>
        <w:t>)</w:t>
      </w:r>
      <w:r>
        <w:rPr>
          <w:rFonts w:ascii="Times" w:hAnsi="Times"/>
        </w:rPr>
        <w:t>.</w:t>
      </w:r>
      <w:r>
        <w:rPr>
          <w:rFonts w:ascii="Times" w:eastAsia="Times New Roman" w:hAnsi="Times" w:cs="Times New Roman"/>
          <w:color w:val="000000"/>
          <w:shd w:val="clear" w:color="auto" w:fill="FFFFFF"/>
        </w:rPr>
        <w:t xml:space="preserve"> Competition rules force economic agents to </w:t>
      </w:r>
      <w:r w:rsidR="00E87996">
        <w:rPr>
          <w:rFonts w:ascii="Times" w:eastAsia="Times New Roman" w:hAnsi="Times" w:cs="Times New Roman"/>
          <w:color w:val="000000"/>
          <w:shd w:val="clear" w:color="auto" w:fill="FFFFFF"/>
        </w:rPr>
        <w:t>obey the dynamics</w:t>
      </w:r>
      <w:r>
        <w:rPr>
          <w:rFonts w:ascii="Times" w:eastAsia="Times New Roman" w:hAnsi="Times" w:cs="Times New Roman"/>
          <w:color w:val="000000"/>
          <w:shd w:val="clear" w:color="auto" w:fill="FFFFFF"/>
        </w:rPr>
        <w:t xml:space="preserve"> of liberal markets that are determined by supply and demand. These rules are inextricably linked to the dynamics of economy and are abstract in nature. Thus, they beg for elaboration by the legislature or the institutions enforcing them; and their interpretation reflects the dominant economic ideology</w:t>
      </w:r>
      <w:r w:rsidR="00E55353">
        <w:rPr>
          <w:rFonts w:ascii="Times" w:eastAsia="Times New Roman" w:hAnsi="Times" w:cs="Times New Roman"/>
          <w:color w:val="000000"/>
          <w:shd w:val="clear" w:color="auto" w:fill="FFFFFF"/>
        </w:rPr>
        <w:t xml:space="preserve"> of the time</w:t>
      </w:r>
      <w:r>
        <w:rPr>
          <w:rFonts w:ascii="Times" w:eastAsia="Times New Roman" w:hAnsi="Times" w:cs="Times New Roman"/>
          <w:color w:val="000000"/>
          <w:shd w:val="clear" w:color="auto" w:fill="FFFFFF"/>
        </w:rPr>
        <w:t>.</w:t>
      </w:r>
    </w:p>
    <w:p w14:paraId="03D4568C" w14:textId="77777777" w:rsidR="009C7FD4" w:rsidRDefault="009C7FD4" w:rsidP="002249E1">
      <w:pPr>
        <w:spacing w:line="480" w:lineRule="auto"/>
        <w:jc w:val="both"/>
        <w:rPr>
          <w:rFonts w:ascii="Times" w:eastAsia="Times New Roman" w:hAnsi="Times" w:cs="Times New Roman"/>
          <w:color w:val="000000"/>
          <w:shd w:val="clear" w:color="auto" w:fill="FFFFFF"/>
        </w:rPr>
      </w:pPr>
    </w:p>
    <w:p w14:paraId="66B77AC4" w14:textId="4A3E4684" w:rsidR="009C7FD4" w:rsidRDefault="009C7FD4" w:rsidP="002249E1">
      <w:pPr>
        <w:spacing w:line="480" w:lineRule="auto"/>
        <w:jc w:val="both"/>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The Court of Justice, with its duty for protecting the rule of law (Art.19 TEU), and the European Commission, in the light of the autonomy delegated to it with Regulation 1/2003</w:t>
      </w:r>
      <w:r w:rsidR="00267B48">
        <w:rPr>
          <w:rFonts w:ascii="Times" w:eastAsia="Times New Roman" w:hAnsi="Times" w:cs="Times New Roman"/>
          <w:color w:val="000000"/>
          <w:shd w:val="clear" w:color="auto" w:fill="FFFFFF"/>
        </w:rPr>
        <w:t>,</w:t>
      </w:r>
      <w:r>
        <w:rPr>
          <w:rStyle w:val="EndnoteReference"/>
          <w:rFonts w:ascii="Times" w:eastAsia="Times New Roman" w:hAnsi="Times" w:cs="Times New Roman"/>
          <w:color w:val="000000"/>
          <w:shd w:val="clear" w:color="auto" w:fill="FFFFFF"/>
        </w:rPr>
        <w:endnoteReference w:id="6"/>
      </w:r>
      <w:r>
        <w:rPr>
          <w:rFonts w:ascii="Times" w:eastAsia="Times New Roman" w:hAnsi="Times" w:cs="Times New Roman"/>
          <w:color w:val="000000"/>
          <w:shd w:val="clear" w:color="auto" w:fill="FFFFFF"/>
        </w:rPr>
        <w:t xml:space="preserve"> </w:t>
      </w:r>
      <w:r w:rsidR="005B2498">
        <w:rPr>
          <w:rFonts w:ascii="Times" w:eastAsia="Times New Roman" w:hAnsi="Times" w:cs="Times New Roman"/>
          <w:color w:val="000000"/>
          <w:shd w:val="clear" w:color="auto" w:fill="FFFFFF"/>
        </w:rPr>
        <w:t>have been</w:t>
      </w:r>
      <w:r>
        <w:rPr>
          <w:rFonts w:ascii="Times" w:eastAsia="Times New Roman" w:hAnsi="Times" w:cs="Times New Roman"/>
          <w:color w:val="000000"/>
          <w:shd w:val="clear" w:color="auto" w:fill="FFFFFF"/>
        </w:rPr>
        <w:t xml:space="preserve"> the key institutions enforcing Union competition rules. </w:t>
      </w:r>
      <w:r w:rsidR="00AC5788">
        <w:rPr>
          <w:rFonts w:ascii="Times" w:eastAsia="Times New Roman" w:hAnsi="Times" w:cs="Times New Roman"/>
          <w:color w:val="000000"/>
          <w:shd w:val="clear" w:color="auto" w:fill="FFFFFF"/>
        </w:rPr>
        <w:t>Since</w:t>
      </w:r>
      <w:r>
        <w:rPr>
          <w:rFonts w:ascii="Times" w:eastAsia="Times New Roman" w:hAnsi="Times" w:cs="Times New Roman"/>
          <w:color w:val="000000"/>
          <w:shd w:val="clear" w:color="auto" w:fill="FFFFFF"/>
        </w:rPr>
        <w:t xml:space="preserve"> the coming into force of the ECSC Treaty in 1952 until the start of the reform process of competition rules in the late 1990s</w:t>
      </w:r>
      <w:r w:rsidR="00E55353">
        <w:rPr>
          <w:rFonts w:ascii="Times" w:eastAsia="Times New Roman" w:hAnsi="Times" w:cs="Times New Roman"/>
          <w:color w:val="000000"/>
          <w:shd w:val="clear" w:color="auto" w:fill="FFFFFF"/>
        </w:rPr>
        <w:t>,</w:t>
      </w:r>
      <w:r>
        <w:rPr>
          <w:rFonts w:ascii="Times" w:eastAsia="Times New Roman" w:hAnsi="Times" w:cs="Times New Roman"/>
          <w:color w:val="000000"/>
          <w:shd w:val="clear" w:color="auto" w:fill="FFFFFF"/>
        </w:rPr>
        <w:t xml:space="preserve"> ordoliberal ideals and the common market </w:t>
      </w:r>
      <w:r w:rsidR="00E55353">
        <w:rPr>
          <w:rFonts w:ascii="Times" w:eastAsia="Times New Roman" w:hAnsi="Times" w:cs="Times New Roman"/>
          <w:color w:val="000000"/>
          <w:shd w:val="clear" w:color="auto" w:fill="FFFFFF"/>
        </w:rPr>
        <w:t xml:space="preserve">objective </w:t>
      </w:r>
      <w:r>
        <w:rPr>
          <w:rFonts w:ascii="Times" w:eastAsia="Times New Roman" w:hAnsi="Times" w:cs="Times New Roman"/>
          <w:color w:val="000000"/>
          <w:shd w:val="clear" w:color="auto" w:fill="FFFFFF"/>
        </w:rPr>
        <w:t>heavily influenced the Commission’s and the Court’s approach to competition law (Gerber</w:t>
      </w:r>
      <w:r w:rsidR="0051388D">
        <w:rPr>
          <w:rFonts w:ascii="Times" w:eastAsia="Times New Roman" w:hAnsi="Times" w:cs="Times New Roman"/>
          <w:color w:val="000000"/>
          <w:shd w:val="clear" w:color="auto" w:fill="FFFFFF"/>
        </w:rPr>
        <w:t>,</w:t>
      </w:r>
      <w:r>
        <w:rPr>
          <w:rFonts w:ascii="Times" w:eastAsia="Times New Roman" w:hAnsi="Times" w:cs="Times New Roman"/>
          <w:color w:val="000000"/>
          <w:shd w:val="clear" w:color="auto" w:fill="FFFFFF"/>
        </w:rPr>
        <w:t xml:space="preserve"> 1994, p.100; Gormsen</w:t>
      </w:r>
      <w:r w:rsidR="0051388D">
        <w:rPr>
          <w:rFonts w:ascii="Times" w:eastAsia="Times New Roman" w:hAnsi="Times" w:cs="Times New Roman"/>
          <w:color w:val="000000"/>
          <w:shd w:val="clear" w:color="auto" w:fill="FFFFFF"/>
        </w:rPr>
        <w:t>, 2007</w:t>
      </w:r>
      <w:r>
        <w:rPr>
          <w:rFonts w:ascii="Times" w:eastAsia="Times New Roman" w:hAnsi="Times" w:cs="Times New Roman"/>
          <w:color w:val="000000"/>
          <w:shd w:val="clear" w:color="auto" w:fill="FFFFFF"/>
        </w:rPr>
        <w:t xml:space="preserve">). Ordoliberalism embraced individual economic freedom against potentially devastating political consequences of the accumulation of economic power (Maier-Rigaud, </w:t>
      </w:r>
      <w:r w:rsidR="00503A78">
        <w:rPr>
          <w:rFonts w:ascii="Times" w:eastAsia="Times New Roman" w:hAnsi="Times" w:cs="Times New Roman"/>
          <w:color w:val="000000"/>
          <w:shd w:val="clear" w:color="auto" w:fill="FFFFFF"/>
        </w:rPr>
        <w:t xml:space="preserve">2012, </w:t>
      </w:r>
      <w:r>
        <w:rPr>
          <w:rFonts w:ascii="Times" w:eastAsia="Times New Roman" w:hAnsi="Times" w:cs="Times New Roman"/>
          <w:color w:val="000000"/>
          <w:shd w:val="clear" w:color="auto" w:fill="FFFFFF"/>
        </w:rPr>
        <w:t xml:space="preserve">p.143). Its influence was most visible in the abuse of dominance doctrine that placed great emphasis on the freedom to choose products and services (Gormsen 2007, p.339). Also, the Treaty declared competition rules as tools to achieve the common market  (Arts.2 and 3(g) EC Treaty). The common market objective was most visible in the strict approach against vertical and horizontal agreements that erect economic borders between </w:t>
      </w:r>
      <w:r w:rsidR="00585AE8">
        <w:rPr>
          <w:rFonts w:ascii="Times" w:eastAsia="Times New Roman" w:hAnsi="Times" w:cs="Times New Roman"/>
          <w:color w:val="000000"/>
          <w:shd w:val="clear" w:color="auto" w:fill="FFFFFF"/>
        </w:rPr>
        <w:t xml:space="preserve">the </w:t>
      </w:r>
      <w:r>
        <w:rPr>
          <w:rFonts w:ascii="Times" w:eastAsia="Times New Roman" w:hAnsi="Times" w:cs="Times New Roman"/>
          <w:color w:val="000000"/>
          <w:shd w:val="clear" w:color="auto" w:fill="FFFFFF"/>
        </w:rPr>
        <w:t xml:space="preserve">Member States (Gerber 1994, p.112). </w:t>
      </w:r>
    </w:p>
    <w:p w14:paraId="5D14F127" w14:textId="77777777" w:rsidR="009C7FD4" w:rsidRDefault="009C7FD4" w:rsidP="002249E1">
      <w:pPr>
        <w:spacing w:line="480" w:lineRule="auto"/>
        <w:jc w:val="both"/>
        <w:rPr>
          <w:rFonts w:ascii="Times" w:eastAsia="Times New Roman" w:hAnsi="Times" w:cs="Times New Roman"/>
          <w:color w:val="000000"/>
          <w:shd w:val="clear" w:color="auto" w:fill="FFFFFF"/>
        </w:rPr>
      </w:pPr>
    </w:p>
    <w:p w14:paraId="14B4C9FF" w14:textId="77A3B64B" w:rsidR="009C7FD4" w:rsidRPr="00922D68" w:rsidRDefault="009C7FD4" w:rsidP="002249E1">
      <w:pPr>
        <w:spacing w:line="480" w:lineRule="auto"/>
        <w:jc w:val="both"/>
        <w:rPr>
          <w:rFonts w:ascii="Times" w:hAnsi="Times"/>
        </w:rPr>
      </w:pPr>
      <w:r>
        <w:rPr>
          <w:rFonts w:ascii="Times" w:eastAsia="Times New Roman" w:hAnsi="Times" w:cs="Times New Roman"/>
          <w:color w:val="000000"/>
          <w:shd w:val="clear" w:color="auto" w:fill="FFFFFF"/>
        </w:rPr>
        <w:t xml:space="preserve">Since the late 1990s, </w:t>
      </w:r>
      <w:r w:rsidR="001D1F18">
        <w:rPr>
          <w:rFonts w:ascii="Times" w:eastAsia="Times New Roman" w:hAnsi="Times" w:cs="Times New Roman"/>
          <w:color w:val="000000"/>
          <w:shd w:val="clear" w:color="auto" w:fill="FFFFFF"/>
        </w:rPr>
        <w:t xml:space="preserve">the </w:t>
      </w:r>
      <w:r>
        <w:rPr>
          <w:rFonts w:ascii="Times" w:eastAsia="Times New Roman" w:hAnsi="Times" w:cs="Times New Roman"/>
          <w:color w:val="000000"/>
          <w:shd w:val="clear" w:color="auto" w:fill="FFFFFF"/>
        </w:rPr>
        <w:t xml:space="preserve">Union competition </w:t>
      </w:r>
      <w:r w:rsidR="007B5214">
        <w:rPr>
          <w:rFonts w:ascii="Times" w:eastAsia="Times New Roman" w:hAnsi="Times" w:cs="Times New Roman"/>
          <w:color w:val="000000"/>
          <w:shd w:val="clear" w:color="auto" w:fill="FFFFFF"/>
        </w:rPr>
        <w:t>regime</w:t>
      </w:r>
      <w:r>
        <w:rPr>
          <w:rFonts w:ascii="Times" w:eastAsia="Times New Roman" w:hAnsi="Times" w:cs="Times New Roman"/>
          <w:color w:val="000000"/>
          <w:shd w:val="clear" w:color="auto" w:fill="FFFFFF"/>
        </w:rPr>
        <w:t xml:space="preserve"> </w:t>
      </w:r>
      <w:r w:rsidR="007B5214">
        <w:rPr>
          <w:rFonts w:ascii="Times" w:eastAsia="Times New Roman" w:hAnsi="Times" w:cs="Times New Roman"/>
          <w:color w:val="000000"/>
          <w:shd w:val="clear" w:color="auto" w:fill="FFFFFF"/>
        </w:rPr>
        <w:t>has</w:t>
      </w:r>
      <w:r>
        <w:rPr>
          <w:rFonts w:ascii="Times" w:eastAsia="Times New Roman" w:hAnsi="Times" w:cs="Times New Roman"/>
          <w:color w:val="000000"/>
          <w:shd w:val="clear" w:color="auto" w:fill="FFFFFF"/>
        </w:rPr>
        <w:t xml:space="preserve"> gone through an extensive reform process that transformed </w:t>
      </w:r>
      <w:r>
        <w:rPr>
          <w:rFonts w:ascii="Times" w:hAnsi="Times"/>
        </w:rPr>
        <w:t>the rules against vertical agreements,</w:t>
      </w:r>
      <w:r>
        <w:rPr>
          <w:rStyle w:val="EndnoteReference"/>
          <w:rFonts w:ascii="Times" w:hAnsi="Times"/>
        </w:rPr>
        <w:endnoteReference w:id="7"/>
      </w:r>
      <w:r>
        <w:rPr>
          <w:rFonts w:ascii="Times" w:hAnsi="Times"/>
        </w:rPr>
        <w:t xml:space="preserve"> anticompetitive merger</w:t>
      </w:r>
      <w:r w:rsidR="00113B6C">
        <w:rPr>
          <w:rFonts w:ascii="Times" w:hAnsi="Times"/>
        </w:rPr>
        <w:t>s</w:t>
      </w:r>
      <w:r>
        <w:rPr>
          <w:rStyle w:val="EndnoteReference"/>
          <w:rFonts w:ascii="Times" w:hAnsi="Times"/>
        </w:rPr>
        <w:endnoteReference w:id="8"/>
      </w:r>
      <w:r>
        <w:rPr>
          <w:rFonts w:ascii="Times" w:hAnsi="Times"/>
        </w:rPr>
        <w:t xml:space="preserve"> and abuse of dominance.</w:t>
      </w:r>
      <w:r>
        <w:rPr>
          <w:rStyle w:val="EndnoteReference"/>
          <w:rFonts w:ascii="Times" w:hAnsi="Times"/>
        </w:rPr>
        <w:endnoteReference w:id="9"/>
      </w:r>
      <w:r>
        <w:rPr>
          <w:rFonts w:ascii="Times" w:hAnsi="Times"/>
        </w:rPr>
        <w:t xml:space="preserve"> Similarly, enforcement was decentralised with the sharing of enforcement authority between the Commission and </w:t>
      </w:r>
      <w:r w:rsidR="000C7DED">
        <w:rPr>
          <w:rFonts w:ascii="Times" w:hAnsi="Times"/>
        </w:rPr>
        <w:t>national authorities</w:t>
      </w:r>
      <w:r>
        <w:rPr>
          <w:rFonts w:ascii="Times" w:hAnsi="Times"/>
        </w:rPr>
        <w:t>.</w:t>
      </w:r>
      <w:r>
        <w:rPr>
          <w:rStyle w:val="EndnoteReference"/>
          <w:rFonts w:ascii="Times" w:hAnsi="Times"/>
        </w:rPr>
        <w:endnoteReference w:id="10"/>
      </w:r>
      <w:r>
        <w:rPr>
          <w:rFonts w:ascii="Times" w:hAnsi="Times"/>
        </w:rPr>
        <w:t xml:space="preserve"> Decentralisation measures attributed a managerial position to the Commission within the </w:t>
      </w:r>
      <w:r w:rsidR="006A08F6">
        <w:rPr>
          <w:rFonts w:ascii="Times" w:hAnsi="Times"/>
        </w:rPr>
        <w:t xml:space="preserve">ECN </w:t>
      </w:r>
      <w:r>
        <w:rPr>
          <w:rFonts w:ascii="Times" w:hAnsi="Times"/>
        </w:rPr>
        <w:t xml:space="preserve">that brings together the </w:t>
      </w:r>
      <w:r w:rsidR="00045186">
        <w:rPr>
          <w:rFonts w:ascii="Times" w:hAnsi="Times"/>
        </w:rPr>
        <w:t>national authorities</w:t>
      </w:r>
      <w:r>
        <w:rPr>
          <w:rFonts w:ascii="Times" w:hAnsi="Times"/>
        </w:rPr>
        <w:t xml:space="preserve"> and the</w:t>
      </w:r>
      <w:r w:rsidR="00D7511F">
        <w:rPr>
          <w:rFonts w:ascii="Times" w:hAnsi="Times"/>
        </w:rPr>
        <w:t xml:space="preserve"> Commission; thus, </w:t>
      </w:r>
      <w:r w:rsidR="00547996">
        <w:rPr>
          <w:rFonts w:ascii="Times" w:hAnsi="Times"/>
        </w:rPr>
        <w:t xml:space="preserve">they </w:t>
      </w:r>
      <w:r w:rsidR="00D7511F">
        <w:rPr>
          <w:rFonts w:ascii="Times" w:hAnsi="Times"/>
        </w:rPr>
        <w:t>strengthened</w:t>
      </w:r>
      <w:r>
        <w:rPr>
          <w:rFonts w:ascii="Times" w:hAnsi="Times"/>
        </w:rPr>
        <w:t xml:space="preserve"> the Commission’s position in </w:t>
      </w:r>
      <w:r w:rsidR="00A0051A">
        <w:rPr>
          <w:rFonts w:ascii="Times" w:hAnsi="Times"/>
        </w:rPr>
        <w:t xml:space="preserve">the </w:t>
      </w:r>
      <w:r>
        <w:rPr>
          <w:rFonts w:ascii="Times" w:hAnsi="Times"/>
        </w:rPr>
        <w:t xml:space="preserve">Union competition </w:t>
      </w:r>
      <w:r w:rsidR="00846778">
        <w:rPr>
          <w:rFonts w:ascii="Times" w:hAnsi="Times"/>
        </w:rPr>
        <w:t>regime</w:t>
      </w:r>
      <w:r>
        <w:rPr>
          <w:rFonts w:ascii="Times" w:hAnsi="Times"/>
        </w:rPr>
        <w:t xml:space="preserve"> (Cengiz 2010, p.660). The reform process also steered the enforcement regime towards a regulatory paradigm through commitment and </w:t>
      </w:r>
      <w:r w:rsidR="007B7911">
        <w:rPr>
          <w:rFonts w:ascii="Times" w:hAnsi="Times"/>
        </w:rPr>
        <w:t>settlement procedures that give</w:t>
      </w:r>
      <w:r>
        <w:rPr>
          <w:rFonts w:ascii="Times" w:hAnsi="Times"/>
        </w:rPr>
        <w:t xml:space="preserve"> the Commission the ability to close investigations on the basis of negotiations with parties inv</w:t>
      </w:r>
      <w:r w:rsidR="0051388D">
        <w:rPr>
          <w:rFonts w:ascii="Times" w:hAnsi="Times"/>
        </w:rPr>
        <w:t>olved (Cengiz, 2011</w:t>
      </w:r>
      <w:r>
        <w:rPr>
          <w:rFonts w:ascii="Times" w:hAnsi="Times"/>
        </w:rPr>
        <w:t>). Finally, the Commission’s private enforcement agenda has resulted in a Directive</w:t>
      </w:r>
      <w:r>
        <w:rPr>
          <w:rStyle w:val="EndnoteReference"/>
          <w:rFonts w:ascii="Times" w:hAnsi="Times"/>
        </w:rPr>
        <w:endnoteReference w:id="11"/>
      </w:r>
      <w:r>
        <w:rPr>
          <w:rFonts w:ascii="Times" w:hAnsi="Times"/>
        </w:rPr>
        <w:t xml:space="preserve"> </w:t>
      </w:r>
      <w:r w:rsidR="007B7911">
        <w:rPr>
          <w:rFonts w:ascii="Times" w:hAnsi="Times"/>
        </w:rPr>
        <w:t>increasing</w:t>
      </w:r>
      <w:r>
        <w:rPr>
          <w:rFonts w:ascii="Times" w:hAnsi="Times"/>
        </w:rPr>
        <w:t xml:space="preserve"> citizens’ role in competition law enforcement through damages actions.</w:t>
      </w:r>
    </w:p>
    <w:p w14:paraId="7E8BFB85" w14:textId="77777777" w:rsidR="009C7FD4" w:rsidRDefault="009C7FD4" w:rsidP="002249E1">
      <w:pPr>
        <w:spacing w:line="480" w:lineRule="auto"/>
        <w:jc w:val="both"/>
        <w:rPr>
          <w:rFonts w:ascii="Times" w:hAnsi="Times"/>
        </w:rPr>
      </w:pPr>
    </w:p>
    <w:p w14:paraId="019BC261" w14:textId="09805FD5" w:rsidR="009C7FD4" w:rsidRDefault="009C7FD4" w:rsidP="002249E1">
      <w:pPr>
        <w:spacing w:line="480" w:lineRule="auto"/>
        <w:jc w:val="both"/>
        <w:rPr>
          <w:rFonts w:ascii="Times" w:hAnsi="Times"/>
        </w:rPr>
      </w:pPr>
      <w:r>
        <w:rPr>
          <w:rFonts w:ascii="Times" w:hAnsi="Times"/>
        </w:rPr>
        <w:t xml:space="preserve">As their common characteristic, the reforms steered Union competition rules towards a neoliberal paradigm that employs neo-classical economics as the key </w:t>
      </w:r>
      <w:r w:rsidR="00541BB5">
        <w:rPr>
          <w:rFonts w:ascii="Times" w:hAnsi="Times"/>
        </w:rPr>
        <w:t>enforcement methodology to distinguish between harmful (inefficient) and harmless (efficient) behaviour</w:t>
      </w:r>
      <w:r>
        <w:rPr>
          <w:rFonts w:ascii="Times" w:hAnsi="Times"/>
        </w:rPr>
        <w:t xml:space="preserve"> (Buch-Hansen and Wigger, 2011, p.109). Neoliberalism in this context is understood as ‘the elevation of market-based principles and techniques of evaluation to the level of state-en</w:t>
      </w:r>
      <w:r w:rsidR="00F053BD">
        <w:rPr>
          <w:rFonts w:ascii="Times" w:hAnsi="Times"/>
        </w:rPr>
        <w:t>dorsed norms’ (Davies, 2014, p.</w:t>
      </w:r>
      <w:r>
        <w:rPr>
          <w:rFonts w:ascii="Times" w:hAnsi="Times"/>
        </w:rPr>
        <w:t>6). Commissioner Monti, the reform process’s pioneer, branded the reforms as a ‘more econom</w:t>
      </w:r>
      <w:r w:rsidR="007B7911">
        <w:rPr>
          <w:rFonts w:ascii="Times" w:hAnsi="Times"/>
        </w:rPr>
        <w:t>ic approach’ (Monti, 2000, p.9).</w:t>
      </w:r>
      <w:r>
        <w:rPr>
          <w:rFonts w:ascii="Times" w:hAnsi="Times"/>
        </w:rPr>
        <w:t xml:space="preserve"> </w:t>
      </w:r>
      <w:r w:rsidR="007B7911">
        <w:rPr>
          <w:rFonts w:ascii="Times" w:hAnsi="Times"/>
        </w:rPr>
        <w:t>H</w:t>
      </w:r>
      <w:r>
        <w:rPr>
          <w:rFonts w:ascii="Times" w:hAnsi="Times"/>
        </w:rPr>
        <w:t>is successor Commissioner Kroes abundantly used the concept of ‘consumer welfare’ in the reforms’ publicity campaign (Kroes</w:t>
      </w:r>
      <w:r w:rsidR="00D85D1A">
        <w:rPr>
          <w:rFonts w:ascii="Times" w:hAnsi="Times"/>
        </w:rPr>
        <w:t>,</w:t>
      </w:r>
      <w:r w:rsidR="007B7911">
        <w:rPr>
          <w:rFonts w:ascii="Times" w:hAnsi="Times"/>
        </w:rPr>
        <w:t xml:space="preserve"> 2009</w:t>
      </w:r>
      <w:r>
        <w:rPr>
          <w:rFonts w:ascii="Times" w:hAnsi="Times"/>
        </w:rPr>
        <w:t xml:space="preserve">). </w:t>
      </w:r>
    </w:p>
    <w:p w14:paraId="7D15EC30" w14:textId="77777777" w:rsidR="009C7FD4" w:rsidRDefault="009C7FD4" w:rsidP="002249E1">
      <w:pPr>
        <w:spacing w:line="480" w:lineRule="auto"/>
        <w:jc w:val="both"/>
        <w:rPr>
          <w:rFonts w:ascii="Times" w:hAnsi="Times"/>
        </w:rPr>
      </w:pPr>
    </w:p>
    <w:p w14:paraId="5E8D7E6C" w14:textId="1A6D2083" w:rsidR="009C7FD4" w:rsidRPr="003105F2" w:rsidRDefault="009C7FD4" w:rsidP="002249E1">
      <w:pPr>
        <w:spacing w:line="480" w:lineRule="auto"/>
        <w:jc w:val="both"/>
        <w:rPr>
          <w:rFonts w:ascii="Times" w:hAnsi="Times"/>
        </w:rPr>
      </w:pPr>
      <w:r>
        <w:rPr>
          <w:rFonts w:ascii="Times" w:hAnsi="Times"/>
        </w:rPr>
        <w:t>The emergence of ‘competition state’ as a global governance phenomenon (Cerny</w:t>
      </w:r>
      <w:r w:rsidR="00D85D1A">
        <w:rPr>
          <w:rFonts w:ascii="Times" w:hAnsi="Times"/>
        </w:rPr>
        <w:t>,</w:t>
      </w:r>
      <w:r>
        <w:rPr>
          <w:rFonts w:ascii="Times" w:hAnsi="Times"/>
        </w:rPr>
        <w:t xml:space="preserve"> 2014</w:t>
      </w:r>
      <w:r w:rsidR="00A55534">
        <w:rPr>
          <w:rFonts w:ascii="Times" w:hAnsi="Times"/>
        </w:rPr>
        <w:t>b</w:t>
      </w:r>
      <w:r>
        <w:rPr>
          <w:rFonts w:ascii="Times" w:hAnsi="Times"/>
        </w:rPr>
        <w:t xml:space="preserve">) and the Union’s Lisbon </w:t>
      </w:r>
      <w:r w:rsidR="00860146">
        <w:rPr>
          <w:rFonts w:ascii="Times" w:hAnsi="Times"/>
        </w:rPr>
        <w:t xml:space="preserve">(Council 2010) </w:t>
      </w:r>
      <w:r>
        <w:rPr>
          <w:rFonts w:ascii="Times" w:hAnsi="Times"/>
        </w:rPr>
        <w:t xml:space="preserve">and Europe 2020 Agendas </w:t>
      </w:r>
      <w:r w:rsidR="003E0A3E">
        <w:rPr>
          <w:rFonts w:ascii="Times" w:hAnsi="Times"/>
        </w:rPr>
        <w:t xml:space="preserve">(Commission 2010) </w:t>
      </w:r>
      <w:r>
        <w:rPr>
          <w:rFonts w:ascii="Times" w:hAnsi="Times"/>
        </w:rPr>
        <w:t>th</w:t>
      </w:r>
      <w:r w:rsidR="00003618">
        <w:rPr>
          <w:rFonts w:ascii="Times" w:hAnsi="Times"/>
        </w:rPr>
        <w:t xml:space="preserve">at accordingly identify growth </w:t>
      </w:r>
      <w:r>
        <w:rPr>
          <w:rFonts w:ascii="Times" w:hAnsi="Times"/>
        </w:rPr>
        <w:t xml:space="preserve">and competitiveness as key policy targets provided the political background for </w:t>
      </w:r>
      <w:r w:rsidR="00613227">
        <w:rPr>
          <w:rFonts w:ascii="Times" w:hAnsi="Times"/>
        </w:rPr>
        <w:t xml:space="preserve">the </w:t>
      </w:r>
      <w:r>
        <w:rPr>
          <w:rFonts w:ascii="Times" w:hAnsi="Times"/>
        </w:rPr>
        <w:t xml:space="preserve">reforms: </w:t>
      </w:r>
      <w:r w:rsidR="00201360">
        <w:rPr>
          <w:rFonts w:ascii="Times" w:hAnsi="Times"/>
        </w:rPr>
        <w:t>competition c</w:t>
      </w:r>
      <w:r>
        <w:rPr>
          <w:rFonts w:ascii="Times" w:hAnsi="Times"/>
        </w:rPr>
        <w:t>ommissioners heavily relied on Lisbon terminology to justify the reform</w:t>
      </w:r>
      <w:r w:rsidR="00D85D1A">
        <w:rPr>
          <w:rFonts w:ascii="Times" w:hAnsi="Times"/>
        </w:rPr>
        <w:t xml:space="preserve"> process (Monti 2000; Kroes 2006</w:t>
      </w:r>
      <w:r>
        <w:rPr>
          <w:rFonts w:ascii="Times" w:hAnsi="Times"/>
        </w:rPr>
        <w:t>; Almunia 2014). The increasing prominence of economics in competition law has also</w:t>
      </w:r>
      <w:r w:rsidR="00587690">
        <w:rPr>
          <w:rFonts w:ascii="Times" w:hAnsi="Times"/>
        </w:rPr>
        <w:t xml:space="preserve"> had institutional implications. M</w:t>
      </w:r>
      <w:r>
        <w:rPr>
          <w:rFonts w:ascii="Times" w:hAnsi="Times"/>
        </w:rPr>
        <w:t xml:space="preserve">ost notably, a </w:t>
      </w:r>
      <w:r w:rsidRPr="00964A1C">
        <w:rPr>
          <w:rFonts w:ascii="Times" w:hAnsi="Times"/>
        </w:rPr>
        <w:t xml:space="preserve">Chief </w:t>
      </w:r>
      <w:r w:rsidR="003A68F1" w:rsidRPr="00964A1C">
        <w:rPr>
          <w:rFonts w:ascii="Times" w:hAnsi="Times"/>
        </w:rPr>
        <w:t>Competition Economist</w:t>
      </w:r>
      <w:r>
        <w:rPr>
          <w:rFonts w:ascii="Times" w:hAnsi="Times"/>
        </w:rPr>
        <w:t xml:space="preserve"> position with a team of economists was created within the Commission to ensure the quality of economic reasoning.</w:t>
      </w:r>
    </w:p>
    <w:p w14:paraId="409B49E0" w14:textId="77777777" w:rsidR="009C7FD4" w:rsidRDefault="009C7FD4" w:rsidP="002249E1">
      <w:pPr>
        <w:spacing w:line="480" w:lineRule="auto"/>
        <w:jc w:val="both"/>
        <w:rPr>
          <w:rFonts w:ascii="Times" w:hAnsi="Times"/>
        </w:rPr>
      </w:pPr>
    </w:p>
    <w:p w14:paraId="07D1D183" w14:textId="1DF082F0" w:rsidR="009C7FD4" w:rsidRDefault="009C7FD4" w:rsidP="002249E1">
      <w:pPr>
        <w:spacing w:line="480" w:lineRule="auto"/>
        <w:jc w:val="both"/>
        <w:rPr>
          <w:rFonts w:ascii="Times" w:hAnsi="Times"/>
        </w:rPr>
      </w:pPr>
      <w:r>
        <w:rPr>
          <w:rFonts w:ascii="Times" w:hAnsi="Times"/>
        </w:rPr>
        <w:t xml:space="preserve">After reforms, the concept of ‘consumer harm’ occupies </w:t>
      </w:r>
      <w:r w:rsidR="00001321">
        <w:rPr>
          <w:rFonts w:ascii="Times" w:hAnsi="Times"/>
        </w:rPr>
        <w:t xml:space="preserve">a </w:t>
      </w:r>
      <w:r>
        <w:rPr>
          <w:rFonts w:ascii="Times" w:hAnsi="Times"/>
        </w:rPr>
        <w:t>central position in the enforcement of rules against anticompetitive agreements and mergers.</w:t>
      </w:r>
      <w:r>
        <w:rPr>
          <w:rStyle w:val="EndnoteReference"/>
          <w:rFonts w:ascii="Times" w:hAnsi="Times"/>
        </w:rPr>
        <w:endnoteReference w:id="12"/>
      </w:r>
      <w:r>
        <w:rPr>
          <w:rFonts w:ascii="Times" w:hAnsi="Times"/>
        </w:rPr>
        <w:t xml:space="preserve"> Similarly, the Commission declared that it will enforce Art.102 TFEU primarily against ‘anticompetitive foreclosure’ resulting in consumer harm in the form of increased prices, reduced output or reduced quality.</w:t>
      </w:r>
      <w:r>
        <w:rPr>
          <w:rStyle w:val="EndnoteReference"/>
          <w:rFonts w:ascii="Times" w:hAnsi="Times"/>
        </w:rPr>
        <w:endnoteReference w:id="13"/>
      </w:r>
      <w:r>
        <w:rPr>
          <w:rFonts w:ascii="Times" w:hAnsi="Times"/>
        </w:rPr>
        <w:t xml:space="preserve"> The Economic Advisory Group (EAGCP)</w:t>
      </w:r>
      <w:r w:rsidR="00F6451D">
        <w:rPr>
          <w:rFonts w:ascii="Times" w:hAnsi="Times"/>
        </w:rPr>
        <w:t>,</w:t>
      </w:r>
      <w:r>
        <w:rPr>
          <w:rFonts w:ascii="Times" w:hAnsi="Times"/>
        </w:rPr>
        <w:t xml:space="preserve"> in its report </w:t>
      </w:r>
      <w:r w:rsidR="00001321">
        <w:rPr>
          <w:rFonts w:ascii="Times" w:hAnsi="Times"/>
        </w:rPr>
        <w:t>on</w:t>
      </w:r>
      <w:r>
        <w:rPr>
          <w:rFonts w:ascii="Times" w:hAnsi="Times"/>
        </w:rPr>
        <w:t xml:space="preserve"> Art.102 reform argued that enforcement should be informed by economic modelling </w:t>
      </w:r>
      <w:r w:rsidR="006F7248">
        <w:rPr>
          <w:rFonts w:ascii="Times" w:hAnsi="Times"/>
        </w:rPr>
        <w:t>and</w:t>
      </w:r>
      <w:r>
        <w:rPr>
          <w:rFonts w:ascii="Times" w:hAnsi="Times"/>
        </w:rPr>
        <w:t xml:space="preserve"> industrial organisation theory (EAGCP</w:t>
      </w:r>
      <w:r w:rsidR="00D85D1A">
        <w:rPr>
          <w:rFonts w:ascii="Times" w:hAnsi="Times"/>
        </w:rPr>
        <w:t>,</w:t>
      </w:r>
      <w:r w:rsidR="00C56617">
        <w:rPr>
          <w:rFonts w:ascii="Times" w:hAnsi="Times"/>
        </w:rPr>
        <w:t xml:space="preserve"> 2005, p.</w:t>
      </w:r>
      <w:r>
        <w:rPr>
          <w:rFonts w:ascii="Times" w:hAnsi="Times"/>
        </w:rPr>
        <w:t xml:space="preserve">18). This signifies a substantial turn from the enforcement agenda only a decade ago that embraced not only economic, but also socio-political objectives, such as economic freedom as a way to achieve democracy in European governance (van Miert 1993; Witt 2010, p.215). </w:t>
      </w:r>
    </w:p>
    <w:p w14:paraId="7FF62D14" w14:textId="77777777" w:rsidR="009C7FD4" w:rsidRDefault="009C7FD4" w:rsidP="002249E1">
      <w:pPr>
        <w:spacing w:line="480" w:lineRule="auto"/>
        <w:jc w:val="both"/>
        <w:rPr>
          <w:rFonts w:ascii="Times" w:hAnsi="Times"/>
        </w:rPr>
      </w:pPr>
    </w:p>
    <w:p w14:paraId="076E3555" w14:textId="4CA4FE3A" w:rsidR="009C7FD4" w:rsidRDefault="009C7FD4" w:rsidP="002249E1">
      <w:pPr>
        <w:spacing w:line="480" w:lineRule="auto"/>
        <w:jc w:val="both"/>
        <w:rPr>
          <w:rFonts w:ascii="Times" w:hAnsi="Times"/>
        </w:rPr>
      </w:pPr>
      <w:r>
        <w:rPr>
          <w:rFonts w:ascii="Times" w:hAnsi="Times"/>
        </w:rPr>
        <w:t>Neoliberal norms and ideas travel across borders thanks to their institutional embeddedness in global networks (Cerny</w:t>
      </w:r>
      <w:r w:rsidR="00FE4EF7">
        <w:rPr>
          <w:rFonts w:ascii="Times" w:hAnsi="Times"/>
        </w:rPr>
        <w:t>,</w:t>
      </w:r>
      <w:r>
        <w:rPr>
          <w:rFonts w:ascii="Times" w:hAnsi="Times"/>
        </w:rPr>
        <w:t xml:space="preserve"> 2014</w:t>
      </w:r>
      <w:r w:rsidR="00A55534">
        <w:rPr>
          <w:rFonts w:ascii="Times" w:hAnsi="Times"/>
        </w:rPr>
        <w:t>b</w:t>
      </w:r>
      <w:r>
        <w:rPr>
          <w:rFonts w:ascii="Times" w:hAnsi="Times"/>
        </w:rPr>
        <w:t xml:space="preserve">). European Commission orchestrated the reform process whilst accommodating the </w:t>
      </w:r>
      <w:r w:rsidR="006A08F6">
        <w:rPr>
          <w:rFonts w:ascii="Times" w:hAnsi="Times"/>
        </w:rPr>
        <w:t>ECN</w:t>
      </w:r>
      <w:r>
        <w:rPr>
          <w:rFonts w:ascii="Times" w:hAnsi="Times"/>
        </w:rPr>
        <w:t xml:space="preserve"> for the dissemination of reformed norms at the </w:t>
      </w:r>
      <w:r w:rsidR="00BB6050">
        <w:rPr>
          <w:rFonts w:ascii="Times" w:hAnsi="Times"/>
        </w:rPr>
        <w:t>national</w:t>
      </w:r>
      <w:r w:rsidR="00754737">
        <w:rPr>
          <w:rFonts w:ascii="Times" w:hAnsi="Times"/>
        </w:rPr>
        <w:t xml:space="preserve"> level (Cengiz, 2010, pp.</w:t>
      </w:r>
      <w:r>
        <w:rPr>
          <w:rFonts w:ascii="Times" w:hAnsi="Times"/>
        </w:rPr>
        <w:t>670-71; European Commission, 2009). The r</w:t>
      </w:r>
      <w:r w:rsidR="00771971">
        <w:rPr>
          <w:rFonts w:ascii="Times" w:hAnsi="Times"/>
        </w:rPr>
        <w:t xml:space="preserve">eform process was </w:t>
      </w:r>
      <w:r w:rsidR="00E8596D">
        <w:rPr>
          <w:rFonts w:ascii="Times" w:hAnsi="Times"/>
        </w:rPr>
        <w:t>supported</w:t>
      </w:r>
      <w:r w:rsidR="00771971">
        <w:rPr>
          <w:rFonts w:ascii="Times" w:hAnsi="Times"/>
        </w:rPr>
        <w:t xml:space="preserve"> by the</w:t>
      </w:r>
      <w:r>
        <w:rPr>
          <w:rFonts w:ascii="Times" w:hAnsi="Times"/>
        </w:rPr>
        <w:t xml:space="preserve"> transatlantic epistemic community of competition law and economics that emerged from the increasingly prominent international networks in this field (Maher</w:t>
      </w:r>
      <w:r w:rsidR="00FE4EF7">
        <w:rPr>
          <w:rFonts w:ascii="Times" w:hAnsi="Times"/>
        </w:rPr>
        <w:t>,</w:t>
      </w:r>
      <w:r>
        <w:rPr>
          <w:rFonts w:ascii="Times" w:hAnsi="Times"/>
        </w:rPr>
        <w:t xml:space="preserve"> 2002). </w:t>
      </w:r>
      <w:r w:rsidR="00E52A7D">
        <w:rPr>
          <w:rFonts w:ascii="Times" w:hAnsi="Times"/>
        </w:rPr>
        <w:t>A part of t</w:t>
      </w:r>
      <w:r>
        <w:rPr>
          <w:rFonts w:ascii="Times" w:hAnsi="Times"/>
        </w:rPr>
        <w:t>his epistemic community has been informed by the experiences of Chicago and post-Chicago School American antitrust law embracing economic efficiency as the key policy goal. The European regime was criticised for following a so-called ‘form-based’ (as opposed to ‘effects-based’) approach that protects competitors rather tha</w:t>
      </w:r>
      <w:r w:rsidR="00754737">
        <w:rPr>
          <w:rFonts w:ascii="Times" w:hAnsi="Times"/>
        </w:rPr>
        <w:t>n competition (Davies, 2014, p.</w:t>
      </w:r>
      <w:r>
        <w:rPr>
          <w:rFonts w:ascii="Times" w:hAnsi="Times"/>
        </w:rPr>
        <w:t xml:space="preserve">95). Although the European and American substantive rules still differ remarkably, actors orchestrating reforms relied on American norms in search of legitimacy: the EAGCP report celebrated the American ‘rule of reason’ doctrine as the ultimate economic approach to competition law (EAGCP 2005, p.3); whereas Commissioner Monti declared his pride for bridging the gap between the American and European regimes (Monti, 2004). </w:t>
      </w:r>
    </w:p>
    <w:p w14:paraId="72AAD1B8" w14:textId="77777777" w:rsidR="00D019AB" w:rsidRDefault="00D019AB" w:rsidP="002249E1">
      <w:pPr>
        <w:spacing w:line="480" w:lineRule="auto"/>
        <w:jc w:val="both"/>
        <w:rPr>
          <w:rFonts w:ascii="Times" w:hAnsi="Times"/>
        </w:rPr>
      </w:pPr>
    </w:p>
    <w:p w14:paraId="77F51E42" w14:textId="5A6082A6" w:rsidR="009C7FD4" w:rsidRPr="000D7960" w:rsidRDefault="009C7FD4" w:rsidP="002249E1">
      <w:pPr>
        <w:spacing w:line="480" w:lineRule="auto"/>
        <w:jc w:val="both"/>
        <w:rPr>
          <w:rFonts w:ascii="Times" w:hAnsi="Times"/>
          <w:b/>
        </w:rPr>
      </w:pPr>
      <w:r>
        <w:rPr>
          <w:rFonts w:ascii="Times" w:hAnsi="Times"/>
          <w:b/>
        </w:rPr>
        <w:t>The p</w:t>
      </w:r>
      <w:r w:rsidRPr="000D7960">
        <w:rPr>
          <w:rFonts w:ascii="Times" w:hAnsi="Times"/>
          <w:b/>
        </w:rPr>
        <w:t xml:space="preserve">rocedural legitimacy of reforms </w:t>
      </w:r>
    </w:p>
    <w:p w14:paraId="4094FD11" w14:textId="1B09C70A" w:rsidR="009C7FD4" w:rsidRDefault="009C7FD4" w:rsidP="002249E1">
      <w:pPr>
        <w:spacing w:line="480" w:lineRule="auto"/>
        <w:jc w:val="both"/>
        <w:rPr>
          <w:rFonts w:ascii="Times" w:hAnsi="Times"/>
        </w:rPr>
      </w:pPr>
      <w:r>
        <w:rPr>
          <w:rFonts w:ascii="Times" w:hAnsi="Times"/>
        </w:rPr>
        <w:t>Legally speaking, reforms have been implemented in the form of soft law measures and delegated Commissi</w:t>
      </w:r>
      <w:r w:rsidR="00B65B6E">
        <w:rPr>
          <w:rFonts w:ascii="Times" w:hAnsi="Times"/>
        </w:rPr>
        <w:t>on regulations, apart from the D</w:t>
      </w:r>
      <w:r>
        <w:rPr>
          <w:rFonts w:ascii="Times" w:hAnsi="Times"/>
        </w:rPr>
        <w:t xml:space="preserve">irective for damages actions and Regulation 1/2003 that decentralised enforcement. The reform process did not involve deliberation </w:t>
      </w:r>
      <w:r w:rsidRPr="00612AC5">
        <w:rPr>
          <w:rFonts w:ascii="Times" w:hAnsi="Times"/>
        </w:rPr>
        <w:t>by</w:t>
      </w:r>
      <w:r>
        <w:rPr>
          <w:rFonts w:ascii="Times" w:hAnsi="Times"/>
        </w:rPr>
        <w:t xml:space="preserve"> citizens. Thus, here, the procedural legitimacy of the process will be assessed through a discussion of the role</w:t>
      </w:r>
      <w:r w:rsidR="007C51E4">
        <w:rPr>
          <w:rFonts w:ascii="Times" w:hAnsi="Times"/>
        </w:rPr>
        <w:t>s</w:t>
      </w:r>
      <w:r>
        <w:rPr>
          <w:rFonts w:ascii="Times" w:hAnsi="Times"/>
        </w:rPr>
        <w:t xml:space="preserve"> played by institutions deliberating </w:t>
      </w:r>
      <w:r w:rsidRPr="00612AC5">
        <w:rPr>
          <w:rFonts w:ascii="Times" w:hAnsi="Times"/>
        </w:rPr>
        <w:t>for</w:t>
      </w:r>
      <w:r>
        <w:rPr>
          <w:rFonts w:ascii="Times" w:hAnsi="Times"/>
        </w:rPr>
        <w:t xml:space="preserve"> citizens: consumer organisations, the European Parliament and </w:t>
      </w:r>
      <w:r w:rsidR="009E6CF5">
        <w:rPr>
          <w:rFonts w:ascii="Times" w:hAnsi="Times"/>
        </w:rPr>
        <w:t xml:space="preserve">the </w:t>
      </w:r>
      <w:r w:rsidR="005650B1">
        <w:rPr>
          <w:rFonts w:ascii="Times" w:hAnsi="Times"/>
        </w:rPr>
        <w:t>Union</w:t>
      </w:r>
      <w:r>
        <w:rPr>
          <w:rFonts w:ascii="Times" w:hAnsi="Times"/>
        </w:rPr>
        <w:t xml:space="preserve"> Courts.  </w:t>
      </w:r>
    </w:p>
    <w:p w14:paraId="098C97A8" w14:textId="77777777" w:rsidR="009C7FD4" w:rsidRDefault="009C7FD4" w:rsidP="002249E1">
      <w:pPr>
        <w:spacing w:line="480" w:lineRule="auto"/>
        <w:jc w:val="both"/>
        <w:rPr>
          <w:rFonts w:ascii="Times" w:hAnsi="Times"/>
        </w:rPr>
      </w:pPr>
    </w:p>
    <w:p w14:paraId="715FE2AC" w14:textId="6791DE51" w:rsidR="00D9171B" w:rsidRDefault="009C7FD4" w:rsidP="002249E1">
      <w:pPr>
        <w:spacing w:line="480" w:lineRule="auto"/>
        <w:ind w:right="-64"/>
        <w:jc w:val="both"/>
        <w:rPr>
          <w:rFonts w:ascii="Times" w:hAnsi="Times"/>
        </w:rPr>
      </w:pPr>
      <w:r>
        <w:rPr>
          <w:rFonts w:ascii="Times" w:hAnsi="Times"/>
        </w:rPr>
        <w:t xml:space="preserve">Civil society organisations representing consumer interests influence Union policymaking through two means: by officially responding to the Commission’s </w:t>
      </w:r>
      <w:r w:rsidR="00514C07">
        <w:rPr>
          <w:rFonts w:ascii="Times" w:hAnsi="Times"/>
        </w:rPr>
        <w:t>policy initiatives</w:t>
      </w:r>
      <w:r>
        <w:rPr>
          <w:rFonts w:ascii="Times" w:hAnsi="Times"/>
        </w:rPr>
        <w:t xml:space="preserve"> and </w:t>
      </w:r>
      <w:r w:rsidR="001C3388">
        <w:rPr>
          <w:rFonts w:ascii="Times" w:hAnsi="Times"/>
        </w:rPr>
        <w:t xml:space="preserve">by </w:t>
      </w:r>
      <w:r>
        <w:rPr>
          <w:rFonts w:ascii="Times" w:hAnsi="Times"/>
        </w:rPr>
        <w:t xml:space="preserve">lobbying the Commission and other institutions. </w:t>
      </w:r>
      <w:r w:rsidR="00E02C7D">
        <w:rPr>
          <w:rFonts w:ascii="Times" w:hAnsi="Times"/>
        </w:rPr>
        <w:t xml:space="preserve">Compared with businesses, consumers constitute a diffused group </w:t>
      </w:r>
      <w:r w:rsidR="00AA5443">
        <w:rPr>
          <w:rFonts w:ascii="Times" w:hAnsi="Times"/>
        </w:rPr>
        <w:t xml:space="preserve">with </w:t>
      </w:r>
      <w:r w:rsidR="00797617">
        <w:rPr>
          <w:rFonts w:ascii="Times" w:hAnsi="Times"/>
        </w:rPr>
        <w:t>limited</w:t>
      </w:r>
      <w:r w:rsidR="00AA5443">
        <w:rPr>
          <w:rFonts w:ascii="Times" w:hAnsi="Times"/>
        </w:rPr>
        <w:t xml:space="preserve"> financial means. </w:t>
      </w:r>
      <w:r w:rsidR="00CD40EE">
        <w:rPr>
          <w:rFonts w:ascii="Times" w:hAnsi="Times"/>
        </w:rPr>
        <w:t>Particularly, European consumers show extreme cultural a</w:t>
      </w:r>
      <w:r w:rsidR="00173935">
        <w:rPr>
          <w:rFonts w:ascii="Times" w:hAnsi="Times"/>
        </w:rPr>
        <w:t xml:space="preserve">nd linguistic diversity; and they have little, if any, economic incentive to take coordinated action to </w:t>
      </w:r>
      <w:r w:rsidR="009E5442">
        <w:rPr>
          <w:rFonts w:ascii="Times" w:hAnsi="Times"/>
        </w:rPr>
        <w:t>influence Union</w:t>
      </w:r>
      <w:r w:rsidR="00CD40EE">
        <w:rPr>
          <w:rFonts w:ascii="Times" w:hAnsi="Times"/>
        </w:rPr>
        <w:t xml:space="preserve"> </w:t>
      </w:r>
      <w:r w:rsidR="00264299">
        <w:rPr>
          <w:rFonts w:ascii="Times" w:hAnsi="Times"/>
        </w:rPr>
        <w:t xml:space="preserve">policies. </w:t>
      </w:r>
      <w:r w:rsidR="00F60D44">
        <w:rPr>
          <w:rFonts w:ascii="Times" w:hAnsi="Times"/>
        </w:rPr>
        <w:t>A single umbrella organisation, the European Consumers’ Organisation (BEUC)</w:t>
      </w:r>
      <w:r w:rsidR="00A357E0">
        <w:rPr>
          <w:rFonts w:ascii="Times" w:hAnsi="Times"/>
        </w:rPr>
        <w:t xml:space="preserve">, represents consumer interests in competition policymaking in Brussels. </w:t>
      </w:r>
      <w:r>
        <w:rPr>
          <w:rFonts w:ascii="Times" w:hAnsi="Times"/>
        </w:rPr>
        <w:t>BEUC primarily relies on public funding</w:t>
      </w:r>
      <w:r>
        <w:rPr>
          <w:rStyle w:val="EndnoteReference"/>
          <w:rFonts w:ascii="Times" w:hAnsi="Times"/>
        </w:rPr>
        <w:endnoteReference w:id="14"/>
      </w:r>
      <w:r w:rsidR="00534C7A">
        <w:rPr>
          <w:rFonts w:ascii="Times" w:hAnsi="Times"/>
        </w:rPr>
        <w:t xml:space="preserve">; </w:t>
      </w:r>
      <w:r w:rsidR="00A76D86">
        <w:rPr>
          <w:rFonts w:ascii="Times" w:hAnsi="Times"/>
        </w:rPr>
        <w:t>thus,</w:t>
      </w:r>
      <w:r w:rsidR="00D9171B">
        <w:rPr>
          <w:rFonts w:ascii="Times" w:hAnsi="Times"/>
        </w:rPr>
        <w:t xml:space="preserve"> </w:t>
      </w:r>
      <w:r w:rsidR="00034475">
        <w:rPr>
          <w:rFonts w:ascii="Times" w:hAnsi="Times"/>
        </w:rPr>
        <w:t>it is selective in its activities</w:t>
      </w:r>
      <w:r>
        <w:rPr>
          <w:rFonts w:ascii="Times" w:hAnsi="Times"/>
        </w:rPr>
        <w:t xml:space="preserve">. </w:t>
      </w:r>
    </w:p>
    <w:p w14:paraId="2A9ACD1A" w14:textId="77777777" w:rsidR="00083371" w:rsidRDefault="00083371" w:rsidP="002249E1">
      <w:pPr>
        <w:spacing w:line="480" w:lineRule="auto"/>
        <w:ind w:right="-64"/>
        <w:jc w:val="both"/>
        <w:rPr>
          <w:rFonts w:ascii="Times" w:hAnsi="Times"/>
        </w:rPr>
      </w:pPr>
    </w:p>
    <w:p w14:paraId="5255CD57" w14:textId="726E88E0" w:rsidR="00D152E1" w:rsidRDefault="00D9171B" w:rsidP="002249E1">
      <w:pPr>
        <w:spacing w:line="480" w:lineRule="auto"/>
        <w:ind w:right="-64"/>
        <w:jc w:val="both"/>
        <w:rPr>
          <w:rFonts w:ascii="Times" w:hAnsi="Times"/>
        </w:rPr>
      </w:pPr>
      <w:r>
        <w:rPr>
          <w:rFonts w:ascii="Times" w:hAnsi="Times"/>
        </w:rPr>
        <w:t xml:space="preserve">Commission officials increasingly value technical information in light of </w:t>
      </w:r>
      <w:r w:rsidR="00C11EFB">
        <w:rPr>
          <w:rFonts w:ascii="Times" w:hAnsi="Times"/>
        </w:rPr>
        <w:t xml:space="preserve">the </w:t>
      </w:r>
      <w:r>
        <w:rPr>
          <w:rFonts w:ascii="Times" w:hAnsi="Times"/>
        </w:rPr>
        <w:t>more economic approach to competition law.</w:t>
      </w:r>
      <w:r w:rsidR="00997C02">
        <w:rPr>
          <w:rFonts w:ascii="Times" w:hAnsi="Times"/>
        </w:rPr>
        <w:t xml:space="preserve"> As one </w:t>
      </w:r>
      <w:r w:rsidR="005F6028">
        <w:rPr>
          <w:rFonts w:ascii="Times" w:hAnsi="Times"/>
        </w:rPr>
        <w:t>official puts it</w:t>
      </w:r>
      <w:r w:rsidR="00997C02">
        <w:rPr>
          <w:rFonts w:ascii="Times" w:hAnsi="Times"/>
        </w:rPr>
        <w:t>,</w:t>
      </w:r>
      <w:r w:rsidR="005F6028">
        <w:rPr>
          <w:rFonts w:ascii="Times" w:hAnsi="Times"/>
        </w:rPr>
        <w:t xml:space="preserve"> they increasingly need </w:t>
      </w:r>
      <w:r w:rsidR="006D4688">
        <w:rPr>
          <w:rFonts w:ascii="Times" w:hAnsi="Times"/>
        </w:rPr>
        <w:t xml:space="preserve">information that will ‘get them results’ </w:t>
      </w:r>
      <w:r w:rsidR="00083371">
        <w:rPr>
          <w:rFonts w:ascii="Times" w:hAnsi="Times"/>
        </w:rPr>
        <w:t xml:space="preserve">in cases they work </w:t>
      </w:r>
      <w:r w:rsidR="00997C02">
        <w:rPr>
          <w:rFonts w:ascii="Times" w:hAnsi="Times"/>
        </w:rPr>
        <w:t xml:space="preserve">on </w:t>
      </w:r>
      <w:r w:rsidR="006D4688">
        <w:rPr>
          <w:rFonts w:ascii="Times" w:hAnsi="Times"/>
        </w:rPr>
        <w:t>(</w:t>
      </w:r>
      <w:r w:rsidR="00DD1FC5">
        <w:rPr>
          <w:rFonts w:ascii="Times" w:hAnsi="Times"/>
        </w:rPr>
        <w:t>O</w:t>
      </w:r>
      <w:r w:rsidR="00083371">
        <w:rPr>
          <w:rFonts w:ascii="Times" w:hAnsi="Times"/>
        </w:rPr>
        <w:t xml:space="preserve">fficial A). </w:t>
      </w:r>
      <w:r w:rsidR="00AA7CEB" w:rsidRPr="00964A1C">
        <w:rPr>
          <w:rFonts w:ascii="Times" w:hAnsi="Times"/>
        </w:rPr>
        <w:t>Consumer</w:t>
      </w:r>
      <w:r w:rsidR="00AA7CEB" w:rsidRPr="00E1644E">
        <w:rPr>
          <w:rFonts w:ascii="Times" w:hAnsi="Times"/>
          <w:highlight w:val="yellow"/>
        </w:rPr>
        <w:t xml:space="preserve"> </w:t>
      </w:r>
      <w:r w:rsidR="00AA7CEB" w:rsidRPr="00964A1C">
        <w:rPr>
          <w:rFonts w:ascii="Times" w:hAnsi="Times"/>
        </w:rPr>
        <w:t>organisations do not necessarily have access to such information, due to reasons including scarcity of financial and human resources and expertise.</w:t>
      </w:r>
      <w:r w:rsidR="00E1644E">
        <w:rPr>
          <w:rFonts w:ascii="Times" w:hAnsi="Times"/>
        </w:rPr>
        <w:t xml:space="preserve"> </w:t>
      </w:r>
      <w:r w:rsidR="00735B09">
        <w:rPr>
          <w:rFonts w:ascii="Times" w:hAnsi="Times"/>
        </w:rPr>
        <w:t xml:space="preserve">This </w:t>
      </w:r>
      <w:r w:rsidR="00006289">
        <w:rPr>
          <w:rFonts w:ascii="Times" w:hAnsi="Times"/>
        </w:rPr>
        <w:t xml:space="preserve">not only </w:t>
      </w:r>
      <w:r w:rsidR="00D8701F">
        <w:rPr>
          <w:rFonts w:ascii="Times" w:hAnsi="Times"/>
        </w:rPr>
        <w:t xml:space="preserve">affects Commission officials’ incentives for </w:t>
      </w:r>
      <w:r w:rsidR="00E54C59">
        <w:rPr>
          <w:rFonts w:ascii="Times" w:hAnsi="Times"/>
        </w:rPr>
        <w:t>cooperation</w:t>
      </w:r>
      <w:r w:rsidR="00D8701F">
        <w:rPr>
          <w:rFonts w:ascii="Times" w:hAnsi="Times"/>
        </w:rPr>
        <w:t xml:space="preserve"> with consumer organisations, but </w:t>
      </w:r>
      <w:r w:rsidR="00204146">
        <w:rPr>
          <w:rFonts w:ascii="Times" w:hAnsi="Times"/>
        </w:rPr>
        <w:t>also</w:t>
      </w:r>
      <w:r w:rsidR="00D8701F">
        <w:rPr>
          <w:rFonts w:ascii="Times" w:hAnsi="Times"/>
        </w:rPr>
        <w:t xml:space="preserve"> </w:t>
      </w:r>
      <w:r w:rsidR="00E54C59">
        <w:rPr>
          <w:rFonts w:ascii="Times" w:hAnsi="Times"/>
        </w:rPr>
        <w:t>renders</w:t>
      </w:r>
      <w:r w:rsidR="00D8701F">
        <w:rPr>
          <w:rFonts w:ascii="Times" w:hAnsi="Times"/>
        </w:rPr>
        <w:t xml:space="preserve"> </w:t>
      </w:r>
      <w:r w:rsidR="00660A1C">
        <w:rPr>
          <w:rFonts w:ascii="Times" w:hAnsi="Times"/>
        </w:rPr>
        <w:t xml:space="preserve">communication </w:t>
      </w:r>
      <w:r w:rsidR="00E54C59">
        <w:rPr>
          <w:rFonts w:ascii="Times" w:hAnsi="Times"/>
        </w:rPr>
        <w:t xml:space="preserve">difficult when there is a </w:t>
      </w:r>
      <w:r w:rsidR="00660A1C">
        <w:rPr>
          <w:rFonts w:ascii="Times" w:hAnsi="Times"/>
        </w:rPr>
        <w:t>‘mismatch’ in the tech</w:t>
      </w:r>
      <w:r w:rsidR="00DD1FC5">
        <w:rPr>
          <w:rFonts w:ascii="Times" w:hAnsi="Times"/>
        </w:rPr>
        <w:t xml:space="preserve">nical knowledge of </w:t>
      </w:r>
      <w:r w:rsidR="003335BD">
        <w:rPr>
          <w:rFonts w:ascii="Times" w:hAnsi="Times"/>
        </w:rPr>
        <w:t xml:space="preserve">competition officials and consumer organisation representatives </w:t>
      </w:r>
      <w:r w:rsidR="00DD1FC5">
        <w:rPr>
          <w:rFonts w:ascii="Times" w:hAnsi="Times"/>
        </w:rPr>
        <w:t xml:space="preserve">(Official A). Similarly, Commission officials have a strong belief that ‘competition itself protects consumers’; thus, they do not always see additional value in communicating with consumer organisations (Official A). </w:t>
      </w:r>
      <w:r w:rsidR="00B14B99">
        <w:rPr>
          <w:rFonts w:ascii="Times" w:hAnsi="Times"/>
        </w:rPr>
        <w:t xml:space="preserve">Additionally, business organisations appear ‘more organised’ than consumer organisations; ‘they know things earlier’ and they respond immediately to policy developments (Official B). Thus, although the Commission is willing to </w:t>
      </w:r>
      <w:r w:rsidR="005A756D">
        <w:rPr>
          <w:rFonts w:ascii="Times" w:hAnsi="Times"/>
        </w:rPr>
        <w:t>listen to different interests</w:t>
      </w:r>
      <w:r w:rsidR="003A3AEB">
        <w:rPr>
          <w:rFonts w:ascii="Times" w:hAnsi="Times"/>
        </w:rPr>
        <w:t xml:space="preserve"> (Official B)</w:t>
      </w:r>
      <w:r w:rsidR="005A756D">
        <w:rPr>
          <w:rFonts w:ascii="Times" w:hAnsi="Times"/>
        </w:rPr>
        <w:t xml:space="preserve">, consumer organisations </w:t>
      </w:r>
      <w:r w:rsidR="00BE40A7">
        <w:rPr>
          <w:rFonts w:ascii="Times" w:hAnsi="Times"/>
        </w:rPr>
        <w:t xml:space="preserve">suffer from </w:t>
      </w:r>
      <w:r>
        <w:rPr>
          <w:rFonts w:ascii="Times" w:hAnsi="Times"/>
        </w:rPr>
        <w:t>disadvantage</w:t>
      </w:r>
      <w:r w:rsidR="00BE40A7">
        <w:rPr>
          <w:rFonts w:ascii="Times" w:hAnsi="Times"/>
        </w:rPr>
        <w:t>s</w:t>
      </w:r>
      <w:r>
        <w:rPr>
          <w:rFonts w:ascii="Times" w:hAnsi="Times"/>
        </w:rPr>
        <w:t xml:space="preserve"> vis-à-vis business organisations</w:t>
      </w:r>
      <w:r w:rsidR="00F15645">
        <w:rPr>
          <w:rFonts w:ascii="Times" w:hAnsi="Times"/>
        </w:rPr>
        <w:t xml:space="preserve">. </w:t>
      </w:r>
    </w:p>
    <w:p w14:paraId="3C0DF1AA" w14:textId="77777777" w:rsidR="00D152E1" w:rsidRDefault="00D152E1" w:rsidP="002249E1">
      <w:pPr>
        <w:spacing w:line="480" w:lineRule="auto"/>
        <w:ind w:right="-64"/>
        <w:jc w:val="both"/>
        <w:rPr>
          <w:rFonts w:ascii="Times" w:hAnsi="Times"/>
        </w:rPr>
      </w:pPr>
    </w:p>
    <w:p w14:paraId="1E913382" w14:textId="139995A4" w:rsidR="00E71D8F" w:rsidRDefault="002E2213" w:rsidP="002249E1">
      <w:pPr>
        <w:spacing w:line="480" w:lineRule="auto"/>
        <w:ind w:right="-64"/>
        <w:jc w:val="both"/>
        <w:rPr>
          <w:rFonts w:ascii="Times" w:hAnsi="Times"/>
        </w:rPr>
      </w:pPr>
      <w:r>
        <w:rPr>
          <w:rFonts w:ascii="Times" w:hAnsi="Times"/>
        </w:rPr>
        <w:t>Finally, BEU</w:t>
      </w:r>
      <w:r w:rsidR="005F2263">
        <w:rPr>
          <w:rFonts w:ascii="Times" w:hAnsi="Times"/>
        </w:rPr>
        <w:t xml:space="preserve">C and other </w:t>
      </w:r>
      <w:r w:rsidR="00524F73">
        <w:rPr>
          <w:rFonts w:ascii="Times" w:hAnsi="Times"/>
        </w:rPr>
        <w:t xml:space="preserve">Brussels-based </w:t>
      </w:r>
      <w:r w:rsidR="005F2263">
        <w:rPr>
          <w:rFonts w:ascii="Times" w:hAnsi="Times"/>
        </w:rPr>
        <w:t xml:space="preserve">consumer organisations are umbrella organisations </w:t>
      </w:r>
      <w:r w:rsidR="00FB073C">
        <w:rPr>
          <w:rFonts w:ascii="Times" w:hAnsi="Times"/>
        </w:rPr>
        <w:t xml:space="preserve">that </w:t>
      </w:r>
      <w:r w:rsidR="009361FF">
        <w:rPr>
          <w:rFonts w:ascii="Times" w:hAnsi="Times"/>
        </w:rPr>
        <w:t>represent national organisation</w:t>
      </w:r>
      <w:r w:rsidR="00684D93">
        <w:rPr>
          <w:rFonts w:ascii="Times" w:hAnsi="Times"/>
        </w:rPr>
        <w:t xml:space="preserve">s that </w:t>
      </w:r>
      <w:r w:rsidR="00496AFD">
        <w:rPr>
          <w:rFonts w:ascii="Times" w:hAnsi="Times"/>
        </w:rPr>
        <w:t xml:space="preserve">directly </w:t>
      </w:r>
      <w:r w:rsidR="00F91664">
        <w:rPr>
          <w:rFonts w:ascii="Times" w:hAnsi="Times"/>
        </w:rPr>
        <w:t xml:space="preserve">participate in policy debates only occasionally. </w:t>
      </w:r>
      <w:r w:rsidR="00C43598">
        <w:rPr>
          <w:rFonts w:ascii="Times" w:hAnsi="Times"/>
        </w:rPr>
        <w:t xml:space="preserve">Thus, </w:t>
      </w:r>
      <w:r w:rsidR="00E71D8F">
        <w:rPr>
          <w:rFonts w:ascii="Times" w:hAnsi="Times"/>
        </w:rPr>
        <w:t xml:space="preserve">the grassroots </w:t>
      </w:r>
      <w:r w:rsidR="00C87738">
        <w:rPr>
          <w:rFonts w:ascii="Times" w:hAnsi="Times"/>
        </w:rPr>
        <w:t xml:space="preserve">contribution of consumers </w:t>
      </w:r>
      <w:r w:rsidR="00ED6F5A">
        <w:rPr>
          <w:rFonts w:ascii="Times" w:hAnsi="Times"/>
        </w:rPr>
        <w:t xml:space="preserve">to policymaking </w:t>
      </w:r>
      <w:r w:rsidR="00FB2592">
        <w:rPr>
          <w:rFonts w:ascii="Times" w:hAnsi="Times"/>
        </w:rPr>
        <w:t xml:space="preserve">depends on a two-level feedback mechanism between consumers–national organisations; and between national organisations–BEUC. </w:t>
      </w:r>
      <w:r w:rsidR="00993D07">
        <w:rPr>
          <w:rFonts w:ascii="Times" w:hAnsi="Times"/>
        </w:rPr>
        <w:t xml:space="preserve">DG Sanco </w:t>
      </w:r>
      <w:r w:rsidR="00374F9E">
        <w:rPr>
          <w:rFonts w:ascii="Times" w:hAnsi="Times"/>
        </w:rPr>
        <w:t xml:space="preserve">responsible for health and consumers </w:t>
      </w:r>
      <w:r w:rsidR="00C07D3E">
        <w:rPr>
          <w:rFonts w:ascii="Times" w:hAnsi="Times"/>
        </w:rPr>
        <w:t>operates a European Consumers Consultative Group that brings together Commission officials</w:t>
      </w:r>
      <w:r w:rsidR="00DC2997">
        <w:rPr>
          <w:rFonts w:ascii="Times" w:hAnsi="Times"/>
        </w:rPr>
        <w:t xml:space="preserve"> and members of consumer organisations. A competition sub-group was formed within the Group that allowed direct communication between the Commission </w:t>
      </w:r>
      <w:r w:rsidR="00833B32">
        <w:rPr>
          <w:rFonts w:ascii="Times" w:hAnsi="Times"/>
        </w:rPr>
        <w:t xml:space="preserve">officials </w:t>
      </w:r>
      <w:r w:rsidR="00DC2997">
        <w:rPr>
          <w:rFonts w:ascii="Times" w:hAnsi="Times"/>
        </w:rPr>
        <w:t xml:space="preserve">and </w:t>
      </w:r>
      <w:r w:rsidR="00050986">
        <w:rPr>
          <w:rFonts w:ascii="Times" w:hAnsi="Times"/>
        </w:rPr>
        <w:t xml:space="preserve">national </w:t>
      </w:r>
      <w:r w:rsidR="00833B32">
        <w:rPr>
          <w:rFonts w:ascii="Times" w:hAnsi="Times"/>
        </w:rPr>
        <w:t>organisations</w:t>
      </w:r>
      <w:r w:rsidR="00050986">
        <w:rPr>
          <w:rFonts w:ascii="Times" w:hAnsi="Times"/>
        </w:rPr>
        <w:t xml:space="preserve">. </w:t>
      </w:r>
      <w:r w:rsidR="00256846">
        <w:rPr>
          <w:rFonts w:ascii="Times" w:hAnsi="Times"/>
        </w:rPr>
        <w:t>T</w:t>
      </w:r>
      <w:r w:rsidR="00050986">
        <w:rPr>
          <w:rFonts w:ascii="Times" w:hAnsi="Times"/>
        </w:rPr>
        <w:t>he sub-group has recently been discontinued (Brussel</w:t>
      </w:r>
      <w:r w:rsidR="00A70663">
        <w:rPr>
          <w:rFonts w:ascii="Times" w:hAnsi="Times"/>
        </w:rPr>
        <w:t>s</w:t>
      </w:r>
      <w:r w:rsidR="00050986">
        <w:rPr>
          <w:rFonts w:ascii="Times" w:hAnsi="Times"/>
        </w:rPr>
        <w:t xml:space="preserve"> interviews). </w:t>
      </w:r>
      <w:r w:rsidR="00C11465">
        <w:rPr>
          <w:rFonts w:ascii="Times" w:hAnsi="Times"/>
        </w:rPr>
        <w:t xml:space="preserve">Similarly, in 2009 Commissioner Kroes established a consumer liaison unit responsible for communication with consumer organisations. </w:t>
      </w:r>
      <w:r w:rsidR="00F81D36">
        <w:rPr>
          <w:rFonts w:ascii="Times" w:hAnsi="Times"/>
        </w:rPr>
        <w:t xml:space="preserve">Recently </w:t>
      </w:r>
      <w:r w:rsidR="00812303">
        <w:rPr>
          <w:rFonts w:ascii="Times" w:hAnsi="Times"/>
        </w:rPr>
        <w:t>the uni</w:t>
      </w:r>
      <w:r w:rsidR="00675833">
        <w:rPr>
          <w:rFonts w:ascii="Times" w:hAnsi="Times"/>
        </w:rPr>
        <w:t>t</w:t>
      </w:r>
      <w:r w:rsidR="00812303">
        <w:rPr>
          <w:rFonts w:ascii="Times" w:hAnsi="Times"/>
        </w:rPr>
        <w:t>’s resources were</w:t>
      </w:r>
      <w:r w:rsidR="00F81D36">
        <w:rPr>
          <w:rFonts w:ascii="Times" w:hAnsi="Times"/>
        </w:rPr>
        <w:t xml:space="preserve"> </w:t>
      </w:r>
      <w:r w:rsidR="0055159D">
        <w:rPr>
          <w:rFonts w:ascii="Times" w:hAnsi="Times"/>
        </w:rPr>
        <w:t>taken away,</w:t>
      </w:r>
      <w:r w:rsidR="004667E1">
        <w:rPr>
          <w:rFonts w:ascii="Times" w:hAnsi="Times"/>
        </w:rPr>
        <w:t xml:space="preserve"> and its tasks were reallocated to a single official (Brussels interviews).  </w:t>
      </w:r>
    </w:p>
    <w:p w14:paraId="38533361" w14:textId="77777777" w:rsidR="002556A9" w:rsidRDefault="002556A9" w:rsidP="002249E1">
      <w:pPr>
        <w:spacing w:line="480" w:lineRule="auto"/>
        <w:ind w:right="-64"/>
        <w:jc w:val="both"/>
        <w:rPr>
          <w:rFonts w:ascii="Times" w:hAnsi="Times"/>
        </w:rPr>
      </w:pPr>
    </w:p>
    <w:p w14:paraId="342D8B16" w14:textId="28861B92" w:rsidR="00746C91" w:rsidRDefault="00264A43" w:rsidP="002249E1">
      <w:pPr>
        <w:spacing w:line="480" w:lineRule="auto"/>
        <w:ind w:right="-64"/>
        <w:jc w:val="both"/>
        <w:rPr>
          <w:rFonts w:ascii="Times" w:hAnsi="Times"/>
        </w:rPr>
      </w:pPr>
      <w:r w:rsidRPr="00964A1C">
        <w:rPr>
          <w:rFonts w:ascii="Times" w:hAnsi="Times"/>
        </w:rPr>
        <w:t>Naturally, consumer interests are not only v</w:t>
      </w:r>
      <w:r w:rsidR="0064108D" w:rsidRPr="00964A1C">
        <w:rPr>
          <w:rFonts w:ascii="Times" w:hAnsi="Times"/>
        </w:rPr>
        <w:t>oiced by consumer organisations.</w:t>
      </w:r>
      <w:r w:rsidRPr="00964A1C">
        <w:rPr>
          <w:rFonts w:ascii="Times" w:hAnsi="Times"/>
        </w:rPr>
        <w:t xml:space="preserve"> </w:t>
      </w:r>
      <w:r w:rsidR="004D4869" w:rsidRPr="00964A1C">
        <w:rPr>
          <w:rFonts w:ascii="Times" w:hAnsi="Times"/>
        </w:rPr>
        <w:t xml:space="preserve">SMEs and distributors who </w:t>
      </w:r>
      <w:r w:rsidR="00992DB9" w:rsidRPr="00964A1C">
        <w:rPr>
          <w:rFonts w:ascii="Times" w:hAnsi="Times"/>
        </w:rPr>
        <w:t xml:space="preserve">suffer from unequal bargaining power against manufacturers lobby at times for issues that benefit consumers. However, </w:t>
      </w:r>
      <w:r w:rsidR="00C230B9" w:rsidRPr="00964A1C">
        <w:rPr>
          <w:rFonts w:ascii="Times" w:hAnsi="Times"/>
        </w:rPr>
        <w:t xml:space="preserve">the review of all consumer organisation responses and a selection of </w:t>
      </w:r>
      <w:r w:rsidR="00B77FF3" w:rsidRPr="00964A1C">
        <w:rPr>
          <w:rFonts w:ascii="Times" w:hAnsi="Times"/>
        </w:rPr>
        <w:t>fifteen</w:t>
      </w:r>
      <w:r w:rsidR="00C230B9" w:rsidRPr="00964A1C">
        <w:rPr>
          <w:rFonts w:ascii="Times" w:hAnsi="Times"/>
        </w:rPr>
        <w:t xml:space="preserve"> business responses to the Commission’s reform initiatives </w:t>
      </w:r>
      <w:r w:rsidR="004337B3" w:rsidRPr="00964A1C">
        <w:rPr>
          <w:rFonts w:ascii="Times" w:hAnsi="Times"/>
        </w:rPr>
        <w:t>imply</w:t>
      </w:r>
      <w:r w:rsidR="00C230B9" w:rsidRPr="00964A1C">
        <w:rPr>
          <w:rFonts w:ascii="Times" w:hAnsi="Times"/>
        </w:rPr>
        <w:t xml:space="preserve"> that </w:t>
      </w:r>
      <w:r w:rsidR="00323C72" w:rsidRPr="00964A1C">
        <w:rPr>
          <w:rFonts w:ascii="Times" w:hAnsi="Times"/>
        </w:rPr>
        <w:t xml:space="preserve">consumer and business groups </w:t>
      </w:r>
      <w:r w:rsidR="004337B3" w:rsidRPr="00964A1C">
        <w:rPr>
          <w:rFonts w:ascii="Times" w:hAnsi="Times"/>
        </w:rPr>
        <w:t>voiced distinct and at times opposing views</w:t>
      </w:r>
      <w:r w:rsidR="004D631B" w:rsidRPr="00964A1C">
        <w:rPr>
          <w:rFonts w:ascii="Times" w:hAnsi="Times"/>
        </w:rPr>
        <w:t xml:space="preserve"> in the reform process. Business groups relied on the argument of legal certainty whilst calling for safe harbours and laxer enforcement standards in the context of the abuse of dominance and vertical restraints</w:t>
      </w:r>
      <w:r w:rsidR="00FD7EBF" w:rsidRPr="00964A1C">
        <w:rPr>
          <w:rFonts w:ascii="Times" w:hAnsi="Times"/>
        </w:rPr>
        <w:t xml:space="preserve"> reforms</w:t>
      </w:r>
      <w:r w:rsidR="009D07A9" w:rsidRPr="00964A1C">
        <w:rPr>
          <w:rFonts w:ascii="Times" w:hAnsi="Times"/>
        </w:rPr>
        <w:t>.</w:t>
      </w:r>
      <w:r w:rsidR="00657F5E" w:rsidRPr="00964A1C">
        <w:rPr>
          <w:rStyle w:val="EndnoteReference"/>
          <w:rFonts w:ascii="Times" w:hAnsi="Times"/>
        </w:rPr>
        <w:endnoteReference w:id="15"/>
      </w:r>
      <w:r w:rsidR="009D07A9" w:rsidRPr="00964A1C">
        <w:rPr>
          <w:rFonts w:ascii="Times" w:hAnsi="Times"/>
        </w:rPr>
        <w:t xml:space="preserve"> They also lobbied against EU action in the field of damages actions arguing that this would bring an undesirable litigation culture to </w:t>
      </w:r>
      <w:r w:rsidR="00E27F36" w:rsidRPr="00964A1C">
        <w:rPr>
          <w:rFonts w:ascii="Times" w:hAnsi="Times"/>
        </w:rPr>
        <w:t>Europe</w:t>
      </w:r>
      <w:r w:rsidR="009D07A9" w:rsidRPr="00964A1C">
        <w:rPr>
          <w:rFonts w:ascii="Times" w:hAnsi="Times"/>
        </w:rPr>
        <w:t>.</w:t>
      </w:r>
      <w:r w:rsidR="00657F5E" w:rsidRPr="00964A1C">
        <w:rPr>
          <w:rStyle w:val="EndnoteReference"/>
          <w:rFonts w:ascii="Times" w:hAnsi="Times"/>
        </w:rPr>
        <w:endnoteReference w:id="16"/>
      </w:r>
      <w:r w:rsidR="00ED06A0" w:rsidRPr="00964A1C">
        <w:rPr>
          <w:rFonts w:ascii="Times" w:hAnsi="Times"/>
        </w:rPr>
        <w:t xml:space="preserve"> </w:t>
      </w:r>
      <w:r w:rsidR="009870BA" w:rsidRPr="00964A1C">
        <w:rPr>
          <w:rFonts w:ascii="Times" w:hAnsi="Times"/>
        </w:rPr>
        <w:t>On the other hand, c</w:t>
      </w:r>
      <w:r w:rsidR="00167380" w:rsidRPr="00964A1C">
        <w:rPr>
          <w:rFonts w:ascii="Times" w:hAnsi="Times"/>
        </w:rPr>
        <w:t xml:space="preserve">onsumer organisations </w:t>
      </w:r>
      <w:r w:rsidR="008C198B" w:rsidRPr="00964A1C">
        <w:rPr>
          <w:rFonts w:ascii="Times" w:hAnsi="Times"/>
        </w:rPr>
        <w:t xml:space="preserve">perceive </w:t>
      </w:r>
      <w:r w:rsidR="0098789B" w:rsidRPr="00964A1C">
        <w:rPr>
          <w:rFonts w:ascii="Times" w:hAnsi="Times"/>
        </w:rPr>
        <w:t xml:space="preserve">the </w:t>
      </w:r>
      <w:r w:rsidR="00DE5E70" w:rsidRPr="00964A1C">
        <w:rPr>
          <w:rFonts w:ascii="Times" w:hAnsi="Times"/>
        </w:rPr>
        <w:t>internal</w:t>
      </w:r>
      <w:r w:rsidR="008C198B" w:rsidRPr="00964A1C">
        <w:rPr>
          <w:rFonts w:ascii="Times" w:hAnsi="Times"/>
        </w:rPr>
        <w:t xml:space="preserve"> market </w:t>
      </w:r>
      <w:r w:rsidR="002F0745" w:rsidRPr="00964A1C">
        <w:rPr>
          <w:rFonts w:ascii="Times" w:hAnsi="Times"/>
        </w:rPr>
        <w:t xml:space="preserve">as a vital source of </w:t>
      </w:r>
      <w:r w:rsidR="00B52A7F" w:rsidRPr="00964A1C">
        <w:rPr>
          <w:rFonts w:ascii="Times" w:hAnsi="Times"/>
        </w:rPr>
        <w:t xml:space="preserve">welfare that provides consumers a choice between products and services: </w:t>
      </w:r>
      <w:r w:rsidR="00223A04" w:rsidRPr="00964A1C">
        <w:rPr>
          <w:rFonts w:ascii="Times" w:hAnsi="Times"/>
        </w:rPr>
        <w:t xml:space="preserve">for instance, they </w:t>
      </w:r>
      <w:r w:rsidR="00461CE1" w:rsidRPr="00964A1C">
        <w:rPr>
          <w:rFonts w:ascii="Times" w:hAnsi="Times"/>
        </w:rPr>
        <w:t>lobbied</w:t>
      </w:r>
      <w:r w:rsidR="00223A04" w:rsidRPr="00964A1C">
        <w:rPr>
          <w:rFonts w:ascii="Times" w:hAnsi="Times"/>
        </w:rPr>
        <w:t xml:space="preserve"> </w:t>
      </w:r>
      <w:r w:rsidR="00E747A5" w:rsidRPr="00964A1C">
        <w:rPr>
          <w:rFonts w:ascii="Times" w:hAnsi="Times"/>
        </w:rPr>
        <w:t xml:space="preserve">for a strict approach against distribution regimes that </w:t>
      </w:r>
      <w:r w:rsidR="0052338A" w:rsidRPr="00964A1C">
        <w:rPr>
          <w:rFonts w:ascii="Times" w:hAnsi="Times"/>
        </w:rPr>
        <w:t xml:space="preserve">jeopardise </w:t>
      </w:r>
      <w:r w:rsidR="00461CE1" w:rsidRPr="00964A1C">
        <w:rPr>
          <w:rFonts w:ascii="Times" w:hAnsi="Times"/>
        </w:rPr>
        <w:t>cross-border online trade.</w:t>
      </w:r>
      <w:r w:rsidR="00A50FF6" w:rsidRPr="00964A1C">
        <w:rPr>
          <w:rStyle w:val="EndnoteReference"/>
          <w:rFonts w:ascii="Times" w:hAnsi="Times"/>
        </w:rPr>
        <w:endnoteReference w:id="17"/>
      </w:r>
      <w:r w:rsidR="00461CE1" w:rsidRPr="00964A1C">
        <w:rPr>
          <w:rFonts w:ascii="Times" w:hAnsi="Times"/>
        </w:rPr>
        <w:t xml:space="preserve"> Similarly, in the context of damages actions, </w:t>
      </w:r>
      <w:r w:rsidR="00227635" w:rsidRPr="00964A1C">
        <w:rPr>
          <w:rFonts w:ascii="Times" w:hAnsi="Times"/>
        </w:rPr>
        <w:t>t</w:t>
      </w:r>
      <w:r w:rsidR="00746C91" w:rsidRPr="00964A1C">
        <w:rPr>
          <w:rFonts w:ascii="Times" w:hAnsi="Times"/>
        </w:rPr>
        <w:t xml:space="preserve">hey focused their lobbying efforts on a harmonised Union-wide collective actions </w:t>
      </w:r>
      <w:r w:rsidR="00C94CFD" w:rsidRPr="00964A1C">
        <w:rPr>
          <w:rFonts w:ascii="Times" w:hAnsi="Times"/>
        </w:rPr>
        <w:t>regime</w:t>
      </w:r>
      <w:r w:rsidR="00641ED2" w:rsidRPr="00964A1C">
        <w:rPr>
          <w:rFonts w:ascii="Times" w:hAnsi="Times"/>
        </w:rPr>
        <w:t>.</w:t>
      </w:r>
      <w:r w:rsidR="005122DB" w:rsidRPr="00964A1C">
        <w:rPr>
          <w:rStyle w:val="EndnoteReference"/>
          <w:rFonts w:ascii="Times" w:hAnsi="Times"/>
        </w:rPr>
        <w:endnoteReference w:id="18"/>
      </w:r>
      <w:r w:rsidR="00641ED2" w:rsidRPr="00964A1C">
        <w:rPr>
          <w:rFonts w:ascii="Times" w:hAnsi="Times"/>
        </w:rPr>
        <w:t xml:space="preserve"> </w:t>
      </w:r>
      <w:r w:rsidR="00E70708" w:rsidRPr="00964A1C">
        <w:rPr>
          <w:rFonts w:ascii="Times" w:hAnsi="Times"/>
        </w:rPr>
        <w:t>They perceive the Commission’s addressing of</w:t>
      </w:r>
      <w:r w:rsidR="00F04D56" w:rsidRPr="00964A1C">
        <w:rPr>
          <w:rFonts w:ascii="Times" w:hAnsi="Times"/>
        </w:rPr>
        <w:t xml:space="preserve"> this issue in a non-binding recommendation (2013/396/EU) without teeth </w:t>
      </w:r>
      <w:r w:rsidR="00456AED" w:rsidRPr="00964A1C">
        <w:rPr>
          <w:rFonts w:ascii="Times" w:hAnsi="Times"/>
        </w:rPr>
        <w:t xml:space="preserve">as </w:t>
      </w:r>
      <w:r w:rsidR="00E70708" w:rsidRPr="00964A1C">
        <w:rPr>
          <w:rFonts w:ascii="Times" w:hAnsi="Times"/>
        </w:rPr>
        <w:t>a significant weakness of the new damages actions regime (Brussels interviews).</w:t>
      </w:r>
      <w:r w:rsidR="00E70708">
        <w:rPr>
          <w:rFonts w:ascii="Times" w:hAnsi="Times"/>
        </w:rPr>
        <w:t xml:space="preserve"> </w:t>
      </w:r>
    </w:p>
    <w:p w14:paraId="6449042D" w14:textId="77777777" w:rsidR="00675833" w:rsidRDefault="00675833" w:rsidP="002249E1">
      <w:pPr>
        <w:spacing w:line="480" w:lineRule="auto"/>
        <w:ind w:right="-64"/>
        <w:jc w:val="both"/>
        <w:rPr>
          <w:rFonts w:ascii="Times" w:hAnsi="Times"/>
        </w:rPr>
      </w:pPr>
    </w:p>
    <w:p w14:paraId="5BA60FDF" w14:textId="494FC1EF" w:rsidR="0004663C" w:rsidRDefault="00F9436E" w:rsidP="002249E1">
      <w:pPr>
        <w:spacing w:line="480" w:lineRule="auto"/>
        <w:ind w:right="-64"/>
        <w:jc w:val="both"/>
        <w:rPr>
          <w:rFonts w:ascii="Times" w:hAnsi="Times"/>
        </w:rPr>
      </w:pPr>
      <w:r>
        <w:rPr>
          <w:rFonts w:ascii="Times" w:hAnsi="Times"/>
        </w:rPr>
        <w:t xml:space="preserve">European Parliament </w:t>
      </w:r>
      <w:r w:rsidR="008624FE">
        <w:rPr>
          <w:rFonts w:ascii="Times" w:hAnsi="Times"/>
        </w:rPr>
        <w:t>enjoys</w:t>
      </w:r>
      <w:r w:rsidR="00FA5A56">
        <w:rPr>
          <w:rFonts w:ascii="Times" w:hAnsi="Times"/>
        </w:rPr>
        <w:t xml:space="preserve"> </w:t>
      </w:r>
      <w:r w:rsidR="008624FE">
        <w:rPr>
          <w:rFonts w:ascii="Times" w:hAnsi="Times"/>
        </w:rPr>
        <w:t>significantly limited powers in competition compared with other policies</w:t>
      </w:r>
      <w:r w:rsidR="00FA5A56">
        <w:rPr>
          <w:rFonts w:ascii="Times" w:hAnsi="Times"/>
        </w:rPr>
        <w:t xml:space="preserve"> </w:t>
      </w:r>
      <w:r w:rsidR="00C10D8F">
        <w:rPr>
          <w:rFonts w:ascii="Times" w:hAnsi="Times"/>
        </w:rPr>
        <w:t>connected</w:t>
      </w:r>
      <w:r w:rsidR="00FA5A56">
        <w:rPr>
          <w:rFonts w:ascii="Times" w:hAnsi="Times"/>
        </w:rPr>
        <w:t xml:space="preserve"> </w:t>
      </w:r>
      <w:r w:rsidR="008624FE">
        <w:rPr>
          <w:rFonts w:ascii="Times" w:hAnsi="Times"/>
        </w:rPr>
        <w:t>to</w:t>
      </w:r>
      <w:r w:rsidR="00FA5A56">
        <w:rPr>
          <w:rFonts w:ascii="Times" w:hAnsi="Times"/>
        </w:rPr>
        <w:t xml:space="preserve"> </w:t>
      </w:r>
      <w:r w:rsidR="00E01E7B">
        <w:rPr>
          <w:rFonts w:ascii="Times" w:hAnsi="Times"/>
        </w:rPr>
        <w:t xml:space="preserve">the </w:t>
      </w:r>
      <w:r w:rsidR="00566697" w:rsidRPr="00964A1C">
        <w:rPr>
          <w:rFonts w:ascii="Times" w:hAnsi="Times"/>
        </w:rPr>
        <w:t>internal</w:t>
      </w:r>
      <w:r w:rsidR="003C4BC8">
        <w:rPr>
          <w:rFonts w:ascii="Times" w:hAnsi="Times"/>
        </w:rPr>
        <w:t xml:space="preserve"> market. C</w:t>
      </w:r>
      <w:r w:rsidR="00FA5A56">
        <w:rPr>
          <w:rFonts w:ascii="Times" w:hAnsi="Times"/>
        </w:rPr>
        <w:t xml:space="preserve">ompetition </w:t>
      </w:r>
      <w:r w:rsidR="00C67D10">
        <w:rPr>
          <w:rFonts w:ascii="Times" w:hAnsi="Times"/>
        </w:rPr>
        <w:t>is</w:t>
      </w:r>
      <w:r w:rsidR="00FA5A56">
        <w:rPr>
          <w:rFonts w:ascii="Times" w:hAnsi="Times"/>
        </w:rPr>
        <w:t xml:space="preserve"> the only exclusive Union competence </w:t>
      </w:r>
      <w:r w:rsidR="001B0D15">
        <w:rPr>
          <w:rFonts w:ascii="Times" w:hAnsi="Times"/>
        </w:rPr>
        <w:t xml:space="preserve">in which </w:t>
      </w:r>
      <w:r w:rsidR="0071435B">
        <w:rPr>
          <w:rFonts w:ascii="Times" w:hAnsi="Times"/>
        </w:rPr>
        <w:t xml:space="preserve">the </w:t>
      </w:r>
      <w:r w:rsidR="001B0D15">
        <w:rPr>
          <w:rFonts w:ascii="Times" w:hAnsi="Times"/>
        </w:rPr>
        <w:t>Parliament</w:t>
      </w:r>
      <w:r w:rsidR="003334B0">
        <w:rPr>
          <w:rFonts w:ascii="Times" w:hAnsi="Times"/>
        </w:rPr>
        <w:t>’s</w:t>
      </w:r>
      <w:r w:rsidR="001B0D15">
        <w:rPr>
          <w:rFonts w:ascii="Times" w:hAnsi="Times"/>
        </w:rPr>
        <w:t xml:space="preserve"> </w:t>
      </w:r>
      <w:r w:rsidR="003334B0">
        <w:rPr>
          <w:rFonts w:ascii="Times" w:hAnsi="Times"/>
        </w:rPr>
        <w:t xml:space="preserve">legislative power is limited to consultation </w:t>
      </w:r>
      <w:r w:rsidR="00D83AF3">
        <w:rPr>
          <w:rFonts w:ascii="Times" w:hAnsi="Times"/>
        </w:rPr>
        <w:t>(Arts.3 and 103 TFEU)</w:t>
      </w:r>
      <w:r w:rsidR="001B0D15">
        <w:rPr>
          <w:rFonts w:ascii="Times" w:hAnsi="Times"/>
        </w:rPr>
        <w:t xml:space="preserve">. </w:t>
      </w:r>
      <w:r w:rsidR="00B2403B">
        <w:rPr>
          <w:rFonts w:ascii="Times" w:hAnsi="Times"/>
        </w:rPr>
        <w:t xml:space="preserve">Parliament participates in competition debates primarily through the Economic and Monetary Affairs Committee that takes the lead in </w:t>
      </w:r>
      <w:r w:rsidR="007D46DB">
        <w:rPr>
          <w:rFonts w:ascii="Times" w:hAnsi="Times"/>
        </w:rPr>
        <w:t>legislative and accountability activities in this field</w:t>
      </w:r>
      <w:r w:rsidR="00B2403B">
        <w:rPr>
          <w:rFonts w:ascii="Times" w:hAnsi="Times"/>
        </w:rPr>
        <w:t xml:space="preserve">. </w:t>
      </w:r>
    </w:p>
    <w:p w14:paraId="18E213DC" w14:textId="77777777" w:rsidR="0004663C" w:rsidRDefault="0004663C" w:rsidP="002249E1">
      <w:pPr>
        <w:spacing w:line="480" w:lineRule="auto"/>
        <w:ind w:right="-64"/>
        <w:jc w:val="both"/>
        <w:rPr>
          <w:rFonts w:ascii="Times" w:hAnsi="Times"/>
        </w:rPr>
      </w:pPr>
    </w:p>
    <w:p w14:paraId="71B69CC3" w14:textId="0A5E3BC6" w:rsidR="00D16934" w:rsidRDefault="00CA7B5A" w:rsidP="002249E1">
      <w:pPr>
        <w:spacing w:line="480" w:lineRule="auto"/>
        <w:ind w:right="-64"/>
        <w:jc w:val="both"/>
        <w:rPr>
          <w:rFonts w:ascii="Times" w:hAnsi="Times"/>
        </w:rPr>
      </w:pPr>
      <w:r>
        <w:rPr>
          <w:rFonts w:ascii="Times" w:hAnsi="Times"/>
        </w:rPr>
        <w:t xml:space="preserve">Figures 1, </w:t>
      </w:r>
      <w:r w:rsidR="00E97131">
        <w:rPr>
          <w:rFonts w:ascii="Times" w:hAnsi="Times"/>
        </w:rPr>
        <w:t xml:space="preserve">2 </w:t>
      </w:r>
      <w:r>
        <w:rPr>
          <w:rFonts w:ascii="Times" w:hAnsi="Times"/>
        </w:rPr>
        <w:t xml:space="preserve">and 3 </w:t>
      </w:r>
      <w:r w:rsidR="00E97131">
        <w:rPr>
          <w:rFonts w:ascii="Times" w:hAnsi="Times"/>
        </w:rPr>
        <w:t xml:space="preserve">below </w:t>
      </w:r>
      <w:r w:rsidR="00661434">
        <w:rPr>
          <w:rFonts w:ascii="Times" w:hAnsi="Times"/>
        </w:rPr>
        <w:t>show</w:t>
      </w:r>
      <w:r w:rsidR="00E97131">
        <w:rPr>
          <w:rFonts w:ascii="Times" w:hAnsi="Times"/>
        </w:rPr>
        <w:t xml:space="preserve"> the discourses used by </w:t>
      </w:r>
      <w:r w:rsidR="00713985">
        <w:rPr>
          <w:rFonts w:ascii="Times" w:hAnsi="Times"/>
        </w:rPr>
        <w:t>members of the Parliament (</w:t>
      </w:r>
      <w:r w:rsidR="00E239CD">
        <w:rPr>
          <w:rFonts w:ascii="Times" w:hAnsi="Times"/>
        </w:rPr>
        <w:t>MEPs</w:t>
      </w:r>
      <w:r w:rsidR="00713985">
        <w:rPr>
          <w:rFonts w:ascii="Times" w:hAnsi="Times"/>
        </w:rPr>
        <w:t>)</w:t>
      </w:r>
      <w:r w:rsidR="00E239CD">
        <w:rPr>
          <w:rFonts w:ascii="Times" w:hAnsi="Times"/>
        </w:rPr>
        <w:t xml:space="preserve"> </w:t>
      </w:r>
      <w:r w:rsidR="00374D77">
        <w:rPr>
          <w:rFonts w:ascii="Times" w:hAnsi="Times"/>
        </w:rPr>
        <w:t xml:space="preserve">in competition debates. </w:t>
      </w:r>
      <w:r w:rsidR="001B59E0">
        <w:rPr>
          <w:rFonts w:ascii="Times" w:hAnsi="Times"/>
        </w:rPr>
        <w:t xml:space="preserve">The data </w:t>
      </w:r>
      <w:r w:rsidR="00BB54F9">
        <w:rPr>
          <w:rFonts w:ascii="Times" w:hAnsi="Times"/>
        </w:rPr>
        <w:t>is</w:t>
      </w:r>
      <w:r w:rsidR="001B59E0">
        <w:rPr>
          <w:rFonts w:ascii="Times" w:hAnsi="Times"/>
        </w:rPr>
        <w:t xml:space="preserve"> </w:t>
      </w:r>
      <w:r w:rsidR="00661434">
        <w:rPr>
          <w:rFonts w:ascii="Times" w:hAnsi="Times"/>
        </w:rPr>
        <w:t>collected</w:t>
      </w:r>
      <w:r w:rsidR="001B59E0">
        <w:rPr>
          <w:rFonts w:ascii="Times" w:hAnsi="Times"/>
        </w:rPr>
        <w:t xml:space="preserve"> </w:t>
      </w:r>
      <w:r w:rsidR="00E239CD">
        <w:rPr>
          <w:rFonts w:ascii="Times" w:hAnsi="Times"/>
        </w:rPr>
        <w:t xml:space="preserve">from 272 </w:t>
      </w:r>
      <w:r w:rsidR="005C656B">
        <w:rPr>
          <w:rFonts w:ascii="Times" w:hAnsi="Times"/>
        </w:rPr>
        <w:t xml:space="preserve">MEP </w:t>
      </w:r>
      <w:r w:rsidR="00E239CD">
        <w:rPr>
          <w:rFonts w:ascii="Times" w:hAnsi="Times"/>
        </w:rPr>
        <w:t xml:space="preserve">statements </w:t>
      </w:r>
      <w:r w:rsidR="005C656B">
        <w:rPr>
          <w:rFonts w:ascii="Times" w:hAnsi="Times"/>
        </w:rPr>
        <w:t xml:space="preserve">made </w:t>
      </w:r>
      <w:r w:rsidR="00EE4817">
        <w:rPr>
          <w:rFonts w:ascii="Times" w:hAnsi="Times"/>
        </w:rPr>
        <w:t xml:space="preserve">in 22 </w:t>
      </w:r>
      <w:r w:rsidR="00D16934">
        <w:rPr>
          <w:rFonts w:ascii="Times" w:hAnsi="Times"/>
        </w:rPr>
        <w:t xml:space="preserve">plenary </w:t>
      </w:r>
      <w:r w:rsidR="00EE4817">
        <w:rPr>
          <w:rFonts w:ascii="Times" w:hAnsi="Times"/>
        </w:rPr>
        <w:t xml:space="preserve">debates over three parliamentary terms </w:t>
      </w:r>
      <w:r w:rsidR="00B83366">
        <w:rPr>
          <w:rFonts w:ascii="Times" w:hAnsi="Times"/>
        </w:rPr>
        <w:t>(1999-2005, 2005-09, 2009-</w:t>
      </w:r>
      <w:r w:rsidR="00A241EF">
        <w:rPr>
          <w:rFonts w:ascii="Times" w:hAnsi="Times"/>
        </w:rPr>
        <w:t>14)</w:t>
      </w:r>
      <w:r w:rsidR="00D16934">
        <w:rPr>
          <w:rFonts w:ascii="Times" w:hAnsi="Times"/>
        </w:rPr>
        <w:t xml:space="preserve">. </w:t>
      </w:r>
      <w:r w:rsidR="00E04741">
        <w:rPr>
          <w:rFonts w:ascii="Times" w:hAnsi="Times"/>
        </w:rPr>
        <w:t>The</w:t>
      </w:r>
      <w:r w:rsidR="00730F1A">
        <w:rPr>
          <w:rFonts w:ascii="Times" w:hAnsi="Times"/>
        </w:rPr>
        <w:t>se are the returns of</w:t>
      </w:r>
      <w:r w:rsidR="00D16934">
        <w:rPr>
          <w:rFonts w:ascii="Times" w:hAnsi="Times"/>
        </w:rPr>
        <w:t xml:space="preserve"> </w:t>
      </w:r>
      <w:r w:rsidR="0048609E">
        <w:rPr>
          <w:rFonts w:ascii="Times" w:hAnsi="Times"/>
        </w:rPr>
        <w:t>a search on the p</w:t>
      </w:r>
      <w:r w:rsidR="00BA3DB5">
        <w:rPr>
          <w:rFonts w:ascii="Times" w:hAnsi="Times"/>
        </w:rPr>
        <w:t>lenary website</w:t>
      </w:r>
      <w:r w:rsidR="00730F1A">
        <w:rPr>
          <w:rStyle w:val="EndnoteReference"/>
          <w:rFonts w:ascii="Times" w:hAnsi="Times"/>
        </w:rPr>
        <w:endnoteReference w:id="19"/>
      </w:r>
      <w:r w:rsidR="00BA3DB5">
        <w:rPr>
          <w:rFonts w:ascii="Times" w:hAnsi="Times"/>
        </w:rPr>
        <w:t xml:space="preserve"> </w:t>
      </w:r>
      <w:r w:rsidR="00E04741">
        <w:rPr>
          <w:rFonts w:ascii="Times" w:hAnsi="Times"/>
        </w:rPr>
        <w:t xml:space="preserve">for </w:t>
      </w:r>
      <w:r w:rsidR="00BA3DB5">
        <w:rPr>
          <w:rFonts w:ascii="Times" w:hAnsi="Times"/>
        </w:rPr>
        <w:t xml:space="preserve">documents with the word ‘competition’ in the title. </w:t>
      </w:r>
      <w:r w:rsidR="00E04741">
        <w:rPr>
          <w:rFonts w:ascii="Times" w:hAnsi="Times"/>
        </w:rPr>
        <w:t>The author coded the statements on the basis of discourse</w:t>
      </w:r>
      <w:r w:rsidR="00FA7136">
        <w:rPr>
          <w:rFonts w:ascii="Times" w:hAnsi="Times"/>
        </w:rPr>
        <w:t>(s)</w:t>
      </w:r>
      <w:r w:rsidR="00E04741">
        <w:rPr>
          <w:rFonts w:ascii="Times" w:hAnsi="Times"/>
        </w:rPr>
        <w:t xml:space="preserve"> used.</w:t>
      </w:r>
    </w:p>
    <w:p w14:paraId="3BFD2205" w14:textId="77777777" w:rsidR="00D16934" w:rsidRDefault="00D16934" w:rsidP="002249E1">
      <w:pPr>
        <w:spacing w:line="480" w:lineRule="auto"/>
        <w:ind w:right="-64"/>
        <w:jc w:val="both"/>
        <w:rPr>
          <w:rFonts w:ascii="Times" w:hAnsi="Times"/>
        </w:rPr>
      </w:pPr>
    </w:p>
    <w:p w14:paraId="19A79939" w14:textId="486E4243" w:rsidR="00CA7B5A" w:rsidRDefault="00A60C76" w:rsidP="002249E1">
      <w:pPr>
        <w:spacing w:line="480" w:lineRule="auto"/>
        <w:ind w:right="-64"/>
        <w:jc w:val="both"/>
        <w:rPr>
          <w:rFonts w:ascii="Times" w:hAnsi="Times"/>
        </w:rPr>
      </w:pPr>
      <w:r>
        <w:rPr>
          <w:rFonts w:ascii="Times" w:hAnsi="Times"/>
        </w:rPr>
        <w:t>The</w:t>
      </w:r>
      <w:r w:rsidR="0045074D">
        <w:rPr>
          <w:rFonts w:ascii="Times" w:hAnsi="Times"/>
        </w:rPr>
        <w:t xml:space="preserve"> </w:t>
      </w:r>
      <w:r>
        <w:rPr>
          <w:rFonts w:ascii="Times" w:hAnsi="Times"/>
        </w:rPr>
        <w:t>data</w:t>
      </w:r>
      <w:r w:rsidR="0045074D">
        <w:rPr>
          <w:rFonts w:ascii="Times" w:hAnsi="Times"/>
        </w:rPr>
        <w:t xml:space="preserve"> </w:t>
      </w:r>
      <w:r w:rsidR="00D16934">
        <w:rPr>
          <w:rFonts w:ascii="Times" w:hAnsi="Times"/>
        </w:rPr>
        <w:t xml:space="preserve">illustrates that Parliament’s views </w:t>
      </w:r>
      <w:r w:rsidR="00F80006">
        <w:rPr>
          <w:rFonts w:ascii="Times" w:hAnsi="Times"/>
        </w:rPr>
        <w:t>have not been</w:t>
      </w:r>
      <w:r w:rsidR="00D16934">
        <w:rPr>
          <w:rFonts w:ascii="Times" w:hAnsi="Times"/>
        </w:rPr>
        <w:t xml:space="preserve"> sufficiently ref</w:t>
      </w:r>
      <w:r w:rsidR="002B32C7">
        <w:rPr>
          <w:rFonts w:ascii="Times" w:hAnsi="Times"/>
        </w:rPr>
        <w:t>lected on in the reform process: fundamentally,</w:t>
      </w:r>
      <w:r w:rsidR="00E04741">
        <w:rPr>
          <w:rFonts w:ascii="Times" w:hAnsi="Times"/>
        </w:rPr>
        <w:t xml:space="preserve"> </w:t>
      </w:r>
      <w:r w:rsidR="002B32C7">
        <w:rPr>
          <w:rFonts w:ascii="Times" w:hAnsi="Times"/>
        </w:rPr>
        <w:t>i</w:t>
      </w:r>
      <w:r w:rsidR="00733732">
        <w:rPr>
          <w:rFonts w:ascii="Times" w:hAnsi="Times"/>
        </w:rPr>
        <w:t>n c</w:t>
      </w:r>
      <w:r w:rsidR="00C04853">
        <w:rPr>
          <w:rFonts w:ascii="Times" w:hAnsi="Times"/>
        </w:rPr>
        <w:t>ontrast to the dominance</w:t>
      </w:r>
      <w:r w:rsidR="00F42F05">
        <w:rPr>
          <w:rFonts w:ascii="Times" w:hAnsi="Times"/>
        </w:rPr>
        <w:t xml:space="preserve"> of consumer welfare in the reform discourse </w:t>
      </w:r>
      <w:r w:rsidR="002B32C7">
        <w:rPr>
          <w:rFonts w:ascii="Times" w:hAnsi="Times"/>
        </w:rPr>
        <w:t xml:space="preserve">as </w:t>
      </w:r>
      <w:r w:rsidR="00375408">
        <w:rPr>
          <w:rFonts w:ascii="Times" w:hAnsi="Times"/>
        </w:rPr>
        <w:t xml:space="preserve">the </w:t>
      </w:r>
      <w:r w:rsidR="002B32C7">
        <w:rPr>
          <w:rFonts w:ascii="Times" w:hAnsi="Times"/>
        </w:rPr>
        <w:t xml:space="preserve">ultimate </w:t>
      </w:r>
      <w:r w:rsidR="006C4EFF">
        <w:rPr>
          <w:rFonts w:ascii="Times" w:hAnsi="Times"/>
        </w:rPr>
        <w:t>policy objective</w:t>
      </w:r>
      <w:r w:rsidR="002526B1">
        <w:rPr>
          <w:rFonts w:ascii="Times" w:hAnsi="Times"/>
        </w:rPr>
        <w:t xml:space="preserve">, MEPs </w:t>
      </w:r>
      <w:r w:rsidR="00A600DE">
        <w:rPr>
          <w:rFonts w:ascii="Times" w:hAnsi="Times"/>
        </w:rPr>
        <w:t xml:space="preserve">envisage </w:t>
      </w:r>
      <w:r w:rsidR="000C7FE8">
        <w:rPr>
          <w:rFonts w:ascii="Times" w:hAnsi="Times"/>
        </w:rPr>
        <w:t xml:space="preserve">competition law potentially </w:t>
      </w:r>
      <w:r w:rsidR="00680D72">
        <w:rPr>
          <w:rFonts w:ascii="Times" w:hAnsi="Times"/>
        </w:rPr>
        <w:t xml:space="preserve">as </w:t>
      </w:r>
      <w:r w:rsidR="00F93BBE">
        <w:rPr>
          <w:rFonts w:ascii="Times" w:hAnsi="Times"/>
        </w:rPr>
        <w:t>pursuing</w:t>
      </w:r>
      <w:r w:rsidR="000C7FE8">
        <w:rPr>
          <w:rFonts w:ascii="Times" w:hAnsi="Times"/>
        </w:rPr>
        <w:t xml:space="preserve"> </w:t>
      </w:r>
      <w:r w:rsidR="000C7FE8" w:rsidRPr="00964A1C">
        <w:rPr>
          <w:rFonts w:ascii="Times" w:hAnsi="Times"/>
        </w:rPr>
        <w:t>multiple policy objectives</w:t>
      </w:r>
      <w:r w:rsidR="00C04853" w:rsidRPr="00964A1C">
        <w:rPr>
          <w:rFonts w:ascii="Times" w:hAnsi="Times"/>
        </w:rPr>
        <w:t>,</w:t>
      </w:r>
      <w:r w:rsidR="005E2446" w:rsidRPr="00964A1C">
        <w:rPr>
          <w:rFonts w:ascii="Times" w:hAnsi="Times"/>
        </w:rPr>
        <w:t xml:space="preserve"> including industrial policy and regional development, </w:t>
      </w:r>
      <w:r w:rsidR="00D83F40" w:rsidRPr="00964A1C">
        <w:rPr>
          <w:rFonts w:ascii="Times" w:hAnsi="Times"/>
        </w:rPr>
        <w:t>internal</w:t>
      </w:r>
      <w:r w:rsidR="005E2446">
        <w:rPr>
          <w:rFonts w:ascii="Times" w:hAnsi="Times"/>
        </w:rPr>
        <w:t xml:space="preserve"> market, consumer welfare, </w:t>
      </w:r>
      <w:r w:rsidR="00C04853">
        <w:rPr>
          <w:rFonts w:ascii="Times" w:hAnsi="Times"/>
        </w:rPr>
        <w:t xml:space="preserve">the Lisbon objectives of </w:t>
      </w:r>
      <w:r w:rsidR="005E2446">
        <w:rPr>
          <w:rFonts w:ascii="Times" w:hAnsi="Times"/>
        </w:rPr>
        <w:t>competitiveness and growth</w:t>
      </w:r>
      <w:r w:rsidR="00C04853">
        <w:rPr>
          <w:rFonts w:ascii="Times" w:hAnsi="Times"/>
        </w:rPr>
        <w:t>,</w:t>
      </w:r>
      <w:r w:rsidR="005E2446">
        <w:rPr>
          <w:rFonts w:ascii="Times" w:hAnsi="Times"/>
        </w:rPr>
        <w:t xml:space="preserve"> and SME protection </w:t>
      </w:r>
      <w:r w:rsidR="00495E4A">
        <w:rPr>
          <w:rFonts w:ascii="Times" w:hAnsi="Times"/>
        </w:rPr>
        <w:t>(see Figure 1)</w:t>
      </w:r>
      <w:r w:rsidR="005E2446">
        <w:rPr>
          <w:rFonts w:ascii="Times" w:hAnsi="Times"/>
        </w:rPr>
        <w:t xml:space="preserve">. </w:t>
      </w:r>
      <w:r w:rsidR="008341DE">
        <w:rPr>
          <w:rFonts w:ascii="Times" w:hAnsi="Times"/>
        </w:rPr>
        <w:t xml:space="preserve">Particularly after the financial crisis </w:t>
      </w:r>
      <w:r w:rsidR="00E5628C">
        <w:rPr>
          <w:rFonts w:ascii="Times" w:hAnsi="Times"/>
        </w:rPr>
        <w:t>(</w:t>
      </w:r>
      <w:r w:rsidR="008341DE">
        <w:rPr>
          <w:rFonts w:ascii="Times" w:hAnsi="Times"/>
        </w:rPr>
        <w:t>2008</w:t>
      </w:r>
      <w:r w:rsidR="00E5628C">
        <w:rPr>
          <w:rFonts w:ascii="Times" w:hAnsi="Times"/>
        </w:rPr>
        <w:t>)</w:t>
      </w:r>
      <w:r w:rsidR="008341DE">
        <w:rPr>
          <w:rFonts w:ascii="Times" w:hAnsi="Times"/>
        </w:rPr>
        <w:t>, c</w:t>
      </w:r>
      <w:r w:rsidR="00656E83">
        <w:rPr>
          <w:rFonts w:ascii="Times" w:hAnsi="Times"/>
        </w:rPr>
        <w:t>ompetition is increasingly perceived as a social construct with broader societal implications, including those on employment</w:t>
      </w:r>
      <w:r w:rsidR="00801AA4">
        <w:rPr>
          <w:rFonts w:ascii="Times" w:hAnsi="Times"/>
        </w:rPr>
        <w:t xml:space="preserve"> and</w:t>
      </w:r>
      <w:r w:rsidR="00656E83">
        <w:rPr>
          <w:rFonts w:ascii="Times" w:hAnsi="Times"/>
        </w:rPr>
        <w:t xml:space="preserve"> environment</w:t>
      </w:r>
      <w:r w:rsidR="00185963">
        <w:rPr>
          <w:rFonts w:ascii="Times" w:hAnsi="Times"/>
        </w:rPr>
        <w:t xml:space="preserve"> (see Figure 1)</w:t>
      </w:r>
      <w:r w:rsidR="00656E83">
        <w:rPr>
          <w:rFonts w:ascii="Times" w:hAnsi="Times"/>
        </w:rPr>
        <w:t>.</w:t>
      </w:r>
      <w:r w:rsidR="00185963">
        <w:rPr>
          <w:rFonts w:ascii="Times" w:hAnsi="Times"/>
        </w:rPr>
        <w:t xml:space="preserve"> </w:t>
      </w:r>
    </w:p>
    <w:p w14:paraId="7268232F" w14:textId="77777777" w:rsidR="00CA7B5A" w:rsidRDefault="00CA7B5A" w:rsidP="002249E1">
      <w:pPr>
        <w:spacing w:line="480" w:lineRule="auto"/>
        <w:ind w:right="-64"/>
        <w:jc w:val="both"/>
        <w:rPr>
          <w:rFonts w:ascii="Times" w:hAnsi="Times"/>
          <w:b/>
        </w:rPr>
      </w:pPr>
    </w:p>
    <w:p w14:paraId="33DAF7FB" w14:textId="77777777" w:rsidR="00CA7B5A" w:rsidRPr="00E97131" w:rsidRDefault="00CA7B5A" w:rsidP="002249E1">
      <w:pPr>
        <w:spacing w:line="480" w:lineRule="auto"/>
        <w:ind w:right="-64"/>
        <w:jc w:val="both"/>
        <w:rPr>
          <w:rFonts w:ascii="Times" w:hAnsi="Times"/>
          <w:b/>
        </w:rPr>
      </w:pPr>
      <w:r w:rsidRPr="00E97131">
        <w:rPr>
          <w:rFonts w:ascii="Times" w:hAnsi="Times"/>
          <w:b/>
        </w:rPr>
        <w:t>Figure 1 here.</w:t>
      </w:r>
    </w:p>
    <w:p w14:paraId="20CAC0E7" w14:textId="77777777" w:rsidR="00CA7B5A" w:rsidRDefault="00CA7B5A" w:rsidP="002249E1">
      <w:pPr>
        <w:spacing w:line="480" w:lineRule="auto"/>
        <w:ind w:right="-64"/>
        <w:jc w:val="both"/>
        <w:rPr>
          <w:rFonts w:ascii="Times" w:hAnsi="Times"/>
        </w:rPr>
      </w:pPr>
    </w:p>
    <w:p w14:paraId="5F811A2F" w14:textId="64109E0B" w:rsidR="00656E83" w:rsidRDefault="00BB5A4A" w:rsidP="002249E1">
      <w:pPr>
        <w:spacing w:line="480" w:lineRule="auto"/>
        <w:ind w:right="-64"/>
        <w:jc w:val="both"/>
        <w:rPr>
          <w:rFonts w:ascii="Times" w:hAnsi="Times"/>
        </w:rPr>
      </w:pPr>
      <w:r w:rsidRPr="00964A1C">
        <w:rPr>
          <w:rFonts w:ascii="Times" w:hAnsi="Times"/>
        </w:rPr>
        <w:t xml:space="preserve">Similarly, </w:t>
      </w:r>
      <w:r w:rsidR="00BE1D8A" w:rsidRPr="00964A1C">
        <w:rPr>
          <w:rFonts w:ascii="Times" w:hAnsi="Times"/>
        </w:rPr>
        <w:t xml:space="preserve">MEPs perceive the </w:t>
      </w:r>
      <w:r w:rsidR="003743AF" w:rsidRPr="00964A1C">
        <w:rPr>
          <w:rFonts w:ascii="Times" w:hAnsi="Times"/>
        </w:rPr>
        <w:t>internal</w:t>
      </w:r>
      <w:r w:rsidR="00BE1D8A" w:rsidRPr="00964A1C">
        <w:rPr>
          <w:rFonts w:ascii="Times" w:hAnsi="Times"/>
        </w:rPr>
        <w:t xml:space="preserve"> market</w:t>
      </w:r>
      <w:r w:rsidR="00BE1D8A">
        <w:rPr>
          <w:rFonts w:ascii="Times" w:hAnsi="Times"/>
        </w:rPr>
        <w:t xml:space="preserve"> as a significant </w:t>
      </w:r>
      <w:r w:rsidR="00463AC6">
        <w:rPr>
          <w:rFonts w:ascii="Times" w:hAnsi="Times"/>
        </w:rPr>
        <w:t>source</w:t>
      </w:r>
      <w:r w:rsidR="00BE1D8A">
        <w:rPr>
          <w:rFonts w:ascii="Times" w:hAnsi="Times"/>
        </w:rPr>
        <w:t xml:space="preserve"> </w:t>
      </w:r>
      <w:r w:rsidR="00E5628C">
        <w:rPr>
          <w:rFonts w:ascii="Times" w:hAnsi="Times"/>
        </w:rPr>
        <w:t>generating consumer welfare</w:t>
      </w:r>
      <w:r w:rsidR="008A604D">
        <w:rPr>
          <w:rFonts w:ascii="Times" w:hAnsi="Times"/>
        </w:rPr>
        <w:t xml:space="preserve">. </w:t>
      </w:r>
      <w:r w:rsidR="005F7B4E">
        <w:rPr>
          <w:rFonts w:ascii="Times" w:hAnsi="Times"/>
        </w:rPr>
        <w:t xml:space="preserve">In </w:t>
      </w:r>
      <w:r w:rsidR="009C59C9">
        <w:rPr>
          <w:rFonts w:ascii="Times" w:hAnsi="Times"/>
        </w:rPr>
        <w:t>this</w:t>
      </w:r>
      <w:r w:rsidR="005F7B4E">
        <w:rPr>
          <w:rFonts w:ascii="Times" w:hAnsi="Times"/>
        </w:rPr>
        <w:t xml:space="preserve">, MEPs perceive the social and political implications of </w:t>
      </w:r>
      <w:r w:rsidR="003E6E44">
        <w:rPr>
          <w:rFonts w:ascii="Times" w:hAnsi="Times"/>
        </w:rPr>
        <w:t xml:space="preserve">competition, consumer welfare and </w:t>
      </w:r>
      <w:r w:rsidR="009A3080" w:rsidRPr="00964A1C">
        <w:rPr>
          <w:rFonts w:ascii="Times" w:hAnsi="Times"/>
        </w:rPr>
        <w:t>internal</w:t>
      </w:r>
      <w:r w:rsidR="003E6E44" w:rsidRPr="00964A1C">
        <w:rPr>
          <w:rFonts w:ascii="Times" w:hAnsi="Times"/>
        </w:rPr>
        <w:t xml:space="preserve"> market</w:t>
      </w:r>
      <w:r w:rsidR="003E6E44">
        <w:rPr>
          <w:rFonts w:ascii="Times" w:hAnsi="Times"/>
        </w:rPr>
        <w:t xml:space="preserve"> as </w:t>
      </w:r>
      <w:r w:rsidR="00854B10">
        <w:rPr>
          <w:rFonts w:ascii="Times" w:hAnsi="Times"/>
        </w:rPr>
        <w:t>inextricably linked.</w:t>
      </w:r>
      <w:r w:rsidR="00D54700">
        <w:rPr>
          <w:rFonts w:ascii="Times" w:hAnsi="Times"/>
        </w:rPr>
        <w:t xml:space="preserve"> </w:t>
      </w:r>
      <w:r w:rsidR="00854B10">
        <w:rPr>
          <w:rFonts w:ascii="Times" w:hAnsi="Times"/>
        </w:rPr>
        <w:t>Fo</w:t>
      </w:r>
      <w:r w:rsidR="009C59C9">
        <w:rPr>
          <w:rFonts w:ascii="Times" w:hAnsi="Times"/>
        </w:rPr>
        <w:t>r instance</w:t>
      </w:r>
      <w:r w:rsidR="00B327B0">
        <w:rPr>
          <w:rFonts w:ascii="Times" w:hAnsi="Times"/>
        </w:rPr>
        <w:t xml:space="preserve">, </w:t>
      </w:r>
      <w:r w:rsidR="00132018">
        <w:rPr>
          <w:rFonts w:ascii="Times" w:hAnsi="Times"/>
        </w:rPr>
        <w:t xml:space="preserve">rent-seeking by powerful financial institutions is perceived as the key reason for the financial crisis and its </w:t>
      </w:r>
      <w:r w:rsidR="00B263D8">
        <w:rPr>
          <w:rFonts w:ascii="Times" w:hAnsi="Times"/>
        </w:rPr>
        <w:t>socio-economic e</w:t>
      </w:r>
      <w:r w:rsidR="00132018">
        <w:rPr>
          <w:rFonts w:ascii="Times" w:hAnsi="Times"/>
        </w:rPr>
        <w:t>ffects.</w:t>
      </w:r>
      <w:r w:rsidR="00875BD9" w:rsidRPr="00875BD9">
        <w:rPr>
          <w:rStyle w:val="EndnoteReference"/>
          <w:rFonts w:ascii="Times" w:hAnsi="Times"/>
        </w:rPr>
        <w:t xml:space="preserve"> </w:t>
      </w:r>
      <w:r w:rsidR="00875BD9">
        <w:rPr>
          <w:rStyle w:val="EndnoteReference"/>
          <w:rFonts w:ascii="Times" w:hAnsi="Times"/>
        </w:rPr>
        <w:endnoteReference w:id="20"/>
      </w:r>
      <w:r w:rsidR="00875BD9">
        <w:rPr>
          <w:rFonts w:ascii="Times" w:hAnsi="Times"/>
        </w:rPr>
        <w:t xml:space="preserve"> </w:t>
      </w:r>
      <w:r w:rsidR="00132018">
        <w:rPr>
          <w:rFonts w:ascii="Times" w:hAnsi="Times"/>
        </w:rPr>
        <w:t xml:space="preserve"> </w:t>
      </w:r>
      <w:r w:rsidR="00B263D8">
        <w:rPr>
          <w:rFonts w:ascii="Times" w:hAnsi="Times"/>
        </w:rPr>
        <w:t>T</w:t>
      </w:r>
      <w:r w:rsidR="00F22B27">
        <w:rPr>
          <w:rFonts w:ascii="Times" w:hAnsi="Times"/>
        </w:rPr>
        <w:t xml:space="preserve">he weakness of </w:t>
      </w:r>
      <w:r w:rsidR="009A3080" w:rsidRPr="00964A1C">
        <w:rPr>
          <w:rFonts w:ascii="Times" w:hAnsi="Times"/>
        </w:rPr>
        <w:t>internal</w:t>
      </w:r>
      <w:r w:rsidR="00F22B27" w:rsidRPr="00964A1C">
        <w:rPr>
          <w:rFonts w:ascii="Times" w:hAnsi="Times"/>
        </w:rPr>
        <w:t xml:space="preserve"> market</w:t>
      </w:r>
      <w:r w:rsidR="00F22B27">
        <w:rPr>
          <w:rFonts w:ascii="Times" w:hAnsi="Times"/>
        </w:rPr>
        <w:t xml:space="preserve"> </w:t>
      </w:r>
      <w:r w:rsidR="009F1B83">
        <w:rPr>
          <w:rFonts w:ascii="Times" w:hAnsi="Times"/>
        </w:rPr>
        <w:t>in financial products and insufficient consumer switching to cross-border institutions are perceived as the key reasons for the emergence of such powerful institutions</w:t>
      </w:r>
      <w:r w:rsidR="00B263D8">
        <w:rPr>
          <w:rFonts w:ascii="Times" w:hAnsi="Times"/>
        </w:rPr>
        <w:t xml:space="preserve"> in the first place</w:t>
      </w:r>
      <w:r w:rsidR="009F1B83">
        <w:rPr>
          <w:rFonts w:ascii="Times" w:hAnsi="Times"/>
        </w:rPr>
        <w:t>.</w:t>
      </w:r>
      <w:r w:rsidR="00875BD9">
        <w:rPr>
          <w:rStyle w:val="EndnoteReference"/>
          <w:rFonts w:ascii="Times" w:hAnsi="Times"/>
        </w:rPr>
        <w:endnoteReference w:id="21"/>
      </w:r>
      <w:r w:rsidR="009F1B83">
        <w:rPr>
          <w:rFonts w:ascii="Times" w:hAnsi="Times"/>
        </w:rPr>
        <w:t xml:space="preserve"> </w:t>
      </w:r>
      <w:r w:rsidR="00FD03CF">
        <w:rPr>
          <w:rFonts w:ascii="Times" w:hAnsi="Times"/>
        </w:rPr>
        <w:t xml:space="preserve">The same also goes for network industries, such as telecoms, gas and electricity, which the MEPs perceive not to work to </w:t>
      </w:r>
      <w:r w:rsidR="0057727C">
        <w:rPr>
          <w:rFonts w:ascii="Times" w:hAnsi="Times"/>
        </w:rPr>
        <w:t xml:space="preserve">the benefit of citizens due to the </w:t>
      </w:r>
      <w:r w:rsidR="00434AA4">
        <w:rPr>
          <w:rFonts w:ascii="Times" w:hAnsi="Times"/>
        </w:rPr>
        <w:t xml:space="preserve">weakness of the </w:t>
      </w:r>
      <w:r w:rsidR="0098278B" w:rsidRPr="00964A1C">
        <w:rPr>
          <w:rFonts w:ascii="Times" w:hAnsi="Times"/>
        </w:rPr>
        <w:t>internal</w:t>
      </w:r>
      <w:r w:rsidR="00434AA4" w:rsidRPr="00964A1C">
        <w:rPr>
          <w:rFonts w:ascii="Times" w:hAnsi="Times"/>
        </w:rPr>
        <w:t xml:space="preserve"> </w:t>
      </w:r>
      <w:r w:rsidR="0057727C" w:rsidRPr="00964A1C">
        <w:rPr>
          <w:rFonts w:ascii="Times" w:hAnsi="Times"/>
        </w:rPr>
        <w:t>market</w:t>
      </w:r>
      <w:r w:rsidR="0057727C">
        <w:rPr>
          <w:rFonts w:ascii="Times" w:hAnsi="Times"/>
        </w:rPr>
        <w:t xml:space="preserve"> in these industries.</w:t>
      </w:r>
      <w:r w:rsidR="008631F9">
        <w:rPr>
          <w:rStyle w:val="EndnoteReference"/>
          <w:rFonts w:ascii="Times" w:hAnsi="Times"/>
        </w:rPr>
        <w:endnoteReference w:id="22"/>
      </w:r>
      <w:r w:rsidR="00D7362F">
        <w:rPr>
          <w:rFonts w:ascii="Times" w:hAnsi="Times"/>
        </w:rPr>
        <w:t xml:space="preserve"> </w:t>
      </w:r>
    </w:p>
    <w:p w14:paraId="4BB9D2BA" w14:textId="77777777" w:rsidR="0077541D" w:rsidRDefault="0077541D" w:rsidP="002249E1">
      <w:pPr>
        <w:spacing w:line="480" w:lineRule="auto"/>
        <w:ind w:right="-64"/>
        <w:jc w:val="both"/>
        <w:rPr>
          <w:rFonts w:ascii="Times" w:hAnsi="Times"/>
        </w:rPr>
      </w:pPr>
    </w:p>
    <w:p w14:paraId="4149F525" w14:textId="5F6EA8F2" w:rsidR="00E71FD5" w:rsidRDefault="0077541D" w:rsidP="002249E1">
      <w:pPr>
        <w:spacing w:line="480" w:lineRule="auto"/>
        <w:ind w:right="-64"/>
        <w:jc w:val="both"/>
        <w:rPr>
          <w:rFonts w:ascii="Times" w:hAnsi="Times"/>
        </w:rPr>
      </w:pPr>
      <w:r>
        <w:rPr>
          <w:rFonts w:ascii="Times" w:hAnsi="Times"/>
        </w:rPr>
        <w:t xml:space="preserve">Finally, </w:t>
      </w:r>
      <w:r w:rsidR="00925245">
        <w:rPr>
          <w:rFonts w:ascii="Times" w:hAnsi="Times"/>
        </w:rPr>
        <w:t xml:space="preserve">MEPs </w:t>
      </w:r>
      <w:r w:rsidR="00683B92">
        <w:rPr>
          <w:rFonts w:ascii="Times" w:hAnsi="Times"/>
        </w:rPr>
        <w:t>do</w:t>
      </w:r>
      <w:r w:rsidR="007648A1">
        <w:rPr>
          <w:rFonts w:ascii="Times" w:hAnsi="Times"/>
        </w:rPr>
        <w:t xml:space="preserve"> not </w:t>
      </w:r>
      <w:r w:rsidR="00B417DB">
        <w:rPr>
          <w:rFonts w:ascii="Times" w:hAnsi="Times"/>
        </w:rPr>
        <w:t xml:space="preserve">necessarily </w:t>
      </w:r>
      <w:r w:rsidR="00925245">
        <w:rPr>
          <w:rFonts w:ascii="Times" w:hAnsi="Times"/>
        </w:rPr>
        <w:t xml:space="preserve">follow a partisan approach </w:t>
      </w:r>
      <w:r w:rsidR="00CA5D86">
        <w:rPr>
          <w:rFonts w:ascii="Times" w:hAnsi="Times"/>
        </w:rPr>
        <w:t>in competition debates</w:t>
      </w:r>
      <w:r w:rsidR="007648A1">
        <w:rPr>
          <w:rFonts w:ascii="Times" w:hAnsi="Times"/>
        </w:rPr>
        <w:t>.</w:t>
      </w:r>
      <w:r w:rsidR="00CA5D86">
        <w:rPr>
          <w:rFonts w:ascii="Times" w:hAnsi="Times"/>
        </w:rPr>
        <w:t xml:space="preserve"> </w:t>
      </w:r>
      <w:r w:rsidR="007648A1">
        <w:rPr>
          <w:rFonts w:ascii="Times" w:hAnsi="Times"/>
        </w:rPr>
        <w:t>A</w:t>
      </w:r>
      <w:r w:rsidR="00CA5D86">
        <w:rPr>
          <w:rFonts w:ascii="Times" w:hAnsi="Times"/>
        </w:rPr>
        <w:t xml:space="preserve">ll </w:t>
      </w:r>
      <w:r w:rsidR="00675314">
        <w:rPr>
          <w:rFonts w:ascii="Times" w:hAnsi="Times"/>
        </w:rPr>
        <w:t>political party groups</w:t>
      </w:r>
      <w:r w:rsidR="00CA5D86">
        <w:rPr>
          <w:rFonts w:ascii="Times" w:hAnsi="Times"/>
        </w:rPr>
        <w:t xml:space="preserve"> </w:t>
      </w:r>
      <w:r w:rsidR="00683B92">
        <w:rPr>
          <w:rFonts w:ascii="Times" w:hAnsi="Times"/>
        </w:rPr>
        <w:t>follow</w:t>
      </w:r>
      <w:r w:rsidR="007648A1">
        <w:rPr>
          <w:rFonts w:ascii="Times" w:hAnsi="Times"/>
        </w:rPr>
        <w:t xml:space="preserve"> somewhat balanced discourses, with Socialists and t</w:t>
      </w:r>
      <w:r w:rsidR="00DE2F7B">
        <w:rPr>
          <w:rFonts w:ascii="Times" w:hAnsi="Times"/>
        </w:rPr>
        <w:t>he Green Left emphasising socio-economic</w:t>
      </w:r>
      <w:r w:rsidR="007648A1">
        <w:rPr>
          <w:rFonts w:ascii="Times" w:hAnsi="Times"/>
        </w:rPr>
        <w:t xml:space="preserve"> implications more than </w:t>
      </w:r>
      <w:r w:rsidR="00735429">
        <w:rPr>
          <w:rFonts w:ascii="Times" w:hAnsi="Times"/>
        </w:rPr>
        <w:t>others</w:t>
      </w:r>
      <w:r w:rsidR="007648A1">
        <w:rPr>
          <w:rFonts w:ascii="Times" w:hAnsi="Times"/>
        </w:rPr>
        <w:t xml:space="preserve"> (see Figure 2). Likewise, MEPs </w:t>
      </w:r>
      <w:r w:rsidR="00E71FD5">
        <w:rPr>
          <w:rFonts w:ascii="Times" w:hAnsi="Times"/>
        </w:rPr>
        <w:t>do</w:t>
      </w:r>
      <w:r w:rsidR="007648A1">
        <w:rPr>
          <w:rFonts w:ascii="Times" w:hAnsi="Times"/>
        </w:rPr>
        <w:t xml:space="preserve"> not </w:t>
      </w:r>
      <w:r w:rsidR="00E71FD5">
        <w:rPr>
          <w:rFonts w:ascii="Times" w:hAnsi="Times"/>
        </w:rPr>
        <w:t xml:space="preserve">perceive as contradictory multiple discourses that hint towards different policy objectives. </w:t>
      </w:r>
      <w:r w:rsidR="00735429">
        <w:rPr>
          <w:rFonts w:ascii="Times" w:hAnsi="Times"/>
        </w:rPr>
        <w:t>On the contrary, MEPs occasionally refer to multiple discourses</w:t>
      </w:r>
      <w:r w:rsidR="00C83BCE">
        <w:rPr>
          <w:rFonts w:ascii="Times" w:hAnsi="Times"/>
        </w:rPr>
        <w:t>,</w:t>
      </w:r>
      <w:r w:rsidR="00735429">
        <w:rPr>
          <w:rFonts w:ascii="Times" w:hAnsi="Times"/>
        </w:rPr>
        <w:t xml:space="preserve"> which they view as complementary</w:t>
      </w:r>
      <w:r w:rsidR="00C83BCE">
        <w:rPr>
          <w:rFonts w:ascii="Times" w:hAnsi="Times"/>
        </w:rPr>
        <w:t>, in their statements</w:t>
      </w:r>
      <w:r w:rsidR="00E71FD5">
        <w:rPr>
          <w:rFonts w:ascii="Times" w:hAnsi="Times"/>
        </w:rPr>
        <w:t xml:space="preserve"> (See Figure 3).</w:t>
      </w:r>
      <w:r w:rsidR="00535233">
        <w:rPr>
          <w:rFonts w:ascii="Times" w:hAnsi="Times"/>
        </w:rPr>
        <w:t xml:space="preserve"> </w:t>
      </w:r>
    </w:p>
    <w:p w14:paraId="0B1D7575" w14:textId="77777777" w:rsidR="0048609E" w:rsidRDefault="0048609E" w:rsidP="002249E1">
      <w:pPr>
        <w:spacing w:line="480" w:lineRule="auto"/>
        <w:ind w:right="-64"/>
        <w:jc w:val="both"/>
        <w:rPr>
          <w:rFonts w:ascii="Times" w:hAnsi="Times"/>
        </w:rPr>
      </w:pPr>
    </w:p>
    <w:p w14:paraId="08D4D2F9" w14:textId="7FD7EFB6" w:rsidR="00E97131" w:rsidRPr="00E97131" w:rsidRDefault="00925245" w:rsidP="002249E1">
      <w:pPr>
        <w:spacing w:line="480" w:lineRule="auto"/>
        <w:ind w:right="-64"/>
        <w:jc w:val="both"/>
        <w:rPr>
          <w:rFonts w:ascii="Times" w:hAnsi="Times"/>
          <w:b/>
        </w:rPr>
      </w:pPr>
      <w:r>
        <w:rPr>
          <w:rFonts w:ascii="Times" w:hAnsi="Times"/>
          <w:b/>
        </w:rPr>
        <w:t>Figure 2</w:t>
      </w:r>
      <w:r w:rsidR="00E97131" w:rsidRPr="00E97131">
        <w:rPr>
          <w:rFonts w:ascii="Times" w:hAnsi="Times"/>
          <w:b/>
        </w:rPr>
        <w:t xml:space="preserve"> here.</w:t>
      </w:r>
    </w:p>
    <w:p w14:paraId="4D4E6FCC" w14:textId="77777777" w:rsidR="00E71FD5" w:rsidRDefault="00E71FD5" w:rsidP="002249E1">
      <w:pPr>
        <w:spacing w:line="480" w:lineRule="auto"/>
        <w:ind w:right="-64"/>
        <w:jc w:val="both"/>
        <w:rPr>
          <w:rFonts w:ascii="Times" w:hAnsi="Times"/>
          <w:b/>
        </w:rPr>
      </w:pPr>
    </w:p>
    <w:p w14:paraId="312D9D6D" w14:textId="1A14211D" w:rsidR="00D64105" w:rsidRPr="00925245" w:rsidRDefault="00925245" w:rsidP="002249E1">
      <w:pPr>
        <w:spacing w:line="480" w:lineRule="auto"/>
        <w:ind w:right="-64"/>
        <w:jc w:val="both"/>
        <w:rPr>
          <w:rFonts w:ascii="Times" w:hAnsi="Times"/>
          <w:b/>
        </w:rPr>
      </w:pPr>
      <w:r w:rsidRPr="00925245">
        <w:rPr>
          <w:rFonts w:ascii="Times" w:hAnsi="Times"/>
          <w:b/>
        </w:rPr>
        <w:t>Figure 3 here.</w:t>
      </w:r>
    </w:p>
    <w:p w14:paraId="7367F1B0" w14:textId="77777777" w:rsidR="009C7FD4" w:rsidRDefault="009C7FD4" w:rsidP="002249E1">
      <w:pPr>
        <w:spacing w:line="480" w:lineRule="auto"/>
        <w:ind w:right="-64"/>
        <w:jc w:val="both"/>
        <w:rPr>
          <w:rFonts w:ascii="Times" w:hAnsi="Times"/>
        </w:rPr>
      </w:pPr>
    </w:p>
    <w:p w14:paraId="24D91E43" w14:textId="6E1B4285" w:rsidR="00C16BB9" w:rsidRDefault="00C16BB9" w:rsidP="002249E1">
      <w:pPr>
        <w:spacing w:line="480" w:lineRule="auto"/>
        <w:jc w:val="both"/>
        <w:rPr>
          <w:rFonts w:ascii="Times" w:hAnsi="Times"/>
        </w:rPr>
      </w:pPr>
      <w:r>
        <w:rPr>
          <w:rFonts w:ascii="Times" w:hAnsi="Times"/>
        </w:rPr>
        <w:t xml:space="preserve">The lack of outright partisanship and continuous reliance on multiple policy objectives make a stronger case for plenary debates to be reflected on in competition policymaking. </w:t>
      </w:r>
      <w:r w:rsidR="00F317F9">
        <w:rPr>
          <w:rFonts w:ascii="Times" w:hAnsi="Times"/>
        </w:rPr>
        <w:t xml:space="preserve">Principal-agent approaches argue that partisanship in majoritarian institutions prevent those institutions from committing to long-term policy objectives; and this requires the delegation of policymaking powers in technical economic policies to independent authorities (Thatcher, 2002). However, this is not necessarily the case for the European Parliament’s </w:t>
      </w:r>
      <w:r w:rsidR="002C5AB1">
        <w:rPr>
          <w:rFonts w:ascii="Times" w:hAnsi="Times"/>
        </w:rPr>
        <w:t xml:space="preserve">approach to Union competition law. </w:t>
      </w:r>
      <w:r w:rsidR="00DD1E57">
        <w:rPr>
          <w:rFonts w:ascii="Times" w:hAnsi="Times"/>
        </w:rPr>
        <w:t xml:space="preserve">Thus, </w:t>
      </w:r>
      <w:r w:rsidR="00A96A50">
        <w:rPr>
          <w:rFonts w:ascii="Times" w:hAnsi="Times"/>
        </w:rPr>
        <w:t xml:space="preserve">increasing </w:t>
      </w:r>
      <w:r w:rsidR="00226D8F">
        <w:rPr>
          <w:rFonts w:ascii="Times" w:hAnsi="Times"/>
        </w:rPr>
        <w:t>Parliament’s</w:t>
      </w:r>
      <w:r w:rsidR="00161014">
        <w:rPr>
          <w:rFonts w:ascii="Times" w:hAnsi="Times"/>
        </w:rPr>
        <w:t xml:space="preserve"> powers to contribute towards the legitimacy of </w:t>
      </w:r>
      <w:r w:rsidR="009170F0">
        <w:rPr>
          <w:rFonts w:ascii="Times" w:hAnsi="Times"/>
        </w:rPr>
        <w:t xml:space="preserve">the </w:t>
      </w:r>
      <w:r w:rsidR="00161014">
        <w:rPr>
          <w:rFonts w:ascii="Times" w:hAnsi="Times"/>
        </w:rPr>
        <w:t xml:space="preserve">Union competition regime </w:t>
      </w:r>
      <w:r w:rsidR="00E023B4">
        <w:rPr>
          <w:rFonts w:ascii="Times" w:hAnsi="Times"/>
        </w:rPr>
        <w:t>could</w:t>
      </w:r>
      <w:r w:rsidR="00161014">
        <w:rPr>
          <w:rFonts w:ascii="Times" w:hAnsi="Times"/>
        </w:rPr>
        <w:t xml:space="preserve"> </w:t>
      </w:r>
      <w:r w:rsidR="00E023B4">
        <w:rPr>
          <w:rFonts w:ascii="Times" w:hAnsi="Times"/>
        </w:rPr>
        <w:t>be considered</w:t>
      </w:r>
      <w:r w:rsidR="00557C2B">
        <w:rPr>
          <w:rFonts w:ascii="Times" w:hAnsi="Times"/>
        </w:rPr>
        <w:t>,</w:t>
      </w:r>
      <w:r w:rsidR="00E023B4">
        <w:rPr>
          <w:rFonts w:ascii="Times" w:hAnsi="Times"/>
        </w:rPr>
        <w:t xml:space="preserve"> without fearing that increased parliamentary powers would result in populism and politicisation. </w:t>
      </w:r>
      <w:r w:rsidR="00A74F59">
        <w:rPr>
          <w:rFonts w:ascii="Times" w:hAnsi="Times"/>
        </w:rPr>
        <w:t xml:space="preserve">In fact, </w:t>
      </w:r>
      <w:r w:rsidR="00CE0DB6">
        <w:rPr>
          <w:rFonts w:ascii="Times" w:hAnsi="Times"/>
        </w:rPr>
        <w:t xml:space="preserve">MEPs have continuously voiced </w:t>
      </w:r>
      <w:r w:rsidR="00BA6911">
        <w:rPr>
          <w:rFonts w:ascii="Times" w:hAnsi="Times"/>
        </w:rPr>
        <w:t>their</w:t>
      </w:r>
      <w:r w:rsidR="00CE0DB6">
        <w:rPr>
          <w:rFonts w:ascii="Times" w:hAnsi="Times"/>
        </w:rPr>
        <w:t xml:space="preserve"> demand for increased </w:t>
      </w:r>
      <w:r w:rsidR="00170E2E">
        <w:rPr>
          <w:rFonts w:ascii="Times" w:hAnsi="Times"/>
        </w:rPr>
        <w:t xml:space="preserve">powers in plenary debates and they continuously complained </w:t>
      </w:r>
      <w:r w:rsidR="00A74F59">
        <w:rPr>
          <w:rFonts w:ascii="Times" w:hAnsi="Times"/>
        </w:rPr>
        <w:t>about</w:t>
      </w:r>
      <w:r w:rsidR="00170E2E">
        <w:rPr>
          <w:rFonts w:ascii="Times" w:hAnsi="Times"/>
        </w:rPr>
        <w:t xml:space="preserve"> </w:t>
      </w:r>
      <w:r w:rsidR="007814D7">
        <w:rPr>
          <w:rFonts w:ascii="Times" w:hAnsi="Times"/>
        </w:rPr>
        <w:t xml:space="preserve">imperfect </w:t>
      </w:r>
      <w:r>
        <w:rPr>
          <w:rFonts w:ascii="Times" w:hAnsi="Times"/>
        </w:rPr>
        <w:t xml:space="preserve">transparency </w:t>
      </w:r>
      <w:r w:rsidR="00D75DCF">
        <w:rPr>
          <w:rFonts w:ascii="Times" w:hAnsi="Times"/>
        </w:rPr>
        <w:t>in</w:t>
      </w:r>
      <w:r>
        <w:rPr>
          <w:rFonts w:ascii="Times" w:hAnsi="Times"/>
        </w:rPr>
        <w:t xml:space="preserve"> </w:t>
      </w:r>
      <w:r w:rsidR="00E117B4">
        <w:rPr>
          <w:rFonts w:ascii="Times" w:hAnsi="Times"/>
        </w:rPr>
        <w:t>Commission’s</w:t>
      </w:r>
      <w:r>
        <w:rPr>
          <w:rFonts w:ascii="Times" w:hAnsi="Times"/>
        </w:rPr>
        <w:t xml:space="preserve"> policymaking </w:t>
      </w:r>
      <w:r w:rsidR="00E117B4">
        <w:rPr>
          <w:rFonts w:ascii="Times" w:hAnsi="Times"/>
        </w:rPr>
        <w:t>activities</w:t>
      </w:r>
      <w:r w:rsidR="00170E2E">
        <w:rPr>
          <w:rFonts w:ascii="Times" w:hAnsi="Times"/>
        </w:rPr>
        <w:t xml:space="preserve"> </w:t>
      </w:r>
      <w:r w:rsidR="00EE36BF">
        <w:rPr>
          <w:rFonts w:ascii="Times" w:hAnsi="Times"/>
        </w:rPr>
        <w:t xml:space="preserve">towards the Parliament </w:t>
      </w:r>
      <w:r w:rsidR="00E8787C">
        <w:rPr>
          <w:rFonts w:ascii="Times" w:hAnsi="Times"/>
        </w:rPr>
        <w:t>(see Figure 1).</w:t>
      </w:r>
    </w:p>
    <w:p w14:paraId="78C37624" w14:textId="77777777" w:rsidR="00DB1C89" w:rsidRDefault="00DB1C89" w:rsidP="002249E1">
      <w:pPr>
        <w:spacing w:line="480" w:lineRule="auto"/>
        <w:ind w:right="-64"/>
        <w:jc w:val="both"/>
        <w:rPr>
          <w:rFonts w:ascii="Times" w:hAnsi="Times"/>
        </w:rPr>
      </w:pPr>
    </w:p>
    <w:p w14:paraId="593C3837" w14:textId="4B7FCA3D" w:rsidR="0081513A" w:rsidRDefault="00156FAC" w:rsidP="002249E1">
      <w:pPr>
        <w:spacing w:line="480" w:lineRule="auto"/>
        <w:ind w:right="-64"/>
        <w:jc w:val="both"/>
        <w:rPr>
          <w:rFonts w:ascii="Times" w:hAnsi="Times"/>
        </w:rPr>
      </w:pPr>
      <w:r>
        <w:rPr>
          <w:rFonts w:ascii="Times" w:hAnsi="Times"/>
        </w:rPr>
        <w:t>The Union Courts have shown ambivalent responses to the reform process</w:t>
      </w:r>
      <w:r w:rsidR="001A00AF">
        <w:rPr>
          <w:rFonts w:ascii="Times" w:hAnsi="Times"/>
        </w:rPr>
        <w:t>.</w:t>
      </w:r>
      <w:r w:rsidR="00E75EBB">
        <w:rPr>
          <w:rFonts w:ascii="Times" w:hAnsi="Times"/>
        </w:rPr>
        <w:t xml:space="preserve"> </w:t>
      </w:r>
      <w:r w:rsidR="001A00AF">
        <w:rPr>
          <w:rFonts w:ascii="Times" w:hAnsi="Times"/>
        </w:rPr>
        <w:t>T</w:t>
      </w:r>
      <w:r w:rsidR="00F5138A">
        <w:rPr>
          <w:rFonts w:ascii="Times" w:hAnsi="Times"/>
        </w:rPr>
        <w:t xml:space="preserve">he Court of Justice was the </w:t>
      </w:r>
      <w:r w:rsidR="009C541C">
        <w:rPr>
          <w:rFonts w:ascii="Times" w:hAnsi="Times"/>
        </w:rPr>
        <w:t xml:space="preserve">Commission’s </w:t>
      </w:r>
      <w:r w:rsidR="00F5138A">
        <w:rPr>
          <w:rFonts w:ascii="Times" w:hAnsi="Times"/>
        </w:rPr>
        <w:t xml:space="preserve">partner in establishing a competition law regime </w:t>
      </w:r>
      <w:r w:rsidR="004A3FBC">
        <w:rPr>
          <w:rFonts w:ascii="Times" w:hAnsi="Times"/>
        </w:rPr>
        <w:t xml:space="preserve">based on the </w:t>
      </w:r>
      <w:r w:rsidR="00AD04BA" w:rsidRPr="00964A1C">
        <w:rPr>
          <w:rFonts w:ascii="Times" w:hAnsi="Times"/>
        </w:rPr>
        <w:t>internal</w:t>
      </w:r>
      <w:r w:rsidR="004A3FBC" w:rsidRPr="00964A1C">
        <w:rPr>
          <w:rFonts w:ascii="Times" w:hAnsi="Times"/>
        </w:rPr>
        <w:t xml:space="preserve"> market</w:t>
      </w:r>
      <w:r w:rsidR="004A3FBC">
        <w:rPr>
          <w:rFonts w:ascii="Times" w:hAnsi="Times"/>
        </w:rPr>
        <w:t xml:space="preserve"> objective</w:t>
      </w:r>
      <w:r w:rsidR="00F5138A">
        <w:rPr>
          <w:rFonts w:ascii="Times" w:hAnsi="Times"/>
        </w:rPr>
        <w:t xml:space="preserve"> (Gerber 1994,</w:t>
      </w:r>
      <w:r w:rsidR="0099443D">
        <w:rPr>
          <w:rFonts w:ascii="Times" w:hAnsi="Times"/>
        </w:rPr>
        <w:t xml:space="preserve"> p.</w:t>
      </w:r>
      <w:r w:rsidR="00F5138A">
        <w:rPr>
          <w:rFonts w:ascii="Times" w:hAnsi="Times"/>
        </w:rPr>
        <w:t xml:space="preserve">108). </w:t>
      </w:r>
      <w:r w:rsidR="00AF2081">
        <w:rPr>
          <w:rFonts w:ascii="Times" w:hAnsi="Times"/>
        </w:rPr>
        <w:t>The General Court has</w:t>
      </w:r>
      <w:r w:rsidR="00566EF9">
        <w:rPr>
          <w:rFonts w:ascii="Times" w:hAnsi="Times"/>
        </w:rPr>
        <w:t xml:space="preserve"> </w:t>
      </w:r>
      <w:r w:rsidR="00AF2081">
        <w:rPr>
          <w:rFonts w:ascii="Times" w:hAnsi="Times"/>
        </w:rPr>
        <w:t>engage</w:t>
      </w:r>
      <w:r w:rsidR="009E36F8">
        <w:rPr>
          <w:rFonts w:ascii="Times" w:hAnsi="Times"/>
        </w:rPr>
        <w:t>d</w:t>
      </w:r>
      <w:r w:rsidR="00AF2081">
        <w:rPr>
          <w:rFonts w:ascii="Times" w:hAnsi="Times"/>
        </w:rPr>
        <w:t xml:space="preserve"> with </w:t>
      </w:r>
      <w:r w:rsidR="0035735C">
        <w:rPr>
          <w:rFonts w:ascii="Times" w:hAnsi="Times"/>
        </w:rPr>
        <w:t xml:space="preserve">the </w:t>
      </w:r>
      <w:r w:rsidR="00AF2081">
        <w:rPr>
          <w:rFonts w:ascii="Times" w:hAnsi="Times"/>
        </w:rPr>
        <w:t>economics of competition</w:t>
      </w:r>
      <w:r w:rsidR="009E36F8">
        <w:rPr>
          <w:rFonts w:ascii="Times" w:hAnsi="Times"/>
        </w:rPr>
        <w:t xml:space="preserve"> more directly</w:t>
      </w:r>
      <w:r w:rsidR="0035735C">
        <w:rPr>
          <w:rFonts w:ascii="Times" w:hAnsi="Times"/>
        </w:rPr>
        <w:t>. I</w:t>
      </w:r>
      <w:r w:rsidR="00AF2081">
        <w:rPr>
          <w:rFonts w:ascii="Times" w:hAnsi="Times"/>
        </w:rPr>
        <w:t>ts annulment of three merger decision</w:t>
      </w:r>
      <w:r w:rsidR="0068627F">
        <w:rPr>
          <w:rFonts w:ascii="Times" w:hAnsi="Times"/>
        </w:rPr>
        <w:t xml:space="preserve">s in </w:t>
      </w:r>
      <w:r w:rsidR="0068627F" w:rsidRPr="00964A1C">
        <w:rPr>
          <w:rFonts w:ascii="Times" w:hAnsi="Times"/>
        </w:rPr>
        <w:t xml:space="preserve">one </w:t>
      </w:r>
      <w:r w:rsidR="00AF2081" w:rsidRPr="00964A1C">
        <w:rPr>
          <w:rFonts w:ascii="Times" w:hAnsi="Times"/>
        </w:rPr>
        <w:t xml:space="preserve">year </w:t>
      </w:r>
      <w:r w:rsidR="00C81869" w:rsidRPr="00964A1C">
        <w:rPr>
          <w:rFonts w:ascii="Times" w:hAnsi="Times"/>
        </w:rPr>
        <w:t>on the basis of economic reasoning</w:t>
      </w:r>
      <w:r w:rsidR="0068627F" w:rsidRPr="00964A1C">
        <w:rPr>
          <w:rFonts w:ascii="Times" w:hAnsi="Times"/>
        </w:rPr>
        <w:t xml:space="preserve"> </w:t>
      </w:r>
      <w:r w:rsidR="00AF2081" w:rsidRPr="00964A1C">
        <w:rPr>
          <w:rFonts w:ascii="Times" w:hAnsi="Times"/>
        </w:rPr>
        <w:t xml:space="preserve">contributed towards the establishment of a </w:t>
      </w:r>
      <w:r w:rsidR="001A00AF" w:rsidRPr="00964A1C">
        <w:rPr>
          <w:rFonts w:ascii="Times" w:hAnsi="Times"/>
        </w:rPr>
        <w:t xml:space="preserve">Chief </w:t>
      </w:r>
      <w:r w:rsidR="000616C7" w:rsidRPr="00964A1C">
        <w:rPr>
          <w:rFonts w:ascii="Times" w:hAnsi="Times"/>
        </w:rPr>
        <w:t>Competition Economist</w:t>
      </w:r>
      <w:r w:rsidR="001A00AF" w:rsidRPr="00964A1C">
        <w:rPr>
          <w:rFonts w:ascii="Times" w:hAnsi="Times"/>
        </w:rPr>
        <w:t xml:space="preserve"> </w:t>
      </w:r>
      <w:r w:rsidR="00DE42DE" w:rsidRPr="00964A1C">
        <w:rPr>
          <w:rFonts w:ascii="Times" w:hAnsi="Times"/>
        </w:rPr>
        <w:t>position</w:t>
      </w:r>
      <w:r w:rsidR="00DE42DE">
        <w:rPr>
          <w:rFonts w:ascii="Times" w:hAnsi="Times"/>
        </w:rPr>
        <w:t xml:space="preserve"> </w:t>
      </w:r>
      <w:r w:rsidR="00C81869">
        <w:rPr>
          <w:rFonts w:ascii="Times" w:hAnsi="Times"/>
        </w:rPr>
        <w:t>within the Commission</w:t>
      </w:r>
      <w:r w:rsidR="0084178C">
        <w:rPr>
          <w:rFonts w:ascii="Times" w:hAnsi="Times"/>
        </w:rPr>
        <w:t xml:space="preserve"> </w:t>
      </w:r>
      <w:r w:rsidR="0084178C" w:rsidRPr="0084178C">
        <w:rPr>
          <w:rFonts w:ascii="Times" w:hAnsi="Times"/>
        </w:rPr>
        <w:t>(</w:t>
      </w:r>
      <w:r w:rsidR="0084178C" w:rsidRPr="0084178C">
        <w:rPr>
          <w:rFonts w:ascii="Times" w:hAnsi="Times"/>
          <w:lang w:val="en-US"/>
        </w:rPr>
        <w:t xml:space="preserve">Cases T-342/99 </w:t>
      </w:r>
      <w:r w:rsidR="0084178C" w:rsidRPr="00AB5077">
        <w:rPr>
          <w:rFonts w:ascii="Times" w:hAnsi="Times"/>
          <w:i/>
          <w:lang w:val="en-US"/>
        </w:rPr>
        <w:t>Airtours v Commission</w:t>
      </w:r>
      <w:r w:rsidR="0084178C" w:rsidRPr="0084178C">
        <w:rPr>
          <w:rFonts w:ascii="Times" w:hAnsi="Times"/>
          <w:lang w:val="en-US"/>
        </w:rPr>
        <w:t xml:space="preserve">; T-77/02 </w:t>
      </w:r>
      <w:r w:rsidR="0084178C" w:rsidRPr="00AB5077">
        <w:rPr>
          <w:rFonts w:ascii="Times" w:hAnsi="Times"/>
          <w:i/>
          <w:lang w:val="en-US"/>
        </w:rPr>
        <w:t>Schneider Electric v Commission</w:t>
      </w:r>
      <w:r w:rsidR="0084178C" w:rsidRPr="0084178C">
        <w:rPr>
          <w:rFonts w:ascii="Times" w:hAnsi="Times"/>
          <w:lang w:val="en-US"/>
        </w:rPr>
        <w:t xml:space="preserve">; T-5/02 </w:t>
      </w:r>
      <w:r w:rsidR="0084178C" w:rsidRPr="00AB5077">
        <w:rPr>
          <w:rFonts w:ascii="Times" w:hAnsi="Times"/>
          <w:i/>
          <w:lang w:val="en-US"/>
        </w:rPr>
        <w:t>Tetra Laval v Commission</w:t>
      </w:r>
      <w:r w:rsidR="0084178C" w:rsidRPr="0084178C">
        <w:rPr>
          <w:rFonts w:ascii="Times" w:hAnsi="Times"/>
          <w:lang w:val="en-US"/>
        </w:rPr>
        <w:t>)</w:t>
      </w:r>
      <w:r w:rsidR="001A00AF" w:rsidRPr="0084178C">
        <w:rPr>
          <w:rFonts w:ascii="Times" w:hAnsi="Times"/>
        </w:rPr>
        <w:t>.</w:t>
      </w:r>
      <w:r w:rsidR="001A00AF">
        <w:rPr>
          <w:rFonts w:ascii="Times" w:hAnsi="Times"/>
        </w:rPr>
        <w:t xml:space="preserve"> </w:t>
      </w:r>
      <w:r w:rsidR="00EB396F">
        <w:rPr>
          <w:rFonts w:ascii="Times" w:hAnsi="Times"/>
        </w:rPr>
        <w:t xml:space="preserve">Accordingly, the two Courts have shown </w:t>
      </w:r>
      <w:r w:rsidR="00CF6D5B">
        <w:rPr>
          <w:rFonts w:ascii="Times" w:hAnsi="Times"/>
        </w:rPr>
        <w:t xml:space="preserve">different responses </w:t>
      </w:r>
      <w:r w:rsidR="0091447A">
        <w:rPr>
          <w:rFonts w:ascii="Times" w:hAnsi="Times"/>
        </w:rPr>
        <w:t>to the ‘more economic’ post-reform approach</w:t>
      </w:r>
      <w:r w:rsidR="007D3E97">
        <w:rPr>
          <w:rFonts w:ascii="Times" w:hAnsi="Times"/>
        </w:rPr>
        <w:t>.</w:t>
      </w:r>
      <w:r w:rsidR="00DB0A88">
        <w:rPr>
          <w:rFonts w:ascii="Times" w:hAnsi="Times"/>
        </w:rPr>
        <w:t xml:space="preserve"> </w:t>
      </w:r>
      <w:r w:rsidR="007D3E97">
        <w:rPr>
          <w:rFonts w:ascii="Times" w:hAnsi="Times"/>
        </w:rPr>
        <w:t>I</w:t>
      </w:r>
      <w:r w:rsidR="005A598D">
        <w:rPr>
          <w:rFonts w:ascii="Times" w:hAnsi="Times"/>
        </w:rPr>
        <w:t xml:space="preserve">n </w:t>
      </w:r>
      <w:r w:rsidR="005A598D" w:rsidRPr="00411357">
        <w:rPr>
          <w:rFonts w:ascii="Times" w:hAnsi="Times"/>
          <w:i/>
        </w:rPr>
        <w:t>GlaxoSmithKline</w:t>
      </w:r>
      <w:r w:rsidR="007E73ED">
        <w:rPr>
          <w:rFonts w:ascii="Times" w:hAnsi="Times"/>
        </w:rPr>
        <w:t xml:space="preserve"> </w:t>
      </w:r>
      <w:r w:rsidR="0005147A">
        <w:rPr>
          <w:rFonts w:ascii="Times" w:hAnsi="Times"/>
        </w:rPr>
        <w:t>(</w:t>
      </w:r>
      <w:r w:rsidR="00103A51">
        <w:rPr>
          <w:rFonts w:ascii="Times" w:hAnsi="Times"/>
        </w:rPr>
        <w:t xml:space="preserve">Case </w:t>
      </w:r>
      <w:r w:rsidR="0005147A">
        <w:rPr>
          <w:rFonts w:ascii="Times" w:hAnsi="Times"/>
        </w:rPr>
        <w:t xml:space="preserve">T-168/01) </w:t>
      </w:r>
      <w:r w:rsidR="007E73ED">
        <w:rPr>
          <w:rFonts w:ascii="Times" w:hAnsi="Times"/>
        </w:rPr>
        <w:t xml:space="preserve">the General Court annulled a Commission decision </w:t>
      </w:r>
      <w:r w:rsidR="00304D76">
        <w:rPr>
          <w:rFonts w:ascii="Times" w:hAnsi="Times"/>
        </w:rPr>
        <w:t>prohibiting</w:t>
      </w:r>
      <w:r w:rsidR="005D268E">
        <w:rPr>
          <w:rFonts w:ascii="Times" w:hAnsi="Times"/>
        </w:rPr>
        <w:t xml:space="preserve"> </w:t>
      </w:r>
      <w:r w:rsidR="000F5FB2">
        <w:rPr>
          <w:rFonts w:ascii="Times" w:hAnsi="Times"/>
        </w:rPr>
        <w:t>the c</w:t>
      </w:r>
      <w:r w:rsidR="00BE6DFB">
        <w:rPr>
          <w:rFonts w:ascii="Times" w:hAnsi="Times"/>
        </w:rPr>
        <w:t xml:space="preserve">ompany’s distribution </w:t>
      </w:r>
      <w:r w:rsidR="005D7D7A">
        <w:rPr>
          <w:rFonts w:ascii="Times" w:hAnsi="Times"/>
        </w:rPr>
        <w:t>regime</w:t>
      </w:r>
      <w:r w:rsidR="00BE6DFB">
        <w:rPr>
          <w:rFonts w:ascii="Times" w:hAnsi="Times"/>
        </w:rPr>
        <w:t xml:space="preserve"> </w:t>
      </w:r>
      <w:r w:rsidR="00304D76">
        <w:rPr>
          <w:rFonts w:ascii="Times" w:hAnsi="Times"/>
        </w:rPr>
        <w:t xml:space="preserve">that </w:t>
      </w:r>
      <w:r w:rsidR="005D7D7A">
        <w:rPr>
          <w:rFonts w:ascii="Times" w:hAnsi="Times"/>
        </w:rPr>
        <w:t>prevented</w:t>
      </w:r>
      <w:r w:rsidR="00304D76">
        <w:rPr>
          <w:rFonts w:ascii="Times" w:hAnsi="Times"/>
        </w:rPr>
        <w:t xml:space="preserve"> parallel imports between </w:t>
      </w:r>
      <w:r w:rsidR="007428DE">
        <w:rPr>
          <w:rFonts w:ascii="Times" w:hAnsi="Times"/>
        </w:rPr>
        <w:t>Member States</w:t>
      </w:r>
      <w:r w:rsidR="00304D76">
        <w:rPr>
          <w:rFonts w:ascii="Times" w:hAnsi="Times"/>
        </w:rPr>
        <w:t xml:space="preserve">. </w:t>
      </w:r>
      <w:r w:rsidR="005212AD">
        <w:rPr>
          <w:rFonts w:ascii="Times" w:hAnsi="Times"/>
        </w:rPr>
        <w:t xml:space="preserve">Whilst doing so, the Court </w:t>
      </w:r>
      <w:r w:rsidR="003F7730">
        <w:rPr>
          <w:rFonts w:ascii="Times" w:hAnsi="Times"/>
        </w:rPr>
        <w:t xml:space="preserve">argued that </w:t>
      </w:r>
      <w:r w:rsidR="005D7D7A">
        <w:rPr>
          <w:rFonts w:ascii="Times" w:hAnsi="Times"/>
        </w:rPr>
        <w:t>the</w:t>
      </w:r>
      <w:r w:rsidR="0005147A">
        <w:rPr>
          <w:rFonts w:ascii="Times" w:hAnsi="Times"/>
        </w:rPr>
        <w:t xml:space="preserve"> prevention of parallel imports do</w:t>
      </w:r>
      <w:r w:rsidR="00103A51">
        <w:rPr>
          <w:rFonts w:ascii="Times" w:hAnsi="Times"/>
        </w:rPr>
        <w:t>es</w:t>
      </w:r>
      <w:r w:rsidR="0005147A">
        <w:rPr>
          <w:rFonts w:ascii="Times" w:hAnsi="Times"/>
        </w:rPr>
        <w:t xml:space="preserve"> not necessarily </w:t>
      </w:r>
      <w:r w:rsidR="00103A51">
        <w:rPr>
          <w:rFonts w:ascii="Times" w:hAnsi="Times"/>
        </w:rPr>
        <w:t xml:space="preserve">result in detriments to final consumers; thus, </w:t>
      </w:r>
      <w:r w:rsidR="00F13CC6">
        <w:rPr>
          <w:rFonts w:ascii="Times" w:hAnsi="Times"/>
        </w:rPr>
        <w:t xml:space="preserve">it does not constitute </w:t>
      </w:r>
      <w:r w:rsidR="0012418F">
        <w:rPr>
          <w:rFonts w:ascii="Times" w:hAnsi="Times"/>
        </w:rPr>
        <w:t xml:space="preserve">a </w:t>
      </w:r>
      <w:r w:rsidR="00F13CC6">
        <w:rPr>
          <w:rFonts w:ascii="Times" w:hAnsi="Times"/>
        </w:rPr>
        <w:t xml:space="preserve">restriction of competition ‘by object’ in the context of Art.101 TFEU </w:t>
      </w:r>
      <w:r w:rsidR="00103A51">
        <w:rPr>
          <w:rFonts w:ascii="Times" w:hAnsi="Times"/>
        </w:rPr>
        <w:t xml:space="preserve">(Case T-168/01, para.119). </w:t>
      </w:r>
      <w:r w:rsidR="00F13CC6">
        <w:rPr>
          <w:rFonts w:ascii="Times" w:hAnsi="Times"/>
        </w:rPr>
        <w:t>On appeal, the Court of Justice disagreed</w:t>
      </w:r>
      <w:r w:rsidR="000F5FB2">
        <w:rPr>
          <w:rFonts w:ascii="Times" w:hAnsi="Times"/>
        </w:rPr>
        <w:t>: t</w:t>
      </w:r>
      <w:r w:rsidR="0012418F">
        <w:rPr>
          <w:rFonts w:ascii="Times" w:hAnsi="Times"/>
        </w:rPr>
        <w:t>he Court opined</w:t>
      </w:r>
      <w:r w:rsidR="00F13CC6">
        <w:rPr>
          <w:rFonts w:ascii="Times" w:hAnsi="Times"/>
        </w:rPr>
        <w:t xml:space="preserve"> that </w:t>
      </w:r>
      <w:r w:rsidR="00513476">
        <w:rPr>
          <w:rFonts w:ascii="Times" w:hAnsi="Times"/>
        </w:rPr>
        <w:t>‘achieving the integration of national markets through the establishment of a single market’ constitutes an obj</w:t>
      </w:r>
      <w:r w:rsidR="000E5EC3">
        <w:rPr>
          <w:rFonts w:ascii="Times" w:hAnsi="Times"/>
        </w:rPr>
        <w:t>ective of Union competition law,</w:t>
      </w:r>
      <w:r w:rsidR="00513476">
        <w:rPr>
          <w:rFonts w:ascii="Times" w:hAnsi="Times"/>
        </w:rPr>
        <w:t xml:space="preserve"> and that ‘for a finding that an agreement has an anti-competitive object, it is not necessary that final consumers be deprived of the advantages of effective competition in terms of supply or price’ (Cases C-501, 513, 515 &amp; 519/06, paras.61 and 63 respectively). </w:t>
      </w:r>
    </w:p>
    <w:p w14:paraId="616F567E" w14:textId="77777777" w:rsidR="0081513A" w:rsidRDefault="0081513A" w:rsidP="002249E1">
      <w:pPr>
        <w:spacing w:line="480" w:lineRule="auto"/>
        <w:ind w:right="-64"/>
        <w:jc w:val="both"/>
        <w:rPr>
          <w:rFonts w:ascii="Times" w:hAnsi="Times"/>
        </w:rPr>
      </w:pPr>
    </w:p>
    <w:p w14:paraId="7F6DDC3C" w14:textId="29C2EE5C" w:rsidR="00E75EBB" w:rsidRDefault="0091447A" w:rsidP="002249E1">
      <w:pPr>
        <w:spacing w:line="480" w:lineRule="auto"/>
        <w:ind w:right="-64"/>
        <w:jc w:val="both"/>
        <w:rPr>
          <w:rFonts w:ascii="Times" w:hAnsi="Times"/>
        </w:rPr>
      </w:pPr>
      <w:r>
        <w:rPr>
          <w:rFonts w:ascii="Times" w:hAnsi="Times"/>
        </w:rPr>
        <w:t xml:space="preserve">Since then, the Court of Justice </w:t>
      </w:r>
      <w:r w:rsidR="0012418F">
        <w:rPr>
          <w:rFonts w:ascii="Times" w:hAnsi="Times"/>
        </w:rPr>
        <w:t xml:space="preserve">repeated the </w:t>
      </w:r>
      <w:r w:rsidR="003B5C81">
        <w:rPr>
          <w:rFonts w:ascii="Times" w:hAnsi="Times"/>
        </w:rPr>
        <w:t>prominence</w:t>
      </w:r>
      <w:r w:rsidR="0012418F">
        <w:rPr>
          <w:rFonts w:ascii="Times" w:hAnsi="Times"/>
        </w:rPr>
        <w:t xml:space="preserve"> of </w:t>
      </w:r>
      <w:r w:rsidR="006702E1">
        <w:rPr>
          <w:rFonts w:ascii="Times" w:hAnsi="Times"/>
        </w:rPr>
        <w:t xml:space="preserve">the </w:t>
      </w:r>
      <w:r w:rsidR="00530A1D" w:rsidRPr="00964A1C">
        <w:rPr>
          <w:rFonts w:ascii="Times" w:hAnsi="Times"/>
        </w:rPr>
        <w:t>internal</w:t>
      </w:r>
      <w:r w:rsidR="0012418F" w:rsidRPr="00964A1C">
        <w:rPr>
          <w:rFonts w:ascii="Times" w:hAnsi="Times"/>
        </w:rPr>
        <w:t xml:space="preserve"> market</w:t>
      </w:r>
      <w:r w:rsidR="0012418F">
        <w:rPr>
          <w:rFonts w:ascii="Times" w:hAnsi="Times"/>
        </w:rPr>
        <w:t xml:space="preserve"> objective in competition in cases involving </w:t>
      </w:r>
      <w:r w:rsidR="0037014F">
        <w:rPr>
          <w:rFonts w:ascii="Times" w:hAnsi="Times"/>
        </w:rPr>
        <w:t xml:space="preserve">both </w:t>
      </w:r>
      <w:r w:rsidR="0012418F">
        <w:rPr>
          <w:rFonts w:ascii="Times" w:hAnsi="Times"/>
        </w:rPr>
        <w:t xml:space="preserve">Art.101 and 102 </w:t>
      </w:r>
      <w:r w:rsidR="003B6C21">
        <w:rPr>
          <w:rFonts w:ascii="Times" w:hAnsi="Times"/>
        </w:rPr>
        <w:t>TFEU</w:t>
      </w:r>
      <w:r w:rsidR="00893E09">
        <w:rPr>
          <w:rFonts w:ascii="Times" w:hAnsi="Times"/>
        </w:rPr>
        <w:t xml:space="preserve"> </w:t>
      </w:r>
      <w:r w:rsidR="00FE5BB6">
        <w:rPr>
          <w:rFonts w:ascii="Times" w:hAnsi="Times"/>
        </w:rPr>
        <w:t>(</w:t>
      </w:r>
      <w:r w:rsidR="00BA247C">
        <w:rPr>
          <w:rFonts w:ascii="Times" w:hAnsi="Times"/>
        </w:rPr>
        <w:t xml:space="preserve">Cases C-8/08 </w:t>
      </w:r>
      <w:r w:rsidR="00BA247C" w:rsidRPr="00BA247C">
        <w:rPr>
          <w:rFonts w:ascii="Times" w:hAnsi="Times"/>
          <w:i/>
        </w:rPr>
        <w:t>T-Mobile</w:t>
      </w:r>
      <w:r w:rsidR="00BA247C">
        <w:rPr>
          <w:rFonts w:ascii="Times" w:hAnsi="Times"/>
        </w:rPr>
        <w:t xml:space="preserve"> and C-468/06</w:t>
      </w:r>
      <w:r w:rsidR="00893E09">
        <w:rPr>
          <w:rFonts w:ascii="Times" w:hAnsi="Times"/>
        </w:rPr>
        <w:t xml:space="preserve"> </w:t>
      </w:r>
      <w:r w:rsidR="00893E09" w:rsidRPr="00893E09">
        <w:rPr>
          <w:rFonts w:ascii="Times" w:hAnsi="Times"/>
          <w:i/>
        </w:rPr>
        <w:t>Sot. Lelos kai Sia EE</w:t>
      </w:r>
      <w:r w:rsidR="000F5FB2">
        <w:rPr>
          <w:rFonts w:ascii="Times" w:hAnsi="Times"/>
        </w:rPr>
        <w:t>)</w:t>
      </w:r>
      <w:r w:rsidR="00FF7BF7">
        <w:rPr>
          <w:rFonts w:ascii="Times" w:hAnsi="Times"/>
        </w:rPr>
        <w:t xml:space="preserve">. </w:t>
      </w:r>
      <w:r w:rsidR="003D4C50">
        <w:rPr>
          <w:rFonts w:ascii="Times" w:hAnsi="Times"/>
        </w:rPr>
        <w:t xml:space="preserve">This loud </w:t>
      </w:r>
      <w:r w:rsidR="00FB0E11">
        <w:rPr>
          <w:rFonts w:ascii="Times" w:hAnsi="Times"/>
        </w:rPr>
        <w:t>and</w:t>
      </w:r>
      <w:r w:rsidR="003D4C50">
        <w:rPr>
          <w:rFonts w:ascii="Times" w:hAnsi="Times"/>
        </w:rPr>
        <w:t xml:space="preserve"> clear position of the Court of Justice has resulted in the General Court’s amending of its previous position centring on consumer harm in the widely expected </w:t>
      </w:r>
      <w:r w:rsidR="003D4C50" w:rsidRPr="003D4C50">
        <w:rPr>
          <w:rFonts w:ascii="Times" w:hAnsi="Times"/>
          <w:i/>
        </w:rPr>
        <w:t>Intel</w:t>
      </w:r>
      <w:r w:rsidR="003D4C50">
        <w:rPr>
          <w:rFonts w:ascii="Times" w:hAnsi="Times"/>
        </w:rPr>
        <w:t xml:space="preserve"> decision, the first major decision invo</w:t>
      </w:r>
      <w:r w:rsidR="00191A20">
        <w:rPr>
          <w:rFonts w:ascii="Times" w:hAnsi="Times"/>
        </w:rPr>
        <w:t>lving Art.102 after the reforms. T</w:t>
      </w:r>
      <w:r w:rsidR="003D4C50">
        <w:rPr>
          <w:rFonts w:ascii="Times" w:hAnsi="Times"/>
        </w:rPr>
        <w:t xml:space="preserve">he Court stated that </w:t>
      </w:r>
      <w:r w:rsidR="00A765EC">
        <w:rPr>
          <w:rFonts w:ascii="Times" w:hAnsi="Times"/>
        </w:rPr>
        <w:t>the Commission was not required to show ‘direct damage to consumers’ to pr</w:t>
      </w:r>
      <w:r w:rsidR="00D0743C">
        <w:rPr>
          <w:rFonts w:ascii="Times" w:hAnsi="Times"/>
        </w:rPr>
        <w:t>ove a violation of Art.102 TFEU,</w:t>
      </w:r>
      <w:r w:rsidR="00A765EC">
        <w:rPr>
          <w:rFonts w:ascii="Times" w:hAnsi="Times"/>
        </w:rPr>
        <w:t xml:space="preserve"> and that Art.102 aims ‘not only at practices which may cause damage to consumers directly, but also at those which are detrimental to them through their impact on effective competitive structure</w:t>
      </w:r>
      <w:r w:rsidR="00D95AA2">
        <w:rPr>
          <w:rFonts w:ascii="Times" w:hAnsi="Times"/>
        </w:rPr>
        <w:t xml:space="preserve">’ (Case T-286/09, </w:t>
      </w:r>
      <w:r w:rsidR="00D95AA2" w:rsidRPr="00D95AA2">
        <w:rPr>
          <w:rFonts w:ascii="Times" w:hAnsi="Times"/>
          <w:i/>
        </w:rPr>
        <w:t>Intel</w:t>
      </w:r>
      <w:r w:rsidR="00D95AA2">
        <w:rPr>
          <w:rFonts w:ascii="Times" w:hAnsi="Times"/>
        </w:rPr>
        <w:t xml:space="preserve">, para.105). </w:t>
      </w:r>
      <w:r w:rsidR="00A765EC">
        <w:rPr>
          <w:rFonts w:ascii="Times" w:hAnsi="Times"/>
        </w:rPr>
        <w:t xml:space="preserve"> </w:t>
      </w:r>
    </w:p>
    <w:p w14:paraId="5E2BA7E4" w14:textId="77777777" w:rsidR="00E32B3A" w:rsidRDefault="00E32B3A" w:rsidP="002249E1">
      <w:pPr>
        <w:spacing w:line="480" w:lineRule="auto"/>
        <w:ind w:right="-64"/>
        <w:jc w:val="both"/>
        <w:rPr>
          <w:rFonts w:ascii="Times" w:hAnsi="Times"/>
        </w:rPr>
      </w:pPr>
    </w:p>
    <w:p w14:paraId="7D984DFE" w14:textId="6A1C1DB4" w:rsidR="00DB1C89" w:rsidRDefault="00417B5F" w:rsidP="002249E1">
      <w:pPr>
        <w:spacing w:line="480" w:lineRule="auto"/>
        <w:ind w:right="-64"/>
        <w:jc w:val="both"/>
        <w:rPr>
          <w:rFonts w:ascii="Times" w:hAnsi="Times"/>
        </w:rPr>
      </w:pPr>
      <w:r>
        <w:rPr>
          <w:rFonts w:ascii="Times" w:hAnsi="Times"/>
        </w:rPr>
        <w:t>Litigat</w:t>
      </w:r>
      <w:r w:rsidR="00080AA0">
        <w:rPr>
          <w:rFonts w:ascii="Times" w:hAnsi="Times"/>
        </w:rPr>
        <w:t>ion before the Union Courts has</w:t>
      </w:r>
      <w:r>
        <w:rPr>
          <w:rFonts w:ascii="Times" w:hAnsi="Times"/>
        </w:rPr>
        <w:t xml:space="preserve"> only limited </w:t>
      </w:r>
      <w:r w:rsidR="00254AD9">
        <w:rPr>
          <w:rFonts w:ascii="Times" w:hAnsi="Times"/>
        </w:rPr>
        <w:t xml:space="preserve">deliberative quality: </w:t>
      </w:r>
      <w:r w:rsidR="00D42190">
        <w:rPr>
          <w:rFonts w:ascii="Times" w:hAnsi="Times"/>
        </w:rPr>
        <w:t>individual judges do not write dissen</w:t>
      </w:r>
      <w:r w:rsidR="00FA092B">
        <w:rPr>
          <w:rFonts w:ascii="Times" w:hAnsi="Times"/>
        </w:rPr>
        <w:t>ting and concurring opinions,</w:t>
      </w:r>
      <w:r w:rsidR="0025622F">
        <w:rPr>
          <w:rFonts w:ascii="Times" w:hAnsi="Times"/>
        </w:rPr>
        <w:t xml:space="preserve"> and </w:t>
      </w:r>
      <w:r w:rsidR="001D4002">
        <w:rPr>
          <w:rFonts w:ascii="Times" w:hAnsi="Times"/>
        </w:rPr>
        <w:t>judicial deliberations</w:t>
      </w:r>
      <w:r w:rsidR="0025622F">
        <w:rPr>
          <w:rFonts w:ascii="Times" w:hAnsi="Times"/>
        </w:rPr>
        <w:t xml:space="preserve"> are held </w:t>
      </w:r>
      <w:r w:rsidR="0025622F" w:rsidRPr="0025622F">
        <w:rPr>
          <w:rFonts w:ascii="Times" w:hAnsi="Times"/>
          <w:i/>
        </w:rPr>
        <w:t>in camera</w:t>
      </w:r>
      <w:r w:rsidR="00D42190">
        <w:rPr>
          <w:rFonts w:ascii="Times" w:hAnsi="Times"/>
        </w:rPr>
        <w:t xml:space="preserve"> </w:t>
      </w:r>
      <w:r w:rsidR="0025622F">
        <w:rPr>
          <w:rFonts w:ascii="Times" w:hAnsi="Times"/>
        </w:rPr>
        <w:t xml:space="preserve">and cannot be published. Nevertheless, as accountability forums with </w:t>
      </w:r>
      <w:r w:rsidR="009A27C2">
        <w:rPr>
          <w:rFonts w:ascii="Times" w:hAnsi="Times"/>
        </w:rPr>
        <w:t xml:space="preserve">the task of protecting the rule of law (Art.19 TEU), the Courts play a substantial role in the legitimacy of policy choices. The aforementioned </w:t>
      </w:r>
      <w:r w:rsidR="00466E05">
        <w:rPr>
          <w:rFonts w:ascii="Times" w:hAnsi="Times"/>
        </w:rPr>
        <w:t xml:space="preserve">analysis shows that the Court of Justice </w:t>
      </w:r>
      <w:r w:rsidR="00C06A12">
        <w:rPr>
          <w:rFonts w:ascii="Times" w:hAnsi="Times"/>
        </w:rPr>
        <w:t xml:space="preserve">in particular </w:t>
      </w:r>
      <w:r w:rsidR="00246957">
        <w:rPr>
          <w:rFonts w:ascii="Times" w:hAnsi="Times"/>
        </w:rPr>
        <w:t>continues</w:t>
      </w:r>
      <w:r w:rsidR="00C06A12">
        <w:rPr>
          <w:rFonts w:ascii="Times" w:hAnsi="Times"/>
        </w:rPr>
        <w:t xml:space="preserve"> to perceive</w:t>
      </w:r>
      <w:r w:rsidR="00201370">
        <w:rPr>
          <w:rFonts w:ascii="Times" w:hAnsi="Times"/>
        </w:rPr>
        <w:t xml:space="preserve"> the </w:t>
      </w:r>
      <w:r w:rsidR="007418EC" w:rsidRPr="00964A1C">
        <w:rPr>
          <w:rFonts w:ascii="Times" w:hAnsi="Times"/>
        </w:rPr>
        <w:t>internal</w:t>
      </w:r>
      <w:r w:rsidR="00201370" w:rsidRPr="00964A1C">
        <w:rPr>
          <w:rFonts w:ascii="Times" w:hAnsi="Times"/>
        </w:rPr>
        <w:t xml:space="preserve"> market</w:t>
      </w:r>
      <w:r w:rsidR="00201370">
        <w:rPr>
          <w:rFonts w:ascii="Times" w:hAnsi="Times"/>
        </w:rPr>
        <w:t xml:space="preserve"> </w:t>
      </w:r>
      <w:r w:rsidR="0063461C">
        <w:rPr>
          <w:rFonts w:ascii="Times" w:hAnsi="Times"/>
        </w:rPr>
        <w:t>as</w:t>
      </w:r>
      <w:r w:rsidR="00201370">
        <w:rPr>
          <w:rFonts w:ascii="Times" w:hAnsi="Times"/>
        </w:rPr>
        <w:t xml:space="preserve"> a valid policy objective for competition law. </w:t>
      </w:r>
    </w:p>
    <w:p w14:paraId="653F22CC" w14:textId="77777777" w:rsidR="00FB557D" w:rsidRDefault="00FB557D" w:rsidP="002249E1">
      <w:pPr>
        <w:spacing w:line="480" w:lineRule="auto"/>
        <w:ind w:right="-64"/>
        <w:jc w:val="both"/>
        <w:rPr>
          <w:rFonts w:ascii="Times" w:hAnsi="Times"/>
        </w:rPr>
      </w:pPr>
    </w:p>
    <w:p w14:paraId="4226D024" w14:textId="12FE5D4B" w:rsidR="00FB557D" w:rsidRDefault="00485103" w:rsidP="002249E1">
      <w:pPr>
        <w:spacing w:line="480" w:lineRule="auto"/>
        <w:ind w:right="-64"/>
        <w:jc w:val="both"/>
        <w:rPr>
          <w:rFonts w:ascii="Times" w:hAnsi="Times"/>
        </w:rPr>
      </w:pPr>
      <w:r w:rsidRPr="00964A1C">
        <w:rPr>
          <w:rFonts w:ascii="Times" w:hAnsi="Times"/>
        </w:rPr>
        <w:t>In summary, t</w:t>
      </w:r>
      <w:r w:rsidR="004E0B8B" w:rsidRPr="00964A1C">
        <w:rPr>
          <w:rFonts w:ascii="Times" w:hAnsi="Times"/>
        </w:rPr>
        <w:t>he European Parliament, the only directly elected institution by citizens</w:t>
      </w:r>
      <w:r w:rsidRPr="00964A1C">
        <w:rPr>
          <w:rFonts w:ascii="Times" w:hAnsi="Times"/>
        </w:rPr>
        <w:t>,</w:t>
      </w:r>
      <w:r w:rsidR="004E0B8B" w:rsidRPr="00964A1C">
        <w:rPr>
          <w:rFonts w:ascii="Times" w:hAnsi="Times"/>
        </w:rPr>
        <w:t xml:space="preserve"> and other deliberative forums played limited roles </w:t>
      </w:r>
      <w:r w:rsidRPr="00964A1C">
        <w:rPr>
          <w:rFonts w:ascii="Times" w:hAnsi="Times"/>
        </w:rPr>
        <w:t xml:space="preserve">in the reform process. Whilst consumers and businesses voiced at times opposing concerns in the process, the reform process did not connect with citizens as the demos. Thus, </w:t>
      </w:r>
      <w:r w:rsidR="005C1FCA" w:rsidRPr="00964A1C">
        <w:rPr>
          <w:rFonts w:ascii="Times" w:hAnsi="Times"/>
        </w:rPr>
        <w:t xml:space="preserve">the reform process’s </w:t>
      </w:r>
      <w:r w:rsidR="009746D1" w:rsidRPr="00964A1C">
        <w:rPr>
          <w:rFonts w:ascii="Times" w:hAnsi="Times"/>
        </w:rPr>
        <w:t>procedural</w:t>
      </w:r>
      <w:r w:rsidRPr="00964A1C">
        <w:rPr>
          <w:rFonts w:ascii="Times" w:hAnsi="Times"/>
        </w:rPr>
        <w:t xml:space="preserve"> legitimacy </w:t>
      </w:r>
      <w:r w:rsidR="00852BDF" w:rsidRPr="00964A1C">
        <w:rPr>
          <w:rFonts w:ascii="Times" w:hAnsi="Times"/>
        </w:rPr>
        <w:t xml:space="preserve">is questionable </w:t>
      </w:r>
      <w:r w:rsidRPr="00964A1C">
        <w:rPr>
          <w:rFonts w:ascii="Times" w:hAnsi="Times"/>
        </w:rPr>
        <w:t xml:space="preserve">in the light of </w:t>
      </w:r>
      <w:r w:rsidR="005C1FCA" w:rsidRPr="00964A1C">
        <w:rPr>
          <w:rFonts w:ascii="Times" w:hAnsi="Times"/>
        </w:rPr>
        <w:t>liberal, republican and delib</w:t>
      </w:r>
      <w:r w:rsidR="00D759FD" w:rsidRPr="00964A1C">
        <w:rPr>
          <w:rFonts w:ascii="Times" w:hAnsi="Times"/>
        </w:rPr>
        <w:t>erative models.</w:t>
      </w:r>
      <w:r w:rsidR="00D759FD">
        <w:rPr>
          <w:rFonts w:ascii="Times" w:hAnsi="Times"/>
        </w:rPr>
        <w:t xml:space="preserve"> </w:t>
      </w:r>
      <w:r w:rsidR="007E418A">
        <w:rPr>
          <w:rFonts w:ascii="Times" w:hAnsi="Times"/>
        </w:rPr>
        <w:t xml:space="preserve">European </w:t>
      </w:r>
      <w:r w:rsidR="00FB557D">
        <w:rPr>
          <w:rFonts w:ascii="Times" w:hAnsi="Times"/>
        </w:rPr>
        <w:t xml:space="preserve">Parliament’s and consumer organisations’ limited role </w:t>
      </w:r>
      <w:r w:rsidR="00DD5372">
        <w:rPr>
          <w:rFonts w:ascii="Times" w:hAnsi="Times"/>
        </w:rPr>
        <w:t xml:space="preserve">in the process </w:t>
      </w:r>
      <w:r w:rsidR="009746D1">
        <w:rPr>
          <w:rFonts w:ascii="Times" w:hAnsi="Times"/>
        </w:rPr>
        <w:t xml:space="preserve">is not surprising. </w:t>
      </w:r>
      <w:r w:rsidR="00DD5372">
        <w:rPr>
          <w:rFonts w:ascii="Times" w:hAnsi="Times"/>
        </w:rPr>
        <w:t>Neither is a veto player in competition policy,</w:t>
      </w:r>
      <w:r w:rsidR="00781AEE">
        <w:rPr>
          <w:rFonts w:ascii="Times" w:hAnsi="Times"/>
        </w:rPr>
        <w:t xml:space="preserve"> as t</w:t>
      </w:r>
      <w:r w:rsidR="00FB557D">
        <w:rPr>
          <w:rFonts w:ascii="Times" w:hAnsi="Times"/>
        </w:rPr>
        <w:t xml:space="preserve">he former does not enjoy strong enough </w:t>
      </w:r>
      <w:r w:rsidR="001E27DE">
        <w:rPr>
          <w:rFonts w:ascii="Times" w:hAnsi="Times"/>
        </w:rPr>
        <w:t>legislative</w:t>
      </w:r>
      <w:r w:rsidR="00FB557D">
        <w:rPr>
          <w:rFonts w:ascii="Times" w:hAnsi="Times"/>
        </w:rPr>
        <w:t xml:space="preserve"> powers and the latter does not enjoy strong enough resources. The same, however, is not true for the Union Courts</w:t>
      </w:r>
      <w:r w:rsidR="009746D1">
        <w:rPr>
          <w:rFonts w:ascii="Times" w:hAnsi="Times"/>
        </w:rPr>
        <w:t>,</w:t>
      </w:r>
      <w:r w:rsidR="00FB557D">
        <w:rPr>
          <w:rFonts w:ascii="Times" w:hAnsi="Times"/>
        </w:rPr>
        <w:t xml:space="preserve"> </w:t>
      </w:r>
      <w:r w:rsidR="0058761A">
        <w:rPr>
          <w:rFonts w:ascii="Times" w:hAnsi="Times"/>
        </w:rPr>
        <w:t>which</w:t>
      </w:r>
      <w:r w:rsidR="00FB557D">
        <w:rPr>
          <w:rFonts w:ascii="Times" w:hAnsi="Times"/>
        </w:rPr>
        <w:t xml:space="preserve"> enjoy strong judicial review powers as accountability forums. The exclusion of discourses provided by them </w:t>
      </w:r>
      <w:r w:rsidR="00FD4C8A">
        <w:rPr>
          <w:rFonts w:ascii="Times" w:hAnsi="Times"/>
        </w:rPr>
        <w:t xml:space="preserve">from the process </w:t>
      </w:r>
      <w:r w:rsidR="00FB557D">
        <w:rPr>
          <w:rFonts w:ascii="Times" w:hAnsi="Times"/>
        </w:rPr>
        <w:t>does not only result in questionable procedural legitimacy, but it also might render the reformed rules inapplicable if the Courts continue to disagree with them.</w:t>
      </w:r>
    </w:p>
    <w:p w14:paraId="23BFCF17" w14:textId="77777777" w:rsidR="0063764B" w:rsidRDefault="0063764B" w:rsidP="002249E1">
      <w:pPr>
        <w:spacing w:line="480" w:lineRule="auto"/>
        <w:ind w:right="-64"/>
        <w:jc w:val="both"/>
        <w:rPr>
          <w:rFonts w:ascii="Times" w:hAnsi="Times"/>
        </w:rPr>
      </w:pPr>
    </w:p>
    <w:p w14:paraId="7BBB17E1" w14:textId="44E0E416" w:rsidR="00D019AB" w:rsidRPr="000D7960" w:rsidRDefault="00D019AB" w:rsidP="002249E1">
      <w:pPr>
        <w:spacing w:line="480" w:lineRule="auto"/>
        <w:jc w:val="both"/>
        <w:rPr>
          <w:rFonts w:ascii="Times" w:hAnsi="Times"/>
          <w:b/>
        </w:rPr>
      </w:pPr>
      <w:r>
        <w:rPr>
          <w:rFonts w:ascii="Times" w:hAnsi="Times"/>
          <w:b/>
        </w:rPr>
        <w:t>The moral legitimacy of reforms</w:t>
      </w:r>
    </w:p>
    <w:p w14:paraId="22385BEA" w14:textId="6C01C78A" w:rsidR="00625AF8" w:rsidRDefault="00A34B7C" w:rsidP="002249E1">
      <w:pPr>
        <w:spacing w:line="480" w:lineRule="auto"/>
        <w:jc w:val="both"/>
        <w:rPr>
          <w:rFonts w:ascii="Times" w:hAnsi="Times"/>
        </w:rPr>
      </w:pPr>
      <w:r w:rsidRPr="00964A1C">
        <w:rPr>
          <w:rFonts w:ascii="Times" w:hAnsi="Times"/>
        </w:rPr>
        <w:t>Policies</w:t>
      </w:r>
      <w:r w:rsidR="00EE053F" w:rsidRPr="00964A1C">
        <w:rPr>
          <w:rFonts w:ascii="Times" w:hAnsi="Times"/>
        </w:rPr>
        <w:t>’</w:t>
      </w:r>
      <w:r w:rsidRPr="00964A1C">
        <w:rPr>
          <w:rFonts w:ascii="Times" w:hAnsi="Times"/>
        </w:rPr>
        <w:t xml:space="preserve"> resonance with the public interest constitutes the main criterion for their moral legitimacy</w:t>
      </w:r>
      <w:r>
        <w:rPr>
          <w:rFonts w:ascii="Times" w:hAnsi="Times"/>
        </w:rPr>
        <w:t xml:space="preserve"> </w:t>
      </w:r>
      <w:r w:rsidR="00D019AB">
        <w:rPr>
          <w:rFonts w:ascii="Times" w:hAnsi="Times"/>
        </w:rPr>
        <w:t xml:space="preserve">(Beetham 1991, p.59). </w:t>
      </w:r>
      <w:r w:rsidR="00660CF2">
        <w:rPr>
          <w:rFonts w:ascii="Times" w:hAnsi="Times"/>
        </w:rPr>
        <w:t>Thus, the reforms</w:t>
      </w:r>
      <w:r w:rsidR="00273847">
        <w:rPr>
          <w:rFonts w:ascii="Times" w:hAnsi="Times"/>
        </w:rPr>
        <w:t>’</w:t>
      </w:r>
      <w:r w:rsidR="00660CF2">
        <w:rPr>
          <w:rFonts w:ascii="Times" w:hAnsi="Times"/>
        </w:rPr>
        <w:t xml:space="preserve"> moral (il)legitimacy can only be established through an exhaustive discussion of the resonance of </w:t>
      </w:r>
      <w:r w:rsidR="00D019AB">
        <w:rPr>
          <w:rFonts w:ascii="Times" w:hAnsi="Times"/>
        </w:rPr>
        <w:t xml:space="preserve">efficiency as a policy objective with public interest. Such analysis is beyond the scope of this article. </w:t>
      </w:r>
      <w:r w:rsidR="008207A2">
        <w:rPr>
          <w:rFonts w:ascii="Times" w:hAnsi="Times"/>
        </w:rPr>
        <w:t>I</w:t>
      </w:r>
      <w:r w:rsidR="005F3A5B">
        <w:rPr>
          <w:rFonts w:ascii="Times" w:hAnsi="Times"/>
        </w:rPr>
        <w:t xml:space="preserve">t </w:t>
      </w:r>
      <w:r w:rsidR="008207A2">
        <w:rPr>
          <w:rFonts w:ascii="Times" w:hAnsi="Times"/>
        </w:rPr>
        <w:t>is</w:t>
      </w:r>
      <w:r w:rsidR="005F3A5B">
        <w:rPr>
          <w:rFonts w:ascii="Times" w:hAnsi="Times"/>
        </w:rPr>
        <w:t xml:space="preserve"> argued </w:t>
      </w:r>
      <w:r w:rsidR="0043269A">
        <w:rPr>
          <w:rFonts w:ascii="Times" w:hAnsi="Times"/>
        </w:rPr>
        <w:t xml:space="preserve">here </w:t>
      </w:r>
      <w:r w:rsidR="005F3A5B">
        <w:rPr>
          <w:rFonts w:ascii="Times" w:hAnsi="Times"/>
        </w:rPr>
        <w:t xml:space="preserve">that </w:t>
      </w:r>
      <w:r w:rsidR="00625AF8">
        <w:rPr>
          <w:rFonts w:ascii="Times" w:hAnsi="Times"/>
        </w:rPr>
        <w:t xml:space="preserve">the moral legitimacy of reforms can be questioned for a number of serious reasons both exogenous and endogenous to the reform process. </w:t>
      </w:r>
    </w:p>
    <w:p w14:paraId="42F11BC6" w14:textId="77777777" w:rsidR="00A34B7C" w:rsidRDefault="00A34B7C" w:rsidP="002249E1">
      <w:pPr>
        <w:spacing w:line="480" w:lineRule="auto"/>
        <w:jc w:val="both"/>
        <w:rPr>
          <w:rFonts w:ascii="Times" w:hAnsi="Times"/>
        </w:rPr>
      </w:pPr>
    </w:p>
    <w:p w14:paraId="0ACA77E3" w14:textId="36FA6A49" w:rsidR="00D019AB" w:rsidRDefault="00A34B7C" w:rsidP="002249E1">
      <w:pPr>
        <w:spacing w:line="480" w:lineRule="auto"/>
        <w:jc w:val="both"/>
        <w:rPr>
          <w:rFonts w:ascii="Times" w:hAnsi="Times"/>
        </w:rPr>
      </w:pPr>
      <w:r w:rsidRPr="00964A1C">
        <w:rPr>
          <w:rFonts w:ascii="Times" w:hAnsi="Times"/>
        </w:rPr>
        <w:t xml:space="preserve">Firstly, whilst claiming that </w:t>
      </w:r>
      <w:r w:rsidR="00A44D91" w:rsidRPr="00964A1C">
        <w:rPr>
          <w:rFonts w:ascii="Times" w:hAnsi="Times"/>
        </w:rPr>
        <w:t>the competitive process creates efficiency; thus, it resonates with the public interest, competition law and economics scholarship takes a reductionist approach</w:t>
      </w:r>
      <w:r w:rsidR="00914DDE" w:rsidRPr="00964A1C">
        <w:rPr>
          <w:rFonts w:ascii="Times" w:hAnsi="Times"/>
        </w:rPr>
        <w:t>,</w:t>
      </w:r>
      <w:r w:rsidR="00A44D91" w:rsidRPr="00964A1C">
        <w:rPr>
          <w:rFonts w:ascii="Times" w:hAnsi="Times"/>
        </w:rPr>
        <w:t xml:space="preserve"> and </w:t>
      </w:r>
      <w:r w:rsidR="00914DDE" w:rsidRPr="00964A1C">
        <w:rPr>
          <w:rFonts w:ascii="Times" w:hAnsi="Times"/>
        </w:rPr>
        <w:t xml:space="preserve">it </w:t>
      </w:r>
      <w:r w:rsidR="00A44D91" w:rsidRPr="00964A1C">
        <w:rPr>
          <w:rFonts w:ascii="Times" w:hAnsi="Times"/>
        </w:rPr>
        <w:t xml:space="preserve">does not investigate how competition affects citizens when they do not act as </w:t>
      </w:r>
      <w:r w:rsidR="00974C80" w:rsidRPr="00964A1C">
        <w:rPr>
          <w:rFonts w:ascii="Times" w:hAnsi="Times"/>
        </w:rPr>
        <w:t>‘</w:t>
      </w:r>
      <w:r w:rsidR="00A44D91" w:rsidRPr="00964A1C">
        <w:rPr>
          <w:rFonts w:ascii="Times" w:hAnsi="Times"/>
        </w:rPr>
        <w:t>consumers</w:t>
      </w:r>
      <w:r w:rsidR="00974C80" w:rsidRPr="00964A1C">
        <w:rPr>
          <w:rFonts w:ascii="Times" w:hAnsi="Times"/>
        </w:rPr>
        <w:t>’</w:t>
      </w:r>
      <w:r w:rsidR="00A44D91" w:rsidRPr="00964A1C">
        <w:rPr>
          <w:rFonts w:ascii="Times" w:hAnsi="Times"/>
        </w:rPr>
        <w:t>.</w:t>
      </w:r>
      <w:r w:rsidR="00553B3F">
        <w:rPr>
          <w:rFonts w:ascii="Times" w:hAnsi="Times"/>
        </w:rPr>
        <w:t xml:space="preserve"> In neo-classical</w:t>
      </w:r>
      <w:r w:rsidR="00A44D91">
        <w:rPr>
          <w:rFonts w:ascii="Times" w:hAnsi="Times"/>
        </w:rPr>
        <w:t xml:space="preserve"> </w:t>
      </w:r>
      <w:r w:rsidR="00553B3F">
        <w:rPr>
          <w:rFonts w:ascii="Times" w:hAnsi="Times"/>
        </w:rPr>
        <w:t>economics m</w:t>
      </w:r>
      <w:r w:rsidR="00D019AB">
        <w:rPr>
          <w:rFonts w:ascii="Times" w:hAnsi="Times"/>
        </w:rPr>
        <w:t xml:space="preserve">arket is perceived as an equalising place in which producers and consumers participate and interact freely pursuing their independent economic interests whilst creating wealth for the entire society. Specifically, </w:t>
      </w:r>
      <w:r w:rsidR="00840C3E">
        <w:rPr>
          <w:rFonts w:ascii="Times" w:hAnsi="Times"/>
        </w:rPr>
        <w:t xml:space="preserve">the </w:t>
      </w:r>
      <w:r w:rsidR="00D019AB">
        <w:rPr>
          <w:rFonts w:ascii="Times" w:hAnsi="Times"/>
        </w:rPr>
        <w:t xml:space="preserve">competition law and economics literature argues that a competition law regime that prohibits inefficient behaviour; and that refrains from interfering with the dynamics of liberal markets contributes to the creation of wealth </w:t>
      </w:r>
      <w:r w:rsidR="00460622">
        <w:rPr>
          <w:rFonts w:ascii="Times" w:hAnsi="Times"/>
        </w:rPr>
        <w:t xml:space="preserve">that is passed on to consumers </w:t>
      </w:r>
      <w:r w:rsidR="00D019AB">
        <w:rPr>
          <w:rFonts w:ascii="Times" w:hAnsi="Times"/>
        </w:rPr>
        <w:t xml:space="preserve">benefiting </w:t>
      </w:r>
      <w:r w:rsidR="005A5773">
        <w:rPr>
          <w:rFonts w:ascii="Times" w:hAnsi="Times"/>
        </w:rPr>
        <w:t xml:space="preserve">the </w:t>
      </w:r>
      <w:r w:rsidR="00D019AB">
        <w:rPr>
          <w:rFonts w:ascii="Times" w:hAnsi="Times"/>
        </w:rPr>
        <w:t>entire society</w:t>
      </w:r>
      <w:r w:rsidR="00460622">
        <w:rPr>
          <w:rFonts w:ascii="Times" w:hAnsi="Times"/>
        </w:rPr>
        <w:t xml:space="preserve"> in the end</w:t>
      </w:r>
      <w:r w:rsidR="00D019AB">
        <w:rPr>
          <w:rFonts w:ascii="Times" w:hAnsi="Times"/>
        </w:rPr>
        <w:t xml:space="preserve"> (Motta, 2005, p.18). </w:t>
      </w:r>
      <w:r w:rsidR="00974C80" w:rsidRPr="00964A1C">
        <w:rPr>
          <w:rFonts w:ascii="Times" w:hAnsi="Times"/>
        </w:rPr>
        <w:t xml:space="preserve">Nevertheless, </w:t>
      </w:r>
      <w:r w:rsidR="00D019AB" w:rsidRPr="00964A1C">
        <w:rPr>
          <w:rFonts w:ascii="Times" w:hAnsi="Times"/>
        </w:rPr>
        <w:t>competition is a social construct that takes place in a social and political context. Particularly, competition is likely to affect individuals differently depending on their physical and social location, income and class. For instance, many consumers, who are also workers, might face lower income; thus, lower spending power, as a result of intense competitive pressure</w:t>
      </w:r>
      <w:r w:rsidR="001C04C8" w:rsidRPr="00964A1C">
        <w:rPr>
          <w:rFonts w:ascii="Times" w:hAnsi="Times"/>
        </w:rPr>
        <w:t>s</w:t>
      </w:r>
      <w:r w:rsidR="00D019AB" w:rsidRPr="00964A1C">
        <w:rPr>
          <w:rFonts w:ascii="Times" w:hAnsi="Times"/>
        </w:rPr>
        <w:t xml:space="preserve"> facing producers</w:t>
      </w:r>
      <w:r w:rsidR="00D019AB">
        <w:rPr>
          <w:rFonts w:ascii="Times" w:hAnsi="Times"/>
        </w:rPr>
        <w:t xml:space="preserve"> (Buch-Hansen and Wigger, 2011, p.108). </w:t>
      </w:r>
      <w:r w:rsidR="00F21A90" w:rsidRPr="00964A1C">
        <w:rPr>
          <w:rFonts w:ascii="Times" w:hAnsi="Times"/>
        </w:rPr>
        <w:t xml:space="preserve">Law and economics scholarship </w:t>
      </w:r>
      <w:r w:rsidR="00097E05" w:rsidRPr="00964A1C">
        <w:rPr>
          <w:rFonts w:ascii="Times" w:hAnsi="Times"/>
        </w:rPr>
        <w:t xml:space="preserve">limits its analysis to dynamic and productive efficiency leaving </w:t>
      </w:r>
      <w:r w:rsidR="004E027C" w:rsidRPr="00964A1C">
        <w:rPr>
          <w:rFonts w:ascii="Times" w:hAnsi="Times"/>
        </w:rPr>
        <w:t>questions of allocative efficiency (</w:t>
      </w:r>
      <w:r w:rsidR="00160952" w:rsidRPr="00964A1C">
        <w:rPr>
          <w:rFonts w:ascii="Times" w:hAnsi="Times"/>
        </w:rPr>
        <w:t>i.e.</w:t>
      </w:r>
      <w:r w:rsidR="004E027C" w:rsidRPr="00964A1C">
        <w:rPr>
          <w:rFonts w:ascii="Times" w:hAnsi="Times"/>
        </w:rPr>
        <w:t xml:space="preserve"> distributive effects of economic activities</w:t>
      </w:r>
      <w:r w:rsidR="00160952" w:rsidRPr="00964A1C">
        <w:rPr>
          <w:rFonts w:ascii="Times" w:hAnsi="Times"/>
        </w:rPr>
        <w:t xml:space="preserve">) </w:t>
      </w:r>
      <w:r w:rsidR="00BA3062" w:rsidRPr="00964A1C">
        <w:rPr>
          <w:rFonts w:ascii="Times" w:hAnsi="Times"/>
        </w:rPr>
        <w:t xml:space="preserve">aside </w:t>
      </w:r>
      <w:r w:rsidR="00160952" w:rsidRPr="00964A1C">
        <w:rPr>
          <w:rFonts w:ascii="Times" w:hAnsi="Times"/>
        </w:rPr>
        <w:t>with the argument that</w:t>
      </w:r>
      <w:r w:rsidR="004E027C" w:rsidRPr="00964A1C">
        <w:rPr>
          <w:rFonts w:ascii="Times" w:hAnsi="Times"/>
        </w:rPr>
        <w:t xml:space="preserve"> </w:t>
      </w:r>
      <w:r w:rsidR="00136BB5" w:rsidRPr="00964A1C">
        <w:rPr>
          <w:rFonts w:ascii="Times" w:hAnsi="Times"/>
        </w:rPr>
        <w:t>redistributive tax and income policies are better placed to address those questions</w:t>
      </w:r>
      <w:r w:rsidR="00D019AB" w:rsidRPr="00964A1C">
        <w:rPr>
          <w:rFonts w:ascii="Times" w:hAnsi="Times"/>
        </w:rPr>
        <w:t xml:space="preserve"> (</w:t>
      </w:r>
      <w:r w:rsidR="00D3789B" w:rsidRPr="00964A1C">
        <w:rPr>
          <w:rFonts w:ascii="Times" w:hAnsi="Times"/>
        </w:rPr>
        <w:t xml:space="preserve">see </w:t>
      </w:r>
      <w:r w:rsidR="00D019AB" w:rsidRPr="00964A1C">
        <w:rPr>
          <w:rFonts w:ascii="Times" w:hAnsi="Times"/>
        </w:rPr>
        <w:t>Friedman, 2000, p.24).</w:t>
      </w:r>
      <w:r w:rsidR="00D019AB">
        <w:rPr>
          <w:rFonts w:ascii="Times" w:hAnsi="Times"/>
        </w:rPr>
        <w:t xml:space="preserve">  </w:t>
      </w:r>
    </w:p>
    <w:p w14:paraId="534F17DD" w14:textId="77777777" w:rsidR="00BF6FE8" w:rsidRDefault="00BF6FE8" w:rsidP="002249E1">
      <w:pPr>
        <w:spacing w:line="480" w:lineRule="auto"/>
        <w:jc w:val="both"/>
        <w:rPr>
          <w:rFonts w:ascii="Times" w:hAnsi="Times"/>
        </w:rPr>
      </w:pPr>
    </w:p>
    <w:p w14:paraId="088E6332" w14:textId="0ABFAF32" w:rsidR="000833D9" w:rsidRPr="00964A1C" w:rsidRDefault="0036238B" w:rsidP="002249E1">
      <w:pPr>
        <w:spacing w:line="480" w:lineRule="auto"/>
        <w:jc w:val="both"/>
        <w:rPr>
          <w:rFonts w:ascii="Times" w:hAnsi="Times"/>
        </w:rPr>
      </w:pPr>
      <w:r w:rsidRPr="00964A1C">
        <w:rPr>
          <w:rFonts w:ascii="Times" w:hAnsi="Times"/>
        </w:rPr>
        <w:t xml:space="preserve">Secondly, </w:t>
      </w:r>
      <w:r w:rsidR="002B33CD" w:rsidRPr="00964A1C">
        <w:rPr>
          <w:rFonts w:ascii="Times" w:hAnsi="Times"/>
        </w:rPr>
        <w:t>it is argued that t</w:t>
      </w:r>
      <w:r w:rsidR="00D019AB" w:rsidRPr="00964A1C">
        <w:rPr>
          <w:rFonts w:ascii="Times" w:hAnsi="Times"/>
        </w:rPr>
        <w:t>he removal of economic borders for businesses, but not for diff</w:t>
      </w:r>
      <w:r w:rsidR="00E1608D" w:rsidRPr="00964A1C">
        <w:rPr>
          <w:rFonts w:ascii="Times" w:hAnsi="Times"/>
        </w:rPr>
        <w:t>use citizen groups result</w:t>
      </w:r>
      <w:r w:rsidR="007C6FC3" w:rsidRPr="00964A1C">
        <w:rPr>
          <w:rFonts w:ascii="Times" w:hAnsi="Times"/>
        </w:rPr>
        <w:t>s</w:t>
      </w:r>
      <w:r w:rsidR="00D019AB" w:rsidRPr="00964A1C">
        <w:rPr>
          <w:rFonts w:ascii="Times" w:hAnsi="Times"/>
        </w:rPr>
        <w:t xml:space="preserve"> in oligopolistic markets that are subject to </w:t>
      </w:r>
      <w:r w:rsidR="00D019AB" w:rsidRPr="00964A1C">
        <w:rPr>
          <w:rFonts w:ascii="Times" w:hAnsi="Times"/>
          <w:i/>
        </w:rPr>
        <w:t>pseudocompetition</w:t>
      </w:r>
      <w:r w:rsidR="00D019AB" w:rsidRPr="00964A1C">
        <w:rPr>
          <w:rFonts w:ascii="Times" w:hAnsi="Times"/>
        </w:rPr>
        <w:t xml:space="preserve"> and rent-seeking (Cerny, 2014a, </w:t>
      </w:r>
      <w:r w:rsidR="00BD5B7A" w:rsidRPr="00964A1C">
        <w:rPr>
          <w:rFonts w:ascii="Times" w:hAnsi="Times"/>
        </w:rPr>
        <w:t>p.</w:t>
      </w:r>
      <w:r w:rsidR="00D019AB" w:rsidRPr="00964A1C">
        <w:rPr>
          <w:rFonts w:ascii="Times" w:hAnsi="Times"/>
        </w:rPr>
        <w:t xml:space="preserve">357). </w:t>
      </w:r>
      <w:r w:rsidR="00BF63BC" w:rsidRPr="00964A1C">
        <w:rPr>
          <w:rFonts w:ascii="Times" w:hAnsi="Times"/>
        </w:rPr>
        <w:t>Empirical evidence shows that oligopolies pose a significant yet covert threat to citizen welfare in liberal markets</w:t>
      </w:r>
      <w:r w:rsidR="00CF6E17" w:rsidRPr="00964A1C">
        <w:rPr>
          <w:rFonts w:ascii="Times" w:hAnsi="Times"/>
        </w:rPr>
        <w:t xml:space="preserve"> (See e.g. Griffith et. al. 2015)</w:t>
      </w:r>
      <w:r w:rsidR="00BF63BC" w:rsidRPr="00964A1C">
        <w:rPr>
          <w:rFonts w:ascii="Times" w:hAnsi="Times"/>
        </w:rPr>
        <w:t>. Yet, c</w:t>
      </w:r>
      <w:r w:rsidR="001F7879" w:rsidRPr="00964A1C">
        <w:rPr>
          <w:rFonts w:ascii="Times" w:hAnsi="Times"/>
        </w:rPr>
        <w:t xml:space="preserve">ompetition rules cannot offer a </w:t>
      </w:r>
      <w:r w:rsidR="00BF63BC" w:rsidRPr="00964A1C">
        <w:rPr>
          <w:rFonts w:ascii="Times" w:hAnsi="Times"/>
        </w:rPr>
        <w:t xml:space="preserve">credible </w:t>
      </w:r>
      <w:r w:rsidR="001F7879" w:rsidRPr="00964A1C">
        <w:rPr>
          <w:rFonts w:ascii="Times" w:hAnsi="Times"/>
        </w:rPr>
        <w:t xml:space="preserve">solution to oligopolies, </w:t>
      </w:r>
      <w:r w:rsidR="00AD6477" w:rsidRPr="00964A1C">
        <w:rPr>
          <w:rFonts w:ascii="Times" w:hAnsi="Times"/>
        </w:rPr>
        <w:t>because oligopolists, who relax competition whilst adapting ‘themselves intelligently to the existing and anticipated conduct of their competitors’</w:t>
      </w:r>
      <w:r w:rsidR="00A9085A" w:rsidRPr="00964A1C">
        <w:rPr>
          <w:rFonts w:ascii="Times" w:hAnsi="Times"/>
        </w:rPr>
        <w:t>,</w:t>
      </w:r>
      <w:r w:rsidR="000F43D5" w:rsidRPr="00964A1C">
        <w:rPr>
          <w:rStyle w:val="EndnoteReference"/>
          <w:rFonts w:ascii="Times" w:hAnsi="Times"/>
        </w:rPr>
        <w:endnoteReference w:id="23"/>
      </w:r>
      <w:r w:rsidR="00AD6477" w:rsidRPr="00964A1C">
        <w:rPr>
          <w:rFonts w:ascii="Times" w:hAnsi="Times"/>
        </w:rPr>
        <w:t xml:space="preserve"> do not break </w:t>
      </w:r>
      <w:r w:rsidR="00330530" w:rsidRPr="00964A1C">
        <w:rPr>
          <w:rFonts w:ascii="Times" w:hAnsi="Times"/>
        </w:rPr>
        <w:t xml:space="preserve">the </w:t>
      </w:r>
      <w:r w:rsidR="00637B1C" w:rsidRPr="00964A1C">
        <w:rPr>
          <w:rFonts w:ascii="Times" w:hAnsi="Times"/>
        </w:rPr>
        <w:t>competition</w:t>
      </w:r>
      <w:r w:rsidR="00AD6477" w:rsidRPr="00964A1C">
        <w:rPr>
          <w:rFonts w:ascii="Times" w:hAnsi="Times"/>
        </w:rPr>
        <w:t xml:space="preserve"> rules</w:t>
      </w:r>
      <w:r w:rsidR="00806C6F" w:rsidRPr="00964A1C">
        <w:rPr>
          <w:rFonts w:ascii="Times" w:hAnsi="Times"/>
        </w:rPr>
        <w:t xml:space="preserve"> (</w:t>
      </w:r>
      <w:r w:rsidR="00C06B6E" w:rsidRPr="00964A1C">
        <w:rPr>
          <w:rFonts w:ascii="Times" w:hAnsi="Times"/>
        </w:rPr>
        <w:t>see also Motta, 2005, p.551)</w:t>
      </w:r>
      <w:r w:rsidR="00AD6477" w:rsidRPr="00964A1C">
        <w:rPr>
          <w:rFonts w:ascii="Times" w:hAnsi="Times"/>
        </w:rPr>
        <w:t xml:space="preserve">. </w:t>
      </w:r>
      <w:r w:rsidR="00D766FB" w:rsidRPr="00964A1C">
        <w:rPr>
          <w:rFonts w:ascii="Times" w:hAnsi="Times"/>
        </w:rPr>
        <w:t>In the face of competition law’s oligopoly problem</w:t>
      </w:r>
      <w:r w:rsidR="00694886" w:rsidRPr="00964A1C">
        <w:rPr>
          <w:rFonts w:ascii="Times" w:hAnsi="Times"/>
        </w:rPr>
        <w:t>,</w:t>
      </w:r>
      <w:r w:rsidR="00D766FB" w:rsidRPr="00964A1C">
        <w:rPr>
          <w:rFonts w:ascii="Times" w:hAnsi="Times"/>
        </w:rPr>
        <w:t xml:space="preserve"> its </w:t>
      </w:r>
      <w:r w:rsidR="000833D9" w:rsidRPr="00964A1C">
        <w:rPr>
          <w:rFonts w:ascii="Times" w:hAnsi="Times"/>
        </w:rPr>
        <w:t xml:space="preserve">contribution to the </w:t>
      </w:r>
      <w:r w:rsidR="00E2097D" w:rsidRPr="00964A1C">
        <w:rPr>
          <w:rFonts w:ascii="Times" w:hAnsi="Times"/>
        </w:rPr>
        <w:t>production of</w:t>
      </w:r>
      <w:r w:rsidR="000833D9" w:rsidRPr="00964A1C">
        <w:rPr>
          <w:rFonts w:ascii="Times" w:hAnsi="Times"/>
        </w:rPr>
        <w:t xml:space="preserve"> consumer</w:t>
      </w:r>
      <w:r w:rsidR="00FC4F54" w:rsidRPr="00964A1C">
        <w:rPr>
          <w:rFonts w:ascii="Times" w:hAnsi="Times"/>
        </w:rPr>
        <w:t xml:space="preserve"> welfare might be an overestimation.</w:t>
      </w:r>
    </w:p>
    <w:p w14:paraId="2805E3A1" w14:textId="77777777" w:rsidR="00D019AB" w:rsidRDefault="00D019AB" w:rsidP="002249E1">
      <w:pPr>
        <w:spacing w:line="480" w:lineRule="auto"/>
        <w:jc w:val="both"/>
        <w:rPr>
          <w:rFonts w:ascii="Times" w:hAnsi="Times"/>
        </w:rPr>
      </w:pPr>
    </w:p>
    <w:p w14:paraId="04FA4CD7" w14:textId="174A773A" w:rsidR="00D019AB" w:rsidRDefault="00C72C4C" w:rsidP="002249E1">
      <w:pPr>
        <w:spacing w:line="480" w:lineRule="auto"/>
        <w:jc w:val="both"/>
        <w:rPr>
          <w:rFonts w:ascii="Times" w:hAnsi="Times"/>
        </w:rPr>
      </w:pPr>
      <w:r>
        <w:rPr>
          <w:rFonts w:ascii="Times" w:hAnsi="Times"/>
        </w:rPr>
        <w:t>T</w:t>
      </w:r>
      <w:r w:rsidR="00D019AB">
        <w:rPr>
          <w:rFonts w:ascii="Times" w:hAnsi="Times"/>
        </w:rPr>
        <w:t xml:space="preserve">here are </w:t>
      </w:r>
      <w:r>
        <w:rPr>
          <w:rFonts w:ascii="Times" w:hAnsi="Times"/>
        </w:rPr>
        <w:t xml:space="preserve">also </w:t>
      </w:r>
      <w:r w:rsidR="00D019AB">
        <w:rPr>
          <w:rFonts w:ascii="Times" w:hAnsi="Times"/>
        </w:rPr>
        <w:t xml:space="preserve">endogenous reasons to the reform process that overshadow its moral legitimacy: the concept of ‘consumer welfare’ is not clearly defined in the reform discourse. One might expect consumer welfare to refer to the ‘consumer surplus’ standard; thus, suggesting that competition law will prevent practices that reduce the surplus enjoyed by consumers irrespective of the profits </w:t>
      </w:r>
      <w:r w:rsidR="00395DD3">
        <w:rPr>
          <w:rFonts w:ascii="Times" w:hAnsi="Times"/>
        </w:rPr>
        <w:t>enjoyed</w:t>
      </w:r>
      <w:r w:rsidR="00D019AB">
        <w:rPr>
          <w:rFonts w:ascii="Times" w:hAnsi="Times"/>
        </w:rPr>
        <w:t xml:space="preserve"> by producers (Motta, 2005, p.18). Nevertheless, this is not altogether clear: </w:t>
      </w:r>
      <w:r w:rsidR="00395DD3">
        <w:rPr>
          <w:rFonts w:ascii="Times" w:hAnsi="Times"/>
        </w:rPr>
        <w:t xml:space="preserve">American </w:t>
      </w:r>
      <w:r w:rsidR="00D019AB">
        <w:rPr>
          <w:rFonts w:ascii="Times" w:hAnsi="Times"/>
        </w:rPr>
        <w:t xml:space="preserve">Chicago School relies on the same concept whilst advocating a ‘total surplus’ standard that permits practices reducing consumer surplus when such practices increase producer surplus more </w:t>
      </w:r>
      <w:r w:rsidR="00B14F14">
        <w:rPr>
          <w:rFonts w:ascii="Times" w:hAnsi="Times"/>
        </w:rPr>
        <w:t xml:space="preserve">than they reduce consumer </w:t>
      </w:r>
      <w:r w:rsidR="00B51C76">
        <w:rPr>
          <w:rFonts w:ascii="Times" w:hAnsi="Times"/>
        </w:rPr>
        <w:t>surplus</w:t>
      </w:r>
      <w:r w:rsidR="00B14F14">
        <w:rPr>
          <w:rFonts w:ascii="Times" w:hAnsi="Times"/>
        </w:rPr>
        <w:t xml:space="preserve"> </w:t>
      </w:r>
      <w:r w:rsidR="00D019AB">
        <w:rPr>
          <w:rFonts w:ascii="Times" w:hAnsi="Times"/>
        </w:rPr>
        <w:t xml:space="preserve">(Bork, 1978). </w:t>
      </w:r>
    </w:p>
    <w:p w14:paraId="1162942C" w14:textId="77777777" w:rsidR="00D019AB" w:rsidRDefault="00D019AB" w:rsidP="002249E1">
      <w:pPr>
        <w:spacing w:line="480" w:lineRule="auto"/>
        <w:jc w:val="both"/>
        <w:rPr>
          <w:rFonts w:ascii="Times" w:hAnsi="Times"/>
        </w:rPr>
      </w:pPr>
    </w:p>
    <w:p w14:paraId="0DDB1B14" w14:textId="16137B6D" w:rsidR="00D019AB" w:rsidRDefault="00521E99" w:rsidP="002249E1">
      <w:pPr>
        <w:spacing w:line="480" w:lineRule="auto"/>
        <w:jc w:val="both"/>
        <w:rPr>
          <w:rFonts w:ascii="Times" w:hAnsi="Times"/>
        </w:rPr>
      </w:pPr>
      <w:r>
        <w:rPr>
          <w:rFonts w:ascii="Times" w:hAnsi="Times"/>
        </w:rPr>
        <w:t>Additionally</w:t>
      </w:r>
      <w:r w:rsidR="00D019AB">
        <w:rPr>
          <w:rFonts w:ascii="Times" w:hAnsi="Times"/>
        </w:rPr>
        <w:t xml:space="preserve">, the identification of ‘consumer welfare’ </w:t>
      </w:r>
      <w:r w:rsidR="000836BE">
        <w:rPr>
          <w:rFonts w:ascii="Times" w:hAnsi="Times"/>
        </w:rPr>
        <w:t>as the ultimate objective</w:t>
      </w:r>
      <w:r w:rsidR="00D019AB">
        <w:rPr>
          <w:rFonts w:ascii="Times" w:hAnsi="Times"/>
        </w:rPr>
        <w:t xml:space="preserve"> at the outset prevented the emergence of a holistic reform discourse, in which alternative objectives </w:t>
      </w:r>
      <w:r w:rsidR="00AD3CE9">
        <w:rPr>
          <w:rFonts w:ascii="Times" w:hAnsi="Times"/>
        </w:rPr>
        <w:t>serving</w:t>
      </w:r>
      <w:r w:rsidR="00D019AB">
        <w:rPr>
          <w:rFonts w:ascii="Times" w:hAnsi="Times"/>
        </w:rPr>
        <w:t xml:space="preserve"> the interests of European citizens are opened to consideration. Policy objectives that were considered equally prominent in the past, including </w:t>
      </w:r>
      <w:r w:rsidR="009B146D">
        <w:rPr>
          <w:rFonts w:ascii="Times" w:hAnsi="Times"/>
        </w:rPr>
        <w:t xml:space="preserve">the </w:t>
      </w:r>
      <w:r w:rsidR="009218A6" w:rsidRPr="00964A1C">
        <w:rPr>
          <w:rFonts w:ascii="Times" w:hAnsi="Times"/>
        </w:rPr>
        <w:t>internal</w:t>
      </w:r>
      <w:r w:rsidR="00A3093A" w:rsidRPr="00964A1C">
        <w:rPr>
          <w:rFonts w:ascii="Times" w:hAnsi="Times"/>
        </w:rPr>
        <w:t xml:space="preserve"> market</w:t>
      </w:r>
      <w:r w:rsidR="00D019AB">
        <w:rPr>
          <w:rFonts w:ascii="Times" w:hAnsi="Times"/>
        </w:rPr>
        <w:t xml:space="preserve">, industrial policy and SME protection were </w:t>
      </w:r>
      <w:r w:rsidR="00130FC4">
        <w:rPr>
          <w:rFonts w:ascii="Times" w:hAnsi="Times"/>
        </w:rPr>
        <w:t>not</w:t>
      </w:r>
      <w:r w:rsidR="00D019AB">
        <w:rPr>
          <w:rFonts w:ascii="Times" w:hAnsi="Times"/>
        </w:rPr>
        <w:t xml:space="preserve"> </w:t>
      </w:r>
      <w:r w:rsidR="00130FC4">
        <w:rPr>
          <w:rFonts w:ascii="Times" w:hAnsi="Times"/>
        </w:rPr>
        <w:t>given sufficient weight in the reform discourse</w:t>
      </w:r>
      <w:r w:rsidR="00D019AB">
        <w:rPr>
          <w:rFonts w:ascii="Times" w:hAnsi="Times"/>
        </w:rPr>
        <w:t xml:space="preserve"> (Parret, 2012). </w:t>
      </w:r>
      <w:r w:rsidR="009B146D">
        <w:rPr>
          <w:rFonts w:ascii="Times" w:hAnsi="Times"/>
        </w:rPr>
        <w:t>Yet</w:t>
      </w:r>
      <w:r w:rsidR="00D019AB">
        <w:rPr>
          <w:rFonts w:ascii="Times" w:hAnsi="Times"/>
        </w:rPr>
        <w:t xml:space="preserve">, </w:t>
      </w:r>
      <w:r w:rsidR="001E2D28">
        <w:rPr>
          <w:rFonts w:ascii="Times" w:hAnsi="Times"/>
        </w:rPr>
        <w:t>as shown in the pre</w:t>
      </w:r>
      <w:r w:rsidR="003427FC">
        <w:rPr>
          <w:rFonts w:ascii="Times" w:hAnsi="Times"/>
        </w:rPr>
        <w:t xml:space="preserve">vious section, </w:t>
      </w:r>
      <w:r w:rsidR="00D019AB">
        <w:rPr>
          <w:rFonts w:ascii="Times" w:hAnsi="Times"/>
        </w:rPr>
        <w:t xml:space="preserve">institutions </w:t>
      </w:r>
      <w:r w:rsidR="000F19F5">
        <w:rPr>
          <w:rFonts w:ascii="Times" w:hAnsi="Times"/>
        </w:rPr>
        <w:t>deliberating</w:t>
      </w:r>
      <w:r w:rsidR="00677B34">
        <w:rPr>
          <w:rFonts w:ascii="Times" w:hAnsi="Times"/>
        </w:rPr>
        <w:t xml:space="preserve"> for citizens </w:t>
      </w:r>
      <w:r w:rsidR="00D019AB">
        <w:rPr>
          <w:rFonts w:ascii="Times" w:hAnsi="Times"/>
        </w:rPr>
        <w:t xml:space="preserve">still perceive those objectives valid. </w:t>
      </w:r>
    </w:p>
    <w:p w14:paraId="29AA7F7F" w14:textId="77777777" w:rsidR="00D019AB" w:rsidRDefault="00D019AB" w:rsidP="002249E1">
      <w:pPr>
        <w:spacing w:line="480" w:lineRule="auto"/>
        <w:jc w:val="both"/>
        <w:rPr>
          <w:rFonts w:ascii="Times" w:hAnsi="Times"/>
        </w:rPr>
      </w:pPr>
    </w:p>
    <w:p w14:paraId="1BB50A38" w14:textId="3F62EA34" w:rsidR="0051524D" w:rsidRDefault="003427FC" w:rsidP="002249E1">
      <w:pPr>
        <w:spacing w:line="480" w:lineRule="auto"/>
        <w:jc w:val="both"/>
        <w:rPr>
          <w:rFonts w:ascii="Times" w:hAnsi="Times"/>
        </w:rPr>
      </w:pPr>
      <w:r>
        <w:rPr>
          <w:rFonts w:ascii="Times" w:hAnsi="Times"/>
        </w:rPr>
        <w:t>Finally</w:t>
      </w:r>
      <w:r w:rsidR="00D019AB">
        <w:rPr>
          <w:rFonts w:ascii="Times" w:hAnsi="Times"/>
        </w:rPr>
        <w:t xml:space="preserve">, the minimalistic approach to objectives </w:t>
      </w:r>
      <w:r w:rsidR="00154A3E">
        <w:rPr>
          <w:rFonts w:ascii="Times" w:hAnsi="Times"/>
        </w:rPr>
        <w:t>was</w:t>
      </w:r>
      <w:r w:rsidR="00D019AB">
        <w:rPr>
          <w:rFonts w:ascii="Times" w:hAnsi="Times"/>
        </w:rPr>
        <w:t xml:space="preserve"> a missed opportunity to use competition rules creatively to address specific </w:t>
      </w:r>
      <w:r w:rsidR="00533479">
        <w:rPr>
          <w:rFonts w:ascii="Times" w:hAnsi="Times"/>
        </w:rPr>
        <w:t xml:space="preserve">citizen </w:t>
      </w:r>
      <w:r w:rsidR="00D019AB">
        <w:rPr>
          <w:rFonts w:ascii="Times" w:hAnsi="Times"/>
        </w:rPr>
        <w:t xml:space="preserve">needs and weaknesses of markets in the shadow of the financial crisis. Competition law has played a reactive role in crisis management, primarily through the utilisation of state aid </w:t>
      </w:r>
      <w:r w:rsidR="00487FF3">
        <w:rPr>
          <w:rFonts w:ascii="Times" w:hAnsi="Times"/>
        </w:rPr>
        <w:t>rules</w:t>
      </w:r>
      <w:r w:rsidR="00D019AB">
        <w:rPr>
          <w:rFonts w:ascii="Times" w:hAnsi="Times"/>
        </w:rPr>
        <w:t xml:space="preserve"> in the rescue of financial institutions and settlements with cartels operating in the derivatives market (Lowe, 2009). Nevertheless, </w:t>
      </w:r>
      <w:r w:rsidR="00182228">
        <w:rPr>
          <w:rFonts w:ascii="Times" w:hAnsi="Times"/>
        </w:rPr>
        <w:t xml:space="preserve">there is a </w:t>
      </w:r>
      <w:r w:rsidR="00D019AB">
        <w:rPr>
          <w:rFonts w:ascii="Times" w:hAnsi="Times"/>
        </w:rPr>
        <w:t xml:space="preserve">potential </w:t>
      </w:r>
      <w:r w:rsidR="00274085">
        <w:rPr>
          <w:rFonts w:ascii="Times" w:hAnsi="Times"/>
        </w:rPr>
        <w:t>proactive</w:t>
      </w:r>
      <w:r w:rsidR="00D019AB">
        <w:rPr>
          <w:rFonts w:ascii="Times" w:hAnsi="Times"/>
        </w:rPr>
        <w:t xml:space="preserve"> role for competition rules </w:t>
      </w:r>
      <w:r w:rsidR="00C40FEE">
        <w:rPr>
          <w:rFonts w:ascii="Times" w:hAnsi="Times"/>
        </w:rPr>
        <w:t>in the deterrence of activities</w:t>
      </w:r>
      <w:r w:rsidR="00273E70">
        <w:rPr>
          <w:rFonts w:ascii="Times" w:hAnsi="Times"/>
        </w:rPr>
        <w:t xml:space="preserve"> that contributed to the crisis</w:t>
      </w:r>
      <w:r w:rsidR="00D019AB">
        <w:rPr>
          <w:rFonts w:ascii="Times" w:hAnsi="Times"/>
        </w:rPr>
        <w:t>: for instance, Art.102 TFEU – unlike its American equivalent</w:t>
      </w:r>
      <w:r w:rsidR="006E6DD1">
        <w:rPr>
          <w:rFonts w:ascii="Times" w:hAnsi="Times"/>
        </w:rPr>
        <w:t>,</w:t>
      </w:r>
      <w:r w:rsidR="00D019AB">
        <w:rPr>
          <w:rFonts w:ascii="Times" w:hAnsi="Times"/>
        </w:rPr>
        <w:t xml:space="preserve"> Sherman Act section II – prohibits the so-called ‘exploitative abuses’ of dominance. </w:t>
      </w:r>
      <w:r w:rsidR="00E007FC">
        <w:rPr>
          <w:rFonts w:ascii="Times" w:hAnsi="Times"/>
        </w:rPr>
        <w:t>W</w:t>
      </w:r>
      <w:r w:rsidR="00643437">
        <w:rPr>
          <w:rFonts w:ascii="Times" w:hAnsi="Times"/>
        </w:rPr>
        <w:t xml:space="preserve">hether this provision could be relied on, in conjunction with consumer protection rules, </w:t>
      </w:r>
      <w:r w:rsidR="00D019AB">
        <w:rPr>
          <w:rFonts w:ascii="Times" w:hAnsi="Times"/>
        </w:rPr>
        <w:t xml:space="preserve">against </w:t>
      </w:r>
      <w:r w:rsidR="00C6002B">
        <w:rPr>
          <w:rFonts w:ascii="Times" w:hAnsi="Times"/>
        </w:rPr>
        <w:t xml:space="preserve">such </w:t>
      </w:r>
      <w:r w:rsidR="00D019AB">
        <w:rPr>
          <w:rFonts w:ascii="Times" w:hAnsi="Times"/>
        </w:rPr>
        <w:t>exploitative practices of financial institutions as subprime lending</w:t>
      </w:r>
      <w:r w:rsidR="005E6BD0">
        <w:rPr>
          <w:rFonts w:ascii="Times" w:hAnsi="Times"/>
        </w:rPr>
        <w:t>,</w:t>
      </w:r>
      <w:r w:rsidR="00E007FC">
        <w:rPr>
          <w:rFonts w:ascii="Times" w:hAnsi="Times"/>
        </w:rPr>
        <w:t xml:space="preserve"> deserves investigation</w:t>
      </w:r>
      <w:r w:rsidR="00D019AB">
        <w:rPr>
          <w:rFonts w:ascii="Times" w:hAnsi="Times"/>
        </w:rPr>
        <w:t>. Ironically, exploitative abuse</w:t>
      </w:r>
      <w:r w:rsidR="0051524D">
        <w:rPr>
          <w:rFonts w:ascii="Times" w:hAnsi="Times"/>
        </w:rPr>
        <w:t xml:space="preserve">s are the only aspect of competition that has not been discussed in the reform discourse, </w:t>
      </w:r>
      <w:r w:rsidR="00EC67FD">
        <w:rPr>
          <w:rFonts w:ascii="Times" w:hAnsi="Times"/>
        </w:rPr>
        <w:t>although they</w:t>
      </w:r>
      <w:r w:rsidR="0051524D">
        <w:rPr>
          <w:rFonts w:ascii="Times" w:hAnsi="Times"/>
        </w:rPr>
        <w:t xml:space="preserve"> cause the greatest consumer harm (Lyons, 2007).</w:t>
      </w:r>
    </w:p>
    <w:p w14:paraId="708A4E4B" w14:textId="77777777" w:rsidR="00BE7C1E" w:rsidRPr="00626A1D" w:rsidRDefault="00BE7C1E" w:rsidP="002249E1">
      <w:pPr>
        <w:spacing w:line="480" w:lineRule="auto"/>
        <w:jc w:val="both"/>
        <w:rPr>
          <w:rFonts w:ascii="Times" w:hAnsi="Times"/>
        </w:rPr>
      </w:pPr>
    </w:p>
    <w:p w14:paraId="167C783A" w14:textId="1DAC61BB" w:rsidR="004117A0" w:rsidRDefault="00FB74DB" w:rsidP="002249E1">
      <w:pPr>
        <w:spacing w:line="480" w:lineRule="auto"/>
        <w:ind w:right="-64"/>
        <w:jc w:val="both"/>
        <w:rPr>
          <w:rFonts w:ascii="Times" w:hAnsi="Times"/>
        </w:rPr>
      </w:pPr>
      <w:r>
        <w:rPr>
          <w:rFonts w:ascii="Times" w:hAnsi="Times"/>
          <w:b/>
        </w:rPr>
        <w:t>T</w:t>
      </w:r>
      <w:r w:rsidR="00A240E5">
        <w:rPr>
          <w:rFonts w:ascii="Times" w:hAnsi="Times"/>
          <w:b/>
        </w:rPr>
        <w:t xml:space="preserve">he economics </w:t>
      </w:r>
      <w:r w:rsidR="00A802FC">
        <w:rPr>
          <w:rFonts w:ascii="Times" w:hAnsi="Times"/>
          <w:b/>
        </w:rPr>
        <w:t xml:space="preserve">discourse </w:t>
      </w:r>
      <w:r w:rsidR="00A240E5">
        <w:rPr>
          <w:rFonts w:ascii="Times" w:hAnsi="Times"/>
          <w:b/>
        </w:rPr>
        <w:t>and the legitimacy of reforms</w:t>
      </w:r>
    </w:p>
    <w:p w14:paraId="33D5CC08" w14:textId="67D8C72E" w:rsidR="00394B16" w:rsidRDefault="0077403C" w:rsidP="002249E1">
      <w:pPr>
        <w:spacing w:line="480" w:lineRule="auto"/>
        <w:ind w:right="-64"/>
        <w:jc w:val="both"/>
        <w:rPr>
          <w:rFonts w:ascii="Times" w:hAnsi="Times"/>
        </w:rPr>
      </w:pPr>
      <w:r w:rsidRPr="00964A1C">
        <w:rPr>
          <w:rFonts w:ascii="Times" w:hAnsi="Times"/>
        </w:rPr>
        <w:t xml:space="preserve">As argued above, neoliberal norms and neo-classical </w:t>
      </w:r>
      <w:r w:rsidR="002159F6" w:rsidRPr="00964A1C">
        <w:rPr>
          <w:rFonts w:ascii="Times" w:hAnsi="Times"/>
        </w:rPr>
        <w:t xml:space="preserve">economic </w:t>
      </w:r>
      <w:r w:rsidRPr="00964A1C">
        <w:rPr>
          <w:rFonts w:ascii="Times" w:hAnsi="Times"/>
        </w:rPr>
        <w:t>methodology played dominant roles in the reform process.</w:t>
      </w:r>
      <w:r>
        <w:rPr>
          <w:rFonts w:ascii="Times" w:hAnsi="Times"/>
        </w:rPr>
        <w:t xml:space="preserve"> Arguably, this</w:t>
      </w:r>
      <w:r w:rsidR="002E08A3">
        <w:rPr>
          <w:rFonts w:ascii="Times" w:hAnsi="Times"/>
        </w:rPr>
        <w:t xml:space="preserve"> has exacerbated the </w:t>
      </w:r>
      <w:r w:rsidR="00394B16">
        <w:rPr>
          <w:rFonts w:ascii="Times" w:hAnsi="Times"/>
        </w:rPr>
        <w:t>reform process’s legitimacy problems.</w:t>
      </w:r>
    </w:p>
    <w:p w14:paraId="40F5968C" w14:textId="77777777" w:rsidR="00394B16" w:rsidRDefault="00394B16" w:rsidP="002249E1">
      <w:pPr>
        <w:spacing w:line="480" w:lineRule="auto"/>
        <w:ind w:right="-64"/>
        <w:jc w:val="both"/>
        <w:rPr>
          <w:rFonts w:ascii="Times" w:hAnsi="Times"/>
        </w:rPr>
      </w:pPr>
    </w:p>
    <w:p w14:paraId="5C6DBBFA" w14:textId="2CBEAC02" w:rsidR="00151A42" w:rsidRDefault="004117A0" w:rsidP="002249E1">
      <w:pPr>
        <w:spacing w:line="480" w:lineRule="auto"/>
        <w:ind w:right="-64"/>
        <w:jc w:val="both"/>
        <w:rPr>
          <w:rFonts w:ascii="Times" w:hAnsi="Times"/>
        </w:rPr>
      </w:pPr>
      <w:r>
        <w:rPr>
          <w:rFonts w:ascii="Times" w:hAnsi="Times"/>
        </w:rPr>
        <w:t>A</w:t>
      </w:r>
      <w:r w:rsidR="00BB0931">
        <w:rPr>
          <w:rFonts w:ascii="Times" w:hAnsi="Times"/>
        </w:rPr>
        <w:t>s argued by Foucault</w:t>
      </w:r>
      <w:r w:rsidR="00FF2538">
        <w:rPr>
          <w:rFonts w:ascii="Times" w:hAnsi="Times"/>
        </w:rPr>
        <w:t>,</w:t>
      </w:r>
      <w:r w:rsidR="00AA3F46">
        <w:rPr>
          <w:rFonts w:ascii="Times" w:hAnsi="Times"/>
        </w:rPr>
        <w:t xml:space="preserve"> </w:t>
      </w:r>
      <w:r w:rsidR="001B2BD9">
        <w:rPr>
          <w:rFonts w:ascii="Times" w:hAnsi="Times"/>
        </w:rPr>
        <w:t>all expert discourses, particularly that of economics</w:t>
      </w:r>
      <w:r w:rsidR="00236A33">
        <w:rPr>
          <w:rFonts w:ascii="Times" w:hAnsi="Times"/>
        </w:rPr>
        <w:t>,</w:t>
      </w:r>
      <w:r w:rsidR="00E10106">
        <w:rPr>
          <w:rFonts w:ascii="Times" w:hAnsi="Times"/>
        </w:rPr>
        <w:t xml:space="preserve"> tends to be </w:t>
      </w:r>
      <w:r w:rsidR="001B2BD9">
        <w:rPr>
          <w:rFonts w:ascii="Times" w:hAnsi="Times"/>
        </w:rPr>
        <w:t xml:space="preserve">exclusionary. </w:t>
      </w:r>
      <w:r w:rsidR="00A66796">
        <w:rPr>
          <w:rFonts w:ascii="Times" w:hAnsi="Times"/>
        </w:rPr>
        <w:t>This is because</w:t>
      </w:r>
      <w:r w:rsidR="00FD37E4">
        <w:rPr>
          <w:rFonts w:ascii="Times" w:hAnsi="Times"/>
        </w:rPr>
        <w:t xml:space="preserve"> </w:t>
      </w:r>
      <w:r w:rsidR="00277F0A">
        <w:rPr>
          <w:rFonts w:ascii="Times" w:hAnsi="Times"/>
        </w:rPr>
        <w:t>economic</w:t>
      </w:r>
      <w:r w:rsidR="00B37DE1">
        <w:rPr>
          <w:rFonts w:ascii="Times" w:hAnsi="Times"/>
        </w:rPr>
        <w:t>s</w:t>
      </w:r>
      <w:r w:rsidR="00277F0A">
        <w:rPr>
          <w:rFonts w:ascii="Times" w:hAnsi="Times"/>
        </w:rPr>
        <w:t xml:space="preserve"> discourse</w:t>
      </w:r>
      <w:r w:rsidR="00F11510">
        <w:rPr>
          <w:rFonts w:ascii="Times" w:hAnsi="Times"/>
        </w:rPr>
        <w:t xml:space="preserve"> </w:t>
      </w:r>
      <w:r w:rsidR="00277F0A">
        <w:rPr>
          <w:rFonts w:ascii="Times" w:hAnsi="Times"/>
        </w:rPr>
        <w:t>is</w:t>
      </w:r>
      <w:r w:rsidR="008B08CF">
        <w:rPr>
          <w:rFonts w:ascii="Times" w:hAnsi="Times"/>
        </w:rPr>
        <w:t xml:space="preserve"> made of not only the ‘sayable’ but also the ‘seeable’</w:t>
      </w:r>
      <w:r w:rsidR="00BB7689">
        <w:rPr>
          <w:rFonts w:ascii="Times" w:hAnsi="Times"/>
        </w:rPr>
        <w:t xml:space="preserve">: economy is </w:t>
      </w:r>
      <w:r w:rsidR="0099014F">
        <w:rPr>
          <w:rFonts w:ascii="Times" w:hAnsi="Times"/>
        </w:rPr>
        <w:t>not only thought or perceived but it can be seen in models, equations a</w:t>
      </w:r>
      <w:r w:rsidR="004A6AC2">
        <w:rPr>
          <w:rFonts w:ascii="Times" w:hAnsi="Times"/>
        </w:rPr>
        <w:t>nd statistics (Walter, 2008, p.</w:t>
      </w:r>
      <w:r w:rsidR="0099014F">
        <w:rPr>
          <w:rFonts w:ascii="Times" w:hAnsi="Times"/>
        </w:rPr>
        <w:t xml:space="preserve">542). </w:t>
      </w:r>
      <w:r w:rsidR="004A01B2">
        <w:rPr>
          <w:rFonts w:ascii="Times" w:hAnsi="Times"/>
        </w:rPr>
        <w:t>Also</w:t>
      </w:r>
      <w:r w:rsidR="00FC5A50">
        <w:rPr>
          <w:rFonts w:ascii="Times" w:hAnsi="Times"/>
        </w:rPr>
        <w:t xml:space="preserve">, </w:t>
      </w:r>
      <w:r w:rsidR="006F719C">
        <w:rPr>
          <w:rFonts w:ascii="Times" w:hAnsi="Times"/>
        </w:rPr>
        <w:t>one’s</w:t>
      </w:r>
      <w:r w:rsidR="00943CE1">
        <w:rPr>
          <w:rFonts w:ascii="Times" w:hAnsi="Times"/>
        </w:rPr>
        <w:t xml:space="preserve"> understanding of the economy is very much determined by the </w:t>
      </w:r>
      <w:r w:rsidR="00212C3F">
        <w:rPr>
          <w:rFonts w:ascii="Times" w:hAnsi="Times"/>
        </w:rPr>
        <w:t>assumptions of the dominant economics discourse of the tim</w:t>
      </w:r>
      <w:r w:rsidR="00FF2538">
        <w:rPr>
          <w:rFonts w:ascii="Times" w:hAnsi="Times"/>
        </w:rPr>
        <w:t xml:space="preserve">e: </w:t>
      </w:r>
      <w:r w:rsidR="003467E8">
        <w:rPr>
          <w:rFonts w:ascii="Times" w:hAnsi="Times"/>
        </w:rPr>
        <w:t>one</w:t>
      </w:r>
      <w:r w:rsidR="00FF2538">
        <w:rPr>
          <w:rFonts w:ascii="Times" w:hAnsi="Times"/>
        </w:rPr>
        <w:t xml:space="preserve"> ‘see</w:t>
      </w:r>
      <w:r w:rsidR="003467E8">
        <w:rPr>
          <w:rFonts w:ascii="Times" w:hAnsi="Times"/>
        </w:rPr>
        <w:t>s</w:t>
      </w:r>
      <w:r w:rsidR="00FF2538">
        <w:rPr>
          <w:rFonts w:ascii="Times" w:hAnsi="Times"/>
        </w:rPr>
        <w:t xml:space="preserve">’ economy in the light of what economics ‘says’. </w:t>
      </w:r>
      <w:r w:rsidR="00BA17AB">
        <w:rPr>
          <w:rFonts w:ascii="Times" w:hAnsi="Times"/>
        </w:rPr>
        <w:t>N</w:t>
      </w:r>
      <w:r w:rsidR="00AC7F1F">
        <w:rPr>
          <w:rFonts w:ascii="Times" w:hAnsi="Times"/>
        </w:rPr>
        <w:t>on-experts</w:t>
      </w:r>
      <w:r w:rsidR="003467E8">
        <w:rPr>
          <w:rFonts w:ascii="Times" w:hAnsi="Times"/>
        </w:rPr>
        <w:t xml:space="preserve"> have limited capacity to be an active part of the </w:t>
      </w:r>
      <w:r w:rsidR="00FC6A96">
        <w:rPr>
          <w:rFonts w:ascii="Times" w:hAnsi="Times"/>
        </w:rPr>
        <w:t>debate, as</w:t>
      </w:r>
      <w:r w:rsidR="003467E8">
        <w:rPr>
          <w:rFonts w:ascii="Times" w:hAnsi="Times"/>
        </w:rPr>
        <w:t xml:space="preserve"> </w:t>
      </w:r>
      <w:r w:rsidR="000806AF">
        <w:rPr>
          <w:rFonts w:ascii="Times" w:hAnsi="Times"/>
        </w:rPr>
        <w:t xml:space="preserve">one cannot </w:t>
      </w:r>
      <w:r w:rsidR="00C74F28">
        <w:rPr>
          <w:rFonts w:ascii="Times" w:hAnsi="Times"/>
        </w:rPr>
        <w:t>challenge</w:t>
      </w:r>
      <w:r w:rsidR="000806AF">
        <w:rPr>
          <w:rFonts w:ascii="Times" w:hAnsi="Times"/>
        </w:rPr>
        <w:t xml:space="preserve"> what economics ‘says’ without being fluent in </w:t>
      </w:r>
      <w:r w:rsidR="00FC6A96">
        <w:rPr>
          <w:rFonts w:ascii="Times" w:hAnsi="Times"/>
        </w:rPr>
        <w:t>its</w:t>
      </w:r>
      <w:r w:rsidR="000806AF">
        <w:rPr>
          <w:rFonts w:ascii="Times" w:hAnsi="Times"/>
        </w:rPr>
        <w:t xml:space="preserve"> language and methodology.</w:t>
      </w:r>
      <w:r w:rsidR="005403BA">
        <w:rPr>
          <w:rFonts w:ascii="Times" w:hAnsi="Times"/>
        </w:rPr>
        <w:t xml:space="preserve"> </w:t>
      </w:r>
      <w:r w:rsidR="0042204D">
        <w:rPr>
          <w:rFonts w:ascii="Times" w:hAnsi="Times"/>
        </w:rPr>
        <w:t>Thus</w:t>
      </w:r>
      <w:r w:rsidR="004A01B2">
        <w:rPr>
          <w:rFonts w:ascii="Times" w:hAnsi="Times"/>
        </w:rPr>
        <w:t xml:space="preserve">, economics tends to be dominant vis-à-vis other expert discourses, including that of law. For instance, a prominent </w:t>
      </w:r>
      <w:r w:rsidR="009C6D8F">
        <w:rPr>
          <w:rFonts w:ascii="Times" w:hAnsi="Times"/>
        </w:rPr>
        <w:t>competition</w:t>
      </w:r>
      <w:r w:rsidR="004A01B2">
        <w:rPr>
          <w:rFonts w:ascii="Times" w:hAnsi="Times"/>
        </w:rPr>
        <w:t xml:space="preserve"> law</w:t>
      </w:r>
      <w:r w:rsidR="009C6D8F">
        <w:rPr>
          <w:rFonts w:ascii="Times" w:hAnsi="Times"/>
        </w:rPr>
        <w:t xml:space="preserve"> scholar</w:t>
      </w:r>
      <w:r w:rsidR="004A01B2">
        <w:rPr>
          <w:rFonts w:ascii="Times" w:hAnsi="Times"/>
        </w:rPr>
        <w:t xml:space="preserve"> argues that </w:t>
      </w:r>
      <w:r w:rsidR="00151A42">
        <w:rPr>
          <w:rFonts w:ascii="Times" w:hAnsi="Times"/>
        </w:rPr>
        <w:t>exper</w:t>
      </w:r>
      <w:r w:rsidR="008147D9">
        <w:rPr>
          <w:rFonts w:ascii="Times" w:hAnsi="Times"/>
        </w:rPr>
        <w:t xml:space="preserve">ts who </w:t>
      </w:r>
      <w:r w:rsidR="00EA1055">
        <w:rPr>
          <w:rFonts w:ascii="Times" w:hAnsi="Times"/>
        </w:rPr>
        <w:t>rely on</w:t>
      </w:r>
      <w:r w:rsidR="008147D9">
        <w:rPr>
          <w:rFonts w:ascii="Times" w:hAnsi="Times"/>
        </w:rPr>
        <w:t xml:space="preserve"> </w:t>
      </w:r>
      <w:r w:rsidR="00A72CFB">
        <w:rPr>
          <w:rFonts w:ascii="Times" w:hAnsi="Times"/>
        </w:rPr>
        <w:t>alternative</w:t>
      </w:r>
      <w:r w:rsidR="008147D9">
        <w:rPr>
          <w:rFonts w:ascii="Times" w:hAnsi="Times"/>
        </w:rPr>
        <w:t xml:space="preserve"> </w:t>
      </w:r>
      <w:r w:rsidR="004F266A">
        <w:rPr>
          <w:rFonts w:ascii="Times" w:hAnsi="Times"/>
        </w:rPr>
        <w:t xml:space="preserve">legal discourses </w:t>
      </w:r>
      <w:r w:rsidR="00151A42">
        <w:rPr>
          <w:rFonts w:ascii="Times" w:hAnsi="Times"/>
        </w:rPr>
        <w:t xml:space="preserve">are </w:t>
      </w:r>
      <w:r w:rsidR="00F2249F">
        <w:rPr>
          <w:rFonts w:ascii="Times" w:hAnsi="Times"/>
        </w:rPr>
        <w:t>marginalised</w:t>
      </w:r>
      <w:r w:rsidR="00151A42">
        <w:rPr>
          <w:rFonts w:ascii="Times" w:hAnsi="Times"/>
        </w:rPr>
        <w:t xml:space="preserve"> </w:t>
      </w:r>
      <w:r w:rsidR="00E23BE0">
        <w:rPr>
          <w:rFonts w:ascii="Times" w:hAnsi="Times"/>
        </w:rPr>
        <w:t xml:space="preserve">in the epistemic community </w:t>
      </w:r>
      <w:r w:rsidR="00151A42">
        <w:rPr>
          <w:rFonts w:ascii="Times" w:hAnsi="Times"/>
        </w:rPr>
        <w:t>(Wils, 2014).</w:t>
      </w:r>
    </w:p>
    <w:p w14:paraId="0682F719" w14:textId="77777777" w:rsidR="00666D21" w:rsidRDefault="00666D21" w:rsidP="002249E1">
      <w:pPr>
        <w:spacing w:line="480" w:lineRule="auto"/>
        <w:ind w:right="-64"/>
        <w:jc w:val="both"/>
        <w:rPr>
          <w:rFonts w:ascii="Times" w:hAnsi="Times"/>
        </w:rPr>
      </w:pPr>
    </w:p>
    <w:p w14:paraId="5D0F911C" w14:textId="0D685BD5" w:rsidR="005A01AC" w:rsidRDefault="00666D21" w:rsidP="002249E1">
      <w:pPr>
        <w:spacing w:line="480" w:lineRule="auto"/>
        <w:ind w:right="-64"/>
        <w:jc w:val="both"/>
        <w:rPr>
          <w:rFonts w:ascii="Times" w:hAnsi="Times"/>
        </w:rPr>
      </w:pPr>
      <w:r>
        <w:rPr>
          <w:rFonts w:ascii="Times" w:hAnsi="Times"/>
        </w:rPr>
        <w:t xml:space="preserve">Similarly, </w:t>
      </w:r>
      <w:r w:rsidR="00FD37E4">
        <w:rPr>
          <w:rFonts w:ascii="Times" w:hAnsi="Times"/>
        </w:rPr>
        <w:t>when faced with a choice between ‘reason’ and ‘equality’ economics sides with reason:</w:t>
      </w:r>
      <w:r>
        <w:rPr>
          <w:rFonts w:ascii="Times" w:hAnsi="Times"/>
        </w:rPr>
        <w:t xml:space="preserve"> </w:t>
      </w:r>
      <w:r w:rsidR="00AF3ED7">
        <w:rPr>
          <w:rFonts w:ascii="Times" w:hAnsi="Times"/>
        </w:rPr>
        <w:t>it dismisses</w:t>
      </w:r>
      <w:r w:rsidR="00062F86">
        <w:rPr>
          <w:rFonts w:ascii="Times" w:hAnsi="Times"/>
        </w:rPr>
        <w:t xml:space="preserve"> </w:t>
      </w:r>
      <w:r>
        <w:rPr>
          <w:rFonts w:ascii="Times" w:hAnsi="Times"/>
        </w:rPr>
        <w:t>‘irrational’</w:t>
      </w:r>
      <w:r w:rsidR="00FD37E4">
        <w:rPr>
          <w:rFonts w:ascii="Times" w:hAnsi="Times"/>
        </w:rPr>
        <w:t xml:space="preserve"> </w:t>
      </w:r>
      <w:r>
        <w:rPr>
          <w:rFonts w:ascii="Times" w:hAnsi="Times"/>
        </w:rPr>
        <w:t xml:space="preserve">discourses that cannot be measured and </w:t>
      </w:r>
      <w:r w:rsidR="00F242B6">
        <w:rPr>
          <w:rFonts w:ascii="Times" w:hAnsi="Times"/>
        </w:rPr>
        <w:t>represented</w:t>
      </w:r>
      <w:r w:rsidR="00532FB0">
        <w:rPr>
          <w:rFonts w:ascii="Times" w:hAnsi="Times"/>
        </w:rPr>
        <w:t xml:space="preserve"> in models </w:t>
      </w:r>
      <w:r w:rsidR="004A6AC2">
        <w:rPr>
          <w:rFonts w:ascii="Times" w:hAnsi="Times"/>
        </w:rPr>
        <w:t>(Amariglio, 1988, p.</w:t>
      </w:r>
      <w:r w:rsidR="00532FB0">
        <w:rPr>
          <w:rFonts w:ascii="Times" w:hAnsi="Times"/>
        </w:rPr>
        <w:t xml:space="preserve">604).  </w:t>
      </w:r>
      <w:r w:rsidR="00AA4B06">
        <w:rPr>
          <w:rFonts w:ascii="Times" w:hAnsi="Times"/>
        </w:rPr>
        <w:t>For instance, in the context of competition law, emotional and personal experiences of citizens as victims of competition law violations, who need to sacrifice a higher proportion of their di</w:t>
      </w:r>
      <w:r w:rsidR="00F039CC">
        <w:rPr>
          <w:rFonts w:ascii="Times" w:hAnsi="Times"/>
        </w:rPr>
        <w:t xml:space="preserve">sposable income in return </w:t>
      </w:r>
      <w:r w:rsidR="00062F86">
        <w:rPr>
          <w:rFonts w:ascii="Times" w:hAnsi="Times"/>
        </w:rPr>
        <w:t>f</w:t>
      </w:r>
      <w:r w:rsidR="00F039CC">
        <w:rPr>
          <w:rFonts w:ascii="Times" w:hAnsi="Times"/>
        </w:rPr>
        <w:t>or</w:t>
      </w:r>
      <w:r w:rsidR="00062F86">
        <w:rPr>
          <w:rFonts w:ascii="Times" w:hAnsi="Times"/>
        </w:rPr>
        <w:t xml:space="preserve"> </w:t>
      </w:r>
      <w:r w:rsidR="00AA4B06">
        <w:rPr>
          <w:rFonts w:ascii="Times" w:hAnsi="Times"/>
        </w:rPr>
        <w:t xml:space="preserve">inferior quality products, cannot be made a part of the debate </w:t>
      </w:r>
      <w:r w:rsidR="00531F45">
        <w:rPr>
          <w:rFonts w:ascii="Times" w:hAnsi="Times"/>
        </w:rPr>
        <w:t>involving</w:t>
      </w:r>
      <w:r w:rsidR="00AA4B06">
        <w:rPr>
          <w:rFonts w:ascii="Times" w:hAnsi="Times"/>
        </w:rPr>
        <w:t xml:space="preserve"> the so-called more economic approach. </w:t>
      </w:r>
      <w:r w:rsidR="00531F45">
        <w:rPr>
          <w:rFonts w:ascii="Times" w:hAnsi="Times"/>
        </w:rPr>
        <w:t xml:space="preserve">Neither is the symbolic yet </w:t>
      </w:r>
      <w:r w:rsidR="00FC461A">
        <w:rPr>
          <w:rFonts w:ascii="Times" w:hAnsi="Times"/>
        </w:rPr>
        <w:t xml:space="preserve">fundamental value of the </w:t>
      </w:r>
      <w:r w:rsidR="002708D0" w:rsidRPr="00964A1C">
        <w:rPr>
          <w:rFonts w:ascii="Times" w:hAnsi="Times"/>
        </w:rPr>
        <w:t>internal</w:t>
      </w:r>
      <w:r w:rsidR="00531F45" w:rsidRPr="00964A1C">
        <w:rPr>
          <w:rFonts w:ascii="Times" w:hAnsi="Times"/>
        </w:rPr>
        <w:t xml:space="preserve"> market</w:t>
      </w:r>
      <w:r w:rsidR="00531F45">
        <w:rPr>
          <w:rFonts w:ascii="Times" w:hAnsi="Times"/>
        </w:rPr>
        <w:t xml:space="preserve"> for European citizens</w:t>
      </w:r>
      <w:r w:rsidR="00FC461A">
        <w:rPr>
          <w:rFonts w:ascii="Times" w:hAnsi="Times"/>
        </w:rPr>
        <w:t xml:space="preserve">hip and identity made a part of the </w:t>
      </w:r>
      <w:r w:rsidR="00A36D9A">
        <w:rPr>
          <w:rFonts w:ascii="Times" w:hAnsi="Times"/>
        </w:rPr>
        <w:t xml:space="preserve">equation whilst criticising Union competition law for being ‘form-based’. </w:t>
      </w:r>
    </w:p>
    <w:p w14:paraId="160AB373" w14:textId="77777777" w:rsidR="00073E87" w:rsidRDefault="00073E87" w:rsidP="002249E1">
      <w:pPr>
        <w:spacing w:line="480" w:lineRule="auto"/>
        <w:ind w:right="-64"/>
        <w:jc w:val="both"/>
        <w:rPr>
          <w:rFonts w:ascii="Times" w:hAnsi="Times"/>
        </w:rPr>
      </w:pPr>
    </w:p>
    <w:p w14:paraId="78F2AB7A" w14:textId="611FDDE1" w:rsidR="001B0BBD" w:rsidRDefault="00C46C2D" w:rsidP="002249E1">
      <w:pPr>
        <w:spacing w:line="480" w:lineRule="auto"/>
        <w:ind w:right="-64"/>
        <w:jc w:val="both"/>
        <w:rPr>
          <w:rFonts w:ascii="Times" w:hAnsi="Times"/>
        </w:rPr>
      </w:pPr>
      <w:r>
        <w:rPr>
          <w:rFonts w:ascii="Times" w:hAnsi="Times"/>
        </w:rPr>
        <w:t xml:space="preserve">As a result, </w:t>
      </w:r>
      <w:r w:rsidR="00210BB9">
        <w:rPr>
          <w:rFonts w:ascii="Times" w:hAnsi="Times"/>
        </w:rPr>
        <w:t xml:space="preserve">alternative non-quantifiable discourses offered by citizens and institutions deliberating for them </w:t>
      </w:r>
      <w:r w:rsidR="00070DC0">
        <w:rPr>
          <w:rFonts w:ascii="Times" w:hAnsi="Times"/>
        </w:rPr>
        <w:t xml:space="preserve">lose out </w:t>
      </w:r>
      <w:r w:rsidR="009F64DA">
        <w:rPr>
          <w:rFonts w:ascii="Times" w:hAnsi="Times"/>
        </w:rPr>
        <w:t>against the economics discourse</w:t>
      </w:r>
      <w:r w:rsidR="00CB49C5">
        <w:rPr>
          <w:rFonts w:ascii="Times" w:hAnsi="Times"/>
        </w:rPr>
        <w:t xml:space="preserve">. </w:t>
      </w:r>
      <w:r w:rsidR="00245EFF">
        <w:rPr>
          <w:rFonts w:ascii="Times" w:hAnsi="Times"/>
        </w:rPr>
        <w:t>This exclusion cannot be justified with a promi</w:t>
      </w:r>
      <w:r w:rsidR="0036531C">
        <w:rPr>
          <w:rFonts w:ascii="Times" w:hAnsi="Times"/>
        </w:rPr>
        <w:t>se of moral (output) legitimacy, since</w:t>
      </w:r>
      <w:r w:rsidR="00245EFF">
        <w:rPr>
          <w:rFonts w:ascii="Times" w:hAnsi="Times"/>
        </w:rPr>
        <w:t xml:space="preserve"> </w:t>
      </w:r>
      <w:r w:rsidR="001C74AD">
        <w:rPr>
          <w:rFonts w:ascii="Times" w:hAnsi="Times"/>
        </w:rPr>
        <w:t>the reforms’ output legitimacy is also questionable</w:t>
      </w:r>
      <w:r w:rsidR="00CB3131">
        <w:rPr>
          <w:rFonts w:ascii="Times" w:hAnsi="Times"/>
        </w:rPr>
        <w:t xml:space="preserve">. </w:t>
      </w:r>
      <w:r w:rsidR="00E55DBC">
        <w:rPr>
          <w:rFonts w:ascii="Times" w:hAnsi="Times"/>
        </w:rPr>
        <w:t>The reforms’</w:t>
      </w:r>
      <w:r w:rsidR="003F7D28">
        <w:rPr>
          <w:rFonts w:ascii="Times" w:hAnsi="Times"/>
        </w:rPr>
        <w:t xml:space="preserve"> weaknesses</w:t>
      </w:r>
      <w:r w:rsidR="00EE4A38">
        <w:rPr>
          <w:rFonts w:ascii="Times" w:hAnsi="Times"/>
        </w:rPr>
        <w:t xml:space="preserve"> o</w:t>
      </w:r>
      <w:r w:rsidR="00E55DBC">
        <w:rPr>
          <w:rFonts w:ascii="Times" w:hAnsi="Times"/>
        </w:rPr>
        <w:t xml:space="preserve">n both </w:t>
      </w:r>
      <w:r w:rsidR="000F1637">
        <w:rPr>
          <w:rFonts w:ascii="Times" w:hAnsi="Times"/>
        </w:rPr>
        <w:t xml:space="preserve">legitimacy fronts </w:t>
      </w:r>
      <w:r w:rsidR="003F7D28">
        <w:rPr>
          <w:rFonts w:ascii="Times" w:hAnsi="Times"/>
        </w:rPr>
        <w:t>imply</w:t>
      </w:r>
      <w:r w:rsidR="000F1637">
        <w:rPr>
          <w:rFonts w:ascii="Times" w:hAnsi="Times"/>
        </w:rPr>
        <w:t xml:space="preserve"> that the input/output legitimacy dichotomy mi</w:t>
      </w:r>
      <w:r w:rsidR="00FA64AC">
        <w:rPr>
          <w:rFonts w:ascii="Times" w:hAnsi="Times"/>
        </w:rPr>
        <w:t>ght not be altogether plausible.</w:t>
      </w:r>
      <w:r w:rsidR="000F1637">
        <w:rPr>
          <w:rFonts w:ascii="Times" w:hAnsi="Times"/>
        </w:rPr>
        <w:t xml:space="preserve"> </w:t>
      </w:r>
      <w:r w:rsidR="00FA64AC">
        <w:rPr>
          <w:rFonts w:ascii="Times" w:hAnsi="Times"/>
        </w:rPr>
        <w:t>P</w:t>
      </w:r>
      <w:r w:rsidR="0022727F">
        <w:rPr>
          <w:rFonts w:ascii="Times" w:hAnsi="Times"/>
        </w:rPr>
        <w:t xml:space="preserve">olicymaking processes that are dominated by expertise and that do not </w:t>
      </w:r>
      <w:r w:rsidR="00572A3A">
        <w:rPr>
          <w:rFonts w:ascii="Times" w:hAnsi="Times"/>
        </w:rPr>
        <w:t xml:space="preserve">benefit from deliberation by and for citizens do not </w:t>
      </w:r>
      <w:r w:rsidR="00EE4A38">
        <w:rPr>
          <w:rFonts w:ascii="Times" w:hAnsi="Times"/>
        </w:rPr>
        <w:t>necessarily</w:t>
      </w:r>
      <w:r w:rsidR="00572A3A">
        <w:rPr>
          <w:rFonts w:ascii="Times" w:hAnsi="Times"/>
        </w:rPr>
        <w:t xml:space="preserve"> produce policies resonating with public interest. </w:t>
      </w:r>
      <w:r w:rsidR="001B0BBD">
        <w:rPr>
          <w:rFonts w:ascii="Times" w:hAnsi="Times"/>
        </w:rPr>
        <w:t xml:space="preserve">As a result, at least in this particular case, input legitimacy deficit appears much more acute, and it </w:t>
      </w:r>
      <w:r w:rsidR="007F7BBF">
        <w:rPr>
          <w:rFonts w:ascii="Times" w:hAnsi="Times"/>
        </w:rPr>
        <w:t>can</w:t>
      </w:r>
      <w:r w:rsidR="001B0BBD">
        <w:rPr>
          <w:rFonts w:ascii="Times" w:hAnsi="Times"/>
        </w:rPr>
        <w:t xml:space="preserve">not be assumed away with the promise of output legitimacy. In the light of this finding, improving democratic qualities of network governance requires </w:t>
      </w:r>
      <w:r w:rsidR="001B0BBD" w:rsidRPr="00BC5AF3">
        <w:rPr>
          <w:rFonts w:ascii="Times" w:hAnsi="Times"/>
          <w:i/>
        </w:rPr>
        <w:t>a holistic approach in which input and output are considered equally vital complementary elements, rather than alternatives</w:t>
      </w:r>
      <w:r w:rsidR="001B0BBD">
        <w:rPr>
          <w:rFonts w:ascii="Times" w:hAnsi="Times"/>
        </w:rPr>
        <w:t>.</w:t>
      </w:r>
    </w:p>
    <w:p w14:paraId="38AD28FD" w14:textId="77777777" w:rsidR="00DA7B15" w:rsidRDefault="00DA7B15" w:rsidP="002249E1">
      <w:pPr>
        <w:spacing w:line="480" w:lineRule="auto"/>
        <w:ind w:right="-64"/>
        <w:jc w:val="both"/>
        <w:rPr>
          <w:rFonts w:ascii="Times" w:hAnsi="Times"/>
        </w:rPr>
      </w:pPr>
    </w:p>
    <w:p w14:paraId="700A14D7" w14:textId="3B70451A" w:rsidR="00D4102B" w:rsidRDefault="004305AE" w:rsidP="002249E1">
      <w:pPr>
        <w:spacing w:line="480" w:lineRule="auto"/>
        <w:ind w:right="-64"/>
        <w:jc w:val="both"/>
        <w:rPr>
          <w:rFonts w:ascii="Times" w:hAnsi="Times"/>
          <w:b/>
        </w:rPr>
      </w:pPr>
      <w:r>
        <w:rPr>
          <w:rFonts w:ascii="Times" w:hAnsi="Times"/>
          <w:b/>
        </w:rPr>
        <w:t>CONCLUSION</w:t>
      </w:r>
      <w:r w:rsidR="00197FA3">
        <w:rPr>
          <w:rFonts w:ascii="Times" w:hAnsi="Times"/>
          <w:b/>
        </w:rPr>
        <w:t>S</w:t>
      </w:r>
    </w:p>
    <w:p w14:paraId="2CD046A7" w14:textId="553DB920" w:rsidR="00E4546D" w:rsidRDefault="00E50A93" w:rsidP="002249E1">
      <w:pPr>
        <w:spacing w:line="480" w:lineRule="auto"/>
        <w:jc w:val="both"/>
        <w:rPr>
          <w:rFonts w:ascii="Times" w:hAnsi="Times"/>
        </w:rPr>
      </w:pPr>
      <w:r w:rsidRPr="00BE6B82">
        <w:rPr>
          <w:rFonts w:ascii="Times" w:hAnsi="Times"/>
        </w:rPr>
        <w:t xml:space="preserve">European Union’s sui generis institutional </w:t>
      </w:r>
      <w:r>
        <w:rPr>
          <w:rFonts w:ascii="Times" w:hAnsi="Times"/>
        </w:rPr>
        <w:t>design</w:t>
      </w:r>
      <w:r w:rsidRPr="00BE6B82">
        <w:rPr>
          <w:rFonts w:ascii="Times" w:hAnsi="Times"/>
        </w:rPr>
        <w:t xml:space="preserve"> coupled with </w:t>
      </w:r>
      <w:r>
        <w:rPr>
          <w:rFonts w:ascii="Times" w:hAnsi="Times"/>
        </w:rPr>
        <w:t>its extensive multi-level network structure tends to produce policy outcomes that are at times stretched away from expressed citizen choices. This remote relationship with citizens results in the Union’s democratic deficit that is exacerbated in the shadow of post-financi</w:t>
      </w:r>
      <w:r w:rsidR="00DA7B15">
        <w:rPr>
          <w:rFonts w:ascii="Times" w:hAnsi="Times"/>
        </w:rPr>
        <w:t>al crisis experiences. Although</w:t>
      </w:r>
      <w:r>
        <w:rPr>
          <w:rFonts w:ascii="Times" w:hAnsi="Times"/>
        </w:rPr>
        <w:t xml:space="preserve"> the Union claims to increase citizen welfare through various policies, including the </w:t>
      </w:r>
      <w:r w:rsidR="00EA1A7C" w:rsidRPr="00964A1C">
        <w:rPr>
          <w:rFonts w:ascii="Times" w:hAnsi="Times"/>
        </w:rPr>
        <w:t>internal</w:t>
      </w:r>
      <w:r w:rsidRPr="00964A1C">
        <w:rPr>
          <w:rFonts w:ascii="Times" w:hAnsi="Times"/>
        </w:rPr>
        <w:t xml:space="preserve"> market</w:t>
      </w:r>
      <w:r>
        <w:rPr>
          <w:rFonts w:ascii="Times" w:hAnsi="Times"/>
        </w:rPr>
        <w:t xml:space="preserve"> and competition policy, citizens are unlikely to recognise and appreciate this, if they do not play </w:t>
      </w:r>
      <w:r w:rsidR="002976EC">
        <w:rPr>
          <w:rFonts w:ascii="Times" w:hAnsi="Times"/>
        </w:rPr>
        <w:t xml:space="preserve">any </w:t>
      </w:r>
      <w:r w:rsidR="0020610F">
        <w:rPr>
          <w:rFonts w:ascii="Times" w:hAnsi="Times"/>
        </w:rPr>
        <w:t>(in)</w:t>
      </w:r>
      <w:r w:rsidR="00147018">
        <w:rPr>
          <w:rFonts w:ascii="Times" w:hAnsi="Times"/>
        </w:rPr>
        <w:t xml:space="preserve">direct </w:t>
      </w:r>
      <w:r>
        <w:rPr>
          <w:rFonts w:ascii="Times" w:hAnsi="Times"/>
        </w:rPr>
        <w:t xml:space="preserve">role in </w:t>
      </w:r>
      <w:r w:rsidR="00920C22">
        <w:rPr>
          <w:rFonts w:ascii="Times" w:hAnsi="Times"/>
        </w:rPr>
        <w:t>policymaking</w:t>
      </w:r>
      <w:r>
        <w:rPr>
          <w:rFonts w:ascii="Times" w:hAnsi="Times"/>
        </w:rPr>
        <w:t xml:space="preserve">. From this perspective, the reform process of Union competition rules appears as a missed opportunity to anchor citizens to a policy that claims to produce benefits for them. The reform process did not involve deliberation by citizens in which they voice their real life experiences in the market. The contribution of institutions that deliberate for citizens to the reform process was also limited for reasons including the expert economics discourse that became dominant in the process. Thus, reforms’ procedural (input) legitimacy is questionable at best. Also, it is </w:t>
      </w:r>
      <w:r w:rsidR="0060186B">
        <w:rPr>
          <w:rFonts w:ascii="Times" w:hAnsi="Times"/>
        </w:rPr>
        <w:t>un</w:t>
      </w:r>
      <w:r>
        <w:rPr>
          <w:rFonts w:ascii="Times" w:hAnsi="Times"/>
        </w:rPr>
        <w:t>clear whether the reformed rules serve public interest better than the previous</w:t>
      </w:r>
      <w:r w:rsidR="00D724B8">
        <w:rPr>
          <w:rFonts w:ascii="Times" w:hAnsi="Times"/>
        </w:rPr>
        <w:t xml:space="preserve"> </w:t>
      </w:r>
      <w:r w:rsidR="00A15B7A" w:rsidRPr="00964A1C">
        <w:rPr>
          <w:rFonts w:ascii="Times" w:hAnsi="Times"/>
        </w:rPr>
        <w:t>internal</w:t>
      </w:r>
      <w:r w:rsidR="00D724B8" w:rsidRPr="00964A1C">
        <w:rPr>
          <w:rFonts w:ascii="Times" w:hAnsi="Times"/>
        </w:rPr>
        <w:t xml:space="preserve"> market</w:t>
      </w:r>
      <w:r w:rsidR="00D724B8">
        <w:rPr>
          <w:rFonts w:ascii="Times" w:hAnsi="Times"/>
        </w:rPr>
        <w:t>-centric approach</w:t>
      </w:r>
      <w:r w:rsidR="008A128C">
        <w:rPr>
          <w:rFonts w:ascii="Times" w:hAnsi="Times"/>
        </w:rPr>
        <w:t>,</w:t>
      </w:r>
      <w:r w:rsidR="00D724B8">
        <w:rPr>
          <w:rFonts w:ascii="Times" w:hAnsi="Times"/>
        </w:rPr>
        <w:t xml:space="preserve"> which</w:t>
      </w:r>
      <w:r>
        <w:rPr>
          <w:rFonts w:ascii="Times" w:hAnsi="Times"/>
        </w:rPr>
        <w:t xml:space="preserve"> </w:t>
      </w:r>
      <w:r w:rsidR="00E407A7">
        <w:rPr>
          <w:rFonts w:ascii="Times" w:hAnsi="Times"/>
        </w:rPr>
        <w:t>overshadows</w:t>
      </w:r>
      <w:r>
        <w:rPr>
          <w:rFonts w:ascii="Times" w:hAnsi="Times"/>
        </w:rPr>
        <w:t xml:space="preserve"> </w:t>
      </w:r>
      <w:r w:rsidR="00E407A7">
        <w:rPr>
          <w:rFonts w:ascii="Times" w:hAnsi="Times"/>
        </w:rPr>
        <w:t xml:space="preserve">the </w:t>
      </w:r>
      <w:r>
        <w:rPr>
          <w:rFonts w:ascii="Times" w:hAnsi="Times"/>
        </w:rPr>
        <w:t xml:space="preserve">reforms’ moral (output) legitimacy. </w:t>
      </w:r>
    </w:p>
    <w:p w14:paraId="4329D07A" w14:textId="77777777" w:rsidR="00E4546D" w:rsidRDefault="00E4546D" w:rsidP="002249E1">
      <w:pPr>
        <w:spacing w:line="480" w:lineRule="auto"/>
        <w:jc w:val="both"/>
        <w:rPr>
          <w:rFonts w:ascii="Times" w:hAnsi="Times"/>
        </w:rPr>
      </w:pPr>
    </w:p>
    <w:p w14:paraId="69566A27" w14:textId="53FEFFC0" w:rsidR="00E50A93" w:rsidRPr="00BE6B82" w:rsidRDefault="00DF4F98" w:rsidP="002249E1">
      <w:pPr>
        <w:spacing w:line="480" w:lineRule="auto"/>
        <w:jc w:val="both"/>
        <w:rPr>
          <w:rFonts w:ascii="Times" w:hAnsi="Times"/>
        </w:rPr>
      </w:pPr>
      <w:r>
        <w:rPr>
          <w:rFonts w:ascii="Times" w:hAnsi="Times"/>
        </w:rPr>
        <w:t>Thus</w:t>
      </w:r>
      <w:r w:rsidR="00E50A93">
        <w:rPr>
          <w:rFonts w:ascii="Times" w:hAnsi="Times"/>
        </w:rPr>
        <w:t xml:space="preserve">, the empirical analysis of competition law illustrates that the input-output divide in the understanding of legitimacy in Union governance is not always plausible. Expert policymaking through multi-level networks at the expense of citizen participation does not always guarantee policies resonating with public interest. A more holistic approach to legitimacy, in which input and output are perceived as equally vital and complementary elements rather than alternatives, is necessary. Finally, the empirical analysis of Union competition law also illustrates that expert discourses tend to overshadow potential democratic qualities of networks as deliberative forums. Thus, first and foremost, expert inaccessible discourses need to be complemented with accessible citizen friendly ones to improve the democratic qualities of network governance.   </w:t>
      </w:r>
    </w:p>
    <w:p w14:paraId="4E0CCCCF" w14:textId="77777777" w:rsidR="005E36BB" w:rsidRDefault="005E36BB" w:rsidP="002249E1">
      <w:pPr>
        <w:spacing w:line="480" w:lineRule="auto"/>
        <w:jc w:val="both"/>
        <w:rPr>
          <w:rFonts w:ascii="Times" w:hAnsi="Times"/>
          <w:b/>
        </w:rPr>
      </w:pPr>
    </w:p>
    <w:p w14:paraId="468D6EDE" w14:textId="6BD0E045" w:rsidR="0067574D" w:rsidRPr="003E626B" w:rsidRDefault="00C010E5" w:rsidP="002249E1">
      <w:pPr>
        <w:spacing w:line="480" w:lineRule="auto"/>
        <w:jc w:val="both"/>
        <w:rPr>
          <w:rFonts w:ascii="Times" w:hAnsi="Times"/>
          <w:b/>
        </w:rPr>
      </w:pPr>
      <w:r w:rsidRPr="003E626B">
        <w:rPr>
          <w:rFonts w:ascii="Times" w:hAnsi="Times"/>
          <w:b/>
        </w:rPr>
        <w:t>BIBLIOGRAPHY</w:t>
      </w:r>
    </w:p>
    <w:p w14:paraId="12049611" w14:textId="77777777" w:rsidR="006F41F2" w:rsidRDefault="006F41F2" w:rsidP="002249E1">
      <w:pPr>
        <w:spacing w:line="480" w:lineRule="auto"/>
        <w:jc w:val="both"/>
        <w:rPr>
          <w:rFonts w:ascii="Times" w:hAnsi="Times"/>
        </w:rPr>
      </w:pPr>
    </w:p>
    <w:p w14:paraId="19F237FD" w14:textId="434B9874" w:rsidR="0067574D" w:rsidRPr="00C830F6" w:rsidRDefault="0067574D" w:rsidP="002249E1">
      <w:pPr>
        <w:spacing w:line="480" w:lineRule="auto"/>
        <w:jc w:val="both"/>
        <w:rPr>
          <w:rFonts w:ascii="Times" w:hAnsi="Times"/>
        </w:rPr>
      </w:pPr>
      <w:r w:rsidRPr="00C830F6">
        <w:rPr>
          <w:rFonts w:ascii="Times" w:hAnsi="Times"/>
        </w:rPr>
        <w:t>Almunia, J. (2014), ‘Competition Policy and Global Economy’, Sp</w:t>
      </w:r>
      <w:r w:rsidR="004A6AC2">
        <w:rPr>
          <w:rFonts w:ascii="Times" w:hAnsi="Times"/>
        </w:rPr>
        <w:t>ee</w:t>
      </w:r>
      <w:r w:rsidRPr="00C830F6">
        <w:rPr>
          <w:rFonts w:ascii="Times" w:hAnsi="Times"/>
        </w:rPr>
        <w:t xml:space="preserve">ch that the </w:t>
      </w:r>
      <w:r w:rsidRPr="00C830F6">
        <w:rPr>
          <w:rFonts w:ascii="Times" w:hAnsi="Times" w:cs="Times New Roman"/>
          <w:color w:val="000000"/>
        </w:rPr>
        <w:t>IBA 10</w:t>
      </w:r>
      <w:r w:rsidRPr="00C830F6">
        <w:rPr>
          <w:rStyle w:val="at2"/>
          <w:rFonts w:ascii="Times" w:hAnsi="Times" w:cs="Times New Roman"/>
          <w:color w:val="000000"/>
          <w:bdr w:val="none" w:sz="0" w:space="0" w:color="auto" w:frame="1"/>
        </w:rPr>
        <w:t>th</w:t>
      </w:r>
      <w:r w:rsidRPr="00C830F6">
        <w:rPr>
          <w:rStyle w:val="apple-converted-space"/>
          <w:rFonts w:ascii="Times" w:hAnsi="Times" w:cs="Times New Roman"/>
          <w:color w:val="000000"/>
        </w:rPr>
        <w:t> </w:t>
      </w:r>
      <w:r w:rsidRPr="00C830F6">
        <w:rPr>
          <w:rFonts w:ascii="Times" w:hAnsi="Times" w:cs="Times New Roman"/>
          <w:color w:val="000000"/>
        </w:rPr>
        <w:t xml:space="preserve">Competition Mid-Year Conference, </w:t>
      </w:r>
      <w:r w:rsidRPr="00C830F6">
        <w:rPr>
          <w:rFonts w:ascii="Times" w:hAnsi="Times" w:cs="Times New Roman"/>
          <w:bCs/>
          <w:color w:val="000000"/>
        </w:rPr>
        <w:t>Cape Town, 7 March.</w:t>
      </w:r>
    </w:p>
    <w:p w14:paraId="7C5A9EE7" w14:textId="77777777" w:rsidR="0067574D" w:rsidRPr="00C830F6" w:rsidRDefault="0067574D" w:rsidP="002249E1">
      <w:pPr>
        <w:spacing w:line="480" w:lineRule="auto"/>
        <w:jc w:val="both"/>
        <w:rPr>
          <w:rFonts w:ascii="Times" w:hAnsi="Times"/>
        </w:rPr>
      </w:pPr>
    </w:p>
    <w:p w14:paraId="3B8EF463" w14:textId="63AA2F38" w:rsidR="0067574D" w:rsidRPr="00C830F6" w:rsidRDefault="0067574D" w:rsidP="002249E1">
      <w:pPr>
        <w:spacing w:line="480" w:lineRule="auto"/>
        <w:jc w:val="both"/>
        <w:rPr>
          <w:rFonts w:ascii="Times" w:hAnsi="Times"/>
        </w:rPr>
      </w:pPr>
      <w:r w:rsidRPr="00C830F6">
        <w:rPr>
          <w:rFonts w:ascii="Times" w:hAnsi="Times"/>
        </w:rPr>
        <w:t xml:space="preserve">Amariglio, J.L. (1988), </w:t>
      </w:r>
      <w:r w:rsidRPr="00C830F6">
        <w:rPr>
          <w:rStyle w:val="FootnoteTextChar"/>
          <w:sz w:val="24"/>
        </w:rPr>
        <w:t>‘The body, economics discourse, and power: an econom</w:t>
      </w:r>
      <w:r w:rsidR="002C0DDA">
        <w:rPr>
          <w:rStyle w:val="FootnoteTextChar"/>
          <w:sz w:val="24"/>
        </w:rPr>
        <w:t>ist’s introduction to Foucault’.</w:t>
      </w:r>
      <w:r w:rsidRPr="00C830F6">
        <w:rPr>
          <w:rStyle w:val="FootnoteTextChar"/>
          <w:sz w:val="24"/>
        </w:rPr>
        <w:t xml:space="preserve"> </w:t>
      </w:r>
      <w:r w:rsidRPr="00C830F6">
        <w:rPr>
          <w:rStyle w:val="FootnoteTextChar"/>
          <w:i/>
          <w:sz w:val="24"/>
        </w:rPr>
        <w:t>History of Political Economy</w:t>
      </w:r>
      <w:r w:rsidRPr="00C830F6">
        <w:rPr>
          <w:rStyle w:val="FootnoteTextChar"/>
          <w:sz w:val="24"/>
        </w:rPr>
        <w:t xml:space="preserve">, </w:t>
      </w:r>
      <w:r w:rsidR="002C0DDA">
        <w:rPr>
          <w:rStyle w:val="FootnoteTextChar"/>
          <w:sz w:val="24"/>
        </w:rPr>
        <w:t>Vol.</w:t>
      </w:r>
      <w:r w:rsidRPr="00C830F6">
        <w:rPr>
          <w:rStyle w:val="FootnoteTextChar"/>
          <w:sz w:val="24"/>
        </w:rPr>
        <w:t>20</w:t>
      </w:r>
      <w:r w:rsidR="002C0DDA">
        <w:rPr>
          <w:rStyle w:val="FootnoteTextChar"/>
          <w:sz w:val="24"/>
        </w:rPr>
        <w:t>, No.4, pp.</w:t>
      </w:r>
      <w:r w:rsidRPr="00C830F6">
        <w:rPr>
          <w:rStyle w:val="FootnoteTextChar"/>
          <w:sz w:val="24"/>
        </w:rPr>
        <w:t>583-613.</w:t>
      </w:r>
    </w:p>
    <w:p w14:paraId="7642462A" w14:textId="77777777" w:rsidR="0067574D" w:rsidRPr="00C830F6" w:rsidRDefault="0067574D" w:rsidP="002249E1">
      <w:pPr>
        <w:spacing w:line="480" w:lineRule="auto"/>
        <w:jc w:val="both"/>
        <w:rPr>
          <w:rFonts w:ascii="Times" w:hAnsi="Times"/>
          <w:lang w:val="en-US"/>
        </w:rPr>
      </w:pPr>
    </w:p>
    <w:p w14:paraId="678AAF0B" w14:textId="7FDBC663" w:rsidR="0067574D" w:rsidRPr="00C830F6" w:rsidRDefault="0067574D" w:rsidP="002249E1">
      <w:pPr>
        <w:spacing w:line="480" w:lineRule="auto"/>
        <w:jc w:val="both"/>
        <w:rPr>
          <w:rFonts w:ascii="Times" w:eastAsia="Times New Roman" w:hAnsi="Times" w:cs="Arial"/>
          <w:shd w:val="clear" w:color="auto" w:fill="FFFFFF"/>
        </w:rPr>
      </w:pPr>
      <w:r w:rsidRPr="00C830F6">
        <w:rPr>
          <w:rFonts w:ascii="Times" w:hAnsi="Times"/>
          <w:lang w:val="en-US"/>
        </w:rPr>
        <w:t xml:space="preserve">Andersen, V.N. and Hansen, K.M. (2007), </w:t>
      </w:r>
      <w:r w:rsidRPr="00C830F6">
        <w:rPr>
          <w:rFonts w:ascii="Times" w:eastAsia="Times New Roman" w:hAnsi="Times" w:cs="Arial"/>
          <w:shd w:val="clear" w:color="auto" w:fill="FFFFFF"/>
        </w:rPr>
        <w:t xml:space="preserve">‘How Deliberation Makes Better Citizens: the Danish </w:t>
      </w:r>
      <w:r w:rsidR="000E13C5">
        <w:rPr>
          <w:rFonts w:ascii="Times" w:eastAsia="Times New Roman" w:hAnsi="Times" w:cs="Arial"/>
          <w:shd w:val="clear" w:color="auto" w:fill="FFFFFF"/>
        </w:rPr>
        <w:t>Deliberative Poll on the Euro’.</w:t>
      </w:r>
      <w:r w:rsidRPr="00C830F6">
        <w:rPr>
          <w:rFonts w:ascii="Times" w:eastAsia="Times New Roman" w:hAnsi="Times" w:cs="Arial"/>
          <w:shd w:val="clear" w:color="auto" w:fill="FFFFFF"/>
        </w:rPr>
        <w:t xml:space="preserve"> </w:t>
      </w:r>
      <w:r w:rsidRPr="00C830F6">
        <w:rPr>
          <w:rFonts w:ascii="Times" w:eastAsia="Times New Roman" w:hAnsi="Times" w:cs="Arial"/>
          <w:i/>
          <w:shd w:val="clear" w:color="auto" w:fill="FFFFFF"/>
        </w:rPr>
        <w:t>European Journal of Political Research</w:t>
      </w:r>
      <w:r w:rsidRPr="00C830F6">
        <w:rPr>
          <w:rFonts w:ascii="Times" w:eastAsia="Times New Roman" w:hAnsi="Times" w:cs="Arial"/>
          <w:shd w:val="clear" w:color="auto" w:fill="FFFFFF"/>
        </w:rPr>
        <w:t xml:space="preserve">, </w:t>
      </w:r>
      <w:r w:rsidR="000E13C5">
        <w:rPr>
          <w:rFonts w:ascii="Times" w:eastAsia="Times New Roman" w:hAnsi="Times" w:cs="Arial"/>
          <w:shd w:val="clear" w:color="auto" w:fill="FFFFFF"/>
        </w:rPr>
        <w:t>Vol.46, No.4,</w:t>
      </w:r>
      <w:r w:rsidRPr="00C830F6">
        <w:rPr>
          <w:rFonts w:ascii="Times" w:eastAsia="Times New Roman" w:hAnsi="Times" w:cs="Arial"/>
          <w:shd w:val="clear" w:color="auto" w:fill="FFFFFF"/>
        </w:rPr>
        <w:t xml:space="preserve"> </w:t>
      </w:r>
      <w:r w:rsidR="000E13C5">
        <w:rPr>
          <w:rFonts w:ascii="Times" w:eastAsia="Times New Roman" w:hAnsi="Times" w:cs="Arial"/>
          <w:shd w:val="clear" w:color="auto" w:fill="FFFFFF"/>
        </w:rPr>
        <w:t>pp.</w:t>
      </w:r>
      <w:r w:rsidRPr="00C830F6">
        <w:rPr>
          <w:rFonts w:ascii="Times" w:eastAsia="Times New Roman" w:hAnsi="Times" w:cs="Arial"/>
          <w:shd w:val="clear" w:color="auto" w:fill="FFFFFF"/>
        </w:rPr>
        <w:t>531-556.</w:t>
      </w:r>
    </w:p>
    <w:p w14:paraId="4E6A2784" w14:textId="77777777" w:rsidR="0067574D" w:rsidRPr="00C830F6" w:rsidRDefault="0067574D" w:rsidP="002249E1">
      <w:pPr>
        <w:spacing w:line="480" w:lineRule="auto"/>
        <w:jc w:val="both"/>
        <w:rPr>
          <w:rFonts w:ascii="Times" w:hAnsi="Times"/>
        </w:rPr>
      </w:pPr>
    </w:p>
    <w:p w14:paraId="597AC9B8" w14:textId="767E0C8E" w:rsidR="0067574D" w:rsidRPr="00C830F6" w:rsidRDefault="0067574D" w:rsidP="002249E1">
      <w:pPr>
        <w:spacing w:line="480" w:lineRule="auto"/>
        <w:jc w:val="both"/>
        <w:rPr>
          <w:rFonts w:ascii="Times" w:hAnsi="Times"/>
        </w:rPr>
      </w:pPr>
      <w:r w:rsidRPr="00C830F6">
        <w:rPr>
          <w:rFonts w:ascii="Times" w:hAnsi="Times"/>
        </w:rPr>
        <w:t xml:space="preserve">Ansell, C. (2000), ‘The Networked Polity: Regional Development in Western Europe’, </w:t>
      </w:r>
      <w:r w:rsidRPr="009B7D78">
        <w:rPr>
          <w:rFonts w:ascii="Times" w:hAnsi="Times"/>
          <w:i/>
        </w:rPr>
        <w:t>Governance</w:t>
      </w:r>
      <w:r w:rsidR="00D379BE">
        <w:rPr>
          <w:rFonts w:ascii="Times" w:hAnsi="Times"/>
        </w:rPr>
        <w:t>.</w:t>
      </w:r>
      <w:r w:rsidR="009B7D78">
        <w:rPr>
          <w:rFonts w:ascii="Times" w:hAnsi="Times"/>
        </w:rPr>
        <w:t xml:space="preserve"> </w:t>
      </w:r>
      <w:r w:rsidR="00D379BE">
        <w:rPr>
          <w:rFonts w:ascii="Times" w:hAnsi="Times"/>
        </w:rPr>
        <w:t>Vol.13, No.3, pp.</w:t>
      </w:r>
      <w:r w:rsidRPr="00C830F6">
        <w:rPr>
          <w:rFonts w:ascii="Times" w:hAnsi="Times"/>
        </w:rPr>
        <w:t>303-333.</w:t>
      </w:r>
    </w:p>
    <w:p w14:paraId="4DA9FB40" w14:textId="77777777" w:rsidR="0067574D" w:rsidRPr="00C830F6" w:rsidRDefault="0067574D" w:rsidP="002249E1">
      <w:pPr>
        <w:spacing w:line="480" w:lineRule="auto"/>
        <w:jc w:val="both"/>
        <w:rPr>
          <w:rFonts w:ascii="Times" w:hAnsi="Times"/>
        </w:rPr>
      </w:pPr>
    </w:p>
    <w:p w14:paraId="7932ED35" w14:textId="2622F727" w:rsidR="0067574D" w:rsidRDefault="0067574D" w:rsidP="002249E1">
      <w:pPr>
        <w:spacing w:line="480" w:lineRule="auto"/>
        <w:jc w:val="both"/>
        <w:rPr>
          <w:rFonts w:ascii="Times" w:hAnsi="Times"/>
        </w:rPr>
      </w:pPr>
      <w:r w:rsidRPr="00C830F6">
        <w:rPr>
          <w:rFonts w:ascii="Times" w:hAnsi="Times"/>
        </w:rPr>
        <w:t xml:space="preserve">Beetham, D. (1991), </w:t>
      </w:r>
      <w:r w:rsidRPr="00C830F6">
        <w:rPr>
          <w:rFonts w:ascii="Times" w:hAnsi="Times"/>
          <w:i/>
        </w:rPr>
        <w:t>The Legitimation of Power</w:t>
      </w:r>
      <w:r w:rsidRPr="00C830F6">
        <w:rPr>
          <w:rFonts w:ascii="Times" w:hAnsi="Times"/>
        </w:rPr>
        <w:t>, (</w:t>
      </w:r>
      <w:r w:rsidR="0013420E">
        <w:rPr>
          <w:rFonts w:ascii="Times" w:hAnsi="Times"/>
        </w:rPr>
        <w:t xml:space="preserve">New York: </w:t>
      </w:r>
      <w:r w:rsidRPr="00C830F6">
        <w:rPr>
          <w:rFonts w:ascii="Times" w:hAnsi="Times"/>
        </w:rPr>
        <w:t>Palgrave).</w:t>
      </w:r>
    </w:p>
    <w:p w14:paraId="26705E8C" w14:textId="77777777" w:rsidR="004D5D04" w:rsidRPr="00C830F6" w:rsidRDefault="004D5D04" w:rsidP="002249E1">
      <w:pPr>
        <w:spacing w:line="480" w:lineRule="auto"/>
        <w:jc w:val="both"/>
        <w:rPr>
          <w:rFonts w:ascii="Times" w:hAnsi="Times"/>
        </w:rPr>
      </w:pPr>
    </w:p>
    <w:p w14:paraId="3FFBFB27" w14:textId="69F7E994" w:rsidR="0067574D" w:rsidRDefault="0067574D" w:rsidP="002249E1">
      <w:pPr>
        <w:spacing w:line="480" w:lineRule="auto"/>
        <w:jc w:val="both"/>
        <w:rPr>
          <w:rFonts w:ascii="Times" w:hAnsi="Times"/>
        </w:rPr>
      </w:pPr>
      <w:r w:rsidRPr="00C830F6">
        <w:rPr>
          <w:rFonts w:ascii="Times" w:hAnsi="Times"/>
        </w:rPr>
        <w:t xml:space="preserve">Bork, R. (1987), </w:t>
      </w:r>
      <w:r w:rsidRPr="00C830F6">
        <w:rPr>
          <w:rFonts w:ascii="Times" w:hAnsi="Times"/>
          <w:i/>
        </w:rPr>
        <w:t>The Antitrust Paradox</w:t>
      </w:r>
      <w:r w:rsidRPr="00C830F6">
        <w:rPr>
          <w:rFonts w:ascii="Times" w:hAnsi="Times"/>
        </w:rPr>
        <w:t>, (</w:t>
      </w:r>
      <w:r w:rsidR="00A91874">
        <w:rPr>
          <w:rFonts w:ascii="Times" w:hAnsi="Times"/>
        </w:rPr>
        <w:t xml:space="preserve">New York: </w:t>
      </w:r>
      <w:r w:rsidRPr="00C830F6">
        <w:rPr>
          <w:rFonts w:ascii="Times" w:hAnsi="Times"/>
        </w:rPr>
        <w:t>Free Press).</w:t>
      </w:r>
    </w:p>
    <w:p w14:paraId="66C8B2E6" w14:textId="77777777" w:rsidR="00026F1D" w:rsidRPr="00C830F6" w:rsidRDefault="00026F1D" w:rsidP="002249E1">
      <w:pPr>
        <w:spacing w:line="480" w:lineRule="auto"/>
        <w:jc w:val="both"/>
        <w:rPr>
          <w:rFonts w:ascii="Times" w:hAnsi="Times"/>
        </w:rPr>
      </w:pPr>
    </w:p>
    <w:p w14:paraId="40DEE354" w14:textId="0CBB4076" w:rsidR="0067574D" w:rsidRPr="00C830F6" w:rsidRDefault="0067574D" w:rsidP="002249E1">
      <w:pPr>
        <w:spacing w:line="480" w:lineRule="auto"/>
        <w:jc w:val="both"/>
        <w:rPr>
          <w:rFonts w:ascii="Times" w:hAnsi="Times"/>
        </w:rPr>
      </w:pPr>
      <w:r w:rsidRPr="00C830F6">
        <w:rPr>
          <w:rFonts w:ascii="Times" w:hAnsi="Times"/>
        </w:rPr>
        <w:t xml:space="preserve">Buch-Hansen, H. and Wigger, A. (2011), </w:t>
      </w:r>
      <w:r w:rsidRPr="00C830F6">
        <w:rPr>
          <w:rFonts w:ascii="Times" w:hAnsi="Times"/>
          <w:i/>
        </w:rPr>
        <w:t>The Politics of European Competition Regulation</w:t>
      </w:r>
      <w:r w:rsidR="00987E31">
        <w:rPr>
          <w:rFonts w:ascii="Times" w:hAnsi="Times"/>
        </w:rPr>
        <w:t xml:space="preserve">, </w:t>
      </w:r>
      <w:r w:rsidRPr="00C830F6">
        <w:rPr>
          <w:rFonts w:ascii="Times" w:hAnsi="Times"/>
        </w:rPr>
        <w:t>(</w:t>
      </w:r>
      <w:r w:rsidR="007140BE">
        <w:rPr>
          <w:rFonts w:ascii="Times" w:hAnsi="Times"/>
        </w:rPr>
        <w:t xml:space="preserve">London: </w:t>
      </w:r>
      <w:r w:rsidRPr="00C830F6">
        <w:rPr>
          <w:rFonts w:ascii="Times" w:hAnsi="Times"/>
        </w:rPr>
        <w:t>Routledge).</w:t>
      </w:r>
    </w:p>
    <w:p w14:paraId="41C3F764" w14:textId="77777777" w:rsidR="0067574D" w:rsidRPr="00C830F6" w:rsidRDefault="0067574D" w:rsidP="002249E1">
      <w:pPr>
        <w:spacing w:line="480" w:lineRule="auto"/>
        <w:jc w:val="both"/>
        <w:rPr>
          <w:rFonts w:ascii="Times" w:hAnsi="Times"/>
        </w:rPr>
      </w:pPr>
    </w:p>
    <w:p w14:paraId="15F6840F" w14:textId="7089D3AB" w:rsidR="0067574D" w:rsidRPr="00C830F6" w:rsidRDefault="0067574D" w:rsidP="002249E1">
      <w:pPr>
        <w:spacing w:line="480" w:lineRule="auto"/>
        <w:jc w:val="both"/>
        <w:rPr>
          <w:rFonts w:ascii="Times" w:hAnsi="Times"/>
        </w:rPr>
      </w:pPr>
      <w:r w:rsidRPr="00C830F6">
        <w:rPr>
          <w:rFonts w:ascii="Times" w:hAnsi="Times"/>
        </w:rPr>
        <w:t>Cengiz, F. (2010), ‘Multi-Level Governance in Competition Policy: th</w:t>
      </w:r>
      <w:r w:rsidR="00B72D69">
        <w:rPr>
          <w:rFonts w:ascii="Times" w:hAnsi="Times"/>
        </w:rPr>
        <w:t>e European Competition Network’.</w:t>
      </w:r>
      <w:r w:rsidRPr="00C830F6">
        <w:rPr>
          <w:rFonts w:ascii="Times" w:hAnsi="Times"/>
        </w:rPr>
        <w:t xml:space="preserve"> </w:t>
      </w:r>
      <w:r w:rsidRPr="007764F7">
        <w:rPr>
          <w:rFonts w:ascii="Times" w:hAnsi="Times"/>
          <w:i/>
        </w:rPr>
        <w:t>European Law Review</w:t>
      </w:r>
      <w:r w:rsidR="00B72D69">
        <w:rPr>
          <w:rFonts w:ascii="Times" w:hAnsi="Times"/>
        </w:rPr>
        <w:t>,</w:t>
      </w:r>
      <w:r w:rsidRPr="00C830F6">
        <w:rPr>
          <w:rFonts w:ascii="Times" w:hAnsi="Times"/>
        </w:rPr>
        <w:t xml:space="preserve"> </w:t>
      </w:r>
      <w:r w:rsidR="00B72D69">
        <w:rPr>
          <w:rFonts w:ascii="Times" w:hAnsi="Times"/>
        </w:rPr>
        <w:t>Vol.5, pp.</w:t>
      </w:r>
      <w:r w:rsidRPr="00C830F6">
        <w:rPr>
          <w:rFonts w:ascii="Times" w:hAnsi="Times"/>
        </w:rPr>
        <w:t>660-77.</w:t>
      </w:r>
    </w:p>
    <w:p w14:paraId="2D34E6ED" w14:textId="77777777" w:rsidR="0067574D" w:rsidRPr="00C830F6" w:rsidRDefault="0067574D" w:rsidP="002249E1">
      <w:pPr>
        <w:spacing w:line="480" w:lineRule="auto"/>
        <w:jc w:val="both"/>
        <w:rPr>
          <w:rFonts w:ascii="Times" w:hAnsi="Times"/>
        </w:rPr>
      </w:pPr>
    </w:p>
    <w:p w14:paraId="618BE3C5" w14:textId="248732AD" w:rsidR="0067574D" w:rsidRPr="00C830F6" w:rsidRDefault="0067574D" w:rsidP="002249E1">
      <w:pPr>
        <w:spacing w:line="480" w:lineRule="auto"/>
        <w:jc w:val="both"/>
        <w:rPr>
          <w:rFonts w:ascii="Times" w:eastAsia="SimSun" w:hAnsi="Times"/>
          <w:iCs/>
          <w:lang w:val="en-US" w:eastAsia="zh-CN"/>
        </w:rPr>
      </w:pPr>
      <w:r w:rsidRPr="00C830F6">
        <w:rPr>
          <w:rFonts w:ascii="Times" w:hAnsi="Times"/>
        </w:rPr>
        <w:t>Cengiz, F. (2011), ‘Judicial Review and the Rule of Law in the EU Compe</w:t>
      </w:r>
      <w:r w:rsidR="00EF4380">
        <w:rPr>
          <w:rFonts w:ascii="Times" w:hAnsi="Times"/>
        </w:rPr>
        <w:t>tition Law Regime After Alrosa’.</w:t>
      </w:r>
      <w:r w:rsidRPr="00C830F6">
        <w:rPr>
          <w:rFonts w:ascii="Times" w:hAnsi="Times"/>
        </w:rPr>
        <w:t xml:space="preserve"> </w:t>
      </w:r>
      <w:r w:rsidRPr="007764F7">
        <w:rPr>
          <w:rFonts w:ascii="Times" w:hAnsi="Times"/>
          <w:i/>
        </w:rPr>
        <w:t>European Competition Journal</w:t>
      </w:r>
      <w:r w:rsidR="007764F7">
        <w:rPr>
          <w:rFonts w:ascii="Times" w:hAnsi="Times"/>
        </w:rPr>
        <w:t>,</w:t>
      </w:r>
      <w:r w:rsidRPr="00C830F6">
        <w:rPr>
          <w:rFonts w:ascii="Times" w:hAnsi="Times"/>
        </w:rPr>
        <w:t xml:space="preserve"> </w:t>
      </w:r>
      <w:r w:rsidR="00EF4380">
        <w:rPr>
          <w:rFonts w:ascii="Times" w:hAnsi="Times"/>
        </w:rPr>
        <w:t>Vol.7, No.1,</w:t>
      </w:r>
      <w:r w:rsidRPr="00C830F6">
        <w:rPr>
          <w:rFonts w:ascii="Times" w:hAnsi="Times"/>
        </w:rPr>
        <w:t xml:space="preserve"> </w:t>
      </w:r>
      <w:r w:rsidR="00FF1EBB">
        <w:rPr>
          <w:rFonts w:ascii="Times" w:hAnsi="Times"/>
        </w:rPr>
        <w:t xml:space="preserve">No.5, </w:t>
      </w:r>
      <w:r w:rsidR="00EF4380">
        <w:rPr>
          <w:rFonts w:ascii="Times" w:hAnsi="Times"/>
        </w:rPr>
        <w:t>pp.</w:t>
      </w:r>
      <w:r w:rsidRPr="00C830F6">
        <w:rPr>
          <w:rFonts w:ascii="Times" w:hAnsi="Times"/>
        </w:rPr>
        <w:t>127-153.</w:t>
      </w:r>
    </w:p>
    <w:p w14:paraId="4EADD5F5" w14:textId="77777777" w:rsidR="0067574D" w:rsidRPr="00C830F6" w:rsidRDefault="0067574D" w:rsidP="002249E1">
      <w:pPr>
        <w:spacing w:line="480" w:lineRule="auto"/>
        <w:jc w:val="both"/>
        <w:rPr>
          <w:rFonts w:ascii="Times" w:eastAsia="SimSun" w:hAnsi="Times"/>
          <w:iCs/>
          <w:lang w:val="en-US" w:eastAsia="zh-CN"/>
        </w:rPr>
      </w:pPr>
    </w:p>
    <w:p w14:paraId="7DF5E63A" w14:textId="75FBFEFA" w:rsidR="0067574D" w:rsidRPr="00C830F6" w:rsidRDefault="0067574D" w:rsidP="002249E1">
      <w:pPr>
        <w:spacing w:line="480" w:lineRule="auto"/>
        <w:jc w:val="both"/>
        <w:rPr>
          <w:rFonts w:ascii="Times" w:eastAsia="SimSun" w:hAnsi="Times"/>
          <w:iCs/>
          <w:lang w:val="en-US" w:eastAsia="zh-CN"/>
        </w:rPr>
      </w:pPr>
      <w:r w:rsidRPr="00C830F6">
        <w:rPr>
          <w:rFonts w:ascii="Times" w:eastAsia="SimSun" w:hAnsi="Times"/>
          <w:iCs/>
          <w:lang w:val="en-US" w:eastAsia="zh-CN"/>
        </w:rPr>
        <w:t xml:space="preserve">Cengiz, F. (2013), </w:t>
      </w:r>
      <w:r w:rsidRPr="00C830F6">
        <w:rPr>
          <w:rFonts w:ascii="Times" w:eastAsia="SimSun" w:hAnsi="Times"/>
          <w:i/>
          <w:iCs/>
          <w:lang w:val="en-US" w:eastAsia="zh-CN"/>
        </w:rPr>
        <w:t xml:space="preserve">Antitrust Federalism </w:t>
      </w:r>
      <w:r w:rsidR="00823072">
        <w:rPr>
          <w:rFonts w:ascii="Times" w:eastAsia="SimSun" w:hAnsi="Times"/>
          <w:i/>
          <w:iCs/>
          <w:lang w:val="en-US" w:eastAsia="zh-CN"/>
        </w:rPr>
        <w:t>in</w:t>
      </w:r>
      <w:r w:rsidRPr="00C830F6">
        <w:rPr>
          <w:rFonts w:ascii="Times" w:eastAsia="SimSun" w:hAnsi="Times"/>
          <w:i/>
          <w:iCs/>
          <w:lang w:val="en-US" w:eastAsia="zh-CN"/>
        </w:rPr>
        <w:t xml:space="preserve"> the EU and the US</w:t>
      </w:r>
      <w:r w:rsidRPr="00C830F6">
        <w:rPr>
          <w:rFonts w:ascii="Times" w:eastAsia="SimSun" w:hAnsi="Times"/>
          <w:iCs/>
          <w:lang w:val="en-US" w:eastAsia="zh-CN"/>
        </w:rPr>
        <w:t>, (</w:t>
      </w:r>
      <w:r w:rsidR="005B69AA">
        <w:rPr>
          <w:rFonts w:ascii="Times" w:eastAsia="SimSun" w:hAnsi="Times"/>
          <w:iCs/>
          <w:lang w:val="en-US" w:eastAsia="zh-CN"/>
        </w:rPr>
        <w:t xml:space="preserve">London: </w:t>
      </w:r>
      <w:r w:rsidRPr="00C830F6">
        <w:rPr>
          <w:rFonts w:ascii="Times" w:eastAsia="SimSun" w:hAnsi="Times"/>
          <w:iCs/>
          <w:lang w:val="en-US" w:eastAsia="zh-CN"/>
        </w:rPr>
        <w:t>Routledge).</w:t>
      </w:r>
    </w:p>
    <w:p w14:paraId="5D8E312F" w14:textId="77777777" w:rsidR="0067574D" w:rsidRPr="00C830F6" w:rsidRDefault="0067574D" w:rsidP="002249E1">
      <w:pPr>
        <w:spacing w:line="480" w:lineRule="auto"/>
        <w:jc w:val="both"/>
        <w:rPr>
          <w:rFonts w:ascii="Times" w:hAnsi="Times"/>
        </w:rPr>
      </w:pPr>
    </w:p>
    <w:p w14:paraId="3301CA7E" w14:textId="5C63C4FB" w:rsidR="0067574D" w:rsidRPr="00C830F6" w:rsidRDefault="0067574D" w:rsidP="002249E1">
      <w:pPr>
        <w:spacing w:line="480" w:lineRule="auto"/>
        <w:jc w:val="both"/>
        <w:rPr>
          <w:rFonts w:ascii="Times" w:hAnsi="Times"/>
        </w:rPr>
      </w:pPr>
      <w:r w:rsidRPr="00C830F6">
        <w:rPr>
          <w:rFonts w:ascii="Times" w:hAnsi="Times"/>
        </w:rPr>
        <w:t xml:space="preserve">Cerny, </w:t>
      </w:r>
      <w:r w:rsidR="00661F4C">
        <w:rPr>
          <w:rFonts w:ascii="Times" w:hAnsi="Times"/>
        </w:rPr>
        <w:t xml:space="preserve">P. </w:t>
      </w:r>
      <w:r w:rsidRPr="00C830F6">
        <w:rPr>
          <w:rFonts w:ascii="Times" w:hAnsi="Times"/>
        </w:rPr>
        <w:t xml:space="preserve">(2014a), </w:t>
      </w:r>
      <w:r w:rsidR="00823072" w:rsidRPr="00C830F6">
        <w:rPr>
          <w:rFonts w:ascii="Times" w:hAnsi="Times"/>
        </w:rPr>
        <w:t>‘Rethinking financial regulation: risk, club goods, and regulatory fatigue’</w:t>
      </w:r>
      <w:r w:rsidR="00823072">
        <w:rPr>
          <w:rFonts w:ascii="Times" w:hAnsi="Times"/>
        </w:rPr>
        <w:t xml:space="preserve">, </w:t>
      </w:r>
      <w:r w:rsidRPr="00C830F6">
        <w:rPr>
          <w:rFonts w:ascii="Times" w:hAnsi="Times"/>
        </w:rPr>
        <w:t>in Oatley</w:t>
      </w:r>
      <w:r w:rsidR="00823072">
        <w:rPr>
          <w:rFonts w:ascii="Times" w:hAnsi="Times"/>
        </w:rPr>
        <w:t xml:space="preserve">, T. and Winecoff, W.K. (eds.), </w:t>
      </w:r>
      <w:r w:rsidRPr="00C830F6">
        <w:rPr>
          <w:rFonts w:ascii="Times" w:hAnsi="Times"/>
          <w:i/>
        </w:rPr>
        <w:t xml:space="preserve">Handbook of the International Political Economy of Monetary Relations </w:t>
      </w:r>
      <w:r w:rsidRPr="00C830F6">
        <w:rPr>
          <w:rFonts w:ascii="Times" w:hAnsi="Times"/>
        </w:rPr>
        <w:t>(</w:t>
      </w:r>
      <w:r w:rsidR="006F0275">
        <w:rPr>
          <w:rFonts w:ascii="Times" w:hAnsi="Times"/>
        </w:rPr>
        <w:t>Cheltenham: Edward Elgar), pp.48-68.</w:t>
      </w:r>
    </w:p>
    <w:p w14:paraId="66C20542" w14:textId="77777777" w:rsidR="0067574D" w:rsidRPr="00C830F6" w:rsidRDefault="0067574D" w:rsidP="002249E1">
      <w:pPr>
        <w:spacing w:line="480" w:lineRule="auto"/>
        <w:jc w:val="both"/>
        <w:rPr>
          <w:rFonts w:ascii="Times" w:hAnsi="Times"/>
        </w:rPr>
      </w:pPr>
    </w:p>
    <w:p w14:paraId="593CC455" w14:textId="1F8CBE5F" w:rsidR="004D6AC3" w:rsidRDefault="0067574D" w:rsidP="002249E1">
      <w:pPr>
        <w:spacing w:line="480" w:lineRule="auto"/>
        <w:jc w:val="both"/>
        <w:rPr>
          <w:rFonts w:ascii="Times" w:hAnsi="Times"/>
        </w:rPr>
      </w:pPr>
      <w:r w:rsidRPr="00C830F6">
        <w:rPr>
          <w:rFonts w:ascii="Times" w:hAnsi="Times"/>
        </w:rPr>
        <w:t xml:space="preserve">Cerny, P. (2014b), ‘Transnational neopluralism and the process of governance’, in Payne, A. and Philips, N. (eds.), </w:t>
      </w:r>
      <w:r w:rsidRPr="00C830F6">
        <w:rPr>
          <w:rFonts w:ascii="Times" w:hAnsi="Times"/>
          <w:i/>
        </w:rPr>
        <w:t>Handbook of the International Political Economy of Governance</w:t>
      </w:r>
      <w:r w:rsidRPr="00C830F6">
        <w:rPr>
          <w:rFonts w:ascii="Times" w:hAnsi="Times"/>
        </w:rPr>
        <w:t xml:space="preserve"> (</w:t>
      </w:r>
      <w:r w:rsidR="002E669A">
        <w:rPr>
          <w:rFonts w:ascii="Times" w:hAnsi="Times"/>
        </w:rPr>
        <w:t>Celteham, Edward Elgar), pp.343-63.</w:t>
      </w:r>
    </w:p>
    <w:p w14:paraId="43F4457E" w14:textId="77777777" w:rsidR="00CA0E8F" w:rsidRDefault="00CA0E8F" w:rsidP="002249E1">
      <w:pPr>
        <w:spacing w:line="480" w:lineRule="auto"/>
        <w:jc w:val="both"/>
        <w:rPr>
          <w:rFonts w:ascii="Times" w:hAnsi="Times"/>
        </w:rPr>
      </w:pPr>
    </w:p>
    <w:p w14:paraId="0D1ABA8F" w14:textId="20EE43D1" w:rsidR="00CA0E8F" w:rsidRDefault="00CA0E8F" w:rsidP="002249E1">
      <w:pPr>
        <w:spacing w:line="480" w:lineRule="auto"/>
        <w:jc w:val="both"/>
        <w:rPr>
          <w:rFonts w:ascii="Times" w:hAnsi="Times"/>
        </w:rPr>
      </w:pPr>
      <w:r>
        <w:rPr>
          <w:rFonts w:ascii="Times" w:hAnsi="Times"/>
        </w:rPr>
        <w:t xml:space="preserve">Chirita, A. (2014), ‘A Legal Historical Review of the EU Competition Rules’. </w:t>
      </w:r>
      <w:r w:rsidRPr="00CA0E8F">
        <w:rPr>
          <w:rFonts w:ascii="Times" w:hAnsi="Times"/>
          <w:i/>
        </w:rPr>
        <w:t>International and Comparative Law Quarterly</w:t>
      </w:r>
      <w:r>
        <w:rPr>
          <w:rFonts w:ascii="Times" w:hAnsi="Times"/>
        </w:rPr>
        <w:t>, Vol.63, No.2, pp.281-316.</w:t>
      </w:r>
    </w:p>
    <w:p w14:paraId="756FFAA1" w14:textId="77777777" w:rsidR="00DD5358" w:rsidRPr="00C830F6" w:rsidRDefault="00DD5358" w:rsidP="002249E1">
      <w:pPr>
        <w:spacing w:line="480" w:lineRule="auto"/>
        <w:jc w:val="both"/>
        <w:rPr>
          <w:rFonts w:ascii="Times" w:hAnsi="Times"/>
        </w:rPr>
      </w:pPr>
    </w:p>
    <w:p w14:paraId="6EA73C06" w14:textId="3DBCCC05" w:rsidR="0067574D" w:rsidRPr="00C830F6" w:rsidRDefault="0067574D" w:rsidP="002249E1">
      <w:pPr>
        <w:spacing w:line="480" w:lineRule="auto"/>
        <w:jc w:val="both"/>
        <w:rPr>
          <w:rFonts w:ascii="Times" w:hAnsi="Times"/>
        </w:rPr>
      </w:pPr>
      <w:r w:rsidRPr="00C830F6">
        <w:rPr>
          <w:rFonts w:ascii="Times" w:hAnsi="Times"/>
        </w:rPr>
        <w:t xml:space="preserve">Davies, W. (2014), </w:t>
      </w:r>
      <w:r w:rsidRPr="00C830F6">
        <w:rPr>
          <w:rFonts w:ascii="Times" w:hAnsi="Times"/>
          <w:i/>
        </w:rPr>
        <w:t>The Limits of Neoliberalism</w:t>
      </w:r>
      <w:r w:rsidR="00FD15AF">
        <w:rPr>
          <w:rFonts w:ascii="Times" w:hAnsi="Times"/>
        </w:rPr>
        <w:t xml:space="preserve">, </w:t>
      </w:r>
      <w:r w:rsidRPr="00C830F6">
        <w:rPr>
          <w:rFonts w:ascii="Times" w:hAnsi="Times"/>
        </w:rPr>
        <w:t>(Sage).</w:t>
      </w:r>
    </w:p>
    <w:p w14:paraId="20B69AA2" w14:textId="77777777" w:rsidR="0067574D" w:rsidRPr="00C830F6" w:rsidRDefault="0067574D" w:rsidP="002249E1">
      <w:pPr>
        <w:spacing w:line="480" w:lineRule="auto"/>
        <w:jc w:val="both"/>
        <w:rPr>
          <w:rFonts w:ascii="Times" w:hAnsi="Times"/>
        </w:rPr>
      </w:pPr>
    </w:p>
    <w:p w14:paraId="1856F46C" w14:textId="4B7975D8" w:rsidR="0067574D" w:rsidRPr="00C830F6" w:rsidRDefault="0067574D" w:rsidP="002249E1">
      <w:pPr>
        <w:spacing w:line="480" w:lineRule="auto"/>
        <w:jc w:val="both"/>
        <w:rPr>
          <w:rFonts w:ascii="Times" w:hAnsi="Times"/>
        </w:rPr>
      </w:pPr>
      <w:r w:rsidRPr="00C830F6">
        <w:rPr>
          <w:rFonts w:ascii="Times" w:hAnsi="Times"/>
        </w:rPr>
        <w:t>Dawson, M.; de Witte, F. (2013), ‘Constitutional Balance i</w:t>
      </w:r>
      <w:r w:rsidR="001D00B8">
        <w:rPr>
          <w:rFonts w:ascii="Times" w:hAnsi="Times"/>
        </w:rPr>
        <w:t>n the EU after the Euro-Crisis’.</w:t>
      </w:r>
      <w:r w:rsidRPr="00C830F6">
        <w:rPr>
          <w:rFonts w:ascii="Times" w:hAnsi="Times"/>
        </w:rPr>
        <w:t xml:space="preserve"> </w:t>
      </w:r>
      <w:r w:rsidRPr="00621C86">
        <w:rPr>
          <w:rFonts w:ascii="Times" w:hAnsi="Times"/>
          <w:i/>
        </w:rPr>
        <w:t>Modern Law Review</w:t>
      </w:r>
      <w:r w:rsidR="00621C86">
        <w:rPr>
          <w:rFonts w:ascii="Times" w:hAnsi="Times"/>
        </w:rPr>
        <w:t>,</w:t>
      </w:r>
      <w:r w:rsidRPr="00C830F6">
        <w:rPr>
          <w:rFonts w:ascii="Times" w:hAnsi="Times"/>
        </w:rPr>
        <w:t xml:space="preserve"> </w:t>
      </w:r>
      <w:r w:rsidR="001D00B8">
        <w:rPr>
          <w:rFonts w:ascii="Times" w:hAnsi="Times"/>
        </w:rPr>
        <w:t>Vol.76, No.5,</w:t>
      </w:r>
      <w:r w:rsidRPr="00C830F6">
        <w:rPr>
          <w:rFonts w:ascii="Times" w:hAnsi="Times"/>
        </w:rPr>
        <w:t xml:space="preserve"> </w:t>
      </w:r>
      <w:r w:rsidR="001D00B8">
        <w:rPr>
          <w:rFonts w:ascii="Times" w:hAnsi="Times"/>
        </w:rPr>
        <w:t>pp.</w:t>
      </w:r>
      <w:r w:rsidRPr="00C830F6">
        <w:rPr>
          <w:rFonts w:ascii="Times" w:hAnsi="Times"/>
        </w:rPr>
        <w:t xml:space="preserve">817-844. </w:t>
      </w:r>
    </w:p>
    <w:p w14:paraId="5AEB9638" w14:textId="77777777" w:rsidR="0067574D" w:rsidRPr="00C830F6" w:rsidRDefault="0067574D" w:rsidP="002249E1">
      <w:pPr>
        <w:spacing w:line="480" w:lineRule="auto"/>
        <w:jc w:val="both"/>
        <w:rPr>
          <w:rFonts w:ascii="Times" w:hAnsi="Times"/>
        </w:rPr>
      </w:pPr>
    </w:p>
    <w:p w14:paraId="1AEECB05" w14:textId="1AE7EB2E" w:rsidR="0067574D" w:rsidRPr="00C830F6" w:rsidRDefault="0067574D" w:rsidP="002249E1">
      <w:pPr>
        <w:spacing w:line="480" w:lineRule="auto"/>
        <w:jc w:val="both"/>
        <w:rPr>
          <w:rFonts w:ascii="Times" w:hAnsi="Times"/>
          <w:lang w:val="en-US"/>
        </w:rPr>
      </w:pPr>
      <w:r w:rsidRPr="00C830F6">
        <w:rPr>
          <w:rFonts w:ascii="Times" w:hAnsi="Times"/>
        </w:rPr>
        <w:t xml:space="preserve">Dryzek, J.S. (2008), ‘Networks and Democratic Ideals: Equality, Freedom, and Communication’, in Sorensen, E and Torfing, J. (eds.), </w:t>
      </w:r>
      <w:r w:rsidRPr="00C830F6">
        <w:rPr>
          <w:rFonts w:ascii="Times" w:hAnsi="Times"/>
          <w:i/>
        </w:rPr>
        <w:t>Theories of Democratic Network Governance</w:t>
      </w:r>
      <w:r w:rsidR="00061146">
        <w:rPr>
          <w:rFonts w:ascii="Times" w:hAnsi="Times"/>
        </w:rPr>
        <w:t xml:space="preserve">, </w:t>
      </w:r>
      <w:r w:rsidRPr="00C830F6">
        <w:rPr>
          <w:rFonts w:ascii="Times" w:hAnsi="Times"/>
        </w:rPr>
        <w:t>(</w:t>
      </w:r>
      <w:r w:rsidR="000B5883">
        <w:rPr>
          <w:rFonts w:ascii="Times" w:hAnsi="Times"/>
        </w:rPr>
        <w:t xml:space="preserve">New York: </w:t>
      </w:r>
      <w:r w:rsidRPr="00C830F6">
        <w:rPr>
          <w:rFonts w:ascii="Times" w:hAnsi="Times"/>
        </w:rPr>
        <w:t>Palgrave).</w:t>
      </w:r>
    </w:p>
    <w:p w14:paraId="55EF4F23" w14:textId="77777777" w:rsidR="0067574D" w:rsidRPr="00C830F6" w:rsidRDefault="0067574D" w:rsidP="002249E1">
      <w:pPr>
        <w:spacing w:line="480" w:lineRule="auto"/>
        <w:jc w:val="both"/>
        <w:rPr>
          <w:rFonts w:ascii="Times" w:hAnsi="Times"/>
          <w:lang w:val="en-US"/>
        </w:rPr>
      </w:pPr>
    </w:p>
    <w:p w14:paraId="58BBE720" w14:textId="715C2B64" w:rsidR="0067574D" w:rsidRPr="00C830F6" w:rsidRDefault="0067574D" w:rsidP="002249E1">
      <w:pPr>
        <w:spacing w:line="480" w:lineRule="auto"/>
        <w:jc w:val="both"/>
        <w:rPr>
          <w:rFonts w:ascii="Times" w:hAnsi="Times"/>
          <w:lang w:val="en-US"/>
        </w:rPr>
      </w:pPr>
      <w:r w:rsidRPr="00C830F6">
        <w:rPr>
          <w:rFonts w:ascii="Times" w:hAnsi="Times"/>
          <w:lang w:val="en-US"/>
        </w:rPr>
        <w:t xml:space="preserve">Dryzek, J.S. (2010), </w:t>
      </w:r>
      <w:r w:rsidRPr="00C830F6">
        <w:rPr>
          <w:rFonts w:ascii="Times" w:hAnsi="Times"/>
          <w:i/>
          <w:lang w:val="en-US"/>
        </w:rPr>
        <w:t>Foundations and Frontiers of Deliberative Governance</w:t>
      </w:r>
      <w:r w:rsidR="00061146">
        <w:rPr>
          <w:rFonts w:ascii="Times" w:hAnsi="Times"/>
          <w:lang w:val="en-US"/>
        </w:rPr>
        <w:t xml:space="preserve">, </w:t>
      </w:r>
      <w:r w:rsidRPr="00C830F6">
        <w:rPr>
          <w:rFonts w:ascii="Times" w:hAnsi="Times"/>
          <w:lang w:val="en-US"/>
        </w:rPr>
        <w:t>(</w:t>
      </w:r>
      <w:r w:rsidR="00E83FD1">
        <w:rPr>
          <w:rFonts w:ascii="Times" w:hAnsi="Times"/>
          <w:lang w:val="en-US"/>
        </w:rPr>
        <w:t xml:space="preserve">Oxford: </w:t>
      </w:r>
      <w:r w:rsidRPr="00C830F6">
        <w:rPr>
          <w:rFonts w:ascii="Times" w:hAnsi="Times"/>
          <w:lang w:val="en-US"/>
        </w:rPr>
        <w:t>OUP).</w:t>
      </w:r>
    </w:p>
    <w:p w14:paraId="3B9EA8AB" w14:textId="77777777" w:rsidR="0067574D" w:rsidRPr="00C830F6" w:rsidRDefault="0067574D" w:rsidP="002249E1">
      <w:pPr>
        <w:spacing w:line="480" w:lineRule="auto"/>
        <w:jc w:val="both"/>
        <w:rPr>
          <w:rFonts w:ascii="Times" w:hAnsi="Times"/>
        </w:rPr>
      </w:pPr>
    </w:p>
    <w:p w14:paraId="50B96D21" w14:textId="753FDE8D" w:rsidR="0067574D" w:rsidRPr="00C830F6" w:rsidRDefault="0067574D" w:rsidP="002249E1">
      <w:pPr>
        <w:spacing w:line="480" w:lineRule="auto"/>
        <w:jc w:val="both"/>
        <w:rPr>
          <w:rFonts w:ascii="Times" w:hAnsi="Times"/>
        </w:rPr>
      </w:pPr>
      <w:r w:rsidRPr="00C830F6">
        <w:rPr>
          <w:rFonts w:ascii="Times" w:hAnsi="Times"/>
        </w:rPr>
        <w:t>EAGCP (2005), ‘An Economic Approach to Article 82’, &lt;http://ec.europa.eu/dgs/competition/economist/eagcp_july_21_05.pdf&gt;.</w:t>
      </w:r>
    </w:p>
    <w:p w14:paraId="749C6FFD" w14:textId="77777777" w:rsidR="0067574D" w:rsidRPr="00C830F6" w:rsidRDefault="0067574D" w:rsidP="002249E1">
      <w:pPr>
        <w:spacing w:line="480" w:lineRule="auto"/>
        <w:jc w:val="both"/>
        <w:rPr>
          <w:rFonts w:ascii="Times" w:hAnsi="Times"/>
        </w:rPr>
      </w:pPr>
    </w:p>
    <w:p w14:paraId="422A61D3" w14:textId="77777777" w:rsidR="0067574D" w:rsidRDefault="0067574D" w:rsidP="002249E1">
      <w:pPr>
        <w:spacing w:line="480" w:lineRule="auto"/>
        <w:jc w:val="both"/>
        <w:rPr>
          <w:rFonts w:ascii="Times" w:hAnsi="Times"/>
        </w:rPr>
      </w:pPr>
      <w:r w:rsidRPr="00C830F6">
        <w:rPr>
          <w:rFonts w:ascii="Times" w:hAnsi="Times"/>
        </w:rPr>
        <w:t xml:space="preserve">European Commission (2009), Report on the Functioning of Regulation 1/2003, Brussels 24.9.2009, COM(2009) 206 final. </w:t>
      </w:r>
    </w:p>
    <w:p w14:paraId="6D44A214" w14:textId="77777777" w:rsidR="003E0A3E" w:rsidRDefault="003E0A3E" w:rsidP="002249E1">
      <w:pPr>
        <w:spacing w:line="480" w:lineRule="auto"/>
        <w:jc w:val="both"/>
        <w:rPr>
          <w:rFonts w:ascii="Times" w:hAnsi="Times"/>
        </w:rPr>
      </w:pPr>
    </w:p>
    <w:p w14:paraId="69C45602" w14:textId="433BCD4F" w:rsidR="003E0A3E" w:rsidRDefault="003E0A3E" w:rsidP="002249E1">
      <w:pPr>
        <w:spacing w:line="480" w:lineRule="auto"/>
        <w:jc w:val="both"/>
        <w:rPr>
          <w:rFonts w:ascii="Times" w:hAnsi="Times"/>
        </w:rPr>
      </w:pPr>
      <w:r>
        <w:rPr>
          <w:rFonts w:ascii="Times" w:hAnsi="Times"/>
        </w:rPr>
        <w:t xml:space="preserve">European Commission (2010), Communication – Europe 2020, </w:t>
      </w:r>
      <w:r w:rsidR="002D633A" w:rsidRPr="002D633A">
        <w:rPr>
          <w:rFonts w:ascii="Times" w:hAnsi="Times"/>
        </w:rPr>
        <w:t>Brussels, 3.3.2010 COM(2010) 2020 final</w:t>
      </w:r>
      <w:r w:rsidR="002D633A">
        <w:rPr>
          <w:rFonts w:ascii="Times" w:hAnsi="Times"/>
        </w:rPr>
        <w:t xml:space="preserve">. </w:t>
      </w:r>
    </w:p>
    <w:p w14:paraId="5968C0A3" w14:textId="77777777" w:rsidR="00492021" w:rsidRDefault="00492021" w:rsidP="002249E1">
      <w:pPr>
        <w:spacing w:line="480" w:lineRule="auto"/>
        <w:jc w:val="both"/>
        <w:rPr>
          <w:rFonts w:ascii="Times" w:hAnsi="Times"/>
        </w:rPr>
      </w:pPr>
    </w:p>
    <w:p w14:paraId="22B31598" w14:textId="36DACA48" w:rsidR="00492021" w:rsidRPr="00C830F6" w:rsidRDefault="00492021" w:rsidP="002249E1">
      <w:pPr>
        <w:spacing w:line="480" w:lineRule="auto"/>
        <w:rPr>
          <w:rFonts w:ascii="Times" w:hAnsi="Times"/>
        </w:rPr>
      </w:pPr>
      <w:r>
        <w:rPr>
          <w:rFonts w:ascii="Times" w:hAnsi="Times"/>
        </w:rPr>
        <w:t xml:space="preserve">European Council (2000), </w:t>
      </w:r>
      <w:r w:rsidR="00224C8A">
        <w:rPr>
          <w:rFonts w:ascii="Times" w:hAnsi="Times"/>
        </w:rPr>
        <w:t>Pr</w:t>
      </w:r>
      <w:r>
        <w:rPr>
          <w:rFonts w:ascii="Times" w:hAnsi="Times"/>
        </w:rPr>
        <w:t>esidency Conclusions, Lisbon European Council, 23 and 34 March, &lt;</w:t>
      </w:r>
      <w:r w:rsidRPr="00492021">
        <w:rPr>
          <w:rFonts w:ascii="Times" w:hAnsi="Times"/>
        </w:rPr>
        <w:t>http://www.consilium.europa.eu/uedocs/cms_data/docs/pressdata/en/ec/00100-r1.en0.htm</w:t>
      </w:r>
      <w:r>
        <w:rPr>
          <w:rFonts w:ascii="Times" w:hAnsi="Times"/>
        </w:rPr>
        <w:t>&gt;.</w:t>
      </w:r>
    </w:p>
    <w:p w14:paraId="6EF7AFA5" w14:textId="77777777" w:rsidR="0067574D" w:rsidRPr="00C830F6" w:rsidRDefault="0067574D" w:rsidP="002249E1">
      <w:pPr>
        <w:spacing w:line="480" w:lineRule="auto"/>
        <w:jc w:val="both"/>
        <w:rPr>
          <w:rFonts w:ascii="Times" w:hAnsi="Times"/>
        </w:rPr>
      </w:pPr>
    </w:p>
    <w:p w14:paraId="2F1A3E89" w14:textId="302391CE" w:rsidR="0067574D" w:rsidRPr="00C830F6" w:rsidRDefault="0067574D" w:rsidP="002249E1">
      <w:pPr>
        <w:spacing w:line="480" w:lineRule="auto"/>
        <w:jc w:val="both"/>
        <w:rPr>
          <w:rFonts w:ascii="Times" w:hAnsi="Times"/>
        </w:rPr>
      </w:pPr>
      <w:r w:rsidRPr="00C830F6">
        <w:rPr>
          <w:rFonts w:ascii="Times" w:hAnsi="Times"/>
        </w:rPr>
        <w:t xml:space="preserve">Friedman, D.D. (2000), </w:t>
      </w:r>
      <w:r w:rsidRPr="00C830F6">
        <w:rPr>
          <w:rFonts w:ascii="Times" w:hAnsi="Times"/>
          <w:i/>
        </w:rPr>
        <w:t>Law’s Order</w:t>
      </w:r>
      <w:r w:rsidR="00FD15AF">
        <w:rPr>
          <w:rFonts w:ascii="Times" w:hAnsi="Times"/>
        </w:rPr>
        <w:t xml:space="preserve">, </w:t>
      </w:r>
      <w:r w:rsidRPr="00C830F6">
        <w:rPr>
          <w:rFonts w:ascii="Times" w:hAnsi="Times"/>
        </w:rPr>
        <w:t>(</w:t>
      </w:r>
      <w:r w:rsidR="00E66AC4">
        <w:rPr>
          <w:rFonts w:ascii="Times" w:hAnsi="Times"/>
        </w:rPr>
        <w:t xml:space="preserve">Princeton: </w:t>
      </w:r>
      <w:r w:rsidRPr="00C830F6">
        <w:rPr>
          <w:rFonts w:ascii="Times" w:hAnsi="Times"/>
        </w:rPr>
        <w:t>PUP).</w:t>
      </w:r>
    </w:p>
    <w:p w14:paraId="1CDDCF56" w14:textId="77777777" w:rsidR="0067574D" w:rsidRPr="00C830F6" w:rsidRDefault="0067574D" w:rsidP="002249E1">
      <w:pPr>
        <w:spacing w:line="480" w:lineRule="auto"/>
        <w:jc w:val="both"/>
        <w:rPr>
          <w:rFonts w:ascii="Times" w:hAnsi="Times"/>
        </w:rPr>
      </w:pPr>
    </w:p>
    <w:p w14:paraId="0467C740" w14:textId="0EE780A5" w:rsidR="0067574D" w:rsidRDefault="0067574D" w:rsidP="002249E1">
      <w:pPr>
        <w:spacing w:line="480" w:lineRule="auto"/>
        <w:jc w:val="both"/>
        <w:rPr>
          <w:rFonts w:ascii="Times" w:eastAsia="Times New Roman" w:hAnsi="Times" w:cs="Times New Roman"/>
          <w:color w:val="000000"/>
          <w:shd w:val="clear" w:color="auto" w:fill="FFFFFF"/>
        </w:rPr>
      </w:pPr>
      <w:r w:rsidRPr="00C830F6">
        <w:rPr>
          <w:rFonts w:ascii="Times" w:eastAsia="Times New Roman" w:hAnsi="Times" w:cs="Times New Roman"/>
          <w:color w:val="000000"/>
          <w:shd w:val="clear" w:color="auto" w:fill="FFFFFF"/>
        </w:rPr>
        <w:t>Gerber, D. (1994), ‘The Transformation of Euro</w:t>
      </w:r>
      <w:r w:rsidR="003D5A13">
        <w:rPr>
          <w:rFonts w:ascii="Times" w:eastAsia="Times New Roman" w:hAnsi="Times" w:cs="Times New Roman"/>
          <w:color w:val="000000"/>
          <w:shd w:val="clear" w:color="auto" w:fill="FFFFFF"/>
        </w:rPr>
        <w:t>pean Community Competition Law’.</w:t>
      </w:r>
      <w:r w:rsidRPr="00C830F6">
        <w:rPr>
          <w:rFonts w:ascii="Times" w:eastAsia="Times New Roman" w:hAnsi="Times" w:cs="Times New Roman"/>
          <w:color w:val="000000"/>
          <w:shd w:val="clear" w:color="auto" w:fill="FFFFFF"/>
        </w:rPr>
        <w:t xml:space="preserve"> </w:t>
      </w:r>
      <w:r w:rsidRPr="00C830F6">
        <w:rPr>
          <w:rFonts w:ascii="Times" w:eastAsia="Times New Roman" w:hAnsi="Times" w:cs="Times New Roman"/>
          <w:i/>
          <w:color w:val="000000"/>
          <w:shd w:val="clear" w:color="auto" w:fill="FFFFFF"/>
        </w:rPr>
        <w:t>Harvard International Law Journal</w:t>
      </w:r>
      <w:r w:rsidRPr="00C830F6">
        <w:rPr>
          <w:rFonts w:ascii="Times" w:eastAsia="Times New Roman" w:hAnsi="Times" w:cs="Times New Roman"/>
          <w:color w:val="000000"/>
          <w:shd w:val="clear" w:color="auto" w:fill="FFFFFF"/>
        </w:rPr>
        <w:t xml:space="preserve">, </w:t>
      </w:r>
      <w:r w:rsidR="003D5A13">
        <w:rPr>
          <w:rFonts w:ascii="Times" w:eastAsia="Times New Roman" w:hAnsi="Times" w:cs="Times New Roman"/>
          <w:color w:val="000000"/>
          <w:shd w:val="clear" w:color="auto" w:fill="FFFFFF"/>
        </w:rPr>
        <w:t>Vol.35, No.1</w:t>
      </w:r>
      <w:r w:rsidRPr="00C830F6">
        <w:rPr>
          <w:rFonts w:ascii="Times" w:eastAsia="Times New Roman" w:hAnsi="Times" w:cs="Times New Roman"/>
          <w:color w:val="000000"/>
          <w:shd w:val="clear" w:color="auto" w:fill="FFFFFF"/>
        </w:rPr>
        <w:t>: 97-147.</w:t>
      </w:r>
    </w:p>
    <w:p w14:paraId="16705FCC" w14:textId="77777777" w:rsidR="007E5248" w:rsidRDefault="007E5248" w:rsidP="002249E1">
      <w:pPr>
        <w:spacing w:line="480" w:lineRule="auto"/>
        <w:jc w:val="both"/>
        <w:rPr>
          <w:rFonts w:ascii="Times" w:eastAsia="Times New Roman" w:hAnsi="Times" w:cs="Times New Roman"/>
          <w:color w:val="000000"/>
          <w:shd w:val="clear" w:color="auto" w:fill="FFFFFF"/>
        </w:rPr>
      </w:pPr>
    </w:p>
    <w:p w14:paraId="7E6FBD3A" w14:textId="45A2DDA4" w:rsidR="007E5248" w:rsidRPr="007E5248" w:rsidRDefault="007E5248" w:rsidP="007E5248">
      <w:pPr>
        <w:spacing w:line="480" w:lineRule="auto"/>
        <w:jc w:val="both"/>
        <w:rPr>
          <w:rFonts w:ascii="Times" w:eastAsia="Times New Roman" w:hAnsi="Times" w:cs="Times New Roman"/>
          <w:color w:val="000000"/>
          <w:shd w:val="clear" w:color="auto" w:fill="FFFFFF"/>
        </w:rPr>
      </w:pPr>
      <w:r w:rsidRPr="007E5248">
        <w:rPr>
          <w:rFonts w:ascii="Times" w:eastAsia="Times New Roman" w:hAnsi="Times" w:cs="Times New Roman"/>
          <w:color w:val="000000"/>
          <w:shd w:val="clear" w:color="auto" w:fill="FFFFFF"/>
        </w:rPr>
        <w:t>Griffith, R.; Nesheim, L.; O’Connell, M. (2015), ‘</w:t>
      </w:r>
      <w:r>
        <w:rPr>
          <w:rFonts w:ascii="Times" w:hAnsi="Times" w:cs="Arial"/>
          <w:bCs/>
        </w:rPr>
        <w:t>Income Effects and the W</w:t>
      </w:r>
      <w:r w:rsidRPr="007E5248">
        <w:rPr>
          <w:rFonts w:ascii="Times" w:hAnsi="Times" w:cs="Arial"/>
          <w:bCs/>
        </w:rPr>
        <w:t xml:space="preserve">elfare </w:t>
      </w:r>
      <w:r>
        <w:rPr>
          <w:rFonts w:ascii="Times" w:hAnsi="Times" w:cs="Arial"/>
          <w:bCs/>
        </w:rPr>
        <w:t>Consequences of Tax in Differentiated Product O</w:t>
      </w:r>
      <w:r w:rsidRPr="007E5248">
        <w:rPr>
          <w:rFonts w:ascii="Times" w:hAnsi="Times" w:cs="Arial"/>
          <w:bCs/>
        </w:rPr>
        <w:t>ligopoly’</w:t>
      </w:r>
      <w:r>
        <w:rPr>
          <w:rFonts w:ascii="Times" w:hAnsi="Times" w:cs="Arial"/>
          <w:bCs/>
        </w:rPr>
        <w:t xml:space="preserve">, UCL Cemmap Working Paper, </w:t>
      </w:r>
      <w:r w:rsidRPr="007E5248">
        <w:rPr>
          <w:rFonts w:ascii="Times" w:hAnsi="Times" w:cs="Arial"/>
          <w:bCs/>
        </w:rPr>
        <w:t xml:space="preserve"> </w:t>
      </w:r>
      <w:r>
        <w:rPr>
          <w:rFonts w:ascii="Times" w:hAnsi="Times" w:cs="Arial"/>
          <w:bCs/>
        </w:rPr>
        <w:t>CWP23/15.</w:t>
      </w:r>
    </w:p>
    <w:p w14:paraId="1C538DC9" w14:textId="77777777" w:rsidR="0067574D" w:rsidRPr="00C830F6" w:rsidRDefault="0067574D" w:rsidP="002249E1">
      <w:pPr>
        <w:spacing w:line="480" w:lineRule="auto"/>
        <w:jc w:val="both"/>
        <w:rPr>
          <w:rFonts w:ascii="Times" w:hAnsi="Times"/>
          <w:lang w:val="en-US"/>
        </w:rPr>
      </w:pPr>
    </w:p>
    <w:p w14:paraId="4C731FF3" w14:textId="1CBC1114" w:rsidR="0067574D" w:rsidRPr="00C830F6" w:rsidRDefault="0067574D" w:rsidP="002249E1">
      <w:pPr>
        <w:spacing w:line="480" w:lineRule="auto"/>
        <w:jc w:val="both"/>
        <w:rPr>
          <w:rFonts w:ascii="Times" w:hAnsi="Times"/>
        </w:rPr>
      </w:pPr>
      <w:r w:rsidRPr="00C830F6">
        <w:rPr>
          <w:rFonts w:ascii="Times" w:hAnsi="Times"/>
          <w:lang w:val="en-US"/>
        </w:rPr>
        <w:t xml:space="preserve">Goodin, R.E. and Dryzek, J.S. (2008) </w:t>
      </w:r>
      <w:r w:rsidRPr="00C830F6">
        <w:rPr>
          <w:rStyle w:val="FootnoteTextChar"/>
          <w:sz w:val="24"/>
        </w:rPr>
        <w:t xml:space="preserve">‘Making Use of Mini-Publics’, in Goodin, R.E. (ed.), </w:t>
      </w:r>
      <w:r w:rsidRPr="00C830F6">
        <w:rPr>
          <w:rStyle w:val="FootnoteTextChar"/>
          <w:i/>
          <w:sz w:val="24"/>
        </w:rPr>
        <w:t>Innovating Democracy: Democratic Theory and Practice After the Deliberative Turn</w:t>
      </w:r>
      <w:r w:rsidR="00061146">
        <w:rPr>
          <w:rStyle w:val="FootnoteTextChar"/>
          <w:sz w:val="24"/>
        </w:rPr>
        <w:t xml:space="preserve">, </w:t>
      </w:r>
      <w:r w:rsidRPr="00C830F6">
        <w:rPr>
          <w:rStyle w:val="FootnoteTextChar"/>
          <w:sz w:val="24"/>
        </w:rPr>
        <w:t>(</w:t>
      </w:r>
      <w:r w:rsidR="004D7D40">
        <w:rPr>
          <w:rStyle w:val="FootnoteTextChar"/>
          <w:sz w:val="24"/>
        </w:rPr>
        <w:t xml:space="preserve">Oxford: </w:t>
      </w:r>
      <w:r w:rsidRPr="00C830F6">
        <w:rPr>
          <w:rStyle w:val="FootnoteTextChar"/>
          <w:sz w:val="24"/>
        </w:rPr>
        <w:t>OUP)</w:t>
      </w:r>
      <w:r w:rsidR="00221C88">
        <w:rPr>
          <w:rStyle w:val="FootnoteTextChar"/>
          <w:sz w:val="24"/>
        </w:rPr>
        <w:t>, pp.11-38.</w:t>
      </w:r>
    </w:p>
    <w:p w14:paraId="737D42BD" w14:textId="77777777" w:rsidR="0067574D" w:rsidRPr="00C830F6" w:rsidRDefault="0067574D" w:rsidP="002249E1">
      <w:pPr>
        <w:spacing w:line="480" w:lineRule="auto"/>
        <w:jc w:val="both"/>
        <w:rPr>
          <w:rFonts w:ascii="Times" w:hAnsi="Times"/>
          <w:lang w:val="en-US"/>
        </w:rPr>
      </w:pPr>
    </w:p>
    <w:p w14:paraId="27763496" w14:textId="36A77D38" w:rsidR="0067574D" w:rsidRPr="00C830F6" w:rsidRDefault="0067574D" w:rsidP="002249E1">
      <w:pPr>
        <w:spacing w:line="480" w:lineRule="auto"/>
        <w:jc w:val="both"/>
        <w:rPr>
          <w:rFonts w:ascii="Times" w:eastAsia="Times New Roman" w:hAnsi="Times" w:cs="Times New Roman"/>
          <w:color w:val="000000"/>
          <w:shd w:val="clear" w:color="auto" w:fill="FFFFFF"/>
        </w:rPr>
      </w:pPr>
      <w:r w:rsidRPr="00C830F6">
        <w:rPr>
          <w:rFonts w:ascii="Times" w:eastAsia="Times New Roman" w:hAnsi="Times" w:cs="Times New Roman"/>
          <w:color w:val="000000"/>
          <w:shd w:val="clear" w:color="auto" w:fill="FFFFFF"/>
        </w:rPr>
        <w:t xml:space="preserve">Gormsen, L. (2007), </w:t>
      </w:r>
      <w:r w:rsidRPr="00C830F6">
        <w:rPr>
          <w:rFonts w:ascii="Times" w:eastAsia="Times New Roman" w:hAnsi="Times" w:cs="Times New Roman"/>
          <w:i/>
          <w:color w:val="000000"/>
          <w:shd w:val="clear" w:color="auto" w:fill="FFFFFF"/>
        </w:rPr>
        <w:t>A Principled Approach to Abuse of Dominance in European Competition Law</w:t>
      </w:r>
      <w:r w:rsidR="00FD15AF">
        <w:rPr>
          <w:rFonts w:ascii="Times" w:eastAsia="Times New Roman" w:hAnsi="Times" w:cs="Times New Roman"/>
          <w:color w:val="000000"/>
          <w:shd w:val="clear" w:color="auto" w:fill="FFFFFF"/>
        </w:rPr>
        <w:t xml:space="preserve">, </w:t>
      </w:r>
      <w:r w:rsidRPr="00C830F6">
        <w:rPr>
          <w:rFonts w:ascii="Times" w:eastAsia="Times New Roman" w:hAnsi="Times" w:cs="Times New Roman"/>
          <w:color w:val="000000"/>
          <w:shd w:val="clear" w:color="auto" w:fill="FFFFFF"/>
        </w:rPr>
        <w:t>(</w:t>
      </w:r>
      <w:r w:rsidR="004D7D40">
        <w:rPr>
          <w:rFonts w:ascii="Times" w:eastAsia="Times New Roman" w:hAnsi="Times" w:cs="Times New Roman"/>
          <w:color w:val="000000"/>
          <w:shd w:val="clear" w:color="auto" w:fill="FFFFFF"/>
        </w:rPr>
        <w:t xml:space="preserve">Cambridge: </w:t>
      </w:r>
      <w:r w:rsidRPr="00C830F6">
        <w:rPr>
          <w:rFonts w:ascii="Times" w:eastAsia="Times New Roman" w:hAnsi="Times" w:cs="Times New Roman"/>
          <w:color w:val="000000"/>
          <w:shd w:val="clear" w:color="auto" w:fill="FFFFFF"/>
        </w:rPr>
        <w:t xml:space="preserve">CUP).  </w:t>
      </w:r>
    </w:p>
    <w:p w14:paraId="7CCC35EE" w14:textId="77777777" w:rsidR="0067574D" w:rsidRPr="00C830F6" w:rsidRDefault="0067574D" w:rsidP="002249E1">
      <w:pPr>
        <w:spacing w:line="480" w:lineRule="auto"/>
        <w:jc w:val="both"/>
        <w:rPr>
          <w:rFonts w:ascii="Times" w:eastAsia="Times New Roman" w:hAnsi="Times" w:cs="Times New Roman"/>
          <w:color w:val="000000"/>
          <w:shd w:val="clear" w:color="auto" w:fill="FFFFFF"/>
        </w:rPr>
      </w:pPr>
    </w:p>
    <w:p w14:paraId="413DEAB0" w14:textId="7B0C7973" w:rsidR="0067574D" w:rsidRDefault="0067574D" w:rsidP="002249E1">
      <w:pPr>
        <w:spacing w:line="480" w:lineRule="auto"/>
        <w:jc w:val="both"/>
        <w:rPr>
          <w:rFonts w:ascii="Times" w:hAnsi="Times"/>
        </w:rPr>
      </w:pPr>
      <w:r w:rsidRPr="00C830F6">
        <w:rPr>
          <w:rFonts w:ascii="Times" w:hAnsi="Times"/>
          <w:lang w:val="en-US"/>
        </w:rPr>
        <w:t xml:space="preserve">Gutmann, A. and Thompson, D. (1998), </w:t>
      </w:r>
      <w:r w:rsidRPr="00C830F6">
        <w:rPr>
          <w:rFonts w:ascii="Times" w:hAnsi="Times"/>
          <w:i/>
        </w:rPr>
        <w:t>Democracy and Disagreement</w:t>
      </w:r>
      <w:r w:rsidR="00FD15AF">
        <w:rPr>
          <w:rFonts w:ascii="Times" w:hAnsi="Times"/>
        </w:rPr>
        <w:t xml:space="preserve">, </w:t>
      </w:r>
      <w:r w:rsidRPr="00C830F6">
        <w:rPr>
          <w:rFonts w:ascii="Times" w:hAnsi="Times"/>
        </w:rPr>
        <w:t>(</w:t>
      </w:r>
      <w:r w:rsidR="000E5870">
        <w:rPr>
          <w:rFonts w:ascii="Times" w:hAnsi="Times"/>
        </w:rPr>
        <w:t xml:space="preserve">Harvard: </w:t>
      </w:r>
      <w:r w:rsidRPr="00C830F6">
        <w:rPr>
          <w:rFonts w:ascii="Times" w:hAnsi="Times"/>
        </w:rPr>
        <w:t>Belknap).</w:t>
      </w:r>
    </w:p>
    <w:p w14:paraId="4DC28F75" w14:textId="77777777" w:rsidR="003A612D" w:rsidRDefault="003A612D" w:rsidP="002249E1">
      <w:pPr>
        <w:spacing w:line="480" w:lineRule="auto"/>
        <w:jc w:val="both"/>
        <w:rPr>
          <w:rFonts w:ascii="Times" w:hAnsi="Times"/>
        </w:rPr>
      </w:pPr>
    </w:p>
    <w:p w14:paraId="3C065711" w14:textId="0A35B1C8" w:rsidR="003A612D" w:rsidRPr="00C830F6" w:rsidRDefault="003A612D" w:rsidP="002249E1">
      <w:pPr>
        <w:spacing w:line="480" w:lineRule="auto"/>
        <w:jc w:val="both"/>
        <w:rPr>
          <w:rFonts w:ascii="Times" w:hAnsi="Times"/>
          <w:lang w:val="en-US"/>
        </w:rPr>
      </w:pPr>
      <w:r>
        <w:rPr>
          <w:rFonts w:ascii="Times" w:hAnsi="Times"/>
        </w:rPr>
        <w:t>Haas, P.M. (1992), ‘Introduction: epistemic communities and int</w:t>
      </w:r>
      <w:r w:rsidR="00946496">
        <w:rPr>
          <w:rFonts w:ascii="Times" w:hAnsi="Times"/>
        </w:rPr>
        <w:t>ernational policy coordination’.</w:t>
      </w:r>
      <w:r>
        <w:rPr>
          <w:rFonts w:ascii="Times" w:hAnsi="Times"/>
        </w:rPr>
        <w:t xml:space="preserve"> </w:t>
      </w:r>
      <w:r w:rsidRPr="003A612D">
        <w:rPr>
          <w:rFonts w:ascii="Times" w:hAnsi="Times"/>
          <w:i/>
        </w:rPr>
        <w:t>International Organization</w:t>
      </w:r>
      <w:r>
        <w:rPr>
          <w:rFonts w:ascii="Times" w:hAnsi="Times"/>
        </w:rPr>
        <w:t xml:space="preserve">, </w:t>
      </w:r>
      <w:r w:rsidR="00946496">
        <w:rPr>
          <w:rFonts w:ascii="Times" w:hAnsi="Times"/>
        </w:rPr>
        <w:t>Vol.46, No.1,</w:t>
      </w:r>
      <w:r>
        <w:rPr>
          <w:rFonts w:ascii="Times" w:hAnsi="Times"/>
        </w:rPr>
        <w:t xml:space="preserve"> </w:t>
      </w:r>
      <w:r w:rsidR="00946496">
        <w:rPr>
          <w:rFonts w:ascii="Times" w:hAnsi="Times"/>
        </w:rPr>
        <w:t>pp.</w:t>
      </w:r>
      <w:r w:rsidR="00D90A8F">
        <w:rPr>
          <w:rFonts w:ascii="Times" w:hAnsi="Times"/>
        </w:rPr>
        <w:t>1-35.</w:t>
      </w:r>
      <w:r>
        <w:rPr>
          <w:rFonts w:ascii="Times" w:hAnsi="Times"/>
        </w:rPr>
        <w:t xml:space="preserve"> </w:t>
      </w:r>
    </w:p>
    <w:p w14:paraId="7F614C42" w14:textId="77777777" w:rsidR="0067574D" w:rsidRPr="00C830F6" w:rsidRDefault="0067574D" w:rsidP="002249E1">
      <w:pPr>
        <w:spacing w:line="480" w:lineRule="auto"/>
        <w:jc w:val="both"/>
        <w:rPr>
          <w:rFonts w:ascii="Times" w:hAnsi="Times"/>
        </w:rPr>
      </w:pPr>
    </w:p>
    <w:p w14:paraId="52B77683" w14:textId="52835474" w:rsidR="0067574D" w:rsidRDefault="0067574D" w:rsidP="002249E1">
      <w:pPr>
        <w:spacing w:line="480" w:lineRule="auto"/>
        <w:jc w:val="both"/>
        <w:rPr>
          <w:rFonts w:ascii="Times" w:hAnsi="Times"/>
        </w:rPr>
      </w:pPr>
      <w:r w:rsidRPr="00C830F6">
        <w:rPr>
          <w:rFonts w:ascii="Times" w:hAnsi="Times"/>
        </w:rPr>
        <w:t xml:space="preserve">Habermas, J. (1996), ‘Three Normative Models of Democracy’, in Benhabib, S. (ed.), </w:t>
      </w:r>
      <w:r w:rsidRPr="00C830F6">
        <w:rPr>
          <w:rFonts w:ascii="Times" w:hAnsi="Times"/>
          <w:i/>
        </w:rPr>
        <w:t>Democracy and Difference</w:t>
      </w:r>
      <w:r w:rsidRPr="00C830F6">
        <w:rPr>
          <w:rFonts w:ascii="Times" w:hAnsi="Times"/>
        </w:rPr>
        <w:t>, (</w:t>
      </w:r>
      <w:r w:rsidR="002A4DAA">
        <w:rPr>
          <w:rFonts w:ascii="Times" w:hAnsi="Times"/>
        </w:rPr>
        <w:t xml:space="preserve">Princeton: </w:t>
      </w:r>
      <w:r w:rsidR="0093353C">
        <w:rPr>
          <w:rFonts w:ascii="Times" w:hAnsi="Times"/>
        </w:rPr>
        <w:t>PUP), pp.21-31.</w:t>
      </w:r>
    </w:p>
    <w:p w14:paraId="098DB0C6" w14:textId="77777777" w:rsidR="002F29AD" w:rsidRDefault="002F29AD" w:rsidP="002249E1">
      <w:pPr>
        <w:spacing w:line="480" w:lineRule="auto"/>
        <w:jc w:val="both"/>
        <w:rPr>
          <w:rFonts w:ascii="Times" w:hAnsi="Times"/>
        </w:rPr>
      </w:pPr>
    </w:p>
    <w:p w14:paraId="1BC33ED9" w14:textId="79EBC75C" w:rsidR="002F29AD" w:rsidRPr="00C830F6" w:rsidRDefault="002F29AD" w:rsidP="002249E1">
      <w:pPr>
        <w:spacing w:line="480" w:lineRule="auto"/>
        <w:jc w:val="both"/>
        <w:rPr>
          <w:rFonts w:ascii="Times" w:hAnsi="Times"/>
        </w:rPr>
      </w:pPr>
      <w:r>
        <w:rPr>
          <w:rFonts w:ascii="Times" w:hAnsi="Times"/>
        </w:rPr>
        <w:t xml:space="preserve">Habermas, J. (2011), </w:t>
      </w:r>
      <w:r w:rsidRPr="002F29AD">
        <w:rPr>
          <w:rFonts w:ascii="Times" w:hAnsi="Times"/>
          <w:i/>
        </w:rPr>
        <w:t>The Crisis of the European Union</w:t>
      </w:r>
      <w:r>
        <w:rPr>
          <w:rFonts w:ascii="Times" w:hAnsi="Times"/>
        </w:rPr>
        <w:t>, (</w:t>
      </w:r>
      <w:r w:rsidR="006C463E">
        <w:rPr>
          <w:rFonts w:ascii="Times" w:hAnsi="Times"/>
        </w:rPr>
        <w:t xml:space="preserve">Cambridge: </w:t>
      </w:r>
      <w:r>
        <w:rPr>
          <w:rFonts w:ascii="Times" w:hAnsi="Times"/>
        </w:rPr>
        <w:t>Polity).</w:t>
      </w:r>
    </w:p>
    <w:p w14:paraId="634A6737" w14:textId="77777777" w:rsidR="0067574D" w:rsidRPr="00C830F6" w:rsidRDefault="0067574D" w:rsidP="002249E1">
      <w:pPr>
        <w:spacing w:line="480" w:lineRule="auto"/>
        <w:jc w:val="both"/>
        <w:rPr>
          <w:rFonts w:ascii="Times" w:hAnsi="Times"/>
          <w:lang w:val="en-US"/>
        </w:rPr>
      </w:pPr>
    </w:p>
    <w:p w14:paraId="38668AD6" w14:textId="654C0616" w:rsidR="0067574D" w:rsidRPr="00C830F6" w:rsidRDefault="0067574D" w:rsidP="002249E1">
      <w:pPr>
        <w:spacing w:line="480" w:lineRule="auto"/>
        <w:jc w:val="both"/>
        <w:rPr>
          <w:rFonts w:ascii="Times" w:hAnsi="Times"/>
          <w:lang w:val="en-US"/>
        </w:rPr>
      </w:pPr>
      <w:r w:rsidRPr="00C830F6">
        <w:rPr>
          <w:rFonts w:ascii="Times" w:hAnsi="Times"/>
          <w:lang w:val="en-US"/>
        </w:rPr>
        <w:t xml:space="preserve">Habermas, J. (2012), </w:t>
      </w:r>
      <w:r w:rsidRPr="00C830F6">
        <w:rPr>
          <w:rFonts w:ascii="Times" w:hAnsi="Times"/>
          <w:i/>
          <w:lang w:val="en-US"/>
        </w:rPr>
        <w:t>Between Facts and Norms</w:t>
      </w:r>
      <w:r w:rsidRPr="00C830F6">
        <w:rPr>
          <w:rFonts w:ascii="Times" w:hAnsi="Times"/>
          <w:lang w:val="en-US"/>
        </w:rPr>
        <w:t>, (</w:t>
      </w:r>
      <w:r w:rsidR="006C463E">
        <w:rPr>
          <w:rFonts w:ascii="Times" w:hAnsi="Times"/>
          <w:lang w:val="en-US"/>
        </w:rPr>
        <w:t xml:space="preserve">Cambridge: </w:t>
      </w:r>
      <w:r w:rsidRPr="00C830F6">
        <w:rPr>
          <w:rFonts w:ascii="Times" w:hAnsi="Times"/>
          <w:lang w:val="en-US"/>
        </w:rPr>
        <w:t>Polity).</w:t>
      </w:r>
    </w:p>
    <w:p w14:paraId="50E9161F" w14:textId="77777777" w:rsidR="0067574D" w:rsidRPr="00C830F6" w:rsidRDefault="0067574D" w:rsidP="002249E1">
      <w:pPr>
        <w:spacing w:line="480" w:lineRule="auto"/>
        <w:jc w:val="both"/>
        <w:rPr>
          <w:rFonts w:ascii="Times" w:hAnsi="Times"/>
        </w:rPr>
      </w:pPr>
    </w:p>
    <w:p w14:paraId="1902900F" w14:textId="309268F6" w:rsidR="0067574D" w:rsidRDefault="0067574D" w:rsidP="002249E1">
      <w:pPr>
        <w:spacing w:line="480" w:lineRule="auto"/>
        <w:jc w:val="both"/>
        <w:rPr>
          <w:rFonts w:ascii="Times" w:hAnsi="Times"/>
        </w:rPr>
      </w:pPr>
      <w:r w:rsidRPr="00C830F6">
        <w:rPr>
          <w:rFonts w:ascii="Times" w:hAnsi="Times"/>
        </w:rPr>
        <w:t xml:space="preserve">Habermas, J. (2013), </w:t>
      </w:r>
      <w:r w:rsidRPr="00C830F6">
        <w:rPr>
          <w:rFonts w:ascii="Times" w:hAnsi="Times"/>
          <w:i/>
        </w:rPr>
        <w:t>The Structural Transformation of the Public Sphere</w:t>
      </w:r>
      <w:r w:rsidRPr="00C830F6">
        <w:rPr>
          <w:rFonts w:ascii="Times" w:hAnsi="Times"/>
        </w:rPr>
        <w:t xml:space="preserve"> (</w:t>
      </w:r>
      <w:r w:rsidR="006C463E">
        <w:rPr>
          <w:rFonts w:ascii="Times" w:hAnsi="Times"/>
        </w:rPr>
        <w:t xml:space="preserve">Cambridge: </w:t>
      </w:r>
      <w:r w:rsidRPr="00C830F6">
        <w:rPr>
          <w:rFonts w:ascii="Times" w:hAnsi="Times"/>
        </w:rPr>
        <w:t>Polity).</w:t>
      </w:r>
    </w:p>
    <w:p w14:paraId="6141AF4B" w14:textId="77777777" w:rsidR="009E26AC" w:rsidRPr="00C830F6" w:rsidRDefault="009E26AC" w:rsidP="002249E1">
      <w:pPr>
        <w:spacing w:line="480" w:lineRule="auto"/>
        <w:jc w:val="both"/>
        <w:rPr>
          <w:rFonts w:ascii="Times" w:hAnsi="Times"/>
        </w:rPr>
      </w:pPr>
    </w:p>
    <w:p w14:paraId="7CBA46DC" w14:textId="683CC08F" w:rsidR="0067574D" w:rsidRPr="00C830F6" w:rsidRDefault="0067574D" w:rsidP="002249E1">
      <w:pPr>
        <w:spacing w:line="480" w:lineRule="auto"/>
        <w:jc w:val="both"/>
        <w:rPr>
          <w:rFonts w:ascii="Times" w:hAnsi="Times"/>
        </w:rPr>
      </w:pPr>
      <w:r w:rsidRPr="00C830F6">
        <w:rPr>
          <w:rFonts w:ascii="Times" w:hAnsi="Times"/>
        </w:rPr>
        <w:t xml:space="preserve">Hix, S. (2008), </w:t>
      </w:r>
      <w:r w:rsidRPr="00C830F6">
        <w:rPr>
          <w:rFonts w:ascii="Times" w:hAnsi="Times"/>
          <w:i/>
        </w:rPr>
        <w:t>What’s Wrong with the European Union and How to Fix it</w:t>
      </w:r>
      <w:r w:rsidRPr="00C830F6">
        <w:rPr>
          <w:rFonts w:ascii="Times" w:hAnsi="Times"/>
        </w:rPr>
        <w:t>,</w:t>
      </w:r>
      <w:r w:rsidRPr="00C830F6">
        <w:rPr>
          <w:rFonts w:ascii="Times" w:hAnsi="Times"/>
          <w:i/>
        </w:rPr>
        <w:t xml:space="preserve"> </w:t>
      </w:r>
      <w:r w:rsidRPr="00C830F6">
        <w:rPr>
          <w:rFonts w:ascii="Times" w:hAnsi="Times"/>
        </w:rPr>
        <w:t>(</w:t>
      </w:r>
      <w:r w:rsidR="000D7464">
        <w:rPr>
          <w:rFonts w:ascii="Times" w:hAnsi="Times"/>
        </w:rPr>
        <w:t xml:space="preserve">London: </w:t>
      </w:r>
      <w:r w:rsidRPr="00C830F6">
        <w:rPr>
          <w:rFonts w:ascii="Times" w:hAnsi="Times"/>
        </w:rPr>
        <w:t>Polity).</w:t>
      </w:r>
    </w:p>
    <w:p w14:paraId="4C76CE85" w14:textId="77777777" w:rsidR="0067574D" w:rsidRPr="00C830F6" w:rsidRDefault="0067574D" w:rsidP="002249E1">
      <w:pPr>
        <w:spacing w:line="480" w:lineRule="auto"/>
        <w:jc w:val="both"/>
        <w:rPr>
          <w:rFonts w:ascii="Times" w:hAnsi="Times"/>
          <w:lang w:val="en-US"/>
        </w:rPr>
      </w:pPr>
    </w:p>
    <w:p w14:paraId="04DDA8F3" w14:textId="300B43CF" w:rsidR="0067574D" w:rsidRPr="00C830F6" w:rsidRDefault="0067574D" w:rsidP="002249E1">
      <w:pPr>
        <w:spacing w:line="480" w:lineRule="auto"/>
        <w:jc w:val="both"/>
        <w:rPr>
          <w:rFonts w:ascii="Times" w:hAnsi="Times"/>
        </w:rPr>
      </w:pPr>
      <w:r w:rsidRPr="00C830F6">
        <w:rPr>
          <w:rFonts w:ascii="Times" w:hAnsi="Times"/>
        </w:rPr>
        <w:t xml:space="preserve">Hooghe, L. and Marks, G. (2001), </w:t>
      </w:r>
      <w:r w:rsidRPr="00C830F6">
        <w:rPr>
          <w:rFonts w:ascii="Times" w:hAnsi="Times"/>
          <w:i/>
        </w:rPr>
        <w:t>Multi-level Governance and European Integration</w:t>
      </w:r>
      <w:r w:rsidR="00FD15AF">
        <w:rPr>
          <w:rFonts w:ascii="Times" w:hAnsi="Times"/>
        </w:rPr>
        <w:t xml:space="preserve">, </w:t>
      </w:r>
      <w:r w:rsidRPr="00C830F6">
        <w:rPr>
          <w:rFonts w:ascii="Times" w:hAnsi="Times"/>
        </w:rPr>
        <w:t>(</w:t>
      </w:r>
      <w:r w:rsidR="002551D4">
        <w:rPr>
          <w:rFonts w:ascii="Times" w:hAnsi="Times"/>
        </w:rPr>
        <w:t xml:space="preserve">Oxford: </w:t>
      </w:r>
      <w:r w:rsidRPr="00C830F6">
        <w:rPr>
          <w:rFonts w:ascii="Times" w:hAnsi="Times"/>
        </w:rPr>
        <w:t>Rowman &amp; Littlefield).</w:t>
      </w:r>
    </w:p>
    <w:p w14:paraId="46A72395" w14:textId="77777777" w:rsidR="0067574D" w:rsidRPr="00C830F6" w:rsidRDefault="0067574D" w:rsidP="002249E1">
      <w:pPr>
        <w:spacing w:line="480" w:lineRule="auto"/>
        <w:jc w:val="both"/>
        <w:rPr>
          <w:rFonts w:ascii="Times" w:hAnsi="Times"/>
          <w:lang w:val="en-US"/>
        </w:rPr>
      </w:pPr>
    </w:p>
    <w:p w14:paraId="150CD28A" w14:textId="75967367" w:rsidR="0067574D" w:rsidRPr="00C830F6" w:rsidRDefault="0067574D" w:rsidP="002249E1">
      <w:pPr>
        <w:spacing w:line="480" w:lineRule="auto"/>
        <w:jc w:val="both"/>
        <w:rPr>
          <w:rFonts w:ascii="Times" w:hAnsi="Times"/>
          <w:lang w:val="en-US"/>
        </w:rPr>
      </w:pPr>
      <w:r w:rsidRPr="00C830F6">
        <w:rPr>
          <w:rFonts w:ascii="Times" w:hAnsi="Times"/>
          <w:lang w:val="en-US"/>
        </w:rPr>
        <w:t>Karolweski, I.P. (2011), ‘Patholo</w:t>
      </w:r>
      <w:r w:rsidR="00BF6886">
        <w:rPr>
          <w:rFonts w:ascii="Times" w:hAnsi="Times"/>
          <w:lang w:val="en-US"/>
        </w:rPr>
        <w:t>gies of Deliberation in the EU’.</w:t>
      </w:r>
      <w:r w:rsidRPr="00C830F6">
        <w:rPr>
          <w:rFonts w:ascii="Times" w:hAnsi="Times"/>
          <w:lang w:val="en-US"/>
        </w:rPr>
        <w:t xml:space="preserve"> </w:t>
      </w:r>
      <w:r w:rsidRPr="00C830F6">
        <w:rPr>
          <w:rFonts w:ascii="Times" w:hAnsi="Times"/>
          <w:i/>
          <w:lang w:val="en-US"/>
        </w:rPr>
        <w:t>European Law Journal</w:t>
      </w:r>
      <w:r w:rsidRPr="00C830F6">
        <w:rPr>
          <w:rFonts w:ascii="Times" w:hAnsi="Times"/>
          <w:lang w:val="en-US"/>
        </w:rPr>
        <w:t xml:space="preserve">, </w:t>
      </w:r>
      <w:r w:rsidR="00BF6886">
        <w:rPr>
          <w:rFonts w:ascii="Times" w:hAnsi="Times"/>
          <w:lang w:val="en-US"/>
        </w:rPr>
        <w:t>Vol.17, No.1,</w:t>
      </w:r>
      <w:r w:rsidRPr="00C830F6">
        <w:rPr>
          <w:rFonts w:ascii="Times" w:hAnsi="Times"/>
          <w:lang w:val="en-US"/>
        </w:rPr>
        <w:t xml:space="preserve"> </w:t>
      </w:r>
      <w:r w:rsidR="00BF6886">
        <w:rPr>
          <w:rFonts w:ascii="Times" w:hAnsi="Times"/>
          <w:lang w:val="en-US"/>
        </w:rPr>
        <w:t>pp.</w:t>
      </w:r>
      <w:r w:rsidRPr="00C830F6">
        <w:rPr>
          <w:rFonts w:ascii="Times" w:hAnsi="Times"/>
          <w:lang w:val="en-US"/>
        </w:rPr>
        <w:t>66-79.</w:t>
      </w:r>
    </w:p>
    <w:p w14:paraId="27F5AF95" w14:textId="77777777" w:rsidR="0067574D" w:rsidRPr="00C830F6" w:rsidRDefault="0067574D" w:rsidP="002249E1">
      <w:pPr>
        <w:spacing w:line="480" w:lineRule="auto"/>
        <w:jc w:val="both"/>
        <w:rPr>
          <w:rFonts w:ascii="Times" w:hAnsi="Times"/>
          <w:lang w:val="en-US"/>
        </w:rPr>
      </w:pPr>
    </w:p>
    <w:p w14:paraId="175DAA7E" w14:textId="77777777" w:rsidR="0067574D" w:rsidRPr="00C830F6" w:rsidRDefault="0067574D" w:rsidP="002249E1">
      <w:pPr>
        <w:spacing w:line="480" w:lineRule="auto"/>
        <w:jc w:val="both"/>
        <w:rPr>
          <w:rFonts w:ascii="Times" w:hAnsi="Times"/>
        </w:rPr>
      </w:pPr>
      <w:r w:rsidRPr="00C830F6">
        <w:rPr>
          <w:rFonts w:ascii="Times" w:hAnsi="Times"/>
        </w:rPr>
        <w:t>Kroes, N. (2009), ‘Consumer Welfare: More than a Slogan’, speech/09/486 at the ‘Competition and Consumers in the 21</w:t>
      </w:r>
      <w:r w:rsidRPr="00C830F6">
        <w:rPr>
          <w:rFonts w:ascii="Times" w:hAnsi="Times"/>
          <w:vertAlign w:val="superscript"/>
        </w:rPr>
        <w:t>st</w:t>
      </w:r>
      <w:r w:rsidRPr="00C830F6">
        <w:rPr>
          <w:rFonts w:ascii="Times" w:hAnsi="Times"/>
        </w:rPr>
        <w:t xml:space="preserve"> Century’ Conference, 21 October, Brussels.</w:t>
      </w:r>
    </w:p>
    <w:p w14:paraId="7F62628F" w14:textId="77777777" w:rsidR="0067574D" w:rsidRPr="00C830F6" w:rsidRDefault="0067574D" w:rsidP="002249E1">
      <w:pPr>
        <w:spacing w:line="480" w:lineRule="auto"/>
        <w:jc w:val="both"/>
        <w:rPr>
          <w:rFonts w:ascii="Times" w:hAnsi="Times"/>
          <w:bdr w:val="none" w:sz="0" w:space="0" w:color="auto" w:frame="1"/>
        </w:rPr>
      </w:pPr>
    </w:p>
    <w:p w14:paraId="7C6C1064" w14:textId="19785C4F" w:rsidR="0067574D" w:rsidRPr="00C830F6" w:rsidRDefault="0067574D" w:rsidP="002249E1">
      <w:pPr>
        <w:spacing w:line="480" w:lineRule="auto"/>
        <w:jc w:val="both"/>
        <w:rPr>
          <w:rFonts w:ascii="Times" w:hAnsi="Times"/>
        </w:rPr>
      </w:pPr>
      <w:r w:rsidRPr="00C830F6">
        <w:rPr>
          <w:rFonts w:ascii="Times" w:hAnsi="Times"/>
        </w:rPr>
        <w:t xml:space="preserve">Lowe, P. (2009), ‘Competition Policy and the Global Economic Crisis’, </w:t>
      </w:r>
      <w:r w:rsidRPr="00C830F6">
        <w:rPr>
          <w:rFonts w:ascii="Times" w:hAnsi="Times"/>
          <w:i/>
        </w:rPr>
        <w:t>Competition Policy International</w:t>
      </w:r>
      <w:r w:rsidRPr="00C830F6">
        <w:rPr>
          <w:rFonts w:ascii="Times" w:hAnsi="Times"/>
        </w:rPr>
        <w:t xml:space="preserve">, </w:t>
      </w:r>
      <w:r w:rsidR="00575756">
        <w:rPr>
          <w:rFonts w:ascii="Times" w:hAnsi="Times"/>
        </w:rPr>
        <w:t>Vol.5, No.2,</w:t>
      </w:r>
      <w:r w:rsidRPr="00C830F6">
        <w:rPr>
          <w:rFonts w:ascii="Times" w:hAnsi="Times"/>
        </w:rPr>
        <w:t xml:space="preserve"> </w:t>
      </w:r>
      <w:r w:rsidR="00575756">
        <w:rPr>
          <w:rFonts w:ascii="Times" w:hAnsi="Times"/>
        </w:rPr>
        <w:t>pp.</w:t>
      </w:r>
      <w:r w:rsidRPr="00C830F6">
        <w:rPr>
          <w:rFonts w:ascii="Times" w:hAnsi="Times"/>
        </w:rPr>
        <w:t>1-24.</w:t>
      </w:r>
    </w:p>
    <w:p w14:paraId="58BDC3B0" w14:textId="77777777" w:rsidR="0067574D" w:rsidRPr="00C830F6" w:rsidRDefault="0067574D" w:rsidP="002249E1">
      <w:pPr>
        <w:spacing w:line="480" w:lineRule="auto"/>
        <w:jc w:val="both"/>
        <w:rPr>
          <w:rFonts w:ascii="Times" w:hAnsi="Times"/>
        </w:rPr>
      </w:pPr>
    </w:p>
    <w:p w14:paraId="03091E6B" w14:textId="77269438" w:rsidR="0067574D" w:rsidRPr="00C830F6" w:rsidRDefault="0067574D" w:rsidP="002249E1">
      <w:pPr>
        <w:spacing w:line="480" w:lineRule="auto"/>
        <w:jc w:val="both"/>
        <w:rPr>
          <w:rFonts w:ascii="Times" w:hAnsi="Times"/>
        </w:rPr>
      </w:pPr>
      <w:r w:rsidRPr="00C830F6">
        <w:rPr>
          <w:rFonts w:ascii="Times" w:hAnsi="Times"/>
        </w:rPr>
        <w:t xml:space="preserve">Lyons, B. (2007), </w:t>
      </w:r>
      <w:r w:rsidRPr="00C830F6">
        <w:rPr>
          <w:rFonts w:ascii="Times" w:hAnsi="Times"/>
          <w:i/>
        </w:rPr>
        <w:t>The Paradox of the Exclusion of Exploitative Abuse, The Pros and Cons of High Prices</w:t>
      </w:r>
      <w:r w:rsidRPr="00C830F6">
        <w:rPr>
          <w:rFonts w:ascii="Times" w:hAnsi="Times"/>
        </w:rPr>
        <w:t>, (</w:t>
      </w:r>
      <w:r w:rsidR="003363A8">
        <w:rPr>
          <w:rFonts w:ascii="Times" w:hAnsi="Times"/>
        </w:rPr>
        <w:t xml:space="preserve">Stockholm: </w:t>
      </w:r>
      <w:r w:rsidRPr="00C830F6">
        <w:rPr>
          <w:rFonts w:ascii="Times" w:hAnsi="Times"/>
        </w:rPr>
        <w:t xml:space="preserve">Konkurrensverket). </w:t>
      </w:r>
    </w:p>
    <w:p w14:paraId="0FE09C6E" w14:textId="77777777" w:rsidR="0067574D" w:rsidRPr="00C830F6" w:rsidRDefault="0067574D" w:rsidP="002249E1">
      <w:pPr>
        <w:spacing w:line="480" w:lineRule="auto"/>
        <w:jc w:val="both"/>
        <w:rPr>
          <w:rFonts w:ascii="Times" w:hAnsi="Times"/>
        </w:rPr>
      </w:pPr>
    </w:p>
    <w:p w14:paraId="36DDEC39" w14:textId="1C55897D" w:rsidR="0067574D" w:rsidRDefault="0067574D" w:rsidP="002249E1">
      <w:pPr>
        <w:spacing w:line="480" w:lineRule="auto"/>
        <w:jc w:val="both"/>
        <w:rPr>
          <w:rFonts w:ascii="Times" w:hAnsi="Times"/>
        </w:rPr>
      </w:pPr>
      <w:r w:rsidRPr="00C830F6">
        <w:rPr>
          <w:rFonts w:ascii="Times" w:hAnsi="Times"/>
        </w:rPr>
        <w:t>Maher, I. (2002), ‘Competition Law in the International Domain: Network</w:t>
      </w:r>
      <w:r w:rsidR="009125F4">
        <w:rPr>
          <w:rFonts w:ascii="Times" w:hAnsi="Times"/>
        </w:rPr>
        <w:t>s as a New Forms of Governance’.</w:t>
      </w:r>
      <w:r w:rsidRPr="00C830F6">
        <w:rPr>
          <w:rFonts w:ascii="Times" w:hAnsi="Times"/>
        </w:rPr>
        <w:t xml:space="preserve"> </w:t>
      </w:r>
      <w:r w:rsidRPr="00C830F6">
        <w:rPr>
          <w:rFonts w:ascii="Times" w:hAnsi="Times"/>
          <w:i/>
        </w:rPr>
        <w:t>Journal of Law and Society</w:t>
      </w:r>
      <w:r w:rsidRPr="00C830F6">
        <w:rPr>
          <w:rFonts w:ascii="Times" w:hAnsi="Times"/>
        </w:rPr>
        <w:t xml:space="preserve">, </w:t>
      </w:r>
      <w:r w:rsidR="009125F4">
        <w:rPr>
          <w:rFonts w:ascii="Times" w:hAnsi="Times"/>
        </w:rPr>
        <w:t>Vol.29, No.1,</w:t>
      </w:r>
      <w:r w:rsidRPr="00C830F6">
        <w:rPr>
          <w:rFonts w:ascii="Times" w:hAnsi="Times"/>
        </w:rPr>
        <w:t xml:space="preserve"> </w:t>
      </w:r>
      <w:r w:rsidR="009125F4">
        <w:rPr>
          <w:rFonts w:ascii="Times" w:hAnsi="Times"/>
        </w:rPr>
        <w:t>pp.</w:t>
      </w:r>
      <w:r w:rsidRPr="00C830F6">
        <w:rPr>
          <w:rFonts w:ascii="Times" w:hAnsi="Times"/>
        </w:rPr>
        <w:t>111-36.</w:t>
      </w:r>
    </w:p>
    <w:p w14:paraId="580FD6CE" w14:textId="77777777" w:rsidR="000F3368" w:rsidRDefault="000F3368" w:rsidP="002249E1">
      <w:pPr>
        <w:spacing w:line="480" w:lineRule="auto"/>
        <w:jc w:val="both"/>
        <w:rPr>
          <w:rFonts w:ascii="Times" w:hAnsi="Times"/>
        </w:rPr>
      </w:pPr>
    </w:p>
    <w:p w14:paraId="72B0940B" w14:textId="6B0FA0D6" w:rsidR="000F3368" w:rsidRPr="00C830F6" w:rsidRDefault="000F3368" w:rsidP="002249E1">
      <w:pPr>
        <w:spacing w:line="480" w:lineRule="auto"/>
        <w:jc w:val="both"/>
        <w:rPr>
          <w:rFonts w:ascii="Times" w:hAnsi="Times"/>
        </w:rPr>
      </w:pPr>
      <w:r>
        <w:rPr>
          <w:rFonts w:ascii="Times" w:hAnsi="Times"/>
        </w:rPr>
        <w:t xml:space="preserve">Maher, I. (2009), ‘Functional and Normative Delegation to Non-Majoritarian Institutions: The Case of the European Competition Network’. </w:t>
      </w:r>
      <w:r w:rsidRPr="000F3368">
        <w:rPr>
          <w:rFonts w:ascii="Times" w:hAnsi="Times"/>
          <w:i/>
        </w:rPr>
        <w:t>Comparative European Politics</w:t>
      </w:r>
      <w:r>
        <w:rPr>
          <w:rFonts w:ascii="Times" w:hAnsi="Times"/>
        </w:rPr>
        <w:t xml:space="preserve">, </w:t>
      </w:r>
      <w:r w:rsidR="00B769D5">
        <w:rPr>
          <w:rFonts w:ascii="Times" w:hAnsi="Times"/>
        </w:rPr>
        <w:t>Vol.7, No.3, pp.414-34.</w:t>
      </w:r>
    </w:p>
    <w:p w14:paraId="7ABC2364" w14:textId="77777777" w:rsidR="0067574D" w:rsidRPr="00C830F6" w:rsidRDefault="0067574D" w:rsidP="002249E1">
      <w:pPr>
        <w:spacing w:line="480" w:lineRule="auto"/>
        <w:jc w:val="both"/>
        <w:rPr>
          <w:rFonts w:ascii="Times" w:eastAsia="Times New Roman" w:hAnsi="Times" w:cs="Times New Roman"/>
          <w:color w:val="000000"/>
          <w:shd w:val="clear" w:color="auto" w:fill="FFFFFF"/>
        </w:rPr>
      </w:pPr>
    </w:p>
    <w:p w14:paraId="1EA6A79F" w14:textId="7A125889" w:rsidR="0067574D" w:rsidRPr="00C830F6" w:rsidRDefault="0067574D" w:rsidP="002249E1">
      <w:pPr>
        <w:spacing w:line="480" w:lineRule="auto"/>
        <w:jc w:val="both"/>
        <w:rPr>
          <w:rFonts w:ascii="Times" w:eastAsia="Times New Roman" w:hAnsi="Times" w:cs="Times New Roman"/>
          <w:color w:val="000000"/>
          <w:shd w:val="clear" w:color="auto" w:fill="FFFFFF"/>
        </w:rPr>
      </w:pPr>
      <w:r w:rsidRPr="00C830F6">
        <w:rPr>
          <w:rFonts w:ascii="Times" w:eastAsia="Times New Roman" w:hAnsi="Times" w:cs="Times New Roman"/>
          <w:color w:val="000000"/>
          <w:shd w:val="clear" w:color="auto" w:fill="FFFFFF"/>
        </w:rPr>
        <w:t xml:space="preserve">Maier-Rigaud, F. (2012), ‘On the Normative Foundations of Competition Law – efficiency, political freedom and the freedom to compete, in Zimmer, D. (ed.), </w:t>
      </w:r>
      <w:r w:rsidRPr="00C830F6">
        <w:rPr>
          <w:rFonts w:ascii="Times" w:eastAsia="Times New Roman" w:hAnsi="Times" w:cs="Times New Roman"/>
          <w:i/>
          <w:color w:val="000000"/>
          <w:shd w:val="clear" w:color="auto" w:fill="FFFFFF"/>
        </w:rPr>
        <w:t>The Goals of Competition Law</w:t>
      </w:r>
      <w:r w:rsidR="00FD15AF">
        <w:rPr>
          <w:rFonts w:ascii="Times" w:eastAsia="Times New Roman" w:hAnsi="Times" w:cs="Times New Roman"/>
          <w:color w:val="000000"/>
          <w:shd w:val="clear" w:color="auto" w:fill="FFFFFF"/>
        </w:rPr>
        <w:t xml:space="preserve">, </w:t>
      </w:r>
      <w:r w:rsidRPr="00C830F6">
        <w:rPr>
          <w:rFonts w:ascii="Times" w:eastAsia="Times New Roman" w:hAnsi="Times" w:cs="Times New Roman"/>
          <w:color w:val="000000"/>
          <w:shd w:val="clear" w:color="auto" w:fill="FFFFFF"/>
        </w:rPr>
        <w:t>(</w:t>
      </w:r>
      <w:r w:rsidR="006F0275">
        <w:rPr>
          <w:rFonts w:ascii="Times" w:eastAsia="Times New Roman" w:hAnsi="Times" w:cs="Times New Roman"/>
          <w:color w:val="000000"/>
          <w:shd w:val="clear" w:color="auto" w:fill="FFFFFF"/>
        </w:rPr>
        <w:t>Cheltenham: Edward Elgar), pp.132-168.</w:t>
      </w:r>
    </w:p>
    <w:p w14:paraId="7A792EA3" w14:textId="77777777" w:rsidR="0067574D" w:rsidRPr="00C830F6" w:rsidRDefault="0067574D" w:rsidP="002249E1">
      <w:pPr>
        <w:spacing w:line="480" w:lineRule="auto"/>
        <w:jc w:val="both"/>
        <w:rPr>
          <w:rFonts w:ascii="Times" w:eastAsia="Times New Roman" w:hAnsi="Times" w:cs="Times New Roman"/>
          <w:color w:val="000000"/>
          <w:shd w:val="clear" w:color="auto" w:fill="FFFFFF"/>
        </w:rPr>
      </w:pPr>
    </w:p>
    <w:p w14:paraId="15FF260B" w14:textId="7C99405B" w:rsidR="0067574D" w:rsidRPr="00C830F6" w:rsidRDefault="0067574D" w:rsidP="002249E1">
      <w:pPr>
        <w:spacing w:line="480" w:lineRule="auto"/>
        <w:jc w:val="both"/>
        <w:rPr>
          <w:rFonts w:ascii="Times" w:hAnsi="Times"/>
        </w:rPr>
      </w:pPr>
      <w:r w:rsidRPr="00C830F6">
        <w:rPr>
          <w:rFonts w:ascii="Times" w:hAnsi="Times"/>
        </w:rPr>
        <w:t xml:space="preserve">Majone, G. (1996), </w:t>
      </w:r>
      <w:r w:rsidRPr="00C830F6">
        <w:rPr>
          <w:rFonts w:ascii="Times" w:hAnsi="Times"/>
          <w:i/>
        </w:rPr>
        <w:t>Regulating Europe</w:t>
      </w:r>
      <w:r w:rsidR="00723152">
        <w:rPr>
          <w:rFonts w:ascii="Times" w:hAnsi="Times"/>
        </w:rPr>
        <w:t xml:space="preserve">, (London: </w:t>
      </w:r>
      <w:r w:rsidRPr="00C830F6">
        <w:rPr>
          <w:rFonts w:ascii="Times" w:hAnsi="Times"/>
        </w:rPr>
        <w:t>Routledge).</w:t>
      </w:r>
    </w:p>
    <w:p w14:paraId="78632D2A" w14:textId="77777777" w:rsidR="0067574D" w:rsidRPr="00C830F6" w:rsidRDefault="0067574D" w:rsidP="002249E1">
      <w:pPr>
        <w:spacing w:line="480" w:lineRule="auto"/>
        <w:jc w:val="both"/>
        <w:rPr>
          <w:rFonts w:ascii="Times" w:hAnsi="Times"/>
        </w:rPr>
      </w:pPr>
    </w:p>
    <w:p w14:paraId="0FC894CE" w14:textId="77777777" w:rsidR="0067574D" w:rsidRPr="00C830F6" w:rsidRDefault="0067574D" w:rsidP="002249E1">
      <w:pPr>
        <w:spacing w:line="480" w:lineRule="auto"/>
        <w:jc w:val="both"/>
        <w:rPr>
          <w:rFonts w:ascii="Times" w:hAnsi="Times"/>
        </w:rPr>
      </w:pPr>
      <w:r w:rsidRPr="00C830F6">
        <w:rPr>
          <w:rFonts w:ascii="Times" w:hAnsi="Times"/>
        </w:rPr>
        <w:t>Monti, M. (2000), ‘European Competition Policy for the 21</w:t>
      </w:r>
      <w:r w:rsidRPr="00C830F6">
        <w:rPr>
          <w:rFonts w:ascii="Times" w:hAnsi="Times"/>
          <w:vertAlign w:val="superscript"/>
        </w:rPr>
        <w:t>st</w:t>
      </w:r>
      <w:r w:rsidRPr="00C830F6">
        <w:rPr>
          <w:rFonts w:ascii="Times" w:hAnsi="Times"/>
        </w:rPr>
        <w:t xml:space="preserve"> Century’, Speech 00/389, the Fordham Corporate Law Institute, 28</w:t>
      </w:r>
      <w:r w:rsidRPr="00C830F6">
        <w:rPr>
          <w:rFonts w:ascii="Times" w:hAnsi="Times"/>
          <w:vertAlign w:val="superscript"/>
        </w:rPr>
        <w:t>th</w:t>
      </w:r>
      <w:r w:rsidRPr="00C830F6">
        <w:rPr>
          <w:rFonts w:ascii="Times" w:hAnsi="Times"/>
        </w:rPr>
        <w:t xml:space="preserve"> Annual Conference on International Antitrust Law and Policy, New York, 20 October. </w:t>
      </w:r>
    </w:p>
    <w:p w14:paraId="1D014FB8" w14:textId="77777777" w:rsidR="0067574D" w:rsidRPr="00C830F6" w:rsidRDefault="0067574D" w:rsidP="002249E1">
      <w:pPr>
        <w:spacing w:line="480" w:lineRule="auto"/>
        <w:jc w:val="both"/>
        <w:rPr>
          <w:rFonts w:ascii="Times" w:hAnsi="Times"/>
        </w:rPr>
      </w:pPr>
    </w:p>
    <w:p w14:paraId="565C181D" w14:textId="77777777" w:rsidR="0067574D" w:rsidRPr="00C830F6" w:rsidRDefault="0067574D" w:rsidP="002249E1">
      <w:pPr>
        <w:spacing w:line="480" w:lineRule="auto"/>
        <w:jc w:val="both"/>
        <w:rPr>
          <w:rFonts w:ascii="Times" w:hAnsi="Times"/>
        </w:rPr>
      </w:pPr>
      <w:r w:rsidRPr="00C830F6">
        <w:rPr>
          <w:rFonts w:ascii="Times" w:hAnsi="Times"/>
        </w:rPr>
        <w:t>Monti, M. (2004), ‘Private Litigation as a Key Complement to Public Enforcement of Competition Rules and the First Conclusions on the Implementation of the New Merger Regulation’, Speech 04/403 at the 8</w:t>
      </w:r>
      <w:r w:rsidRPr="00C830F6">
        <w:rPr>
          <w:rFonts w:ascii="Times" w:hAnsi="Times"/>
          <w:vertAlign w:val="superscript"/>
        </w:rPr>
        <w:t>th</w:t>
      </w:r>
      <w:r w:rsidRPr="00C830F6">
        <w:rPr>
          <w:rFonts w:ascii="Times" w:hAnsi="Times"/>
        </w:rPr>
        <w:t xml:space="preserve"> IBA Annual Competition Conference. </w:t>
      </w:r>
    </w:p>
    <w:p w14:paraId="2615FB4F" w14:textId="77777777" w:rsidR="0067574D" w:rsidRPr="00C830F6" w:rsidRDefault="0067574D" w:rsidP="002249E1">
      <w:pPr>
        <w:spacing w:line="480" w:lineRule="auto"/>
        <w:jc w:val="both"/>
        <w:rPr>
          <w:rFonts w:ascii="Times" w:hAnsi="Times"/>
        </w:rPr>
      </w:pPr>
    </w:p>
    <w:p w14:paraId="3456D952" w14:textId="6F810481" w:rsidR="0067574D" w:rsidRPr="00C830F6" w:rsidRDefault="0067574D" w:rsidP="002249E1">
      <w:pPr>
        <w:spacing w:line="480" w:lineRule="auto"/>
        <w:jc w:val="both"/>
        <w:rPr>
          <w:rFonts w:ascii="Times" w:hAnsi="Times"/>
        </w:rPr>
      </w:pPr>
      <w:r w:rsidRPr="00C830F6">
        <w:rPr>
          <w:rFonts w:ascii="Times" w:hAnsi="Times"/>
        </w:rPr>
        <w:t xml:space="preserve">Motta, M. (2005), </w:t>
      </w:r>
      <w:r w:rsidRPr="00C830F6">
        <w:rPr>
          <w:rFonts w:ascii="Times" w:hAnsi="Times"/>
          <w:i/>
        </w:rPr>
        <w:t>Competition Policy: Theory and Practice</w:t>
      </w:r>
      <w:r w:rsidRPr="00C830F6">
        <w:rPr>
          <w:rFonts w:ascii="Times" w:hAnsi="Times"/>
        </w:rPr>
        <w:t>, (</w:t>
      </w:r>
      <w:r w:rsidR="00DE025E">
        <w:rPr>
          <w:rFonts w:ascii="Times" w:hAnsi="Times"/>
        </w:rPr>
        <w:t xml:space="preserve">Cambridge: </w:t>
      </w:r>
      <w:r w:rsidRPr="00C830F6">
        <w:rPr>
          <w:rFonts w:ascii="Times" w:hAnsi="Times"/>
        </w:rPr>
        <w:t xml:space="preserve">CUP). </w:t>
      </w:r>
    </w:p>
    <w:p w14:paraId="02DBED8B" w14:textId="77777777" w:rsidR="0067574D" w:rsidRPr="00C830F6" w:rsidRDefault="0067574D" w:rsidP="002249E1">
      <w:pPr>
        <w:spacing w:line="480" w:lineRule="auto"/>
        <w:jc w:val="both"/>
        <w:rPr>
          <w:rFonts w:ascii="Times" w:hAnsi="Times"/>
        </w:rPr>
      </w:pPr>
    </w:p>
    <w:p w14:paraId="4A349D4D" w14:textId="18D0F668" w:rsidR="0067574D" w:rsidRPr="00C830F6" w:rsidRDefault="0067574D" w:rsidP="002249E1">
      <w:pPr>
        <w:spacing w:line="480" w:lineRule="auto"/>
        <w:jc w:val="both"/>
        <w:rPr>
          <w:rFonts w:ascii="Times" w:hAnsi="Times"/>
        </w:rPr>
      </w:pPr>
      <w:r w:rsidRPr="00C830F6">
        <w:rPr>
          <w:rFonts w:ascii="Times" w:hAnsi="Times"/>
          <w:iCs/>
          <w:bdr w:val="none" w:sz="0" w:space="0" w:color="auto" w:frame="1"/>
        </w:rPr>
        <w:t>Nicolaïdis</w:t>
      </w:r>
      <w:r w:rsidRPr="00C830F6">
        <w:rPr>
          <w:rStyle w:val="FootnoteReference"/>
          <w:rFonts w:ascii="Times" w:hAnsi="Times"/>
        </w:rPr>
        <w:t xml:space="preserve"> </w:t>
      </w:r>
      <w:r w:rsidRPr="00C830F6">
        <w:rPr>
          <w:rFonts w:ascii="Times" w:hAnsi="Times"/>
        </w:rPr>
        <w:t>, K. (2014), ‘</w:t>
      </w:r>
      <w:r w:rsidRPr="00C830F6">
        <w:rPr>
          <w:rFonts w:ascii="Times" w:hAnsi="Times"/>
          <w:lang w:val="en-US"/>
        </w:rPr>
        <w:t xml:space="preserve">Epilogue: the challenge of European </w:t>
      </w:r>
      <w:r w:rsidRPr="00C830F6">
        <w:rPr>
          <w:rFonts w:ascii="Times" w:hAnsi="Times"/>
          <w:i/>
          <w:iCs/>
          <w:lang w:val="en-US"/>
        </w:rPr>
        <w:t>demoi</w:t>
      </w:r>
      <w:r w:rsidR="005B3B76">
        <w:rPr>
          <w:rFonts w:ascii="Times" w:hAnsi="Times"/>
          <w:lang w:val="en-US"/>
        </w:rPr>
        <w:t>-cratization’.</w:t>
      </w:r>
      <w:r w:rsidRPr="00C830F6">
        <w:rPr>
          <w:rFonts w:ascii="Times" w:hAnsi="Times"/>
          <w:lang w:val="en-US"/>
        </w:rPr>
        <w:t xml:space="preserve"> </w:t>
      </w:r>
      <w:r w:rsidRPr="00C830F6">
        <w:rPr>
          <w:rFonts w:ascii="Times" w:hAnsi="Times"/>
          <w:i/>
          <w:lang w:val="en-US"/>
        </w:rPr>
        <w:t>JEPP</w:t>
      </w:r>
      <w:r w:rsidRPr="00C830F6">
        <w:rPr>
          <w:rFonts w:ascii="Times" w:hAnsi="Times"/>
          <w:lang w:val="en-US"/>
        </w:rPr>
        <w:t xml:space="preserve">, </w:t>
      </w:r>
      <w:r w:rsidR="00DE025E">
        <w:rPr>
          <w:rFonts w:ascii="Times" w:hAnsi="Times"/>
          <w:lang w:val="en-US"/>
        </w:rPr>
        <w:t>Vol.22, No.1,</w:t>
      </w:r>
      <w:r w:rsidRPr="00C830F6">
        <w:rPr>
          <w:rFonts w:ascii="Times" w:hAnsi="Times"/>
          <w:lang w:val="en-US"/>
        </w:rPr>
        <w:t xml:space="preserve"> </w:t>
      </w:r>
      <w:r w:rsidR="00DE025E">
        <w:rPr>
          <w:rFonts w:ascii="Times" w:hAnsi="Times"/>
          <w:lang w:val="en-US"/>
        </w:rPr>
        <w:t>pp.</w:t>
      </w:r>
      <w:r w:rsidRPr="00C830F6">
        <w:rPr>
          <w:rFonts w:ascii="Times" w:hAnsi="Times"/>
          <w:lang w:val="en-US"/>
        </w:rPr>
        <w:t xml:space="preserve">145-153.  </w:t>
      </w:r>
    </w:p>
    <w:p w14:paraId="5F836877" w14:textId="77777777" w:rsidR="0067574D" w:rsidRPr="00C830F6" w:rsidRDefault="0067574D" w:rsidP="002249E1">
      <w:pPr>
        <w:spacing w:line="480" w:lineRule="auto"/>
        <w:jc w:val="both"/>
        <w:rPr>
          <w:rFonts w:ascii="Times" w:hAnsi="Times"/>
        </w:rPr>
      </w:pPr>
    </w:p>
    <w:p w14:paraId="4F4B97BD" w14:textId="2EEF49B0" w:rsidR="0067574D" w:rsidRPr="00C830F6" w:rsidRDefault="0067574D" w:rsidP="002249E1">
      <w:pPr>
        <w:spacing w:line="480" w:lineRule="auto"/>
        <w:jc w:val="both"/>
        <w:rPr>
          <w:rFonts w:ascii="Times" w:hAnsi="Times"/>
          <w:lang w:val="en-US"/>
        </w:rPr>
      </w:pPr>
      <w:r w:rsidRPr="00C830F6">
        <w:rPr>
          <w:rFonts w:ascii="Times" w:hAnsi="Times"/>
          <w:lang w:val="en-US"/>
        </w:rPr>
        <w:t xml:space="preserve">Papadopoulos, Y. (2007), </w:t>
      </w:r>
      <w:r w:rsidRPr="00C830F6">
        <w:rPr>
          <w:rFonts w:ascii="Times" w:hAnsi="Times"/>
        </w:rPr>
        <w:t>‘</w:t>
      </w:r>
      <w:r w:rsidRPr="00C830F6">
        <w:rPr>
          <w:rFonts w:ascii="Times" w:eastAsia="Times New Roman" w:hAnsi="Times" w:cs="Times New Roman"/>
          <w:lang w:val="en-US"/>
        </w:rPr>
        <w:t>Problems of Democratic Accountability in Network and Multi-level Governance</w:t>
      </w:r>
      <w:r w:rsidR="00A47B3F">
        <w:rPr>
          <w:rFonts w:ascii="Times" w:eastAsia="Times New Roman" w:hAnsi="Times" w:cs="Times New Roman"/>
          <w:color w:val="000000"/>
          <w:shd w:val="clear" w:color="auto" w:fill="FFFFFF"/>
          <w:lang w:val="en-US"/>
        </w:rPr>
        <w:t>’.</w:t>
      </w:r>
      <w:r w:rsidRPr="00C830F6">
        <w:rPr>
          <w:rFonts w:ascii="Times" w:eastAsia="Times New Roman" w:hAnsi="Times" w:cs="Times New Roman"/>
          <w:color w:val="000000"/>
          <w:shd w:val="clear" w:color="auto" w:fill="FFFFFF"/>
          <w:lang w:val="en-US"/>
        </w:rPr>
        <w:t xml:space="preserve"> </w:t>
      </w:r>
      <w:r w:rsidRPr="00C830F6">
        <w:rPr>
          <w:rFonts w:ascii="Times" w:eastAsia="Times New Roman" w:hAnsi="Times" w:cs="Times New Roman"/>
          <w:i/>
          <w:iCs/>
          <w:color w:val="000000"/>
          <w:shd w:val="clear" w:color="auto" w:fill="FFFFFF"/>
          <w:lang w:val="en-US"/>
        </w:rPr>
        <w:t>European Law Journal</w:t>
      </w:r>
      <w:r w:rsidRPr="00C830F6">
        <w:rPr>
          <w:rFonts w:ascii="Times" w:eastAsia="Times New Roman" w:hAnsi="Times" w:cs="Times New Roman"/>
          <w:color w:val="000000"/>
          <w:shd w:val="clear" w:color="auto" w:fill="FFFFFF"/>
          <w:lang w:val="en-US"/>
        </w:rPr>
        <w:t xml:space="preserve">, </w:t>
      </w:r>
      <w:r w:rsidR="00A47B3F">
        <w:rPr>
          <w:rFonts w:ascii="Times" w:eastAsia="Times New Roman" w:hAnsi="Times" w:cs="Times New Roman"/>
          <w:color w:val="000000"/>
          <w:shd w:val="clear" w:color="auto" w:fill="FFFFFF"/>
          <w:lang w:val="en-US"/>
        </w:rPr>
        <w:t>Vol.13, No.4,</w:t>
      </w:r>
      <w:r w:rsidRPr="00C830F6">
        <w:rPr>
          <w:rFonts w:ascii="Times" w:eastAsia="Times New Roman" w:hAnsi="Times" w:cs="Times New Roman"/>
          <w:color w:val="000000"/>
          <w:shd w:val="clear" w:color="auto" w:fill="FFFFFF"/>
          <w:lang w:val="en-US"/>
        </w:rPr>
        <w:t xml:space="preserve"> </w:t>
      </w:r>
      <w:r w:rsidR="00A47B3F">
        <w:rPr>
          <w:rFonts w:ascii="Times" w:eastAsia="Times New Roman" w:hAnsi="Times" w:cs="Times New Roman"/>
          <w:color w:val="000000"/>
          <w:shd w:val="clear" w:color="auto" w:fill="FFFFFF"/>
          <w:lang w:val="en-US"/>
        </w:rPr>
        <w:t>pp.</w:t>
      </w:r>
      <w:r w:rsidRPr="00C830F6">
        <w:rPr>
          <w:rFonts w:ascii="Times" w:eastAsia="Times New Roman" w:hAnsi="Times" w:cs="Times New Roman"/>
          <w:color w:val="000000"/>
          <w:shd w:val="clear" w:color="auto" w:fill="FFFFFF"/>
          <w:lang w:val="en-US"/>
        </w:rPr>
        <w:t>469-86.</w:t>
      </w:r>
    </w:p>
    <w:p w14:paraId="220906D4" w14:textId="77777777" w:rsidR="0067574D" w:rsidRPr="00C830F6" w:rsidRDefault="0067574D" w:rsidP="002249E1">
      <w:pPr>
        <w:spacing w:line="480" w:lineRule="auto"/>
        <w:jc w:val="both"/>
        <w:rPr>
          <w:rFonts w:ascii="Times" w:hAnsi="Times"/>
        </w:rPr>
      </w:pPr>
    </w:p>
    <w:p w14:paraId="4F57AC56" w14:textId="526AFD86" w:rsidR="0067574D" w:rsidRPr="00C830F6" w:rsidRDefault="0067574D" w:rsidP="002249E1">
      <w:pPr>
        <w:spacing w:line="480" w:lineRule="auto"/>
        <w:jc w:val="both"/>
        <w:rPr>
          <w:rFonts w:ascii="Times" w:eastAsia="Times New Roman" w:hAnsi="Times" w:cs="Times New Roman"/>
          <w:color w:val="000000"/>
          <w:shd w:val="clear" w:color="auto" w:fill="FFFFFF"/>
        </w:rPr>
      </w:pPr>
      <w:r w:rsidRPr="00C830F6">
        <w:rPr>
          <w:rFonts w:ascii="Times" w:hAnsi="Times"/>
        </w:rPr>
        <w:t xml:space="preserve">Parret, L. (2012), ‘The Multiple Personalities of EU Competition Law: time for a comprehensive debate on its objectives’, </w:t>
      </w:r>
      <w:r w:rsidRPr="00C830F6">
        <w:rPr>
          <w:rFonts w:ascii="Times" w:eastAsia="Times New Roman" w:hAnsi="Times" w:cs="Times New Roman"/>
          <w:color w:val="000000"/>
          <w:shd w:val="clear" w:color="auto" w:fill="FFFFFF"/>
        </w:rPr>
        <w:t xml:space="preserve">in Zimmer, D. (ed.), </w:t>
      </w:r>
      <w:r w:rsidRPr="00C830F6">
        <w:rPr>
          <w:rFonts w:ascii="Times" w:eastAsia="Times New Roman" w:hAnsi="Times" w:cs="Times New Roman"/>
          <w:i/>
          <w:color w:val="000000"/>
          <w:shd w:val="clear" w:color="auto" w:fill="FFFFFF"/>
        </w:rPr>
        <w:t>The Goals of Competition Law</w:t>
      </w:r>
      <w:r w:rsidRPr="00C830F6">
        <w:rPr>
          <w:rFonts w:ascii="Times" w:eastAsia="Times New Roman" w:hAnsi="Times" w:cs="Times New Roman"/>
          <w:color w:val="000000"/>
          <w:shd w:val="clear" w:color="auto" w:fill="FFFFFF"/>
        </w:rPr>
        <w:t xml:space="preserve"> (</w:t>
      </w:r>
      <w:r w:rsidR="002E4AE3">
        <w:rPr>
          <w:rFonts w:ascii="Times" w:eastAsia="Times New Roman" w:hAnsi="Times" w:cs="Times New Roman"/>
          <w:color w:val="000000"/>
          <w:shd w:val="clear" w:color="auto" w:fill="FFFFFF"/>
        </w:rPr>
        <w:t>Cheltenham: Edward Elgar), pp.61-84.</w:t>
      </w:r>
    </w:p>
    <w:p w14:paraId="346FF7B8" w14:textId="77777777" w:rsidR="003A6876" w:rsidRDefault="003A6876" w:rsidP="002249E1">
      <w:pPr>
        <w:spacing w:line="480" w:lineRule="auto"/>
        <w:jc w:val="both"/>
        <w:rPr>
          <w:rFonts w:ascii="Times" w:hAnsi="Times"/>
        </w:rPr>
      </w:pPr>
    </w:p>
    <w:p w14:paraId="00105BF5" w14:textId="6715E7EB" w:rsidR="0067574D" w:rsidRPr="00C830F6" w:rsidRDefault="0067574D" w:rsidP="002249E1">
      <w:pPr>
        <w:spacing w:line="480" w:lineRule="auto"/>
        <w:jc w:val="both"/>
        <w:rPr>
          <w:rFonts w:ascii="Times" w:hAnsi="Times"/>
          <w:lang w:val="en-US"/>
        </w:rPr>
      </w:pPr>
      <w:r w:rsidRPr="00C830F6">
        <w:rPr>
          <w:rFonts w:ascii="Times" w:hAnsi="Times"/>
          <w:lang w:val="en-US"/>
        </w:rPr>
        <w:t xml:space="preserve">Peters, G. (1998), </w:t>
      </w:r>
      <w:r w:rsidRPr="00C830F6">
        <w:rPr>
          <w:rFonts w:ascii="Times" w:hAnsi="Times"/>
        </w:rPr>
        <w:t>‘Managing Horizontal Government:</w:t>
      </w:r>
      <w:r w:rsidR="006226E9">
        <w:rPr>
          <w:rFonts w:ascii="Times" w:hAnsi="Times"/>
        </w:rPr>
        <w:t xml:space="preserve"> The Politics of Co-ordination’.</w:t>
      </w:r>
      <w:r w:rsidRPr="00C830F6">
        <w:rPr>
          <w:rFonts w:ascii="Times" w:hAnsi="Times"/>
        </w:rPr>
        <w:t xml:space="preserve"> </w:t>
      </w:r>
      <w:r w:rsidRPr="00C830F6">
        <w:rPr>
          <w:rFonts w:ascii="Times" w:hAnsi="Times"/>
          <w:i/>
        </w:rPr>
        <w:t>Public Administration</w:t>
      </w:r>
      <w:r w:rsidR="006226E9">
        <w:rPr>
          <w:rFonts w:ascii="Times" w:hAnsi="Times"/>
        </w:rPr>
        <w:t>,</w:t>
      </w:r>
      <w:r w:rsidR="001D3EA6">
        <w:rPr>
          <w:rFonts w:ascii="Times" w:hAnsi="Times"/>
        </w:rPr>
        <w:t xml:space="preserve"> Vol.76, No.2,</w:t>
      </w:r>
      <w:r w:rsidRPr="00C830F6">
        <w:rPr>
          <w:rFonts w:ascii="Times" w:hAnsi="Times"/>
        </w:rPr>
        <w:t xml:space="preserve"> </w:t>
      </w:r>
      <w:r w:rsidR="001D3EA6">
        <w:rPr>
          <w:rFonts w:ascii="Times" w:hAnsi="Times"/>
        </w:rPr>
        <w:t>pp.</w:t>
      </w:r>
      <w:r w:rsidRPr="00C830F6">
        <w:rPr>
          <w:rFonts w:ascii="Times" w:hAnsi="Times"/>
        </w:rPr>
        <w:t>295-311.</w:t>
      </w:r>
    </w:p>
    <w:p w14:paraId="0EA46C38" w14:textId="77777777" w:rsidR="0067574D" w:rsidRPr="00C830F6" w:rsidRDefault="0067574D" w:rsidP="002249E1">
      <w:pPr>
        <w:spacing w:line="480" w:lineRule="auto"/>
        <w:jc w:val="both"/>
        <w:rPr>
          <w:rFonts w:ascii="Times" w:hAnsi="Times"/>
          <w:lang w:val="en-US"/>
        </w:rPr>
      </w:pPr>
    </w:p>
    <w:p w14:paraId="54D86C3F" w14:textId="2323A79B" w:rsidR="0067574D" w:rsidRDefault="0067574D" w:rsidP="002249E1">
      <w:pPr>
        <w:spacing w:line="480" w:lineRule="auto"/>
        <w:jc w:val="both"/>
        <w:rPr>
          <w:rFonts w:ascii="Times" w:hAnsi="Times"/>
        </w:rPr>
      </w:pPr>
      <w:r w:rsidRPr="00C830F6">
        <w:rPr>
          <w:rFonts w:ascii="Times" w:hAnsi="Times"/>
          <w:lang w:val="en-US"/>
        </w:rPr>
        <w:t xml:space="preserve">Peters, G. and Pierre, J. (2005), </w:t>
      </w:r>
      <w:r w:rsidRPr="00C830F6">
        <w:rPr>
          <w:rFonts w:ascii="Times" w:hAnsi="Times"/>
        </w:rPr>
        <w:t xml:space="preserve">‘Multi-level Governance and Democracy: A Faustian Bargain?’, in Bache, I.; Flinders, M. (eds.), </w:t>
      </w:r>
      <w:r w:rsidRPr="00C830F6">
        <w:rPr>
          <w:rFonts w:ascii="Times" w:hAnsi="Times"/>
          <w:i/>
        </w:rPr>
        <w:t>Multi-level Governance</w:t>
      </w:r>
      <w:r w:rsidRPr="00C830F6">
        <w:rPr>
          <w:rFonts w:ascii="Times" w:hAnsi="Times"/>
        </w:rPr>
        <w:t>, (</w:t>
      </w:r>
      <w:r w:rsidR="009D00AB">
        <w:rPr>
          <w:rFonts w:ascii="Times" w:hAnsi="Times"/>
        </w:rPr>
        <w:t xml:space="preserve">Oxford: </w:t>
      </w:r>
      <w:r w:rsidR="004D58BE">
        <w:rPr>
          <w:rFonts w:ascii="Times" w:hAnsi="Times"/>
        </w:rPr>
        <w:t>OUP), pp.75-93.</w:t>
      </w:r>
    </w:p>
    <w:p w14:paraId="437F2068" w14:textId="77777777" w:rsidR="009A12EA" w:rsidRDefault="009A12EA" w:rsidP="002249E1">
      <w:pPr>
        <w:spacing w:line="480" w:lineRule="auto"/>
        <w:jc w:val="both"/>
        <w:rPr>
          <w:rFonts w:ascii="Times" w:hAnsi="Times"/>
        </w:rPr>
      </w:pPr>
    </w:p>
    <w:p w14:paraId="7F0B1875" w14:textId="4C3E0665" w:rsidR="009A12EA" w:rsidRPr="00CA2BF6" w:rsidRDefault="009A12EA" w:rsidP="002249E1">
      <w:pPr>
        <w:spacing w:line="480" w:lineRule="auto"/>
        <w:jc w:val="both"/>
        <w:rPr>
          <w:rFonts w:ascii="Times" w:hAnsi="Times"/>
        </w:rPr>
      </w:pPr>
      <w:r>
        <w:rPr>
          <w:rFonts w:ascii="Times" w:hAnsi="Times"/>
        </w:rPr>
        <w:t xml:space="preserve">Riley, A. (2003), ‘EC Antitrust Modernization: The Commission Does Very Nicely: Thank You! Part 1: Regulation 1 and the Notification Burden’. </w:t>
      </w:r>
      <w:r w:rsidRPr="009A12EA">
        <w:rPr>
          <w:rFonts w:ascii="Times" w:hAnsi="Times"/>
          <w:i/>
        </w:rPr>
        <w:t>European Competition Law Review</w:t>
      </w:r>
      <w:r w:rsidR="00CA2BF6">
        <w:rPr>
          <w:rFonts w:ascii="Times" w:hAnsi="Times"/>
        </w:rPr>
        <w:t xml:space="preserve">, </w:t>
      </w:r>
      <w:r w:rsidR="00CA2BF6">
        <w:rPr>
          <w:rFonts w:ascii="Times" w:hAnsi="Times"/>
          <w:i/>
        </w:rPr>
        <w:t xml:space="preserve"> </w:t>
      </w:r>
      <w:r w:rsidR="00CA2BF6">
        <w:rPr>
          <w:rFonts w:ascii="Times" w:hAnsi="Times"/>
        </w:rPr>
        <w:t>Vol.24, no.3, pp.604-15.</w:t>
      </w:r>
    </w:p>
    <w:p w14:paraId="0DBD9476" w14:textId="77777777" w:rsidR="0067574D" w:rsidRPr="00C830F6" w:rsidRDefault="0067574D" w:rsidP="002249E1">
      <w:pPr>
        <w:spacing w:line="480" w:lineRule="auto"/>
        <w:jc w:val="both"/>
        <w:rPr>
          <w:rFonts w:ascii="Times" w:hAnsi="Times"/>
          <w:lang w:val="en-US"/>
        </w:rPr>
      </w:pPr>
    </w:p>
    <w:p w14:paraId="3CF51F86" w14:textId="5FC7D9DB" w:rsidR="0067574D" w:rsidRPr="00C830F6" w:rsidRDefault="0067574D" w:rsidP="002249E1">
      <w:pPr>
        <w:spacing w:line="480" w:lineRule="auto"/>
        <w:jc w:val="both"/>
        <w:rPr>
          <w:rFonts w:ascii="Times" w:hAnsi="Times"/>
        </w:rPr>
      </w:pPr>
      <w:r w:rsidRPr="00C830F6">
        <w:rPr>
          <w:rFonts w:ascii="Times" w:hAnsi="Times"/>
          <w:lang w:val="en-US"/>
        </w:rPr>
        <w:t xml:space="preserve">Scharpf, F. (1997), </w:t>
      </w:r>
      <w:r w:rsidR="003A6876">
        <w:rPr>
          <w:rFonts w:ascii="Times" w:hAnsi="Times"/>
        </w:rPr>
        <w:t>‘</w:t>
      </w:r>
      <w:r w:rsidRPr="00C830F6">
        <w:rPr>
          <w:rFonts w:ascii="Times" w:hAnsi="Times"/>
        </w:rPr>
        <w:t>Economic Integration, Democracy an</w:t>
      </w:r>
      <w:r w:rsidR="00D038C3">
        <w:rPr>
          <w:rFonts w:ascii="Times" w:hAnsi="Times"/>
        </w:rPr>
        <w:t>d the Welfare State’</w:t>
      </w:r>
      <w:r w:rsidR="00D55498">
        <w:rPr>
          <w:rFonts w:ascii="Times" w:hAnsi="Times"/>
        </w:rPr>
        <w:t>.</w:t>
      </w:r>
      <w:r w:rsidRPr="00C830F6">
        <w:rPr>
          <w:rFonts w:ascii="Times" w:hAnsi="Times"/>
        </w:rPr>
        <w:t xml:space="preserve"> </w:t>
      </w:r>
      <w:r w:rsidRPr="00C830F6">
        <w:rPr>
          <w:rFonts w:ascii="Times" w:hAnsi="Times"/>
          <w:i/>
        </w:rPr>
        <w:t>JEPP</w:t>
      </w:r>
      <w:r w:rsidRPr="00C830F6">
        <w:rPr>
          <w:rFonts w:ascii="Times" w:hAnsi="Times"/>
        </w:rPr>
        <w:t xml:space="preserve">, </w:t>
      </w:r>
      <w:r w:rsidR="00D55498">
        <w:rPr>
          <w:rFonts w:ascii="Times" w:hAnsi="Times"/>
        </w:rPr>
        <w:t>Vol.4, No.1,</w:t>
      </w:r>
      <w:r w:rsidRPr="00C830F6">
        <w:rPr>
          <w:rFonts w:ascii="Times" w:hAnsi="Times"/>
        </w:rPr>
        <w:t xml:space="preserve"> </w:t>
      </w:r>
      <w:r w:rsidR="00D55498">
        <w:rPr>
          <w:rFonts w:ascii="Times" w:hAnsi="Times"/>
        </w:rPr>
        <w:t>pp.</w:t>
      </w:r>
      <w:r w:rsidRPr="00C830F6">
        <w:rPr>
          <w:rFonts w:ascii="Times" w:hAnsi="Times"/>
        </w:rPr>
        <w:t>18-36.</w:t>
      </w:r>
    </w:p>
    <w:p w14:paraId="22C73B69" w14:textId="77777777" w:rsidR="0067574D" w:rsidRPr="00C830F6" w:rsidRDefault="0067574D" w:rsidP="002249E1">
      <w:pPr>
        <w:spacing w:line="480" w:lineRule="auto"/>
        <w:jc w:val="both"/>
        <w:rPr>
          <w:rFonts w:ascii="Times" w:hAnsi="Times"/>
        </w:rPr>
      </w:pPr>
    </w:p>
    <w:p w14:paraId="503EFBEB" w14:textId="77777777" w:rsidR="0067574D" w:rsidRDefault="0067574D" w:rsidP="002249E1">
      <w:pPr>
        <w:spacing w:line="480" w:lineRule="auto"/>
        <w:jc w:val="both"/>
        <w:rPr>
          <w:rFonts w:ascii="Times" w:hAnsi="Times"/>
        </w:rPr>
      </w:pPr>
      <w:r w:rsidRPr="00C830F6">
        <w:rPr>
          <w:rFonts w:ascii="Times" w:hAnsi="Times"/>
        </w:rPr>
        <w:t>Scharpf, F. (2012), ‘Legitimacy Intermediation in the Multilevel European Polity and Its Collapse in the Euro Crisis’, MPIfG Discussion Paper 12/6.</w:t>
      </w:r>
    </w:p>
    <w:p w14:paraId="699A6C56" w14:textId="77777777" w:rsidR="0082017E" w:rsidRDefault="0082017E" w:rsidP="002249E1">
      <w:pPr>
        <w:spacing w:line="480" w:lineRule="auto"/>
        <w:jc w:val="both"/>
        <w:rPr>
          <w:rFonts w:ascii="Times" w:hAnsi="Times"/>
        </w:rPr>
      </w:pPr>
    </w:p>
    <w:p w14:paraId="643B1661" w14:textId="106BBD32" w:rsidR="0082017E" w:rsidRPr="00C830F6" w:rsidRDefault="0082017E" w:rsidP="002249E1">
      <w:pPr>
        <w:spacing w:line="480" w:lineRule="auto"/>
        <w:jc w:val="both"/>
        <w:rPr>
          <w:rFonts w:ascii="Times" w:hAnsi="Times"/>
          <w:lang w:val="en-US"/>
        </w:rPr>
      </w:pPr>
      <w:r>
        <w:rPr>
          <w:rFonts w:ascii="Times" w:hAnsi="Times"/>
        </w:rPr>
        <w:t xml:space="preserve">Schmitter, P.C. (2004), ‘Neofunctionalism’ in Wiener, A. and Diez, T. (eds.), </w:t>
      </w:r>
      <w:r w:rsidRPr="00644B31">
        <w:rPr>
          <w:rFonts w:ascii="Times" w:hAnsi="Times"/>
          <w:i/>
        </w:rPr>
        <w:t>European Integration Theory</w:t>
      </w:r>
      <w:r>
        <w:rPr>
          <w:rFonts w:ascii="Times" w:hAnsi="Times"/>
        </w:rPr>
        <w:t xml:space="preserve"> (Oxford: OUP).</w:t>
      </w:r>
    </w:p>
    <w:p w14:paraId="7FEF4BFC" w14:textId="77777777" w:rsidR="0067574D" w:rsidRPr="00C830F6" w:rsidRDefault="0067574D" w:rsidP="002249E1">
      <w:pPr>
        <w:spacing w:line="480" w:lineRule="auto"/>
        <w:jc w:val="both"/>
        <w:rPr>
          <w:rFonts w:ascii="Times" w:hAnsi="Times"/>
          <w:lang w:val="en-US"/>
        </w:rPr>
      </w:pPr>
    </w:p>
    <w:p w14:paraId="1A42F8C9" w14:textId="114DF7DF" w:rsidR="0067574D" w:rsidRDefault="0067574D" w:rsidP="002249E1">
      <w:pPr>
        <w:spacing w:line="480" w:lineRule="auto"/>
        <w:jc w:val="both"/>
        <w:rPr>
          <w:rFonts w:ascii="Times" w:hAnsi="Times"/>
          <w:lang w:val="en-US"/>
        </w:rPr>
      </w:pPr>
      <w:r w:rsidRPr="00C830F6">
        <w:rPr>
          <w:rFonts w:ascii="Times" w:hAnsi="Times"/>
          <w:lang w:val="en-US"/>
        </w:rPr>
        <w:t xml:space="preserve">Slaughter, A.M. (2005), </w:t>
      </w:r>
      <w:r w:rsidRPr="00C830F6">
        <w:rPr>
          <w:rFonts w:ascii="Times" w:hAnsi="Times"/>
          <w:i/>
          <w:lang w:val="en-US"/>
        </w:rPr>
        <w:t>A New World Order</w:t>
      </w:r>
      <w:r w:rsidRPr="00C830F6">
        <w:rPr>
          <w:rFonts w:ascii="Times" w:hAnsi="Times"/>
          <w:lang w:val="en-US"/>
        </w:rPr>
        <w:t>, (</w:t>
      </w:r>
      <w:r w:rsidR="005F325B">
        <w:rPr>
          <w:rFonts w:ascii="Times" w:hAnsi="Times"/>
          <w:lang w:val="en-US"/>
        </w:rPr>
        <w:t xml:space="preserve">Princeton: </w:t>
      </w:r>
      <w:r w:rsidRPr="00C830F6">
        <w:rPr>
          <w:rFonts w:ascii="Times" w:hAnsi="Times"/>
          <w:lang w:val="en-US"/>
        </w:rPr>
        <w:t>PUP).</w:t>
      </w:r>
    </w:p>
    <w:p w14:paraId="495A5F48" w14:textId="77777777" w:rsidR="00AA3DEF" w:rsidRDefault="00AA3DEF" w:rsidP="002249E1">
      <w:pPr>
        <w:spacing w:line="480" w:lineRule="auto"/>
        <w:jc w:val="both"/>
        <w:rPr>
          <w:rFonts w:ascii="Times" w:hAnsi="Times"/>
          <w:lang w:val="en-US"/>
        </w:rPr>
      </w:pPr>
    </w:p>
    <w:p w14:paraId="1DC9722A" w14:textId="51CD88A4" w:rsidR="0067574D" w:rsidRDefault="00AA3DEF" w:rsidP="002249E1">
      <w:pPr>
        <w:spacing w:line="480" w:lineRule="auto"/>
        <w:jc w:val="both"/>
        <w:rPr>
          <w:rFonts w:ascii="Times" w:hAnsi="Times"/>
          <w:lang w:val="en-US"/>
        </w:rPr>
      </w:pPr>
      <w:r>
        <w:rPr>
          <w:rFonts w:ascii="Times" w:hAnsi="Times"/>
          <w:lang w:val="en-US"/>
        </w:rPr>
        <w:t>Thatcher, M. (2002), ‘Regulation after Delegation: Independent</w:t>
      </w:r>
      <w:r w:rsidR="009E020C">
        <w:rPr>
          <w:rFonts w:ascii="Times" w:hAnsi="Times"/>
          <w:lang w:val="en-US"/>
        </w:rPr>
        <w:t xml:space="preserve"> Regulatory Agencies in Europe’.</w:t>
      </w:r>
      <w:r>
        <w:rPr>
          <w:rFonts w:ascii="Times" w:hAnsi="Times"/>
          <w:lang w:val="en-US"/>
        </w:rPr>
        <w:t xml:space="preserve"> </w:t>
      </w:r>
      <w:r w:rsidR="00824B55">
        <w:rPr>
          <w:rFonts w:ascii="Times" w:hAnsi="Times"/>
          <w:i/>
          <w:lang w:val="en-US"/>
        </w:rPr>
        <w:t>JEPP</w:t>
      </w:r>
      <w:r w:rsidR="00A9651E" w:rsidRPr="00A9651E">
        <w:rPr>
          <w:rFonts w:ascii="Times" w:hAnsi="Times"/>
          <w:lang w:val="en-US"/>
        </w:rPr>
        <w:t xml:space="preserve">, </w:t>
      </w:r>
      <w:r w:rsidR="009E020C">
        <w:rPr>
          <w:rFonts w:ascii="Times" w:hAnsi="Times"/>
          <w:lang w:val="en-US"/>
        </w:rPr>
        <w:t>Vol.9, No.6, pp.</w:t>
      </w:r>
      <w:r w:rsidR="00A9651E">
        <w:rPr>
          <w:rFonts w:ascii="Times" w:hAnsi="Times"/>
          <w:lang w:val="en-US"/>
        </w:rPr>
        <w:t>954-72.</w:t>
      </w:r>
    </w:p>
    <w:p w14:paraId="54FFE05B" w14:textId="77777777" w:rsidR="00BC5D41" w:rsidRPr="00BC5D41" w:rsidRDefault="00BC5D41" w:rsidP="002249E1">
      <w:pPr>
        <w:spacing w:line="480" w:lineRule="auto"/>
        <w:jc w:val="both"/>
        <w:rPr>
          <w:rFonts w:ascii="Times" w:hAnsi="Times"/>
          <w:lang w:val="en-US"/>
        </w:rPr>
      </w:pPr>
    </w:p>
    <w:p w14:paraId="542D89DA" w14:textId="47A01B46" w:rsidR="0067574D" w:rsidRPr="00C830F6" w:rsidRDefault="0067574D" w:rsidP="002249E1">
      <w:pPr>
        <w:spacing w:line="480" w:lineRule="auto"/>
        <w:jc w:val="both"/>
        <w:rPr>
          <w:rFonts w:ascii="Times" w:hAnsi="Times"/>
        </w:rPr>
      </w:pPr>
      <w:r w:rsidRPr="00C830F6">
        <w:rPr>
          <w:rFonts w:ascii="Times" w:hAnsi="Times"/>
        </w:rPr>
        <w:t>van Miert, K. (1993), ‘Competition Policy in the 90s’, &lt;http://europa.eu/rapid/press-release_SPEECH-93-53_en.htm.&gt;.</w:t>
      </w:r>
    </w:p>
    <w:p w14:paraId="720E4CCE" w14:textId="77777777" w:rsidR="0067574D" w:rsidRPr="00C830F6" w:rsidRDefault="0067574D" w:rsidP="002249E1">
      <w:pPr>
        <w:spacing w:line="480" w:lineRule="auto"/>
        <w:jc w:val="both"/>
        <w:rPr>
          <w:rFonts w:ascii="Times" w:hAnsi="Times"/>
        </w:rPr>
      </w:pPr>
    </w:p>
    <w:p w14:paraId="29A56828" w14:textId="7CF0C5C3" w:rsidR="0067574D" w:rsidRPr="00C830F6" w:rsidRDefault="0067574D" w:rsidP="002249E1">
      <w:pPr>
        <w:spacing w:line="480" w:lineRule="auto"/>
        <w:jc w:val="both"/>
        <w:rPr>
          <w:rFonts w:ascii="Times" w:hAnsi="Times"/>
        </w:rPr>
      </w:pPr>
      <w:r w:rsidRPr="00C830F6">
        <w:rPr>
          <w:rFonts w:ascii="Times" w:hAnsi="Times"/>
        </w:rPr>
        <w:t xml:space="preserve">Walter, R. (2008), ‘Foucault and </w:t>
      </w:r>
      <w:r w:rsidR="00D1416B">
        <w:rPr>
          <w:rFonts w:ascii="Times" w:hAnsi="Times"/>
        </w:rPr>
        <w:t>Radical Deliberative Democracy’.</w:t>
      </w:r>
      <w:r w:rsidRPr="00C830F6">
        <w:rPr>
          <w:rFonts w:ascii="Times" w:hAnsi="Times"/>
        </w:rPr>
        <w:t xml:space="preserve"> </w:t>
      </w:r>
      <w:r w:rsidRPr="00C830F6">
        <w:rPr>
          <w:rFonts w:ascii="Times" w:hAnsi="Times"/>
          <w:i/>
        </w:rPr>
        <w:t>Australian Journal of Political Science</w:t>
      </w:r>
      <w:r w:rsidR="00A6680E">
        <w:rPr>
          <w:rFonts w:ascii="Times" w:hAnsi="Times"/>
        </w:rPr>
        <w:t xml:space="preserve">, </w:t>
      </w:r>
      <w:r w:rsidR="00D1416B">
        <w:rPr>
          <w:rFonts w:ascii="Times" w:hAnsi="Times"/>
        </w:rPr>
        <w:t>Vol.43, No.3,</w:t>
      </w:r>
      <w:r w:rsidRPr="00C830F6">
        <w:rPr>
          <w:rFonts w:ascii="Times" w:hAnsi="Times"/>
        </w:rPr>
        <w:t xml:space="preserve"> </w:t>
      </w:r>
      <w:r w:rsidR="00D1416B">
        <w:rPr>
          <w:rFonts w:ascii="Times" w:hAnsi="Times"/>
        </w:rPr>
        <w:t>pp.</w:t>
      </w:r>
      <w:r w:rsidRPr="00C830F6">
        <w:rPr>
          <w:rFonts w:ascii="Times" w:hAnsi="Times"/>
        </w:rPr>
        <w:t>531-546.</w:t>
      </w:r>
    </w:p>
    <w:p w14:paraId="4999A0F8" w14:textId="77777777" w:rsidR="0067574D" w:rsidRPr="00C830F6" w:rsidRDefault="0067574D" w:rsidP="002249E1">
      <w:pPr>
        <w:spacing w:line="480" w:lineRule="auto"/>
        <w:jc w:val="both"/>
        <w:rPr>
          <w:rFonts w:ascii="Times" w:hAnsi="Times"/>
          <w:lang w:val="en-US"/>
        </w:rPr>
      </w:pPr>
    </w:p>
    <w:p w14:paraId="25C12D27" w14:textId="3BDFC65F" w:rsidR="0067574D" w:rsidRDefault="0067574D" w:rsidP="002249E1">
      <w:pPr>
        <w:pStyle w:val="FootnoteText"/>
        <w:spacing w:line="480" w:lineRule="auto"/>
        <w:rPr>
          <w:sz w:val="24"/>
        </w:rPr>
      </w:pPr>
      <w:r w:rsidRPr="00C830F6">
        <w:rPr>
          <w:sz w:val="24"/>
        </w:rPr>
        <w:t>Weber, M. (1948)</w:t>
      </w:r>
      <w:r w:rsidR="00466994">
        <w:rPr>
          <w:sz w:val="24"/>
        </w:rPr>
        <w:t>,</w:t>
      </w:r>
      <w:r w:rsidRPr="00C830F6">
        <w:rPr>
          <w:sz w:val="24"/>
        </w:rPr>
        <w:t xml:space="preserve"> ‘Bureaucracy’</w:t>
      </w:r>
      <w:r w:rsidR="00466994">
        <w:rPr>
          <w:sz w:val="24"/>
        </w:rPr>
        <w:t>,</w:t>
      </w:r>
      <w:r w:rsidRPr="00C830F6">
        <w:rPr>
          <w:sz w:val="24"/>
        </w:rPr>
        <w:t xml:space="preserve"> in H. H. Gerth and C. Mills Wrights (eds.), </w:t>
      </w:r>
      <w:r w:rsidRPr="00C830F6">
        <w:rPr>
          <w:i/>
          <w:sz w:val="24"/>
        </w:rPr>
        <w:t>Max Weber, Essays in Sociology</w:t>
      </w:r>
      <w:r w:rsidRPr="00C830F6">
        <w:rPr>
          <w:sz w:val="24"/>
        </w:rPr>
        <w:t xml:space="preserve"> (</w:t>
      </w:r>
      <w:r w:rsidR="00D1416B">
        <w:rPr>
          <w:sz w:val="24"/>
        </w:rPr>
        <w:t xml:space="preserve">London: </w:t>
      </w:r>
      <w:r w:rsidRPr="00C830F6">
        <w:rPr>
          <w:sz w:val="24"/>
        </w:rPr>
        <w:t>Routledge).</w:t>
      </w:r>
    </w:p>
    <w:p w14:paraId="59170B45" w14:textId="77777777" w:rsidR="005955D8" w:rsidRDefault="005955D8" w:rsidP="002249E1">
      <w:pPr>
        <w:pStyle w:val="FootnoteText"/>
        <w:spacing w:line="480" w:lineRule="auto"/>
        <w:rPr>
          <w:sz w:val="24"/>
        </w:rPr>
      </w:pPr>
    </w:p>
    <w:p w14:paraId="7D0A0DD1" w14:textId="37A33E7B" w:rsidR="005955D8" w:rsidRDefault="005955D8" w:rsidP="002249E1">
      <w:pPr>
        <w:pStyle w:val="FootnoteText"/>
        <w:spacing w:line="480" w:lineRule="auto"/>
        <w:rPr>
          <w:sz w:val="24"/>
        </w:rPr>
      </w:pPr>
      <w:r>
        <w:rPr>
          <w:sz w:val="24"/>
        </w:rPr>
        <w:t>Wilks, S. (2005), ‘Agency Escape: Decentralization of Dominance of the European Commission in the Moder</w:t>
      </w:r>
      <w:r w:rsidR="00671D01">
        <w:rPr>
          <w:sz w:val="24"/>
        </w:rPr>
        <w:t>nization of Competition Policy’.</w:t>
      </w:r>
      <w:r>
        <w:rPr>
          <w:sz w:val="24"/>
        </w:rPr>
        <w:t xml:space="preserve"> </w:t>
      </w:r>
      <w:r w:rsidRPr="005955D8">
        <w:rPr>
          <w:i/>
          <w:sz w:val="24"/>
        </w:rPr>
        <w:t>Governance</w:t>
      </w:r>
      <w:r>
        <w:rPr>
          <w:sz w:val="24"/>
        </w:rPr>
        <w:t xml:space="preserve">, </w:t>
      </w:r>
      <w:r w:rsidR="00671D01">
        <w:rPr>
          <w:sz w:val="24"/>
        </w:rPr>
        <w:t>Vol.18, No.3, pp.</w:t>
      </w:r>
      <w:r>
        <w:rPr>
          <w:sz w:val="24"/>
        </w:rPr>
        <w:t>431-52.</w:t>
      </w:r>
    </w:p>
    <w:p w14:paraId="08822E9E" w14:textId="77777777" w:rsidR="00A6680E" w:rsidRPr="00C830F6" w:rsidRDefault="00A6680E" w:rsidP="002249E1">
      <w:pPr>
        <w:pStyle w:val="FootnoteText"/>
        <w:spacing w:line="480" w:lineRule="auto"/>
        <w:rPr>
          <w:sz w:val="24"/>
        </w:rPr>
      </w:pPr>
    </w:p>
    <w:p w14:paraId="7EEDE996" w14:textId="3A68C41B" w:rsidR="0067574D" w:rsidRPr="00C830F6" w:rsidRDefault="0067574D" w:rsidP="002249E1">
      <w:pPr>
        <w:spacing w:line="480" w:lineRule="auto"/>
        <w:jc w:val="both"/>
        <w:rPr>
          <w:rFonts w:ascii="Times" w:hAnsi="Times"/>
        </w:rPr>
      </w:pPr>
      <w:r w:rsidRPr="00C830F6">
        <w:rPr>
          <w:rFonts w:ascii="Times" w:hAnsi="Times"/>
        </w:rPr>
        <w:t xml:space="preserve">Wils, W. (2014), ‘The Judgment of the EU General Courts in </w:t>
      </w:r>
      <w:r w:rsidRPr="00C830F6">
        <w:rPr>
          <w:rFonts w:ascii="Times" w:hAnsi="Times"/>
          <w:i/>
        </w:rPr>
        <w:t>Intel</w:t>
      </w:r>
      <w:r w:rsidRPr="00C830F6">
        <w:rPr>
          <w:rFonts w:ascii="Times" w:hAnsi="Times"/>
        </w:rPr>
        <w:t xml:space="preserve"> and the so-called ‘more economic a</w:t>
      </w:r>
      <w:r w:rsidR="00671D01">
        <w:rPr>
          <w:rFonts w:ascii="Times" w:hAnsi="Times"/>
        </w:rPr>
        <w:t>pproach’ to abuse of dominance’.</w:t>
      </w:r>
      <w:r w:rsidR="007E56BC">
        <w:rPr>
          <w:rFonts w:ascii="Times" w:hAnsi="Times"/>
        </w:rPr>
        <w:t xml:space="preserve"> F</w:t>
      </w:r>
      <w:r w:rsidRPr="00C830F6">
        <w:rPr>
          <w:rFonts w:ascii="Times" w:hAnsi="Times"/>
        </w:rPr>
        <w:t xml:space="preserve">orthcoming, </w:t>
      </w:r>
      <w:r w:rsidRPr="00C830F6">
        <w:rPr>
          <w:rFonts w:ascii="Times" w:hAnsi="Times"/>
          <w:i/>
        </w:rPr>
        <w:t>World Competition</w:t>
      </w:r>
      <w:r w:rsidRPr="00C830F6">
        <w:rPr>
          <w:rFonts w:ascii="Times" w:hAnsi="Times"/>
        </w:rPr>
        <w:t xml:space="preserve">, </w:t>
      </w:r>
      <w:r w:rsidR="00671D01">
        <w:rPr>
          <w:rFonts w:ascii="Times" w:hAnsi="Times"/>
        </w:rPr>
        <w:t>Vol.37, No.4</w:t>
      </w:r>
      <w:r w:rsidRPr="00C830F6">
        <w:rPr>
          <w:rFonts w:ascii="Times" w:hAnsi="Times"/>
        </w:rPr>
        <w:t>.</w:t>
      </w:r>
    </w:p>
    <w:p w14:paraId="08271715" w14:textId="77777777" w:rsidR="0067574D" w:rsidRPr="00C830F6" w:rsidRDefault="0067574D" w:rsidP="002249E1">
      <w:pPr>
        <w:spacing w:line="480" w:lineRule="auto"/>
        <w:jc w:val="both"/>
        <w:rPr>
          <w:rFonts w:ascii="Times" w:hAnsi="Times"/>
        </w:rPr>
      </w:pPr>
    </w:p>
    <w:p w14:paraId="5EAD3035" w14:textId="02BA63E6" w:rsidR="0067574D" w:rsidRPr="00C830F6" w:rsidRDefault="0067574D" w:rsidP="002249E1">
      <w:pPr>
        <w:spacing w:line="480" w:lineRule="auto"/>
        <w:jc w:val="both"/>
        <w:rPr>
          <w:rFonts w:ascii="Times" w:hAnsi="Times"/>
        </w:rPr>
      </w:pPr>
      <w:r w:rsidRPr="00C830F6">
        <w:rPr>
          <w:rFonts w:ascii="Times" w:hAnsi="Times"/>
        </w:rPr>
        <w:t>Witt, A.C., (2010), ‘The Commission’s guidance paper on exclusionary abusive conduct –</w:t>
      </w:r>
      <w:r w:rsidR="00151E5C">
        <w:rPr>
          <w:rFonts w:ascii="Times" w:hAnsi="Times"/>
        </w:rPr>
        <w:t xml:space="preserve"> more radical than it appears?’.</w:t>
      </w:r>
      <w:r w:rsidRPr="00C830F6">
        <w:rPr>
          <w:rFonts w:ascii="Times" w:hAnsi="Times"/>
        </w:rPr>
        <w:t xml:space="preserve"> </w:t>
      </w:r>
      <w:r w:rsidRPr="00C830F6">
        <w:rPr>
          <w:rFonts w:ascii="Times" w:hAnsi="Times"/>
          <w:i/>
        </w:rPr>
        <w:t>European Law Review</w:t>
      </w:r>
      <w:r w:rsidRPr="00C830F6">
        <w:rPr>
          <w:rFonts w:ascii="Times" w:hAnsi="Times"/>
        </w:rPr>
        <w:t xml:space="preserve">, </w:t>
      </w:r>
      <w:r w:rsidR="00947E84">
        <w:rPr>
          <w:rFonts w:ascii="Times" w:hAnsi="Times"/>
        </w:rPr>
        <w:t>Vol.35, No.2,</w:t>
      </w:r>
      <w:r w:rsidRPr="00C830F6">
        <w:rPr>
          <w:rFonts w:ascii="Times" w:hAnsi="Times"/>
        </w:rPr>
        <w:t xml:space="preserve"> </w:t>
      </w:r>
      <w:r w:rsidR="00947E84">
        <w:rPr>
          <w:rFonts w:ascii="Times" w:hAnsi="Times"/>
        </w:rPr>
        <w:t>pp.</w:t>
      </w:r>
      <w:r w:rsidRPr="00C830F6">
        <w:rPr>
          <w:rFonts w:ascii="Times" w:hAnsi="Times"/>
        </w:rPr>
        <w:t xml:space="preserve">314-35. </w:t>
      </w:r>
    </w:p>
    <w:p w14:paraId="351F4835" w14:textId="77777777" w:rsidR="0067574D" w:rsidRPr="00C830F6" w:rsidRDefault="0067574D" w:rsidP="002249E1">
      <w:pPr>
        <w:spacing w:line="480" w:lineRule="auto"/>
        <w:jc w:val="both"/>
        <w:rPr>
          <w:rFonts w:ascii="Times" w:hAnsi="Times"/>
          <w:lang w:val="en-US"/>
        </w:rPr>
      </w:pPr>
    </w:p>
    <w:p w14:paraId="16FBE4BD" w14:textId="224915F2" w:rsidR="00151A42" w:rsidRPr="00037E76" w:rsidRDefault="0067574D" w:rsidP="002249E1">
      <w:pPr>
        <w:spacing w:line="480" w:lineRule="auto"/>
        <w:jc w:val="both"/>
        <w:rPr>
          <w:rFonts w:ascii="Times" w:hAnsi="Times"/>
          <w:lang w:val="en-US"/>
        </w:rPr>
      </w:pPr>
      <w:r w:rsidRPr="00C830F6">
        <w:rPr>
          <w:rFonts w:ascii="Times" w:hAnsi="Times"/>
          <w:lang w:val="en-US"/>
        </w:rPr>
        <w:t xml:space="preserve">Young, I.M. (2000), </w:t>
      </w:r>
      <w:r w:rsidRPr="00C830F6">
        <w:rPr>
          <w:rFonts w:ascii="Times" w:hAnsi="Times"/>
          <w:i/>
          <w:lang w:val="en-US"/>
        </w:rPr>
        <w:t>Inclusion and Democracy</w:t>
      </w:r>
      <w:r w:rsidRPr="00C830F6">
        <w:rPr>
          <w:rFonts w:ascii="Times" w:hAnsi="Times"/>
          <w:lang w:val="en-US"/>
        </w:rPr>
        <w:t>, (</w:t>
      </w:r>
      <w:r w:rsidR="00947E84">
        <w:rPr>
          <w:rFonts w:ascii="Times" w:hAnsi="Times"/>
          <w:lang w:val="en-US"/>
        </w:rPr>
        <w:t xml:space="preserve">Oxford: </w:t>
      </w:r>
      <w:r w:rsidRPr="00C830F6">
        <w:rPr>
          <w:rFonts w:ascii="Times" w:hAnsi="Times"/>
          <w:lang w:val="en-US"/>
        </w:rPr>
        <w:t>OUP).</w:t>
      </w:r>
    </w:p>
    <w:sectPr w:rsidR="00151A42" w:rsidRPr="00037E76" w:rsidSect="00185E4D">
      <w:footerReference w:type="even" r:id="rId10"/>
      <w:footerReference w:type="default" r:id="rId11"/>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1AEA" w14:textId="77777777" w:rsidR="001E2D28" w:rsidRDefault="001E2D28" w:rsidP="0026287C">
      <w:r>
        <w:separator/>
      </w:r>
    </w:p>
  </w:endnote>
  <w:endnote w:type="continuationSeparator" w:id="0">
    <w:p w14:paraId="07C2F111" w14:textId="77777777" w:rsidR="001E2D28" w:rsidRDefault="001E2D28" w:rsidP="0026287C">
      <w:r>
        <w:continuationSeparator/>
      </w:r>
    </w:p>
  </w:endnote>
  <w:endnote w:id="1">
    <w:p w14:paraId="0DE5BDCE" w14:textId="78876C4C" w:rsidR="001E2D28" w:rsidRPr="004E3B47" w:rsidRDefault="001E2D28" w:rsidP="00201C18">
      <w:pPr>
        <w:pStyle w:val="FootnoteText"/>
        <w:jc w:val="left"/>
      </w:pPr>
      <w:r w:rsidRPr="00964A1C">
        <w:rPr>
          <w:rStyle w:val="EndnoteReference"/>
          <w:szCs w:val="20"/>
        </w:rPr>
        <w:endnoteRef/>
      </w:r>
      <w:r w:rsidRPr="00964A1C">
        <w:t xml:space="preserve"> Multi-level governance in the context of this article is understood as ‘an arrangement for making binding decisions that engages a multiplicity of politically independent but otherwise interdependent actors </w:t>
      </w:r>
      <w:r w:rsidRPr="00964A1C">
        <w:rPr>
          <w:rFonts w:ascii="Times New Roman" w:hAnsi="Times New Roman"/>
        </w:rPr>
        <w:t>at different levels of territorial aggregation in more-or-less continuous negotiation/deliberation/implementation and that does not assign exclusive policy competence or assert a stable hierarchy of political authority to any of these levels’ (Schmitter, 2004, p.49).</w:t>
      </w:r>
      <w:r>
        <w:rPr>
          <w:rFonts w:ascii="Times New Roman" w:hAnsi="Times New Roman"/>
        </w:rPr>
        <w:t xml:space="preserve"> </w:t>
      </w:r>
    </w:p>
  </w:endnote>
  <w:endnote w:id="2">
    <w:p w14:paraId="1D4F543E" w14:textId="77777777" w:rsidR="001E2D28" w:rsidRPr="004E3B47" w:rsidRDefault="001E2D28" w:rsidP="00201C18">
      <w:pPr>
        <w:pStyle w:val="FootnoteText"/>
        <w:jc w:val="left"/>
        <w:rPr>
          <w:szCs w:val="20"/>
          <w:lang w:val="en-US"/>
        </w:rPr>
      </w:pPr>
      <w:r w:rsidRPr="004E3B47">
        <w:rPr>
          <w:rStyle w:val="EndnoteReference"/>
          <w:szCs w:val="20"/>
        </w:rPr>
        <w:endnoteRef/>
      </w:r>
      <w:r w:rsidRPr="004E3B47">
        <w:rPr>
          <w:szCs w:val="20"/>
        </w:rPr>
        <w:t xml:space="preserve"> Epistemic communities are ‘networks of professionals with recognized expertise and competence in a particular domain and an authoritative claim to policy-relevant knowledge within that domain or issue-area’ (Haas, 1992, p.3).  </w:t>
      </w:r>
    </w:p>
  </w:endnote>
  <w:endnote w:id="3">
    <w:p w14:paraId="11E8CC26" w14:textId="77777777" w:rsidR="000C2F53" w:rsidRPr="003F2B51" w:rsidRDefault="000C2F53" w:rsidP="000C2F53">
      <w:pPr>
        <w:pStyle w:val="FootnoteText"/>
        <w:jc w:val="left"/>
        <w:rPr>
          <w:szCs w:val="20"/>
        </w:rPr>
      </w:pPr>
      <w:r w:rsidRPr="004E3B47">
        <w:rPr>
          <w:rStyle w:val="EndnoteReference"/>
          <w:szCs w:val="20"/>
        </w:rPr>
        <w:endnoteRef/>
      </w:r>
      <w:r w:rsidRPr="004E3B47">
        <w:rPr>
          <w:szCs w:val="20"/>
        </w:rPr>
        <w:t xml:space="preserve"> The interviewed Commission officials represented the Commission position in the legislative process of a reform legislation</w:t>
      </w:r>
      <w:r>
        <w:rPr>
          <w:szCs w:val="20"/>
        </w:rPr>
        <w:t xml:space="preserve"> and were responsible for liaising with consumer organisations. Interviewed consumer organisation members are directly involved in lobbying. Names are kept confidential. Questionnaires are available upon request.    </w:t>
      </w:r>
    </w:p>
  </w:endnote>
  <w:endnote w:id="4">
    <w:p w14:paraId="1FB06772" w14:textId="0000333B" w:rsidR="001E2D28" w:rsidRPr="005122DB" w:rsidRDefault="001E2D28" w:rsidP="00201C18">
      <w:pPr>
        <w:pStyle w:val="FootnoteText"/>
        <w:jc w:val="left"/>
        <w:rPr>
          <w:rFonts w:eastAsia="Times New Roman" w:cs="Times New Roman"/>
          <w:szCs w:val="20"/>
        </w:rPr>
      </w:pPr>
      <w:r w:rsidRPr="005122DB">
        <w:rPr>
          <w:rStyle w:val="EndnoteReference"/>
          <w:szCs w:val="20"/>
        </w:rPr>
        <w:endnoteRef/>
      </w:r>
      <w:r w:rsidRPr="005122DB">
        <w:rPr>
          <w:szCs w:val="20"/>
        </w:rPr>
        <w:t xml:space="preserve"> Most notably the </w:t>
      </w:r>
      <w:r w:rsidRPr="005122DB">
        <w:rPr>
          <w:rFonts w:eastAsia="Times New Roman" w:cs="Times New Roman"/>
          <w:szCs w:val="20"/>
        </w:rPr>
        <w:t xml:space="preserve">Treaty on Stability, Coordination and Governance, &lt;http://european-council.europa.eu/media/639235/st00tscg26_en12.pdf&gt;. </w:t>
      </w:r>
    </w:p>
  </w:endnote>
  <w:endnote w:id="5">
    <w:p w14:paraId="13CEB56E" w14:textId="22B9FC1B" w:rsidR="001E2D28" w:rsidRPr="00DB627C" w:rsidRDefault="001E2D28" w:rsidP="00201C18">
      <w:pPr>
        <w:pStyle w:val="FootnoteText"/>
        <w:jc w:val="left"/>
        <w:rPr>
          <w:szCs w:val="20"/>
          <w:lang w:val="en-US"/>
        </w:rPr>
      </w:pPr>
      <w:r w:rsidRPr="00DB627C">
        <w:rPr>
          <w:rStyle w:val="EndnoteReference"/>
          <w:szCs w:val="20"/>
        </w:rPr>
        <w:endnoteRef/>
      </w:r>
      <w:r w:rsidRPr="00DB627C">
        <w:rPr>
          <w:szCs w:val="20"/>
        </w:rPr>
        <w:t xml:space="preserve"> </w:t>
      </w:r>
      <w:r w:rsidRPr="00DB627C">
        <w:rPr>
          <w:szCs w:val="20"/>
          <w:lang w:val="en-US"/>
        </w:rPr>
        <w:t>See the so-called ‘six pack’</w:t>
      </w:r>
      <w:r>
        <w:rPr>
          <w:szCs w:val="20"/>
          <w:lang w:val="en-US"/>
        </w:rPr>
        <w:t xml:space="preserve">, </w:t>
      </w:r>
      <w:r w:rsidRPr="00DB627C">
        <w:rPr>
          <w:szCs w:val="20"/>
          <w:lang w:val="en-US"/>
        </w:rPr>
        <w:t xml:space="preserve"> &lt;http://ec.europa.eu/economy_finance/economic_governance/sgp/legal_texts/index_en.htm&gt;.</w:t>
      </w:r>
    </w:p>
  </w:endnote>
  <w:endnote w:id="6">
    <w:p w14:paraId="3874326F" w14:textId="1B2CB733" w:rsidR="001E2D28" w:rsidRPr="00FB34E8" w:rsidRDefault="001E2D28" w:rsidP="00201C18">
      <w:pPr>
        <w:pStyle w:val="FootnoteText"/>
        <w:jc w:val="left"/>
        <w:rPr>
          <w:szCs w:val="20"/>
          <w:lang w:val="en-US"/>
        </w:rPr>
      </w:pPr>
      <w:r w:rsidRPr="00FB34E8">
        <w:rPr>
          <w:rStyle w:val="EndnoteReference"/>
          <w:szCs w:val="20"/>
        </w:rPr>
        <w:endnoteRef/>
      </w:r>
      <w:r w:rsidRPr="00FB34E8">
        <w:rPr>
          <w:szCs w:val="20"/>
        </w:rPr>
        <w:t xml:space="preserve"> </w:t>
      </w:r>
      <w:r w:rsidRPr="00FB34E8">
        <w:rPr>
          <w:rFonts w:cs="EUAlbertina-Bold"/>
          <w:bCs/>
          <w:szCs w:val="20"/>
          <w:lang w:val="en-US"/>
        </w:rPr>
        <w:t>Council Regulation (EC) No 1/2003 on the implementation of the rules on competition, [2003] OJ L1/1.</w:t>
      </w:r>
    </w:p>
  </w:endnote>
  <w:endnote w:id="7">
    <w:p w14:paraId="0752ED9D" w14:textId="7B59DD6C" w:rsidR="001E2D28" w:rsidRPr="00FB34E8" w:rsidRDefault="001E2D28" w:rsidP="00201C18">
      <w:pPr>
        <w:pStyle w:val="FootnoteText"/>
        <w:jc w:val="left"/>
        <w:rPr>
          <w:szCs w:val="20"/>
          <w:lang w:val="en-US"/>
        </w:rPr>
      </w:pPr>
      <w:r w:rsidRPr="00FB34E8">
        <w:rPr>
          <w:rStyle w:val="EndnoteReference"/>
          <w:szCs w:val="20"/>
        </w:rPr>
        <w:endnoteRef/>
      </w:r>
      <w:r w:rsidRPr="00FB34E8">
        <w:rPr>
          <w:szCs w:val="20"/>
        </w:rPr>
        <w:t xml:space="preserve"> Commission Regulation 330/2010 on the application of Article 101(3) to vertical agreements, [2010] OJ L 102.</w:t>
      </w:r>
    </w:p>
  </w:endnote>
  <w:endnote w:id="8">
    <w:p w14:paraId="13725C21" w14:textId="1A845E96" w:rsidR="001E2D28" w:rsidRPr="00FB34E8" w:rsidRDefault="001E2D28" w:rsidP="00201C18">
      <w:pPr>
        <w:pStyle w:val="FootnoteText"/>
        <w:jc w:val="left"/>
        <w:rPr>
          <w:szCs w:val="20"/>
          <w:lang w:val="en-US"/>
        </w:rPr>
      </w:pPr>
      <w:r w:rsidRPr="00FB34E8">
        <w:rPr>
          <w:rStyle w:val="EndnoteReference"/>
          <w:szCs w:val="20"/>
        </w:rPr>
        <w:endnoteRef/>
      </w:r>
      <w:r w:rsidRPr="00FB34E8">
        <w:rPr>
          <w:szCs w:val="20"/>
        </w:rPr>
        <w:t xml:space="preserve"> </w:t>
      </w:r>
      <w:r w:rsidRPr="00FB34E8">
        <w:rPr>
          <w:rFonts w:cs="EUAlbertina-Bold"/>
          <w:bCs/>
          <w:szCs w:val="20"/>
          <w:lang w:val="en-US"/>
        </w:rPr>
        <w:t>Council Regulation (EC) No 139/2004 on the control of concentrations, [2004] OJ L 24/1.</w:t>
      </w:r>
    </w:p>
  </w:endnote>
  <w:endnote w:id="9">
    <w:p w14:paraId="5238DEF9" w14:textId="2BDABADF" w:rsidR="001E2D28" w:rsidRPr="00FB34E8" w:rsidRDefault="001E2D28" w:rsidP="00201C18">
      <w:pPr>
        <w:pStyle w:val="FootnoteText"/>
        <w:jc w:val="left"/>
        <w:rPr>
          <w:rFonts w:cs="Times New Roman"/>
          <w:bCs/>
          <w:szCs w:val="20"/>
          <w:lang w:val="en-US"/>
        </w:rPr>
      </w:pPr>
      <w:r w:rsidRPr="00FB34E8">
        <w:rPr>
          <w:rStyle w:val="EndnoteReference"/>
          <w:szCs w:val="20"/>
        </w:rPr>
        <w:endnoteRef/>
      </w:r>
      <w:r w:rsidRPr="00FB34E8">
        <w:rPr>
          <w:szCs w:val="20"/>
        </w:rPr>
        <w:t xml:space="preserve"> </w:t>
      </w:r>
      <w:r w:rsidRPr="00FB34E8">
        <w:rPr>
          <w:rFonts w:cs="EUAlbertina_Bold"/>
          <w:bCs/>
          <w:szCs w:val="20"/>
          <w:lang w:val="en-US"/>
        </w:rPr>
        <w:t>Guidance on the Commission's enforcement priorities in applying Article 82 EC, [2009] OJ C45/7.</w:t>
      </w:r>
    </w:p>
  </w:endnote>
  <w:endnote w:id="10">
    <w:p w14:paraId="699E6727" w14:textId="672B2AC4" w:rsidR="001E2D28" w:rsidRPr="00FB34E8" w:rsidRDefault="001E2D28" w:rsidP="00201C18">
      <w:pPr>
        <w:pStyle w:val="FootnoteText"/>
        <w:jc w:val="left"/>
        <w:rPr>
          <w:szCs w:val="20"/>
          <w:lang w:val="en-US"/>
        </w:rPr>
      </w:pPr>
      <w:r w:rsidRPr="00FB34E8">
        <w:rPr>
          <w:rStyle w:val="EndnoteReference"/>
          <w:szCs w:val="20"/>
        </w:rPr>
        <w:endnoteRef/>
      </w:r>
      <w:r w:rsidRPr="00FB34E8">
        <w:rPr>
          <w:szCs w:val="20"/>
        </w:rPr>
        <w:t xml:space="preserve"> </w:t>
      </w:r>
      <w:r w:rsidRPr="00FB34E8">
        <w:rPr>
          <w:rFonts w:cs="EUAlbertina-Bold"/>
          <w:bCs/>
          <w:szCs w:val="20"/>
          <w:lang w:val="en-US"/>
        </w:rPr>
        <w:t xml:space="preserve">Council Regulation (EC) No 1/2003 on the implementation of the rules on competition, [2003] OJ L1/1. </w:t>
      </w:r>
    </w:p>
  </w:endnote>
  <w:endnote w:id="11">
    <w:p w14:paraId="3490F6CF" w14:textId="54096EF3" w:rsidR="001E2D28" w:rsidRPr="00FB34E8" w:rsidRDefault="001E2D28" w:rsidP="00201C18">
      <w:pPr>
        <w:pStyle w:val="FootnoteText"/>
        <w:jc w:val="left"/>
        <w:rPr>
          <w:szCs w:val="20"/>
          <w:lang w:val="en-US"/>
        </w:rPr>
      </w:pPr>
      <w:r w:rsidRPr="00FB34E8">
        <w:rPr>
          <w:rStyle w:val="EndnoteReference"/>
          <w:szCs w:val="20"/>
        </w:rPr>
        <w:endnoteRef/>
      </w:r>
      <w:r w:rsidRPr="00FB34E8">
        <w:rPr>
          <w:szCs w:val="20"/>
        </w:rPr>
        <w:t xml:space="preserve"> Directive on certain rules governing actions for damages</w:t>
      </w:r>
      <w:r>
        <w:rPr>
          <w:szCs w:val="20"/>
        </w:rPr>
        <w:t>, not yet published, &lt;</w:t>
      </w:r>
      <w:r w:rsidRPr="00060159">
        <w:rPr>
          <w:szCs w:val="20"/>
        </w:rPr>
        <w:t>http://ec.europa.eu/competition/antitrust/actionsdamages/damages_directive_final_en.pdf</w:t>
      </w:r>
      <w:r>
        <w:rPr>
          <w:szCs w:val="20"/>
        </w:rPr>
        <w:t>&gt;</w:t>
      </w:r>
      <w:r w:rsidRPr="00FB34E8">
        <w:rPr>
          <w:szCs w:val="20"/>
        </w:rPr>
        <w:t>.</w:t>
      </w:r>
    </w:p>
  </w:endnote>
  <w:endnote w:id="12">
    <w:p w14:paraId="23A86B82" w14:textId="1AE1D5CA" w:rsidR="001E2D28" w:rsidRPr="00FB34E8" w:rsidRDefault="001E2D28" w:rsidP="00201C18">
      <w:pPr>
        <w:pStyle w:val="FootnoteText"/>
        <w:jc w:val="left"/>
        <w:rPr>
          <w:szCs w:val="20"/>
          <w:lang w:val="en-US"/>
        </w:rPr>
      </w:pPr>
      <w:r w:rsidRPr="00FB34E8">
        <w:rPr>
          <w:rStyle w:val="EndnoteReference"/>
          <w:szCs w:val="20"/>
        </w:rPr>
        <w:endnoteRef/>
      </w:r>
      <w:r w:rsidRPr="00FB34E8">
        <w:rPr>
          <w:szCs w:val="20"/>
        </w:rPr>
        <w:t xml:space="preserve"> </w:t>
      </w:r>
      <w:r w:rsidRPr="00FB34E8">
        <w:rPr>
          <w:szCs w:val="20"/>
          <w:lang w:val="en-US"/>
        </w:rPr>
        <w:t xml:space="preserve">Guidelines on the Application of Article 81(3) of the Treaty [2004] OJ C101/97; Guidelines on Vertical Restraints [2000] OJ C291/1, para.7; Guidelines on the assessment of horizontal mergers [20004] OJ C31/5, para.8. </w:t>
      </w:r>
    </w:p>
  </w:endnote>
  <w:endnote w:id="13">
    <w:p w14:paraId="215CBD20" w14:textId="2DF34DA9" w:rsidR="001E2D28" w:rsidRPr="00FB34E8" w:rsidRDefault="001E2D28" w:rsidP="00201C18">
      <w:pPr>
        <w:pStyle w:val="FootnoteText"/>
        <w:jc w:val="left"/>
        <w:rPr>
          <w:szCs w:val="20"/>
          <w:lang w:val="en-US"/>
        </w:rPr>
      </w:pPr>
      <w:r w:rsidRPr="00FB34E8">
        <w:rPr>
          <w:rStyle w:val="EndnoteReference"/>
          <w:szCs w:val="20"/>
        </w:rPr>
        <w:endnoteRef/>
      </w:r>
      <w:r w:rsidRPr="00FB34E8">
        <w:rPr>
          <w:szCs w:val="20"/>
        </w:rPr>
        <w:t xml:space="preserve"> </w:t>
      </w:r>
      <w:r>
        <w:rPr>
          <w:rFonts w:cs="EUAlbertina_Bold"/>
          <w:bCs/>
          <w:szCs w:val="20"/>
          <w:lang w:val="en-US"/>
        </w:rPr>
        <w:t>Commission Guidance</w:t>
      </w:r>
      <w:r w:rsidRPr="00FB34E8">
        <w:rPr>
          <w:rFonts w:cs="EUAlbertina_Bold"/>
          <w:bCs/>
          <w:szCs w:val="20"/>
          <w:lang w:val="en-US"/>
        </w:rPr>
        <w:t xml:space="preserve">, note </w:t>
      </w:r>
      <w:r>
        <w:rPr>
          <w:rFonts w:cs="EUAlbertina_Bold"/>
          <w:bCs/>
          <w:szCs w:val="20"/>
          <w:lang w:val="en-US"/>
        </w:rPr>
        <w:t>9</w:t>
      </w:r>
      <w:r w:rsidRPr="00FB34E8">
        <w:rPr>
          <w:rFonts w:cs="EUAlbertina_Bold"/>
          <w:bCs/>
          <w:szCs w:val="20"/>
          <w:lang w:val="en-US"/>
        </w:rPr>
        <w:t xml:space="preserve"> above, paras.19, 22.</w:t>
      </w:r>
    </w:p>
  </w:endnote>
  <w:endnote w:id="14">
    <w:p w14:paraId="5749EC31" w14:textId="08F2516C" w:rsidR="001E2D28" w:rsidRPr="00FB34E8" w:rsidRDefault="001E2D28" w:rsidP="00201C18">
      <w:pPr>
        <w:pStyle w:val="FootnoteText"/>
        <w:jc w:val="left"/>
        <w:rPr>
          <w:szCs w:val="20"/>
          <w:lang w:val="en-US"/>
        </w:rPr>
      </w:pPr>
      <w:r w:rsidRPr="00FB34E8">
        <w:rPr>
          <w:rStyle w:val="EndnoteReference"/>
          <w:szCs w:val="20"/>
        </w:rPr>
        <w:endnoteRef/>
      </w:r>
      <w:r w:rsidRPr="00FB34E8">
        <w:rPr>
          <w:szCs w:val="20"/>
        </w:rPr>
        <w:t xml:space="preserve"> </w:t>
      </w:r>
      <w:r w:rsidRPr="00FB34E8">
        <w:rPr>
          <w:rStyle w:val="FootnoteTextChar"/>
          <w:szCs w:val="20"/>
        </w:rPr>
        <w:t xml:space="preserve">54% of BEUC’s budget comes from </w:t>
      </w:r>
      <w:r>
        <w:rPr>
          <w:rStyle w:val="FootnoteTextChar"/>
          <w:szCs w:val="20"/>
        </w:rPr>
        <w:t>its member organisations and</w:t>
      </w:r>
      <w:r w:rsidRPr="00FB34E8">
        <w:rPr>
          <w:rStyle w:val="FootnoteTextChar"/>
          <w:szCs w:val="20"/>
        </w:rPr>
        <w:t xml:space="preserve"> 41% of it comes from EU grants, see &lt;http://www.beuc.org/about-beuc/financial-information&gt;. </w:t>
      </w:r>
    </w:p>
  </w:endnote>
  <w:endnote w:id="15">
    <w:p w14:paraId="7172EADC" w14:textId="2CC5B8DD" w:rsidR="001E2D28" w:rsidRPr="00657F5E" w:rsidRDefault="001E2D28" w:rsidP="00201C18">
      <w:pPr>
        <w:pStyle w:val="FootnoteText"/>
        <w:jc w:val="left"/>
        <w:rPr>
          <w:lang w:val="en-US"/>
        </w:rPr>
      </w:pPr>
      <w:r>
        <w:rPr>
          <w:rStyle w:val="EndnoteReference"/>
        </w:rPr>
        <w:endnoteRef/>
      </w:r>
      <w:r>
        <w:t xml:space="preserve"> </w:t>
      </w:r>
      <w:r>
        <w:rPr>
          <w:lang w:val="en-US"/>
        </w:rPr>
        <w:t xml:space="preserve">See e.g. the responses of Bayer, Confederation of Finnish Industries, European Federation of Pharmaceutical Industries all available at </w:t>
      </w:r>
      <w:hyperlink r:id="rId1" w:history="1">
        <w:r w:rsidRPr="00B22EF1">
          <w:rPr>
            <w:rStyle w:val="Hyperlink"/>
            <w:lang w:val="en-US"/>
          </w:rPr>
          <w:t>http://ec.europa.eu/competition/antitrust/art82/contributions.html</w:t>
        </w:r>
      </w:hyperlink>
      <w:r>
        <w:rPr>
          <w:lang w:val="en-US"/>
        </w:rPr>
        <w:t xml:space="preserve">; responses of EUROPIA, Business Europe, Federation of Chemical Distributors and Federation of Small Businesses all available at </w:t>
      </w:r>
      <w:hyperlink r:id="rId2" w:history="1">
        <w:r w:rsidRPr="00B22EF1">
          <w:rPr>
            <w:rStyle w:val="Hyperlink"/>
            <w:lang w:val="en-US"/>
          </w:rPr>
          <w:t>http://ec.europa.eu/competition/consultations/2009_vertical_agreements/index.html</w:t>
        </w:r>
      </w:hyperlink>
      <w:r>
        <w:rPr>
          <w:lang w:val="en-US"/>
        </w:rPr>
        <w:t xml:space="preserve">.   </w:t>
      </w:r>
    </w:p>
  </w:endnote>
  <w:endnote w:id="16">
    <w:p w14:paraId="5932E7B8" w14:textId="1038CF66" w:rsidR="001E2D28" w:rsidRPr="00657F5E" w:rsidRDefault="001E2D28" w:rsidP="00201C18">
      <w:pPr>
        <w:pStyle w:val="FootnoteText"/>
        <w:jc w:val="left"/>
        <w:rPr>
          <w:lang w:val="en-US"/>
        </w:rPr>
      </w:pPr>
      <w:r>
        <w:rPr>
          <w:rStyle w:val="EndnoteReference"/>
        </w:rPr>
        <w:endnoteRef/>
      </w:r>
      <w:r>
        <w:t xml:space="preserve"> </w:t>
      </w:r>
      <w:r>
        <w:rPr>
          <w:lang w:val="en-US"/>
        </w:rPr>
        <w:t xml:space="preserve">See e.g. responses of CBI, BusinessEurope and American Chamber of Commerce to the EU, all available at </w:t>
      </w:r>
      <w:hyperlink r:id="rId3" w:history="1">
        <w:r w:rsidRPr="00B22EF1">
          <w:rPr>
            <w:rStyle w:val="Hyperlink"/>
            <w:lang w:val="en-US"/>
          </w:rPr>
          <w:t>http://ec.europa.eu/competition/antitrust/actionsdamages/green_paper_comments.html</w:t>
        </w:r>
      </w:hyperlink>
      <w:r>
        <w:rPr>
          <w:lang w:val="en-US"/>
        </w:rPr>
        <w:t xml:space="preserve">. </w:t>
      </w:r>
    </w:p>
  </w:endnote>
  <w:endnote w:id="17">
    <w:p w14:paraId="3C61C3B4" w14:textId="21D45BE6" w:rsidR="001E2D28" w:rsidRPr="00A50FF6" w:rsidRDefault="001E2D28" w:rsidP="00201C18">
      <w:pPr>
        <w:pStyle w:val="FootnoteText"/>
        <w:jc w:val="left"/>
        <w:rPr>
          <w:lang w:val="en-US"/>
        </w:rPr>
      </w:pPr>
      <w:r>
        <w:rPr>
          <w:rStyle w:val="EndnoteReference"/>
        </w:rPr>
        <w:endnoteRef/>
      </w:r>
      <w:r>
        <w:t xml:space="preserve"> </w:t>
      </w:r>
      <w:r>
        <w:rPr>
          <w:lang w:val="en-US"/>
        </w:rPr>
        <w:t xml:space="preserve">See responses of Which?, Consumentenbond and Consumer Focus, all available at </w:t>
      </w:r>
      <w:hyperlink r:id="rId4" w:history="1">
        <w:r w:rsidRPr="00B22EF1">
          <w:rPr>
            <w:rStyle w:val="Hyperlink"/>
            <w:lang w:val="en-US"/>
          </w:rPr>
          <w:t>http://ec.europa.eu/competition/consultations/2009_vertical_agreements/index.html</w:t>
        </w:r>
      </w:hyperlink>
      <w:r>
        <w:rPr>
          <w:lang w:val="en-US"/>
        </w:rPr>
        <w:t>.</w:t>
      </w:r>
    </w:p>
  </w:endnote>
  <w:endnote w:id="18">
    <w:p w14:paraId="117452D1" w14:textId="4453B0AE" w:rsidR="001E2D28" w:rsidRPr="005122DB" w:rsidRDefault="001E2D28" w:rsidP="00201C18">
      <w:pPr>
        <w:pStyle w:val="FootnoteText"/>
        <w:jc w:val="left"/>
        <w:rPr>
          <w:lang w:val="en-US"/>
        </w:rPr>
      </w:pPr>
      <w:r>
        <w:rPr>
          <w:rStyle w:val="EndnoteReference"/>
        </w:rPr>
        <w:endnoteRef/>
      </w:r>
      <w:r>
        <w:t xml:space="preserve"> </w:t>
      </w:r>
      <w:r>
        <w:rPr>
          <w:lang w:val="en-US"/>
        </w:rPr>
        <w:t xml:space="preserve">See responses of Which? and BEUC, available at </w:t>
      </w:r>
      <w:hyperlink r:id="rId5" w:history="1">
        <w:r w:rsidRPr="00B22EF1">
          <w:rPr>
            <w:rStyle w:val="Hyperlink"/>
            <w:lang w:val="en-US"/>
          </w:rPr>
          <w:t>http://ec.europa.eu/competition/antitrust/actionsdamages/green_paper_comments.html</w:t>
        </w:r>
      </w:hyperlink>
      <w:r>
        <w:rPr>
          <w:lang w:val="en-US"/>
        </w:rPr>
        <w:t xml:space="preserve">. </w:t>
      </w:r>
    </w:p>
  </w:endnote>
  <w:endnote w:id="19">
    <w:p w14:paraId="05C8EEE8" w14:textId="532A5A59" w:rsidR="001E2D28" w:rsidRPr="00730F1A" w:rsidRDefault="001E2D28" w:rsidP="00201C18">
      <w:pPr>
        <w:pStyle w:val="FootnoteText"/>
        <w:jc w:val="left"/>
        <w:rPr>
          <w:szCs w:val="20"/>
          <w:lang w:val="en-US"/>
        </w:rPr>
      </w:pPr>
      <w:r w:rsidRPr="00730F1A">
        <w:rPr>
          <w:rStyle w:val="EndnoteReference"/>
          <w:szCs w:val="20"/>
        </w:rPr>
        <w:endnoteRef/>
      </w:r>
      <w:r w:rsidRPr="00730F1A">
        <w:rPr>
          <w:szCs w:val="20"/>
        </w:rPr>
        <w:t xml:space="preserve"> </w:t>
      </w:r>
      <w:r>
        <w:rPr>
          <w:szCs w:val="20"/>
        </w:rPr>
        <w:t>&lt;</w:t>
      </w:r>
      <w:r w:rsidRPr="00CF1088">
        <w:rPr>
          <w:szCs w:val="20"/>
        </w:rPr>
        <w:t>http://www.europarl.europa.eu/plenary/en/debates-video.html</w:t>
      </w:r>
      <w:r w:rsidRPr="00CF1088">
        <w:rPr>
          <w:rStyle w:val="Hyperlink"/>
          <w:color w:val="auto"/>
          <w:szCs w:val="20"/>
          <w:u w:val="none"/>
        </w:rPr>
        <w:t>&gt;</w:t>
      </w:r>
      <w:r>
        <w:rPr>
          <w:rStyle w:val="Hyperlink"/>
          <w:color w:val="auto"/>
          <w:szCs w:val="20"/>
          <w:u w:val="none"/>
        </w:rPr>
        <w:t>.</w:t>
      </w:r>
    </w:p>
  </w:endnote>
  <w:endnote w:id="20">
    <w:p w14:paraId="6D582508" w14:textId="319F3598" w:rsidR="001E2D28" w:rsidRPr="00794219" w:rsidRDefault="001E2D28" w:rsidP="00201C18">
      <w:pPr>
        <w:pStyle w:val="FootnoteText"/>
        <w:jc w:val="left"/>
        <w:rPr>
          <w:szCs w:val="20"/>
          <w:lang w:val="en-US"/>
        </w:rPr>
      </w:pPr>
      <w:r w:rsidRPr="00794219">
        <w:rPr>
          <w:rStyle w:val="EndnoteReference"/>
          <w:szCs w:val="20"/>
        </w:rPr>
        <w:endnoteRef/>
      </w:r>
      <w:r w:rsidRPr="00794219">
        <w:rPr>
          <w:szCs w:val="20"/>
        </w:rPr>
        <w:t xml:space="preserve"> </w:t>
      </w:r>
      <w:r w:rsidRPr="00794219">
        <w:rPr>
          <w:szCs w:val="20"/>
          <w:lang w:val="en-US"/>
        </w:rPr>
        <w:t>Plenary Debate on Sector Inquiry in Retail Banking, 4 June 2008, CRE 04/06/2008-24.</w:t>
      </w:r>
    </w:p>
  </w:endnote>
  <w:endnote w:id="21">
    <w:p w14:paraId="1CD6CFEE" w14:textId="6A66F431" w:rsidR="001E2D28" w:rsidRPr="00875BD9" w:rsidRDefault="001E2D28" w:rsidP="00201C18">
      <w:pPr>
        <w:pStyle w:val="FootnoteText"/>
        <w:jc w:val="left"/>
        <w:rPr>
          <w:szCs w:val="20"/>
          <w:lang w:val="en-US"/>
        </w:rPr>
      </w:pPr>
      <w:r w:rsidRPr="00875BD9">
        <w:rPr>
          <w:rStyle w:val="EndnoteReference"/>
          <w:szCs w:val="20"/>
        </w:rPr>
        <w:endnoteRef/>
      </w:r>
      <w:r w:rsidRPr="00875BD9">
        <w:rPr>
          <w:szCs w:val="20"/>
        </w:rPr>
        <w:t xml:space="preserve"> </w:t>
      </w:r>
      <w:r>
        <w:rPr>
          <w:szCs w:val="20"/>
        </w:rPr>
        <w:t>Ibid.</w:t>
      </w:r>
    </w:p>
  </w:endnote>
  <w:endnote w:id="22">
    <w:p w14:paraId="0A4928EC" w14:textId="27DFE24E" w:rsidR="001E2D28" w:rsidRPr="000F43D5" w:rsidRDefault="001E2D28" w:rsidP="00201C18">
      <w:pPr>
        <w:pStyle w:val="FootnoteText"/>
        <w:jc w:val="left"/>
        <w:rPr>
          <w:szCs w:val="20"/>
          <w:lang w:val="en-US"/>
        </w:rPr>
      </w:pPr>
      <w:r w:rsidRPr="000F43D5">
        <w:rPr>
          <w:rStyle w:val="EndnoteReference"/>
          <w:szCs w:val="20"/>
        </w:rPr>
        <w:endnoteRef/>
      </w:r>
      <w:r w:rsidRPr="000F43D5">
        <w:rPr>
          <w:szCs w:val="20"/>
        </w:rPr>
        <w:t xml:space="preserve"> </w:t>
      </w:r>
      <w:r w:rsidRPr="000F43D5">
        <w:rPr>
          <w:szCs w:val="20"/>
          <w:lang w:val="en-US"/>
        </w:rPr>
        <w:t>Plenary Debate on 2009 Competition Policy Report, 20 January 2011, CRE 20/01/2011-3.</w:t>
      </w:r>
    </w:p>
  </w:endnote>
  <w:endnote w:id="23">
    <w:p w14:paraId="016BD304" w14:textId="208AED30" w:rsidR="001E2D28" w:rsidRPr="000F43D5" w:rsidRDefault="001E2D28" w:rsidP="00201C18">
      <w:pPr>
        <w:pStyle w:val="FootnoteText"/>
        <w:jc w:val="left"/>
        <w:rPr>
          <w:rFonts w:eastAsia="Times New Roman" w:cs="Times New Roman"/>
          <w:szCs w:val="20"/>
        </w:rPr>
      </w:pPr>
      <w:r w:rsidRPr="000F43D5">
        <w:rPr>
          <w:rStyle w:val="EndnoteReference"/>
          <w:szCs w:val="20"/>
        </w:rPr>
        <w:endnoteRef/>
      </w:r>
      <w:r w:rsidRPr="000F43D5">
        <w:rPr>
          <w:szCs w:val="20"/>
        </w:rPr>
        <w:t xml:space="preserve"> </w:t>
      </w:r>
      <w:r w:rsidRPr="000F43D5">
        <w:rPr>
          <w:rFonts w:eastAsia="Times New Roman" w:cs="Arial"/>
          <w:szCs w:val="20"/>
          <w:shd w:val="clear" w:color="auto" w:fill="FFFFFF"/>
        </w:rPr>
        <w:t>Case C-199/92P, </w:t>
      </w:r>
      <w:r w:rsidRPr="000F43D5">
        <w:rPr>
          <w:rFonts w:eastAsia="Times New Roman" w:cs="Arial"/>
          <w:bCs/>
          <w:szCs w:val="20"/>
          <w:shd w:val="clear" w:color="auto" w:fill="FFFFFF"/>
        </w:rPr>
        <w:t>Hüls</w:t>
      </w:r>
      <w:r w:rsidRPr="000F43D5">
        <w:rPr>
          <w:rFonts w:eastAsia="Times New Roman" w:cs="Arial"/>
          <w:szCs w:val="20"/>
          <w:shd w:val="clear" w:color="auto" w:fill="FFFFFF"/>
        </w:rPr>
        <w:t> v. Commission, [</w:t>
      </w:r>
      <w:r w:rsidRPr="000F43D5">
        <w:rPr>
          <w:rFonts w:eastAsia="Times New Roman" w:cs="Arial"/>
          <w:bCs/>
          <w:szCs w:val="20"/>
          <w:shd w:val="clear" w:color="auto" w:fill="FFFFFF"/>
        </w:rPr>
        <w:t>1999</w:t>
      </w:r>
      <w:r w:rsidRPr="000F43D5">
        <w:rPr>
          <w:rFonts w:eastAsia="Times New Roman" w:cs="Arial"/>
          <w:szCs w:val="20"/>
          <w:shd w:val="clear" w:color="auto" w:fill="FFFFFF"/>
        </w:rPr>
        <w:t>] </w:t>
      </w:r>
      <w:r w:rsidRPr="000F43D5">
        <w:rPr>
          <w:rFonts w:eastAsia="Times New Roman" w:cs="Arial"/>
          <w:bCs/>
          <w:szCs w:val="20"/>
          <w:shd w:val="clear" w:color="auto" w:fill="FFFFFF"/>
        </w:rPr>
        <w:t>ECR</w:t>
      </w:r>
      <w:r w:rsidRPr="000F43D5">
        <w:rPr>
          <w:rFonts w:eastAsia="Times New Roman" w:cs="Arial"/>
          <w:szCs w:val="20"/>
          <w:shd w:val="clear" w:color="auto" w:fill="FFFFFF"/>
        </w:rPr>
        <w:t> I-4287, para. 160.</w:t>
      </w:r>
    </w:p>
    <w:p w14:paraId="74B23FA8" w14:textId="58166DC9" w:rsidR="001E2D28" w:rsidRPr="000F43D5" w:rsidRDefault="001E2D28" w:rsidP="00201C18">
      <w:pPr>
        <w:pStyle w:val="FootnoteText"/>
        <w:jc w:val="lef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EUAlbertina-Bold">
    <w:panose1 w:val="00000000000000000000"/>
    <w:charset w:val="00"/>
    <w:family w:val="auto"/>
    <w:notTrueType/>
    <w:pitch w:val="default"/>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EUAlbertina_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2658" w14:textId="77777777" w:rsidR="001E2D28" w:rsidRDefault="001E2D28" w:rsidP="00E03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C92A2" w14:textId="77777777" w:rsidR="001E2D28" w:rsidRDefault="001E2D28" w:rsidP="00BE7C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2D4B" w14:textId="77777777" w:rsidR="001E2D28" w:rsidRPr="002B5EBC" w:rsidRDefault="001E2D28" w:rsidP="00E039A8">
    <w:pPr>
      <w:pStyle w:val="Footer"/>
      <w:framePr w:wrap="around" w:vAnchor="text" w:hAnchor="margin" w:xAlign="right" w:y="1"/>
      <w:rPr>
        <w:rStyle w:val="PageNumber"/>
        <w:rFonts w:ascii="Times" w:hAnsi="Times"/>
      </w:rPr>
    </w:pPr>
    <w:r w:rsidRPr="002B5EBC">
      <w:rPr>
        <w:rStyle w:val="PageNumber"/>
        <w:rFonts w:ascii="Times" w:hAnsi="Times"/>
      </w:rPr>
      <w:fldChar w:fldCharType="begin"/>
    </w:r>
    <w:r w:rsidRPr="002B5EBC">
      <w:rPr>
        <w:rStyle w:val="PageNumber"/>
        <w:rFonts w:ascii="Times" w:hAnsi="Times"/>
      </w:rPr>
      <w:instrText xml:space="preserve">PAGE  </w:instrText>
    </w:r>
    <w:r w:rsidRPr="002B5EBC">
      <w:rPr>
        <w:rStyle w:val="PageNumber"/>
        <w:rFonts w:ascii="Times" w:hAnsi="Times"/>
      </w:rPr>
      <w:fldChar w:fldCharType="separate"/>
    </w:r>
    <w:r w:rsidR="00887577">
      <w:rPr>
        <w:rStyle w:val="PageNumber"/>
        <w:rFonts w:ascii="Times" w:hAnsi="Times"/>
        <w:noProof/>
      </w:rPr>
      <w:t>1</w:t>
    </w:r>
    <w:r w:rsidRPr="002B5EBC">
      <w:rPr>
        <w:rStyle w:val="PageNumber"/>
        <w:rFonts w:ascii="Times" w:hAnsi="Times"/>
      </w:rPr>
      <w:fldChar w:fldCharType="end"/>
    </w:r>
  </w:p>
  <w:p w14:paraId="4017C130" w14:textId="77777777" w:rsidR="001E2D28" w:rsidRDefault="001E2D28" w:rsidP="00BE7C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0D7F5" w14:textId="77777777" w:rsidR="001E2D28" w:rsidRDefault="001E2D28" w:rsidP="0026287C">
      <w:r>
        <w:separator/>
      </w:r>
    </w:p>
  </w:footnote>
  <w:footnote w:type="continuationSeparator" w:id="0">
    <w:p w14:paraId="0A61F820" w14:textId="77777777" w:rsidR="001E2D28" w:rsidRDefault="001E2D28" w:rsidP="002628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724B"/>
    <w:multiLevelType w:val="hybridMultilevel"/>
    <w:tmpl w:val="5492C6DC"/>
    <w:lvl w:ilvl="0" w:tplc="CCA0CF9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7C"/>
    <w:rsid w:val="00000C3A"/>
    <w:rsid w:val="00001321"/>
    <w:rsid w:val="000018F4"/>
    <w:rsid w:val="0000243C"/>
    <w:rsid w:val="00003297"/>
    <w:rsid w:val="00003618"/>
    <w:rsid w:val="0000419A"/>
    <w:rsid w:val="000044C4"/>
    <w:rsid w:val="000051E9"/>
    <w:rsid w:val="00006289"/>
    <w:rsid w:val="00006D5E"/>
    <w:rsid w:val="00007251"/>
    <w:rsid w:val="00007312"/>
    <w:rsid w:val="00007F4C"/>
    <w:rsid w:val="0001040E"/>
    <w:rsid w:val="0001086B"/>
    <w:rsid w:val="000121FA"/>
    <w:rsid w:val="00012A29"/>
    <w:rsid w:val="00013137"/>
    <w:rsid w:val="000137F9"/>
    <w:rsid w:val="00014445"/>
    <w:rsid w:val="0001577D"/>
    <w:rsid w:val="00015A87"/>
    <w:rsid w:val="00016EA0"/>
    <w:rsid w:val="000175B2"/>
    <w:rsid w:val="0001787D"/>
    <w:rsid w:val="00017AE6"/>
    <w:rsid w:val="00020EFA"/>
    <w:rsid w:val="000212E5"/>
    <w:rsid w:val="00022057"/>
    <w:rsid w:val="00023259"/>
    <w:rsid w:val="00023F7D"/>
    <w:rsid w:val="0002400E"/>
    <w:rsid w:val="00024483"/>
    <w:rsid w:val="00024CFF"/>
    <w:rsid w:val="0002542C"/>
    <w:rsid w:val="000256D8"/>
    <w:rsid w:val="00025FBA"/>
    <w:rsid w:val="000265F7"/>
    <w:rsid w:val="000269F9"/>
    <w:rsid w:val="00026F1D"/>
    <w:rsid w:val="0002782E"/>
    <w:rsid w:val="00027E34"/>
    <w:rsid w:val="000300C7"/>
    <w:rsid w:val="0003179E"/>
    <w:rsid w:val="00031BB4"/>
    <w:rsid w:val="00031D92"/>
    <w:rsid w:val="00031E3C"/>
    <w:rsid w:val="000339BF"/>
    <w:rsid w:val="00034475"/>
    <w:rsid w:val="000347BD"/>
    <w:rsid w:val="00034E47"/>
    <w:rsid w:val="00035749"/>
    <w:rsid w:val="0003579F"/>
    <w:rsid w:val="0003709C"/>
    <w:rsid w:val="00037B79"/>
    <w:rsid w:val="00037E76"/>
    <w:rsid w:val="00037FED"/>
    <w:rsid w:val="00040C3C"/>
    <w:rsid w:val="00041CFA"/>
    <w:rsid w:val="000436EF"/>
    <w:rsid w:val="00043B60"/>
    <w:rsid w:val="00044103"/>
    <w:rsid w:val="00045186"/>
    <w:rsid w:val="00045FFB"/>
    <w:rsid w:val="00046350"/>
    <w:rsid w:val="000463E4"/>
    <w:rsid w:val="0004663C"/>
    <w:rsid w:val="00047393"/>
    <w:rsid w:val="00047934"/>
    <w:rsid w:val="00047AB0"/>
    <w:rsid w:val="00047D68"/>
    <w:rsid w:val="00050986"/>
    <w:rsid w:val="00050DF5"/>
    <w:rsid w:val="0005147A"/>
    <w:rsid w:val="000521B1"/>
    <w:rsid w:val="000521B8"/>
    <w:rsid w:val="00052B4C"/>
    <w:rsid w:val="0005306E"/>
    <w:rsid w:val="00053835"/>
    <w:rsid w:val="00053C15"/>
    <w:rsid w:val="000545B0"/>
    <w:rsid w:val="000547EB"/>
    <w:rsid w:val="00056207"/>
    <w:rsid w:val="00056A64"/>
    <w:rsid w:val="00057FA7"/>
    <w:rsid w:val="00060159"/>
    <w:rsid w:val="00060279"/>
    <w:rsid w:val="00060E50"/>
    <w:rsid w:val="00061146"/>
    <w:rsid w:val="0006116A"/>
    <w:rsid w:val="000616C7"/>
    <w:rsid w:val="00062ACC"/>
    <w:rsid w:val="00062F86"/>
    <w:rsid w:val="0006335A"/>
    <w:rsid w:val="000637E7"/>
    <w:rsid w:val="000639E0"/>
    <w:rsid w:val="00064AA3"/>
    <w:rsid w:val="00065895"/>
    <w:rsid w:val="00065A19"/>
    <w:rsid w:val="00065DE9"/>
    <w:rsid w:val="00066E03"/>
    <w:rsid w:val="000671D3"/>
    <w:rsid w:val="000678C3"/>
    <w:rsid w:val="000705E4"/>
    <w:rsid w:val="00070DC0"/>
    <w:rsid w:val="000711A7"/>
    <w:rsid w:val="000711C0"/>
    <w:rsid w:val="00072124"/>
    <w:rsid w:val="0007246E"/>
    <w:rsid w:val="00073E87"/>
    <w:rsid w:val="00073E92"/>
    <w:rsid w:val="00073F18"/>
    <w:rsid w:val="0007427E"/>
    <w:rsid w:val="0007585C"/>
    <w:rsid w:val="00075BAB"/>
    <w:rsid w:val="00076DB0"/>
    <w:rsid w:val="00077282"/>
    <w:rsid w:val="00077913"/>
    <w:rsid w:val="0008000D"/>
    <w:rsid w:val="0008038F"/>
    <w:rsid w:val="000806AF"/>
    <w:rsid w:val="00080AA0"/>
    <w:rsid w:val="00080FF2"/>
    <w:rsid w:val="000813EF"/>
    <w:rsid w:val="00082008"/>
    <w:rsid w:val="000830E5"/>
    <w:rsid w:val="00083371"/>
    <w:rsid w:val="000833D9"/>
    <w:rsid w:val="000836BE"/>
    <w:rsid w:val="00084099"/>
    <w:rsid w:val="000856AA"/>
    <w:rsid w:val="00085F33"/>
    <w:rsid w:val="00087676"/>
    <w:rsid w:val="000876A2"/>
    <w:rsid w:val="000905F5"/>
    <w:rsid w:val="00090B85"/>
    <w:rsid w:val="000911AE"/>
    <w:rsid w:val="00091349"/>
    <w:rsid w:val="000921C6"/>
    <w:rsid w:val="00092322"/>
    <w:rsid w:val="00092770"/>
    <w:rsid w:val="00092B58"/>
    <w:rsid w:val="00092BB2"/>
    <w:rsid w:val="00092E3C"/>
    <w:rsid w:val="00093B56"/>
    <w:rsid w:val="00094302"/>
    <w:rsid w:val="000963C2"/>
    <w:rsid w:val="00096576"/>
    <w:rsid w:val="000966B9"/>
    <w:rsid w:val="00096CAB"/>
    <w:rsid w:val="00097E05"/>
    <w:rsid w:val="000A0A65"/>
    <w:rsid w:val="000A0E11"/>
    <w:rsid w:val="000A12CC"/>
    <w:rsid w:val="000A17A0"/>
    <w:rsid w:val="000A1FB9"/>
    <w:rsid w:val="000A20C6"/>
    <w:rsid w:val="000A2369"/>
    <w:rsid w:val="000A2517"/>
    <w:rsid w:val="000A30DC"/>
    <w:rsid w:val="000A3381"/>
    <w:rsid w:val="000A4832"/>
    <w:rsid w:val="000A4F2E"/>
    <w:rsid w:val="000A517B"/>
    <w:rsid w:val="000A5EB7"/>
    <w:rsid w:val="000A61E8"/>
    <w:rsid w:val="000A6980"/>
    <w:rsid w:val="000A7AFE"/>
    <w:rsid w:val="000B10D0"/>
    <w:rsid w:val="000B110D"/>
    <w:rsid w:val="000B153A"/>
    <w:rsid w:val="000B236C"/>
    <w:rsid w:val="000B2B1E"/>
    <w:rsid w:val="000B37F4"/>
    <w:rsid w:val="000B3AE3"/>
    <w:rsid w:val="000B3CAA"/>
    <w:rsid w:val="000B4435"/>
    <w:rsid w:val="000B4880"/>
    <w:rsid w:val="000B5883"/>
    <w:rsid w:val="000B5F3D"/>
    <w:rsid w:val="000B6305"/>
    <w:rsid w:val="000B69EC"/>
    <w:rsid w:val="000B6BA1"/>
    <w:rsid w:val="000B7866"/>
    <w:rsid w:val="000C0152"/>
    <w:rsid w:val="000C01E1"/>
    <w:rsid w:val="000C0B1D"/>
    <w:rsid w:val="000C0EA1"/>
    <w:rsid w:val="000C1B62"/>
    <w:rsid w:val="000C24F0"/>
    <w:rsid w:val="000C264B"/>
    <w:rsid w:val="000C2F53"/>
    <w:rsid w:val="000C3638"/>
    <w:rsid w:val="000C3E61"/>
    <w:rsid w:val="000C3EE3"/>
    <w:rsid w:val="000C4F68"/>
    <w:rsid w:val="000C59A4"/>
    <w:rsid w:val="000C5A8F"/>
    <w:rsid w:val="000C608C"/>
    <w:rsid w:val="000C6344"/>
    <w:rsid w:val="000C7B00"/>
    <w:rsid w:val="000C7B47"/>
    <w:rsid w:val="000C7DED"/>
    <w:rsid w:val="000C7FE8"/>
    <w:rsid w:val="000D066D"/>
    <w:rsid w:val="000D12B7"/>
    <w:rsid w:val="000D25CB"/>
    <w:rsid w:val="000D26BA"/>
    <w:rsid w:val="000D2B20"/>
    <w:rsid w:val="000D2EB2"/>
    <w:rsid w:val="000D30EC"/>
    <w:rsid w:val="000D4421"/>
    <w:rsid w:val="000D4F65"/>
    <w:rsid w:val="000D548C"/>
    <w:rsid w:val="000D549F"/>
    <w:rsid w:val="000D5686"/>
    <w:rsid w:val="000D689E"/>
    <w:rsid w:val="000D6AF5"/>
    <w:rsid w:val="000D6FC5"/>
    <w:rsid w:val="000D7368"/>
    <w:rsid w:val="000D7464"/>
    <w:rsid w:val="000D7960"/>
    <w:rsid w:val="000E0324"/>
    <w:rsid w:val="000E0D01"/>
    <w:rsid w:val="000E0DA2"/>
    <w:rsid w:val="000E13C5"/>
    <w:rsid w:val="000E16C3"/>
    <w:rsid w:val="000E18DE"/>
    <w:rsid w:val="000E1E37"/>
    <w:rsid w:val="000E1EB7"/>
    <w:rsid w:val="000E20D8"/>
    <w:rsid w:val="000E2791"/>
    <w:rsid w:val="000E3CD2"/>
    <w:rsid w:val="000E4399"/>
    <w:rsid w:val="000E45B9"/>
    <w:rsid w:val="000E542C"/>
    <w:rsid w:val="000E5637"/>
    <w:rsid w:val="000E566C"/>
    <w:rsid w:val="000E581E"/>
    <w:rsid w:val="000E5870"/>
    <w:rsid w:val="000E5EC3"/>
    <w:rsid w:val="000E6E5F"/>
    <w:rsid w:val="000E7115"/>
    <w:rsid w:val="000E7454"/>
    <w:rsid w:val="000E7699"/>
    <w:rsid w:val="000F00CB"/>
    <w:rsid w:val="000F0BBB"/>
    <w:rsid w:val="000F1637"/>
    <w:rsid w:val="000F19F5"/>
    <w:rsid w:val="000F2354"/>
    <w:rsid w:val="000F24F6"/>
    <w:rsid w:val="000F2598"/>
    <w:rsid w:val="000F2E02"/>
    <w:rsid w:val="000F2FDC"/>
    <w:rsid w:val="000F3368"/>
    <w:rsid w:val="000F37B5"/>
    <w:rsid w:val="000F43D5"/>
    <w:rsid w:val="000F45B7"/>
    <w:rsid w:val="000F5C1E"/>
    <w:rsid w:val="000F5FB2"/>
    <w:rsid w:val="000F6274"/>
    <w:rsid w:val="000F6330"/>
    <w:rsid w:val="000F7330"/>
    <w:rsid w:val="000F7703"/>
    <w:rsid w:val="000F7A3D"/>
    <w:rsid w:val="001004D6"/>
    <w:rsid w:val="0010061A"/>
    <w:rsid w:val="00100B02"/>
    <w:rsid w:val="00102CF9"/>
    <w:rsid w:val="00103A51"/>
    <w:rsid w:val="00103C43"/>
    <w:rsid w:val="001047E7"/>
    <w:rsid w:val="001047EA"/>
    <w:rsid w:val="00105082"/>
    <w:rsid w:val="00105149"/>
    <w:rsid w:val="001054B4"/>
    <w:rsid w:val="00106287"/>
    <w:rsid w:val="00106335"/>
    <w:rsid w:val="001065A7"/>
    <w:rsid w:val="001070D7"/>
    <w:rsid w:val="001077D7"/>
    <w:rsid w:val="00110823"/>
    <w:rsid w:val="00110A82"/>
    <w:rsid w:val="00110C74"/>
    <w:rsid w:val="00111881"/>
    <w:rsid w:val="00111CC3"/>
    <w:rsid w:val="0011218D"/>
    <w:rsid w:val="001121F4"/>
    <w:rsid w:val="00113B6C"/>
    <w:rsid w:val="00114830"/>
    <w:rsid w:val="00116D81"/>
    <w:rsid w:val="00117547"/>
    <w:rsid w:val="001178A4"/>
    <w:rsid w:val="00117ADC"/>
    <w:rsid w:val="00120B72"/>
    <w:rsid w:val="0012153E"/>
    <w:rsid w:val="00122B99"/>
    <w:rsid w:val="0012418F"/>
    <w:rsid w:val="001241D8"/>
    <w:rsid w:val="0012476E"/>
    <w:rsid w:val="00124B1F"/>
    <w:rsid w:val="0012522D"/>
    <w:rsid w:val="00125A40"/>
    <w:rsid w:val="00125EA9"/>
    <w:rsid w:val="00126560"/>
    <w:rsid w:val="00126FDA"/>
    <w:rsid w:val="00127688"/>
    <w:rsid w:val="001279C9"/>
    <w:rsid w:val="00130FC4"/>
    <w:rsid w:val="0013111A"/>
    <w:rsid w:val="00131713"/>
    <w:rsid w:val="00131ACE"/>
    <w:rsid w:val="00132018"/>
    <w:rsid w:val="00132187"/>
    <w:rsid w:val="0013226D"/>
    <w:rsid w:val="00132B50"/>
    <w:rsid w:val="00133D72"/>
    <w:rsid w:val="0013415D"/>
    <w:rsid w:val="00134187"/>
    <w:rsid w:val="0013420E"/>
    <w:rsid w:val="00134713"/>
    <w:rsid w:val="00136BB5"/>
    <w:rsid w:val="001371B1"/>
    <w:rsid w:val="00140783"/>
    <w:rsid w:val="0014194F"/>
    <w:rsid w:val="00141A4D"/>
    <w:rsid w:val="00142B82"/>
    <w:rsid w:val="00142FED"/>
    <w:rsid w:val="0014364E"/>
    <w:rsid w:val="00144750"/>
    <w:rsid w:val="00144B32"/>
    <w:rsid w:val="00144EA2"/>
    <w:rsid w:val="00145CC8"/>
    <w:rsid w:val="00146431"/>
    <w:rsid w:val="00147018"/>
    <w:rsid w:val="00147176"/>
    <w:rsid w:val="00147847"/>
    <w:rsid w:val="001508AF"/>
    <w:rsid w:val="0015103C"/>
    <w:rsid w:val="001513AB"/>
    <w:rsid w:val="00151857"/>
    <w:rsid w:val="00151A42"/>
    <w:rsid w:val="00151E5C"/>
    <w:rsid w:val="001520F5"/>
    <w:rsid w:val="00152F17"/>
    <w:rsid w:val="00153BA0"/>
    <w:rsid w:val="00153CA7"/>
    <w:rsid w:val="0015469D"/>
    <w:rsid w:val="00154909"/>
    <w:rsid w:val="00154A3E"/>
    <w:rsid w:val="00155F9B"/>
    <w:rsid w:val="00156FAC"/>
    <w:rsid w:val="00157F69"/>
    <w:rsid w:val="001604F8"/>
    <w:rsid w:val="0016056B"/>
    <w:rsid w:val="00160919"/>
    <w:rsid w:val="00160952"/>
    <w:rsid w:val="00160FA2"/>
    <w:rsid w:val="00161014"/>
    <w:rsid w:val="001616C6"/>
    <w:rsid w:val="00161B84"/>
    <w:rsid w:val="00161EB8"/>
    <w:rsid w:val="001636FE"/>
    <w:rsid w:val="00164716"/>
    <w:rsid w:val="00164BE5"/>
    <w:rsid w:val="001654F5"/>
    <w:rsid w:val="00166548"/>
    <w:rsid w:val="001672DF"/>
    <w:rsid w:val="00167380"/>
    <w:rsid w:val="00167E05"/>
    <w:rsid w:val="00170A4D"/>
    <w:rsid w:val="00170E2E"/>
    <w:rsid w:val="00172A63"/>
    <w:rsid w:val="00173935"/>
    <w:rsid w:val="00173C60"/>
    <w:rsid w:val="00173FAD"/>
    <w:rsid w:val="00174371"/>
    <w:rsid w:val="00174623"/>
    <w:rsid w:val="00174796"/>
    <w:rsid w:val="00174854"/>
    <w:rsid w:val="00174870"/>
    <w:rsid w:val="00176A0E"/>
    <w:rsid w:val="00176F32"/>
    <w:rsid w:val="00180DDF"/>
    <w:rsid w:val="00181C53"/>
    <w:rsid w:val="00182083"/>
    <w:rsid w:val="00182228"/>
    <w:rsid w:val="00182AFE"/>
    <w:rsid w:val="00182D06"/>
    <w:rsid w:val="00183002"/>
    <w:rsid w:val="00183911"/>
    <w:rsid w:val="00183B10"/>
    <w:rsid w:val="001853B3"/>
    <w:rsid w:val="0018576F"/>
    <w:rsid w:val="00185963"/>
    <w:rsid w:val="00185E4D"/>
    <w:rsid w:val="00185E62"/>
    <w:rsid w:val="00186503"/>
    <w:rsid w:val="00190F67"/>
    <w:rsid w:val="001915A3"/>
    <w:rsid w:val="001915D4"/>
    <w:rsid w:val="00191A20"/>
    <w:rsid w:val="00191BD5"/>
    <w:rsid w:val="001920B6"/>
    <w:rsid w:val="00192FF6"/>
    <w:rsid w:val="00193462"/>
    <w:rsid w:val="0019356A"/>
    <w:rsid w:val="001942B5"/>
    <w:rsid w:val="0019596F"/>
    <w:rsid w:val="00195BDA"/>
    <w:rsid w:val="00195F4F"/>
    <w:rsid w:val="0019617D"/>
    <w:rsid w:val="00196744"/>
    <w:rsid w:val="0019686D"/>
    <w:rsid w:val="00196B62"/>
    <w:rsid w:val="00196DC3"/>
    <w:rsid w:val="001977B5"/>
    <w:rsid w:val="00197FA3"/>
    <w:rsid w:val="001A00AF"/>
    <w:rsid w:val="001A0B6A"/>
    <w:rsid w:val="001A0C03"/>
    <w:rsid w:val="001A2305"/>
    <w:rsid w:val="001A418A"/>
    <w:rsid w:val="001A4201"/>
    <w:rsid w:val="001A5A45"/>
    <w:rsid w:val="001A5B2B"/>
    <w:rsid w:val="001A5D6A"/>
    <w:rsid w:val="001A5D6F"/>
    <w:rsid w:val="001A73A3"/>
    <w:rsid w:val="001B0BBD"/>
    <w:rsid w:val="001B0D15"/>
    <w:rsid w:val="001B13F9"/>
    <w:rsid w:val="001B1596"/>
    <w:rsid w:val="001B1F22"/>
    <w:rsid w:val="001B25AB"/>
    <w:rsid w:val="001B2BD9"/>
    <w:rsid w:val="001B38C4"/>
    <w:rsid w:val="001B3D3E"/>
    <w:rsid w:val="001B3E3D"/>
    <w:rsid w:val="001B3EF8"/>
    <w:rsid w:val="001B42DE"/>
    <w:rsid w:val="001B4A83"/>
    <w:rsid w:val="001B51BA"/>
    <w:rsid w:val="001B5334"/>
    <w:rsid w:val="001B55AE"/>
    <w:rsid w:val="001B59E0"/>
    <w:rsid w:val="001B7575"/>
    <w:rsid w:val="001B7820"/>
    <w:rsid w:val="001B7A2A"/>
    <w:rsid w:val="001B7D20"/>
    <w:rsid w:val="001C04C8"/>
    <w:rsid w:val="001C066B"/>
    <w:rsid w:val="001C0D05"/>
    <w:rsid w:val="001C1AC9"/>
    <w:rsid w:val="001C1E60"/>
    <w:rsid w:val="001C28CB"/>
    <w:rsid w:val="001C3388"/>
    <w:rsid w:val="001C5C8C"/>
    <w:rsid w:val="001C6228"/>
    <w:rsid w:val="001C74AD"/>
    <w:rsid w:val="001C7505"/>
    <w:rsid w:val="001D00B8"/>
    <w:rsid w:val="001D0747"/>
    <w:rsid w:val="001D1217"/>
    <w:rsid w:val="001D166A"/>
    <w:rsid w:val="001D1698"/>
    <w:rsid w:val="001D16C9"/>
    <w:rsid w:val="001D1B4C"/>
    <w:rsid w:val="001D1B8D"/>
    <w:rsid w:val="001D1F18"/>
    <w:rsid w:val="001D2411"/>
    <w:rsid w:val="001D2F32"/>
    <w:rsid w:val="001D3067"/>
    <w:rsid w:val="001D3EA6"/>
    <w:rsid w:val="001D4002"/>
    <w:rsid w:val="001D4801"/>
    <w:rsid w:val="001D48CD"/>
    <w:rsid w:val="001D5F51"/>
    <w:rsid w:val="001D61EC"/>
    <w:rsid w:val="001D693D"/>
    <w:rsid w:val="001D6CAE"/>
    <w:rsid w:val="001D7059"/>
    <w:rsid w:val="001D7E58"/>
    <w:rsid w:val="001E0C65"/>
    <w:rsid w:val="001E22A9"/>
    <w:rsid w:val="001E272C"/>
    <w:rsid w:val="001E27DE"/>
    <w:rsid w:val="001E2A89"/>
    <w:rsid w:val="001E2D28"/>
    <w:rsid w:val="001E4A5F"/>
    <w:rsid w:val="001E4C00"/>
    <w:rsid w:val="001E5312"/>
    <w:rsid w:val="001E6D55"/>
    <w:rsid w:val="001E6DD7"/>
    <w:rsid w:val="001E6E0E"/>
    <w:rsid w:val="001E6F85"/>
    <w:rsid w:val="001E7E0F"/>
    <w:rsid w:val="001F0C82"/>
    <w:rsid w:val="001F42B3"/>
    <w:rsid w:val="001F6E90"/>
    <w:rsid w:val="001F73BC"/>
    <w:rsid w:val="001F7879"/>
    <w:rsid w:val="001F7FC4"/>
    <w:rsid w:val="002012F9"/>
    <w:rsid w:val="00201360"/>
    <w:rsid w:val="00201370"/>
    <w:rsid w:val="00201C18"/>
    <w:rsid w:val="00201C52"/>
    <w:rsid w:val="00201F3D"/>
    <w:rsid w:val="00202523"/>
    <w:rsid w:val="00202CA1"/>
    <w:rsid w:val="00202DEF"/>
    <w:rsid w:val="0020325E"/>
    <w:rsid w:val="00204146"/>
    <w:rsid w:val="0020470C"/>
    <w:rsid w:val="00204CC3"/>
    <w:rsid w:val="00204E6A"/>
    <w:rsid w:val="00204FFC"/>
    <w:rsid w:val="002060E9"/>
    <w:rsid w:val="0020610F"/>
    <w:rsid w:val="002061B8"/>
    <w:rsid w:val="00206464"/>
    <w:rsid w:val="002065D2"/>
    <w:rsid w:val="00206678"/>
    <w:rsid w:val="002068FB"/>
    <w:rsid w:val="0020712A"/>
    <w:rsid w:val="0020792A"/>
    <w:rsid w:val="00210017"/>
    <w:rsid w:val="00210579"/>
    <w:rsid w:val="00210BB9"/>
    <w:rsid w:val="0021181A"/>
    <w:rsid w:val="00211C9B"/>
    <w:rsid w:val="00211DA8"/>
    <w:rsid w:val="00211E08"/>
    <w:rsid w:val="00212C3F"/>
    <w:rsid w:val="002144E8"/>
    <w:rsid w:val="00214A57"/>
    <w:rsid w:val="00214F8E"/>
    <w:rsid w:val="00214FA1"/>
    <w:rsid w:val="00214FA2"/>
    <w:rsid w:val="0021538F"/>
    <w:rsid w:val="002159F6"/>
    <w:rsid w:val="00215E65"/>
    <w:rsid w:val="002161F5"/>
    <w:rsid w:val="00216A89"/>
    <w:rsid w:val="00217975"/>
    <w:rsid w:val="002204A6"/>
    <w:rsid w:val="0022052B"/>
    <w:rsid w:val="00220DC2"/>
    <w:rsid w:val="00221331"/>
    <w:rsid w:val="002217C7"/>
    <w:rsid w:val="00221C88"/>
    <w:rsid w:val="00221D98"/>
    <w:rsid w:val="00222203"/>
    <w:rsid w:val="002224C2"/>
    <w:rsid w:val="00222B17"/>
    <w:rsid w:val="002230C4"/>
    <w:rsid w:val="00223384"/>
    <w:rsid w:val="00223A04"/>
    <w:rsid w:val="00223F5F"/>
    <w:rsid w:val="002249E1"/>
    <w:rsid w:val="00224A9C"/>
    <w:rsid w:val="00224C8A"/>
    <w:rsid w:val="0022609C"/>
    <w:rsid w:val="00226687"/>
    <w:rsid w:val="00226920"/>
    <w:rsid w:val="00226C33"/>
    <w:rsid w:val="00226D8F"/>
    <w:rsid w:val="0022727F"/>
    <w:rsid w:val="00227635"/>
    <w:rsid w:val="002302C8"/>
    <w:rsid w:val="00230DF6"/>
    <w:rsid w:val="0023205D"/>
    <w:rsid w:val="00232924"/>
    <w:rsid w:val="00233259"/>
    <w:rsid w:val="00233439"/>
    <w:rsid w:val="00233F67"/>
    <w:rsid w:val="00234404"/>
    <w:rsid w:val="00234AFC"/>
    <w:rsid w:val="00234E1D"/>
    <w:rsid w:val="00234E95"/>
    <w:rsid w:val="00235CB1"/>
    <w:rsid w:val="002367C4"/>
    <w:rsid w:val="00236A33"/>
    <w:rsid w:val="00236B64"/>
    <w:rsid w:val="00236D6F"/>
    <w:rsid w:val="00236E00"/>
    <w:rsid w:val="002378EB"/>
    <w:rsid w:val="00240B99"/>
    <w:rsid w:val="00241909"/>
    <w:rsid w:val="00241F64"/>
    <w:rsid w:val="00242260"/>
    <w:rsid w:val="00243544"/>
    <w:rsid w:val="00245814"/>
    <w:rsid w:val="00245BA2"/>
    <w:rsid w:val="00245EFF"/>
    <w:rsid w:val="0024628F"/>
    <w:rsid w:val="00246957"/>
    <w:rsid w:val="00246CC5"/>
    <w:rsid w:val="00246E8A"/>
    <w:rsid w:val="00247C76"/>
    <w:rsid w:val="00250366"/>
    <w:rsid w:val="00251B6D"/>
    <w:rsid w:val="00251CDD"/>
    <w:rsid w:val="002526B1"/>
    <w:rsid w:val="00252A9D"/>
    <w:rsid w:val="0025354F"/>
    <w:rsid w:val="00253AA5"/>
    <w:rsid w:val="00254AD9"/>
    <w:rsid w:val="002551D4"/>
    <w:rsid w:val="002556A9"/>
    <w:rsid w:val="0025622F"/>
    <w:rsid w:val="00256846"/>
    <w:rsid w:val="00257995"/>
    <w:rsid w:val="0026132A"/>
    <w:rsid w:val="0026287C"/>
    <w:rsid w:val="00263905"/>
    <w:rsid w:val="00263BC4"/>
    <w:rsid w:val="002640E9"/>
    <w:rsid w:val="00264299"/>
    <w:rsid w:val="0026461B"/>
    <w:rsid w:val="00264A43"/>
    <w:rsid w:val="00265663"/>
    <w:rsid w:val="002661EF"/>
    <w:rsid w:val="002668E3"/>
    <w:rsid w:val="00267B48"/>
    <w:rsid w:val="002707BD"/>
    <w:rsid w:val="002708D0"/>
    <w:rsid w:val="00272217"/>
    <w:rsid w:val="00273847"/>
    <w:rsid w:val="00273A8F"/>
    <w:rsid w:val="00273E70"/>
    <w:rsid w:val="00274085"/>
    <w:rsid w:val="00274B59"/>
    <w:rsid w:val="002758CE"/>
    <w:rsid w:val="00275D75"/>
    <w:rsid w:val="00276299"/>
    <w:rsid w:val="0027683C"/>
    <w:rsid w:val="00276B21"/>
    <w:rsid w:val="002779A0"/>
    <w:rsid w:val="00277F0A"/>
    <w:rsid w:val="002800C8"/>
    <w:rsid w:val="0028028C"/>
    <w:rsid w:val="0028042E"/>
    <w:rsid w:val="00280920"/>
    <w:rsid w:val="002825E4"/>
    <w:rsid w:val="002829CE"/>
    <w:rsid w:val="00283F82"/>
    <w:rsid w:val="002844D5"/>
    <w:rsid w:val="00285512"/>
    <w:rsid w:val="00285CB5"/>
    <w:rsid w:val="00286308"/>
    <w:rsid w:val="00286442"/>
    <w:rsid w:val="0028664A"/>
    <w:rsid w:val="00286A73"/>
    <w:rsid w:val="00290499"/>
    <w:rsid w:val="00291E7C"/>
    <w:rsid w:val="0029298F"/>
    <w:rsid w:val="00292BEC"/>
    <w:rsid w:val="0029317B"/>
    <w:rsid w:val="00293DEB"/>
    <w:rsid w:val="00293F42"/>
    <w:rsid w:val="00293F9D"/>
    <w:rsid w:val="00294334"/>
    <w:rsid w:val="00294814"/>
    <w:rsid w:val="00294B8B"/>
    <w:rsid w:val="0029577B"/>
    <w:rsid w:val="00296A8C"/>
    <w:rsid w:val="002976EC"/>
    <w:rsid w:val="00297C7A"/>
    <w:rsid w:val="002A03BC"/>
    <w:rsid w:val="002A0A47"/>
    <w:rsid w:val="002A0D6F"/>
    <w:rsid w:val="002A29E0"/>
    <w:rsid w:val="002A35A0"/>
    <w:rsid w:val="002A3FDA"/>
    <w:rsid w:val="002A4C2E"/>
    <w:rsid w:val="002A4DAA"/>
    <w:rsid w:val="002A5091"/>
    <w:rsid w:val="002A5A16"/>
    <w:rsid w:val="002A6882"/>
    <w:rsid w:val="002A6DBF"/>
    <w:rsid w:val="002A6EB2"/>
    <w:rsid w:val="002A71C1"/>
    <w:rsid w:val="002A7AC0"/>
    <w:rsid w:val="002A7EC0"/>
    <w:rsid w:val="002B004D"/>
    <w:rsid w:val="002B02F8"/>
    <w:rsid w:val="002B033F"/>
    <w:rsid w:val="002B06FA"/>
    <w:rsid w:val="002B0767"/>
    <w:rsid w:val="002B12A6"/>
    <w:rsid w:val="002B1575"/>
    <w:rsid w:val="002B2625"/>
    <w:rsid w:val="002B2842"/>
    <w:rsid w:val="002B295C"/>
    <w:rsid w:val="002B2F9E"/>
    <w:rsid w:val="002B32C7"/>
    <w:rsid w:val="002B33CD"/>
    <w:rsid w:val="002B386D"/>
    <w:rsid w:val="002B3E6C"/>
    <w:rsid w:val="002B4254"/>
    <w:rsid w:val="002B559A"/>
    <w:rsid w:val="002B5EBC"/>
    <w:rsid w:val="002B5ED2"/>
    <w:rsid w:val="002B6F69"/>
    <w:rsid w:val="002B7375"/>
    <w:rsid w:val="002B790F"/>
    <w:rsid w:val="002C067B"/>
    <w:rsid w:val="002C0DDA"/>
    <w:rsid w:val="002C23B9"/>
    <w:rsid w:val="002C2B1A"/>
    <w:rsid w:val="002C32F2"/>
    <w:rsid w:val="002C5082"/>
    <w:rsid w:val="002C5120"/>
    <w:rsid w:val="002C531C"/>
    <w:rsid w:val="002C5AB1"/>
    <w:rsid w:val="002C5DC4"/>
    <w:rsid w:val="002C7DD5"/>
    <w:rsid w:val="002D10B9"/>
    <w:rsid w:val="002D11E7"/>
    <w:rsid w:val="002D127D"/>
    <w:rsid w:val="002D1B7F"/>
    <w:rsid w:val="002D2DDB"/>
    <w:rsid w:val="002D36DA"/>
    <w:rsid w:val="002D39FA"/>
    <w:rsid w:val="002D423E"/>
    <w:rsid w:val="002D532D"/>
    <w:rsid w:val="002D5665"/>
    <w:rsid w:val="002D5E7D"/>
    <w:rsid w:val="002D633A"/>
    <w:rsid w:val="002D733C"/>
    <w:rsid w:val="002D7DDC"/>
    <w:rsid w:val="002E067F"/>
    <w:rsid w:val="002E08A3"/>
    <w:rsid w:val="002E1A6D"/>
    <w:rsid w:val="002E1EE4"/>
    <w:rsid w:val="002E1EE5"/>
    <w:rsid w:val="002E2213"/>
    <w:rsid w:val="002E37E7"/>
    <w:rsid w:val="002E4955"/>
    <w:rsid w:val="002E4AE3"/>
    <w:rsid w:val="002E5A52"/>
    <w:rsid w:val="002E669A"/>
    <w:rsid w:val="002E6CF5"/>
    <w:rsid w:val="002E7690"/>
    <w:rsid w:val="002E7BC8"/>
    <w:rsid w:val="002F0745"/>
    <w:rsid w:val="002F1110"/>
    <w:rsid w:val="002F29AD"/>
    <w:rsid w:val="002F4FD7"/>
    <w:rsid w:val="002F5497"/>
    <w:rsid w:val="002F5676"/>
    <w:rsid w:val="002F6509"/>
    <w:rsid w:val="002F7D0F"/>
    <w:rsid w:val="00300231"/>
    <w:rsid w:val="003002B9"/>
    <w:rsid w:val="0030065D"/>
    <w:rsid w:val="00303F53"/>
    <w:rsid w:val="003041F5"/>
    <w:rsid w:val="00304D76"/>
    <w:rsid w:val="00304D7D"/>
    <w:rsid w:val="00305065"/>
    <w:rsid w:val="00305B6E"/>
    <w:rsid w:val="003062B4"/>
    <w:rsid w:val="00306858"/>
    <w:rsid w:val="00307090"/>
    <w:rsid w:val="00307174"/>
    <w:rsid w:val="003075A7"/>
    <w:rsid w:val="003105F2"/>
    <w:rsid w:val="0031069C"/>
    <w:rsid w:val="00310BF2"/>
    <w:rsid w:val="00311C4A"/>
    <w:rsid w:val="00312426"/>
    <w:rsid w:val="00312BE3"/>
    <w:rsid w:val="00312E6A"/>
    <w:rsid w:val="003140D8"/>
    <w:rsid w:val="003143E1"/>
    <w:rsid w:val="00317F12"/>
    <w:rsid w:val="003201DF"/>
    <w:rsid w:val="00321A0E"/>
    <w:rsid w:val="00321DB8"/>
    <w:rsid w:val="003231E0"/>
    <w:rsid w:val="00323C72"/>
    <w:rsid w:val="00323E96"/>
    <w:rsid w:val="00324D2E"/>
    <w:rsid w:val="00325FDF"/>
    <w:rsid w:val="0032651B"/>
    <w:rsid w:val="00327208"/>
    <w:rsid w:val="0033023A"/>
    <w:rsid w:val="00330530"/>
    <w:rsid w:val="00330813"/>
    <w:rsid w:val="00330EF4"/>
    <w:rsid w:val="003312FC"/>
    <w:rsid w:val="003323BC"/>
    <w:rsid w:val="003334B0"/>
    <w:rsid w:val="003335BD"/>
    <w:rsid w:val="00333BED"/>
    <w:rsid w:val="00334EAF"/>
    <w:rsid w:val="00334FCF"/>
    <w:rsid w:val="00335247"/>
    <w:rsid w:val="00335580"/>
    <w:rsid w:val="00335673"/>
    <w:rsid w:val="003357C6"/>
    <w:rsid w:val="0033590F"/>
    <w:rsid w:val="00336114"/>
    <w:rsid w:val="003363A8"/>
    <w:rsid w:val="003368BE"/>
    <w:rsid w:val="00341088"/>
    <w:rsid w:val="003427FC"/>
    <w:rsid w:val="00342A9E"/>
    <w:rsid w:val="003432D3"/>
    <w:rsid w:val="003442B2"/>
    <w:rsid w:val="00344F4A"/>
    <w:rsid w:val="00344FE6"/>
    <w:rsid w:val="003467E8"/>
    <w:rsid w:val="00346A1F"/>
    <w:rsid w:val="003473BA"/>
    <w:rsid w:val="00347608"/>
    <w:rsid w:val="003476EA"/>
    <w:rsid w:val="00347CD4"/>
    <w:rsid w:val="00350ED2"/>
    <w:rsid w:val="003515BD"/>
    <w:rsid w:val="003516C7"/>
    <w:rsid w:val="003516DE"/>
    <w:rsid w:val="00351A2A"/>
    <w:rsid w:val="003520F0"/>
    <w:rsid w:val="003525F0"/>
    <w:rsid w:val="00352B92"/>
    <w:rsid w:val="00352EF5"/>
    <w:rsid w:val="0035396B"/>
    <w:rsid w:val="00355A26"/>
    <w:rsid w:val="00355C9A"/>
    <w:rsid w:val="0035637D"/>
    <w:rsid w:val="00356A06"/>
    <w:rsid w:val="00357066"/>
    <w:rsid w:val="0035735C"/>
    <w:rsid w:val="00357458"/>
    <w:rsid w:val="00357C50"/>
    <w:rsid w:val="00360326"/>
    <w:rsid w:val="0036070C"/>
    <w:rsid w:val="0036238B"/>
    <w:rsid w:val="00363AA3"/>
    <w:rsid w:val="00364481"/>
    <w:rsid w:val="0036531C"/>
    <w:rsid w:val="003653D4"/>
    <w:rsid w:val="0036544A"/>
    <w:rsid w:val="00365F2A"/>
    <w:rsid w:val="003665FF"/>
    <w:rsid w:val="0036704F"/>
    <w:rsid w:val="003670B8"/>
    <w:rsid w:val="00367160"/>
    <w:rsid w:val="00367D9B"/>
    <w:rsid w:val="00367F0D"/>
    <w:rsid w:val="0037014F"/>
    <w:rsid w:val="00370BAD"/>
    <w:rsid w:val="00371036"/>
    <w:rsid w:val="00371758"/>
    <w:rsid w:val="00371C91"/>
    <w:rsid w:val="003722ED"/>
    <w:rsid w:val="00373256"/>
    <w:rsid w:val="00373995"/>
    <w:rsid w:val="003743AF"/>
    <w:rsid w:val="00374D77"/>
    <w:rsid w:val="00374F9E"/>
    <w:rsid w:val="00375408"/>
    <w:rsid w:val="0037555A"/>
    <w:rsid w:val="003755BB"/>
    <w:rsid w:val="003763DF"/>
    <w:rsid w:val="0037775E"/>
    <w:rsid w:val="00377E41"/>
    <w:rsid w:val="00377E9F"/>
    <w:rsid w:val="0038048C"/>
    <w:rsid w:val="0038060D"/>
    <w:rsid w:val="003807E4"/>
    <w:rsid w:val="0038257A"/>
    <w:rsid w:val="00384908"/>
    <w:rsid w:val="003855D2"/>
    <w:rsid w:val="003857E8"/>
    <w:rsid w:val="00385C54"/>
    <w:rsid w:val="00385D74"/>
    <w:rsid w:val="00386823"/>
    <w:rsid w:val="00387076"/>
    <w:rsid w:val="00387405"/>
    <w:rsid w:val="00387A9C"/>
    <w:rsid w:val="00390AF2"/>
    <w:rsid w:val="00390B3A"/>
    <w:rsid w:val="00391806"/>
    <w:rsid w:val="00391D35"/>
    <w:rsid w:val="00392028"/>
    <w:rsid w:val="003927DB"/>
    <w:rsid w:val="00392E5E"/>
    <w:rsid w:val="0039409F"/>
    <w:rsid w:val="00394736"/>
    <w:rsid w:val="00394B16"/>
    <w:rsid w:val="00395DA7"/>
    <w:rsid w:val="00395DD3"/>
    <w:rsid w:val="003964A8"/>
    <w:rsid w:val="00396EB9"/>
    <w:rsid w:val="003979D6"/>
    <w:rsid w:val="003A0060"/>
    <w:rsid w:val="003A0299"/>
    <w:rsid w:val="003A09CC"/>
    <w:rsid w:val="003A12B8"/>
    <w:rsid w:val="003A36E1"/>
    <w:rsid w:val="003A3AEB"/>
    <w:rsid w:val="003A4BA7"/>
    <w:rsid w:val="003A5B7D"/>
    <w:rsid w:val="003A612D"/>
    <w:rsid w:val="003A65E0"/>
    <w:rsid w:val="003A67B4"/>
    <w:rsid w:val="003A6876"/>
    <w:rsid w:val="003A68F1"/>
    <w:rsid w:val="003A777E"/>
    <w:rsid w:val="003B1130"/>
    <w:rsid w:val="003B147C"/>
    <w:rsid w:val="003B2731"/>
    <w:rsid w:val="003B2EC0"/>
    <w:rsid w:val="003B381D"/>
    <w:rsid w:val="003B38E9"/>
    <w:rsid w:val="003B3A19"/>
    <w:rsid w:val="003B5C81"/>
    <w:rsid w:val="003B6C21"/>
    <w:rsid w:val="003B73BB"/>
    <w:rsid w:val="003B7877"/>
    <w:rsid w:val="003C0158"/>
    <w:rsid w:val="003C1F40"/>
    <w:rsid w:val="003C262D"/>
    <w:rsid w:val="003C2892"/>
    <w:rsid w:val="003C292B"/>
    <w:rsid w:val="003C3E5A"/>
    <w:rsid w:val="003C4176"/>
    <w:rsid w:val="003C4BC8"/>
    <w:rsid w:val="003C4CBB"/>
    <w:rsid w:val="003C4F4E"/>
    <w:rsid w:val="003C53C2"/>
    <w:rsid w:val="003C6546"/>
    <w:rsid w:val="003C7397"/>
    <w:rsid w:val="003C73FC"/>
    <w:rsid w:val="003C79B6"/>
    <w:rsid w:val="003C7C83"/>
    <w:rsid w:val="003C7CE6"/>
    <w:rsid w:val="003D02A5"/>
    <w:rsid w:val="003D0847"/>
    <w:rsid w:val="003D0B67"/>
    <w:rsid w:val="003D2B2F"/>
    <w:rsid w:val="003D2E16"/>
    <w:rsid w:val="003D34B5"/>
    <w:rsid w:val="003D3698"/>
    <w:rsid w:val="003D3F8D"/>
    <w:rsid w:val="003D45F2"/>
    <w:rsid w:val="003D4C50"/>
    <w:rsid w:val="003D5091"/>
    <w:rsid w:val="003D59CC"/>
    <w:rsid w:val="003D5A13"/>
    <w:rsid w:val="003D6599"/>
    <w:rsid w:val="003D6834"/>
    <w:rsid w:val="003D6AAC"/>
    <w:rsid w:val="003D745F"/>
    <w:rsid w:val="003D76AF"/>
    <w:rsid w:val="003D7B36"/>
    <w:rsid w:val="003D7B9E"/>
    <w:rsid w:val="003D7C7B"/>
    <w:rsid w:val="003E008D"/>
    <w:rsid w:val="003E0A3E"/>
    <w:rsid w:val="003E0A7B"/>
    <w:rsid w:val="003E1459"/>
    <w:rsid w:val="003E22D2"/>
    <w:rsid w:val="003E2636"/>
    <w:rsid w:val="003E313F"/>
    <w:rsid w:val="003E32ED"/>
    <w:rsid w:val="003E340B"/>
    <w:rsid w:val="003E5617"/>
    <w:rsid w:val="003E626B"/>
    <w:rsid w:val="003E646F"/>
    <w:rsid w:val="003E6B17"/>
    <w:rsid w:val="003E6E44"/>
    <w:rsid w:val="003E700E"/>
    <w:rsid w:val="003F1043"/>
    <w:rsid w:val="003F11EE"/>
    <w:rsid w:val="003F1416"/>
    <w:rsid w:val="003F1590"/>
    <w:rsid w:val="003F1622"/>
    <w:rsid w:val="003F33F3"/>
    <w:rsid w:val="003F49E1"/>
    <w:rsid w:val="003F4A4F"/>
    <w:rsid w:val="003F52F3"/>
    <w:rsid w:val="003F557B"/>
    <w:rsid w:val="003F5A06"/>
    <w:rsid w:val="003F5A23"/>
    <w:rsid w:val="003F60C0"/>
    <w:rsid w:val="003F6D7B"/>
    <w:rsid w:val="003F7730"/>
    <w:rsid w:val="003F7C78"/>
    <w:rsid w:val="003F7D28"/>
    <w:rsid w:val="004004B5"/>
    <w:rsid w:val="00400A89"/>
    <w:rsid w:val="00401FA5"/>
    <w:rsid w:val="00402FF4"/>
    <w:rsid w:val="00403745"/>
    <w:rsid w:val="00404A31"/>
    <w:rsid w:val="00405305"/>
    <w:rsid w:val="00405A77"/>
    <w:rsid w:val="00405C6C"/>
    <w:rsid w:val="0040618B"/>
    <w:rsid w:val="0040674B"/>
    <w:rsid w:val="00406C48"/>
    <w:rsid w:val="00406F95"/>
    <w:rsid w:val="0040713E"/>
    <w:rsid w:val="00407239"/>
    <w:rsid w:val="00407B42"/>
    <w:rsid w:val="00411357"/>
    <w:rsid w:val="0041147C"/>
    <w:rsid w:val="004117A0"/>
    <w:rsid w:val="00412090"/>
    <w:rsid w:val="00412877"/>
    <w:rsid w:val="00412CB4"/>
    <w:rsid w:val="004146F7"/>
    <w:rsid w:val="004149AA"/>
    <w:rsid w:val="00414FAE"/>
    <w:rsid w:val="004152CF"/>
    <w:rsid w:val="00415531"/>
    <w:rsid w:val="00415574"/>
    <w:rsid w:val="0041656E"/>
    <w:rsid w:val="00417B5F"/>
    <w:rsid w:val="0042204D"/>
    <w:rsid w:val="0042252E"/>
    <w:rsid w:val="0042541F"/>
    <w:rsid w:val="00425805"/>
    <w:rsid w:val="00425846"/>
    <w:rsid w:val="00425D41"/>
    <w:rsid w:val="004267FD"/>
    <w:rsid w:val="00426D1A"/>
    <w:rsid w:val="00427789"/>
    <w:rsid w:val="004305AE"/>
    <w:rsid w:val="004306EF"/>
    <w:rsid w:val="004322A2"/>
    <w:rsid w:val="0043269A"/>
    <w:rsid w:val="004337B3"/>
    <w:rsid w:val="004338D1"/>
    <w:rsid w:val="00434AA4"/>
    <w:rsid w:val="00434D17"/>
    <w:rsid w:val="00435592"/>
    <w:rsid w:val="00435D16"/>
    <w:rsid w:val="00436114"/>
    <w:rsid w:val="0043619C"/>
    <w:rsid w:val="004368F6"/>
    <w:rsid w:val="00436E32"/>
    <w:rsid w:val="0043742A"/>
    <w:rsid w:val="0043780D"/>
    <w:rsid w:val="00437D9E"/>
    <w:rsid w:val="00440265"/>
    <w:rsid w:val="00440A52"/>
    <w:rsid w:val="00440A7C"/>
    <w:rsid w:val="00441D27"/>
    <w:rsid w:val="004434E9"/>
    <w:rsid w:val="00443871"/>
    <w:rsid w:val="004460D3"/>
    <w:rsid w:val="00446A12"/>
    <w:rsid w:val="0045074D"/>
    <w:rsid w:val="0045133E"/>
    <w:rsid w:val="004519F0"/>
    <w:rsid w:val="00452395"/>
    <w:rsid w:val="004529DC"/>
    <w:rsid w:val="004531EC"/>
    <w:rsid w:val="00453365"/>
    <w:rsid w:val="004538A2"/>
    <w:rsid w:val="004538E8"/>
    <w:rsid w:val="004543D1"/>
    <w:rsid w:val="00454F0A"/>
    <w:rsid w:val="00456566"/>
    <w:rsid w:val="00456AED"/>
    <w:rsid w:val="00456DBC"/>
    <w:rsid w:val="004572D5"/>
    <w:rsid w:val="00457AFA"/>
    <w:rsid w:val="0046052E"/>
    <w:rsid w:val="00460622"/>
    <w:rsid w:val="004608CB"/>
    <w:rsid w:val="00460B60"/>
    <w:rsid w:val="004611DE"/>
    <w:rsid w:val="004615B0"/>
    <w:rsid w:val="00461CE1"/>
    <w:rsid w:val="00461D9D"/>
    <w:rsid w:val="0046225D"/>
    <w:rsid w:val="00462730"/>
    <w:rsid w:val="00463AC6"/>
    <w:rsid w:val="00463AC9"/>
    <w:rsid w:val="00465189"/>
    <w:rsid w:val="004652E7"/>
    <w:rsid w:val="00465846"/>
    <w:rsid w:val="004663A3"/>
    <w:rsid w:val="0046679C"/>
    <w:rsid w:val="004667E1"/>
    <w:rsid w:val="00466994"/>
    <w:rsid w:val="00466E05"/>
    <w:rsid w:val="00466FDA"/>
    <w:rsid w:val="00467850"/>
    <w:rsid w:val="00467B3D"/>
    <w:rsid w:val="00470A95"/>
    <w:rsid w:val="00470E2B"/>
    <w:rsid w:val="00471266"/>
    <w:rsid w:val="004716B7"/>
    <w:rsid w:val="00471982"/>
    <w:rsid w:val="0047226C"/>
    <w:rsid w:val="0047388A"/>
    <w:rsid w:val="00473A45"/>
    <w:rsid w:val="00473AA5"/>
    <w:rsid w:val="00473D7E"/>
    <w:rsid w:val="00476C3D"/>
    <w:rsid w:val="00477332"/>
    <w:rsid w:val="00477447"/>
    <w:rsid w:val="00477F7B"/>
    <w:rsid w:val="004818C8"/>
    <w:rsid w:val="00481F79"/>
    <w:rsid w:val="00482190"/>
    <w:rsid w:val="00482EAF"/>
    <w:rsid w:val="00484747"/>
    <w:rsid w:val="0048482E"/>
    <w:rsid w:val="00484898"/>
    <w:rsid w:val="00485103"/>
    <w:rsid w:val="00485976"/>
    <w:rsid w:val="00485CCA"/>
    <w:rsid w:val="0048609E"/>
    <w:rsid w:val="00486825"/>
    <w:rsid w:val="00487FF3"/>
    <w:rsid w:val="004903D6"/>
    <w:rsid w:val="004906B4"/>
    <w:rsid w:val="0049085C"/>
    <w:rsid w:val="0049123E"/>
    <w:rsid w:val="004913D4"/>
    <w:rsid w:val="004914C1"/>
    <w:rsid w:val="00492021"/>
    <w:rsid w:val="004920CC"/>
    <w:rsid w:val="0049318B"/>
    <w:rsid w:val="0049331B"/>
    <w:rsid w:val="00495408"/>
    <w:rsid w:val="00495E4A"/>
    <w:rsid w:val="00496AA5"/>
    <w:rsid w:val="00496AFD"/>
    <w:rsid w:val="00497407"/>
    <w:rsid w:val="00497B5E"/>
    <w:rsid w:val="004A01B2"/>
    <w:rsid w:val="004A0383"/>
    <w:rsid w:val="004A05AF"/>
    <w:rsid w:val="004A0B22"/>
    <w:rsid w:val="004A1DF4"/>
    <w:rsid w:val="004A253B"/>
    <w:rsid w:val="004A2831"/>
    <w:rsid w:val="004A2C5C"/>
    <w:rsid w:val="004A3FBC"/>
    <w:rsid w:val="004A414C"/>
    <w:rsid w:val="004A6207"/>
    <w:rsid w:val="004A6AC2"/>
    <w:rsid w:val="004A6AC8"/>
    <w:rsid w:val="004A7B71"/>
    <w:rsid w:val="004B0353"/>
    <w:rsid w:val="004B0585"/>
    <w:rsid w:val="004B0A06"/>
    <w:rsid w:val="004B0F88"/>
    <w:rsid w:val="004B12C3"/>
    <w:rsid w:val="004B179E"/>
    <w:rsid w:val="004B2E80"/>
    <w:rsid w:val="004B3C69"/>
    <w:rsid w:val="004B5219"/>
    <w:rsid w:val="004B58A4"/>
    <w:rsid w:val="004B6525"/>
    <w:rsid w:val="004B66D0"/>
    <w:rsid w:val="004B72A3"/>
    <w:rsid w:val="004C13F3"/>
    <w:rsid w:val="004C1956"/>
    <w:rsid w:val="004C1CC4"/>
    <w:rsid w:val="004C1E1B"/>
    <w:rsid w:val="004C2396"/>
    <w:rsid w:val="004C303C"/>
    <w:rsid w:val="004C4987"/>
    <w:rsid w:val="004C5A81"/>
    <w:rsid w:val="004C6640"/>
    <w:rsid w:val="004C6B23"/>
    <w:rsid w:val="004D2474"/>
    <w:rsid w:val="004D2EA4"/>
    <w:rsid w:val="004D3374"/>
    <w:rsid w:val="004D35DD"/>
    <w:rsid w:val="004D3AA6"/>
    <w:rsid w:val="004D3E4C"/>
    <w:rsid w:val="004D4852"/>
    <w:rsid w:val="004D4869"/>
    <w:rsid w:val="004D48B4"/>
    <w:rsid w:val="004D4AB3"/>
    <w:rsid w:val="004D4D2F"/>
    <w:rsid w:val="004D533C"/>
    <w:rsid w:val="004D5683"/>
    <w:rsid w:val="004D58BE"/>
    <w:rsid w:val="004D5C85"/>
    <w:rsid w:val="004D5D04"/>
    <w:rsid w:val="004D631B"/>
    <w:rsid w:val="004D6671"/>
    <w:rsid w:val="004D6AC3"/>
    <w:rsid w:val="004D6E15"/>
    <w:rsid w:val="004D7129"/>
    <w:rsid w:val="004D7D40"/>
    <w:rsid w:val="004E027C"/>
    <w:rsid w:val="004E0B8B"/>
    <w:rsid w:val="004E1193"/>
    <w:rsid w:val="004E14B8"/>
    <w:rsid w:val="004E1985"/>
    <w:rsid w:val="004E2094"/>
    <w:rsid w:val="004E3848"/>
    <w:rsid w:val="004E3B47"/>
    <w:rsid w:val="004E442A"/>
    <w:rsid w:val="004E4DD7"/>
    <w:rsid w:val="004E5373"/>
    <w:rsid w:val="004E54FB"/>
    <w:rsid w:val="004E58A2"/>
    <w:rsid w:val="004E59DB"/>
    <w:rsid w:val="004E693C"/>
    <w:rsid w:val="004E6F71"/>
    <w:rsid w:val="004E7952"/>
    <w:rsid w:val="004F0EBE"/>
    <w:rsid w:val="004F1677"/>
    <w:rsid w:val="004F22AC"/>
    <w:rsid w:val="004F266A"/>
    <w:rsid w:val="004F37EE"/>
    <w:rsid w:val="004F3F28"/>
    <w:rsid w:val="004F4237"/>
    <w:rsid w:val="004F5AD2"/>
    <w:rsid w:val="004F617D"/>
    <w:rsid w:val="004F6484"/>
    <w:rsid w:val="005000E6"/>
    <w:rsid w:val="0050050C"/>
    <w:rsid w:val="005009C0"/>
    <w:rsid w:val="005031AE"/>
    <w:rsid w:val="00503418"/>
    <w:rsid w:val="00503A78"/>
    <w:rsid w:val="00504096"/>
    <w:rsid w:val="00504524"/>
    <w:rsid w:val="005057EB"/>
    <w:rsid w:val="00505BAD"/>
    <w:rsid w:val="005073E1"/>
    <w:rsid w:val="00510125"/>
    <w:rsid w:val="00510CF6"/>
    <w:rsid w:val="0051126F"/>
    <w:rsid w:val="005122DB"/>
    <w:rsid w:val="00513476"/>
    <w:rsid w:val="0051388D"/>
    <w:rsid w:val="00514C07"/>
    <w:rsid w:val="0051516A"/>
    <w:rsid w:val="0051524D"/>
    <w:rsid w:val="00515A9F"/>
    <w:rsid w:val="00515D25"/>
    <w:rsid w:val="005166D4"/>
    <w:rsid w:val="005167F0"/>
    <w:rsid w:val="00516A6F"/>
    <w:rsid w:val="00517309"/>
    <w:rsid w:val="005212AD"/>
    <w:rsid w:val="0052130F"/>
    <w:rsid w:val="00521E99"/>
    <w:rsid w:val="0052248C"/>
    <w:rsid w:val="00522A46"/>
    <w:rsid w:val="00523145"/>
    <w:rsid w:val="0052338A"/>
    <w:rsid w:val="005236AC"/>
    <w:rsid w:val="00523EBA"/>
    <w:rsid w:val="00524F73"/>
    <w:rsid w:val="00526244"/>
    <w:rsid w:val="005269B0"/>
    <w:rsid w:val="005270B3"/>
    <w:rsid w:val="00527540"/>
    <w:rsid w:val="005302A4"/>
    <w:rsid w:val="00530A1D"/>
    <w:rsid w:val="0053160E"/>
    <w:rsid w:val="00531F45"/>
    <w:rsid w:val="00532FB0"/>
    <w:rsid w:val="0053323F"/>
    <w:rsid w:val="00533479"/>
    <w:rsid w:val="0053446F"/>
    <w:rsid w:val="00534C7A"/>
    <w:rsid w:val="00534D71"/>
    <w:rsid w:val="00535233"/>
    <w:rsid w:val="005355DE"/>
    <w:rsid w:val="005362A1"/>
    <w:rsid w:val="00536FE4"/>
    <w:rsid w:val="005401FA"/>
    <w:rsid w:val="005403BA"/>
    <w:rsid w:val="0054164B"/>
    <w:rsid w:val="00541BB5"/>
    <w:rsid w:val="005437BE"/>
    <w:rsid w:val="00543B8F"/>
    <w:rsid w:val="00543EE9"/>
    <w:rsid w:val="00543FE6"/>
    <w:rsid w:val="00544E4E"/>
    <w:rsid w:val="0054589E"/>
    <w:rsid w:val="0054684E"/>
    <w:rsid w:val="00547070"/>
    <w:rsid w:val="005478B4"/>
    <w:rsid w:val="00547996"/>
    <w:rsid w:val="00547C44"/>
    <w:rsid w:val="00551534"/>
    <w:rsid w:val="0055159D"/>
    <w:rsid w:val="0055166B"/>
    <w:rsid w:val="00551C2E"/>
    <w:rsid w:val="00553B3F"/>
    <w:rsid w:val="0055585E"/>
    <w:rsid w:val="0055676E"/>
    <w:rsid w:val="00556F6F"/>
    <w:rsid w:val="005579EE"/>
    <w:rsid w:val="00557A88"/>
    <w:rsid w:val="00557C2B"/>
    <w:rsid w:val="00557DBB"/>
    <w:rsid w:val="00560178"/>
    <w:rsid w:val="00561893"/>
    <w:rsid w:val="005620A5"/>
    <w:rsid w:val="0056220E"/>
    <w:rsid w:val="00562FBE"/>
    <w:rsid w:val="00563083"/>
    <w:rsid w:val="005640E8"/>
    <w:rsid w:val="005645C0"/>
    <w:rsid w:val="00564E1F"/>
    <w:rsid w:val="005650B1"/>
    <w:rsid w:val="00565233"/>
    <w:rsid w:val="00566697"/>
    <w:rsid w:val="00566EF9"/>
    <w:rsid w:val="005719AA"/>
    <w:rsid w:val="0057202B"/>
    <w:rsid w:val="00572A3A"/>
    <w:rsid w:val="00572EEE"/>
    <w:rsid w:val="005746C3"/>
    <w:rsid w:val="00574CF7"/>
    <w:rsid w:val="00574E0B"/>
    <w:rsid w:val="005753BA"/>
    <w:rsid w:val="0057552B"/>
    <w:rsid w:val="0057567E"/>
    <w:rsid w:val="00575756"/>
    <w:rsid w:val="0057631A"/>
    <w:rsid w:val="005763CD"/>
    <w:rsid w:val="00576CA4"/>
    <w:rsid w:val="0057727C"/>
    <w:rsid w:val="00577333"/>
    <w:rsid w:val="005774CC"/>
    <w:rsid w:val="005776AB"/>
    <w:rsid w:val="00581835"/>
    <w:rsid w:val="0058197F"/>
    <w:rsid w:val="00581B56"/>
    <w:rsid w:val="005826C9"/>
    <w:rsid w:val="00582AFB"/>
    <w:rsid w:val="00584088"/>
    <w:rsid w:val="00584551"/>
    <w:rsid w:val="00585032"/>
    <w:rsid w:val="0058542A"/>
    <w:rsid w:val="00585AE8"/>
    <w:rsid w:val="00585BB7"/>
    <w:rsid w:val="00585F02"/>
    <w:rsid w:val="005861B8"/>
    <w:rsid w:val="005867C2"/>
    <w:rsid w:val="005872BF"/>
    <w:rsid w:val="00587335"/>
    <w:rsid w:val="0058761A"/>
    <w:rsid w:val="00587690"/>
    <w:rsid w:val="0059021E"/>
    <w:rsid w:val="00590357"/>
    <w:rsid w:val="00590B6D"/>
    <w:rsid w:val="00590F67"/>
    <w:rsid w:val="00591BDB"/>
    <w:rsid w:val="0059404D"/>
    <w:rsid w:val="00594FB9"/>
    <w:rsid w:val="005955D8"/>
    <w:rsid w:val="00595864"/>
    <w:rsid w:val="005958BB"/>
    <w:rsid w:val="005973C6"/>
    <w:rsid w:val="00597561"/>
    <w:rsid w:val="0059777A"/>
    <w:rsid w:val="005A01AC"/>
    <w:rsid w:val="005A0307"/>
    <w:rsid w:val="005A0EA8"/>
    <w:rsid w:val="005A0F11"/>
    <w:rsid w:val="005A1CA6"/>
    <w:rsid w:val="005A282D"/>
    <w:rsid w:val="005A2A58"/>
    <w:rsid w:val="005A3113"/>
    <w:rsid w:val="005A3164"/>
    <w:rsid w:val="005A3937"/>
    <w:rsid w:val="005A3A3E"/>
    <w:rsid w:val="005A3C79"/>
    <w:rsid w:val="005A4055"/>
    <w:rsid w:val="005A46A8"/>
    <w:rsid w:val="005A4AFF"/>
    <w:rsid w:val="005A575D"/>
    <w:rsid w:val="005A5773"/>
    <w:rsid w:val="005A5863"/>
    <w:rsid w:val="005A598D"/>
    <w:rsid w:val="005A627B"/>
    <w:rsid w:val="005A64FF"/>
    <w:rsid w:val="005A685E"/>
    <w:rsid w:val="005A6CF4"/>
    <w:rsid w:val="005A756D"/>
    <w:rsid w:val="005A75CC"/>
    <w:rsid w:val="005B11A7"/>
    <w:rsid w:val="005B15DB"/>
    <w:rsid w:val="005B2275"/>
    <w:rsid w:val="005B2498"/>
    <w:rsid w:val="005B2AF1"/>
    <w:rsid w:val="005B3B76"/>
    <w:rsid w:val="005B43E3"/>
    <w:rsid w:val="005B48B1"/>
    <w:rsid w:val="005B5866"/>
    <w:rsid w:val="005B58F1"/>
    <w:rsid w:val="005B6047"/>
    <w:rsid w:val="005B62D7"/>
    <w:rsid w:val="005B64B5"/>
    <w:rsid w:val="005B6712"/>
    <w:rsid w:val="005B69AA"/>
    <w:rsid w:val="005B73F5"/>
    <w:rsid w:val="005B786C"/>
    <w:rsid w:val="005B7889"/>
    <w:rsid w:val="005B7959"/>
    <w:rsid w:val="005B7B6A"/>
    <w:rsid w:val="005B7EEC"/>
    <w:rsid w:val="005C02E6"/>
    <w:rsid w:val="005C08B7"/>
    <w:rsid w:val="005C1359"/>
    <w:rsid w:val="005C1A3D"/>
    <w:rsid w:val="005C1FCA"/>
    <w:rsid w:val="005C219A"/>
    <w:rsid w:val="005C23BD"/>
    <w:rsid w:val="005C306B"/>
    <w:rsid w:val="005C4562"/>
    <w:rsid w:val="005C45B8"/>
    <w:rsid w:val="005C4DAC"/>
    <w:rsid w:val="005C628C"/>
    <w:rsid w:val="005C656B"/>
    <w:rsid w:val="005C6EA7"/>
    <w:rsid w:val="005C75C4"/>
    <w:rsid w:val="005D1280"/>
    <w:rsid w:val="005D1B35"/>
    <w:rsid w:val="005D268E"/>
    <w:rsid w:val="005D27E2"/>
    <w:rsid w:val="005D35B5"/>
    <w:rsid w:val="005D482B"/>
    <w:rsid w:val="005D4F40"/>
    <w:rsid w:val="005D6A53"/>
    <w:rsid w:val="005D7328"/>
    <w:rsid w:val="005D7AA4"/>
    <w:rsid w:val="005D7D7A"/>
    <w:rsid w:val="005D7F83"/>
    <w:rsid w:val="005E04E3"/>
    <w:rsid w:val="005E05CF"/>
    <w:rsid w:val="005E0687"/>
    <w:rsid w:val="005E2446"/>
    <w:rsid w:val="005E36BB"/>
    <w:rsid w:val="005E450C"/>
    <w:rsid w:val="005E5628"/>
    <w:rsid w:val="005E6BD0"/>
    <w:rsid w:val="005E6FB1"/>
    <w:rsid w:val="005E7F0C"/>
    <w:rsid w:val="005F0531"/>
    <w:rsid w:val="005F0F41"/>
    <w:rsid w:val="005F1B27"/>
    <w:rsid w:val="005F2263"/>
    <w:rsid w:val="005F325B"/>
    <w:rsid w:val="005F3A5B"/>
    <w:rsid w:val="005F3A7C"/>
    <w:rsid w:val="005F4403"/>
    <w:rsid w:val="005F4EC6"/>
    <w:rsid w:val="005F6028"/>
    <w:rsid w:val="005F7B4E"/>
    <w:rsid w:val="005F7BC4"/>
    <w:rsid w:val="0060186B"/>
    <w:rsid w:val="00601A5B"/>
    <w:rsid w:val="00602D13"/>
    <w:rsid w:val="00602D7C"/>
    <w:rsid w:val="00603063"/>
    <w:rsid w:val="0060321E"/>
    <w:rsid w:val="006037F9"/>
    <w:rsid w:val="00603C07"/>
    <w:rsid w:val="00604BEE"/>
    <w:rsid w:val="00604DC4"/>
    <w:rsid w:val="00604EA6"/>
    <w:rsid w:val="006055FA"/>
    <w:rsid w:val="0060607F"/>
    <w:rsid w:val="006062F5"/>
    <w:rsid w:val="0060658D"/>
    <w:rsid w:val="006065A2"/>
    <w:rsid w:val="0060663E"/>
    <w:rsid w:val="00611C36"/>
    <w:rsid w:val="00612AC5"/>
    <w:rsid w:val="00612AF7"/>
    <w:rsid w:val="00613227"/>
    <w:rsid w:val="0061340A"/>
    <w:rsid w:val="006152F8"/>
    <w:rsid w:val="00615450"/>
    <w:rsid w:val="006156F3"/>
    <w:rsid w:val="00615D50"/>
    <w:rsid w:val="00616FBF"/>
    <w:rsid w:val="00617427"/>
    <w:rsid w:val="00617B49"/>
    <w:rsid w:val="006216D6"/>
    <w:rsid w:val="00621C86"/>
    <w:rsid w:val="00621F1B"/>
    <w:rsid w:val="006223DA"/>
    <w:rsid w:val="006226E9"/>
    <w:rsid w:val="00623872"/>
    <w:rsid w:val="00624370"/>
    <w:rsid w:val="00624D16"/>
    <w:rsid w:val="00625316"/>
    <w:rsid w:val="00625AF8"/>
    <w:rsid w:val="00626356"/>
    <w:rsid w:val="0062641A"/>
    <w:rsid w:val="00626A1D"/>
    <w:rsid w:val="00626E48"/>
    <w:rsid w:val="00627227"/>
    <w:rsid w:val="006323E5"/>
    <w:rsid w:val="00632B93"/>
    <w:rsid w:val="006339EB"/>
    <w:rsid w:val="00633B79"/>
    <w:rsid w:val="0063461C"/>
    <w:rsid w:val="00634A0C"/>
    <w:rsid w:val="00635762"/>
    <w:rsid w:val="00636382"/>
    <w:rsid w:val="00636E6E"/>
    <w:rsid w:val="0063764B"/>
    <w:rsid w:val="006378F4"/>
    <w:rsid w:val="00637B1C"/>
    <w:rsid w:val="006404E1"/>
    <w:rsid w:val="006409A5"/>
    <w:rsid w:val="00640BE3"/>
    <w:rsid w:val="00640E2F"/>
    <w:rsid w:val="0064108D"/>
    <w:rsid w:val="00641192"/>
    <w:rsid w:val="00641E59"/>
    <w:rsid w:val="00641ED2"/>
    <w:rsid w:val="0064227B"/>
    <w:rsid w:val="006422C3"/>
    <w:rsid w:val="00642812"/>
    <w:rsid w:val="00642A55"/>
    <w:rsid w:val="00642F6A"/>
    <w:rsid w:val="00643437"/>
    <w:rsid w:val="006438AB"/>
    <w:rsid w:val="00643A2C"/>
    <w:rsid w:val="00643D09"/>
    <w:rsid w:val="0064470B"/>
    <w:rsid w:val="00644B31"/>
    <w:rsid w:val="00644CA3"/>
    <w:rsid w:val="006479E5"/>
    <w:rsid w:val="00650402"/>
    <w:rsid w:val="006505F3"/>
    <w:rsid w:val="00650F51"/>
    <w:rsid w:val="006518F0"/>
    <w:rsid w:val="00651A0E"/>
    <w:rsid w:val="0065276E"/>
    <w:rsid w:val="00652E40"/>
    <w:rsid w:val="00653FD5"/>
    <w:rsid w:val="0065572C"/>
    <w:rsid w:val="00655CB3"/>
    <w:rsid w:val="00656A1D"/>
    <w:rsid w:val="00656B9C"/>
    <w:rsid w:val="00656E83"/>
    <w:rsid w:val="00657F5E"/>
    <w:rsid w:val="00660101"/>
    <w:rsid w:val="00660186"/>
    <w:rsid w:val="0066072E"/>
    <w:rsid w:val="00660A1C"/>
    <w:rsid w:val="00660CF2"/>
    <w:rsid w:val="00661434"/>
    <w:rsid w:val="00661F4C"/>
    <w:rsid w:val="006634EA"/>
    <w:rsid w:val="00663E34"/>
    <w:rsid w:val="00664DEB"/>
    <w:rsid w:val="00664E0C"/>
    <w:rsid w:val="0066549D"/>
    <w:rsid w:val="00665B93"/>
    <w:rsid w:val="00666162"/>
    <w:rsid w:val="00666323"/>
    <w:rsid w:val="00666982"/>
    <w:rsid w:val="00666D21"/>
    <w:rsid w:val="00666EAA"/>
    <w:rsid w:val="0066729E"/>
    <w:rsid w:val="00667841"/>
    <w:rsid w:val="00667893"/>
    <w:rsid w:val="00670237"/>
    <w:rsid w:val="006702AE"/>
    <w:rsid w:val="006702E1"/>
    <w:rsid w:val="0067084D"/>
    <w:rsid w:val="006710DE"/>
    <w:rsid w:val="00671D01"/>
    <w:rsid w:val="00672397"/>
    <w:rsid w:val="0067395A"/>
    <w:rsid w:val="006740B2"/>
    <w:rsid w:val="006747B6"/>
    <w:rsid w:val="006748FF"/>
    <w:rsid w:val="006751E1"/>
    <w:rsid w:val="00675314"/>
    <w:rsid w:val="0067574D"/>
    <w:rsid w:val="00675833"/>
    <w:rsid w:val="00675991"/>
    <w:rsid w:val="00675B3A"/>
    <w:rsid w:val="00676881"/>
    <w:rsid w:val="00677537"/>
    <w:rsid w:val="00677ACD"/>
    <w:rsid w:val="00677B34"/>
    <w:rsid w:val="00677F5A"/>
    <w:rsid w:val="00680576"/>
    <w:rsid w:val="00680B8E"/>
    <w:rsid w:val="00680D72"/>
    <w:rsid w:val="00681182"/>
    <w:rsid w:val="00681E9B"/>
    <w:rsid w:val="006822BB"/>
    <w:rsid w:val="006827A0"/>
    <w:rsid w:val="0068280C"/>
    <w:rsid w:val="0068321B"/>
    <w:rsid w:val="00683521"/>
    <w:rsid w:val="00683B92"/>
    <w:rsid w:val="0068410C"/>
    <w:rsid w:val="00684D93"/>
    <w:rsid w:val="00684EE2"/>
    <w:rsid w:val="00686190"/>
    <w:rsid w:val="0068627F"/>
    <w:rsid w:val="00686FB2"/>
    <w:rsid w:val="00687548"/>
    <w:rsid w:val="006875AA"/>
    <w:rsid w:val="00690003"/>
    <w:rsid w:val="006909CC"/>
    <w:rsid w:val="0069134D"/>
    <w:rsid w:val="00692340"/>
    <w:rsid w:val="00692BD8"/>
    <w:rsid w:val="006939E7"/>
    <w:rsid w:val="00693A3E"/>
    <w:rsid w:val="00693BCF"/>
    <w:rsid w:val="006947B8"/>
    <w:rsid w:val="00694886"/>
    <w:rsid w:val="00694C00"/>
    <w:rsid w:val="00694E81"/>
    <w:rsid w:val="00695AC5"/>
    <w:rsid w:val="006960E5"/>
    <w:rsid w:val="0069623E"/>
    <w:rsid w:val="0069654E"/>
    <w:rsid w:val="00696B43"/>
    <w:rsid w:val="00696C1E"/>
    <w:rsid w:val="00697589"/>
    <w:rsid w:val="0069773A"/>
    <w:rsid w:val="00697DCE"/>
    <w:rsid w:val="00697EE9"/>
    <w:rsid w:val="006A0841"/>
    <w:rsid w:val="006A08F6"/>
    <w:rsid w:val="006A1616"/>
    <w:rsid w:val="006A1E8B"/>
    <w:rsid w:val="006A2E13"/>
    <w:rsid w:val="006A3BE5"/>
    <w:rsid w:val="006A3FBA"/>
    <w:rsid w:val="006A4815"/>
    <w:rsid w:val="006A4E4B"/>
    <w:rsid w:val="006A5122"/>
    <w:rsid w:val="006A5BB7"/>
    <w:rsid w:val="006A67DE"/>
    <w:rsid w:val="006A6F9E"/>
    <w:rsid w:val="006A7CED"/>
    <w:rsid w:val="006B0827"/>
    <w:rsid w:val="006B0AD6"/>
    <w:rsid w:val="006B14AE"/>
    <w:rsid w:val="006B15AA"/>
    <w:rsid w:val="006B192D"/>
    <w:rsid w:val="006B1F36"/>
    <w:rsid w:val="006B20A9"/>
    <w:rsid w:val="006B2437"/>
    <w:rsid w:val="006B47FE"/>
    <w:rsid w:val="006B48AF"/>
    <w:rsid w:val="006B4997"/>
    <w:rsid w:val="006B4BA0"/>
    <w:rsid w:val="006B4CA0"/>
    <w:rsid w:val="006B4CA3"/>
    <w:rsid w:val="006B4EA4"/>
    <w:rsid w:val="006B4F7F"/>
    <w:rsid w:val="006B50BF"/>
    <w:rsid w:val="006B5985"/>
    <w:rsid w:val="006B67B9"/>
    <w:rsid w:val="006B6FC1"/>
    <w:rsid w:val="006B7948"/>
    <w:rsid w:val="006B7AFA"/>
    <w:rsid w:val="006C0477"/>
    <w:rsid w:val="006C0497"/>
    <w:rsid w:val="006C166C"/>
    <w:rsid w:val="006C1783"/>
    <w:rsid w:val="006C17D2"/>
    <w:rsid w:val="006C1F6C"/>
    <w:rsid w:val="006C2751"/>
    <w:rsid w:val="006C28AD"/>
    <w:rsid w:val="006C3314"/>
    <w:rsid w:val="006C463E"/>
    <w:rsid w:val="006C4909"/>
    <w:rsid w:val="006C4EFF"/>
    <w:rsid w:val="006C509F"/>
    <w:rsid w:val="006C522D"/>
    <w:rsid w:val="006C565C"/>
    <w:rsid w:val="006C6773"/>
    <w:rsid w:val="006C69FC"/>
    <w:rsid w:val="006C69FF"/>
    <w:rsid w:val="006C7011"/>
    <w:rsid w:val="006C701C"/>
    <w:rsid w:val="006C7A92"/>
    <w:rsid w:val="006C7B53"/>
    <w:rsid w:val="006C7E56"/>
    <w:rsid w:val="006C7E95"/>
    <w:rsid w:val="006D0AFE"/>
    <w:rsid w:val="006D1580"/>
    <w:rsid w:val="006D3EAC"/>
    <w:rsid w:val="006D4688"/>
    <w:rsid w:val="006D5898"/>
    <w:rsid w:val="006D6354"/>
    <w:rsid w:val="006D6722"/>
    <w:rsid w:val="006D6B72"/>
    <w:rsid w:val="006D6EDF"/>
    <w:rsid w:val="006D773B"/>
    <w:rsid w:val="006D79AD"/>
    <w:rsid w:val="006D7A3F"/>
    <w:rsid w:val="006E122E"/>
    <w:rsid w:val="006E1485"/>
    <w:rsid w:val="006E1512"/>
    <w:rsid w:val="006E1A07"/>
    <w:rsid w:val="006E2F06"/>
    <w:rsid w:val="006E3AF9"/>
    <w:rsid w:val="006E4077"/>
    <w:rsid w:val="006E41D0"/>
    <w:rsid w:val="006E49C4"/>
    <w:rsid w:val="006E4FCE"/>
    <w:rsid w:val="006E58DF"/>
    <w:rsid w:val="006E61B9"/>
    <w:rsid w:val="006E6272"/>
    <w:rsid w:val="006E6DD1"/>
    <w:rsid w:val="006E7CBB"/>
    <w:rsid w:val="006F0275"/>
    <w:rsid w:val="006F0D1C"/>
    <w:rsid w:val="006F155B"/>
    <w:rsid w:val="006F33A9"/>
    <w:rsid w:val="006F41F2"/>
    <w:rsid w:val="006F47CB"/>
    <w:rsid w:val="006F6440"/>
    <w:rsid w:val="006F719C"/>
    <w:rsid w:val="006F7248"/>
    <w:rsid w:val="00700151"/>
    <w:rsid w:val="00700760"/>
    <w:rsid w:val="0070086D"/>
    <w:rsid w:val="0070194F"/>
    <w:rsid w:val="00701E6B"/>
    <w:rsid w:val="0070221A"/>
    <w:rsid w:val="0070245D"/>
    <w:rsid w:val="0070320D"/>
    <w:rsid w:val="0070367B"/>
    <w:rsid w:val="00704213"/>
    <w:rsid w:val="0070524F"/>
    <w:rsid w:val="00705B9B"/>
    <w:rsid w:val="00706DA6"/>
    <w:rsid w:val="007070C7"/>
    <w:rsid w:val="0071307E"/>
    <w:rsid w:val="00713232"/>
    <w:rsid w:val="007138C9"/>
    <w:rsid w:val="00713985"/>
    <w:rsid w:val="007140BE"/>
    <w:rsid w:val="0071435B"/>
    <w:rsid w:val="00714915"/>
    <w:rsid w:val="0071532B"/>
    <w:rsid w:val="00715CCC"/>
    <w:rsid w:val="007166D8"/>
    <w:rsid w:val="00716DBA"/>
    <w:rsid w:val="007171C2"/>
    <w:rsid w:val="007178FB"/>
    <w:rsid w:val="007201CC"/>
    <w:rsid w:val="007211B4"/>
    <w:rsid w:val="007211EB"/>
    <w:rsid w:val="007219F2"/>
    <w:rsid w:val="00721E68"/>
    <w:rsid w:val="007229BF"/>
    <w:rsid w:val="00722C80"/>
    <w:rsid w:val="00723119"/>
    <w:rsid w:val="00723152"/>
    <w:rsid w:val="00723676"/>
    <w:rsid w:val="007238C1"/>
    <w:rsid w:val="00724F46"/>
    <w:rsid w:val="00724FA8"/>
    <w:rsid w:val="007253F2"/>
    <w:rsid w:val="00726CB7"/>
    <w:rsid w:val="007272CD"/>
    <w:rsid w:val="00730304"/>
    <w:rsid w:val="007305C1"/>
    <w:rsid w:val="00730F1A"/>
    <w:rsid w:val="00730FC4"/>
    <w:rsid w:val="007310F4"/>
    <w:rsid w:val="00731435"/>
    <w:rsid w:val="00731B3C"/>
    <w:rsid w:val="00731B9E"/>
    <w:rsid w:val="00732BF1"/>
    <w:rsid w:val="00732D6F"/>
    <w:rsid w:val="00733732"/>
    <w:rsid w:val="0073395F"/>
    <w:rsid w:val="00734029"/>
    <w:rsid w:val="00734129"/>
    <w:rsid w:val="00734B63"/>
    <w:rsid w:val="00734DE8"/>
    <w:rsid w:val="00735429"/>
    <w:rsid w:val="0073547C"/>
    <w:rsid w:val="00735B09"/>
    <w:rsid w:val="00736039"/>
    <w:rsid w:val="007368BC"/>
    <w:rsid w:val="00736D14"/>
    <w:rsid w:val="00737078"/>
    <w:rsid w:val="00740EB0"/>
    <w:rsid w:val="0074145A"/>
    <w:rsid w:val="00741579"/>
    <w:rsid w:val="007418EC"/>
    <w:rsid w:val="007428DE"/>
    <w:rsid w:val="00743115"/>
    <w:rsid w:val="00743DFD"/>
    <w:rsid w:val="00744634"/>
    <w:rsid w:val="007449B8"/>
    <w:rsid w:val="0074546D"/>
    <w:rsid w:val="00746223"/>
    <w:rsid w:val="00746438"/>
    <w:rsid w:val="00746A76"/>
    <w:rsid w:val="00746B2C"/>
    <w:rsid w:val="00746C91"/>
    <w:rsid w:val="0074787E"/>
    <w:rsid w:val="00747920"/>
    <w:rsid w:val="0075084D"/>
    <w:rsid w:val="007509A3"/>
    <w:rsid w:val="0075161D"/>
    <w:rsid w:val="00752ADB"/>
    <w:rsid w:val="007539DD"/>
    <w:rsid w:val="00753D38"/>
    <w:rsid w:val="00754297"/>
    <w:rsid w:val="00754737"/>
    <w:rsid w:val="00754B04"/>
    <w:rsid w:val="00756190"/>
    <w:rsid w:val="00761B06"/>
    <w:rsid w:val="00762489"/>
    <w:rsid w:val="00763DF7"/>
    <w:rsid w:val="007648A1"/>
    <w:rsid w:val="00764C6C"/>
    <w:rsid w:val="00765287"/>
    <w:rsid w:val="00765907"/>
    <w:rsid w:val="00765FB9"/>
    <w:rsid w:val="00766F48"/>
    <w:rsid w:val="00767847"/>
    <w:rsid w:val="00767BF5"/>
    <w:rsid w:val="007707EE"/>
    <w:rsid w:val="00770872"/>
    <w:rsid w:val="00770C73"/>
    <w:rsid w:val="00771971"/>
    <w:rsid w:val="00773633"/>
    <w:rsid w:val="0077403C"/>
    <w:rsid w:val="007740B4"/>
    <w:rsid w:val="00774477"/>
    <w:rsid w:val="00774C9C"/>
    <w:rsid w:val="0077541D"/>
    <w:rsid w:val="00775F72"/>
    <w:rsid w:val="0077621C"/>
    <w:rsid w:val="007764F7"/>
    <w:rsid w:val="007765DA"/>
    <w:rsid w:val="007770F3"/>
    <w:rsid w:val="007775F5"/>
    <w:rsid w:val="007806E4"/>
    <w:rsid w:val="0078118C"/>
    <w:rsid w:val="007814D7"/>
    <w:rsid w:val="00781923"/>
    <w:rsid w:val="00781AEE"/>
    <w:rsid w:val="007822C7"/>
    <w:rsid w:val="00782DF9"/>
    <w:rsid w:val="007837C3"/>
    <w:rsid w:val="007839FA"/>
    <w:rsid w:val="007846D2"/>
    <w:rsid w:val="00784A1D"/>
    <w:rsid w:val="00784A39"/>
    <w:rsid w:val="00784CF7"/>
    <w:rsid w:val="00784D5A"/>
    <w:rsid w:val="0078554A"/>
    <w:rsid w:val="00785D05"/>
    <w:rsid w:val="00786874"/>
    <w:rsid w:val="00787B33"/>
    <w:rsid w:val="007917D9"/>
    <w:rsid w:val="0079202D"/>
    <w:rsid w:val="00792A89"/>
    <w:rsid w:val="00792E7C"/>
    <w:rsid w:val="00792F39"/>
    <w:rsid w:val="00793792"/>
    <w:rsid w:val="00793A14"/>
    <w:rsid w:val="00794219"/>
    <w:rsid w:val="007944A7"/>
    <w:rsid w:val="00794677"/>
    <w:rsid w:val="00794C0A"/>
    <w:rsid w:val="00794CC1"/>
    <w:rsid w:val="00797617"/>
    <w:rsid w:val="00797FF9"/>
    <w:rsid w:val="007A0427"/>
    <w:rsid w:val="007A0695"/>
    <w:rsid w:val="007A111C"/>
    <w:rsid w:val="007A148E"/>
    <w:rsid w:val="007A284D"/>
    <w:rsid w:val="007A2B58"/>
    <w:rsid w:val="007A2D69"/>
    <w:rsid w:val="007A4310"/>
    <w:rsid w:val="007A4502"/>
    <w:rsid w:val="007A4D21"/>
    <w:rsid w:val="007A5D87"/>
    <w:rsid w:val="007A6A94"/>
    <w:rsid w:val="007B1189"/>
    <w:rsid w:val="007B1933"/>
    <w:rsid w:val="007B3739"/>
    <w:rsid w:val="007B5214"/>
    <w:rsid w:val="007B5D84"/>
    <w:rsid w:val="007B6039"/>
    <w:rsid w:val="007B63E5"/>
    <w:rsid w:val="007B6A49"/>
    <w:rsid w:val="007B7911"/>
    <w:rsid w:val="007B7C8A"/>
    <w:rsid w:val="007C0792"/>
    <w:rsid w:val="007C0DD3"/>
    <w:rsid w:val="007C159D"/>
    <w:rsid w:val="007C1F94"/>
    <w:rsid w:val="007C2AFE"/>
    <w:rsid w:val="007C380F"/>
    <w:rsid w:val="007C3FC3"/>
    <w:rsid w:val="007C43B9"/>
    <w:rsid w:val="007C488A"/>
    <w:rsid w:val="007C4D5D"/>
    <w:rsid w:val="007C51E4"/>
    <w:rsid w:val="007C6D66"/>
    <w:rsid w:val="007C6FC3"/>
    <w:rsid w:val="007C72ED"/>
    <w:rsid w:val="007C7776"/>
    <w:rsid w:val="007D05A7"/>
    <w:rsid w:val="007D1331"/>
    <w:rsid w:val="007D13C2"/>
    <w:rsid w:val="007D1A1D"/>
    <w:rsid w:val="007D1AFF"/>
    <w:rsid w:val="007D2E22"/>
    <w:rsid w:val="007D3746"/>
    <w:rsid w:val="007D3AD7"/>
    <w:rsid w:val="007D3C76"/>
    <w:rsid w:val="007D3E97"/>
    <w:rsid w:val="007D40A6"/>
    <w:rsid w:val="007D46DB"/>
    <w:rsid w:val="007D4C06"/>
    <w:rsid w:val="007D5D05"/>
    <w:rsid w:val="007D60EE"/>
    <w:rsid w:val="007D63D3"/>
    <w:rsid w:val="007D7B14"/>
    <w:rsid w:val="007D7DAD"/>
    <w:rsid w:val="007E13DC"/>
    <w:rsid w:val="007E2C71"/>
    <w:rsid w:val="007E355E"/>
    <w:rsid w:val="007E3E03"/>
    <w:rsid w:val="007E418A"/>
    <w:rsid w:val="007E5248"/>
    <w:rsid w:val="007E552B"/>
    <w:rsid w:val="007E55ED"/>
    <w:rsid w:val="007E56BC"/>
    <w:rsid w:val="007E5700"/>
    <w:rsid w:val="007E57CA"/>
    <w:rsid w:val="007E5C11"/>
    <w:rsid w:val="007E659F"/>
    <w:rsid w:val="007E73ED"/>
    <w:rsid w:val="007E7B59"/>
    <w:rsid w:val="007F0A74"/>
    <w:rsid w:val="007F14AA"/>
    <w:rsid w:val="007F1713"/>
    <w:rsid w:val="007F24AD"/>
    <w:rsid w:val="007F378F"/>
    <w:rsid w:val="007F4615"/>
    <w:rsid w:val="007F544D"/>
    <w:rsid w:val="007F5A5B"/>
    <w:rsid w:val="007F5D3F"/>
    <w:rsid w:val="007F6F3D"/>
    <w:rsid w:val="007F7BBF"/>
    <w:rsid w:val="00800CE7"/>
    <w:rsid w:val="00801AA4"/>
    <w:rsid w:val="0080229A"/>
    <w:rsid w:val="008024D6"/>
    <w:rsid w:val="00802C43"/>
    <w:rsid w:val="00803050"/>
    <w:rsid w:val="0080464A"/>
    <w:rsid w:val="00804C65"/>
    <w:rsid w:val="00806C6F"/>
    <w:rsid w:val="00807893"/>
    <w:rsid w:val="008109DE"/>
    <w:rsid w:val="00812303"/>
    <w:rsid w:val="008123FC"/>
    <w:rsid w:val="00813547"/>
    <w:rsid w:val="0081394C"/>
    <w:rsid w:val="00813CDB"/>
    <w:rsid w:val="0081475A"/>
    <w:rsid w:val="008147D9"/>
    <w:rsid w:val="00814866"/>
    <w:rsid w:val="00814963"/>
    <w:rsid w:val="0081513A"/>
    <w:rsid w:val="00815AA1"/>
    <w:rsid w:val="0081610A"/>
    <w:rsid w:val="00816A7F"/>
    <w:rsid w:val="00816C51"/>
    <w:rsid w:val="00817239"/>
    <w:rsid w:val="008177A2"/>
    <w:rsid w:val="0082003C"/>
    <w:rsid w:val="0082017E"/>
    <w:rsid w:val="008207A2"/>
    <w:rsid w:val="00820AA2"/>
    <w:rsid w:val="00820EB3"/>
    <w:rsid w:val="00821204"/>
    <w:rsid w:val="00821223"/>
    <w:rsid w:val="00821B8D"/>
    <w:rsid w:val="00821C1A"/>
    <w:rsid w:val="008227B9"/>
    <w:rsid w:val="00822C5D"/>
    <w:rsid w:val="00823072"/>
    <w:rsid w:val="008231C1"/>
    <w:rsid w:val="00823561"/>
    <w:rsid w:val="00823BBC"/>
    <w:rsid w:val="008242E3"/>
    <w:rsid w:val="00824357"/>
    <w:rsid w:val="0082455E"/>
    <w:rsid w:val="008247D5"/>
    <w:rsid w:val="00824B55"/>
    <w:rsid w:val="00825B9C"/>
    <w:rsid w:val="008263FE"/>
    <w:rsid w:val="00826AA1"/>
    <w:rsid w:val="008271EA"/>
    <w:rsid w:val="00830112"/>
    <w:rsid w:val="00831425"/>
    <w:rsid w:val="0083277F"/>
    <w:rsid w:val="00833B32"/>
    <w:rsid w:val="008341DE"/>
    <w:rsid w:val="00834522"/>
    <w:rsid w:val="00834EAF"/>
    <w:rsid w:val="00834F92"/>
    <w:rsid w:val="0083594D"/>
    <w:rsid w:val="00840100"/>
    <w:rsid w:val="0084028A"/>
    <w:rsid w:val="00840C3E"/>
    <w:rsid w:val="00840E01"/>
    <w:rsid w:val="00841130"/>
    <w:rsid w:val="008412AE"/>
    <w:rsid w:val="0084142F"/>
    <w:rsid w:val="00841727"/>
    <w:rsid w:val="0084178C"/>
    <w:rsid w:val="008417A5"/>
    <w:rsid w:val="00841FA5"/>
    <w:rsid w:val="00842956"/>
    <w:rsid w:val="00842F44"/>
    <w:rsid w:val="0084307F"/>
    <w:rsid w:val="00843D72"/>
    <w:rsid w:val="00843E0B"/>
    <w:rsid w:val="008444A7"/>
    <w:rsid w:val="00844930"/>
    <w:rsid w:val="00844B92"/>
    <w:rsid w:val="0084523F"/>
    <w:rsid w:val="00845611"/>
    <w:rsid w:val="0084561A"/>
    <w:rsid w:val="00845770"/>
    <w:rsid w:val="00845D23"/>
    <w:rsid w:val="00846671"/>
    <w:rsid w:val="00846778"/>
    <w:rsid w:val="00846E4A"/>
    <w:rsid w:val="00850C1C"/>
    <w:rsid w:val="00850E0C"/>
    <w:rsid w:val="0085132B"/>
    <w:rsid w:val="00851BF3"/>
    <w:rsid w:val="00851BFD"/>
    <w:rsid w:val="00852BDF"/>
    <w:rsid w:val="008531DA"/>
    <w:rsid w:val="0085405B"/>
    <w:rsid w:val="00854153"/>
    <w:rsid w:val="008549DD"/>
    <w:rsid w:val="00854B10"/>
    <w:rsid w:val="00855622"/>
    <w:rsid w:val="00856F66"/>
    <w:rsid w:val="00857C97"/>
    <w:rsid w:val="00857DA6"/>
    <w:rsid w:val="00860146"/>
    <w:rsid w:val="008601DB"/>
    <w:rsid w:val="00860FB0"/>
    <w:rsid w:val="00861389"/>
    <w:rsid w:val="008624FE"/>
    <w:rsid w:val="00862F0F"/>
    <w:rsid w:val="008631F9"/>
    <w:rsid w:val="008642D0"/>
    <w:rsid w:val="0086456C"/>
    <w:rsid w:val="00864A73"/>
    <w:rsid w:val="008655E1"/>
    <w:rsid w:val="008666DD"/>
    <w:rsid w:val="00866962"/>
    <w:rsid w:val="00867414"/>
    <w:rsid w:val="00867AC4"/>
    <w:rsid w:val="00867E96"/>
    <w:rsid w:val="008702D5"/>
    <w:rsid w:val="008705F2"/>
    <w:rsid w:val="00870E53"/>
    <w:rsid w:val="008710A5"/>
    <w:rsid w:val="00871802"/>
    <w:rsid w:val="00871DBA"/>
    <w:rsid w:val="00872065"/>
    <w:rsid w:val="008726AB"/>
    <w:rsid w:val="008727F0"/>
    <w:rsid w:val="00872C37"/>
    <w:rsid w:val="008732A3"/>
    <w:rsid w:val="00873501"/>
    <w:rsid w:val="0087399B"/>
    <w:rsid w:val="0087444F"/>
    <w:rsid w:val="0087483F"/>
    <w:rsid w:val="008756FC"/>
    <w:rsid w:val="00875BD9"/>
    <w:rsid w:val="00881404"/>
    <w:rsid w:val="00883749"/>
    <w:rsid w:val="0088432B"/>
    <w:rsid w:val="008852F2"/>
    <w:rsid w:val="008856B3"/>
    <w:rsid w:val="00885746"/>
    <w:rsid w:val="00885C9C"/>
    <w:rsid w:val="0088614B"/>
    <w:rsid w:val="008862A7"/>
    <w:rsid w:val="00886BAB"/>
    <w:rsid w:val="00887577"/>
    <w:rsid w:val="00890261"/>
    <w:rsid w:val="008920F4"/>
    <w:rsid w:val="008924E2"/>
    <w:rsid w:val="00892C6A"/>
    <w:rsid w:val="00892D86"/>
    <w:rsid w:val="00892FC2"/>
    <w:rsid w:val="00893204"/>
    <w:rsid w:val="00893E09"/>
    <w:rsid w:val="008948CA"/>
    <w:rsid w:val="00896336"/>
    <w:rsid w:val="008974BB"/>
    <w:rsid w:val="008A128C"/>
    <w:rsid w:val="008A1AB6"/>
    <w:rsid w:val="008A234A"/>
    <w:rsid w:val="008A2483"/>
    <w:rsid w:val="008A2A07"/>
    <w:rsid w:val="008A30EE"/>
    <w:rsid w:val="008A31E1"/>
    <w:rsid w:val="008A333E"/>
    <w:rsid w:val="008A3BB1"/>
    <w:rsid w:val="008A432D"/>
    <w:rsid w:val="008A4526"/>
    <w:rsid w:val="008A4D61"/>
    <w:rsid w:val="008A604D"/>
    <w:rsid w:val="008A66C4"/>
    <w:rsid w:val="008A6ABF"/>
    <w:rsid w:val="008A751A"/>
    <w:rsid w:val="008A7B63"/>
    <w:rsid w:val="008B004A"/>
    <w:rsid w:val="008B01D5"/>
    <w:rsid w:val="008B08CF"/>
    <w:rsid w:val="008B0A7E"/>
    <w:rsid w:val="008B0B5C"/>
    <w:rsid w:val="008B0BF6"/>
    <w:rsid w:val="008B0D01"/>
    <w:rsid w:val="008B3003"/>
    <w:rsid w:val="008B356E"/>
    <w:rsid w:val="008B588B"/>
    <w:rsid w:val="008B6EEB"/>
    <w:rsid w:val="008B6FE0"/>
    <w:rsid w:val="008B7591"/>
    <w:rsid w:val="008B7A53"/>
    <w:rsid w:val="008C1582"/>
    <w:rsid w:val="008C198B"/>
    <w:rsid w:val="008C1EA1"/>
    <w:rsid w:val="008C2D13"/>
    <w:rsid w:val="008C2EF8"/>
    <w:rsid w:val="008C3161"/>
    <w:rsid w:val="008C32E0"/>
    <w:rsid w:val="008C3439"/>
    <w:rsid w:val="008C4E4D"/>
    <w:rsid w:val="008C603E"/>
    <w:rsid w:val="008C669A"/>
    <w:rsid w:val="008C6B80"/>
    <w:rsid w:val="008C6D20"/>
    <w:rsid w:val="008D05BC"/>
    <w:rsid w:val="008D0C5E"/>
    <w:rsid w:val="008D1DC8"/>
    <w:rsid w:val="008D2429"/>
    <w:rsid w:val="008D26BD"/>
    <w:rsid w:val="008D3BC0"/>
    <w:rsid w:val="008D433C"/>
    <w:rsid w:val="008D4C07"/>
    <w:rsid w:val="008D5803"/>
    <w:rsid w:val="008D590D"/>
    <w:rsid w:val="008D5D3D"/>
    <w:rsid w:val="008D7123"/>
    <w:rsid w:val="008D7513"/>
    <w:rsid w:val="008D7F5B"/>
    <w:rsid w:val="008E0166"/>
    <w:rsid w:val="008E1047"/>
    <w:rsid w:val="008E1516"/>
    <w:rsid w:val="008E24A6"/>
    <w:rsid w:val="008E25D1"/>
    <w:rsid w:val="008E2AC4"/>
    <w:rsid w:val="008E2E7F"/>
    <w:rsid w:val="008E3016"/>
    <w:rsid w:val="008E4248"/>
    <w:rsid w:val="008E45A1"/>
    <w:rsid w:val="008E4FE3"/>
    <w:rsid w:val="008E5350"/>
    <w:rsid w:val="008E5469"/>
    <w:rsid w:val="008E5B7D"/>
    <w:rsid w:val="008E5F5F"/>
    <w:rsid w:val="008E636F"/>
    <w:rsid w:val="008E67B0"/>
    <w:rsid w:val="008E6D12"/>
    <w:rsid w:val="008E7327"/>
    <w:rsid w:val="008E74EE"/>
    <w:rsid w:val="008E7933"/>
    <w:rsid w:val="008F0CCF"/>
    <w:rsid w:val="008F15FA"/>
    <w:rsid w:val="008F1CD9"/>
    <w:rsid w:val="008F2418"/>
    <w:rsid w:val="008F2944"/>
    <w:rsid w:val="008F2ED5"/>
    <w:rsid w:val="008F3137"/>
    <w:rsid w:val="008F3228"/>
    <w:rsid w:val="008F34D0"/>
    <w:rsid w:val="008F39C9"/>
    <w:rsid w:val="008F3E45"/>
    <w:rsid w:val="008F493D"/>
    <w:rsid w:val="008F49F3"/>
    <w:rsid w:val="008F4FC4"/>
    <w:rsid w:val="008F55D2"/>
    <w:rsid w:val="008F63C5"/>
    <w:rsid w:val="008F7739"/>
    <w:rsid w:val="009007E0"/>
    <w:rsid w:val="0090109A"/>
    <w:rsid w:val="009010B9"/>
    <w:rsid w:val="00901F0C"/>
    <w:rsid w:val="00902281"/>
    <w:rsid w:val="009032D6"/>
    <w:rsid w:val="00903D85"/>
    <w:rsid w:val="009042DF"/>
    <w:rsid w:val="00904E01"/>
    <w:rsid w:val="00905672"/>
    <w:rsid w:val="00905741"/>
    <w:rsid w:val="00905914"/>
    <w:rsid w:val="00906586"/>
    <w:rsid w:val="0090779E"/>
    <w:rsid w:val="00910C40"/>
    <w:rsid w:val="009112B3"/>
    <w:rsid w:val="0091161F"/>
    <w:rsid w:val="009117E7"/>
    <w:rsid w:val="009125F4"/>
    <w:rsid w:val="009126EF"/>
    <w:rsid w:val="00912783"/>
    <w:rsid w:val="00912D9F"/>
    <w:rsid w:val="009130E4"/>
    <w:rsid w:val="00913DA7"/>
    <w:rsid w:val="0091447A"/>
    <w:rsid w:val="00914BA7"/>
    <w:rsid w:val="00914DDE"/>
    <w:rsid w:val="0091548F"/>
    <w:rsid w:val="00916D77"/>
    <w:rsid w:val="009170F0"/>
    <w:rsid w:val="00920C22"/>
    <w:rsid w:val="009218A6"/>
    <w:rsid w:val="00921915"/>
    <w:rsid w:val="00921CBE"/>
    <w:rsid w:val="00922071"/>
    <w:rsid w:val="00922D68"/>
    <w:rsid w:val="00924016"/>
    <w:rsid w:val="009245F7"/>
    <w:rsid w:val="009246DD"/>
    <w:rsid w:val="00925245"/>
    <w:rsid w:val="00925F48"/>
    <w:rsid w:val="00926584"/>
    <w:rsid w:val="00926CFA"/>
    <w:rsid w:val="00927234"/>
    <w:rsid w:val="00927740"/>
    <w:rsid w:val="00927C84"/>
    <w:rsid w:val="0093181B"/>
    <w:rsid w:val="009319B3"/>
    <w:rsid w:val="00931C7B"/>
    <w:rsid w:val="00932762"/>
    <w:rsid w:val="00932AE6"/>
    <w:rsid w:val="0093353C"/>
    <w:rsid w:val="009339B7"/>
    <w:rsid w:val="0093433E"/>
    <w:rsid w:val="00934619"/>
    <w:rsid w:val="009361FF"/>
    <w:rsid w:val="0093640F"/>
    <w:rsid w:val="00936D26"/>
    <w:rsid w:val="00940132"/>
    <w:rsid w:val="009405F0"/>
    <w:rsid w:val="00941CEE"/>
    <w:rsid w:val="00942027"/>
    <w:rsid w:val="009430B1"/>
    <w:rsid w:val="00943337"/>
    <w:rsid w:val="00943B15"/>
    <w:rsid w:val="00943CE1"/>
    <w:rsid w:val="00944B12"/>
    <w:rsid w:val="009454C1"/>
    <w:rsid w:val="00946496"/>
    <w:rsid w:val="0094685C"/>
    <w:rsid w:val="0094690E"/>
    <w:rsid w:val="0094772C"/>
    <w:rsid w:val="00947E84"/>
    <w:rsid w:val="00950130"/>
    <w:rsid w:val="00950D24"/>
    <w:rsid w:val="00951B02"/>
    <w:rsid w:val="00952BE3"/>
    <w:rsid w:val="009534EC"/>
    <w:rsid w:val="00953873"/>
    <w:rsid w:val="00953D78"/>
    <w:rsid w:val="00954641"/>
    <w:rsid w:val="009559EA"/>
    <w:rsid w:val="00955AD1"/>
    <w:rsid w:val="00955D55"/>
    <w:rsid w:val="00956FBC"/>
    <w:rsid w:val="00957A62"/>
    <w:rsid w:val="00960454"/>
    <w:rsid w:val="00961309"/>
    <w:rsid w:val="00961680"/>
    <w:rsid w:val="00961869"/>
    <w:rsid w:val="0096203D"/>
    <w:rsid w:val="00962675"/>
    <w:rsid w:val="009643C8"/>
    <w:rsid w:val="00964A1C"/>
    <w:rsid w:val="00965749"/>
    <w:rsid w:val="009658E8"/>
    <w:rsid w:val="00965A50"/>
    <w:rsid w:val="00965C1E"/>
    <w:rsid w:val="00965EE0"/>
    <w:rsid w:val="009677F5"/>
    <w:rsid w:val="00970A98"/>
    <w:rsid w:val="00970BB2"/>
    <w:rsid w:val="00970F0A"/>
    <w:rsid w:val="0097175A"/>
    <w:rsid w:val="00972404"/>
    <w:rsid w:val="00973298"/>
    <w:rsid w:val="00973FFE"/>
    <w:rsid w:val="0097414A"/>
    <w:rsid w:val="009746D1"/>
    <w:rsid w:val="00974C80"/>
    <w:rsid w:val="00975F00"/>
    <w:rsid w:val="00976B24"/>
    <w:rsid w:val="009772BE"/>
    <w:rsid w:val="00977717"/>
    <w:rsid w:val="009803C9"/>
    <w:rsid w:val="0098068C"/>
    <w:rsid w:val="00980C20"/>
    <w:rsid w:val="009810A7"/>
    <w:rsid w:val="0098176B"/>
    <w:rsid w:val="00981B5A"/>
    <w:rsid w:val="00982140"/>
    <w:rsid w:val="0098278B"/>
    <w:rsid w:val="00982D15"/>
    <w:rsid w:val="0098442F"/>
    <w:rsid w:val="00984520"/>
    <w:rsid w:val="009848A9"/>
    <w:rsid w:val="009849F9"/>
    <w:rsid w:val="00984EFC"/>
    <w:rsid w:val="00985B42"/>
    <w:rsid w:val="009870BA"/>
    <w:rsid w:val="0098789B"/>
    <w:rsid w:val="00987CFF"/>
    <w:rsid w:val="00987E31"/>
    <w:rsid w:val="009900A5"/>
    <w:rsid w:val="0099014F"/>
    <w:rsid w:val="0099019C"/>
    <w:rsid w:val="009903CA"/>
    <w:rsid w:val="00990579"/>
    <w:rsid w:val="009912ED"/>
    <w:rsid w:val="009915F5"/>
    <w:rsid w:val="009916B6"/>
    <w:rsid w:val="00991DFA"/>
    <w:rsid w:val="00992021"/>
    <w:rsid w:val="009925A5"/>
    <w:rsid w:val="00992927"/>
    <w:rsid w:val="00992A3F"/>
    <w:rsid w:val="00992C1D"/>
    <w:rsid w:val="00992DB9"/>
    <w:rsid w:val="00992FCC"/>
    <w:rsid w:val="00993D07"/>
    <w:rsid w:val="0099443D"/>
    <w:rsid w:val="00994669"/>
    <w:rsid w:val="00996E20"/>
    <w:rsid w:val="00997404"/>
    <w:rsid w:val="009979D9"/>
    <w:rsid w:val="00997C02"/>
    <w:rsid w:val="00997D8D"/>
    <w:rsid w:val="009A03D5"/>
    <w:rsid w:val="009A073F"/>
    <w:rsid w:val="009A12EA"/>
    <w:rsid w:val="009A14A7"/>
    <w:rsid w:val="009A20C6"/>
    <w:rsid w:val="009A256D"/>
    <w:rsid w:val="009A27C2"/>
    <w:rsid w:val="009A2B0A"/>
    <w:rsid w:val="009A3080"/>
    <w:rsid w:val="009A38F5"/>
    <w:rsid w:val="009A45D4"/>
    <w:rsid w:val="009A4753"/>
    <w:rsid w:val="009A63E2"/>
    <w:rsid w:val="009A6E0E"/>
    <w:rsid w:val="009B0559"/>
    <w:rsid w:val="009B072A"/>
    <w:rsid w:val="009B146D"/>
    <w:rsid w:val="009B4573"/>
    <w:rsid w:val="009B543F"/>
    <w:rsid w:val="009B59F0"/>
    <w:rsid w:val="009B6734"/>
    <w:rsid w:val="009B6FCB"/>
    <w:rsid w:val="009B7D78"/>
    <w:rsid w:val="009C2524"/>
    <w:rsid w:val="009C2A2F"/>
    <w:rsid w:val="009C340C"/>
    <w:rsid w:val="009C3BAE"/>
    <w:rsid w:val="009C46AE"/>
    <w:rsid w:val="009C4FF7"/>
    <w:rsid w:val="009C510B"/>
    <w:rsid w:val="009C511F"/>
    <w:rsid w:val="009C52FC"/>
    <w:rsid w:val="009C5306"/>
    <w:rsid w:val="009C541C"/>
    <w:rsid w:val="009C59C9"/>
    <w:rsid w:val="009C6BCF"/>
    <w:rsid w:val="009C6D8F"/>
    <w:rsid w:val="009C7444"/>
    <w:rsid w:val="009C7894"/>
    <w:rsid w:val="009C7A27"/>
    <w:rsid w:val="009C7FD4"/>
    <w:rsid w:val="009D00AB"/>
    <w:rsid w:val="009D07A9"/>
    <w:rsid w:val="009D12A0"/>
    <w:rsid w:val="009D1A19"/>
    <w:rsid w:val="009D1AE8"/>
    <w:rsid w:val="009D2C49"/>
    <w:rsid w:val="009D3345"/>
    <w:rsid w:val="009D3FE9"/>
    <w:rsid w:val="009D4632"/>
    <w:rsid w:val="009D4A02"/>
    <w:rsid w:val="009D6AB9"/>
    <w:rsid w:val="009D7AAC"/>
    <w:rsid w:val="009D7F19"/>
    <w:rsid w:val="009E0061"/>
    <w:rsid w:val="009E020C"/>
    <w:rsid w:val="009E26AC"/>
    <w:rsid w:val="009E2AA7"/>
    <w:rsid w:val="009E36F8"/>
    <w:rsid w:val="009E499D"/>
    <w:rsid w:val="009E527E"/>
    <w:rsid w:val="009E53C3"/>
    <w:rsid w:val="009E5442"/>
    <w:rsid w:val="009E6635"/>
    <w:rsid w:val="009E6CA5"/>
    <w:rsid w:val="009E6CF5"/>
    <w:rsid w:val="009E6DE8"/>
    <w:rsid w:val="009E6EBD"/>
    <w:rsid w:val="009E7BBE"/>
    <w:rsid w:val="009E7F3B"/>
    <w:rsid w:val="009F1B83"/>
    <w:rsid w:val="009F26A0"/>
    <w:rsid w:val="009F2BC7"/>
    <w:rsid w:val="009F3020"/>
    <w:rsid w:val="009F3655"/>
    <w:rsid w:val="009F4405"/>
    <w:rsid w:val="009F5C11"/>
    <w:rsid w:val="009F615D"/>
    <w:rsid w:val="009F6307"/>
    <w:rsid w:val="009F64DA"/>
    <w:rsid w:val="009F7922"/>
    <w:rsid w:val="009F7CEF"/>
    <w:rsid w:val="00A0051A"/>
    <w:rsid w:val="00A01382"/>
    <w:rsid w:val="00A0161D"/>
    <w:rsid w:val="00A03029"/>
    <w:rsid w:val="00A0351A"/>
    <w:rsid w:val="00A038B7"/>
    <w:rsid w:val="00A03B14"/>
    <w:rsid w:val="00A03D5A"/>
    <w:rsid w:val="00A0448B"/>
    <w:rsid w:val="00A0589C"/>
    <w:rsid w:val="00A058A4"/>
    <w:rsid w:val="00A067DF"/>
    <w:rsid w:val="00A069A2"/>
    <w:rsid w:val="00A06DCF"/>
    <w:rsid w:val="00A0704D"/>
    <w:rsid w:val="00A0774D"/>
    <w:rsid w:val="00A07CBC"/>
    <w:rsid w:val="00A07DD5"/>
    <w:rsid w:val="00A126DE"/>
    <w:rsid w:val="00A1356A"/>
    <w:rsid w:val="00A13767"/>
    <w:rsid w:val="00A1455D"/>
    <w:rsid w:val="00A14A32"/>
    <w:rsid w:val="00A15B7A"/>
    <w:rsid w:val="00A15C66"/>
    <w:rsid w:val="00A1628B"/>
    <w:rsid w:val="00A16577"/>
    <w:rsid w:val="00A1671C"/>
    <w:rsid w:val="00A1702A"/>
    <w:rsid w:val="00A2011C"/>
    <w:rsid w:val="00A203AD"/>
    <w:rsid w:val="00A215B2"/>
    <w:rsid w:val="00A215CC"/>
    <w:rsid w:val="00A218B8"/>
    <w:rsid w:val="00A23EE3"/>
    <w:rsid w:val="00A240E5"/>
    <w:rsid w:val="00A2410B"/>
    <w:rsid w:val="00A241EF"/>
    <w:rsid w:val="00A25277"/>
    <w:rsid w:val="00A25836"/>
    <w:rsid w:val="00A25BF8"/>
    <w:rsid w:val="00A25DA1"/>
    <w:rsid w:val="00A25DD3"/>
    <w:rsid w:val="00A262BC"/>
    <w:rsid w:val="00A26897"/>
    <w:rsid w:val="00A26EFE"/>
    <w:rsid w:val="00A275CA"/>
    <w:rsid w:val="00A27674"/>
    <w:rsid w:val="00A2793E"/>
    <w:rsid w:val="00A27D1F"/>
    <w:rsid w:val="00A27E4F"/>
    <w:rsid w:val="00A30460"/>
    <w:rsid w:val="00A304FD"/>
    <w:rsid w:val="00A30534"/>
    <w:rsid w:val="00A3093A"/>
    <w:rsid w:val="00A30EBB"/>
    <w:rsid w:val="00A3183A"/>
    <w:rsid w:val="00A3225E"/>
    <w:rsid w:val="00A337BA"/>
    <w:rsid w:val="00A33B40"/>
    <w:rsid w:val="00A34AEC"/>
    <w:rsid w:val="00A34B7C"/>
    <w:rsid w:val="00A357E0"/>
    <w:rsid w:val="00A35DA7"/>
    <w:rsid w:val="00A35DE2"/>
    <w:rsid w:val="00A36121"/>
    <w:rsid w:val="00A36291"/>
    <w:rsid w:val="00A362F5"/>
    <w:rsid w:val="00A36314"/>
    <w:rsid w:val="00A3665F"/>
    <w:rsid w:val="00A36D9A"/>
    <w:rsid w:val="00A36EBE"/>
    <w:rsid w:val="00A36FF4"/>
    <w:rsid w:val="00A37528"/>
    <w:rsid w:val="00A3790C"/>
    <w:rsid w:val="00A41894"/>
    <w:rsid w:val="00A42054"/>
    <w:rsid w:val="00A42862"/>
    <w:rsid w:val="00A43289"/>
    <w:rsid w:val="00A433EF"/>
    <w:rsid w:val="00A4467E"/>
    <w:rsid w:val="00A44D91"/>
    <w:rsid w:val="00A459F5"/>
    <w:rsid w:val="00A45EF4"/>
    <w:rsid w:val="00A45F60"/>
    <w:rsid w:val="00A47B3F"/>
    <w:rsid w:val="00A501FB"/>
    <w:rsid w:val="00A50BEC"/>
    <w:rsid w:val="00A50FF6"/>
    <w:rsid w:val="00A526C0"/>
    <w:rsid w:val="00A52A9F"/>
    <w:rsid w:val="00A52B73"/>
    <w:rsid w:val="00A53DE7"/>
    <w:rsid w:val="00A540B3"/>
    <w:rsid w:val="00A55534"/>
    <w:rsid w:val="00A55A6D"/>
    <w:rsid w:val="00A55FC5"/>
    <w:rsid w:val="00A560A1"/>
    <w:rsid w:val="00A575A6"/>
    <w:rsid w:val="00A600DE"/>
    <w:rsid w:val="00A6017E"/>
    <w:rsid w:val="00A60ABE"/>
    <w:rsid w:val="00A60B6F"/>
    <w:rsid w:val="00A60C76"/>
    <w:rsid w:val="00A60F4A"/>
    <w:rsid w:val="00A61119"/>
    <w:rsid w:val="00A61500"/>
    <w:rsid w:val="00A621FF"/>
    <w:rsid w:val="00A633AC"/>
    <w:rsid w:val="00A63B53"/>
    <w:rsid w:val="00A63ED2"/>
    <w:rsid w:val="00A64170"/>
    <w:rsid w:val="00A64F6A"/>
    <w:rsid w:val="00A6569F"/>
    <w:rsid w:val="00A65718"/>
    <w:rsid w:val="00A65EB3"/>
    <w:rsid w:val="00A66715"/>
    <w:rsid w:val="00A66796"/>
    <w:rsid w:val="00A6680E"/>
    <w:rsid w:val="00A66B54"/>
    <w:rsid w:val="00A66FE4"/>
    <w:rsid w:val="00A67A49"/>
    <w:rsid w:val="00A7056E"/>
    <w:rsid w:val="00A70663"/>
    <w:rsid w:val="00A7209D"/>
    <w:rsid w:val="00A72CFB"/>
    <w:rsid w:val="00A73960"/>
    <w:rsid w:val="00A73961"/>
    <w:rsid w:val="00A73FB7"/>
    <w:rsid w:val="00A74270"/>
    <w:rsid w:val="00A74DDE"/>
    <w:rsid w:val="00A74F59"/>
    <w:rsid w:val="00A754D6"/>
    <w:rsid w:val="00A75726"/>
    <w:rsid w:val="00A76460"/>
    <w:rsid w:val="00A76543"/>
    <w:rsid w:val="00A765EC"/>
    <w:rsid w:val="00A76AD5"/>
    <w:rsid w:val="00A76D86"/>
    <w:rsid w:val="00A7719F"/>
    <w:rsid w:val="00A771BF"/>
    <w:rsid w:val="00A7779B"/>
    <w:rsid w:val="00A802FC"/>
    <w:rsid w:val="00A80959"/>
    <w:rsid w:val="00A809BE"/>
    <w:rsid w:val="00A83166"/>
    <w:rsid w:val="00A83251"/>
    <w:rsid w:val="00A83D92"/>
    <w:rsid w:val="00A84464"/>
    <w:rsid w:val="00A84833"/>
    <w:rsid w:val="00A84D4D"/>
    <w:rsid w:val="00A84E64"/>
    <w:rsid w:val="00A85AFF"/>
    <w:rsid w:val="00A8631B"/>
    <w:rsid w:val="00A86650"/>
    <w:rsid w:val="00A86E7B"/>
    <w:rsid w:val="00A870CE"/>
    <w:rsid w:val="00A87828"/>
    <w:rsid w:val="00A87AA1"/>
    <w:rsid w:val="00A906C5"/>
    <w:rsid w:val="00A9085A"/>
    <w:rsid w:val="00A90DA3"/>
    <w:rsid w:val="00A91874"/>
    <w:rsid w:val="00A939DF"/>
    <w:rsid w:val="00A93B47"/>
    <w:rsid w:val="00A94E09"/>
    <w:rsid w:val="00A95E55"/>
    <w:rsid w:val="00A96025"/>
    <w:rsid w:val="00A9651E"/>
    <w:rsid w:val="00A96A03"/>
    <w:rsid w:val="00A96A50"/>
    <w:rsid w:val="00A976F1"/>
    <w:rsid w:val="00A97DB2"/>
    <w:rsid w:val="00AA04B7"/>
    <w:rsid w:val="00AA069E"/>
    <w:rsid w:val="00AA1984"/>
    <w:rsid w:val="00AA1DB7"/>
    <w:rsid w:val="00AA38A4"/>
    <w:rsid w:val="00AA3DEF"/>
    <w:rsid w:val="00AA3F46"/>
    <w:rsid w:val="00AA46C8"/>
    <w:rsid w:val="00AA4B06"/>
    <w:rsid w:val="00AA4C27"/>
    <w:rsid w:val="00AA5362"/>
    <w:rsid w:val="00AA5443"/>
    <w:rsid w:val="00AA69FF"/>
    <w:rsid w:val="00AA6A2B"/>
    <w:rsid w:val="00AA7CEB"/>
    <w:rsid w:val="00AB1827"/>
    <w:rsid w:val="00AB1DD3"/>
    <w:rsid w:val="00AB4C14"/>
    <w:rsid w:val="00AB5077"/>
    <w:rsid w:val="00AB654D"/>
    <w:rsid w:val="00AB65B8"/>
    <w:rsid w:val="00AB706D"/>
    <w:rsid w:val="00AB75AD"/>
    <w:rsid w:val="00AB7A10"/>
    <w:rsid w:val="00AB7C28"/>
    <w:rsid w:val="00AB7C97"/>
    <w:rsid w:val="00AC045F"/>
    <w:rsid w:val="00AC0FC4"/>
    <w:rsid w:val="00AC1301"/>
    <w:rsid w:val="00AC1CF5"/>
    <w:rsid w:val="00AC2793"/>
    <w:rsid w:val="00AC30A1"/>
    <w:rsid w:val="00AC4107"/>
    <w:rsid w:val="00AC42A0"/>
    <w:rsid w:val="00AC5788"/>
    <w:rsid w:val="00AC5DCE"/>
    <w:rsid w:val="00AC6E77"/>
    <w:rsid w:val="00AC7F1F"/>
    <w:rsid w:val="00AC7F2E"/>
    <w:rsid w:val="00AD047E"/>
    <w:rsid w:val="00AD04BA"/>
    <w:rsid w:val="00AD083B"/>
    <w:rsid w:val="00AD0C70"/>
    <w:rsid w:val="00AD13BA"/>
    <w:rsid w:val="00AD17A2"/>
    <w:rsid w:val="00AD21C0"/>
    <w:rsid w:val="00AD270B"/>
    <w:rsid w:val="00AD28A6"/>
    <w:rsid w:val="00AD3CE9"/>
    <w:rsid w:val="00AD4D2B"/>
    <w:rsid w:val="00AD6477"/>
    <w:rsid w:val="00AD7094"/>
    <w:rsid w:val="00AD7A0E"/>
    <w:rsid w:val="00AE09AF"/>
    <w:rsid w:val="00AE0B24"/>
    <w:rsid w:val="00AE104D"/>
    <w:rsid w:val="00AE10E4"/>
    <w:rsid w:val="00AE1637"/>
    <w:rsid w:val="00AE26F1"/>
    <w:rsid w:val="00AE34BE"/>
    <w:rsid w:val="00AE3A31"/>
    <w:rsid w:val="00AE3FCF"/>
    <w:rsid w:val="00AE4AB0"/>
    <w:rsid w:val="00AE5147"/>
    <w:rsid w:val="00AE5188"/>
    <w:rsid w:val="00AE51CF"/>
    <w:rsid w:val="00AE5DD4"/>
    <w:rsid w:val="00AE6383"/>
    <w:rsid w:val="00AE63EC"/>
    <w:rsid w:val="00AE6747"/>
    <w:rsid w:val="00AE6A22"/>
    <w:rsid w:val="00AE794E"/>
    <w:rsid w:val="00AE7E98"/>
    <w:rsid w:val="00AE7F63"/>
    <w:rsid w:val="00AF088D"/>
    <w:rsid w:val="00AF0FDB"/>
    <w:rsid w:val="00AF2081"/>
    <w:rsid w:val="00AF3646"/>
    <w:rsid w:val="00AF3ED7"/>
    <w:rsid w:val="00AF6AB9"/>
    <w:rsid w:val="00AF6F07"/>
    <w:rsid w:val="00AF7440"/>
    <w:rsid w:val="00AF75C9"/>
    <w:rsid w:val="00B00529"/>
    <w:rsid w:val="00B00BC6"/>
    <w:rsid w:val="00B00C93"/>
    <w:rsid w:val="00B00E59"/>
    <w:rsid w:val="00B02CB8"/>
    <w:rsid w:val="00B03B4C"/>
    <w:rsid w:val="00B048CB"/>
    <w:rsid w:val="00B04FAF"/>
    <w:rsid w:val="00B05465"/>
    <w:rsid w:val="00B05985"/>
    <w:rsid w:val="00B05E08"/>
    <w:rsid w:val="00B063EB"/>
    <w:rsid w:val="00B06D98"/>
    <w:rsid w:val="00B070FB"/>
    <w:rsid w:val="00B075A2"/>
    <w:rsid w:val="00B0797A"/>
    <w:rsid w:val="00B07A45"/>
    <w:rsid w:val="00B10856"/>
    <w:rsid w:val="00B11363"/>
    <w:rsid w:val="00B12029"/>
    <w:rsid w:val="00B12806"/>
    <w:rsid w:val="00B12A28"/>
    <w:rsid w:val="00B1313D"/>
    <w:rsid w:val="00B134A2"/>
    <w:rsid w:val="00B13702"/>
    <w:rsid w:val="00B13F34"/>
    <w:rsid w:val="00B146B9"/>
    <w:rsid w:val="00B14B99"/>
    <w:rsid w:val="00B14E0C"/>
    <w:rsid w:val="00B14F14"/>
    <w:rsid w:val="00B14FA2"/>
    <w:rsid w:val="00B154DD"/>
    <w:rsid w:val="00B20649"/>
    <w:rsid w:val="00B211B4"/>
    <w:rsid w:val="00B218E2"/>
    <w:rsid w:val="00B23D4C"/>
    <w:rsid w:val="00B2403B"/>
    <w:rsid w:val="00B24222"/>
    <w:rsid w:val="00B24880"/>
    <w:rsid w:val="00B24F84"/>
    <w:rsid w:val="00B25081"/>
    <w:rsid w:val="00B25CA4"/>
    <w:rsid w:val="00B25F6E"/>
    <w:rsid w:val="00B263D8"/>
    <w:rsid w:val="00B26C87"/>
    <w:rsid w:val="00B26CAA"/>
    <w:rsid w:val="00B26F48"/>
    <w:rsid w:val="00B2709D"/>
    <w:rsid w:val="00B31961"/>
    <w:rsid w:val="00B32556"/>
    <w:rsid w:val="00B327B0"/>
    <w:rsid w:val="00B332B8"/>
    <w:rsid w:val="00B33EB7"/>
    <w:rsid w:val="00B342CD"/>
    <w:rsid w:val="00B35423"/>
    <w:rsid w:val="00B35907"/>
    <w:rsid w:val="00B35B1F"/>
    <w:rsid w:val="00B364F1"/>
    <w:rsid w:val="00B366E3"/>
    <w:rsid w:val="00B36FE5"/>
    <w:rsid w:val="00B37118"/>
    <w:rsid w:val="00B37A60"/>
    <w:rsid w:val="00B37B5D"/>
    <w:rsid w:val="00B37DE1"/>
    <w:rsid w:val="00B4006D"/>
    <w:rsid w:val="00B40553"/>
    <w:rsid w:val="00B40FAD"/>
    <w:rsid w:val="00B4147B"/>
    <w:rsid w:val="00B417DB"/>
    <w:rsid w:val="00B43501"/>
    <w:rsid w:val="00B43519"/>
    <w:rsid w:val="00B43A48"/>
    <w:rsid w:val="00B44198"/>
    <w:rsid w:val="00B4505B"/>
    <w:rsid w:val="00B46003"/>
    <w:rsid w:val="00B46026"/>
    <w:rsid w:val="00B463F6"/>
    <w:rsid w:val="00B46E4A"/>
    <w:rsid w:val="00B47253"/>
    <w:rsid w:val="00B5036D"/>
    <w:rsid w:val="00B503D8"/>
    <w:rsid w:val="00B50ECA"/>
    <w:rsid w:val="00B51A71"/>
    <w:rsid w:val="00B51C76"/>
    <w:rsid w:val="00B52A7F"/>
    <w:rsid w:val="00B52E9F"/>
    <w:rsid w:val="00B535D6"/>
    <w:rsid w:val="00B53C97"/>
    <w:rsid w:val="00B53E28"/>
    <w:rsid w:val="00B54302"/>
    <w:rsid w:val="00B549B4"/>
    <w:rsid w:val="00B54A67"/>
    <w:rsid w:val="00B54BEE"/>
    <w:rsid w:val="00B55A99"/>
    <w:rsid w:val="00B56068"/>
    <w:rsid w:val="00B565FF"/>
    <w:rsid w:val="00B61233"/>
    <w:rsid w:val="00B61B18"/>
    <w:rsid w:val="00B61DB3"/>
    <w:rsid w:val="00B62345"/>
    <w:rsid w:val="00B62364"/>
    <w:rsid w:val="00B62416"/>
    <w:rsid w:val="00B629BB"/>
    <w:rsid w:val="00B62D4F"/>
    <w:rsid w:val="00B63EF8"/>
    <w:rsid w:val="00B65B6E"/>
    <w:rsid w:val="00B6608F"/>
    <w:rsid w:val="00B67B31"/>
    <w:rsid w:val="00B67D7C"/>
    <w:rsid w:val="00B70644"/>
    <w:rsid w:val="00B70C8C"/>
    <w:rsid w:val="00B71673"/>
    <w:rsid w:val="00B72272"/>
    <w:rsid w:val="00B7258B"/>
    <w:rsid w:val="00B72D69"/>
    <w:rsid w:val="00B734D5"/>
    <w:rsid w:val="00B73B3A"/>
    <w:rsid w:val="00B74C29"/>
    <w:rsid w:val="00B76314"/>
    <w:rsid w:val="00B769D5"/>
    <w:rsid w:val="00B76E3C"/>
    <w:rsid w:val="00B77968"/>
    <w:rsid w:val="00B77FF3"/>
    <w:rsid w:val="00B80B38"/>
    <w:rsid w:val="00B810D7"/>
    <w:rsid w:val="00B812C7"/>
    <w:rsid w:val="00B82068"/>
    <w:rsid w:val="00B82EE3"/>
    <w:rsid w:val="00B8334F"/>
    <w:rsid w:val="00B83366"/>
    <w:rsid w:val="00B8382E"/>
    <w:rsid w:val="00B83C6E"/>
    <w:rsid w:val="00B83D12"/>
    <w:rsid w:val="00B841A1"/>
    <w:rsid w:val="00B84773"/>
    <w:rsid w:val="00B84D3D"/>
    <w:rsid w:val="00B8529E"/>
    <w:rsid w:val="00B853B5"/>
    <w:rsid w:val="00B857B4"/>
    <w:rsid w:val="00B8582B"/>
    <w:rsid w:val="00B85969"/>
    <w:rsid w:val="00B85AF8"/>
    <w:rsid w:val="00B86DBC"/>
    <w:rsid w:val="00B9086E"/>
    <w:rsid w:val="00B927A3"/>
    <w:rsid w:val="00B92ADF"/>
    <w:rsid w:val="00B957D9"/>
    <w:rsid w:val="00B95B82"/>
    <w:rsid w:val="00B96949"/>
    <w:rsid w:val="00B96CF9"/>
    <w:rsid w:val="00B96E5F"/>
    <w:rsid w:val="00B978B0"/>
    <w:rsid w:val="00B97A43"/>
    <w:rsid w:val="00B97BD7"/>
    <w:rsid w:val="00BA0AF1"/>
    <w:rsid w:val="00BA1656"/>
    <w:rsid w:val="00BA17AB"/>
    <w:rsid w:val="00BA1A57"/>
    <w:rsid w:val="00BA1CDF"/>
    <w:rsid w:val="00BA247C"/>
    <w:rsid w:val="00BA2816"/>
    <w:rsid w:val="00BA2A2F"/>
    <w:rsid w:val="00BA2BE9"/>
    <w:rsid w:val="00BA3062"/>
    <w:rsid w:val="00BA3611"/>
    <w:rsid w:val="00BA3A92"/>
    <w:rsid w:val="00BA3DB5"/>
    <w:rsid w:val="00BA3E49"/>
    <w:rsid w:val="00BA41B2"/>
    <w:rsid w:val="00BA48C0"/>
    <w:rsid w:val="00BA4EDA"/>
    <w:rsid w:val="00BA50CE"/>
    <w:rsid w:val="00BA5AF5"/>
    <w:rsid w:val="00BA673B"/>
    <w:rsid w:val="00BA6911"/>
    <w:rsid w:val="00BA7AA7"/>
    <w:rsid w:val="00BA7C36"/>
    <w:rsid w:val="00BA7E4E"/>
    <w:rsid w:val="00BB0931"/>
    <w:rsid w:val="00BB0A2F"/>
    <w:rsid w:val="00BB1312"/>
    <w:rsid w:val="00BB14BF"/>
    <w:rsid w:val="00BB2EE7"/>
    <w:rsid w:val="00BB3406"/>
    <w:rsid w:val="00BB4473"/>
    <w:rsid w:val="00BB50E9"/>
    <w:rsid w:val="00BB5134"/>
    <w:rsid w:val="00BB53E4"/>
    <w:rsid w:val="00BB54F9"/>
    <w:rsid w:val="00BB5748"/>
    <w:rsid w:val="00BB5A4A"/>
    <w:rsid w:val="00BB6050"/>
    <w:rsid w:val="00BB6CB6"/>
    <w:rsid w:val="00BB7689"/>
    <w:rsid w:val="00BC0EA1"/>
    <w:rsid w:val="00BC0F78"/>
    <w:rsid w:val="00BC22AC"/>
    <w:rsid w:val="00BC308F"/>
    <w:rsid w:val="00BC43F5"/>
    <w:rsid w:val="00BC4AE5"/>
    <w:rsid w:val="00BC5AF3"/>
    <w:rsid w:val="00BC5CB8"/>
    <w:rsid w:val="00BC5D41"/>
    <w:rsid w:val="00BC638B"/>
    <w:rsid w:val="00BC66CC"/>
    <w:rsid w:val="00BC676D"/>
    <w:rsid w:val="00BC7501"/>
    <w:rsid w:val="00BD0081"/>
    <w:rsid w:val="00BD093B"/>
    <w:rsid w:val="00BD0F16"/>
    <w:rsid w:val="00BD1F95"/>
    <w:rsid w:val="00BD20AA"/>
    <w:rsid w:val="00BD21CA"/>
    <w:rsid w:val="00BD4D98"/>
    <w:rsid w:val="00BD506B"/>
    <w:rsid w:val="00BD557B"/>
    <w:rsid w:val="00BD5B7A"/>
    <w:rsid w:val="00BD65C1"/>
    <w:rsid w:val="00BD68B0"/>
    <w:rsid w:val="00BD6E21"/>
    <w:rsid w:val="00BD7600"/>
    <w:rsid w:val="00BD7808"/>
    <w:rsid w:val="00BD7D39"/>
    <w:rsid w:val="00BE0A92"/>
    <w:rsid w:val="00BE0FBC"/>
    <w:rsid w:val="00BE13B8"/>
    <w:rsid w:val="00BE1D8A"/>
    <w:rsid w:val="00BE22DC"/>
    <w:rsid w:val="00BE2CD0"/>
    <w:rsid w:val="00BE30FA"/>
    <w:rsid w:val="00BE3B00"/>
    <w:rsid w:val="00BE40A7"/>
    <w:rsid w:val="00BE475B"/>
    <w:rsid w:val="00BE4B3A"/>
    <w:rsid w:val="00BE5E90"/>
    <w:rsid w:val="00BE5F75"/>
    <w:rsid w:val="00BE63A6"/>
    <w:rsid w:val="00BE6C74"/>
    <w:rsid w:val="00BE6DFB"/>
    <w:rsid w:val="00BE7127"/>
    <w:rsid w:val="00BE7825"/>
    <w:rsid w:val="00BE7C1E"/>
    <w:rsid w:val="00BE7C5C"/>
    <w:rsid w:val="00BF05B5"/>
    <w:rsid w:val="00BF1A23"/>
    <w:rsid w:val="00BF1A63"/>
    <w:rsid w:val="00BF1F51"/>
    <w:rsid w:val="00BF2324"/>
    <w:rsid w:val="00BF2F7A"/>
    <w:rsid w:val="00BF337F"/>
    <w:rsid w:val="00BF362B"/>
    <w:rsid w:val="00BF3E57"/>
    <w:rsid w:val="00BF4011"/>
    <w:rsid w:val="00BF4714"/>
    <w:rsid w:val="00BF63BC"/>
    <w:rsid w:val="00BF6886"/>
    <w:rsid w:val="00BF6EAE"/>
    <w:rsid w:val="00BF6FE8"/>
    <w:rsid w:val="00BF7651"/>
    <w:rsid w:val="00BF774B"/>
    <w:rsid w:val="00BF7890"/>
    <w:rsid w:val="00BF7C02"/>
    <w:rsid w:val="00C00FD8"/>
    <w:rsid w:val="00C010E5"/>
    <w:rsid w:val="00C01C8A"/>
    <w:rsid w:val="00C01ED1"/>
    <w:rsid w:val="00C02084"/>
    <w:rsid w:val="00C02283"/>
    <w:rsid w:val="00C02640"/>
    <w:rsid w:val="00C02F9C"/>
    <w:rsid w:val="00C04283"/>
    <w:rsid w:val="00C044A6"/>
    <w:rsid w:val="00C04853"/>
    <w:rsid w:val="00C04DD9"/>
    <w:rsid w:val="00C0542F"/>
    <w:rsid w:val="00C06231"/>
    <w:rsid w:val="00C06498"/>
    <w:rsid w:val="00C06A12"/>
    <w:rsid w:val="00C06B6E"/>
    <w:rsid w:val="00C071A0"/>
    <w:rsid w:val="00C07D3E"/>
    <w:rsid w:val="00C1006F"/>
    <w:rsid w:val="00C10C52"/>
    <w:rsid w:val="00C10D8F"/>
    <w:rsid w:val="00C111AE"/>
    <w:rsid w:val="00C11465"/>
    <w:rsid w:val="00C119C2"/>
    <w:rsid w:val="00C11EFB"/>
    <w:rsid w:val="00C12E12"/>
    <w:rsid w:val="00C15C6E"/>
    <w:rsid w:val="00C16137"/>
    <w:rsid w:val="00C165B0"/>
    <w:rsid w:val="00C168B6"/>
    <w:rsid w:val="00C16B81"/>
    <w:rsid w:val="00C16BB9"/>
    <w:rsid w:val="00C17173"/>
    <w:rsid w:val="00C21289"/>
    <w:rsid w:val="00C218D3"/>
    <w:rsid w:val="00C21A32"/>
    <w:rsid w:val="00C230B9"/>
    <w:rsid w:val="00C23179"/>
    <w:rsid w:val="00C23526"/>
    <w:rsid w:val="00C2358A"/>
    <w:rsid w:val="00C235EA"/>
    <w:rsid w:val="00C23BB5"/>
    <w:rsid w:val="00C23D6B"/>
    <w:rsid w:val="00C251FD"/>
    <w:rsid w:val="00C25DC0"/>
    <w:rsid w:val="00C26694"/>
    <w:rsid w:val="00C270F4"/>
    <w:rsid w:val="00C305DC"/>
    <w:rsid w:val="00C31253"/>
    <w:rsid w:val="00C3163B"/>
    <w:rsid w:val="00C3276A"/>
    <w:rsid w:val="00C332C8"/>
    <w:rsid w:val="00C340DA"/>
    <w:rsid w:val="00C34253"/>
    <w:rsid w:val="00C34679"/>
    <w:rsid w:val="00C3467D"/>
    <w:rsid w:val="00C3484C"/>
    <w:rsid w:val="00C348EF"/>
    <w:rsid w:val="00C34B9A"/>
    <w:rsid w:val="00C352A8"/>
    <w:rsid w:val="00C353F4"/>
    <w:rsid w:val="00C367C7"/>
    <w:rsid w:val="00C40FEE"/>
    <w:rsid w:val="00C4124D"/>
    <w:rsid w:val="00C412F0"/>
    <w:rsid w:val="00C4130C"/>
    <w:rsid w:val="00C4156D"/>
    <w:rsid w:val="00C415B5"/>
    <w:rsid w:val="00C41D7D"/>
    <w:rsid w:val="00C42565"/>
    <w:rsid w:val="00C42802"/>
    <w:rsid w:val="00C43598"/>
    <w:rsid w:val="00C4364C"/>
    <w:rsid w:val="00C43E01"/>
    <w:rsid w:val="00C442AC"/>
    <w:rsid w:val="00C455E0"/>
    <w:rsid w:val="00C462E9"/>
    <w:rsid w:val="00C46804"/>
    <w:rsid w:val="00C46C2D"/>
    <w:rsid w:val="00C51F5D"/>
    <w:rsid w:val="00C52E2E"/>
    <w:rsid w:val="00C535C2"/>
    <w:rsid w:val="00C53840"/>
    <w:rsid w:val="00C53C09"/>
    <w:rsid w:val="00C553A0"/>
    <w:rsid w:val="00C5644F"/>
    <w:rsid w:val="00C56617"/>
    <w:rsid w:val="00C57415"/>
    <w:rsid w:val="00C579AD"/>
    <w:rsid w:val="00C57B63"/>
    <w:rsid w:val="00C6002B"/>
    <w:rsid w:val="00C60BE6"/>
    <w:rsid w:val="00C60ECB"/>
    <w:rsid w:val="00C60EFA"/>
    <w:rsid w:val="00C610EC"/>
    <w:rsid w:val="00C61B28"/>
    <w:rsid w:val="00C61D77"/>
    <w:rsid w:val="00C62B8F"/>
    <w:rsid w:val="00C62BD3"/>
    <w:rsid w:val="00C62C5F"/>
    <w:rsid w:val="00C62DED"/>
    <w:rsid w:val="00C632BD"/>
    <w:rsid w:val="00C64330"/>
    <w:rsid w:val="00C65482"/>
    <w:rsid w:val="00C6594A"/>
    <w:rsid w:val="00C673FF"/>
    <w:rsid w:val="00C67AB6"/>
    <w:rsid w:val="00C67D10"/>
    <w:rsid w:val="00C70B8E"/>
    <w:rsid w:val="00C70F47"/>
    <w:rsid w:val="00C7112A"/>
    <w:rsid w:val="00C720CB"/>
    <w:rsid w:val="00C722A2"/>
    <w:rsid w:val="00C72C4C"/>
    <w:rsid w:val="00C72F00"/>
    <w:rsid w:val="00C72FB1"/>
    <w:rsid w:val="00C7323E"/>
    <w:rsid w:val="00C74596"/>
    <w:rsid w:val="00C74E97"/>
    <w:rsid w:val="00C74F28"/>
    <w:rsid w:val="00C75995"/>
    <w:rsid w:val="00C759DA"/>
    <w:rsid w:val="00C75D73"/>
    <w:rsid w:val="00C7619A"/>
    <w:rsid w:val="00C761E3"/>
    <w:rsid w:val="00C7704D"/>
    <w:rsid w:val="00C7730D"/>
    <w:rsid w:val="00C7798B"/>
    <w:rsid w:val="00C81419"/>
    <w:rsid w:val="00C81869"/>
    <w:rsid w:val="00C81BA7"/>
    <w:rsid w:val="00C81EB0"/>
    <w:rsid w:val="00C81F23"/>
    <w:rsid w:val="00C83BCE"/>
    <w:rsid w:val="00C86DBB"/>
    <w:rsid w:val="00C86F4C"/>
    <w:rsid w:val="00C8749C"/>
    <w:rsid w:val="00C87738"/>
    <w:rsid w:val="00C87A0E"/>
    <w:rsid w:val="00C91475"/>
    <w:rsid w:val="00C91612"/>
    <w:rsid w:val="00C92961"/>
    <w:rsid w:val="00C93DC6"/>
    <w:rsid w:val="00C94CFD"/>
    <w:rsid w:val="00C94DCB"/>
    <w:rsid w:val="00C95436"/>
    <w:rsid w:val="00C95F25"/>
    <w:rsid w:val="00C96D01"/>
    <w:rsid w:val="00C971B0"/>
    <w:rsid w:val="00C9777C"/>
    <w:rsid w:val="00CA042F"/>
    <w:rsid w:val="00CA0E8F"/>
    <w:rsid w:val="00CA208A"/>
    <w:rsid w:val="00CA2A19"/>
    <w:rsid w:val="00CA2BF6"/>
    <w:rsid w:val="00CA3DB2"/>
    <w:rsid w:val="00CA52D6"/>
    <w:rsid w:val="00CA579A"/>
    <w:rsid w:val="00CA5D86"/>
    <w:rsid w:val="00CA6CE8"/>
    <w:rsid w:val="00CA707A"/>
    <w:rsid w:val="00CA7B5A"/>
    <w:rsid w:val="00CA7C23"/>
    <w:rsid w:val="00CA7F58"/>
    <w:rsid w:val="00CB01CE"/>
    <w:rsid w:val="00CB113F"/>
    <w:rsid w:val="00CB17E1"/>
    <w:rsid w:val="00CB1E25"/>
    <w:rsid w:val="00CB2043"/>
    <w:rsid w:val="00CB26A9"/>
    <w:rsid w:val="00CB2DC1"/>
    <w:rsid w:val="00CB3131"/>
    <w:rsid w:val="00CB3F6A"/>
    <w:rsid w:val="00CB49C5"/>
    <w:rsid w:val="00CB6128"/>
    <w:rsid w:val="00CB6568"/>
    <w:rsid w:val="00CB6E32"/>
    <w:rsid w:val="00CB7362"/>
    <w:rsid w:val="00CB7AB1"/>
    <w:rsid w:val="00CC0328"/>
    <w:rsid w:val="00CC04B0"/>
    <w:rsid w:val="00CC20FD"/>
    <w:rsid w:val="00CC277C"/>
    <w:rsid w:val="00CC3E9B"/>
    <w:rsid w:val="00CC40AF"/>
    <w:rsid w:val="00CC43ED"/>
    <w:rsid w:val="00CC4525"/>
    <w:rsid w:val="00CC4589"/>
    <w:rsid w:val="00CC5345"/>
    <w:rsid w:val="00CC5DDD"/>
    <w:rsid w:val="00CC658B"/>
    <w:rsid w:val="00CC6D28"/>
    <w:rsid w:val="00CD0DFA"/>
    <w:rsid w:val="00CD1B8D"/>
    <w:rsid w:val="00CD1E38"/>
    <w:rsid w:val="00CD234D"/>
    <w:rsid w:val="00CD267C"/>
    <w:rsid w:val="00CD268F"/>
    <w:rsid w:val="00CD2D09"/>
    <w:rsid w:val="00CD2D61"/>
    <w:rsid w:val="00CD40EE"/>
    <w:rsid w:val="00CD46B7"/>
    <w:rsid w:val="00CD4FC1"/>
    <w:rsid w:val="00CD5770"/>
    <w:rsid w:val="00CD7D05"/>
    <w:rsid w:val="00CD7E8C"/>
    <w:rsid w:val="00CE0CFE"/>
    <w:rsid w:val="00CE0DB6"/>
    <w:rsid w:val="00CE0F78"/>
    <w:rsid w:val="00CE10D4"/>
    <w:rsid w:val="00CE21F9"/>
    <w:rsid w:val="00CE2416"/>
    <w:rsid w:val="00CE353D"/>
    <w:rsid w:val="00CE39B3"/>
    <w:rsid w:val="00CE3CB7"/>
    <w:rsid w:val="00CE441D"/>
    <w:rsid w:val="00CE4D54"/>
    <w:rsid w:val="00CE66DD"/>
    <w:rsid w:val="00CE6F26"/>
    <w:rsid w:val="00CF05B9"/>
    <w:rsid w:val="00CF1088"/>
    <w:rsid w:val="00CF13CB"/>
    <w:rsid w:val="00CF1CE1"/>
    <w:rsid w:val="00CF33A8"/>
    <w:rsid w:val="00CF3DA3"/>
    <w:rsid w:val="00CF419C"/>
    <w:rsid w:val="00CF58B3"/>
    <w:rsid w:val="00CF5AC8"/>
    <w:rsid w:val="00CF69EB"/>
    <w:rsid w:val="00CF6D5B"/>
    <w:rsid w:val="00CF6E17"/>
    <w:rsid w:val="00CF7062"/>
    <w:rsid w:val="00CF7541"/>
    <w:rsid w:val="00D007DB"/>
    <w:rsid w:val="00D00922"/>
    <w:rsid w:val="00D00C44"/>
    <w:rsid w:val="00D00DEA"/>
    <w:rsid w:val="00D013C5"/>
    <w:rsid w:val="00D018F3"/>
    <w:rsid w:val="00D019AB"/>
    <w:rsid w:val="00D01C2C"/>
    <w:rsid w:val="00D02C10"/>
    <w:rsid w:val="00D02D0C"/>
    <w:rsid w:val="00D03495"/>
    <w:rsid w:val="00D0354F"/>
    <w:rsid w:val="00D038C3"/>
    <w:rsid w:val="00D0520C"/>
    <w:rsid w:val="00D07076"/>
    <w:rsid w:val="00D0743C"/>
    <w:rsid w:val="00D0750D"/>
    <w:rsid w:val="00D07E4A"/>
    <w:rsid w:val="00D110F7"/>
    <w:rsid w:val="00D11305"/>
    <w:rsid w:val="00D13271"/>
    <w:rsid w:val="00D13B1B"/>
    <w:rsid w:val="00D1416B"/>
    <w:rsid w:val="00D14EF3"/>
    <w:rsid w:val="00D150BA"/>
    <w:rsid w:val="00D152E1"/>
    <w:rsid w:val="00D15CB2"/>
    <w:rsid w:val="00D16934"/>
    <w:rsid w:val="00D16D0A"/>
    <w:rsid w:val="00D16D25"/>
    <w:rsid w:val="00D16D2F"/>
    <w:rsid w:val="00D210DE"/>
    <w:rsid w:val="00D212AB"/>
    <w:rsid w:val="00D21438"/>
    <w:rsid w:val="00D22C05"/>
    <w:rsid w:val="00D2386E"/>
    <w:rsid w:val="00D25273"/>
    <w:rsid w:val="00D25DD7"/>
    <w:rsid w:val="00D2611A"/>
    <w:rsid w:val="00D26359"/>
    <w:rsid w:val="00D26627"/>
    <w:rsid w:val="00D269DD"/>
    <w:rsid w:val="00D272D4"/>
    <w:rsid w:val="00D2792B"/>
    <w:rsid w:val="00D27EB3"/>
    <w:rsid w:val="00D300E3"/>
    <w:rsid w:val="00D307DB"/>
    <w:rsid w:val="00D31A87"/>
    <w:rsid w:val="00D31CA6"/>
    <w:rsid w:val="00D3264F"/>
    <w:rsid w:val="00D32939"/>
    <w:rsid w:val="00D32D0D"/>
    <w:rsid w:val="00D33CF5"/>
    <w:rsid w:val="00D3404E"/>
    <w:rsid w:val="00D3472E"/>
    <w:rsid w:val="00D34752"/>
    <w:rsid w:val="00D35136"/>
    <w:rsid w:val="00D35AED"/>
    <w:rsid w:val="00D35CB9"/>
    <w:rsid w:val="00D36145"/>
    <w:rsid w:val="00D37086"/>
    <w:rsid w:val="00D3789B"/>
    <w:rsid w:val="00D379BE"/>
    <w:rsid w:val="00D37B15"/>
    <w:rsid w:val="00D37E97"/>
    <w:rsid w:val="00D40226"/>
    <w:rsid w:val="00D4102B"/>
    <w:rsid w:val="00D411AF"/>
    <w:rsid w:val="00D41E66"/>
    <w:rsid w:val="00D420EE"/>
    <w:rsid w:val="00D42190"/>
    <w:rsid w:val="00D43311"/>
    <w:rsid w:val="00D43B2F"/>
    <w:rsid w:val="00D4459D"/>
    <w:rsid w:val="00D44601"/>
    <w:rsid w:val="00D44B02"/>
    <w:rsid w:val="00D44CF8"/>
    <w:rsid w:val="00D452AF"/>
    <w:rsid w:val="00D4767D"/>
    <w:rsid w:val="00D478C5"/>
    <w:rsid w:val="00D47907"/>
    <w:rsid w:val="00D47C79"/>
    <w:rsid w:val="00D50263"/>
    <w:rsid w:val="00D503E2"/>
    <w:rsid w:val="00D5107B"/>
    <w:rsid w:val="00D5143B"/>
    <w:rsid w:val="00D514FE"/>
    <w:rsid w:val="00D52DBE"/>
    <w:rsid w:val="00D535EE"/>
    <w:rsid w:val="00D53713"/>
    <w:rsid w:val="00D53DFB"/>
    <w:rsid w:val="00D54700"/>
    <w:rsid w:val="00D547E9"/>
    <w:rsid w:val="00D55498"/>
    <w:rsid w:val="00D554E3"/>
    <w:rsid w:val="00D55839"/>
    <w:rsid w:val="00D55A84"/>
    <w:rsid w:val="00D55FA5"/>
    <w:rsid w:val="00D56B95"/>
    <w:rsid w:val="00D56CE5"/>
    <w:rsid w:val="00D5716C"/>
    <w:rsid w:val="00D57C91"/>
    <w:rsid w:val="00D60343"/>
    <w:rsid w:val="00D603CC"/>
    <w:rsid w:val="00D62997"/>
    <w:rsid w:val="00D629EA"/>
    <w:rsid w:val="00D62F52"/>
    <w:rsid w:val="00D64105"/>
    <w:rsid w:val="00D64A60"/>
    <w:rsid w:val="00D64ABE"/>
    <w:rsid w:val="00D64FD6"/>
    <w:rsid w:val="00D650F0"/>
    <w:rsid w:val="00D65B5F"/>
    <w:rsid w:val="00D66EBF"/>
    <w:rsid w:val="00D70871"/>
    <w:rsid w:val="00D70B06"/>
    <w:rsid w:val="00D71D96"/>
    <w:rsid w:val="00D71FFA"/>
    <w:rsid w:val="00D724B8"/>
    <w:rsid w:val="00D728D4"/>
    <w:rsid w:val="00D73032"/>
    <w:rsid w:val="00D7362F"/>
    <w:rsid w:val="00D73667"/>
    <w:rsid w:val="00D739D1"/>
    <w:rsid w:val="00D7470C"/>
    <w:rsid w:val="00D74BAB"/>
    <w:rsid w:val="00D7511F"/>
    <w:rsid w:val="00D753CE"/>
    <w:rsid w:val="00D759FD"/>
    <w:rsid w:val="00D75DCF"/>
    <w:rsid w:val="00D762D9"/>
    <w:rsid w:val="00D7636A"/>
    <w:rsid w:val="00D766FB"/>
    <w:rsid w:val="00D77CBA"/>
    <w:rsid w:val="00D809F3"/>
    <w:rsid w:val="00D8193D"/>
    <w:rsid w:val="00D82215"/>
    <w:rsid w:val="00D836B4"/>
    <w:rsid w:val="00D83AF3"/>
    <w:rsid w:val="00D83F40"/>
    <w:rsid w:val="00D85104"/>
    <w:rsid w:val="00D85D1A"/>
    <w:rsid w:val="00D8701F"/>
    <w:rsid w:val="00D879BA"/>
    <w:rsid w:val="00D87E87"/>
    <w:rsid w:val="00D903C6"/>
    <w:rsid w:val="00D90A8F"/>
    <w:rsid w:val="00D9171B"/>
    <w:rsid w:val="00D91848"/>
    <w:rsid w:val="00D94815"/>
    <w:rsid w:val="00D95054"/>
    <w:rsid w:val="00D95295"/>
    <w:rsid w:val="00D95AA2"/>
    <w:rsid w:val="00D95DD7"/>
    <w:rsid w:val="00D97D04"/>
    <w:rsid w:val="00DA0147"/>
    <w:rsid w:val="00DA09D1"/>
    <w:rsid w:val="00DA11FD"/>
    <w:rsid w:val="00DA1CDA"/>
    <w:rsid w:val="00DA25B8"/>
    <w:rsid w:val="00DA2C65"/>
    <w:rsid w:val="00DA3AB5"/>
    <w:rsid w:val="00DA3CDB"/>
    <w:rsid w:val="00DA4809"/>
    <w:rsid w:val="00DA4AFC"/>
    <w:rsid w:val="00DA4B2C"/>
    <w:rsid w:val="00DA530C"/>
    <w:rsid w:val="00DA6C8C"/>
    <w:rsid w:val="00DA7B15"/>
    <w:rsid w:val="00DB00E2"/>
    <w:rsid w:val="00DB062F"/>
    <w:rsid w:val="00DB0A88"/>
    <w:rsid w:val="00DB17E0"/>
    <w:rsid w:val="00DB1AE3"/>
    <w:rsid w:val="00DB1C89"/>
    <w:rsid w:val="00DB2205"/>
    <w:rsid w:val="00DB2CA9"/>
    <w:rsid w:val="00DB2F65"/>
    <w:rsid w:val="00DB396A"/>
    <w:rsid w:val="00DB5757"/>
    <w:rsid w:val="00DB627C"/>
    <w:rsid w:val="00DB6632"/>
    <w:rsid w:val="00DB67D3"/>
    <w:rsid w:val="00DB6D23"/>
    <w:rsid w:val="00DB6DE7"/>
    <w:rsid w:val="00DC0CF5"/>
    <w:rsid w:val="00DC10B7"/>
    <w:rsid w:val="00DC1F96"/>
    <w:rsid w:val="00DC21B3"/>
    <w:rsid w:val="00DC2448"/>
    <w:rsid w:val="00DC2997"/>
    <w:rsid w:val="00DC2B20"/>
    <w:rsid w:val="00DC2C66"/>
    <w:rsid w:val="00DC2ED5"/>
    <w:rsid w:val="00DC3893"/>
    <w:rsid w:val="00DC3A76"/>
    <w:rsid w:val="00DC64F9"/>
    <w:rsid w:val="00DC7881"/>
    <w:rsid w:val="00DD079B"/>
    <w:rsid w:val="00DD086F"/>
    <w:rsid w:val="00DD113A"/>
    <w:rsid w:val="00DD1E57"/>
    <w:rsid w:val="00DD1FC5"/>
    <w:rsid w:val="00DD24E9"/>
    <w:rsid w:val="00DD2D58"/>
    <w:rsid w:val="00DD3084"/>
    <w:rsid w:val="00DD4121"/>
    <w:rsid w:val="00DD48DC"/>
    <w:rsid w:val="00DD4BB5"/>
    <w:rsid w:val="00DD4DAF"/>
    <w:rsid w:val="00DD512B"/>
    <w:rsid w:val="00DD5358"/>
    <w:rsid w:val="00DD5372"/>
    <w:rsid w:val="00DD5489"/>
    <w:rsid w:val="00DD54E3"/>
    <w:rsid w:val="00DD78D5"/>
    <w:rsid w:val="00DE0049"/>
    <w:rsid w:val="00DE025E"/>
    <w:rsid w:val="00DE060E"/>
    <w:rsid w:val="00DE09B0"/>
    <w:rsid w:val="00DE1ADB"/>
    <w:rsid w:val="00DE250F"/>
    <w:rsid w:val="00DE2F7B"/>
    <w:rsid w:val="00DE379A"/>
    <w:rsid w:val="00DE42DE"/>
    <w:rsid w:val="00DE49A2"/>
    <w:rsid w:val="00DE5335"/>
    <w:rsid w:val="00DE555E"/>
    <w:rsid w:val="00DE5CB8"/>
    <w:rsid w:val="00DE5E70"/>
    <w:rsid w:val="00DE6097"/>
    <w:rsid w:val="00DE6714"/>
    <w:rsid w:val="00DE6A69"/>
    <w:rsid w:val="00DE6CC0"/>
    <w:rsid w:val="00DF046F"/>
    <w:rsid w:val="00DF0811"/>
    <w:rsid w:val="00DF142A"/>
    <w:rsid w:val="00DF19EC"/>
    <w:rsid w:val="00DF259A"/>
    <w:rsid w:val="00DF340C"/>
    <w:rsid w:val="00DF4F98"/>
    <w:rsid w:val="00DF5320"/>
    <w:rsid w:val="00DF5D4E"/>
    <w:rsid w:val="00DF6E2E"/>
    <w:rsid w:val="00DF6FF7"/>
    <w:rsid w:val="00E007FC"/>
    <w:rsid w:val="00E00B00"/>
    <w:rsid w:val="00E00D25"/>
    <w:rsid w:val="00E01027"/>
    <w:rsid w:val="00E01E7B"/>
    <w:rsid w:val="00E01F50"/>
    <w:rsid w:val="00E023B4"/>
    <w:rsid w:val="00E028FA"/>
    <w:rsid w:val="00E02AE4"/>
    <w:rsid w:val="00E02C7D"/>
    <w:rsid w:val="00E02D74"/>
    <w:rsid w:val="00E039A8"/>
    <w:rsid w:val="00E03BBC"/>
    <w:rsid w:val="00E04741"/>
    <w:rsid w:val="00E04CFF"/>
    <w:rsid w:val="00E04F3D"/>
    <w:rsid w:val="00E05333"/>
    <w:rsid w:val="00E05EAC"/>
    <w:rsid w:val="00E06C09"/>
    <w:rsid w:val="00E10021"/>
    <w:rsid w:val="00E10106"/>
    <w:rsid w:val="00E108A0"/>
    <w:rsid w:val="00E10B61"/>
    <w:rsid w:val="00E112B9"/>
    <w:rsid w:val="00E117B4"/>
    <w:rsid w:val="00E1335A"/>
    <w:rsid w:val="00E137E3"/>
    <w:rsid w:val="00E13DB0"/>
    <w:rsid w:val="00E14279"/>
    <w:rsid w:val="00E148C2"/>
    <w:rsid w:val="00E14955"/>
    <w:rsid w:val="00E1608D"/>
    <w:rsid w:val="00E161A3"/>
    <w:rsid w:val="00E161E9"/>
    <w:rsid w:val="00E161F2"/>
    <w:rsid w:val="00E1644E"/>
    <w:rsid w:val="00E1653B"/>
    <w:rsid w:val="00E16CDC"/>
    <w:rsid w:val="00E16D17"/>
    <w:rsid w:val="00E16DA0"/>
    <w:rsid w:val="00E1781D"/>
    <w:rsid w:val="00E17FDB"/>
    <w:rsid w:val="00E201DE"/>
    <w:rsid w:val="00E20746"/>
    <w:rsid w:val="00E207CA"/>
    <w:rsid w:val="00E2097D"/>
    <w:rsid w:val="00E20E65"/>
    <w:rsid w:val="00E22A7F"/>
    <w:rsid w:val="00E233F1"/>
    <w:rsid w:val="00E23880"/>
    <w:rsid w:val="00E238F6"/>
    <w:rsid w:val="00E239CD"/>
    <w:rsid w:val="00E23BE0"/>
    <w:rsid w:val="00E2478E"/>
    <w:rsid w:val="00E24860"/>
    <w:rsid w:val="00E24BFE"/>
    <w:rsid w:val="00E252FE"/>
    <w:rsid w:val="00E25427"/>
    <w:rsid w:val="00E25B2B"/>
    <w:rsid w:val="00E26149"/>
    <w:rsid w:val="00E2663F"/>
    <w:rsid w:val="00E2672E"/>
    <w:rsid w:val="00E26F38"/>
    <w:rsid w:val="00E274F5"/>
    <w:rsid w:val="00E27B5D"/>
    <w:rsid w:val="00E27F36"/>
    <w:rsid w:val="00E317BD"/>
    <w:rsid w:val="00E3221B"/>
    <w:rsid w:val="00E32935"/>
    <w:rsid w:val="00E3295C"/>
    <w:rsid w:val="00E329D7"/>
    <w:rsid w:val="00E32B3A"/>
    <w:rsid w:val="00E335D4"/>
    <w:rsid w:val="00E33FB0"/>
    <w:rsid w:val="00E355D9"/>
    <w:rsid w:val="00E35A81"/>
    <w:rsid w:val="00E3664C"/>
    <w:rsid w:val="00E36862"/>
    <w:rsid w:val="00E37CF6"/>
    <w:rsid w:val="00E407A7"/>
    <w:rsid w:val="00E40D1C"/>
    <w:rsid w:val="00E40E17"/>
    <w:rsid w:val="00E4111B"/>
    <w:rsid w:val="00E41D0A"/>
    <w:rsid w:val="00E42E65"/>
    <w:rsid w:val="00E42FC4"/>
    <w:rsid w:val="00E434B4"/>
    <w:rsid w:val="00E43E4A"/>
    <w:rsid w:val="00E4508F"/>
    <w:rsid w:val="00E450F6"/>
    <w:rsid w:val="00E45300"/>
    <w:rsid w:val="00E4546D"/>
    <w:rsid w:val="00E4620C"/>
    <w:rsid w:val="00E4728D"/>
    <w:rsid w:val="00E47642"/>
    <w:rsid w:val="00E5001B"/>
    <w:rsid w:val="00E50049"/>
    <w:rsid w:val="00E50A93"/>
    <w:rsid w:val="00E50C51"/>
    <w:rsid w:val="00E5155E"/>
    <w:rsid w:val="00E5282F"/>
    <w:rsid w:val="00E52A3A"/>
    <w:rsid w:val="00E52A7D"/>
    <w:rsid w:val="00E5355A"/>
    <w:rsid w:val="00E539DF"/>
    <w:rsid w:val="00E541B1"/>
    <w:rsid w:val="00E54C59"/>
    <w:rsid w:val="00E55353"/>
    <w:rsid w:val="00E55DBC"/>
    <w:rsid w:val="00E5628C"/>
    <w:rsid w:val="00E56360"/>
    <w:rsid w:val="00E56391"/>
    <w:rsid w:val="00E6041E"/>
    <w:rsid w:val="00E60C7B"/>
    <w:rsid w:val="00E61F94"/>
    <w:rsid w:val="00E622F0"/>
    <w:rsid w:val="00E62816"/>
    <w:rsid w:val="00E62B8F"/>
    <w:rsid w:val="00E63100"/>
    <w:rsid w:val="00E632C0"/>
    <w:rsid w:val="00E636F8"/>
    <w:rsid w:val="00E63E6E"/>
    <w:rsid w:val="00E64476"/>
    <w:rsid w:val="00E65882"/>
    <w:rsid w:val="00E65DBD"/>
    <w:rsid w:val="00E668FB"/>
    <w:rsid w:val="00E66AC4"/>
    <w:rsid w:val="00E66F02"/>
    <w:rsid w:val="00E67177"/>
    <w:rsid w:val="00E6760A"/>
    <w:rsid w:val="00E70708"/>
    <w:rsid w:val="00E71684"/>
    <w:rsid w:val="00E71D8F"/>
    <w:rsid w:val="00E71FD5"/>
    <w:rsid w:val="00E72BFE"/>
    <w:rsid w:val="00E72F35"/>
    <w:rsid w:val="00E7339C"/>
    <w:rsid w:val="00E734A9"/>
    <w:rsid w:val="00E735CB"/>
    <w:rsid w:val="00E73FC0"/>
    <w:rsid w:val="00E743AA"/>
    <w:rsid w:val="00E747A5"/>
    <w:rsid w:val="00E74B5A"/>
    <w:rsid w:val="00E757E9"/>
    <w:rsid w:val="00E75EBB"/>
    <w:rsid w:val="00E75F49"/>
    <w:rsid w:val="00E76E8C"/>
    <w:rsid w:val="00E77659"/>
    <w:rsid w:val="00E808AA"/>
    <w:rsid w:val="00E82646"/>
    <w:rsid w:val="00E8275F"/>
    <w:rsid w:val="00E83FD1"/>
    <w:rsid w:val="00E8468D"/>
    <w:rsid w:val="00E84910"/>
    <w:rsid w:val="00E84FF6"/>
    <w:rsid w:val="00E85448"/>
    <w:rsid w:val="00E8596D"/>
    <w:rsid w:val="00E86961"/>
    <w:rsid w:val="00E87124"/>
    <w:rsid w:val="00E876AA"/>
    <w:rsid w:val="00E8787C"/>
    <w:rsid w:val="00E87996"/>
    <w:rsid w:val="00E9201D"/>
    <w:rsid w:val="00E920AE"/>
    <w:rsid w:val="00E92855"/>
    <w:rsid w:val="00E92CDC"/>
    <w:rsid w:val="00E92DDE"/>
    <w:rsid w:val="00E93690"/>
    <w:rsid w:val="00E937F3"/>
    <w:rsid w:val="00E93F50"/>
    <w:rsid w:val="00E95135"/>
    <w:rsid w:val="00E952AC"/>
    <w:rsid w:val="00E97131"/>
    <w:rsid w:val="00E979D3"/>
    <w:rsid w:val="00EA0F8D"/>
    <w:rsid w:val="00EA1055"/>
    <w:rsid w:val="00EA1191"/>
    <w:rsid w:val="00EA1711"/>
    <w:rsid w:val="00EA1A7C"/>
    <w:rsid w:val="00EA2276"/>
    <w:rsid w:val="00EA2542"/>
    <w:rsid w:val="00EA3C07"/>
    <w:rsid w:val="00EA5514"/>
    <w:rsid w:val="00EB05A8"/>
    <w:rsid w:val="00EB18B9"/>
    <w:rsid w:val="00EB2929"/>
    <w:rsid w:val="00EB396F"/>
    <w:rsid w:val="00EB42CA"/>
    <w:rsid w:val="00EB44FC"/>
    <w:rsid w:val="00EB4CE7"/>
    <w:rsid w:val="00EB7B69"/>
    <w:rsid w:val="00EC05BA"/>
    <w:rsid w:val="00EC0D78"/>
    <w:rsid w:val="00EC14AF"/>
    <w:rsid w:val="00EC2E85"/>
    <w:rsid w:val="00EC35AD"/>
    <w:rsid w:val="00EC5AD2"/>
    <w:rsid w:val="00EC67FD"/>
    <w:rsid w:val="00EC6A05"/>
    <w:rsid w:val="00EC6F8F"/>
    <w:rsid w:val="00ED0595"/>
    <w:rsid w:val="00ED06A0"/>
    <w:rsid w:val="00ED06FF"/>
    <w:rsid w:val="00ED078E"/>
    <w:rsid w:val="00ED0FC5"/>
    <w:rsid w:val="00ED15C0"/>
    <w:rsid w:val="00ED26DD"/>
    <w:rsid w:val="00ED27BC"/>
    <w:rsid w:val="00ED2F81"/>
    <w:rsid w:val="00ED4978"/>
    <w:rsid w:val="00ED4BAA"/>
    <w:rsid w:val="00ED4D6A"/>
    <w:rsid w:val="00ED5882"/>
    <w:rsid w:val="00ED5E3B"/>
    <w:rsid w:val="00ED6F5A"/>
    <w:rsid w:val="00ED7608"/>
    <w:rsid w:val="00ED7FD5"/>
    <w:rsid w:val="00ED7FE8"/>
    <w:rsid w:val="00EE053F"/>
    <w:rsid w:val="00EE0745"/>
    <w:rsid w:val="00EE087A"/>
    <w:rsid w:val="00EE174A"/>
    <w:rsid w:val="00EE184F"/>
    <w:rsid w:val="00EE3092"/>
    <w:rsid w:val="00EE36BF"/>
    <w:rsid w:val="00EE4817"/>
    <w:rsid w:val="00EE4A38"/>
    <w:rsid w:val="00EE4B91"/>
    <w:rsid w:val="00EE5882"/>
    <w:rsid w:val="00EE58F0"/>
    <w:rsid w:val="00EE6223"/>
    <w:rsid w:val="00EF090C"/>
    <w:rsid w:val="00EF0D2B"/>
    <w:rsid w:val="00EF105D"/>
    <w:rsid w:val="00EF1A2B"/>
    <w:rsid w:val="00EF2653"/>
    <w:rsid w:val="00EF27C7"/>
    <w:rsid w:val="00EF2847"/>
    <w:rsid w:val="00EF2993"/>
    <w:rsid w:val="00EF3F2E"/>
    <w:rsid w:val="00EF4380"/>
    <w:rsid w:val="00EF4D75"/>
    <w:rsid w:val="00EF5516"/>
    <w:rsid w:val="00EF629B"/>
    <w:rsid w:val="00EF68EF"/>
    <w:rsid w:val="00F003E7"/>
    <w:rsid w:val="00F00712"/>
    <w:rsid w:val="00F01E92"/>
    <w:rsid w:val="00F02799"/>
    <w:rsid w:val="00F039CC"/>
    <w:rsid w:val="00F040D0"/>
    <w:rsid w:val="00F04D56"/>
    <w:rsid w:val="00F05108"/>
    <w:rsid w:val="00F0517E"/>
    <w:rsid w:val="00F053BD"/>
    <w:rsid w:val="00F058E3"/>
    <w:rsid w:val="00F05E50"/>
    <w:rsid w:val="00F06083"/>
    <w:rsid w:val="00F06107"/>
    <w:rsid w:val="00F06263"/>
    <w:rsid w:val="00F063CB"/>
    <w:rsid w:val="00F06BFF"/>
    <w:rsid w:val="00F11510"/>
    <w:rsid w:val="00F119CC"/>
    <w:rsid w:val="00F13628"/>
    <w:rsid w:val="00F13CC6"/>
    <w:rsid w:val="00F15645"/>
    <w:rsid w:val="00F15C4D"/>
    <w:rsid w:val="00F16762"/>
    <w:rsid w:val="00F1755D"/>
    <w:rsid w:val="00F20627"/>
    <w:rsid w:val="00F21A90"/>
    <w:rsid w:val="00F21AEB"/>
    <w:rsid w:val="00F21D0E"/>
    <w:rsid w:val="00F2249F"/>
    <w:rsid w:val="00F226F3"/>
    <w:rsid w:val="00F22B27"/>
    <w:rsid w:val="00F23FAB"/>
    <w:rsid w:val="00F242B6"/>
    <w:rsid w:val="00F2491C"/>
    <w:rsid w:val="00F251DB"/>
    <w:rsid w:val="00F2536D"/>
    <w:rsid w:val="00F2545E"/>
    <w:rsid w:val="00F255C6"/>
    <w:rsid w:val="00F25F21"/>
    <w:rsid w:val="00F25FC0"/>
    <w:rsid w:val="00F27453"/>
    <w:rsid w:val="00F27A3D"/>
    <w:rsid w:val="00F27B3B"/>
    <w:rsid w:val="00F27D28"/>
    <w:rsid w:val="00F30D8C"/>
    <w:rsid w:val="00F311C3"/>
    <w:rsid w:val="00F317F9"/>
    <w:rsid w:val="00F31839"/>
    <w:rsid w:val="00F3189F"/>
    <w:rsid w:val="00F31CE4"/>
    <w:rsid w:val="00F3251D"/>
    <w:rsid w:val="00F327F3"/>
    <w:rsid w:val="00F32898"/>
    <w:rsid w:val="00F33564"/>
    <w:rsid w:val="00F34E4D"/>
    <w:rsid w:val="00F36627"/>
    <w:rsid w:val="00F3718F"/>
    <w:rsid w:val="00F37A6C"/>
    <w:rsid w:val="00F40380"/>
    <w:rsid w:val="00F414B8"/>
    <w:rsid w:val="00F417BF"/>
    <w:rsid w:val="00F41DDA"/>
    <w:rsid w:val="00F42A90"/>
    <w:rsid w:val="00F42F05"/>
    <w:rsid w:val="00F4383C"/>
    <w:rsid w:val="00F44429"/>
    <w:rsid w:val="00F44D66"/>
    <w:rsid w:val="00F45127"/>
    <w:rsid w:val="00F45969"/>
    <w:rsid w:val="00F45BE1"/>
    <w:rsid w:val="00F478A7"/>
    <w:rsid w:val="00F47922"/>
    <w:rsid w:val="00F501E1"/>
    <w:rsid w:val="00F5138A"/>
    <w:rsid w:val="00F5195B"/>
    <w:rsid w:val="00F51A55"/>
    <w:rsid w:val="00F52589"/>
    <w:rsid w:val="00F52E02"/>
    <w:rsid w:val="00F53CB1"/>
    <w:rsid w:val="00F53D4C"/>
    <w:rsid w:val="00F54E1A"/>
    <w:rsid w:val="00F54EE7"/>
    <w:rsid w:val="00F5555D"/>
    <w:rsid w:val="00F55E4E"/>
    <w:rsid w:val="00F56377"/>
    <w:rsid w:val="00F6027D"/>
    <w:rsid w:val="00F60D44"/>
    <w:rsid w:val="00F610BB"/>
    <w:rsid w:val="00F61864"/>
    <w:rsid w:val="00F61A9D"/>
    <w:rsid w:val="00F61ACF"/>
    <w:rsid w:val="00F61B0E"/>
    <w:rsid w:val="00F61EDC"/>
    <w:rsid w:val="00F6287B"/>
    <w:rsid w:val="00F62C3A"/>
    <w:rsid w:val="00F62E1F"/>
    <w:rsid w:val="00F63374"/>
    <w:rsid w:val="00F63B75"/>
    <w:rsid w:val="00F6451D"/>
    <w:rsid w:val="00F647E0"/>
    <w:rsid w:val="00F65737"/>
    <w:rsid w:val="00F66224"/>
    <w:rsid w:val="00F6779C"/>
    <w:rsid w:val="00F706D3"/>
    <w:rsid w:val="00F70718"/>
    <w:rsid w:val="00F7107D"/>
    <w:rsid w:val="00F712A3"/>
    <w:rsid w:val="00F72E69"/>
    <w:rsid w:val="00F731CC"/>
    <w:rsid w:val="00F7378E"/>
    <w:rsid w:val="00F76BBB"/>
    <w:rsid w:val="00F76E6F"/>
    <w:rsid w:val="00F76EA7"/>
    <w:rsid w:val="00F77637"/>
    <w:rsid w:val="00F77F18"/>
    <w:rsid w:val="00F80006"/>
    <w:rsid w:val="00F80934"/>
    <w:rsid w:val="00F81D36"/>
    <w:rsid w:val="00F81D62"/>
    <w:rsid w:val="00F82971"/>
    <w:rsid w:val="00F83EED"/>
    <w:rsid w:val="00F84B79"/>
    <w:rsid w:val="00F85949"/>
    <w:rsid w:val="00F85C17"/>
    <w:rsid w:val="00F870CF"/>
    <w:rsid w:val="00F8771C"/>
    <w:rsid w:val="00F91028"/>
    <w:rsid w:val="00F91664"/>
    <w:rsid w:val="00F91E64"/>
    <w:rsid w:val="00F92827"/>
    <w:rsid w:val="00F9359A"/>
    <w:rsid w:val="00F93988"/>
    <w:rsid w:val="00F93B66"/>
    <w:rsid w:val="00F93BBE"/>
    <w:rsid w:val="00F9436E"/>
    <w:rsid w:val="00F94995"/>
    <w:rsid w:val="00F949FD"/>
    <w:rsid w:val="00F95D3B"/>
    <w:rsid w:val="00F9704C"/>
    <w:rsid w:val="00F970F2"/>
    <w:rsid w:val="00F97413"/>
    <w:rsid w:val="00F977B6"/>
    <w:rsid w:val="00F97FA3"/>
    <w:rsid w:val="00FA037D"/>
    <w:rsid w:val="00FA04E7"/>
    <w:rsid w:val="00FA092B"/>
    <w:rsid w:val="00FA1238"/>
    <w:rsid w:val="00FA1CC6"/>
    <w:rsid w:val="00FA2AC7"/>
    <w:rsid w:val="00FA2BDE"/>
    <w:rsid w:val="00FA2CCA"/>
    <w:rsid w:val="00FA2D11"/>
    <w:rsid w:val="00FA3397"/>
    <w:rsid w:val="00FA3B32"/>
    <w:rsid w:val="00FA3FF6"/>
    <w:rsid w:val="00FA4E89"/>
    <w:rsid w:val="00FA5A56"/>
    <w:rsid w:val="00FA64AC"/>
    <w:rsid w:val="00FA6F62"/>
    <w:rsid w:val="00FA7136"/>
    <w:rsid w:val="00FB0733"/>
    <w:rsid w:val="00FB073C"/>
    <w:rsid w:val="00FB0B0D"/>
    <w:rsid w:val="00FB0DDE"/>
    <w:rsid w:val="00FB0E11"/>
    <w:rsid w:val="00FB1A78"/>
    <w:rsid w:val="00FB2592"/>
    <w:rsid w:val="00FB2B19"/>
    <w:rsid w:val="00FB319D"/>
    <w:rsid w:val="00FB34E8"/>
    <w:rsid w:val="00FB416D"/>
    <w:rsid w:val="00FB44F8"/>
    <w:rsid w:val="00FB4EA7"/>
    <w:rsid w:val="00FB4EBE"/>
    <w:rsid w:val="00FB541E"/>
    <w:rsid w:val="00FB557D"/>
    <w:rsid w:val="00FB5C47"/>
    <w:rsid w:val="00FB603D"/>
    <w:rsid w:val="00FB63A5"/>
    <w:rsid w:val="00FB7090"/>
    <w:rsid w:val="00FB709A"/>
    <w:rsid w:val="00FB74DB"/>
    <w:rsid w:val="00FB7997"/>
    <w:rsid w:val="00FC0829"/>
    <w:rsid w:val="00FC09EE"/>
    <w:rsid w:val="00FC0B75"/>
    <w:rsid w:val="00FC1183"/>
    <w:rsid w:val="00FC1CCC"/>
    <w:rsid w:val="00FC22D1"/>
    <w:rsid w:val="00FC2DFB"/>
    <w:rsid w:val="00FC3171"/>
    <w:rsid w:val="00FC39EE"/>
    <w:rsid w:val="00FC461A"/>
    <w:rsid w:val="00FC476B"/>
    <w:rsid w:val="00FC4F54"/>
    <w:rsid w:val="00FC5A50"/>
    <w:rsid w:val="00FC5D4E"/>
    <w:rsid w:val="00FC6523"/>
    <w:rsid w:val="00FC6A96"/>
    <w:rsid w:val="00FC6BFC"/>
    <w:rsid w:val="00FC7242"/>
    <w:rsid w:val="00FC7A55"/>
    <w:rsid w:val="00FD03CF"/>
    <w:rsid w:val="00FD15AF"/>
    <w:rsid w:val="00FD1C9B"/>
    <w:rsid w:val="00FD2EB3"/>
    <w:rsid w:val="00FD37E4"/>
    <w:rsid w:val="00FD3F45"/>
    <w:rsid w:val="00FD417D"/>
    <w:rsid w:val="00FD480A"/>
    <w:rsid w:val="00FD4C8A"/>
    <w:rsid w:val="00FD69A1"/>
    <w:rsid w:val="00FD6FA3"/>
    <w:rsid w:val="00FD7385"/>
    <w:rsid w:val="00FD7616"/>
    <w:rsid w:val="00FD77EF"/>
    <w:rsid w:val="00FD7EBF"/>
    <w:rsid w:val="00FE1AC4"/>
    <w:rsid w:val="00FE1FCA"/>
    <w:rsid w:val="00FE2BBC"/>
    <w:rsid w:val="00FE3920"/>
    <w:rsid w:val="00FE452C"/>
    <w:rsid w:val="00FE49DD"/>
    <w:rsid w:val="00FE4DCC"/>
    <w:rsid w:val="00FE4EF7"/>
    <w:rsid w:val="00FE5858"/>
    <w:rsid w:val="00FE5BB6"/>
    <w:rsid w:val="00FE6202"/>
    <w:rsid w:val="00FE6C62"/>
    <w:rsid w:val="00FF05D7"/>
    <w:rsid w:val="00FF097B"/>
    <w:rsid w:val="00FF1325"/>
    <w:rsid w:val="00FF1D07"/>
    <w:rsid w:val="00FF1E6C"/>
    <w:rsid w:val="00FF1EBB"/>
    <w:rsid w:val="00FF20FF"/>
    <w:rsid w:val="00FF2538"/>
    <w:rsid w:val="00FF277A"/>
    <w:rsid w:val="00FF45DF"/>
    <w:rsid w:val="00FF6B26"/>
    <w:rsid w:val="00FF7BF7"/>
    <w:rsid w:val="00FF7D2B"/>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6D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7868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EAF"/>
    <w:rPr>
      <w:rFonts w:ascii="Lucida Grande" w:hAnsi="Lucida Grande" w:cs="Lucida Grande"/>
      <w:sz w:val="18"/>
      <w:szCs w:val="18"/>
      <w:lang w:val="en-GB"/>
    </w:rPr>
  </w:style>
  <w:style w:type="paragraph" w:styleId="FootnoteText">
    <w:name w:val="footnote text"/>
    <w:basedOn w:val="Normal"/>
    <w:link w:val="FootnoteTextChar"/>
    <w:unhideWhenUsed/>
    <w:qFormat/>
    <w:rsid w:val="00CC43ED"/>
    <w:pPr>
      <w:spacing w:line="360" w:lineRule="auto"/>
      <w:jc w:val="both"/>
    </w:pPr>
    <w:rPr>
      <w:rFonts w:ascii="Times" w:hAnsi="Times"/>
      <w:sz w:val="20"/>
    </w:rPr>
  </w:style>
  <w:style w:type="character" w:customStyle="1" w:styleId="FootnoteTextChar">
    <w:name w:val="Footnote Text Char"/>
    <w:basedOn w:val="DefaultParagraphFont"/>
    <w:link w:val="FootnoteText"/>
    <w:rsid w:val="00CC43ED"/>
    <w:rPr>
      <w:rFonts w:ascii="Times" w:hAnsi="Times"/>
      <w:sz w:val="20"/>
      <w:lang w:val="en-GB"/>
    </w:rPr>
  </w:style>
  <w:style w:type="character" w:styleId="FootnoteReference">
    <w:name w:val="footnote reference"/>
    <w:basedOn w:val="DefaultParagraphFont"/>
    <w:uiPriority w:val="99"/>
    <w:unhideWhenUsed/>
    <w:rsid w:val="0026287C"/>
    <w:rPr>
      <w:vertAlign w:val="superscript"/>
    </w:rPr>
  </w:style>
  <w:style w:type="character" w:styleId="Hyperlink">
    <w:name w:val="Hyperlink"/>
    <w:basedOn w:val="DefaultParagraphFont"/>
    <w:uiPriority w:val="99"/>
    <w:unhideWhenUsed/>
    <w:rsid w:val="00CC43ED"/>
    <w:rPr>
      <w:color w:val="0000FF"/>
      <w:u w:val="single"/>
    </w:rPr>
  </w:style>
  <w:style w:type="character" w:customStyle="1" w:styleId="apple-converted-space">
    <w:name w:val="apple-converted-space"/>
    <w:basedOn w:val="DefaultParagraphFont"/>
    <w:rsid w:val="00CC43ED"/>
  </w:style>
  <w:style w:type="character" w:styleId="Strong">
    <w:name w:val="Strong"/>
    <w:basedOn w:val="DefaultParagraphFont"/>
    <w:uiPriority w:val="22"/>
    <w:qFormat/>
    <w:rsid w:val="00465846"/>
    <w:rPr>
      <w:b/>
      <w:bCs/>
    </w:rPr>
  </w:style>
  <w:style w:type="paragraph" w:styleId="EndnoteText">
    <w:name w:val="endnote text"/>
    <w:basedOn w:val="Normal"/>
    <w:link w:val="EndnoteTextChar"/>
    <w:uiPriority w:val="99"/>
    <w:unhideWhenUsed/>
    <w:rsid w:val="009C7FD4"/>
  </w:style>
  <w:style w:type="character" w:customStyle="1" w:styleId="EndnoteTextChar">
    <w:name w:val="Endnote Text Char"/>
    <w:basedOn w:val="DefaultParagraphFont"/>
    <w:link w:val="EndnoteText"/>
    <w:uiPriority w:val="99"/>
    <w:rsid w:val="009C7FD4"/>
    <w:rPr>
      <w:lang w:val="en-GB"/>
    </w:rPr>
  </w:style>
  <w:style w:type="character" w:styleId="EndnoteReference">
    <w:name w:val="endnote reference"/>
    <w:basedOn w:val="DefaultParagraphFont"/>
    <w:uiPriority w:val="99"/>
    <w:unhideWhenUsed/>
    <w:rsid w:val="009C7FD4"/>
    <w:rPr>
      <w:vertAlign w:val="superscript"/>
    </w:rPr>
  </w:style>
  <w:style w:type="paragraph" w:styleId="ListParagraph">
    <w:name w:val="List Paragraph"/>
    <w:basedOn w:val="Normal"/>
    <w:uiPriority w:val="34"/>
    <w:qFormat/>
    <w:rsid w:val="001B59E0"/>
    <w:pPr>
      <w:ind w:left="720"/>
      <w:contextualSpacing/>
    </w:pPr>
  </w:style>
  <w:style w:type="character" w:customStyle="1" w:styleId="at2">
    <w:name w:val="a__t2"/>
    <w:basedOn w:val="DefaultParagraphFont"/>
    <w:rsid w:val="0067574D"/>
  </w:style>
  <w:style w:type="character" w:customStyle="1" w:styleId="Heading3Char">
    <w:name w:val="Heading 3 Char"/>
    <w:basedOn w:val="DefaultParagraphFont"/>
    <w:link w:val="Heading3"/>
    <w:uiPriority w:val="9"/>
    <w:rsid w:val="00786874"/>
    <w:rPr>
      <w:rFonts w:ascii="Times" w:hAnsi="Times"/>
      <w:b/>
      <w:bCs/>
      <w:sz w:val="27"/>
      <w:szCs w:val="27"/>
      <w:lang w:val="en-GB"/>
    </w:rPr>
  </w:style>
  <w:style w:type="paragraph" w:styleId="Header">
    <w:name w:val="header"/>
    <w:basedOn w:val="Normal"/>
    <w:link w:val="HeaderChar"/>
    <w:uiPriority w:val="99"/>
    <w:unhideWhenUsed/>
    <w:rsid w:val="002A0D6F"/>
    <w:pPr>
      <w:tabs>
        <w:tab w:val="center" w:pos="4320"/>
        <w:tab w:val="right" w:pos="8640"/>
      </w:tabs>
    </w:pPr>
  </w:style>
  <w:style w:type="character" w:customStyle="1" w:styleId="HeaderChar">
    <w:name w:val="Header Char"/>
    <w:basedOn w:val="DefaultParagraphFont"/>
    <w:link w:val="Header"/>
    <w:uiPriority w:val="99"/>
    <w:rsid w:val="002A0D6F"/>
    <w:rPr>
      <w:lang w:val="en-GB"/>
    </w:rPr>
  </w:style>
  <w:style w:type="paragraph" w:styleId="Footer">
    <w:name w:val="footer"/>
    <w:basedOn w:val="Normal"/>
    <w:link w:val="FooterChar"/>
    <w:uiPriority w:val="99"/>
    <w:unhideWhenUsed/>
    <w:rsid w:val="002A0D6F"/>
    <w:pPr>
      <w:tabs>
        <w:tab w:val="center" w:pos="4320"/>
        <w:tab w:val="right" w:pos="8640"/>
      </w:tabs>
    </w:pPr>
  </w:style>
  <w:style w:type="character" w:customStyle="1" w:styleId="FooterChar">
    <w:name w:val="Footer Char"/>
    <w:basedOn w:val="DefaultParagraphFont"/>
    <w:link w:val="Footer"/>
    <w:uiPriority w:val="99"/>
    <w:rsid w:val="002A0D6F"/>
    <w:rPr>
      <w:lang w:val="en-GB"/>
    </w:rPr>
  </w:style>
  <w:style w:type="table" w:styleId="TableGrid">
    <w:name w:val="Table Grid"/>
    <w:basedOn w:val="TableNormal"/>
    <w:uiPriority w:val="59"/>
    <w:rsid w:val="005E3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E36BB"/>
    <w:pPr>
      <w:spacing w:after="200"/>
    </w:pPr>
    <w:rPr>
      <w:b/>
      <w:bCs/>
      <w:color w:val="4F81BD" w:themeColor="accent1"/>
      <w:sz w:val="18"/>
      <w:szCs w:val="18"/>
    </w:rPr>
  </w:style>
  <w:style w:type="character" w:styleId="PageNumber">
    <w:name w:val="page number"/>
    <w:basedOn w:val="DefaultParagraphFont"/>
    <w:uiPriority w:val="99"/>
    <w:semiHidden/>
    <w:unhideWhenUsed/>
    <w:rsid w:val="00BE7C1E"/>
  </w:style>
  <w:style w:type="character" w:styleId="Emphasis">
    <w:name w:val="Emphasis"/>
    <w:basedOn w:val="DefaultParagraphFont"/>
    <w:uiPriority w:val="20"/>
    <w:qFormat/>
    <w:rsid w:val="000F43D5"/>
    <w:rPr>
      <w:i/>
      <w:iCs/>
    </w:rPr>
  </w:style>
  <w:style w:type="paragraph" w:styleId="NoSpacing">
    <w:name w:val="No Spacing"/>
    <w:uiPriority w:val="1"/>
    <w:qFormat/>
    <w:rsid w:val="000F43D5"/>
    <w:rPr>
      <w:lang w:val="en-GB"/>
    </w:rPr>
  </w:style>
  <w:style w:type="paragraph" w:styleId="NormalWeb">
    <w:name w:val="Normal (Web)"/>
    <w:basedOn w:val="Normal"/>
    <w:uiPriority w:val="99"/>
    <w:unhideWhenUsed/>
    <w:rsid w:val="004E3B4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63B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7868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EAF"/>
    <w:rPr>
      <w:rFonts w:ascii="Lucida Grande" w:hAnsi="Lucida Grande" w:cs="Lucida Grande"/>
      <w:sz w:val="18"/>
      <w:szCs w:val="18"/>
      <w:lang w:val="en-GB"/>
    </w:rPr>
  </w:style>
  <w:style w:type="paragraph" w:styleId="FootnoteText">
    <w:name w:val="footnote text"/>
    <w:basedOn w:val="Normal"/>
    <w:link w:val="FootnoteTextChar"/>
    <w:unhideWhenUsed/>
    <w:qFormat/>
    <w:rsid w:val="00CC43ED"/>
    <w:pPr>
      <w:spacing w:line="360" w:lineRule="auto"/>
      <w:jc w:val="both"/>
    </w:pPr>
    <w:rPr>
      <w:rFonts w:ascii="Times" w:hAnsi="Times"/>
      <w:sz w:val="20"/>
    </w:rPr>
  </w:style>
  <w:style w:type="character" w:customStyle="1" w:styleId="FootnoteTextChar">
    <w:name w:val="Footnote Text Char"/>
    <w:basedOn w:val="DefaultParagraphFont"/>
    <w:link w:val="FootnoteText"/>
    <w:rsid w:val="00CC43ED"/>
    <w:rPr>
      <w:rFonts w:ascii="Times" w:hAnsi="Times"/>
      <w:sz w:val="20"/>
      <w:lang w:val="en-GB"/>
    </w:rPr>
  </w:style>
  <w:style w:type="character" w:styleId="FootnoteReference">
    <w:name w:val="footnote reference"/>
    <w:basedOn w:val="DefaultParagraphFont"/>
    <w:uiPriority w:val="99"/>
    <w:unhideWhenUsed/>
    <w:rsid w:val="0026287C"/>
    <w:rPr>
      <w:vertAlign w:val="superscript"/>
    </w:rPr>
  </w:style>
  <w:style w:type="character" w:styleId="Hyperlink">
    <w:name w:val="Hyperlink"/>
    <w:basedOn w:val="DefaultParagraphFont"/>
    <w:uiPriority w:val="99"/>
    <w:unhideWhenUsed/>
    <w:rsid w:val="00CC43ED"/>
    <w:rPr>
      <w:color w:val="0000FF"/>
      <w:u w:val="single"/>
    </w:rPr>
  </w:style>
  <w:style w:type="character" w:customStyle="1" w:styleId="apple-converted-space">
    <w:name w:val="apple-converted-space"/>
    <w:basedOn w:val="DefaultParagraphFont"/>
    <w:rsid w:val="00CC43ED"/>
  </w:style>
  <w:style w:type="character" w:styleId="Strong">
    <w:name w:val="Strong"/>
    <w:basedOn w:val="DefaultParagraphFont"/>
    <w:uiPriority w:val="22"/>
    <w:qFormat/>
    <w:rsid w:val="00465846"/>
    <w:rPr>
      <w:b/>
      <w:bCs/>
    </w:rPr>
  </w:style>
  <w:style w:type="paragraph" w:styleId="EndnoteText">
    <w:name w:val="endnote text"/>
    <w:basedOn w:val="Normal"/>
    <w:link w:val="EndnoteTextChar"/>
    <w:uiPriority w:val="99"/>
    <w:unhideWhenUsed/>
    <w:rsid w:val="009C7FD4"/>
  </w:style>
  <w:style w:type="character" w:customStyle="1" w:styleId="EndnoteTextChar">
    <w:name w:val="Endnote Text Char"/>
    <w:basedOn w:val="DefaultParagraphFont"/>
    <w:link w:val="EndnoteText"/>
    <w:uiPriority w:val="99"/>
    <w:rsid w:val="009C7FD4"/>
    <w:rPr>
      <w:lang w:val="en-GB"/>
    </w:rPr>
  </w:style>
  <w:style w:type="character" w:styleId="EndnoteReference">
    <w:name w:val="endnote reference"/>
    <w:basedOn w:val="DefaultParagraphFont"/>
    <w:uiPriority w:val="99"/>
    <w:unhideWhenUsed/>
    <w:rsid w:val="009C7FD4"/>
    <w:rPr>
      <w:vertAlign w:val="superscript"/>
    </w:rPr>
  </w:style>
  <w:style w:type="paragraph" w:styleId="ListParagraph">
    <w:name w:val="List Paragraph"/>
    <w:basedOn w:val="Normal"/>
    <w:uiPriority w:val="34"/>
    <w:qFormat/>
    <w:rsid w:val="001B59E0"/>
    <w:pPr>
      <w:ind w:left="720"/>
      <w:contextualSpacing/>
    </w:pPr>
  </w:style>
  <w:style w:type="character" w:customStyle="1" w:styleId="at2">
    <w:name w:val="a__t2"/>
    <w:basedOn w:val="DefaultParagraphFont"/>
    <w:rsid w:val="0067574D"/>
  </w:style>
  <w:style w:type="character" w:customStyle="1" w:styleId="Heading3Char">
    <w:name w:val="Heading 3 Char"/>
    <w:basedOn w:val="DefaultParagraphFont"/>
    <w:link w:val="Heading3"/>
    <w:uiPriority w:val="9"/>
    <w:rsid w:val="00786874"/>
    <w:rPr>
      <w:rFonts w:ascii="Times" w:hAnsi="Times"/>
      <w:b/>
      <w:bCs/>
      <w:sz w:val="27"/>
      <w:szCs w:val="27"/>
      <w:lang w:val="en-GB"/>
    </w:rPr>
  </w:style>
  <w:style w:type="paragraph" w:styleId="Header">
    <w:name w:val="header"/>
    <w:basedOn w:val="Normal"/>
    <w:link w:val="HeaderChar"/>
    <w:uiPriority w:val="99"/>
    <w:unhideWhenUsed/>
    <w:rsid w:val="002A0D6F"/>
    <w:pPr>
      <w:tabs>
        <w:tab w:val="center" w:pos="4320"/>
        <w:tab w:val="right" w:pos="8640"/>
      </w:tabs>
    </w:pPr>
  </w:style>
  <w:style w:type="character" w:customStyle="1" w:styleId="HeaderChar">
    <w:name w:val="Header Char"/>
    <w:basedOn w:val="DefaultParagraphFont"/>
    <w:link w:val="Header"/>
    <w:uiPriority w:val="99"/>
    <w:rsid w:val="002A0D6F"/>
    <w:rPr>
      <w:lang w:val="en-GB"/>
    </w:rPr>
  </w:style>
  <w:style w:type="paragraph" w:styleId="Footer">
    <w:name w:val="footer"/>
    <w:basedOn w:val="Normal"/>
    <w:link w:val="FooterChar"/>
    <w:uiPriority w:val="99"/>
    <w:unhideWhenUsed/>
    <w:rsid w:val="002A0D6F"/>
    <w:pPr>
      <w:tabs>
        <w:tab w:val="center" w:pos="4320"/>
        <w:tab w:val="right" w:pos="8640"/>
      </w:tabs>
    </w:pPr>
  </w:style>
  <w:style w:type="character" w:customStyle="1" w:styleId="FooterChar">
    <w:name w:val="Footer Char"/>
    <w:basedOn w:val="DefaultParagraphFont"/>
    <w:link w:val="Footer"/>
    <w:uiPriority w:val="99"/>
    <w:rsid w:val="002A0D6F"/>
    <w:rPr>
      <w:lang w:val="en-GB"/>
    </w:rPr>
  </w:style>
  <w:style w:type="table" w:styleId="TableGrid">
    <w:name w:val="Table Grid"/>
    <w:basedOn w:val="TableNormal"/>
    <w:uiPriority w:val="59"/>
    <w:rsid w:val="005E3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E36BB"/>
    <w:pPr>
      <w:spacing w:after="200"/>
    </w:pPr>
    <w:rPr>
      <w:b/>
      <w:bCs/>
      <w:color w:val="4F81BD" w:themeColor="accent1"/>
      <w:sz w:val="18"/>
      <w:szCs w:val="18"/>
    </w:rPr>
  </w:style>
  <w:style w:type="character" w:styleId="PageNumber">
    <w:name w:val="page number"/>
    <w:basedOn w:val="DefaultParagraphFont"/>
    <w:uiPriority w:val="99"/>
    <w:semiHidden/>
    <w:unhideWhenUsed/>
    <w:rsid w:val="00BE7C1E"/>
  </w:style>
  <w:style w:type="character" w:styleId="Emphasis">
    <w:name w:val="Emphasis"/>
    <w:basedOn w:val="DefaultParagraphFont"/>
    <w:uiPriority w:val="20"/>
    <w:qFormat/>
    <w:rsid w:val="000F43D5"/>
    <w:rPr>
      <w:i/>
      <w:iCs/>
    </w:rPr>
  </w:style>
  <w:style w:type="paragraph" w:styleId="NoSpacing">
    <w:name w:val="No Spacing"/>
    <w:uiPriority w:val="1"/>
    <w:qFormat/>
    <w:rsid w:val="000F43D5"/>
    <w:rPr>
      <w:lang w:val="en-GB"/>
    </w:rPr>
  </w:style>
  <w:style w:type="paragraph" w:styleId="NormalWeb">
    <w:name w:val="Normal (Web)"/>
    <w:basedOn w:val="Normal"/>
    <w:uiPriority w:val="99"/>
    <w:unhideWhenUsed/>
    <w:rsid w:val="004E3B4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63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02">
      <w:bodyDiv w:val="1"/>
      <w:marLeft w:val="0"/>
      <w:marRight w:val="0"/>
      <w:marTop w:val="0"/>
      <w:marBottom w:val="0"/>
      <w:divBdr>
        <w:top w:val="none" w:sz="0" w:space="0" w:color="auto"/>
        <w:left w:val="none" w:sz="0" w:space="0" w:color="auto"/>
        <w:bottom w:val="none" w:sz="0" w:space="0" w:color="auto"/>
        <w:right w:val="none" w:sz="0" w:space="0" w:color="auto"/>
      </w:divBdr>
    </w:div>
    <w:div w:id="65151339">
      <w:bodyDiv w:val="1"/>
      <w:marLeft w:val="0"/>
      <w:marRight w:val="0"/>
      <w:marTop w:val="0"/>
      <w:marBottom w:val="0"/>
      <w:divBdr>
        <w:top w:val="none" w:sz="0" w:space="0" w:color="auto"/>
        <w:left w:val="none" w:sz="0" w:space="0" w:color="auto"/>
        <w:bottom w:val="none" w:sz="0" w:space="0" w:color="auto"/>
        <w:right w:val="none" w:sz="0" w:space="0" w:color="auto"/>
      </w:divBdr>
    </w:div>
    <w:div w:id="133838477">
      <w:bodyDiv w:val="1"/>
      <w:marLeft w:val="0"/>
      <w:marRight w:val="0"/>
      <w:marTop w:val="0"/>
      <w:marBottom w:val="0"/>
      <w:divBdr>
        <w:top w:val="none" w:sz="0" w:space="0" w:color="auto"/>
        <w:left w:val="none" w:sz="0" w:space="0" w:color="auto"/>
        <w:bottom w:val="none" w:sz="0" w:space="0" w:color="auto"/>
        <w:right w:val="none" w:sz="0" w:space="0" w:color="auto"/>
      </w:divBdr>
    </w:div>
    <w:div w:id="302543471">
      <w:bodyDiv w:val="1"/>
      <w:marLeft w:val="0"/>
      <w:marRight w:val="0"/>
      <w:marTop w:val="0"/>
      <w:marBottom w:val="0"/>
      <w:divBdr>
        <w:top w:val="none" w:sz="0" w:space="0" w:color="auto"/>
        <w:left w:val="none" w:sz="0" w:space="0" w:color="auto"/>
        <w:bottom w:val="none" w:sz="0" w:space="0" w:color="auto"/>
        <w:right w:val="none" w:sz="0" w:space="0" w:color="auto"/>
      </w:divBdr>
    </w:div>
    <w:div w:id="535435417">
      <w:bodyDiv w:val="1"/>
      <w:marLeft w:val="0"/>
      <w:marRight w:val="0"/>
      <w:marTop w:val="0"/>
      <w:marBottom w:val="0"/>
      <w:divBdr>
        <w:top w:val="none" w:sz="0" w:space="0" w:color="auto"/>
        <w:left w:val="none" w:sz="0" w:space="0" w:color="auto"/>
        <w:bottom w:val="none" w:sz="0" w:space="0" w:color="auto"/>
        <w:right w:val="none" w:sz="0" w:space="0" w:color="auto"/>
      </w:divBdr>
    </w:div>
    <w:div w:id="601497199">
      <w:bodyDiv w:val="1"/>
      <w:marLeft w:val="0"/>
      <w:marRight w:val="0"/>
      <w:marTop w:val="0"/>
      <w:marBottom w:val="0"/>
      <w:divBdr>
        <w:top w:val="none" w:sz="0" w:space="0" w:color="auto"/>
        <w:left w:val="none" w:sz="0" w:space="0" w:color="auto"/>
        <w:bottom w:val="none" w:sz="0" w:space="0" w:color="auto"/>
        <w:right w:val="none" w:sz="0" w:space="0" w:color="auto"/>
      </w:divBdr>
    </w:div>
    <w:div w:id="608586369">
      <w:bodyDiv w:val="1"/>
      <w:marLeft w:val="0"/>
      <w:marRight w:val="0"/>
      <w:marTop w:val="0"/>
      <w:marBottom w:val="0"/>
      <w:divBdr>
        <w:top w:val="none" w:sz="0" w:space="0" w:color="auto"/>
        <w:left w:val="none" w:sz="0" w:space="0" w:color="auto"/>
        <w:bottom w:val="none" w:sz="0" w:space="0" w:color="auto"/>
        <w:right w:val="none" w:sz="0" w:space="0" w:color="auto"/>
      </w:divBdr>
      <w:divsChild>
        <w:div w:id="1130902784">
          <w:marLeft w:val="547"/>
          <w:marRight w:val="0"/>
          <w:marTop w:val="0"/>
          <w:marBottom w:val="0"/>
          <w:divBdr>
            <w:top w:val="none" w:sz="0" w:space="0" w:color="auto"/>
            <w:left w:val="none" w:sz="0" w:space="0" w:color="auto"/>
            <w:bottom w:val="none" w:sz="0" w:space="0" w:color="auto"/>
            <w:right w:val="none" w:sz="0" w:space="0" w:color="auto"/>
          </w:divBdr>
        </w:div>
        <w:div w:id="185365993">
          <w:marLeft w:val="547"/>
          <w:marRight w:val="0"/>
          <w:marTop w:val="0"/>
          <w:marBottom w:val="0"/>
          <w:divBdr>
            <w:top w:val="none" w:sz="0" w:space="0" w:color="auto"/>
            <w:left w:val="none" w:sz="0" w:space="0" w:color="auto"/>
            <w:bottom w:val="none" w:sz="0" w:space="0" w:color="auto"/>
            <w:right w:val="none" w:sz="0" w:space="0" w:color="auto"/>
          </w:divBdr>
        </w:div>
      </w:divsChild>
    </w:div>
    <w:div w:id="628049956">
      <w:bodyDiv w:val="1"/>
      <w:marLeft w:val="0"/>
      <w:marRight w:val="0"/>
      <w:marTop w:val="0"/>
      <w:marBottom w:val="0"/>
      <w:divBdr>
        <w:top w:val="none" w:sz="0" w:space="0" w:color="auto"/>
        <w:left w:val="none" w:sz="0" w:space="0" w:color="auto"/>
        <w:bottom w:val="none" w:sz="0" w:space="0" w:color="auto"/>
        <w:right w:val="none" w:sz="0" w:space="0" w:color="auto"/>
      </w:divBdr>
    </w:div>
    <w:div w:id="669018591">
      <w:bodyDiv w:val="1"/>
      <w:marLeft w:val="0"/>
      <w:marRight w:val="0"/>
      <w:marTop w:val="0"/>
      <w:marBottom w:val="0"/>
      <w:divBdr>
        <w:top w:val="none" w:sz="0" w:space="0" w:color="auto"/>
        <w:left w:val="none" w:sz="0" w:space="0" w:color="auto"/>
        <w:bottom w:val="none" w:sz="0" w:space="0" w:color="auto"/>
        <w:right w:val="none" w:sz="0" w:space="0" w:color="auto"/>
      </w:divBdr>
      <w:divsChild>
        <w:div w:id="612979542">
          <w:marLeft w:val="0"/>
          <w:marRight w:val="0"/>
          <w:marTop w:val="0"/>
          <w:marBottom w:val="0"/>
          <w:divBdr>
            <w:top w:val="none" w:sz="0" w:space="0" w:color="auto"/>
            <w:left w:val="none" w:sz="0" w:space="0" w:color="auto"/>
            <w:bottom w:val="none" w:sz="0" w:space="0" w:color="auto"/>
            <w:right w:val="none" w:sz="0" w:space="0" w:color="auto"/>
          </w:divBdr>
          <w:divsChild>
            <w:div w:id="635834540">
              <w:marLeft w:val="0"/>
              <w:marRight w:val="0"/>
              <w:marTop w:val="0"/>
              <w:marBottom w:val="0"/>
              <w:divBdr>
                <w:top w:val="none" w:sz="0" w:space="0" w:color="auto"/>
                <w:left w:val="none" w:sz="0" w:space="0" w:color="auto"/>
                <w:bottom w:val="none" w:sz="0" w:space="0" w:color="auto"/>
                <w:right w:val="none" w:sz="0" w:space="0" w:color="auto"/>
              </w:divBdr>
              <w:divsChild>
                <w:div w:id="19877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07390">
      <w:bodyDiv w:val="1"/>
      <w:marLeft w:val="0"/>
      <w:marRight w:val="0"/>
      <w:marTop w:val="0"/>
      <w:marBottom w:val="0"/>
      <w:divBdr>
        <w:top w:val="none" w:sz="0" w:space="0" w:color="auto"/>
        <w:left w:val="none" w:sz="0" w:space="0" w:color="auto"/>
        <w:bottom w:val="none" w:sz="0" w:space="0" w:color="auto"/>
        <w:right w:val="none" w:sz="0" w:space="0" w:color="auto"/>
      </w:divBdr>
    </w:div>
    <w:div w:id="764425857">
      <w:bodyDiv w:val="1"/>
      <w:marLeft w:val="0"/>
      <w:marRight w:val="0"/>
      <w:marTop w:val="0"/>
      <w:marBottom w:val="0"/>
      <w:divBdr>
        <w:top w:val="none" w:sz="0" w:space="0" w:color="auto"/>
        <w:left w:val="none" w:sz="0" w:space="0" w:color="auto"/>
        <w:bottom w:val="none" w:sz="0" w:space="0" w:color="auto"/>
        <w:right w:val="none" w:sz="0" w:space="0" w:color="auto"/>
      </w:divBdr>
    </w:div>
    <w:div w:id="955331449">
      <w:bodyDiv w:val="1"/>
      <w:marLeft w:val="0"/>
      <w:marRight w:val="0"/>
      <w:marTop w:val="0"/>
      <w:marBottom w:val="0"/>
      <w:divBdr>
        <w:top w:val="none" w:sz="0" w:space="0" w:color="auto"/>
        <w:left w:val="none" w:sz="0" w:space="0" w:color="auto"/>
        <w:bottom w:val="none" w:sz="0" w:space="0" w:color="auto"/>
        <w:right w:val="none" w:sz="0" w:space="0" w:color="auto"/>
      </w:divBdr>
    </w:div>
    <w:div w:id="1251308674">
      <w:bodyDiv w:val="1"/>
      <w:marLeft w:val="0"/>
      <w:marRight w:val="0"/>
      <w:marTop w:val="0"/>
      <w:marBottom w:val="0"/>
      <w:divBdr>
        <w:top w:val="none" w:sz="0" w:space="0" w:color="auto"/>
        <w:left w:val="none" w:sz="0" w:space="0" w:color="auto"/>
        <w:bottom w:val="none" w:sz="0" w:space="0" w:color="auto"/>
        <w:right w:val="none" w:sz="0" w:space="0" w:color="auto"/>
      </w:divBdr>
    </w:div>
    <w:div w:id="1324626941">
      <w:bodyDiv w:val="1"/>
      <w:marLeft w:val="0"/>
      <w:marRight w:val="0"/>
      <w:marTop w:val="0"/>
      <w:marBottom w:val="0"/>
      <w:divBdr>
        <w:top w:val="none" w:sz="0" w:space="0" w:color="auto"/>
        <w:left w:val="none" w:sz="0" w:space="0" w:color="auto"/>
        <w:bottom w:val="none" w:sz="0" w:space="0" w:color="auto"/>
        <w:right w:val="none" w:sz="0" w:space="0" w:color="auto"/>
      </w:divBdr>
      <w:divsChild>
        <w:div w:id="1772554262">
          <w:marLeft w:val="0"/>
          <w:marRight w:val="0"/>
          <w:marTop w:val="0"/>
          <w:marBottom w:val="0"/>
          <w:divBdr>
            <w:top w:val="none" w:sz="0" w:space="0" w:color="auto"/>
            <w:left w:val="none" w:sz="0" w:space="0" w:color="auto"/>
            <w:bottom w:val="none" w:sz="0" w:space="0" w:color="auto"/>
            <w:right w:val="none" w:sz="0" w:space="0" w:color="auto"/>
          </w:divBdr>
          <w:divsChild>
            <w:div w:id="840780274">
              <w:marLeft w:val="0"/>
              <w:marRight w:val="0"/>
              <w:marTop w:val="0"/>
              <w:marBottom w:val="0"/>
              <w:divBdr>
                <w:top w:val="none" w:sz="0" w:space="0" w:color="auto"/>
                <w:left w:val="none" w:sz="0" w:space="0" w:color="auto"/>
                <w:bottom w:val="none" w:sz="0" w:space="0" w:color="auto"/>
                <w:right w:val="none" w:sz="0" w:space="0" w:color="auto"/>
              </w:divBdr>
              <w:divsChild>
                <w:div w:id="822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4467">
      <w:bodyDiv w:val="1"/>
      <w:marLeft w:val="0"/>
      <w:marRight w:val="0"/>
      <w:marTop w:val="0"/>
      <w:marBottom w:val="0"/>
      <w:divBdr>
        <w:top w:val="none" w:sz="0" w:space="0" w:color="auto"/>
        <w:left w:val="none" w:sz="0" w:space="0" w:color="auto"/>
        <w:bottom w:val="none" w:sz="0" w:space="0" w:color="auto"/>
        <w:right w:val="none" w:sz="0" w:space="0" w:color="auto"/>
      </w:divBdr>
    </w:div>
    <w:div w:id="1713531519">
      <w:bodyDiv w:val="1"/>
      <w:marLeft w:val="0"/>
      <w:marRight w:val="0"/>
      <w:marTop w:val="0"/>
      <w:marBottom w:val="0"/>
      <w:divBdr>
        <w:top w:val="none" w:sz="0" w:space="0" w:color="auto"/>
        <w:left w:val="none" w:sz="0" w:space="0" w:color="auto"/>
        <w:bottom w:val="none" w:sz="0" w:space="0" w:color="auto"/>
        <w:right w:val="none" w:sz="0" w:space="0" w:color="auto"/>
      </w:divBdr>
    </w:div>
    <w:div w:id="1729719681">
      <w:bodyDiv w:val="1"/>
      <w:marLeft w:val="0"/>
      <w:marRight w:val="0"/>
      <w:marTop w:val="0"/>
      <w:marBottom w:val="0"/>
      <w:divBdr>
        <w:top w:val="none" w:sz="0" w:space="0" w:color="auto"/>
        <w:left w:val="none" w:sz="0" w:space="0" w:color="auto"/>
        <w:bottom w:val="none" w:sz="0" w:space="0" w:color="auto"/>
        <w:right w:val="none" w:sz="0" w:space="0" w:color="auto"/>
      </w:divBdr>
      <w:divsChild>
        <w:div w:id="1580140454">
          <w:marLeft w:val="0"/>
          <w:marRight w:val="0"/>
          <w:marTop w:val="0"/>
          <w:marBottom w:val="0"/>
          <w:divBdr>
            <w:top w:val="none" w:sz="0" w:space="0" w:color="auto"/>
            <w:left w:val="none" w:sz="0" w:space="0" w:color="auto"/>
            <w:bottom w:val="none" w:sz="0" w:space="0" w:color="auto"/>
            <w:right w:val="none" w:sz="0" w:space="0" w:color="auto"/>
          </w:divBdr>
          <w:divsChild>
            <w:div w:id="1141921927">
              <w:marLeft w:val="0"/>
              <w:marRight w:val="0"/>
              <w:marTop w:val="0"/>
              <w:marBottom w:val="0"/>
              <w:divBdr>
                <w:top w:val="none" w:sz="0" w:space="0" w:color="auto"/>
                <w:left w:val="none" w:sz="0" w:space="0" w:color="auto"/>
                <w:bottom w:val="none" w:sz="0" w:space="0" w:color="auto"/>
                <w:right w:val="none" w:sz="0" w:space="0" w:color="auto"/>
              </w:divBdr>
              <w:divsChild>
                <w:div w:id="14211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5968">
      <w:bodyDiv w:val="1"/>
      <w:marLeft w:val="0"/>
      <w:marRight w:val="0"/>
      <w:marTop w:val="0"/>
      <w:marBottom w:val="0"/>
      <w:divBdr>
        <w:top w:val="none" w:sz="0" w:space="0" w:color="auto"/>
        <w:left w:val="none" w:sz="0" w:space="0" w:color="auto"/>
        <w:bottom w:val="none" w:sz="0" w:space="0" w:color="auto"/>
        <w:right w:val="none" w:sz="0" w:space="0" w:color="auto"/>
      </w:divBdr>
    </w:div>
    <w:div w:id="1764302555">
      <w:bodyDiv w:val="1"/>
      <w:marLeft w:val="0"/>
      <w:marRight w:val="0"/>
      <w:marTop w:val="0"/>
      <w:marBottom w:val="0"/>
      <w:divBdr>
        <w:top w:val="none" w:sz="0" w:space="0" w:color="auto"/>
        <w:left w:val="none" w:sz="0" w:space="0" w:color="auto"/>
        <w:bottom w:val="none" w:sz="0" w:space="0" w:color="auto"/>
        <w:right w:val="none" w:sz="0" w:space="0" w:color="auto"/>
      </w:divBdr>
    </w:div>
    <w:div w:id="1805004795">
      <w:bodyDiv w:val="1"/>
      <w:marLeft w:val="0"/>
      <w:marRight w:val="0"/>
      <w:marTop w:val="0"/>
      <w:marBottom w:val="0"/>
      <w:divBdr>
        <w:top w:val="none" w:sz="0" w:space="0" w:color="auto"/>
        <w:left w:val="none" w:sz="0" w:space="0" w:color="auto"/>
        <w:bottom w:val="none" w:sz="0" w:space="0" w:color="auto"/>
        <w:right w:val="none" w:sz="0" w:space="0" w:color="auto"/>
      </w:divBdr>
    </w:div>
    <w:div w:id="1883059182">
      <w:bodyDiv w:val="1"/>
      <w:marLeft w:val="0"/>
      <w:marRight w:val="0"/>
      <w:marTop w:val="0"/>
      <w:marBottom w:val="0"/>
      <w:divBdr>
        <w:top w:val="none" w:sz="0" w:space="0" w:color="auto"/>
        <w:left w:val="none" w:sz="0" w:space="0" w:color="auto"/>
        <w:bottom w:val="none" w:sz="0" w:space="0" w:color="auto"/>
        <w:right w:val="none" w:sz="0" w:space="0" w:color="auto"/>
      </w:divBdr>
    </w:div>
    <w:div w:id="1905944169">
      <w:bodyDiv w:val="1"/>
      <w:marLeft w:val="0"/>
      <w:marRight w:val="0"/>
      <w:marTop w:val="0"/>
      <w:marBottom w:val="0"/>
      <w:divBdr>
        <w:top w:val="none" w:sz="0" w:space="0" w:color="auto"/>
        <w:left w:val="none" w:sz="0" w:space="0" w:color="auto"/>
        <w:bottom w:val="none" w:sz="0" w:space="0" w:color="auto"/>
        <w:right w:val="none" w:sz="0" w:space="0" w:color="auto"/>
      </w:divBdr>
    </w:div>
    <w:div w:id="1934782543">
      <w:bodyDiv w:val="1"/>
      <w:marLeft w:val="0"/>
      <w:marRight w:val="0"/>
      <w:marTop w:val="0"/>
      <w:marBottom w:val="0"/>
      <w:divBdr>
        <w:top w:val="none" w:sz="0" w:space="0" w:color="auto"/>
        <w:left w:val="none" w:sz="0" w:space="0" w:color="auto"/>
        <w:bottom w:val="none" w:sz="0" w:space="0" w:color="auto"/>
        <w:right w:val="none" w:sz="0" w:space="0" w:color="auto"/>
      </w:divBdr>
    </w:div>
    <w:div w:id="2028868104">
      <w:bodyDiv w:val="1"/>
      <w:marLeft w:val="0"/>
      <w:marRight w:val="0"/>
      <w:marTop w:val="0"/>
      <w:marBottom w:val="0"/>
      <w:divBdr>
        <w:top w:val="none" w:sz="0" w:space="0" w:color="auto"/>
        <w:left w:val="none" w:sz="0" w:space="0" w:color="auto"/>
        <w:bottom w:val="none" w:sz="0" w:space="0" w:color="auto"/>
        <w:right w:val="none" w:sz="0" w:space="0" w:color="auto"/>
      </w:divBdr>
      <w:divsChild>
        <w:div w:id="896746754">
          <w:marLeft w:val="0"/>
          <w:marRight w:val="0"/>
          <w:marTop w:val="0"/>
          <w:marBottom w:val="0"/>
          <w:divBdr>
            <w:top w:val="none" w:sz="0" w:space="0" w:color="auto"/>
            <w:left w:val="none" w:sz="0" w:space="0" w:color="auto"/>
            <w:bottom w:val="none" w:sz="0" w:space="0" w:color="auto"/>
            <w:right w:val="none" w:sz="0" w:space="0" w:color="auto"/>
          </w:divBdr>
          <w:divsChild>
            <w:div w:id="1666662906">
              <w:marLeft w:val="0"/>
              <w:marRight w:val="0"/>
              <w:marTop w:val="0"/>
              <w:marBottom w:val="0"/>
              <w:divBdr>
                <w:top w:val="none" w:sz="0" w:space="0" w:color="auto"/>
                <w:left w:val="none" w:sz="0" w:space="0" w:color="auto"/>
                <w:bottom w:val="none" w:sz="0" w:space="0" w:color="auto"/>
                <w:right w:val="none" w:sz="0" w:space="0" w:color="auto"/>
              </w:divBdr>
              <w:divsChild>
                <w:div w:id="13726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irat.cengiz@liverpool.ac.uk"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competition/antitrust/actionsdamages/green_paper_comments.html" TargetMode="External"/><Relationship Id="rId4" Type="http://schemas.openxmlformats.org/officeDocument/2006/relationships/hyperlink" Target="http://ec.europa.eu/competition/consultations/2009_vertical_agreements/index.html" TargetMode="External"/><Relationship Id="rId5" Type="http://schemas.openxmlformats.org/officeDocument/2006/relationships/hyperlink" Target="http://ec.europa.eu/competition/antitrust/actionsdamages/green_paper_comments.html" TargetMode="External"/><Relationship Id="rId1" Type="http://schemas.openxmlformats.org/officeDocument/2006/relationships/hyperlink" Target="http://ec.europa.eu/competition/antitrust/art82/contributions.html" TargetMode="External"/><Relationship Id="rId2" Type="http://schemas.openxmlformats.org/officeDocument/2006/relationships/hyperlink" Target="http://ec.europa.eu/competition/consultations/2009_vertical_agreeme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9CEE-1A89-314A-B4B1-13CB3823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9092</Words>
  <Characters>51826</Characters>
  <Application>Microsoft Macintosh Word</Application>
  <DocSecurity>0</DocSecurity>
  <Lines>431</Lines>
  <Paragraphs>121</Paragraphs>
  <ScaleCrop>false</ScaleCrop>
  <Company>Tilburg University</Company>
  <LinksUpToDate>false</LinksUpToDate>
  <CharactersWithSpaces>60797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Cengiz</dc:creator>
  <cp:keywords/>
  <dc:description/>
  <cp:lastModifiedBy>Firat Cengiz</cp:lastModifiedBy>
  <cp:revision>15</cp:revision>
  <dcterms:created xsi:type="dcterms:W3CDTF">2015-09-18T11:57:00Z</dcterms:created>
  <dcterms:modified xsi:type="dcterms:W3CDTF">2015-09-25T10:56:00Z</dcterms:modified>
</cp:coreProperties>
</file>