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79" w:rsidRDefault="001A4179" w:rsidP="001A4179">
      <w:pPr>
        <w:jc w:val="center"/>
        <w:rPr>
          <w:rFonts w:asciiTheme="majorHAnsi" w:hAnsiTheme="majorHAnsi"/>
          <w:b/>
          <w:sz w:val="28"/>
          <w:szCs w:val="28"/>
        </w:rPr>
      </w:pPr>
      <w:r>
        <w:rPr>
          <w:rFonts w:asciiTheme="majorHAnsi" w:hAnsiTheme="majorHAnsi"/>
          <w:b/>
          <w:sz w:val="28"/>
          <w:szCs w:val="28"/>
        </w:rPr>
        <w:t>Negotiating the Domain of Mental Capacity: Clinical Judgement or Judicial Diagnosis?</w:t>
      </w:r>
    </w:p>
    <w:p w:rsidR="001A4179" w:rsidRDefault="001A4179" w:rsidP="001A4179">
      <w:pPr>
        <w:jc w:val="center"/>
        <w:rPr>
          <w:rFonts w:asciiTheme="majorHAnsi" w:hAnsiTheme="majorHAnsi"/>
          <w:b/>
          <w:sz w:val="28"/>
          <w:szCs w:val="28"/>
        </w:rPr>
      </w:pPr>
    </w:p>
    <w:p w:rsidR="001A4179" w:rsidRDefault="001A4179" w:rsidP="001A4179">
      <w:pPr>
        <w:jc w:val="center"/>
        <w:rPr>
          <w:rFonts w:asciiTheme="majorHAnsi" w:hAnsiTheme="majorHAnsi"/>
          <w:b/>
          <w:sz w:val="28"/>
          <w:szCs w:val="28"/>
        </w:rPr>
      </w:pPr>
      <w:r w:rsidRPr="00A62D16">
        <w:rPr>
          <w:rFonts w:asciiTheme="majorHAnsi" w:hAnsiTheme="majorHAnsi"/>
          <w:b/>
          <w:sz w:val="28"/>
          <w:szCs w:val="28"/>
        </w:rPr>
        <w:t>Abstract</w:t>
      </w:r>
    </w:p>
    <w:p w:rsidR="001A4179" w:rsidRPr="0073570E" w:rsidRDefault="001A4179" w:rsidP="001A4179">
      <w:pPr>
        <w:jc w:val="center"/>
        <w:rPr>
          <w:color w:val="000000"/>
        </w:rPr>
      </w:pPr>
      <w:r w:rsidRPr="0073570E">
        <w:t>‘</w:t>
      </w:r>
      <w:r w:rsidRPr="0073570E">
        <w:rPr>
          <w:i/>
          <w:color w:val="000000"/>
        </w:rPr>
        <w:t>The decision on capacity is one for the judge to make’</w:t>
      </w:r>
      <w:r w:rsidRPr="0073570E">
        <w:rPr>
          <w:color w:val="000000"/>
        </w:rPr>
        <w:t>.</w:t>
      </w:r>
      <w:r w:rsidRPr="0073570E">
        <w:rPr>
          <w:rStyle w:val="FootnoteReference"/>
          <w:color w:val="000000"/>
        </w:rPr>
        <w:footnoteReference w:id="1"/>
      </w:r>
    </w:p>
    <w:p w:rsidR="001A4179" w:rsidRPr="0073570E" w:rsidRDefault="00C97E2D" w:rsidP="001A4179">
      <w:pPr>
        <w:ind w:left="397" w:right="397"/>
        <w:jc w:val="both"/>
      </w:pPr>
      <w:r w:rsidRPr="0073570E">
        <w:t xml:space="preserve">Deciding whose voices matter in the assessment of </w:t>
      </w:r>
      <w:r w:rsidR="00DC1A67">
        <w:t xml:space="preserve">someone’s decision making </w:t>
      </w:r>
      <w:r w:rsidRPr="0073570E">
        <w:t xml:space="preserve">capacity raises issues of social and legal policy.  </w:t>
      </w:r>
      <w:r w:rsidR="001A4179" w:rsidRPr="0073570E">
        <w:t>Despite l</w:t>
      </w:r>
      <w:r w:rsidRPr="0073570E">
        <w:t>egal judgments</w:t>
      </w:r>
      <w:r w:rsidR="001A4179" w:rsidRPr="0073570E">
        <w:t xml:space="preserve"> </w:t>
      </w:r>
      <w:r w:rsidRPr="0073570E">
        <w:t xml:space="preserve">explicitly </w:t>
      </w:r>
      <w:r w:rsidR="001A4179" w:rsidRPr="0073570E">
        <w:t xml:space="preserve">asserting </w:t>
      </w:r>
      <w:r w:rsidR="00483AC5" w:rsidRPr="0073570E">
        <w:t xml:space="preserve">that the law has </w:t>
      </w:r>
      <w:r w:rsidR="001A4179" w:rsidRPr="0073570E">
        <w:t xml:space="preserve">the upper hand in </w:t>
      </w:r>
      <w:r w:rsidRPr="0073570E">
        <w:t xml:space="preserve">mental </w:t>
      </w:r>
      <w:r w:rsidR="001A4179" w:rsidRPr="0073570E">
        <w:t xml:space="preserve">capacity assessment, both statute and judgments from the Court of Protection have to some extent endorsed capacity as largely </w:t>
      </w:r>
      <w:r w:rsidR="007054B1" w:rsidRPr="0073570E">
        <w:t>the domain of medical expertise</w:t>
      </w:r>
      <w:r w:rsidRPr="0073570E">
        <w:t>. Academics have claimed that the courts have historically adopted a ‘deferential’ or even ‘</w:t>
      </w:r>
      <w:proofErr w:type="spellStart"/>
      <w:r w:rsidRPr="0073570E">
        <w:t>medicalised</w:t>
      </w:r>
      <w:proofErr w:type="spellEnd"/>
      <w:r w:rsidRPr="0073570E">
        <w:t xml:space="preserve">’ approach to </w:t>
      </w:r>
      <w:r w:rsidR="006E2BF3" w:rsidRPr="0073570E">
        <w:t>expert</w:t>
      </w:r>
      <w:r w:rsidRPr="0073570E">
        <w:t xml:space="preserve"> evidence on this issue</w:t>
      </w:r>
      <w:r w:rsidR="00F470A7">
        <w:t>.</w:t>
      </w:r>
      <w:r w:rsidR="00FA2596">
        <w:t xml:space="preserve"> </w:t>
      </w:r>
      <w:r w:rsidR="00595135">
        <w:t>Yet i</w:t>
      </w:r>
      <w:r w:rsidR="00F470A7">
        <w:t xml:space="preserve">t is vital that the Court of Protection exercises </w:t>
      </w:r>
      <w:r w:rsidR="00DE6AD1">
        <w:t>rigorous</w:t>
      </w:r>
      <w:r w:rsidR="00F470A7">
        <w:t xml:space="preserve"> scrutiny of capacity assessment, for whilst </w:t>
      </w:r>
      <w:r w:rsidR="008C0D0D">
        <w:t xml:space="preserve">human rights discourse constructs </w:t>
      </w:r>
      <w:r w:rsidR="00F470A7">
        <w:t xml:space="preserve">‘objective medical expertise’ </w:t>
      </w:r>
      <w:r w:rsidR="008C0D0D">
        <w:t>a</w:t>
      </w:r>
      <w:r w:rsidR="00F470A7">
        <w:t xml:space="preserve">s a safeguard against the arbitrary forfeiture of </w:t>
      </w:r>
      <w:r w:rsidR="00EF242D">
        <w:t>decision making power</w:t>
      </w:r>
      <w:r w:rsidR="00F470A7">
        <w:t xml:space="preserve">, excessive deference </w:t>
      </w:r>
      <w:r w:rsidR="00595135">
        <w:t xml:space="preserve">can transform </w:t>
      </w:r>
      <w:r w:rsidR="00F470A7">
        <w:t xml:space="preserve">medical opinion </w:t>
      </w:r>
      <w:r w:rsidR="00595135">
        <w:t xml:space="preserve">from safeguard </w:t>
      </w:r>
      <w:r w:rsidR="00F470A7">
        <w:t xml:space="preserve">to </w:t>
      </w:r>
      <w:r w:rsidR="00192ED1">
        <w:t>a form</w:t>
      </w:r>
      <w:r w:rsidR="00F470A7">
        <w:t xml:space="preserve"> of arbitrariness</w:t>
      </w:r>
      <w:r w:rsidR="00595135">
        <w:t xml:space="preserve"> in its own right</w:t>
      </w:r>
      <w:r w:rsidR="001A4179" w:rsidRPr="0073570E">
        <w:t xml:space="preserve">. </w:t>
      </w:r>
      <w:r w:rsidRPr="0073570E">
        <w:t xml:space="preserve">This short </w:t>
      </w:r>
      <w:r w:rsidR="009C3229">
        <w:t xml:space="preserve">socio-legal </w:t>
      </w:r>
      <w:r w:rsidRPr="0073570E">
        <w:t>study combines qua</w:t>
      </w:r>
      <w:r w:rsidR="006C34E3" w:rsidRPr="0073570E">
        <w:t>ntita</w:t>
      </w:r>
      <w:r w:rsidRPr="0073570E">
        <w:t>tive and qua</w:t>
      </w:r>
      <w:r w:rsidR="006C34E3" w:rsidRPr="0073570E">
        <w:t>li</w:t>
      </w:r>
      <w:r w:rsidRPr="0073570E">
        <w:t xml:space="preserve">tative approaches to probe this suggestion of deference, drawing from a sample of over 60 </w:t>
      </w:r>
      <w:r w:rsidR="00525391" w:rsidRPr="0073570E">
        <w:t xml:space="preserve">Court of Protection </w:t>
      </w:r>
      <w:r w:rsidRPr="0073570E">
        <w:t xml:space="preserve">judgments </w:t>
      </w:r>
      <w:r w:rsidR="00290733" w:rsidRPr="0073570E">
        <w:t>where</w:t>
      </w:r>
      <w:r w:rsidR="006C34E3" w:rsidRPr="0073570E">
        <w:t xml:space="preserve"> the issue of</w:t>
      </w:r>
      <w:r w:rsidR="00290733" w:rsidRPr="0073570E">
        <w:t xml:space="preserve"> </w:t>
      </w:r>
      <w:r w:rsidRPr="0073570E">
        <w:t>capacity</w:t>
      </w:r>
      <w:r w:rsidR="00290733" w:rsidRPr="0073570E">
        <w:t xml:space="preserve"> was ex</w:t>
      </w:r>
      <w:r w:rsidR="006C34E3" w:rsidRPr="0073570E">
        <w:t xml:space="preserve">amined in </w:t>
      </w:r>
      <w:r w:rsidR="002661F4" w:rsidRPr="0073570E">
        <w:t xml:space="preserve">some </w:t>
      </w:r>
      <w:r w:rsidR="006C34E3" w:rsidRPr="0073570E">
        <w:t>detail</w:t>
      </w:r>
      <w:r w:rsidRPr="0073570E">
        <w:t>. In the course of undertaking this task, the paper interrogates the notions of ‘deference’ and ‘</w:t>
      </w:r>
      <w:proofErr w:type="spellStart"/>
      <w:r w:rsidRPr="0073570E">
        <w:t>medicalisation</w:t>
      </w:r>
      <w:proofErr w:type="spellEnd"/>
      <w:r w:rsidRPr="0073570E">
        <w:t xml:space="preserve">’ to explore the </w:t>
      </w:r>
      <w:r w:rsidR="00191FC2" w:rsidRPr="0073570E">
        <w:t xml:space="preserve">intertwining </w:t>
      </w:r>
      <w:r w:rsidRPr="0073570E">
        <w:t xml:space="preserve">of medical and legal domains </w:t>
      </w:r>
      <w:r w:rsidR="00A02502" w:rsidRPr="0073570E">
        <w:t xml:space="preserve">on the issue of </w:t>
      </w:r>
      <w:r w:rsidR="00525391" w:rsidRPr="0073570E">
        <w:t>mental</w:t>
      </w:r>
      <w:r w:rsidR="00A02502" w:rsidRPr="0073570E">
        <w:t xml:space="preserve"> capacity. </w:t>
      </w:r>
    </w:p>
    <w:p w:rsidR="00AF43A5" w:rsidRPr="0073570E" w:rsidRDefault="00AF43A5" w:rsidP="001A4179">
      <w:pPr>
        <w:ind w:left="397" w:right="397"/>
        <w:jc w:val="both"/>
      </w:pPr>
    </w:p>
    <w:p w:rsidR="001A4179" w:rsidRPr="0073570E" w:rsidRDefault="001A4179" w:rsidP="001A4179">
      <w:pPr>
        <w:jc w:val="both"/>
        <w:rPr>
          <w:b/>
        </w:rPr>
      </w:pPr>
      <w:r w:rsidRPr="0073570E">
        <w:rPr>
          <w:b/>
        </w:rPr>
        <w:t>Introduction</w:t>
      </w:r>
    </w:p>
    <w:p w:rsidR="004D6FC0" w:rsidRPr="0073570E" w:rsidRDefault="00FA2596" w:rsidP="002D5F4B">
      <w:pPr>
        <w:jc w:val="both"/>
      </w:pPr>
      <w:r>
        <w:t>M</w:t>
      </w:r>
      <w:r w:rsidR="00502633" w:rsidRPr="0073570E">
        <w:t>ental capacity is a social construct</w:t>
      </w:r>
      <w:r w:rsidR="00B643B4" w:rsidRPr="0073570E">
        <w:rPr>
          <w:rStyle w:val="FootnoteReference"/>
        </w:rPr>
        <w:footnoteReference w:id="2"/>
      </w:r>
      <w:r w:rsidR="00502633" w:rsidRPr="0073570E">
        <w:t xml:space="preserve"> which does not belong exclusively to any particular discipline, whether law, sociology, philosophy or medicine. Yet a number of</w:t>
      </w:r>
      <w:r w:rsidR="002D5F4B" w:rsidRPr="0073570E">
        <w:t xml:space="preserve"> academics have hinted that they perceive </w:t>
      </w:r>
      <w:r w:rsidR="00F85E6A" w:rsidRPr="0073570E">
        <w:t xml:space="preserve">a deferential approach by the courts to the opinion of medical experts when dealing with </w:t>
      </w:r>
      <w:r w:rsidR="00DC1A67">
        <w:t xml:space="preserve">the </w:t>
      </w:r>
      <w:r w:rsidR="00F85E6A" w:rsidRPr="0073570E">
        <w:t xml:space="preserve">issue of </w:t>
      </w:r>
      <w:r w:rsidR="00DC1A67">
        <w:t xml:space="preserve">decision making </w:t>
      </w:r>
      <w:r w:rsidR="00F85E6A" w:rsidRPr="0073570E">
        <w:t>capacity</w:t>
      </w:r>
      <w:r w:rsidR="002D5F4B" w:rsidRPr="0073570E">
        <w:t>. Professor Donnelly</w:t>
      </w:r>
      <w:r w:rsidR="00502633" w:rsidRPr="0073570E">
        <w:t xml:space="preserve">, </w:t>
      </w:r>
      <w:r w:rsidR="00020C66">
        <w:t xml:space="preserve">for example, has </w:t>
      </w:r>
      <w:r w:rsidR="002D5F4B" w:rsidRPr="0073570E">
        <w:t>observed that</w:t>
      </w:r>
      <w:r w:rsidR="00F85E6A" w:rsidRPr="0073570E">
        <w:t xml:space="preserve"> </w:t>
      </w:r>
      <w:r w:rsidR="00F85E6A" w:rsidRPr="0073570E">
        <w:rPr>
          <w:i/>
        </w:rPr>
        <w:t>‘</w:t>
      </w:r>
      <w:r w:rsidR="00F85E6A" w:rsidRPr="0073570E">
        <w:t>[</w:t>
      </w:r>
      <w:proofErr w:type="spellStart"/>
      <w:r w:rsidR="00F85E6A" w:rsidRPr="0073570E">
        <w:t>i</w:t>
      </w:r>
      <w:proofErr w:type="spellEnd"/>
      <w:r w:rsidR="00F85E6A" w:rsidRPr="0073570E">
        <w:t xml:space="preserve">]n the case law prior to the </w:t>
      </w:r>
      <w:r w:rsidR="00525391" w:rsidRPr="0073570E">
        <w:t>[Me</w:t>
      </w:r>
      <w:r w:rsidR="00F85E6A" w:rsidRPr="0073570E">
        <w:t>ntal Capacity Act</w:t>
      </w:r>
      <w:r w:rsidR="00DC1A67">
        <w:t xml:space="preserve"> 2005</w:t>
      </w:r>
      <w:r w:rsidR="00525391" w:rsidRPr="0073570E">
        <w:t>]</w:t>
      </w:r>
      <w:r w:rsidR="00F85E6A" w:rsidRPr="0073570E">
        <w:t xml:space="preserve">, when </w:t>
      </w:r>
      <w:proofErr w:type="spellStart"/>
      <w:r w:rsidR="00F85E6A" w:rsidRPr="0073570E">
        <w:t>uncontradicted</w:t>
      </w:r>
      <w:proofErr w:type="spellEnd"/>
      <w:r w:rsidR="00F85E6A" w:rsidRPr="0073570E">
        <w:t xml:space="preserve"> expert evidence was presented to the court, the court’s ultimate decision almost invariably accorded with that of the medical expert.</w:t>
      </w:r>
      <w:r w:rsidR="00F85E6A" w:rsidRPr="0073570E">
        <w:rPr>
          <w:i/>
        </w:rPr>
        <w:t>’</w:t>
      </w:r>
      <w:r w:rsidR="00F85E6A" w:rsidRPr="0073570E">
        <w:rPr>
          <w:rStyle w:val="FootnoteReference"/>
        </w:rPr>
        <w:footnoteReference w:id="3"/>
      </w:r>
      <w:r w:rsidR="00F85E6A" w:rsidRPr="0073570E">
        <w:rPr>
          <w:i/>
        </w:rPr>
        <w:t xml:space="preserve"> </w:t>
      </w:r>
      <w:r w:rsidR="00A02502" w:rsidRPr="0073570E">
        <w:t>Th</w:t>
      </w:r>
      <w:r w:rsidR="00595135">
        <w:t xml:space="preserve">e broad aim of this </w:t>
      </w:r>
      <w:r w:rsidR="00A02502" w:rsidRPr="0073570E">
        <w:t>article</w:t>
      </w:r>
      <w:r w:rsidR="00595135">
        <w:t xml:space="preserve"> is to</w:t>
      </w:r>
      <w:r w:rsidR="00A02502" w:rsidRPr="0073570E">
        <w:t xml:space="preserve"> </w:t>
      </w:r>
      <w:r w:rsidR="00595135">
        <w:t xml:space="preserve">interrogate the suggestion that </w:t>
      </w:r>
      <w:r w:rsidR="00FA4856" w:rsidRPr="0073570E">
        <w:t xml:space="preserve">the concept of </w:t>
      </w:r>
      <w:r w:rsidR="00FA4856" w:rsidRPr="0073570E">
        <w:lastRenderedPageBreak/>
        <w:t xml:space="preserve">mental capacity has been </w:t>
      </w:r>
      <w:r w:rsidR="001C03F3" w:rsidRPr="0073570E">
        <w:t xml:space="preserve">treated as part of </w:t>
      </w:r>
      <w:r w:rsidR="00FA4856" w:rsidRPr="0073570E">
        <w:t xml:space="preserve">the medical domain in cases </w:t>
      </w:r>
      <w:r w:rsidR="00EF242D">
        <w:t xml:space="preserve">which have been </w:t>
      </w:r>
      <w:r w:rsidR="00FA4856" w:rsidRPr="0073570E">
        <w:t xml:space="preserve">brought before the </w:t>
      </w:r>
      <w:r w:rsidR="00CA56F8">
        <w:t>Court of Protection (‘</w:t>
      </w:r>
      <w:proofErr w:type="spellStart"/>
      <w:r w:rsidR="00FA4856" w:rsidRPr="0073570E">
        <w:t>C</w:t>
      </w:r>
      <w:r w:rsidR="002D5F4B" w:rsidRPr="0073570E">
        <w:t>oP</w:t>
      </w:r>
      <w:proofErr w:type="spellEnd"/>
      <w:r w:rsidR="00CA56F8">
        <w:t>’)</w:t>
      </w:r>
      <w:r w:rsidR="00FA4856" w:rsidRPr="0073570E">
        <w:t>.</w:t>
      </w:r>
      <w:r w:rsidR="00D76484" w:rsidRPr="0073570E">
        <w:rPr>
          <w:rStyle w:val="FootnoteReference"/>
        </w:rPr>
        <w:footnoteReference w:id="4"/>
      </w:r>
      <w:r w:rsidR="00FA4856" w:rsidRPr="0073570E">
        <w:t xml:space="preserve"> First, </w:t>
      </w:r>
      <w:r w:rsidR="00AF2C43" w:rsidRPr="0073570E">
        <w:t>t</w:t>
      </w:r>
      <w:r w:rsidR="002D5F4B" w:rsidRPr="0073570E">
        <w:t xml:space="preserve">he </w:t>
      </w:r>
      <w:r w:rsidR="00595135">
        <w:t>paper</w:t>
      </w:r>
      <w:r w:rsidR="00946AC5" w:rsidRPr="0073570E">
        <w:t xml:space="preserve"> </w:t>
      </w:r>
      <w:r w:rsidR="00595135">
        <w:t xml:space="preserve">outlines </w:t>
      </w:r>
      <w:r w:rsidR="002D5F4B" w:rsidRPr="0073570E">
        <w:t>the im</w:t>
      </w:r>
      <w:r w:rsidR="002D5F4B" w:rsidRPr="00CB77FD">
        <w:t xml:space="preserve">portance of </w:t>
      </w:r>
      <w:r w:rsidR="00C1386E" w:rsidRPr="00CB77FD">
        <w:t>assiduous</w:t>
      </w:r>
      <w:r w:rsidR="001C03F3" w:rsidRPr="00CB77FD">
        <w:t xml:space="preserve"> </w:t>
      </w:r>
      <w:r w:rsidR="002D5F4B" w:rsidRPr="00CB77FD">
        <w:t>scrutin</w:t>
      </w:r>
      <w:r w:rsidR="00C1386E" w:rsidRPr="00CB77FD">
        <w:t xml:space="preserve">y of </w:t>
      </w:r>
      <w:r w:rsidR="002D5F4B" w:rsidRPr="00CB77FD">
        <w:t xml:space="preserve">assessments that </w:t>
      </w:r>
      <w:r w:rsidR="00C1386E" w:rsidRPr="00CB77FD">
        <w:t>‘</w:t>
      </w:r>
      <w:r w:rsidR="002D5F4B" w:rsidRPr="00CB77FD">
        <w:t>P</w:t>
      </w:r>
      <w:r w:rsidR="00C1386E" w:rsidRPr="00CB77FD">
        <w:t>’</w:t>
      </w:r>
      <w:r w:rsidR="00CB77FD" w:rsidRPr="00CB77FD">
        <w:t xml:space="preserve"> (</w:t>
      </w:r>
      <w:r w:rsidR="00CA169C" w:rsidRPr="00CA169C">
        <w:t>as the protected party in these proceedings is known)</w:t>
      </w:r>
      <w:r w:rsidR="002D5F4B" w:rsidRPr="0073570E">
        <w:t xml:space="preserve"> lacks decision making capacity in </w:t>
      </w:r>
      <w:r w:rsidR="00DE6AD1">
        <w:t xml:space="preserve">the context of decisions about her </w:t>
      </w:r>
      <w:r w:rsidR="002D5F4B" w:rsidRPr="0073570E">
        <w:t>health</w:t>
      </w:r>
      <w:r w:rsidR="00DE6AD1">
        <w:t xml:space="preserve"> or</w:t>
      </w:r>
      <w:r w:rsidR="002D5F4B" w:rsidRPr="0073570E">
        <w:t xml:space="preserve"> welfare.</w:t>
      </w:r>
      <w:r w:rsidR="004D6FC0" w:rsidRPr="0073570E">
        <w:rPr>
          <w:rStyle w:val="FootnoteReference"/>
        </w:rPr>
        <w:footnoteReference w:id="5"/>
      </w:r>
      <w:r w:rsidR="002D5F4B" w:rsidRPr="0073570E">
        <w:t xml:space="preserve"> </w:t>
      </w:r>
      <w:r w:rsidR="00FA4856" w:rsidRPr="0073570E">
        <w:t>This provides the backdrop to a ‘black letter’ analysis of the statutory test for incapacity</w:t>
      </w:r>
      <w:r w:rsidR="00DE6AD1">
        <w:t>,</w:t>
      </w:r>
      <w:r w:rsidR="00FA4856" w:rsidRPr="0073570E">
        <w:t xml:space="preserve"> with particular </w:t>
      </w:r>
      <w:r w:rsidR="00DC1A67">
        <w:t>attention being paid to</w:t>
      </w:r>
      <w:r w:rsidR="00FA4856" w:rsidRPr="0073570E">
        <w:t xml:space="preserve"> the role given to medical evidence</w:t>
      </w:r>
      <w:r w:rsidR="002D5F4B" w:rsidRPr="0073570E">
        <w:t xml:space="preserve">, before examining </w:t>
      </w:r>
      <w:r w:rsidR="00FA4856" w:rsidRPr="0073570E">
        <w:t xml:space="preserve">judgments from the </w:t>
      </w:r>
      <w:proofErr w:type="spellStart"/>
      <w:r w:rsidR="00FA4856" w:rsidRPr="0073570E">
        <w:t>CoP.</w:t>
      </w:r>
      <w:proofErr w:type="spellEnd"/>
      <w:r w:rsidR="00FA4856" w:rsidRPr="0073570E">
        <w:t xml:space="preserve"> </w:t>
      </w:r>
      <w:r w:rsidR="00AB5562" w:rsidRPr="0073570E">
        <w:t xml:space="preserve">The paper concludes by </w:t>
      </w:r>
      <w:r w:rsidR="00E70F8E">
        <w:t xml:space="preserve">assessing the utility of the concept of </w:t>
      </w:r>
      <w:proofErr w:type="spellStart"/>
      <w:r w:rsidR="00E70F8E">
        <w:t>medicalisation</w:t>
      </w:r>
      <w:proofErr w:type="spellEnd"/>
      <w:r w:rsidR="00E70F8E">
        <w:t xml:space="preserve"> in understanding how </w:t>
      </w:r>
      <w:r w:rsidR="00595135">
        <w:t xml:space="preserve">the concept of </w:t>
      </w:r>
      <w:r w:rsidR="00E70F8E">
        <w:t>capacity is constructed</w:t>
      </w:r>
      <w:r w:rsidR="00DC1A67">
        <w:t xml:space="preserve"> in the courtroom</w:t>
      </w:r>
      <w:r w:rsidR="00E70F8E">
        <w:t xml:space="preserve"> and </w:t>
      </w:r>
      <w:r w:rsidR="00AB5562" w:rsidRPr="0073570E">
        <w:t>underscoring the implications of overreliance on psychiatry, or indeed any discipline, in t</w:t>
      </w:r>
      <w:r w:rsidR="00483AC5" w:rsidRPr="0073570E">
        <w:t xml:space="preserve">he business of assessing </w:t>
      </w:r>
      <w:r w:rsidR="00AB5562" w:rsidRPr="0073570E">
        <w:t>capacity</w:t>
      </w:r>
      <w:r w:rsidR="0086702A" w:rsidRPr="0073570E">
        <w:t>. These conclusions include an observation of the</w:t>
      </w:r>
      <w:r w:rsidR="00AB5562" w:rsidRPr="0073570E">
        <w:t xml:space="preserve"> need </w:t>
      </w:r>
      <w:r w:rsidR="00DC1A67">
        <w:t>to embrace</w:t>
      </w:r>
      <w:r w:rsidR="00AB5562" w:rsidRPr="0073570E">
        <w:t xml:space="preserve"> epistemic diversity on this issue – a finding which is potentially incompatible with the drive</w:t>
      </w:r>
      <w:r w:rsidR="00943A2D" w:rsidRPr="0073570E">
        <w:t xml:space="preserve"> towards increased efficiencies in the </w:t>
      </w:r>
      <w:proofErr w:type="spellStart"/>
      <w:r w:rsidR="00943A2D" w:rsidRPr="0073570E">
        <w:t>CoP</w:t>
      </w:r>
      <w:proofErr w:type="spellEnd"/>
      <w:r w:rsidR="00943A2D" w:rsidRPr="0073570E">
        <w:t xml:space="preserve">, in particular by </w:t>
      </w:r>
      <w:r w:rsidR="00AB5562" w:rsidRPr="0073570E">
        <w:t>reduc</w:t>
      </w:r>
      <w:r w:rsidR="00943A2D" w:rsidRPr="0073570E">
        <w:t>ing</w:t>
      </w:r>
      <w:r w:rsidR="00AB5562" w:rsidRPr="0073570E">
        <w:t xml:space="preserve"> </w:t>
      </w:r>
      <w:r w:rsidR="00943A2D" w:rsidRPr="0073570E">
        <w:t xml:space="preserve">the </w:t>
      </w:r>
      <w:r w:rsidR="00AB5562" w:rsidRPr="0073570E">
        <w:t xml:space="preserve">number of experts </w:t>
      </w:r>
      <w:r w:rsidR="0086702A" w:rsidRPr="0073570E">
        <w:t>or</w:t>
      </w:r>
      <w:r w:rsidR="00AB5562" w:rsidRPr="0073570E">
        <w:t xml:space="preserve"> </w:t>
      </w:r>
      <w:r w:rsidR="00943A2D" w:rsidRPr="0073570E">
        <w:t xml:space="preserve">even relying on a </w:t>
      </w:r>
      <w:r w:rsidR="00AB5562" w:rsidRPr="0073570E">
        <w:t xml:space="preserve">single joint expert. </w:t>
      </w:r>
      <w:r w:rsidR="004D6FC0" w:rsidRPr="0073570E">
        <w:t>First, however</w:t>
      </w:r>
      <w:r w:rsidR="0086702A" w:rsidRPr="0073570E">
        <w:t xml:space="preserve">, </w:t>
      </w:r>
      <w:r w:rsidR="004D6FC0" w:rsidRPr="0073570E">
        <w:t xml:space="preserve">it is necessary to </w:t>
      </w:r>
      <w:r w:rsidR="00C1386E" w:rsidRPr="0073570E">
        <w:t xml:space="preserve">outline </w:t>
      </w:r>
      <w:r w:rsidR="004D6FC0" w:rsidRPr="0073570E">
        <w:t xml:space="preserve">the significance of </w:t>
      </w:r>
      <w:r w:rsidR="00EF242D">
        <w:t>findings</w:t>
      </w:r>
      <w:r w:rsidR="004D6FC0" w:rsidRPr="0073570E">
        <w:t xml:space="preserve"> </w:t>
      </w:r>
      <w:r w:rsidR="00C1386E" w:rsidRPr="0073570E">
        <w:t>on whet</w:t>
      </w:r>
      <w:r w:rsidR="004D6FC0" w:rsidRPr="0073570E">
        <w:t xml:space="preserve">her </w:t>
      </w:r>
      <w:r w:rsidR="00C1386E" w:rsidRPr="0073570E">
        <w:t xml:space="preserve">P </w:t>
      </w:r>
      <w:r w:rsidR="004D6FC0" w:rsidRPr="0073570E">
        <w:t>has mental capacity to make health and welfare decisions.</w:t>
      </w:r>
    </w:p>
    <w:p w:rsidR="00AF2C43" w:rsidRPr="0073570E" w:rsidRDefault="00AF2C43" w:rsidP="00AF2C43">
      <w:pPr>
        <w:jc w:val="both"/>
        <w:rPr>
          <w:b/>
        </w:rPr>
      </w:pPr>
      <w:r w:rsidRPr="0073570E">
        <w:rPr>
          <w:b/>
        </w:rPr>
        <w:t xml:space="preserve">A. The </w:t>
      </w:r>
      <w:r w:rsidR="00BF2BDD">
        <w:rPr>
          <w:b/>
        </w:rPr>
        <w:t xml:space="preserve">Magnitude </w:t>
      </w:r>
      <w:r w:rsidRPr="0073570E">
        <w:rPr>
          <w:b/>
        </w:rPr>
        <w:t xml:space="preserve">of </w:t>
      </w:r>
      <w:r w:rsidR="009C3229">
        <w:rPr>
          <w:b/>
        </w:rPr>
        <w:t>Legal Determinations</w:t>
      </w:r>
      <w:r w:rsidRPr="0073570E">
        <w:rPr>
          <w:b/>
        </w:rPr>
        <w:t xml:space="preserve"> on Mental Capacity</w:t>
      </w:r>
    </w:p>
    <w:p w:rsidR="00DC1A67" w:rsidRDefault="00595135" w:rsidP="00AF2C43">
      <w:pPr>
        <w:jc w:val="both"/>
      </w:pPr>
      <w:r>
        <w:t xml:space="preserve">The Mental Capacity Act 2005 (‘MCA’) </w:t>
      </w:r>
      <w:r w:rsidR="00DE6AD1">
        <w:t>governs decision making for those without capacity and provides the principles for determining how capacity is assess</w:t>
      </w:r>
      <w:r w:rsidR="00BC43DE">
        <w:t>ed</w:t>
      </w:r>
      <w:r w:rsidR="00DE6AD1">
        <w:t xml:space="preserve">. The MCA </w:t>
      </w:r>
      <w:r>
        <w:t>is based on a binary model</w:t>
      </w:r>
      <w:r w:rsidR="00DE6AD1">
        <w:t>,</w:t>
      </w:r>
      <w:r>
        <w:t xml:space="preserve"> whereby those </w:t>
      </w:r>
      <w:r w:rsidRPr="00DE6AD1">
        <w:rPr>
          <w:i/>
        </w:rPr>
        <w:t>with</w:t>
      </w:r>
      <w:r>
        <w:t xml:space="preserve"> capacity have a robust right to decide for themselves which is fiercely protected</w:t>
      </w:r>
      <w:r>
        <w:rPr>
          <w:rStyle w:val="FootnoteReference"/>
        </w:rPr>
        <w:footnoteReference w:id="6"/>
      </w:r>
      <w:r>
        <w:t xml:space="preserve">, and those judged </w:t>
      </w:r>
      <w:r w:rsidRPr="00CA169C">
        <w:rPr>
          <w:i/>
        </w:rPr>
        <w:t>not</w:t>
      </w:r>
      <w:r>
        <w:t xml:space="preserve"> to have capacity are subjected to a regime of </w:t>
      </w:r>
      <w:r w:rsidR="00572DFE">
        <w:t>d</w:t>
      </w:r>
      <w:r>
        <w:t>ecision making</w:t>
      </w:r>
      <w:r w:rsidR="00572DFE">
        <w:t xml:space="preserve"> by others according to P’s ‘best interests’</w:t>
      </w:r>
      <w:r w:rsidR="00572DFE">
        <w:rPr>
          <w:rStyle w:val="FootnoteReference"/>
        </w:rPr>
        <w:footnoteReference w:id="7"/>
      </w:r>
      <w:r>
        <w:t xml:space="preserve">. </w:t>
      </w:r>
      <w:r w:rsidR="009C3229" w:rsidRPr="0073570E">
        <w:t>The arguments for the law adopting a rigorous, robust approach to capacity assessment which embraces ‘epistemic diversity’</w:t>
      </w:r>
      <w:r w:rsidR="009C3229" w:rsidRPr="0073570E">
        <w:rPr>
          <w:rStyle w:val="FootnoteReference"/>
        </w:rPr>
        <w:footnoteReference w:id="8"/>
      </w:r>
      <w:r w:rsidR="009C3229" w:rsidRPr="0073570E">
        <w:t xml:space="preserve"> (used here to mean an inclusive approach drawing from the evidence and perspectives of non-medics and also non-experts, such as P and P’s family) hardly needs stating. </w:t>
      </w:r>
      <w:r w:rsidR="00AF2C43" w:rsidRPr="0073570E">
        <w:t>A finding t</w:t>
      </w:r>
      <w:r w:rsidR="00BC43DE">
        <w:t>hat P lacks the</w:t>
      </w:r>
      <w:r w:rsidR="00AF2C43" w:rsidRPr="0073570E">
        <w:t xml:space="preserve"> capacity to make decisions for themselves on medical treatment, residence or care is of grave and sometimes devastating import. In legal terms, </w:t>
      </w:r>
      <w:r w:rsidR="00A86C3D">
        <w:t xml:space="preserve">a determination of </w:t>
      </w:r>
      <w:r w:rsidR="00A86C3D">
        <w:rPr>
          <w:i/>
        </w:rPr>
        <w:t>incapacity</w:t>
      </w:r>
      <w:r w:rsidR="00AF2C43" w:rsidRPr="0073570E">
        <w:t xml:space="preserve"> is the trigger for exposing P to decision making by others and to the powers of the </w:t>
      </w:r>
      <w:proofErr w:type="spellStart"/>
      <w:r w:rsidR="00AF2C43" w:rsidRPr="0073570E">
        <w:t>CoP</w:t>
      </w:r>
      <w:proofErr w:type="spellEnd"/>
      <w:r w:rsidR="00AF2C43" w:rsidRPr="0073570E">
        <w:t xml:space="preserve"> which, in the words of Justice Hedley, can be ‘invasive and </w:t>
      </w:r>
      <w:r w:rsidR="00AF2C43" w:rsidRPr="0073570E">
        <w:lastRenderedPageBreak/>
        <w:t>draconian’</w:t>
      </w:r>
      <w:r>
        <w:rPr>
          <w:rStyle w:val="FootnoteReference"/>
        </w:rPr>
        <w:footnoteReference w:id="9"/>
      </w:r>
      <w:r w:rsidR="00AF2C43" w:rsidRPr="0073570E">
        <w:t xml:space="preserve">, </w:t>
      </w:r>
      <w:r w:rsidR="00A21727">
        <w:t>as they can include, for example, the authorisation of detention, sedation or other forms of restraint or force whilst treatment or care is provided.</w:t>
      </w:r>
      <w:r w:rsidR="00992534">
        <w:rPr>
          <w:rStyle w:val="FootnoteReference"/>
        </w:rPr>
        <w:footnoteReference w:id="10"/>
      </w:r>
      <w:r w:rsidR="00AF2C43" w:rsidRPr="0073570E">
        <w:t xml:space="preserve"> </w:t>
      </w:r>
      <w:r w:rsidR="00D31C02">
        <w:t>In this respect, a finding of incapacity has been usefully described as a ‘cliff edge off which one falls into the clinging embrace of paternalism’.</w:t>
      </w:r>
      <w:r w:rsidR="00D31C02">
        <w:rPr>
          <w:rStyle w:val="FootnoteReference"/>
        </w:rPr>
        <w:footnoteReference w:id="11"/>
      </w:r>
    </w:p>
    <w:p w:rsidR="00EF06E7" w:rsidRDefault="00EF06E7" w:rsidP="00AF2C43">
      <w:pPr>
        <w:jc w:val="both"/>
      </w:pPr>
      <w:r>
        <w:t>The</w:t>
      </w:r>
      <w:r w:rsidR="00232E8A">
        <w:t xml:space="preserve"> import of a finding of incapacity therefore requires that the capacity/incapacity </w:t>
      </w:r>
      <w:r>
        <w:t>boundary must be vigilantly patrolled</w:t>
      </w:r>
      <w:r w:rsidR="00232E8A">
        <w:t>. S</w:t>
      </w:r>
      <w:r>
        <w:t>uggestion</w:t>
      </w:r>
      <w:r w:rsidR="00232E8A">
        <w:t>s</w:t>
      </w:r>
      <w:r>
        <w:t xml:space="preserve"> that the </w:t>
      </w:r>
      <w:r w:rsidR="00232E8A">
        <w:t xml:space="preserve">assessment of </w:t>
      </w:r>
      <w:r>
        <w:t xml:space="preserve">capacity has been </w:t>
      </w:r>
      <w:proofErr w:type="spellStart"/>
      <w:r>
        <w:t>medicalised</w:t>
      </w:r>
      <w:proofErr w:type="spellEnd"/>
      <w:r w:rsidR="00232E8A">
        <w:t xml:space="preserve"> provoke real</w:t>
      </w:r>
      <w:r>
        <w:t xml:space="preserve"> concern</w:t>
      </w:r>
      <w:r w:rsidR="00232E8A">
        <w:t>,</w:t>
      </w:r>
      <w:r>
        <w:t xml:space="preserve"> not least because of the </w:t>
      </w:r>
      <w:r w:rsidRPr="0073570E">
        <w:t xml:space="preserve">tendency of medical </w:t>
      </w:r>
      <w:r w:rsidR="00232E8A">
        <w:t>opinion</w:t>
      </w:r>
      <w:r w:rsidRPr="0073570E">
        <w:t xml:space="preserve"> to be portrayed as objective fact, leaving little room for argument and reducing the scope for challenge.</w:t>
      </w:r>
      <w:r w:rsidRPr="0073570E">
        <w:rPr>
          <w:rStyle w:val="FootnoteReference"/>
          <w:color w:val="000000" w:themeColor="text1"/>
        </w:rPr>
        <w:footnoteReference w:id="12"/>
      </w:r>
      <w:r w:rsidRPr="0073570E">
        <w:rPr>
          <w:color w:val="000000" w:themeColor="text1"/>
        </w:rPr>
        <w:t xml:space="preserve"> </w:t>
      </w:r>
      <w:r w:rsidRPr="0073570E">
        <w:t xml:space="preserve">Foster and </w:t>
      </w:r>
      <w:proofErr w:type="spellStart"/>
      <w:r w:rsidRPr="0073570E">
        <w:t>Miola</w:t>
      </w:r>
      <w:proofErr w:type="spellEnd"/>
      <w:r w:rsidRPr="0073570E">
        <w:t xml:space="preserve"> argued </w:t>
      </w:r>
      <w:r w:rsidR="00A86C3D">
        <w:t xml:space="preserve">recently </w:t>
      </w:r>
      <w:r w:rsidRPr="0073570E">
        <w:t>that in respect of key issues in medical law where the nature of the decision is ethical, ‘the law is not just entitled but is obliged to be the final arbiter.’</w:t>
      </w:r>
      <w:r w:rsidRPr="0073570E">
        <w:rPr>
          <w:rStyle w:val="FootnoteReference"/>
        </w:rPr>
        <w:footnoteReference w:id="13"/>
      </w:r>
      <w:r w:rsidRPr="0073570E">
        <w:t xml:space="preserve"> It is argued here that mental capacity assessment occupies one of t</w:t>
      </w:r>
      <w:r w:rsidR="00232E8A">
        <w:t>hese primarily ‘ethical’ domains</w:t>
      </w:r>
      <w:r w:rsidRPr="0073570E">
        <w:t>. It is not ‘purely technical’; its p</w:t>
      </w:r>
      <w:r w:rsidR="00A86C3D">
        <w:t>osition</w:t>
      </w:r>
      <w:r w:rsidRPr="0073570E">
        <w:t xml:space="preserve"> as a process which suspends </w:t>
      </w:r>
      <w:r w:rsidR="00A86C3D">
        <w:t xml:space="preserve">P’s decision making </w:t>
      </w:r>
      <w:r w:rsidRPr="0073570E">
        <w:t>autonomy and opens the door to ‘best interests’ decision making by professionals means that the issue of P’s capacity will very often comprise value judgements,</w:t>
      </w:r>
      <w:r w:rsidRPr="0073570E">
        <w:rPr>
          <w:rStyle w:val="FootnoteReference"/>
        </w:rPr>
        <w:footnoteReference w:id="14"/>
      </w:r>
      <w:r w:rsidRPr="0073570E">
        <w:t xml:space="preserve"> inevitably informed by the decision maker’s perspective on where the line between</w:t>
      </w:r>
      <w:r w:rsidR="00232E8A">
        <w:t xml:space="preserve"> protecting P’s</w:t>
      </w:r>
      <w:r w:rsidRPr="0073570E">
        <w:t xml:space="preserve"> autonomy and </w:t>
      </w:r>
      <w:r w:rsidR="00232E8A">
        <w:t>surrendering P to ‘</w:t>
      </w:r>
      <w:r w:rsidRPr="0073570E">
        <w:t>best interests</w:t>
      </w:r>
      <w:r w:rsidR="00232E8A">
        <w:t>’ decision making</w:t>
      </w:r>
      <w:r w:rsidRPr="0073570E">
        <w:t xml:space="preserve"> should be drawn.</w:t>
      </w:r>
    </w:p>
    <w:p w:rsidR="0046076B" w:rsidRDefault="00DC1A67" w:rsidP="00AF2C43">
      <w:pPr>
        <w:jc w:val="both"/>
      </w:pPr>
      <w:r>
        <w:t>A finding that P lacks mental capacity which then f</w:t>
      </w:r>
      <w:r w:rsidR="005E0394">
        <w:t>orfeit</w:t>
      </w:r>
      <w:r>
        <w:t>s</w:t>
      </w:r>
      <w:r w:rsidR="005E0394">
        <w:t xml:space="preserve"> P’s right to make </w:t>
      </w:r>
      <w:r>
        <w:t>her</w:t>
      </w:r>
      <w:r w:rsidR="005E0394">
        <w:t xml:space="preserve"> own decisions</w:t>
      </w:r>
      <w:r w:rsidR="00EF06E7">
        <w:t xml:space="preserve"> has human rights </w:t>
      </w:r>
      <w:r w:rsidR="00ED5559">
        <w:t>dimensions</w:t>
      </w:r>
      <w:r w:rsidR="00EF06E7">
        <w:t>.</w:t>
      </w:r>
      <w:r w:rsidR="005E0394">
        <w:t xml:space="preserve"> </w:t>
      </w:r>
      <w:r w:rsidR="00EF06E7">
        <w:t xml:space="preserve">It </w:t>
      </w:r>
      <w:r w:rsidR="003E2E4A">
        <w:t xml:space="preserve">can </w:t>
      </w:r>
      <w:r w:rsidR="00EF06E7">
        <w:t xml:space="preserve">constitute an </w:t>
      </w:r>
      <w:r w:rsidR="005E0394">
        <w:t>interfere</w:t>
      </w:r>
      <w:r w:rsidR="00EF06E7">
        <w:t>nce</w:t>
      </w:r>
      <w:r w:rsidR="005E0394">
        <w:t xml:space="preserve"> with </w:t>
      </w:r>
      <w:r>
        <w:t>her</w:t>
      </w:r>
      <w:r w:rsidR="005E0394">
        <w:t xml:space="preserve"> Article 8 rights to respect for ‘privacy and family life’ under the European Convention of Human Rights</w:t>
      </w:r>
      <w:r w:rsidR="00A354A5">
        <w:t xml:space="preserve"> (ECHR)</w:t>
      </w:r>
      <w:r w:rsidR="005E0394">
        <w:t xml:space="preserve">. </w:t>
      </w:r>
      <w:r>
        <w:t>Whilst i</w:t>
      </w:r>
      <w:r w:rsidR="003E2E4A">
        <w:t xml:space="preserve">t is rare </w:t>
      </w:r>
      <w:r>
        <w:t>for</w:t>
      </w:r>
      <w:r w:rsidR="003E2E4A">
        <w:t xml:space="preserve"> the </w:t>
      </w:r>
      <w:proofErr w:type="spellStart"/>
      <w:r w:rsidR="003E2E4A">
        <w:t>CoP</w:t>
      </w:r>
      <w:proofErr w:type="spellEnd"/>
      <w:r w:rsidR="003E2E4A">
        <w:t xml:space="preserve"> </w:t>
      </w:r>
      <w:r>
        <w:t xml:space="preserve">to explicitly </w:t>
      </w:r>
      <w:r w:rsidR="003E2E4A">
        <w:t>reference Article 8 in its judgments, it is clear that the jurisprudence of Article 8 underpins P’s right to self-determination.</w:t>
      </w:r>
      <w:r w:rsidR="003E2E4A">
        <w:rPr>
          <w:rStyle w:val="FootnoteReference"/>
        </w:rPr>
        <w:footnoteReference w:id="15"/>
      </w:r>
      <w:r w:rsidR="003E2E4A">
        <w:t xml:space="preserve"> </w:t>
      </w:r>
      <w:r w:rsidR="005E0394">
        <w:t xml:space="preserve">Imposing medical treatment or decisions about where P should live and receive care without P’s consent can </w:t>
      </w:r>
      <w:r w:rsidR="0046076B">
        <w:t>violate her</w:t>
      </w:r>
      <w:r w:rsidR="005E0394">
        <w:t xml:space="preserve"> Article 8</w:t>
      </w:r>
      <w:r w:rsidR="0046076B">
        <w:t xml:space="preserve"> rights</w:t>
      </w:r>
      <w:r w:rsidR="005E0394">
        <w:t>.</w:t>
      </w:r>
      <w:r w:rsidR="005E0394">
        <w:rPr>
          <w:rStyle w:val="FootnoteReference"/>
        </w:rPr>
        <w:footnoteReference w:id="16"/>
      </w:r>
      <w:r w:rsidR="005E0394">
        <w:t xml:space="preserve"> </w:t>
      </w:r>
      <w:r w:rsidR="009D6405">
        <w:t xml:space="preserve">Article 8 jurisprudence emphasises that the boundary between capacity and incapacity is to be subject to </w:t>
      </w:r>
      <w:r w:rsidR="009D6405">
        <w:lastRenderedPageBreak/>
        <w:t xml:space="preserve">strict scrutiny </w:t>
      </w:r>
      <w:r w:rsidR="008824F3">
        <w:t xml:space="preserve">(such scrutiny presumably to be proportionate to the interests at stake) </w:t>
      </w:r>
      <w:r w:rsidR="009D6405">
        <w:t>and the denial of capacity should be reserved for ‘exceptional circumstances’.</w:t>
      </w:r>
      <w:r w:rsidR="009D6405">
        <w:rPr>
          <w:rStyle w:val="FootnoteReference"/>
        </w:rPr>
        <w:footnoteReference w:id="17"/>
      </w:r>
      <w:r w:rsidR="009D6405">
        <w:t xml:space="preserve"> </w:t>
      </w:r>
    </w:p>
    <w:p w:rsidR="00073D7A" w:rsidRDefault="00707133" w:rsidP="00AF2C43">
      <w:pPr>
        <w:jc w:val="both"/>
      </w:pPr>
      <w:r>
        <w:t xml:space="preserve">Allegations of deference in capacity assessment take on </w:t>
      </w:r>
      <w:r w:rsidR="003E2E4A">
        <w:t xml:space="preserve">even </w:t>
      </w:r>
      <w:r w:rsidR="00531F4D">
        <w:t>greater</w:t>
      </w:r>
      <w:r>
        <w:t xml:space="preserve"> significance in light of the UK</w:t>
      </w:r>
      <w:r w:rsidR="00E70F8E">
        <w:t>’s commitments under</w:t>
      </w:r>
      <w:r>
        <w:t xml:space="preserve"> the United Nations Convention on the Rights of Persons with Disabilities (CRPD).</w:t>
      </w:r>
      <w:r w:rsidR="0043001D">
        <w:t xml:space="preserve"> </w:t>
      </w:r>
      <w:r w:rsidR="00073D7A" w:rsidRPr="000D2379">
        <w:t xml:space="preserve">Although </w:t>
      </w:r>
      <w:r w:rsidR="00925027">
        <w:t>the Convention i</w:t>
      </w:r>
      <w:r w:rsidR="00073D7A" w:rsidRPr="000D2379">
        <w:t>s not</w:t>
      </w:r>
      <w:r w:rsidR="00073D7A">
        <w:t xml:space="preserve"> currently</w:t>
      </w:r>
      <w:r w:rsidR="00073D7A" w:rsidRPr="000D2379">
        <w:t xml:space="preserve"> </w:t>
      </w:r>
      <w:r w:rsidR="00073D7A">
        <w:t>incorporated into domestic law,</w:t>
      </w:r>
      <w:r w:rsidR="00073D7A" w:rsidRPr="000D2379">
        <w:t xml:space="preserve"> the UK is a signatory which signals a </w:t>
      </w:r>
      <w:r w:rsidR="00EF06E7">
        <w:t xml:space="preserve">pledge </w:t>
      </w:r>
      <w:r w:rsidR="00073D7A" w:rsidRPr="000D2379">
        <w:t xml:space="preserve">to develop our </w:t>
      </w:r>
      <w:r w:rsidR="00073D7A">
        <w:t xml:space="preserve">legal </w:t>
      </w:r>
      <w:r w:rsidR="00073D7A" w:rsidRPr="000D2379">
        <w:t>frameworks in a way which better protects Convention rights.</w:t>
      </w:r>
      <w:r w:rsidR="00073D7A">
        <w:rPr>
          <w:rStyle w:val="FootnoteReference"/>
        </w:rPr>
        <w:footnoteReference w:id="18"/>
      </w:r>
      <w:r w:rsidR="00073D7A">
        <w:t xml:space="preserve"> The CRPD has also been referenced as an aid to construction of the ECHR.</w:t>
      </w:r>
      <w:r w:rsidR="00073D7A">
        <w:rPr>
          <w:rStyle w:val="FootnoteReference"/>
        </w:rPr>
        <w:footnoteReference w:id="19"/>
      </w:r>
      <w:r w:rsidR="00925027">
        <w:t xml:space="preserve"> </w:t>
      </w:r>
      <w:r w:rsidR="002A669E">
        <w:t>Article 12(2)</w:t>
      </w:r>
      <w:r w:rsidR="00E70F8E">
        <w:t xml:space="preserve"> of the CRPD</w:t>
      </w:r>
      <w:r w:rsidR="002A669E">
        <w:t xml:space="preserve"> </w:t>
      </w:r>
      <w:r w:rsidR="00572DFE">
        <w:t xml:space="preserve">expresses the principle of universal legal capacity which </w:t>
      </w:r>
      <w:r w:rsidR="00F86765">
        <w:t xml:space="preserve">requires </w:t>
      </w:r>
      <w:r w:rsidR="002A669E">
        <w:t>that persons with disabilities</w:t>
      </w:r>
      <w:r w:rsidR="002F164D">
        <w:t xml:space="preserve"> should</w:t>
      </w:r>
      <w:r w:rsidR="002A669E">
        <w:t xml:space="preserve"> ‘enjoy legal capacity on an equal basis before the law’</w:t>
      </w:r>
      <w:r w:rsidR="00F62633">
        <w:t xml:space="preserve">. </w:t>
      </w:r>
      <w:r w:rsidR="00A228AE">
        <w:t xml:space="preserve">Legal capacity exists at two levels; </w:t>
      </w:r>
      <w:r w:rsidR="00B92E0C">
        <w:t>‘</w:t>
      </w:r>
      <w:r w:rsidR="00A228AE">
        <w:t>legal standing</w:t>
      </w:r>
      <w:r w:rsidR="00B92E0C">
        <w:t>’</w:t>
      </w:r>
      <w:r w:rsidR="00A228AE">
        <w:t xml:space="preserve"> </w:t>
      </w:r>
      <w:r w:rsidR="003E2E4A">
        <w:t>(referring to</w:t>
      </w:r>
      <w:r w:rsidR="00B92E0C">
        <w:t xml:space="preserve"> being recognised as a person before the law</w:t>
      </w:r>
      <w:r w:rsidR="00A354A5">
        <w:t xml:space="preserve"> as </w:t>
      </w:r>
      <w:r w:rsidR="001C3407">
        <w:t>a</w:t>
      </w:r>
      <w:r w:rsidR="00A354A5">
        <w:t xml:space="preserve"> holder of rights and duties</w:t>
      </w:r>
      <w:r w:rsidR="003E2E4A">
        <w:t xml:space="preserve">) </w:t>
      </w:r>
      <w:r w:rsidR="00A228AE">
        <w:t xml:space="preserve">and </w:t>
      </w:r>
      <w:r w:rsidR="00B92E0C">
        <w:t>‘</w:t>
      </w:r>
      <w:r w:rsidR="00A228AE">
        <w:t>legal agency</w:t>
      </w:r>
      <w:r w:rsidR="00B92E0C">
        <w:t>’</w:t>
      </w:r>
      <w:r w:rsidR="003E2E4A">
        <w:t xml:space="preserve"> (meaning the</w:t>
      </w:r>
      <w:r w:rsidR="00B92E0C">
        <w:t xml:space="preserve"> ability to exercise th</w:t>
      </w:r>
      <w:r w:rsidR="00A354A5">
        <w:t>ose rights</w:t>
      </w:r>
      <w:r w:rsidR="003E2E4A">
        <w:t>)</w:t>
      </w:r>
      <w:r w:rsidR="00F62633">
        <w:t>.</w:t>
      </w:r>
      <w:r w:rsidR="00B92E0C">
        <w:rPr>
          <w:rStyle w:val="FootnoteReference"/>
        </w:rPr>
        <w:footnoteReference w:id="20"/>
      </w:r>
      <w:r w:rsidR="00F62633">
        <w:t xml:space="preserve">  </w:t>
      </w:r>
      <w:r w:rsidR="00A354A5">
        <w:t xml:space="preserve">The concept of ‘legal capacity’ is therefore distinct from that of ‘mental capacity’. CRPD </w:t>
      </w:r>
      <w:r w:rsidR="00CA169C" w:rsidRPr="00CA169C">
        <w:rPr>
          <w:i/>
        </w:rPr>
        <w:t>General Comment No. 1</w:t>
      </w:r>
      <w:r w:rsidR="00D564DD">
        <w:t xml:space="preserve"> </w:t>
      </w:r>
      <w:r w:rsidR="00B55936">
        <w:t xml:space="preserve">includes a resounding rejection of medical models of capacity. Paragraph 14 </w:t>
      </w:r>
      <w:r w:rsidR="00073D7A">
        <w:t>disapproves</w:t>
      </w:r>
      <w:r w:rsidR="00B55936">
        <w:t xml:space="preserve"> of</w:t>
      </w:r>
      <w:r w:rsidR="00073D7A">
        <w:t xml:space="preserve"> attempts to </w:t>
      </w:r>
      <w:r w:rsidR="00572DFE">
        <w:t xml:space="preserve">equate </w:t>
      </w:r>
      <w:r w:rsidR="00073D7A">
        <w:t xml:space="preserve">legal capacity </w:t>
      </w:r>
      <w:r w:rsidR="00572DFE">
        <w:t>with mental capacity</w:t>
      </w:r>
      <w:r w:rsidR="00A86C3D">
        <w:t>,</w:t>
      </w:r>
      <w:r w:rsidR="00572DFE">
        <w:t xml:space="preserve"> </w:t>
      </w:r>
      <w:r w:rsidR="00073D7A">
        <w:t>observ</w:t>
      </w:r>
      <w:r w:rsidR="00925027">
        <w:t>ing</w:t>
      </w:r>
      <w:r w:rsidR="00073D7A">
        <w:t xml:space="preserve"> of the </w:t>
      </w:r>
      <w:r w:rsidR="00572DFE">
        <w:t>latt</w:t>
      </w:r>
      <w:r w:rsidR="00073D7A">
        <w:t>er that it is not ‘</w:t>
      </w:r>
      <w:r w:rsidR="00D564DD">
        <w:t>as is commonly presented, an objective, scientific and naturally occurring phenomenon</w:t>
      </w:r>
      <w:r w:rsidR="00073D7A">
        <w:t>’ but rather mental capacity is ‘</w:t>
      </w:r>
      <w:r w:rsidR="00D564DD">
        <w:t>contingent on social and political contexts, as are the disciplines, professions and practices which play a dominant role in assessing mental capacity.’</w:t>
      </w:r>
      <w:r w:rsidR="00D564DD">
        <w:rPr>
          <w:rStyle w:val="FootnoteReference"/>
        </w:rPr>
        <w:footnoteReference w:id="21"/>
      </w:r>
      <w:r w:rsidR="00A86C3D">
        <w:t xml:space="preserve"> This suggests that </w:t>
      </w:r>
      <w:r w:rsidR="00925027">
        <w:t>heavy reliance on medical opinion to determine capacity conflict</w:t>
      </w:r>
      <w:r w:rsidR="006C5F1D">
        <w:t>s</w:t>
      </w:r>
      <w:r w:rsidR="00925027">
        <w:t xml:space="preserve"> with CRPD values</w:t>
      </w:r>
      <w:r w:rsidR="006C5F1D">
        <w:t>,</w:t>
      </w:r>
      <w:r w:rsidR="00925027">
        <w:t xml:space="preserve"> in that it further entrenches a medical model of capacity which the CRPD </w:t>
      </w:r>
      <w:r w:rsidR="006C5F1D">
        <w:t xml:space="preserve">regards as </w:t>
      </w:r>
      <w:r w:rsidR="00925027">
        <w:t>inherently discriminatory.</w:t>
      </w:r>
      <w:r w:rsidR="00925027">
        <w:rPr>
          <w:rStyle w:val="FootnoteReference"/>
        </w:rPr>
        <w:footnoteReference w:id="22"/>
      </w:r>
      <w:r w:rsidR="00925027">
        <w:t xml:space="preserve"> It also suggests that </w:t>
      </w:r>
      <w:r w:rsidR="00A86C3D">
        <w:t>t</w:t>
      </w:r>
      <w:r w:rsidR="00073D7A">
        <w:t>he future of the concept of mental capacity</w:t>
      </w:r>
      <w:r w:rsidR="00925027">
        <w:t xml:space="preserve"> in UK law is</w:t>
      </w:r>
      <w:r w:rsidR="00073D7A">
        <w:t xml:space="preserve"> precarious</w:t>
      </w:r>
      <w:r w:rsidR="00F86765">
        <w:t xml:space="preserve">. </w:t>
      </w:r>
      <w:r w:rsidR="00A86C3D">
        <w:t xml:space="preserve">There are signs that </w:t>
      </w:r>
      <w:proofErr w:type="spellStart"/>
      <w:r w:rsidR="00A86C3D">
        <w:t>CoP</w:t>
      </w:r>
      <w:proofErr w:type="spellEnd"/>
      <w:r w:rsidR="00A86C3D">
        <w:t xml:space="preserve"> jurisprudence is inching closer to CRPD principles by a deliberate ‘softening’ of the mental capacity/incapacity distinction. To this end, a number of judgments have signalled greater importance being attached to P’s wishes and feelings in the ‘best interests’ calculation,</w:t>
      </w:r>
      <w:r w:rsidR="00A86C3D">
        <w:rPr>
          <w:rStyle w:val="FootnoteReference"/>
        </w:rPr>
        <w:footnoteReference w:id="23"/>
      </w:r>
      <w:r w:rsidR="00A86C3D">
        <w:t xml:space="preserve"> and mental incapacity is not to be treated as ‘an off switch for P’s rights and freedoms.’</w:t>
      </w:r>
      <w:r w:rsidR="00A86C3D">
        <w:rPr>
          <w:rStyle w:val="FootnoteReference"/>
        </w:rPr>
        <w:footnoteReference w:id="24"/>
      </w:r>
      <w:r w:rsidR="00A86C3D">
        <w:t xml:space="preserve"> </w:t>
      </w:r>
      <w:r w:rsidR="00B55936">
        <w:t>However, m</w:t>
      </w:r>
      <w:r w:rsidR="00A86C3D">
        <w:t xml:space="preserve">any view the CRPD as requiring a more radical </w:t>
      </w:r>
      <w:r w:rsidR="00073D7A">
        <w:t>deconstruction of the binary MCA framework</w:t>
      </w:r>
      <w:r w:rsidR="00A86C3D">
        <w:t xml:space="preserve"> and </w:t>
      </w:r>
      <w:r w:rsidR="00B55936">
        <w:t xml:space="preserve">a </w:t>
      </w:r>
      <w:r w:rsidR="00A86C3D">
        <w:t>jettisoning of the concept of mental capacity as we know it.</w:t>
      </w:r>
      <w:r w:rsidR="006C5F1D">
        <w:rPr>
          <w:rStyle w:val="FootnoteReference"/>
        </w:rPr>
        <w:footnoteReference w:id="25"/>
      </w:r>
      <w:r w:rsidR="00A86C3D">
        <w:t xml:space="preserve"> </w:t>
      </w:r>
      <w:r w:rsidR="00B55936">
        <w:t>S</w:t>
      </w:r>
      <w:r w:rsidR="00A86C3D">
        <w:t xml:space="preserve">uch radical </w:t>
      </w:r>
      <w:r w:rsidR="00A86C3D">
        <w:lastRenderedPageBreak/>
        <w:t>reshaping of medical law</w:t>
      </w:r>
      <w:r w:rsidR="00073D7A">
        <w:t xml:space="preserve"> is unlikely to be imminent</w:t>
      </w:r>
      <w:r w:rsidR="00B55936">
        <w:t>,</w:t>
      </w:r>
      <w:r w:rsidR="00F86765">
        <w:rPr>
          <w:rStyle w:val="FootnoteReference"/>
        </w:rPr>
        <w:footnoteReference w:id="26"/>
      </w:r>
      <w:r w:rsidR="00073D7A">
        <w:t xml:space="preserve"> and in the meantime the judiciary is tasked with the job of </w:t>
      </w:r>
      <w:r w:rsidR="00B55936">
        <w:t>remoulding</w:t>
      </w:r>
      <w:r w:rsidR="00073D7A">
        <w:t xml:space="preserve"> existing structures so as to bring them closer to CRPD values</w:t>
      </w:r>
      <w:r w:rsidR="00B55936">
        <w:t xml:space="preserve"> such as non-discrimination against those with physical or mental disabilities</w:t>
      </w:r>
      <w:r w:rsidR="00073D7A">
        <w:t>.</w:t>
      </w:r>
      <w:r w:rsidR="00073D7A">
        <w:rPr>
          <w:rStyle w:val="FootnoteReference"/>
        </w:rPr>
        <w:footnoteReference w:id="27"/>
      </w:r>
      <w:r w:rsidR="00073D7A">
        <w:t xml:space="preserve"> </w:t>
      </w:r>
    </w:p>
    <w:p w:rsidR="00B92E0C" w:rsidRDefault="0035731D" w:rsidP="001A4179">
      <w:pPr>
        <w:jc w:val="both"/>
        <w:rPr>
          <w:b/>
        </w:rPr>
      </w:pPr>
      <w:r w:rsidRPr="0073570E">
        <w:t xml:space="preserve">The first step in identifying whether the construction of capacity in the courtroom has been </w:t>
      </w:r>
      <w:proofErr w:type="spellStart"/>
      <w:r w:rsidRPr="0073570E">
        <w:t>medicalised</w:t>
      </w:r>
      <w:proofErr w:type="spellEnd"/>
      <w:r w:rsidRPr="0073570E">
        <w:t xml:space="preserve"> is to explore how the law defines incapacity and to what extent, if at all, medical </w:t>
      </w:r>
      <w:r w:rsidR="0063615D">
        <w:t>expertise is</w:t>
      </w:r>
      <w:r w:rsidRPr="0073570E">
        <w:t xml:space="preserve"> given prominence in the application of this test. The answer to this question will vary from case to case, but it is nonetheless possible to broadly specify general principles regarding the epistemic competence of medicine on the issue of capacity assessment.</w:t>
      </w:r>
    </w:p>
    <w:p w:rsidR="001A4179" w:rsidRPr="0073570E" w:rsidRDefault="0035731D" w:rsidP="001A4179">
      <w:pPr>
        <w:jc w:val="both"/>
        <w:rPr>
          <w:b/>
        </w:rPr>
      </w:pPr>
      <w:r>
        <w:rPr>
          <w:b/>
        </w:rPr>
        <w:t>B</w:t>
      </w:r>
      <w:r w:rsidR="001A4179" w:rsidRPr="0073570E">
        <w:rPr>
          <w:b/>
        </w:rPr>
        <w:t xml:space="preserve">. Negotiable Spaces in the Business of </w:t>
      </w:r>
      <w:r w:rsidR="006465BC" w:rsidRPr="0073570E">
        <w:rPr>
          <w:b/>
        </w:rPr>
        <w:t xml:space="preserve">Mental </w:t>
      </w:r>
      <w:r w:rsidR="001A4179" w:rsidRPr="0073570E">
        <w:rPr>
          <w:b/>
        </w:rPr>
        <w:t>Capacity Assessment and the Prominence of Clinical Judgement</w:t>
      </w:r>
    </w:p>
    <w:p w:rsidR="00A86C3D" w:rsidRDefault="0063615D" w:rsidP="001A4179">
      <w:pPr>
        <w:jc w:val="both"/>
      </w:pPr>
      <w:r>
        <w:t xml:space="preserve">Although the health and welfare cases which come before the </w:t>
      </w:r>
      <w:proofErr w:type="spellStart"/>
      <w:r>
        <w:t>CoP</w:t>
      </w:r>
      <w:proofErr w:type="spellEnd"/>
      <w:r>
        <w:t xml:space="preserve"> give rise to issues of ECHR and CRPD compliance, </w:t>
      </w:r>
      <w:proofErr w:type="spellStart"/>
      <w:r>
        <w:t>CoP</w:t>
      </w:r>
      <w:proofErr w:type="spellEnd"/>
      <w:r>
        <w:t xml:space="preserve"> judgments generally engage explicitly only with domestic law. </w:t>
      </w:r>
      <w:r w:rsidR="00E5786E">
        <w:t>T</w:t>
      </w:r>
      <w:r w:rsidR="001A4179" w:rsidRPr="0073570E">
        <w:t xml:space="preserve">he </w:t>
      </w:r>
      <w:r w:rsidR="00ED0BF1">
        <w:t xml:space="preserve">MCA </w:t>
      </w:r>
      <w:r w:rsidR="001A4179" w:rsidRPr="0073570E">
        <w:t>sets out the ‘intellectual framework’</w:t>
      </w:r>
      <w:r w:rsidR="001A4179" w:rsidRPr="0073570E">
        <w:rPr>
          <w:rStyle w:val="FootnoteReference"/>
        </w:rPr>
        <w:footnoteReference w:id="28"/>
      </w:r>
      <w:r w:rsidR="001A4179" w:rsidRPr="0073570E">
        <w:t xml:space="preserve"> for assessing </w:t>
      </w:r>
      <w:r w:rsidR="00A2466D">
        <w:t xml:space="preserve">mental </w:t>
      </w:r>
      <w:r w:rsidR="001A4179" w:rsidRPr="0073570E">
        <w:t xml:space="preserve">capacity, </w:t>
      </w:r>
      <w:r w:rsidR="00E5786E">
        <w:t xml:space="preserve">but </w:t>
      </w:r>
      <w:r w:rsidR="001A4179" w:rsidRPr="0073570E">
        <w:t xml:space="preserve">is silent on whose </w:t>
      </w:r>
      <w:r w:rsidR="00E5786E">
        <w:t xml:space="preserve">evidence matters </w:t>
      </w:r>
      <w:r w:rsidR="001A4179" w:rsidRPr="0073570E">
        <w:t xml:space="preserve">in the cases which come before the </w:t>
      </w:r>
      <w:proofErr w:type="spellStart"/>
      <w:r w:rsidR="001A4179" w:rsidRPr="0073570E">
        <w:t>CoP.</w:t>
      </w:r>
      <w:proofErr w:type="spellEnd"/>
      <w:r w:rsidR="00135157" w:rsidRPr="0073570E">
        <w:t xml:space="preserve"> </w:t>
      </w:r>
      <w:r w:rsidR="001A4179" w:rsidRPr="0073570E">
        <w:t xml:space="preserve">As such, </w:t>
      </w:r>
      <w:r w:rsidR="00FB2BCA" w:rsidRPr="0073570E">
        <w:t xml:space="preserve">the </w:t>
      </w:r>
      <w:r w:rsidR="00E5786E">
        <w:t>Act</w:t>
      </w:r>
      <w:r w:rsidR="00FB2BCA" w:rsidRPr="0073570E">
        <w:t xml:space="preserve"> generate</w:t>
      </w:r>
      <w:r w:rsidR="00E5786E">
        <w:t>s</w:t>
      </w:r>
      <w:r w:rsidR="00FB2BCA" w:rsidRPr="0073570E">
        <w:t xml:space="preserve"> substantial </w:t>
      </w:r>
      <w:r w:rsidR="001A4179" w:rsidRPr="0073570E">
        <w:t>negotiable territory</w:t>
      </w:r>
      <w:r w:rsidR="00FB2BCA" w:rsidRPr="0073570E">
        <w:t xml:space="preserve"> regarding how </w:t>
      </w:r>
      <w:r w:rsidR="00E5786E">
        <w:t xml:space="preserve">its provisions </w:t>
      </w:r>
      <w:r w:rsidR="00FB2BCA" w:rsidRPr="0073570E">
        <w:t>are</w:t>
      </w:r>
      <w:r w:rsidR="00827B76">
        <w:t xml:space="preserve"> to be</w:t>
      </w:r>
      <w:r w:rsidR="00FB2BCA" w:rsidRPr="0073570E">
        <w:t xml:space="preserve"> interpreted and applied</w:t>
      </w:r>
      <w:r w:rsidR="001A4179" w:rsidRPr="0073570E">
        <w:t xml:space="preserve">. </w:t>
      </w:r>
      <w:r w:rsidR="004D6FC0" w:rsidRPr="0073570E">
        <w:t xml:space="preserve">The </w:t>
      </w:r>
      <w:r w:rsidR="00E5786E">
        <w:t xml:space="preserve">starting point is </w:t>
      </w:r>
      <w:proofErr w:type="gramStart"/>
      <w:r w:rsidR="00E5786E">
        <w:t>the  presumption</w:t>
      </w:r>
      <w:proofErr w:type="gramEnd"/>
      <w:r w:rsidR="00E5786E">
        <w:t xml:space="preserve"> </w:t>
      </w:r>
      <w:r w:rsidR="004D6FC0" w:rsidRPr="0073570E">
        <w:t>that P has decision-making capacity</w:t>
      </w:r>
      <w:r w:rsidR="00827B76">
        <w:t>.</w:t>
      </w:r>
      <w:r w:rsidR="004D6FC0" w:rsidRPr="0073570E">
        <w:rPr>
          <w:rStyle w:val="FootnoteReference"/>
        </w:rPr>
        <w:footnoteReference w:id="29"/>
      </w:r>
      <w:r w:rsidR="004D6FC0" w:rsidRPr="0073570E">
        <w:t xml:space="preserve"> </w:t>
      </w:r>
      <w:r w:rsidR="00B55936">
        <w:t xml:space="preserve">The universality of this starting point </w:t>
      </w:r>
      <w:r w:rsidR="00B47EE7">
        <w:t xml:space="preserve">is </w:t>
      </w:r>
      <w:r w:rsidR="00B55936">
        <w:t>a crucial device in combating discrimination against those with disabilities.</w:t>
      </w:r>
      <w:r w:rsidR="00827B76">
        <w:t xml:space="preserve"> </w:t>
      </w:r>
      <w:r w:rsidR="00A86C3D">
        <w:t>Thereafter, s</w:t>
      </w:r>
      <w:r w:rsidR="00827B76">
        <w:t xml:space="preserve">ections </w:t>
      </w:r>
      <w:r w:rsidR="004D6FC0" w:rsidRPr="0073570E">
        <w:t>2</w:t>
      </w:r>
      <w:r w:rsidR="00827B76">
        <w:t xml:space="preserve"> and </w:t>
      </w:r>
      <w:r w:rsidR="004D6FC0" w:rsidRPr="0073570E">
        <w:t xml:space="preserve">3 of the Act </w:t>
      </w:r>
      <w:r w:rsidR="00E5786E">
        <w:t>set out</w:t>
      </w:r>
      <w:r w:rsidR="00192ED1">
        <w:t xml:space="preserve"> </w:t>
      </w:r>
      <w:r w:rsidR="004D6FC0" w:rsidRPr="0073570E">
        <w:t>the test to be applied where P’s capacity</w:t>
      </w:r>
      <w:r w:rsidR="00827B76">
        <w:t xml:space="preserve"> has been called into question</w:t>
      </w:r>
      <w:r w:rsidR="004D6FC0" w:rsidRPr="0073570E">
        <w:t xml:space="preserve">. Starting with </w:t>
      </w:r>
      <w:proofErr w:type="gramStart"/>
      <w:r w:rsidR="004D6FC0" w:rsidRPr="0073570E">
        <w:t>s.2(</w:t>
      </w:r>
      <w:proofErr w:type="gramEnd"/>
      <w:r w:rsidR="004D6FC0" w:rsidRPr="0073570E">
        <w:t xml:space="preserve">1), </w:t>
      </w:r>
      <w:r w:rsidR="00E5786E">
        <w:t xml:space="preserve">a person </w:t>
      </w:r>
      <w:r w:rsidR="004D6FC0" w:rsidRPr="0073570E">
        <w:t>lack</w:t>
      </w:r>
      <w:r w:rsidR="00E5786E">
        <w:t>s</w:t>
      </w:r>
      <w:r w:rsidR="004D6FC0" w:rsidRPr="0073570E">
        <w:t xml:space="preserve"> capacity if they are ‘unable to make a decision’ on the issue at hand</w:t>
      </w:r>
      <w:r w:rsidR="00E5786E">
        <w:t xml:space="preserve"> and that</w:t>
      </w:r>
      <w:r w:rsidR="004D6FC0" w:rsidRPr="0073570E">
        <w:t xml:space="preserve"> ‘inability’ </w:t>
      </w:r>
      <w:r w:rsidR="00E5786E">
        <w:t>is</w:t>
      </w:r>
      <w:r w:rsidR="004D6FC0" w:rsidRPr="0073570E">
        <w:t xml:space="preserve"> caused by an ‘impairment or disturbance of the mind or brain.’ </w:t>
      </w:r>
      <w:r w:rsidR="007725DE" w:rsidRPr="0073570E">
        <w:t>The ‘functional’ c</w:t>
      </w:r>
      <w:r w:rsidR="007725DE">
        <w:t xml:space="preserve">riteria for </w:t>
      </w:r>
      <w:r w:rsidR="007725DE" w:rsidRPr="0073570E">
        <w:t xml:space="preserve">being ‘unable to decide’ for the purposes of s.2 are </w:t>
      </w:r>
      <w:r w:rsidR="007725DE">
        <w:t>unpacked</w:t>
      </w:r>
      <w:r w:rsidR="007725DE" w:rsidRPr="0073570E">
        <w:t xml:space="preserve"> in </w:t>
      </w:r>
      <w:proofErr w:type="gramStart"/>
      <w:r w:rsidR="007725DE" w:rsidRPr="0073570E">
        <w:t>s.3(</w:t>
      </w:r>
      <w:proofErr w:type="gramEnd"/>
      <w:r w:rsidR="007725DE" w:rsidRPr="0073570E">
        <w:t xml:space="preserve">1) </w:t>
      </w:r>
      <w:r w:rsidR="007725DE">
        <w:t xml:space="preserve">and </w:t>
      </w:r>
      <w:r w:rsidR="007725DE" w:rsidRPr="0073570E">
        <w:t>requir</w:t>
      </w:r>
      <w:r w:rsidR="007725DE">
        <w:t>e</w:t>
      </w:r>
      <w:r w:rsidR="007725DE" w:rsidRPr="0073570E">
        <w:t xml:space="preserve"> the identified ‘impairment or disturbance’ to caus</w:t>
      </w:r>
      <w:r w:rsidR="007725DE">
        <w:t>e</w:t>
      </w:r>
      <w:r w:rsidR="007725DE" w:rsidRPr="0073570E">
        <w:t xml:space="preserve"> P to be </w:t>
      </w:r>
      <w:r w:rsidR="007725DE">
        <w:t>unable to do one of the following</w:t>
      </w:r>
      <w:r w:rsidR="007725DE" w:rsidRPr="0073570E">
        <w:t xml:space="preserve">: </w:t>
      </w:r>
      <w:r w:rsidR="007725DE" w:rsidRPr="0073570E">
        <w:rPr>
          <w:i/>
        </w:rPr>
        <w:t>understand</w:t>
      </w:r>
      <w:r w:rsidR="007725DE" w:rsidRPr="0073570E">
        <w:t xml:space="preserve"> the information relevant to the decision; </w:t>
      </w:r>
      <w:r w:rsidR="007725DE" w:rsidRPr="0073570E">
        <w:rPr>
          <w:i/>
        </w:rPr>
        <w:t>retain</w:t>
      </w:r>
      <w:r w:rsidR="007725DE">
        <w:t xml:space="preserve"> that</w:t>
      </w:r>
      <w:r w:rsidR="007725DE" w:rsidRPr="0073570E">
        <w:t xml:space="preserve"> information; </w:t>
      </w:r>
      <w:r w:rsidR="007725DE" w:rsidRPr="0073570E">
        <w:rPr>
          <w:i/>
        </w:rPr>
        <w:t>use or weigh</w:t>
      </w:r>
      <w:r w:rsidR="007725DE" w:rsidRPr="0073570E">
        <w:t xml:space="preserve"> the information to arrive at a decision or </w:t>
      </w:r>
      <w:r w:rsidR="007725DE" w:rsidRPr="0073570E">
        <w:rPr>
          <w:i/>
        </w:rPr>
        <w:t>communicate</w:t>
      </w:r>
      <w:r w:rsidR="007725DE" w:rsidRPr="0073570E">
        <w:t xml:space="preserve"> the decision.</w:t>
      </w:r>
    </w:p>
    <w:p w:rsidR="005B68E8" w:rsidRDefault="00AD4720" w:rsidP="00115C5A">
      <w:pPr>
        <w:pStyle w:val="FootnoteText"/>
        <w:spacing w:line="276" w:lineRule="auto"/>
        <w:jc w:val="both"/>
        <w:rPr>
          <w:rFonts w:asciiTheme="minorHAnsi" w:hAnsiTheme="minorHAnsi"/>
          <w:sz w:val="22"/>
          <w:szCs w:val="22"/>
        </w:rPr>
      </w:pPr>
      <w:r w:rsidRPr="00A86C3D">
        <w:rPr>
          <w:rFonts w:asciiTheme="minorHAnsi" w:hAnsiTheme="minorHAnsi"/>
          <w:i/>
          <w:sz w:val="22"/>
          <w:szCs w:val="22"/>
        </w:rPr>
        <w:t xml:space="preserve">‘Stage 1’ – the diagnostic threshold </w:t>
      </w:r>
      <w:r w:rsidR="004D6FC0" w:rsidRPr="00A86C3D">
        <w:rPr>
          <w:rFonts w:asciiTheme="minorHAnsi" w:hAnsiTheme="minorHAnsi"/>
          <w:i/>
          <w:sz w:val="22"/>
          <w:szCs w:val="22"/>
        </w:rPr>
        <w:t>–</w:t>
      </w:r>
      <w:r w:rsidR="00A86C3D" w:rsidRPr="00A86C3D">
        <w:rPr>
          <w:rFonts w:asciiTheme="minorHAnsi" w:hAnsiTheme="minorHAnsi"/>
          <w:i/>
          <w:sz w:val="22"/>
          <w:szCs w:val="22"/>
        </w:rPr>
        <w:t xml:space="preserve"> </w:t>
      </w:r>
      <w:r w:rsidR="00A86C3D" w:rsidRPr="00A86C3D">
        <w:rPr>
          <w:rFonts w:asciiTheme="minorHAnsi" w:hAnsiTheme="minorHAnsi"/>
          <w:sz w:val="22"/>
          <w:szCs w:val="22"/>
        </w:rPr>
        <w:t xml:space="preserve">In requiring an identifiable ‘impairment or disturbance’ of mental function as a separate requirement from characteristics manifesting an inability to decide, the MCA introduced what is known as a ‘diagnostic threshold.’ The MCA </w:t>
      </w:r>
      <w:r w:rsidR="00A86C3D" w:rsidRPr="00A86C3D">
        <w:rPr>
          <w:rFonts w:asciiTheme="minorHAnsi" w:hAnsiTheme="minorHAnsi"/>
          <w:i/>
          <w:sz w:val="22"/>
          <w:szCs w:val="22"/>
        </w:rPr>
        <w:t>Code of Practice</w:t>
      </w:r>
      <w:r w:rsidR="00A86C3D" w:rsidRPr="00A86C3D">
        <w:rPr>
          <w:rFonts w:asciiTheme="minorHAnsi" w:hAnsiTheme="minorHAnsi"/>
          <w:sz w:val="22"/>
          <w:szCs w:val="22"/>
        </w:rPr>
        <w:t xml:space="preserve"> identifies </w:t>
      </w:r>
      <w:r w:rsidR="00A86C3D" w:rsidRPr="00A86C3D">
        <w:rPr>
          <w:rFonts w:asciiTheme="minorHAnsi" w:hAnsiTheme="minorHAnsi"/>
          <w:sz w:val="22"/>
          <w:szCs w:val="22"/>
        </w:rPr>
        <w:lastRenderedPageBreak/>
        <w:t>this ‘diagnostic threshold’ as ‘stage 1’ in the process of assessing P’s capacity.</w:t>
      </w:r>
      <w:r w:rsidR="00A86C3D" w:rsidRPr="00A86C3D">
        <w:rPr>
          <w:rStyle w:val="FootnoteReference"/>
          <w:rFonts w:asciiTheme="minorHAnsi" w:hAnsiTheme="minorHAnsi"/>
          <w:sz w:val="22"/>
          <w:szCs w:val="22"/>
        </w:rPr>
        <w:footnoteReference w:id="30"/>
      </w:r>
      <w:r w:rsidR="00A86C3D" w:rsidRPr="00A86C3D">
        <w:rPr>
          <w:rFonts w:asciiTheme="minorHAnsi" w:hAnsiTheme="minorHAnsi"/>
          <w:sz w:val="22"/>
          <w:szCs w:val="22"/>
        </w:rPr>
        <w:t xml:space="preserve"> </w:t>
      </w:r>
      <w:r w:rsidR="00CF6849" w:rsidRPr="00CF6849">
        <w:rPr>
          <w:rFonts w:asciiTheme="minorHAnsi" w:hAnsiTheme="minorHAnsi"/>
          <w:sz w:val="22"/>
          <w:szCs w:val="22"/>
        </w:rPr>
        <w:t xml:space="preserve">It will </w:t>
      </w:r>
      <w:r w:rsidR="00CF6849" w:rsidRPr="00CF6849">
        <w:rPr>
          <w:rFonts w:asciiTheme="minorHAnsi" w:hAnsiTheme="minorHAnsi"/>
          <w:i/>
          <w:sz w:val="22"/>
          <w:szCs w:val="22"/>
        </w:rPr>
        <w:t xml:space="preserve">usually </w:t>
      </w:r>
      <w:r w:rsidR="00CF6849" w:rsidRPr="00CF6849">
        <w:rPr>
          <w:rFonts w:asciiTheme="minorHAnsi" w:hAnsiTheme="minorHAnsi"/>
          <w:sz w:val="22"/>
          <w:szCs w:val="22"/>
        </w:rPr>
        <w:t xml:space="preserve">(but not always) be the case that </w:t>
      </w:r>
      <w:r w:rsidR="00A52DBB">
        <w:rPr>
          <w:rFonts w:asciiTheme="minorHAnsi" w:hAnsiTheme="minorHAnsi"/>
          <w:sz w:val="22"/>
          <w:szCs w:val="22"/>
        </w:rPr>
        <w:t>the identified ‘impairment or disturbance’ is constituted by the diagnosis of</w:t>
      </w:r>
      <w:r w:rsidR="00CF6849" w:rsidRPr="00CF6849">
        <w:rPr>
          <w:rFonts w:asciiTheme="minorHAnsi" w:hAnsiTheme="minorHAnsi"/>
          <w:sz w:val="22"/>
          <w:szCs w:val="22"/>
        </w:rPr>
        <w:t xml:space="preserve"> a condition (whether mental disorder, learning disability or brain damage).</w:t>
      </w:r>
      <w:r w:rsidR="00CF6849" w:rsidRPr="00CF6849">
        <w:rPr>
          <w:rStyle w:val="FootnoteReference"/>
          <w:rFonts w:asciiTheme="minorHAnsi" w:hAnsiTheme="minorHAnsi"/>
          <w:sz w:val="22"/>
          <w:szCs w:val="22"/>
        </w:rPr>
        <w:footnoteReference w:id="31"/>
      </w:r>
      <w:r w:rsidR="00EB6C81">
        <w:rPr>
          <w:rFonts w:asciiTheme="minorHAnsi" w:hAnsiTheme="minorHAnsi"/>
          <w:sz w:val="22"/>
          <w:szCs w:val="22"/>
        </w:rPr>
        <w:t xml:space="preserve"> </w:t>
      </w:r>
      <w:r w:rsidR="00A86C3D" w:rsidRPr="00CF6849">
        <w:rPr>
          <w:rFonts w:asciiTheme="minorHAnsi" w:hAnsiTheme="minorHAnsi"/>
          <w:sz w:val="22"/>
          <w:szCs w:val="22"/>
        </w:rPr>
        <w:t>T</w:t>
      </w:r>
      <w:r w:rsidR="001A4179" w:rsidRPr="00CF6849">
        <w:rPr>
          <w:rFonts w:asciiTheme="minorHAnsi" w:hAnsiTheme="minorHAnsi"/>
          <w:sz w:val="22"/>
          <w:szCs w:val="22"/>
        </w:rPr>
        <w:t xml:space="preserve">he </w:t>
      </w:r>
      <w:r w:rsidR="00827B76" w:rsidRPr="00CF6849">
        <w:rPr>
          <w:rFonts w:asciiTheme="minorHAnsi" w:hAnsiTheme="minorHAnsi"/>
          <w:sz w:val="22"/>
          <w:szCs w:val="22"/>
        </w:rPr>
        <w:t>inclusion of this</w:t>
      </w:r>
      <w:r w:rsidR="00261012" w:rsidRPr="00CF6849">
        <w:rPr>
          <w:rFonts w:asciiTheme="minorHAnsi" w:hAnsiTheme="minorHAnsi"/>
          <w:sz w:val="22"/>
          <w:szCs w:val="22"/>
        </w:rPr>
        <w:t xml:space="preserve"> </w:t>
      </w:r>
      <w:r w:rsidR="001A4179" w:rsidRPr="00CF6849">
        <w:rPr>
          <w:rFonts w:asciiTheme="minorHAnsi" w:hAnsiTheme="minorHAnsi"/>
          <w:sz w:val="22"/>
          <w:szCs w:val="22"/>
        </w:rPr>
        <w:t xml:space="preserve">diagnostic component, </w:t>
      </w:r>
      <w:r w:rsidR="00261012" w:rsidRPr="00CF6849">
        <w:rPr>
          <w:rFonts w:asciiTheme="minorHAnsi" w:hAnsiTheme="minorHAnsi"/>
          <w:sz w:val="22"/>
          <w:szCs w:val="22"/>
        </w:rPr>
        <w:t>and its positioning as ‘stage 1’ of the process mi</w:t>
      </w:r>
      <w:r w:rsidR="00261012" w:rsidRPr="00A86C3D">
        <w:rPr>
          <w:rFonts w:asciiTheme="minorHAnsi" w:hAnsiTheme="minorHAnsi"/>
          <w:sz w:val="22"/>
          <w:szCs w:val="22"/>
        </w:rPr>
        <w:t>ght be predicted as</w:t>
      </w:r>
      <w:r w:rsidR="001A4179" w:rsidRPr="00A86C3D">
        <w:rPr>
          <w:rFonts w:asciiTheme="minorHAnsi" w:hAnsiTheme="minorHAnsi"/>
          <w:sz w:val="22"/>
          <w:szCs w:val="22"/>
        </w:rPr>
        <w:t xml:space="preserve"> </w:t>
      </w:r>
      <w:r w:rsidR="004771D7" w:rsidRPr="00115C5A">
        <w:rPr>
          <w:rFonts w:asciiTheme="minorHAnsi" w:hAnsiTheme="minorHAnsi"/>
          <w:sz w:val="22"/>
          <w:szCs w:val="22"/>
        </w:rPr>
        <w:t>encourag</w:t>
      </w:r>
      <w:r w:rsidR="00261012">
        <w:rPr>
          <w:rFonts w:asciiTheme="minorHAnsi" w:hAnsiTheme="minorHAnsi"/>
          <w:sz w:val="22"/>
          <w:szCs w:val="22"/>
        </w:rPr>
        <w:t>ing</w:t>
      </w:r>
      <w:r w:rsidR="001A4179" w:rsidRPr="00115C5A">
        <w:rPr>
          <w:rFonts w:asciiTheme="minorHAnsi" w:hAnsiTheme="minorHAnsi"/>
          <w:sz w:val="22"/>
          <w:szCs w:val="22"/>
        </w:rPr>
        <w:t xml:space="preserve"> </w:t>
      </w:r>
      <w:r w:rsidR="004771D7" w:rsidRPr="00115C5A">
        <w:rPr>
          <w:rFonts w:asciiTheme="minorHAnsi" w:hAnsiTheme="minorHAnsi"/>
          <w:sz w:val="22"/>
          <w:szCs w:val="22"/>
        </w:rPr>
        <w:t>a deferential approach to medical evidence</w:t>
      </w:r>
      <w:r w:rsidR="001A4179" w:rsidRPr="00115C5A">
        <w:rPr>
          <w:rFonts w:asciiTheme="minorHAnsi" w:hAnsiTheme="minorHAnsi"/>
          <w:sz w:val="22"/>
          <w:szCs w:val="22"/>
        </w:rPr>
        <w:t>.</w:t>
      </w:r>
      <w:r w:rsidR="009E5859" w:rsidRPr="00115C5A">
        <w:rPr>
          <w:rFonts w:asciiTheme="minorHAnsi" w:hAnsiTheme="minorHAnsi"/>
          <w:sz w:val="22"/>
          <w:szCs w:val="22"/>
        </w:rPr>
        <w:t xml:space="preserve"> </w:t>
      </w:r>
      <w:r w:rsidR="00261012">
        <w:rPr>
          <w:rFonts w:asciiTheme="minorHAnsi" w:hAnsiTheme="minorHAnsi"/>
          <w:sz w:val="22"/>
          <w:szCs w:val="22"/>
        </w:rPr>
        <w:t>Certainly, m</w:t>
      </w:r>
      <w:r w:rsidR="00135157" w:rsidRPr="00115C5A">
        <w:rPr>
          <w:rFonts w:asciiTheme="minorHAnsi" w:hAnsiTheme="minorHAnsi"/>
          <w:sz w:val="22"/>
          <w:szCs w:val="22"/>
        </w:rPr>
        <w:t xml:space="preserve">edical evidence is generally conclusive on the impairment issue. </w:t>
      </w:r>
      <w:r w:rsidR="009E5859" w:rsidRPr="00115C5A">
        <w:rPr>
          <w:rFonts w:asciiTheme="minorHAnsi" w:hAnsiTheme="minorHAnsi"/>
          <w:sz w:val="22"/>
          <w:szCs w:val="22"/>
        </w:rPr>
        <w:t xml:space="preserve">Once P is regarded as suffering from </w:t>
      </w:r>
      <w:proofErr w:type="gramStart"/>
      <w:r w:rsidR="009E5859" w:rsidRPr="00115C5A">
        <w:rPr>
          <w:rFonts w:asciiTheme="minorHAnsi" w:hAnsiTheme="minorHAnsi"/>
          <w:sz w:val="22"/>
          <w:szCs w:val="22"/>
        </w:rPr>
        <w:t>an impairment</w:t>
      </w:r>
      <w:proofErr w:type="gramEnd"/>
      <w:r w:rsidR="009E5859" w:rsidRPr="00115C5A">
        <w:rPr>
          <w:rFonts w:asciiTheme="minorHAnsi" w:hAnsiTheme="minorHAnsi"/>
          <w:sz w:val="22"/>
          <w:szCs w:val="22"/>
        </w:rPr>
        <w:t xml:space="preserve"> (</w:t>
      </w:r>
      <w:r w:rsidR="00261012">
        <w:rPr>
          <w:rFonts w:asciiTheme="minorHAnsi" w:hAnsiTheme="minorHAnsi"/>
          <w:sz w:val="22"/>
          <w:szCs w:val="22"/>
        </w:rPr>
        <w:t>based on the medical evidence)</w:t>
      </w:r>
      <w:r w:rsidR="009E5859" w:rsidRPr="00115C5A">
        <w:rPr>
          <w:rFonts w:asciiTheme="minorHAnsi" w:hAnsiTheme="minorHAnsi"/>
          <w:sz w:val="22"/>
          <w:szCs w:val="22"/>
        </w:rPr>
        <w:t xml:space="preserve"> the </w:t>
      </w:r>
      <w:r w:rsidR="009E5859" w:rsidRPr="006573DE">
        <w:rPr>
          <w:rFonts w:asciiTheme="minorHAnsi" w:hAnsiTheme="minorHAnsi"/>
          <w:sz w:val="22"/>
          <w:szCs w:val="22"/>
        </w:rPr>
        <w:t xml:space="preserve">inclination to </w:t>
      </w:r>
      <w:proofErr w:type="spellStart"/>
      <w:r w:rsidR="009E5859" w:rsidRPr="006573DE">
        <w:rPr>
          <w:rFonts w:asciiTheme="minorHAnsi" w:hAnsiTheme="minorHAnsi"/>
          <w:sz w:val="22"/>
          <w:szCs w:val="22"/>
        </w:rPr>
        <w:t>pathologise</w:t>
      </w:r>
      <w:proofErr w:type="spellEnd"/>
      <w:r w:rsidR="009E5859" w:rsidRPr="006573DE">
        <w:rPr>
          <w:rFonts w:asciiTheme="minorHAnsi" w:hAnsiTheme="minorHAnsi"/>
          <w:sz w:val="22"/>
          <w:szCs w:val="22"/>
        </w:rPr>
        <w:t xml:space="preserve"> aspects of P’s behaviour </w:t>
      </w:r>
      <w:r w:rsidR="003C00DC" w:rsidRPr="006573DE">
        <w:rPr>
          <w:rFonts w:asciiTheme="minorHAnsi" w:hAnsiTheme="minorHAnsi"/>
          <w:sz w:val="22"/>
          <w:szCs w:val="22"/>
        </w:rPr>
        <w:t>and assume that P lacks capacity</w:t>
      </w:r>
      <w:r w:rsidR="00CF6849">
        <w:rPr>
          <w:rFonts w:asciiTheme="minorHAnsi" w:hAnsiTheme="minorHAnsi"/>
          <w:sz w:val="22"/>
          <w:szCs w:val="22"/>
        </w:rPr>
        <w:t xml:space="preserve"> because of that impairment</w:t>
      </w:r>
      <w:r w:rsidR="003C00DC" w:rsidRPr="006573DE">
        <w:rPr>
          <w:rFonts w:asciiTheme="minorHAnsi" w:hAnsiTheme="minorHAnsi"/>
          <w:sz w:val="22"/>
          <w:szCs w:val="22"/>
        </w:rPr>
        <w:t xml:space="preserve"> </w:t>
      </w:r>
      <w:r w:rsidR="00261012" w:rsidRPr="006573DE">
        <w:rPr>
          <w:rFonts w:asciiTheme="minorHAnsi" w:hAnsiTheme="minorHAnsi"/>
          <w:sz w:val="22"/>
          <w:szCs w:val="22"/>
        </w:rPr>
        <w:t xml:space="preserve">is </w:t>
      </w:r>
      <w:r w:rsidR="009E5859" w:rsidRPr="006573DE">
        <w:rPr>
          <w:rFonts w:asciiTheme="minorHAnsi" w:hAnsiTheme="minorHAnsi"/>
          <w:sz w:val="22"/>
          <w:szCs w:val="22"/>
        </w:rPr>
        <w:t xml:space="preserve">strong. </w:t>
      </w:r>
      <w:r w:rsidR="00F514A9" w:rsidRPr="006573DE">
        <w:rPr>
          <w:rFonts w:asciiTheme="minorHAnsi" w:hAnsiTheme="minorHAnsi"/>
          <w:sz w:val="22"/>
          <w:szCs w:val="22"/>
        </w:rPr>
        <w:t xml:space="preserve">The judgment in </w:t>
      </w:r>
      <w:r w:rsidR="00F514A9" w:rsidRPr="006573DE">
        <w:rPr>
          <w:rFonts w:asciiTheme="minorHAnsi" w:hAnsiTheme="minorHAnsi"/>
          <w:i/>
          <w:sz w:val="22"/>
          <w:szCs w:val="22"/>
        </w:rPr>
        <w:t xml:space="preserve">Re AA </w:t>
      </w:r>
      <w:r w:rsidR="00F514A9" w:rsidRPr="006573DE">
        <w:rPr>
          <w:rFonts w:asciiTheme="minorHAnsi" w:hAnsiTheme="minorHAnsi"/>
          <w:sz w:val="22"/>
          <w:szCs w:val="22"/>
        </w:rPr>
        <w:t xml:space="preserve">where </w:t>
      </w:r>
      <w:proofErr w:type="spellStart"/>
      <w:r w:rsidR="00F514A9" w:rsidRPr="006573DE">
        <w:rPr>
          <w:rFonts w:asciiTheme="minorHAnsi" w:hAnsiTheme="minorHAnsi"/>
          <w:sz w:val="22"/>
          <w:szCs w:val="22"/>
        </w:rPr>
        <w:t>Mostyn</w:t>
      </w:r>
      <w:proofErr w:type="spellEnd"/>
      <w:r w:rsidR="00F514A9" w:rsidRPr="006573DE">
        <w:rPr>
          <w:rFonts w:asciiTheme="minorHAnsi" w:hAnsiTheme="minorHAnsi"/>
          <w:sz w:val="22"/>
          <w:szCs w:val="22"/>
        </w:rPr>
        <w:t xml:space="preserve"> J confessed to be ‘struggling to envisage a circumstance where a patient detained under section 3 [of the Mental Health Act 1983] as an inpatient with a diagnosed mental illness has got</w:t>
      </w:r>
      <w:r w:rsidR="00F514A9" w:rsidRPr="006573DE">
        <w:rPr>
          <w:rFonts w:asciiTheme="minorHAnsi" w:hAnsiTheme="minorHAnsi"/>
          <w:b/>
          <w:bCs/>
          <w:sz w:val="22"/>
          <w:szCs w:val="22"/>
        </w:rPr>
        <w:t> </w:t>
      </w:r>
      <w:r w:rsidR="00F514A9" w:rsidRPr="006573DE">
        <w:rPr>
          <w:rFonts w:asciiTheme="minorHAnsi" w:hAnsiTheme="minorHAnsi"/>
          <w:bCs/>
          <w:sz w:val="22"/>
          <w:szCs w:val="22"/>
        </w:rPr>
        <w:t>capacity’ (sic) would seem to lend some substance to this prediction</w:t>
      </w:r>
      <w:r w:rsidR="006573DE" w:rsidRPr="006573DE">
        <w:rPr>
          <w:rFonts w:asciiTheme="minorHAnsi" w:hAnsiTheme="minorHAnsi"/>
          <w:bCs/>
          <w:sz w:val="22"/>
          <w:szCs w:val="22"/>
        </w:rPr>
        <w:t>.</w:t>
      </w:r>
      <w:r w:rsidR="00F514A9" w:rsidRPr="006573DE">
        <w:rPr>
          <w:rStyle w:val="FootnoteReference"/>
          <w:rFonts w:asciiTheme="minorHAnsi" w:hAnsiTheme="minorHAnsi"/>
          <w:sz w:val="22"/>
          <w:szCs w:val="22"/>
        </w:rPr>
        <w:footnoteReference w:id="32"/>
      </w:r>
      <w:r w:rsidR="006573DE" w:rsidRPr="006573DE">
        <w:rPr>
          <w:rFonts w:asciiTheme="minorHAnsi" w:hAnsiTheme="minorHAnsi"/>
          <w:bCs/>
          <w:sz w:val="22"/>
          <w:szCs w:val="22"/>
        </w:rPr>
        <w:t xml:space="preserve"> The</w:t>
      </w:r>
      <w:r w:rsidR="002B09DB">
        <w:rPr>
          <w:rFonts w:asciiTheme="minorHAnsi" w:hAnsiTheme="minorHAnsi"/>
          <w:bCs/>
          <w:sz w:val="22"/>
          <w:szCs w:val="22"/>
        </w:rPr>
        <w:t>se</w:t>
      </w:r>
      <w:r w:rsidR="006573DE" w:rsidRPr="006573DE">
        <w:rPr>
          <w:rFonts w:asciiTheme="minorHAnsi" w:hAnsiTheme="minorHAnsi"/>
          <w:bCs/>
          <w:sz w:val="22"/>
          <w:szCs w:val="22"/>
        </w:rPr>
        <w:t xml:space="preserve"> dangers are also </w:t>
      </w:r>
      <w:r w:rsidR="002B09DB">
        <w:rPr>
          <w:rFonts w:asciiTheme="minorHAnsi" w:hAnsiTheme="minorHAnsi"/>
          <w:bCs/>
          <w:sz w:val="22"/>
          <w:szCs w:val="22"/>
        </w:rPr>
        <w:t>identified</w:t>
      </w:r>
      <w:r w:rsidR="006573DE" w:rsidRPr="006573DE">
        <w:rPr>
          <w:rFonts w:asciiTheme="minorHAnsi" w:hAnsiTheme="minorHAnsi"/>
          <w:bCs/>
          <w:sz w:val="22"/>
          <w:szCs w:val="22"/>
        </w:rPr>
        <w:t xml:space="preserve"> by Sir Nicholas Wall in </w:t>
      </w:r>
      <w:r w:rsidR="006573DE" w:rsidRPr="006573DE">
        <w:rPr>
          <w:rFonts w:asciiTheme="minorHAnsi" w:hAnsiTheme="minorHAnsi"/>
          <w:i/>
          <w:color w:val="000000"/>
          <w:sz w:val="22"/>
          <w:szCs w:val="22"/>
          <w:lang w:eastAsia="en-GB"/>
        </w:rPr>
        <w:t xml:space="preserve">RT v LT &amp; </w:t>
      </w:r>
      <w:proofErr w:type="spellStart"/>
      <w:r w:rsidR="006573DE" w:rsidRPr="006573DE">
        <w:rPr>
          <w:rFonts w:asciiTheme="minorHAnsi" w:hAnsiTheme="minorHAnsi"/>
          <w:i/>
          <w:color w:val="000000"/>
          <w:sz w:val="22"/>
          <w:szCs w:val="22"/>
          <w:lang w:eastAsia="en-GB"/>
        </w:rPr>
        <w:t>Anor</w:t>
      </w:r>
      <w:proofErr w:type="spellEnd"/>
      <w:r w:rsidR="006573DE" w:rsidRPr="006573DE">
        <w:rPr>
          <w:rFonts w:asciiTheme="minorHAnsi" w:hAnsiTheme="minorHAnsi"/>
          <w:bCs/>
          <w:sz w:val="22"/>
          <w:szCs w:val="22"/>
        </w:rPr>
        <w:t xml:space="preserve"> where he refer</w:t>
      </w:r>
      <w:r w:rsidR="002B09DB">
        <w:rPr>
          <w:rFonts w:asciiTheme="minorHAnsi" w:hAnsiTheme="minorHAnsi"/>
          <w:bCs/>
          <w:sz w:val="22"/>
          <w:szCs w:val="22"/>
        </w:rPr>
        <w:t>ences the tendency to assume that incapacity follows pathology</w:t>
      </w:r>
      <w:r w:rsidR="006573DE" w:rsidRPr="006573DE">
        <w:rPr>
          <w:rFonts w:asciiTheme="minorHAnsi" w:hAnsiTheme="minorHAnsi"/>
          <w:bCs/>
          <w:sz w:val="22"/>
          <w:szCs w:val="22"/>
        </w:rPr>
        <w:t xml:space="preserve"> as ‘the trap.’</w:t>
      </w:r>
      <w:r w:rsidR="006573DE" w:rsidRPr="006573DE">
        <w:rPr>
          <w:rStyle w:val="FootnoteReference"/>
          <w:rFonts w:asciiTheme="minorHAnsi" w:hAnsiTheme="minorHAnsi"/>
          <w:sz w:val="22"/>
          <w:szCs w:val="22"/>
        </w:rPr>
        <w:footnoteReference w:id="33"/>
      </w:r>
      <w:r w:rsidR="00F514A9" w:rsidRPr="006573DE">
        <w:rPr>
          <w:rFonts w:asciiTheme="minorHAnsi" w:hAnsiTheme="minorHAnsi"/>
          <w:sz w:val="22"/>
          <w:szCs w:val="22"/>
        </w:rPr>
        <w:t xml:space="preserve"> </w:t>
      </w:r>
      <w:r w:rsidR="002B09DB">
        <w:rPr>
          <w:rFonts w:asciiTheme="minorHAnsi" w:hAnsiTheme="minorHAnsi"/>
          <w:sz w:val="22"/>
          <w:szCs w:val="22"/>
        </w:rPr>
        <w:t xml:space="preserve">If the non-discrimination provisions of the CRPD are to be achieved, it is vital that the courts demonstrate resilience in resisting the inclination to </w:t>
      </w:r>
      <w:proofErr w:type="spellStart"/>
      <w:r w:rsidR="002B09DB">
        <w:rPr>
          <w:rFonts w:asciiTheme="minorHAnsi" w:hAnsiTheme="minorHAnsi"/>
          <w:sz w:val="22"/>
          <w:szCs w:val="22"/>
        </w:rPr>
        <w:t>pathologise</w:t>
      </w:r>
      <w:proofErr w:type="spellEnd"/>
      <w:r w:rsidR="002B09DB">
        <w:rPr>
          <w:rFonts w:asciiTheme="minorHAnsi" w:hAnsiTheme="minorHAnsi"/>
          <w:sz w:val="22"/>
          <w:szCs w:val="22"/>
        </w:rPr>
        <w:t xml:space="preserve"> the decisions of anyone who meets ‘stage one’ of the test.</w:t>
      </w:r>
      <w:r w:rsidR="00675EF6" w:rsidRPr="00115C5A">
        <w:rPr>
          <w:rFonts w:asciiTheme="minorHAnsi" w:hAnsiTheme="minorHAnsi"/>
          <w:sz w:val="22"/>
          <w:szCs w:val="22"/>
        </w:rPr>
        <w:t xml:space="preserve"> </w:t>
      </w:r>
      <w:r w:rsidR="00B55936">
        <w:rPr>
          <w:rFonts w:asciiTheme="minorHAnsi" w:hAnsiTheme="minorHAnsi"/>
          <w:sz w:val="22"/>
          <w:szCs w:val="22"/>
        </w:rPr>
        <w:t>Otherwise, the non-discriminatory potential of the presumption of capacity is lost.</w:t>
      </w:r>
    </w:p>
    <w:p w:rsidR="00192ED1" w:rsidRPr="00115C5A" w:rsidRDefault="00192ED1" w:rsidP="00115C5A">
      <w:pPr>
        <w:pStyle w:val="FootnoteText"/>
        <w:spacing w:line="276" w:lineRule="auto"/>
        <w:jc w:val="both"/>
        <w:rPr>
          <w:rFonts w:asciiTheme="minorHAnsi" w:hAnsiTheme="minorHAnsi"/>
          <w:sz w:val="22"/>
          <w:szCs w:val="22"/>
        </w:rPr>
      </w:pPr>
    </w:p>
    <w:p w:rsidR="001A4179" w:rsidRPr="0073570E" w:rsidRDefault="00675EF6" w:rsidP="001A4179">
      <w:pPr>
        <w:jc w:val="both"/>
      </w:pPr>
      <w:r w:rsidRPr="0073570E">
        <w:t>I</w:t>
      </w:r>
      <w:r w:rsidR="00EB6C81">
        <w:t xml:space="preserve">n the domain of </w:t>
      </w:r>
      <w:r w:rsidR="00EB6C81" w:rsidRPr="0073570E">
        <w:t>unfitness to plead in criminal cases</w:t>
      </w:r>
      <w:r w:rsidR="00EB6C81">
        <w:t>,</w:t>
      </w:r>
      <w:r w:rsidRPr="0073570E">
        <w:t xml:space="preserve"> the Law Commission recent</w:t>
      </w:r>
      <w:r w:rsidR="00EB6C81">
        <w:t>ly</w:t>
      </w:r>
      <w:r w:rsidRPr="0073570E">
        <w:t xml:space="preserve"> concluded that a statutory test modelled on the MCA should be introduced</w:t>
      </w:r>
      <w:r w:rsidR="00355748">
        <w:t xml:space="preserve"> but refused to endorse </w:t>
      </w:r>
      <w:r w:rsidR="00923081">
        <w:t xml:space="preserve">the inclusion of </w:t>
      </w:r>
      <w:r w:rsidR="00355748">
        <w:t xml:space="preserve">a </w:t>
      </w:r>
      <w:r w:rsidRPr="0073570E">
        <w:t>diagnostic threshold.</w:t>
      </w:r>
      <w:r w:rsidRPr="0073570E">
        <w:rPr>
          <w:rStyle w:val="FootnoteReference"/>
        </w:rPr>
        <w:footnoteReference w:id="34"/>
      </w:r>
      <w:r w:rsidRPr="0073570E">
        <w:t xml:space="preserve"> </w:t>
      </w:r>
      <w:r w:rsidR="00EF242D">
        <w:t xml:space="preserve">This seems to have been at least in part due to the objections of a </w:t>
      </w:r>
      <w:r w:rsidR="00985C86">
        <w:t xml:space="preserve">number of </w:t>
      </w:r>
      <w:proofErr w:type="spellStart"/>
      <w:r w:rsidR="00985C86">
        <w:t>consultees</w:t>
      </w:r>
      <w:proofErr w:type="spellEnd"/>
      <w:r w:rsidR="00985C86">
        <w:t xml:space="preserve"> </w:t>
      </w:r>
      <w:r w:rsidR="00EF242D">
        <w:t xml:space="preserve">commenting on </w:t>
      </w:r>
      <w:r w:rsidR="00985C86">
        <w:t>its potentially discriminating effects</w:t>
      </w:r>
      <w:r w:rsidR="006F3D45">
        <w:t xml:space="preserve"> and </w:t>
      </w:r>
      <w:r w:rsidR="00EF242D">
        <w:t>consequent</w:t>
      </w:r>
      <w:r w:rsidR="006F3D45">
        <w:t xml:space="preserve"> incompatibility with </w:t>
      </w:r>
      <w:r w:rsidR="00827B76">
        <w:t xml:space="preserve">the principle of universal legal capacity in </w:t>
      </w:r>
      <w:r w:rsidR="006F3D45">
        <w:t>the</w:t>
      </w:r>
      <w:r w:rsidR="00827B76">
        <w:t xml:space="preserve"> CRPD</w:t>
      </w:r>
      <w:r w:rsidR="00985C86">
        <w:t>.</w:t>
      </w:r>
      <w:r w:rsidR="006F3D45">
        <w:rPr>
          <w:rStyle w:val="FootnoteReference"/>
        </w:rPr>
        <w:footnoteReference w:id="35"/>
      </w:r>
      <w:r w:rsidR="003219F1">
        <w:t xml:space="preserve"> </w:t>
      </w:r>
    </w:p>
    <w:p w:rsidR="000364F3" w:rsidRPr="0073570E" w:rsidRDefault="00AD4720" w:rsidP="00135509">
      <w:pPr>
        <w:jc w:val="both"/>
      </w:pPr>
      <w:r w:rsidRPr="0073570E">
        <w:rPr>
          <w:i/>
        </w:rPr>
        <w:t xml:space="preserve">‘Stage 2’ – the functional criteria - </w:t>
      </w:r>
      <w:r w:rsidR="001A4179" w:rsidRPr="0073570E">
        <w:t>Although ostensibly descriptive, these criteria, particularly the requirement that P</w:t>
      </w:r>
      <w:r w:rsidR="00923081">
        <w:t xml:space="preserve"> must be able to</w:t>
      </w:r>
      <w:r w:rsidR="001A4179" w:rsidRPr="0073570E">
        <w:t xml:space="preserve"> ‘use</w:t>
      </w:r>
      <w:r w:rsidR="000364F3" w:rsidRPr="0073570E">
        <w:t>’</w:t>
      </w:r>
      <w:r w:rsidR="001A4179" w:rsidRPr="0073570E">
        <w:t xml:space="preserve"> </w:t>
      </w:r>
      <w:r w:rsidR="000364F3" w:rsidRPr="0073570E">
        <w:t>and</w:t>
      </w:r>
      <w:r w:rsidR="001A4179" w:rsidRPr="0073570E">
        <w:t xml:space="preserve"> </w:t>
      </w:r>
      <w:r w:rsidR="000364F3" w:rsidRPr="0073570E">
        <w:t>‘</w:t>
      </w:r>
      <w:r w:rsidR="001A4179" w:rsidRPr="0073570E">
        <w:t xml:space="preserve">weigh’ the information to reach a decision, necessarily </w:t>
      </w:r>
      <w:r w:rsidR="001A4179" w:rsidRPr="0073570E">
        <w:lastRenderedPageBreak/>
        <w:t>involve a degree of normative judgement in their application.</w:t>
      </w:r>
      <w:r w:rsidR="001A4179" w:rsidRPr="0073570E">
        <w:rPr>
          <w:rStyle w:val="FootnoteReference"/>
        </w:rPr>
        <w:footnoteReference w:id="36"/>
      </w:r>
      <w:r w:rsidR="001A4179" w:rsidRPr="0073570E">
        <w:t xml:space="preserve"> Thus, although the judges regard the tests as ‘clear,’ Foster identifies a host of questions aris</w:t>
      </w:r>
      <w:r w:rsidR="00EE3EB7">
        <w:t>ing</w:t>
      </w:r>
      <w:r w:rsidR="001A4179" w:rsidRPr="0073570E">
        <w:t xml:space="preserve"> in the consideration of s.3 alone.</w:t>
      </w:r>
      <w:r w:rsidR="001A4179" w:rsidRPr="0073570E">
        <w:rPr>
          <w:rStyle w:val="FootnoteReference"/>
        </w:rPr>
        <w:footnoteReference w:id="37"/>
      </w:r>
      <w:r w:rsidR="001A4179" w:rsidRPr="0073570E">
        <w:t xml:space="preserve"> These questions leave ample room for competing interpretations and space for negotiation as to the exact meaning and proper application of the concept of capacity. </w:t>
      </w:r>
    </w:p>
    <w:p w:rsidR="00135509" w:rsidRPr="0073570E" w:rsidRDefault="001A4179" w:rsidP="00135509">
      <w:pPr>
        <w:jc w:val="both"/>
      </w:pPr>
      <w:r w:rsidRPr="0073570E">
        <w:t xml:space="preserve">The ‘functional’ criteria </w:t>
      </w:r>
      <w:r w:rsidR="00EE3EB7">
        <w:t>are</w:t>
      </w:r>
      <w:r w:rsidRPr="0073570E">
        <w:t xml:space="preserve"> identified in the </w:t>
      </w:r>
      <w:r w:rsidR="00EE3EB7">
        <w:t xml:space="preserve">MCA </w:t>
      </w:r>
      <w:r w:rsidRPr="0073570E">
        <w:rPr>
          <w:i/>
        </w:rPr>
        <w:t>Code of Practice</w:t>
      </w:r>
      <w:r w:rsidRPr="0073570E">
        <w:t xml:space="preserve"> as ‘stage 2’ of </w:t>
      </w:r>
      <w:r w:rsidR="00827B76">
        <w:t xml:space="preserve">assessing </w:t>
      </w:r>
      <w:r w:rsidRPr="0073570E">
        <w:t xml:space="preserve">capacity, and it is in this negotiable space that the </w:t>
      </w:r>
      <w:proofErr w:type="spellStart"/>
      <w:r w:rsidRPr="0073570E">
        <w:t>CoP</w:t>
      </w:r>
      <w:proofErr w:type="spellEnd"/>
      <w:r w:rsidRPr="0073570E">
        <w:t xml:space="preserve"> has been eager to claim supreme authority. </w:t>
      </w:r>
      <w:r w:rsidR="00135509" w:rsidRPr="0073570E">
        <w:t xml:space="preserve">Speaking of the functional criteria, </w:t>
      </w:r>
      <w:proofErr w:type="spellStart"/>
      <w:r w:rsidR="00135509" w:rsidRPr="0073570E">
        <w:t>Munby</w:t>
      </w:r>
      <w:proofErr w:type="spellEnd"/>
      <w:r w:rsidR="00135509" w:rsidRPr="0073570E">
        <w:t xml:space="preserve"> J (as he then was) in </w:t>
      </w:r>
      <w:r w:rsidR="00135509" w:rsidRPr="0073570E">
        <w:rPr>
          <w:i/>
        </w:rPr>
        <w:t xml:space="preserve">A Local Authority v </w:t>
      </w:r>
      <w:proofErr w:type="gramStart"/>
      <w:r w:rsidR="00135509" w:rsidRPr="0073570E">
        <w:rPr>
          <w:i/>
        </w:rPr>
        <w:t>A</w:t>
      </w:r>
      <w:proofErr w:type="gramEnd"/>
      <w:r w:rsidR="00135509" w:rsidRPr="0073570E">
        <w:rPr>
          <w:i/>
        </w:rPr>
        <w:t xml:space="preserve"> </w:t>
      </w:r>
      <w:r w:rsidR="00827B76">
        <w:t>observed</w:t>
      </w:r>
      <w:r w:rsidR="00135509" w:rsidRPr="0073570E">
        <w:t>: ‘</w:t>
      </w:r>
      <w:r w:rsidR="00135509" w:rsidRPr="0073570E">
        <w:rPr>
          <w:i/>
        </w:rPr>
        <w:t>only the court has the full picture. Experts are neither able nor expected to form an overview.’</w:t>
      </w:r>
      <w:r w:rsidR="00135509" w:rsidRPr="0073570E">
        <w:rPr>
          <w:rStyle w:val="FootnoteReference"/>
        </w:rPr>
        <w:footnoteReference w:id="38"/>
      </w:r>
      <w:r w:rsidR="00135509" w:rsidRPr="0073570E">
        <w:t xml:space="preserve"> Th</w:t>
      </w:r>
      <w:r w:rsidR="008D2B16" w:rsidRPr="0073570E">
        <w:t>ese sentiments were</w:t>
      </w:r>
      <w:r w:rsidR="00135509" w:rsidRPr="0073570E">
        <w:t xml:space="preserve"> reiterated by Baker J in </w:t>
      </w:r>
      <w:r w:rsidR="00135509" w:rsidRPr="0073570E">
        <w:rPr>
          <w:i/>
        </w:rPr>
        <w:t xml:space="preserve">ST v CC </w:t>
      </w:r>
      <w:r w:rsidR="00827B76" w:rsidRPr="00827B76">
        <w:t>with the words</w:t>
      </w:r>
      <w:r w:rsidR="00135509" w:rsidRPr="0073570E">
        <w:t>‘…it is the court alone that is in the position to weigh up all the evidence as to the functional test and thus it is the court that must make the ultimate decision</w:t>
      </w:r>
      <w:r w:rsidR="00135509" w:rsidRPr="0073570E">
        <w:rPr>
          <w:color w:val="000000"/>
          <w:lang w:eastAsia="en-GB"/>
        </w:rPr>
        <w:t>’</w:t>
      </w:r>
      <w:r w:rsidR="00135509" w:rsidRPr="0073570E">
        <w:rPr>
          <w:rStyle w:val="FootnoteReference"/>
        </w:rPr>
        <w:footnoteReference w:id="39"/>
      </w:r>
      <w:r w:rsidR="00135509" w:rsidRPr="0073570E">
        <w:rPr>
          <w:color w:val="000000"/>
          <w:lang w:eastAsia="en-GB"/>
        </w:rPr>
        <w:t xml:space="preserve"> and</w:t>
      </w:r>
      <w:r w:rsidR="00135509" w:rsidRPr="0073570E">
        <w:t xml:space="preserve"> </w:t>
      </w:r>
      <w:r w:rsidR="00135FCE">
        <w:t xml:space="preserve">were </w:t>
      </w:r>
      <w:r w:rsidR="00827B76">
        <w:t xml:space="preserve">later </w:t>
      </w:r>
      <w:r w:rsidR="00135509" w:rsidRPr="0073570E">
        <w:t xml:space="preserve">echoed in </w:t>
      </w:r>
      <w:r w:rsidR="00135509" w:rsidRPr="0073570E">
        <w:rPr>
          <w:i/>
          <w:color w:val="000000"/>
          <w:lang w:eastAsia="en-GB"/>
        </w:rPr>
        <w:t xml:space="preserve">London Borough of Islington v QR </w:t>
      </w:r>
      <w:r w:rsidR="00135509" w:rsidRPr="0073570E">
        <w:rPr>
          <w:color w:val="000000"/>
          <w:lang w:eastAsia="en-GB"/>
        </w:rPr>
        <w:t xml:space="preserve">in the </w:t>
      </w:r>
      <w:r w:rsidR="00827B76">
        <w:rPr>
          <w:color w:val="000000"/>
          <w:lang w:eastAsia="en-GB"/>
        </w:rPr>
        <w:t>assertion that</w:t>
      </w:r>
      <w:r w:rsidR="00135509" w:rsidRPr="0073570E">
        <w:t xml:space="preserve"> ‘</w:t>
      </w:r>
      <w:bookmarkStart w:id="0" w:name="para84"/>
      <w:r w:rsidR="00135509" w:rsidRPr="0073570E">
        <w:t>[t]</w:t>
      </w:r>
      <w:r w:rsidR="00135509" w:rsidRPr="0073570E">
        <w:rPr>
          <w:color w:val="000000"/>
        </w:rPr>
        <w:t>he decision on capacity is one for the judge to make</w:t>
      </w:r>
      <w:bookmarkEnd w:id="0"/>
      <w:r w:rsidR="00135509" w:rsidRPr="0073570E">
        <w:rPr>
          <w:color w:val="000000"/>
        </w:rPr>
        <w:t>’.</w:t>
      </w:r>
      <w:r w:rsidR="00135509" w:rsidRPr="0073570E">
        <w:rPr>
          <w:rStyle w:val="FootnoteReference"/>
          <w:color w:val="000000"/>
        </w:rPr>
        <w:footnoteReference w:id="40"/>
      </w:r>
      <w:r w:rsidR="00135509" w:rsidRPr="0073570E">
        <w:t xml:space="preserve"> These dicta clearly recognise that mental capacity should </w:t>
      </w:r>
      <w:r w:rsidR="00135509" w:rsidRPr="00EE3EB7">
        <w:rPr>
          <w:i/>
        </w:rPr>
        <w:t>not</w:t>
      </w:r>
      <w:r w:rsidR="00135509" w:rsidRPr="0073570E">
        <w:t xml:space="preserve"> be treated as falling exclusively within the medical domain and that the court is the ultimate arbiter on this issue.</w:t>
      </w:r>
      <w:r w:rsidR="008D161A" w:rsidRPr="0073570E">
        <w:t xml:space="preserve"> Nevertheless, the evidence of psychiatrists is generally sought not only on whether P is affected by impairment, but also on </w:t>
      </w:r>
      <w:r w:rsidR="00135FCE">
        <w:t>whether the functional criteria have been fulfilled</w:t>
      </w:r>
      <w:r w:rsidR="008D161A" w:rsidRPr="0073570E">
        <w:t>.</w:t>
      </w:r>
      <w:r w:rsidR="008D161A" w:rsidRPr="0073570E">
        <w:rPr>
          <w:rStyle w:val="FootnoteReference"/>
        </w:rPr>
        <w:footnoteReference w:id="41"/>
      </w:r>
    </w:p>
    <w:p w:rsidR="005928B2" w:rsidRPr="001A502A" w:rsidRDefault="001A502A" w:rsidP="005928B2">
      <w:pPr>
        <w:pStyle w:val="CommentText"/>
        <w:spacing w:line="276" w:lineRule="auto"/>
        <w:jc w:val="both"/>
        <w:rPr>
          <w:i/>
          <w:sz w:val="22"/>
          <w:szCs w:val="22"/>
        </w:rPr>
      </w:pPr>
      <w:r>
        <w:rPr>
          <w:i/>
          <w:sz w:val="22"/>
          <w:szCs w:val="22"/>
        </w:rPr>
        <w:t xml:space="preserve">Causation: the ‘inferential gap’ - </w:t>
      </w:r>
      <w:r w:rsidR="005928B2" w:rsidRPr="0073570E">
        <w:rPr>
          <w:sz w:val="22"/>
          <w:szCs w:val="22"/>
        </w:rPr>
        <w:t xml:space="preserve">Describing the tests by reference to ‘stages’ 1 and 2 has served to underplay a key component of capacity assessment, namely the necessity of demonstrating that the impairment is </w:t>
      </w:r>
      <w:r w:rsidR="005928B2" w:rsidRPr="0073570E">
        <w:rPr>
          <w:i/>
          <w:sz w:val="22"/>
          <w:szCs w:val="22"/>
        </w:rPr>
        <w:t>causing</w:t>
      </w:r>
      <w:r w:rsidR="005928B2" w:rsidRPr="0073570E">
        <w:rPr>
          <w:sz w:val="22"/>
          <w:szCs w:val="22"/>
        </w:rPr>
        <w:t xml:space="preserve"> the ‘inability to decide.’</w:t>
      </w:r>
      <w:r w:rsidR="005928B2" w:rsidRPr="0073570E">
        <w:rPr>
          <w:rStyle w:val="FootnoteReference"/>
          <w:sz w:val="22"/>
          <w:szCs w:val="22"/>
        </w:rPr>
        <w:footnoteReference w:id="42"/>
      </w:r>
      <w:r w:rsidR="005928B2" w:rsidRPr="0073570E">
        <w:rPr>
          <w:sz w:val="22"/>
          <w:szCs w:val="22"/>
        </w:rPr>
        <w:t xml:space="preserve"> This causal component of the test for incapacity represents further negotiable territory, </w:t>
      </w:r>
      <w:r w:rsidR="008D2B16" w:rsidRPr="0073570E">
        <w:rPr>
          <w:sz w:val="22"/>
          <w:szCs w:val="22"/>
        </w:rPr>
        <w:t>which</w:t>
      </w:r>
      <w:r w:rsidR="005928B2" w:rsidRPr="0073570E">
        <w:rPr>
          <w:sz w:val="22"/>
          <w:szCs w:val="22"/>
        </w:rPr>
        <w:t xml:space="preserve"> might be thought to sit within psychiatry’s area of expertise. </w:t>
      </w:r>
      <w:r w:rsidR="00891E9E">
        <w:rPr>
          <w:sz w:val="22"/>
          <w:szCs w:val="22"/>
        </w:rPr>
        <w:t>L</w:t>
      </w:r>
      <w:r w:rsidR="00891E9E" w:rsidRPr="0073570E">
        <w:rPr>
          <w:sz w:val="22"/>
          <w:szCs w:val="22"/>
        </w:rPr>
        <w:t>ong before the MCA</w:t>
      </w:r>
      <w:r w:rsidR="00891E9E">
        <w:rPr>
          <w:sz w:val="22"/>
          <w:szCs w:val="22"/>
        </w:rPr>
        <w:t xml:space="preserve"> was passed,</w:t>
      </w:r>
      <w:r w:rsidR="00891E9E" w:rsidRPr="0073570E">
        <w:rPr>
          <w:sz w:val="22"/>
          <w:szCs w:val="22"/>
        </w:rPr>
        <w:t xml:space="preserve"> </w:t>
      </w:r>
      <w:proofErr w:type="spellStart"/>
      <w:r w:rsidR="005928B2" w:rsidRPr="0073570E">
        <w:rPr>
          <w:sz w:val="22"/>
          <w:szCs w:val="22"/>
        </w:rPr>
        <w:t>Silberfeld</w:t>
      </w:r>
      <w:proofErr w:type="spellEnd"/>
      <w:r w:rsidR="005928B2" w:rsidRPr="0073570E">
        <w:rPr>
          <w:sz w:val="22"/>
          <w:szCs w:val="22"/>
        </w:rPr>
        <w:t xml:space="preserve"> and </w:t>
      </w:r>
      <w:proofErr w:type="spellStart"/>
      <w:r w:rsidR="005928B2" w:rsidRPr="0073570E">
        <w:rPr>
          <w:sz w:val="22"/>
          <w:szCs w:val="22"/>
        </w:rPr>
        <w:t>Checkland</w:t>
      </w:r>
      <w:proofErr w:type="spellEnd"/>
      <w:r w:rsidR="005928B2" w:rsidRPr="0073570E">
        <w:rPr>
          <w:sz w:val="22"/>
          <w:szCs w:val="22"/>
        </w:rPr>
        <w:t xml:space="preserve"> identified </w:t>
      </w:r>
      <w:r w:rsidR="00891E9E">
        <w:rPr>
          <w:sz w:val="22"/>
          <w:szCs w:val="22"/>
        </w:rPr>
        <w:t>a</w:t>
      </w:r>
      <w:r w:rsidR="005928B2" w:rsidRPr="0073570E">
        <w:rPr>
          <w:sz w:val="22"/>
          <w:szCs w:val="22"/>
        </w:rPr>
        <w:t xml:space="preserve"> shortage of relevant expertise on the causal dimension</w:t>
      </w:r>
      <w:r w:rsidR="00DC6D72" w:rsidRPr="0073570E">
        <w:rPr>
          <w:sz w:val="22"/>
          <w:szCs w:val="22"/>
        </w:rPr>
        <w:t>s</w:t>
      </w:r>
      <w:r w:rsidR="005928B2" w:rsidRPr="0073570E">
        <w:rPr>
          <w:sz w:val="22"/>
          <w:szCs w:val="22"/>
        </w:rPr>
        <w:t xml:space="preserve"> of incapacity.</w:t>
      </w:r>
      <w:r w:rsidR="005928B2" w:rsidRPr="0073570E">
        <w:rPr>
          <w:rStyle w:val="FootnoteReference"/>
          <w:sz w:val="22"/>
          <w:szCs w:val="22"/>
        </w:rPr>
        <w:footnoteReference w:id="43"/>
      </w:r>
      <w:r w:rsidR="005928B2" w:rsidRPr="0073570E">
        <w:rPr>
          <w:sz w:val="22"/>
          <w:szCs w:val="22"/>
        </w:rPr>
        <w:t xml:space="preserve"> Their paper referred to this</w:t>
      </w:r>
      <w:r w:rsidR="00DC6D72" w:rsidRPr="0073570E">
        <w:rPr>
          <w:sz w:val="22"/>
          <w:szCs w:val="22"/>
        </w:rPr>
        <w:t xml:space="preserve"> problem</w:t>
      </w:r>
      <w:r w:rsidR="005928B2" w:rsidRPr="0073570E">
        <w:rPr>
          <w:sz w:val="22"/>
          <w:szCs w:val="22"/>
        </w:rPr>
        <w:t xml:space="preserve"> as ‘the inferential gap;’ psychiatry’s expertise generally lay in the area of which therapies worked for which mental health problems, but was ill-equipped to answer whether an identified mental illness was truly responsible for a particular style of decision making.</w:t>
      </w:r>
      <w:r w:rsidR="005928B2" w:rsidRPr="0073570E">
        <w:rPr>
          <w:rStyle w:val="FootnoteReference"/>
          <w:sz w:val="22"/>
          <w:szCs w:val="22"/>
        </w:rPr>
        <w:footnoteReference w:id="44"/>
      </w:r>
      <w:r w:rsidR="005928B2" w:rsidRPr="0073570E">
        <w:rPr>
          <w:sz w:val="22"/>
          <w:szCs w:val="22"/>
        </w:rPr>
        <w:t xml:space="preserve"> In the absence of any real expertise on this aspect of capacity, a</w:t>
      </w:r>
      <w:r w:rsidR="0037023A">
        <w:rPr>
          <w:sz w:val="22"/>
          <w:szCs w:val="22"/>
        </w:rPr>
        <w:t>ssessors must draw a</w:t>
      </w:r>
      <w:r w:rsidR="005928B2" w:rsidRPr="0073570E">
        <w:rPr>
          <w:sz w:val="22"/>
          <w:szCs w:val="22"/>
        </w:rPr>
        <w:t xml:space="preserve">n inference as to whether P’s apparently flawed decision making is </w:t>
      </w:r>
      <w:r w:rsidR="005928B2" w:rsidRPr="0073570E">
        <w:rPr>
          <w:i/>
          <w:sz w:val="22"/>
          <w:szCs w:val="22"/>
        </w:rPr>
        <w:t xml:space="preserve">caused by </w:t>
      </w:r>
      <w:r w:rsidR="005928B2" w:rsidRPr="0073570E">
        <w:rPr>
          <w:sz w:val="22"/>
          <w:szCs w:val="22"/>
        </w:rPr>
        <w:t xml:space="preserve">their impairment. </w:t>
      </w:r>
    </w:p>
    <w:p w:rsidR="00EF448D" w:rsidRPr="0073570E" w:rsidRDefault="00245135" w:rsidP="00EF448D">
      <w:pPr>
        <w:jc w:val="both"/>
      </w:pPr>
      <w:r w:rsidRPr="0073570E">
        <w:lastRenderedPageBreak/>
        <w:t xml:space="preserve">The case of </w:t>
      </w:r>
      <w:r w:rsidR="00EF448D" w:rsidRPr="0073570E">
        <w:rPr>
          <w:i/>
        </w:rPr>
        <w:t xml:space="preserve">Re M </w:t>
      </w:r>
      <w:r w:rsidR="00EF448D" w:rsidRPr="0073570E">
        <w:t xml:space="preserve">provides </w:t>
      </w:r>
      <w:r w:rsidR="004523B3" w:rsidRPr="0073570E">
        <w:t>a useful example of how important the causal nexus is</w:t>
      </w:r>
      <w:r w:rsidR="00D634BC" w:rsidRPr="0073570E">
        <w:t>,</w:t>
      </w:r>
      <w:r w:rsidR="004523B3" w:rsidRPr="0073570E">
        <w:t xml:space="preserve"> whilst also highlighting the dangers of </w:t>
      </w:r>
      <w:r w:rsidR="00D634BC" w:rsidRPr="0073570E">
        <w:t xml:space="preserve">deferring to </w:t>
      </w:r>
      <w:r w:rsidR="004523B3" w:rsidRPr="0073570E">
        <w:t>medical evidence too readily.</w:t>
      </w:r>
      <w:r w:rsidR="004523B3" w:rsidRPr="0073570E">
        <w:rPr>
          <w:rStyle w:val="FootnoteReference"/>
        </w:rPr>
        <w:footnoteReference w:id="45"/>
      </w:r>
      <w:r w:rsidR="00EF448D" w:rsidRPr="0073570E">
        <w:t xml:space="preserve"> M, a 67 year old woman wishing to return home to her bungalow from a care home, was judged to lack capacity on the issue of her residence. The judgment relied heavily on the evidence of an independent psychiatrist that she was suffering from ‘mild depression’ (as evidenced by her being prescribed anti depressants) and </w:t>
      </w:r>
      <w:r w:rsidR="004523B3" w:rsidRPr="0073570E">
        <w:t xml:space="preserve">that </w:t>
      </w:r>
      <w:r w:rsidR="00EF448D" w:rsidRPr="0073570E">
        <w:t xml:space="preserve">she was ‘unable to make a decision’ because her inability to appreciate her personal limitations meant </w:t>
      </w:r>
      <w:r w:rsidR="004523B3" w:rsidRPr="0073570E">
        <w:t xml:space="preserve">that </w:t>
      </w:r>
      <w:r w:rsidR="00EF448D" w:rsidRPr="0073570E">
        <w:t xml:space="preserve">she had unreasonable expectations of being able to manage her physical illness (diabetes) at home. On the face of it, this judgment appears flawed on a number of fronts. In relying on ‘mild depression’ as the ‘impairment’ required for </w:t>
      </w:r>
      <w:proofErr w:type="gramStart"/>
      <w:r w:rsidR="00EF448D" w:rsidRPr="0073570E">
        <w:t>s.2(</w:t>
      </w:r>
      <w:proofErr w:type="gramEnd"/>
      <w:r w:rsidR="00EF448D" w:rsidRPr="0073570E">
        <w:t xml:space="preserve">1), M was ensnared in a ‘catch 22.’ Anyone being told, as M was, that she could not return home to be </w:t>
      </w:r>
      <w:r w:rsidR="0037023A">
        <w:t>with her partner of 30 years</w:t>
      </w:r>
      <w:r w:rsidR="00EF448D" w:rsidRPr="0073570E">
        <w:t xml:space="preserve">, </w:t>
      </w:r>
      <w:proofErr w:type="gramStart"/>
      <w:r w:rsidR="00EF448D" w:rsidRPr="0073570E">
        <w:t>but  would</w:t>
      </w:r>
      <w:proofErr w:type="gramEnd"/>
      <w:r w:rsidR="00EF448D" w:rsidRPr="0073570E">
        <w:t xml:space="preserve"> </w:t>
      </w:r>
      <w:r w:rsidR="00135FCE">
        <w:t xml:space="preserve">need to move to </w:t>
      </w:r>
      <w:r w:rsidR="00EF448D" w:rsidRPr="0073570E">
        <w:t xml:space="preserve">residential care, would likely become mildly depressed. Moving on from the diagnostic threshold, Justice Peter Jackson stated that M was ‘unable to make a decision’ under </w:t>
      </w:r>
      <w:proofErr w:type="gramStart"/>
      <w:r w:rsidR="00EF448D" w:rsidRPr="0073570E">
        <w:t>s.3(</w:t>
      </w:r>
      <w:proofErr w:type="gramEnd"/>
      <w:r w:rsidR="00EF448D" w:rsidRPr="0073570E">
        <w:t xml:space="preserve">1)(c) because: </w:t>
      </w:r>
    </w:p>
    <w:p w:rsidR="00EF448D" w:rsidRPr="0073570E" w:rsidRDefault="00EF448D" w:rsidP="00EF448D">
      <w:pPr>
        <w:ind w:left="284" w:right="284"/>
        <w:jc w:val="both"/>
        <w:rPr>
          <w:i/>
          <w:lang w:eastAsia="en-GB"/>
        </w:rPr>
      </w:pPr>
      <w:r w:rsidRPr="0073570E">
        <w:rPr>
          <w:i/>
        </w:rPr>
        <w:t>‘...</w:t>
      </w:r>
      <w:r w:rsidRPr="0073570E">
        <w:rPr>
          <w:i/>
          <w:lang w:eastAsia="en-GB"/>
        </w:rPr>
        <w:t>a central component in that decision is an appropriate appreciation of the risks arising from the lower level of supervision of her diabetes management that a home placement entails compared with 24-hour professional oversight. M has an inflexible but mistaken belief that she can manage her own diabetes and consequently cannot weigh up the serious risks involved in a reduction in the level of supervision.’</w:t>
      </w:r>
      <w:r w:rsidRPr="0073570E">
        <w:rPr>
          <w:rStyle w:val="FootnoteReference"/>
          <w:i/>
        </w:rPr>
        <w:footnoteReference w:id="46"/>
      </w:r>
    </w:p>
    <w:p w:rsidR="00EF448D" w:rsidRPr="0073570E" w:rsidRDefault="00EF448D" w:rsidP="00EF448D">
      <w:pPr>
        <w:jc w:val="both"/>
        <w:rPr>
          <w:lang w:eastAsia="en-GB"/>
        </w:rPr>
      </w:pPr>
      <w:r w:rsidRPr="0073570E">
        <w:rPr>
          <w:lang w:eastAsia="en-GB"/>
        </w:rPr>
        <w:t>This assessment does not appear to comply with the MCA tests</w:t>
      </w:r>
      <w:r w:rsidR="00776AB2">
        <w:rPr>
          <w:lang w:eastAsia="en-GB"/>
        </w:rPr>
        <w:t>, and the disproportionate impact of the diagnosis rather than M’s decision making processes would seem</w:t>
      </w:r>
      <w:r w:rsidR="00EF242D">
        <w:rPr>
          <w:lang w:eastAsia="en-GB"/>
        </w:rPr>
        <w:t xml:space="preserve"> to be</w:t>
      </w:r>
      <w:r w:rsidR="00776AB2">
        <w:rPr>
          <w:lang w:eastAsia="en-GB"/>
        </w:rPr>
        <w:t xml:space="preserve"> in conflict with </w:t>
      </w:r>
      <w:r w:rsidR="00052D10">
        <w:rPr>
          <w:lang w:eastAsia="en-GB"/>
        </w:rPr>
        <w:t xml:space="preserve">ECHR and </w:t>
      </w:r>
      <w:r w:rsidR="00776AB2">
        <w:rPr>
          <w:lang w:eastAsia="en-GB"/>
        </w:rPr>
        <w:t>CRPD</w:t>
      </w:r>
      <w:r w:rsidR="00052D10">
        <w:rPr>
          <w:lang w:eastAsia="en-GB"/>
        </w:rPr>
        <w:t xml:space="preserve"> principles</w:t>
      </w:r>
      <w:r w:rsidRPr="0073570E">
        <w:rPr>
          <w:lang w:eastAsia="en-GB"/>
        </w:rPr>
        <w:t xml:space="preserve">. </w:t>
      </w:r>
      <w:r w:rsidR="00052D10">
        <w:rPr>
          <w:lang w:eastAsia="en-GB"/>
        </w:rPr>
        <w:t>In particular, the scrutiny required where capacity is denied ought to be proportionate to the interests at stake.</w:t>
      </w:r>
      <w:r w:rsidR="00135FCE">
        <w:rPr>
          <w:lang w:eastAsia="en-GB"/>
        </w:rPr>
        <w:t xml:space="preserve"> </w:t>
      </w:r>
      <w:r w:rsidR="00EF242D">
        <w:rPr>
          <w:lang w:eastAsia="en-GB"/>
        </w:rPr>
        <w:t xml:space="preserve">Yet </w:t>
      </w:r>
      <w:r w:rsidRPr="0073570E">
        <w:t xml:space="preserve">there was scant evidence of any causal connection between </w:t>
      </w:r>
      <w:r w:rsidR="00EF242D">
        <w:t>M’s</w:t>
      </w:r>
      <w:r w:rsidRPr="0073570E">
        <w:t xml:space="preserve"> ‘impairment’ </w:t>
      </w:r>
      <w:r w:rsidR="00EF242D">
        <w:t xml:space="preserve">(mild depression) </w:t>
      </w:r>
      <w:r w:rsidRPr="0073570E">
        <w:t xml:space="preserve">and </w:t>
      </w:r>
      <w:r w:rsidR="00EF242D">
        <w:t>her</w:t>
      </w:r>
      <w:r w:rsidRPr="0073570E">
        <w:t xml:space="preserve"> identified ‘inability to decide’ (inability to appreciate the risks of returning home).</w:t>
      </w:r>
      <w:r w:rsidRPr="0073570E">
        <w:rPr>
          <w:rStyle w:val="FootnoteReference"/>
        </w:rPr>
        <w:footnoteReference w:id="47"/>
      </w:r>
      <w:r w:rsidRPr="0073570E">
        <w:t xml:space="preserve"> </w:t>
      </w:r>
      <w:r w:rsidRPr="0073570E">
        <w:rPr>
          <w:lang w:eastAsia="en-GB"/>
        </w:rPr>
        <w:t>This looked like a clear case of M exercising her right to make an unwise decision</w:t>
      </w:r>
      <w:r w:rsidR="00245135" w:rsidRPr="0073570E">
        <w:rPr>
          <w:lang w:eastAsia="en-GB"/>
        </w:rPr>
        <w:t>,</w:t>
      </w:r>
      <w:r w:rsidRPr="0073570E">
        <w:rPr>
          <w:rStyle w:val="FootnoteReference"/>
        </w:rPr>
        <w:footnoteReference w:id="48"/>
      </w:r>
      <w:r w:rsidRPr="0073570E">
        <w:rPr>
          <w:lang w:eastAsia="en-GB"/>
        </w:rPr>
        <w:t xml:space="preserve"> or minimising the risks to avoid the appearance of conceding territory in a disagreement about her care, rather than a decision affected by an inability to process the </w:t>
      </w:r>
      <w:r w:rsidR="00245135" w:rsidRPr="0073570E">
        <w:rPr>
          <w:lang w:eastAsia="en-GB"/>
        </w:rPr>
        <w:t xml:space="preserve">relevant </w:t>
      </w:r>
      <w:r w:rsidRPr="0073570E">
        <w:rPr>
          <w:lang w:eastAsia="en-GB"/>
        </w:rPr>
        <w:t>information. What makes the outcome here seem even more anomalous</w:t>
      </w:r>
      <w:r w:rsidR="00245135" w:rsidRPr="0073570E">
        <w:rPr>
          <w:lang w:eastAsia="en-GB"/>
        </w:rPr>
        <w:t>,</w:t>
      </w:r>
      <w:r w:rsidRPr="0073570E">
        <w:rPr>
          <w:lang w:eastAsia="en-GB"/>
        </w:rPr>
        <w:t xml:space="preserve"> is the fact that the judgment accepted M’s decision making capacity was not affected in any other area of her life.</w:t>
      </w:r>
      <w:r w:rsidRPr="0073570E">
        <w:rPr>
          <w:rStyle w:val="FootnoteReference"/>
        </w:rPr>
        <w:footnoteReference w:id="49"/>
      </w:r>
    </w:p>
    <w:p w:rsidR="001A4179" w:rsidRPr="0073570E" w:rsidRDefault="00FB7A6D" w:rsidP="001A4179">
      <w:pPr>
        <w:jc w:val="both"/>
      </w:pPr>
      <w:r w:rsidRPr="0073570E">
        <w:t xml:space="preserve">The prominence afforded to the diagnostic </w:t>
      </w:r>
      <w:r w:rsidR="00535CCD" w:rsidRPr="0073570E">
        <w:t xml:space="preserve">threshold </w:t>
      </w:r>
      <w:r w:rsidRPr="0073570E">
        <w:t xml:space="preserve">suggested </w:t>
      </w:r>
      <w:r w:rsidR="00535CCD" w:rsidRPr="0073570E">
        <w:t>by</w:t>
      </w:r>
      <w:r w:rsidRPr="0073570E">
        <w:t xml:space="preserve"> the MCA Code of Practice</w:t>
      </w:r>
      <w:r w:rsidRPr="0073570E">
        <w:rPr>
          <w:color w:val="000000"/>
        </w:rPr>
        <w:t xml:space="preserve"> </w:t>
      </w:r>
      <w:r w:rsidR="00EF242D">
        <w:rPr>
          <w:color w:val="000000"/>
        </w:rPr>
        <w:t xml:space="preserve">facilitates, or even </w:t>
      </w:r>
      <w:r w:rsidR="00535CCD" w:rsidRPr="0073570E">
        <w:t>encourage</w:t>
      </w:r>
      <w:r w:rsidR="00EF242D">
        <w:t>s,</w:t>
      </w:r>
      <w:r w:rsidR="00535CCD" w:rsidRPr="0073570E">
        <w:t xml:space="preserve"> a deferential approach to medical evidence on capacity. </w:t>
      </w:r>
      <w:r w:rsidR="006465BC" w:rsidRPr="0073570E">
        <w:rPr>
          <w:color w:val="000000"/>
        </w:rPr>
        <w:t>However,</w:t>
      </w:r>
      <w:r w:rsidR="00ED7B26" w:rsidRPr="0073570E">
        <w:t xml:space="preserve"> uncertainties surrounding the functional </w:t>
      </w:r>
      <w:r w:rsidR="006465BC" w:rsidRPr="0073570E">
        <w:t xml:space="preserve">criteria and the </w:t>
      </w:r>
      <w:r w:rsidR="0037023A">
        <w:t>‘</w:t>
      </w:r>
      <w:r w:rsidR="006465BC" w:rsidRPr="0073570E">
        <w:t>inferential gap</w:t>
      </w:r>
      <w:r w:rsidR="0037023A">
        <w:t>’</w:t>
      </w:r>
      <w:r w:rsidR="006465BC" w:rsidRPr="0073570E">
        <w:t xml:space="preserve"> outlined above appear to </w:t>
      </w:r>
      <w:r w:rsidR="00ED7B26" w:rsidRPr="0073570E">
        <w:t xml:space="preserve">leave </w:t>
      </w:r>
      <w:r w:rsidR="006465BC" w:rsidRPr="0073570E">
        <w:t xml:space="preserve">open substantial </w:t>
      </w:r>
      <w:r w:rsidR="00ED7B26" w:rsidRPr="0073570E">
        <w:t xml:space="preserve">negotiable territory. </w:t>
      </w:r>
      <w:r w:rsidR="006465BC" w:rsidRPr="0073570E">
        <w:t>How are doubts about P’s capacity resolved? And to what extent are they resolved in way</w:t>
      </w:r>
      <w:r w:rsidR="008B0192" w:rsidRPr="0073570E">
        <w:t>s</w:t>
      </w:r>
      <w:r w:rsidR="006465BC" w:rsidRPr="0073570E">
        <w:t xml:space="preserve"> which suggest </w:t>
      </w:r>
      <w:proofErr w:type="spellStart"/>
      <w:r w:rsidR="006465BC" w:rsidRPr="0073570E">
        <w:t>medicalisation</w:t>
      </w:r>
      <w:proofErr w:type="spellEnd"/>
      <w:r w:rsidR="00245135" w:rsidRPr="0073570E">
        <w:t>,</w:t>
      </w:r>
      <w:r w:rsidR="006465BC" w:rsidRPr="0073570E">
        <w:t xml:space="preserve"> or deference to </w:t>
      </w:r>
      <w:r w:rsidR="0037023A">
        <w:t>medical opinion</w:t>
      </w:r>
      <w:r w:rsidR="001A4179" w:rsidRPr="0073570E">
        <w:t>?</w:t>
      </w:r>
    </w:p>
    <w:p w:rsidR="001A4179" w:rsidRPr="0073570E" w:rsidRDefault="00B43E2E" w:rsidP="001A4179">
      <w:pPr>
        <w:jc w:val="both"/>
        <w:rPr>
          <w:b/>
        </w:rPr>
      </w:pPr>
      <w:r>
        <w:rPr>
          <w:b/>
        </w:rPr>
        <w:lastRenderedPageBreak/>
        <w:t>C</w:t>
      </w:r>
      <w:r w:rsidR="001A4179" w:rsidRPr="0073570E">
        <w:rPr>
          <w:b/>
        </w:rPr>
        <w:t>. Assessing Deference to Medical Views in the Court of Protection</w:t>
      </w:r>
    </w:p>
    <w:p w:rsidR="001A4179" w:rsidRPr="0073570E" w:rsidRDefault="00ED7B26" w:rsidP="001A4179">
      <w:pPr>
        <w:jc w:val="both"/>
        <w:rPr>
          <w:b/>
        </w:rPr>
      </w:pPr>
      <w:r w:rsidRPr="0073570E">
        <w:rPr>
          <w:i/>
        </w:rPr>
        <w:t>Q</w:t>
      </w:r>
      <w:r w:rsidR="001A4179" w:rsidRPr="0073570E">
        <w:rPr>
          <w:i/>
        </w:rPr>
        <w:t xml:space="preserve">uantitative and qualitative markers of judicial </w:t>
      </w:r>
      <w:r w:rsidRPr="0073570E">
        <w:rPr>
          <w:i/>
        </w:rPr>
        <w:t>‘</w:t>
      </w:r>
      <w:r w:rsidR="001A4179" w:rsidRPr="0073570E">
        <w:rPr>
          <w:i/>
        </w:rPr>
        <w:t>deference</w:t>
      </w:r>
      <w:r w:rsidRPr="0073570E">
        <w:rPr>
          <w:i/>
        </w:rPr>
        <w:t>’</w:t>
      </w:r>
      <w:r w:rsidR="001A4179" w:rsidRPr="0073570E">
        <w:rPr>
          <w:i/>
        </w:rPr>
        <w:t xml:space="preserve"> - </w:t>
      </w:r>
      <w:r w:rsidR="001A4179" w:rsidRPr="0073570E">
        <w:t>The term ‘deference’ is widely used in constitutional law to indicate ‘standards of review’ of lower court or public body decisions and broadly refers to the ‘weight attached’ to those decisions.</w:t>
      </w:r>
      <w:r w:rsidR="001A4179" w:rsidRPr="0073570E">
        <w:rPr>
          <w:rStyle w:val="FootnoteReference"/>
        </w:rPr>
        <w:footnoteReference w:id="50"/>
      </w:r>
      <w:r w:rsidR="001A4179" w:rsidRPr="0073570E">
        <w:t xml:space="preserve"> This ‘doctrinal deference’ is to be distinguished from ‘epistemic deference’ which refers to the practice of paying respect to other decision makers by according weight to them.</w:t>
      </w:r>
      <w:r w:rsidR="001A4179" w:rsidRPr="0073570E">
        <w:rPr>
          <w:rStyle w:val="FootnoteReference"/>
        </w:rPr>
        <w:footnoteReference w:id="51"/>
      </w:r>
      <w:r w:rsidR="001A4179" w:rsidRPr="0073570E">
        <w:t xml:space="preserve"> </w:t>
      </w:r>
      <w:r w:rsidR="008B0192" w:rsidRPr="0073570E">
        <w:t>It is t</w:t>
      </w:r>
      <w:r w:rsidR="001A4179" w:rsidRPr="0073570E">
        <w:t>his latter application of deference</w:t>
      </w:r>
      <w:r w:rsidR="008B0192" w:rsidRPr="0073570E">
        <w:t xml:space="preserve"> which</w:t>
      </w:r>
      <w:r w:rsidR="001A4179" w:rsidRPr="0073570E">
        <w:t xml:space="preserve"> is frequently used in a pejorative sense in medical law to frame critique, with a focus on the scrutiny the court applies to particular sources of argumentation. </w:t>
      </w:r>
      <w:r w:rsidR="00F85E6A" w:rsidRPr="0073570E">
        <w:t xml:space="preserve">As indicated above, </w:t>
      </w:r>
      <w:r w:rsidR="001A4179" w:rsidRPr="0073570E">
        <w:t>Donnelly</w:t>
      </w:r>
      <w:r w:rsidR="00F85E6A" w:rsidRPr="0073570E">
        <w:t xml:space="preserve">’s observation that the courts have been </w:t>
      </w:r>
      <w:r w:rsidR="001A4179" w:rsidRPr="0073570E">
        <w:t>deferential to the opinion of medical experts when dealing with issues of mental capacity</w:t>
      </w:r>
      <w:r w:rsidR="00F85E6A" w:rsidRPr="0073570E">
        <w:t xml:space="preserve"> suggests that the low incidence of cases departing from medical evidence provide</w:t>
      </w:r>
      <w:r w:rsidR="000364F3" w:rsidRPr="0073570E">
        <w:t>s</w:t>
      </w:r>
      <w:r w:rsidR="00F85E6A" w:rsidRPr="0073570E">
        <w:t xml:space="preserve"> a preliminary indicator of </w:t>
      </w:r>
      <w:r w:rsidR="00162F3A" w:rsidRPr="0073570E">
        <w:t>such deference</w:t>
      </w:r>
      <w:r w:rsidR="00F85E6A" w:rsidRPr="0073570E">
        <w:t>.</w:t>
      </w:r>
      <w:r w:rsidR="001A4179" w:rsidRPr="0073570E">
        <w:rPr>
          <w:rStyle w:val="FootnoteReference"/>
        </w:rPr>
        <w:footnoteReference w:id="52"/>
      </w:r>
      <w:r w:rsidR="001A4179" w:rsidRPr="0073570E">
        <w:rPr>
          <w:i/>
        </w:rPr>
        <w:t xml:space="preserve"> </w:t>
      </w:r>
      <w:r w:rsidR="00020C66" w:rsidRPr="00020C66">
        <w:t>D</w:t>
      </w:r>
      <w:r w:rsidR="001A4179" w:rsidRPr="0073570E">
        <w:t>eference might</w:t>
      </w:r>
      <w:r w:rsidR="00020C66">
        <w:t xml:space="preserve"> therefore,</w:t>
      </w:r>
      <w:r w:rsidR="001A4179" w:rsidRPr="0073570E">
        <w:t xml:space="preserve"> at least in part</w:t>
      </w:r>
      <w:r w:rsidR="00020C66">
        <w:t>,</w:t>
      </w:r>
      <w:r w:rsidR="001A4179" w:rsidRPr="0073570E">
        <w:t xml:space="preserve"> be measured by reference to quantitative, ‘outcome based’ indicators.</w:t>
      </w:r>
      <w:r w:rsidR="001A4179" w:rsidRPr="0073570E">
        <w:rPr>
          <w:rStyle w:val="FootnoteReference"/>
        </w:rPr>
        <w:footnoteReference w:id="53"/>
      </w:r>
      <w:r w:rsidR="001A4179" w:rsidRPr="0073570E">
        <w:t xml:space="preserve"> Certainly</w:t>
      </w:r>
      <w:r w:rsidR="008B0192" w:rsidRPr="0073570E">
        <w:t>,</w:t>
      </w:r>
      <w:r w:rsidR="001A4179" w:rsidRPr="0073570E">
        <w:t xml:space="preserve"> a quantitative approach can offer a useful starting point before embarking on a more detailed analysis of markers/indices of deference.</w:t>
      </w:r>
    </w:p>
    <w:p w:rsidR="001A4179" w:rsidRPr="0073570E" w:rsidRDefault="001A4179" w:rsidP="001A4179">
      <w:pPr>
        <w:jc w:val="both"/>
      </w:pPr>
      <w:r w:rsidRPr="0073570E">
        <w:rPr>
          <w:i/>
        </w:rPr>
        <w:t xml:space="preserve">Collating the </w:t>
      </w:r>
      <w:r w:rsidR="00AD4720" w:rsidRPr="0073570E">
        <w:rPr>
          <w:i/>
        </w:rPr>
        <w:t xml:space="preserve">quantitative </w:t>
      </w:r>
      <w:r w:rsidRPr="0073570E">
        <w:rPr>
          <w:i/>
        </w:rPr>
        <w:t xml:space="preserve">evidence - </w:t>
      </w:r>
      <w:r w:rsidRPr="0073570E">
        <w:t xml:space="preserve">In 2010 Donnelly </w:t>
      </w:r>
      <w:r w:rsidR="00162F3A" w:rsidRPr="0073570E">
        <w:t xml:space="preserve">also </w:t>
      </w:r>
      <w:r w:rsidRPr="0073570E">
        <w:t>commented on the ‘dearth of reported decisions from the Court of Protection</w:t>
      </w:r>
      <w:r w:rsidR="00162F3A" w:rsidRPr="0073570E">
        <w:t>,</w:t>
      </w:r>
      <w:r w:rsidRPr="0073570E">
        <w:t xml:space="preserve">’ </w:t>
      </w:r>
      <w:r w:rsidR="00162F3A" w:rsidRPr="0073570E">
        <w:t>this fact making</w:t>
      </w:r>
      <w:r w:rsidRPr="0073570E">
        <w:t xml:space="preserve"> it very difficult to assess the court’s approach to expert evidence on capacity post-MCA.</w:t>
      </w:r>
      <w:r w:rsidRPr="0073570E">
        <w:rPr>
          <w:rStyle w:val="FootnoteReference"/>
        </w:rPr>
        <w:footnoteReference w:id="54"/>
      </w:r>
      <w:r w:rsidRPr="0073570E">
        <w:t xml:space="preserve"> </w:t>
      </w:r>
      <w:r w:rsidR="008F2868" w:rsidRPr="0073570E">
        <w:t xml:space="preserve">Transparency reforms to the </w:t>
      </w:r>
      <w:proofErr w:type="spellStart"/>
      <w:r w:rsidR="008F2868" w:rsidRPr="0073570E">
        <w:t>CoP</w:t>
      </w:r>
      <w:proofErr w:type="spellEnd"/>
      <w:r w:rsidR="008F2868" w:rsidRPr="0073570E">
        <w:t xml:space="preserve"> in 2014 mean that</w:t>
      </w:r>
      <w:r w:rsidRPr="0073570E">
        <w:t xml:space="preserve"> the </w:t>
      </w:r>
      <w:r w:rsidR="008B0192" w:rsidRPr="0073570E">
        <w:t xml:space="preserve">paucity </w:t>
      </w:r>
      <w:r w:rsidRPr="0073570E">
        <w:t>of reported cases has</w:t>
      </w:r>
      <w:r w:rsidR="00F51908" w:rsidRPr="0073570E">
        <w:t>,</w:t>
      </w:r>
      <w:r w:rsidRPr="0073570E">
        <w:t xml:space="preserve"> to an extent</w:t>
      </w:r>
      <w:r w:rsidR="00F51908" w:rsidRPr="0073570E">
        <w:t>,</w:t>
      </w:r>
      <w:r w:rsidRPr="0073570E">
        <w:t xml:space="preserve"> been remedied.</w:t>
      </w:r>
      <w:r w:rsidR="008F2868" w:rsidRPr="0073570E">
        <w:rPr>
          <w:rStyle w:val="FootnoteReference"/>
        </w:rPr>
        <w:footnoteReference w:id="55"/>
      </w:r>
      <w:r w:rsidRPr="0073570E">
        <w:t xml:space="preserve"> The publication of these judgments has been liberalised and in 201</w:t>
      </w:r>
      <w:r w:rsidR="00F6602C" w:rsidRPr="0073570E">
        <w:t>6</w:t>
      </w:r>
      <w:r w:rsidRPr="0073570E">
        <w:t xml:space="preserve"> it was possible for the author to compile a database of </w:t>
      </w:r>
      <w:r w:rsidR="001D2705" w:rsidRPr="0073570E">
        <w:t xml:space="preserve">well </w:t>
      </w:r>
      <w:r w:rsidRPr="0073570E">
        <w:t xml:space="preserve">over 200 </w:t>
      </w:r>
      <w:proofErr w:type="spellStart"/>
      <w:r w:rsidRPr="0073570E">
        <w:t>CoP</w:t>
      </w:r>
      <w:proofErr w:type="spellEnd"/>
      <w:r w:rsidRPr="0073570E">
        <w:t xml:space="preserve"> judgments in order to assess post-MCA judicial responses to expert evidence on P’s capacity.</w:t>
      </w:r>
      <w:r w:rsidR="006C4E29" w:rsidRPr="0073570E">
        <w:rPr>
          <w:rStyle w:val="FootnoteReference"/>
        </w:rPr>
        <w:footnoteReference w:id="56"/>
      </w:r>
      <w:r w:rsidR="006C4E29" w:rsidRPr="0073570E">
        <w:t xml:space="preserve"> </w:t>
      </w:r>
      <w:r w:rsidRPr="0073570E">
        <w:t xml:space="preserve">From this dataset, </w:t>
      </w:r>
      <w:r w:rsidR="00261132" w:rsidRPr="0073570E">
        <w:t>66</w:t>
      </w:r>
      <w:r w:rsidRPr="0073570E">
        <w:t xml:space="preserve"> judgments were identified where </w:t>
      </w:r>
      <w:r w:rsidR="008B0192" w:rsidRPr="0073570E">
        <w:t xml:space="preserve">P’s decision making </w:t>
      </w:r>
      <w:r w:rsidRPr="0073570E">
        <w:t xml:space="preserve">capacity in health/welfare cases was explored in some </w:t>
      </w:r>
      <w:r w:rsidRPr="0073570E">
        <w:rPr>
          <w:i/>
        </w:rPr>
        <w:t>detail</w:t>
      </w:r>
      <w:r w:rsidRPr="0073570E">
        <w:t xml:space="preserve">, being of three further types;  </w:t>
      </w:r>
    </w:p>
    <w:p w:rsidR="001A4179" w:rsidRPr="0073570E" w:rsidRDefault="001A4179" w:rsidP="001A4179">
      <w:pPr>
        <w:jc w:val="both"/>
      </w:pPr>
      <w:proofErr w:type="spellStart"/>
      <w:r w:rsidRPr="0073570E">
        <w:lastRenderedPageBreak/>
        <w:t>i</w:t>
      </w:r>
      <w:proofErr w:type="spellEnd"/>
      <w:r w:rsidRPr="0073570E">
        <w:t xml:space="preserve">) </w:t>
      </w:r>
      <w:proofErr w:type="gramStart"/>
      <w:r w:rsidRPr="0073570E">
        <w:t>the</w:t>
      </w:r>
      <w:proofErr w:type="gramEnd"/>
      <w:r w:rsidRPr="0073570E">
        <w:t xml:space="preserve"> ‘</w:t>
      </w:r>
      <w:r w:rsidRPr="0073570E">
        <w:rPr>
          <w:i/>
        </w:rPr>
        <w:t>consensus</w:t>
      </w:r>
      <w:r w:rsidRPr="0073570E">
        <w:t xml:space="preserve"> cases’ – </w:t>
      </w:r>
      <w:r w:rsidR="008B0FB7" w:rsidRPr="0073570E">
        <w:t>5</w:t>
      </w:r>
      <w:r w:rsidR="00753036" w:rsidRPr="0073570E">
        <w:t>1</w:t>
      </w:r>
      <w:r w:rsidRPr="0073570E">
        <w:t xml:space="preserve"> (</w:t>
      </w:r>
      <w:r w:rsidR="00261132" w:rsidRPr="0073570E">
        <w:t>7</w:t>
      </w:r>
      <w:r w:rsidR="00753036" w:rsidRPr="0073570E">
        <w:t>7</w:t>
      </w:r>
      <w:r w:rsidRPr="0073570E">
        <w:t xml:space="preserve"> per cent) of the </w:t>
      </w:r>
      <w:r w:rsidR="008B0FB7" w:rsidRPr="0073570E">
        <w:t>66</w:t>
      </w:r>
      <w:r w:rsidRPr="0073570E">
        <w:t xml:space="preserve"> judgments were identified as ‘consensus cases’ where a consensus was reached amongst all the experts (or there was only one expert) </w:t>
      </w:r>
      <w:r w:rsidRPr="0073570E">
        <w:rPr>
          <w:i/>
        </w:rPr>
        <w:t>and</w:t>
      </w:r>
      <w:r w:rsidRPr="0073570E">
        <w:t xml:space="preserve"> the court as to whether P had mental capacity on the particular issue(s) at stake</w:t>
      </w:r>
      <w:r w:rsidR="001A502A" w:rsidRPr="0073570E">
        <w:rPr>
          <w:rStyle w:val="FootnoteReference"/>
        </w:rPr>
        <w:footnoteReference w:id="57"/>
      </w:r>
      <w:r w:rsidRPr="0073570E">
        <w:t xml:space="preserve">; </w:t>
      </w:r>
    </w:p>
    <w:p w:rsidR="001A4179" w:rsidRPr="0073570E" w:rsidRDefault="001A4179" w:rsidP="001A4179">
      <w:pPr>
        <w:jc w:val="both"/>
      </w:pPr>
      <w:r w:rsidRPr="0073570E">
        <w:t xml:space="preserve">ii) </w:t>
      </w:r>
      <w:proofErr w:type="gramStart"/>
      <w:r w:rsidRPr="0073570E">
        <w:t>the</w:t>
      </w:r>
      <w:proofErr w:type="gramEnd"/>
      <w:r w:rsidRPr="0073570E">
        <w:t xml:space="preserve"> ‘</w:t>
      </w:r>
      <w:r w:rsidRPr="0073570E">
        <w:rPr>
          <w:i/>
        </w:rPr>
        <w:t>deviation</w:t>
      </w:r>
      <w:r w:rsidRPr="0073570E">
        <w:t xml:space="preserve"> cases’  - </w:t>
      </w:r>
      <w:r w:rsidR="008B0192" w:rsidRPr="0073570E">
        <w:t xml:space="preserve">just </w:t>
      </w:r>
      <w:r w:rsidR="00750772" w:rsidRPr="0073570E">
        <w:t>three</w:t>
      </w:r>
      <w:r w:rsidRPr="0073570E">
        <w:t xml:space="preserve"> out of the </w:t>
      </w:r>
      <w:r w:rsidR="008B0FB7" w:rsidRPr="0073570E">
        <w:t>66</w:t>
      </w:r>
      <w:r w:rsidRPr="0073570E">
        <w:t xml:space="preserve"> judgments (</w:t>
      </w:r>
      <w:r w:rsidR="006F6D7A" w:rsidRPr="0073570E">
        <w:t>4.5</w:t>
      </w:r>
      <w:r w:rsidRPr="0073570E">
        <w:t xml:space="preserve"> per cent)   (</w:t>
      </w:r>
      <w:r w:rsidRPr="0073570E">
        <w:rPr>
          <w:i/>
        </w:rPr>
        <w:t>CC v STCC</w:t>
      </w:r>
      <w:r w:rsidR="00750772" w:rsidRPr="0073570E">
        <w:rPr>
          <w:i/>
        </w:rPr>
        <w:t>,</w:t>
      </w:r>
      <w:r w:rsidRPr="0073570E">
        <w:rPr>
          <w:rStyle w:val="FootnoteReference"/>
          <w:i/>
        </w:rPr>
        <w:footnoteReference w:id="58"/>
      </w:r>
      <w:r w:rsidRPr="0073570E">
        <w:t xml:space="preserve"> </w:t>
      </w:r>
      <w:r w:rsidRPr="0073570E">
        <w:rPr>
          <w:i/>
        </w:rPr>
        <w:t>Re SB</w:t>
      </w:r>
      <w:r w:rsidRPr="0073570E">
        <w:rPr>
          <w:rStyle w:val="FootnoteReference"/>
          <w:i/>
        </w:rPr>
        <w:footnoteReference w:id="59"/>
      </w:r>
      <w:r w:rsidR="00750772" w:rsidRPr="0073570E">
        <w:t xml:space="preserve"> and </w:t>
      </w:r>
      <w:r w:rsidR="00750772" w:rsidRPr="0073570E">
        <w:rPr>
          <w:i/>
        </w:rPr>
        <w:t>Re Z &amp; Others</w:t>
      </w:r>
      <w:r w:rsidR="00750772" w:rsidRPr="0073570E">
        <w:rPr>
          <w:rStyle w:val="FootnoteReference"/>
          <w:i/>
        </w:rPr>
        <w:footnoteReference w:id="60"/>
      </w:r>
      <w:r w:rsidRPr="0073570E">
        <w:t>) were observed in which the experts were in agreement (or there was only one expert) and the judge departed completely from conclusion of the expert evidence on the issue of P’s capacity</w:t>
      </w:r>
      <w:r w:rsidRPr="0073570E">
        <w:rPr>
          <w:rStyle w:val="FootnoteReference"/>
        </w:rPr>
        <w:footnoteReference w:id="61"/>
      </w:r>
      <w:r w:rsidRPr="0073570E">
        <w:t xml:space="preserve">; and </w:t>
      </w:r>
    </w:p>
    <w:p w:rsidR="001A4179" w:rsidRPr="0073570E" w:rsidRDefault="001A4179" w:rsidP="001A4179">
      <w:pPr>
        <w:jc w:val="both"/>
      </w:pPr>
      <w:r w:rsidRPr="0073570E">
        <w:t xml:space="preserve">iii) </w:t>
      </w:r>
      <w:proofErr w:type="gramStart"/>
      <w:r w:rsidRPr="0073570E">
        <w:t>the</w:t>
      </w:r>
      <w:proofErr w:type="gramEnd"/>
      <w:r w:rsidRPr="0073570E">
        <w:t xml:space="preserve"> ‘</w:t>
      </w:r>
      <w:r w:rsidRPr="0073570E">
        <w:rPr>
          <w:i/>
        </w:rPr>
        <w:t>conflict</w:t>
      </w:r>
      <w:r w:rsidRPr="0073570E">
        <w:t xml:space="preserve"> cases’ -  </w:t>
      </w:r>
      <w:r w:rsidR="00753036" w:rsidRPr="0073570E">
        <w:t xml:space="preserve">twelve </w:t>
      </w:r>
      <w:r w:rsidRPr="0073570E">
        <w:t xml:space="preserve">out of the </w:t>
      </w:r>
      <w:r w:rsidR="008B0FB7" w:rsidRPr="0073570E">
        <w:t>66</w:t>
      </w:r>
      <w:r w:rsidRPr="0073570E">
        <w:t xml:space="preserve"> judgments involved a conflict in the expert evidence which the judge needed to resolve. </w:t>
      </w:r>
    </w:p>
    <w:p w:rsidR="001A4179" w:rsidRPr="0073570E" w:rsidRDefault="008B0192" w:rsidP="001A4179">
      <w:pPr>
        <w:jc w:val="both"/>
        <w:rPr>
          <w:color w:val="000000"/>
        </w:rPr>
      </w:pPr>
      <w:r w:rsidRPr="00201E7E">
        <w:t>Analysis of the 66 cases suggested that</w:t>
      </w:r>
      <w:r w:rsidR="001A4179" w:rsidRPr="00201E7E">
        <w:t xml:space="preserve"> the majority of experts called to give evidence on capacity were </w:t>
      </w:r>
      <w:r w:rsidR="0037023A">
        <w:t>doctors</w:t>
      </w:r>
      <w:r w:rsidRPr="00201E7E">
        <w:t>:</w:t>
      </w:r>
      <w:r w:rsidR="001A4179" w:rsidRPr="00201E7E">
        <w:t xml:space="preserve"> 7</w:t>
      </w:r>
      <w:r w:rsidR="00C25A7E" w:rsidRPr="00201E7E">
        <w:t>3</w:t>
      </w:r>
      <w:r w:rsidR="001A4179" w:rsidRPr="00201E7E">
        <w:t xml:space="preserve"> per cent of the witnesses providing expert evidence on capacity were from the medical profession (i.e. 5</w:t>
      </w:r>
      <w:r w:rsidR="00240655" w:rsidRPr="00201E7E">
        <w:t>5</w:t>
      </w:r>
      <w:r w:rsidR="001A4179" w:rsidRPr="00201E7E">
        <w:t xml:space="preserve"> per cent were psychiatrists and </w:t>
      </w:r>
      <w:r w:rsidR="0037023A">
        <w:t>‘</w:t>
      </w:r>
      <w:r w:rsidR="001A4179" w:rsidRPr="00201E7E">
        <w:t>other doctors</w:t>
      </w:r>
      <w:r w:rsidR="0037023A">
        <w:t>’</w:t>
      </w:r>
      <w:r w:rsidR="001A4179" w:rsidRPr="00201E7E">
        <w:t xml:space="preserve"> made up 1</w:t>
      </w:r>
      <w:r w:rsidR="00240655" w:rsidRPr="00201E7E">
        <w:t>8</w:t>
      </w:r>
      <w:r w:rsidR="001A4179" w:rsidRPr="00201E7E">
        <w:t xml:space="preserve"> per cent of the sample). The remaining </w:t>
      </w:r>
      <w:r w:rsidR="00240655" w:rsidRPr="00201E7E">
        <w:t>27</w:t>
      </w:r>
      <w:r w:rsidR="001A4179" w:rsidRPr="00201E7E">
        <w:t xml:space="preserve"> per cent was made up of social workers (1</w:t>
      </w:r>
      <w:r w:rsidR="00240655" w:rsidRPr="00201E7E">
        <w:t>2.5</w:t>
      </w:r>
      <w:r w:rsidR="001A4179" w:rsidRPr="00201E7E">
        <w:t xml:space="preserve"> per cent), psychologists (9</w:t>
      </w:r>
      <w:r w:rsidR="00240655" w:rsidRPr="00201E7E">
        <w:t>.5</w:t>
      </w:r>
      <w:r w:rsidR="001A4179" w:rsidRPr="00201E7E">
        <w:t xml:space="preserve"> per cent) and ‘others’ (5 per cent).</w:t>
      </w:r>
      <w:r w:rsidR="001A4179" w:rsidRPr="00201E7E">
        <w:rPr>
          <w:rStyle w:val="FootnoteReference"/>
        </w:rPr>
        <w:footnoteReference w:id="62"/>
      </w:r>
      <w:r w:rsidR="001A4179" w:rsidRPr="00201E7E">
        <w:t xml:space="preserve"> In 2</w:t>
      </w:r>
      <w:r w:rsidR="00C25A7E" w:rsidRPr="00201E7E">
        <w:t>4</w:t>
      </w:r>
      <w:r w:rsidR="001A4179" w:rsidRPr="00201E7E">
        <w:t xml:space="preserve"> per cent of the judgments the </w:t>
      </w:r>
      <w:r w:rsidR="001A4179" w:rsidRPr="00201E7E">
        <w:rPr>
          <w:i/>
        </w:rPr>
        <w:t xml:space="preserve">only </w:t>
      </w:r>
      <w:r w:rsidR="001A4179" w:rsidRPr="00201E7E">
        <w:t>expert evidence</w:t>
      </w:r>
      <w:r w:rsidR="00BF6CAE" w:rsidRPr="00201E7E">
        <w:t xml:space="preserve"> </w:t>
      </w:r>
      <w:r w:rsidR="001A4179" w:rsidRPr="00201E7E">
        <w:t xml:space="preserve">referred to </w:t>
      </w:r>
      <w:r w:rsidR="00BF6CAE" w:rsidRPr="00201E7E">
        <w:t xml:space="preserve">on capacity </w:t>
      </w:r>
      <w:r w:rsidR="001A4179" w:rsidRPr="00201E7E">
        <w:t xml:space="preserve">came from psychiatrists. </w:t>
      </w:r>
      <w:r w:rsidRPr="00201E7E">
        <w:t xml:space="preserve"> </w:t>
      </w:r>
      <w:r w:rsidR="001A4179" w:rsidRPr="00201E7E">
        <w:t>These statistics raise a number of interesting questions about the impact of the apparent dominance of medical evidence, and particularly</w:t>
      </w:r>
      <w:r w:rsidR="001A4179" w:rsidRPr="0073570E">
        <w:t xml:space="preserve"> psychiatric evidence, in the process of assessing P’s </w:t>
      </w:r>
      <w:r w:rsidR="0037023A">
        <w:t>capacity</w:t>
      </w:r>
      <w:r w:rsidR="001A4179" w:rsidRPr="0073570E">
        <w:t>:</w:t>
      </w:r>
      <w:r w:rsidRPr="0073570E">
        <w:t xml:space="preserve"> </w:t>
      </w:r>
      <w:r w:rsidR="00B667E1" w:rsidRPr="0073570E">
        <w:t>i</w:t>
      </w:r>
      <w:r w:rsidR="001A4179" w:rsidRPr="0073570E">
        <w:t xml:space="preserve">s the </w:t>
      </w:r>
      <w:proofErr w:type="spellStart"/>
      <w:r w:rsidR="001A4179" w:rsidRPr="0073570E">
        <w:t>CoP</w:t>
      </w:r>
      <w:proofErr w:type="spellEnd"/>
      <w:r w:rsidR="001A4179" w:rsidRPr="0073570E">
        <w:t xml:space="preserve"> as deferential to medical expert evidence on capacity as </w:t>
      </w:r>
      <w:r w:rsidR="005928B2" w:rsidRPr="0073570E">
        <w:t>has been suggested was</w:t>
      </w:r>
      <w:r w:rsidR="001A4179" w:rsidRPr="0073570E">
        <w:t xml:space="preserve"> the case before the MCA? What role </w:t>
      </w:r>
      <w:r w:rsidR="00F85E6A" w:rsidRPr="0073570E">
        <w:t>should</w:t>
      </w:r>
      <w:r w:rsidR="001A4179" w:rsidRPr="0073570E">
        <w:t xml:space="preserve"> quantitative criteria and qualitative indices play in measuring deference in this context?</w:t>
      </w:r>
      <w:r w:rsidRPr="0073570E">
        <w:t xml:space="preserve"> </w:t>
      </w:r>
      <w:r w:rsidR="001A4179" w:rsidRPr="0073570E">
        <w:t xml:space="preserve">Finally, </w:t>
      </w:r>
      <w:r w:rsidR="00575B58" w:rsidRPr="0073570E">
        <w:t>if the</w:t>
      </w:r>
      <w:r w:rsidR="001A4179" w:rsidRPr="0073570E">
        <w:t xml:space="preserve"> medical view </w:t>
      </w:r>
      <w:r w:rsidR="00575B58" w:rsidRPr="0073570E">
        <w:t xml:space="preserve">is allowed </w:t>
      </w:r>
      <w:r w:rsidR="001A4179" w:rsidRPr="0073570E">
        <w:t>to dominate capacity assessment in the courts</w:t>
      </w:r>
      <w:r w:rsidR="00575B58" w:rsidRPr="0073570E">
        <w:t>, what are the social and policy implications</w:t>
      </w:r>
      <w:r w:rsidR="001A4179" w:rsidRPr="0073570E">
        <w:t>?</w:t>
      </w:r>
      <w:r w:rsidR="00AD4720" w:rsidRPr="0073570E">
        <w:rPr>
          <w:rStyle w:val="FootnoteReference"/>
        </w:rPr>
        <w:footnoteReference w:id="63"/>
      </w:r>
      <w:bookmarkStart w:id="1" w:name="para8"/>
      <w:r w:rsidR="004C7676" w:rsidRPr="0073570E">
        <w:t xml:space="preserve"> </w:t>
      </w:r>
    </w:p>
    <w:bookmarkEnd w:id="1"/>
    <w:p w:rsidR="001A4179" w:rsidRPr="0073570E" w:rsidRDefault="00B43E2E" w:rsidP="001A4179">
      <w:pPr>
        <w:jc w:val="both"/>
        <w:rPr>
          <w:b/>
        </w:rPr>
      </w:pPr>
      <w:r>
        <w:rPr>
          <w:b/>
        </w:rPr>
        <w:t>D</w:t>
      </w:r>
      <w:r w:rsidR="001A4179" w:rsidRPr="0073570E">
        <w:rPr>
          <w:b/>
        </w:rPr>
        <w:t>. Defer</w:t>
      </w:r>
      <w:r w:rsidR="00B667E1" w:rsidRPr="0073570E">
        <w:rPr>
          <w:b/>
        </w:rPr>
        <w:t xml:space="preserve">ring to clinical judgement or </w:t>
      </w:r>
      <w:r w:rsidR="00BF6CAE">
        <w:rPr>
          <w:b/>
        </w:rPr>
        <w:t xml:space="preserve">engaging in </w:t>
      </w:r>
      <w:r w:rsidR="00B667E1" w:rsidRPr="0073570E">
        <w:rPr>
          <w:b/>
        </w:rPr>
        <w:t>judicial diagnosis?</w:t>
      </w:r>
      <w:r w:rsidR="001A4179" w:rsidRPr="0073570E">
        <w:rPr>
          <w:b/>
        </w:rPr>
        <w:t xml:space="preserve"> </w:t>
      </w:r>
    </w:p>
    <w:p w:rsidR="006F6D7A" w:rsidRPr="0073570E" w:rsidRDefault="003B635B" w:rsidP="001A4179">
      <w:pPr>
        <w:autoSpaceDE w:val="0"/>
        <w:autoSpaceDN w:val="0"/>
        <w:adjustRightInd w:val="0"/>
        <w:spacing w:after="0"/>
        <w:jc w:val="both"/>
      </w:pPr>
      <w:r w:rsidRPr="0073570E">
        <w:t>Academics se</w:t>
      </w:r>
      <w:r w:rsidR="004523B3" w:rsidRPr="0073570E">
        <w:t>arching for</w:t>
      </w:r>
      <w:r w:rsidRPr="0073570E">
        <w:t xml:space="preserve"> signs of a non-deferential approach (referred to here as ‘forensic scepticism’) rather than deference to medical </w:t>
      </w:r>
      <w:proofErr w:type="gramStart"/>
      <w:r w:rsidRPr="0073570E">
        <w:t>opinion,</w:t>
      </w:r>
      <w:proofErr w:type="gramEnd"/>
      <w:r w:rsidRPr="0073570E">
        <w:t xml:space="preserve"> tend to require evidence of cases which demonstrate </w:t>
      </w:r>
      <w:r w:rsidR="00CA169C" w:rsidRPr="00CA169C">
        <w:rPr>
          <w:i/>
        </w:rPr>
        <w:t>both</w:t>
      </w:r>
      <w:r w:rsidRPr="0073570E">
        <w:t xml:space="preserve"> explicit challenging of the medical evidence </w:t>
      </w:r>
      <w:r w:rsidRPr="0073570E">
        <w:rPr>
          <w:u w:val="single"/>
        </w:rPr>
        <w:t>and</w:t>
      </w:r>
      <w:r w:rsidRPr="0073570E">
        <w:t xml:space="preserve"> an outcome which rejects that </w:t>
      </w:r>
      <w:r w:rsidRPr="0073570E">
        <w:lastRenderedPageBreak/>
        <w:t>evidence.</w:t>
      </w:r>
      <w:r w:rsidRPr="0073570E">
        <w:rPr>
          <w:rStyle w:val="FootnoteReference"/>
        </w:rPr>
        <w:footnoteReference w:id="64"/>
      </w:r>
      <w:r w:rsidRPr="0073570E">
        <w:t xml:space="preserve"> </w:t>
      </w:r>
      <w:r w:rsidR="006F6D7A" w:rsidRPr="0073570E">
        <w:t>As outlined above</w:t>
      </w:r>
      <w:r w:rsidR="00D634BC" w:rsidRPr="0073570E">
        <w:t>,</w:t>
      </w:r>
      <w:r w:rsidR="006F6D7A" w:rsidRPr="0073570E">
        <w:t xml:space="preserve"> three judgments were identified in which the judge departed complete</w:t>
      </w:r>
      <w:r w:rsidR="00245135" w:rsidRPr="0073570E">
        <w:t>ly</w:t>
      </w:r>
      <w:r w:rsidR="006F6D7A" w:rsidRPr="0073570E">
        <w:t xml:space="preserve"> from a consensus of medical evidence on capacity: </w:t>
      </w:r>
      <w:r w:rsidR="006F6D7A" w:rsidRPr="0073570E">
        <w:rPr>
          <w:i/>
        </w:rPr>
        <w:t xml:space="preserve">CC v STCC, Re SB </w:t>
      </w:r>
      <w:r w:rsidR="006F6D7A" w:rsidRPr="0073570E">
        <w:t>and</w:t>
      </w:r>
      <w:r w:rsidR="006F6D7A" w:rsidRPr="0073570E">
        <w:rPr>
          <w:i/>
        </w:rPr>
        <w:t xml:space="preserve"> Re Z. </w:t>
      </w:r>
      <w:r w:rsidR="006F6D7A" w:rsidRPr="0073570E">
        <w:t>Do the outcome</w:t>
      </w:r>
      <w:r w:rsidR="00D634BC" w:rsidRPr="0073570E">
        <w:t>s and tenor of the</w:t>
      </w:r>
      <w:r w:rsidR="0037023A">
        <w:t>se</w:t>
      </w:r>
      <w:r w:rsidR="00D634BC" w:rsidRPr="0073570E">
        <w:t xml:space="preserve"> judgments</w:t>
      </w:r>
      <w:r w:rsidR="006F6D7A" w:rsidRPr="0073570E">
        <w:t xml:space="preserve"> equate to forensic scepticism in the court’s approach to medical evidence on capacity?</w:t>
      </w:r>
    </w:p>
    <w:p w:rsidR="001A4179" w:rsidRPr="0073570E" w:rsidRDefault="006F6D7A" w:rsidP="001A4179">
      <w:pPr>
        <w:autoSpaceDE w:val="0"/>
        <w:autoSpaceDN w:val="0"/>
        <w:adjustRightInd w:val="0"/>
        <w:spacing w:after="0"/>
        <w:jc w:val="both"/>
      </w:pPr>
      <w:r w:rsidRPr="0073570E">
        <w:t xml:space="preserve"> </w:t>
      </w:r>
    </w:p>
    <w:p w:rsidR="001A4179" w:rsidRPr="0073570E" w:rsidRDefault="001A4179" w:rsidP="001A4179">
      <w:pPr>
        <w:jc w:val="both"/>
      </w:pPr>
      <w:proofErr w:type="spellStart"/>
      <w:r w:rsidRPr="0073570E">
        <w:rPr>
          <w:b/>
          <w:i/>
        </w:rPr>
        <w:t>i</w:t>
      </w:r>
      <w:proofErr w:type="spellEnd"/>
      <w:r w:rsidRPr="0073570E">
        <w:rPr>
          <w:b/>
          <w:i/>
        </w:rPr>
        <w:t>) Uncontested Expert Evidence on Capacity: the deviation cases</w:t>
      </w:r>
      <w:r w:rsidRPr="0073570E">
        <w:rPr>
          <w:rStyle w:val="FootnoteReference"/>
        </w:rPr>
        <w:footnoteReference w:id="65"/>
      </w:r>
      <w:r w:rsidRPr="0073570E">
        <w:t xml:space="preserve"> </w:t>
      </w:r>
    </w:p>
    <w:p w:rsidR="001A4179" w:rsidRPr="0073570E" w:rsidRDefault="00FB4FD6" w:rsidP="001A4179">
      <w:pPr>
        <w:spacing w:before="100" w:beforeAutospacing="1" w:after="100" w:afterAutospacing="1"/>
        <w:jc w:val="both"/>
        <w:rPr>
          <w:color w:val="000000"/>
          <w:lang w:eastAsia="en-GB"/>
        </w:rPr>
      </w:pPr>
      <w:r w:rsidRPr="0073570E">
        <w:t>T</w:t>
      </w:r>
      <w:r w:rsidR="001A4179" w:rsidRPr="0073570E">
        <w:t xml:space="preserve">he judgments in </w:t>
      </w:r>
      <w:r w:rsidR="001A4179" w:rsidRPr="0073570E">
        <w:rPr>
          <w:i/>
        </w:rPr>
        <w:t>CC</w:t>
      </w:r>
      <w:r w:rsidR="00505632" w:rsidRPr="0073570E">
        <w:rPr>
          <w:i/>
        </w:rPr>
        <w:t xml:space="preserve">, </w:t>
      </w:r>
      <w:r w:rsidR="001A4179" w:rsidRPr="0073570E">
        <w:rPr>
          <w:i/>
        </w:rPr>
        <w:t>SB</w:t>
      </w:r>
      <w:r w:rsidR="00505632" w:rsidRPr="0073570E">
        <w:rPr>
          <w:i/>
        </w:rPr>
        <w:t xml:space="preserve"> </w:t>
      </w:r>
      <w:r w:rsidR="00505632" w:rsidRPr="0073570E">
        <w:t xml:space="preserve">and </w:t>
      </w:r>
      <w:r w:rsidR="00505632" w:rsidRPr="0073570E">
        <w:rPr>
          <w:i/>
        </w:rPr>
        <w:t>Z</w:t>
      </w:r>
      <w:r w:rsidR="001A4179" w:rsidRPr="0073570E">
        <w:t xml:space="preserve"> provide</w:t>
      </w:r>
      <w:r w:rsidRPr="0073570E">
        <w:t xml:space="preserve"> mixed evidence of the level of scrutiny applied to expert medical evidence</w:t>
      </w:r>
      <w:r w:rsidR="001A4179" w:rsidRPr="0073570E">
        <w:t xml:space="preserve">. </w:t>
      </w:r>
      <w:r w:rsidR="00120B72">
        <w:t xml:space="preserve">On first impressions they conform to what we might expect strong forensic scepticism to look like – the outcome in each case is </w:t>
      </w:r>
      <w:r w:rsidR="009D4C8C">
        <w:t>‘</w:t>
      </w:r>
      <w:r w:rsidR="00120B72">
        <w:t>capacity affirming</w:t>
      </w:r>
      <w:r w:rsidR="00891E9E">
        <w:t>,</w:t>
      </w:r>
      <w:r w:rsidR="009D4C8C">
        <w:t>’</w:t>
      </w:r>
      <w:r w:rsidR="00120B72">
        <w:t xml:space="preserve"> </w:t>
      </w:r>
      <w:r w:rsidR="00EF242D">
        <w:t>in that it rejects</w:t>
      </w:r>
      <w:r w:rsidR="00120B72">
        <w:t xml:space="preserve"> the unanimous expert evidence to find that P does indeed have capacity to make the decisions under consideration. </w:t>
      </w:r>
      <w:r w:rsidR="00891E9E">
        <w:t>Further, i</w:t>
      </w:r>
      <w:r w:rsidR="00575B58" w:rsidRPr="0073570E">
        <w:t xml:space="preserve">n </w:t>
      </w:r>
      <w:r w:rsidR="006A4E56" w:rsidRPr="0073570E">
        <w:t>all three</w:t>
      </w:r>
      <w:r w:rsidR="00575B58" w:rsidRPr="0073570E">
        <w:t xml:space="preserve"> cases</w:t>
      </w:r>
      <w:r w:rsidR="00245135" w:rsidRPr="0073570E">
        <w:t>,</w:t>
      </w:r>
      <w:r w:rsidR="00303533" w:rsidRPr="0073570E">
        <w:t xml:space="preserve"> </w:t>
      </w:r>
      <w:r w:rsidR="00891E9E">
        <w:t xml:space="preserve">it is </w:t>
      </w:r>
      <w:r w:rsidR="00303533" w:rsidRPr="0073570E">
        <w:rPr>
          <w:color w:val="000000"/>
          <w:lang w:eastAsia="en-GB"/>
        </w:rPr>
        <w:t>evidence from lay witnesses</w:t>
      </w:r>
      <w:r w:rsidR="00396676">
        <w:rPr>
          <w:color w:val="000000"/>
          <w:lang w:eastAsia="en-GB"/>
        </w:rPr>
        <w:t>, specifically, direct evidence from P herself,</w:t>
      </w:r>
      <w:r w:rsidR="00303533" w:rsidRPr="0073570E">
        <w:rPr>
          <w:color w:val="000000"/>
          <w:lang w:eastAsia="en-GB"/>
        </w:rPr>
        <w:t xml:space="preserve"> </w:t>
      </w:r>
      <w:r w:rsidR="00891E9E">
        <w:rPr>
          <w:color w:val="000000"/>
          <w:lang w:eastAsia="en-GB"/>
        </w:rPr>
        <w:t xml:space="preserve">that </w:t>
      </w:r>
      <w:r w:rsidR="00303533" w:rsidRPr="0073570E">
        <w:rPr>
          <w:color w:val="000000"/>
          <w:lang w:eastAsia="en-GB"/>
        </w:rPr>
        <w:t xml:space="preserve">is preferred to that of </w:t>
      </w:r>
      <w:r w:rsidR="00396676">
        <w:rPr>
          <w:i/>
          <w:color w:val="000000"/>
          <w:lang w:eastAsia="en-GB"/>
        </w:rPr>
        <w:t xml:space="preserve">all </w:t>
      </w:r>
      <w:r w:rsidR="00303533" w:rsidRPr="0073570E">
        <w:rPr>
          <w:color w:val="000000"/>
          <w:lang w:eastAsia="en-GB"/>
        </w:rPr>
        <w:t xml:space="preserve">the ‘experts’. </w:t>
      </w:r>
      <w:r w:rsidR="001A4179" w:rsidRPr="0073570E">
        <w:rPr>
          <w:color w:val="000000"/>
          <w:lang w:eastAsia="en-GB"/>
        </w:rPr>
        <w:t xml:space="preserve">In </w:t>
      </w:r>
      <w:r w:rsidR="001A4179" w:rsidRPr="0073570E">
        <w:rPr>
          <w:i/>
          <w:color w:val="000000"/>
          <w:lang w:eastAsia="en-GB"/>
        </w:rPr>
        <w:t>CC,</w:t>
      </w:r>
      <w:r w:rsidR="001A4179" w:rsidRPr="0073570E">
        <w:rPr>
          <w:color w:val="000000"/>
          <w:lang w:eastAsia="en-GB"/>
        </w:rPr>
        <w:t xml:space="preserve"> Justice Baker found that P, an 82 year old woman with vascular dementia, had capacity to decide whether she should live in her bungalow or in a nursing home. P’s testimony in the courtroom had clearly made a significant impression: </w:t>
      </w:r>
    </w:p>
    <w:p w:rsidR="001A4179" w:rsidRPr="0073570E" w:rsidRDefault="001A4179" w:rsidP="001A4179">
      <w:pPr>
        <w:spacing w:before="100" w:beforeAutospacing="1" w:after="100" w:afterAutospacing="1"/>
        <w:ind w:left="397" w:right="397"/>
        <w:jc w:val="both"/>
        <w:rPr>
          <w:i/>
          <w:lang w:eastAsia="en-GB"/>
        </w:rPr>
      </w:pPr>
      <w:r w:rsidRPr="0073570E">
        <w:rPr>
          <w:i/>
          <w:color w:val="000000"/>
          <w:lang w:eastAsia="en-GB"/>
        </w:rPr>
        <w:t>‘</w:t>
      </w:r>
      <w:r w:rsidRPr="0073570E">
        <w:rPr>
          <w:i/>
          <w:lang w:eastAsia="en-GB"/>
        </w:rPr>
        <w:t xml:space="preserve">I note in particular that for a period earlier this year she elected not to go on her daily visits to the bungalow because of the inclement weather. This is, to my mind, clear evidence that she has the </w:t>
      </w:r>
      <w:r w:rsidRPr="0073570E">
        <w:rPr>
          <w:bCs/>
          <w:i/>
          <w:lang w:eastAsia="en-GB"/>
        </w:rPr>
        <w:t>capacity</w:t>
      </w:r>
      <w:r w:rsidRPr="0073570E">
        <w:rPr>
          <w:i/>
          <w:lang w:eastAsia="en-GB"/>
        </w:rPr>
        <w:t xml:space="preserve"> to understand and weigh up information and make a decision. Likewise, I consider her frank observation that "if I fall over and die on the floor, then I die on the floor" demonstrates to me that she is aware of, and has weighed up, the greater risk of physical harm if she goes home.’</w:t>
      </w:r>
      <w:r w:rsidRPr="0073570E">
        <w:rPr>
          <w:rStyle w:val="FootnoteReference"/>
          <w:i/>
        </w:rPr>
        <w:footnoteReference w:id="66"/>
      </w:r>
      <w:r w:rsidRPr="0073570E">
        <w:rPr>
          <w:i/>
          <w:lang w:eastAsia="en-GB"/>
        </w:rPr>
        <w:t xml:space="preserve"> </w:t>
      </w:r>
    </w:p>
    <w:p w:rsidR="002F27AD" w:rsidRPr="0073570E" w:rsidRDefault="00165151" w:rsidP="001A4179">
      <w:pPr>
        <w:spacing w:before="100" w:beforeAutospacing="1" w:after="100" w:afterAutospacing="1"/>
        <w:jc w:val="both"/>
      </w:pPr>
      <w:r w:rsidRPr="0073570E">
        <w:t xml:space="preserve">In </w:t>
      </w:r>
      <w:r w:rsidR="00A25B74" w:rsidRPr="0073570E">
        <w:rPr>
          <w:i/>
        </w:rPr>
        <w:t xml:space="preserve">Re </w:t>
      </w:r>
      <w:r w:rsidRPr="0073570E">
        <w:rPr>
          <w:i/>
        </w:rPr>
        <w:t xml:space="preserve">SB </w:t>
      </w:r>
      <w:r w:rsidRPr="0073570E">
        <w:t xml:space="preserve">the </w:t>
      </w:r>
      <w:proofErr w:type="spellStart"/>
      <w:r w:rsidRPr="0073570E">
        <w:t>CoP</w:t>
      </w:r>
      <w:proofErr w:type="spellEnd"/>
      <w:r w:rsidRPr="0073570E">
        <w:t xml:space="preserve"> </w:t>
      </w:r>
      <w:r w:rsidR="0037023A">
        <w:t>had to decide whether P,</w:t>
      </w:r>
      <w:r w:rsidRPr="0073570E">
        <w:t xml:space="preserve"> compulsorily detained under the Mental Health Act due to her bipolar disorder, had capacity to consent to a termination of </w:t>
      </w:r>
      <w:r w:rsidR="00D634BC" w:rsidRPr="0073570E">
        <w:t xml:space="preserve">her </w:t>
      </w:r>
      <w:r w:rsidRPr="0073570E">
        <w:t xml:space="preserve">pregnancy.  Reminiscent of the </w:t>
      </w:r>
      <w:r w:rsidRPr="0073570E">
        <w:rPr>
          <w:i/>
        </w:rPr>
        <w:t xml:space="preserve">CC </w:t>
      </w:r>
      <w:r w:rsidRPr="0073570E">
        <w:t>case,</w:t>
      </w:r>
      <w:r w:rsidR="00303533" w:rsidRPr="0073570E">
        <w:t xml:space="preserve"> P gave evidence which ‘strongly asserted’</w:t>
      </w:r>
      <w:r w:rsidR="0037023A">
        <w:t xml:space="preserve"> her capacity</w:t>
      </w:r>
      <w:r w:rsidR="00303533" w:rsidRPr="0073570E">
        <w:t xml:space="preserve">, </w:t>
      </w:r>
      <w:r w:rsidR="00396676">
        <w:t>as against ‘the very clear evidence</w:t>
      </w:r>
      <w:r w:rsidR="0037023A">
        <w:t>’</w:t>
      </w:r>
      <w:r w:rsidR="00396676">
        <w:t xml:space="preserve"> of Dr T and the ‘equally strongly stated evidence’ of Dr Smith, both of whom regarded her as lacking capacity. T</w:t>
      </w:r>
      <w:r w:rsidR="00303533" w:rsidRPr="0073570E">
        <w:t xml:space="preserve">he judge reflected that his assessment of the case had ‘been enormously </w:t>
      </w:r>
      <w:r w:rsidR="00303533" w:rsidRPr="0073570E">
        <w:lastRenderedPageBreak/>
        <w:t xml:space="preserve">illuminated by </w:t>
      </w:r>
      <w:r w:rsidR="00396676">
        <w:t>[P’s]</w:t>
      </w:r>
      <w:r w:rsidR="00303533" w:rsidRPr="0073570E">
        <w:t xml:space="preserve"> attendance and by the considerable oral evidence which she has given.’</w:t>
      </w:r>
      <w:r w:rsidR="00303533" w:rsidRPr="0073570E">
        <w:rPr>
          <w:rStyle w:val="FootnoteReference"/>
        </w:rPr>
        <w:footnoteReference w:id="67"/>
      </w:r>
      <w:r w:rsidR="00303533" w:rsidRPr="0073570E">
        <w:t xml:space="preserve"> </w:t>
      </w:r>
      <w:r w:rsidR="002F27AD" w:rsidRPr="0073570E">
        <w:t>The</w:t>
      </w:r>
      <w:r w:rsidR="006A4E56" w:rsidRPr="0073570E">
        <w:t xml:space="preserve"> unsworn testimony</w:t>
      </w:r>
      <w:r w:rsidR="002F27AD" w:rsidRPr="0073570E">
        <w:t xml:space="preserve"> of P in </w:t>
      </w:r>
      <w:r w:rsidR="002F27AD" w:rsidRPr="0073570E">
        <w:rPr>
          <w:i/>
        </w:rPr>
        <w:t>Re Z</w:t>
      </w:r>
      <w:r w:rsidR="006A4E56" w:rsidRPr="0073570E">
        <w:t xml:space="preserve"> </w:t>
      </w:r>
      <w:r w:rsidR="002F27AD" w:rsidRPr="0073570E">
        <w:t xml:space="preserve">was also, according to </w:t>
      </w:r>
      <w:r w:rsidR="006A4E56" w:rsidRPr="0073570E">
        <w:t>Cobb J</w:t>
      </w:r>
      <w:r w:rsidR="002F27AD" w:rsidRPr="0073570E">
        <w:t>, ‘particularly valuable’</w:t>
      </w:r>
      <w:r w:rsidR="00396676">
        <w:t>.</w:t>
      </w:r>
      <w:r w:rsidR="00396676">
        <w:rPr>
          <w:rStyle w:val="FootnoteReference"/>
        </w:rPr>
        <w:footnoteReference w:id="68"/>
      </w:r>
      <w:r w:rsidR="006A4E56" w:rsidRPr="0073570E">
        <w:t xml:space="preserve"> </w:t>
      </w:r>
    </w:p>
    <w:p w:rsidR="00165151" w:rsidRPr="0073570E" w:rsidRDefault="00891E9E" w:rsidP="00165151">
      <w:pPr>
        <w:spacing w:before="100" w:beforeAutospacing="1" w:after="100" w:afterAutospacing="1"/>
        <w:jc w:val="both"/>
      </w:pPr>
      <w:r>
        <w:t>T</w:t>
      </w:r>
      <w:r w:rsidR="000C1D35" w:rsidRPr="0073570E">
        <w:t xml:space="preserve">he text of all three judgments </w:t>
      </w:r>
      <w:r w:rsidR="000C1D35">
        <w:t xml:space="preserve">also challenges (to varying degrees) the medical evidence and </w:t>
      </w:r>
      <w:r w:rsidR="000C1D35" w:rsidRPr="0073570E">
        <w:t>explicitly asserts that the functional test for incapacity is the law’s domain.</w:t>
      </w:r>
      <w:r w:rsidR="000C1D35" w:rsidRPr="0073570E">
        <w:rPr>
          <w:rStyle w:val="FootnoteReference"/>
          <w:color w:val="000000"/>
        </w:rPr>
        <w:footnoteReference w:id="69"/>
      </w:r>
      <w:r w:rsidR="000C1D35" w:rsidRPr="0073570E">
        <w:t xml:space="preserve"> </w:t>
      </w:r>
      <w:r w:rsidR="00D84A44" w:rsidRPr="0073570E">
        <w:t xml:space="preserve">The judgment in </w:t>
      </w:r>
      <w:r w:rsidR="00D84A44" w:rsidRPr="0073570E">
        <w:rPr>
          <w:i/>
        </w:rPr>
        <w:t xml:space="preserve">Re SB </w:t>
      </w:r>
      <w:r w:rsidR="000C1D35">
        <w:t>perhaps goes furthest here</w:t>
      </w:r>
      <w:r w:rsidR="00F415F3" w:rsidRPr="0073570E">
        <w:t xml:space="preserve">, </w:t>
      </w:r>
      <w:r w:rsidR="00D634BC" w:rsidRPr="0073570E">
        <w:t xml:space="preserve">in launching </w:t>
      </w:r>
      <w:r w:rsidR="00D84A44" w:rsidRPr="0073570E">
        <w:t>a normative challenge to the expert view on where the threshold of capacity ought to be pitched; a direct assertion of territory over the proper construction of the functional criteria</w:t>
      </w:r>
      <w:r w:rsidR="00165151" w:rsidRPr="0073570E">
        <w:t xml:space="preserve">. </w:t>
      </w:r>
      <w:r w:rsidR="00D84A44" w:rsidRPr="0073570E">
        <w:t>W</w:t>
      </w:r>
      <w:r w:rsidR="005D00AD" w:rsidRPr="0073570E">
        <w:t xml:space="preserve">hilst </w:t>
      </w:r>
      <w:r w:rsidR="00165151" w:rsidRPr="0073570E">
        <w:t>Justice Holman accepted the experts’ diagnoses of bipolar disorder</w:t>
      </w:r>
      <w:r w:rsidR="00D634BC" w:rsidRPr="0073570E">
        <w:t xml:space="preserve"> as evidence </w:t>
      </w:r>
      <w:r w:rsidR="00165151" w:rsidRPr="0073570E">
        <w:t xml:space="preserve">that P suffered from an ‘impairment or disturbance’, </w:t>
      </w:r>
      <w:r w:rsidR="005D00AD" w:rsidRPr="0073570E">
        <w:t>o</w:t>
      </w:r>
      <w:r w:rsidR="00165151" w:rsidRPr="0073570E">
        <w:t xml:space="preserve">n </w:t>
      </w:r>
      <w:r w:rsidR="00D634BC" w:rsidRPr="0073570E">
        <w:t xml:space="preserve">the issue of </w:t>
      </w:r>
      <w:r w:rsidR="00165151" w:rsidRPr="0073570E">
        <w:t>whether she had the ‘ability’ to make a decision</w:t>
      </w:r>
      <w:r w:rsidR="00D84A44" w:rsidRPr="0073570E">
        <w:t>,</w:t>
      </w:r>
      <w:r w:rsidR="00165151" w:rsidRPr="0073570E">
        <w:t xml:space="preserve"> </w:t>
      </w:r>
      <w:proofErr w:type="gramStart"/>
      <w:r w:rsidR="00165151" w:rsidRPr="0073570E">
        <w:t>the</w:t>
      </w:r>
      <w:proofErr w:type="gramEnd"/>
      <w:r w:rsidR="00165151" w:rsidRPr="0073570E">
        <w:t xml:space="preserve"> experts had pitched the threshold for capacity too high. </w:t>
      </w:r>
      <w:r w:rsidR="00D634BC" w:rsidRPr="0073570E">
        <w:t>T</w:t>
      </w:r>
      <w:r w:rsidR="00165151" w:rsidRPr="0073570E">
        <w:t xml:space="preserve">ermination of pregnancy was, according to Holman J, ‘…a profound and grave </w:t>
      </w:r>
      <w:proofErr w:type="gramStart"/>
      <w:r w:rsidR="00165151" w:rsidRPr="0073570E">
        <w:t>decision, …</w:t>
      </w:r>
      <w:proofErr w:type="gramEnd"/>
      <w:r w:rsidR="00165151" w:rsidRPr="0073570E">
        <w:t xml:space="preserve"> it [did] not necessarily involve complex issues.’</w:t>
      </w:r>
      <w:r w:rsidR="00165151" w:rsidRPr="0073570E">
        <w:rPr>
          <w:rStyle w:val="FootnoteReference"/>
        </w:rPr>
        <w:footnoteReference w:id="70"/>
      </w:r>
      <w:r w:rsidR="00165151" w:rsidRPr="0073570E">
        <w:t xml:space="preserve"> </w:t>
      </w:r>
      <w:r w:rsidR="00565A9E" w:rsidRPr="0073570E">
        <w:t>The judgment also stressed that b</w:t>
      </w:r>
      <w:r w:rsidR="00A25B74" w:rsidRPr="0073570E">
        <w:t>efore a finding of incapacity could be made, t</w:t>
      </w:r>
      <w:r w:rsidR="00D84A44" w:rsidRPr="0073570E">
        <w:t xml:space="preserve">he effect of the impairment must not be just to ‘impair’ decision making, </w:t>
      </w:r>
      <w:r w:rsidR="00BF6CAE">
        <w:t>it</w:t>
      </w:r>
      <w:r w:rsidR="00D84A44" w:rsidRPr="0073570E">
        <w:t xml:space="preserve"> must render P ‘unable</w:t>
      </w:r>
      <w:r w:rsidR="009C62E6" w:rsidRPr="0073570E">
        <w:t>’</w:t>
      </w:r>
      <w:r w:rsidR="00D84A44" w:rsidRPr="0073570E">
        <w:t xml:space="preserve"> to make a decision</w:t>
      </w:r>
      <w:r w:rsidR="009C62E6" w:rsidRPr="0073570E">
        <w:t>.</w:t>
      </w:r>
      <w:r w:rsidR="009C62E6" w:rsidRPr="0073570E">
        <w:rPr>
          <w:rStyle w:val="FootnoteReference"/>
        </w:rPr>
        <w:footnoteReference w:id="71"/>
      </w:r>
      <w:r w:rsidR="009C62E6" w:rsidRPr="0073570E">
        <w:t xml:space="preserve"> </w:t>
      </w:r>
      <w:r w:rsidR="0064436A" w:rsidRPr="0073570E">
        <w:t>Th</w:t>
      </w:r>
      <w:r w:rsidR="0064436A">
        <w:t>e</w:t>
      </w:r>
      <w:r w:rsidR="0064436A" w:rsidRPr="0073570E">
        <w:t xml:space="preserve"> judgment </w:t>
      </w:r>
      <w:r w:rsidR="0064436A">
        <w:t xml:space="preserve">in </w:t>
      </w:r>
      <w:r w:rsidR="0064436A" w:rsidRPr="0064436A">
        <w:rPr>
          <w:i/>
        </w:rPr>
        <w:t xml:space="preserve">Re Z </w:t>
      </w:r>
      <w:r w:rsidR="0064436A" w:rsidRPr="0073570E">
        <w:t xml:space="preserve">is not explicitly critical of the expert’s assessment, but notes that whilst the expert had interviewed Z three times, the most recent update from the expert, two days before the hearing, comprised only a short email. The expert evidence was outweighed by the significance of the ‘other evidence’ (i.e. the testimony of Z herself) and the judge’s own interpretation of Z’s behaviour. The assertion of jurisdiction over the functional criteria is </w:t>
      </w:r>
      <w:r w:rsidR="0037023A">
        <w:t xml:space="preserve">further </w:t>
      </w:r>
      <w:r w:rsidR="0064436A" w:rsidRPr="0073570E">
        <w:t>underlined by the fact that the narrative of the judgment juxtaposes the ‘Expert assessment’ with the judge’s own ‘Assessment of Z’.</w:t>
      </w:r>
      <w:r w:rsidR="0064436A" w:rsidRPr="0073570E">
        <w:rPr>
          <w:rStyle w:val="FootnoteReference"/>
        </w:rPr>
        <w:footnoteReference w:id="72"/>
      </w:r>
    </w:p>
    <w:p w:rsidR="00E62307" w:rsidRPr="0073570E" w:rsidRDefault="00165151" w:rsidP="001A4179">
      <w:pPr>
        <w:spacing w:before="100" w:beforeAutospacing="1" w:after="100" w:afterAutospacing="1"/>
        <w:jc w:val="both"/>
        <w:rPr>
          <w:i/>
        </w:rPr>
      </w:pPr>
      <w:r w:rsidRPr="0073570E">
        <w:t xml:space="preserve">But perhaps </w:t>
      </w:r>
      <w:r w:rsidR="00FE7F6B" w:rsidRPr="0073570E">
        <w:t xml:space="preserve">a more </w:t>
      </w:r>
      <w:r w:rsidRPr="0073570E">
        <w:t>significant aspect of</w:t>
      </w:r>
      <w:r w:rsidR="00FE7F6B" w:rsidRPr="0073570E">
        <w:t xml:space="preserve"> </w:t>
      </w:r>
      <w:r w:rsidRPr="0073570E">
        <w:t>the</w:t>
      </w:r>
      <w:r w:rsidR="0037023A">
        <w:t xml:space="preserve"> ‘deviation’</w:t>
      </w:r>
      <w:r w:rsidRPr="0073570E">
        <w:t xml:space="preserve"> judgments con</w:t>
      </w:r>
      <w:r w:rsidR="00A25B74" w:rsidRPr="0073570E">
        <w:t xml:space="preserve">cerns the court’s assertion of competence </w:t>
      </w:r>
      <w:r w:rsidRPr="0073570E">
        <w:t xml:space="preserve">over the inferential gap. </w:t>
      </w:r>
      <w:r w:rsidR="00FE7F6B" w:rsidRPr="0073570E">
        <w:t>In reaching a finding that P had capacity</w:t>
      </w:r>
      <w:r w:rsidR="00303533" w:rsidRPr="0073570E">
        <w:t>, t</w:t>
      </w:r>
      <w:r w:rsidR="00FB4FD6" w:rsidRPr="0073570E">
        <w:t>he</w:t>
      </w:r>
      <w:r w:rsidR="00891E9E">
        <w:t xml:space="preserve"> court</w:t>
      </w:r>
      <w:r w:rsidR="00FB4FD6" w:rsidRPr="0073570E">
        <w:t xml:space="preserve"> grapple</w:t>
      </w:r>
      <w:r w:rsidR="00891E9E">
        <w:t>s</w:t>
      </w:r>
      <w:r w:rsidR="00FB4FD6" w:rsidRPr="0073570E">
        <w:t xml:space="preserve"> directly with the inferential gap</w:t>
      </w:r>
      <w:r w:rsidR="00D634BC" w:rsidRPr="0073570E">
        <w:t>,</w:t>
      </w:r>
      <w:r w:rsidR="00FB4FD6" w:rsidRPr="0073570E">
        <w:t xml:space="preserve"> in </w:t>
      </w:r>
      <w:r w:rsidR="00D84A44" w:rsidRPr="0073570E">
        <w:t xml:space="preserve">choosing to </w:t>
      </w:r>
      <w:r w:rsidR="00303533" w:rsidRPr="0073570E">
        <w:t>reject pathological narrative</w:t>
      </w:r>
      <w:r w:rsidR="00D84A44" w:rsidRPr="0073570E">
        <w:t>,</w:t>
      </w:r>
      <w:r w:rsidR="00303533" w:rsidRPr="0073570E">
        <w:t xml:space="preserve"> and </w:t>
      </w:r>
      <w:r w:rsidR="00D84A44" w:rsidRPr="0073570E">
        <w:t xml:space="preserve">in </w:t>
      </w:r>
      <w:r w:rsidR="00FE7F6B" w:rsidRPr="0073570E">
        <w:t xml:space="preserve">offering </w:t>
      </w:r>
      <w:r w:rsidR="00303533" w:rsidRPr="0073570E">
        <w:t xml:space="preserve">a </w:t>
      </w:r>
      <w:r w:rsidR="00891E9E">
        <w:t xml:space="preserve">normalising, </w:t>
      </w:r>
      <w:r w:rsidR="00FB4FD6" w:rsidRPr="0073570E">
        <w:t>non-pathological explanation for P’s behaviour and</w:t>
      </w:r>
      <w:r w:rsidR="00303533" w:rsidRPr="0073570E">
        <w:t xml:space="preserve"> style of decision making</w:t>
      </w:r>
      <w:r w:rsidR="00A25B74" w:rsidRPr="0073570E">
        <w:t xml:space="preserve"> based on the judge’s own, non-clinical assessment</w:t>
      </w:r>
      <w:r w:rsidR="00303533" w:rsidRPr="0073570E">
        <w:t>.</w:t>
      </w:r>
      <w:r w:rsidR="00FB4FD6" w:rsidRPr="0073570E">
        <w:t xml:space="preserve"> </w:t>
      </w:r>
      <w:r w:rsidR="00E62307" w:rsidRPr="0073570E">
        <w:t xml:space="preserve">In </w:t>
      </w:r>
      <w:r w:rsidR="00E62307" w:rsidRPr="0073570E">
        <w:rPr>
          <w:i/>
        </w:rPr>
        <w:t>Re Z</w:t>
      </w:r>
      <w:r w:rsidR="00E62307" w:rsidRPr="0073570E">
        <w:t xml:space="preserve"> Cobb J concluded that the behaviour reported by the expert was not to be construed </w:t>
      </w:r>
      <w:r w:rsidR="00A25B74" w:rsidRPr="0073570E">
        <w:t xml:space="preserve">as symptomatic of </w:t>
      </w:r>
      <w:proofErr w:type="spellStart"/>
      <w:r w:rsidR="00A25B74" w:rsidRPr="0073570E">
        <w:t>Asperger’s</w:t>
      </w:r>
      <w:proofErr w:type="spellEnd"/>
      <w:r w:rsidR="00A25B74" w:rsidRPr="0073570E">
        <w:t xml:space="preserve"> Syndrome </w:t>
      </w:r>
      <w:r w:rsidR="00E62307" w:rsidRPr="0073570E">
        <w:t>a</w:t>
      </w:r>
      <w:r w:rsidR="00A25B74" w:rsidRPr="0073570E">
        <w:t>nd</w:t>
      </w:r>
      <w:r w:rsidR="00E62307" w:rsidRPr="0073570E">
        <w:t xml:space="preserve"> indicative of </w:t>
      </w:r>
      <w:r w:rsidR="00A25B74" w:rsidRPr="0073570E">
        <w:t xml:space="preserve">a </w:t>
      </w:r>
      <w:r w:rsidR="00E62307" w:rsidRPr="0073570E">
        <w:t>lack of capacity</w:t>
      </w:r>
      <w:r w:rsidR="00A25B74" w:rsidRPr="0073570E">
        <w:t>,</w:t>
      </w:r>
      <w:r w:rsidR="00E62307" w:rsidRPr="0073570E">
        <w:t xml:space="preserve"> but </w:t>
      </w:r>
      <w:r w:rsidR="00303533" w:rsidRPr="0073570E">
        <w:t xml:space="preserve">instead was </w:t>
      </w:r>
      <w:r w:rsidR="00E62307" w:rsidRPr="0073570E">
        <w:t>consistent with ‘</w:t>
      </w:r>
      <w:bookmarkStart w:id="4" w:name="para41"/>
      <w:r w:rsidR="00E62307" w:rsidRPr="0073570E">
        <w:rPr>
          <w:color w:val="000000"/>
        </w:rPr>
        <w:t>naivety, immaturity, diffidence, or embarrassment</w:t>
      </w:r>
      <w:bookmarkEnd w:id="4"/>
      <w:r w:rsidR="00E62307" w:rsidRPr="0073570E">
        <w:t>.’</w:t>
      </w:r>
      <w:r w:rsidR="00E62307" w:rsidRPr="0073570E">
        <w:rPr>
          <w:rStyle w:val="FootnoteReference"/>
        </w:rPr>
        <w:footnoteReference w:id="73"/>
      </w:r>
      <w:r w:rsidR="00E62307" w:rsidRPr="0073570E">
        <w:t xml:space="preserve"> </w:t>
      </w:r>
      <w:r w:rsidR="00FE7F6B" w:rsidRPr="0073570E">
        <w:t xml:space="preserve">In </w:t>
      </w:r>
      <w:r w:rsidR="00FE7F6B" w:rsidRPr="0073570E">
        <w:rPr>
          <w:i/>
        </w:rPr>
        <w:t xml:space="preserve">Re SB </w:t>
      </w:r>
      <w:r w:rsidR="00FE7F6B" w:rsidRPr="0073570E">
        <w:t xml:space="preserve">the experts focused on the effect of her persecutory beliefs preventing her from ‘understanding’ that her husband would be a caring and supportive father. </w:t>
      </w:r>
      <w:r w:rsidR="00396676">
        <w:t xml:space="preserve">Referring to this, Holman J commented that if he were to try to interrogate the truth of P’s views of her marriage as compared </w:t>
      </w:r>
      <w:r w:rsidR="00396676">
        <w:lastRenderedPageBreak/>
        <w:t>with those of her husband ‘as if this were a divorce hearing’ he would have been there a considerable length of time.</w:t>
      </w:r>
      <w:r w:rsidR="00396676">
        <w:rPr>
          <w:rStyle w:val="FootnoteReference"/>
        </w:rPr>
        <w:footnoteReference w:id="74"/>
      </w:r>
      <w:r w:rsidR="00396676">
        <w:t xml:space="preserve"> In doing this he normalises P’s decision making</w:t>
      </w:r>
      <w:r w:rsidR="00E258B0">
        <w:t xml:space="preserve"> by invoking a comparative evaluation with divorce petitioners.</w:t>
      </w:r>
      <w:r w:rsidR="00E258B0">
        <w:rPr>
          <w:rStyle w:val="FootnoteReference"/>
        </w:rPr>
        <w:footnoteReference w:id="75"/>
      </w:r>
      <w:r w:rsidR="00E258B0">
        <w:t xml:space="preserve"> </w:t>
      </w:r>
      <w:r w:rsidR="00396676">
        <w:t xml:space="preserve"> </w:t>
      </w:r>
    </w:p>
    <w:p w:rsidR="00706482" w:rsidRDefault="006E2BAA" w:rsidP="004504B8">
      <w:pPr>
        <w:jc w:val="both"/>
      </w:pPr>
      <w:r w:rsidRPr="0073570E">
        <w:t>However, some of t</w:t>
      </w:r>
      <w:r w:rsidR="004504B8" w:rsidRPr="0073570E">
        <w:t xml:space="preserve">he features which make these cases exceptional might also weaken the argument for saying that they </w:t>
      </w:r>
      <w:r w:rsidR="00DB59E5">
        <w:t xml:space="preserve">provide clear examples of </w:t>
      </w:r>
      <w:r w:rsidR="004504B8" w:rsidRPr="0073570E">
        <w:t>forensic scepticism in the courts’ approach to the expert evidence.</w:t>
      </w:r>
      <w:r w:rsidRPr="0073570E">
        <w:t xml:space="preserve"> First, P’s own evidence was clearly crucial in the courts’ decis</w:t>
      </w:r>
      <w:r w:rsidR="00F01B88" w:rsidRPr="0073570E">
        <w:t>ion to prefer a non-</w:t>
      </w:r>
      <w:r w:rsidRPr="0073570E">
        <w:t>pathological explanation for P’s decision</w:t>
      </w:r>
      <w:r w:rsidR="00891E9E">
        <w:t xml:space="preserve"> making, but if</w:t>
      </w:r>
      <w:r w:rsidR="00D634BC" w:rsidRPr="0073570E">
        <w:t xml:space="preserve"> hearing directly from P really was</w:t>
      </w:r>
      <w:r w:rsidRPr="0073570E">
        <w:t xml:space="preserve"> the determinant factor</w:t>
      </w:r>
      <w:r w:rsidR="00D634BC" w:rsidRPr="0073570E">
        <w:t xml:space="preserve"> in the</w:t>
      </w:r>
      <w:r w:rsidR="004639ED" w:rsidRPr="0073570E">
        <w:t>s</w:t>
      </w:r>
      <w:r w:rsidR="00D634BC" w:rsidRPr="0073570E">
        <w:t>e cases,</w:t>
      </w:r>
      <w:r w:rsidRPr="0073570E">
        <w:t xml:space="preserve"> this is quite worrying. The experiences of P in </w:t>
      </w:r>
      <w:r w:rsidRPr="0073570E">
        <w:rPr>
          <w:i/>
        </w:rPr>
        <w:t xml:space="preserve">CC, SB </w:t>
      </w:r>
      <w:r w:rsidRPr="0073570E">
        <w:t>and</w:t>
      </w:r>
      <w:r w:rsidRPr="0073570E">
        <w:rPr>
          <w:i/>
        </w:rPr>
        <w:t xml:space="preserve"> </w:t>
      </w:r>
      <w:r w:rsidR="00B50404" w:rsidRPr="0073570E">
        <w:rPr>
          <w:i/>
        </w:rPr>
        <w:t>Re Z</w:t>
      </w:r>
      <w:r w:rsidRPr="0073570E">
        <w:rPr>
          <w:i/>
        </w:rPr>
        <w:t xml:space="preserve"> </w:t>
      </w:r>
      <w:r w:rsidRPr="0073570E">
        <w:t xml:space="preserve">are not replicated in most cases – a trawl through the dataset compiled by the researcher suggests that the </w:t>
      </w:r>
      <w:r w:rsidR="00DB59E5">
        <w:t xml:space="preserve">direct participation </w:t>
      </w:r>
      <w:r w:rsidRPr="0073570E">
        <w:t>of P in the proceedings ha</w:t>
      </w:r>
      <w:r w:rsidR="00DB59E5">
        <w:t>d</w:t>
      </w:r>
      <w:r w:rsidRPr="0073570E">
        <w:t xml:space="preserve"> been ad hoc at best. </w:t>
      </w:r>
      <w:r w:rsidR="00DB59E5" w:rsidRPr="0073570E">
        <w:t xml:space="preserve">Giving evidence to the House of Lords Select Committee on the MCA, one </w:t>
      </w:r>
      <w:proofErr w:type="spellStart"/>
      <w:r w:rsidR="00DB59E5" w:rsidRPr="0073570E">
        <w:t>CoP</w:t>
      </w:r>
      <w:proofErr w:type="spellEnd"/>
      <w:r w:rsidR="00DB59E5" w:rsidRPr="0073570E">
        <w:t xml:space="preserve"> judge thought that she had communicated directly with P in about 10 per cent of cases.</w:t>
      </w:r>
      <w:r w:rsidR="00DB59E5" w:rsidRPr="0073570E">
        <w:rPr>
          <w:rStyle w:val="FootnoteReference"/>
        </w:rPr>
        <w:footnoteReference w:id="76"/>
      </w:r>
      <w:r w:rsidR="00DB59E5">
        <w:t xml:space="preserve"> The cases in this dataset suggested that direct participation had become more common, at least in health and welfare cases, with 1</w:t>
      </w:r>
      <w:r w:rsidR="009A212D">
        <w:t>6</w:t>
      </w:r>
      <w:r w:rsidR="00DB59E5">
        <w:t xml:space="preserve"> of the 66 cases referring to direct communications between P and the judge.</w:t>
      </w:r>
      <w:r w:rsidR="00901168">
        <w:rPr>
          <w:rStyle w:val="FootnoteReference"/>
        </w:rPr>
        <w:footnoteReference w:id="77"/>
      </w:r>
      <w:r w:rsidR="00DB59E5">
        <w:t xml:space="preserve"> In the older cases in particular, however, </w:t>
      </w:r>
      <w:r w:rsidRPr="0073570E">
        <w:t xml:space="preserve">P </w:t>
      </w:r>
      <w:r w:rsidR="00DB59E5">
        <w:t>wa</w:t>
      </w:r>
      <w:r w:rsidRPr="0073570E">
        <w:t xml:space="preserve">s </w:t>
      </w:r>
      <w:r w:rsidR="00F01B88" w:rsidRPr="0073570E">
        <w:t>frequently</w:t>
      </w:r>
      <w:r w:rsidRPr="0073570E">
        <w:t xml:space="preserve"> represented in the court’s judgment only through the judge’s narrative of the facts (often largely a potted medical history) and through the lens of capacity assessments submitted in evidence. As one of the principles underpinning the MCA is to maximise P’s involvement in decision making processes,</w:t>
      </w:r>
      <w:r w:rsidRPr="0073570E">
        <w:rPr>
          <w:rStyle w:val="FootnoteReference"/>
        </w:rPr>
        <w:footnoteReference w:id="78"/>
      </w:r>
      <w:r w:rsidRPr="0073570E">
        <w:t xml:space="preserve"> it is absurd that historically P’s voice has been so frequently absent in </w:t>
      </w:r>
      <w:proofErr w:type="spellStart"/>
      <w:r w:rsidRPr="0073570E">
        <w:t>CoP</w:t>
      </w:r>
      <w:proofErr w:type="spellEnd"/>
      <w:r w:rsidRPr="0073570E">
        <w:t xml:space="preserve"> judgments. </w:t>
      </w:r>
    </w:p>
    <w:p w:rsidR="00DB59E5" w:rsidRDefault="006E2BAA" w:rsidP="004504B8">
      <w:pPr>
        <w:jc w:val="both"/>
      </w:pPr>
      <w:r w:rsidRPr="0073570E">
        <w:t xml:space="preserve">Second, </w:t>
      </w:r>
      <w:r w:rsidR="0037023A">
        <w:t xml:space="preserve">one of the ‘deviation’ cases, </w:t>
      </w:r>
      <w:r w:rsidRPr="0073570E">
        <w:rPr>
          <w:i/>
        </w:rPr>
        <w:t>Re SB</w:t>
      </w:r>
      <w:r w:rsidR="0037023A">
        <w:rPr>
          <w:i/>
        </w:rPr>
        <w:t>,</w:t>
      </w:r>
      <w:r w:rsidRPr="0073570E">
        <w:t xml:space="preserve"> was not a dispute arising out of P </w:t>
      </w:r>
      <w:r w:rsidRPr="0073570E">
        <w:rPr>
          <w:i/>
        </w:rPr>
        <w:t>refusing</w:t>
      </w:r>
      <w:r w:rsidRPr="0073570E">
        <w:t xml:space="preserve"> the treatment or care being </w:t>
      </w:r>
      <w:proofErr w:type="gramStart"/>
      <w:r w:rsidRPr="0073570E">
        <w:t>offered,</w:t>
      </w:r>
      <w:proofErr w:type="gramEnd"/>
      <w:r w:rsidRPr="0073570E">
        <w:t xml:space="preserve"> rather the issue was, unusually, whether P had capacity to </w:t>
      </w:r>
      <w:r w:rsidRPr="0073570E">
        <w:rPr>
          <w:i/>
        </w:rPr>
        <w:t>consent</w:t>
      </w:r>
      <w:r w:rsidRPr="0073570E">
        <w:t xml:space="preserve"> to a termination.</w:t>
      </w:r>
      <w:r w:rsidR="00B50404" w:rsidRPr="0073570E">
        <w:t xml:space="preserve"> It is well known that the assessment of P’s mental capacity is more likely to be triggered by a refusal of treatment,</w:t>
      </w:r>
      <w:r w:rsidR="00B50404" w:rsidRPr="0073570E">
        <w:rPr>
          <w:rStyle w:val="FootnoteReference"/>
        </w:rPr>
        <w:footnoteReference w:id="79"/>
      </w:r>
      <w:r w:rsidR="00B50404" w:rsidRPr="0073570E">
        <w:t xml:space="preserve"> and that capacity to consent is usually more readily found than capacity to refuse suggested treatment.</w:t>
      </w:r>
      <w:r w:rsidR="00245135" w:rsidRPr="0073570E">
        <w:t xml:space="preserve"> </w:t>
      </w:r>
    </w:p>
    <w:p w:rsidR="004504B8" w:rsidRPr="0073570E" w:rsidRDefault="00B50404" w:rsidP="004504B8">
      <w:pPr>
        <w:jc w:val="both"/>
      </w:pPr>
      <w:r w:rsidRPr="0073570E">
        <w:t>Finally, o</w:t>
      </w:r>
      <w:r w:rsidR="004504B8" w:rsidRPr="0073570E">
        <w:t xml:space="preserve">f these three cases, it is </w:t>
      </w:r>
      <w:r w:rsidR="004504B8" w:rsidRPr="0073570E">
        <w:rPr>
          <w:i/>
          <w:color w:val="000000"/>
          <w:lang w:eastAsia="en-GB"/>
        </w:rPr>
        <w:t>CC</w:t>
      </w:r>
      <w:r w:rsidR="004504B8" w:rsidRPr="0073570E">
        <w:rPr>
          <w:rStyle w:val="FootnoteReference"/>
          <w:color w:val="000000"/>
        </w:rPr>
        <w:footnoteReference w:id="80"/>
      </w:r>
      <w:r w:rsidR="004504B8" w:rsidRPr="0073570E">
        <w:rPr>
          <w:i/>
          <w:color w:val="000000"/>
          <w:lang w:eastAsia="en-GB"/>
        </w:rPr>
        <w:t xml:space="preserve"> </w:t>
      </w:r>
      <w:r w:rsidR="004504B8" w:rsidRPr="0073570E">
        <w:rPr>
          <w:color w:val="000000"/>
          <w:lang w:eastAsia="en-GB"/>
        </w:rPr>
        <w:t xml:space="preserve">which is probably the most striking case of departure from the medical evidence. This </w:t>
      </w:r>
      <w:r w:rsidR="004504B8" w:rsidRPr="0073570E">
        <w:t xml:space="preserve">judgment, however, did not directly challenge the norms being applied by the experts. Instead, the judgment expressed doubt about the credibility of one expert’s evidence (due </w:t>
      </w:r>
      <w:r w:rsidR="004504B8" w:rsidRPr="0073570E">
        <w:lastRenderedPageBreak/>
        <w:t>to the extent of repetition in his reports).</w:t>
      </w:r>
      <w:r w:rsidR="00CA56F8">
        <w:rPr>
          <w:rStyle w:val="FootnoteReference"/>
        </w:rPr>
        <w:footnoteReference w:id="81"/>
      </w:r>
      <w:r w:rsidR="004504B8" w:rsidRPr="0073570E">
        <w:t xml:space="preserve"> In fact the exceptional outcome in </w:t>
      </w:r>
      <w:r w:rsidR="004504B8" w:rsidRPr="0073570E">
        <w:rPr>
          <w:i/>
        </w:rPr>
        <w:t xml:space="preserve">CC’s </w:t>
      </w:r>
      <w:r w:rsidR="004504B8" w:rsidRPr="0073570E">
        <w:t xml:space="preserve">case is perhaps </w:t>
      </w:r>
      <w:r w:rsidR="00435CD0">
        <w:t>attributable to</w:t>
      </w:r>
      <w:r w:rsidR="004504B8" w:rsidRPr="0073570E">
        <w:t xml:space="preserve"> the fact that</w:t>
      </w:r>
      <w:r w:rsidR="004504B8" w:rsidRPr="0073570E">
        <w:rPr>
          <w:i/>
        </w:rPr>
        <w:t xml:space="preserve"> </w:t>
      </w:r>
      <w:r w:rsidR="004504B8" w:rsidRPr="0073570E">
        <w:t>P was regarded as having litigation capacity. This meant that she had secured counsel - counsel who in this case who adopted an unusually strong adversarial approach to the evidence on capacity</w:t>
      </w:r>
      <w:r w:rsidR="004504B8" w:rsidRPr="0073570E">
        <w:rPr>
          <w:rStyle w:val="FootnoteReference"/>
        </w:rPr>
        <w:footnoteReference w:id="82"/>
      </w:r>
      <w:r w:rsidR="004504B8" w:rsidRPr="0073570E">
        <w:t xml:space="preserve">. It was this approach which had resulted in aspersions being cast on the credibility of one of the expert witnesses. </w:t>
      </w:r>
    </w:p>
    <w:p w:rsidR="006E1366" w:rsidRPr="0073570E" w:rsidRDefault="00B50404" w:rsidP="006E1366">
      <w:pPr>
        <w:jc w:val="both"/>
      </w:pPr>
      <w:r w:rsidRPr="0073570E">
        <w:t xml:space="preserve">It might therefore be concluded that </w:t>
      </w:r>
      <w:r w:rsidR="001D15B4" w:rsidRPr="0073570E">
        <w:t xml:space="preserve">collectively </w:t>
      </w:r>
      <w:r w:rsidRPr="0073570E">
        <w:t xml:space="preserve">these judgments offer, at best, fairly weak evidence of forensic scepticism on the issue of P’s mental capacity. </w:t>
      </w:r>
      <w:r w:rsidR="006E1366" w:rsidRPr="0073570E">
        <w:t>Given that there were only t</w:t>
      </w:r>
      <w:r w:rsidR="0059426A" w:rsidRPr="0073570E">
        <w:t>hree</w:t>
      </w:r>
      <w:r w:rsidR="006E1366" w:rsidRPr="0073570E">
        <w:t xml:space="preserve"> cases in the dataset of the judge deviating from the medical consensus on P’s capacity, and that these cases feature unusual and distinct characteristics (strong adversarial representation and a decision to consent to treatment) rather than robust strategies of forensic scepticism, this would seem to support Donnelly’s hunch that even post the MCA, the courts are highly unlikely to depart from the medical evidence</w:t>
      </w:r>
      <w:r w:rsidR="00DA068E" w:rsidRPr="0073570E">
        <w:t>. It is far from clear</w:t>
      </w:r>
      <w:r w:rsidR="00BA1596">
        <w:t>,</w:t>
      </w:r>
      <w:r w:rsidR="00DA068E" w:rsidRPr="0073570E">
        <w:t xml:space="preserve"> however</w:t>
      </w:r>
      <w:r w:rsidR="00BA1596">
        <w:t>,</w:t>
      </w:r>
      <w:r w:rsidR="00DA068E" w:rsidRPr="0073570E">
        <w:t xml:space="preserve"> that the rarity of departure from medical evidence can be characterised as</w:t>
      </w:r>
      <w:r w:rsidR="00BA1596">
        <w:t xml:space="preserve"> evidence of</w:t>
      </w:r>
      <w:r w:rsidR="00DA068E" w:rsidRPr="0073570E">
        <w:t xml:space="preserve"> </w:t>
      </w:r>
      <w:r w:rsidR="006E1366" w:rsidRPr="0073570E">
        <w:t xml:space="preserve">‘deference’ per se. </w:t>
      </w:r>
      <w:r w:rsidR="00BA1596">
        <w:t>W</w:t>
      </w:r>
      <w:r w:rsidR="006E1366" w:rsidRPr="0073570E">
        <w:t xml:space="preserve">hat of those cases where the medical evidence itself is not in agreement? </w:t>
      </w:r>
      <w:r w:rsidR="00DA068E" w:rsidRPr="0073570E">
        <w:t>Do these judgments tend to exhibit qualitative indic</w:t>
      </w:r>
      <w:r w:rsidR="00584310" w:rsidRPr="0073570E">
        <w:t>ators</w:t>
      </w:r>
      <w:r w:rsidR="00DA068E" w:rsidRPr="0073570E">
        <w:t xml:space="preserve"> of deference?</w:t>
      </w:r>
    </w:p>
    <w:p w:rsidR="001A4179" w:rsidRPr="0073570E" w:rsidRDefault="001A4179" w:rsidP="001A4179">
      <w:pPr>
        <w:jc w:val="both"/>
        <w:rPr>
          <w:b/>
        </w:rPr>
      </w:pPr>
      <w:r w:rsidRPr="0073570E">
        <w:rPr>
          <w:b/>
        </w:rPr>
        <w:t>ii) The ‘Conflict cases’ – stronger evidence of forensic scepticism?</w:t>
      </w:r>
    </w:p>
    <w:p w:rsidR="001A4179" w:rsidRPr="0073570E" w:rsidRDefault="001A4179" w:rsidP="00150821">
      <w:pPr>
        <w:autoSpaceDE w:val="0"/>
        <w:autoSpaceDN w:val="0"/>
        <w:adjustRightInd w:val="0"/>
        <w:spacing w:after="0"/>
        <w:jc w:val="both"/>
        <w:rPr>
          <w:color w:val="000000"/>
          <w:lang w:eastAsia="en-GB"/>
        </w:rPr>
      </w:pPr>
      <w:r w:rsidRPr="0073570E">
        <w:t xml:space="preserve">It is perhaps surprising that the stronger evidence of forensic scepticism </w:t>
      </w:r>
      <w:r w:rsidR="000F6694">
        <w:t>came from</w:t>
      </w:r>
      <w:r w:rsidRPr="0073570E">
        <w:t xml:space="preserve"> the cases where medical evidence was in conflict, and therefore the court’s decision ultimately sided with one medical view rather than the other. In cases of conflicting evidence on capacity, deference can be examined by looking at the means deployed by the court to resolve that conflict. </w:t>
      </w:r>
    </w:p>
    <w:p w:rsidR="001A4179" w:rsidRPr="0073570E" w:rsidRDefault="001A4179" w:rsidP="001A4179">
      <w:pPr>
        <w:autoSpaceDE w:val="0"/>
        <w:autoSpaceDN w:val="0"/>
        <w:adjustRightInd w:val="0"/>
        <w:spacing w:after="0"/>
        <w:jc w:val="both"/>
      </w:pPr>
      <w:r w:rsidRPr="0073570E">
        <w:t xml:space="preserve"> </w:t>
      </w:r>
    </w:p>
    <w:p w:rsidR="001A4179" w:rsidRPr="0073570E" w:rsidRDefault="001A4179" w:rsidP="001A4179">
      <w:pPr>
        <w:jc w:val="both"/>
        <w:rPr>
          <w:rFonts w:cs="Times New Roman"/>
          <w:b/>
          <w:i/>
        </w:rPr>
      </w:pPr>
      <w:r w:rsidRPr="0073570E">
        <w:rPr>
          <w:rFonts w:cs="Times New Roman"/>
          <w:b/>
          <w:i/>
        </w:rPr>
        <w:t>‘Capacity affirming’ judgments</w:t>
      </w:r>
    </w:p>
    <w:p w:rsidR="001A4179" w:rsidRPr="0073570E" w:rsidRDefault="001A4179" w:rsidP="001A4179">
      <w:pPr>
        <w:jc w:val="both"/>
      </w:pPr>
      <w:r w:rsidRPr="0073570E">
        <w:rPr>
          <w:rFonts w:cs="Times New Roman"/>
        </w:rPr>
        <w:t xml:space="preserve">Amongst the </w:t>
      </w:r>
      <w:r w:rsidR="006B3B92" w:rsidRPr="0073570E">
        <w:rPr>
          <w:rFonts w:cs="Times New Roman"/>
        </w:rPr>
        <w:t>66</w:t>
      </w:r>
      <w:r w:rsidRPr="0073570E">
        <w:rPr>
          <w:rFonts w:cs="Times New Roman"/>
        </w:rPr>
        <w:t xml:space="preserve"> capacity cases there were </w:t>
      </w:r>
      <w:r w:rsidR="00D6609F" w:rsidRPr="0073570E">
        <w:rPr>
          <w:rFonts w:cs="Times New Roman"/>
        </w:rPr>
        <w:t>t</w:t>
      </w:r>
      <w:r w:rsidR="00753036" w:rsidRPr="0073570E">
        <w:rPr>
          <w:rFonts w:cs="Times New Roman"/>
        </w:rPr>
        <w:t>welve</w:t>
      </w:r>
      <w:r w:rsidRPr="0073570E">
        <w:rPr>
          <w:rFonts w:cs="Times New Roman"/>
        </w:rPr>
        <w:t xml:space="preserve"> judgments where the expert evidence was in conflict and </w:t>
      </w:r>
      <w:r w:rsidR="006B3B92" w:rsidRPr="0073570E">
        <w:rPr>
          <w:rFonts w:cs="Times New Roman"/>
        </w:rPr>
        <w:t>f</w:t>
      </w:r>
      <w:r w:rsidR="00D6609F" w:rsidRPr="0073570E">
        <w:rPr>
          <w:rFonts w:cs="Times New Roman"/>
        </w:rPr>
        <w:t>our</w:t>
      </w:r>
      <w:r w:rsidR="006B3B92" w:rsidRPr="0073570E">
        <w:rPr>
          <w:rFonts w:cs="Times New Roman"/>
        </w:rPr>
        <w:t xml:space="preserve"> </w:t>
      </w:r>
      <w:r w:rsidRPr="0073570E">
        <w:rPr>
          <w:rFonts w:cs="Times New Roman"/>
        </w:rPr>
        <w:t>of these resulted in a ‘capacity affirming’ decision.</w:t>
      </w:r>
      <w:r w:rsidRPr="0073570E">
        <w:rPr>
          <w:rStyle w:val="FootnoteReference"/>
        </w:rPr>
        <w:footnoteReference w:id="83"/>
      </w:r>
      <w:r w:rsidRPr="0073570E">
        <w:rPr>
          <w:iCs/>
          <w:color w:val="000000"/>
          <w:lang w:eastAsia="en-GB"/>
        </w:rPr>
        <w:t xml:space="preserve"> In these cases the court </w:t>
      </w:r>
      <w:r w:rsidR="00900EE0" w:rsidRPr="0073570E">
        <w:rPr>
          <w:iCs/>
          <w:color w:val="000000"/>
          <w:lang w:eastAsia="en-GB"/>
        </w:rPr>
        <w:t xml:space="preserve">again </w:t>
      </w:r>
      <w:r w:rsidRPr="0073570E">
        <w:rPr>
          <w:iCs/>
          <w:color w:val="000000"/>
          <w:lang w:eastAsia="en-GB"/>
        </w:rPr>
        <w:t xml:space="preserve">asserted epistemic competence on the ‘inferential gap’ - determining that a medical </w:t>
      </w:r>
      <w:r w:rsidR="00A6566A" w:rsidRPr="0073570E">
        <w:rPr>
          <w:iCs/>
          <w:color w:val="000000"/>
          <w:lang w:eastAsia="en-GB"/>
        </w:rPr>
        <w:t>construction</w:t>
      </w:r>
      <w:r w:rsidRPr="0073570E">
        <w:rPr>
          <w:iCs/>
          <w:color w:val="000000"/>
          <w:lang w:eastAsia="en-GB"/>
        </w:rPr>
        <w:t xml:space="preserve"> was not to be applied to P’s behaviour, but rather that the </w:t>
      </w:r>
      <w:r w:rsidR="00797517" w:rsidRPr="0073570E">
        <w:rPr>
          <w:iCs/>
          <w:color w:val="000000"/>
          <w:lang w:eastAsia="en-GB"/>
        </w:rPr>
        <w:t xml:space="preserve">pathological narrative on </w:t>
      </w:r>
      <w:r w:rsidRPr="0073570E">
        <w:rPr>
          <w:iCs/>
          <w:color w:val="000000"/>
          <w:lang w:eastAsia="en-GB"/>
        </w:rPr>
        <w:t xml:space="preserve">causality was to be rejected as it conflicted with legal norms at the heart of capacity assessment. </w:t>
      </w:r>
      <w:r w:rsidRPr="0073570E">
        <w:rPr>
          <w:rFonts w:cs="Times New Roman"/>
        </w:rPr>
        <w:t>Of these</w:t>
      </w:r>
      <w:r w:rsidR="005B5E56" w:rsidRPr="0073570E">
        <w:rPr>
          <w:rFonts w:cs="Times New Roman"/>
        </w:rPr>
        <w:t>,</w:t>
      </w:r>
      <w:r w:rsidRPr="0073570E">
        <w:rPr>
          <w:rFonts w:cs="Times New Roman"/>
        </w:rPr>
        <w:t xml:space="preserve"> </w:t>
      </w:r>
      <w:r w:rsidR="00D6609F" w:rsidRPr="0073570E">
        <w:rPr>
          <w:rFonts w:cs="Times New Roman"/>
        </w:rPr>
        <w:t>f</w:t>
      </w:r>
      <w:r w:rsidR="005B5E56" w:rsidRPr="0073570E">
        <w:rPr>
          <w:rFonts w:cs="Times New Roman"/>
        </w:rPr>
        <w:t>ive</w:t>
      </w:r>
      <w:r w:rsidRPr="0073570E">
        <w:rPr>
          <w:rFonts w:cs="Times New Roman"/>
        </w:rPr>
        <w:t xml:space="preserve"> judgments, t</w:t>
      </w:r>
      <w:r w:rsidR="005B5E56" w:rsidRPr="0073570E">
        <w:rPr>
          <w:rFonts w:cs="Times New Roman"/>
        </w:rPr>
        <w:t>hree</w:t>
      </w:r>
      <w:r w:rsidRPr="0073570E">
        <w:rPr>
          <w:rFonts w:cs="Times New Roman"/>
        </w:rPr>
        <w:t xml:space="preserve"> again referred to detailed representations being made to the court by P. </w:t>
      </w:r>
      <w:r w:rsidRPr="0073570E">
        <w:t xml:space="preserve">In </w:t>
      </w:r>
      <w:r w:rsidRPr="0073570E">
        <w:rPr>
          <w:i/>
        </w:rPr>
        <w:t>X v A Local Authority</w:t>
      </w:r>
      <w:r w:rsidRPr="0073570E">
        <w:rPr>
          <w:rStyle w:val="FootnoteReference"/>
          <w:i/>
        </w:rPr>
        <w:footnoteReference w:id="84"/>
      </w:r>
      <w:r w:rsidRPr="0073570E">
        <w:t xml:space="preserve"> the unsworn testimony of P himself appeared to weigh heavily –</w:t>
      </w:r>
      <w:r w:rsidR="001D15B4" w:rsidRPr="0073570E">
        <w:t xml:space="preserve"> </w:t>
      </w:r>
      <w:r w:rsidRPr="0073570E">
        <w:t xml:space="preserve">the judge commented of P’s representations: </w:t>
      </w:r>
    </w:p>
    <w:p w:rsidR="001A4179" w:rsidRPr="0073570E" w:rsidRDefault="001A4179" w:rsidP="001A4179">
      <w:pPr>
        <w:ind w:left="851" w:right="851"/>
        <w:jc w:val="both"/>
        <w:rPr>
          <w:i/>
        </w:rPr>
      </w:pPr>
      <w:r w:rsidRPr="0073570E">
        <w:rPr>
          <w:i/>
        </w:rPr>
        <w:t xml:space="preserve">‘His thought process before me was reasonably logical. He has no problem in communicating a decision. He understands, in my judgment, the reasonably foreseeable consequences of his decisions …He may drink to excess again, but </w:t>
      </w:r>
      <w:r w:rsidRPr="0073570E">
        <w:rPr>
          <w:i/>
        </w:rPr>
        <w:lastRenderedPageBreak/>
        <w:t>that, in my view, is an unwise decision rather than a sign of continuing incapacity.‘</w:t>
      </w:r>
      <w:r w:rsidRPr="0073570E">
        <w:rPr>
          <w:rStyle w:val="FootnoteReference"/>
          <w:i/>
        </w:rPr>
        <w:footnoteReference w:id="85"/>
      </w:r>
    </w:p>
    <w:p w:rsidR="00135CEE" w:rsidRPr="0073570E" w:rsidRDefault="001A4179" w:rsidP="00135CEE">
      <w:pPr>
        <w:spacing w:before="100" w:beforeAutospacing="1" w:after="100" w:afterAutospacing="1"/>
        <w:jc w:val="both"/>
        <w:rPr>
          <w:rFonts w:eastAsia="Times New Roman" w:cs="Times New Roman"/>
          <w:color w:val="000000"/>
          <w:lang w:eastAsia="en-GB"/>
        </w:rPr>
      </w:pPr>
      <w:r w:rsidRPr="0073570E">
        <w:t xml:space="preserve">In </w:t>
      </w:r>
      <w:proofErr w:type="spellStart"/>
      <w:r w:rsidRPr="0073570E">
        <w:rPr>
          <w:i/>
        </w:rPr>
        <w:t>Wandsworth</w:t>
      </w:r>
      <w:proofErr w:type="spellEnd"/>
      <w:r w:rsidRPr="0073570E">
        <w:rPr>
          <w:i/>
        </w:rPr>
        <w:t xml:space="preserve"> v IA</w:t>
      </w:r>
      <w:r w:rsidRPr="0073570E">
        <w:rPr>
          <w:rStyle w:val="FootnoteReference"/>
        </w:rPr>
        <w:footnoteReference w:id="86"/>
      </w:r>
      <w:r w:rsidRPr="0073570E">
        <w:t xml:space="preserve"> another decision concerned with capacity to decide residence and care after a long stay in hospital, IA had been ‘a regular correspondent with the court over … two or more years.’</w:t>
      </w:r>
      <w:r w:rsidRPr="0073570E">
        <w:rPr>
          <w:rStyle w:val="FootnoteReference"/>
        </w:rPr>
        <w:footnoteReference w:id="87"/>
      </w:r>
      <w:r w:rsidRPr="0073570E">
        <w:t xml:space="preserve"> In a further example of asserting territory over the inferential gap, </w:t>
      </w:r>
      <w:r w:rsidRPr="0073570E">
        <w:rPr>
          <w:color w:val="000000"/>
          <w:lang w:eastAsia="en-GB"/>
        </w:rPr>
        <w:t>Justice Cobb construed IA’s ‘outbursts’ and ‘dogmatic pronouncements’ as attributable to his frustration at not being able to participate more in proceedings and at the slow progress being made</w:t>
      </w:r>
      <w:r w:rsidR="00175271" w:rsidRPr="0073570E">
        <w:rPr>
          <w:color w:val="000000"/>
          <w:lang w:eastAsia="en-GB"/>
        </w:rPr>
        <w:t>,</w:t>
      </w:r>
      <w:r w:rsidRPr="0073570E">
        <w:rPr>
          <w:color w:val="000000"/>
          <w:lang w:eastAsia="en-GB"/>
        </w:rPr>
        <w:t xml:space="preserve"> rather than symptoms of any impairment. In taking this view</w:t>
      </w:r>
      <w:r w:rsidR="00797517" w:rsidRPr="0073570E">
        <w:rPr>
          <w:color w:val="000000"/>
          <w:lang w:eastAsia="en-GB"/>
        </w:rPr>
        <w:t>,</w:t>
      </w:r>
      <w:r w:rsidRPr="0073570E">
        <w:rPr>
          <w:color w:val="000000"/>
          <w:lang w:eastAsia="en-GB"/>
        </w:rPr>
        <w:t xml:space="preserve"> he resisted the invitation to </w:t>
      </w:r>
      <w:proofErr w:type="spellStart"/>
      <w:r w:rsidRPr="0073570E">
        <w:rPr>
          <w:color w:val="000000"/>
          <w:lang w:eastAsia="en-GB"/>
        </w:rPr>
        <w:t>pathologise</w:t>
      </w:r>
      <w:proofErr w:type="spellEnd"/>
      <w:r w:rsidRPr="0073570E">
        <w:rPr>
          <w:color w:val="000000"/>
          <w:lang w:eastAsia="en-GB"/>
        </w:rPr>
        <w:t xml:space="preserve"> IA’s difficult behaviour and refused to accept the </w:t>
      </w:r>
      <w:proofErr w:type="spellStart"/>
      <w:r w:rsidRPr="0073570E">
        <w:rPr>
          <w:color w:val="000000"/>
          <w:lang w:eastAsia="en-GB"/>
        </w:rPr>
        <w:t>medicalised</w:t>
      </w:r>
      <w:proofErr w:type="spellEnd"/>
      <w:r w:rsidRPr="0073570E">
        <w:rPr>
          <w:color w:val="000000"/>
          <w:lang w:eastAsia="en-GB"/>
        </w:rPr>
        <w:t xml:space="preserve"> view of IA’s lack of co-operation.</w:t>
      </w:r>
      <w:r w:rsidR="00135CEE" w:rsidRPr="0073570E">
        <w:rPr>
          <w:color w:val="000000"/>
          <w:lang w:eastAsia="en-GB"/>
        </w:rPr>
        <w:t xml:space="preserve"> In a similar vein, </w:t>
      </w:r>
      <w:r w:rsidR="00135CEE" w:rsidRPr="0073570E">
        <w:rPr>
          <w:rFonts w:eastAsia="Times New Roman" w:cs="Times New Roman"/>
          <w:color w:val="000000"/>
          <w:lang w:eastAsia="en-GB"/>
        </w:rPr>
        <w:t xml:space="preserve">In </w:t>
      </w:r>
      <w:r w:rsidR="00135CEE" w:rsidRPr="0073570E">
        <w:rPr>
          <w:rFonts w:eastAsia="Times New Roman" w:cs="Times New Roman"/>
          <w:i/>
          <w:color w:val="000000"/>
          <w:lang w:eastAsia="en-GB"/>
        </w:rPr>
        <w:t>A Local Authority v TZ,</w:t>
      </w:r>
      <w:r w:rsidR="00135CEE" w:rsidRPr="0073570E">
        <w:rPr>
          <w:rStyle w:val="FootnoteReference"/>
          <w:rFonts w:eastAsia="Times New Roman" w:cs="Times New Roman"/>
          <w:color w:val="000000"/>
          <w:lang w:eastAsia="en-GB"/>
        </w:rPr>
        <w:footnoteReference w:id="88"/>
      </w:r>
      <w:r w:rsidR="00135CEE" w:rsidRPr="0073570E">
        <w:rPr>
          <w:rFonts w:eastAsia="Times New Roman" w:cs="Times New Roman"/>
          <w:color w:val="000000"/>
          <w:lang w:eastAsia="en-GB"/>
        </w:rPr>
        <w:t xml:space="preserve"> a case concerning whether P had capacity to consent to sexual relations, the view of the court appointed expert was that P’s impairment</w:t>
      </w:r>
      <w:r w:rsidR="00EF242D">
        <w:rPr>
          <w:rStyle w:val="FootnoteReference"/>
          <w:rFonts w:eastAsia="Times New Roman" w:cs="Times New Roman"/>
          <w:color w:val="000000"/>
          <w:lang w:eastAsia="en-GB"/>
        </w:rPr>
        <w:footnoteReference w:id="89"/>
      </w:r>
      <w:r w:rsidR="00135CEE" w:rsidRPr="0073570E">
        <w:rPr>
          <w:rFonts w:eastAsia="Times New Roman" w:cs="Times New Roman"/>
          <w:color w:val="000000"/>
          <w:lang w:eastAsia="en-GB"/>
        </w:rPr>
        <w:t xml:space="preserve">, particularly the symptoms of a tendency towards impulsivity, prevented him from properly ‘using and weighing’ the relevant information, including the potential emotional consequences of sexual relationships. The evidence of </w:t>
      </w:r>
      <w:r w:rsidR="00135CEE" w:rsidRPr="0073570E">
        <w:rPr>
          <w:rFonts w:eastAsia="Times New Roman" w:cs="Times New Roman"/>
          <w:i/>
          <w:color w:val="000000"/>
          <w:lang w:eastAsia="en-GB"/>
        </w:rPr>
        <w:t>TZ</w:t>
      </w:r>
      <w:r w:rsidR="00135CEE" w:rsidRPr="0073570E">
        <w:rPr>
          <w:rFonts w:eastAsia="Times New Roman" w:cs="Times New Roman"/>
          <w:color w:val="000000"/>
          <w:lang w:eastAsia="en-GB"/>
        </w:rPr>
        <w:t xml:space="preserve"> himself, who spoke frankly in an informal discussion in the well of the court, was again </w:t>
      </w:r>
      <w:proofErr w:type="gramStart"/>
      <w:r w:rsidR="00135CEE" w:rsidRPr="0073570E">
        <w:rPr>
          <w:rFonts w:eastAsia="Times New Roman" w:cs="Times New Roman"/>
          <w:color w:val="000000"/>
          <w:lang w:eastAsia="en-GB"/>
        </w:rPr>
        <w:t>key</w:t>
      </w:r>
      <w:proofErr w:type="gramEnd"/>
      <w:r w:rsidR="00135CEE" w:rsidRPr="0073570E">
        <w:rPr>
          <w:rFonts w:eastAsia="Times New Roman" w:cs="Times New Roman"/>
          <w:color w:val="000000"/>
          <w:lang w:eastAsia="en-GB"/>
        </w:rPr>
        <w:t xml:space="preserve"> to the judge’s finding that he had capacity. As in </w:t>
      </w:r>
      <w:proofErr w:type="spellStart"/>
      <w:r w:rsidR="00135CEE" w:rsidRPr="0073570E">
        <w:rPr>
          <w:rFonts w:eastAsia="Times New Roman" w:cs="Times New Roman"/>
          <w:i/>
          <w:color w:val="000000"/>
          <w:lang w:eastAsia="en-GB"/>
        </w:rPr>
        <w:t>Wandsworth</w:t>
      </w:r>
      <w:proofErr w:type="spellEnd"/>
      <w:r w:rsidR="00135CEE" w:rsidRPr="0073570E">
        <w:rPr>
          <w:rFonts w:eastAsia="Times New Roman" w:cs="Times New Roman"/>
          <w:i/>
          <w:color w:val="000000"/>
          <w:lang w:eastAsia="en-GB"/>
        </w:rPr>
        <w:t xml:space="preserve">, </w:t>
      </w:r>
      <w:r w:rsidR="00135CEE" w:rsidRPr="0073570E">
        <w:rPr>
          <w:rFonts w:eastAsia="Times New Roman" w:cs="Times New Roman"/>
          <w:color w:val="000000"/>
          <w:lang w:eastAsia="en-GB"/>
        </w:rPr>
        <w:t xml:space="preserve">the judge chose to reject </w:t>
      </w:r>
      <w:proofErr w:type="spellStart"/>
      <w:r w:rsidR="00135CEE" w:rsidRPr="0073570E">
        <w:rPr>
          <w:rFonts w:eastAsia="Times New Roman" w:cs="Times New Roman"/>
          <w:color w:val="000000"/>
          <w:lang w:eastAsia="en-GB"/>
        </w:rPr>
        <w:t>pathologisation</w:t>
      </w:r>
      <w:proofErr w:type="spellEnd"/>
      <w:r w:rsidR="00135CEE" w:rsidRPr="0073570E">
        <w:rPr>
          <w:rFonts w:eastAsia="Times New Roman" w:cs="Times New Roman"/>
          <w:color w:val="000000"/>
          <w:lang w:eastAsia="en-GB"/>
        </w:rPr>
        <w:t xml:space="preserve"> of P’s decision making, saying that in fact most decision making in relation to sexual encounters was driven by impulsivity.</w:t>
      </w:r>
      <w:r w:rsidR="00135CEE" w:rsidRPr="0073570E">
        <w:rPr>
          <w:rStyle w:val="FootnoteReference"/>
          <w:rFonts w:eastAsia="Times New Roman" w:cs="Times New Roman"/>
          <w:color w:val="000000"/>
          <w:lang w:eastAsia="en-GB"/>
        </w:rPr>
        <w:footnoteReference w:id="90"/>
      </w:r>
      <w:r w:rsidR="00135CEE" w:rsidRPr="0073570E">
        <w:rPr>
          <w:rFonts w:eastAsia="Times New Roman" w:cs="Times New Roman"/>
          <w:color w:val="000000"/>
          <w:lang w:eastAsia="en-GB"/>
        </w:rPr>
        <w:t xml:space="preserve"> </w:t>
      </w:r>
    </w:p>
    <w:p w:rsidR="00175271" w:rsidRPr="0073570E" w:rsidRDefault="005A31F3" w:rsidP="00830E00">
      <w:pPr>
        <w:spacing w:before="100" w:beforeAutospacing="1" w:after="100" w:afterAutospacing="1"/>
        <w:jc w:val="both"/>
        <w:rPr>
          <w:rFonts w:eastAsia="Times New Roman" w:cs="Times New Roman"/>
          <w:color w:val="000000"/>
          <w:lang w:eastAsia="en-GB"/>
        </w:rPr>
      </w:pPr>
      <w:r w:rsidRPr="0073570E">
        <w:rPr>
          <w:rFonts w:cs="Times New Roman"/>
        </w:rPr>
        <w:t>This subset of cases demonstrated that</w:t>
      </w:r>
      <w:r w:rsidR="00900EE0" w:rsidRPr="0073570E">
        <w:rPr>
          <w:rFonts w:cs="Times New Roman"/>
        </w:rPr>
        <w:t>,</w:t>
      </w:r>
      <w:r w:rsidRPr="0073570E">
        <w:rPr>
          <w:rFonts w:cs="Times New Roman"/>
        </w:rPr>
        <w:t xml:space="preserve"> occasionally</w:t>
      </w:r>
      <w:r w:rsidR="00900EE0" w:rsidRPr="0073570E">
        <w:rPr>
          <w:rFonts w:cs="Times New Roman"/>
        </w:rPr>
        <w:t>,</w:t>
      </w:r>
      <w:r w:rsidRPr="0073570E">
        <w:rPr>
          <w:rFonts w:cs="Times New Roman"/>
        </w:rPr>
        <w:t xml:space="preserve"> the lay evidence of P’s family </w:t>
      </w:r>
      <w:r w:rsidR="00EA158F" w:rsidRPr="0073570E">
        <w:rPr>
          <w:rFonts w:cs="Times New Roman"/>
        </w:rPr>
        <w:t>could be</w:t>
      </w:r>
      <w:r w:rsidRPr="0073570E">
        <w:rPr>
          <w:rFonts w:cs="Times New Roman"/>
        </w:rPr>
        <w:t xml:space="preserve"> instrumental in </w:t>
      </w:r>
      <w:r w:rsidR="00EA158F" w:rsidRPr="0073570E">
        <w:rPr>
          <w:rFonts w:cs="Times New Roman"/>
        </w:rPr>
        <w:t xml:space="preserve">prompting </w:t>
      </w:r>
      <w:r w:rsidRPr="0073570E">
        <w:rPr>
          <w:rFonts w:cs="Times New Roman"/>
        </w:rPr>
        <w:t xml:space="preserve">the rejection of the majority of medical evidence. </w:t>
      </w:r>
      <w:r w:rsidR="00175271" w:rsidRPr="0073570E">
        <w:rPr>
          <w:rFonts w:cs="Times New Roman"/>
        </w:rPr>
        <w:t xml:space="preserve">In </w:t>
      </w:r>
      <w:r w:rsidR="00175271" w:rsidRPr="0073570E">
        <w:rPr>
          <w:rFonts w:cs="Times New Roman"/>
          <w:i/>
        </w:rPr>
        <w:t xml:space="preserve">Kings College </w:t>
      </w:r>
      <w:r w:rsidR="00175271" w:rsidRPr="0073570E">
        <w:rPr>
          <w:rFonts w:eastAsia="Times New Roman" w:cs="Times New Roman"/>
          <w:i/>
          <w:color w:val="000000"/>
          <w:lang w:eastAsia="en-GB"/>
        </w:rPr>
        <w:t xml:space="preserve">Hospital NHS Foundation Trust v C &amp; </w:t>
      </w:r>
      <w:proofErr w:type="spellStart"/>
      <w:r w:rsidR="00175271" w:rsidRPr="0073570E">
        <w:rPr>
          <w:rFonts w:eastAsia="Times New Roman" w:cs="Times New Roman"/>
          <w:i/>
          <w:color w:val="000000"/>
          <w:lang w:eastAsia="en-GB"/>
        </w:rPr>
        <w:t>Anor</w:t>
      </w:r>
      <w:proofErr w:type="spellEnd"/>
      <w:r w:rsidR="00175271" w:rsidRPr="0073570E">
        <w:rPr>
          <w:rFonts w:eastAsia="Times New Roman" w:cs="Times New Roman"/>
          <w:i/>
          <w:color w:val="000000"/>
          <w:lang w:eastAsia="en-GB"/>
        </w:rPr>
        <w:t>,</w:t>
      </w:r>
      <w:r w:rsidR="00175271" w:rsidRPr="0073570E">
        <w:rPr>
          <w:rStyle w:val="FootnoteReference"/>
          <w:rFonts w:eastAsia="Times New Roman" w:cs="Times New Roman"/>
          <w:color w:val="000000"/>
          <w:lang w:eastAsia="en-GB"/>
        </w:rPr>
        <w:footnoteReference w:id="91"/>
      </w:r>
      <w:r w:rsidR="00175271" w:rsidRPr="0073570E">
        <w:rPr>
          <w:rFonts w:eastAsia="Times New Roman" w:cs="Times New Roman"/>
          <w:i/>
          <w:color w:val="000000"/>
          <w:lang w:eastAsia="en-GB"/>
        </w:rPr>
        <w:t xml:space="preserve"> </w:t>
      </w:r>
      <w:r w:rsidR="00A74697" w:rsidRPr="00A74697">
        <w:rPr>
          <w:rFonts w:eastAsia="Times New Roman" w:cs="Times New Roman"/>
          <w:color w:val="000000"/>
          <w:lang w:eastAsia="en-GB"/>
        </w:rPr>
        <w:t>P</w:t>
      </w:r>
      <w:r w:rsidR="00175271" w:rsidRPr="0073570E">
        <w:rPr>
          <w:rFonts w:eastAsia="Times New Roman" w:cs="Times New Roman"/>
          <w:color w:val="000000"/>
          <w:lang w:eastAsia="en-GB"/>
        </w:rPr>
        <w:t xml:space="preserve"> had attempted suicide by </w:t>
      </w:r>
      <w:r w:rsidR="00830E00" w:rsidRPr="0073570E">
        <w:rPr>
          <w:rFonts w:eastAsia="Times New Roman" w:cs="Times New Roman"/>
          <w:color w:val="000000"/>
          <w:lang w:eastAsia="en-GB"/>
        </w:rPr>
        <w:t>taking 60</w:t>
      </w:r>
      <w:r w:rsidR="00175271" w:rsidRPr="0073570E">
        <w:rPr>
          <w:rFonts w:eastAsia="Times New Roman" w:cs="Times New Roman"/>
          <w:color w:val="000000"/>
          <w:lang w:eastAsia="en-GB"/>
        </w:rPr>
        <w:t xml:space="preserve"> </w:t>
      </w:r>
      <w:proofErr w:type="spellStart"/>
      <w:r w:rsidR="00175271" w:rsidRPr="0073570E">
        <w:rPr>
          <w:rFonts w:eastAsia="Times New Roman" w:cs="Times New Roman"/>
          <w:color w:val="000000"/>
          <w:lang w:eastAsia="en-GB"/>
        </w:rPr>
        <w:t>parac</w:t>
      </w:r>
      <w:r w:rsidR="00830E00" w:rsidRPr="0073570E">
        <w:rPr>
          <w:rFonts w:eastAsia="Times New Roman" w:cs="Times New Roman"/>
          <w:color w:val="000000"/>
          <w:lang w:eastAsia="en-GB"/>
        </w:rPr>
        <w:t>e</w:t>
      </w:r>
      <w:r w:rsidR="00175271" w:rsidRPr="0073570E">
        <w:rPr>
          <w:rFonts w:eastAsia="Times New Roman" w:cs="Times New Roman"/>
          <w:color w:val="000000"/>
          <w:lang w:eastAsia="en-GB"/>
        </w:rPr>
        <w:t>tamol</w:t>
      </w:r>
      <w:proofErr w:type="spellEnd"/>
      <w:r w:rsidR="00175271" w:rsidRPr="0073570E">
        <w:rPr>
          <w:rFonts w:eastAsia="Times New Roman" w:cs="Times New Roman"/>
          <w:color w:val="000000"/>
          <w:lang w:eastAsia="en-GB"/>
        </w:rPr>
        <w:t xml:space="preserve"> </w:t>
      </w:r>
      <w:r w:rsidR="00900EE0" w:rsidRPr="0073570E">
        <w:rPr>
          <w:rFonts w:eastAsia="Times New Roman" w:cs="Times New Roman"/>
          <w:color w:val="000000"/>
          <w:lang w:eastAsia="en-GB"/>
        </w:rPr>
        <w:t xml:space="preserve">tablets </w:t>
      </w:r>
      <w:r w:rsidR="00E35FC3" w:rsidRPr="0073570E">
        <w:rPr>
          <w:rFonts w:eastAsia="Times New Roman" w:cs="Times New Roman"/>
          <w:color w:val="000000"/>
          <w:lang w:eastAsia="en-GB"/>
        </w:rPr>
        <w:t>with</w:t>
      </w:r>
      <w:r w:rsidR="00175271" w:rsidRPr="0073570E">
        <w:rPr>
          <w:rFonts w:eastAsia="Times New Roman" w:cs="Times New Roman"/>
          <w:color w:val="000000"/>
          <w:lang w:eastAsia="en-GB"/>
        </w:rPr>
        <w:t xml:space="preserve"> champagne. After months of </w:t>
      </w:r>
      <w:r w:rsidR="00830E00" w:rsidRPr="0073570E">
        <w:rPr>
          <w:rFonts w:eastAsia="Times New Roman" w:cs="Times New Roman"/>
          <w:color w:val="000000"/>
          <w:lang w:eastAsia="en-GB"/>
        </w:rPr>
        <w:t>treatment</w:t>
      </w:r>
      <w:r w:rsidR="00E35FC3" w:rsidRPr="0073570E">
        <w:rPr>
          <w:rFonts w:eastAsia="Times New Roman" w:cs="Times New Roman"/>
          <w:color w:val="000000"/>
          <w:lang w:eastAsia="en-GB"/>
        </w:rPr>
        <w:t xml:space="preserve"> in hospital,</w:t>
      </w:r>
      <w:r w:rsidR="00175271" w:rsidRPr="0073570E">
        <w:rPr>
          <w:rFonts w:eastAsia="Times New Roman" w:cs="Times New Roman"/>
          <w:color w:val="000000"/>
          <w:lang w:eastAsia="en-GB"/>
        </w:rPr>
        <w:t xml:space="preserve"> P </w:t>
      </w:r>
      <w:r w:rsidR="001B01CF" w:rsidRPr="0073570E">
        <w:rPr>
          <w:rFonts w:eastAsia="Times New Roman" w:cs="Times New Roman"/>
          <w:color w:val="000000"/>
          <w:lang w:eastAsia="en-GB"/>
        </w:rPr>
        <w:t>persistently expressed the wish to</w:t>
      </w:r>
      <w:r w:rsidR="00175271" w:rsidRPr="0073570E">
        <w:rPr>
          <w:rFonts w:eastAsia="Times New Roman" w:cs="Times New Roman"/>
          <w:color w:val="000000"/>
          <w:lang w:eastAsia="en-GB"/>
        </w:rPr>
        <w:t xml:space="preserve"> refuse further life saving treatment,</w:t>
      </w:r>
      <w:r w:rsidR="00E5333A" w:rsidRPr="0073570E">
        <w:rPr>
          <w:rFonts w:eastAsia="Times New Roman" w:cs="Times New Roman"/>
          <w:color w:val="000000"/>
          <w:lang w:eastAsia="en-GB"/>
        </w:rPr>
        <w:t xml:space="preserve"> namely dialysis, saying she was</w:t>
      </w:r>
      <w:r w:rsidR="00175271" w:rsidRPr="0073570E">
        <w:rPr>
          <w:rFonts w:eastAsia="Times New Roman" w:cs="Times New Roman"/>
          <w:color w:val="000000"/>
          <w:lang w:eastAsia="en-GB"/>
        </w:rPr>
        <w:t xml:space="preserve"> ‘</w:t>
      </w:r>
      <w:bookmarkStart w:id="5" w:name="para59"/>
      <w:r w:rsidR="00E5333A" w:rsidRPr="0073570E">
        <w:rPr>
          <w:color w:val="000000"/>
        </w:rPr>
        <w:t>not prepared to wait for the possibility that my kidneys will get better</w:t>
      </w:r>
      <w:bookmarkEnd w:id="5"/>
      <w:r w:rsidR="00E5333A" w:rsidRPr="0073570E">
        <w:rPr>
          <w:color w:val="000000"/>
        </w:rPr>
        <w:t>.</w:t>
      </w:r>
      <w:r w:rsidR="00175271" w:rsidRPr="0073570E">
        <w:rPr>
          <w:rFonts w:eastAsia="Times New Roman" w:cs="Times New Roman"/>
          <w:color w:val="000000"/>
          <w:lang w:eastAsia="en-GB"/>
        </w:rPr>
        <w:t>’</w:t>
      </w:r>
      <w:r w:rsidR="00E5333A" w:rsidRPr="0073570E">
        <w:rPr>
          <w:rStyle w:val="FootnoteReference"/>
          <w:rFonts w:eastAsia="Times New Roman" w:cs="Times New Roman"/>
          <w:color w:val="000000"/>
          <w:lang w:eastAsia="en-GB"/>
        </w:rPr>
        <w:footnoteReference w:id="92"/>
      </w:r>
      <w:r w:rsidR="00175271" w:rsidRPr="0073570E">
        <w:rPr>
          <w:rFonts w:eastAsia="Times New Roman" w:cs="Times New Roman"/>
          <w:color w:val="000000"/>
          <w:lang w:eastAsia="en-GB"/>
        </w:rPr>
        <w:t xml:space="preserve"> Evidence on P’s capacity was conflicting, with two psychiatrists concluding that her decision making was affected by possible personality disorder which was causing her to lack capacity due to an inability to understand the possibility that she might have a positive prognosis. One</w:t>
      </w:r>
      <w:r w:rsidR="00081443" w:rsidRPr="0073570E">
        <w:rPr>
          <w:rFonts w:eastAsia="Times New Roman" w:cs="Times New Roman"/>
          <w:color w:val="000000"/>
          <w:lang w:eastAsia="en-GB"/>
        </w:rPr>
        <w:t xml:space="preserve"> </w:t>
      </w:r>
      <w:r w:rsidR="00175271" w:rsidRPr="0073570E">
        <w:rPr>
          <w:rFonts w:eastAsia="Times New Roman" w:cs="Times New Roman"/>
          <w:color w:val="000000"/>
          <w:lang w:eastAsia="en-GB"/>
        </w:rPr>
        <w:t>psychiatrist conclud</w:t>
      </w:r>
      <w:r w:rsidR="00EA158F" w:rsidRPr="0073570E">
        <w:rPr>
          <w:rFonts w:eastAsia="Times New Roman" w:cs="Times New Roman"/>
          <w:color w:val="000000"/>
          <w:lang w:eastAsia="en-GB"/>
        </w:rPr>
        <w:t>ed</w:t>
      </w:r>
      <w:r w:rsidR="00175271" w:rsidRPr="0073570E">
        <w:rPr>
          <w:rFonts w:eastAsia="Times New Roman" w:cs="Times New Roman"/>
          <w:color w:val="000000"/>
          <w:lang w:eastAsia="en-GB"/>
        </w:rPr>
        <w:t xml:space="preserve"> that the presumption of capacity had </w:t>
      </w:r>
      <w:r w:rsidR="00175271" w:rsidRPr="0073570E">
        <w:rPr>
          <w:rFonts w:eastAsia="Times New Roman" w:cs="Times New Roman"/>
          <w:color w:val="000000"/>
          <w:lang w:eastAsia="en-GB"/>
        </w:rPr>
        <w:lastRenderedPageBreak/>
        <w:t>not been displaced. The judge went against the majority of medical opinion in finding that P had capacity to refuse treatment. Although C was too ill to attend court, the judge had the benefit of record</w:t>
      </w:r>
      <w:r w:rsidR="00EA158F" w:rsidRPr="0073570E">
        <w:rPr>
          <w:rFonts w:eastAsia="Times New Roman" w:cs="Times New Roman"/>
          <w:color w:val="000000"/>
          <w:lang w:eastAsia="en-GB"/>
        </w:rPr>
        <w:t>ed</w:t>
      </w:r>
      <w:r w:rsidR="00175271" w:rsidRPr="0073570E">
        <w:rPr>
          <w:rFonts w:eastAsia="Times New Roman" w:cs="Times New Roman"/>
          <w:color w:val="000000"/>
          <w:lang w:eastAsia="en-GB"/>
        </w:rPr>
        <w:t xml:space="preserve"> interactions with medical staff in </w:t>
      </w:r>
      <w:r w:rsidR="00830E00" w:rsidRPr="0073570E">
        <w:rPr>
          <w:rFonts w:eastAsia="Times New Roman" w:cs="Times New Roman"/>
          <w:color w:val="000000"/>
          <w:lang w:eastAsia="en-GB"/>
        </w:rPr>
        <w:t xml:space="preserve">clinical </w:t>
      </w:r>
      <w:r w:rsidR="00175271" w:rsidRPr="0073570E">
        <w:rPr>
          <w:rFonts w:eastAsia="Times New Roman" w:cs="Times New Roman"/>
          <w:color w:val="000000"/>
          <w:lang w:eastAsia="en-GB"/>
        </w:rPr>
        <w:t xml:space="preserve">notes. </w:t>
      </w:r>
      <w:r w:rsidR="007263D2" w:rsidRPr="0073570E">
        <w:rPr>
          <w:rFonts w:eastAsia="Times New Roman" w:cs="Times New Roman"/>
          <w:color w:val="000000"/>
          <w:lang w:eastAsia="en-GB"/>
        </w:rPr>
        <w:t>These notes were crucial in the judge’s finding that</w:t>
      </w:r>
      <w:r w:rsidR="00EA158F" w:rsidRPr="0073570E">
        <w:rPr>
          <w:rFonts w:eastAsia="Times New Roman" w:cs="Times New Roman"/>
          <w:color w:val="000000"/>
          <w:lang w:eastAsia="en-GB"/>
        </w:rPr>
        <w:t>,</w:t>
      </w:r>
      <w:r w:rsidR="007263D2" w:rsidRPr="0073570E">
        <w:rPr>
          <w:rFonts w:eastAsia="Times New Roman" w:cs="Times New Roman"/>
          <w:color w:val="000000"/>
          <w:lang w:eastAsia="en-GB"/>
        </w:rPr>
        <w:t xml:space="preserve"> contrary to the evidence of the experts, C </w:t>
      </w:r>
      <w:r w:rsidR="007263D2" w:rsidRPr="0073570E">
        <w:rPr>
          <w:rFonts w:eastAsia="Times New Roman" w:cs="Times New Roman"/>
          <w:i/>
          <w:color w:val="000000"/>
          <w:lang w:eastAsia="en-GB"/>
        </w:rPr>
        <w:t>had</w:t>
      </w:r>
      <w:r w:rsidR="007263D2" w:rsidRPr="0073570E">
        <w:rPr>
          <w:rFonts w:eastAsia="Times New Roman" w:cs="Times New Roman"/>
          <w:color w:val="000000"/>
          <w:lang w:eastAsia="en-GB"/>
        </w:rPr>
        <w:t xml:space="preserve"> at various times clearly understood and taken on board information relating to her positive prognosis, she had simply not placed as much importance on it as </w:t>
      </w:r>
      <w:r w:rsidR="00EA158F" w:rsidRPr="0073570E">
        <w:rPr>
          <w:rFonts w:eastAsia="Times New Roman" w:cs="Times New Roman"/>
          <w:color w:val="000000"/>
          <w:lang w:eastAsia="en-GB"/>
        </w:rPr>
        <w:t>others</w:t>
      </w:r>
      <w:r w:rsidR="007263D2" w:rsidRPr="0073570E">
        <w:rPr>
          <w:rFonts w:eastAsia="Times New Roman" w:cs="Times New Roman"/>
          <w:color w:val="000000"/>
          <w:lang w:eastAsia="en-GB"/>
        </w:rPr>
        <w:t xml:space="preserve"> might have done. The rejection of the medical evidence this time was </w:t>
      </w:r>
      <w:r w:rsidR="00C93964" w:rsidRPr="0073570E">
        <w:rPr>
          <w:rFonts w:eastAsia="Times New Roman" w:cs="Times New Roman"/>
          <w:color w:val="000000"/>
          <w:lang w:eastAsia="en-GB"/>
        </w:rPr>
        <w:t xml:space="preserve">therefore </w:t>
      </w:r>
      <w:r w:rsidR="007263D2" w:rsidRPr="0073570E">
        <w:rPr>
          <w:rFonts w:eastAsia="Times New Roman" w:cs="Times New Roman"/>
          <w:color w:val="000000"/>
          <w:lang w:eastAsia="en-GB"/>
        </w:rPr>
        <w:t>on an issue of fact</w:t>
      </w:r>
      <w:r w:rsidR="00C93964" w:rsidRPr="0073570E">
        <w:rPr>
          <w:rFonts w:eastAsia="Times New Roman" w:cs="Times New Roman"/>
          <w:color w:val="000000"/>
          <w:lang w:eastAsia="en-GB"/>
        </w:rPr>
        <w:t>,</w:t>
      </w:r>
      <w:r w:rsidR="007263D2" w:rsidRPr="0073570E">
        <w:rPr>
          <w:rFonts w:eastAsia="Times New Roman" w:cs="Times New Roman"/>
          <w:color w:val="000000"/>
          <w:lang w:eastAsia="en-GB"/>
        </w:rPr>
        <w:t xml:space="preserve"> rather than </w:t>
      </w:r>
      <w:r w:rsidR="00A74697">
        <w:rPr>
          <w:rFonts w:eastAsia="Times New Roman" w:cs="Times New Roman"/>
          <w:color w:val="000000"/>
          <w:lang w:eastAsia="en-GB"/>
        </w:rPr>
        <w:t xml:space="preserve">the product of </w:t>
      </w:r>
      <w:r w:rsidR="007263D2" w:rsidRPr="0073570E">
        <w:rPr>
          <w:rFonts w:eastAsia="Times New Roman" w:cs="Times New Roman"/>
          <w:color w:val="000000"/>
          <w:lang w:eastAsia="en-GB"/>
        </w:rPr>
        <w:t>any normative disagreement</w:t>
      </w:r>
      <w:r w:rsidR="00C93964" w:rsidRPr="0073570E">
        <w:rPr>
          <w:rFonts w:eastAsia="Times New Roman" w:cs="Times New Roman"/>
          <w:color w:val="000000"/>
          <w:lang w:eastAsia="en-GB"/>
        </w:rPr>
        <w:t xml:space="preserve"> on the meaning of incapacity</w:t>
      </w:r>
      <w:r w:rsidR="007263D2" w:rsidRPr="0073570E">
        <w:rPr>
          <w:rFonts w:eastAsia="Times New Roman" w:cs="Times New Roman"/>
          <w:color w:val="000000"/>
          <w:lang w:eastAsia="en-GB"/>
        </w:rPr>
        <w:t xml:space="preserve">. </w:t>
      </w:r>
      <w:r w:rsidR="001E7456" w:rsidRPr="0073570E">
        <w:rPr>
          <w:rFonts w:eastAsia="Times New Roman" w:cs="Times New Roman"/>
          <w:color w:val="000000"/>
          <w:lang w:eastAsia="en-GB"/>
        </w:rPr>
        <w:t xml:space="preserve">In deference terms however, the </w:t>
      </w:r>
      <w:r w:rsidR="007263D2" w:rsidRPr="0073570E">
        <w:rPr>
          <w:rFonts w:eastAsia="Times New Roman" w:cs="Times New Roman"/>
          <w:color w:val="000000"/>
          <w:lang w:eastAsia="en-GB"/>
        </w:rPr>
        <w:t>most significant</w:t>
      </w:r>
      <w:r w:rsidR="001E7456" w:rsidRPr="0073570E">
        <w:rPr>
          <w:rFonts w:eastAsia="Times New Roman" w:cs="Times New Roman"/>
          <w:color w:val="000000"/>
          <w:lang w:eastAsia="en-GB"/>
        </w:rPr>
        <w:t xml:space="preserve"> aspect of this judgment</w:t>
      </w:r>
      <w:r w:rsidR="007263D2" w:rsidRPr="0073570E">
        <w:rPr>
          <w:rFonts w:eastAsia="Times New Roman" w:cs="Times New Roman"/>
          <w:color w:val="000000"/>
          <w:lang w:eastAsia="en-GB"/>
        </w:rPr>
        <w:t xml:space="preserve"> is the weight accorded to </w:t>
      </w:r>
      <w:r w:rsidR="00830E00" w:rsidRPr="0073570E">
        <w:rPr>
          <w:rFonts w:eastAsia="Times New Roman" w:cs="Times New Roman"/>
          <w:color w:val="000000"/>
          <w:lang w:eastAsia="en-GB"/>
        </w:rPr>
        <w:t xml:space="preserve">the </w:t>
      </w:r>
      <w:r w:rsidR="001E7456" w:rsidRPr="0073570E">
        <w:rPr>
          <w:rFonts w:eastAsia="Times New Roman" w:cs="Times New Roman"/>
          <w:color w:val="000000"/>
          <w:lang w:eastAsia="en-GB"/>
        </w:rPr>
        <w:t xml:space="preserve">lay </w:t>
      </w:r>
      <w:r w:rsidR="00830E00" w:rsidRPr="0073570E">
        <w:rPr>
          <w:rFonts w:eastAsia="Times New Roman" w:cs="Times New Roman"/>
          <w:color w:val="000000"/>
          <w:lang w:eastAsia="en-GB"/>
        </w:rPr>
        <w:t xml:space="preserve">evidence of C’s family </w:t>
      </w:r>
      <w:r w:rsidR="007263D2" w:rsidRPr="0073570E">
        <w:rPr>
          <w:rFonts w:eastAsia="Times New Roman" w:cs="Times New Roman"/>
          <w:color w:val="000000"/>
          <w:lang w:eastAsia="en-GB"/>
        </w:rPr>
        <w:t xml:space="preserve">(particularly </w:t>
      </w:r>
      <w:r w:rsidR="001E7456" w:rsidRPr="0073570E">
        <w:rPr>
          <w:rFonts w:eastAsia="Times New Roman" w:cs="Times New Roman"/>
          <w:color w:val="000000"/>
          <w:lang w:eastAsia="en-GB"/>
        </w:rPr>
        <w:t>C’s</w:t>
      </w:r>
      <w:r w:rsidR="007263D2" w:rsidRPr="0073570E">
        <w:rPr>
          <w:rFonts w:eastAsia="Times New Roman" w:cs="Times New Roman"/>
          <w:color w:val="000000"/>
          <w:lang w:eastAsia="en-GB"/>
        </w:rPr>
        <w:t xml:space="preserve"> daughter) </w:t>
      </w:r>
      <w:r w:rsidR="00830E00" w:rsidRPr="0073570E">
        <w:rPr>
          <w:rFonts w:eastAsia="Times New Roman" w:cs="Times New Roman"/>
          <w:color w:val="000000"/>
          <w:lang w:eastAsia="en-GB"/>
        </w:rPr>
        <w:t>in providing the backdrop to the judge’s assessment of capacity.</w:t>
      </w:r>
      <w:r w:rsidR="001B01CF" w:rsidRPr="0073570E">
        <w:rPr>
          <w:rStyle w:val="FootnoteReference"/>
          <w:rFonts w:eastAsia="Times New Roman" w:cs="Times New Roman"/>
          <w:color w:val="000000"/>
          <w:lang w:eastAsia="en-GB"/>
        </w:rPr>
        <w:footnoteReference w:id="93"/>
      </w:r>
      <w:r w:rsidR="00830E00" w:rsidRPr="0073570E">
        <w:rPr>
          <w:rFonts w:eastAsia="Times New Roman" w:cs="Times New Roman"/>
          <w:color w:val="000000"/>
          <w:lang w:eastAsia="en-GB"/>
        </w:rPr>
        <w:t xml:space="preserve"> It was this evidence which persuaded the judge to reject the pathological causal narrative</w:t>
      </w:r>
      <w:r w:rsidR="00EA158F" w:rsidRPr="0073570E">
        <w:rPr>
          <w:rFonts w:eastAsia="Times New Roman" w:cs="Times New Roman"/>
          <w:color w:val="000000"/>
          <w:lang w:eastAsia="en-GB"/>
        </w:rPr>
        <w:t xml:space="preserve"> of the two psychiatrists</w:t>
      </w:r>
      <w:r w:rsidR="007263D2" w:rsidRPr="0073570E">
        <w:rPr>
          <w:rFonts w:eastAsia="Times New Roman" w:cs="Times New Roman"/>
          <w:color w:val="000000"/>
          <w:lang w:eastAsia="en-GB"/>
        </w:rPr>
        <w:t>,</w:t>
      </w:r>
      <w:r w:rsidR="00830E00" w:rsidRPr="0073570E">
        <w:rPr>
          <w:rFonts w:eastAsia="Times New Roman" w:cs="Times New Roman"/>
          <w:color w:val="000000"/>
          <w:lang w:eastAsia="en-GB"/>
        </w:rPr>
        <w:t xml:space="preserve"> and choose instead to treat C’s decision as due to her </w:t>
      </w:r>
      <w:r w:rsidR="00830E00" w:rsidRPr="0073570E">
        <w:t xml:space="preserve">strong will, stubborn character and </w:t>
      </w:r>
      <w:r w:rsidR="00830E00" w:rsidRPr="0073570E">
        <w:rPr>
          <w:rFonts w:eastAsia="Times New Roman" w:cs="Times New Roman"/>
          <w:color w:val="000000"/>
          <w:lang w:eastAsia="en-GB"/>
        </w:rPr>
        <w:t>highly egocentric views.</w:t>
      </w:r>
      <w:r w:rsidR="00830E00" w:rsidRPr="0073570E">
        <w:rPr>
          <w:rStyle w:val="FootnoteReference"/>
          <w:rFonts w:eastAsia="Times New Roman" w:cs="Times New Roman"/>
          <w:color w:val="000000"/>
          <w:lang w:eastAsia="en-GB"/>
        </w:rPr>
        <w:footnoteReference w:id="94"/>
      </w:r>
    </w:p>
    <w:p w:rsidR="001A4179" w:rsidRPr="00A74697" w:rsidRDefault="00900EE0" w:rsidP="001A4179">
      <w:pPr>
        <w:spacing w:before="100" w:beforeAutospacing="1" w:after="100" w:afterAutospacing="1"/>
        <w:jc w:val="both"/>
        <w:rPr>
          <w:iCs/>
          <w:color w:val="000000"/>
          <w:lang w:eastAsia="en-GB"/>
        </w:rPr>
      </w:pPr>
      <w:r w:rsidRPr="0073570E">
        <w:rPr>
          <w:rFonts w:cs="Times New Roman"/>
        </w:rPr>
        <w:t xml:space="preserve">Whilst the participation of P (or </w:t>
      </w:r>
      <w:r w:rsidR="003B1BDD">
        <w:rPr>
          <w:rFonts w:cs="Times New Roman"/>
        </w:rPr>
        <w:t>P’s</w:t>
      </w:r>
      <w:r w:rsidRPr="0073570E">
        <w:rPr>
          <w:rFonts w:cs="Times New Roman"/>
        </w:rPr>
        <w:t xml:space="preserve"> family) certainly facilitates judicial scrutiny of the evidence, the same level of scrutiny </w:t>
      </w:r>
      <w:r w:rsidR="00435CD0">
        <w:rPr>
          <w:rFonts w:cs="Times New Roman"/>
        </w:rPr>
        <w:t>is sometimes apparent</w:t>
      </w:r>
      <w:r w:rsidRPr="0073570E">
        <w:rPr>
          <w:rFonts w:cs="Times New Roman"/>
        </w:rPr>
        <w:t xml:space="preserve"> in the absence of this lay involvement. In </w:t>
      </w:r>
      <w:r w:rsidR="001A4179" w:rsidRPr="0073570E">
        <w:rPr>
          <w:i/>
        </w:rPr>
        <w:t>Heart of England NHS Foundation Trust v JB</w:t>
      </w:r>
      <w:r w:rsidR="001A4179" w:rsidRPr="0073570E">
        <w:rPr>
          <w:rStyle w:val="FootnoteReference"/>
          <w:i/>
          <w:color w:val="000000"/>
          <w:lang w:eastAsia="en-GB"/>
        </w:rPr>
        <w:footnoteReference w:id="95"/>
      </w:r>
      <w:r w:rsidR="001A4179" w:rsidRPr="0073570E">
        <w:rPr>
          <w:rFonts w:cs="Times New Roman"/>
        </w:rPr>
        <w:t xml:space="preserve">, despite a conflict in the evidence, and without the court hearing P’s narrative through letters or a court appearance, the court still preferred the </w:t>
      </w:r>
      <w:r w:rsidR="003A5297" w:rsidRPr="0073570E">
        <w:rPr>
          <w:rFonts w:cs="Times New Roman"/>
        </w:rPr>
        <w:t>minority expert view</w:t>
      </w:r>
      <w:r w:rsidR="001A4179" w:rsidRPr="0073570E">
        <w:rPr>
          <w:rFonts w:cs="Times New Roman"/>
        </w:rPr>
        <w:t xml:space="preserve"> which supported P’s capacity to make her own decision on refusing </w:t>
      </w:r>
      <w:r w:rsidRPr="0073570E">
        <w:rPr>
          <w:rFonts w:cs="Times New Roman"/>
        </w:rPr>
        <w:t>a life-</w:t>
      </w:r>
      <w:r w:rsidR="001A4179" w:rsidRPr="0073570E">
        <w:rPr>
          <w:rFonts w:cs="Times New Roman"/>
        </w:rPr>
        <w:t xml:space="preserve">saving </w:t>
      </w:r>
      <w:r w:rsidRPr="0073570E">
        <w:rPr>
          <w:rFonts w:cs="Times New Roman"/>
        </w:rPr>
        <w:t>amputation</w:t>
      </w:r>
      <w:r w:rsidR="001A4179" w:rsidRPr="0073570E">
        <w:rPr>
          <w:rFonts w:cs="Times New Roman"/>
        </w:rPr>
        <w:t>. Not only did t</w:t>
      </w:r>
      <w:r w:rsidR="001A4179" w:rsidRPr="0073570E">
        <w:t xml:space="preserve">he judge </w:t>
      </w:r>
      <w:r w:rsidR="00435CD0">
        <w:t>interrogate</w:t>
      </w:r>
      <w:r w:rsidR="001A4179" w:rsidRPr="0073570E">
        <w:t xml:space="preserve"> the extent to which the content of the expert’s assessment reflected legal norms, such as the starting point of the presumption of capacity, but he went on to </w:t>
      </w:r>
      <w:r w:rsidR="00797517" w:rsidRPr="0073570E">
        <w:t xml:space="preserve">reject pathological constructions of P’s behaviour and </w:t>
      </w:r>
      <w:r w:rsidR="00EA158F" w:rsidRPr="0073570E">
        <w:t xml:space="preserve">again </w:t>
      </w:r>
      <w:r w:rsidR="00797517" w:rsidRPr="0073570E">
        <w:t>assert competence over the inferential gap</w:t>
      </w:r>
      <w:r w:rsidR="001A4179" w:rsidRPr="0073570E">
        <w:t xml:space="preserve">. </w:t>
      </w:r>
      <w:r w:rsidR="001A4179" w:rsidRPr="0073570E">
        <w:rPr>
          <w:color w:val="000000"/>
        </w:rPr>
        <w:t xml:space="preserve">Justice Peter Jackson preferred the opinion of Mr Collin (surgeon) and Dr </w:t>
      </w:r>
      <w:proofErr w:type="spellStart"/>
      <w:r w:rsidR="001A4179" w:rsidRPr="0073570E">
        <w:rPr>
          <w:color w:val="000000"/>
        </w:rPr>
        <w:t>Prabhakaran</w:t>
      </w:r>
      <w:proofErr w:type="spellEnd"/>
      <w:r w:rsidR="001A4179" w:rsidRPr="0073570E">
        <w:rPr>
          <w:color w:val="000000"/>
        </w:rPr>
        <w:t xml:space="preserve"> (consultant psychiatrist) over the evidence of three other expert witnesses. In particular</w:t>
      </w:r>
      <w:r w:rsidR="00A74697">
        <w:rPr>
          <w:color w:val="000000"/>
        </w:rPr>
        <w:t>,</w:t>
      </w:r>
      <w:r w:rsidR="001A4179" w:rsidRPr="0073570E">
        <w:rPr>
          <w:color w:val="000000"/>
        </w:rPr>
        <w:t xml:space="preserve"> he challenged the norms being applied by Dr B (consulting psychiatrist) and Dr O (community psychiatrist) as being inconsistent with the burden and standard of proof </w:t>
      </w:r>
      <w:r w:rsidR="00435CD0">
        <w:rPr>
          <w:color w:val="000000"/>
        </w:rPr>
        <w:t>expressed by the MCA</w:t>
      </w:r>
      <w:r w:rsidR="001A4179" w:rsidRPr="0073570E">
        <w:rPr>
          <w:color w:val="000000"/>
        </w:rPr>
        <w:t>. In particular, Dr O’s evidence (</w:t>
      </w:r>
      <w:r w:rsidR="001A4179" w:rsidRPr="0073570E">
        <w:rPr>
          <w:color w:val="000000"/>
          <w:lang w:eastAsia="en-GB"/>
        </w:rPr>
        <w:t>that JB was "</w:t>
      </w:r>
      <w:r w:rsidR="001A4179" w:rsidRPr="0073570E">
        <w:rPr>
          <w:i/>
          <w:iCs/>
          <w:color w:val="000000"/>
          <w:lang w:eastAsia="en-GB"/>
        </w:rPr>
        <w:t>unable to clearly show that she had considered the option" </w:t>
      </w:r>
      <w:r w:rsidR="001A4179" w:rsidRPr="0073570E">
        <w:rPr>
          <w:color w:val="000000"/>
          <w:lang w:eastAsia="en-GB"/>
        </w:rPr>
        <w:t>of amputation</w:t>
      </w:r>
      <w:r w:rsidR="001A4179" w:rsidRPr="0073570E">
        <w:rPr>
          <w:color w:val="000000"/>
        </w:rPr>
        <w:t xml:space="preserve"> and </w:t>
      </w:r>
      <w:r w:rsidR="001A4179" w:rsidRPr="0073570E">
        <w:rPr>
          <w:color w:val="000000"/>
          <w:lang w:eastAsia="en-GB"/>
        </w:rPr>
        <w:t>that she </w:t>
      </w:r>
      <w:r w:rsidR="001A4179" w:rsidRPr="0073570E">
        <w:rPr>
          <w:i/>
          <w:iCs/>
          <w:color w:val="000000"/>
          <w:lang w:eastAsia="en-GB"/>
        </w:rPr>
        <w:t>"is unable to fully understand, retain and weigh information…"</w:t>
      </w:r>
      <w:r w:rsidR="001A4179" w:rsidRPr="0073570E">
        <w:rPr>
          <w:rStyle w:val="FootnoteReference"/>
          <w:i/>
          <w:iCs/>
          <w:color w:val="000000"/>
          <w:lang w:eastAsia="en-GB"/>
        </w:rPr>
        <w:footnoteReference w:id="96"/>
      </w:r>
      <w:r w:rsidR="00A74697">
        <w:rPr>
          <w:i/>
          <w:iCs/>
          <w:color w:val="000000"/>
          <w:lang w:eastAsia="en-GB"/>
        </w:rPr>
        <w:t>)</w:t>
      </w:r>
      <w:r w:rsidR="001A4179" w:rsidRPr="0073570E">
        <w:rPr>
          <w:i/>
          <w:iCs/>
          <w:color w:val="000000"/>
          <w:lang w:eastAsia="en-GB"/>
        </w:rPr>
        <w:t xml:space="preserve"> </w:t>
      </w:r>
      <w:proofErr w:type="gramStart"/>
      <w:r w:rsidR="001A4179" w:rsidRPr="0073570E">
        <w:rPr>
          <w:iCs/>
          <w:color w:val="000000"/>
          <w:lang w:eastAsia="en-GB"/>
        </w:rPr>
        <w:t>was</w:t>
      </w:r>
      <w:proofErr w:type="gramEnd"/>
      <w:r w:rsidR="001A4179" w:rsidRPr="0073570E">
        <w:rPr>
          <w:iCs/>
          <w:color w:val="000000"/>
          <w:lang w:eastAsia="en-GB"/>
        </w:rPr>
        <w:t xml:space="preserve"> disapproved</w:t>
      </w:r>
      <w:r w:rsidR="00A74697">
        <w:rPr>
          <w:iCs/>
          <w:color w:val="000000"/>
          <w:lang w:eastAsia="en-GB"/>
        </w:rPr>
        <w:t xml:space="preserve">. This was </w:t>
      </w:r>
      <w:r w:rsidR="001A4179" w:rsidRPr="0073570E">
        <w:rPr>
          <w:iCs/>
          <w:color w:val="000000"/>
          <w:lang w:eastAsia="en-GB"/>
        </w:rPr>
        <w:t>presumably because the first statement seems to suggest it is for P to prove her capacity</w:t>
      </w:r>
      <w:r w:rsidRPr="0073570E">
        <w:rPr>
          <w:iCs/>
          <w:color w:val="000000"/>
          <w:lang w:eastAsia="en-GB"/>
        </w:rPr>
        <w:t>,</w:t>
      </w:r>
      <w:r w:rsidR="001A4179" w:rsidRPr="0073570E">
        <w:rPr>
          <w:iCs/>
          <w:color w:val="000000"/>
          <w:lang w:eastAsia="en-GB"/>
        </w:rPr>
        <w:t xml:space="preserve"> and the second</w:t>
      </w:r>
      <w:r w:rsidRPr="0073570E">
        <w:rPr>
          <w:iCs/>
          <w:color w:val="000000"/>
          <w:lang w:eastAsia="en-GB"/>
        </w:rPr>
        <w:t xml:space="preserve"> implies</w:t>
      </w:r>
      <w:r w:rsidR="001A4179" w:rsidRPr="0073570E">
        <w:rPr>
          <w:iCs/>
          <w:color w:val="000000"/>
          <w:lang w:eastAsia="en-GB"/>
        </w:rPr>
        <w:t xml:space="preserve"> that ‘understanding’ must extend beyond the salient factors of the decision at hand.</w:t>
      </w:r>
      <w:r w:rsidR="001A4179" w:rsidRPr="0073570E">
        <w:rPr>
          <w:i/>
          <w:iCs/>
          <w:color w:val="000000"/>
          <w:lang w:eastAsia="en-GB"/>
        </w:rPr>
        <w:t> </w:t>
      </w:r>
      <w:r w:rsidR="001A4179" w:rsidRPr="0073570E">
        <w:rPr>
          <w:iCs/>
          <w:color w:val="000000"/>
          <w:lang w:eastAsia="en-GB"/>
        </w:rPr>
        <w:t xml:space="preserve">The evidence of the vascular surgeon who considered that </w:t>
      </w:r>
      <w:r w:rsidR="001A4179" w:rsidRPr="0073570E">
        <w:rPr>
          <w:i/>
          <w:iCs/>
          <w:color w:val="000000"/>
          <w:lang w:eastAsia="en-GB"/>
        </w:rPr>
        <w:t>JB</w:t>
      </w:r>
      <w:r w:rsidR="001A4179" w:rsidRPr="0073570E">
        <w:rPr>
          <w:iCs/>
          <w:color w:val="000000"/>
          <w:lang w:eastAsia="en-GB"/>
        </w:rPr>
        <w:t xml:space="preserve"> lacked capacity, was also found to be at odds with legal norms on capacity, as indicated by the surgeon’s statement that </w:t>
      </w:r>
      <w:r w:rsidR="001A4179" w:rsidRPr="0073570E">
        <w:rPr>
          <w:i/>
          <w:iCs/>
          <w:color w:val="000000"/>
          <w:lang w:eastAsia="en-GB"/>
        </w:rPr>
        <w:t>"…we now have a window of opportunity as she has become cooperative with her medical management and has consented to the operation</w:t>
      </w:r>
      <w:r w:rsidR="00A74697">
        <w:rPr>
          <w:i/>
          <w:iCs/>
          <w:color w:val="000000"/>
          <w:lang w:eastAsia="en-GB"/>
        </w:rPr>
        <w:t>.</w:t>
      </w:r>
      <w:r w:rsidR="001A4179" w:rsidRPr="0073570E">
        <w:rPr>
          <w:i/>
          <w:iCs/>
          <w:color w:val="000000"/>
          <w:lang w:eastAsia="en-GB"/>
        </w:rPr>
        <w:t>…"</w:t>
      </w:r>
      <w:r w:rsidR="001A4179" w:rsidRPr="0073570E">
        <w:rPr>
          <w:rStyle w:val="FootnoteReference"/>
          <w:i/>
          <w:iCs/>
          <w:color w:val="000000"/>
          <w:lang w:eastAsia="en-GB"/>
        </w:rPr>
        <w:footnoteReference w:id="97"/>
      </w:r>
      <w:r w:rsidR="001A4179" w:rsidRPr="0073570E">
        <w:rPr>
          <w:color w:val="000000"/>
          <w:lang w:eastAsia="en-GB"/>
        </w:rPr>
        <w:t xml:space="preserve">  Justice Peter Jackson again suggested that this statement belied an approach incompatible with the legal norm that assessments of where P’s best interests lie should not influence assessments of her </w:t>
      </w:r>
      <w:r w:rsidR="001A4179" w:rsidRPr="0073570E">
        <w:rPr>
          <w:color w:val="000000"/>
          <w:lang w:eastAsia="en-GB"/>
        </w:rPr>
        <w:lastRenderedPageBreak/>
        <w:t>capacity</w:t>
      </w:r>
      <w:r w:rsidR="00A74697">
        <w:rPr>
          <w:color w:val="000000"/>
          <w:lang w:eastAsia="en-GB"/>
        </w:rPr>
        <w:t>. Such an approach underscored</w:t>
      </w:r>
      <w:r w:rsidR="001A4179" w:rsidRPr="0073570E">
        <w:rPr>
          <w:color w:val="000000"/>
          <w:lang w:eastAsia="en-GB"/>
        </w:rPr>
        <w:t xml:space="preserve"> the danger that ‘the patient is regarded as capable of making a decision that follows medical advice but incapable of making one that does not.’</w:t>
      </w:r>
      <w:r w:rsidR="001A4179" w:rsidRPr="0073570E">
        <w:rPr>
          <w:rStyle w:val="FootnoteReference"/>
          <w:color w:val="000000"/>
          <w:lang w:eastAsia="en-GB"/>
        </w:rPr>
        <w:footnoteReference w:id="98"/>
      </w:r>
    </w:p>
    <w:p w:rsidR="00165E72" w:rsidRPr="0073570E" w:rsidRDefault="001A4179" w:rsidP="00797517">
      <w:pPr>
        <w:autoSpaceDE w:val="0"/>
        <w:autoSpaceDN w:val="0"/>
        <w:adjustRightInd w:val="0"/>
        <w:spacing w:after="0"/>
        <w:jc w:val="both"/>
      </w:pPr>
      <w:r w:rsidRPr="0073570E">
        <w:t>Having decided that a number of the assessments presented in court were based on a flawed understanding of the leg</w:t>
      </w:r>
      <w:r w:rsidR="00F01B88" w:rsidRPr="0073570E">
        <w:t>al principles, a</w:t>
      </w:r>
      <w:r w:rsidRPr="0073570E">
        <w:t xml:space="preserve"> </w:t>
      </w:r>
      <w:r w:rsidR="00435CD0">
        <w:t>judicial diagnosis wa</w:t>
      </w:r>
      <w:r w:rsidR="00F01B88" w:rsidRPr="0073570E">
        <w:t>s undertaken</w:t>
      </w:r>
      <w:r w:rsidRPr="0073570E">
        <w:t xml:space="preserve"> of P’s behaviour. P’s indecision and reluctance to discuss the issues at times were not </w:t>
      </w:r>
      <w:r w:rsidR="00435CD0">
        <w:t xml:space="preserve">construed as </w:t>
      </w:r>
      <w:r w:rsidRPr="0073570E">
        <w:t>symptoms of her schizophrenia, but</w:t>
      </w:r>
      <w:r w:rsidR="00435CD0">
        <w:t xml:space="preserve"> represented</w:t>
      </w:r>
      <w:r w:rsidRPr="0073570E">
        <w:t xml:space="preserve"> fairly ordinary responses to stressful situations and difficult decisions</w:t>
      </w:r>
      <w:r w:rsidRPr="0073570E">
        <w:rPr>
          <w:color w:val="000000"/>
          <w:lang w:eastAsia="en-GB"/>
        </w:rPr>
        <w:t>: ‘</w:t>
      </w:r>
      <w:bookmarkStart w:id="6" w:name="para39"/>
      <w:r w:rsidRPr="0073570E">
        <w:rPr>
          <w:color w:val="000000"/>
          <w:lang w:eastAsia="en-GB"/>
        </w:rPr>
        <w:t>Her tendency at times to be uncommunicative or avoidant and to minimise the risks of inaction are understandable human ways of dealing with her predicament and do not amount to incapacity.</w:t>
      </w:r>
      <w:bookmarkEnd w:id="6"/>
      <w:r w:rsidRPr="0073570E">
        <w:rPr>
          <w:color w:val="000000"/>
          <w:lang w:eastAsia="en-GB"/>
        </w:rPr>
        <w:t>’</w:t>
      </w:r>
      <w:r w:rsidRPr="0073570E">
        <w:rPr>
          <w:rStyle w:val="FootnoteReference"/>
          <w:color w:val="000000"/>
          <w:lang w:eastAsia="en-GB"/>
        </w:rPr>
        <w:footnoteReference w:id="99"/>
      </w:r>
      <w:r w:rsidRPr="0073570E">
        <w:rPr>
          <w:color w:val="000000"/>
          <w:lang w:eastAsia="en-GB"/>
        </w:rPr>
        <w:t xml:space="preserve"> </w:t>
      </w:r>
      <w:r w:rsidR="000F77CF" w:rsidRPr="0073570E">
        <w:t xml:space="preserve">The judgments in </w:t>
      </w:r>
      <w:proofErr w:type="spellStart"/>
      <w:r w:rsidR="00CB137F" w:rsidRPr="0073570E">
        <w:rPr>
          <w:i/>
        </w:rPr>
        <w:t>Wandsworth</w:t>
      </w:r>
      <w:proofErr w:type="spellEnd"/>
      <w:r w:rsidR="00CB137F" w:rsidRPr="0073570E">
        <w:rPr>
          <w:i/>
        </w:rPr>
        <w:t xml:space="preserve"> v IA</w:t>
      </w:r>
      <w:r w:rsidR="000F77CF" w:rsidRPr="0073570E">
        <w:rPr>
          <w:i/>
        </w:rPr>
        <w:t>, C</w:t>
      </w:r>
      <w:r w:rsidR="00CB137F" w:rsidRPr="0073570E">
        <w:rPr>
          <w:i/>
        </w:rPr>
        <w:t xml:space="preserve"> </w:t>
      </w:r>
      <w:r w:rsidR="00CB137F" w:rsidRPr="0073570E">
        <w:t xml:space="preserve">and </w:t>
      </w:r>
      <w:r w:rsidR="00CB137F" w:rsidRPr="0073570E">
        <w:rPr>
          <w:i/>
        </w:rPr>
        <w:t>JB</w:t>
      </w:r>
      <w:r w:rsidR="00CB137F" w:rsidRPr="0073570E">
        <w:t xml:space="preserve"> demonstrate a willingness by the judge to</w:t>
      </w:r>
      <w:r w:rsidR="00077208" w:rsidRPr="0073570E">
        <w:t xml:space="preserve"> scrutinise medical evidence on</w:t>
      </w:r>
      <w:r w:rsidR="00CB137F" w:rsidRPr="0073570E">
        <w:t xml:space="preserve"> whether the style of decision making was </w:t>
      </w:r>
      <w:r w:rsidR="005B54BC" w:rsidRPr="0073570E">
        <w:t xml:space="preserve">truly attributable to </w:t>
      </w:r>
      <w:proofErr w:type="gramStart"/>
      <w:r w:rsidR="005B54BC" w:rsidRPr="0073570E">
        <w:t>an impairment</w:t>
      </w:r>
      <w:proofErr w:type="gramEnd"/>
      <w:r w:rsidR="005B54BC" w:rsidRPr="0073570E">
        <w:t xml:space="preserve"> or to ordinary responses to difficult situations. </w:t>
      </w:r>
    </w:p>
    <w:p w:rsidR="001A4179" w:rsidRPr="0073570E" w:rsidRDefault="001A4179" w:rsidP="001A4179">
      <w:pPr>
        <w:autoSpaceDE w:val="0"/>
        <w:autoSpaceDN w:val="0"/>
        <w:adjustRightInd w:val="0"/>
        <w:spacing w:after="0" w:line="240" w:lineRule="auto"/>
        <w:ind w:left="284" w:right="284"/>
        <w:jc w:val="both"/>
        <w:rPr>
          <w:b/>
          <w:i/>
        </w:rPr>
      </w:pPr>
    </w:p>
    <w:p w:rsidR="001A4179" w:rsidRPr="0073570E" w:rsidRDefault="001A4179" w:rsidP="001A4179">
      <w:pPr>
        <w:autoSpaceDE w:val="0"/>
        <w:autoSpaceDN w:val="0"/>
        <w:adjustRightInd w:val="0"/>
        <w:spacing w:after="0" w:line="240" w:lineRule="auto"/>
        <w:jc w:val="both"/>
        <w:rPr>
          <w:b/>
          <w:i/>
        </w:rPr>
      </w:pPr>
      <w:r w:rsidRPr="0073570E">
        <w:rPr>
          <w:b/>
          <w:i/>
        </w:rPr>
        <w:t>‘Capacity denying’ judgments</w:t>
      </w:r>
    </w:p>
    <w:p w:rsidR="00435CD0" w:rsidRDefault="00435CD0" w:rsidP="00BE0F12">
      <w:pPr>
        <w:jc w:val="both"/>
      </w:pPr>
    </w:p>
    <w:p w:rsidR="001A4179" w:rsidRPr="0073570E" w:rsidRDefault="001A4179" w:rsidP="00BE0F12">
      <w:pPr>
        <w:jc w:val="both"/>
        <w:rPr>
          <w:color w:val="000000"/>
          <w:lang w:eastAsia="en-GB"/>
        </w:rPr>
      </w:pPr>
      <w:r w:rsidRPr="0073570E">
        <w:t xml:space="preserve">In the </w:t>
      </w:r>
      <w:r w:rsidR="00753036" w:rsidRPr="0073570E">
        <w:t>seven</w:t>
      </w:r>
      <w:r w:rsidRPr="0073570E">
        <w:t xml:space="preserve"> judgments where the conflict in expert evidence resulted in a finding that P </w:t>
      </w:r>
      <w:r w:rsidRPr="0073570E">
        <w:rPr>
          <w:i/>
        </w:rPr>
        <w:t>lacked</w:t>
      </w:r>
      <w:r w:rsidRPr="0073570E">
        <w:t xml:space="preserve"> capacity, the judgments employed a range of heuristics to resolve the conflict. </w:t>
      </w:r>
      <w:r w:rsidR="00A65E1E" w:rsidRPr="0073570E">
        <w:t>In such a small sample of cases no clear pattern is discernible from the reasons expressed by the court for preferring one expert view over another, but the following observations may be of interest, s</w:t>
      </w:r>
      <w:r w:rsidRPr="0073570E">
        <w:t xml:space="preserve">ome of </w:t>
      </w:r>
      <w:r w:rsidR="00A65E1E" w:rsidRPr="0073570E">
        <w:t>which</w:t>
      </w:r>
      <w:r w:rsidRPr="0073570E">
        <w:t xml:space="preserve"> might be viewed as consistent with a deferential approach. For example, in some instances, the judgment appear</w:t>
      </w:r>
      <w:r w:rsidR="00297A6A" w:rsidRPr="0073570E">
        <w:t>ed</w:t>
      </w:r>
      <w:r w:rsidRPr="0073570E">
        <w:t xml:space="preserve"> to rely on the preponderance </w:t>
      </w:r>
      <w:r w:rsidR="00297A6A" w:rsidRPr="0073570E">
        <w:t xml:space="preserve">of expert evidence which favoured a finding of </w:t>
      </w:r>
      <w:r w:rsidRPr="0073570E">
        <w:t>incapacity</w:t>
      </w:r>
      <w:r w:rsidR="00297A6A" w:rsidRPr="0073570E">
        <w:t>,</w:t>
      </w:r>
      <w:r w:rsidRPr="0073570E">
        <w:t xml:space="preserve"> without necessarily clearly spelling out how those assessments mapped onto the functional criteria.</w:t>
      </w:r>
      <w:r w:rsidRPr="0073570E">
        <w:rPr>
          <w:rStyle w:val="FootnoteReference"/>
        </w:rPr>
        <w:footnoteReference w:id="100"/>
      </w:r>
      <w:r w:rsidRPr="0073570E">
        <w:t xml:space="preserve"> At other times, the judges seem keen to ‘reconcile’ the two contrasting viewpoints, thereby ‘smoothing out’ any conflict, rather than preferring one assessment over the other and spelling out the conflicting norms at play.</w:t>
      </w:r>
      <w:r w:rsidRPr="0073570E">
        <w:rPr>
          <w:rStyle w:val="FootnoteReference"/>
        </w:rPr>
        <w:footnoteReference w:id="101"/>
      </w:r>
      <w:r w:rsidRPr="0073570E">
        <w:t xml:space="preserve"> One means of ‘reconciliation’ was to refer to the proximity of the assessment to the hearing or its duration. In </w:t>
      </w:r>
      <w:r w:rsidRPr="0073570E">
        <w:rPr>
          <w:i/>
        </w:rPr>
        <w:t xml:space="preserve">PH v A Local Authority, </w:t>
      </w:r>
      <w:r w:rsidRPr="0073570E">
        <w:t xml:space="preserve">although Dr </w:t>
      </w:r>
      <w:proofErr w:type="spellStart"/>
      <w:r w:rsidRPr="0073570E">
        <w:t>Rickards</w:t>
      </w:r>
      <w:proofErr w:type="spellEnd"/>
      <w:r w:rsidRPr="0073570E">
        <w:t xml:space="preserve"> was considered to be ‘appropriately </w:t>
      </w:r>
      <w:r w:rsidRPr="0073570E">
        <w:rPr>
          <w:color w:val="000000"/>
          <w:lang w:eastAsia="en-GB"/>
        </w:rPr>
        <w:t>objective and professional’ in his assessment, his report was described as:</w:t>
      </w:r>
    </w:p>
    <w:p w:rsidR="001A4179" w:rsidRPr="0073570E" w:rsidRDefault="001A4179" w:rsidP="00BE0F12">
      <w:pPr>
        <w:ind w:left="851" w:right="851"/>
        <w:jc w:val="both"/>
        <w:rPr>
          <w:i/>
          <w:color w:val="000000"/>
          <w:lang w:eastAsia="en-GB"/>
        </w:rPr>
      </w:pPr>
      <w:r w:rsidRPr="0073570E">
        <w:rPr>
          <w:i/>
          <w:color w:val="000000"/>
          <w:lang w:eastAsia="en-GB"/>
        </w:rPr>
        <w:t>‘</w:t>
      </w:r>
      <w:proofErr w:type="gramStart"/>
      <w:r w:rsidRPr="0073570E">
        <w:rPr>
          <w:i/>
          <w:color w:val="000000"/>
          <w:lang w:eastAsia="en-GB"/>
        </w:rPr>
        <w:t>somewhat</w:t>
      </w:r>
      <w:proofErr w:type="gramEnd"/>
      <w:r w:rsidRPr="0073570E">
        <w:rPr>
          <w:i/>
          <w:color w:val="000000"/>
          <w:lang w:eastAsia="en-GB"/>
        </w:rPr>
        <w:t xml:space="preserve"> superficial. This may have been a reflection of the fact that he was basing his opinion on a single interview of ninety minutes. It would be an over</w:t>
      </w:r>
      <w:r w:rsidRPr="0073570E">
        <w:rPr>
          <w:i/>
          <w:color w:val="000000"/>
          <w:lang w:eastAsia="en-GB"/>
        </w:rPr>
        <w:softHyphen/>
      </w:r>
      <w:r w:rsidRPr="0073570E">
        <w:rPr>
          <w:i/>
          <w:color w:val="000000"/>
          <w:lang w:eastAsia="en-GB"/>
        </w:rPr>
        <w:lastRenderedPageBreak/>
        <w:t>simplification to describe it as a snapshot but it is, to my mind, a disadvantage that the assessment was based on a single visit.’</w:t>
      </w:r>
      <w:r w:rsidRPr="0073570E">
        <w:rPr>
          <w:rStyle w:val="FootnoteReference"/>
          <w:i/>
          <w:color w:val="000000"/>
          <w:lang w:eastAsia="en-GB"/>
        </w:rPr>
        <w:footnoteReference w:id="102"/>
      </w:r>
      <w:r w:rsidRPr="0073570E">
        <w:rPr>
          <w:i/>
          <w:color w:val="000000"/>
          <w:lang w:eastAsia="en-GB"/>
        </w:rPr>
        <w:t xml:space="preserve"> </w:t>
      </w:r>
    </w:p>
    <w:p w:rsidR="008F6D6C" w:rsidRPr="0073570E" w:rsidRDefault="008F6D6C" w:rsidP="00BE0F12">
      <w:pPr>
        <w:jc w:val="both"/>
      </w:pPr>
      <w:r w:rsidRPr="0073570E">
        <w:rPr>
          <w:color w:val="000000"/>
          <w:lang w:eastAsia="en-GB"/>
        </w:rPr>
        <w:t>In</w:t>
      </w:r>
      <w:r w:rsidRPr="0073570E">
        <w:rPr>
          <w:i/>
          <w:color w:val="000000"/>
          <w:lang w:eastAsia="en-GB"/>
        </w:rPr>
        <w:t xml:space="preserve"> A Local Authority v A</w:t>
      </w:r>
      <w:r w:rsidRPr="0073570E">
        <w:rPr>
          <w:rStyle w:val="FootnoteReference"/>
          <w:i/>
          <w:color w:val="000000"/>
          <w:lang w:eastAsia="en-GB"/>
        </w:rPr>
        <w:footnoteReference w:id="103"/>
      </w:r>
      <w:r w:rsidRPr="0073570E">
        <w:rPr>
          <w:color w:val="000000"/>
          <w:lang w:eastAsia="en-GB"/>
        </w:rPr>
        <w:t xml:space="preserve"> the parties ‘strongly disagree[d]’ on the issue of capacity, the conflict revolving largely around what P had to ‘understand’ in order to make a </w:t>
      </w:r>
      <w:proofErr w:type="spellStart"/>
      <w:r w:rsidRPr="0073570E">
        <w:rPr>
          <w:color w:val="000000"/>
          <w:lang w:eastAsia="en-GB"/>
        </w:rPr>
        <w:t>capacitous</w:t>
      </w:r>
      <w:proofErr w:type="spellEnd"/>
      <w:r w:rsidRPr="0073570E">
        <w:rPr>
          <w:color w:val="000000"/>
          <w:lang w:eastAsia="en-GB"/>
        </w:rPr>
        <w:t xml:space="preserve"> decision about contraception. Defining contraception as a type of medical treatment (and arguably therefore </w:t>
      </w:r>
      <w:proofErr w:type="spellStart"/>
      <w:r w:rsidRPr="0073570E">
        <w:rPr>
          <w:color w:val="000000"/>
          <w:lang w:eastAsia="en-GB"/>
        </w:rPr>
        <w:t>medicalising</w:t>
      </w:r>
      <w:proofErr w:type="spellEnd"/>
      <w:r w:rsidRPr="0073570E">
        <w:rPr>
          <w:color w:val="000000"/>
          <w:lang w:eastAsia="en-GB"/>
        </w:rPr>
        <w:t xml:space="preserve"> it) the judgment endorsed a lower threshold for capacity. P needed only to understand the </w:t>
      </w:r>
      <w:r w:rsidR="00891E9E">
        <w:rPr>
          <w:color w:val="000000"/>
          <w:lang w:eastAsia="en-GB"/>
        </w:rPr>
        <w:t>immediate medical issues associated with</w:t>
      </w:r>
      <w:r w:rsidRPr="0073570E">
        <w:rPr>
          <w:color w:val="000000"/>
          <w:lang w:eastAsia="en-GB"/>
        </w:rPr>
        <w:t xml:space="preserve"> the procedures</w:t>
      </w:r>
      <w:r w:rsidR="00891E9E">
        <w:rPr>
          <w:color w:val="000000"/>
          <w:lang w:eastAsia="en-GB"/>
        </w:rPr>
        <w:t xml:space="preserve"> (such as </w:t>
      </w:r>
      <w:r w:rsidR="008B682A">
        <w:rPr>
          <w:color w:val="000000"/>
          <w:lang w:eastAsia="en-GB"/>
        </w:rPr>
        <w:t xml:space="preserve">the relative </w:t>
      </w:r>
      <w:r w:rsidR="00891E9E">
        <w:rPr>
          <w:color w:val="000000"/>
          <w:lang w:eastAsia="en-GB"/>
        </w:rPr>
        <w:t>advantages, disadvantages, cost</w:t>
      </w:r>
      <w:r w:rsidR="008B682A">
        <w:rPr>
          <w:color w:val="000000"/>
          <w:lang w:eastAsia="en-GB"/>
        </w:rPr>
        <w:t>,</w:t>
      </w:r>
      <w:r w:rsidR="00891E9E">
        <w:rPr>
          <w:color w:val="000000"/>
          <w:lang w:eastAsia="en-GB"/>
        </w:rPr>
        <w:t xml:space="preserve"> effectiveness and side effects of each option),</w:t>
      </w:r>
      <w:r w:rsidRPr="0073570E">
        <w:rPr>
          <w:color w:val="000000"/>
          <w:lang w:eastAsia="en-GB"/>
        </w:rPr>
        <w:t xml:space="preserve"> and not the broader social </w:t>
      </w:r>
      <w:r w:rsidR="008B682A">
        <w:rPr>
          <w:color w:val="000000"/>
          <w:lang w:eastAsia="en-GB"/>
        </w:rPr>
        <w:t>implications, such as the implications of parenthood</w:t>
      </w:r>
      <w:r w:rsidRPr="0073570E">
        <w:rPr>
          <w:color w:val="000000"/>
          <w:lang w:eastAsia="en-GB"/>
        </w:rPr>
        <w:t>. This ‘</w:t>
      </w:r>
      <w:proofErr w:type="spellStart"/>
      <w:r w:rsidRPr="0073570E">
        <w:rPr>
          <w:color w:val="000000"/>
          <w:lang w:eastAsia="en-GB"/>
        </w:rPr>
        <w:t>medicalising</w:t>
      </w:r>
      <w:proofErr w:type="spellEnd"/>
      <w:r w:rsidRPr="0073570E">
        <w:rPr>
          <w:color w:val="000000"/>
          <w:lang w:eastAsia="en-GB"/>
        </w:rPr>
        <w:t>’ decision therefore affirmed rather than detracted from P’s decision m</w:t>
      </w:r>
      <w:r w:rsidR="00244CE6" w:rsidRPr="0073570E">
        <w:rPr>
          <w:color w:val="000000"/>
          <w:lang w:eastAsia="en-GB"/>
        </w:rPr>
        <w:t>aking powers and incident</w:t>
      </w:r>
      <w:r w:rsidRPr="0073570E">
        <w:rPr>
          <w:color w:val="000000"/>
          <w:lang w:eastAsia="en-GB"/>
        </w:rPr>
        <w:t xml:space="preserve">ally supports Conrad’s thesis that the fact of </w:t>
      </w:r>
      <w:proofErr w:type="spellStart"/>
      <w:r w:rsidRPr="0073570E">
        <w:rPr>
          <w:color w:val="000000"/>
          <w:lang w:eastAsia="en-GB"/>
        </w:rPr>
        <w:t>medicalisation</w:t>
      </w:r>
      <w:proofErr w:type="spellEnd"/>
      <w:r w:rsidRPr="0073570E">
        <w:rPr>
          <w:color w:val="000000"/>
          <w:lang w:eastAsia="en-GB"/>
        </w:rPr>
        <w:t xml:space="preserve"> does not necessarily tell us anything about the direction of power distribution. </w:t>
      </w:r>
    </w:p>
    <w:p w:rsidR="00135509" w:rsidRPr="0073570E" w:rsidRDefault="00B43E2E" w:rsidP="00135509">
      <w:pPr>
        <w:jc w:val="both"/>
        <w:rPr>
          <w:b/>
          <w:i/>
        </w:rPr>
      </w:pPr>
      <w:r>
        <w:rPr>
          <w:b/>
          <w:color w:val="000000"/>
          <w:lang w:eastAsia="en-GB"/>
        </w:rPr>
        <w:t>E</w:t>
      </w:r>
      <w:r w:rsidR="00ED7B26" w:rsidRPr="0073570E">
        <w:rPr>
          <w:b/>
          <w:color w:val="000000"/>
          <w:lang w:eastAsia="en-GB"/>
        </w:rPr>
        <w:t xml:space="preserve">. </w:t>
      </w:r>
      <w:proofErr w:type="spellStart"/>
      <w:r w:rsidR="00135509" w:rsidRPr="0073570E">
        <w:rPr>
          <w:b/>
          <w:i/>
        </w:rPr>
        <w:t>Medicalisation</w:t>
      </w:r>
      <w:proofErr w:type="spellEnd"/>
      <w:r w:rsidR="00706BFA">
        <w:rPr>
          <w:b/>
          <w:i/>
        </w:rPr>
        <w:t xml:space="preserve"> of Mental Capacity</w:t>
      </w:r>
      <w:r w:rsidR="00135509" w:rsidRPr="0073570E">
        <w:rPr>
          <w:b/>
          <w:i/>
        </w:rPr>
        <w:t xml:space="preserve">: Deferring to </w:t>
      </w:r>
      <w:r w:rsidR="00E65E78">
        <w:rPr>
          <w:b/>
          <w:i/>
        </w:rPr>
        <w:t>Medical Opinion</w:t>
      </w:r>
      <w:r w:rsidR="00135509" w:rsidRPr="0073570E">
        <w:rPr>
          <w:b/>
          <w:i/>
        </w:rPr>
        <w:t>?</w:t>
      </w:r>
    </w:p>
    <w:p w:rsidR="009D3774" w:rsidRPr="0073570E" w:rsidRDefault="009D3774" w:rsidP="009D3774">
      <w:pPr>
        <w:jc w:val="both"/>
      </w:pPr>
      <w:r>
        <w:t>A</w:t>
      </w:r>
      <w:r w:rsidRPr="0073570E">
        <w:t xml:space="preserve">s highlighted above, a number of commentators have </w:t>
      </w:r>
      <w:r w:rsidR="00435CD0">
        <w:t xml:space="preserve">suggested </w:t>
      </w:r>
      <w:r w:rsidRPr="0073570E">
        <w:t xml:space="preserve">that the </w:t>
      </w:r>
      <w:r>
        <w:t>law defers to</w:t>
      </w:r>
      <w:r w:rsidR="00435CD0">
        <w:t>o readily to</w:t>
      </w:r>
      <w:r>
        <w:t xml:space="preserve"> medical expertise on </w:t>
      </w:r>
      <w:r w:rsidRPr="0073570E">
        <w:t>the issue of capacity.</w:t>
      </w:r>
      <w:r w:rsidRPr="0073570E">
        <w:rPr>
          <w:rStyle w:val="FootnoteReference"/>
        </w:rPr>
        <w:footnoteReference w:id="104"/>
      </w:r>
      <w:r w:rsidRPr="0073570E">
        <w:t xml:space="preserve"> Before </w:t>
      </w:r>
      <w:r>
        <w:t>reflecting further on</w:t>
      </w:r>
      <w:r w:rsidRPr="0073570E">
        <w:t xml:space="preserve"> the law and judgments relating to mental capacity, this paper will </w:t>
      </w:r>
      <w:r w:rsidR="0097748B">
        <w:t xml:space="preserve">briefly </w:t>
      </w:r>
      <w:r w:rsidRPr="0073570E">
        <w:t xml:space="preserve">examine the diverse engagement of legal scholarship with the concept of </w:t>
      </w:r>
      <w:proofErr w:type="spellStart"/>
      <w:r w:rsidRPr="0073570E">
        <w:t>medicalisation</w:t>
      </w:r>
      <w:proofErr w:type="spellEnd"/>
      <w:r w:rsidRPr="0073570E">
        <w:t xml:space="preserve">, </w:t>
      </w:r>
      <w:r>
        <w:t>and assess</w:t>
      </w:r>
      <w:r w:rsidRPr="0073570E">
        <w:t xml:space="preserve"> its utility in the context of exploring how mental capacity </w:t>
      </w:r>
      <w:r w:rsidR="00B07412">
        <w:t>has been</w:t>
      </w:r>
      <w:r w:rsidRPr="0073570E">
        <w:t xml:space="preserve"> constructed in the court room.</w:t>
      </w:r>
    </w:p>
    <w:p w:rsidR="009D3774" w:rsidRPr="0073570E" w:rsidRDefault="009D3774" w:rsidP="009D3774">
      <w:pPr>
        <w:jc w:val="both"/>
        <w:rPr>
          <w:b/>
        </w:rPr>
      </w:pPr>
      <w:r w:rsidRPr="0073570E">
        <w:rPr>
          <w:b/>
        </w:rPr>
        <w:t xml:space="preserve"> The </w:t>
      </w:r>
      <w:r w:rsidR="00B43E2E">
        <w:rPr>
          <w:b/>
        </w:rPr>
        <w:t>b</w:t>
      </w:r>
      <w:r w:rsidRPr="0073570E">
        <w:rPr>
          <w:b/>
        </w:rPr>
        <w:t xml:space="preserve">road </w:t>
      </w:r>
      <w:r w:rsidR="00B43E2E">
        <w:rPr>
          <w:b/>
        </w:rPr>
        <w:t>b</w:t>
      </w:r>
      <w:r w:rsidRPr="0073570E">
        <w:rPr>
          <w:b/>
        </w:rPr>
        <w:t xml:space="preserve">anner of </w:t>
      </w:r>
      <w:proofErr w:type="spellStart"/>
      <w:r w:rsidR="00B43E2E">
        <w:rPr>
          <w:b/>
        </w:rPr>
        <w:t>m</w:t>
      </w:r>
      <w:r w:rsidRPr="0073570E">
        <w:rPr>
          <w:b/>
        </w:rPr>
        <w:t>edicalisation</w:t>
      </w:r>
      <w:proofErr w:type="spellEnd"/>
      <w:r w:rsidRPr="0073570E">
        <w:rPr>
          <w:b/>
        </w:rPr>
        <w:t xml:space="preserve">: </w:t>
      </w:r>
      <w:r w:rsidR="00B43E2E">
        <w:rPr>
          <w:b/>
        </w:rPr>
        <w:t>jurisdiction, language and p</w:t>
      </w:r>
      <w:r w:rsidRPr="0073570E">
        <w:rPr>
          <w:b/>
        </w:rPr>
        <w:t>ower</w:t>
      </w:r>
    </w:p>
    <w:p w:rsidR="00595135" w:rsidRDefault="00595135" w:rsidP="009D3774">
      <w:pPr>
        <w:jc w:val="both"/>
      </w:pPr>
      <w:r w:rsidRPr="0073570E">
        <w:t>Some of the findings in this paper can be regarded as a contribution to the sprawling literature on ‘</w:t>
      </w:r>
      <w:proofErr w:type="spellStart"/>
      <w:r w:rsidRPr="0073570E">
        <w:t>medicalisation</w:t>
      </w:r>
      <w:proofErr w:type="spellEnd"/>
      <w:r w:rsidRPr="0073570E">
        <w:t xml:space="preserve">’. Medical lawyers will be familiar with the concept of </w:t>
      </w:r>
      <w:proofErr w:type="spellStart"/>
      <w:r w:rsidRPr="0073570E">
        <w:t>medicalisation</w:t>
      </w:r>
      <w:proofErr w:type="spellEnd"/>
      <w:r w:rsidRPr="0073570E">
        <w:t xml:space="preserve"> generally, although its mercurial </w:t>
      </w:r>
      <w:r>
        <w:t>nature</w:t>
      </w:r>
      <w:r w:rsidRPr="0073570E">
        <w:t xml:space="preserve"> make</w:t>
      </w:r>
      <w:r>
        <w:t>s</w:t>
      </w:r>
      <w:r w:rsidRPr="0073570E">
        <w:t xml:space="preserve"> it difficult to define. </w:t>
      </w:r>
      <w:proofErr w:type="spellStart"/>
      <w:r w:rsidRPr="0073570E">
        <w:t>Medicalisation</w:t>
      </w:r>
      <w:proofErr w:type="spellEnd"/>
      <w:r w:rsidRPr="0073570E">
        <w:t xml:space="preserve"> means literally ‘to make medical,’ and is used to refer to processes by which non-medical issues become colonised by the medical professions or medicine itself.</w:t>
      </w:r>
      <w:r w:rsidRPr="0073570E">
        <w:rPr>
          <w:rStyle w:val="FootnoteReference"/>
        </w:rPr>
        <w:footnoteReference w:id="105"/>
      </w:r>
      <w:r w:rsidRPr="0073570E">
        <w:t xml:space="preserve"> This widely observed phenomenon shows no sign of losing its potency as an influential theme in the sociology of health and illness. In 2013 Peter Conrad, probably the most prolific contributor to </w:t>
      </w:r>
      <w:proofErr w:type="spellStart"/>
      <w:r w:rsidRPr="0073570E">
        <w:t>medicalisation</w:t>
      </w:r>
      <w:proofErr w:type="spellEnd"/>
      <w:r w:rsidRPr="0073570E">
        <w:t xml:space="preserve"> literature, reflected on the expansion of the </w:t>
      </w:r>
      <w:proofErr w:type="spellStart"/>
      <w:r w:rsidRPr="0073570E">
        <w:t>medicalisation</w:t>
      </w:r>
      <w:proofErr w:type="spellEnd"/>
      <w:r w:rsidRPr="0073570E">
        <w:t xml:space="preserve"> thesis beyond the realms of sociology, noting its </w:t>
      </w:r>
      <w:r>
        <w:t>infiltration</w:t>
      </w:r>
      <w:r w:rsidRPr="0073570E">
        <w:t xml:space="preserve"> into fields such as history, anthropology and economics.</w:t>
      </w:r>
      <w:r w:rsidRPr="0073570E">
        <w:rPr>
          <w:rStyle w:val="FootnoteReference"/>
        </w:rPr>
        <w:footnoteReference w:id="106"/>
      </w:r>
      <w:r w:rsidRPr="0073570E">
        <w:t xml:space="preserve"> Conrad omitted to mention its impact in legal scholarship. Yet, as </w:t>
      </w:r>
      <w:proofErr w:type="spellStart"/>
      <w:r w:rsidRPr="0073570E">
        <w:t>Veitch</w:t>
      </w:r>
      <w:proofErr w:type="spellEnd"/>
      <w:r w:rsidRPr="0073570E">
        <w:t xml:space="preserve"> </w:t>
      </w:r>
      <w:r>
        <w:t>observed</w:t>
      </w:r>
      <w:r w:rsidRPr="0073570E">
        <w:t xml:space="preserve"> ‘…</w:t>
      </w:r>
      <w:proofErr w:type="spellStart"/>
      <w:r w:rsidRPr="0073570E">
        <w:t>medicalisation</w:t>
      </w:r>
      <w:proofErr w:type="spellEnd"/>
      <w:r w:rsidRPr="0073570E">
        <w:t xml:space="preserve"> has been instrumental in giving rise to the area of research that has come to be known as medical law.’</w:t>
      </w:r>
      <w:r w:rsidRPr="0073570E">
        <w:rPr>
          <w:rStyle w:val="FootnoteReference"/>
        </w:rPr>
        <w:footnoteReference w:id="107"/>
      </w:r>
    </w:p>
    <w:p w:rsidR="009D3774" w:rsidRPr="0073570E" w:rsidRDefault="009D3774" w:rsidP="009D3774">
      <w:pPr>
        <w:jc w:val="both"/>
      </w:pPr>
      <w:r w:rsidRPr="0073570E">
        <w:lastRenderedPageBreak/>
        <w:t xml:space="preserve">Early definitions of </w:t>
      </w:r>
      <w:proofErr w:type="spellStart"/>
      <w:r w:rsidRPr="0073570E">
        <w:t>medicalisation</w:t>
      </w:r>
      <w:proofErr w:type="spellEnd"/>
      <w:r w:rsidRPr="0073570E">
        <w:t xml:space="preserve"> tended to emphasise a ‘jurisdictional’ or ’control’ element; with life’s </w:t>
      </w:r>
      <w:proofErr w:type="spellStart"/>
      <w:r w:rsidRPr="0073570E">
        <w:t>viscissitudes</w:t>
      </w:r>
      <w:proofErr w:type="spellEnd"/>
      <w:r w:rsidRPr="0073570E">
        <w:t xml:space="preserve"> such as pain, </w:t>
      </w:r>
      <w:r>
        <w:t xml:space="preserve">childbirth, </w:t>
      </w:r>
      <w:r w:rsidRPr="0073570E">
        <w:t>bereavement and mortality, increasingly being defined as properly falling within the medical domain, and therefore the ‘jurisdiction’ of the medical profession.</w:t>
      </w:r>
      <w:r>
        <w:rPr>
          <w:rStyle w:val="FootnoteReference"/>
        </w:rPr>
        <w:footnoteReference w:id="108"/>
      </w:r>
      <w:r w:rsidRPr="0073570E">
        <w:t xml:space="preserve"> </w:t>
      </w:r>
      <w:r w:rsidR="003B1BDD">
        <w:t>L</w:t>
      </w:r>
      <w:r w:rsidRPr="0073570E">
        <w:t xml:space="preserve">ater applications of </w:t>
      </w:r>
      <w:proofErr w:type="spellStart"/>
      <w:r w:rsidRPr="0073570E">
        <w:t>medicalisation</w:t>
      </w:r>
      <w:proofErr w:type="spellEnd"/>
      <w:r w:rsidRPr="0073570E">
        <w:t xml:space="preserve"> abandoned this jurisdictional element, and focused more exclusively on the process of defining or conceptualising matters as medical, whether or not that resulted in an exertion of medical control.</w:t>
      </w:r>
      <w:r w:rsidRPr="0073570E">
        <w:rPr>
          <w:rStyle w:val="FootnoteReference"/>
        </w:rPr>
        <w:footnoteReference w:id="109"/>
      </w:r>
      <w:r w:rsidRPr="0073570E">
        <w:t xml:space="preserve"> Conrad in the 1990s wrote that whilst traditionally it had been assumed that the process of </w:t>
      </w:r>
      <w:proofErr w:type="spellStart"/>
      <w:r w:rsidRPr="0073570E">
        <w:t>medicalisation</w:t>
      </w:r>
      <w:proofErr w:type="spellEnd"/>
      <w:r w:rsidRPr="0073570E">
        <w:t xml:space="preserve"> involved assigning jurisdiction to the medical profession over a particular matter, </w:t>
      </w:r>
      <w:r>
        <w:t xml:space="preserve">a transfer of jurisdiction was not a necessary </w:t>
      </w:r>
      <w:r w:rsidR="00F10713">
        <w:t>feature</w:t>
      </w:r>
      <w:r>
        <w:t xml:space="preserve"> of </w:t>
      </w:r>
      <w:proofErr w:type="spellStart"/>
      <w:r>
        <w:t>medicalisation</w:t>
      </w:r>
      <w:proofErr w:type="spellEnd"/>
      <w:r w:rsidRPr="0073570E">
        <w:t>. A</w:t>
      </w:r>
      <w:r>
        <w:t>n issue</w:t>
      </w:r>
      <w:r w:rsidRPr="0073570E">
        <w:t xml:space="preserve"> could become the subject of a medical explanation without the involvement of the medical profession.</w:t>
      </w:r>
      <w:r w:rsidRPr="0073570E">
        <w:rPr>
          <w:rStyle w:val="FootnoteReference"/>
        </w:rPr>
        <w:footnoteReference w:id="110"/>
      </w:r>
      <w:r w:rsidRPr="0073570E">
        <w:t xml:space="preserve"> For this reason, many prefer Conrad’s definition, according to which </w:t>
      </w:r>
      <w:proofErr w:type="spellStart"/>
      <w:r w:rsidRPr="0073570E">
        <w:t>medicalisation</w:t>
      </w:r>
      <w:proofErr w:type="spellEnd"/>
      <w:r w:rsidRPr="0073570E">
        <w:t xml:space="preserve"> ‘consists of defining a problem in medical terms, using medical language to describe a problem, adopting a medical framework to understand a problem, or using a medical intervention to treat it.’</w:t>
      </w:r>
      <w:r w:rsidRPr="0073570E">
        <w:rPr>
          <w:rStyle w:val="FootnoteReference"/>
        </w:rPr>
        <w:footnoteReference w:id="111"/>
      </w:r>
      <w:r w:rsidRPr="0073570E">
        <w:t xml:space="preserve"> Some sociologists have lamented the loss of the jurisdictional focus, commenting that the concept ’…has become a ‘complete muddle’ because of the “decoupling” of </w:t>
      </w:r>
      <w:proofErr w:type="spellStart"/>
      <w:r w:rsidRPr="0073570E">
        <w:t>medicalisation</w:t>
      </w:r>
      <w:proofErr w:type="spellEnd"/>
      <w:r w:rsidRPr="0073570E">
        <w:t xml:space="preserve"> from the medical profession. It had become ‘so </w:t>
      </w:r>
      <w:proofErr w:type="spellStart"/>
      <w:r w:rsidRPr="0073570E">
        <w:t>generalisable</w:t>
      </w:r>
      <w:proofErr w:type="spellEnd"/>
      <w:r w:rsidRPr="0073570E">
        <w:t xml:space="preserve"> as to be meaningless’.</w:t>
      </w:r>
      <w:r w:rsidRPr="0073570E">
        <w:rPr>
          <w:rStyle w:val="FootnoteReference"/>
        </w:rPr>
        <w:footnoteReference w:id="112"/>
      </w:r>
      <w:r w:rsidRPr="0073570E">
        <w:t xml:space="preserve"> </w:t>
      </w:r>
    </w:p>
    <w:p w:rsidR="009D3774" w:rsidRPr="0073570E" w:rsidRDefault="00B43E2E" w:rsidP="009D3774">
      <w:pPr>
        <w:jc w:val="both"/>
        <w:rPr>
          <w:b/>
        </w:rPr>
      </w:pPr>
      <w:proofErr w:type="spellStart"/>
      <w:r>
        <w:rPr>
          <w:b/>
        </w:rPr>
        <w:t>Medicalisation</w:t>
      </w:r>
      <w:proofErr w:type="spellEnd"/>
      <w:r>
        <w:rPr>
          <w:b/>
        </w:rPr>
        <w:t xml:space="preserve"> and l</w:t>
      </w:r>
      <w:r w:rsidR="009D3774" w:rsidRPr="0073570E">
        <w:rPr>
          <w:b/>
        </w:rPr>
        <w:t xml:space="preserve">egal </w:t>
      </w:r>
      <w:r>
        <w:rPr>
          <w:b/>
        </w:rPr>
        <w:t>s</w:t>
      </w:r>
      <w:r w:rsidR="009D3774" w:rsidRPr="0073570E">
        <w:rPr>
          <w:b/>
        </w:rPr>
        <w:t>cholarship</w:t>
      </w:r>
    </w:p>
    <w:p w:rsidR="009D3774" w:rsidRDefault="009D3774" w:rsidP="009D3774">
      <w:pPr>
        <w:jc w:val="both"/>
        <w:rPr>
          <w:color w:val="000000"/>
        </w:rPr>
      </w:pPr>
      <w:r w:rsidRPr="0073570E">
        <w:t xml:space="preserve">Although Conrad may have omitted to mention ‘law’ as a discipline touched by </w:t>
      </w:r>
      <w:proofErr w:type="spellStart"/>
      <w:r w:rsidRPr="0073570E">
        <w:t>medicalisation</w:t>
      </w:r>
      <w:proofErr w:type="spellEnd"/>
      <w:r w:rsidRPr="0073570E">
        <w:t>, much medic</w:t>
      </w:r>
      <w:r>
        <w:t>al law</w:t>
      </w:r>
      <w:r w:rsidRPr="0073570E">
        <w:t xml:space="preserve"> scholarship owes a debt to these ideas. </w:t>
      </w:r>
      <w:r w:rsidR="00B07412">
        <w:t xml:space="preserve"> M</w:t>
      </w:r>
      <w:r w:rsidRPr="0073570E">
        <w:t>edical law</w:t>
      </w:r>
      <w:r w:rsidR="00B07412">
        <w:t>yers</w:t>
      </w:r>
      <w:r w:rsidRPr="0073570E">
        <w:t xml:space="preserve"> frequently refer to the phenomenon of ‘</w:t>
      </w:r>
      <w:proofErr w:type="spellStart"/>
      <w:r w:rsidRPr="0073570E">
        <w:t>medicalisation</w:t>
      </w:r>
      <w:proofErr w:type="spellEnd"/>
      <w:r w:rsidRPr="0073570E">
        <w:t>’ in its more traditional jurisdictional sense</w:t>
      </w:r>
      <w:r w:rsidR="003B1BDD">
        <w:t>,</w:t>
      </w:r>
      <w:r w:rsidRPr="0073570E">
        <w:t xml:space="preserve"> </w:t>
      </w:r>
      <w:r w:rsidR="003B1BDD">
        <w:t>identifying a</w:t>
      </w:r>
      <w:r w:rsidRPr="0073570E">
        <w:t xml:space="preserve"> ‘gatekeeper’ role assigned to registered medical practitioners</w:t>
      </w:r>
      <w:r w:rsidR="003B1BDD">
        <w:t xml:space="preserve"> in various domains</w:t>
      </w:r>
      <w:r w:rsidRPr="0073570E">
        <w:t xml:space="preserve"> by statute and common law.</w:t>
      </w:r>
      <w:r w:rsidR="003B1BDD" w:rsidRPr="0073570E">
        <w:rPr>
          <w:rStyle w:val="FootnoteReference"/>
        </w:rPr>
        <w:footnoteReference w:id="113"/>
      </w:r>
      <w:r w:rsidRPr="0073570E">
        <w:t xml:space="preserve"> Nearly 50 years on, the Abortion Act 1967 (as amended) still generally requires abortion to be </w:t>
      </w:r>
      <w:r w:rsidRPr="0073570E">
        <w:lastRenderedPageBreak/>
        <w:t>certified by two registered medical practitioners as meeting legal prerequisites.</w:t>
      </w:r>
      <w:r w:rsidRPr="0073570E">
        <w:rPr>
          <w:rStyle w:val="FootnoteReference"/>
        </w:rPr>
        <w:footnoteReference w:id="114"/>
      </w:r>
      <w:r w:rsidRPr="0073570E">
        <w:t xml:space="preserve"> Clearly modelled on the abortion statute, a similar ‘</w:t>
      </w:r>
      <w:proofErr w:type="spellStart"/>
      <w:r w:rsidRPr="0073570E">
        <w:t>gatekeeping</w:t>
      </w:r>
      <w:proofErr w:type="spellEnd"/>
      <w:r w:rsidRPr="0073570E">
        <w:t xml:space="preserve">’ role would have been allocated to medical practitioners by Lord Falconer’s </w:t>
      </w:r>
      <w:r w:rsidRPr="0073570E">
        <w:rPr>
          <w:i/>
        </w:rPr>
        <w:t>Assisted Dying Bill</w:t>
      </w:r>
      <w:r w:rsidRPr="0073570E">
        <w:t xml:space="preserve"> of 2014.</w:t>
      </w:r>
      <w:r w:rsidRPr="0073570E">
        <w:rPr>
          <w:rStyle w:val="FootnoteReference"/>
        </w:rPr>
        <w:footnoteReference w:id="115"/>
      </w:r>
      <w:r w:rsidRPr="0073570E">
        <w:t xml:space="preserve"> </w:t>
      </w:r>
      <w:r>
        <w:t xml:space="preserve">Harrington, writing ten years prior to the MCA’s existence, hinted that </w:t>
      </w:r>
      <w:r w:rsidR="00B07412">
        <w:t>judicial</w:t>
      </w:r>
      <w:r>
        <w:t xml:space="preserve"> practice was to treat medical evidence as determinative of the issue of capacity, effectively installing medical witnesses (usually psychiatrists) as ‘gatekeepers at the threshold of ‘self-determination.’</w:t>
      </w:r>
      <w:r>
        <w:rPr>
          <w:rStyle w:val="FootnoteReference"/>
        </w:rPr>
        <w:footnoteReference w:id="116"/>
      </w:r>
      <w:r>
        <w:t xml:space="preserve"> </w:t>
      </w:r>
      <w:r w:rsidRPr="0073570E">
        <w:t xml:space="preserve">Whilst, the </w:t>
      </w:r>
      <w:r>
        <w:t>MCA</w:t>
      </w:r>
      <w:r w:rsidRPr="0073570E">
        <w:t xml:space="preserve"> test for incapacity gives prominence to clinical judgement in the form of the diagnostic threshold, th</w:t>
      </w:r>
      <w:r w:rsidR="001B7F13">
        <w:t>is study suggests that the</w:t>
      </w:r>
      <w:r w:rsidRPr="0073570E">
        <w:t xml:space="preserve"> law falls just short of allocating a ‘gatekeeper’ role to medicine in </w:t>
      </w:r>
      <w:proofErr w:type="spellStart"/>
      <w:r w:rsidRPr="0073570E">
        <w:t>CoP</w:t>
      </w:r>
      <w:proofErr w:type="spellEnd"/>
      <w:r w:rsidRPr="0073570E">
        <w:t xml:space="preserve"> hearings on mental capacity. </w:t>
      </w:r>
      <w:r w:rsidR="001B7F13">
        <w:t>M</w:t>
      </w:r>
      <w:r w:rsidRPr="0073570E">
        <w:t xml:space="preserve">edical evidence is not </w:t>
      </w:r>
      <w:r w:rsidRPr="0073570E">
        <w:rPr>
          <w:i/>
        </w:rPr>
        <w:t>necessary</w:t>
      </w:r>
      <w:r w:rsidRPr="0073570E">
        <w:t xml:space="preserve"> for a judge to reach a decision where P’s mental capacity is in question,</w:t>
      </w:r>
      <w:r w:rsidRPr="0073570E">
        <w:rPr>
          <w:rStyle w:val="FootnoteReference"/>
        </w:rPr>
        <w:footnoteReference w:id="117"/>
      </w:r>
      <w:r w:rsidRPr="0073570E">
        <w:t xml:space="preserve"> but ‘</w:t>
      </w:r>
      <w:r w:rsidRPr="0073570E">
        <w:rPr>
          <w:i/>
          <w:color w:val="000000"/>
        </w:rPr>
        <w:t>in almost every case</w:t>
      </w:r>
      <w:r w:rsidRPr="0073570E">
        <w:rPr>
          <w:color w:val="000000"/>
        </w:rPr>
        <w:t>, the court will need medical evidence to guide it.’</w:t>
      </w:r>
      <w:r w:rsidRPr="0073570E">
        <w:rPr>
          <w:rStyle w:val="FootnoteReference"/>
          <w:color w:val="000000"/>
        </w:rPr>
        <w:footnoteReference w:id="118"/>
      </w:r>
    </w:p>
    <w:p w:rsidR="00B52A69" w:rsidRDefault="0035731D" w:rsidP="0035731D">
      <w:pPr>
        <w:jc w:val="both"/>
      </w:pPr>
      <w:r w:rsidRPr="0073570E">
        <w:t xml:space="preserve">A muted form of </w:t>
      </w:r>
      <w:proofErr w:type="spellStart"/>
      <w:r w:rsidRPr="0073570E">
        <w:t>medicalisation</w:t>
      </w:r>
      <w:proofErr w:type="spellEnd"/>
      <w:r w:rsidRPr="0073570E">
        <w:t xml:space="preserve">, but with a distinctly jurisdictional theme, is also in evidence in medical lawyers’ preoccupation with the judiciary demonstrating deference rather than healthy scepticism towards doctors. </w:t>
      </w:r>
      <w:r>
        <w:t>Much of this commentary revolves around the UK courts’ reliance on the ‘</w:t>
      </w:r>
      <w:proofErr w:type="spellStart"/>
      <w:r w:rsidRPr="003B1BDD">
        <w:rPr>
          <w:i/>
        </w:rPr>
        <w:t>Bolam</w:t>
      </w:r>
      <w:proofErr w:type="spellEnd"/>
      <w:r>
        <w:t xml:space="preserve"> test’ to determine the standard of care in negligence litigation.</w:t>
      </w:r>
      <w:r>
        <w:rPr>
          <w:rStyle w:val="FootnoteReference"/>
        </w:rPr>
        <w:footnoteReference w:id="119"/>
      </w:r>
      <w:r>
        <w:t xml:space="preserve"> According to this test a defendant doctor is not negligent if his conduct is supported by a ‘responsible body of medical opinion.’ </w:t>
      </w:r>
      <w:proofErr w:type="spellStart"/>
      <w:r w:rsidR="00235ACA">
        <w:rPr>
          <w:i/>
        </w:rPr>
        <w:t>Bolam</w:t>
      </w:r>
      <w:proofErr w:type="spellEnd"/>
      <w:r>
        <w:t xml:space="preserve"> led to accusations that the law had departed from the usual judicially determined normative standard in favour of a standard of care determined by other doctors.</w:t>
      </w:r>
      <w:r>
        <w:rPr>
          <w:rStyle w:val="FootnoteReference"/>
        </w:rPr>
        <w:footnoteReference w:id="120"/>
      </w:r>
      <w:r>
        <w:t xml:space="preserve"> Its implications also generated </w:t>
      </w:r>
      <w:r w:rsidRPr="0073570E">
        <w:t xml:space="preserve">the concept of </w:t>
      </w:r>
      <w:r w:rsidR="00235ACA">
        <w:t>‘</w:t>
      </w:r>
      <w:proofErr w:type="spellStart"/>
      <w:r w:rsidRPr="0073570E">
        <w:rPr>
          <w:i/>
        </w:rPr>
        <w:t>Bolamisation</w:t>
      </w:r>
      <w:proofErr w:type="spellEnd"/>
      <w:r w:rsidR="00235ACA">
        <w:rPr>
          <w:i/>
        </w:rPr>
        <w:t>’</w:t>
      </w:r>
      <w:r w:rsidRPr="0073570E">
        <w:t xml:space="preserve">, devised by Brazier and </w:t>
      </w:r>
      <w:proofErr w:type="spellStart"/>
      <w:r w:rsidRPr="0073570E">
        <w:t>Miola</w:t>
      </w:r>
      <w:proofErr w:type="spellEnd"/>
      <w:r w:rsidRPr="0073570E">
        <w:t xml:space="preserve"> to </w:t>
      </w:r>
      <w:r w:rsidR="00235ACA">
        <w:t>depict</w:t>
      </w:r>
      <w:r w:rsidRPr="0073570E">
        <w:t xml:space="preserve"> the courts’ abrogation of responsibility for supervising the medical profession on non-</w:t>
      </w:r>
      <w:r>
        <w:t>clinical</w:t>
      </w:r>
      <w:r w:rsidRPr="0073570E">
        <w:t xml:space="preserve"> issues</w:t>
      </w:r>
      <w:r>
        <w:t>. These concerns were rooted in</w:t>
      </w:r>
      <w:r w:rsidRPr="0073570E">
        <w:t xml:space="preserve"> the </w:t>
      </w:r>
      <w:r>
        <w:t xml:space="preserve">infiltration </w:t>
      </w:r>
      <w:r w:rsidRPr="0073570E">
        <w:t xml:space="preserve">of the </w:t>
      </w:r>
      <w:proofErr w:type="spellStart"/>
      <w:r w:rsidRPr="0073570E">
        <w:rPr>
          <w:i/>
        </w:rPr>
        <w:t>Bolam</w:t>
      </w:r>
      <w:proofErr w:type="spellEnd"/>
      <w:r w:rsidRPr="0073570E">
        <w:rPr>
          <w:i/>
        </w:rPr>
        <w:t xml:space="preserve"> </w:t>
      </w:r>
      <w:r w:rsidRPr="0073570E">
        <w:t>test in</w:t>
      </w:r>
      <w:r>
        <w:t xml:space="preserve">to primarily ethical domains such as </w:t>
      </w:r>
      <w:r>
        <w:lastRenderedPageBreak/>
        <w:t>what was in an incapacitated patient’s ‘best interests’ and the risks that a doctor ought to disclose to a patient prior to treatment</w:t>
      </w:r>
      <w:r w:rsidRPr="0073570E">
        <w:t>.</w:t>
      </w:r>
      <w:r w:rsidRPr="0073570E">
        <w:rPr>
          <w:rStyle w:val="FootnoteReference"/>
        </w:rPr>
        <w:footnoteReference w:id="121"/>
      </w:r>
      <w:r w:rsidRPr="0073570E">
        <w:t xml:space="preserve"> </w:t>
      </w:r>
    </w:p>
    <w:p w:rsidR="003B1BDD" w:rsidRDefault="0035731D" w:rsidP="0035731D">
      <w:pPr>
        <w:jc w:val="both"/>
      </w:pPr>
      <w:r>
        <w:t xml:space="preserve">Although the </w:t>
      </w:r>
      <w:r w:rsidR="001B7F13">
        <w:t>intensity of that</w:t>
      </w:r>
      <w:r>
        <w:t xml:space="preserve"> deference </w:t>
      </w:r>
      <w:r w:rsidR="001B7F13">
        <w:t>has waned</w:t>
      </w:r>
      <w:r w:rsidR="003B1BDD">
        <w:t>,</w:t>
      </w:r>
      <w:r>
        <w:rPr>
          <w:rStyle w:val="FootnoteReference"/>
        </w:rPr>
        <w:footnoteReference w:id="122"/>
      </w:r>
      <w:r w:rsidR="003B1BDD">
        <w:t xml:space="preserve"> i</w:t>
      </w:r>
      <w:r w:rsidRPr="0073570E">
        <w:t xml:space="preserve">t is the deference focused strand of </w:t>
      </w:r>
      <w:proofErr w:type="spellStart"/>
      <w:r w:rsidR="003B1BDD">
        <w:t>medicalisation</w:t>
      </w:r>
      <w:proofErr w:type="spellEnd"/>
      <w:r w:rsidR="003B1BDD">
        <w:t xml:space="preserve"> </w:t>
      </w:r>
      <w:r w:rsidRPr="0073570E">
        <w:t>which seems to have the most resonance when it comes to talking about the construction of capacity in the courtroom</w:t>
      </w:r>
      <w:r w:rsidR="003B1BDD">
        <w:t>.</w:t>
      </w:r>
      <w:r w:rsidR="00235ACA">
        <w:t xml:space="preserve"> </w:t>
      </w:r>
      <w:r w:rsidR="00235ACA" w:rsidRPr="0073570E">
        <w:t xml:space="preserve">Mixed evidence has emerged </w:t>
      </w:r>
      <w:r w:rsidR="00235ACA">
        <w:t xml:space="preserve">from this study </w:t>
      </w:r>
      <w:r w:rsidR="00235ACA" w:rsidRPr="0073570E">
        <w:t xml:space="preserve">regarding the level of scrutiny applied to medical evidence. </w:t>
      </w:r>
      <w:r w:rsidR="00B52A69">
        <w:t>On the one hand, j</w:t>
      </w:r>
      <w:r w:rsidR="00235ACA" w:rsidRPr="0073570E">
        <w:t xml:space="preserve">udgments repeatedly assert </w:t>
      </w:r>
      <w:r w:rsidR="00235ACA">
        <w:t xml:space="preserve">jurisdiction over </w:t>
      </w:r>
      <w:r w:rsidR="00235ACA" w:rsidRPr="0073570E">
        <w:t xml:space="preserve">the functional criteria for incapacity, and a qualitative analysis of the judgments reveals a significant number of cases signalling an approach which might be termed ‘judicial </w:t>
      </w:r>
      <w:proofErr w:type="gramStart"/>
      <w:r w:rsidR="00235ACA" w:rsidRPr="0073570E">
        <w:t>diagnosis’</w:t>
      </w:r>
      <w:proofErr w:type="gramEnd"/>
      <w:r w:rsidR="00235ACA" w:rsidRPr="0073570E">
        <w:t xml:space="preserve">. This term has been applied </w:t>
      </w:r>
      <w:r w:rsidR="00235ACA">
        <w:t xml:space="preserve">here </w:t>
      </w:r>
      <w:r w:rsidR="00235ACA" w:rsidRPr="0073570E">
        <w:t>to judgments which exhibit robust forensic scepticism by favouring  lay evidence over expert assessments,</w:t>
      </w:r>
      <w:r w:rsidR="00235ACA" w:rsidRPr="0073570E">
        <w:rPr>
          <w:rStyle w:val="FootnoteReference"/>
        </w:rPr>
        <w:footnoteReference w:id="123"/>
      </w:r>
      <w:r w:rsidR="00235ACA" w:rsidRPr="0073570E">
        <w:t xml:space="preserve"> challenging the expert evidence on normative grounds (e.g. for pitching the threshold of capacity too high (or too low)) or advancing non pathological/normalising constructions of P’s decision making style, thereby asserting authority over the ‘inferential gap.’ However, some of the findings of this research conform to a pattern which resonates with notions of </w:t>
      </w:r>
      <w:proofErr w:type="spellStart"/>
      <w:r w:rsidR="00235ACA" w:rsidRPr="0073570E">
        <w:t>medicalisation</w:t>
      </w:r>
      <w:proofErr w:type="spellEnd"/>
      <w:r w:rsidR="00235ACA" w:rsidRPr="0073570E">
        <w:t xml:space="preserve"> and deference. For example, it is clear that departures from a consensus of medical evidence on mental capacity </w:t>
      </w:r>
      <w:r w:rsidR="00235ACA" w:rsidRPr="0073570E">
        <w:rPr>
          <w:i/>
        </w:rPr>
        <w:t>are</w:t>
      </w:r>
      <w:r w:rsidR="00235ACA" w:rsidRPr="0073570E">
        <w:t xml:space="preserve"> exceedingly rare, and there is undoubtedly a tension between, on the one hand, the routine request to psychiatrists and other medical expert witnesses to give their views on whether P meets the functional criteria of incapacity and the rarity with which medical evidence is rejected, and, on the other, assertions that the court is the ultimate arbiter of capacity.</w:t>
      </w:r>
    </w:p>
    <w:p w:rsidR="0035731D" w:rsidRPr="0073570E" w:rsidRDefault="006A3F68" w:rsidP="0035731D">
      <w:pPr>
        <w:jc w:val="both"/>
      </w:pPr>
      <w:r>
        <w:t xml:space="preserve">It is recognised that the </w:t>
      </w:r>
      <w:proofErr w:type="spellStart"/>
      <w:r>
        <w:t>medicalisation</w:t>
      </w:r>
      <w:proofErr w:type="spellEnd"/>
      <w:r>
        <w:t xml:space="preserve"> of decision making capacity has a long history and it is not suggested that this is a new phenomenon forged by the </w:t>
      </w:r>
      <w:proofErr w:type="spellStart"/>
      <w:r>
        <w:t>CoP.</w:t>
      </w:r>
      <w:proofErr w:type="spellEnd"/>
      <w:r>
        <w:t xml:space="preserve"> Houston’s account of the </w:t>
      </w:r>
      <w:proofErr w:type="spellStart"/>
      <w:r>
        <w:t>professionalisation</w:t>
      </w:r>
      <w:proofErr w:type="spellEnd"/>
      <w:r>
        <w:t xml:space="preserve"> of ‘insanity authentication’ in the eighteenth century observes a collaborative endeavour at work.</w:t>
      </w:r>
      <w:r>
        <w:rPr>
          <w:rStyle w:val="FootnoteReference"/>
        </w:rPr>
        <w:footnoteReference w:id="124"/>
      </w:r>
      <w:r>
        <w:t xml:space="preserve"> </w:t>
      </w:r>
      <w:r w:rsidR="00B52A69">
        <w:t>Whilst d</w:t>
      </w:r>
      <w:r>
        <w:t xml:space="preserve">octors were the beneficiaries of increased calls for medical witnesses to validate the ‘insanity’ of those </w:t>
      </w:r>
      <w:r w:rsidR="00B52A69">
        <w:t>considered for civil commitment, or regarded as lacking ‘cognition’ to manage their own affairs,</w:t>
      </w:r>
      <w:r>
        <w:t xml:space="preserve"> </w:t>
      </w:r>
      <w:r w:rsidR="00B52A69">
        <w:t>doctors</w:t>
      </w:r>
      <w:r>
        <w:t xml:space="preserve"> were not the instigators of </w:t>
      </w:r>
      <w:proofErr w:type="spellStart"/>
      <w:r>
        <w:t>medicalisation</w:t>
      </w:r>
      <w:proofErr w:type="spellEnd"/>
      <w:r>
        <w:t xml:space="preserve">. The tendency to </w:t>
      </w:r>
      <w:proofErr w:type="spellStart"/>
      <w:r>
        <w:t>medicalise</w:t>
      </w:r>
      <w:proofErr w:type="spellEnd"/>
      <w:r>
        <w:t xml:space="preserve"> was attributed to the courts</w:t>
      </w:r>
      <w:r w:rsidR="00903EE9">
        <w:t>’</w:t>
      </w:r>
      <w:r>
        <w:t xml:space="preserve"> need for objectivity and certainty, ‘a way out of a legal dilemma’ as the profession’s own interest in fulfilling this potentially lucrative forensic function.</w:t>
      </w:r>
      <w:r w:rsidR="00601476">
        <w:rPr>
          <w:rStyle w:val="FootnoteReference"/>
        </w:rPr>
        <w:footnoteReference w:id="125"/>
      </w:r>
      <w:r>
        <w:t xml:space="preserve"> </w:t>
      </w:r>
    </w:p>
    <w:p w:rsidR="004639ED" w:rsidRPr="0073570E" w:rsidRDefault="00072C97" w:rsidP="00335B3A">
      <w:pPr>
        <w:jc w:val="both"/>
      </w:pPr>
      <w:r w:rsidRPr="0073570E">
        <w:t>The</w:t>
      </w:r>
      <w:r w:rsidR="00B034A4" w:rsidRPr="0073570E">
        <w:t xml:space="preserve">se </w:t>
      </w:r>
      <w:r w:rsidRPr="0073570E">
        <w:t xml:space="preserve">findings raise a number of further questions – </w:t>
      </w:r>
      <w:r w:rsidR="007E0D0C" w:rsidRPr="0073570E">
        <w:t>do</w:t>
      </w:r>
      <w:r w:rsidR="001B0050" w:rsidRPr="0073570E">
        <w:t xml:space="preserve"> some of these judgments</w:t>
      </w:r>
      <w:r w:rsidR="007E0D0C" w:rsidRPr="0073570E">
        <w:t xml:space="preserve"> amount to unacceptable (or illegitimate) </w:t>
      </w:r>
      <w:proofErr w:type="spellStart"/>
      <w:r w:rsidR="007E0D0C" w:rsidRPr="0073570E">
        <w:t>juridification</w:t>
      </w:r>
      <w:proofErr w:type="spellEnd"/>
      <w:r w:rsidR="007E0D0C" w:rsidRPr="0073570E">
        <w:t xml:space="preserve">? </w:t>
      </w:r>
      <w:r w:rsidR="00C322CF" w:rsidRPr="0073570E">
        <w:t xml:space="preserve">If the </w:t>
      </w:r>
      <w:r w:rsidR="005A7E03">
        <w:t>direct participation</w:t>
      </w:r>
      <w:r w:rsidR="00C322CF" w:rsidRPr="0073570E">
        <w:t xml:space="preserve"> of P can be so crucial in countering the medical evidence, how can the legal process ensure P is able to present his or her case effectively? </w:t>
      </w:r>
      <w:r w:rsidRPr="0073570E">
        <w:t>These implications are explored by the author elsewhere</w:t>
      </w:r>
      <w:r w:rsidR="00B034A4" w:rsidRPr="0073570E">
        <w:t>, but for now</w:t>
      </w:r>
      <w:r w:rsidRPr="0073570E">
        <w:t xml:space="preserve"> the </w:t>
      </w:r>
      <w:r w:rsidRPr="0073570E">
        <w:lastRenderedPageBreak/>
        <w:t xml:space="preserve">discussion examines further </w:t>
      </w:r>
      <w:r w:rsidR="00C322CF" w:rsidRPr="0073570E">
        <w:t xml:space="preserve">the implications of what appears to be heavy reliance on </w:t>
      </w:r>
      <w:r w:rsidR="00FC6050" w:rsidRPr="0073570E">
        <w:t>medical evidence regarding application of the social construct of capacity</w:t>
      </w:r>
      <w:r w:rsidR="00C322CF" w:rsidRPr="0073570E">
        <w:t xml:space="preserve">. </w:t>
      </w:r>
      <w:r w:rsidR="0097748B">
        <w:t>Is</w:t>
      </w:r>
      <w:r w:rsidR="001B7F13">
        <w:t xml:space="preserve"> heavy reliance on medical evidence </w:t>
      </w:r>
      <w:r w:rsidR="0097748B">
        <w:t>compatible with P’s Article 8 ECHR and CRPD</w:t>
      </w:r>
      <w:r w:rsidR="001B7F13">
        <w:t xml:space="preserve"> rights? </w:t>
      </w:r>
      <w:r w:rsidR="00FC6050" w:rsidRPr="0073570E">
        <w:t>Does the dominance of medical evidence</w:t>
      </w:r>
      <w:r w:rsidR="0097748B">
        <w:t xml:space="preserve"> endanger the presumption of capacity</w:t>
      </w:r>
      <w:r w:rsidR="00FC6050" w:rsidRPr="0073570E">
        <w:t xml:space="preserve">? </w:t>
      </w:r>
      <w:r w:rsidR="00C322CF" w:rsidRPr="0073570E">
        <w:t xml:space="preserve">Do we know enough about how </w:t>
      </w:r>
      <w:r w:rsidR="00FC6050" w:rsidRPr="0073570E">
        <w:t xml:space="preserve">independent </w:t>
      </w:r>
      <w:r w:rsidR="00C322CF" w:rsidRPr="0073570E">
        <w:t xml:space="preserve">expert witnesses are selected to be involved in </w:t>
      </w:r>
      <w:proofErr w:type="spellStart"/>
      <w:r w:rsidR="00C322CF" w:rsidRPr="0073570E">
        <w:t>CoP</w:t>
      </w:r>
      <w:proofErr w:type="spellEnd"/>
      <w:r w:rsidR="00C322CF" w:rsidRPr="0073570E">
        <w:t xml:space="preserve"> cases and the extent to which some </w:t>
      </w:r>
      <w:r w:rsidR="00FC6050" w:rsidRPr="0073570E">
        <w:t xml:space="preserve">of these </w:t>
      </w:r>
      <w:r w:rsidR="00C322CF" w:rsidRPr="0073570E">
        <w:t>are ‘repeat players’? And what are the implications of the recent drive towards using single joint experts</w:t>
      </w:r>
      <w:r w:rsidR="00C322CF" w:rsidRPr="0073570E">
        <w:rPr>
          <w:rStyle w:val="FootnoteReference"/>
        </w:rPr>
        <w:footnoteReference w:id="126"/>
      </w:r>
      <w:r w:rsidR="00C322CF" w:rsidRPr="0073570E">
        <w:t>?</w:t>
      </w:r>
    </w:p>
    <w:p w:rsidR="00135509" w:rsidRPr="0073570E" w:rsidRDefault="00B43E2E" w:rsidP="00135509">
      <w:pPr>
        <w:jc w:val="both"/>
        <w:rPr>
          <w:b/>
        </w:rPr>
      </w:pPr>
      <w:r>
        <w:rPr>
          <w:b/>
          <w:color w:val="000000"/>
          <w:lang w:eastAsia="en-GB"/>
        </w:rPr>
        <w:t xml:space="preserve">F. </w:t>
      </w:r>
      <w:r w:rsidR="00135509" w:rsidRPr="0073570E">
        <w:rPr>
          <w:b/>
          <w:color w:val="000000"/>
          <w:lang w:eastAsia="en-GB"/>
        </w:rPr>
        <w:t xml:space="preserve">Discussion: </w:t>
      </w:r>
      <w:r w:rsidR="00135509" w:rsidRPr="0073570E">
        <w:rPr>
          <w:b/>
        </w:rPr>
        <w:t xml:space="preserve">The </w:t>
      </w:r>
      <w:proofErr w:type="spellStart"/>
      <w:r w:rsidR="00135509" w:rsidRPr="0073570E">
        <w:rPr>
          <w:b/>
        </w:rPr>
        <w:t>Medicalisation</w:t>
      </w:r>
      <w:proofErr w:type="spellEnd"/>
      <w:r w:rsidR="00135509" w:rsidRPr="0073570E">
        <w:rPr>
          <w:b/>
        </w:rPr>
        <w:t xml:space="preserve"> of Capacity Assessment in the </w:t>
      </w:r>
      <w:proofErr w:type="spellStart"/>
      <w:r w:rsidR="00135509" w:rsidRPr="0073570E">
        <w:rPr>
          <w:b/>
        </w:rPr>
        <w:t>CoP</w:t>
      </w:r>
      <w:proofErr w:type="spellEnd"/>
      <w:r w:rsidR="00135509" w:rsidRPr="0073570E">
        <w:rPr>
          <w:b/>
        </w:rPr>
        <w:t xml:space="preserve"> – Does it Matter?? </w:t>
      </w:r>
    </w:p>
    <w:p w:rsidR="00B07412" w:rsidRDefault="00B07412" w:rsidP="00DC140A">
      <w:pPr>
        <w:jc w:val="both"/>
        <w:rPr>
          <w:b/>
          <w:i/>
        </w:rPr>
      </w:pPr>
      <w:proofErr w:type="spellStart"/>
      <w:r>
        <w:rPr>
          <w:b/>
          <w:i/>
        </w:rPr>
        <w:t>i</w:t>
      </w:r>
      <w:proofErr w:type="spellEnd"/>
      <w:r>
        <w:rPr>
          <w:b/>
          <w:i/>
        </w:rPr>
        <w:t>) Reliance on medical evidence and human rights: a potential source of ‘arbitrariness’</w:t>
      </w:r>
    </w:p>
    <w:p w:rsidR="00596207" w:rsidRPr="000D2379" w:rsidRDefault="00E87534" w:rsidP="00596207">
      <w:pPr>
        <w:jc w:val="both"/>
        <w:rPr>
          <w:b/>
        </w:rPr>
      </w:pPr>
      <w:r>
        <w:t>Previously expressed concerns about deference to medical judgement in the assessment of capacity</w:t>
      </w:r>
      <w:r w:rsidR="00D14807">
        <w:rPr>
          <w:rStyle w:val="FootnoteReference"/>
        </w:rPr>
        <w:footnoteReference w:id="127"/>
      </w:r>
      <w:r>
        <w:t xml:space="preserve"> have not spelled out the implications for ECHR and CRPD compliance. </w:t>
      </w:r>
      <w:r w:rsidR="00D14807">
        <w:t xml:space="preserve">Deeply embedded in </w:t>
      </w:r>
      <w:r w:rsidR="00596207">
        <w:t>ECHR</w:t>
      </w:r>
      <w:r w:rsidR="00D14807">
        <w:t xml:space="preserve"> jurisprudence is the notion of</w:t>
      </w:r>
      <w:r w:rsidR="00596207" w:rsidRPr="000D2379">
        <w:t xml:space="preserve"> </w:t>
      </w:r>
      <w:r w:rsidR="00D14807">
        <w:t xml:space="preserve">medical </w:t>
      </w:r>
      <w:r w:rsidR="00596207" w:rsidRPr="000D2379">
        <w:t>evidence as a safeguard against (state) arbitrariness in deprivations of liberty. Under Article 5(1</w:t>
      </w:r>
      <w:proofErr w:type="gramStart"/>
      <w:r w:rsidR="00596207" w:rsidRPr="000D2379">
        <w:t>)(</w:t>
      </w:r>
      <w:proofErr w:type="gramEnd"/>
      <w:r w:rsidR="00596207" w:rsidRPr="000D2379">
        <w:t xml:space="preserve">e) non-emergency deprivations of liberty may be lawful on the grounds that P suffers from </w:t>
      </w:r>
      <w:r w:rsidR="00D14807">
        <w:t>‘</w:t>
      </w:r>
      <w:r w:rsidR="00596207" w:rsidRPr="000D2379">
        <w:t>unsoundness of mind,’ but that ‘unsoundness’ must be verified by ‘objective medical expertise’.</w:t>
      </w:r>
      <w:r w:rsidR="00596207" w:rsidRPr="000D2379">
        <w:rPr>
          <w:rStyle w:val="FootnoteReference"/>
        </w:rPr>
        <w:footnoteReference w:id="128"/>
      </w:r>
      <w:r w:rsidR="00596207" w:rsidRPr="000D2379">
        <w:t xml:space="preserve"> </w:t>
      </w:r>
      <w:r w:rsidR="00B52A69" w:rsidRPr="000D2379">
        <w:t xml:space="preserve">The objectivity attributed to the medical professional in </w:t>
      </w:r>
      <w:r w:rsidR="00B52A69">
        <w:t>ECHR case law</w:t>
      </w:r>
      <w:r w:rsidR="00B52A69" w:rsidRPr="000D2379">
        <w:t xml:space="preserve"> seems to be assumed to be inherent to the profession itself, but </w:t>
      </w:r>
      <w:r w:rsidR="00B52A69">
        <w:t xml:space="preserve">is </w:t>
      </w:r>
      <w:r w:rsidR="00B52A69" w:rsidRPr="000D2379">
        <w:t xml:space="preserve">also </w:t>
      </w:r>
      <w:r w:rsidR="00B52A69">
        <w:t>reinforced</w:t>
      </w:r>
      <w:r w:rsidR="00B52A69" w:rsidRPr="000D2379">
        <w:t xml:space="preserve"> by the regulatory framework underpinning it.</w:t>
      </w:r>
      <w:r w:rsidR="00B52A69" w:rsidRPr="000D2379">
        <w:rPr>
          <w:rStyle w:val="FootnoteReference"/>
        </w:rPr>
        <w:footnoteReference w:id="129"/>
      </w:r>
      <w:r w:rsidR="00B52A69">
        <w:t xml:space="preserve"> </w:t>
      </w:r>
      <w:r w:rsidR="00596207" w:rsidRPr="000D2379">
        <w:t xml:space="preserve">Article 5 jurisprudence does not seemingly require that the decision on unsound mind must be taken </w:t>
      </w:r>
      <w:r w:rsidR="00596207" w:rsidRPr="000D2379">
        <w:rPr>
          <w:i/>
        </w:rPr>
        <w:t>in accordance with</w:t>
      </w:r>
      <w:r w:rsidR="00596207" w:rsidRPr="000D2379">
        <w:t xml:space="preserve"> the medical expert </w:t>
      </w:r>
      <w:proofErr w:type="gramStart"/>
      <w:r w:rsidR="00596207" w:rsidRPr="000D2379">
        <w:t xml:space="preserve">view, rather </w:t>
      </w:r>
      <w:proofErr w:type="spellStart"/>
      <w:r w:rsidR="00596207" w:rsidRPr="000D2379">
        <w:t>that</w:t>
      </w:r>
      <w:proofErr w:type="spellEnd"/>
      <w:proofErr w:type="gramEnd"/>
      <w:r w:rsidR="00596207" w:rsidRPr="000D2379">
        <w:t xml:space="preserve"> a finding of </w:t>
      </w:r>
      <w:r w:rsidR="00596207">
        <w:t xml:space="preserve">incapacity </w:t>
      </w:r>
      <w:r w:rsidR="00596207" w:rsidRPr="000D2379">
        <w:t xml:space="preserve">cannot be made </w:t>
      </w:r>
      <w:r w:rsidR="00B52A69">
        <w:t>without the support of</w:t>
      </w:r>
      <w:r w:rsidR="00596207" w:rsidRPr="000D2379">
        <w:t xml:space="preserve"> medical evidence. </w:t>
      </w:r>
      <w:r w:rsidR="00B52A69">
        <w:t xml:space="preserve">The results of this study of </w:t>
      </w:r>
      <w:proofErr w:type="spellStart"/>
      <w:r w:rsidR="00B52A69">
        <w:t>CoP</w:t>
      </w:r>
      <w:proofErr w:type="spellEnd"/>
      <w:r w:rsidR="00B52A69">
        <w:t xml:space="preserve"> cases</w:t>
      </w:r>
      <w:r w:rsidR="001C25F9">
        <w:t xml:space="preserve"> mirrors this position</w:t>
      </w:r>
      <w:r w:rsidR="00B52A69">
        <w:t>. I</w:t>
      </w:r>
      <w:r w:rsidR="00596207">
        <w:t xml:space="preserve">t is clear </w:t>
      </w:r>
      <w:r w:rsidR="001C25F9">
        <w:t xml:space="preserve">from the judgments </w:t>
      </w:r>
      <w:r w:rsidR="00596207">
        <w:t xml:space="preserve">that the </w:t>
      </w:r>
      <w:proofErr w:type="spellStart"/>
      <w:r w:rsidR="00596207">
        <w:t>CoP</w:t>
      </w:r>
      <w:proofErr w:type="spellEnd"/>
      <w:r w:rsidR="00596207">
        <w:t xml:space="preserve"> can </w:t>
      </w:r>
      <w:r w:rsidR="00B52A69">
        <w:t>(</w:t>
      </w:r>
      <w:r w:rsidR="00D14807">
        <w:t>and very occasionally</w:t>
      </w:r>
      <w:r w:rsidR="00235ACA">
        <w:t xml:space="preserve"> does</w:t>
      </w:r>
      <w:r w:rsidR="00B52A69">
        <w:t>)</w:t>
      </w:r>
      <w:r w:rsidR="00D14807">
        <w:t xml:space="preserve"> </w:t>
      </w:r>
      <w:r w:rsidR="00596207">
        <w:t>make a decision that P has decision making capacity without any supporting medical evidence</w:t>
      </w:r>
      <w:r w:rsidR="00596207">
        <w:rPr>
          <w:rStyle w:val="FootnoteReference"/>
        </w:rPr>
        <w:footnoteReference w:id="130"/>
      </w:r>
      <w:r w:rsidR="00596207">
        <w:t xml:space="preserve">, but it will not make a finding of incapacity in the absence of such evidence. </w:t>
      </w:r>
    </w:p>
    <w:p w:rsidR="009029F3" w:rsidRDefault="00D14807" w:rsidP="009029F3">
      <w:pPr>
        <w:jc w:val="both"/>
      </w:pPr>
      <w:r>
        <w:t xml:space="preserve">Increasingly </w:t>
      </w:r>
      <w:r w:rsidR="009F7C6A">
        <w:t xml:space="preserve">human rights jurisprudence </w:t>
      </w:r>
      <w:r>
        <w:t xml:space="preserve">is recognising </w:t>
      </w:r>
      <w:r w:rsidR="009F7C6A">
        <w:t xml:space="preserve">that the </w:t>
      </w:r>
      <w:r>
        <w:t>safeguard of</w:t>
      </w:r>
      <w:r w:rsidR="009F7C6A">
        <w:t xml:space="preserve"> medical evidence</w:t>
      </w:r>
      <w:r>
        <w:t xml:space="preserve">, if relied upon exclusively or excessively, </w:t>
      </w:r>
      <w:r w:rsidR="009F7C6A">
        <w:t>can become a source of arbitrariness in itself</w:t>
      </w:r>
      <w:r>
        <w:t>.</w:t>
      </w:r>
      <w:r w:rsidR="009F7C6A">
        <w:t xml:space="preserve"> </w:t>
      </w:r>
      <w:r>
        <w:t xml:space="preserve">In the context of Article 8 of the ECHR, </w:t>
      </w:r>
      <w:r w:rsidR="009029F3">
        <w:t xml:space="preserve">medical evidence is relevant to whether P has capacity, </w:t>
      </w:r>
      <w:r>
        <w:t xml:space="preserve">but case law </w:t>
      </w:r>
      <w:r w:rsidR="009029F3">
        <w:t>has emphasise</w:t>
      </w:r>
      <w:r w:rsidR="00235ACA">
        <w:t>d</w:t>
      </w:r>
      <w:r w:rsidR="009029F3">
        <w:t xml:space="preserve"> that it is for the judge to </w:t>
      </w:r>
      <w:proofErr w:type="gramStart"/>
      <w:r w:rsidR="009029F3">
        <w:t>decide,</w:t>
      </w:r>
      <w:proofErr w:type="gramEnd"/>
      <w:r w:rsidR="009029F3">
        <w:t xml:space="preserve"> therefore an overly deferential approach to the expert evidence may raise concerns about Article 8 compliance.</w:t>
      </w:r>
      <w:r w:rsidR="009029F3">
        <w:rPr>
          <w:rStyle w:val="FootnoteReference"/>
        </w:rPr>
        <w:footnoteReference w:id="131"/>
      </w:r>
      <w:r w:rsidR="009029F3">
        <w:t xml:space="preserve"> </w:t>
      </w:r>
      <w:r w:rsidR="009029F3" w:rsidRPr="0073570E">
        <w:t xml:space="preserve">The need to exercise rigorous scrutiny of the evidence </w:t>
      </w:r>
      <w:r w:rsidR="009029F3">
        <w:t xml:space="preserve">on capacity </w:t>
      </w:r>
      <w:r w:rsidR="009029F3" w:rsidRPr="0073570E">
        <w:t xml:space="preserve">is </w:t>
      </w:r>
      <w:r w:rsidR="009029F3">
        <w:t xml:space="preserve">further </w:t>
      </w:r>
      <w:r w:rsidR="009029F3" w:rsidRPr="0073570E">
        <w:t xml:space="preserve">amplified by </w:t>
      </w:r>
      <w:r w:rsidR="009029F3">
        <w:t xml:space="preserve">the CRPD. If courts routinely treat the issue of capacity as a medical construct, or fail to exercise their own judgement on the issue, this would be to further </w:t>
      </w:r>
      <w:r w:rsidR="001C25F9">
        <w:t xml:space="preserve">endorse a medical model of </w:t>
      </w:r>
      <w:r w:rsidR="009029F3">
        <w:t xml:space="preserve">capacity and could constitute a ‘custom or practice’ which </w:t>
      </w:r>
      <w:r w:rsidR="009029F3">
        <w:lastRenderedPageBreak/>
        <w:t>discriminates against those with disabilities.</w:t>
      </w:r>
      <w:r w:rsidR="009029F3">
        <w:rPr>
          <w:rStyle w:val="FootnoteReference"/>
        </w:rPr>
        <w:footnoteReference w:id="132"/>
      </w:r>
      <w:r w:rsidR="009029F3">
        <w:t xml:space="preserve"> Whilst it </w:t>
      </w:r>
      <w:r w:rsidR="000F3F54">
        <w:t>has not been</w:t>
      </w:r>
      <w:r w:rsidR="009029F3">
        <w:t xml:space="preserve"> the intention of the author to provide a sustained analysis of the challenges posed by CRPD commitments, it is clear that CRPD values </w:t>
      </w:r>
      <w:r w:rsidR="009029F3" w:rsidRPr="0073570E">
        <w:t>underline the need for the court to ‘test’ the evidence</w:t>
      </w:r>
      <w:r w:rsidR="0097748B">
        <w:t>,</w:t>
      </w:r>
      <w:r w:rsidR="009029F3" w:rsidRPr="0073570E">
        <w:t xml:space="preserve"> and</w:t>
      </w:r>
      <w:r w:rsidR="0097748B">
        <w:t xml:space="preserve"> to</w:t>
      </w:r>
      <w:r w:rsidR="009029F3" w:rsidRPr="0073570E">
        <w:t xml:space="preserve"> be alert to the risk of tensions and incompatibilities between the norms and values underpinning the expert evidence on </w:t>
      </w:r>
      <w:r w:rsidR="001C25F9">
        <w:t>P’s capacity and the principle of non-discrimination</w:t>
      </w:r>
      <w:r w:rsidR="009029F3" w:rsidRPr="0073570E">
        <w:t xml:space="preserve">. </w:t>
      </w:r>
    </w:p>
    <w:p w:rsidR="00681EE7" w:rsidRPr="0073570E" w:rsidRDefault="00B07412" w:rsidP="00DC140A">
      <w:pPr>
        <w:jc w:val="both"/>
        <w:rPr>
          <w:b/>
          <w:i/>
        </w:rPr>
      </w:pPr>
      <w:r>
        <w:rPr>
          <w:b/>
          <w:i/>
        </w:rPr>
        <w:t>i</w:t>
      </w:r>
      <w:r w:rsidR="00681EE7" w:rsidRPr="0073570E">
        <w:rPr>
          <w:b/>
          <w:i/>
        </w:rPr>
        <w:t xml:space="preserve">i) </w:t>
      </w:r>
      <w:r w:rsidR="00C858A0">
        <w:rPr>
          <w:b/>
          <w:i/>
        </w:rPr>
        <w:t>D</w:t>
      </w:r>
      <w:r w:rsidR="00A94C3D">
        <w:rPr>
          <w:b/>
          <w:i/>
        </w:rPr>
        <w:t>o medical practitioners tend to take an ‘over-inclusive’</w:t>
      </w:r>
      <w:r w:rsidR="00681EE7" w:rsidRPr="0073570E">
        <w:rPr>
          <w:b/>
          <w:i/>
        </w:rPr>
        <w:t xml:space="preserve"> approach to incapacity</w:t>
      </w:r>
      <w:r w:rsidR="00A94C3D">
        <w:rPr>
          <w:b/>
          <w:i/>
        </w:rPr>
        <w:t>?</w:t>
      </w:r>
    </w:p>
    <w:p w:rsidR="00681EE7" w:rsidRPr="0073570E" w:rsidRDefault="00301CA4" w:rsidP="00681EE7">
      <w:pPr>
        <w:jc w:val="both"/>
      </w:pPr>
      <w:r w:rsidRPr="0073570E">
        <w:t xml:space="preserve">It is only to be expected that different disciplines should be oriented towards different perspectives on the same issue. </w:t>
      </w:r>
      <w:r w:rsidR="00FC6050" w:rsidRPr="0073570E">
        <w:t>T</w:t>
      </w:r>
      <w:r w:rsidR="00681EE7" w:rsidRPr="0073570E">
        <w:t>he medical view</w:t>
      </w:r>
      <w:r w:rsidR="00D76B50" w:rsidRPr="0073570E">
        <w:t xml:space="preserve"> generally</w:t>
      </w:r>
      <w:r w:rsidR="00681EE7" w:rsidRPr="0073570E">
        <w:t xml:space="preserve"> on incapacity is </w:t>
      </w:r>
      <w:r w:rsidR="00047DE3" w:rsidRPr="0073570E">
        <w:t xml:space="preserve">often </w:t>
      </w:r>
      <w:r w:rsidR="00A94C3D">
        <w:t>assumed</w:t>
      </w:r>
      <w:r w:rsidRPr="0073570E">
        <w:t xml:space="preserve"> </w:t>
      </w:r>
      <w:r w:rsidR="00681EE7" w:rsidRPr="0073570E">
        <w:t xml:space="preserve">to be ‘over-inclusive’ </w:t>
      </w:r>
      <w:r w:rsidR="001D1A45" w:rsidRPr="0073570E">
        <w:t>in its approach to incapacity</w:t>
      </w:r>
      <w:r w:rsidRPr="0073570E">
        <w:t>,</w:t>
      </w:r>
      <w:r w:rsidR="001D1A45" w:rsidRPr="0073570E">
        <w:t xml:space="preserve"> </w:t>
      </w:r>
      <w:r w:rsidRPr="0073570E">
        <w:t xml:space="preserve">due to </w:t>
      </w:r>
      <w:r w:rsidR="00681EE7" w:rsidRPr="0073570E">
        <w:t xml:space="preserve">a nigh inevitable risk-averse approach to risk management and a divergence in values when compared with the </w:t>
      </w:r>
      <w:r w:rsidR="006C602C" w:rsidRPr="0073570E">
        <w:t xml:space="preserve">autonomy promoting </w:t>
      </w:r>
      <w:r w:rsidR="00681EE7" w:rsidRPr="0073570E">
        <w:t xml:space="preserve">principles of the MCA. </w:t>
      </w:r>
      <w:r w:rsidR="005172F4" w:rsidRPr="0073570E">
        <w:t>M</w:t>
      </w:r>
      <w:r w:rsidR="001D1A45" w:rsidRPr="0073570E">
        <w:t xml:space="preserve">edical </w:t>
      </w:r>
      <w:r w:rsidR="00235ACA">
        <w:t>opinion is</w:t>
      </w:r>
      <w:r w:rsidR="001D1A45" w:rsidRPr="0073570E">
        <w:t xml:space="preserve"> </w:t>
      </w:r>
      <w:r w:rsidR="006C602C" w:rsidRPr="0073570E">
        <w:t xml:space="preserve">frequently assumed to be </w:t>
      </w:r>
      <w:r w:rsidR="001D1A45" w:rsidRPr="0073570E">
        <w:t xml:space="preserve">more </w:t>
      </w:r>
      <w:r w:rsidR="003B297F" w:rsidRPr="0073570E">
        <w:t>inclined</w:t>
      </w:r>
      <w:r w:rsidR="001D1A45" w:rsidRPr="0073570E">
        <w:t xml:space="preserve"> to focus on consequences</w:t>
      </w:r>
      <w:r w:rsidR="00D27140" w:rsidRPr="0073570E">
        <w:t xml:space="preserve"> and ensuring a ‘good clinical outcome’</w:t>
      </w:r>
      <w:r w:rsidR="001D1A45" w:rsidRPr="0073570E">
        <w:t xml:space="preserve">, whereas legal </w:t>
      </w:r>
      <w:r w:rsidR="005172F4" w:rsidRPr="0073570E">
        <w:t>perspectives tend to be</w:t>
      </w:r>
      <w:r w:rsidR="001D1A45" w:rsidRPr="0073570E">
        <w:t xml:space="preserve"> more concerned with principles.</w:t>
      </w:r>
      <w:r w:rsidR="001D1A45" w:rsidRPr="0073570E">
        <w:rPr>
          <w:rStyle w:val="FootnoteReference"/>
        </w:rPr>
        <w:footnoteReference w:id="133"/>
      </w:r>
      <w:r w:rsidR="001D1A45" w:rsidRPr="0073570E">
        <w:t xml:space="preserve"> </w:t>
      </w:r>
      <w:r w:rsidRPr="0073570E">
        <w:t>This much is supported by r</w:t>
      </w:r>
      <w:r w:rsidR="00681EE7" w:rsidRPr="0073570E">
        <w:t>esearch conducted elsewhere</w:t>
      </w:r>
      <w:r w:rsidR="00235ACA">
        <w:t xml:space="preserve"> which</w:t>
      </w:r>
      <w:r w:rsidR="00681EE7" w:rsidRPr="0073570E">
        <w:t xml:space="preserve"> repeatedly identif</w:t>
      </w:r>
      <w:r w:rsidR="00235ACA">
        <w:t>ies</w:t>
      </w:r>
      <w:r w:rsidR="00681EE7" w:rsidRPr="0073570E">
        <w:t xml:space="preserve"> the medical perspective as inherently defensive and risk averse</w:t>
      </w:r>
      <w:r w:rsidR="00D27140" w:rsidRPr="0073570E">
        <w:t>,</w:t>
      </w:r>
      <w:r w:rsidR="00681EE7" w:rsidRPr="0073570E">
        <w:t xml:space="preserve"> as pessimistic about patients’ capacity</w:t>
      </w:r>
      <w:r w:rsidR="003B297F" w:rsidRPr="0073570E">
        <w:t>,</w:t>
      </w:r>
      <w:r w:rsidR="00681EE7" w:rsidRPr="0073570E">
        <w:rPr>
          <w:rStyle w:val="FootnoteReference"/>
        </w:rPr>
        <w:footnoteReference w:id="134"/>
      </w:r>
      <w:r w:rsidR="00681EE7" w:rsidRPr="0073570E">
        <w:t xml:space="preserve"> </w:t>
      </w:r>
      <w:r w:rsidR="003B297F" w:rsidRPr="0073570E">
        <w:t>adopting an approach which has the effect of minimising physical harm to health</w:t>
      </w:r>
      <w:r w:rsidR="003B297F" w:rsidRPr="0073570E">
        <w:rPr>
          <w:rStyle w:val="FootnoteReference"/>
        </w:rPr>
        <w:footnoteReference w:id="135"/>
      </w:r>
      <w:r w:rsidR="003B297F" w:rsidRPr="0073570E">
        <w:t xml:space="preserve"> </w:t>
      </w:r>
      <w:r w:rsidR="00681EE7" w:rsidRPr="0073570E">
        <w:t>and as more likely to identify a means of using compulsion</w:t>
      </w:r>
      <w:r w:rsidR="00681EE7" w:rsidRPr="0073570E">
        <w:rPr>
          <w:rStyle w:val="FootnoteReference"/>
        </w:rPr>
        <w:footnoteReference w:id="136"/>
      </w:r>
      <w:r w:rsidR="00681EE7" w:rsidRPr="0073570E">
        <w:t xml:space="preserve">; a state of affairs for which the law bears no small part of the blame. </w:t>
      </w:r>
      <w:r w:rsidR="00246E6D" w:rsidRPr="0073570E">
        <w:t xml:space="preserve">The dangers of over-reliance on psychiatry in judgements on capacity </w:t>
      </w:r>
      <w:r w:rsidR="003B297F" w:rsidRPr="0073570E">
        <w:t xml:space="preserve">therefore </w:t>
      </w:r>
      <w:r w:rsidR="00246E6D" w:rsidRPr="0073570E">
        <w:t>include th</w:t>
      </w:r>
      <w:r w:rsidR="003B297F" w:rsidRPr="0073570E">
        <w:t>e possibility that</w:t>
      </w:r>
      <w:r w:rsidR="00246E6D" w:rsidRPr="0073570E">
        <w:t xml:space="preserve"> the precepts of psychiatry and medicine </w:t>
      </w:r>
      <w:r w:rsidR="00A94C3D">
        <w:t xml:space="preserve">may </w:t>
      </w:r>
      <w:r w:rsidR="00246E6D" w:rsidRPr="0073570E">
        <w:t xml:space="preserve">work against the statutory presumption of capacity. </w:t>
      </w:r>
      <w:r w:rsidR="00E23B59">
        <w:t>The House of Lords Select Committee on the Mental Capacity Act referred to a great deal of evidence suggesting that paternalism in the name of ‘protection’, ‘safeguarding’ and ‘risk aversion’ w</w:t>
      </w:r>
      <w:r w:rsidR="00CE2FE7">
        <w:t>as</w:t>
      </w:r>
      <w:r w:rsidR="00E23B59">
        <w:t xml:space="preserve"> prevalent </w:t>
      </w:r>
      <w:r w:rsidR="00CE2FE7">
        <w:t xml:space="preserve">in both health care </w:t>
      </w:r>
      <w:r w:rsidR="00806710">
        <w:t>(</w:t>
      </w:r>
      <w:r w:rsidR="00CE2FE7">
        <w:t xml:space="preserve">and social </w:t>
      </w:r>
      <w:r w:rsidR="00806710">
        <w:t>work) and concluded that this culture presented barriers to realising the empowering ethos of the MCA.</w:t>
      </w:r>
      <w:r w:rsidR="00E23B59">
        <w:rPr>
          <w:rStyle w:val="FootnoteReference"/>
        </w:rPr>
        <w:footnoteReference w:id="137"/>
      </w:r>
      <w:r w:rsidR="00E23B59">
        <w:t xml:space="preserve">  </w:t>
      </w:r>
      <w:r w:rsidR="00180241" w:rsidRPr="0073570E">
        <w:t xml:space="preserve">A finding that the courts only </w:t>
      </w:r>
      <w:r w:rsidR="00180241" w:rsidRPr="005A7E03">
        <w:rPr>
          <w:i/>
        </w:rPr>
        <w:t>rarely</w:t>
      </w:r>
      <w:r w:rsidR="00180241" w:rsidRPr="0073570E">
        <w:t xml:space="preserve"> depart from </w:t>
      </w:r>
      <w:r w:rsidR="00806710">
        <w:t xml:space="preserve">professional </w:t>
      </w:r>
      <w:r w:rsidR="00180241" w:rsidRPr="0073570E">
        <w:t xml:space="preserve">opinion on capacity </w:t>
      </w:r>
      <w:r w:rsidR="00180241" w:rsidRPr="0073570E">
        <w:rPr>
          <w:i/>
        </w:rPr>
        <w:t>could</w:t>
      </w:r>
      <w:r w:rsidR="00180241" w:rsidRPr="0073570E">
        <w:t xml:space="preserve">, therefore, signal that the presumption </w:t>
      </w:r>
      <w:r w:rsidR="00806710">
        <w:t xml:space="preserve">of capacity </w:t>
      </w:r>
      <w:r w:rsidR="00180241" w:rsidRPr="0073570E">
        <w:t>is being neutralised. But</w:t>
      </w:r>
      <w:r w:rsidR="006B5483" w:rsidRPr="0073570E">
        <w:t>,</w:t>
      </w:r>
      <w:r w:rsidR="00180241" w:rsidRPr="0073570E">
        <w:t xml:space="preserve"> w</w:t>
      </w:r>
      <w:r w:rsidR="008C3B64" w:rsidRPr="0073570E">
        <w:t>hilst it seems</w:t>
      </w:r>
      <w:r w:rsidR="00A94C3D">
        <w:t xml:space="preserve"> feasible</w:t>
      </w:r>
      <w:r w:rsidR="008C3B64" w:rsidRPr="0073570E">
        <w:t xml:space="preserve"> that the</w:t>
      </w:r>
      <w:r w:rsidR="00681EE7" w:rsidRPr="0073570E">
        <w:t xml:space="preserve"> medical </w:t>
      </w:r>
      <w:r w:rsidR="008C3B64" w:rsidRPr="0073570E">
        <w:t xml:space="preserve">perspective on </w:t>
      </w:r>
      <w:r w:rsidR="00681EE7" w:rsidRPr="0073570E">
        <w:t xml:space="preserve">capacity </w:t>
      </w:r>
      <w:r w:rsidR="009E28AB" w:rsidRPr="00806710">
        <w:rPr>
          <w:i/>
        </w:rPr>
        <w:t>c</w:t>
      </w:r>
      <w:r w:rsidR="008C3B64" w:rsidRPr="00806710">
        <w:rPr>
          <w:i/>
        </w:rPr>
        <w:t>ould</w:t>
      </w:r>
      <w:r w:rsidR="008C3B64" w:rsidRPr="0073570E">
        <w:t xml:space="preserve"> incline to being </w:t>
      </w:r>
      <w:r w:rsidR="00681EE7" w:rsidRPr="0073570E">
        <w:t>‘over-inclusive’, erring on the side of protection of P from physical risks and thereby minimising exposure to post hoc criticism</w:t>
      </w:r>
      <w:r w:rsidR="008C3B64" w:rsidRPr="0073570E">
        <w:t xml:space="preserve">, </w:t>
      </w:r>
      <w:r w:rsidR="00734DFB">
        <w:t xml:space="preserve">this position needs careful scrutiny. First </w:t>
      </w:r>
      <w:r w:rsidR="00E23B59">
        <w:t xml:space="preserve">it </w:t>
      </w:r>
      <w:r w:rsidR="00734DFB">
        <w:t>is surely</w:t>
      </w:r>
      <w:r w:rsidR="00E23B59">
        <w:t xml:space="preserve"> an over-simplification to suggest that there </w:t>
      </w:r>
      <w:r w:rsidR="00734DFB">
        <w:t>i</w:t>
      </w:r>
      <w:r w:rsidR="00E23B59">
        <w:t>s a monolithic ‘medical</w:t>
      </w:r>
      <w:r w:rsidR="00806710">
        <w:t xml:space="preserve">’ </w:t>
      </w:r>
      <w:r w:rsidR="00E23B59">
        <w:t>view</w:t>
      </w:r>
      <w:r w:rsidR="00734DFB">
        <w:t>.</w:t>
      </w:r>
      <w:r w:rsidR="00E23B59">
        <w:t xml:space="preserve"> </w:t>
      </w:r>
      <w:r w:rsidR="00734DFB">
        <w:t>Secondly</w:t>
      </w:r>
      <w:r w:rsidR="00E23B59">
        <w:t xml:space="preserve">, </w:t>
      </w:r>
      <w:r w:rsidR="008C3B64" w:rsidRPr="0073570E">
        <w:t>there is little</w:t>
      </w:r>
      <w:r w:rsidR="00F565FB">
        <w:t xml:space="preserve"> </w:t>
      </w:r>
      <w:r w:rsidR="009E28AB">
        <w:t xml:space="preserve">evidence to support </w:t>
      </w:r>
      <w:r w:rsidR="00E23B59">
        <w:t xml:space="preserve">a ‘medical perspective’ on capacity as compared with other disciplines. </w:t>
      </w:r>
      <w:r w:rsidR="005A7E03" w:rsidRPr="0073570E">
        <w:t>Most studies of inter-</w:t>
      </w:r>
      <w:proofErr w:type="spellStart"/>
      <w:r w:rsidR="005A7E03" w:rsidRPr="0073570E">
        <w:t>rater</w:t>
      </w:r>
      <w:proofErr w:type="spellEnd"/>
      <w:r w:rsidR="005A7E03" w:rsidRPr="0073570E">
        <w:t xml:space="preserve"> reliability look </w:t>
      </w:r>
      <w:r w:rsidR="00806710">
        <w:t xml:space="preserve">only </w:t>
      </w:r>
      <w:r w:rsidR="005A7E03" w:rsidRPr="0073570E">
        <w:t xml:space="preserve">for consistency between psychiatrists </w:t>
      </w:r>
      <w:r w:rsidR="00734DFB">
        <w:t xml:space="preserve">rather than testing for </w:t>
      </w:r>
      <w:r w:rsidR="005A7E03" w:rsidRPr="0073570E">
        <w:t>consistency across disciplines</w:t>
      </w:r>
      <w:r w:rsidR="00B12C69">
        <w:t>.</w:t>
      </w:r>
      <w:r w:rsidR="009E28AB" w:rsidRPr="0073570E">
        <w:rPr>
          <w:rStyle w:val="FootnoteReference"/>
        </w:rPr>
        <w:footnoteReference w:id="138"/>
      </w:r>
      <w:r w:rsidR="009E28AB">
        <w:t xml:space="preserve"> </w:t>
      </w:r>
      <w:r w:rsidR="00734DFB">
        <w:t>Finally</w:t>
      </w:r>
      <w:r w:rsidR="00E23B59">
        <w:t xml:space="preserve">, accepting that doctors </w:t>
      </w:r>
      <w:r w:rsidR="00E23B59">
        <w:lastRenderedPageBreak/>
        <w:t xml:space="preserve">take an ‘over-inclusive approach’ to incapacity would be to ignore those </w:t>
      </w:r>
      <w:r w:rsidR="00B12C69">
        <w:t>studies which suggest entirely the opposite, for example,</w:t>
      </w:r>
      <w:r w:rsidR="009E28AB">
        <w:t xml:space="preserve"> </w:t>
      </w:r>
      <w:r w:rsidR="00E23B59">
        <w:t>the</w:t>
      </w:r>
      <w:r w:rsidR="009E28AB">
        <w:t xml:space="preserve"> study published in </w:t>
      </w:r>
      <w:r w:rsidR="009E28AB">
        <w:rPr>
          <w:i/>
        </w:rPr>
        <w:t>The Lancet</w:t>
      </w:r>
      <w:r w:rsidR="009E28AB">
        <w:t xml:space="preserve"> </w:t>
      </w:r>
      <w:r w:rsidR="00B12C69">
        <w:t>shortly</w:t>
      </w:r>
      <w:r w:rsidR="006B179D">
        <w:t xml:space="preserve"> </w:t>
      </w:r>
      <w:r w:rsidR="00B12C69">
        <w:t>before</w:t>
      </w:r>
      <w:r w:rsidR="006B179D">
        <w:t xml:space="preserve"> the MCA be</w:t>
      </w:r>
      <w:r w:rsidR="00B12C69">
        <w:t>came law</w:t>
      </w:r>
      <w:r w:rsidR="006B179D">
        <w:t xml:space="preserve">, </w:t>
      </w:r>
      <w:r w:rsidR="009E28AB">
        <w:t>suggest</w:t>
      </w:r>
      <w:r w:rsidR="00E23B59">
        <w:t>ing</w:t>
      </w:r>
      <w:r w:rsidR="009E28AB">
        <w:t xml:space="preserve"> that </w:t>
      </w:r>
      <w:r w:rsidR="006B179D">
        <w:t xml:space="preserve">hospital doctors were significantly underestimating the prevalence of </w:t>
      </w:r>
      <w:r w:rsidR="009E28AB">
        <w:t>incapacity</w:t>
      </w:r>
      <w:r w:rsidR="006B179D">
        <w:t xml:space="preserve"> amongst their elderly patients</w:t>
      </w:r>
      <w:r w:rsidR="005A7E03" w:rsidRPr="0073570E">
        <w:t>.</w:t>
      </w:r>
      <w:r w:rsidR="009E28AB">
        <w:rPr>
          <w:rStyle w:val="FootnoteReference"/>
        </w:rPr>
        <w:footnoteReference w:id="139"/>
      </w:r>
      <w:r w:rsidR="005A7E03">
        <w:t xml:space="preserve"> </w:t>
      </w:r>
      <w:r w:rsidR="006C602C" w:rsidRPr="0073570E">
        <w:t>To be</w:t>
      </w:r>
      <w:r w:rsidR="00047DE3" w:rsidRPr="0073570E">
        <w:t xml:space="preserve"> certain</w:t>
      </w:r>
      <w:r w:rsidR="006C602C" w:rsidRPr="0073570E">
        <w:t xml:space="preserve"> that heavy reliance on psychiatrists in the </w:t>
      </w:r>
      <w:proofErr w:type="spellStart"/>
      <w:r w:rsidR="006C602C" w:rsidRPr="0073570E">
        <w:t>CoP</w:t>
      </w:r>
      <w:proofErr w:type="spellEnd"/>
      <w:r w:rsidR="006C602C" w:rsidRPr="0073570E">
        <w:t xml:space="preserve"> is problematic, we would need to know </w:t>
      </w:r>
      <w:r w:rsidR="009E28AB">
        <w:t xml:space="preserve">far </w:t>
      </w:r>
      <w:r w:rsidR="00B034A4" w:rsidRPr="0073570E">
        <w:t xml:space="preserve">more </w:t>
      </w:r>
      <w:r w:rsidR="006C602C" w:rsidRPr="0073570E">
        <w:t>about inter-</w:t>
      </w:r>
      <w:proofErr w:type="spellStart"/>
      <w:r w:rsidR="006C602C" w:rsidRPr="0073570E">
        <w:t>rater</w:t>
      </w:r>
      <w:proofErr w:type="spellEnd"/>
      <w:r w:rsidR="006C602C" w:rsidRPr="0073570E">
        <w:t xml:space="preserve"> reliability between </w:t>
      </w:r>
      <w:r w:rsidR="00180241" w:rsidRPr="0073570E">
        <w:t xml:space="preserve">decision makers from different perspectives, for example, </w:t>
      </w:r>
      <w:r w:rsidR="006C602C" w:rsidRPr="0073570E">
        <w:t>medical professionals and lawyers</w:t>
      </w:r>
      <w:r w:rsidR="00734DFB">
        <w:t>,</w:t>
      </w:r>
      <w:r w:rsidR="00047DE3" w:rsidRPr="0073570E">
        <w:t xml:space="preserve"> or psychiatrists and psychologists</w:t>
      </w:r>
      <w:r w:rsidR="00180241" w:rsidRPr="0073570E">
        <w:t xml:space="preserve">. </w:t>
      </w:r>
      <w:r w:rsidR="00734DFB">
        <w:t>What is perhaps clear, however, is that capacity assessment is often only triggered where P refuses (rather than consents to) the course of action being recommended by the medical or social care professionals.</w:t>
      </w:r>
      <w:r w:rsidR="00734DFB">
        <w:rPr>
          <w:rStyle w:val="FootnoteReference"/>
        </w:rPr>
        <w:footnoteReference w:id="140"/>
      </w:r>
      <w:r w:rsidR="00734DFB">
        <w:t xml:space="preserve"> </w:t>
      </w:r>
    </w:p>
    <w:p w:rsidR="006B5483" w:rsidRPr="0073570E" w:rsidRDefault="00FC6050" w:rsidP="006B5483">
      <w:pPr>
        <w:jc w:val="both"/>
      </w:pPr>
      <w:r w:rsidRPr="0073570E">
        <w:t xml:space="preserve">Whether the expert witness has a treatment relationship with P or is invited to give evidence as an independent expert with no prior relationship with P, an ‘over-inclusive’ approach to capacity </w:t>
      </w:r>
      <w:r w:rsidRPr="00806710">
        <w:rPr>
          <w:i/>
        </w:rPr>
        <w:t>may</w:t>
      </w:r>
      <w:r w:rsidRPr="0073570E">
        <w:t xml:space="preserve"> be present. </w:t>
      </w:r>
      <w:r w:rsidR="00107F4A">
        <w:t>It is noteworthy that</w:t>
      </w:r>
      <w:r w:rsidR="00235ACA">
        <w:t xml:space="preserve"> </w:t>
      </w:r>
      <w:r w:rsidR="00301CA4" w:rsidRPr="0073570E">
        <w:t>whereas</w:t>
      </w:r>
      <w:r w:rsidR="006B5483" w:rsidRPr="0073570E">
        <w:t xml:space="preserve"> the risk of professional bias arising out of treating relationships </w:t>
      </w:r>
      <w:r w:rsidR="00301CA4" w:rsidRPr="0073570E">
        <w:t xml:space="preserve">is </w:t>
      </w:r>
      <w:r w:rsidR="006B5483" w:rsidRPr="0073570E">
        <w:t>clearly identified</w:t>
      </w:r>
      <w:r w:rsidR="00301CA4" w:rsidRPr="0073570E">
        <w:t xml:space="preserve"> in the judgments</w:t>
      </w:r>
      <w:r w:rsidR="006B5483" w:rsidRPr="0073570E">
        <w:rPr>
          <w:rStyle w:val="FootnoteReference"/>
        </w:rPr>
        <w:footnoteReference w:id="141"/>
      </w:r>
      <w:r w:rsidR="006B5483" w:rsidRPr="0073570E">
        <w:t xml:space="preserve">, the potential for more generic professional biases was not explicitly acknowledged. </w:t>
      </w:r>
      <w:r w:rsidR="00301CA4" w:rsidRPr="0073570E">
        <w:t>However</w:t>
      </w:r>
      <w:r w:rsidR="006B5483" w:rsidRPr="0073570E">
        <w:t xml:space="preserve">, </w:t>
      </w:r>
      <w:r w:rsidRPr="0073570E">
        <w:t xml:space="preserve">it is perhaps </w:t>
      </w:r>
      <w:r w:rsidR="006B5483" w:rsidRPr="0073570E">
        <w:t xml:space="preserve">the non-treating expert </w:t>
      </w:r>
      <w:r w:rsidRPr="0073570E">
        <w:t xml:space="preserve">who should give more cause for concern here. These experts are </w:t>
      </w:r>
      <w:r w:rsidR="006B5483" w:rsidRPr="0073570E">
        <w:t xml:space="preserve">more likely to give repeat performances in </w:t>
      </w:r>
      <w:proofErr w:type="spellStart"/>
      <w:r w:rsidR="00301CA4" w:rsidRPr="0073570E">
        <w:t>CoP</w:t>
      </w:r>
      <w:proofErr w:type="spellEnd"/>
      <w:r w:rsidR="00301CA4" w:rsidRPr="0073570E">
        <w:t xml:space="preserve"> proceedings</w:t>
      </w:r>
      <w:r w:rsidR="006B5483" w:rsidRPr="0073570E">
        <w:t xml:space="preserve"> and, therefore, any </w:t>
      </w:r>
      <w:r w:rsidR="003010CC">
        <w:t>personal</w:t>
      </w:r>
      <w:r w:rsidR="00F6727B">
        <w:t xml:space="preserve"> or professional</w:t>
      </w:r>
      <w:r w:rsidR="003010CC">
        <w:t xml:space="preserve"> </w:t>
      </w:r>
      <w:r w:rsidR="005E3F7C" w:rsidRPr="0073570E">
        <w:t xml:space="preserve">perspective </w:t>
      </w:r>
      <w:r w:rsidR="006B5483" w:rsidRPr="0073570E">
        <w:t>they have on capacity</w:t>
      </w:r>
      <w:r w:rsidRPr="0073570E">
        <w:t>,</w:t>
      </w:r>
      <w:r w:rsidR="006B5483" w:rsidRPr="0073570E">
        <w:t xml:space="preserve"> or the appropriate balance between preserving P’s autonomy protecting P</w:t>
      </w:r>
      <w:r w:rsidRPr="0073570E">
        <w:t>,</w:t>
      </w:r>
      <w:r w:rsidR="006B5483" w:rsidRPr="0073570E">
        <w:t xml:space="preserve"> will </w:t>
      </w:r>
      <w:r w:rsidR="005E3F7C" w:rsidRPr="0073570E">
        <w:t xml:space="preserve">likely </w:t>
      </w:r>
      <w:r w:rsidR="006B5483" w:rsidRPr="0073570E">
        <w:t xml:space="preserve">have a bigger impact on mental capacity hearings generally. </w:t>
      </w:r>
    </w:p>
    <w:p w:rsidR="00C322CF" w:rsidRPr="0073570E" w:rsidRDefault="008B038A" w:rsidP="00C322CF">
      <w:pPr>
        <w:jc w:val="both"/>
        <w:rPr>
          <w:b/>
          <w:i/>
        </w:rPr>
      </w:pPr>
      <w:r>
        <w:rPr>
          <w:b/>
          <w:i/>
        </w:rPr>
        <w:t>i</w:t>
      </w:r>
      <w:r w:rsidR="00C322CF" w:rsidRPr="0073570E">
        <w:rPr>
          <w:b/>
          <w:i/>
        </w:rPr>
        <w:t xml:space="preserve">ii) The </w:t>
      </w:r>
      <w:proofErr w:type="spellStart"/>
      <w:r w:rsidR="00C322CF" w:rsidRPr="0073570E">
        <w:rPr>
          <w:b/>
          <w:i/>
        </w:rPr>
        <w:t>professionalisation</w:t>
      </w:r>
      <w:proofErr w:type="spellEnd"/>
      <w:r w:rsidR="00C322CF" w:rsidRPr="0073570E">
        <w:rPr>
          <w:b/>
          <w:i/>
        </w:rPr>
        <w:t xml:space="preserve"> of expert capacity assessment and ’hidden law making’ </w:t>
      </w:r>
    </w:p>
    <w:p w:rsidR="00B034A4" w:rsidRPr="0073570E" w:rsidRDefault="008B6279" w:rsidP="00C322CF">
      <w:pPr>
        <w:jc w:val="both"/>
      </w:pPr>
      <w:r w:rsidRPr="0073570E">
        <w:t xml:space="preserve">Further tensions are evident when we examine </w:t>
      </w:r>
      <w:r w:rsidR="005E3F7C" w:rsidRPr="0073570E">
        <w:t>the level of expertise assumed to be necessary for giving</w:t>
      </w:r>
      <w:r w:rsidRPr="0073570E">
        <w:t xml:space="preserve"> evidence on capacity.</w:t>
      </w:r>
      <w:r w:rsidR="005E3F7C" w:rsidRPr="0073570E">
        <w:t xml:space="preserve"> </w:t>
      </w:r>
      <w:r w:rsidRPr="0073570E">
        <w:t xml:space="preserve"> </w:t>
      </w:r>
      <w:r w:rsidR="005E3F7C" w:rsidRPr="0073570E">
        <w:t>Familiarity with the MCA and the test for incapacity is a requirement for many roles in health and social care. Yet increasingly, t</w:t>
      </w:r>
      <w:r w:rsidR="00C322CF" w:rsidRPr="0073570E">
        <w:t>he business of giving evidence on mental capacity is becoming professionalised</w:t>
      </w:r>
      <w:r w:rsidR="001508B3" w:rsidRPr="0073570E">
        <w:t>. S</w:t>
      </w:r>
      <w:r w:rsidR="00C322CF" w:rsidRPr="0073570E">
        <w:t xml:space="preserve">ince changes to the rules on transparency in </w:t>
      </w:r>
      <w:proofErr w:type="spellStart"/>
      <w:r w:rsidR="00C322CF" w:rsidRPr="0073570E">
        <w:t>CoP</w:t>
      </w:r>
      <w:proofErr w:type="spellEnd"/>
      <w:r w:rsidR="00C322CF" w:rsidRPr="0073570E">
        <w:t xml:space="preserve"> proceedings effective from January 2014, the identity of expert witnesses is now usually made known in the court’s judgment.</w:t>
      </w:r>
      <w:r w:rsidR="00C322CF" w:rsidRPr="0073570E">
        <w:rPr>
          <w:rStyle w:val="FootnoteReference"/>
        </w:rPr>
        <w:footnoteReference w:id="142"/>
      </w:r>
      <w:r w:rsidR="00C322CF" w:rsidRPr="0073570E">
        <w:t xml:space="preserve"> In the context of the dataset of judgments on mental capacity used in this research, it is clear that there is a relatively small ‘elite’ of professional capacity assessors who advertise their services as independent expert witnesses and who are ‘repeat </w:t>
      </w:r>
      <w:r w:rsidR="00C322CF" w:rsidRPr="0073570E">
        <w:lastRenderedPageBreak/>
        <w:t>players’</w:t>
      </w:r>
      <w:r w:rsidR="00C322CF" w:rsidRPr="0073570E">
        <w:rPr>
          <w:rStyle w:val="FootnoteReference"/>
        </w:rPr>
        <w:footnoteReference w:id="143"/>
      </w:r>
      <w:r w:rsidR="00C322CF" w:rsidRPr="0073570E">
        <w:t xml:space="preserve"> in </w:t>
      </w:r>
      <w:proofErr w:type="spellStart"/>
      <w:r w:rsidR="00C322CF" w:rsidRPr="0073570E">
        <w:t>CoP</w:t>
      </w:r>
      <w:proofErr w:type="spellEnd"/>
      <w:r w:rsidR="00C322CF" w:rsidRPr="0073570E">
        <w:t xml:space="preserve"> cases. The court undoubtedly benefits from experts who have accumulated substantial expertise as specialists in their field, perhaps with specific medical conditions, and who are familiar with court processes and protocols. However, too little is known about the broader implications of relying on a relatively small group of experts. </w:t>
      </w:r>
    </w:p>
    <w:p w:rsidR="00E10378" w:rsidRDefault="00C322CF" w:rsidP="00C322CF">
      <w:pPr>
        <w:jc w:val="both"/>
      </w:pPr>
      <w:r w:rsidRPr="0073570E">
        <w:t>Whilst it is recognised that the term ‘repeat players’ in the context of highly specialised experts is potentially stigmatising,</w:t>
      </w:r>
      <w:r w:rsidRPr="0073570E">
        <w:rPr>
          <w:rStyle w:val="FootnoteReference"/>
        </w:rPr>
        <w:footnoteReference w:id="144"/>
      </w:r>
      <w:r w:rsidRPr="0073570E">
        <w:t xml:space="preserve"> the intention is not by any means to impugn the motivations or competence of those individuals, but to stress that the existence of repeat players cannot be denied and should not be ignored. </w:t>
      </w:r>
      <w:r w:rsidR="00301CA4" w:rsidRPr="0073570E">
        <w:t>For example, one such expert</w:t>
      </w:r>
      <w:r w:rsidRPr="0073570E">
        <w:t xml:space="preserve">, a consultant psychiatrist with a particular specialism with autism, </w:t>
      </w:r>
      <w:r w:rsidR="000071AA">
        <w:t xml:space="preserve">is </w:t>
      </w:r>
      <w:r w:rsidRPr="0073570E">
        <w:t>described by Judge Cardinal as</w:t>
      </w:r>
      <w:r w:rsidRPr="0073570E">
        <w:rPr>
          <w:i/>
        </w:rPr>
        <w:t xml:space="preserve"> ‘</w:t>
      </w:r>
      <w:r w:rsidRPr="0073570E">
        <w:rPr>
          <w:rFonts w:eastAsia="Times New Roman" w:cs="Times New Roman"/>
          <w:lang w:eastAsia="en-GB"/>
        </w:rPr>
        <w:t>an eminent consultant psychiatrist… who spends a great deal of his time undertaking forensic work in the Court of Protection.’</w:t>
      </w:r>
      <w:r w:rsidRPr="0073570E">
        <w:rPr>
          <w:rStyle w:val="FootnoteReference"/>
          <w:lang w:eastAsia="en-GB"/>
        </w:rPr>
        <w:footnoteReference w:id="145"/>
      </w:r>
      <w:r w:rsidRPr="0073570E">
        <w:t xml:space="preserve"> Others include</w:t>
      </w:r>
      <w:r w:rsidR="000071AA">
        <w:t xml:space="preserve"> a consultant psychiatrist who directs a company advertising </w:t>
      </w:r>
      <w:r w:rsidRPr="0073570E">
        <w:t>his expert witness services</w:t>
      </w:r>
      <w:r w:rsidR="000071AA">
        <w:t xml:space="preserve"> who is</w:t>
      </w:r>
      <w:r w:rsidRPr="0073570E">
        <w:t xml:space="preserve"> mentioned in no less than 13 of the </w:t>
      </w:r>
      <w:r w:rsidR="00C636FC">
        <w:t xml:space="preserve">155 health and welfare </w:t>
      </w:r>
      <w:r w:rsidRPr="0073570E">
        <w:t>cases in the author’s dataset</w:t>
      </w:r>
      <w:r w:rsidR="000071AA">
        <w:t xml:space="preserve">, and </w:t>
      </w:r>
      <w:r w:rsidR="00235ACA">
        <w:t xml:space="preserve">there are many </w:t>
      </w:r>
      <w:r w:rsidR="000071AA">
        <w:t>who appear more than five times</w:t>
      </w:r>
      <w:r w:rsidRPr="0073570E">
        <w:t xml:space="preserve">. </w:t>
      </w:r>
      <w:r w:rsidR="00C636FC">
        <w:t>It is important not to place too much reliance on these statistics but also to note that judgments will not necessarily capture all repeat involvements</w:t>
      </w:r>
      <w:r w:rsidR="00235ACA">
        <w:t>,</w:t>
      </w:r>
      <w:r w:rsidR="00C636FC">
        <w:t xml:space="preserve"> as many capacity issues will be resolved without a court hearing or in unreported judgments. </w:t>
      </w:r>
      <w:r w:rsidRPr="0073570E">
        <w:t>Organisations such as ‘Psychiatry direct’</w:t>
      </w:r>
      <w:r w:rsidRPr="0073570E">
        <w:rPr>
          <w:rStyle w:val="FootnoteReference"/>
        </w:rPr>
        <w:footnoteReference w:id="146"/>
      </w:r>
      <w:r w:rsidRPr="0073570E">
        <w:t xml:space="preserve"> provide a network of professionals available to provide expert witness reports and it is clear that a number of witnesses derive a substantial secondary income from producing medico-legal reports. The difficulty of accessing expert witness reports in this area is widely acknowledged, but we need to be alert to the risk that relying on a concentrated resource of expertise</w:t>
      </w:r>
      <w:r w:rsidRPr="0073570E">
        <w:rPr>
          <w:rStyle w:val="FootnoteReference"/>
        </w:rPr>
        <w:footnoteReference w:id="147"/>
      </w:r>
      <w:r w:rsidRPr="0073570E">
        <w:t xml:space="preserve"> could hav</w:t>
      </w:r>
      <w:r w:rsidR="0064436A">
        <w:t>e</w:t>
      </w:r>
      <w:r w:rsidRPr="0073570E">
        <w:t xml:space="preserve"> a significant impact on the shape of mental capacity law. </w:t>
      </w:r>
      <w:r w:rsidR="0064436A">
        <w:t xml:space="preserve">As </w:t>
      </w:r>
      <w:r w:rsidR="00CA36AE">
        <w:t>expert witnesses give repeat performances in court, their opinions and preconceptions become known and can directly inform their selection in future cases.</w:t>
      </w:r>
      <w:r w:rsidR="00CA36AE">
        <w:rPr>
          <w:rStyle w:val="FootnoteReference"/>
        </w:rPr>
        <w:footnoteReference w:id="148"/>
      </w:r>
      <w:r w:rsidR="00CA36AE">
        <w:t xml:space="preserve"> </w:t>
      </w:r>
      <w:r w:rsidRPr="0073570E">
        <w:t xml:space="preserve">For example, </w:t>
      </w:r>
      <w:r w:rsidR="000071AA">
        <w:t xml:space="preserve">a </w:t>
      </w:r>
      <w:r w:rsidRPr="0073570E">
        <w:t xml:space="preserve">consultant psychiatrist with expertise in eating disorders generally appears in reported judgments </w:t>
      </w:r>
      <w:r w:rsidR="000071AA">
        <w:t>concerning patients</w:t>
      </w:r>
      <w:r w:rsidRPr="0073570E">
        <w:t xml:space="preserve"> with anorexia nervosa</w:t>
      </w:r>
      <w:r w:rsidRPr="0073570E">
        <w:rPr>
          <w:rStyle w:val="FootnoteReference"/>
        </w:rPr>
        <w:footnoteReference w:id="149"/>
      </w:r>
      <w:r w:rsidR="00E10378">
        <w:t xml:space="preserve"> and </w:t>
      </w:r>
      <w:r w:rsidR="000071AA">
        <w:t xml:space="preserve">his evidence </w:t>
      </w:r>
      <w:r w:rsidR="00E10378">
        <w:t xml:space="preserve">is generally preferred. </w:t>
      </w:r>
      <w:r w:rsidRPr="0073570E">
        <w:t>With a wealth of accumulated clinical experience, he is clearly well placed to give evidence on the impact and progression of the disease</w:t>
      </w:r>
      <w:r w:rsidR="00E10378">
        <w:t xml:space="preserve">. However, the judgments tend to </w:t>
      </w:r>
      <w:r w:rsidR="00E10378" w:rsidRPr="0073570E">
        <w:rPr>
          <w:color w:val="000000"/>
          <w:lang w:eastAsia="en-GB"/>
        </w:rPr>
        <w:t>endorse</w:t>
      </w:r>
      <w:r w:rsidR="00E10378">
        <w:rPr>
          <w:color w:val="000000"/>
          <w:lang w:eastAsia="en-GB"/>
        </w:rPr>
        <w:t xml:space="preserve"> </w:t>
      </w:r>
      <w:r w:rsidR="000071AA">
        <w:rPr>
          <w:color w:val="000000"/>
          <w:lang w:eastAsia="en-GB"/>
        </w:rPr>
        <w:t>the expert’s</w:t>
      </w:r>
      <w:r w:rsidR="00E10378" w:rsidRPr="0073570E">
        <w:rPr>
          <w:color w:val="000000"/>
          <w:lang w:eastAsia="en-GB"/>
        </w:rPr>
        <w:t xml:space="preserve"> </w:t>
      </w:r>
      <w:r w:rsidR="00E10378">
        <w:rPr>
          <w:color w:val="000000"/>
          <w:lang w:eastAsia="en-GB"/>
        </w:rPr>
        <w:t xml:space="preserve">expressed </w:t>
      </w:r>
      <w:r w:rsidR="00E10378" w:rsidRPr="0073570E">
        <w:rPr>
          <w:color w:val="000000"/>
          <w:lang w:eastAsia="en-GB"/>
        </w:rPr>
        <w:t>view</w:t>
      </w:r>
      <w:r w:rsidR="00E10378">
        <w:rPr>
          <w:color w:val="000000"/>
          <w:lang w:eastAsia="en-GB"/>
        </w:rPr>
        <w:t>s on</w:t>
      </w:r>
      <w:r w:rsidR="00E10378" w:rsidRPr="0073570E">
        <w:rPr>
          <w:color w:val="000000"/>
          <w:lang w:eastAsia="en-GB"/>
        </w:rPr>
        <w:t xml:space="preserve"> capacity</w:t>
      </w:r>
      <w:r w:rsidR="00E10378">
        <w:rPr>
          <w:color w:val="000000"/>
          <w:lang w:eastAsia="en-GB"/>
        </w:rPr>
        <w:t>,</w:t>
      </w:r>
      <w:r w:rsidR="00E10378" w:rsidRPr="0073570E">
        <w:rPr>
          <w:color w:val="000000"/>
          <w:lang w:eastAsia="en-GB"/>
        </w:rPr>
        <w:t xml:space="preserve"> </w:t>
      </w:r>
      <w:r w:rsidR="00E10378">
        <w:rPr>
          <w:color w:val="000000"/>
          <w:lang w:eastAsia="en-GB"/>
        </w:rPr>
        <w:t>notwithstanding that th</w:t>
      </w:r>
      <w:r w:rsidR="000071AA">
        <w:rPr>
          <w:color w:val="000000"/>
          <w:lang w:eastAsia="en-GB"/>
        </w:rPr>
        <w:t>is expert evidence tends to</w:t>
      </w:r>
      <w:r w:rsidR="00E10378">
        <w:rPr>
          <w:color w:val="000000"/>
          <w:lang w:eastAsia="en-GB"/>
        </w:rPr>
        <w:t xml:space="preserve"> </w:t>
      </w:r>
      <w:r w:rsidR="00E10378" w:rsidRPr="0073570E">
        <w:rPr>
          <w:color w:val="000000"/>
          <w:lang w:eastAsia="en-GB"/>
        </w:rPr>
        <w:t xml:space="preserve">treat the capacity question as </w:t>
      </w:r>
      <w:r w:rsidR="00E10378" w:rsidRPr="0073570E">
        <w:rPr>
          <w:color w:val="000000"/>
          <w:lang w:eastAsia="en-GB"/>
        </w:rPr>
        <w:lastRenderedPageBreak/>
        <w:t>determined by the condition P was suffering from.</w:t>
      </w:r>
      <w:r w:rsidR="00E10378" w:rsidRPr="0073570E">
        <w:rPr>
          <w:rStyle w:val="FootnoteReference"/>
          <w:color w:val="000000"/>
          <w:lang w:eastAsia="en-GB"/>
        </w:rPr>
        <w:footnoteReference w:id="150"/>
      </w:r>
      <w:r w:rsidR="00E10378">
        <w:rPr>
          <w:color w:val="000000"/>
          <w:lang w:eastAsia="en-GB"/>
        </w:rPr>
        <w:t xml:space="preserve"> This expert </w:t>
      </w:r>
      <w:r w:rsidR="00E10378">
        <w:t>evidence therefore</w:t>
      </w:r>
      <w:r w:rsidR="000071AA">
        <w:t xml:space="preserve"> </w:t>
      </w:r>
      <w:r w:rsidR="00301CA4" w:rsidRPr="0073570E">
        <w:t>suggest</w:t>
      </w:r>
      <w:r w:rsidR="000071AA">
        <w:t>s</w:t>
      </w:r>
      <w:r w:rsidR="00301CA4" w:rsidRPr="0073570E">
        <w:t xml:space="preserve"> </w:t>
      </w:r>
      <w:r w:rsidRPr="0073570E">
        <w:t xml:space="preserve">a particular view of the relationship between anorexia and mental capacity which appears to be in conflict with MCA </w:t>
      </w:r>
      <w:r w:rsidR="00235ACA">
        <w:t xml:space="preserve">and possibly CRPD </w:t>
      </w:r>
      <w:r w:rsidRPr="0073570E">
        <w:t>principles.</w:t>
      </w:r>
      <w:r w:rsidRPr="0073570E">
        <w:rPr>
          <w:rStyle w:val="FootnoteReference"/>
        </w:rPr>
        <w:footnoteReference w:id="151"/>
      </w:r>
      <w:r w:rsidRPr="0073570E">
        <w:t xml:space="preserve"> </w:t>
      </w:r>
    </w:p>
    <w:p w:rsidR="00C322CF" w:rsidRPr="0073570E" w:rsidRDefault="00301CA4" w:rsidP="00C322CF">
      <w:pPr>
        <w:jc w:val="both"/>
      </w:pPr>
      <w:r w:rsidRPr="0073570E">
        <w:t>Far t</w:t>
      </w:r>
      <w:r w:rsidR="00C322CF" w:rsidRPr="0073570E">
        <w:t>oo little is known about how expert witnesses are selected, how frequently they appear</w:t>
      </w:r>
      <w:r w:rsidR="00B034A4" w:rsidRPr="0073570E">
        <w:t xml:space="preserve"> in court, </w:t>
      </w:r>
      <w:r w:rsidR="00C322CF" w:rsidRPr="0073570E">
        <w:t>how their experience of litigation shapes their testimony and how their views</w:t>
      </w:r>
      <w:r w:rsidR="00C636FC">
        <w:t xml:space="preserve"> on capacity generally</w:t>
      </w:r>
      <w:r w:rsidR="00C322CF" w:rsidRPr="0073570E">
        <w:t xml:space="preserve"> have shaped </w:t>
      </w:r>
      <w:proofErr w:type="spellStart"/>
      <w:r w:rsidR="00C322CF" w:rsidRPr="0073570E">
        <w:t>CoP</w:t>
      </w:r>
      <w:proofErr w:type="spellEnd"/>
      <w:r w:rsidR="00C322CF" w:rsidRPr="0073570E">
        <w:t xml:space="preserve"> case law. Recent scholarship on ‘hidden law making’ has drawn attention to the potential for lawyers who are repeatedly involved in similar cases to have a significant impact on the shape of the law.</w:t>
      </w:r>
      <w:r w:rsidR="00C322CF" w:rsidRPr="0073570E">
        <w:rPr>
          <w:rStyle w:val="FootnoteReference"/>
        </w:rPr>
        <w:footnoteReference w:id="152"/>
      </w:r>
      <w:r w:rsidR="00C322CF" w:rsidRPr="0073570E">
        <w:t xml:space="preserve">  The authors comment in particular on repeated use of the same counsel with a particular specialism for similar cases, and on the role of the Official Solicitor. The frequency with which some expert witnesses appear in the </w:t>
      </w:r>
      <w:proofErr w:type="spellStart"/>
      <w:r w:rsidR="00C322CF" w:rsidRPr="0073570E">
        <w:t>CoP</w:t>
      </w:r>
      <w:proofErr w:type="spellEnd"/>
      <w:r w:rsidR="00C322CF" w:rsidRPr="0073570E">
        <w:t xml:space="preserve"> could give rise to similar concerns that the players in court are having an obscured impact on law making in the relevant area. </w:t>
      </w:r>
    </w:p>
    <w:p w:rsidR="00C322CF" w:rsidRPr="0073570E" w:rsidRDefault="00C322CF" w:rsidP="00C322CF">
      <w:pPr>
        <w:jc w:val="both"/>
        <w:rPr>
          <w:rFonts w:cs="Helvetica"/>
          <w:color w:val="575757"/>
        </w:rPr>
      </w:pPr>
      <w:r w:rsidRPr="0073570E">
        <w:t xml:space="preserve">If successful, the stated aim of more frequently resorting to a ‘Single Joint Expert’ (‘SJE’) in </w:t>
      </w:r>
      <w:proofErr w:type="spellStart"/>
      <w:r w:rsidRPr="0073570E">
        <w:t>CoP</w:t>
      </w:r>
      <w:proofErr w:type="spellEnd"/>
      <w:r w:rsidRPr="0073570E">
        <w:t xml:space="preserve"> cases</w:t>
      </w:r>
      <w:r w:rsidRPr="0073570E">
        <w:rPr>
          <w:rStyle w:val="FootnoteReference"/>
        </w:rPr>
        <w:footnoteReference w:id="153"/>
      </w:r>
      <w:r w:rsidRPr="0073570E">
        <w:t xml:space="preserve"> </w:t>
      </w:r>
      <w:r w:rsidR="00B034A4" w:rsidRPr="0073570E">
        <w:t xml:space="preserve">could </w:t>
      </w:r>
      <w:r w:rsidRPr="0073570E">
        <w:t xml:space="preserve">exacerbate these potential problems. Mirroring the Civil Procedure Rules, the </w:t>
      </w:r>
      <w:proofErr w:type="spellStart"/>
      <w:r w:rsidRPr="0073570E">
        <w:t>CoP</w:t>
      </w:r>
      <w:proofErr w:type="spellEnd"/>
      <w:r w:rsidRPr="0073570E">
        <w:t xml:space="preserve"> rules empower the court to direct that a single joint expert should be used.</w:t>
      </w:r>
      <w:r w:rsidRPr="0073570E">
        <w:rPr>
          <w:rStyle w:val="FootnoteReference"/>
        </w:rPr>
        <w:footnoteReference w:id="154"/>
      </w:r>
      <w:r w:rsidRPr="0073570E">
        <w:t xml:space="preserve"> There will be increasing pressure to resort to this option given the increasing costs and burgeoning case load of the </w:t>
      </w:r>
      <w:proofErr w:type="spellStart"/>
      <w:r w:rsidRPr="0073570E">
        <w:t>CoP.</w:t>
      </w:r>
      <w:proofErr w:type="spellEnd"/>
      <w:r w:rsidR="005973CA" w:rsidRPr="0073570E">
        <w:rPr>
          <w:rStyle w:val="FootnoteReference"/>
        </w:rPr>
        <w:footnoteReference w:id="155"/>
      </w:r>
      <w:r w:rsidRPr="0073570E">
        <w:t xml:space="preserve"> Yet it is arguable that the SJE option should only exceptionally be considered suitable for a determination of whether P has decision making capacity. Where there is doubt about P’s capacity it is simply not appropriate to instruct a SJE as this goes against the need for epistemic diversity on the issue of mental capacity and also creates tensions with the need for the court to rigorously scrutinise the evidence. Admittedly, there is a certain irony in questioning whether the courts are ove</w:t>
      </w:r>
      <w:r w:rsidR="00802B6C" w:rsidRPr="0073570E">
        <w:t>r-reliant on expert evidence,</w:t>
      </w:r>
      <w:r w:rsidRPr="0073570E">
        <w:t xml:space="preserve"> whilst simultaneously cautioning against reducing the breadth of expert evidence by resorting to SJEs.  But it is argued that the poignancy of the decision </w:t>
      </w:r>
      <w:proofErr w:type="gramStart"/>
      <w:r w:rsidRPr="0073570E">
        <w:t>itself,</w:t>
      </w:r>
      <w:proofErr w:type="gramEnd"/>
      <w:r w:rsidRPr="0073570E">
        <w:t xml:space="preserve"> and its normative and multidimensional nature require that in all but exceptional cases, the court should be given a spread of evidence from which to form a view.  Having more than one expert report broadens the evidence base and assists the court in its task of robust scrutiny of the evidence.</w:t>
      </w:r>
      <w:r w:rsidRPr="0073570E">
        <w:rPr>
          <w:rStyle w:val="FootnoteReference"/>
        </w:rPr>
        <w:footnoteReference w:id="156"/>
      </w:r>
      <w:r w:rsidRPr="0073570E">
        <w:t xml:space="preserve">  Otherwise, there is a risk that the SJE’s view would go unchallenged, that value judgements would go </w:t>
      </w:r>
      <w:proofErr w:type="spellStart"/>
      <w:r w:rsidRPr="0073570E">
        <w:t>unscrutinised</w:t>
      </w:r>
      <w:proofErr w:type="spellEnd"/>
      <w:r w:rsidRPr="0073570E">
        <w:t xml:space="preserve"> and that alternative possibilities would be missed. Lord Neuberger speaking extra-judicially made public his general concerns about the impact of single joint experts on ‘who </w:t>
      </w:r>
      <w:r w:rsidRPr="0073570E">
        <w:lastRenderedPageBreak/>
        <w:t>decides’.</w:t>
      </w:r>
      <w:r w:rsidRPr="0073570E">
        <w:rPr>
          <w:rStyle w:val="FootnoteReference"/>
        </w:rPr>
        <w:footnoteReference w:id="157"/>
      </w:r>
      <w:r w:rsidRPr="0073570E">
        <w:t xml:space="preserve"> Given the findings in this research regarding deference to expert witness opinion, </w:t>
      </w:r>
      <w:r w:rsidR="00B034A4" w:rsidRPr="0073570E">
        <w:t>an</w:t>
      </w:r>
      <w:r w:rsidRPr="0073570E">
        <w:t xml:space="preserve"> increased use of single experts </w:t>
      </w:r>
      <w:r w:rsidR="00B034A4" w:rsidRPr="0073570E">
        <w:t xml:space="preserve">could </w:t>
      </w:r>
      <w:r w:rsidRPr="0073570E">
        <w:t>effectively accord ‘gatekeeper’ status to psychiatrists in the assessment of P’s capacity in the courtroom</w:t>
      </w:r>
      <w:r w:rsidR="00585AE7">
        <w:t>, a situation which would be incompatible with the social nature of capacity</w:t>
      </w:r>
      <w:r w:rsidRPr="0073570E">
        <w:rPr>
          <w:rFonts w:cs="Helvetica"/>
        </w:rPr>
        <w:t xml:space="preserve">. </w:t>
      </w:r>
    </w:p>
    <w:p w:rsidR="00C322CF" w:rsidRPr="0073570E" w:rsidRDefault="00C322CF" w:rsidP="00C322CF">
      <w:pPr>
        <w:autoSpaceDE w:val="0"/>
        <w:autoSpaceDN w:val="0"/>
        <w:adjustRightInd w:val="0"/>
        <w:spacing w:after="0"/>
        <w:jc w:val="both"/>
      </w:pPr>
    </w:p>
    <w:p w:rsidR="00135509" w:rsidRPr="0073570E" w:rsidRDefault="00135509" w:rsidP="00135509">
      <w:pPr>
        <w:rPr>
          <w:b/>
        </w:rPr>
      </w:pPr>
      <w:r w:rsidRPr="0073570E">
        <w:rPr>
          <w:b/>
        </w:rPr>
        <w:t>Conclusions</w:t>
      </w:r>
    </w:p>
    <w:p w:rsidR="00683647" w:rsidRDefault="00C67D94" w:rsidP="006B2A31">
      <w:pPr>
        <w:jc w:val="both"/>
      </w:pPr>
      <w:r>
        <w:t>A</w:t>
      </w:r>
      <w:r w:rsidRPr="0073570E">
        <w:t xml:space="preserve">lthough </w:t>
      </w:r>
      <w:r>
        <w:t>many areas of law have</w:t>
      </w:r>
      <w:r w:rsidRPr="0073570E">
        <w:t xml:space="preserve"> been exposed to a </w:t>
      </w:r>
      <w:proofErr w:type="spellStart"/>
      <w:r w:rsidRPr="0073570E">
        <w:t>medicalisation</w:t>
      </w:r>
      <w:proofErr w:type="spellEnd"/>
      <w:r w:rsidRPr="0073570E">
        <w:t xml:space="preserve"> analysis, relatively little attention has been paid thus far to the potential for </w:t>
      </w:r>
      <w:proofErr w:type="spellStart"/>
      <w:r w:rsidRPr="0073570E">
        <w:t>medicalisation</w:t>
      </w:r>
      <w:proofErr w:type="spellEnd"/>
      <w:r w:rsidRPr="0073570E">
        <w:t xml:space="preserve"> in the construction of P’s capacity in the </w:t>
      </w:r>
      <w:r>
        <w:t>Court of Protection</w:t>
      </w:r>
      <w:r w:rsidRPr="0073570E">
        <w:t>.</w:t>
      </w:r>
      <w:r w:rsidRPr="0073570E">
        <w:rPr>
          <w:rStyle w:val="FootnoteReference"/>
        </w:rPr>
        <w:footnoteReference w:id="158"/>
      </w:r>
      <w:r>
        <w:t xml:space="preserve"> </w:t>
      </w:r>
      <w:r w:rsidR="0032614A" w:rsidRPr="0073570E">
        <w:t xml:space="preserve">It is tempting to view </w:t>
      </w:r>
      <w:proofErr w:type="spellStart"/>
      <w:r w:rsidR="0032614A" w:rsidRPr="0073570E">
        <w:t>medicalisation</w:t>
      </w:r>
      <w:proofErr w:type="spellEnd"/>
      <w:r w:rsidR="0032614A" w:rsidRPr="0073570E">
        <w:t xml:space="preserve"> as a ‘</w:t>
      </w:r>
      <w:r w:rsidR="00585AE7">
        <w:t>m</w:t>
      </w:r>
      <w:r w:rsidR="0032614A" w:rsidRPr="0073570E">
        <w:t xml:space="preserve">irror of </w:t>
      </w:r>
      <w:proofErr w:type="spellStart"/>
      <w:r w:rsidR="0032614A" w:rsidRPr="0073570E">
        <w:t>Erised</w:t>
      </w:r>
      <w:proofErr w:type="spellEnd"/>
      <w:r w:rsidR="0032614A" w:rsidRPr="0073570E">
        <w:t>,’</w:t>
      </w:r>
      <w:r w:rsidR="0032614A" w:rsidRPr="0073570E">
        <w:rPr>
          <w:rStyle w:val="FootnoteReference"/>
        </w:rPr>
        <w:footnoteReference w:id="159"/>
      </w:r>
      <w:r w:rsidR="0032614A" w:rsidRPr="0073570E">
        <w:t xml:space="preserve"> a concept so malleable and indefinite that it has become a lens through which academics see what they want to see.  </w:t>
      </w:r>
      <w:r w:rsidR="002F333E" w:rsidRPr="0073570E">
        <w:t>For, on the one hand, d</w:t>
      </w:r>
      <w:r w:rsidR="006B2A31" w:rsidRPr="0073570E">
        <w:t xml:space="preserve">espite judgments explicitly asserting the upper hand in mental capacity assessment, </w:t>
      </w:r>
      <w:r w:rsidR="003B0B7E" w:rsidRPr="0073570E">
        <w:t xml:space="preserve">this study suggests that </w:t>
      </w:r>
      <w:r w:rsidR="006B2A31" w:rsidRPr="0073570E">
        <w:t xml:space="preserve">both statute and judgments from the </w:t>
      </w:r>
      <w:proofErr w:type="spellStart"/>
      <w:r w:rsidR="00D436F8">
        <w:t>CoP</w:t>
      </w:r>
      <w:proofErr w:type="spellEnd"/>
      <w:r w:rsidR="00D436F8">
        <w:t xml:space="preserve"> </w:t>
      </w:r>
      <w:r w:rsidR="006B2A31" w:rsidRPr="0073570E">
        <w:t xml:space="preserve">have to some extent endorsed mental capacity as largely the domain of medical expertise (specifically that of psychiatry). </w:t>
      </w:r>
      <w:r w:rsidR="00CB5DC4" w:rsidRPr="0073570E">
        <w:t xml:space="preserve">The import of the diagnostic threshold looms large here – once P is regarded as suffering from an impairment (whether mental disorder or brain dysfunction) the inclination to </w:t>
      </w:r>
      <w:proofErr w:type="spellStart"/>
      <w:r w:rsidR="00CB5DC4" w:rsidRPr="0073570E">
        <w:t>pathologise</w:t>
      </w:r>
      <w:proofErr w:type="spellEnd"/>
      <w:r w:rsidR="00CB5DC4" w:rsidRPr="0073570E">
        <w:t xml:space="preserve"> aspects of P’s behaviour is strong</w:t>
      </w:r>
      <w:r w:rsidR="00683647">
        <w:t>, and the courts must show resilience if the CRPD’s non-discriminatory vision is to be delivered</w:t>
      </w:r>
      <w:r w:rsidR="00CB5DC4" w:rsidRPr="0073570E">
        <w:t xml:space="preserve">. </w:t>
      </w:r>
    </w:p>
    <w:p w:rsidR="006B2A31" w:rsidRPr="0073570E" w:rsidRDefault="00C322CF" w:rsidP="006B2A31">
      <w:pPr>
        <w:jc w:val="both"/>
      </w:pPr>
      <w:r w:rsidRPr="0073570E">
        <w:t xml:space="preserve">Taken collectively, the sheer number of ‘medical’ experts called to give evidence on the issue of capacity, the fact that they are routinely asked for their views on whether P’s incapacity is demonstrated according to the (non-medical) functional criteria and the rarity with which the </w:t>
      </w:r>
      <w:proofErr w:type="spellStart"/>
      <w:r w:rsidRPr="0073570E">
        <w:t>CoP</w:t>
      </w:r>
      <w:proofErr w:type="spellEnd"/>
      <w:r w:rsidRPr="0073570E">
        <w:t xml:space="preserve"> appears to depart from unanimous medical opinion on capacity, tend to shore up suggestions that </w:t>
      </w:r>
      <w:r w:rsidR="006B2A31" w:rsidRPr="0073570E">
        <w:t xml:space="preserve">the </w:t>
      </w:r>
      <w:r w:rsidR="00977E20" w:rsidRPr="0073570E">
        <w:t xml:space="preserve">law is characterised by </w:t>
      </w:r>
      <w:r w:rsidR="006B2A31" w:rsidRPr="0073570E">
        <w:t>a ‘deferential’ or even ‘</w:t>
      </w:r>
      <w:proofErr w:type="spellStart"/>
      <w:r w:rsidR="006B2A31" w:rsidRPr="0073570E">
        <w:t>medicalised</w:t>
      </w:r>
      <w:proofErr w:type="spellEnd"/>
      <w:r w:rsidR="006B2A31" w:rsidRPr="0073570E">
        <w:t>’ approach to medical evidence on this issue</w:t>
      </w:r>
      <w:r w:rsidRPr="0073570E">
        <w:t xml:space="preserve">. But direct evidence of deference </w:t>
      </w:r>
      <w:r w:rsidR="00977E20" w:rsidRPr="0073570E">
        <w:t xml:space="preserve">from the judgments </w:t>
      </w:r>
      <w:r w:rsidRPr="0073570E">
        <w:t>is elusive</w:t>
      </w:r>
      <w:r w:rsidR="006B2A31" w:rsidRPr="0073570E">
        <w:t xml:space="preserve">.  </w:t>
      </w:r>
      <w:r w:rsidR="003B0B7E" w:rsidRPr="0073570E">
        <w:t>D</w:t>
      </w:r>
      <w:r w:rsidR="006B2A31" w:rsidRPr="0073570E">
        <w:t xml:space="preserve">rawing from a sample of 66 </w:t>
      </w:r>
      <w:proofErr w:type="spellStart"/>
      <w:r w:rsidR="006B2A31" w:rsidRPr="0073570E">
        <w:t>CoP</w:t>
      </w:r>
      <w:proofErr w:type="spellEnd"/>
      <w:r w:rsidR="006B2A31" w:rsidRPr="0073570E">
        <w:t xml:space="preserve"> judgments where the issue of mental capacity was examined in detail, a mixed picture of </w:t>
      </w:r>
      <w:r w:rsidR="00683647" w:rsidRPr="00683647">
        <w:t>both</w:t>
      </w:r>
      <w:r w:rsidR="00683647">
        <w:rPr>
          <w:i/>
        </w:rPr>
        <w:t xml:space="preserve"> </w:t>
      </w:r>
      <w:r w:rsidR="006B2A31" w:rsidRPr="0073570E">
        <w:t>deference</w:t>
      </w:r>
      <w:r w:rsidR="006B2A31" w:rsidRPr="00683647">
        <w:rPr>
          <w:i/>
        </w:rPr>
        <w:t xml:space="preserve"> and</w:t>
      </w:r>
      <w:r w:rsidR="006B2A31" w:rsidRPr="0073570E">
        <w:t xml:space="preserve"> robust scrutiny</w:t>
      </w:r>
      <w:r w:rsidR="00956276" w:rsidRPr="0073570E">
        <w:t xml:space="preserve"> </w:t>
      </w:r>
      <w:r w:rsidR="006B2A31" w:rsidRPr="0073570E">
        <w:t xml:space="preserve">emerged. </w:t>
      </w:r>
      <w:r w:rsidRPr="0073570E">
        <w:t>Whilst i</w:t>
      </w:r>
      <w:r w:rsidR="006B2A31" w:rsidRPr="0073570E">
        <w:t xml:space="preserve">t is </w:t>
      </w:r>
      <w:r w:rsidR="00F570CE" w:rsidRPr="0073570E">
        <w:t xml:space="preserve">certainly </w:t>
      </w:r>
      <w:r w:rsidR="006B2A31" w:rsidRPr="0073570E">
        <w:t xml:space="preserve">possible to </w:t>
      </w:r>
      <w:r w:rsidR="00C00E42" w:rsidRPr="0073570E">
        <w:t xml:space="preserve">agree </w:t>
      </w:r>
      <w:r w:rsidR="00222177" w:rsidRPr="0073570E">
        <w:t>that post-</w:t>
      </w:r>
      <w:r w:rsidR="006B2A31" w:rsidRPr="0073570E">
        <w:t>MCA</w:t>
      </w:r>
      <w:r w:rsidR="00222177" w:rsidRPr="0073570E">
        <w:t>,</w:t>
      </w:r>
      <w:r w:rsidR="006B2A31" w:rsidRPr="0073570E">
        <w:t xml:space="preserve"> the courts are very unlikely to depart from medical evidence even on the issue of the whether P is ‘unable to make a decision</w:t>
      </w:r>
      <w:r w:rsidRPr="0073570E">
        <w:t>,</w:t>
      </w:r>
      <w:r w:rsidR="006B2A31" w:rsidRPr="0073570E">
        <w:t xml:space="preserve">’ </w:t>
      </w:r>
      <w:r w:rsidRPr="0073570E">
        <w:t>t</w:t>
      </w:r>
      <w:r w:rsidR="006B2A31" w:rsidRPr="0073570E">
        <w:t>he</w:t>
      </w:r>
      <w:r w:rsidR="00956276" w:rsidRPr="0073570E">
        <w:t xml:space="preserve"> relationship between adoption or rejection of the expert view and judicial scrutiny is complex. A decision departing from medical opinion does not necessarily demonstrate a non-deferential approach. </w:t>
      </w:r>
      <w:proofErr w:type="gramStart"/>
      <w:r w:rsidR="00956276" w:rsidRPr="0073570E">
        <w:t xml:space="preserve">Equally, evidence of non-deference approximating ‘judicial diagnosis’ is evident in a number of cases where the </w:t>
      </w:r>
      <w:proofErr w:type="spellStart"/>
      <w:r w:rsidR="00683647">
        <w:t>CoP</w:t>
      </w:r>
      <w:proofErr w:type="spellEnd"/>
      <w:r w:rsidR="00683647">
        <w:t xml:space="preserve"> chose </w:t>
      </w:r>
      <w:r w:rsidR="00956276" w:rsidRPr="0073570E">
        <w:t xml:space="preserve">between competing medical </w:t>
      </w:r>
      <w:r w:rsidR="00977E20" w:rsidRPr="0073570E">
        <w:t>views on capacity</w:t>
      </w:r>
      <w:r w:rsidR="00956276" w:rsidRPr="0073570E">
        <w:t>.</w:t>
      </w:r>
      <w:proofErr w:type="gramEnd"/>
      <w:r w:rsidR="00956276" w:rsidRPr="0073570E">
        <w:t xml:space="preserve">  </w:t>
      </w:r>
      <w:r w:rsidR="00A52AC6">
        <w:t xml:space="preserve">Within the negotiable territory of the functional criteria, </w:t>
      </w:r>
      <w:r w:rsidR="00683647">
        <w:t xml:space="preserve">the </w:t>
      </w:r>
      <w:proofErr w:type="spellStart"/>
      <w:r w:rsidR="00683647">
        <w:t>CoP</w:t>
      </w:r>
      <w:proofErr w:type="spellEnd"/>
      <w:r w:rsidR="005444AE">
        <w:t xml:space="preserve"> </w:t>
      </w:r>
      <w:r w:rsidR="007C44D2" w:rsidRPr="0073570E">
        <w:t>claim</w:t>
      </w:r>
      <w:r w:rsidR="00683647">
        <w:t>s</w:t>
      </w:r>
      <w:r w:rsidR="007C44D2" w:rsidRPr="0073570E">
        <w:t xml:space="preserve"> jurisdiction, and</w:t>
      </w:r>
      <w:r w:rsidR="00683647">
        <w:t xml:space="preserve"> has</w:t>
      </w:r>
      <w:r w:rsidR="007C44D2" w:rsidRPr="0073570E">
        <w:t xml:space="preserve"> </w:t>
      </w:r>
      <w:r w:rsidR="009D25EF" w:rsidRPr="0073570E">
        <w:t>repeatedly manifest</w:t>
      </w:r>
      <w:r w:rsidR="00683647">
        <w:t>ed</w:t>
      </w:r>
      <w:r w:rsidR="009D25EF" w:rsidRPr="0073570E">
        <w:t xml:space="preserve"> a</w:t>
      </w:r>
      <w:r w:rsidR="00F570CE" w:rsidRPr="0073570E">
        <w:t xml:space="preserve"> determination to oppose </w:t>
      </w:r>
      <w:proofErr w:type="spellStart"/>
      <w:r w:rsidR="00F570CE" w:rsidRPr="0073570E">
        <w:t>medicalised</w:t>
      </w:r>
      <w:proofErr w:type="spellEnd"/>
      <w:r w:rsidR="00F570CE" w:rsidRPr="0073570E">
        <w:t xml:space="preserve"> construction</w:t>
      </w:r>
      <w:r w:rsidR="009D25EF" w:rsidRPr="0073570E">
        <w:t>s</w:t>
      </w:r>
      <w:r w:rsidR="00F570CE" w:rsidRPr="0073570E">
        <w:t xml:space="preserve"> of P’s behaviour</w:t>
      </w:r>
      <w:r w:rsidR="007C44D2" w:rsidRPr="0073570E">
        <w:t xml:space="preserve">. These judgments do not sit well with a </w:t>
      </w:r>
      <w:proofErr w:type="spellStart"/>
      <w:r w:rsidR="007C44D2" w:rsidRPr="0073570E">
        <w:t>medicalised</w:t>
      </w:r>
      <w:proofErr w:type="spellEnd"/>
      <w:r w:rsidR="007C44D2" w:rsidRPr="0073570E">
        <w:t xml:space="preserve"> account of capacity and</w:t>
      </w:r>
      <w:r w:rsidRPr="0073570E">
        <w:t xml:space="preserve"> demonstrate</w:t>
      </w:r>
      <w:r w:rsidR="007C44D2" w:rsidRPr="0073570E">
        <w:t xml:space="preserve"> an approach which is</w:t>
      </w:r>
      <w:r w:rsidR="005444AE">
        <w:t>, in many ways,</w:t>
      </w:r>
      <w:r w:rsidR="007C44D2" w:rsidRPr="0073570E">
        <w:t xml:space="preserve"> antithetical to supposed </w:t>
      </w:r>
      <w:r w:rsidR="00F570CE" w:rsidRPr="0073570E">
        <w:t xml:space="preserve">deference to clinical judgement. </w:t>
      </w:r>
    </w:p>
    <w:p w:rsidR="00EA14AA" w:rsidRPr="0073570E" w:rsidRDefault="00FC6050" w:rsidP="00FC6050">
      <w:pPr>
        <w:jc w:val="both"/>
        <w:rPr>
          <w:rFonts w:cs="Calibri"/>
        </w:rPr>
      </w:pPr>
      <w:r w:rsidRPr="0073570E">
        <w:lastRenderedPageBreak/>
        <w:t xml:space="preserve">The court’s willingness to take on board </w:t>
      </w:r>
      <w:proofErr w:type="gramStart"/>
      <w:r w:rsidRPr="0073570E">
        <w:t>lay</w:t>
      </w:r>
      <w:proofErr w:type="gramEnd"/>
      <w:r w:rsidRPr="0073570E">
        <w:t xml:space="preserve"> evidence (from P and P’s family) to make a finding against the weight of professional expert evidence </w:t>
      </w:r>
      <w:r w:rsidR="00977E20" w:rsidRPr="0073570E">
        <w:t xml:space="preserve">has also </w:t>
      </w:r>
      <w:r w:rsidRPr="0073570E">
        <w:t>provide</w:t>
      </w:r>
      <w:r w:rsidR="00977E20" w:rsidRPr="0073570E">
        <w:t>d</w:t>
      </w:r>
      <w:r w:rsidRPr="0073570E">
        <w:t xml:space="preserve"> a fundamental safeguard against excessive deference to medical opinion. This is underscored by the fact that in cases such as </w:t>
      </w:r>
      <w:r w:rsidRPr="0073570E">
        <w:rPr>
          <w:i/>
        </w:rPr>
        <w:t>CC, SB,</w:t>
      </w:r>
      <w:r w:rsidRPr="0073570E">
        <w:t xml:space="preserve"> </w:t>
      </w:r>
      <w:proofErr w:type="gramStart"/>
      <w:r w:rsidRPr="0073570E">
        <w:rPr>
          <w:i/>
        </w:rPr>
        <w:t>IA</w:t>
      </w:r>
      <w:proofErr w:type="gramEnd"/>
      <w:r w:rsidRPr="0073570E">
        <w:t xml:space="preserve"> and </w:t>
      </w:r>
      <w:r w:rsidRPr="0073570E">
        <w:rPr>
          <w:i/>
        </w:rPr>
        <w:t>X</w:t>
      </w:r>
      <w:r w:rsidRPr="0073570E">
        <w:t>, it was the evidence of P which was clearly crucial in tipping the scales against a finding of incapacity.</w:t>
      </w:r>
      <w:r w:rsidRPr="0073570E">
        <w:rPr>
          <w:rStyle w:val="FootnoteReference"/>
        </w:rPr>
        <w:footnoteReference w:id="160"/>
      </w:r>
      <w:r w:rsidRPr="0073570E">
        <w:t xml:space="preserve"> But lay voices will often be absent from these proceedings, and the level of judicial scrutiny of the capacity question should not be contingent on whether P can participate in proceedings, and whether P has family or a close </w:t>
      </w:r>
      <w:r w:rsidR="005444AE">
        <w:t xml:space="preserve">friend </w:t>
      </w:r>
      <w:r w:rsidRPr="0073570E">
        <w:t>who can proffer evidence on P’s capacity to make a decision. Rather, it might be worth considering whether the nature of mental capacity as a social construct necessitates a broader range of expertise being heard</w:t>
      </w:r>
      <w:r w:rsidR="003B0B7E" w:rsidRPr="0073570E">
        <w:t xml:space="preserve"> than is currently the case</w:t>
      </w:r>
      <w:r w:rsidRPr="0073570E">
        <w:t xml:space="preserve">. </w:t>
      </w:r>
      <w:r w:rsidR="00C322CF" w:rsidRPr="0073570E">
        <w:t>The need for a multidimensional approach to capacity assessment which is not hostage to any particular discipline is crucial if the Court of Protection Rules’ ‘overriding objective’ of ‘deciding cases justly’</w:t>
      </w:r>
      <w:r w:rsidR="00C322CF" w:rsidRPr="0073570E">
        <w:rPr>
          <w:rStyle w:val="FootnoteReference"/>
        </w:rPr>
        <w:footnoteReference w:id="161"/>
      </w:r>
      <w:r w:rsidR="00C322CF" w:rsidRPr="0073570E">
        <w:t xml:space="preserve"> is to be achieved. </w:t>
      </w:r>
      <w:r w:rsidR="00C322CF" w:rsidRPr="0073570E">
        <w:rPr>
          <w:color w:val="000000"/>
          <w:lang w:eastAsia="en-GB"/>
        </w:rPr>
        <w:t xml:space="preserve">The </w:t>
      </w:r>
      <w:r w:rsidR="00C322CF" w:rsidRPr="0073570E">
        <w:rPr>
          <w:i/>
          <w:color w:val="000000"/>
          <w:lang w:eastAsia="en-GB"/>
        </w:rPr>
        <w:t>JB</w:t>
      </w:r>
      <w:r w:rsidR="00C322CF" w:rsidRPr="0073570E">
        <w:rPr>
          <w:color w:val="000000"/>
          <w:lang w:eastAsia="en-GB"/>
        </w:rPr>
        <w:t xml:space="preserve"> judgment cited above which manifested clear evidence of forensic scepticism is also explicit in recognising the need for something close to epistemic diversity: </w:t>
      </w:r>
      <w:r w:rsidR="00C322CF" w:rsidRPr="0073570E">
        <w:rPr>
          <w:rFonts w:cs="Calibri"/>
        </w:rPr>
        <w:t>‘Bearing in mind JB's longstanding mental illness it is entirely appropriate that the core assessment of her capacity comes from psychiatrists,</w:t>
      </w:r>
      <w:r w:rsidR="00C322CF" w:rsidRPr="0073570E">
        <w:rPr>
          <w:rFonts w:cs="Calibri"/>
          <w:i/>
        </w:rPr>
        <w:t xml:space="preserve"> </w:t>
      </w:r>
      <w:r w:rsidR="00C322CF" w:rsidRPr="0073570E">
        <w:rPr>
          <w:rFonts w:cs="Calibri,Italic"/>
          <w:i/>
          <w:iCs/>
        </w:rPr>
        <w:t>but other disciplines also have an important contribution to make</w:t>
      </w:r>
      <w:r w:rsidR="00C322CF" w:rsidRPr="0073570E">
        <w:rPr>
          <w:rFonts w:cs="Calibri"/>
          <w:i/>
        </w:rPr>
        <w:t>.’</w:t>
      </w:r>
      <w:r w:rsidR="00C322CF" w:rsidRPr="0073570E">
        <w:rPr>
          <w:rStyle w:val="FootnoteReference"/>
          <w:rFonts w:cs="Calibri"/>
        </w:rPr>
        <w:footnoteReference w:id="162"/>
      </w:r>
      <w:r w:rsidR="00C322CF" w:rsidRPr="0073570E">
        <w:rPr>
          <w:rFonts w:cs="Calibri"/>
        </w:rPr>
        <w:t xml:space="preserve"> </w:t>
      </w:r>
      <w:r w:rsidR="00475B83" w:rsidRPr="0073570E">
        <w:rPr>
          <w:rFonts w:cs="Calibri"/>
        </w:rPr>
        <w:t>Further research is merited on how other disciplines, such as psychology, social work or even philosophy might contribute to capacity assessment.</w:t>
      </w:r>
    </w:p>
    <w:p w:rsidR="00861356" w:rsidRDefault="0032614A" w:rsidP="00861356">
      <w:pPr>
        <w:jc w:val="both"/>
      </w:pPr>
      <w:r w:rsidRPr="0073570E">
        <w:t>The</w:t>
      </w:r>
      <w:r w:rsidR="00124D56">
        <w:t xml:space="preserve"> themes of </w:t>
      </w:r>
      <w:proofErr w:type="spellStart"/>
      <w:r w:rsidR="00124D56">
        <w:t>medicalisation</w:t>
      </w:r>
      <w:proofErr w:type="spellEnd"/>
      <w:r w:rsidRPr="0073570E">
        <w:t xml:space="preserve"> have usefully</w:t>
      </w:r>
      <w:r w:rsidR="00861356" w:rsidRPr="0073570E">
        <w:t xml:space="preserve"> illuminat</w:t>
      </w:r>
      <w:r w:rsidR="00977E20" w:rsidRPr="0073570E">
        <w:t>ed</w:t>
      </w:r>
      <w:r w:rsidR="00861356" w:rsidRPr="0073570E">
        <w:t xml:space="preserve"> certain tensions in the business of capacity assessment, in particular the import of the dominance of medical voices versus the multidisciplinary nature of capacity. </w:t>
      </w:r>
      <w:r w:rsidR="00977E20" w:rsidRPr="0073570E">
        <w:t xml:space="preserve">The picture which has emerged includes components of both </w:t>
      </w:r>
      <w:proofErr w:type="spellStart"/>
      <w:r w:rsidR="00977E20" w:rsidRPr="0073570E">
        <w:t>medicalisation</w:t>
      </w:r>
      <w:proofErr w:type="spellEnd"/>
      <w:r w:rsidR="00977E20" w:rsidRPr="0073570E">
        <w:t xml:space="preserve"> </w:t>
      </w:r>
      <w:r w:rsidR="00977E20" w:rsidRPr="00683647">
        <w:t>and</w:t>
      </w:r>
      <w:r w:rsidR="00977E20" w:rsidRPr="0073570E">
        <w:t xml:space="preserve"> </w:t>
      </w:r>
      <w:r w:rsidR="00D436F8">
        <w:t xml:space="preserve">of the court robustly asserting jurisdiction on capacity. These dynamics in the judgments </w:t>
      </w:r>
      <w:r w:rsidR="00977E20" w:rsidRPr="0073570E">
        <w:t xml:space="preserve">are, in this context, often mutually reinforcing. </w:t>
      </w:r>
      <w:r w:rsidR="00861356" w:rsidRPr="0073570E">
        <w:t>Just as the law is increasingly reverted to in order to legitimise decisions made in the clinical domain</w:t>
      </w:r>
      <w:r w:rsidR="00861356" w:rsidRPr="0073570E">
        <w:rPr>
          <w:rStyle w:val="FootnoteReference"/>
        </w:rPr>
        <w:footnoteReference w:id="163"/>
      </w:r>
      <w:r w:rsidR="00861356" w:rsidRPr="0073570E">
        <w:t xml:space="preserve">, expert medical evidence plays a role in legitimising the law’s judgements. The twin authorities of medicine and law mutually reinforce the legitimacy of the other in resolving contentious cases. </w:t>
      </w:r>
      <w:r w:rsidR="00977E20" w:rsidRPr="0073570E">
        <w:t xml:space="preserve">This intertwining of jurisdictions, </w:t>
      </w:r>
      <w:r w:rsidR="00980B1E" w:rsidRPr="0073570E">
        <w:t xml:space="preserve">a phenomenon </w:t>
      </w:r>
      <w:r w:rsidR="00977E20" w:rsidRPr="0073570E">
        <w:t>which might be termed medico-</w:t>
      </w:r>
      <w:proofErr w:type="gramStart"/>
      <w:r w:rsidR="00977E20" w:rsidRPr="0073570E">
        <w:t>legalisation,</w:t>
      </w:r>
      <w:proofErr w:type="gramEnd"/>
      <w:r w:rsidR="00977E20" w:rsidRPr="0073570E">
        <w:t xml:space="preserve"> </w:t>
      </w:r>
      <w:r w:rsidR="00861356" w:rsidRPr="0073570E">
        <w:t>provides much needed certainty for th</w:t>
      </w:r>
      <w:r w:rsidR="00980B1E" w:rsidRPr="0073570E">
        <w:t>e parties on the issue at hand. Reliance on expert evidence in a framework of judicial authority, reinforced by the rhetoric of the law’s supremacy, aids this illusion of certainty</w:t>
      </w:r>
      <w:r w:rsidR="009B1170" w:rsidRPr="0073570E">
        <w:t>,</w:t>
      </w:r>
      <w:r w:rsidR="005444AE">
        <w:t xml:space="preserve"> objectivity and</w:t>
      </w:r>
      <w:r w:rsidR="009B1170" w:rsidRPr="0073570E">
        <w:t xml:space="preserve"> </w:t>
      </w:r>
      <w:r w:rsidR="005444AE">
        <w:t>value free judgement</w:t>
      </w:r>
      <w:r w:rsidR="009B1170" w:rsidRPr="0073570E">
        <w:t xml:space="preserve"> and </w:t>
      </w:r>
      <w:r w:rsidR="00414BD8" w:rsidRPr="0073570E">
        <w:t>can provide much needed ‘closure’</w:t>
      </w:r>
      <w:r w:rsidR="00980B1E" w:rsidRPr="0073570E">
        <w:t xml:space="preserve"> for the family </w:t>
      </w:r>
      <w:r w:rsidR="00414BD8" w:rsidRPr="0073570E">
        <w:t xml:space="preserve">whilst also </w:t>
      </w:r>
      <w:r w:rsidR="00980B1E" w:rsidRPr="0073570E">
        <w:t>facilitat</w:t>
      </w:r>
      <w:r w:rsidR="00414BD8" w:rsidRPr="0073570E">
        <w:t>ing</w:t>
      </w:r>
      <w:r w:rsidR="00980B1E" w:rsidRPr="0073570E">
        <w:t xml:space="preserve"> public confidence in </w:t>
      </w:r>
      <w:r w:rsidR="00683647">
        <w:t>case</w:t>
      </w:r>
      <w:r w:rsidR="00980B1E" w:rsidRPr="0073570E">
        <w:t xml:space="preserve"> outcome</w:t>
      </w:r>
      <w:r w:rsidR="00683647">
        <w:t>s</w:t>
      </w:r>
      <w:r w:rsidR="00980B1E" w:rsidRPr="0073570E">
        <w:t xml:space="preserve">. </w:t>
      </w:r>
      <w:r w:rsidR="009B1170" w:rsidRPr="0073570E">
        <w:t xml:space="preserve">The functional benefits of this partnership </w:t>
      </w:r>
      <w:r w:rsidR="004A3536">
        <w:t>need</w:t>
      </w:r>
      <w:r w:rsidR="00683647">
        <w:t>, however,</w:t>
      </w:r>
      <w:r w:rsidR="004A3536">
        <w:t xml:space="preserve"> to be balanced with </w:t>
      </w:r>
      <w:r w:rsidR="009B1170" w:rsidRPr="0073570E">
        <w:t xml:space="preserve">justifiable concerns. </w:t>
      </w:r>
      <w:proofErr w:type="gramStart"/>
      <w:r w:rsidR="004A3536">
        <w:t>Relying too heavily on medical judgement</w:t>
      </w:r>
      <w:r w:rsidR="009B1170" w:rsidRPr="0073570E">
        <w:t xml:space="preserve"> risks</w:t>
      </w:r>
      <w:r w:rsidR="00861356" w:rsidRPr="0073570E">
        <w:t xml:space="preserve"> gloss</w:t>
      </w:r>
      <w:r w:rsidR="00980B1E" w:rsidRPr="0073570E">
        <w:t>ing</w:t>
      </w:r>
      <w:r w:rsidR="00861356" w:rsidRPr="0073570E">
        <w:t xml:space="preserve"> over the normative, social nature of capacity assessment</w:t>
      </w:r>
      <w:r w:rsidR="00570A97" w:rsidRPr="0073570E">
        <w:t xml:space="preserve"> and excluding other voices</w:t>
      </w:r>
      <w:r w:rsidR="004A3536">
        <w:t>, a position which is unsustainable</w:t>
      </w:r>
      <w:r w:rsidR="002B70E8">
        <w:t>.</w:t>
      </w:r>
      <w:proofErr w:type="gramEnd"/>
      <w:r w:rsidR="002B70E8">
        <w:t xml:space="preserve"> </w:t>
      </w:r>
      <w:r w:rsidR="004A3536">
        <w:t xml:space="preserve">Heavy reliance on </w:t>
      </w:r>
      <w:r w:rsidR="002B70E8">
        <w:t xml:space="preserve">psychiatry in the assessment of capacity </w:t>
      </w:r>
      <w:r w:rsidR="004A3536">
        <w:t xml:space="preserve">without clear justification </w:t>
      </w:r>
      <w:r w:rsidR="000572E2">
        <w:t>risks</w:t>
      </w:r>
      <w:r w:rsidR="002B70E8">
        <w:t xml:space="preserve"> introduc</w:t>
      </w:r>
      <w:r w:rsidR="000572E2">
        <w:t>ing</w:t>
      </w:r>
      <w:r w:rsidR="002B70E8">
        <w:t xml:space="preserve">  arbitrariness in</w:t>
      </w:r>
      <w:r w:rsidR="004A3536">
        <w:t>to</w:t>
      </w:r>
      <w:r w:rsidR="002B70E8">
        <w:t xml:space="preserve"> the determination of </w:t>
      </w:r>
      <w:r w:rsidR="000572E2">
        <w:t>fundamental</w:t>
      </w:r>
      <w:r w:rsidR="002B70E8">
        <w:t xml:space="preserve"> </w:t>
      </w:r>
      <w:r w:rsidR="000572E2">
        <w:t xml:space="preserve">human rights (right to a private life, </w:t>
      </w:r>
      <w:r w:rsidR="002B70E8">
        <w:t>Article 8</w:t>
      </w:r>
      <w:r w:rsidR="000572E2">
        <w:t xml:space="preserve"> ECHR</w:t>
      </w:r>
      <w:r w:rsidR="002B70E8">
        <w:t xml:space="preserve">) and </w:t>
      </w:r>
      <w:r w:rsidR="000572E2">
        <w:t xml:space="preserve">legal </w:t>
      </w:r>
      <w:r w:rsidR="000572E2">
        <w:lastRenderedPageBreak/>
        <w:t xml:space="preserve">capacity </w:t>
      </w:r>
      <w:r w:rsidR="002B70E8">
        <w:t>(Article 12</w:t>
      </w:r>
      <w:r w:rsidR="000572E2">
        <w:t xml:space="preserve"> CRPD</w:t>
      </w:r>
      <w:r w:rsidR="002B70E8">
        <w:t>)</w:t>
      </w:r>
      <w:r w:rsidR="00861356" w:rsidRPr="0073570E">
        <w:t>.</w:t>
      </w:r>
      <w:r w:rsidR="00570A97" w:rsidRPr="0073570E">
        <w:t xml:space="preserve"> A procedure which </w:t>
      </w:r>
      <w:r w:rsidR="004A3536">
        <w:t xml:space="preserve">better </w:t>
      </w:r>
      <w:r w:rsidR="00570A97" w:rsidRPr="0073570E">
        <w:t>embraces epistemic diversity would be preferable, but there is much research to be done to identify how and, according to what model of decision making, that might be achieved.</w:t>
      </w:r>
      <w:r w:rsidR="00861356" w:rsidRPr="0073570E">
        <w:t xml:space="preserve"> </w:t>
      </w:r>
    </w:p>
    <w:p w:rsidR="00CA56F8" w:rsidRPr="00C858A0" w:rsidRDefault="00CA56F8" w:rsidP="00861356">
      <w:pPr>
        <w:jc w:val="both"/>
        <w:rPr>
          <w:i/>
        </w:rPr>
      </w:pPr>
      <w:r w:rsidRPr="00C858A0">
        <w:rPr>
          <w:i/>
        </w:rPr>
        <w:t>Acknowledgements</w:t>
      </w:r>
    </w:p>
    <w:p w:rsidR="00CA56F8" w:rsidRPr="0073570E" w:rsidRDefault="00CA56F8" w:rsidP="00861356">
      <w:pPr>
        <w:jc w:val="both"/>
      </w:pPr>
      <w:r>
        <w:t xml:space="preserve">The author is very grateful for the </w:t>
      </w:r>
      <w:r w:rsidR="0097748B">
        <w:t xml:space="preserve">helpful </w:t>
      </w:r>
      <w:r>
        <w:t xml:space="preserve">comments of the anonymous </w:t>
      </w:r>
      <w:r w:rsidRPr="00CA56F8">
        <w:rPr>
          <w:i/>
        </w:rPr>
        <w:t>Medical Law International</w:t>
      </w:r>
      <w:r>
        <w:t xml:space="preserve"> Reviewers on an earlier draft of this paper. </w:t>
      </w:r>
    </w:p>
    <w:p w:rsidR="00861356" w:rsidRPr="0073570E" w:rsidRDefault="00861356" w:rsidP="00FC6050">
      <w:pPr>
        <w:jc w:val="both"/>
      </w:pPr>
    </w:p>
    <w:sectPr w:rsidR="00861356" w:rsidRPr="0073570E" w:rsidSect="009E75F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E6" w:rsidRDefault="00B333E6" w:rsidP="001A4179">
      <w:pPr>
        <w:spacing w:after="0" w:line="240" w:lineRule="auto"/>
      </w:pPr>
      <w:r>
        <w:separator/>
      </w:r>
    </w:p>
  </w:endnote>
  <w:endnote w:type="continuationSeparator" w:id="0">
    <w:p w:rsidR="00B333E6" w:rsidRDefault="00B333E6" w:rsidP="001A4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OT863180fb">
    <w:panose1 w:val="00000000000000000000"/>
    <w:charset w:val="00"/>
    <w:family w:val="roman"/>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1580"/>
      <w:docPartObj>
        <w:docPartGallery w:val="Page Numbers (Bottom of Page)"/>
        <w:docPartUnique/>
      </w:docPartObj>
    </w:sdtPr>
    <w:sdtEndPr>
      <w:rPr>
        <w:color w:val="7F7F7F" w:themeColor="background1" w:themeShade="7F"/>
        <w:spacing w:val="60"/>
      </w:rPr>
    </w:sdtEndPr>
    <w:sdtContent>
      <w:p w:rsidR="002F164D" w:rsidRDefault="001C1D28">
        <w:pPr>
          <w:pStyle w:val="Footer"/>
          <w:pBdr>
            <w:top w:val="single" w:sz="4" w:space="1" w:color="D9D9D9" w:themeColor="background1" w:themeShade="D9"/>
          </w:pBdr>
          <w:rPr>
            <w:b/>
          </w:rPr>
        </w:pPr>
        <w:r w:rsidRPr="001C1D28">
          <w:fldChar w:fldCharType="begin"/>
        </w:r>
        <w:r w:rsidR="002F164D">
          <w:instrText xml:space="preserve"> PAGE   \* MERGEFORMAT </w:instrText>
        </w:r>
        <w:r w:rsidRPr="001C1D28">
          <w:fldChar w:fldCharType="separate"/>
        </w:r>
        <w:r w:rsidR="00C869BF" w:rsidRPr="00C869BF">
          <w:rPr>
            <w:b/>
            <w:noProof/>
          </w:rPr>
          <w:t>29</w:t>
        </w:r>
        <w:r>
          <w:rPr>
            <w:b/>
            <w:noProof/>
          </w:rPr>
          <w:fldChar w:fldCharType="end"/>
        </w:r>
        <w:r w:rsidR="002F164D">
          <w:rPr>
            <w:b/>
          </w:rPr>
          <w:t xml:space="preserve"> | </w:t>
        </w:r>
        <w:r w:rsidR="002F164D">
          <w:rPr>
            <w:color w:val="7F7F7F" w:themeColor="background1" w:themeShade="7F"/>
            <w:spacing w:val="60"/>
          </w:rPr>
          <w:t>Page</w:t>
        </w:r>
      </w:p>
    </w:sdtContent>
  </w:sdt>
  <w:p w:rsidR="002F164D" w:rsidRDefault="002F1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E6" w:rsidRDefault="00B333E6" w:rsidP="001A4179">
      <w:pPr>
        <w:spacing w:after="0" w:line="240" w:lineRule="auto"/>
      </w:pPr>
      <w:r>
        <w:separator/>
      </w:r>
    </w:p>
  </w:footnote>
  <w:footnote w:type="continuationSeparator" w:id="0">
    <w:p w:rsidR="00B333E6" w:rsidRDefault="00B333E6" w:rsidP="001A4179">
      <w:pPr>
        <w:spacing w:after="0" w:line="240" w:lineRule="auto"/>
      </w:pPr>
      <w:r>
        <w:continuationSeparator/>
      </w:r>
    </w:p>
  </w:footnote>
  <w:footnote w:id="1">
    <w:p w:rsidR="002F164D" w:rsidRPr="001D2835" w:rsidRDefault="002F164D" w:rsidP="0085767D">
      <w:pPr>
        <w:pStyle w:val="FootnoteText"/>
        <w:jc w:val="both"/>
        <w:rPr>
          <w:rFonts w:asciiTheme="minorHAnsi" w:hAnsiTheme="minorHAnsi"/>
          <w:sz w:val="18"/>
          <w:szCs w:val="18"/>
        </w:rPr>
      </w:pPr>
      <w:r w:rsidRPr="0085767D">
        <w:rPr>
          <w:rStyle w:val="FootnoteReference"/>
          <w:rFonts w:asciiTheme="minorHAnsi" w:hAnsiTheme="minorHAnsi"/>
          <w:sz w:val="18"/>
          <w:szCs w:val="18"/>
        </w:rPr>
        <w:footnoteRef/>
      </w:r>
      <w:r w:rsidRPr="0085767D">
        <w:rPr>
          <w:rFonts w:asciiTheme="minorHAnsi" w:hAnsiTheme="minorHAnsi"/>
          <w:sz w:val="18"/>
          <w:szCs w:val="18"/>
        </w:rPr>
        <w:t xml:space="preserve"> </w:t>
      </w:r>
      <w:r w:rsidRPr="0085767D">
        <w:rPr>
          <w:rFonts w:asciiTheme="minorHAnsi" w:hAnsiTheme="minorHAnsi"/>
          <w:i/>
          <w:color w:val="000000"/>
          <w:sz w:val="18"/>
          <w:szCs w:val="18"/>
          <w:lang w:eastAsia="en-GB"/>
        </w:rPr>
        <w:t>London Borough of Islin</w:t>
      </w:r>
      <w:r w:rsidRPr="001D2835">
        <w:rPr>
          <w:rFonts w:asciiTheme="minorHAnsi" w:hAnsiTheme="minorHAnsi"/>
          <w:i/>
          <w:color w:val="000000"/>
          <w:sz w:val="18"/>
          <w:szCs w:val="18"/>
          <w:lang w:eastAsia="en-GB"/>
        </w:rPr>
        <w:t>gton v QR</w:t>
      </w:r>
      <w:r>
        <w:rPr>
          <w:rFonts w:asciiTheme="minorHAnsi" w:hAnsiTheme="minorHAnsi"/>
          <w:sz w:val="18"/>
          <w:szCs w:val="18"/>
        </w:rPr>
        <w:t xml:space="preserve"> </w:t>
      </w:r>
      <w:r>
        <w:rPr>
          <w:rFonts w:asciiTheme="minorHAnsi" w:hAnsiTheme="minorHAnsi"/>
          <w:sz w:val="18"/>
          <w:szCs w:val="18"/>
          <w:lang w:eastAsia="en-GB"/>
        </w:rPr>
        <w:t xml:space="preserve">[2014] EWCOP 26 </w:t>
      </w:r>
      <w:r>
        <w:rPr>
          <w:rFonts w:asciiTheme="minorHAnsi" w:hAnsiTheme="minorHAnsi"/>
          <w:sz w:val="18"/>
          <w:szCs w:val="18"/>
        </w:rPr>
        <w:t>at [84].</w:t>
      </w:r>
    </w:p>
    <w:p w:rsidR="002F164D" w:rsidRPr="001D2835" w:rsidRDefault="002F164D" w:rsidP="0085767D">
      <w:pPr>
        <w:pStyle w:val="FootnoteText"/>
        <w:jc w:val="both"/>
        <w:rPr>
          <w:rFonts w:asciiTheme="minorHAnsi" w:hAnsiTheme="minorHAnsi"/>
          <w:sz w:val="18"/>
          <w:szCs w:val="18"/>
        </w:rPr>
      </w:pPr>
    </w:p>
  </w:footnote>
  <w:footnote w:id="2">
    <w:p w:rsidR="002F164D" w:rsidRPr="001D2835" w:rsidRDefault="002F164D" w:rsidP="0085767D">
      <w:pPr>
        <w:autoSpaceDE w:val="0"/>
        <w:autoSpaceDN w:val="0"/>
        <w:adjustRightInd w:val="0"/>
        <w:spacing w:after="0" w:line="240" w:lineRule="auto"/>
        <w:jc w:val="both"/>
        <w:rPr>
          <w:sz w:val="18"/>
          <w:szCs w:val="18"/>
        </w:rPr>
      </w:pPr>
      <w:r w:rsidRPr="001D2835">
        <w:rPr>
          <w:rStyle w:val="FootnoteReference"/>
          <w:sz w:val="18"/>
          <w:szCs w:val="18"/>
        </w:rPr>
        <w:footnoteRef/>
      </w:r>
      <w:r w:rsidRPr="001D2835">
        <w:rPr>
          <w:sz w:val="18"/>
          <w:szCs w:val="18"/>
        </w:rPr>
        <w:t xml:space="preserve"> See e.g. </w:t>
      </w:r>
      <w:r>
        <w:rPr>
          <w:rFonts w:cs="Calibri"/>
          <w:sz w:val="18"/>
          <w:szCs w:val="18"/>
        </w:rPr>
        <w:t>B. Secker, ‘</w:t>
      </w:r>
      <w:proofErr w:type="spellStart"/>
      <w:r>
        <w:rPr>
          <w:rFonts w:cs="Calibri"/>
          <w:sz w:val="18"/>
          <w:szCs w:val="18"/>
        </w:rPr>
        <w:t>Labeling</w:t>
      </w:r>
      <w:proofErr w:type="spellEnd"/>
      <w:r>
        <w:rPr>
          <w:rFonts w:cs="Calibri"/>
          <w:sz w:val="18"/>
          <w:szCs w:val="18"/>
        </w:rPr>
        <w:t xml:space="preserve"> Patient (In</w:t>
      </w:r>
      <w:proofErr w:type="gramStart"/>
      <w:r>
        <w:rPr>
          <w:rFonts w:cs="Calibri"/>
          <w:sz w:val="18"/>
          <w:szCs w:val="18"/>
        </w:rPr>
        <w:t>)Competence</w:t>
      </w:r>
      <w:proofErr w:type="gramEnd"/>
      <w:r>
        <w:rPr>
          <w:rFonts w:cs="Calibri"/>
          <w:sz w:val="18"/>
          <w:szCs w:val="18"/>
        </w:rPr>
        <w:t xml:space="preserve">: A Feminist Analysis of Medico-Legal Discourse.’ </w:t>
      </w:r>
      <w:proofErr w:type="gramStart"/>
      <w:r>
        <w:rPr>
          <w:rFonts w:cs="Calibri"/>
          <w:sz w:val="18"/>
          <w:szCs w:val="18"/>
        </w:rPr>
        <w:t xml:space="preserve">(1999) 30(2) </w:t>
      </w:r>
      <w:r>
        <w:rPr>
          <w:rFonts w:cs="Calibri,Italic"/>
          <w:i/>
          <w:iCs/>
          <w:sz w:val="18"/>
          <w:szCs w:val="18"/>
        </w:rPr>
        <w:t xml:space="preserve">J Soc Phil </w:t>
      </w:r>
      <w:r>
        <w:rPr>
          <w:rFonts w:cs="Calibri"/>
          <w:sz w:val="18"/>
          <w:szCs w:val="18"/>
        </w:rPr>
        <w:t xml:space="preserve">295; R. </w:t>
      </w:r>
      <w:r>
        <w:rPr>
          <w:sz w:val="18"/>
          <w:szCs w:val="18"/>
        </w:rPr>
        <w:t xml:space="preserve">Pepper-Smith, W. Harvey and M. </w:t>
      </w:r>
      <w:proofErr w:type="spellStart"/>
      <w:r>
        <w:rPr>
          <w:sz w:val="18"/>
          <w:szCs w:val="18"/>
        </w:rPr>
        <w:t>Silberfeld</w:t>
      </w:r>
      <w:proofErr w:type="spellEnd"/>
      <w:r>
        <w:rPr>
          <w:sz w:val="18"/>
          <w:szCs w:val="18"/>
        </w:rPr>
        <w:t xml:space="preserve">, ‘Competency and Practical Judgment’ (1996) 17(2) </w:t>
      </w:r>
      <w:r>
        <w:rPr>
          <w:i/>
          <w:sz w:val="18"/>
          <w:szCs w:val="18"/>
        </w:rPr>
        <w:t>Theoretical Medicine</w:t>
      </w:r>
      <w:r>
        <w:rPr>
          <w:sz w:val="18"/>
          <w:szCs w:val="18"/>
        </w:rPr>
        <w:t xml:space="preserve"> 135 and, more recently, </w:t>
      </w:r>
      <w:proofErr w:type="spellStart"/>
      <w:r>
        <w:rPr>
          <w:sz w:val="18"/>
          <w:szCs w:val="18"/>
        </w:rPr>
        <w:t>J.Craigie</w:t>
      </w:r>
      <w:proofErr w:type="spellEnd"/>
      <w:r>
        <w:rPr>
          <w:sz w:val="18"/>
          <w:szCs w:val="18"/>
        </w:rPr>
        <w:t>, ‘Against a singular understanding of legal capacity.’</w:t>
      </w:r>
      <w:proofErr w:type="gramEnd"/>
      <w:r>
        <w:rPr>
          <w:sz w:val="18"/>
          <w:szCs w:val="18"/>
        </w:rPr>
        <w:t xml:space="preserve"> (2015) 40 </w:t>
      </w:r>
      <w:proofErr w:type="spellStart"/>
      <w:r>
        <w:rPr>
          <w:i/>
          <w:sz w:val="18"/>
          <w:szCs w:val="18"/>
        </w:rPr>
        <w:t>Int</w:t>
      </w:r>
      <w:proofErr w:type="spellEnd"/>
      <w:r>
        <w:rPr>
          <w:i/>
          <w:sz w:val="18"/>
          <w:szCs w:val="18"/>
        </w:rPr>
        <w:t xml:space="preserve"> J Law and Psychiatry </w:t>
      </w:r>
      <w:r>
        <w:rPr>
          <w:sz w:val="18"/>
          <w:szCs w:val="18"/>
        </w:rPr>
        <w:t xml:space="preserve">6, stressing the value-infused nature of the capacity threshold in her argument that the same threshold of capacity should not necessarily be applied to personal decision making and criminal responsibility because of the distinct philosophical and political concerns at stake and </w:t>
      </w:r>
      <w:proofErr w:type="spellStart"/>
      <w:r>
        <w:rPr>
          <w:sz w:val="18"/>
          <w:szCs w:val="18"/>
        </w:rPr>
        <w:t>N.Banner</w:t>
      </w:r>
      <w:proofErr w:type="spellEnd"/>
      <w:r>
        <w:rPr>
          <w:sz w:val="18"/>
          <w:szCs w:val="18"/>
        </w:rPr>
        <w:t xml:space="preserve">, ‘Unreasonable reasons: normative judgements in the assessment of mental capacity.’ (2012) </w:t>
      </w:r>
      <w:r>
        <w:rPr>
          <w:i/>
          <w:sz w:val="18"/>
          <w:szCs w:val="18"/>
        </w:rPr>
        <w:t xml:space="preserve">J of </w:t>
      </w:r>
      <w:proofErr w:type="spellStart"/>
      <w:r>
        <w:rPr>
          <w:i/>
          <w:sz w:val="18"/>
          <w:szCs w:val="18"/>
        </w:rPr>
        <w:t>Eval</w:t>
      </w:r>
      <w:proofErr w:type="spellEnd"/>
      <w:r>
        <w:rPr>
          <w:i/>
          <w:sz w:val="18"/>
          <w:szCs w:val="18"/>
        </w:rPr>
        <w:t xml:space="preserve"> in Clinical Practice</w:t>
      </w:r>
      <w:r>
        <w:rPr>
          <w:sz w:val="18"/>
          <w:szCs w:val="18"/>
        </w:rPr>
        <w:t xml:space="preserve"> 1038 stressing the normative aspects of capacity assessment.</w:t>
      </w:r>
    </w:p>
    <w:p w:rsidR="002F164D" w:rsidRPr="001D2835" w:rsidRDefault="002F164D" w:rsidP="0085767D">
      <w:pPr>
        <w:pStyle w:val="FootnoteText"/>
        <w:jc w:val="both"/>
        <w:rPr>
          <w:rFonts w:asciiTheme="minorHAnsi" w:hAnsiTheme="minorHAnsi"/>
          <w:sz w:val="18"/>
          <w:szCs w:val="18"/>
        </w:rPr>
      </w:pPr>
    </w:p>
  </w:footnote>
  <w:footnote w:id="3">
    <w:p w:rsidR="002F164D" w:rsidRDefault="002F164D" w:rsidP="00192ED1">
      <w:pPr>
        <w:pStyle w:val="FootnoteText"/>
        <w:jc w:val="both"/>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M. Donnelly, </w:t>
      </w:r>
      <w:r w:rsidRPr="00CA169C">
        <w:rPr>
          <w:rFonts w:asciiTheme="minorHAnsi" w:hAnsiTheme="minorHAnsi"/>
          <w:i/>
          <w:sz w:val="18"/>
          <w:szCs w:val="18"/>
        </w:rPr>
        <w:t xml:space="preserve">Health Care Decision Making and the Law: Autonomy, Capacity and the Limits of Liberalism </w:t>
      </w:r>
      <w:r w:rsidRPr="00CA169C">
        <w:rPr>
          <w:rFonts w:asciiTheme="minorHAnsi" w:hAnsiTheme="minorHAnsi"/>
          <w:sz w:val="18"/>
          <w:szCs w:val="18"/>
        </w:rPr>
        <w:t xml:space="preserve">(Cambridge University Press, 2010) at 152. See also </w:t>
      </w:r>
      <w:r w:rsidRPr="001D2835">
        <w:rPr>
          <w:rFonts w:asciiTheme="minorHAnsi" w:hAnsiTheme="minorHAnsi"/>
          <w:sz w:val="18"/>
          <w:szCs w:val="18"/>
        </w:rPr>
        <w:t xml:space="preserve">J. Harrington, ‘Privileging the medical norm: liberalism, self-determination and refusal of treatment.’ (1996) 16 </w:t>
      </w:r>
      <w:r w:rsidRPr="00CA169C">
        <w:rPr>
          <w:rFonts w:asciiTheme="minorHAnsi" w:hAnsiTheme="minorHAnsi"/>
          <w:i/>
          <w:sz w:val="18"/>
          <w:szCs w:val="18"/>
        </w:rPr>
        <w:t xml:space="preserve">Legal Studies </w:t>
      </w:r>
      <w:r w:rsidRPr="00CA169C">
        <w:rPr>
          <w:rFonts w:asciiTheme="minorHAnsi" w:hAnsiTheme="minorHAnsi"/>
          <w:sz w:val="18"/>
          <w:szCs w:val="18"/>
        </w:rPr>
        <w:t xml:space="preserve">348; D. Gibson, ‘Conceptual and Ethical Problems in the MCA 2005’ (2015) 4(2) </w:t>
      </w:r>
      <w:r w:rsidRPr="00CA169C">
        <w:rPr>
          <w:rFonts w:asciiTheme="minorHAnsi" w:hAnsiTheme="minorHAnsi"/>
          <w:i/>
          <w:sz w:val="18"/>
          <w:szCs w:val="18"/>
        </w:rPr>
        <w:t xml:space="preserve">Laws </w:t>
      </w:r>
      <w:r w:rsidRPr="00CA169C">
        <w:rPr>
          <w:rFonts w:asciiTheme="minorHAnsi" w:hAnsiTheme="minorHAnsi"/>
          <w:sz w:val="18"/>
          <w:szCs w:val="18"/>
        </w:rPr>
        <w:t xml:space="preserve">229; S. </w:t>
      </w:r>
      <w:proofErr w:type="spellStart"/>
      <w:r w:rsidRPr="00CA169C">
        <w:rPr>
          <w:rFonts w:asciiTheme="minorHAnsi" w:hAnsiTheme="minorHAnsi"/>
          <w:sz w:val="18"/>
          <w:szCs w:val="18"/>
        </w:rPr>
        <w:t>Michalowski</w:t>
      </w:r>
      <w:proofErr w:type="spellEnd"/>
      <w:r w:rsidRPr="00CA169C">
        <w:rPr>
          <w:rFonts w:asciiTheme="minorHAnsi" w:hAnsiTheme="minorHAnsi"/>
          <w:sz w:val="18"/>
          <w:szCs w:val="18"/>
        </w:rPr>
        <w:t>, ‘Is the MCA diagnostic te</w:t>
      </w:r>
      <w:r w:rsidRPr="00595135">
        <w:rPr>
          <w:rFonts w:asciiTheme="minorHAnsi" w:hAnsiTheme="minorHAnsi"/>
          <w:sz w:val="18"/>
          <w:szCs w:val="18"/>
        </w:rPr>
        <w:t xml:space="preserve">st to assess mental capacity compliant with the UNCRPD?’ </w:t>
      </w:r>
      <w:r w:rsidRPr="00595135">
        <w:rPr>
          <w:rFonts w:asciiTheme="minorHAnsi" w:hAnsiTheme="minorHAnsi"/>
          <w:i/>
          <w:sz w:val="18"/>
          <w:szCs w:val="18"/>
        </w:rPr>
        <w:t xml:space="preserve">Essex Autonomy Project: Briefing Paper </w:t>
      </w:r>
      <w:r w:rsidRPr="00595135">
        <w:rPr>
          <w:rFonts w:asciiTheme="minorHAnsi" w:hAnsiTheme="minorHAnsi"/>
          <w:sz w:val="18"/>
          <w:szCs w:val="18"/>
        </w:rPr>
        <w:t xml:space="preserve">available at </w:t>
      </w:r>
      <w:hyperlink r:id="rId1" w:history="1">
        <w:r w:rsidRPr="00595135">
          <w:rPr>
            <w:rStyle w:val="Hyperlink"/>
            <w:rFonts w:asciiTheme="minorHAnsi" w:hAnsiTheme="minorHAnsi"/>
            <w:color w:val="auto"/>
            <w:sz w:val="18"/>
            <w:szCs w:val="18"/>
          </w:rPr>
          <w:t>http://autonomy.essex.ac.uk/wp-content/uploads/2014/06/1.-Briefing-Paper-One-FINAL.pdf</w:t>
        </w:r>
      </w:hyperlink>
      <w:r w:rsidRPr="00595135">
        <w:rPr>
          <w:rFonts w:asciiTheme="minorHAnsi" w:hAnsiTheme="minorHAnsi"/>
          <w:sz w:val="18"/>
          <w:szCs w:val="18"/>
        </w:rPr>
        <w:t xml:space="preserve">;  in 1993 David Carson expressed concerns that any statutory test which placed too much emphasis on the evidence of psychiatrists risked inappropriately </w:t>
      </w:r>
      <w:proofErr w:type="spellStart"/>
      <w:r w:rsidRPr="00CA169C">
        <w:rPr>
          <w:rFonts w:asciiTheme="minorHAnsi" w:hAnsiTheme="minorHAnsi"/>
          <w:sz w:val="18"/>
          <w:szCs w:val="18"/>
        </w:rPr>
        <w:t>medicalising</w:t>
      </w:r>
      <w:proofErr w:type="spellEnd"/>
      <w:r w:rsidRPr="00CA169C">
        <w:rPr>
          <w:rFonts w:asciiTheme="minorHAnsi" w:hAnsiTheme="minorHAnsi"/>
          <w:sz w:val="18"/>
          <w:szCs w:val="18"/>
        </w:rPr>
        <w:t xml:space="preserve"> the issue of mental capacity - D. Carson, ‘Disabling progress: the Law Commission’s proposals on mentally incapacitated adults’ decision making.’ (1993) 15(5) JSWFL 304, 312.  It can also give rise to adverse commentary in relation to specific cases – see e.g. </w:t>
      </w:r>
      <w:proofErr w:type="spellStart"/>
      <w:r w:rsidRPr="00CA169C">
        <w:rPr>
          <w:rFonts w:asciiTheme="minorHAnsi" w:hAnsiTheme="minorHAnsi"/>
          <w:sz w:val="18"/>
          <w:szCs w:val="18"/>
        </w:rPr>
        <w:t>K.Moreton</w:t>
      </w:r>
      <w:proofErr w:type="spellEnd"/>
      <w:r w:rsidRPr="00CA169C">
        <w:rPr>
          <w:rFonts w:asciiTheme="minorHAnsi" w:hAnsiTheme="minorHAnsi"/>
          <w:sz w:val="18"/>
          <w:szCs w:val="18"/>
        </w:rPr>
        <w:t>, ‘</w:t>
      </w:r>
      <w:proofErr w:type="spellStart"/>
      <w:r w:rsidRPr="00CA169C">
        <w:rPr>
          <w:rFonts w:asciiTheme="minorHAnsi" w:hAnsiTheme="minorHAnsi"/>
          <w:sz w:val="18"/>
          <w:szCs w:val="18"/>
        </w:rPr>
        <w:t>Gillick</w:t>
      </w:r>
      <w:proofErr w:type="spellEnd"/>
      <w:r w:rsidRPr="00CA169C">
        <w:rPr>
          <w:rFonts w:asciiTheme="minorHAnsi" w:hAnsiTheme="minorHAnsi"/>
          <w:sz w:val="18"/>
          <w:szCs w:val="18"/>
        </w:rPr>
        <w:t xml:space="preserve"> Reinstated: Judging Mid-Childhood Competence in Health Care Law.’ (2015) 23(2) Med L Rev  303 arguing that a recent decision concerning whether a 13yr old could consent to an abortion took a ‘</w:t>
      </w:r>
      <w:proofErr w:type="spellStart"/>
      <w:r w:rsidRPr="00CA169C">
        <w:rPr>
          <w:rFonts w:asciiTheme="minorHAnsi" w:hAnsiTheme="minorHAnsi"/>
          <w:sz w:val="18"/>
          <w:szCs w:val="18"/>
        </w:rPr>
        <w:t>medicalised</w:t>
      </w:r>
      <w:proofErr w:type="spellEnd"/>
      <w:r w:rsidRPr="00CA169C">
        <w:rPr>
          <w:rFonts w:asciiTheme="minorHAnsi" w:hAnsiTheme="minorHAnsi"/>
          <w:sz w:val="18"/>
          <w:szCs w:val="18"/>
        </w:rPr>
        <w:t xml:space="preserve"> approach’ to the determination of P’s capacity and demonstrated judicial deference to medical opinion.</w:t>
      </w:r>
    </w:p>
    <w:p w:rsidR="002F164D" w:rsidRPr="001D2835" w:rsidRDefault="002F164D" w:rsidP="00192ED1">
      <w:pPr>
        <w:pStyle w:val="FootnoteText"/>
        <w:jc w:val="both"/>
        <w:rPr>
          <w:sz w:val="18"/>
          <w:szCs w:val="18"/>
        </w:rPr>
      </w:pPr>
    </w:p>
  </w:footnote>
  <w:footnote w:id="4">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It is of course true that the majority of capacity assessments do not involve court</w:t>
      </w:r>
      <w:r>
        <w:rPr>
          <w:rFonts w:asciiTheme="minorHAnsi" w:hAnsiTheme="minorHAnsi"/>
          <w:sz w:val="18"/>
          <w:szCs w:val="18"/>
        </w:rPr>
        <w:t xml:space="preserve"> application</w:t>
      </w:r>
      <w:r w:rsidRPr="00CA169C">
        <w:rPr>
          <w:rFonts w:asciiTheme="minorHAnsi" w:hAnsiTheme="minorHAnsi"/>
          <w:sz w:val="18"/>
          <w:szCs w:val="18"/>
        </w:rPr>
        <w:t xml:space="preserve">s – this article is only concerned with those exceptional cases that result in a court ruling. </w:t>
      </w:r>
    </w:p>
    <w:p w:rsidR="002F164D" w:rsidRPr="001D2835" w:rsidRDefault="002F164D" w:rsidP="0085767D">
      <w:pPr>
        <w:pStyle w:val="FootnoteText"/>
        <w:jc w:val="both"/>
        <w:rPr>
          <w:rFonts w:asciiTheme="minorHAnsi" w:hAnsiTheme="minorHAnsi"/>
          <w:sz w:val="18"/>
          <w:szCs w:val="18"/>
        </w:rPr>
      </w:pPr>
    </w:p>
  </w:footnote>
  <w:footnote w:id="5">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The </w:t>
      </w:r>
      <w:proofErr w:type="spellStart"/>
      <w:r w:rsidRPr="00CA169C">
        <w:rPr>
          <w:rFonts w:asciiTheme="minorHAnsi" w:hAnsiTheme="minorHAnsi"/>
          <w:sz w:val="18"/>
          <w:szCs w:val="18"/>
        </w:rPr>
        <w:t>CoP</w:t>
      </w:r>
      <w:proofErr w:type="spellEnd"/>
      <w:r w:rsidRPr="00CA169C">
        <w:rPr>
          <w:rFonts w:asciiTheme="minorHAnsi" w:hAnsiTheme="minorHAnsi"/>
          <w:sz w:val="18"/>
          <w:szCs w:val="18"/>
        </w:rPr>
        <w:t xml:space="preserve"> also deals with P’s capacity in the context of property and financial matters, but the approach to these cases is quite different and they are outside the scope of this article.  </w:t>
      </w:r>
    </w:p>
    <w:p w:rsidR="002F164D" w:rsidRPr="00226F95" w:rsidRDefault="002F164D" w:rsidP="00226F95">
      <w:pPr>
        <w:pStyle w:val="FootnoteText"/>
        <w:jc w:val="both"/>
        <w:rPr>
          <w:rFonts w:asciiTheme="minorHAnsi" w:hAnsiTheme="minorHAnsi"/>
          <w:sz w:val="18"/>
          <w:szCs w:val="18"/>
        </w:rPr>
      </w:pPr>
    </w:p>
  </w:footnote>
  <w:footnote w:id="6">
    <w:p w:rsidR="002F164D" w:rsidRPr="00226F95" w:rsidRDefault="002F164D" w:rsidP="00226F95">
      <w:pPr>
        <w:pStyle w:val="FootnoteText"/>
        <w:jc w:val="both"/>
        <w:rPr>
          <w:rFonts w:asciiTheme="minorHAnsi" w:hAnsiTheme="minorHAnsi"/>
          <w:sz w:val="18"/>
          <w:szCs w:val="18"/>
        </w:rPr>
      </w:pPr>
      <w:r w:rsidRPr="00226F95">
        <w:rPr>
          <w:rStyle w:val="FootnoteReference"/>
          <w:rFonts w:asciiTheme="minorHAnsi" w:hAnsiTheme="minorHAnsi"/>
          <w:sz w:val="18"/>
          <w:szCs w:val="18"/>
        </w:rPr>
        <w:footnoteRef/>
      </w:r>
      <w:r w:rsidRPr="00226F95">
        <w:rPr>
          <w:rFonts w:asciiTheme="minorHAnsi" w:hAnsiTheme="minorHAnsi"/>
          <w:sz w:val="18"/>
          <w:szCs w:val="18"/>
        </w:rPr>
        <w:t xml:space="preserve"> E.g. </w:t>
      </w:r>
      <w:r w:rsidRPr="00226F95">
        <w:rPr>
          <w:rFonts w:asciiTheme="minorHAnsi" w:hAnsiTheme="minorHAnsi"/>
          <w:i/>
          <w:sz w:val="18"/>
          <w:szCs w:val="18"/>
        </w:rPr>
        <w:t xml:space="preserve">Re MB (Caesarean Section) </w:t>
      </w:r>
      <w:r w:rsidRPr="00226F95">
        <w:rPr>
          <w:rFonts w:asciiTheme="minorHAnsi" w:hAnsiTheme="minorHAnsi"/>
          <w:sz w:val="18"/>
          <w:szCs w:val="18"/>
        </w:rPr>
        <w:t xml:space="preserve">[1997] 2 FLR 426 - a patient with capacity ‘may, for religious reasons,...for rational or irrational reasons or for no reason at all, choose not to have medical intervention’ at 497. </w:t>
      </w:r>
    </w:p>
    <w:p w:rsidR="002F164D" w:rsidRDefault="002F164D">
      <w:pPr>
        <w:pStyle w:val="FootnoteText"/>
      </w:pPr>
    </w:p>
  </w:footnote>
  <w:footnote w:id="7">
    <w:p w:rsidR="002F164D" w:rsidRPr="00572DFE" w:rsidRDefault="002F164D">
      <w:pPr>
        <w:pStyle w:val="FootnoteText"/>
        <w:rPr>
          <w:rFonts w:asciiTheme="minorHAnsi" w:hAnsiTheme="minorHAnsi"/>
          <w:sz w:val="18"/>
          <w:szCs w:val="18"/>
        </w:rPr>
      </w:pPr>
      <w:r w:rsidRPr="00572DFE">
        <w:rPr>
          <w:rStyle w:val="FootnoteReference"/>
          <w:rFonts w:asciiTheme="minorHAnsi" w:hAnsiTheme="minorHAnsi"/>
          <w:sz w:val="18"/>
          <w:szCs w:val="18"/>
        </w:rPr>
        <w:footnoteRef/>
      </w:r>
      <w:r w:rsidRPr="00572DFE">
        <w:rPr>
          <w:rFonts w:asciiTheme="minorHAnsi" w:hAnsiTheme="minorHAnsi"/>
          <w:sz w:val="18"/>
          <w:szCs w:val="18"/>
        </w:rPr>
        <w:t xml:space="preserve"> S.1(5) and s.4 MCA. </w:t>
      </w:r>
    </w:p>
    <w:p w:rsidR="002F164D" w:rsidRDefault="002F164D">
      <w:pPr>
        <w:pStyle w:val="FootnoteText"/>
      </w:pPr>
    </w:p>
  </w:footnote>
  <w:footnote w:id="8">
    <w:p w:rsidR="002F164D"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Although frequently used in the context of models of democracy. </w:t>
      </w:r>
    </w:p>
    <w:p w:rsidR="002F164D" w:rsidRPr="001D2835" w:rsidRDefault="002F164D" w:rsidP="0085767D">
      <w:pPr>
        <w:pStyle w:val="FootnoteText"/>
        <w:jc w:val="both"/>
        <w:rPr>
          <w:rFonts w:asciiTheme="minorHAnsi" w:hAnsiTheme="minorHAnsi"/>
          <w:sz w:val="18"/>
          <w:szCs w:val="18"/>
        </w:rPr>
      </w:pPr>
    </w:p>
  </w:footnote>
  <w:footnote w:id="9">
    <w:p w:rsidR="002F164D" w:rsidRDefault="002F164D">
      <w:pPr>
        <w:pStyle w:val="FootnoteText"/>
        <w:rPr>
          <w:rFonts w:asciiTheme="minorHAnsi" w:hAnsiTheme="minorHAnsi"/>
          <w:sz w:val="18"/>
          <w:szCs w:val="18"/>
        </w:rPr>
      </w:pPr>
      <w:r>
        <w:rPr>
          <w:rStyle w:val="FootnoteReference"/>
        </w:rPr>
        <w:footnoteRef/>
      </w:r>
      <w:r>
        <w:t xml:space="preserve"> </w:t>
      </w:r>
      <w:r w:rsidRPr="00BB270B">
        <w:rPr>
          <w:rFonts w:asciiTheme="minorHAnsi" w:hAnsiTheme="minorHAnsi"/>
          <w:i/>
          <w:sz w:val="18"/>
          <w:szCs w:val="18"/>
        </w:rPr>
        <w:t xml:space="preserve">Per </w:t>
      </w:r>
      <w:r w:rsidRPr="00BB270B">
        <w:rPr>
          <w:rFonts w:asciiTheme="minorHAnsi" w:hAnsiTheme="minorHAnsi"/>
          <w:sz w:val="18"/>
          <w:szCs w:val="18"/>
        </w:rPr>
        <w:t xml:space="preserve">Hedley J in </w:t>
      </w:r>
      <w:r w:rsidRPr="00BB270B">
        <w:rPr>
          <w:rFonts w:asciiTheme="minorHAnsi" w:hAnsiTheme="minorHAnsi"/>
          <w:i/>
          <w:sz w:val="18"/>
          <w:szCs w:val="18"/>
        </w:rPr>
        <w:t xml:space="preserve">PC v City of York Council </w:t>
      </w:r>
      <w:r w:rsidRPr="00BB270B">
        <w:rPr>
          <w:rFonts w:asciiTheme="minorHAnsi" w:hAnsiTheme="minorHAnsi"/>
          <w:sz w:val="18"/>
          <w:szCs w:val="18"/>
        </w:rPr>
        <w:t xml:space="preserve">(cited in [2013] EWCA </w:t>
      </w:r>
      <w:proofErr w:type="spellStart"/>
      <w:r w:rsidRPr="00BB270B">
        <w:rPr>
          <w:rFonts w:asciiTheme="minorHAnsi" w:hAnsiTheme="minorHAnsi"/>
          <w:sz w:val="18"/>
          <w:szCs w:val="18"/>
        </w:rPr>
        <w:t>Civ</w:t>
      </w:r>
      <w:proofErr w:type="spellEnd"/>
      <w:r w:rsidRPr="00BB270B">
        <w:rPr>
          <w:rFonts w:asciiTheme="minorHAnsi" w:hAnsiTheme="minorHAnsi"/>
          <w:sz w:val="18"/>
          <w:szCs w:val="18"/>
        </w:rPr>
        <w:t xml:space="preserve"> 478 at [13]).</w:t>
      </w:r>
    </w:p>
    <w:p w:rsidR="002F164D" w:rsidRDefault="002F164D">
      <w:pPr>
        <w:pStyle w:val="FootnoteText"/>
      </w:pPr>
    </w:p>
  </w:footnote>
  <w:footnote w:id="10">
    <w:p w:rsidR="002F164D" w:rsidRPr="00992534" w:rsidRDefault="002F164D">
      <w:pPr>
        <w:pStyle w:val="FootnoteText"/>
        <w:rPr>
          <w:rFonts w:asciiTheme="minorHAnsi" w:hAnsiTheme="minorHAnsi"/>
          <w:sz w:val="18"/>
          <w:szCs w:val="18"/>
        </w:rPr>
      </w:pPr>
      <w:r>
        <w:rPr>
          <w:rStyle w:val="FootnoteReference"/>
        </w:rPr>
        <w:footnoteRef/>
      </w:r>
      <w:r>
        <w:t xml:space="preserve"> </w:t>
      </w:r>
      <w:r w:rsidRPr="00992534">
        <w:rPr>
          <w:rFonts w:asciiTheme="minorHAnsi" w:hAnsiTheme="minorHAnsi"/>
          <w:sz w:val="18"/>
          <w:szCs w:val="18"/>
        </w:rPr>
        <w:t>For a rare example of the full extent of these powers see e.g.</w:t>
      </w:r>
      <w:r w:rsidRPr="00992534">
        <w:rPr>
          <w:rFonts w:asciiTheme="minorHAnsi" w:hAnsiTheme="minorHAnsi"/>
          <w:i/>
          <w:sz w:val="18"/>
          <w:szCs w:val="18"/>
        </w:rPr>
        <w:t xml:space="preserve"> Re DD</w:t>
      </w:r>
      <w:r w:rsidRPr="00992534">
        <w:rPr>
          <w:rFonts w:asciiTheme="minorHAnsi" w:hAnsiTheme="minorHAnsi"/>
          <w:sz w:val="18"/>
          <w:szCs w:val="18"/>
        </w:rPr>
        <w:t xml:space="preserve"> [2015] EWCOP 4</w:t>
      </w:r>
      <w:r>
        <w:rPr>
          <w:rFonts w:asciiTheme="minorHAnsi" w:hAnsiTheme="minorHAnsi"/>
          <w:sz w:val="18"/>
          <w:szCs w:val="18"/>
        </w:rPr>
        <w:t xml:space="preserve"> where Cobb J acknowledges the wide powers of the court (reflected in s.16(5) of the MCA) and reluctantly authorises forcible entry into P’s home, conveyance to the hospital and surgical sterilisation of P including restraint and detention if necessary and proportionate (at [135] to [140]). </w:t>
      </w:r>
    </w:p>
    <w:p w:rsidR="002F164D" w:rsidRDefault="002F164D">
      <w:pPr>
        <w:pStyle w:val="FootnoteText"/>
      </w:pPr>
    </w:p>
  </w:footnote>
  <w:footnote w:id="11">
    <w:p w:rsidR="002F164D" w:rsidRPr="008824F3" w:rsidRDefault="002F164D">
      <w:pPr>
        <w:pStyle w:val="FootnoteText"/>
        <w:rPr>
          <w:rFonts w:asciiTheme="minorHAnsi" w:hAnsiTheme="minorHAnsi"/>
          <w:i/>
          <w:sz w:val="18"/>
          <w:szCs w:val="18"/>
        </w:rPr>
      </w:pPr>
      <w:r>
        <w:rPr>
          <w:rStyle w:val="FootnoteReference"/>
        </w:rPr>
        <w:footnoteRef/>
      </w:r>
      <w:r>
        <w:t xml:space="preserve"> </w:t>
      </w:r>
      <w:r w:rsidRPr="00CA169C">
        <w:rPr>
          <w:rFonts w:asciiTheme="minorHAnsi" w:hAnsiTheme="minorHAnsi"/>
          <w:sz w:val="18"/>
          <w:szCs w:val="18"/>
        </w:rPr>
        <w:t xml:space="preserve">A. </w:t>
      </w:r>
      <w:proofErr w:type="spellStart"/>
      <w:r w:rsidRPr="00CA169C">
        <w:rPr>
          <w:rFonts w:asciiTheme="minorHAnsi" w:hAnsiTheme="minorHAnsi"/>
          <w:sz w:val="18"/>
          <w:szCs w:val="18"/>
        </w:rPr>
        <w:t>Ruck</w:t>
      </w:r>
      <w:proofErr w:type="spellEnd"/>
      <w:r w:rsidRPr="00CA169C">
        <w:rPr>
          <w:rFonts w:asciiTheme="minorHAnsi" w:hAnsiTheme="minorHAnsi"/>
          <w:sz w:val="18"/>
          <w:szCs w:val="18"/>
        </w:rPr>
        <w:t xml:space="preserve"> Keene, ‘Capacity is not an off switch – case commentary’ </w:t>
      </w:r>
      <w:r w:rsidRPr="00CA169C">
        <w:rPr>
          <w:rFonts w:asciiTheme="minorHAnsi" w:hAnsiTheme="minorHAnsi"/>
          <w:i/>
          <w:sz w:val="18"/>
          <w:szCs w:val="18"/>
        </w:rPr>
        <w:t>Mental Capacity Law and Policy Newsletter. http://www.mentalcapacitylawandpolicy.org.uk/capacity-is-not-an-off-switch.</w:t>
      </w:r>
    </w:p>
    <w:p w:rsidR="002F164D" w:rsidRPr="008824F3" w:rsidRDefault="002F164D">
      <w:pPr>
        <w:pStyle w:val="FootnoteText"/>
        <w:rPr>
          <w:rFonts w:asciiTheme="minorHAnsi" w:hAnsiTheme="minorHAnsi"/>
          <w:sz w:val="18"/>
          <w:szCs w:val="18"/>
        </w:rPr>
      </w:pPr>
    </w:p>
  </w:footnote>
  <w:footnote w:id="12">
    <w:p w:rsidR="002F164D" w:rsidRPr="001D2835" w:rsidRDefault="002F164D" w:rsidP="00EF06E7">
      <w:pPr>
        <w:pStyle w:val="FootnoteText"/>
        <w:ind w:right="284"/>
        <w:jc w:val="both"/>
        <w:rPr>
          <w:rFonts w:asciiTheme="minorHAnsi" w:hAnsiTheme="minorHAnsi"/>
          <w:color w:val="000000" w:themeColor="text1"/>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themeColor="text1"/>
          <w:sz w:val="18"/>
          <w:szCs w:val="18"/>
        </w:rPr>
        <w:t xml:space="preserve"> </w:t>
      </w:r>
      <w:proofErr w:type="spellStart"/>
      <w:r w:rsidRPr="00CA169C">
        <w:rPr>
          <w:rFonts w:asciiTheme="minorHAnsi" w:hAnsiTheme="minorHAnsi"/>
          <w:sz w:val="18"/>
          <w:szCs w:val="18"/>
        </w:rPr>
        <w:t>Medicalisation</w:t>
      </w:r>
      <w:proofErr w:type="spellEnd"/>
      <w:r w:rsidRPr="00CA169C">
        <w:rPr>
          <w:rFonts w:asciiTheme="minorHAnsi" w:hAnsiTheme="minorHAnsi"/>
          <w:sz w:val="18"/>
          <w:szCs w:val="18"/>
        </w:rPr>
        <w:t xml:space="preserve"> can mean that </w:t>
      </w:r>
      <w:r w:rsidRPr="00CA169C">
        <w:rPr>
          <w:rFonts w:asciiTheme="minorHAnsi" w:hAnsiTheme="minorHAnsi"/>
          <w:color w:val="000000" w:themeColor="text1"/>
          <w:sz w:val="18"/>
          <w:szCs w:val="18"/>
        </w:rPr>
        <w:t xml:space="preserve">‘medical opinion is increasingly attributed with ‘apparent </w:t>
      </w:r>
      <w:proofErr w:type="spellStart"/>
      <w:r w:rsidRPr="00CA169C">
        <w:rPr>
          <w:rFonts w:asciiTheme="minorHAnsi" w:hAnsiTheme="minorHAnsi"/>
          <w:color w:val="000000" w:themeColor="text1"/>
          <w:sz w:val="18"/>
          <w:szCs w:val="18"/>
        </w:rPr>
        <w:t>facticity</w:t>
      </w:r>
      <w:proofErr w:type="spellEnd"/>
      <w:r w:rsidRPr="00CA169C">
        <w:rPr>
          <w:rFonts w:asciiTheme="minorHAnsi" w:hAnsiTheme="minorHAnsi"/>
          <w:color w:val="000000" w:themeColor="text1"/>
          <w:sz w:val="18"/>
          <w:szCs w:val="18"/>
        </w:rPr>
        <w:t xml:space="preserve">,’ whereby value judgements are transformed into indisputable ‘facts.’ S. Nettleton, </w:t>
      </w:r>
      <w:r w:rsidRPr="00CA169C">
        <w:rPr>
          <w:rFonts w:asciiTheme="minorHAnsi" w:hAnsiTheme="minorHAnsi"/>
          <w:i/>
          <w:color w:val="000000" w:themeColor="text1"/>
          <w:sz w:val="18"/>
          <w:szCs w:val="18"/>
        </w:rPr>
        <w:t xml:space="preserve">Sociology of Health &amp; Illness. </w:t>
      </w:r>
      <w:r w:rsidRPr="00CA169C">
        <w:rPr>
          <w:rFonts w:asciiTheme="minorHAnsi" w:hAnsiTheme="minorHAnsi"/>
          <w:color w:val="000000" w:themeColor="text1"/>
          <w:sz w:val="18"/>
          <w:szCs w:val="18"/>
        </w:rPr>
        <w:t>3</w:t>
      </w:r>
      <w:r>
        <w:rPr>
          <w:rFonts w:asciiTheme="minorHAnsi" w:hAnsiTheme="minorHAnsi"/>
          <w:color w:val="000000" w:themeColor="text1"/>
          <w:sz w:val="18"/>
          <w:szCs w:val="18"/>
          <w:vertAlign w:val="superscript"/>
        </w:rPr>
        <w:t>rd</w:t>
      </w:r>
      <w:r w:rsidRPr="00CA169C">
        <w:rPr>
          <w:rFonts w:asciiTheme="minorHAnsi" w:hAnsiTheme="minorHAnsi"/>
          <w:color w:val="000000" w:themeColor="text1"/>
          <w:sz w:val="18"/>
          <w:szCs w:val="18"/>
        </w:rPr>
        <w:t xml:space="preserve"> </w:t>
      </w:r>
      <w:proofErr w:type="spellStart"/>
      <w:r w:rsidRPr="00CA169C">
        <w:rPr>
          <w:rFonts w:asciiTheme="minorHAnsi" w:hAnsiTheme="minorHAnsi"/>
          <w:color w:val="000000" w:themeColor="text1"/>
          <w:sz w:val="18"/>
          <w:szCs w:val="18"/>
        </w:rPr>
        <w:t>Edn</w:t>
      </w:r>
      <w:proofErr w:type="spellEnd"/>
      <w:r w:rsidRPr="00CA169C">
        <w:rPr>
          <w:rFonts w:asciiTheme="minorHAnsi" w:hAnsiTheme="minorHAnsi"/>
          <w:color w:val="000000" w:themeColor="text1"/>
          <w:sz w:val="18"/>
          <w:szCs w:val="18"/>
        </w:rPr>
        <w:t>.</w:t>
      </w:r>
      <w:r w:rsidRPr="00CA169C">
        <w:rPr>
          <w:rFonts w:asciiTheme="minorHAnsi" w:hAnsiTheme="minorHAnsi"/>
          <w:i/>
          <w:color w:val="000000" w:themeColor="text1"/>
          <w:sz w:val="18"/>
          <w:szCs w:val="18"/>
        </w:rPr>
        <w:t xml:space="preserve"> </w:t>
      </w:r>
      <w:r w:rsidRPr="00CA169C">
        <w:rPr>
          <w:rFonts w:asciiTheme="minorHAnsi" w:hAnsiTheme="minorHAnsi"/>
          <w:color w:val="000000" w:themeColor="text1"/>
          <w:sz w:val="18"/>
          <w:szCs w:val="18"/>
        </w:rPr>
        <w:t>(Polity Press, Cambridge, 2013) p.7.</w:t>
      </w:r>
    </w:p>
    <w:p w:rsidR="002F164D" w:rsidRPr="001D2835" w:rsidRDefault="002F164D" w:rsidP="00EF06E7">
      <w:pPr>
        <w:pStyle w:val="FootnoteText"/>
        <w:ind w:right="284"/>
        <w:jc w:val="both"/>
        <w:rPr>
          <w:rFonts w:asciiTheme="minorHAnsi" w:hAnsiTheme="minorHAnsi"/>
          <w:sz w:val="18"/>
          <w:szCs w:val="18"/>
        </w:rPr>
      </w:pPr>
    </w:p>
  </w:footnote>
  <w:footnote w:id="13">
    <w:p w:rsidR="002F164D" w:rsidRPr="001D2835" w:rsidRDefault="002F164D" w:rsidP="00EF06E7">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C. Foster and J. </w:t>
      </w:r>
      <w:proofErr w:type="spellStart"/>
      <w:r w:rsidRPr="00CA169C">
        <w:rPr>
          <w:rFonts w:asciiTheme="minorHAnsi" w:hAnsiTheme="minorHAnsi"/>
          <w:sz w:val="18"/>
          <w:szCs w:val="18"/>
        </w:rPr>
        <w:t>Miola</w:t>
      </w:r>
      <w:proofErr w:type="spellEnd"/>
      <w:r w:rsidRPr="00CA169C">
        <w:rPr>
          <w:rFonts w:asciiTheme="minorHAnsi" w:hAnsiTheme="minorHAnsi"/>
          <w:sz w:val="18"/>
          <w:szCs w:val="18"/>
        </w:rPr>
        <w:t xml:space="preserve">, ‘Who’s in charge? The relationship between medical law, medical ethics and medical morality? ‘(2015) </w:t>
      </w:r>
      <w:r>
        <w:rPr>
          <w:rFonts w:asciiTheme="minorHAnsi" w:hAnsiTheme="minorHAnsi"/>
          <w:sz w:val="18"/>
          <w:szCs w:val="18"/>
        </w:rPr>
        <w:t xml:space="preserve">23(4) </w:t>
      </w:r>
      <w:r w:rsidRPr="00CA169C">
        <w:rPr>
          <w:rFonts w:asciiTheme="minorHAnsi" w:hAnsiTheme="minorHAnsi"/>
          <w:sz w:val="18"/>
          <w:szCs w:val="18"/>
        </w:rPr>
        <w:t xml:space="preserve">Med L R </w:t>
      </w:r>
      <w:r>
        <w:rPr>
          <w:rFonts w:asciiTheme="minorHAnsi" w:hAnsiTheme="minorHAnsi"/>
          <w:sz w:val="18"/>
          <w:szCs w:val="18"/>
        </w:rPr>
        <w:t xml:space="preserve">505 </w:t>
      </w:r>
      <w:r w:rsidRPr="00CA169C">
        <w:rPr>
          <w:rFonts w:asciiTheme="minorHAnsi" w:hAnsiTheme="minorHAnsi"/>
          <w:sz w:val="18"/>
          <w:szCs w:val="18"/>
        </w:rPr>
        <w:t>at 529.</w:t>
      </w:r>
    </w:p>
    <w:p w:rsidR="002F164D" w:rsidRPr="001D2835" w:rsidRDefault="002F164D" w:rsidP="00EF06E7">
      <w:pPr>
        <w:pStyle w:val="FootnoteText"/>
        <w:jc w:val="both"/>
        <w:rPr>
          <w:rFonts w:asciiTheme="minorHAnsi" w:hAnsiTheme="minorHAnsi"/>
          <w:sz w:val="18"/>
          <w:szCs w:val="18"/>
        </w:rPr>
      </w:pPr>
    </w:p>
  </w:footnote>
  <w:footnote w:id="14">
    <w:p w:rsidR="002F164D" w:rsidRPr="001D2835" w:rsidRDefault="002F164D" w:rsidP="00EF06E7">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B. Secker, ‘</w:t>
      </w:r>
      <w:proofErr w:type="spellStart"/>
      <w:r w:rsidRPr="00CA169C">
        <w:rPr>
          <w:rFonts w:asciiTheme="minorHAnsi" w:hAnsiTheme="minorHAnsi"/>
          <w:sz w:val="18"/>
          <w:szCs w:val="18"/>
        </w:rPr>
        <w:t>Labeling</w:t>
      </w:r>
      <w:proofErr w:type="spellEnd"/>
      <w:r w:rsidRPr="00CA169C">
        <w:rPr>
          <w:rFonts w:asciiTheme="minorHAnsi" w:hAnsiTheme="minorHAnsi"/>
          <w:sz w:val="18"/>
          <w:szCs w:val="18"/>
        </w:rPr>
        <w:t xml:space="preserve"> Patient (In)Competence: A Feminist Analysis of Medico-Legal Discourse.’ (1999) 30(2) </w:t>
      </w:r>
      <w:r w:rsidRPr="00CA169C">
        <w:rPr>
          <w:rFonts w:asciiTheme="minorHAnsi" w:hAnsiTheme="minorHAnsi"/>
          <w:i/>
          <w:sz w:val="18"/>
          <w:szCs w:val="18"/>
        </w:rPr>
        <w:t>J Soc Phil</w:t>
      </w:r>
      <w:r w:rsidRPr="00CA169C">
        <w:rPr>
          <w:rFonts w:asciiTheme="minorHAnsi" w:hAnsiTheme="minorHAnsi"/>
          <w:sz w:val="18"/>
          <w:szCs w:val="18"/>
        </w:rPr>
        <w:t xml:space="preserve"> 295.</w:t>
      </w:r>
    </w:p>
    <w:p w:rsidR="002F164D" w:rsidRPr="001D2835" w:rsidRDefault="002F164D" w:rsidP="00EF06E7">
      <w:pPr>
        <w:pStyle w:val="FootnoteText"/>
        <w:jc w:val="both"/>
        <w:rPr>
          <w:rFonts w:asciiTheme="minorHAnsi" w:hAnsiTheme="minorHAnsi"/>
          <w:sz w:val="18"/>
          <w:szCs w:val="18"/>
        </w:rPr>
      </w:pPr>
    </w:p>
  </w:footnote>
  <w:footnote w:id="15">
    <w:p w:rsidR="002F164D" w:rsidRPr="00A75D3D" w:rsidRDefault="002F164D" w:rsidP="003E2E4A">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For a rare example, see </w:t>
      </w:r>
      <w:r w:rsidRPr="00CA169C">
        <w:rPr>
          <w:rFonts w:asciiTheme="minorHAnsi" w:hAnsiTheme="minorHAnsi"/>
          <w:i/>
          <w:sz w:val="18"/>
          <w:szCs w:val="18"/>
        </w:rPr>
        <w:t>Re AB</w:t>
      </w:r>
      <w:r>
        <w:rPr>
          <w:rFonts w:asciiTheme="minorHAnsi" w:hAnsiTheme="minorHAnsi"/>
          <w:sz w:val="18"/>
          <w:szCs w:val="18"/>
        </w:rPr>
        <w:t xml:space="preserve"> [2016] EWCOP 37</w:t>
      </w:r>
      <w:r w:rsidRPr="008824F3">
        <w:rPr>
          <w:rFonts w:asciiTheme="minorHAnsi" w:hAnsiTheme="minorHAnsi"/>
          <w:sz w:val="18"/>
          <w:szCs w:val="18"/>
        </w:rPr>
        <w:t xml:space="preserve"> confirm</w:t>
      </w:r>
      <w:r w:rsidRPr="00CA169C">
        <w:rPr>
          <w:rFonts w:asciiTheme="minorHAnsi" w:hAnsiTheme="minorHAnsi"/>
          <w:sz w:val="18"/>
          <w:szCs w:val="18"/>
        </w:rPr>
        <w:t>ing that covert medication, as an example of treatment without consent</w:t>
      </w:r>
      <w:r>
        <w:rPr>
          <w:rFonts w:asciiTheme="minorHAnsi" w:hAnsiTheme="minorHAnsi"/>
          <w:sz w:val="18"/>
          <w:szCs w:val="18"/>
        </w:rPr>
        <w:t>,</w:t>
      </w:r>
      <w:r w:rsidRPr="00CA169C">
        <w:rPr>
          <w:rFonts w:asciiTheme="minorHAnsi" w:hAnsiTheme="minorHAnsi"/>
          <w:sz w:val="18"/>
          <w:szCs w:val="18"/>
        </w:rPr>
        <w:t xml:space="preserve"> interfered with the right to respect for private life and should be in accordance with a law which included safeguards against arbitrariness. </w:t>
      </w:r>
    </w:p>
    <w:p w:rsidR="002F164D" w:rsidRPr="00A75D3D" w:rsidRDefault="002F164D" w:rsidP="003E2E4A">
      <w:pPr>
        <w:pStyle w:val="FootnoteText"/>
        <w:rPr>
          <w:rFonts w:asciiTheme="minorHAnsi" w:hAnsiTheme="minorHAnsi"/>
          <w:sz w:val="18"/>
          <w:szCs w:val="18"/>
        </w:rPr>
      </w:pPr>
    </w:p>
  </w:footnote>
  <w:footnote w:id="16">
    <w:p w:rsidR="002F164D" w:rsidRPr="005E0394" w:rsidRDefault="002F164D">
      <w:pPr>
        <w:pStyle w:val="FootnoteText"/>
        <w:rPr>
          <w:sz w:val="18"/>
          <w:szCs w:val="18"/>
        </w:rPr>
      </w:pPr>
      <w:r w:rsidRPr="00CA169C">
        <w:rPr>
          <w:rStyle w:val="FootnoteReference"/>
          <w:sz w:val="18"/>
          <w:szCs w:val="18"/>
        </w:rPr>
        <w:footnoteRef/>
      </w:r>
      <w:r w:rsidRPr="00CA169C">
        <w:rPr>
          <w:sz w:val="18"/>
          <w:szCs w:val="18"/>
        </w:rPr>
        <w:t xml:space="preserve"> </w:t>
      </w:r>
      <w:proofErr w:type="spellStart"/>
      <w:r w:rsidRPr="00CA169C">
        <w:rPr>
          <w:rFonts w:asciiTheme="minorHAnsi" w:hAnsiTheme="minorHAnsi"/>
          <w:i/>
          <w:sz w:val="18"/>
          <w:szCs w:val="18"/>
        </w:rPr>
        <w:t>Storck</w:t>
      </w:r>
      <w:proofErr w:type="spellEnd"/>
      <w:r w:rsidRPr="00CA169C">
        <w:rPr>
          <w:rFonts w:asciiTheme="minorHAnsi" w:hAnsiTheme="minorHAnsi"/>
          <w:i/>
          <w:sz w:val="18"/>
          <w:szCs w:val="18"/>
        </w:rPr>
        <w:t xml:space="preserve"> v Germany </w:t>
      </w:r>
      <w:r w:rsidRPr="00CA169C">
        <w:rPr>
          <w:rFonts w:asciiTheme="minorHAnsi" w:hAnsiTheme="minorHAnsi"/>
          <w:sz w:val="18"/>
          <w:szCs w:val="18"/>
        </w:rPr>
        <w:t>(2005) 43 EHRR 96</w:t>
      </w:r>
      <w:r w:rsidRPr="00CA169C">
        <w:rPr>
          <w:sz w:val="18"/>
          <w:szCs w:val="18"/>
        </w:rPr>
        <w:t>.</w:t>
      </w:r>
    </w:p>
    <w:p w:rsidR="002F164D" w:rsidRDefault="002F164D">
      <w:pPr>
        <w:pStyle w:val="FootnoteText"/>
      </w:pPr>
    </w:p>
  </w:footnote>
  <w:footnote w:id="17">
    <w:p w:rsidR="002F164D" w:rsidRDefault="002F164D">
      <w:pPr>
        <w:pStyle w:val="FootnoteText"/>
        <w:rPr>
          <w:rFonts w:asciiTheme="minorHAnsi" w:hAnsiTheme="minorHAnsi"/>
          <w:sz w:val="18"/>
          <w:szCs w:val="18"/>
        </w:rPr>
      </w:pPr>
      <w:r>
        <w:rPr>
          <w:rStyle w:val="FootnoteReference"/>
        </w:rPr>
        <w:footnoteRef/>
      </w:r>
      <w:r>
        <w:t xml:space="preserve"> </w:t>
      </w:r>
      <w:proofErr w:type="spellStart"/>
      <w:r w:rsidRPr="00CA169C">
        <w:rPr>
          <w:rFonts w:asciiTheme="minorHAnsi" w:hAnsiTheme="minorHAnsi"/>
          <w:i/>
          <w:sz w:val="18"/>
          <w:szCs w:val="18"/>
        </w:rPr>
        <w:t>Ivinovic</w:t>
      </w:r>
      <w:proofErr w:type="spellEnd"/>
      <w:r w:rsidRPr="00CA169C">
        <w:rPr>
          <w:rFonts w:asciiTheme="minorHAnsi" w:hAnsiTheme="minorHAnsi"/>
          <w:i/>
          <w:sz w:val="18"/>
          <w:szCs w:val="18"/>
        </w:rPr>
        <w:t xml:space="preserve"> v Croatia </w:t>
      </w:r>
      <w:r w:rsidRPr="00CA169C">
        <w:rPr>
          <w:rFonts w:asciiTheme="minorHAnsi" w:hAnsiTheme="minorHAnsi"/>
          <w:sz w:val="18"/>
          <w:szCs w:val="18"/>
        </w:rPr>
        <w:t>[2014] ECHR 964.</w:t>
      </w:r>
    </w:p>
    <w:p w:rsidR="002F164D" w:rsidRPr="009D6405" w:rsidRDefault="002F164D">
      <w:pPr>
        <w:pStyle w:val="FootnoteText"/>
      </w:pPr>
    </w:p>
  </w:footnote>
  <w:footnote w:id="18">
    <w:p w:rsidR="002F164D" w:rsidRPr="002F4609" w:rsidRDefault="002F164D" w:rsidP="00073D7A">
      <w:pPr>
        <w:pStyle w:val="FootnoteText"/>
        <w:rPr>
          <w:rFonts w:asciiTheme="minorHAnsi" w:hAnsiTheme="minorHAnsi"/>
          <w:sz w:val="18"/>
          <w:szCs w:val="18"/>
        </w:rPr>
      </w:pPr>
      <w:r w:rsidRPr="007D2ED7">
        <w:rPr>
          <w:rStyle w:val="FootnoteReference"/>
          <w:rFonts w:asciiTheme="minorHAnsi" w:hAnsiTheme="minorHAnsi"/>
          <w:sz w:val="18"/>
          <w:szCs w:val="18"/>
        </w:rPr>
        <w:footnoteRef/>
      </w:r>
      <w:r w:rsidRPr="007D2ED7">
        <w:rPr>
          <w:rFonts w:asciiTheme="minorHAnsi" w:hAnsiTheme="minorHAnsi"/>
          <w:sz w:val="18"/>
          <w:szCs w:val="18"/>
        </w:rPr>
        <w:t xml:space="preserve"> </w:t>
      </w:r>
      <w:r w:rsidRPr="007D2ED7">
        <w:rPr>
          <w:rFonts w:asciiTheme="minorHAnsi" w:hAnsiTheme="minorHAnsi"/>
          <w:i/>
          <w:iCs/>
          <w:color w:val="000000"/>
          <w:sz w:val="18"/>
          <w:szCs w:val="18"/>
        </w:rPr>
        <w:t xml:space="preserve">AH </w:t>
      </w:r>
      <w:r w:rsidRPr="004C47A1">
        <w:rPr>
          <w:rFonts w:asciiTheme="minorHAnsi" w:hAnsiTheme="minorHAnsi"/>
          <w:i/>
          <w:iCs/>
          <w:color w:val="000000" w:themeColor="text1"/>
          <w:sz w:val="18"/>
          <w:szCs w:val="18"/>
        </w:rPr>
        <w:t>v West London MHT</w:t>
      </w:r>
      <w:r w:rsidRPr="004C47A1">
        <w:rPr>
          <w:rStyle w:val="apple-converted-space"/>
          <w:rFonts w:asciiTheme="minorHAnsi" w:hAnsiTheme="minorHAnsi"/>
          <w:color w:val="000000" w:themeColor="text1"/>
          <w:sz w:val="18"/>
          <w:szCs w:val="18"/>
        </w:rPr>
        <w:t> </w:t>
      </w:r>
      <w:hyperlink r:id="rId2" w:tooltip="Link to BAILII version" w:history="1">
        <w:r w:rsidRPr="004C47A1">
          <w:rPr>
            <w:rStyle w:val="Hyperlink"/>
            <w:rFonts w:asciiTheme="minorHAnsi" w:hAnsiTheme="minorHAnsi"/>
            <w:color w:val="000000" w:themeColor="text1"/>
            <w:sz w:val="18"/>
            <w:szCs w:val="18"/>
            <w:u w:val="none"/>
          </w:rPr>
          <w:t>[2011] UKUT 74 (AAC)</w:t>
        </w:r>
      </w:hyperlink>
      <w:r w:rsidRPr="004C47A1">
        <w:rPr>
          <w:rFonts w:asciiTheme="minorHAnsi" w:hAnsiTheme="minorHAnsi"/>
          <w:color w:val="000000" w:themeColor="text1"/>
          <w:sz w:val="18"/>
          <w:szCs w:val="18"/>
        </w:rPr>
        <w:t>,</w:t>
      </w:r>
      <w:r w:rsidRPr="007D2ED7">
        <w:rPr>
          <w:rFonts w:asciiTheme="minorHAnsi" w:hAnsiTheme="minorHAnsi"/>
          <w:sz w:val="18"/>
          <w:szCs w:val="18"/>
        </w:rPr>
        <w:t xml:space="preserve"> [15]-[16]. </w:t>
      </w:r>
    </w:p>
    <w:p w:rsidR="002F164D" w:rsidRPr="001D2835" w:rsidRDefault="002F164D" w:rsidP="00073D7A">
      <w:pPr>
        <w:pStyle w:val="FootnoteText"/>
        <w:rPr>
          <w:rFonts w:asciiTheme="minorHAnsi" w:hAnsiTheme="minorHAnsi"/>
          <w:sz w:val="18"/>
          <w:szCs w:val="18"/>
        </w:rPr>
      </w:pPr>
    </w:p>
  </w:footnote>
  <w:footnote w:id="19">
    <w:p w:rsidR="002F164D" w:rsidRPr="001D2835" w:rsidRDefault="002F164D" w:rsidP="00073D7A">
      <w:pPr>
        <w:pStyle w:val="FootnoteText"/>
        <w:rPr>
          <w:rFonts w:asciiTheme="minorHAnsi" w:hAnsiTheme="minorHAnsi"/>
          <w:sz w:val="18"/>
          <w:szCs w:val="18"/>
        </w:rPr>
      </w:pPr>
      <w:r w:rsidRPr="007D2ED7">
        <w:rPr>
          <w:rStyle w:val="FootnoteReference"/>
          <w:rFonts w:asciiTheme="minorHAnsi" w:hAnsiTheme="minorHAnsi"/>
          <w:sz w:val="18"/>
          <w:szCs w:val="18"/>
        </w:rPr>
        <w:footnoteRef/>
      </w:r>
      <w:r w:rsidRPr="007D2ED7">
        <w:rPr>
          <w:rFonts w:asciiTheme="minorHAnsi" w:hAnsiTheme="minorHAnsi"/>
          <w:sz w:val="18"/>
          <w:szCs w:val="18"/>
        </w:rPr>
        <w:t xml:space="preserve"> </w:t>
      </w:r>
      <w:proofErr w:type="spellStart"/>
      <w:r w:rsidRPr="007D2ED7">
        <w:rPr>
          <w:rFonts w:asciiTheme="minorHAnsi" w:hAnsiTheme="minorHAnsi"/>
          <w:i/>
          <w:sz w:val="18"/>
          <w:szCs w:val="18"/>
        </w:rPr>
        <w:t>Burnip</w:t>
      </w:r>
      <w:proofErr w:type="spellEnd"/>
      <w:r w:rsidRPr="007D2ED7">
        <w:rPr>
          <w:rFonts w:asciiTheme="minorHAnsi" w:hAnsiTheme="minorHAnsi"/>
          <w:i/>
          <w:sz w:val="18"/>
          <w:szCs w:val="18"/>
        </w:rPr>
        <w:t xml:space="preserve"> v Birmingham CC </w:t>
      </w:r>
      <w:r w:rsidRPr="007D2ED7">
        <w:rPr>
          <w:rFonts w:asciiTheme="minorHAnsi" w:hAnsiTheme="minorHAnsi"/>
          <w:sz w:val="18"/>
          <w:szCs w:val="18"/>
        </w:rPr>
        <w:t xml:space="preserve">[2012] EWCA </w:t>
      </w:r>
      <w:proofErr w:type="spellStart"/>
      <w:r w:rsidRPr="007D2ED7">
        <w:rPr>
          <w:rFonts w:asciiTheme="minorHAnsi" w:hAnsiTheme="minorHAnsi"/>
          <w:sz w:val="18"/>
          <w:szCs w:val="18"/>
        </w:rPr>
        <w:t>Civ</w:t>
      </w:r>
      <w:proofErr w:type="spellEnd"/>
      <w:r w:rsidRPr="007D2ED7">
        <w:rPr>
          <w:rFonts w:asciiTheme="minorHAnsi" w:hAnsiTheme="minorHAnsi"/>
          <w:sz w:val="18"/>
          <w:szCs w:val="18"/>
        </w:rPr>
        <w:t xml:space="preserve"> 629 at [21] and </w:t>
      </w:r>
      <w:r w:rsidRPr="007D2ED7">
        <w:rPr>
          <w:rFonts w:asciiTheme="minorHAnsi" w:hAnsiTheme="minorHAnsi"/>
          <w:i/>
          <w:sz w:val="18"/>
          <w:szCs w:val="18"/>
        </w:rPr>
        <w:t xml:space="preserve">P v Cheshire West </w:t>
      </w:r>
      <w:r w:rsidRPr="007D2ED7">
        <w:rPr>
          <w:rFonts w:asciiTheme="minorHAnsi" w:hAnsiTheme="minorHAnsi"/>
          <w:sz w:val="18"/>
          <w:szCs w:val="18"/>
        </w:rPr>
        <w:t xml:space="preserve">[2014] UKSC 19 at </w:t>
      </w:r>
      <w:r>
        <w:rPr>
          <w:rFonts w:asciiTheme="minorHAnsi" w:hAnsiTheme="minorHAnsi"/>
          <w:sz w:val="18"/>
          <w:szCs w:val="18"/>
        </w:rPr>
        <w:t>[</w:t>
      </w:r>
      <w:r w:rsidRPr="007D2ED7">
        <w:rPr>
          <w:rFonts w:asciiTheme="minorHAnsi" w:hAnsiTheme="minorHAnsi"/>
          <w:sz w:val="18"/>
          <w:szCs w:val="18"/>
        </w:rPr>
        <w:t>36</w:t>
      </w:r>
      <w:r>
        <w:rPr>
          <w:rFonts w:asciiTheme="minorHAnsi" w:hAnsiTheme="minorHAnsi"/>
          <w:sz w:val="18"/>
          <w:szCs w:val="18"/>
        </w:rPr>
        <w:t>]</w:t>
      </w:r>
      <w:r w:rsidRPr="004C47A1">
        <w:rPr>
          <w:rFonts w:asciiTheme="minorHAnsi" w:hAnsiTheme="minorHAnsi"/>
          <w:sz w:val="18"/>
          <w:szCs w:val="18"/>
        </w:rPr>
        <w:t>:</w:t>
      </w:r>
      <w:r w:rsidRPr="007D2ED7">
        <w:rPr>
          <w:rFonts w:asciiTheme="minorHAnsi" w:hAnsiTheme="minorHAnsi"/>
          <w:i/>
          <w:sz w:val="18"/>
          <w:szCs w:val="18"/>
        </w:rPr>
        <w:t xml:space="preserve"> ‘</w:t>
      </w:r>
      <w:r w:rsidRPr="007D2ED7">
        <w:rPr>
          <w:rFonts w:asciiTheme="minorHAnsi" w:hAnsiTheme="minorHAnsi"/>
          <w:color w:val="000000"/>
          <w:sz w:val="18"/>
          <w:szCs w:val="18"/>
        </w:rPr>
        <w:t>Although not directly incorporated into our domestic law, the CRPD</w:t>
      </w:r>
      <w:r w:rsidRPr="007D2ED7">
        <w:rPr>
          <w:rStyle w:val="apple-converted-space"/>
          <w:rFonts w:asciiTheme="minorHAnsi" w:hAnsiTheme="minorHAnsi"/>
          <w:color w:val="000000"/>
          <w:sz w:val="18"/>
          <w:szCs w:val="18"/>
        </w:rPr>
        <w:t> </w:t>
      </w:r>
      <w:r w:rsidRPr="007D2ED7">
        <w:rPr>
          <w:rFonts w:asciiTheme="minorHAnsi" w:hAnsiTheme="minorHAnsi"/>
          <w:color w:val="000000"/>
          <w:sz w:val="18"/>
          <w:szCs w:val="18"/>
        </w:rPr>
        <w:t>is recognised by the Strasbourg court as part of the international law context within which the guarantees of the European Convention are to be interpreted</w:t>
      </w:r>
      <w:r w:rsidRPr="007D2ED7">
        <w:rPr>
          <w:rFonts w:asciiTheme="minorHAnsi" w:hAnsiTheme="minorHAnsi"/>
          <w:sz w:val="18"/>
          <w:szCs w:val="18"/>
        </w:rPr>
        <w:t>.’</w:t>
      </w:r>
    </w:p>
    <w:p w:rsidR="002F164D" w:rsidRPr="001D2835" w:rsidRDefault="002F164D" w:rsidP="00073D7A">
      <w:pPr>
        <w:pStyle w:val="FootnoteText"/>
        <w:rPr>
          <w:rFonts w:asciiTheme="minorHAnsi" w:hAnsiTheme="minorHAnsi"/>
          <w:sz w:val="18"/>
          <w:szCs w:val="18"/>
        </w:rPr>
      </w:pPr>
    </w:p>
  </w:footnote>
  <w:footnote w:id="20">
    <w:p w:rsidR="002F164D" w:rsidRDefault="002F164D">
      <w:pPr>
        <w:pStyle w:val="FootnoteText"/>
      </w:pPr>
      <w:r>
        <w:rPr>
          <w:rStyle w:val="FootnoteReference"/>
        </w:rPr>
        <w:footnoteRef/>
      </w:r>
      <w:r>
        <w:t xml:space="preserve"> </w:t>
      </w:r>
      <w:r w:rsidRPr="00CA169C">
        <w:rPr>
          <w:rFonts w:asciiTheme="minorHAnsi" w:hAnsiTheme="minorHAnsi"/>
          <w:i/>
          <w:sz w:val="18"/>
          <w:szCs w:val="18"/>
        </w:rPr>
        <w:t xml:space="preserve">General Comment No.1 </w:t>
      </w:r>
      <w:r w:rsidRPr="00CA169C">
        <w:rPr>
          <w:rFonts w:asciiTheme="minorHAnsi" w:hAnsiTheme="minorHAnsi"/>
          <w:sz w:val="18"/>
          <w:szCs w:val="18"/>
        </w:rPr>
        <w:t xml:space="preserve">(Committee on the Rights of Persons with Disabilities, 2014), </w:t>
      </w:r>
      <w:proofErr w:type="spellStart"/>
      <w:r w:rsidRPr="00CA169C">
        <w:rPr>
          <w:rFonts w:asciiTheme="minorHAnsi" w:hAnsiTheme="minorHAnsi"/>
          <w:sz w:val="18"/>
          <w:szCs w:val="18"/>
        </w:rPr>
        <w:t>para</w:t>
      </w:r>
      <w:proofErr w:type="spellEnd"/>
      <w:r w:rsidRPr="00CA169C">
        <w:rPr>
          <w:rFonts w:asciiTheme="minorHAnsi" w:hAnsiTheme="minorHAnsi"/>
          <w:sz w:val="18"/>
          <w:szCs w:val="18"/>
        </w:rPr>
        <w:t xml:space="preserve"> 14.</w:t>
      </w:r>
    </w:p>
    <w:p w:rsidR="002F164D" w:rsidRDefault="002F164D">
      <w:pPr>
        <w:pStyle w:val="FootnoteText"/>
      </w:pPr>
    </w:p>
  </w:footnote>
  <w:footnote w:id="21">
    <w:p w:rsidR="002F164D" w:rsidRPr="001D2835" w:rsidRDefault="002F164D">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sz w:val="18"/>
          <w:szCs w:val="18"/>
        </w:rPr>
        <w:t xml:space="preserve">General Comment No.1 </w:t>
      </w:r>
      <w:r w:rsidRPr="00CA169C">
        <w:rPr>
          <w:rFonts w:asciiTheme="minorHAnsi" w:hAnsiTheme="minorHAnsi"/>
          <w:sz w:val="18"/>
          <w:szCs w:val="18"/>
        </w:rPr>
        <w:t xml:space="preserve">(Committee on the Rights of Persons with Disabilities, 2014), </w:t>
      </w:r>
      <w:proofErr w:type="spellStart"/>
      <w:r w:rsidRPr="00CA169C">
        <w:rPr>
          <w:rFonts w:asciiTheme="minorHAnsi" w:hAnsiTheme="minorHAnsi"/>
          <w:sz w:val="18"/>
          <w:szCs w:val="18"/>
        </w:rPr>
        <w:t>para</w:t>
      </w:r>
      <w:proofErr w:type="spellEnd"/>
      <w:r w:rsidRPr="00CA169C">
        <w:rPr>
          <w:rFonts w:asciiTheme="minorHAnsi" w:hAnsiTheme="minorHAnsi"/>
          <w:sz w:val="18"/>
          <w:szCs w:val="18"/>
        </w:rPr>
        <w:t xml:space="preserve"> 14. </w:t>
      </w:r>
    </w:p>
    <w:p w:rsidR="002F164D" w:rsidRPr="001D2835" w:rsidRDefault="002F164D">
      <w:pPr>
        <w:pStyle w:val="FootnoteText"/>
        <w:rPr>
          <w:rFonts w:asciiTheme="minorHAnsi" w:hAnsiTheme="minorHAnsi"/>
          <w:sz w:val="18"/>
          <w:szCs w:val="18"/>
        </w:rPr>
      </w:pPr>
    </w:p>
  </w:footnote>
  <w:footnote w:id="22">
    <w:p w:rsidR="002F164D" w:rsidRPr="00303BF0" w:rsidRDefault="002F164D">
      <w:pPr>
        <w:pStyle w:val="FootnoteText"/>
        <w:rPr>
          <w:rFonts w:asciiTheme="minorHAnsi" w:hAnsiTheme="minorHAnsi"/>
          <w:sz w:val="18"/>
          <w:szCs w:val="18"/>
        </w:rPr>
      </w:pPr>
      <w:r>
        <w:rPr>
          <w:rStyle w:val="FootnoteReference"/>
        </w:rPr>
        <w:footnoteRef/>
      </w:r>
      <w:r>
        <w:t xml:space="preserve"> </w:t>
      </w:r>
      <w:r w:rsidRPr="00303BF0">
        <w:rPr>
          <w:rFonts w:asciiTheme="minorHAnsi" w:hAnsiTheme="minorHAnsi"/>
          <w:sz w:val="18"/>
          <w:szCs w:val="18"/>
        </w:rPr>
        <w:t>See Lucy Series</w:t>
      </w:r>
      <w:r>
        <w:rPr>
          <w:rFonts w:asciiTheme="minorHAnsi" w:hAnsiTheme="minorHAnsi"/>
          <w:sz w:val="18"/>
          <w:szCs w:val="18"/>
        </w:rPr>
        <w:t>’</w:t>
      </w:r>
      <w:r w:rsidRPr="00303BF0">
        <w:rPr>
          <w:rFonts w:asciiTheme="minorHAnsi" w:hAnsiTheme="minorHAnsi"/>
          <w:sz w:val="18"/>
          <w:szCs w:val="18"/>
        </w:rPr>
        <w:t xml:space="preserve"> thoughtful discussion on whether it is ever possible to get away from a discriminatory characteristics of ‘mental’ incapacity</w:t>
      </w:r>
      <w:r>
        <w:rPr>
          <w:rFonts w:asciiTheme="minorHAnsi" w:hAnsiTheme="minorHAnsi"/>
          <w:sz w:val="18"/>
          <w:szCs w:val="18"/>
        </w:rPr>
        <w:t>:</w:t>
      </w:r>
      <w:r w:rsidRPr="00303BF0">
        <w:rPr>
          <w:rFonts w:asciiTheme="minorHAnsi" w:hAnsiTheme="minorHAnsi"/>
          <w:sz w:val="18"/>
          <w:szCs w:val="18"/>
        </w:rPr>
        <w:t xml:space="preserve"> ‘Is Article 12 keeping you awake at night?’ Small Places blog – accessible at </w:t>
      </w:r>
      <w:hyperlink r:id="rId3" w:history="1">
        <w:r w:rsidRPr="00FD2121">
          <w:rPr>
            <w:rStyle w:val="Hyperlink"/>
            <w:rFonts w:asciiTheme="minorHAnsi" w:hAnsiTheme="minorHAnsi"/>
            <w:sz w:val="18"/>
            <w:szCs w:val="18"/>
          </w:rPr>
          <w:t>http://thesmallplaces.blogspot.co.uk/2011/09/is-article-12-keeping-you-awake-at.html</w:t>
        </w:r>
      </w:hyperlink>
      <w:r>
        <w:rPr>
          <w:rFonts w:asciiTheme="minorHAnsi" w:hAnsiTheme="minorHAnsi"/>
          <w:sz w:val="18"/>
          <w:szCs w:val="18"/>
        </w:rPr>
        <w:t xml:space="preserve">. </w:t>
      </w:r>
    </w:p>
    <w:p w:rsidR="002F164D" w:rsidRDefault="002F164D">
      <w:pPr>
        <w:pStyle w:val="FootnoteText"/>
      </w:pPr>
    </w:p>
  </w:footnote>
  <w:footnote w:id="23">
    <w:p w:rsidR="002F164D" w:rsidRPr="004C47A1" w:rsidRDefault="002F164D" w:rsidP="00A86C3D">
      <w:pPr>
        <w:pStyle w:val="FootnoteText"/>
        <w:rPr>
          <w:rFonts w:asciiTheme="minorHAnsi" w:hAnsiTheme="minorHAnsi"/>
          <w:sz w:val="18"/>
          <w:szCs w:val="18"/>
        </w:rPr>
      </w:pPr>
      <w:r w:rsidRPr="004C47A1">
        <w:rPr>
          <w:rStyle w:val="FootnoteReference"/>
          <w:rFonts w:asciiTheme="minorHAnsi" w:hAnsiTheme="minorHAnsi"/>
          <w:sz w:val="18"/>
          <w:szCs w:val="18"/>
        </w:rPr>
        <w:footnoteRef/>
      </w:r>
      <w:r w:rsidRPr="004C47A1">
        <w:rPr>
          <w:rFonts w:asciiTheme="minorHAnsi" w:hAnsiTheme="minorHAnsi"/>
          <w:sz w:val="18"/>
          <w:szCs w:val="18"/>
        </w:rPr>
        <w:t xml:space="preserve"> </w:t>
      </w:r>
      <w:r w:rsidRPr="004C47A1">
        <w:rPr>
          <w:rFonts w:asciiTheme="minorHAnsi" w:hAnsiTheme="minorHAnsi"/>
          <w:i/>
          <w:sz w:val="18"/>
          <w:szCs w:val="18"/>
        </w:rPr>
        <w:t>Aintree University Hospitals NHS Foundation Trust v James</w:t>
      </w:r>
      <w:r w:rsidRPr="004C47A1">
        <w:rPr>
          <w:rFonts w:asciiTheme="minorHAnsi" w:hAnsiTheme="minorHAnsi"/>
          <w:sz w:val="18"/>
          <w:szCs w:val="18"/>
        </w:rPr>
        <w:t xml:space="preserve"> [2013] UKSC 67, particularly Baroness Hale at [45].</w:t>
      </w:r>
      <w:r w:rsidRPr="004C47A1">
        <w:rPr>
          <w:rFonts w:asciiTheme="minorHAnsi" w:hAnsiTheme="minorHAnsi"/>
        </w:rPr>
        <w:t xml:space="preserve"> </w:t>
      </w:r>
      <w:r w:rsidRPr="004C47A1">
        <w:rPr>
          <w:rFonts w:asciiTheme="minorHAnsi" w:hAnsiTheme="minorHAnsi"/>
          <w:sz w:val="18"/>
          <w:szCs w:val="18"/>
        </w:rPr>
        <w:t xml:space="preserve"> </w:t>
      </w:r>
    </w:p>
    <w:p w:rsidR="002F164D" w:rsidRPr="001D2835" w:rsidRDefault="002F164D" w:rsidP="00A86C3D">
      <w:pPr>
        <w:pStyle w:val="FootnoteText"/>
        <w:rPr>
          <w:rFonts w:asciiTheme="minorHAnsi" w:hAnsiTheme="minorHAnsi"/>
          <w:sz w:val="18"/>
          <w:szCs w:val="18"/>
        </w:rPr>
      </w:pPr>
    </w:p>
  </w:footnote>
  <w:footnote w:id="24">
    <w:p w:rsidR="002F164D" w:rsidRPr="001D2835" w:rsidRDefault="002F164D" w:rsidP="00A86C3D">
      <w:pPr>
        <w:pStyle w:val="FootnoteText"/>
        <w:rPr>
          <w:rFonts w:asciiTheme="minorHAnsi" w:hAnsiTheme="minorHAnsi"/>
          <w:sz w:val="18"/>
          <w:szCs w:val="18"/>
          <w:lang w:eastAsia="en-GB"/>
        </w:rPr>
      </w:pPr>
      <w:r w:rsidRPr="007D2ED7">
        <w:rPr>
          <w:rStyle w:val="FootnoteReference"/>
          <w:rFonts w:asciiTheme="minorHAnsi" w:hAnsiTheme="minorHAnsi"/>
          <w:sz w:val="18"/>
          <w:szCs w:val="18"/>
        </w:rPr>
        <w:footnoteRef/>
      </w:r>
      <w:r w:rsidRPr="007D2ED7">
        <w:rPr>
          <w:rFonts w:asciiTheme="minorHAnsi" w:hAnsiTheme="minorHAnsi"/>
          <w:sz w:val="18"/>
          <w:szCs w:val="18"/>
        </w:rPr>
        <w:t xml:space="preserve"> </w:t>
      </w:r>
      <w:r w:rsidRPr="007D2ED7">
        <w:rPr>
          <w:rFonts w:asciiTheme="minorHAnsi" w:hAnsiTheme="minorHAnsi"/>
          <w:i/>
          <w:sz w:val="18"/>
          <w:szCs w:val="18"/>
          <w:lang w:eastAsia="en-GB"/>
        </w:rPr>
        <w:t xml:space="preserve">Wye Valley NHS Trust v B </w:t>
      </w:r>
      <w:r w:rsidRPr="007D2ED7">
        <w:rPr>
          <w:rFonts w:asciiTheme="minorHAnsi" w:hAnsiTheme="minorHAnsi"/>
          <w:sz w:val="18"/>
          <w:szCs w:val="18"/>
          <w:lang w:eastAsia="en-GB"/>
        </w:rPr>
        <w:t>[2015] EWCOP 60 at [11].</w:t>
      </w:r>
    </w:p>
    <w:p w:rsidR="002F164D" w:rsidRPr="001D2835" w:rsidRDefault="002F164D" w:rsidP="00A86C3D">
      <w:pPr>
        <w:pStyle w:val="FootnoteText"/>
        <w:rPr>
          <w:rFonts w:asciiTheme="minorHAnsi" w:hAnsiTheme="minorHAnsi"/>
          <w:sz w:val="18"/>
          <w:szCs w:val="18"/>
        </w:rPr>
      </w:pPr>
    </w:p>
  </w:footnote>
  <w:footnote w:id="25">
    <w:p w:rsidR="002F164D" w:rsidRDefault="002F164D" w:rsidP="00FA35C3">
      <w:r>
        <w:rPr>
          <w:rStyle w:val="FootnoteReference"/>
        </w:rPr>
        <w:footnoteRef/>
      </w:r>
      <w:r>
        <w:t xml:space="preserve"> </w:t>
      </w:r>
      <w:r w:rsidRPr="006C5F1D">
        <w:rPr>
          <w:sz w:val="18"/>
          <w:szCs w:val="18"/>
        </w:rPr>
        <w:t xml:space="preserve">Probably the most well known and widely cited of </w:t>
      </w:r>
      <w:r w:rsidRPr="00FA35C3">
        <w:rPr>
          <w:sz w:val="18"/>
          <w:szCs w:val="18"/>
        </w:rPr>
        <w:t xml:space="preserve">these is A. </w:t>
      </w:r>
      <w:proofErr w:type="spellStart"/>
      <w:r w:rsidRPr="00FA35C3">
        <w:rPr>
          <w:sz w:val="18"/>
          <w:szCs w:val="18"/>
        </w:rPr>
        <w:t>Dhanda</w:t>
      </w:r>
      <w:proofErr w:type="spellEnd"/>
      <w:r w:rsidRPr="00FA35C3">
        <w:rPr>
          <w:sz w:val="18"/>
          <w:szCs w:val="18"/>
        </w:rPr>
        <w:t xml:space="preserve">, ‘Legal Capacity in the Disability Rights Convention: Stranglehold of the past or Lodestar for the Future?’ (2006-7) 34 </w:t>
      </w:r>
      <w:r w:rsidRPr="00FA35C3">
        <w:rPr>
          <w:i/>
          <w:sz w:val="18"/>
          <w:szCs w:val="18"/>
        </w:rPr>
        <w:t xml:space="preserve">Syracuse J Int’l L &amp; </w:t>
      </w:r>
      <w:proofErr w:type="spellStart"/>
      <w:r w:rsidRPr="00FA35C3">
        <w:rPr>
          <w:i/>
          <w:sz w:val="18"/>
          <w:szCs w:val="18"/>
        </w:rPr>
        <w:t>Comm</w:t>
      </w:r>
      <w:proofErr w:type="spellEnd"/>
      <w:r w:rsidRPr="00FA35C3">
        <w:rPr>
          <w:sz w:val="18"/>
          <w:szCs w:val="18"/>
        </w:rPr>
        <w:t xml:space="preserve"> 429. </w:t>
      </w:r>
      <w:proofErr w:type="spellStart"/>
      <w:r w:rsidRPr="00FA35C3">
        <w:rPr>
          <w:sz w:val="18"/>
          <w:szCs w:val="18"/>
        </w:rPr>
        <w:t>Cf</w:t>
      </w:r>
      <w:proofErr w:type="spellEnd"/>
      <w:r w:rsidRPr="00FA35C3">
        <w:rPr>
          <w:sz w:val="18"/>
          <w:szCs w:val="18"/>
        </w:rPr>
        <w:t xml:space="preserve"> G. Richardson, ‘Mental Capacity in the shadow of suicide: what can the law do?’ (2013) 9(1) </w:t>
      </w:r>
      <w:r w:rsidRPr="00FA35C3">
        <w:rPr>
          <w:i/>
          <w:sz w:val="18"/>
          <w:szCs w:val="18"/>
        </w:rPr>
        <w:t xml:space="preserve">International Journal of Law in Context </w:t>
      </w:r>
      <w:r w:rsidRPr="00FA35C3">
        <w:rPr>
          <w:sz w:val="18"/>
          <w:szCs w:val="18"/>
        </w:rPr>
        <w:t xml:space="preserve"> 87</w:t>
      </w:r>
      <w:r>
        <w:rPr>
          <w:sz w:val="18"/>
          <w:szCs w:val="18"/>
        </w:rPr>
        <w:t xml:space="preserve"> for a persuasive argument that application of the CRPD would not be much different in effect and the binary divide would likely be ‘rediscover</w:t>
      </w:r>
      <w:r w:rsidR="00B47EE7">
        <w:rPr>
          <w:sz w:val="18"/>
          <w:szCs w:val="18"/>
        </w:rPr>
        <w:t>e</w:t>
      </w:r>
      <w:r>
        <w:rPr>
          <w:sz w:val="18"/>
          <w:szCs w:val="18"/>
        </w:rPr>
        <w:t>d’ via attempts to identify who needed support with decision making.</w:t>
      </w:r>
    </w:p>
  </w:footnote>
  <w:footnote w:id="26">
    <w:p w:rsidR="002F164D" w:rsidRPr="00F86765" w:rsidRDefault="002F164D">
      <w:pPr>
        <w:pStyle w:val="FootnoteText"/>
        <w:rPr>
          <w:rFonts w:asciiTheme="minorHAnsi" w:hAnsiTheme="minorHAnsi"/>
          <w:sz w:val="18"/>
          <w:szCs w:val="18"/>
        </w:rPr>
      </w:pPr>
      <w:r>
        <w:rPr>
          <w:rStyle w:val="FootnoteReference"/>
        </w:rPr>
        <w:footnoteRef/>
      </w:r>
      <w:r>
        <w:t xml:space="preserve"> </w:t>
      </w:r>
      <w:r w:rsidRPr="00F86765">
        <w:rPr>
          <w:rFonts w:asciiTheme="minorHAnsi" w:hAnsiTheme="minorHAnsi"/>
          <w:sz w:val="18"/>
          <w:szCs w:val="18"/>
        </w:rPr>
        <w:t xml:space="preserve">The House of Lords Select Committee reviewing the operation of the Mental Capacity Act in 2013 found itself unable to take a view on whether the MCA was CRPD compliant but acknowledged that ‘better alignment in practice </w:t>
      </w:r>
      <w:r>
        <w:rPr>
          <w:rFonts w:asciiTheme="minorHAnsi" w:hAnsiTheme="minorHAnsi"/>
          <w:sz w:val="18"/>
          <w:szCs w:val="18"/>
        </w:rPr>
        <w:t xml:space="preserve">should be regarded as a </w:t>
      </w:r>
      <w:r w:rsidRPr="00F86765">
        <w:rPr>
          <w:rFonts w:asciiTheme="minorHAnsi" w:hAnsiTheme="minorHAnsi"/>
          <w:sz w:val="18"/>
          <w:szCs w:val="18"/>
        </w:rPr>
        <w:t xml:space="preserve">reasonable aim.’ </w:t>
      </w:r>
      <w:r w:rsidRPr="00F86765">
        <w:rPr>
          <w:rFonts w:asciiTheme="minorHAnsi" w:hAnsiTheme="minorHAnsi"/>
          <w:i/>
          <w:sz w:val="18"/>
          <w:szCs w:val="18"/>
        </w:rPr>
        <w:t>House of Lords Select Committee on the Mental Capacity Act 2005, Mental Capacity Act 2005: Post-Legislative Scrutiny,</w:t>
      </w:r>
      <w:r w:rsidRPr="00CA169C">
        <w:rPr>
          <w:rFonts w:asciiTheme="minorHAnsi" w:hAnsiTheme="minorHAnsi"/>
          <w:sz w:val="18"/>
          <w:szCs w:val="18"/>
        </w:rPr>
        <w:t xml:space="preserve"> HL Paper 139</w:t>
      </w:r>
      <w:r w:rsidRPr="00F86765">
        <w:rPr>
          <w:rFonts w:asciiTheme="minorHAnsi" w:hAnsiTheme="minorHAnsi"/>
          <w:sz w:val="18"/>
          <w:szCs w:val="18"/>
        </w:rPr>
        <w:t xml:space="preserve">At 53. </w:t>
      </w:r>
    </w:p>
    <w:p w:rsidR="002F164D" w:rsidRPr="00F86765" w:rsidRDefault="002F164D">
      <w:pPr>
        <w:pStyle w:val="FootnoteText"/>
        <w:rPr>
          <w:rFonts w:asciiTheme="minorHAnsi" w:hAnsiTheme="minorHAnsi"/>
          <w:sz w:val="18"/>
          <w:szCs w:val="18"/>
        </w:rPr>
      </w:pPr>
    </w:p>
  </w:footnote>
  <w:footnote w:id="27">
    <w:p w:rsidR="002F164D" w:rsidRPr="004C47A1" w:rsidRDefault="002F164D" w:rsidP="00073D7A">
      <w:pPr>
        <w:pStyle w:val="FootnoteText"/>
        <w:rPr>
          <w:rFonts w:asciiTheme="minorHAnsi" w:hAnsiTheme="minorHAnsi"/>
          <w:sz w:val="18"/>
          <w:szCs w:val="18"/>
        </w:rPr>
      </w:pPr>
      <w:r>
        <w:rPr>
          <w:rStyle w:val="FootnoteReference"/>
        </w:rPr>
        <w:footnoteRef/>
      </w:r>
      <w:r>
        <w:t xml:space="preserve"> </w:t>
      </w:r>
      <w:r w:rsidRPr="0085767D">
        <w:rPr>
          <w:rFonts w:asciiTheme="minorHAnsi" w:hAnsiTheme="minorHAnsi"/>
          <w:sz w:val="18"/>
          <w:szCs w:val="18"/>
        </w:rPr>
        <w:t xml:space="preserve">P. Bartlett, A. </w:t>
      </w:r>
      <w:proofErr w:type="spellStart"/>
      <w:r w:rsidRPr="0085767D">
        <w:rPr>
          <w:rFonts w:asciiTheme="minorHAnsi" w:hAnsiTheme="minorHAnsi"/>
          <w:sz w:val="18"/>
          <w:szCs w:val="18"/>
        </w:rPr>
        <w:t>Ruck</w:t>
      </w:r>
      <w:proofErr w:type="spellEnd"/>
      <w:r w:rsidRPr="0085767D">
        <w:rPr>
          <w:rFonts w:asciiTheme="minorHAnsi" w:hAnsiTheme="minorHAnsi"/>
          <w:sz w:val="18"/>
          <w:szCs w:val="18"/>
        </w:rPr>
        <w:t xml:space="preserve"> Keene and N.</w:t>
      </w:r>
      <w:r>
        <w:rPr>
          <w:rFonts w:asciiTheme="minorHAnsi" w:hAnsiTheme="minorHAnsi"/>
          <w:sz w:val="18"/>
          <w:szCs w:val="18"/>
        </w:rPr>
        <w:t xml:space="preserve"> </w:t>
      </w:r>
      <w:r w:rsidRPr="0085767D">
        <w:rPr>
          <w:rFonts w:asciiTheme="minorHAnsi" w:hAnsiTheme="minorHAnsi"/>
          <w:sz w:val="18"/>
          <w:szCs w:val="18"/>
        </w:rPr>
        <w:t xml:space="preserve">Allen, ‘Litigation Friends or Foes? Representation of ‘P’ before the Court of Protection.’  (2016) Med L Rev special issue – awaiting </w:t>
      </w:r>
      <w:r w:rsidRPr="004C47A1">
        <w:rPr>
          <w:rFonts w:asciiTheme="minorHAnsi" w:hAnsiTheme="minorHAnsi"/>
          <w:sz w:val="18"/>
          <w:szCs w:val="18"/>
        </w:rPr>
        <w:t>publication at p.?</w:t>
      </w:r>
    </w:p>
    <w:p w:rsidR="002F164D" w:rsidRPr="004C47A1" w:rsidRDefault="002F164D" w:rsidP="00073D7A">
      <w:pPr>
        <w:pStyle w:val="FootnoteText"/>
        <w:rPr>
          <w:rFonts w:asciiTheme="minorHAnsi" w:hAnsiTheme="minorHAnsi"/>
          <w:sz w:val="18"/>
          <w:szCs w:val="18"/>
        </w:rPr>
      </w:pPr>
    </w:p>
  </w:footnote>
  <w:footnote w:id="28">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M. </w:t>
      </w:r>
      <w:proofErr w:type="spellStart"/>
      <w:r w:rsidRPr="00CA169C">
        <w:rPr>
          <w:rFonts w:asciiTheme="minorHAnsi" w:hAnsiTheme="minorHAnsi"/>
          <w:sz w:val="18"/>
          <w:szCs w:val="18"/>
        </w:rPr>
        <w:t>Kapp</w:t>
      </w:r>
      <w:proofErr w:type="spellEnd"/>
      <w:r w:rsidRPr="00CA169C">
        <w:rPr>
          <w:rFonts w:asciiTheme="minorHAnsi" w:hAnsiTheme="minorHAnsi"/>
          <w:sz w:val="18"/>
          <w:szCs w:val="18"/>
        </w:rPr>
        <w:t xml:space="preserve"> and D. Mossman, ‘Measuring decisional capacity: cautions on the construction of a </w:t>
      </w:r>
      <w:proofErr w:type="spellStart"/>
      <w:r w:rsidRPr="00CA169C">
        <w:rPr>
          <w:rFonts w:asciiTheme="minorHAnsi" w:hAnsiTheme="minorHAnsi"/>
          <w:sz w:val="18"/>
          <w:szCs w:val="18"/>
        </w:rPr>
        <w:t>capacimeter</w:t>
      </w:r>
      <w:proofErr w:type="spellEnd"/>
      <w:r w:rsidRPr="00CA169C">
        <w:rPr>
          <w:rFonts w:asciiTheme="minorHAnsi" w:hAnsiTheme="minorHAnsi"/>
          <w:sz w:val="18"/>
          <w:szCs w:val="18"/>
        </w:rPr>
        <w:t xml:space="preserve">.’ (1996) 2 </w:t>
      </w:r>
      <w:r w:rsidRPr="00CA169C">
        <w:rPr>
          <w:rFonts w:asciiTheme="minorHAnsi" w:hAnsiTheme="minorHAnsi"/>
          <w:i/>
          <w:sz w:val="18"/>
          <w:szCs w:val="18"/>
        </w:rPr>
        <w:t xml:space="preserve">Psych, Pub </w:t>
      </w:r>
      <w:proofErr w:type="spellStart"/>
      <w:r w:rsidRPr="00CA169C">
        <w:rPr>
          <w:rFonts w:asciiTheme="minorHAnsi" w:hAnsiTheme="minorHAnsi"/>
          <w:i/>
          <w:sz w:val="18"/>
          <w:szCs w:val="18"/>
        </w:rPr>
        <w:t>Pol</w:t>
      </w:r>
      <w:proofErr w:type="spellEnd"/>
      <w:r w:rsidRPr="00CA169C">
        <w:rPr>
          <w:rFonts w:asciiTheme="minorHAnsi" w:hAnsiTheme="minorHAnsi"/>
          <w:i/>
          <w:sz w:val="18"/>
          <w:szCs w:val="18"/>
        </w:rPr>
        <w:t xml:space="preserve"> and Law</w:t>
      </w:r>
      <w:r w:rsidRPr="00CA169C">
        <w:rPr>
          <w:rFonts w:asciiTheme="minorHAnsi" w:hAnsiTheme="minorHAnsi"/>
          <w:sz w:val="18"/>
          <w:szCs w:val="18"/>
        </w:rPr>
        <w:t xml:space="preserve"> 73. </w:t>
      </w:r>
    </w:p>
    <w:p w:rsidR="002F164D" w:rsidRPr="001D2835" w:rsidRDefault="002F164D" w:rsidP="0085767D">
      <w:pPr>
        <w:pStyle w:val="FootnoteText"/>
        <w:jc w:val="both"/>
        <w:rPr>
          <w:rFonts w:asciiTheme="minorHAnsi" w:hAnsiTheme="minorHAnsi"/>
          <w:sz w:val="18"/>
          <w:szCs w:val="18"/>
        </w:rPr>
      </w:pPr>
    </w:p>
  </w:footnote>
  <w:footnote w:id="29">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S.1(2). </w:t>
      </w:r>
    </w:p>
    <w:p w:rsidR="002F164D" w:rsidRPr="001D2835" w:rsidRDefault="002F164D" w:rsidP="0085767D">
      <w:pPr>
        <w:pStyle w:val="FootnoteText"/>
        <w:jc w:val="both"/>
        <w:rPr>
          <w:rFonts w:asciiTheme="minorHAnsi" w:hAnsiTheme="minorHAnsi"/>
          <w:sz w:val="18"/>
          <w:szCs w:val="18"/>
        </w:rPr>
      </w:pPr>
    </w:p>
  </w:footnote>
  <w:footnote w:id="30">
    <w:p w:rsidR="002F164D" w:rsidRPr="001D2835" w:rsidRDefault="002F164D" w:rsidP="00A86C3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sz w:val="18"/>
          <w:szCs w:val="18"/>
        </w:rPr>
        <w:t>MCA Code of Practice</w:t>
      </w:r>
      <w:r w:rsidRPr="00CA169C">
        <w:rPr>
          <w:rFonts w:asciiTheme="minorHAnsi" w:hAnsiTheme="minorHAnsi"/>
          <w:sz w:val="18"/>
          <w:szCs w:val="18"/>
        </w:rPr>
        <w:t xml:space="preserve"> (2007). Many of the </w:t>
      </w:r>
      <w:proofErr w:type="spellStart"/>
      <w:r w:rsidRPr="00CA169C">
        <w:rPr>
          <w:rFonts w:asciiTheme="minorHAnsi" w:hAnsiTheme="minorHAnsi"/>
          <w:sz w:val="18"/>
          <w:szCs w:val="18"/>
        </w:rPr>
        <w:t>CoP</w:t>
      </w:r>
      <w:proofErr w:type="spellEnd"/>
      <w:r w:rsidRPr="00CA169C">
        <w:rPr>
          <w:rFonts w:asciiTheme="minorHAnsi" w:hAnsiTheme="minorHAnsi"/>
          <w:sz w:val="18"/>
          <w:szCs w:val="18"/>
        </w:rPr>
        <w:t xml:space="preserve"> judgments adopt the ‘stage 1’ and ‘stage 2’ approach despite the warnings from </w:t>
      </w:r>
      <w:r w:rsidRPr="00CA169C">
        <w:rPr>
          <w:rFonts w:asciiTheme="minorHAnsi" w:hAnsiTheme="minorHAnsi"/>
          <w:i/>
          <w:sz w:val="18"/>
          <w:szCs w:val="18"/>
        </w:rPr>
        <w:t xml:space="preserve">PC v City of York Council </w:t>
      </w:r>
      <w:r w:rsidRPr="00CA169C">
        <w:rPr>
          <w:rFonts w:asciiTheme="minorHAnsi" w:hAnsiTheme="minorHAnsi"/>
          <w:sz w:val="18"/>
          <w:szCs w:val="18"/>
        </w:rPr>
        <w:t xml:space="preserve">[2013] EWCA </w:t>
      </w:r>
      <w:proofErr w:type="spellStart"/>
      <w:r w:rsidRPr="00CA169C">
        <w:rPr>
          <w:rFonts w:asciiTheme="minorHAnsi" w:hAnsiTheme="minorHAnsi"/>
          <w:sz w:val="18"/>
          <w:szCs w:val="18"/>
        </w:rPr>
        <w:t>Civ</w:t>
      </w:r>
      <w:proofErr w:type="spellEnd"/>
      <w:r w:rsidRPr="00CA169C">
        <w:rPr>
          <w:rFonts w:asciiTheme="minorHAnsi" w:hAnsiTheme="minorHAnsi"/>
          <w:sz w:val="18"/>
          <w:szCs w:val="18"/>
        </w:rPr>
        <w:t xml:space="preserve"> 478 at [58] that the MCA’s ordering of the issues requires an ‘inability to decide’ to be identified first. </w:t>
      </w:r>
    </w:p>
    <w:p w:rsidR="002F164D" w:rsidRPr="001D2835" w:rsidRDefault="002F164D" w:rsidP="00A86C3D">
      <w:pPr>
        <w:pStyle w:val="FootnoteText"/>
        <w:jc w:val="both"/>
        <w:rPr>
          <w:rFonts w:asciiTheme="minorHAnsi" w:hAnsiTheme="minorHAnsi"/>
          <w:sz w:val="18"/>
          <w:szCs w:val="18"/>
        </w:rPr>
      </w:pPr>
    </w:p>
  </w:footnote>
  <w:footnote w:id="31">
    <w:p w:rsidR="002F164D" w:rsidRPr="0073530B" w:rsidRDefault="002F164D" w:rsidP="00CF6849">
      <w:pPr>
        <w:pStyle w:val="FootnoteText"/>
        <w:rPr>
          <w:rFonts w:asciiTheme="minorHAnsi" w:hAnsiTheme="minorHAnsi"/>
          <w:sz w:val="18"/>
          <w:szCs w:val="18"/>
        </w:rPr>
      </w:pPr>
      <w:r w:rsidRPr="0073530B">
        <w:rPr>
          <w:rStyle w:val="FootnoteReference"/>
          <w:rFonts w:asciiTheme="minorHAnsi" w:hAnsiTheme="minorHAnsi"/>
          <w:sz w:val="18"/>
          <w:szCs w:val="18"/>
        </w:rPr>
        <w:footnoteRef/>
      </w:r>
      <w:r w:rsidRPr="0073530B">
        <w:rPr>
          <w:rFonts w:asciiTheme="minorHAnsi" w:hAnsiTheme="minorHAnsi"/>
          <w:sz w:val="18"/>
          <w:szCs w:val="18"/>
        </w:rPr>
        <w:t xml:space="preserve"> The Code of Practice at </w:t>
      </w:r>
      <w:proofErr w:type="spellStart"/>
      <w:r w:rsidRPr="0073530B">
        <w:rPr>
          <w:rFonts w:asciiTheme="minorHAnsi" w:hAnsiTheme="minorHAnsi"/>
          <w:sz w:val="18"/>
          <w:szCs w:val="18"/>
        </w:rPr>
        <w:t>para</w:t>
      </w:r>
      <w:proofErr w:type="spellEnd"/>
      <w:r w:rsidRPr="0073530B">
        <w:rPr>
          <w:rFonts w:asciiTheme="minorHAnsi" w:hAnsiTheme="minorHAnsi"/>
          <w:sz w:val="18"/>
          <w:szCs w:val="18"/>
        </w:rPr>
        <w:t xml:space="preserve"> 4.11 recognises that an impairment or disturbance may be identified </w:t>
      </w:r>
      <w:r w:rsidRPr="00A52DBB">
        <w:rPr>
          <w:rFonts w:asciiTheme="minorHAnsi" w:hAnsiTheme="minorHAnsi"/>
          <w:i/>
          <w:sz w:val="18"/>
          <w:szCs w:val="18"/>
        </w:rPr>
        <w:t>without</w:t>
      </w:r>
      <w:r w:rsidRPr="0073530B">
        <w:rPr>
          <w:rFonts w:asciiTheme="minorHAnsi" w:hAnsiTheme="minorHAnsi"/>
          <w:sz w:val="18"/>
          <w:szCs w:val="18"/>
        </w:rPr>
        <w:t xml:space="preserve"> any disorder, examples including concussion and the symptoms of drug or alcohol use. </w:t>
      </w:r>
      <w:r w:rsidR="00A52DBB">
        <w:rPr>
          <w:rFonts w:asciiTheme="minorHAnsi" w:hAnsiTheme="minorHAnsi"/>
          <w:sz w:val="18"/>
          <w:szCs w:val="18"/>
        </w:rPr>
        <w:t xml:space="preserve">These examples are however extremely rare in reported judgments. </w:t>
      </w:r>
    </w:p>
    <w:p w:rsidR="002F164D" w:rsidRPr="0073530B" w:rsidRDefault="002F164D" w:rsidP="00CF6849">
      <w:pPr>
        <w:pStyle w:val="FootnoteText"/>
        <w:rPr>
          <w:rFonts w:asciiTheme="minorHAnsi" w:hAnsiTheme="minorHAnsi"/>
          <w:sz w:val="18"/>
          <w:szCs w:val="18"/>
        </w:rPr>
      </w:pPr>
    </w:p>
  </w:footnote>
  <w:footnote w:id="32">
    <w:p w:rsidR="002F164D" w:rsidRPr="001D2835" w:rsidRDefault="002F164D" w:rsidP="00F514A9">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[2012] EWCOP 4378, no paragraph reference available</w:t>
      </w:r>
      <w:r w:rsidRPr="00192ED1">
        <w:rPr>
          <w:rFonts w:asciiTheme="minorHAnsi" w:hAnsiTheme="minorHAnsi"/>
          <w:sz w:val="18"/>
          <w:szCs w:val="18"/>
        </w:rPr>
        <w:t>.</w:t>
      </w:r>
      <w:r w:rsidRPr="00CA169C">
        <w:rPr>
          <w:rFonts w:asciiTheme="minorHAnsi" w:hAnsiTheme="minorHAnsi"/>
          <w:sz w:val="18"/>
          <w:szCs w:val="18"/>
        </w:rPr>
        <w:t xml:space="preserve"> See also W. Martin and S. </w:t>
      </w:r>
      <w:proofErr w:type="spellStart"/>
      <w:r w:rsidRPr="00CA169C">
        <w:rPr>
          <w:rFonts w:asciiTheme="minorHAnsi" w:hAnsiTheme="minorHAnsi"/>
          <w:sz w:val="18"/>
          <w:szCs w:val="18"/>
        </w:rPr>
        <w:t>Michalowski</w:t>
      </w:r>
      <w:proofErr w:type="spellEnd"/>
      <w:r w:rsidRPr="00CA169C">
        <w:rPr>
          <w:rFonts w:asciiTheme="minorHAnsi" w:hAnsiTheme="minorHAnsi"/>
          <w:sz w:val="18"/>
          <w:szCs w:val="18"/>
        </w:rPr>
        <w:t xml:space="preserve">, ‘Is the MCA’s diagnostic test to assess mental capacity compatible with the UNCRPD?’ </w:t>
      </w:r>
      <w:r w:rsidRPr="00CA169C">
        <w:rPr>
          <w:rFonts w:asciiTheme="minorHAnsi" w:hAnsiTheme="minorHAnsi"/>
          <w:i/>
          <w:sz w:val="18"/>
          <w:szCs w:val="18"/>
        </w:rPr>
        <w:t xml:space="preserve">Briefing Document </w:t>
      </w:r>
      <w:r w:rsidRPr="00CA169C">
        <w:rPr>
          <w:rFonts w:asciiTheme="minorHAnsi" w:hAnsiTheme="minorHAnsi"/>
          <w:sz w:val="18"/>
          <w:szCs w:val="18"/>
        </w:rPr>
        <w:t>(April 2014) availabl</w:t>
      </w:r>
      <w:r w:rsidRPr="00ED0BF1">
        <w:rPr>
          <w:rFonts w:asciiTheme="minorHAnsi" w:hAnsiTheme="minorHAnsi"/>
          <w:sz w:val="18"/>
          <w:szCs w:val="18"/>
        </w:rPr>
        <w:t xml:space="preserve">e at </w:t>
      </w:r>
      <w:hyperlink r:id="rId4" w:history="1">
        <w:r w:rsidRPr="00ED0BF1">
          <w:rPr>
            <w:rStyle w:val="Hyperlink"/>
            <w:rFonts w:asciiTheme="minorHAnsi" w:hAnsiTheme="minorHAnsi"/>
            <w:color w:val="auto"/>
            <w:sz w:val="18"/>
            <w:szCs w:val="18"/>
          </w:rPr>
          <w:t>http://autonomy.essex.ac.uk/is-the-mca-compliant-with-the-uncrpd-briefing-papers</w:t>
        </w:r>
      </w:hyperlink>
      <w:r w:rsidRPr="00ED0BF1">
        <w:rPr>
          <w:rFonts w:asciiTheme="minorHAnsi" w:hAnsiTheme="minorHAnsi"/>
          <w:sz w:val="18"/>
          <w:szCs w:val="18"/>
        </w:rPr>
        <w:t>, suggesting that the findin</w:t>
      </w:r>
      <w:r w:rsidRPr="00CA169C">
        <w:rPr>
          <w:rFonts w:asciiTheme="minorHAnsi" w:hAnsiTheme="minorHAnsi"/>
          <w:sz w:val="18"/>
          <w:szCs w:val="18"/>
        </w:rPr>
        <w:t xml:space="preserve">g of incapacity sometimes flows from the diagnosis. </w:t>
      </w:r>
    </w:p>
    <w:p w:rsidR="002F164D" w:rsidRPr="001D2835" w:rsidRDefault="002F164D" w:rsidP="00F514A9">
      <w:pPr>
        <w:pStyle w:val="FootnoteText"/>
        <w:jc w:val="both"/>
        <w:rPr>
          <w:rFonts w:asciiTheme="minorHAnsi" w:hAnsiTheme="minorHAnsi"/>
          <w:sz w:val="18"/>
          <w:szCs w:val="18"/>
        </w:rPr>
      </w:pPr>
    </w:p>
  </w:footnote>
  <w:footnote w:id="33">
    <w:p w:rsidR="002F164D" w:rsidRPr="001D2835" w:rsidRDefault="002F164D" w:rsidP="006573DE">
      <w:pPr>
        <w:pStyle w:val="FootnoteText"/>
        <w:jc w:val="both"/>
        <w:rPr>
          <w:rFonts w:asciiTheme="minorHAnsi" w:hAnsiTheme="minorHAnsi"/>
          <w:color w:val="000000"/>
          <w:sz w:val="18"/>
          <w:szCs w:val="18"/>
          <w:lang w:eastAsia="en-GB"/>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[2010] EWCOP 1910 at [39].</w:t>
      </w:r>
    </w:p>
    <w:p w:rsidR="002F164D" w:rsidRPr="001D2835" w:rsidRDefault="002F164D" w:rsidP="006573DE">
      <w:pPr>
        <w:pStyle w:val="FootnoteText"/>
        <w:jc w:val="both"/>
        <w:rPr>
          <w:rFonts w:asciiTheme="minorHAnsi" w:hAnsiTheme="minorHAnsi"/>
          <w:sz w:val="18"/>
          <w:szCs w:val="18"/>
        </w:rPr>
      </w:pPr>
    </w:p>
  </w:footnote>
  <w:footnote w:id="34">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sz w:val="18"/>
          <w:szCs w:val="18"/>
        </w:rPr>
        <w:t xml:space="preserve">Unfitness to Plead </w:t>
      </w:r>
      <w:r w:rsidRPr="00CA169C">
        <w:rPr>
          <w:rFonts w:asciiTheme="minorHAnsi" w:hAnsiTheme="minorHAnsi"/>
          <w:sz w:val="18"/>
          <w:szCs w:val="18"/>
        </w:rPr>
        <w:t xml:space="preserve">(Law Commission, 2016) at 3.128.  </w:t>
      </w:r>
    </w:p>
    <w:p w:rsidR="002F164D" w:rsidRPr="001D2835" w:rsidRDefault="002F164D" w:rsidP="0085767D">
      <w:pPr>
        <w:pStyle w:val="FootnoteText"/>
        <w:jc w:val="both"/>
        <w:rPr>
          <w:rFonts w:asciiTheme="minorHAnsi" w:hAnsiTheme="minorHAnsi"/>
          <w:sz w:val="18"/>
          <w:szCs w:val="18"/>
        </w:rPr>
      </w:pPr>
    </w:p>
  </w:footnote>
  <w:footnote w:id="35">
    <w:p w:rsidR="00EF242D" w:rsidRPr="001D2835" w:rsidRDefault="002F164D" w:rsidP="00EF242D">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See Martin and </w:t>
      </w:r>
      <w:proofErr w:type="spellStart"/>
      <w:r w:rsidRPr="00CA169C">
        <w:rPr>
          <w:rFonts w:asciiTheme="minorHAnsi" w:hAnsiTheme="minorHAnsi"/>
          <w:sz w:val="18"/>
          <w:szCs w:val="18"/>
        </w:rPr>
        <w:t>Michalowski</w:t>
      </w:r>
      <w:proofErr w:type="spellEnd"/>
      <w:r w:rsidRPr="00CA169C">
        <w:rPr>
          <w:rFonts w:asciiTheme="minorHAnsi" w:hAnsiTheme="minorHAnsi"/>
          <w:sz w:val="18"/>
          <w:szCs w:val="18"/>
        </w:rPr>
        <w:t xml:space="preserve"> above at n.</w:t>
      </w:r>
      <w:r>
        <w:rPr>
          <w:rFonts w:asciiTheme="minorHAnsi" w:hAnsiTheme="minorHAnsi"/>
          <w:sz w:val="18"/>
          <w:szCs w:val="18"/>
        </w:rPr>
        <w:t>31</w:t>
      </w:r>
      <w:r w:rsidRPr="00CA169C">
        <w:rPr>
          <w:rFonts w:asciiTheme="minorHAnsi" w:hAnsiTheme="minorHAnsi"/>
          <w:sz w:val="18"/>
          <w:szCs w:val="18"/>
        </w:rPr>
        <w:t xml:space="preserve"> suggesting its incompa</w:t>
      </w:r>
      <w:r>
        <w:rPr>
          <w:rFonts w:asciiTheme="minorHAnsi" w:hAnsiTheme="minorHAnsi"/>
          <w:sz w:val="18"/>
          <w:szCs w:val="18"/>
        </w:rPr>
        <w:t>ti</w:t>
      </w:r>
      <w:r w:rsidRPr="00CA169C">
        <w:rPr>
          <w:rFonts w:asciiTheme="minorHAnsi" w:hAnsiTheme="minorHAnsi"/>
          <w:sz w:val="18"/>
          <w:szCs w:val="18"/>
        </w:rPr>
        <w:t xml:space="preserve">bility with the UNCRPD in the context of the MCA, and also </w:t>
      </w:r>
      <w:proofErr w:type="spellStart"/>
      <w:r w:rsidRPr="00CA169C">
        <w:rPr>
          <w:rFonts w:asciiTheme="minorHAnsi" w:hAnsiTheme="minorHAnsi"/>
          <w:sz w:val="18"/>
          <w:szCs w:val="18"/>
        </w:rPr>
        <w:t>Kirsty</w:t>
      </w:r>
      <w:proofErr w:type="spellEnd"/>
      <w:r w:rsidRPr="00CA169C">
        <w:rPr>
          <w:rFonts w:asciiTheme="minorHAnsi" w:hAnsiTheme="minorHAnsi"/>
          <w:sz w:val="18"/>
          <w:szCs w:val="18"/>
        </w:rPr>
        <w:t xml:space="preserve"> </w:t>
      </w:r>
      <w:proofErr w:type="spellStart"/>
      <w:r w:rsidRPr="00CA169C">
        <w:rPr>
          <w:rFonts w:asciiTheme="minorHAnsi" w:hAnsiTheme="minorHAnsi"/>
          <w:sz w:val="18"/>
          <w:szCs w:val="18"/>
        </w:rPr>
        <w:t>Keywood</w:t>
      </w:r>
      <w:proofErr w:type="spellEnd"/>
      <w:r w:rsidRPr="00CA169C">
        <w:rPr>
          <w:rFonts w:asciiTheme="minorHAnsi" w:hAnsiTheme="minorHAnsi"/>
          <w:sz w:val="18"/>
          <w:szCs w:val="18"/>
        </w:rPr>
        <w:t xml:space="preserve">, giving oral evidence to the </w:t>
      </w:r>
      <w:r w:rsidRPr="00F86765">
        <w:rPr>
          <w:rFonts w:asciiTheme="minorHAnsi" w:hAnsiTheme="minorHAnsi"/>
          <w:i/>
          <w:sz w:val="18"/>
          <w:szCs w:val="18"/>
        </w:rPr>
        <w:t>House of Lords Select Committee on the Mental Capacity Act 2005, Mental Capacity Act 2005: Post-Legislative Scrutiny</w:t>
      </w:r>
      <w:r w:rsidRPr="00CA169C">
        <w:rPr>
          <w:rFonts w:asciiTheme="minorHAnsi" w:hAnsiTheme="minorHAnsi"/>
          <w:sz w:val="18"/>
          <w:szCs w:val="18"/>
        </w:rPr>
        <w:t xml:space="preserve">, HL Paper 139, vol.2 at 923. </w:t>
      </w:r>
      <w:r w:rsidR="00EF242D" w:rsidRPr="00CA169C">
        <w:rPr>
          <w:rFonts w:asciiTheme="minorHAnsi" w:hAnsiTheme="minorHAnsi"/>
          <w:sz w:val="18"/>
          <w:szCs w:val="18"/>
        </w:rPr>
        <w:t>It was also deliberately not incorporated into Ireland’s Assisted Decision Making Act 2015.</w:t>
      </w:r>
      <w:r w:rsidR="00EF242D">
        <w:rPr>
          <w:rFonts w:asciiTheme="minorHAnsi" w:hAnsiTheme="minorHAnsi"/>
          <w:sz w:val="18"/>
          <w:szCs w:val="18"/>
        </w:rPr>
        <w:t xml:space="preserve"> </w:t>
      </w:r>
      <w:r w:rsidR="00EF242D" w:rsidRPr="00CA169C">
        <w:rPr>
          <w:rFonts w:asciiTheme="minorHAnsi" w:hAnsiTheme="minorHAnsi"/>
          <w:sz w:val="18"/>
          <w:szCs w:val="18"/>
        </w:rPr>
        <w:t>This point is beyond the scope of this article but, for an introduction to the issues, see P. Bartlett, ‘The United Nations Convention on the Rights of Persons with Disabilities and Mental Health Law.’ (2012) 75(5) MLR 752.</w:t>
      </w:r>
    </w:p>
    <w:p w:rsidR="002F164D" w:rsidRPr="001D2835" w:rsidRDefault="002F164D">
      <w:pPr>
        <w:pStyle w:val="FootnoteText"/>
        <w:rPr>
          <w:rFonts w:asciiTheme="minorHAnsi" w:hAnsiTheme="minorHAnsi"/>
          <w:sz w:val="18"/>
          <w:szCs w:val="18"/>
        </w:rPr>
      </w:pPr>
    </w:p>
    <w:p w:rsidR="002F164D" w:rsidRPr="001D2835" w:rsidRDefault="002F164D">
      <w:pPr>
        <w:pStyle w:val="FootnoteText"/>
        <w:rPr>
          <w:rFonts w:asciiTheme="minorHAnsi" w:hAnsiTheme="minorHAnsi"/>
          <w:sz w:val="18"/>
          <w:szCs w:val="18"/>
        </w:rPr>
      </w:pPr>
    </w:p>
  </w:footnote>
  <w:footnote w:id="36">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See N. Banner, ‘Unreasonable reasons: normative judgements in the assessment of mental capacity.’ (2012) </w:t>
      </w:r>
      <w:r w:rsidRPr="00CA169C">
        <w:rPr>
          <w:rFonts w:asciiTheme="minorHAnsi" w:hAnsiTheme="minorHAnsi"/>
          <w:i/>
          <w:sz w:val="18"/>
          <w:szCs w:val="18"/>
        </w:rPr>
        <w:t xml:space="preserve">J of </w:t>
      </w:r>
      <w:proofErr w:type="spellStart"/>
      <w:r w:rsidRPr="00CA169C">
        <w:rPr>
          <w:rFonts w:asciiTheme="minorHAnsi" w:hAnsiTheme="minorHAnsi"/>
          <w:i/>
          <w:sz w:val="18"/>
          <w:szCs w:val="18"/>
        </w:rPr>
        <w:t>Eval</w:t>
      </w:r>
      <w:proofErr w:type="spellEnd"/>
      <w:r w:rsidRPr="00CA169C">
        <w:rPr>
          <w:rFonts w:asciiTheme="minorHAnsi" w:hAnsiTheme="minorHAnsi"/>
          <w:i/>
          <w:sz w:val="18"/>
          <w:szCs w:val="18"/>
        </w:rPr>
        <w:t xml:space="preserve"> in Clinical Practice</w:t>
      </w:r>
      <w:r w:rsidRPr="00CA169C">
        <w:rPr>
          <w:rFonts w:asciiTheme="minorHAnsi" w:hAnsiTheme="minorHAnsi"/>
          <w:sz w:val="18"/>
          <w:szCs w:val="18"/>
        </w:rPr>
        <w:t xml:space="preserve"> 1038.</w:t>
      </w:r>
    </w:p>
    <w:p w:rsidR="002F164D" w:rsidRPr="001D2835" w:rsidRDefault="002F164D" w:rsidP="0085767D">
      <w:pPr>
        <w:pStyle w:val="FootnoteText"/>
        <w:jc w:val="both"/>
        <w:rPr>
          <w:rFonts w:asciiTheme="minorHAnsi" w:hAnsiTheme="minorHAnsi"/>
          <w:sz w:val="18"/>
          <w:szCs w:val="18"/>
        </w:rPr>
      </w:pPr>
    </w:p>
  </w:footnote>
  <w:footnote w:id="37">
    <w:p w:rsidR="002F164D" w:rsidRPr="001D2835" w:rsidRDefault="002F164D" w:rsidP="0085767D">
      <w:pPr>
        <w:spacing w:after="0" w:line="240" w:lineRule="auto"/>
        <w:jc w:val="both"/>
        <w:rPr>
          <w:sz w:val="18"/>
          <w:szCs w:val="18"/>
        </w:rPr>
      </w:pPr>
      <w:r>
        <w:rPr>
          <w:rStyle w:val="FootnoteReference"/>
          <w:sz w:val="18"/>
          <w:szCs w:val="18"/>
        </w:rPr>
        <w:footnoteRef/>
      </w:r>
      <w:r w:rsidRPr="00CA169C">
        <w:rPr>
          <w:sz w:val="18"/>
          <w:szCs w:val="18"/>
        </w:rPr>
        <w:t xml:space="preserve"> C. </w:t>
      </w:r>
      <w:r w:rsidRPr="00CA169C">
        <w:rPr>
          <w:rFonts w:cs="Arial"/>
          <w:sz w:val="18"/>
          <w:szCs w:val="18"/>
        </w:rPr>
        <w:t xml:space="preserve">Foster, ‘Autonomy in the Medico-legal Courtroom.’ (2014) 22 Med L Rev </w:t>
      </w:r>
      <w:r w:rsidRPr="00CA169C">
        <w:rPr>
          <w:rFonts w:cs="Tahoma"/>
          <w:bCs/>
          <w:color w:val="000000"/>
          <w:sz w:val="18"/>
          <w:szCs w:val="18"/>
        </w:rPr>
        <w:t>48 at 59.</w:t>
      </w:r>
    </w:p>
    <w:p w:rsidR="002F164D" w:rsidRPr="001D2835" w:rsidRDefault="002F164D" w:rsidP="0085767D">
      <w:pPr>
        <w:pStyle w:val="FootnoteText"/>
        <w:jc w:val="both"/>
        <w:rPr>
          <w:rFonts w:asciiTheme="minorHAnsi" w:hAnsiTheme="minorHAnsi"/>
          <w:sz w:val="18"/>
          <w:szCs w:val="18"/>
        </w:rPr>
      </w:pPr>
    </w:p>
  </w:footnote>
  <w:footnote w:id="38">
    <w:p w:rsidR="002F164D" w:rsidRPr="001D2835" w:rsidRDefault="002F164D" w:rsidP="0085767D">
      <w:pPr>
        <w:spacing w:line="240" w:lineRule="auto"/>
        <w:jc w:val="both"/>
        <w:rPr>
          <w:i/>
          <w:sz w:val="18"/>
          <w:szCs w:val="18"/>
        </w:rPr>
      </w:pPr>
      <w:r>
        <w:rPr>
          <w:rStyle w:val="FootnoteReference"/>
          <w:sz w:val="18"/>
          <w:szCs w:val="18"/>
        </w:rPr>
        <w:footnoteRef/>
      </w:r>
      <w:r w:rsidRPr="00CA169C">
        <w:rPr>
          <w:sz w:val="18"/>
          <w:szCs w:val="18"/>
        </w:rPr>
        <w:t xml:space="preserve"> </w:t>
      </w:r>
      <w:r w:rsidRPr="00CA169C">
        <w:rPr>
          <w:color w:val="000000"/>
          <w:sz w:val="18"/>
          <w:szCs w:val="18"/>
          <w:lang w:eastAsia="en-GB"/>
        </w:rPr>
        <w:t>[2010] EWCOP 1549.</w:t>
      </w:r>
      <w:r w:rsidRPr="00CA169C">
        <w:rPr>
          <w:sz w:val="18"/>
          <w:szCs w:val="18"/>
        </w:rPr>
        <w:t xml:space="preserve"> </w:t>
      </w:r>
    </w:p>
  </w:footnote>
  <w:footnote w:id="39">
    <w:p w:rsidR="002F164D" w:rsidRPr="001D2835" w:rsidRDefault="002F164D" w:rsidP="0085767D">
      <w:pPr>
        <w:pStyle w:val="FootnoteText"/>
        <w:jc w:val="both"/>
        <w:rPr>
          <w:rFonts w:asciiTheme="minorHAnsi" w:hAnsiTheme="minorHAnsi"/>
          <w:color w:val="000000"/>
          <w:sz w:val="18"/>
          <w:szCs w:val="18"/>
          <w:lang w:eastAsia="en-GB"/>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[2012] EWCOP 2136.</w:t>
      </w:r>
    </w:p>
    <w:p w:rsidR="002F164D" w:rsidRPr="001D2835" w:rsidRDefault="002F164D" w:rsidP="0085767D">
      <w:pPr>
        <w:pStyle w:val="FootnoteText"/>
        <w:jc w:val="both"/>
        <w:rPr>
          <w:rFonts w:asciiTheme="minorHAnsi" w:hAnsiTheme="minorHAnsi"/>
          <w:sz w:val="18"/>
          <w:szCs w:val="18"/>
        </w:rPr>
      </w:pPr>
    </w:p>
  </w:footnote>
  <w:footnote w:id="40">
    <w:p w:rsidR="002F164D" w:rsidRPr="001D2835" w:rsidRDefault="002F164D" w:rsidP="0085767D">
      <w:pPr>
        <w:pStyle w:val="FootnoteText"/>
        <w:jc w:val="both"/>
        <w:rPr>
          <w:rFonts w:asciiTheme="minorHAnsi" w:hAnsiTheme="minorHAnsi"/>
          <w:color w:val="000000"/>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rPr>
        <w:t>n.1 at [84].</w:t>
      </w:r>
    </w:p>
    <w:p w:rsidR="002F164D" w:rsidRPr="001D2835" w:rsidRDefault="002F164D" w:rsidP="0085767D">
      <w:pPr>
        <w:pStyle w:val="FootnoteText"/>
        <w:jc w:val="both"/>
        <w:rPr>
          <w:rFonts w:asciiTheme="minorHAnsi" w:hAnsiTheme="minorHAnsi"/>
          <w:sz w:val="18"/>
          <w:szCs w:val="18"/>
        </w:rPr>
      </w:pPr>
    </w:p>
  </w:footnote>
  <w:footnote w:id="41">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And often also on the issue of best interests- see </w:t>
      </w:r>
      <w:proofErr w:type="spellStart"/>
      <w:r w:rsidRPr="00CA169C">
        <w:rPr>
          <w:rFonts w:asciiTheme="minorHAnsi" w:hAnsiTheme="minorHAnsi"/>
          <w:sz w:val="18"/>
          <w:szCs w:val="18"/>
        </w:rPr>
        <w:t>eg</w:t>
      </w:r>
      <w:proofErr w:type="spellEnd"/>
      <w:r w:rsidRPr="00CA169C">
        <w:rPr>
          <w:rFonts w:asciiTheme="minorHAnsi" w:hAnsiTheme="minorHAnsi"/>
          <w:sz w:val="18"/>
          <w:szCs w:val="18"/>
        </w:rPr>
        <w:t xml:space="preserve"> the evidence of Dr Glover on the issue of whether it was in P’s best interests to have a below the knee amputation: </w:t>
      </w:r>
      <w:r w:rsidRPr="00CA169C">
        <w:rPr>
          <w:rFonts w:asciiTheme="minorHAnsi" w:hAnsiTheme="minorHAnsi"/>
          <w:i/>
          <w:sz w:val="18"/>
          <w:szCs w:val="18"/>
        </w:rPr>
        <w:t xml:space="preserve">Wye Valley NHS Trust v B </w:t>
      </w:r>
      <w:r w:rsidRPr="00CA169C">
        <w:rPr>
          <w:rFonts w:asciiTheme="minorHAnsi" w:hAnsiTheme="minorHAnsi"/>
          <w:sz w:val="18"/>
          <w:szCs w:val="18"/>
        </w:rPr>
        <w:t xml:space="preserve"> [2015] EWCOP 60.</w:t>
      </w:r>
    </w:p>
    <w:p w:rsidR="002F164D" w:rsidRPr="001D2835" w:rsidRDefault="002F164D" w:rsidP="0085767D">
      <w:pPr>
        <w:pStyle w:val="FootnoteText"/>
        <w:jc w:val="both"/>
        <w:rPr>
          <w:rFonts w:asciiTheme="minorHAnsi" w:hAnsiTheme="minorHAnsi"/>
          <w:sz w:val="18"/>
          <w:szCs w:val="18"/>
        </w:rPr>
      </w:pPr>
    </w:p>
  </w:footnote>
  <w:footnote w:id="42">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sz w:val="18"/>
          <w:szCs w:val="18"/>
        </w:rPr>
        <w:t>PC v City of York Council</w:t>
      </w:r>
      <w:r w:rsidRPr="00CA169C">
        <w:rPr>
          <w:rFonts w:asciiTheme="minorHAnsi" w:hAnsiTheme="minorHAnsi"/>
          <w:sz w:val="18"/>
          <w:szCs w:val="18"/>
        </w:rPr>
        <w:t xml:space="preserve"> [2013] EWCA </w:t>
      </w:r>
      <w:proofErr w:type="spellStart"/>
      <w:r w:rsidRPr="00CA169C">
        <w:rPr>
          <w:rFonts w:asciiTheme="minorHAnsi" w:hAnsiTheme="minorHAnsi"/>
          <w:sz w:val="18"/>
          <w:szCs w:val="18"/>
        </w:rPr>
        <w:t>Civ</w:t>
      </w:r>
      <w:proofErr w:type="spellEnd"/>
      <w:r w:rsidRPr="00CA169C">
        <w:rPr>
          <w:rFonts w:asciiTheme="minorHAnsi" w:hAnsiTheme="minorHAnsi"/>
          <w:sz w:val="18"/>
          <w:szCs w:val="18"/>
        </w:rPr>
        <w:t xml:space="preserve"> 478. </w:t>
      </w:r>
    </w:p>
    <w:p w:rsidR="002F164D" w:rsidRPr="001D2835" w:rsidRDefault="002F164D" w:rsidP="0085767D">
      <w:pPr>
        <w:pStyle w:val="FootnoteText"/>
        <w:jc w:val="both"/>
        <w:rPr>
          <w:rFonts w:asciiTheme="minorHAnsi" w:hAnsiTheme="minorHAnsi"/>
          <w:sz w:val="18"/>
          <w:szCs w:val="18"/>
        </w:rPr>
      </w:pPr>
    </w:p>
  </w:footnote>
  <w:footnote w:id="43">
    <w:p w:rsidR="002F164D" w:rsidRPr="001D2835" w:rsidRDefault="002F164D" w:rsidP="0085767D">
      <w:pPr>
        <w:jc w:val="both"/>
        <w:rPr>
          <w:sz w:val="18"/>
          <w:szCs w:val="18"/>
        </w:rPr>
      </w:pPr>
      <w:r>
        <w:rPr>
          <w:rStyle w:val="FootnoteReference"/>
          <w:sz w:val="18"/>
          <w:szCs w:val="18"/>
        </w:rPr>
        <w:footnoteRef/>
      </w:r>
      <w:r w:rsidRPr="00CA169C">
        <w:rPr>
          <w:sz w:val="18"/>
          <w:szCs w:val="18"/>
        </w:rPr>
        <w:t xml:space="preserve"> M. </w:t>
      </w:r>
      <w:proofErr w:type="spellStart"/>
      <w:r w:rsidRPr="00CA169C">
        <w:rPr>
          <w:sz w:val="18"/>
          <w:szCs w:val="18"/>
        </w:rPr>
        <w:t>Silberfeld</w:t>
      </w:r>
      <w:proofErr w:type="spellEnd"/>
      <w:r w:rsidRPr="00CA169C">
        <w:rPr>
          <w:sz w:val="18"/>
          <w:szCs w:val="18"/>
        </w:rPr>
        <w:t xml:space="preserve"> and D. </w:t>
      </w:r>
      <w:proofErr w:type="spellStart"/>
      <w:r w:rsidRPr="00CA169C">
        <w:rPr>
          <w:sz w:val="18"/>
          <w:szCs w:val="18"/>
        </w:rPr>
        <w:t>Checkland</w:t>
      </w:r>
      <w:proofErr w:type="spellEnd"/>
      <w:r w:rsidRPr="00CA169C">
        <w:rPr>
          <w:sz w:val="18"/>
          <w:szCs w:val="18"/>
        </w:rPr>
        <w:t xml:space="preserve">, ‘Faulty Judgment, Expert Opinion and Decision Making Capacity.’ (1999) 20 </w:t>
      </w:r>
      <w:r w:rsidRPr="00CA169C">
        <w:rPr>
          <w:i/>
          <w:sz w:val="18"/>
          <w:szCs w:val="18"/>
        </w:rPr>
        <w:t xml:space="preserve">Theoretical Medicine and Bioethics </w:t>
      </w:r>
      <w:r w:rsidRPr="00CA169C">
        <w:rPr>
          <w:sz w:val="18"/>
          <w:szCs w:val="18"/>
        </w:rPr>
        <w:t>377.</w:t>
      </w:r>
    </w:p>
  </w:footnote>
  <w:footnote w:id="44">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See also D. Dwyer, </w:t>
      </w:r>
      <w:r w:rsidRPr="00CA169C">
        <w:rPr>
          <w:rFonts w:asciiTheme="minorHAnsi" w:hAnsiTheme="minorHAnsi"/>
          <w:i/>
          <w:sz w:val="18"/>
          <w:szCs w:val="18"/>
        </w:rPr>
        <w:t xml:space="preserve">The Judicial Assessment of Expert Evidence </w:t>
      </w:r>
      <w:r w:rsidRPr="00CA169C">
        <w:rPr>
          <w:rFonts w:asciiTheme="minorHAnsi" w:hAnsiTheme="minorHAnsi"/>
          <w:sz w:val="18"/>
          <w:szCs w:val="18"/>
        </w:rPr>
        <w:t>(CUP, 2007)</w:t>
      </w:r>
      <w:r w:rsidRPr="00CA169C">
        <w:rPr>
          <w:rFonts w:asciiTheme="minorHAnsi" w:hAnsiTheme="minorHAnsi"/>
          <w:i/>
          <w:sz w:val="18"/>
          <w:szCs w:val="18"/>
        </w:rPr>
        <w:t xml:space="preserve"> </w:t>
      </w:r>
      <w:r w:rsidRPr="00CA169C">
        <w:rPr>
          <w:rFonts w:asciiTheme="minorHAnsi" w:hAnsiTheme="minorHAnsi"/>
          <w:sz w:val="18"/>
          <w:szCs w:val="18"/>
        </w:rPr>
        <w:t xml:space="preserve">at 146 – making the point that the question of causation is rarely relevant or only of secondary interest to the expert’s practice. </w:t>
      </w:r>
    </w:p>
    <w:p w:rsidR="002F164D" w:rsidRPr="001D2835" w:rsidRDefault="002F164D" w:rsidP="0085767D">
      <w:pPr>
        <w:pStyle w:val="FootnoteText"/>
        <w:jc w:val="both"/>
        <w:rPr>
          <w:rFonts w:asciiTheme="minorHAnsi" w:hAnsiTheme="minorHAnsi"/>
          <w:sz w:val="18"/>
          <w:szCs w:val="18"/>
        </w:rPr>
      </w:pPr>
    </w:p>
  </w:footnote>
  <w:footnote w:id="45">
    <w:p w:rsidR="002F164D" w:rsidRPr="001D2835" w:rsidRDefault="002F164D" w:rsidP="0085767D">
      <w:pPr>
        <w:pStyle w:val="FootnoteText"/>
        <w:jc w:val="both"/>
        <w:rPr>
          <w:rFonts w:asciiTheme="minorHAnsi" w:hAnsiTheme="minorHAnsi"/>
          <w:color w:val="000000"/>
          <w:sz w:val="18"/>
          <w:szCs w:val="18"/>
          <w:lang w:eastAsia="en-GB"/>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sz w:val="18"/>
          <w:szCs w:val="18"/>
        </w:rPr>
        <w:t>Re M</w:t>
      </w:r>
      <w:r w:rsidRPr="00CA169C">
        <w:rPr>
          <w:rFonts w:asciiTheme="minorHAnsi" w:hAnsiTheme="minorHAnsi"/>
          <w:i/>
          <w:color w:val="000000"/>
          <w:sz w:val="18"/>
          <w:szCs w:val="18"/>
          <w:lang w:eastAsia="en-GB"/>
        </w:rPr>
        <w:t xml:space="preserve"> (Best Interests: Deprivation of Liberty)</w:t>
      </w:r>
      <w:r w:rsidRPr="00CA169C">
        <w:rPr>
          <w:rFonts w:asciiTheme="minorHAnsi" w:hAnsiTheme="minorHAnsi"/>
          <w:color w:val="000000"/>
          <w:sz w:val="18"/>
          <w:szCs w:val="18"/>
          <w:lang w:eastAsia="en-GB"/>
        </w:rPr>
        <w:t xml:space="preserve"> [2013] EWCOP 3456.</w:t>
      </w:r>
    </w:p>
    <w:p w:rsidR="002F164D" w:rsidRPr="001D2835" w:rsidRDefault="002F164D" w:rsidP="0085767D">
      <w:pPr>
        <w:pStyle w:val="FootnoteText"/>
        <w:jc w:val="both"/>
        <w:rPr>
          <w:rFonts w:asciiTheme="minorHAnsi" w:hAnsiTheme="minorHAnsi"/>
          <w:sz w:val="18"/>
          <w:szCs w:val="18"/>
        </w:rPr>
      </w:pPr>
    </w:p>
  </w:footnote>
  <w:footnote w:id="46">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[2013] EWCOP 3456 a</w:t>
      </w:r>
      <w:r w:rsidRPr="00CA169C">
        <w:rPr>
          <w:rFonts w:asciiTheme="minorHAnsi" w:hAnsiTheme="minorHAnsi"/>
          <w:sz w:val="18"/>
          <w:szCs w:val="18"/>
        </w:rPr>
        <w:t xml:space="preserve">t [7]. </w:t>
      </w:r>
    </w:p>
    <w:p w:rsidR="002F164D" w:rsidRPr="001D2835" w:rsidRDefault="002F164D" w:rsidP="0085767D">
      <w:pPr>
        <w:pStyle w:val="FootnoteText"/>
        <w:jc w:val="both"/>
        <w:rPr>
          <w:rFonts w:asciiTheme="minorHAnsi" w:hAnsiTheme="minorHAnsi"/>
          <w:sz w:val="18"/>
          <w:szCs w:val="18"/>
        </w:rPr>
      </w:pPr>
    </w:p>
  </w:footnote>
  <w:footnote w:id="47">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See </w:t>
      </w:r>
      <w:r w:rsidRPr="00CA169C">
        <w:rPr>
          <w:rFonts w:asciiTheme="minorHAnsi" w:hAnsiTheme="minorHAnsi"/>
          <w:i/>
          <w:sz w:val="18"/>
          <w:szCs w:val="18"/>
        </w:rPr>
        <w:t>PC v City of York Council</w:t>
      </w:r>
      <w:r w:rsidRPr="00CA169C">
        <w:rPr>
          <w:rFonts w:asciiTheme="minorHAnsi" w:hAnsiTheme="minorHAnsi"/>
          <w:sz w:val="18"/>
          <w:szCs w:val="18"/>
        </w:rPr>
        <w:t xml:space="preserve"> [2013] EWCA </w:t>
      </w:r>
      <w:proofErr w:type="spellStart"/>
      <w:r w:rsidRPr="00CA169C">
        <w:rPr>
          <w:rFonts w:asciiTheme="minorHAnsi" w:hAnsiTheme="minorHAnsi"/>
          <w:sz w:val="18"/>
          <w:szCs w:val="18"/>
        </w:rPr>
        <w:t>Civ</w:t>
      </w:r>
      <w:proofErr w:type="spellEnd"/>
      <w:r w:rsidRPr="00CA169C">
        <w:rPr>
          <w:rFonts w:asciiTheme="minorHAnsi" w:hAnsiTheme="minorHAnsi"/>
          <w:sz w:val="18"/>
          <w:szCs w:val="18"/>
        </w:rPr>
        <w:t xml:space="preserve"> 478 for importance of ‘causal nexus’ at [58] to [60].</w:t>
      </w:r>
    </w:p>
    <w:p w:rsidR="002F164D" w:rsidRPr="001D2835" w:rsidRDefault="002F164D" w:rsidP="0085767D">
      <w:pPr>
        <w:pStyle w:val="FootnoteText"/>
        <w:jc w:val="both"/>
        <w:rPr>
          <w:rFonts w:asciiTheme="minorHAnsi" w:hAnsiTheme="minorHAnsi"/>
          <w:sz w:val="18"/>
          <w:szCs w:val="18"/>
        </w:rPr>
      </w:pPr>
    </w:p>
  </w:footnote>
  <w:footnote w:id="48">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Preserved by </w:t>
      </w:r>
      <w:proofErr w:type="gramStart"/>
      <w:r w:rsidRPr="00CA169C">
        <w:rPr>
          <w:rFonts w:asciiTheme="minorHAnsi" w:hAnsiTheme="minorHAnsi"/>
          <w:sz w:val="18"/>
          <w:szCs w:val="18"/>
        </w:rPr>
        <w:t>s.1(</w:t>
      </w:r>
      <w:proofErr w:type="gramEnd"/>
      <w:r w:rsidRPr="00CA169C">
        <w:rPr>
          <w:rFonts w:asciiTheme="minorHAnsi" w:hAnsiTheme="minorHAnsi"/>
          <w:sz w:val="18"/>
          <w:szCs w:val="18"/>
        </w:rPr>
        <w:t>4) of the Act.</w:t>
      </w:r>
    </w:p>
    <w:p w:rsidR="002F164D" w:rsidRPr="001D2835" w:rsidRDefault="002F164D" w:rsidP="0085767D">
      <w:pPr>
        <w:pStyle w:val="FootnoteText"/>
        <w:jc w:val="both"/>
        <w:rPr>
          <w:rFonts w:asciiTheme="minorHAnsi" w:hAnsiTheme="minorHAnsi"/>
          <w:sz w:val="18"/>
          <w:szCs w:val="18"/>
        </w:rPr>
      </w:pPr>
    </w:p>
  </w:footnote>
  <w:footnote w:id="49">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[2013] EWCOP 3456 a</w:t>
      </w:r>
      <w:r w:rsidRPr="00CA169C">
        <w:rPr>
          <w:rFonts w:asciiTheme="minorHAnsi" w:hAnsiTheme="minorHAnsi"/>
          <w:sz w:val="18"/>
          <w:szCs w:val="18"/>
        </w:rPr>
        <w:t xml:space="preserve">t [22]. </w:t>
      </w:r>
    </w:p>
    <w:p w:rsidR="002F164D" w:rsidRPr="001D2835" w:rsidRDefault="002F164D" w:rsidP="0085767D">
      <w:pPr>
        <w:pStyle w:val="FootnoteText"/>
        <w:jc w:val="both"/>
        <w:rPr>
          <w:rFonts w:asciiTheme="minorHAnsi" w:hAnsiTheme="minorHAnsi"/>
          <w:sz w:val="18"/>
          <w:szCs w:val="18"/>
        </w:rPr>
      </w:pPr>
    </w:p>
  </w:footnote>
  <w:footnote w:id="50">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P. Daly, </w:t>
      </w:r>
      <w:proofErr w:type="gramStart"/>
      <w:r w:rsidRPr="00CA169C">
        <w:rPr>
          <w:rFonts w:asciiTheme="minorHAnsi" w:hAnsiTheme="minorHAnsi"/>
          <w:i/>
          <w:sz w:val="18"/>
          <w:szCs w:val="18"/>
        </w:rPr>
        <w:t>A</w:t>
      </w:r>
      <w:proofErr w:type="gramEnd"/>
      <w:r w:rsidRPr="00CA169C">
        <w:rPr>
          <w:rFonts w:asciiTheme="minorHAnsi" w:hAnsiTheme="minorHAnsi"/>
          <w:i/>
          <w:sz w:val="18"/>
          <w:szCs w:val="18"/>
        </w:rPr>
        <w:t xml:space="preserve"> Theory of Deference in Administrative Law: Theory, Application and Scope.</w:t>
      </w:r>
      <w:r w:rsidRPr="00CA169C">
        <w:rPr>
          <w:rFonts w:asciiTheme="minorHAnsi" w:hAnsiTheme="minorHAnsi"/>
          <w:sz w:val="18"/>
          <w:szCs w:val="18"/>
        </w:rPr>
        <w:t xml:space="preserve"> (CUP, 2012) at 7.</w:t>
      </w:r>
    </w:p>
    <w:p w:rsidR="002F164D" w:rsidRPr="001D2835" w:rsidRDefault="002F164D" w:rsidP="0085767D">
      <w:pPr>
        <w:pStyle w:val="FootnoteText"/>
        <w:jc w:val="both"/>
        <w:rPr>
          <w:rFonts w:asciiTheme="minorHAnsi" w:hAnsiTheme="minorHAnsi"/>
          <w:sz w:val="18"/>
          <w:szCs w:val="18"/>
        </w:rPr>
      </w:pPr>
    </w:p>
  </w:footnote>
  <w:footnote w:id="51">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Ibid at 8. </w:t>
      </w:r>
    </w:p>
    <w:p w:rsidR="002F164D" w:rsidRPr="001D2835" w:rsidRDefault="002F164D" w:rsidP="0085767D">
      <w:pPr>
        <w:pStyle w:val="FootnoteText"/>
        <w:jc w:val="both"/>
        <w:rPr>
          <w:rFonts w:asciiTheme="minorHAnsi" w:hAnsiTheme="minorHAnsi"/>
          <w:sz w:val="18"/>
          <w:szCs w:val="18"/>
        </w:rPr>
      </w:pPr>
    </w:p>
  </w:footnote>
  <w:footnote w:id="52">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proofErr w:type="spellStart"/>
      <w:r w:rsidRPr="00CA169C">
        <w:rPr>
          <w:rFonts w:asciiTheme="minorHAnsi" w:hAnsiTheme="minorHAnsi"/>
          <w:sz w:val="18"/>
          <w:szCs w:val="18"/>
        </w:rPr>
        <w:t>i</w:t>
      </w:r>
      <w:proofErr w:type="spellEnd"/>
      <w:r w:rsidRPr="00CA169C">
        <w:rPr>
          <w:rFonts w:asciiTheme="minorHAnsi" w:hAnsiTheme="minorHAnsi"/>
          <w:sz w:val="18"/>
          <w:szCs w:val="18"/>
        </w:rPr>
        <w:t xml:space="preserve">]n the case law prior to the MCA (Mental Capacity Act), when </w:t>
      </w:r>
      <w:proofErr w:type="spellStart"/>
      <w:r w:rsidRPr="00CA169C">
        <w:rPr>
          <w:rFonts w:asciiTheme="minorHAnsi" w:hAnsiTheme="minorHAnsi"/>
          <w:sz w:val="18"/>
          <w:szCs w:val="18"/>
        </w:rPr>
        <w:t>uncontradicted</w:t>
      </w:r>
      <w:proofErr w:type="spellEnd"/>
      <w:r w:rsidRPr="00CA169C">
        <w:rPr>
          <w:rFonts w:asciiTheme="minorHAnsi" w:hAnsiTheme="minorHAnsi"/>
          <w:sz w:val="18"/>
          <w:szCs w:val="18"/>
        </w:rPr>
        <w:t xml:space="preserve"> expert evidence was presented to the court, the court’s ultimate decision almost invariably accorded with that of the medical expert.</w:t>
      </w:r>
      <w:r w:rsidRPr="00CA169C">
        <w:rPr>
          <w:rFonts w:asciiTheme="minorHAnsi" w:hAnsiTheme="minorHAnsi"/>
          <w:i/>
          <w:sz w:val="18"/>
          <w:szCs w:val="18"/>
        </w:rPr>
        <w:t xml:space="preserve">’ </w:t>
      </w:r>
      <w:r w:rsidRPr="00CA169C">
        <w:rPr>
          <w:rFonts w:asciiTheme="minorHAnsi" w:hAnsiTheme="minorHAnsi"/>
          <w:sz w:val="18"/>
          <w:szCs w:val="18"/>
        </w:rPr>
        <w:t xml:space="preserve">M. Donnelly, </w:t>
      </w:r>
      <w:r w:rsidRPr="00CA169C">
        <w:rPr>
          <w:rFonts w:asciiTheme="minorHAnsi" w:hAnsiTheme="minorHAnsi"/>
          <w:i/>
          <w:sz w:val="18"/>
          <w:szCs w:val="18"/>
        </w:rPr>
        <w:t xml:space="preserve">Health Care Decision Making and the Law: Autonomy, Capacity and the Limits of Liberalism </w:t>
      </w:r>
      <w:r w:rsidRPr="00CA169C">
        <w:rPr>
          <w:rFonts w:asciiTheme="minorHAnsi" w:hAnsiTheme="minorHAnsi"/>
          <w:sz w:val="18"/>
          <w:szCs w:val="18"/>
        </w:rPr>
        <w:t>(Cambridge University Press, 2010) at 152.</w:t>
      </w:r>
    </w:p>
    <w:p w:rsidR="002F164D" w:rsidRPr="001D2835" w:rsidRDefault="002F164D" w:rsidP="0085767D">
      <w:pPr>
        <w:pStyle w:val="FootnoteText"/>
        <w:jc w:val="both"/>
        <w:rPr>
          <w:rFonts w:asciiTheme="minorHAnsi" w:hAnsiTheme="minorHAnsi"/>
          <w:sz w:val="18"/>
          <w:szCs w:val="18"/>
        </w:rPr>
      </w:pPr>
    </w:p>
  </w:footnote>
  <w:footnote w:id="53">
    <w:p w:rsidR="002F164D" w:rsidRPr="001D2835" w:rsidRDefault="002F164D" w:rsidP="0085767D">
      <w:pPr>
        <w:pStyle w:val="FootnoteText"/>
        <w:jc w:val="both"/>
        <w:rPr>
          <w:rFonts w:asciiTheme="minorHAnsi" w:hAnsiTheme="minorHAnsi" w:cs="Verdana"/>
          <w:color w:val="000000"/>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For examples of studies in medical law which do adopt a quantitative approach as a starting point, see e.g. A. MacLean, ‘Beyond </w:t>
      </w:r>
      <w:proofErr w:type="spellStart"/>
      <w:r w:rsidRPr="00CA169C">
        <w:rPr>
          <w:rFonts w:asciiTheme="minorHAnsi" w:hAnsiTheme="minorHAnsi"/>
          <w:i/>
          <w:sz w:val="18"/>
          <w:szCs w:val="18"/>
        </w:rPr>
        <w:t>Bolam</w:t>
      </w:r>
      <w:proofErr w:type="spellEnd"/>
      <w:r w:rsidRPr="00CA169C">
        <w:rPr>
          <w:rFonts w:asciiTheme="minorHAnsi" w:hAnsiTheme="minorHAnsi"/>
          <w:i/>
          <w:sz w:val="18"/>
          <w:szCs w:val="18"/>
        </w:rPr>
        <w:t xml:space="preserve"> </w:t>
      </w:r>
      <w:r w:rsidRPr="00CA169C">
        <w:rPr>
          <w:rFonts w:asciiTheme="minorHAnsi" w:hAnsiTheme="minorHAnsi"/>
          <w:sz w:val="18"/>
          <w:szCs w:val="18"/>
        </w:rPr>
        <w:t xml:space="preserve">and </w:t>
      </w:r>
      <w:r w:rsidRPr="00CA169C">
        <w:rPr>
          <w:rFonts w:asciiTheme="minorHAnsi" w:hAnsiTheme="minorHAnsi"/>
          <w:i/>
          <w:sz w:val="18"/>
          <w:szCs w:val="18"/>
        </w:rPr>
        <w:t>Bolitho</w:t>
      </w:r>
      <w:r w:rsidRPr="00CA169C">
        <w:rPr>
          <w:rFonts w:asciiTheme="minorHAnsi" w:hAnsiTheme="minorHAnsi"/>
          <w:sz w:val="18"/>
          <w:szCs w:val="18"/>
        </w:rPr>
        <w:t xml:space="preserve">’ (2002) 5 </w:t>
      </w:r>
      <w:r w:rsidRPr="00CA169C">
        <w:rPr>
          <w:rFonts w:asciiTheme="minorHAnsi" w:hAnsiTheme="minorHAnsi"/>
          <w:i/>
          <w:sz w:val="18"/>
          <w:szCs w:val="18"/>
        </w:rPr>
        <w:t>Medical Law International</w:t>
      </w:r>
      <w:r w:rsidRPr="00CA169C">
        <w:rPr>
          <w:rFonts w:asciiTheme="minorHAnsi" w:hAnsiTheme="minorHAnsi"/>
          <w:sz w:val="18"/>
          <w:szCs w:val="18"/>
        </w:rPr>
        <w:t xml:space="preserve"> 205 and M. A. Jones, </w:t>
      </w:r>
      <w:r w:rsidRPr="00CA169C">
        <w:rPr>
          <w:rFonts w:asciiTheme="minorHAnsi" w:hAnsiTheme="minorHAnsi" w:cs="Verdana"/>
          <w:color w:val="000000"/>
          <w:sz w:val="18"/>
          <w:szCs w:val="18"/>
        </w:rPr>
        <w:t>‘Informed Consent and Other Fairy Stories’ (1999) 7 Med L Rev 103.</w:t>
      </w:r>
    </w:p>
    <w:p w:rsidR="002F164D" w:rsidRPr="001D2835" w:rsidRDefault="002F164D" w:rsidP="0085767D">
      <w:pPr>
        <w:pStyle w:val="FootnoteText"/>
        <w:jc w:val="both"/>
        <w:rPr>
          <w:rFonts w:asciiTheme="minorHAnsi" w:hAnsiTheme="minorHAnsi"/>
          <w:sz w:val="18"/>
          <w:szCs w:val="18"/>
        </w:rPr>
      </w:pPr>
    </w:p>
  </w:footnote>
  <w:footnote w:id="54">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M. Donnelly, </w:t>
      </w:r>
      <w:r w:rsidRPr="00CA169C">
        <w:rPr>
          <w:rFonts w:asciiTheme="minorHAnsi" w:hAnsiTheme="minorHAnsi"/>
          <w:i/>
          <w:sz w:val="18"/>
          <w:szCs w:val="18"/>
        </w:rPr>
        <w:t xml:space="preserve">Health Care Decision Making and the Law: Autonomy, Capacity and the Limits of Liberalism </w:t>
      </w:r>
      <w:r w:rsidRPr="00CA169C">
        <w:rPr>
          <w:rFonts w:asciiTheme="minorHAnsi" w:hAnsiTheme="minorHAnsi"/>
          <w:sz w:val="18"/>
          <w:szCs w:val="18"/>
        </w:rPr>
        <w:t>(Cambridge University Press, 2010) at 152.</w:t>
      </w:r>
    </w:p>
    <w:p w:rsidR="002F164D" w:rsidRPr="001D2835" w:rsidRDefault="002F164D" w:rsidP="0085767D">
      <w:pPr>
        <w:pStyle w:val="FootnoteText"/>
        <w:jc w:val="both"/>
        <w:rPr>
          <w:rFonts w:asciiTheme="minorHAnsi" w:hAnsiTheme="minorHAnsi"/>
          <w:sz w:val="18"/>
          <w:szCs w:val="18"/>
        </w:rPr>
      </w:pPr>
    </w:p>
  </w:footnote>
  <w:footnote w:id="55">
    <w:p w:rsidR="002F164D" w:rsidRPr="0037023A"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Namely Sir James </w:t>
      </w:r>
      <w:proofErr w:type="spellStart"/>
      <w:r w:rsidRPr="00CA169C">
        <w:rPr>
          <w:rFonts w:asciiTheme="minorHAnsi" w:hAnsiTheme="minorHAnsi"/>
          <w:sz w:val="18"/>
          <w:szCs w:val="18"/>
        </w:rPr>
        <w:t>Munby’s</w:t>
      </w:r>
      <w:proofErr w:type="spellEnd"/>
      <w:r w:rsidRPr="00CA169C">
        <w:rPr>
          <w:rFonts w:asciiTheme="minorHAnsi" w:hAnsiTheme="minorHAnsi"/>
          <w:sz w:val="18"/>
          <w:szCs w:val="18"/>
        </w:rPr>
        <w:t xml:space="preserve"> Practice Note of January 2014 - </w:t>
      </w:r>
      <w:r w:rsidRPr="00CA169C">
        <w:rPr>
          <w:rFonts w:asciiTheme="minorHAnsi" w:hAnsiTheme="minorHAnsi"/>
          <w:i/>
          <w:color w:val="000000"/>
          <w:sz w:val="18"/>
          <w:szCs w:val="18"/>
          <w:lang w:eastAsia="en-GB"/>
        </w:rPr>
        <w:t>Practice Guidance (Transparency in the Court Of Protection)</w:t>
      </w:r>
      <w:r w:rsidRPr="00CA169C">
        <w:rPr>
          <w:rFonts w:asciiTheme="minorHAnsi" w:hAnsiTheme="minorHAnsi"/>
          <w:color w:val="000000"/>
          <w:sz w:val="18"/>
          <w:szCs w:val="18"/>
          <w:lang w:eastAsia="en-GB"/>
        </w:rPr>
        <w:t xml:space="preserve"> [2014] EWCOP B2, particularly </w:t>
      </w:r>
      <w:proofErr w:type="spellStart"/>
      <w:r w:rsidRPr="00CA169C">
        <w:rPr>
          <w:rFonts w:asciiTheme="minorHAnsi" w:hAnsiTheme="minorHAnsi"/>
          <w:color w:val="000000"/>
          <w:sz w:val="18"/>
          <w:szCs w:val="18"/>
          <w:lang w:eastAsia="en-GB"/>
        </w:rPr>
        <w:t>para</w:t>
      </w:r>
      <w:proofErr w:type="spellEnd"/>
      <w:r w:rsidRPr="00CA169C">
        <w:rPr>
          <w:rFonts w:asciiTheme="minorHAnsi" w:hAnsiTheme="minorHAnsi"/>
          <w:color w:val="000000"/>
          <w:sz w:val="18"/>
          <w:szCs w:val="18"/>
          <w:lang w:eastAsia="en-GB"/>
        </w:rPr>
        <w:t xml:space="preserve"> 16: ‘</w:t>
      </w:r>
      <w:r w:rsidRPr="00CA169C">
        <w:rPr>
          <w:rFonts w:asciiTheme="minorHAnsi" w:hAnsiTheme="minorHAnsi"/>
          <w:sz w:val="18"/>
          <w:szCs w:val="18"/>
          <w:lang w:eastAsia="en-GB"/>
        </w:rPr>
        <w:t xml:space="preserve">Permission to publish a judgment should always be given </w:t>
      </w:r>
      <w:r w:rsidRPr="00CA169C">
        <w:rPr>
          <w:rFonts w:asciiTheme="minorHAnsi" w:hAnsiTheme="minorHAnsi"/>
          <w:b/>
          <w:sz w:val="18"/>
          <w:szCs w:val="18"/>
          <w:u w:val="single"/>
          <w:lang w:eastAsia="en-GB"/>
        </w:rPr>
        <w:t>whenever the judge concludes that publication would be in the public interest and whether or not a request has been made by a party or the media’</w:t>
      </w:r>
      <w:r w:rsidRPr="0037023A">
        <w:rPr>
          <w:rFonts w:asciiTheme="minorHAnsi" w:hAnsiTheme="minorHAnsi"/>
          <w:sz w:val="18"/>
          <w:szCs w:val="18"/>
          <w:lang w:eastAsia="en-GB"/>
        </w:rPr>
        <w:t xml:space="preserve"> (author’s emphasis).</w:t>
      </w:r>
    </w:p>
    <w:p w:rsidR="002F164D" w:rsidRPr="001D2835" w:rsidRDefault="002F164D" w:rsidP="0085767D">
      <w:pPr>
        <w:pStyle w:val="FootnoteText"/>
        <w:jc w:val="both"/>
        <w:rPr>
          <w:rFonts w:asciiTheme="minorHAnsi" w:hAnsiTheme="minorHAnsi"/>
          <w:sz w:val="18"/>
          <w:szCs w:val="18"/>
        </w:rPr>
      </w:pPr>
    </w:p>
  </w:footnote>
  <w:footnote w:id="56">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What degree of confidence we can have that these judgments are a representative sample and that it can generate reliable inferences about what happens in the </w:t>
      </w:r>
      <w:proofErr w:type="spellStart"/>
      <w:r w:rsidRPr="00CA169C">
        <w:rPr>
          <w:rFonts w:asciiTheme="minorHAnsi" w:hAnsiTheme="minorHAnsi"/>
          <w:sz w:val="18"/>
          <w:szCs w:val="18"/>
        </w:rPr>
        <w:t>CoP</w:t>
      </w:r>
      <w:proofErr w:type="spellEnd"/>
      <w:r w:rsidRPr="00CA169C">
        <w:rPr>
          <w:rFonts w:asciiTheme="minorHAnsi" w:hAnsiTheme="minorHAnsi"/>
          <w:sz w:val="18"/>
          <w:szCs w:val="18"/>
        </w:rPr>
        <w:t xml:space="preserve"> generally? It could certainly be said that as it comprises only the ‘public facing’ judgments of the </w:t>
      </w:r>
      <w:proofErr w:type="spellStart"/>
      <w:r w:rsidRPr="00CA169C">
        <w:rPr>
          <w:rFonts w:asciiTheme="minorHAnsi" w:hAnsiTheme="minorHAnsi"/>
          <w:sz w:val="18"/>
          <w:szCs w:val="18"/>
        </w:rPr>
        <w:t>CoP</w:t>
      </w:r>
      <w:proofErr w:type="spellEnd"/>
      <w:r w:rsidRPr="00CA169C">
        <w:rPr>
          <w:rFonts w:asciiTheme="minorHAnsi" w:hAnsiTheme="minorHAnsi"/>
          <w:sz w:val="18"/>
          <w:szCs w:val="18"/>
        </w:rPr>
        <w:t xml:space="preserve"> selected by the judges for publication, but there is no reason to think that these judgments are not representative of the health and welfare caseload of the </w:t>
      </w:r>
      <w:proofErr w:type="spellStart"/>
      <w:r w:rsidRPr="00CA169C">
        <w:rPr>
          <w:rFonts w:asciiTheme="minorHAnsi" w:hAnsiTheme="minorHAnsi"/>
          <w:sz w:val="18"/>
          <w:szCs w:val="18"/>
        </w:rPr>
        <w:t>CoP.</w:t>
      </w:r>
      <w:proofErr w:type="spellEnd"/>
      <w:r w:rsidRPr="00CA169C">
        <w:rPr>
          <w:rFonts w:asciiTheme="minorHAnsi" w:hAnsiTheme="minorHAnsi"/>
          <w:sz w:val="18"/>
          <w:szCs w:val="18"/>
        </w:rPr>
        <w:t xml:space="preserve"> The relatively small number of cases identified in a trawl of </w:t>
      </w:r>
      <w:proofErr w:type="spellStart"/>
      <w:r w:rsidRPr="00CA169C">
        <w:rPr>
          <w:rFonts w:asciiTheme="minorHAnsi" w:hAnsiTheme="minorHAnsi"/>
          <w:sz w:val="18"/>
          <w:szCs w:val="18"/>
        </w:rPr>
        <w:t>bailii</w:t>
      </w:r>
      <w:proofErr w:type="spellEnd"/>
      <w:r w:rsidRPr="00CA169C">
        <w:rPr>
          <w:rFonts w:asciiTheme="minorHAnsi" w:hAnsiTheme="minorHAnsi"/>
          <w:sz w:val="18"/>
          <w:szCs w:val="18"/>
        </w:rPr>
        <w:t xml:space="preserve"> spanning eight years is itself worthy of comment and provides evidence of this selectivity of publication. By way of illustration, the </w:t>
      </w:r>
      <w:proofErr w:type="spellStart"/>
      <w:r w:rsidRPr="00CA169C">
        <w:rPr>
          <w:rFonts w:asciiTheme="minorHAnsi" w:hAnsiTheme="minorHAnsi"/>
          <w:sz w:val="18"/>
          <w:szCs w:val="18"/>
        </w:rPr>
        <w:t>CoP’s</w:t>
      </w:r>
      <w:proofErr w:type="spellEnd"/>
      <w:r w:rsidRPr="00CA169C">
        <w:rPr>
          <w:rFonts w:asciiTheme="minorHAnsi" w:hAnsiTheme="minorHAnsi"/>
          <w:sz w:val="18"/>
          <w:szCs w:val="18"/>
        </w:rPr>
        <w:t xml:space="preserve"> annual report in 2010 reported that the Court had made 218 orders on welfare issues (</w:t>
      </w:r>
      <w:r w:rsidRPr="00CA169C">
        <w:rPr>
          <w:rFonts w:asciiTheme="minorHAnsi" w:hAnsiTheme="minorHAnsi"/>
          <w:i/>
          <w:sz w:val="18"/>
          <w:szCs w:val="18"/>
        </w:rPr>
        <w:t xml:space="preserve">Court of Protection Report 2010, </w:t>
      </w:r>
      <w:r w:rsidRPr="00CA169C">
        <w:rPr>
          <w:rFonts w:asciiTheme="minorHAnsi" w:hAnsiTheme="minorHAnsi"/>
          <w:sz w:val="18"/>
          <w:szCs w:val="18"/>
        </w:rPr>
        <w:t xml:space="preserve">p.25) whereas only 18 of these appeared as published judgments on </w:t>
      </w:r>
      <w:proofErr w:type="spellStart"/>
      <w:r w:rsidRPr="00CA169C">
        <w:rPr>
          <w:rFonts w:asciiTheme="minorHAnsi" w:hAnsiTheme="minorHAnsi"/>
          <w:sz w:val="18"/>
          <w:szCs w:val="18"/>
        </w:rPr>
        <w:t>bailii</w:t>
      </w:r>
      <w:proofErr w:type="spellEnd"/>
      <w:r w:rsidRPr="00CA169C">
        <w:rPr>
          <w:rFonts w:asciiTheme="minorHAnsi" w:hAnsiTheme="minorHAnsi"/>
          <w:sz w:val="18"/>
          <w:szCs w:val="18"/>
        </w:rPr>
        <w:t xml:space="preserve">. This history of gross under-publication followed by modest liberalisation seriously hampers understanding and analysis of the </w:t>
      </w:r>
      <w:proofErr w:type="spellStart"/>
      <w:r w:rsidRPr="00CA169C">
        <w:rPr>
          <w:rFonts w:asciiTheme="minorHAnsi" w:hAnsiTheme="minorHAnsi"/>
          <w:sz w:val="18"/>
          <w:szCs w:val="18"/>
        </w:rPr>
        <w:t>CoP’s</w:t>
      </w:r>
      <w:proofErr w:type="spellEnd"/>
      <w:r w:rsidRPr="00CA169C">
        <w:rPr>
          <w:rFonts w:asciiTheme="minorHAnsi" w:hAnsiTheme="minorHAnsi"/>
          <w:sz w:val="18"/>
          <w:szCs w:val="18"/>
        </w:rPr>
        <w:t xml:space="preserve"> work. </w:t>
      </w:r>
    </w:p>
    <w:p w:rsidR="002F164D" w:rsidRPr="001D2835" w:rsidRDefault="002F164D" w:rsidP="0085767D">
      <w:pPr>
        <w:pStyle w:val="FootnoteText"/>
        <w:jc w:val="both"/>
        <w:rPr>
          <w:rFonts w:asciiTheme="minorHAnsi" w:hAnsiTheme="minorHAnsi"/>
          <w:sz w:val="18"/>
          <w:szCs w:val="18"/>
        </w:rPr>
      </w:pPr>
    </w:p>
  </w:footnote>
  <w:footnote w:id="57">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This examination does not probe the ‘consensus’ cases identified in this study on the assumption that anything said in those judgments which might signal scepticism is of minimal significance given that it clearly did not impact on the outcome as the court’s decision still followed the unanimous expert evidence.</w:t>
      </w:r>
    </w:p>
    <w:p w:rsidR="002F164D" w:rsidRPr="001D2835" w:rsidRDefault="002F164D" w:rsidP="0085767D">
      <w:pPr>
        <w:pStyle w:val="FootnoteText"/>
        <w:jc w:val="both"/>
        <w:rPr>
          <w:rFonts w:asciiTheme="minorHAnsi" w:hAnsiTheme="minorHAnsi"/>
          <w:sz w:val="18"/>
          <w:szCs w:val="18"/>
        </w:rPr>
      </w:pPr>
    </w:p>
  </w:footnote>
  <w:footnote w:id="58">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sz w:val="18"/>
          <w:szCs w:val="18"/>
          <w:lang w:eastAsia="en-GB"/>
        </w:rPr>
        <w:t>[2012] EWCOP 2136.</w:t>
      </w:r>
    </w:p>
    <w:p w:rsidR="002F164D" w:rsidRPr="001D2835" w:rsidRDefault="002F164D" w:rsidP="0085767D">
      <w:pPr>
        <w:pStyle w:val="FootnoteText"/>
        <w:jc w:val="both"/>
        <w:rPr>
          <w:rFonts w:asciiTheme="minorHAnsi" w:hAnsiTheme="minorHAnsi"/>
          <w:sz w:val="18"/>
          <w:szCs w:val="18"/>
        </w:rPr>
      </w:pPr>
    </w:p>
  </w:footnote>
  <w:footnote w:id="59">
    <w:p w:rsidR="002F164D" w:rsidRPr="001D2835" w:rsidRDefault="002F164D" w:rsidP="0085767D">
      <w:pPr>
        <w:pStyle w:val="FootnoteText"/>
        <w:jc w:val="both"/>
        <w:rPr>
          <w:rFonts w:asciiTheme="minorHAnsi" w:hAnsiTheme="minorHAnsi"/>
          <w:color w:val="000000"/>
          <w:sz w:val="18"/>
          <w:szCs w:val="18"/>
          <w:lang w:eastAsia="en-GB"/>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[2013] EWCOP 1417.</w:t>
      </w:r>
    </w:p>
    <w:p w:rsidR="002F164D" w:rsidRPr="001D2835" w:rsidRDefault="002F164D" w:rsidP="0085767D">
      <w:pPr>
        <w:pStyle w:val="FootnoteText"/>
        <w:jc w:val="both"/>
        <w:rPr>
          <w:rFonts w:asciiTheme="minorHAnsi" w:hAnsiTheme="minorHAnsi"/>
          <w:sz w:val="18"/>
          <w:szCs w:val="18"/>
        </w:rPr>
      </w:pPr>
    </w:p>
  </w:footnote>
  <w:footnote w:id="60">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[2016] EWCOP 4.</w:t>
      </w:r>
    </w:p>
  </w:footnote>
  <w:footnote w:id="61">
    <w:p w:rsidR="002F164D" w:rsidRPr="001D2835" w:rsidRDefault="002F164D" w:rsidP="0085767D">
      <w:pPr>
        <w:spacing w:before="100" w:beforeAutospacing="1" w:after="100" w:afterAutospacing="1"/>
        <w:jc w:val="both"/>
        <w:rPr>
          <w:sz w:val="18"/>
          <w:szCs w:val="18"/>
        </w:rPr>
      </w:pPr>
      <w:r>
        <w:rPr>
          <w:rStyle w:val="FootnoteReference"/>
          <w:sz w:val="18"/>
          <w:szCs w:val="18"/>
        </w:rPr>
        <w:footnoteRef/>
      </w:r>
      <w:r w:rsidRPr="00CA169C">
        <w:rPr>
          <w:sz w:val="18"/>
          <w:szCs w:val="18"/>
        </w:rPr>
        <w:t xml:space="preserve"> </w:t>
      </w:r>
      <w:r w:rsidRPr="00CA169C">
        <w:rPr>
          <w:i/>
          <w:sz w:val="18"/>
          <w:szCs w:val="18"/>
          <w:lang w:eastAsia="en-GB"/>
        </w:rPr>
        <w:t xml:space="preserve">CC v STCC </w:t>
      </w:r>
      <w:r w:rsidRPr="00CA169C">
        <w:rPr>
          <w:sz w:val="18"/>
          <w:szCs w:val="18"/>
          <w:lang w:eastAsia="en-GB"/>
        </w:rPr>
        <w:t xml:space="preserve">[2012] EWCOP 2136; </w:t>
      </w:r>
      <w:r w:rsidRPr="00CA169C">
        <w:rPr>
          <w:i/>
          <w:sz w:val="18"/>
          <w:szCs w:val="18"/>
          <w:lang w:eastAsia="en-GB"/>
        </w:rPr>
        <w:t>Re SB (A Patient; Capacity to Consent to Termination)</w:t>
      </w:r>
      <w:r w:rsidRPr="00CA169C">
        <w:rPr>
          <w:sz w:val="18"/>
          <w:szCs w:val="18"/>
          <w:lang w:eastAsia="en-GB"/>
        </w:rPr>
        <w:t xml:space="preserve"> [2013] EWCOP 1417 and </w:t>
      </w:r>
      <w:r w:rsidRPr="00CA169C">
        <w:rPr>
          <w:i/>
          <w:sz w:val="18"/>
          <w:szCs w:val="18"/>
          <w:lang w:eastAsia="en-GB"/>
        </w:rPr>
        <w:t xml:space="preserve">Re Z </w:t>
      </w:r>
      <w:r w:rsidRPr="00CA169C">
        <w:rPr>
          <w:sz w:val="18"/>
          <w:szCs w:val="18"/>
        </w:rPr>
        <w:t>[2016] EWCOP 4</w:t>
      </w:r>
      <w:r w:rsidRPr="00CA169C">
        <w:rPr>
          <w:sz w:val="18"/>
          <w:szCs w:val="18"/>
          <w:lang w:eastAsia="en-GB"/>
        </w:rPr>
        <w:t xml:space="preserve">. </w:t>
      </w:r>
      <w:r w:rsidRPr="00CA169C">
        <w:rPr>
          <w:sz w:val="18"/>
          <w:szCs w:val="18"/>
        </w:rPr>
        <w:t xml:space="preserve">In the remaining </w:t>
      </w:r>
      <w:r w:rsidR="00EF242D">
        <w:rPr>
          <w:sz w:val="18"/>
          <w:szCs w:val="18"/>
        </w:rPr>
        <w:t>twelve</w:t>
      </w:r>
      <w:r w:rsidRPr="00CA169C">
        <w:rPr>
          <w:sz w:val="18"/>
          <w:szCs w:val="18"/>
        </w:rPr>
        <w:t xml:space="preserve"> judgments, the judge preferred the evidence of one expert over evidence of other expert(s).</w:t>
      </w:r>
    </w:p>
  </w:footnote>
  <w:footnote w:id="62">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This is based on 55 judgments out of the 66 where the professional status of the experts giving evidence on capacity is identified in the judgment.</w:t>
      </w:r>
    </w:p>
    <w:p w:rsidR="002F164D" w:rsidRPr="001D2835" w:rsidRDefault="002F164D" w:rsidP="0085767D">
      <w:pPr>
        <w:pStyle w:val="FootnoteText"/>
        <w:jc w:val="both"/>
        <w:rPr>
          <w:rFonts w:asciiTheme="minorHAnsi" w:hAnsiTheme="minorHAnsi"/>
          <w:sz w:val="18"/>
          <w:szCs w:val="18"/>
        </w:rPr>
      </w:pPr>
    </w:p>
  </w:footnote>
  <w:footnote w:id="63">
    <w:p w:rsidR="002F164D" w:rsidRPr="001D2835" w:rsidRDefault="002F164D" w:rsidP="0085767D">
      <w:pPr>
        <w:jc w:val="both"/>
        <w:rPr>
          <w:sz w:val="18"/>
          <w:szCs w:val="18"/>
        </w:rPr>
      </w:pPr>
      <w:r>
        <w:rPr>
          <w:rStyle w:val="FootnoteReference"/>
          <w:sz w:val="18"/>
          <w:szCs w:val="18"/>
        </w:rPr>
        <w:footnoteRef/>
      </w:r>
      <w:r w:rsidRPr="00CA169C">
        <w:rPr>
          <w:sz w:val="18"/>
          <w:szCs w:val="18"/>
        </w:rPr>
        <w:t xml:space="preserve"> The extent to which the voices of others in the capacity assessment process act as effective checks on the influence of the medical view is currently being explored by the author for the purposes of a separate </w:t>
      </w:r>
      <w:proofErr w:type="gramStart"/>
      <w:r w:rsidRPr="00CA169C">
        <w:rPr>
          <w:sz w:val="18"/>
          <w:szCs w:val="18"/>
        </w:rPr>
        <w:t>research  paper</w:t>
      </w:r>
      <w:proofErr w:type="gramEnd"/>
      <w:r w:rsidRPr="00CA169C">
        <w:rPr>
          <w:sz w:val="18"/>
          <w:szCs w:val="18"/>
        </w:rPr>
        <w:t xml:space="preserve"> .</w:t>
      </w:r>
    </w:p>
  </w:footnote>
  <w:footnote w:id="64">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E.g. A. MacLean, ‘Beyond </w:t>
      </w:r>
      <w:proofErr w:type="spellStart"/>
      <w:r w:rsidRPr="00CA169C">
        <w:rPr>
          <w:rFonts w:asciiTheme="minorHAnsi" w:hAnsiTheme="minorHAnsi"/>
          <w:i/>
          <w:sz w:val="18"/>
          <w:szCs w:val="18"/>
        </w:rPr>
        <w:t>Bolam</w:t>
      </w:r>
      <w:proofErr w:type="spellEnd"/>
      <w:r w:rsidRPr="00CA169C">
        <w:rPr>
          <w:rFonts w:asciiTheme="minorHAnsi" w:hAnsiTheme="minorHAnsi"/>
          <w:i/>
          <w:sz w:val="18"/>
          <w:szCs w:val="18"/>
        </w:rPr>
        <w:t xml:space="preserve"> </w:t>
      </w:r>
      <w:r w:rsidRPr="00CA169C">
        <w:rPr>
          <w:rFonts w:asciiTheme="minorHAnsi" w:hAnsiTheme="minorHAnsi"/>
          <w:sz w:val="18"/>
          <w:szCs w:val="18"/>
        </w:rPr>
        <w:t xml:space="preserve">and </w:t>
      </w:r>
      <w:r w:rsidRPr="00CA169C">
        <w:rPr>
          <w:rFonts w:asciiTheme="minorHAnsi" w:hAnsiTheme="minorHAnsi"/>
          <w:i/>
          <w:sz w:val="18"/>
          <w:szCs w:val="18"/>
        </w:rPr>
        <w:t>Bolitho</w:t>
      </w:r>
      <w:r w:rsidRPr="00CA169C">
        <w:rPr>
          <w:rFonts w:asciiTheme="minorHAnsi" w:hAnsiTheme="minorHAnsi"/>
          <w:sz w:val="18"/>
          <w:szCs w:val="18"/>
        </w:rPr>
        <w:t xml:space="preserve">’ (2002) 5 </w:t>
      </w:r>
      <w:r w:rsidRPr="00CA169C">
        <w:rPr>
          <w:rFonts w:asciiTheme="minorHAnsi" w:hAnsiTheme="minorHAnsi"/>
          <w:i/>
          <w:sz w:val="18"/>
          <w:szCs w:val="18"/>
        </w:rPr>
        <w:t>Medical Law International</w:t>
      </w:r>
      <w:r w:rsidRPr="00CA169C">
        <w:rPr>
          <w:rFonts w:asciiTheme="minorHAnsi" w:hAnsiTheme="minorHAnsi"/>
          <w:sz w:val="18"/>
          <w:szCs w:val="18"/>
        </w:rPr>
        <w:t xml:space="preserve"> 205 at 213.</w:t>
      </w:r>
    </w:p>
    <w:p w:rsidR="002F164D" w:rsidRPr="001D2835" w:rsidRDefault="002F164D" w:rsidP="0085767D">
      <w:pPr>
        <w:pStyle w:val="FootnoteText"/>
        <w:jc w:val="both"/>
        <w:rPr>
          <w:rFonts w:asciiTheme="minorHAnsi" w:hAnsiTheme="minorHAnsi"/>
          <w:sz w:val="18"/>
          <w:szCs w:val="18"/>
        </w:rPr>
      </w:pPr>
    </w:p>
  </w:footnote>
  <w:footnote w:id="65">
    <w:p w:rsidR="002F164D" w:rsidRPr="001D2835" w:rsidRDefault="002F164D" w:rsidP="0085767D">
      <w:pPr>
        <w:pStyle w:val="FootnoteText"/>
        <w:jc w:val="both"/>
        <w:rPr>
          <w:rFonts w:asciiTheme="minorHAnsi" w:hAnsiTheme="minorHAnsi"/>
          <w:color w:val="000000"/>
          <w:sz w:val="18"/>
          <w:szCs w:val="18"/>
          <w:lang w:eastAsia="en-GB"/>
        </w:rPr>
      </w:pPr>
      <w:r>
        <w:rPr>
          <w:rStyle w:val="FootnoteReference"/>
          <w:rFonts w:asciiTheme="minorHAnsi" w:hAnsiTheme="minorHAnsi"/>
          <w:sz w:val="18"/>
          <w:szCs w:val="18"/>
        </w:rPr>
        <w:footnoteRef/>
      </w:r>
      <w:r w:rsidRPr="00CA169C">
        <w:rPr>
          <w:rFonts w:asciiTheme="minorHAnsi" w:hAnsiTheme="minorHAnsi"/>
          <w:sz w:val="18"/>
          <w:szCs w:val="18"/>
        </w:rPr>
        <w:t xml:space="preserve"> Of the </w:t>
      </w:r>
      <w:r w:rsidRPr="00192ED1">
        <w:rPr>
          <w:rFonts w:asciiTheme="minorHAnsi" w:hAnsiTheme="minorHAnsi"/>
          <w:sz w:val="18"/>
          <w:szCs w:val="18"/>
        </w:rPr>
        <w:t>155</w:t>
      </w:r>
      <w:r w:rsidRPr="00CA169C">
        <w:rPr>
          <w:rFonts w:asciiTheme="minorHAnsi" w:hAnsiTheme="minorHAnsi"/>
          <w:sz w:val="18"/>
          <w:szCs w:val="18"/>
        </w:rPr>
        <w:t xml:space="preserve"> health/welfare judgments, 66 cases dealt with capacity issues in detail, 41 were categorised as cases where P’s mental capacity was addressed, but only cursorily and in the remaining cases, P’s capacity was not addressed in the judgment at all. The judgments where P’s capacity was addressed cursorily included Ps diagnosed as being in a minimally conscious state, permanent vegetative state or with severe learning disabilities, but also a number of other fact combinations where it was far less clear on the face of the judgment that P obviously lacked capacity. These 41 judgments contain no explicit scrutiny of the evidence on P’s capacity – typically these judgments include the comment that ‘it was ‘common ground’ (E.g. </w:t>
      </w:r>
      <w:r w:rsidRPr="00CA169C">
        <w:rPr>
          <w:rFonts w:asciiTheme="minorHAnsi" w:hAnsiTheme="minorHAnsi"/>
          <w:i/>
          <w:color w:val="000000"/>
          <w:sz w:val="18"/>
          <w:szCs w:val="18"/>
          <w:lang w:eastAsia="en-GB"/>
        </w:rPr>
        <w:t>YA(F) and A Local Authority &amp; Ors</w:t>
      </w:r>
      <w:r w:rsidRPr="00CA169C">
        <w:rPr>
          <w:rFonts w:asciiTheme="minorHAnsi" w:hAnsiTheme="minorHAnsi"/>
          <w:color w:val="000000"/>
          <w:sz w:val="18"/>
          <w:szCs w:val="18"/>
          <w:lang w:eastAsia="en-GB"/>
        </w:rPr>
        <w:t xml:space="preserve"> [2010] EWCOP 2770; </w:t>
      </w:r>
      <w:r w:rsidRPr="00CA169C">
        <w:rPr>
          <w:rFonts w:asciiTheme="minorHAnsi" w:hAnsiTheme="minorHAnsi"/>
          <w:i/>
          <w:color w:val="000000"/>
          <w:sz w:val="18"/>
          <w:szCs w:val="18"/>
          <w:lang w:eastAsia="en-GB"/>
        </w:rPr>
        <w:t xml:space="preserve">A Local Authority v PB &amp; </w:t>
      </w:r>
      <w:proofErr w:type="spellStart"/>
      <w:r w:rsidRPr="00CA169C">
        <w:rPr>
          <w:rFonts w:asciiTheme="minorHAnsi" w:hAnsiTheme="minorHAnsi"/>
          <w:i/>
          <w:color w:val="000000"/>
          <w:sz w:val="18"/>
          <w:szCs w:val="18"/>
          <w:lang w:eastAsia="en-GB"/>
        </w:rPr>
        <w:t>Anor</w:t>
      </w:r>
      <w:proofErr w:type="spellEnd"/>
      <w:r w:rsidRPr="00CA169C">
        <w:rPr>
          <w:rFonts w:asciiTheme="minorHAnsi" w:hAnsiTheme="minorHAnsi"/>
          <w:color w:val="000000"/>
          <w:sz w:val="18"/>
          <w:szCs w:val="18"/>
          <w:lang w:eastAsia="en-GB"/>
        </w:rPr>
        <w:t xml:space="preserve"> [2011] EWCOP 2675; </w:t>
      </w:r>
      <w:r w:rsidRPr="00CA169C">
        <w:rPr>
          <w:rFonts w:asciiTheme="minorHAnsi" w:hAnsiTheme="minorHAnsi"/>
          <w:i/>
          <w:color w:val="000000"/>
          <w:sz w:val="18"/>
          <w:szCs w:val="18"/>
          <w:lang w:eastAsia="en-GB"/>
        </w:rPr>
        <w:t>JO v GO &amp; Ors</w:t>
      </w:r>
      <w:r w:rsidRPr="00CA169C">
        <w:rPr>
          <w:rFonts w:asciiTheme="minorHAnsi" w:hAnsiTheme="minorHAnsi"/>
          <w:color w:val="000000"/>
          <w:sz w:val="18"/>
          <w:szCs w:val="18"/>
          <w:lang w:eastAsia="en-GB"/>
        </w:rPr>
        <w:t xml:space="preserve"> [2013] EWCOP 3932; </w:t>
      </w:r>
      <w:r w:rsidRPr="00CA169C">
        <w:rPr>
          <w:rFonts w:asciiTheme="minorHAnsi" w:hAnsiTheme="minorHAnsi"/>
          <w:i/>
          <w:color w:val="000000"/>
          <w:sz w:val="18"/>
          <w:szCs w:val="18"/>
          <w:lang w:eastAsia="en-GB"/>
        </w:rPr>
        <w:t>Liverpool City Council v SG &amp; Ors</w:t>
      </w:r>
      <w:r w:rsidRPr="00CA169C">
        <w:rPr>
          <w:rFonts w:asciiTheme="minorHAnsi" w:hAnsiTheme="minorHAnsi"/>
          <w:color w:val="000000"/>
          <w:sz w:val="18"/>
          <w:szCs w:val="18"/>
          <w:lang w:eastAsia="en-GB"/>
        </w:rPr>
        <w:t xml:space="preserve"> [2014] EWCOP 10) </w:t>
      </w:r>
      <w:r w:rsidRPr="00CA169C">
        <w:rPr>
          <w:rFonts w:asciiTheme="minorHAnsi" w:hAnsiTheme="minorHAnsi"/>
          <w:sz w:val="18"/>
          <w:szCs w:val="18"/>
        </w:rPr>
        <w:t xml:space="preserve">that P lacked capacity, that the evidence of the consulting psychiatrist was ‘compelling’ (e.g. </w:t>
      </w:r>
      <w:r w:rsidRPr="00CA169C">
        <w:rPr>
          <w:rFonts w:asciiTheme="minorHAnsi" w:hAnsiTheme="minorHAnsi"/>
          <w:i/>
          <w:color w:val="000000"/>
          <w:sz w:val="18"/>
          <w:szCs w:val="18"/>
          <w:lang w:eastAsia="en-GB"/>
        </w:rPr>
        <w:t>DH NHS Foundation Trust v PS</w:t>
      </w:r>
      <w:r w:rsidRPr="00CA169C">
        <w:rPr>
          <w:rFonts w:asciiTheme="minorHAnsi" w:hAnsiTheme="minorHAnsi"/>
          <w:color w:val="000000"/>
          <w:sz w:val="18"/>
          <w:szCs w:val="18"/>
          <w:lang w:eastAsia="en-GB"/>
        </w:rPr>
        <w:t xml:space="preserve"> [2010] EWCOP 1217)</w:t>
      </w:r>
      <w:r w:rsidRPr="00CA169C">
        <w:rPr>
          <w:rFonts w:asciiTheme="minorHAnsi" w:hAnsiTheme="minorHAnsi"/>
          <w:sz w:val="18"/>
          <w:szCs w:val="18"/>
        </w:rPr>
        <w:t xml:space="preserve"> or that the parties were in agreement that P lacked capacity (e.g. </w:t>
      </w:r>
      <w:r w:rsidRPr="00CA169C">
        <w:rPr>
          <w:rFonts w:asciiTheme="minorHAnsi" w:hAnsiTheme="minorHAnsi"/>
          <w:i/>
          <w:color w:val="000000"/>
          <w:sz w:val="18"/>
          <w:szCs w:val="18"/>
          <w:lang w:eastAsia="en-GB"/>
        </w:rPr>
        <w:t xml:space="preserve">HT v CK &amp; </w:t>
      </w:r>
      <w:proofErr w:type="spellStart"/>
      <w:r w:rsidRPr="00CA169C">
        <w:rPr>
          <w:rFonts w:asciiTheme="minorHAnsi" w:hAnsiTheme="minorHAnsi"/>
          <w:i/>
          <w:color w:val="000000"/>
          <w:sz w:val="18"/>
          <w:szCs w:val="18"/>
          <w:lang w:eastAsia="en-GB"/>
        </w:rPr>
        <w:t>Anor</w:t>
      </w:r>
      <w:proofErr w:type="spellEnd"/>
      <w:r w:rsidRPr="00CA169C">
        <w:rPr>
          <w:rFonts w:asciiTheme="minorHAnsi" w:hAnsiTheme="minorHAnsi"/>
          <w:color w:val="000000"/>
          <w:sz w:val="18"/>
          <w:szCs w:val="18"/>
          <w:lang w:eastAsia="en-GB"/>
        </w:rPr>
        <w:t xml:space="preserve"> [2012] EWCOP 4160; </w:t>
      </w:r>
      <w:r w:rsidRPr="00CA169C">
        <w:rPr>
          <w:rFonts w:asciiTheme="minorHAnsi" w:hAnsiTheme="minorHAnsi"/>
          <w:i/>
          <w:color w:val="000000"/>
          <w:sz w:val="18"/>
          <w:szCs w:val="18"/>
          <w:lang w:eastAsia="en-GB"/>
        </w:rPr>
        <w:t>PB v RB &amp; Ors</w:t>
      </w:r>
      <w:r w:rsidRPr="00CA169C">
        <w:rPr>
          <w:rFonts w:asciiTheme="minorHAnsi" w:hAnsiTheme="minorHAnsi"/>
          <w:color w:val="000000"/>
          <w:sz w:val="18"/>
          <w:szCs w:val="18"/>
          <w:lang w:eastAsia="en-GB"/>
        </w:rPr>
        <w:t xml:space="preserve"> [2012] EWCOP 4159; </w:t>
      </w:r>
      <w:r w:rsidRPr="00CA169C">
        <w:rPr>
          <w:rFonts w:asciiTheme="minorHAnsi" w:hAnsiTheme="minorHAnsi"/>
          <w:i/>
          <w:color w:val="000000"/>
          <w:sz w:val="18"/>
          <w:szCs w:val="18"/>
          <w:lang w:eastAsia="en-GB"/>
        </w:rPr>
        <w:t>A Local Authority v WMA &amp; Ors</w:t>
      </w:r>
      <w:r w:rsidRPr="00CA169C">
        <w:rPr>
          <w:rFonts w:asciiTheme="minorHAnsi" w:hAnsiTheme="minorHAnsi"/>
          <w:color w:val="000000"/>
          <w:sz w:val="18"/>
          <w:szCs w:val="18"/>
          <w:lang w:eastAsia="en-GB"/>
        </w:rPr>
        <w:t xml:space="preserve"> [2013] EWCOP 2580).</w:t>
      </w:r>
      <w:r w:rsidRPr="00CA169C">
        <w:rPr>
          <w:rFonts w:asciiTheme="minorHAnsi" w:hAnsiTheme="minorHAnsi"/>
          <w:sz w:val="18"/>
          <w:szCs w:val="18"/>
        </w:rPr>
        <w:t xml:space="preserve"> This should not necessarily be viewed as supporting evidence of judicial deference to expert evidence; just because the court’s scrutiny of P’s capacity is not visible on the face of the judgment does not mean that such scrutiny is non-existent.</w:t>
      </w:r>
    </w:p>
    <w:p w:rsidR="002F164D" w:rsidRPr="001D2835" w:rsidRDefault="002F164D" w:rsidP="0085767D">
      <w:pPr>
        <w:pStyle w:val="FootnoteText"/>
        <w:jc w:val="both"/>
        <w:rPr>
          <w:rFonts w:asciiTheme="minorHAnsi" w:hAnsiTheme="minorHAnsi"/>
          <w:sz w:val="18"/>
          <w:szCs w:val="18"/>
        </w:rPr>
      </w:pPr>
    </w:p>
  </w:footnote>
  <w:footnote w:id="66">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At [50].</w:t>
      </w:r>
    </w:p>
    <w:p w:rsidR="002F164D" w:rsidRPr="001D2835" w:rsidRDefault="002F164D" w:rsidP="0085767D">
      <w:pPr>
        <w:pStyle w:val="FootnoteText"/>
        <w:jc w:val="both"/>
        <w:rPr>
          <w:rFonts w:asciiTheme="minorHAnsi" w:hAnsiTheme="minorHAnsi"/>
          <w:sz w:val="18"/>
          <w:szCs w:val="18"/>
        </w:rPr>
      </w:pPr>
    </w:p>
  </w:footnote>
  <w:footnote w:id="67">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At [29].</w:t>
      </w:r>
    </w:p>
    <w:p w:rsidR="002F164D" w:rsidRPr="001D2835" w:rsidRDefault="002F164D" w:rsidP="0085767D">
      <w:pPr>
        <w:pStyle w:val="FootnoteText"/>
        <w:tabs>
          <w:tab w:val="left" w:pos="3544"/>
        </w:tabs>
        <w:jc w:val="both"/>
        <w:rPr>
          <w:rFonts w:asciiTheme="minorHAnsi" w:hAnsiTheme="minorHAnsi"/>
          <w:sz w:val="18"/>
          <w:szCs w:val="18"/>
        </w:rPr>
      </w:pPr>
    </w:p>
  </w:footnote>
  <w:footnote w:id="68">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[2016] EWCOP 4 at [53].</w:t>
      </w:r>
    </w:p>
    <w:p w:rsidR="002F164D" w:rsidRPr="001D2835" w:rsidRDefault="002F164D" w:rsidP="0085767D">
      <w:pPr>
        <w:pStyle w:val="FootnoteText"/>
        <w:jc w:val="both"/>
        <w:rPr>
          <w:rFonts w:asciiTheme="minorHAnsi" w:hAnsiTheme="minorHAnsi"/>
          <w:sz w:val="18"/>
          <w:szCs w:val="18"/>
        </w:rPr>
      </w:pPr>
    </w:p>
  </w:footnote>
  <w:footnote w:id="69">
    <w:p w:rsidR="002F164D" w:rsidRPr="001D2835" w:rsidRDefault="002F164D" w:rsidP="000C1D35">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sz w:val="18"/>
          <w:szCs w:val="18"/>
        </w:rPr>
        <w:t xml:space="preserve">STCC </w:t>
      </w:r>
      <w:r w:rsidRPr="00CA169C">
        <w:rPr>
          <w:rFonts w:asciiTheme="minorHAnsi" w:hAnsiTheme="minorHAnsi"/>
          <w:sz w:val="18"/>
          <w:szCs w:val="18"/>
        </w:rPr>
        <w:t xml:space="preserve">at [62]: </w:t>
      </w:r>
      <w:r w:rsidRPr="00CA169C">
        <w:rPr>
          <w:rFonts w:asciiTheme="minorHAnsi" w:hAnsiTheme="minorHAnsi"/>
          <w:color w:val="000000"/>
          <w:sz w:val="18"/>
          <w:szCs w:val="18"/>
          <w:lang w:eastAsia="en-GB"/>
        </w:rPr>
        <w:t>‘</w:t>
      </w:r>
      <w:r w:rsidRPr="00CA169C">
        <w:rPr>
          <w:rFonts w:asciiTheme="minorHAnsi" w:hAnsiTheme="minorHAnsi"/>
          <w:color w:val="000000"/>
          <w:sz w:val="18"/>
          <w:szCs w:val="18"/>
        </w:rPr>
        <w:t xml:space="preserve">it is the court alone that is in the position to weigh up all the evidence as to the functional test and thus it is the court that must make the ultimate decision’ (echoed in </w:t>
      </w:r>
      <w:r w:rsidRPr="00CA169C">
        <w:rPr>
          <w:rFonts w:asciiTheme="minorHAnsi" w:hAnsiTheme="minorHAnsi"/>
          <w:i/>
          <w:color w:val="000000"/>
          <w:sz w:val="18"/>
          <w:szCs w:val="18"/>
        </w:rPr>
        <w:t xml:space="preserve">Re SB </w:t>
      </w:r>
      <w:r w:rsidRPr="00CA169C">
        <w:rPr>
          <w:rFonts w:asciiTheme="minorHAnsi" w:hAnsiTheme="minorHAnsi"/>
          <w:color w:val="000000"/>
          <w:sz w:val="18"/>
          <w:szCs w:val="18"/>
        </w:rPr>
        <w:t xml:space="preserve">at [36] to [38] and underlined in </w:t>
      </w:r>
      <w:r w:rsidRPr="00CA169C">
        <w:rPr>
          <w:rFonts w:asciiTheme="minorHAnsi" w:hAnsiTheme="minorHAnsi"/>
          <w:i/>
          <w:color w:val="000000"/>
          <w:sz w:val="18"/>
          <w:szCs w:val="18"/>
        </w:rPr>
        <w:t xml:space="preserve">Re Z </w:t>
      </w:r>
      <w:r w:rsidRPr="00CA169C">
        <w:rPr>
          <w:rFonts w:asciiTheme="minorHAnsi" w:hAnsiTheme="minorHAnsi"/>
          <w:sz w:val="18"/>
          <w:szCs w:val="18"/>
        </w:rPr>
        <w:t>[2016] EWCOP 4 at [69]</w:t>
      </w:r>
      <w:r w:rsidRPr="00CA169C">
        <w:rPr>
          <w:rFonts w:asciiTheme="minorHAnsi" w:hAnsiTheme="minorHAnsi"/>
          <w:i/>
          <w:color w:val="000000"/>
          <w:sz w:val="18"/>
          <w:szCs w:val="18"/>
        </w:rPr>
        <w:t xml:space="preserve"> </w:t>
      </w:r>
      <w:r w:rsidRPr="00CA169C">
        <w:rPr>
          <w:rFonts w:asciiTheme="minorHAnsi" w:hAnsiTheme="minorHAnsi"/>
          <w:color w:val="000000"/>
          <w:sz w:val="18"/>
          <w:szCs w:val="18"/>
        </w:rPr>
        <w:t>by the words: ‘</w:t>
      </w:r>
      <w:bookmarkStart w:id="2" w:name="para69"/>
      <w:r w:rsidRPr="00CA169C">
        <w:rPr>
          <w:rFonts w:asciiTheme="minorHAnsi" w:hAnsiTheme="minorHAnsi"/>
          <w:color w:val="000000"/>
          <w:sz w:val="18"/>
          <w:szCs w:val="18"/>
        </w:rPr>
        <w:t>the expert advises and the court decides</w:t>
      </w:r>
      <w:bookmarkEnd w:id="2"/>
      <w:r w:rsidRPr="00CA169C">
        <w:rPr>
          <w:rFonts w:asciiTheme="minorHAnsi" w:hAnsiTheme="minorHAnsi"/>
          <w:color w:val="000000"/>
          <w:sz w:val="18"/>
          <w:szCs w:val="18"/>
        </w:rPr>
        <w:t>’).</w:t>
      </w:r>
    </w:p>
    <w:p w:rsidR="002F164D" w:rsidRPr="001D2835" w:rsidRDefault="002F164D" w:rsidP="000C1D35">
      <w:pPr>
        <w:pStyle w:val="FootnoteText"/>
        <w:jc w:val="both"/>
        <w:rPr>
          <w:rFonts w:asciiTheme="minorHAnsi" w:hAnsiTheme="minorHAnsi"/>
          <w:sz w:val="18"/>
          <w:szCs w:val="18"/>
        </w:rPr>
      </w:pPr>
    </w:p>
  </w:footnote>
  <w:footnote w:id="70">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At [44]. I</w:t>
      </w:r>
      <w:r w:rsidRPr="00CA169C">
        <w:rPr>
          <w:rFonts w:asciiTheme="minorHAnsi" w:hAnsiTheme="minorHAnsi"/>
          <w:color w:val="000000"/>
          <w:sz w:val="18"/>
          <w:szCs w:val="18"/>
          <w:lang w:eastAsia="en-GB"/>
        </w:rPr>
        <w:t>t has long been understood to be for the court to determine the level of ‘understanding’ required for P to be able to make a decision. P needs only understand the ‘salient’ factors relevant to the decision and it is for the court to determine which factors have that relevancy</w:t>
      </w:r>
      <w:r w:rsidRPr="00CA169C">
        <w:rPr>
          <w:rFonts w:asciiTheme="minorHAnsi" w:hAnsiTheme="minorHAnsi"/>
          <w:sz w:val="18"/>
          <w:szCs w:val="18"/>
        </w:rPr>
        <w:t xml:space="preserve">: </w:t>
      </w:r>
      <w:proofErr w:type="spellStart"/>
      <w:r w:rsidRPr="00CA169C">
        <w:rPr>
          <w:rFonts w:asciiTheme="minorHAnsi" w:hAnsiTheme="minorHAnsi"/>
          <w:sz w:val="18"/>
          <w:szCs w:val="18"/>
        </w:rPr>
        <w:t>Macur</w:t>
      </w:r>
      <w:proofErr w:type="spellEnd"/>
      <w:r w:rsidRPr="00CA169C">
        <w:rPr>
          <w:rFonts w:asciiTheme="minorHAnsi" w:hAnsiTheme="minorHAnsi"/>
          <w:sz w:val="18"/>
          <w:szCs w:val="18"/>
        </w:rPr>
        <w:t xml:space="preserve"> J in </w:t>
      </w:r>
      <w:bookmarkStart w:id="3" w:name="para22"/>
      <w:r w:rsidRPr="00CA169C">
        <w:rPr>
          <w:rFonts w:asciiTheme="minorHAnsi" w:hAnsiTheme="minorHAnsi"/>
          <w:i/>
          <w:iCs/>
          <w:color w:val="000000"/>
          <w:sz w:val="18"/>
          <w:szCs w:val="18"/>
        </w:rPr>
        <w:t>LBL v RYJ</w:t>
      </w:r>
      <w:r>
        <w:rPr>
          <w:rStyle w:val="apple-converted-space"/>
          <w:rFonts w:asciiTheme="minorHAnsi" w:hAnsiTheme="minorHAnsi"/>
          <w:color w:val="000000"/>
          <w:sz w:val="18"/>
          <w:szCs w:val="18"/>
        </w:rPr>
        <w:t> </w:t>
      </w:r>
      <w:r>
        <w:rPr>
          <w:rFonts w:asciiTheme="minorHAnsi" w:hAnsiTheme="minorHAnsi"/>
          <w:color w:val="000000"/>
          <w:sz w:val="18"/>
          <w:szCs w:val="18"/>
        </w:rPr>
        <w:t>[2010] EWHC 2664</w:t>
      </w:r>
      <w:bookmarkEnd w:id="3"/>
      <w:r>
        <w:rPr>
          <w:rFonts w:asciiTheme="minorHAnsi" w:hAnsiTheme="minorHAnsi"/>
          <w:color w:val="000000"/>
          <w:sz w:val="18"/>
          <w:szCs w:val="18"/>
        </w:rPr>
        <w:t>.</w:t>
      </w:r>
    </w:p>
    <w:p w:rsidR="002F164D" w:rsidRPr="001D2835" w:rsidRDefault="002F164D" w:rsidP="0085767D">
      <w:pPr>
        <w:pStyle w:val="FootnoteText"/>
        <w:jc w:val="both"/>
        <w:rPr>
          <w:rFonts w:asciiTheme="minorHAnsi" w:hAnsiTheme="minorHAnsi"/>
          <w:sz w:val="18"/>
          <w:szCs w:val="18"/>
        </w:rPr>
      </w:pPr>
    </w:p>
  </w:footnote>
  <w:footnote w:id="71">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sz w:val="18"/>
          <w:szCs w:val="18"/>
        </w:rPr>
        <w:t>Re SB</w:t>
      </w:r>
      <w:r w:rsidRPr="00CA169C">
        <w:rPr>
          <w:rFonts w:asciiTheme="minorHAnsi" w:hAnsiTheme="minorHAnsi"/>
          <w:sz w:val="18"/>
          <w:szCs w:val="18"/>
        </w:rPr>
        <w:t xml:space="preserve"> [2013] EWCOP 1417 at [38]. This approach is also followed in </w:t>
      </w:r>
      <w:r w:rsidRPr="00CA169C">
        <w:rPr>
          <w:rFonts w:asciiTheme="minorHAnsi" w:hAnsiTheme="minorHAnsi"/>
          <w:i/>
          <w:sz w:val="18"/>
          <w:szCs w:val="18"/>
        </w:rPr>
        <w:t>Re Z</w:t>
      </w:r>
      <w:r w:rsidRPr="00CA169C">
        <w:rPr>
          <w:rFonts w:asciiTheme="minorHAnsi" w:hAnsiTheme="minorHAnsi"/>
          <w:sz w:val="18"/>
          <w:szCs w:val="18"/>
        </w:rPr>
        <w:t xml:space="preserve"> [2016] EWCOP 4 at [60]. </w:t>
      </w:r>
    </w:p>
    <w:p w:rsidR="002F164D" w:rsidRPr="001D2835" w:rsidRDefault="002F164D" w:rsidP="0085767D">
      <w:pPr>
        <w:pStyle w:val="FootnoteText"/>
        <w:jc w:val="both"/>
        <w:rPr>
          <w:rFonts w:asciiTheme="minorHAnsi" w:hAnsiTheme="minorHAnsi"/>
          <w:sz w:val="18"/>
          <w:szCs w:val="18"/>
        </w:rPr>
      </w:pPr>
    </w:p>
  </w:footnote>
  <w:footnote w:id="72">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[2016] EWCOP 4 at [53].</w:t>
      </w:r>
    </w:p>
    <w:p w:rsidR="002F164D" w:rsidRPr="001D2835" w:rsidRDefault="002F164D" w:rsidP="0085767D">
      <w:pPr>
        <w:pStyle w:val="FootnoteText"/>
        <w:jc w:val="both"/>
        <w:rPr>
          <w:rFonts w:asciiTheme="minorHAnsi" w:hAnsiTheme="minorHAnsi"/>
          <w:sz w:val="18"/>
          <w:szCs w:val="18"/>
        </w:rPr>
      </w:pPr>
    </w:p>
  </w:footnote>
  <w:footnote w:id="73">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[2016] EWCOP 4 at [41].</w:t>
      </w:r>
    </w:p>
    <w:p w:rsidR="002F164D" w:rsidRPr="001D2835" w:rsidRDefault="002F164D" w:rsidP="0085767D">
      <w:pPr>
        <w:pStyle w:val="FootnoteText"/>
        <w:jc w:val="both"/>
        <w:rPr>
          <w:rFonts w:asciiTheme="minorHAnsi" w:hAnsiTheme="minorHAnsi"/>
          <w:sz w:val="18"/>
          <w:szCs w:val="18"/>
        </w:rPr>
      </w:pPr>
    </w:p>
  </w:footnote>
  <w:footnote w:id="74">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[2013] EWCOP 1417 at [40].</w:t>
      </w:r>
    </w:p>
    <w:p w:rsidR="002F164D" w:rsidRPr="001D2835" w:rsidRDefault="002F164D" w:rsidP="0085767D">
      <w:pPr>
        <w:pStyle w:val="FootnoteText"/>
        <w:jc w:val="both"/>
        <w:rPr>
          <w:rFonts w:asciiTheme="minorHAnsi" w:hAnsiTheme="minorHAnsi"/>
          <w:sz w:val="18"/>
          <w:szCs w:val="18"/>
        </w:rPr>
      </w:pPr>
    </w:p>
  </w:footnote>
  <w:footnote w:id="75">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See T. </w:t>
      </w:r>
      <w:proofErr w:type="spellStart"/>
      <w:r w:rsidRPr="00CA169C">
        <w:rPr>
          <w:rFonts w:asciiTheme="minorHAnsi" w:hAnsiTheme="minorHAnsi"/>
          <w:sz w:val="18"/>
          <w:szCs w:val="18"/>
        </w:rPr>
        <w:t>Jingree</w:t>
      </w:r>
      <w:proofErr w:type="spellEnd"/>
      <w:r w:rsidRPr="00CA169C">
        <w:rPr>
          <w:rFonts w:asciiTheme="minorHAnsi" w:hAnsiTheme="minorHAnsi"/>
          <w:sz w:val="18"/>
          <w:szCs w:val="18"/>
        </w:rPr>
        <w:t xml:space="preserve">, ‘Duty of care, safety, normalisation and the Mental Capacity Act 2005’ (2014) 25(2) </w:t>
      </w:r>
      <w:r w:rsidRPr="00CA169C">
        <w:rPr>
          <w:rFonts w:asciiTheme="minorHAnsi" w:hAnsiTheme="minorHAnsi"/>
          <w:i/>
          <w:sz w:val="18"/>
          <w:szCs w:val="18"/>
        </w:rPr>
        <w:t xml:space="preserve">Journal of Community &amp; Applied Social Psychology </w:t>
      </w:r>
      <w:r w:rsidRPr="00CA169C">
        <w:rPr>
          <w:rFonts w:asciiTheme="minorHAnsi" w:hAnsiTheme="minorHAnsi"/>
          <w:sz w:val="18"/>
          <w:szCs w:val="18"/>
        </w:rPr>
        <w:t>138</w:t>
      </w:r>
      <w:r w:rsidRPr="00CA169C">
        <w:rPr>
          <w:rFonts w:asciiTheme="minorHAnsi" w:hAnsiTheme="minorHAnsi"/>
          <w:i/>
          <w:sz w:val="18"/>
          <w:szCs w:val="18"/>
        </w:rPr>
        <w:t xml:space="preserve"> </w:t>
      </w:r>
      <w:r w:rsidRPr="00CA169C">
        <w:rPr>
          <w:rFonts w:asciiTheme="minorHAnsi" w:hAnsiTheme="minorHAnsi"/>
          <w:sz w:val="18"/>
          <w:szCs w:val="18"/>
        </w:rPr>
        <w:t xml:space="preserve">where comparative evaluation is observed in discourse analysis to opposite effect, the position of adults with learning disabilities being compared to the situation of everyone else as a means of justifying restrictions of choice. </w:t>
      </w:r>
    </w:p>
    <w:p w:rsidR="002F164D" w:rsidRPr="001D2835" w:rsidRDefault="002F164D" w:rsidP="0085767D">
      <w:pPr>
        <w:pStyle w:val="FootnoteText"/>
        <w:jc w:val="both"/>
        <w:rPr>
          <w:rFonts w:asciiTheme="minorHAnsi" w:hAnsiTheme="minorHAnsi"/>
          <w:sz w:val="18"/>
          <w:szCs w:val="18"/>
        </w:rPr>
      </w:pPr>
    </w:p>
  </w:footnote>
  <w:footnote w:id="76">
    <w:p w:rsidR="002F164D" w:rsidRPr="0037023A" w:rsidRDefault="002F164D" w:rsidP="0085767D">
      <w:pPr>
        <w:pStyle w:val="FootnoteText"/>
        <w:jc w:val="both"/>
        <w:rPr>
          <w:rFonts w:asciiTheme="minorHAnsi" w:hAnsiTheme="minorHAnsi"/>
          <w:sz w:val="18"/>
          <w:szCs w:val="18"/>
        </w:rPr>
      </w:pPr>
      <w:r w:rsidRPr="0037023A">
        <w:rPr>
          <w:rStyle w:val="FootnoteReference"/>
          <w:rFonts w:asciiTheme="minorHAnsi" w:hAnsiTheme="minorHAnsi"/>
          <w:sz w:val="18"/>
          <w:szCs w:val="18"/>
        </w:rPr>
        <w:footnoteRef/>
      </w:r>
      <w:r w:rsidRPr="0037023A">
        <w:rPr>
          <w:rFonts w:asciiTheme="minorHAnsi" w:hAnsiTheme="minorHAnsi"/>
          <w:sz w:val="18"/>
          <w:szCs w:val="18"/>
        </w:rPr>
        <w:t xml:space="preserve"> </w:t>
      </w:r>
      <w:hyperlink r:id="rId5" w:history="1">
        <w:r w:rsidRPr="0037023A">
          <w:rPr>
            <w:rStyle w:val="Hyperlink"/>
            <w:rFonts w:asciiTheme="minorHAnsi" w:hAnsiTheme="minorHAnsi"/>
            <w:color w:val="auto"/>
            <w:sz w:val="18"/>
            <w:szCs w:val="18"/>
          </w:rPr>
          <w:t>http://www.parliamentlive.tv/Event/Index/0fe8cea8-89db-453c-afb2-7a97d8b20db1</w:t>
        </w:r>
      </w:hyperlink>
      <w:r w:rsidRPr="0037023A">
        <w:rPr>
          <w:rFonts w:asciiTheme="minorHAnsi" w:hAnsiTheme="minorHAnsi"/>
          <w:sz w:val="18"/>
          <w:szCs w:val="18"/>
        </w:rPr>
        <w:t xml:space="preserve"> accessed 15/1/16.</w:t>
      </w:r>
    </w:p>
    <w:p w:rsidR="002F164D" w:rsidRPr="001D2835" w:rsidRDefault="002F164D" w:rsidP="0085767D">
      <w:pPr>
        <w:pStyle w:val="FootnoteText"/>
        <w:jc w:val="both"/>
        <w:rPr>
          <w:rFonts w:asciiTheme="minorHAnsi" w:hAnsiTheme="minorHAnsi"/>
          <w:sz w:val="18"/>
          <w:szCs w:val="18"/>
        </w:rPr>
      </w:pPr>
    </w:p>
  </w:footnote>
  <w:footnote w:id="77">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Most involving direct meetings, but in a few cases involving communication by letter: e.g. </w:t>
      </w:r>
      <w:r w:rsidRPr="00CA169C">
        <w:rPr>
          <w:rFonts w:asciiTheme="minorHAnsi" w:hAnsiTheme="minorHAnsi"/>
          <w:i/>
          <w:sz w:val="18"/>
          <w:szCs w:val="18"/>
        </w:rPr>
        <w:t xml:space="preserve">Re W (Anorexia) </w:t>
      </w:r>
      <w:r w:rsidRPr="00CA169C">
        <w:rPr>
          <w:rFonts w:asciiTheme="minorHAnsi" w:hAnsiTheme="minorHAnsi"/>
          <w:sz w:val="18"/>
          <w:szCs w:val="18"/>
        </w:rPr>
        <w:t xml:space="preserve">[2016] EWCOP 13 and </w:t>
      </w:r>
      <w:proofErr w:type="spellStart"/>
      <w:r w:rsidRPr="00CA169C">
        <w:rPr>
          <w:rFonts w:asciiTheme="minorHAnsi" w:hAnsiTheme="minorHAnsi"/>
          <w:i/>
          <w:sz w:val="18"/>
          <w:szCs w:val="18"/>
        </w:rPr>
        <w:t>Wandsworth</w:t>
      </w:r>
      <w:proofErr w:type="spellEnd"/>
      <w:r w:rsidRPr="00CA169C">
        <w:rPr>
          <w:rFonts w:asciiTheme="minorHAnsi" w:hAnsiTheme="minorHAnsi"/>
          <w:i/>
          <w:sz w:val="18"/>
          <w:szCs w:val="18"/>
        </w:rPr>
        <w:t xml:space="preserve"> CCG v IA </w:t>
      </w:r>
      <w:r w:rsidRPr="00CA169C">
        <w:rPr>
          <w:rFonts w:asciiTheme="minorHAnsi" w:hAnsiTheme="minorHAnsi"/>
          <w:sz w:val="18"/>
          <w:szCs w:val="18"/>
        </w:rPr>
        <w:t>[2014] EWCOP 990 discussed below.</w:t>
      </w:r>
    </w:p>
    <w:p w:rsidR="002F164D" w:rsidRPr="001D2835" w:rsidRDefault="002F164D" w:rsidP="0085767D">
      <w:pPr>
        <w:pStyle w:val="FootnoteText"/>
        <w:jc w:val="both"/>
        <w:rPr>
          <w:rFonts w:asciiTheme="minorHAnsi" w:hAnsiTheme="minorHAnsi"/>
          <w:sz w:val="18"/>
          <w:szCs w:val="18"/>
        </w:rPr>
      </w:pPr>
    </w:p>
  </w:footnote>
  <w:footnote w:id="78">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sz w:val="18"/>
          <w:szCs w:val="18"/>
        </w:rPr>
        <w:t>MCA Code of Practice</w:t>
      </w:r>
      <w:r w:rsidRPr="00CA169C">
        <w:rPr>
          <w:rFonts w:asciiTheme="minorHAnsi" w:hAnsiTheme="minorHAnsi"/>
          <w:sz w:val="18"/>
          <w:szCs w:val="18"/>
        </w:rPr>
        <w:t xml:space="preserve">, </w:t>
      </w:r>
      <w:proofErr w:type="spellStart"/>
      <w:r w:rsidRPr="00CA169C">
        <w:rPr>
          <w:rFonts w:asciiTheme="minorHAnsi" w:hAnsiTheme="minorHAnsi"/>
          <w:sz w:val="18"/>
          <w:szCs w:val="18"/>
        </w:rPr>
        <w:t>para</w:t>
      </w:r>
      <w:proofErr w:type="spellEnd"/>
      <w:r w:rsidRPr="00CA169C">
        <w:rPr>
          <w:rFonts w:asciiTheme="minorHAnsi" w:hAnsiTheme="minorHAnsi"/>
          <w:sz w:val="18"/>
          <w:szCs w:val="18"/>
        </w:rPr>
        <w:t xml:space="preserve"> 1.2.</w:t>
      </w:r>
    </w:p>
    <w:p w:rsidR="002F164D" w:rsidRPr="001D2835" w:rsidRDefault="002F164D" w:rsidP="0085767D">
      <w:pPr>
        <w:pStyle w:val="FootnoteText"/>
        <w:jc w:val="both"/>
        <w:rPr>
          <w:rFonts w:asciiTheme="minorHAnsi" w:hAnsiTheme="minorHAnsi"/>
          <w:sz w:val="18"/>
          <w:szCs w:val="18"/>
        </w:rPr>
      </w:pPr>
    </w:p>
  </w:footnote>
  <w:footnote w:id="79">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See e.g. the recent study by I. </w:t>
      </w:r>
      <w:proofErr w:type="spellStart"/>
      <w:r w:rsidRPr="00CA169C">
        <w:rPr>
          <w:rFonts w:asciiTheme="minorHAnsi" w:hAnsiTheme="minorHAnsi"/>
          <w:sz w:val="18"/>
          <w:szCs w:val="18"/>
        </w:rPr>
        <w:t>Sleeman</w:t>
      </w:r>
      <w:proofErr w:type="spellEnd"/>
      <w:r w:rsidRPr="00CA169C">
        <w:rPr>
          <w:rFonts w:asciiTheme="minorHAnsi" w:hAnsiTheme="minorHAnsi"/>
          <w:sz w:val="18"/>
          <w:szCs w:val="18"/>
        </w:rPr>
        <w:t xml:space="preserve"> and K. Saunders, </w:t>
      </w:r>
      <w:r w:rsidRPr="00CA169C">
        <w:rPr>
          <w:rFonts w:asciiTheme="minorHAnsi" w:hAnsiTheme="minorHAnsi"/>
          <w:i/>
          <w:sz w:val="18"/>
          <w:szCs w:val="18"/>
        </w:rPr>
        <w:t>‘</w:t>
      </w:r>
      <w:r w:rsidRPr="00CA169C">
        <w:rPr>
          <w:rFonts w:asciiTheme="minorHAnsi" w:hAnsiTheme="minorHAnsi"/>
          <w:sz w:val="18"/>
          <w:szCs w:val="18"/>
        </w:rPr>
        <w:t xml:space="preserve">An audit of mental capacity assessment on general medical wards.’ (2013) 8 </w:t>
      </w:r>
      <w:r w:rsidRPr="00CA169C">
        <w:rPr>
          <w:rFonts w:asciiTheme="minorHAnsi" w:hAnsiTheme="minorHAnsi"/>
          <w:i/>
          <w:sz w:val="18"/>
          <w:szCs w:val="18"/>
        </w:rPr>
        <w:t xml:space="preserve">Clinical Ethics </w:t>
      </w:r>
      <w:r w:rsidRPr="00CA169C">
        <w:rPr>
          <w:rFonts w:asciiTheme="minorHAnsi" w:hAnsiTheme="minorHAnsi"/>
          <w:sz w:val="18"/>
          <w:szCs w:val="18"/>
        </w:rPr>
        <w:t xml:space="preserve">47 – in this study only seven patients had notes of a capacity assessment on their file and in all seven cases the patient had disagreed with the medical team about treatment, suggesting that refusal had triggered capacity assessment. </w:t>
      </w:r>
    </w:p>
    <w:p w:rsidR="002F164D" w:rsidRPr="001D2835" w:rsidRDefault="002F164D" w:rsidP="0085767D">
      <w:pPr>
        <w:pStyle w:val="FootnoteText"/>
        <w:jc w:val="both"/>
        <w:rPr>
          <w:rFonts w:asciiTheme="minorHAnsi" w:hAnsiTheme="minorHAnsi"/>
          <w:sz w:val="18"/>
          <w:szCs w:val="18"/>
        </w:rPr>
      </w:pPr>
    </w:p>
  </w:footnote>
  <w:footnote w:id="80">
    <w:p w:rsidR="002F164D" w:rsidRPr="001D2835" w:rsidRDefault="002F164D" w:rsidP="0085767D">
      <w:pPr>
        <w:pStyle w:val="FootnoteText"/>
        <w:jc w:val="both"/>
        <w:rPr>
          <w:rFonts w:asciiTheme="minorHAnsi" w:hAnsiTheme="minorHAnsi"/>
          <w:color w:val="000000"/>
          <w:sz w:val="18"/>
          <w:szCs w:val="18"/>
          <w:lang w:eastAsia="en-GB"/>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[2012] EWCOP 2136.</w:t>
      </w:r>
    </w:p>
    <w:p w:rsidR="002F164D" w:rsidRPr="001D2835" w:rsidRDefault="002F164D" w:rsidP="0085767D">
      <w:pPr>
        <w:pStyle w:val="FootnoteText"/>
        <w:jc w:val="both"/>
        <w:rPr>
          <w:rFonts w:asciiTheme="minorHAnsi" w:hAnsiTheme="minorHAnsi"/>
          <w:sz w:val="18"/>
          <w:szCs w:val="18"/>
        </w:rPr>
      </w:pPr>
    </w:p>
  </w:footnote>
  <w:footnote w:id="81">
    <w:p w:rsidR="002F164D" w:rsidRPr="001D2835" w:rsidRDefault="002F164D">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Ibid at [63]. </w:t>
      </w:r>
    </w:p>
    <w:p w:rsidR="002F164D" w:rsidRPr="001D2835" w:rsidRDefault="002F164D">
      <w:pPr>
        <w:pStyle w:val="FootnoteText"/>
        <w:rPr>
          <w:rFonts w:asciiTheme="minorHAnsi" w:hAnsiTheme="minorHAnsi"/>
          <w:sz w:val="18"/>
          <w:szCs w:val="18"/>
        </w:rPr>
      </w:pPr>
    </w:p>
  </w:footnote>
  <w:footnote w:id="82">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See particularly </w:t>
      </w:r>
      <w:r w:rsidRPr="00CA169C">
        <w:rPr>
          <w:rFonts w:asciiTheme="minorHAnsi" w:hAnsiTheme="minorHAnsi"/>
          <w:color w:val="000000"/>
          <w:sz w:val="18"/>
          <w:szCs w:val="18"/>
          <w:lang w:eastAsia="en-GB"/>
        </w:rPr>
        <w:t xml:space="preserve">[2012] EWCOP 2136 </w:t>
      </w:r>
      <w:r w:rsidRPr="00CA169C">
        <w:rPr>
          <w:rFonts w:asciiTheme="minorHAnsi" w:hAnsiTheme="minorHAnsi"/>
          <w:sz w:val="18"/>
          <w:szCs w:val="18"/>
        </w:rPr>
        <w:t xml:space="preserve">at [38] to [43]. </w:t>
      </w:r>
    </w:p>
  </w:footnote>
  <w:footnote w:id="83">
    <w:p w:rsidR="002F164D" w:rsidRPr="001D2835" w:rsidRDefault="002F164D" w:rsidP="0085767D">
      <w:pPr>
        <w:spacing w:before="100" w:beforeAutospacing="1" w:after="100" w:afterAutospacing="1"/>
        <w:jc w:val="both"/>
        <w:rPr>
          <w:sz w:val="18"/>
          <w:szCs w:val="18"/>
        </w:rPr>
      </w:pPr>
      <w:r>
        <w:rPr>
          <w:rStyle w:val="FootnoteReference"/>
          <w:i/>
          <w:sz w:val="18"/>
          <w:szCs w:val="18"/>
        </w:rPr>
        <w:footnoteRef/>
      </w:r>
      <w:r w:rsidRPr="00CA169C">
        <w:rPr>
          <w:i/>
          <w:sz w:val="18"/>
          <w:szCs w:val="18"/>
        </w:rPr>
        <w:t xml:space="preserve"> A Local Authority v TZ </w:t>
      </w:r>
      <w:r w:rsidRPr="00CA169C">
        <w:rPr>
          <w:sz w:val="18"/>
          <w:szCs w:val="18"/>
        </w:rPr>
        <w:t xml:space="preserve"> </w:t>
      </w:r>
      <w:r w:rsidRPr="00CA169C">
        <w:rPr>
          <w:rFonts w:eastAsia="Times New Roman" w:cs="Times New Roman"/>
          <w:color w:val="000000"/>
          <w:sz w:val="18"/>
          <w:szCs w:val="18"/>
          <w:lang w:eastAsia="en-GB"/>
        </w:rPr>
        <w:t xml:space="preserve">[2013] EWCOP 2322; </w:t>
      </w:r>
      <w:r w:rsidRPr="00CA169C">
        <w:rPr>
          <w:i/>
          <w:sz w:val="18"/>
          <w:szCs w:val="18"/>
        </w:rPr>
        <w:t>X v A Local Authority</w:t>
      </w:r>
      <w:r w:rsidRPr="00CA169C">
        <w:rPr>
          <w:sz w:val="18"/>
          <w:szCs w:val="18"/>
        </w:rPr>
        <w:t xml:space="preserve"> [2014] EWCOP 29; </w:t>
      </w:r>
      <w:r w:rsidRPr="00CA169C">
        <w:rPr>
          <w:i/>
          <w:sz w:val="18"/>
          <w:szCs w:val="18"/>
        </w:rPr>
        <w:t xml:space="preserve">Heart of England NHS Foundation Trust v JB </w:t>
      </w:r>
      <w:r w:rsidRPr="00CA169C">
        <w:rPr>
          <w:sz w:val="18"/>
          <w:szCs w:val="18"/>
        </w:rPr>
        <w:t xml:space="preserve">[2014] EWCOP 342; </w:t>
      </w:r>
      <w:proofErr w:type="spellStart"/>
      <w:r w:rsidRPr="00CA169C">
        <w:rPr>
          <w:i/>
          <w:color w:val="000000"/>
          <w:sz w:val="18"/>
          <w:szCs w:val="18"/>
          <w:lang w:eastAsia="en-GB"/>
        </w:rPr>
        <w:t>Wandsworth</w:t>
      </w:r>
      <w:proofErr w:type="spellEnd"/>
      <w:r w:rsidRPr="00CA169C">
        <w:rPr>
          <w:i/>
          <w:color w:val="000000"/>
          <w:sz w:val="18"/>
          <w:szCs w:val="18"/>
          <w:lang w:eastAsia="en-GB"/>
        </w:rPr>
        <w:t xml:space="preserve"> Clinical Commissioning Group v IA </w:t>
      </w:r>
      <w:r w:rsidRPr="00CA169C">
        <w:rPr>
          <w:sz w:val="18"/>
          <w:szCs w:val="18"/>
        </w:rPr>
        <w:t xml:space="preserve">[2014] EWCOP 990; </w:t>
      </w:r>
      <w:r w:rsidRPr="00CA169C">
        <w:rPr>
          <w:i/>
          <w:sz w:val="18"/>
          <w:szCs w:val="18"/>
        </w:rPr>
        <w:t xml:space="preserve">King’s College </w:t>
      </w:r>
      <w:r w:rsidRPr="00CA169C">
        <w:rPr>
          <w:rFonts w:eastAsia="Times New Roman" w:cs="Times New Roman"/>
          <w:i/>
          <w:color w:val="000000"/>
          <w:sz w:val="18"/>
          <w:szCs w:val="18"/>
          <w:lang w:eastAsia="en-GB"/>
        </w:rPr>
        <w:t xml:space="preserve">Hospital NHS Foundation Trust v C &amp; </w:t>
      </w:r>
      <w:proofErr w:type="spellStart"/>
      <w:r w:rsidRPr="00CA169C">
        <w:rPr>
          <w:rFonts w:eastAsia="Times New Roman" w:cs="Times New Roman"/>
          <w:i/>
          <w:color w:val="000000"/>
          <w:sz w:val="18"/>
          <w:szCs w:val="18"/>
          <w:lang w:eastAsia="en-GB"/>
        </w:rPr>
        <w:t>Anor</w:t>
      </w:r>
      <w:proofErr w:type="spellEnd"/>
      <w:r w:rsidRPr="00CA169C">
        <w:rPr>
          <w:rFonts w:eastAsia="Times New Roman" w:cs="Times New Roman"/>
          <w:color w:val="000000"/>
          <w:sz w:val="18"/>
          <w:szCs w:val="18"/>
          <w:lang w:eastAsia="en-GB"/>
        </w:rPr>
        <w:t xml:space="preserve"> [2015] EWCOP 80.</w:t>
      </w:r>
    </w:p>
  </w:footnote>
  <w:footnote w:id="84">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[2014] EWCOP 29 at [12]-[13].</w:t>
      </w:r>
    </w:p>
    <w:p w:rsidR="002F164D" w:rsidRPr="001D2835" w:rsidRDefault="002F164D" w:rsidP="0085767D">
      <w:pPr>
        <w:pStyle w:val="FootnoteText"/>
        <w:jc w:val="both"/>
        <w:rPr>
          <w:rFonts w:asciiTheme="minorHAnsi" w:hAnsiTheme="minorHAnsi"/>
          <w:sz w:val="18"/>
          <w:szCs w:val="18"/>
        </w:rPr>
      </w:pPr>
    </w:p>
  </w:footnote>
  <w:footnote w:id="85">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At [16].</w:t>
      </w:r>
    </w:p>
    <w:p w:rsidR="002F164D" w:rsidRPr="001D2835" w:rsidRDefault="002F164D" w:rsidP="0085767D">
      <w:pPr>
        <w:pStyle w:val="FootnoteText"/>
        <w:jc w:val="both"/>
        <w:rPr>
          <w:rFonts w:asciiTheme="minorHAnsi" w:hAnsiTheme="minorHAnsi"/>
          <w:sz w:val="18"/>
          <w:szCs w:val="18"/>
        </w:rPr>
      </w:pPr>
    </w:p>
  </w:footnote>
  <w:footnote w:id="86">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[2014] EWCOP 990.</w:t>
      </w:r>
    </w:p>
    <w:p w:rsidR="002F164D" w:rsidRPr="001D2835" w:rsidRDefault="002F164D" w:rsidP="0085767D">
      <w:pPr>
        <w:pStyle w:val="FootnoteText"/>
        <w:jc w:val="both"/>
        <w:rPr>
          <w:rFonts w:asciiTheme="minorHAnsi" w:hAnsiTheme="minorHAnsi"/>
          <w:sz w:val="18"/>
          <w:szCs w:val="18"/>
        </w:rPr>
      </w:pPr>
    </w:p>
  </w:footnote>
  <w:footnote w:id="87">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[2014] EWCOP 990 at [23].</w:t>
      </w:r>
    </w:p>
    <w:p w:rsidR="002F164D" w:rsidRPr="001D2835" w:rsidRDefault="002F164D" w:rsidP="0085767D">
      <w:pPr>
        <w:pStyle w:val="FootnoteText"/>
        <w:jc w:val="both"/>
        <w:rPr>
          <w:rFonts w:asciiTheme="minorHAnsi" w:hAnsiTheme="minorHAnsi"/>
          <w:sz w:val="18"/>
          <w:szCs w:val="18"/>
        </w:rPr>
      </w:pPr>
    </w:p>
  </w:footnote>
  <w:footnote w:id="88">
    <w:p w:rsidR="002F164D" w:rsidRPr="001D2835" w:rsidRDefault="002F164D" w:rsidP="0085767D">
      <w:pPr>
        <w:pStyle w:val="FootnoteText"/>
        <w:jc w:val="both"/>
        <w:rPr>
          <w:rFonts w:asciiTheme="minorHAnsi" w:hAnsiTheme="minorHAnsi"/>
          <w:color w:val="000000"/>
          <w:sz w:val="18"/>
          <w:szCs w:val="18"/>
          <w:lang w:eastAsia="en-GB"/>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 xml:space="preserve">[2013] EWCOP 2322. This case is at the margin of the conflict cases there being no disagreement between experts in court, but an expert opinion from a court appointed expert being in conflict with the view of the Official Solicitor, the Local Authority and a written report from Professor R. </w:t>
      </w:r>
    </w:p>
    <w:p w:rsidR="002F164D" w:rsidRPr="001D2835" w:rsidRDefault="002F164D" w:rsidP="0085767D">
      <w:pPr>
        <w:pStyle w:val="FootnoteText"/>
        <w:jc w:val="both"/>
        <w:rPr>
          <w:rFonts w:asciiTheme="minorHAnsi" w:hAnsiTheme="minorHAnsi"/>
          <w:sz w:val="18"/>
          <w:szCs w:val="18"/>
        </w:rPr>
      </w:pPr>
    </w:p>
  </w:footnote>
  <w:footnote w:id="89">
    <w:p w:rsidR="00EF242D" w:rsidRPr="00895419" w:rsidRDefault="00EF242D">
      <w:pPr>
        <w:pStyle w:val="FootnoteText"/>
        <w:rPr>
          <w:rFonts w:asciiTheme="minorHAnsi" w:hAnsiTheme="minorHAnsi"/>
          <w:sz w:val="18"/>
          <w:szCs w:val="18"/>
        </w:rPr>
      </w:pPr>
      <w:r>
        <w:rPr>
          <w:rStyle w:val="FootnoteReference"/>
        </w:rPr>
        <w:footnoteRef/>
      </w:r>
      <w:r>
        <w:t xml:space="preserve"> </w:t>
      </w:r>
      <w:r w:rsidRPr="00895419">
        <w:rPr>
          <w:rFonts w:asciiTheme="minorHAnsi" w:hAnsiTheme="minorHAnsi"/>
          <w:sz w:val="18"/>
          <w:szCs w:val="18"/>
        </w:rPr>
        <w:t>Described as ‘</w:t>
      </w:r>
      <w:r w:rsidR="00895419">
        <w:rPr>
          <w:rFonts w:asciiTheme="minorHAnsi" w:hAnsiTheme="minorHAnsi"/>
          <w:sz w:val="18"/>
          <w:szCs w:val="18"/>
        </w:rPr>
        <w:t>m</w:t>
      </w:r>
      <w:r w:rsidRPr="00895419">
        <w:rPr>
          <w:rFonts w:asciiTheme="minorHAnsi" w:hAnsiTheme="minorHAnsi"/>
          <w:sz w:val="18"/>
          <w:szCs w:val="18"/>
        </w:rPr>
        <w:t>ild learning disabilities, atypical autism and hyperactivity disorder</w:t>
      </w:r>
      <w:r w:rsidR="00895419" w:rsidRPr="00895419">
        <w:rPr>
          <w:rFonts w:asciiTheme="minorHAnsi" w:hAnsiTheme="minorHAnsi"/>
          <w:sz w:val="18"/>
          <w:szCs w:val="18"/>
        </w:rPr>
        <w:t>’</w:t>
      </w:r>
      <w:r w:rsidRPr="00895419">
        <w:rPr>
          <w:rFonts w:asciiTheme="minorHAnsi" w:hAnsiTheme="minorHAnsi"/>
          <w:sz w:val="18"/>
          <w:szCs w:val="18"/>
        </w:rPr>
        <w:t>.</w:t>
      </w:r>
    </w:p>
    <w:p w:rsidR="00EF242D" w:rsidRDefault="00EF242D">
      <w:pPr>
        <w:pStyle w:val="FootnoteText"/>
      </w:pPr>
    </w:p>
  </w:footnote>
  <w:footnote w:id="90">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Ibid at [53]. See, similarly the case of </w:t>
      </w:r>
      <w:r w:rsidRPr="00CA169C">
        <w:rPr>
          <w:rFonts w:asciiTheme="minorHAnsi" w:hAnsiTheme="minorHAnsi"/>
          <w:i/>
          <w:color w:val="000000"/>
          <w:sz w:val="18"/>
          <w:szCs w:val="18"/>
          <w:lang w:eastAsia="en-GB"/>
        </w:rPr>
        <w:t>D Borough Council v AB</w:t>
      </w:r>
      <w:r w:rsidRPr="00CA169C">
        <w:rPr>
          <w:rFonts w:asciiTheme="minorHAnsi" w:hAnsiTheme="minorHAnsi"/>
          <w:color w:val="000000"/>
          <w:sz w:val="18"/>
          <w:szCs w:val="18"/>
          <w:lang w:eastAsia="en-GB"/>
        </w:rPr>
        <w:t xml:space="preserve"> [2011] EWCOP 101 where the court regarded the expert’s formulation of what Alan needed to ‘understand’ as wrong in requiring regard to the personality and characteristics of the other person with whom sexual relations were anticipated and also disagreed that further education of </w:t>
      </w:r>
      <w:r w:rsidRPr="00CA169C">
        <w:rPr>
          <w:rFonts w:asciiTheme="minorHAnsi" w:hAnsiTheme="minorHAnsi"/>
          <w:i/>
          <w:color w:val="000000"/>
          <w:sz w:val="18"/>
          <w:szCs w:val="18"/>
          <w:lang w:eastAsia="en-GB"/>
        </w:rPr>
        <w:t xml:space="preserve">AB </w:t>
      </w:r>
      <w:r w:rsidRPr="00CA169C">
        <w:rPr>
          <w:rFonts w:asciiTheme="minorHAnsi" w:hAnsiTheme="minorHAnsi"/>
          <w:color w:val="000000"/>
          <w:sz w:val="18"/>
          <w:szCs w:val="18"/>
          <w:lang w:eastAsia="en-GB"/>
        </w:rPr>
        <w:t xml:space="preserve">was a ‘bad idea’ as it would create unnecessary anxiety. The judge however ultimately agreed with the expert evidence that </w:t>
      </w:r>
      <w:r w:rsidRPr="00CA169C">
        <w:rPr>
          <w:rFonts w:asciiTheme="minorHAnsi" w:hAnsiTheme="minorHAnsi"/>
          <w:i/>
          <w:color w:val="000000"/>
          <w:sz w:val="18"/>
          <w:szCs w:val="18"/>
          <w:lang w:eastAsia="en-GB"/>
        </w:rPr>
        <w:t xml:space="preserve">AB </w:t>
      </w:r>
      <w:r w:rsidRPr="00CA169C">
        <w:rPr>
          <w:rFonts w:asciiTheme="minorHAnsi" w:hAnsiTheme="minorHAnsi"/>
          <w:color w:val="000000"/>
          <w:sz w:val="18"/>
          <w:szCs w:val="18"/>
          <w:lang w:eastAsia="en-GB"/>
        </w:rPr>
        <w:t>lacked capacity.</w:t>
      </w:r>
    </w:p>
    <w:p w:rsidR="002F164D" w:rsidRPr="001D2835" w:rsidRDefault="002F164D" w:rsidP="0085767D">
      <w:pPr>
        <w:pStyle w:val="FootnoteText"/>
        <w:jc w:val="both"/>
        <w:rPr>
          <w:rFonts w:asciiTheme="minorHAnsi" w:hAnsiTheme="minorHAnsi"/>
          <w:sz w:val="18"/>
          <w:szCs w:val="18"/>
        </w:rPr>
      </w:pPr>
    </w:p>
  </w:footnote>
  <w:footnote w:id="91">
    <w:p w:rsidR="002F164D" w:rsidRPr="001D2835" w:rsidRDefault="002F164D" w:rsidP="0085767D">
      <w:pPr>
        <w:pStyle w:val="FootnoteText"/>
        <w:jc w:val="both"/>
        <w:rPr>
          <w:rFonts w:asciiTheme="minorHAnsi" w:hAnsiTheme="minorHAnsi"/>
          <w:color w:val="000000"/>
          <w:sz w:val="18"/>
          <w:szCs w:val="18"/>
          <w:lang w:eastAsia="en-GB"/>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 xml:space="preserve">[2015] EWCOP 80. </w:t>
      </w:r>
    </w:p>
    <w:p w:rsidR="002F164D" w:rsidRPr="001D2835" w:rsidRDefault="002F164D" w:rsidP="0085767D">
      <w:pPr>
        <w:pStyle w:val="FootnoteText"/>
        <w:jc w:val="both"/>
        <w:rPr>
          <w:rFonts w:asciiTheme="minorHAnsi" w:hAnsiTheme="minorHAnsi"/>
          <w:sz w:val="18"/>
          <w:szCs w:val="18"/>
        </w:rPr>
      </w:pPr>
    </w:p>
  </w:footnote>
  <w:footnote w:id="92">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At [59].</w:t>
      </w:r>
    </w:p>
    <w:p w:rsidR="002F164D" w:rsidRPr="001D2835" w:rsidRDefault="002F164D" w:rsidP="0085767D">
      <w:pPr>
        <w:pStyle w:val="FootnoteText"/>
        <w:jc w:val="both"/>
        <w:rPr>
          <w:rFonts w:asciiTheme="minorHAnsi" w:hAnsiTheme="minorHAnsi"/>
          <w:sz w:val="18"/>
          <w:szCs w:val="18"/>
        </w:rPr>
      </w:pPr>
    </w:p>
  </w:footnote>
  <w:footnote w:id="93">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The role of the family is also vital in the case of </w:t>
      </w:r>
      <w:proofErr w:type="spellStart"/>
      <w:r w:rsidRPr="00CA169C">
        <w:rPr>
          <w:rFonts w:asciiTheme="minorHAnsi" w:hAnsiTheme="minorHAnsi"/>
          <w:i/>
          <w:sz w:val="18"/>
          <w:szCs w:val="18"/>
        </w:rPr>
        <w:t>Wandsworth</w:t>
      </w:r>
      <w:proofErr w:type="spellEnd"/>
      <w:r w:rsidRPr="00CA169C">
        <w:rPr>
          <w:rFonts w:asciiTheme="minorHAnsi" w:hAnsiTheme="minorHAnsi"/>
          <w:i/>
          <w:sz w:val="18"/>
          <w:szCs w:val="18"/>
        </w:rPr>
        <w:t xml:space="preserve"> v IA </w:t>
      </w:r>
      <w:r w:rsidRPr="00CA169C">
        <w:rPr>
          <w:rFonts w:asciiTheme="minorHAnsi" w:hAnsiTheme="minorHAnsi"/>
          <w:sz w:val="18"/>
          <w:szCs w:val="18"/>
        </w:rPr>
        <w:t>discussed above.</w:t>
      </w:r>
    </w:p>
    <w:p w:rsidR="002F164D" w:rsidRPr="001D2835" w:rsidRDefault="002F164D" w:rsidP="0085767D">
      <w:pPr>
        <w:pStyle w:val="FootnoteText"/>
        <w:jc w:val="both"/>
        <w:rPr>
          <w:rFonts w:asciiTheme="minorHAnsi" w:hAnsiTheme="minorHAnsi"/>
          <w:sz w:val="18"/>
          <w:szCs w:val="18"/>
        </w:rPr>
      </w:pPr>
    </w:p>
  </w:footnote>
  <w:footnote w:id="94">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[2015] EWCOP 80 at [93].</w:t>
      </w:r>
    </w:p>
    <w:p w:rsidR="002F164D" w:rsidRPr="001D2835" w:rsidRDefault="002F164D" w:rsidP="0085767D">
      <w:pPr>
        <w:pStyle w:val="FootnoteText"/>
        <w:jc w:val="both"/>
        <w:rPr>
          <w:rFonts w:asciiTheme="minorHAnsi" w:hAnsiTheme="minorHAnsi"/>
          <w:sz w:val="18"/>
          <w:szCs w:val="18"/>
        </w:rPr>
      </w:pPr>
    </w:p>
  </w:footnote>
  <w:footnote w:id="95">
    <w:p w:rsidR="002F164D" w:rsidRPr="001D2835" w:rsidRDefault="002F164D" w:rsidP="0085767D">
      <w:pPr>
        <w:pStyle w:val="FootnoteText"/>
        <w:jc w:val="both"/>
        <w:rPr>
          <w:rFonts w:asciiTheme="minorHAnsi" w:hAnsiTheme="minorHAnsi"/>
          <w:color w:val="000000"/>
          <w:sz w:val="18"/>
          <w:szCs w:val="18"/>
          <w:lang w:eastAsia="en-GB"/>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[2014] EWCOP 342.</w:t>
      </w:r>
    </w:p>
    <w:p w:rsidR="002F164D" w:rsidRPr="001D2835" w:rsidRDefault="002F164D" w:rsidP="0085767D">
      <w:pPr>
        <w:pStyle w:val="FootnoteText"/>
        <w:jc w:val="both"/>
        <w:rPr>
          <w:rFonts w:asciiTheme="minorHAnsi" w:hAnsiTheme="minorHAnsi"/>
          <w:sz w:val="18"/>
          <w:szCs w:val="18"/>
        </w:rPr>
      </w:pPr>
    </w:p>
  </w:footnote>
  <w:footnote w:id="96">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Ibid at [27]-[28] – emphasis added.</w:t>
      </w:r>
    </w:p>
    <w:p w:rsidR="002F164D" w:rsidRPr="001D2835" w:rsidRDefault="002F164D" w:rsidP="0085767D">
      <w:pPr>
        <w:pStyle w:val="FootnoteText"/>
        <w:jc w:val="both"/>
        <w:rPr>
          <w:rFonts w:asciiTheme="minorHAnsi" w:hAnsiTheme="minorHAnsi"/>
          <w:sz w:val="18"/>
          <w:szCs w:val="18"/>
        </w:rPr>
      </w:pPr>
    </w:p>
  </w:footnote>
  <w:footnote w:id="97">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Ibid at [28].</w:t>
      </w:r>
    </w:p>
    <w:p w:rsidR="002F164D" w:rsidRPr="001D2835" w:rsidRDefault="002F164D" w:rsidP="0085767D">
      <w:pPr>
        <w:pStyle w:val="FootnoteText"/>
        <w:jc w:val="both"/>
        <w:rPr>
          <w:rFonts w:asciiTheme="minorHAnsi" w:hAnsiTheme="minorHAnsi"/>
          <w:sz w:val="18"/>
          <w:szCs w:val="18"/>
        </w:rPr>
      </w:pPr>
    </w:p>
  </w:footnote>
  <w:footnote w:id="98">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Ibid at [28].</w:t>
      </w:r>
    </w:p>
    <w:p w:rsidR="002F164D" w:rsidRPr="001D2835" w:rsidRDefault="002F164D" w:rsidP="0085767D">
      <w:pPr>
        <w:pStyle w:val="FootnoteText"/>
        <w:jc w:val="both"/>
        <w:rPr>
          <w:rFonts w:asciiTheme="minorHAnsi" w:hAnsiTheme="minorHAnsi"/>
          <w:sz w:val="18"/>
          <w:szCs w:val="18"/>
        </w:rPr>
      </w:pPr>
    </w:p>
  </w:footnote>
  <w:footnote w:id="99">
    <w:p w:rsidR="002F164D" w:rsidRPr="001D2835" w:rsidRDefault="002F164D" w:rsidP="0085767D">
      <w:pPr>
        <w:pStyle w:val="FootnoteText"/>
        <w:jc w:val="both"/>
        <w:rPr>
          <w:rFonts w:asciiTheme="minorHAnsi" w:hAnsiTheme="minorHAnsi"/>
          <w:color w:val="000000"/>
          <w:sz w:val="18"/>
          <w:szCs w:val="18"/>
          <w:lang w:eastAsia="en-GB"/>
        </w:rPr>
      </w:pPr>
      <w:r>
        <w:rPr>
          <w:rStyle w:val="FootnoteReference"/>
          <w:rFonts w:asciiTheme="minorHAnsi" w:hAnsiTheme="minorHAnsi"/>
          <w:sz w:val="18"/>
          <w:szCs w:val="18"/>
        </w:rPr>
        <w:footnoteRef/>
      </w:r>
      <w:r w:rsidRPr="00CA169C">
        <w:rPr>
          <w:rFonts w:asciiTheme="minorHAnsi" w:hAnsiTheme="minorHAnsi"/>
          <w:sz w:val="18"/>
          <w:szCs w:val="18"/>
        </w:rPr>
        <w:t xml:space="preserve"> Ibid </w:t>
      </w:r>
      <w:r w:rsidRPr="00CA169C">
        <w:rPr>
          <w:rFonts w:asciiTheme="minorHAnsi" w:hAnsiTheme="minorHAnsi"/>
          <w:color w:val="000000"/>
          <w:sz w:val="18"/>
          <w:szCs w:val="18"/>
          <w:lang w:eastAsia="en-GB"/>
        </w:rPr>
        <w:t>at [39]-[40].</w:t>
      </w:r>
    </w:p>
    <w:p w:rsidR="002F164D" w:rsidRPr="001D2835" w:rsidRDefault="002F164D" w:rsidP="0085767D">
      <w:pPr>
        <w:pStyle w:val="FootnoteText"/>
        <w:jc w:val="both"/>
        <w:rPr>
          <w:rFonts w:asciiTheme="minorHAnsi" w:hAnsiTheme="minorHAnsi"/>
          <w:sz w:val="18"/>
          <w:szCs w:val="18"/>
        </w:rPr>
      </w:pPr>
    </w:p>
  </w:footnote>
  <w:footnote w:id="100">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E.g.</w:t>
      </w:r>
      <w:r>
        <w:rPr>
          <w:rFonts w:asciiTheme="minorHAnsi" w:hAnsiTheme="minorHAnsi"/>
          <w:sz w:val="18"/>
          <w:szCs w:val="18"/>
        </w:rPr>
        <w:t xml:space="preserve"> </w:t>
      </w:r>
      <w:r w:rsidRPr="00CA169C">
        <w:rPr>
          <w:rFonts w:asciiTheme="minorHAnsi" w:hAnsiTheme="minorHAnsi"/>
          <w:i/>
          <w:color w:val="000000"/>
          <w:sz w:val="18"/>
          <w:szCs w:val="18"/>
          <w:lang w:eastAsia="en-GB"/>
        </w:rPr>
        <w:t>A Local Authority v AK</w:t>
      </w:r>
      <w:r w:rsidRPr="00CA169C">
        <w:rPr>
          <w:rFonts w:asciiTheme="minorHAnsi" w:hAnsiTheme="minorHAnsi"/>
          <w:color w:val="000000"/>
          <w:sz w:val="18"/>
          <w:szCs w:val="18"/>
          <w:lang w:eastAsia="en-GB"/>
        </w:rPr>
        <w:t xml:space="preserve"> [2012] EWCOP B29 agreeing with the evidence of Dr R, Dr Q, Dr T and Dr S’s report that there was a 30 per cent chance that AK had capacity to marry (as compared with Dr S’s earlier report that he thought AK did have capacity on this matter: ‘on the totality of the medical evidence….I am completely satisfied that…AK did not have capacity freely to decide’ at [51]; </w:t>
      </w:r>
      <w:r w:rsidRPr="00CA169C">
        <w:rPr>
          <w:rFonts w:asciiTheme="minorHAnsi" w:hAnsiTheme="minorHAnsi"/>
          <w:i/>
          <w:color w:val="000000"/>
          <w:sz w:val="18"/>
          <w:szCs w:val="18"/>
          <w:lang w:eastAsia="en-GB"/>
        </w:rPr>
        <w:t>London Borough of Islington v QR</w:t>
      </w:r>
      <w:r w:rsidRPr="00CA169C">
        <w:rPr>
          <w:rFonts w:asciiTheme="minorHAnsi" w:hAnsiTheme="minorHAnsi"/>
          <w:color w:val="000000"/>
          <w:sz w:val="18"/>
          <w:szCs w:val="18"/>
          <w:lang w:eastAsia="en-GB"/>
        </w:rPr>
        <w:t xml:space="preserve"> [2014] EWCOP 26 (preferring the evidence of Dr </w:t>
      </w:r>
      <w:proofErr w:type="spellStart"/>
      <w:r w:rsidRPr="00CA169C">
        <w:rPr>
          <w:rFonts w:asciiTheme="minorHAnsi" w:hAnsiTheme="minorHAnsi"/>
          <w:color w:val="000000"/>
          <w:sz w:val="18"/>
          <w:szCs w:val="18"/>
          <w:lang w:eastAsia="en-GB"/>
        </w:rPr>
        <w:t>Killaspy</w:t>
      </w:r>
      <w:proofErr w:type="spellEnd"/>
      <w:r w:rsidRPr="00CA169C">
        <w:rPr>
          <w:rFonts w:asciiTheme="minorHAnsi" w:hAnsiTheme="minorHAnsi"/>
          <w:color w:val="000000"/>
          <w:sz w:val="18"/>
          <w:szCs w:val="18"/>
          <w:lang w:eastAsia="en-GB"/>
        </w:rPr>
        <w:t xml:space="preserve"> and Dr </w:t>
      </w:r>
      <w:proofErr w:type="spellStart"/>
      <w:r w:rsidRPr="00CA169C">
        <w:rPr>
          <w:rFonts w:asciiTheme="minorHAnsi" w:hAnsiTheme="minorHAnsi"/>
          <w:color w:val="000000"/>
          <w:sz w:val="18"/>
          <w:szCs w:val="18"/>
          <w:lang w:eastAsia="en-GB"/>
        </w:rPr>
        <w:t>Kingett</w:t>
      </w:r>
      <w:proofErr w:type="spellEnd"/>
      <w:r w:rsidRPr="00CA169C">
        <w:rPr>
          <w:rFonts w:asciiTheme="minorHAnsi" w:hAnsiTheme="minorHAnsi"/>
          <w:color w:val="000000"/>
          <w:sz w:val="18"/>
          <w:szCs w:val="18"/>
          <w:lang w:eastAsia="en-GB"/>
        </w:rPr>
        <w:t xml:space="preserve"> over that of Dr </w:t>
      </w:r>
      <w:proofErr w:type="spellStart"/>
      <w:r w:rsidRPr="00CA169C">
        <w:rPr>
          <w:rFonts w:asciiTheme="minorHAnsi" w:hAnsiTheme="minorHAnsi"/>
          <w:color w:val="000000"/>
          <w:sz w:val="18"/>
          <w:szCs w:val="18"/>
          <w:lang w:eastAsia="en-GB"/>
        </w:rPr>
        <w:t>Akuenza</w:t>
      </w:r>
      <w:proofErr w:type="spellEnd"/>
      <w:r w:rsidRPr="00CA169C">
        <w:rPr>
          <w:rFonts w:asciiTheme="minorHAnsi" w:hAnsiTheme="minorHAnsi"/>
          <w:color w:val="000000"/>
          <w:sz w:val="18"/>
          <w:szCs w:val="18"/>
          <w:lang w:eastAsia="en-GB"/>
        </w:rPr>
        <w:t>. ‘Lack of insight’ plays a crucial part in the expert evidence in this case but the evidence does not clarify where ‘insight’ maps onto the statutory criteria. See **** self identifying reference****)</w:t>
      </w:r>
      <w:r w:rsidRPr="00CA169C">
        <w:rPr>
          <w:rFonts w:asciiTheme="minorHAnsi" w:hAnsiTheme="minorHAnsi"/>
          <w:sz w:val="18"/>
          <w:szCs w:val="18"/>
        </w:rPr>
        <w:t>.</w:t>
      </w:r>
    </w:p>
    <w:p w:rsidR="002F164D" w:rsidRPr="001D2835" w:rsidRDefault="002F164D" w:rsidP="0085767D">
      <w:pPr>
        <w:pStyle w:val="FootnoteText"/>
        <w:jc w:val="both"/>
        <w:rPr>
          <w:rFonts w:asciiTheme="minorHAnsi" w:hAnsiTheme="minorHAnsi"/>
          <w:sz w:val="18"/>
          <w:szCs w:val="18"/>
        </w:rPr>
      </w:pPr>
    </w:p>
  </w:footnote>
  <w:footnote w:id="101">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The court is rarely openly critical of the expert – for a very rare example in these cases see </w:t>
      </w:r>
      <w:r w:rsidRPr="00CA169C">
        <w:rPr>
          <w:rFonts w:asciiTheme="minorHAnsi" w:hAnsiTheme="minorHAnsi"/>
          <w:i/>
          <w:sz w:val="18"/>
          <w:szCs w:val="18"/>
        </w:rPr>
        <w:t>Re PB</w:t>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[2014] EWCOP 14</w:t>
      </w:r>
      <w:r w:rsidRPr="00CA169C">
        <w:rPr>
          <w:rFonts w:asciiTheme="minorHAnsi" w:hAnsiTheme="minorHAnsi"/>
          <w:sz w:val="18"/>
          <w:szCs w:val="18"/>
        </w:rPr>
        <w:t xml:space="preserve">: ‘The judge remarked that the expert’s </w:t>
      </w:r>
      <w:r w:rsidRPr="00CA169C">
        <w:rPr>
          <w:rFonts w:asciiTheme="minorHAnsi" w:hAnsiTheme="minorHAnsi"/>
          <w:color w:val="000000"/>
          <w:sz w:val="18"/>
          <w:szCs w:val="18"/>
          <w:lang w:eastAsia="en-GB"/>
        </w:rPr>
        <w:t xml:space="preserve">evidence was ‘speculative, approached more as a philosophical or academic debate than </w:t>
      </w:r>
      <w:proofErr w:type="gramStart"/>
      <w:r w:rsidRPr="00CA169C">
        <w:rPr>
          <w:rFonts w:asciiTheme="minorHAnsi" w:hAnsiTheme="minorHAnsi"/>
          <w:color w:val="000000"/>
          <w:sz w:val="18"/>
          <w:szCs w:val="18"/>
          <w:lang w:eastAsia="en-GB"/>
        </w:rPr>
        <w:t>an</w:t>
      </w:r>
      <w:proofErr w:type="gramEnd"/>
      <w:r w:rsidRPr="00CA169C">
        <w:rPr>
          <w:rFonts w:asciiTheme="minorHAnsi" w:hAnsiTheme="minorHAnsi"/>
          <w:color w:val="000000"/>
          <w:sz w:val="18"/>
          <w:szCs w:val="18"/>
          <w:lang w:eastAsia="en-GB"/>
        </w:rPr>
        <w:t xml:space="preserve"> opinion. …he was reluctant himself to factor a consistent body of information from reliable sources as to PB's thought processes. His emphasis on PB's sophisticated, dextrous use of language, which was not in dispute, caused him to lose focus on the issue of using and weighing the information and…. took the individual elements but did not put them together’ at [79]. </w:t>
      </w:r>
    </w:p>
    <w:p w:rsidR="002F164D" w:rsidRPr="001D2835" w:rsidRDefault="002F164D" w:rsidP="0085767D">
      <w:pPr>
        <w:pStyle w:val="FootnoteText"/>
        <w:jc w:val="both"/>
        <w:rPr>
          <w:rFonts w:asciiTheme="minorHAnsi" w:hAnsiTheme="minorHAnsi"/>
          <w:sz w:val="18"/>
          <w:szCs w:val="18"/>
        </w:rPr>
      </w:pPr>
    </w:p>
  </w:footnote>
  <w:footnote w:id="102">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sz w:val="18"/>
          <w:szCs w:val="18"/>
          <w:lang w:eastAsia="en-GB"/>
        </w:rPr>
        <w:t>[2011] EWCOP 1704 a</w:t>
      </w:r>
      <w:r w:rsidRPr="00CA169C">
        <w:rPr>
          <w:rFonts w:asciiTheme="minorHAnsi" w:hAnsiTheme="minorHAnsi"/>
          <w:sz w:val="18"/>
          <w:szCs w:val="18"/>
        </w:rPr>
        <w:t>t [56].</w:t>
      </w:r>
    </w:p>
    <w:p w:rsidR="002F164D" w:rsidRPr="001D2835" w:rsidRDefault="002F164D" w:rsidP="0085767D">
      <w:pPr>
        <w:pStyle w:val="FootnoteText"/>
        <w:jc w:val="both"/>
        <w:rPr>
          <w:rFonts w:asciiTheme="minorHAnsi" w:hAnsiTheme="minorHAnsi"/>
          <w:sz w:val="18"/>
          <w:szCs w:val="18"/>
        </w:rPr>
      </w:pPr>
    </w:p>
  </w:footnote>
  <w:footnote w:id="103">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[2010] EWCOP 1549.</w:t>
      </w:r>
    </w:p>
    <w:p w:rsidR="002F164D" w:rsidRPr="001D2835" w:rsidRDefault="002F164D" w:rsidP="0085767D">
      <w:pPr>
        <w:pStyle w:val="FootnoteText"/>
        <w:jc w:val="both"/>
        <w:rPr>
          <w:rFonts w:asciiTheme="minorHAnsi" w:hAnsiTheme="minorHAnsi"/>
          <w:sz w:val="18"/>
          <w:szCs w:val="18"/>
        </w:rPr>
      </w:pPr>
    </w:p>
  </w:footnote>
  <w:footnote w:id="104">
    <w:p w:rsidR="002F164D" w:rsidRDefault="002F164D" w:rsidP="009D3774">
      <w:pPr>
        <w:pStyle w:val="FootnoteText"/>
        <w:jc w:val="both"/>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See above at n.2</w:t>
      </w:r>
      <w:r w:rsidRPr="00CA169C">
        <w:rPr>
          <w:rFonts w:asciiTheme="minorHAnsi" w:hAnsiTheme="minorHAnsi"/>
          <w:sz w:val="18"/>
          <w:szCs w:val="18"/>
        </w:rPr>
        <w:t>.</w:t>
      </w:r>
    </w:p>
    <w:p w:rsidR="002F164D" w:rsidRPr="001D2835" w:rsidRDefault="002F164D" w:rsidP="009D3774">
      <w:pPr>
        <w:pStyle w:val="FootnoteText"/>
        <w:jc w:val="both"/>
        <w:rPr>
          <w:rFonts w:asciiTheme="minorHAnsi" w:hAnsiTheme="minorHAnsi"/>
          <w:sz w:val="18"/>
          <w:szCs w:val="18"/>
        </w:rPr>
      </w:pPr>
    </w:p>
  </w:footnote>
  <w:footnote w:id="105">
    <w:p w:rsidR="002F164D" w:rsidRPr="001D2835" w:rsidRDefault="002F164D" w:rsidP="00595135">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K. </w:t>
      </w:r>
      <w:proofErr w:type="spellStart"/>
      <w:r w:rsidRPr="00CA169C">
        <w:rPr>
          <w:rFonts w:asciiTheme="minorHAnsi" w:hAnsiTheme="minorHAnsi"/>
          <w:sz w:val="18"/>
          <w:szCs w:val="18"/>
        </w:rPr>
        <w:t>Veitch</w:t>
      </w:r>
      <w:proofErr w:type="spellEnd"/>
      <w:r w:rsidRPr="00CA169C">
        <w:rPr>
          <w:rFonts w:asciiTheme="minorHAnsi" w:hAnsiTheme="minorHAnsi"/>
          <w:sz w:val="18"/>
          <w:szCs w:val="18"/>
        </w:rPr>
        <w:t>, ‘</w:t>
      </w:r>
      <w:proofErr w:type="spellStart"/>
      <w:r w:rsidRPr="00CA169C">
        <w:rPr>
          <w:rFonts w:asciiTheme="minorHAnsi" w:hAnsiTheme="minorHAnsi"/>
          <w:sz w:val="18"/>
          <w:szCs w:val="18"/>
        </w:rPr>
        <w:t>Juridification</w:t>
      </w:r>
      <w:proofErr w:type="spellEnd"/>
      <w:r w:rsidRPr="00CA169C">
        <w:rPr>
          <w:rFonts w:asciiTheme="minorHAnsi" w:hAnsiTheme="minorHAnsi"/>
          <w:sz w:val="18"/>
          <w:szCs w:val="18"/>
        </w:rPr>
        <w:t xml:space="preserve">, </w:t>
      </w:r>
      <w:proofErr w:type="spellStart"/>
      <w:r w:rsidRPr="00CA169C">
        <w:rPr>
          <w:rFonts w:asciiTheme="minorHAnsi" w:hAnsiTheme="minorHAnsi"/>
          <w:sz w:val="18"/>
          <w:szCs w:val="18"/>
        </w:rPr>
        <w:t>Medicalisation</w:t>
      </w:r>
      <w:proofErr w:type="spellEnd"/>
      <w:r w:rsidRPr="00CA169C">
        <w:rPr>
          <w:rFonts w:asciiTheme="minorHAnsi" w:hAnsiTheme="minorHAnsi"/>
          <w:sz w:val="18"/>
          <w:szCs w:val="18"/>
        </w:rPr>
        <w:t xml:space="preserve"> and the Impact of EU Law: Patient Mobility and the Allocation of Scarce NHS Resources.’ (2012) 20 Med L R 362 at 365.</w:t>
      </w:r>
    </w:p>
    <w:p w:rsidR="002F164D" w:rsidRPr="001D2835" w:rsidRDefault="002F164D" w:rsidP="00595135">
      <w:pPr>
        <w:pStyle w:val="FootnoteText"/>
        <w:jc w:val="both"/>
        <w:rPr>
          <w:rFonts w:asciiTheme="minorHAnsi" w:hAnsiTheme="minorHAnsi"/>
          <w:sz w:val="18"/>
          <w:szCs w:val="18"/>
        </w:rPr>
      </w:pPr>
    </w:p>
  </w:footnote>
  <w:footnote w:id="106">
    <w:p w:rsidR="002F164D" w:rsidRPr="001D2835" w:rsidRDefault="002F164D" w:rsidP="00595135">
      <w:pPr>
        <w:jc w:val="both"/>
        <w:rPr>
          <w:sz w:val="18"/>
          <w:szCs w:val="18"/>
        </w:rPr>
      </w:pPr>
      <w:r>
        <w:rPr>
          <w:rStyle w:val="FootnoteReference"/>
          <w:sz w:val="18"/>
          <w:szCs w:val="18"/>
        </w:rPr>
        <w:footnoteRef/>
      </w:r>
      <w:r w:rsidRPr="00CA169C">
        <w:rPr>
          <w:sz w:val="18"/>
          <w:szCs w:val="18"/>
        </w:rPr>
        <w:t xml:space="preserve"> P. Conrad, ‘</w:t>
      </w:r>
      <w:proofErr w:type="spellStart"/>
      <w:r w:rsidRPr="00CA169C">
        <w:rPr>
          <w:sz w:val="18"/>
          <w:szCs w:val="18"/>
        </w:rPr>
        <w:t>Medicalization</w:t>
      </w:r>
      <w:proofErr w:type="spellEnd"/>
      <w:r w:rsidRPr="00CA169C">
        <w:rPr>
          <w:sz w:val="18"/>
          <w:szCs w:val="18"/>
        </w:rPr>
        <w:t xml:space="preserve">: Changing Contours, Characteristics and Contexts’ in W. </w:t>
      </w:r>
      <w:proofErr w:type="spellStart"/>
      <w:r w:rsidRPr="00CA169C">
        <w:rPr>
          <w:sz w:val="18"/>
          <w:szCs w:val="18"/>
        </w:rPr>
        <w:t>Cockerham</w:t>
      </w:r>
      <w:proofErr w:type="spellEnd"/>
      <w:r w:rsidRPr="00CA169C">
        <w:rPr>
          <w:sz w:val="18"/>
          <w:szCs w:val="18"/>
        </w:rPr>
        <w:t xml:space="preserve"> (</w:t>
      </w:r>
      <w:proofErr w:type="spellStart"/>
      <w:r w:rsidRPr="00CA169C">
        <w:rPr>
          <w:sz w:val="18"/>
          <w:szCs w:val="18"/>
        </w:rPr>
        <w:t>Eds</w:t>
      </w:r>
      <w:proofErr w:type="spellEnd"/>
      <w:r w:rsidRPr="00CA169C">
        <w:rPr>
          <w:sz w:val="18"/>
          <w:szCs w:val="18"/>
        </w:rPr>
        <w:t xml:space="preserve">), </w:t>
      </w:r>
      <w:r w:rsidRPr="00CA169C">
        <w:rPr>
          <w:i/>
          <w:sz w:val="18"/>
          <w:szCs w:val="18"/>
        </w:rPr>
        <w:t xml:space="preserve">Medical Sociology on the Move </w:t>
      </w:r>
      <w:r w:rsidRPr="00CA169C">
        <w:rPr>
          <w:sz w:val="18"/>
          <w:szCs w:val="18"/>
        </w:rPr>
        <w:t xml:space="preserve">(Springer, 2013) 195 to 214 at 195. </w:t>
      </w:r>
    </w:p>
  </w:footnote>
  <w:footnote w:id="107">
    <w:p w:rsidR="002F164D" w:rsidRPr="001D2835" w:rsidRDefault="002F164D" w:rsidP="00595135">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K. </w:t>
      </w:r>
      <w:proofErr w:type="spellStart"/>
      <w:r w:rsidRPr="00CA169C">
        <w:rPr>
          <w:rFonts w:asciiTheme="minorHAnsi" w:hAnsiTheme="minorHAnsi"/>
          <w:sz w:val="18"/>
          <w:szCs w:val="18"/>
        </w:rPr>
        <w:t>Veitch</w:t>
      </w:r>
      <w:proofErr w:type="spellEnd"/>
      <w:r w:rsidRPr="00CA169C">
        <w:rPr>
          <w:rFonts w:asciiTheme="minorHAnsi" w:hAnsiTheme="minorHAnsi"/>
          <w:sz w:val="18"/>
          <w:szCs w:val="18"/>
        </w:rPr>
        <w:t>, above n.</w:t>
      </w:r>
      <w:r>
        <w:rPr>
          <w:rFonts w:asciiTheme="minorHAnsi" w:hAnsiTheme="minorHAnsi"/>
          <w:sz w:val="18"/>
          <w:szCs w:val="18"/>
        </w:rPr>
        <w:t>10</w:t>
      </w:r>
      <w:r w:rsidR="00C869BF">
        <w:rPr>
          <w:rFonts w:asciiTheme="minorHAnsi" w:hAnsiTheme="minorHAnsi"/>
          <w:sz w:val="18"/>
          <w:szCs w:val="18"/>
        </w:rPr>
        <w:t>5</w:t>
      </w:r>
      <w:r w:rsidRPr="00CA169C">
        <w:rPr>
          <w:rFonts w:asciiTheme="minorHAnsi" w:hAnsiTheme="minorHAnsi"/>
          <w:sz w:val="18"/>
          <w:szCs w:val="18"/>
        </w:rPr>
        <w:t xml:space="preserve"> at 370. </w:t>
      </w:r>
    </w:p>
    <w:p w:rsidR="002F164D" w:rsidRPr="001D2835" w:rsidRDefault="002F164D" w:rsidP="00595135">
      <w:pPr>
        <w:pStyle w:val="FootnoteText"/>
        <w:jc w:val="both"/>
        <w:rPr>
          <w:rFonts w:asciiTheme="minorHAnsi" w:hAnsiTheme="minorHAnsi"/>
          <w:sz w:val="18"/>
          <w:szCs w:val="18"/>
        </w:rPr>
      </w:pPr>
    </w:p>
  </w:footnote>
  <w:footnote w:id="108">
    <w:p w:rsidR="002F164D" w:rsidRPr="001D2835" w:rsidRDefault="002F164D" w:rsidP="009D3774">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Most famously I. </w:t>
      </w:r>
      <w:proofErr w:type="spellStart"/>
      <w:r w:rsidRPr="00CA169C">
        <w:rPr>
          <w:rFonts w:asciiTheme="minorHAnsi" w:hAnsiTheme="minorHAnsi"/>
          <w:sz w:val="18"/>
          <w:szCs w:val="18"/>
        </w:rPr>
        <w:t>Illich</w:t>
      </w:r>
      <w:proofErr w:type="spellEnd"/>
      <w:r w:rsidRPr="00CA169C">
        <w:rPr>
          <w:rFonts w:asciiTheme="minorHAnsi" w:hAnsiTheme="minorHAnsi"/>
          <w:sz w:val="18"/>
          <w:szCs w:val="18"/>
        </w:rPr>
        <w:t xml:space="preserve">, </w:t>
      </w:r>
      <w:r w:rsidRPr="00CA169C">
        <w:rPr>
          <w:rFonts w:asciiTheme="minorHAnsi" w:hAnsiTheme="minorHAnsi"/>
          <w:i/>
          <w:sz w:val="18"/>
          <w:szCs w:val="18"/>
        </w:rPr>
        <w:t xml:space="preserve">Limits to Medicine. </w:t>
      </w:r>
      <w:r w:rsidRPr="00CA169C">
        <w:rPr>
          <w:rFonts w:asciiTheme="minorHAnsi" w:hAnsiTheme="minorHAnsi"/>
          <w:sz w:val="18"/>
          <w:szCs w:val="18"/>
        </w:rPr>
        <w:t xml:space="preserve">(Penguin, 1977) and I. Zola, </w:t>
      </w:r>
      <w:r w:rsidRPr="00CA169C">
        <w:rPr>
          <w:rFonts w:asciiTheme="minorHAnsi" w:hAnsiTheme="minorHAnsi"/>
          <w:color w:val="000000" w:themeColor="text1"/>
          <w:sz w:val="18"/>
          <w:szCs w:val="18"/>
        </w:rPr>
        <w:t xml:space="preserve">Medicine as an instrument of social control.’ (1972) 20 </w:t>
      </w:r>
      <w:r w:rsidRPr="00CA169C">
        <w:rPr>
          <w:rFonts w:asciiTheme="minorHAnsi" w:hAnsiTheme="minorHAnsi"/>
          <w:i/>
          <w:color w:val="000000" w:themeColor="text1"/>
          <w:sz w:val="18"/>
          <w:szCs w:val="18"/>
        </w:rPr>
        <w:t xml:space="preserve">Sociological Review </w:t>
      </w:r>
      <w:r w:rsidRPr="00CA169C">
        <w:rPr>
          <w:rFonts w:asciiTheme="minorHAnsi" w:hAnsiTheme="minorHAnsi"/>
          <w:color w:val="000000" w:themeColor="text1"/>
          <w:sz w:val="18"/>
          <w:szCs w:val="18"/>
        </w:rPr>
        <w:t>487</w:t>
      </w:r>
      <w:r w:rsidRPr="00CA169C">
        <w:rPr>
          <w:rFonts w:asciiTheme="minorHAnsi" w:hAnsiTheme="minorHAnsi"/>
          <w:sz w:val="18"/>
          <w:szCs w:val="18"/>
        </w:rPr>
        <w:t xml:space="preserve"> (1983) at 295.</w:t>
      </w:r>
    </w:p>
    <w:p w:rsidR="002F164D" w:rsidRPr="001D2835" w:rsidRDefault="002F164D" w:rsidP="009D3774">
      <w:pPr>
        <w:pStyle w:val="FootnoteText"/>
        <w:rPr>
          <w:rFonts w:asciiTheme="minorHAnsi" w:hAnsiTheme="minorHAnsi"/>
          <w:sz w:val="18"/>
          <w:szCs w:val="18"/>
        </w:rPr>
      </w:pPr>
    </w:p>
  </w:footnote>
  <w:footnote w:id="109">
    <w:p w:rsidR="002F164D" w:rsidRPr="001D2835" w:rsidRDefault="002F164D" w:rsidP="009D3774">
      <w:pPr>
        <w:pStyle w:val="FootnoteText"/>
        <w:jc w:val="both"/>
        <w:rPr>
          <w:rFonts w:asciiTheme="minorHAnsi" w:hAnsiTheme="minorHAnsi"/>
          <w: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P. Conrad, ‘</w:t>
      </w:r>
      <w:proofErr w:type="spellStart"/>
      <w:r w:rsidRPr="00CA169C">
        <w:rPr>
          <w:rFonts w:asciiTheme="minorHAnsi" w:hAnsiTheme="minorHAnsi"/>
          <w:sz w:val="18"/>
          <w:szCs w:val="18"/>
        </w:rPr>
        <w:t>Medicalisation</w:t>
      </w:r>
      <w:proofErr w:type="spellEnd"/>
      <w:r w:rsidRPr="00CA169C">
        <w:rPr>
          <w:rFonts w:asciiTheme="minorHAnsi" w:hAnsiTheme="minorHAnsi"/>
          <w:sz w:val="18"/>
          <w:szCs w:val="18"/>
        </w:rPr>
        <w:t xml:space="preserve"> and Social Control.’ (1992) 18 </w:t>
      </w:r>
      <w:r w:rsidRPr="00CA169C">
        <w:rPr>
          <w:rFonts w:asciiTheme="minorHAnsi" w:hAnsiTheme="minorHAnsi"/>
          <w:i/>
          <w:sz w:val="18"/>
          <w:szCs w:val="18"/>
        </w:rPr>
        <w:t xml:space="preserve">Annual Review of Sociology </w:t>
      </w:r>
      <w:r w:rsidRPr="00CA169C">
        <w:rPr>
          <w:rFonts w:asciiTheme="minorHAnsi" w:hAnsiTheme="minorHAnsi"/>
          <w:sz w:val="18"/>
          <w:szCs w:val="18"/>
        </w:rPr>
        <w:t>209</w:t>
      </w:r>
      <w:r w:rsidRPr="00CA169C">
        <w:rPr>
          <w:rFonts w:asciiTheme="minorHAnsi" w:hAnsiTheme="minorHAnsi"/>
          <w:i/>
          <w:sz w:val="18"/>
          <w:szCs w:val="18"/>
        </w:rPr>
        <w:t xml:space="preserve">. </w:t>
      </w:r>
      <w:r w:rsidRPr="00CA169C">
        <w:rPr>
          <w:rFonts w:asciiTheme="minorHAnsi" w:hAnsiTheme="minorHAnsi"/>
          <w:sz w:val="18"/>
          <w:szCs w:val="18"/>
        </w:rPr>
        <w:t xml:space="preserve">This perhaps explains a recently expressed view that </w:t>
      </w:r>
      <w:proofErr w:type="spellStart"/>
      <w:r w:rsidRPr="00CA169C">
        <w:rPr>
          <w:rFonts w:asciiTheme="minorHAnsi" w:hAnsiTheme="minorHAnsi"/>
          <w:sz w:val="18"/>
          <w:szCs w:val="18"/>
        </w:rPr>
        <w:t>Illich</w:t>
      </w:r>
      <w:proofErr w:type="spellEnd"/>
      <w:r w:rsidRPr="00CA169C">
        <w:rPr>
          <w:rFonts w:asciiTheme="minorHAnsi" w:hAnsiTheme="minorHAnsi"/>
          <w:sz w:val="18"/>
          <w:szCs w:val="18"/>
        </w:rPr>
        <w:t xml:space="preserve"> and Zola’s work has been ‘neglected’ in modern texts – see J. Davis, ‘Ivan </w:t>
      </w:r>
      <w:proofErr w:type="spellStart"/>
      <w:r w:rsidRPr="00CA169C">
        <w:rPr>
          <w:rFonts w:asciiTheme="minorHAnsi" w:hAnsiTheme="minorHAnsi"/>
          <w:sz w:val="18"/>
          <w:szCs w:val="18"/>
        </w:rPr>
        <w:t>Illich</w:t>
      </w:r>
      <w:proofErr w:type="spellEnd"/>
      <w:r w:rsidRPr="00CA169C">
        <w:rPr>
          <w:rFonts w:asciiTheme="minorHAnsi" w:hAnsiTheme="minorHAnsi"/>
          <w:sz w:val="18"/>
          <w:szCs w:val="18"/>
        </w:rPr>
        <w:t xml:space="preserve"> and Irving Kenneth Zola: Disabling </w:t>
      </w:r>
      <w:proofErr w:type="spellStart"/>
      <w:r w:rsidRPr="00CA169C">
        <w:rPr>
          <w:rFonts w:asciiTheme="minorHAnsi" w:hAnsiTheme="minorHAnsi"/>
          <w:sz w:val="18"/>
          <w:szCs w:val="18"/>
        </w:rPr>
        <w:t>Medicalisation</w:t>
      </w:r>
      <w:proofErr w:type="spellEnd"/>
      <w:r w:rsidRPr="00CA169C">
        <w:rPr>
          <w:rFonts w:asciiTheme="minorHAnsi" w:hAnsiTheme="minorHAnsi"/>
          <w:sz w:val="18"/>
          <w:szCs w:val="18"/>
        </w:rPr>
        <w:t xml:space="preserve">’ in F. </w:t>
      </w:r>
      <w:proofErr w:type="spellStart"/>
      <w:r w:rsidRPr="00CA169C">
        <w:rPr>
          <w:rFonts w:asciiTheme="minorHAnsi" w:hAnsiTheme="minorHAnsi"/>
          <w:sz w:val="18"/>
          <w:szCs w:val="18"/>
        </w:rPr>
        <w:t>Collyer</w:t>
      </w:r>
      <w:proofErr w:type="spellEnd"/>
      <w:r w:rsidRPr="00CA169C">
        <w:rPr>
          <w:rFonts w:asciiTheme="minorHAnsi" w:hAnsiTheme="minorHAnsi"/>
          <w:sz w:val="18"/>
          <w:szCs w:val="18"/>
        </w:rPr>
        <w:t xml:space="preserve"> (</w:t>
      </w:r>
      <w:proofErr w:type="spellStart"/>
      <w:proofErr w:type="gramStart"/>
      <w:r w:rsidRPr="00CA169C">
        <w:rPr>
          <w:rFonts w:asciiTheme="minorHAnsi" w:hAnsiTheme="minorHAnsi"/>
          <w:sz w:val="18"/>
          <w:szCs w:val="18"/>
        </w:rPr>
        <w:t>ed</w:t>
      </w:r>
      <w:proofErr w:type="spellEnd"/>
      <w:proofErr w:type="gramEnd"/>
      <w:r w:rsidRPr="00CA169C">
        <w:rPr>
          <w:rFonts w:asciiTheme="minorHAnsi" w:hAnsiTheme="minorHAnsi"/>
          <w:sz w:val="18"/>
          <w:szCs w:val="18"/>
        </w:rPr>
        <w:t xml:space="preserve">) </w:t>
      </w:r>
      <w:r w:rsidRPr="00CA169C">
        <w:rPr>
          <w:rFonts w:asciiTheme="minorHAnsi" w:hAnsiTheme="minorHAnsi"/>
          <w:i/>
          <w:sz w:val="18"/>
          <w:szCs w:val="18"/>
        </w:rPr>
        <w:t>Palgrave Handbook of Social Theory in Health, Illness and Medicine</w:t>
      </w:r>
      <w:r w:rsidRPr="00CA169C">
        <w:rPr>
          <w:rFonts w:asciiTheme="minorHAnsi" w:hAnsiTheme="minorHAnsi"/>
          <w:sz w:val="18"/>
          <w:szCs w:val="18"/>
        </w:rPr>
        <w:t xml:space="preserve"> (Palgrave, 2015) at 306.</w:t>
      </w:r>
    </w:p>
    <w:p w:rsidR="002F164D" w:rsidRPr="00F10713" w:rsidRDefault="002F164D" w:rsidP="009D3774">
      <w:pPr>
        <w:pStyle w:val="FootnoteText"/>
        <w:jc w:val="both"/>
        <w:rPr>
          <w:rFonts w:asciiTheme="minorHAnsi" w:hAnsiTheme="minorHAnsi"/>
          <w:i/>
          <w:sz w:val="18"/>
          <w:szCs w:val="18"/>
        </w:rPr>
      </w:pPr>
    </w:p>
  </w:footnote>
  <w:footnote w:id="110">
    <w:p w:rsidR="002F164D" w:rsidRPr="001D2835" w:rsidRDefault="002F164D" w:rsidP="009D3774">
      <w:pPr>
        <w:jc w:val="both"/>
        <w:rPr>
          <w:sz w:val="18"/>
          <w:szCs w:val="18"/>
        </w:rPr>
      </w:pPr>
      <w:r w:rsidRPr="00F10713">
        <w:rPr>
          <w:rStyle w:val="FootnoteReference"/>
          <w:sz w:val="18"/>
          <w:szCs w:val="18"/>
        </w:rPr>
        <w:footnoteRef/>
      </w:r>
      <w:r w:rsidRPr="00F10713">
        <w:rPr>
          <w:sz w:val="18"/>
          <w:szCs w:val="18"/>
        </w:rPr>
        <w:t xml:space="preserve"> Others maintained its relevance to power structures, but disputed that it </w:t>
      </w:r>
      <w:r w:rsidRPr="00F10713">
        <w:rPr>
          <w:i/>
          <w:sz w:val="18"/>
          <w:szCs w:val="18"/>
        </w:rPr>
        <w:t>necessarily</w:t>
      </w:r>
      <w:r w:rsidRPr="00F10713">
        <w:rPr>
          <w:sz w:val="18"/>
          <w:szCs w:val="18"/>
        </w:rPr>
        <w:t xml:space="preserve"> channelled power towards medical establishments, viewing </w:t>
      </w:r>
      <w:proofErr w:type="spellStart"/>
      <w:r w:rsidRPr="00F10713">
        <w:rPr>
          <w:sz w:val="18"/>
          <w:szCs w:val="18"/>
        </w:rPr>
        <w:t>medicalisation</w:t>
      </w:r>
      <w:proofErr w:type="spellEnd"/>
      <w:r w:rsidRPr="00F10713">
        <w:rPr>
          <w:sz w:val="18"/>
          <w:szCs w:val="18"/>
        </w:rPr>
        <w:t xml:space="preserve"> as a process with the potential to either reinforce or disrupt existing power relations, e.g. </w:t>
      </w:r>
      <w:r w:rsidRPr="00CA169C">
        <w:rPr>
          <w:sz w:val="18"/>
          <w:szCs w:val="18"/>
        </w:rPr>
        <w:t xml:space="preserve">A. </w:t>
      </w:r>
      <w:proofErr w:type="spellStart"/>
      <w:r w:rsidRPr="00CA169C">
        <w:rPr>
          <w:sz w:val="18"/>
          <w:szCs w:val="18"/>
        </w:rPr>
        <w:t>Reiheld</w:t>
      </w:r>
      <w:proofErr w:type="spellEnd"/>
      <w:r w:rsidRPr="00CA169C">
        <w:rPr>
          <w:sz w:val="18"/>
          <w:szCs w:val="18"/>
        </w:rPr>
        <w:t xml:space="preserve">, ‘Patient Complains of...How </w:t>
      </w:r>
      <w:proofErr w:type="spellStart"/>
      <w:r w:rsidRPr="00CA169C">
        <w:rPr>
          <w:sz w:val="18"/>
          <w:szCs w:val="18"/>
        </w:rPr>
        <w:t>medicalisation</w:t>
      </w:r>
      <w:proofErr w:type="spellEnd"/>
      <w:r w:rsidRPr="00CA169C">
        <w:rPr>
          <w:sz w:val="18"/>
          <w:szCs w:val="18"/>
        </w:rPr>
        <w:t xml:space="preserve"> mediates power and justice’ </w:t>
      </w:r>
      <w:r w:rsidRPr="00CA169C">
        <w:rPr>
          <w:i/>
          <w:sz w:val="18"/>
          <w:szCs w:val="18"/>
        </w:rPr>
        <w:t xml:space="preserve">International </w:t>
      </w:r>
      <w:r w:rsidRPr="00CA169C">
        <w:rPr>
          <w:sz w:val="18"/>
          <w:szCs w:val="18"/>
        </w:rPr>
        <w:t xml:space="preserve">3(1) (2010) </w:t>
      </w:r>
      <w:r w:rsidRPr="00CA169C">
        <w:rPr>
          <w:i/>
          <w:sz w:val="18"/>
          <w:szCs w:val="18"/>
        </w:rPr>
        <w:t xml:space="preserve">Journal of Feminist Approaches to Bioethics. </w:t>
      </w:r>
      <w:r w:rsidRPr="00CA169C">
        <w:rPr>
          <w:sz w:val="18"/>
          <w:szCs w:val="18"/>
        </w:rPr>
        <w:t>72.</w:t>
      </w:r>
    </w:p>
  </w:footnote>
  <w:footnote w:id="111">
    <w:p w:rsidR="002F164D" w:rsidRPr="001D2835" w:rsidRDefault="002F164D" w:rsidP="009D3774">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Ibid </w:t>
      </w:r>
      <w:r>
        <w:rPr>
          <w:rFonts w:asciiTheme="minorHAnsi" w:hAnsiTheme="minorHAnsi"/>
          <w:sz w:val="18"/>
          <w:szCs w:val="18"/>
        </w:rPr>
        <w:t>n.105 at 211.</w:t>
      </w:r>
    </w:p>
    <w:p w:rsidR="002F164D" w:rsidRPr="001D2835" w:rsidRDefault="002F164D" w:rsidP="009D3774">
      <w:pPr>
        <w:pStyle w:val="FootnoteText"/>
        <w:jc w:val="both"/>
        <w:rPr>
          <w:rFonts w:asciiTheme="minorHAnsi" w:hAnsiTheme="minorHAnsi"/>
          <w:sz w:val="18"/>
          <w:szCs w:val="18"/>
        </w:rPr>
      </w:pPr>
    </w:p>
  </w:footnote>
  <w:footnote w:id="112">
    <w:p w:rsidR="002F164D" w:rsidRPr="001D2835" w:rsidRDefault="002F164D" w:rsidP="009D3774">
      <w:pPr>
        <w:jc w:val="both"/>
        <w:rPr>
          <w:i/>
          <w:sz w:val="18"/>
          <w:szCs w:val="18"/>
        </w:rPr>
      </w:pPr>
      <w:r>
        <w:rPr>
          <w:rStyle w:val="FootnoteReference"/>
          <w:sz w:val="18"/>
          <w:szCs w:val="18"/>
        </w:rPr>
        <w:footnoteRef/>
      </w:r>
      <w:r w:rsidRPr="00CA169C">
        <w:rPr>
          <w:sz w:val="18"/>
          <w:szCs w:val="18"/>
        </w:rPr>
        <w:t xml:space="preserve"> J. Davis, ‘How </w:t>
      </w:r>
      <w:proofErr w:type="spellStart"/>
      <w:r w:rsidRPr="00CA169C">
        <w:rPr>
          <w:sz w:val="18"/>
          <w:szCs w:val="18"/>
        </w:rPr>
        <w:t>medicalization</w:t>
      </w:r>
      <w:proofErr w:type="spellEnd"/>
      <w:r w:rsidRPr="00CA169C">
        <w:rPr>
          <w:sz w:val="18"/>
          <w:szCs w:val="18"/>
        </w:rPr>
        <w:t xml:space="preserve"> lost its way.’ (2006) 43(6) </w:t>
      </w:r>
      <w:r w:rsidRPr="00CA169C">
        <w:rPr>
          <w:i/>
          <w:sz w:val="18"/>
          <w:szCs w:val="18"/>
        </w:rPr>
        <w:t xml:space="preserve">Society </w:t>
      </w:r>
      <w:r w:rsidRPr="00CA169C">
        <w:rPr>
          <w:sz w:val="18"/>
          <w:szCs w:val="18"/>
        </w:rPr>
        <w:t>51.</w:t>
      </w:r>
    </w:p>
  </w:footnote>
  <w:footnote w:id="113">
    <w:p w:rsidR="002F164D" w:rsidRPr="001D2835" w:rsidRDefault="002F164D" w:rsidP="003B1BDD">
      <w:pPr>
        <w:pStyle w:val="Heading1"/>
        <w:shd w:val="clear" w:color="auto" w:fill="FFFFFF"/>
        <w:spacing w:before="136" w:beforeAutospacing="0" w:after="0" w:afterAutospacing="0"/>
        <w:jc w:val="both"/>
        <w:textAlignment w:val="baseline"/>
        <w:rPr>
          <w:rFonts w:asciiTheme="minorHAnsi" w:hAnsiTheme="minorHAnsi" w:cstheme="minorHAnsi"/>
          <w:b w:val="0"/>
          <w:color w:val="000000" w:themeColor="text1"/>
          <w:sz w:val="18"/>
          <w:szCs w:val="18"/>
        </w:rPr>
      </w:pPr>
      <w:r>
        <w:rPr>
          <w:rStyle w:val="FootnoteReference"/>
          <w:rFonts w:asciiTheme="minorHAnsi" w:hAnsiTheme="minorHAnsi"/>
          <w:b w:val="0"/>
          <w:sz w:val="18"/>
          <w:szCs w:val="18"/>
        </w:rPr>
        <w:footnoteRef/>
      </w:r>
      <w:r w:rsidRPr="00CA169C">
        <w:rPr>
          <w:rFonts w:asciiTheme="minorHAnsi" w:hAnsiTheme="minorHAnsi"/>
          <w:b w:val="0"/>
          <w:sz w:val="18"/>
          <w:szCs w:val="18"/>
        </w:rPr>
        <w:t xml:space="preserve"> </w:t>
      </w:r>
      <w:r>
        <w:rPr>
          <w:rFonts w:asciiTheme="minorHAnsi" w:hAnsiTheme="minorHAnsi"/>
          <w:b w:val="0"/>
          <w:sz w:val="18"/>
          <w:szCs w:val="18"/>
        </w:rPr>
        <w:t>N</w:t>
      </w:r>
      <w:r w:rsidRPr="001B7F13">
        <w:rPr>
          <w:rFonts w:asciiTheme="minorHAnsi" w:hAnsiTheme="minorHAnsi"/>
          <w:b w:val="0"/>
          <w:color w:val="000000" w:themeColor="text1"/>
          <w:sz w:val="18"/>
          <w:szCs w:val="18"/>
        </w:rPr>
        <w:t>otably prominent in the fields of abortion law and end of life decision making.</w:t>
      </w:r>
      <w:r>
        <w:rPr>
          <w:rFonts w:asciiTheme="minorHAnsi" w:hAnsiTheme="minorHAnsi"/>
          <w:b w:val="0"/>
          <w:sz w:val="18"/>
          <w:szCs w:val="18"/>
        </w:rPr>
        <w:t xml:space="preserve"> </w:t>
      </w:r>
      <w:r w:rsidRPr="00CA169C">
        <w:rPr>
          <w:rFonts w:asciiTheme="minorHAnsi" w:hAnsiTheme="minorHAnsi"/>
          <w:b w:val="0"/>
          <w:sz w:val="18"/>
          <w:szCs w:val="18"/>
        </w:rPr>
        <w:t xml:space="preserve">See e.g. Sheldon’s still astounding work, </w:t>
      </w:r>
      <w:r w:rsidRPr="00CA169C">
        <w:rPr>
          <w:rFonts w:asciiTheme="minorHAnsi" w:hAnsiTheme="minorHAnsi"/>
          <w:b w:val="0"/>
          <w:color w:val="000000" w:themeColor="text1"/>
          <w:sz w:val="18"/>
          <w:szCs w:val="18"/>
        </w:rPr>
        <w:t xml:space="preserve">S. Sheldon, </w:t>
      </w:r>
      <w:r w:rsidRPr="00CA169C">
        <w:rPr>
          <w:rFonts w:asciiTheme="minorHAnsi" w:hAnsiTheme="minorHAnsi"/>
          <w:b w:val="0"/>
          <w:i/>
          <w:color w:val="000000" w:themeColor="text1"/>
          <w:sz w:val="18"/>
          <w:szCs w:val="18"/>
        </w:rPr>
        <w:t xml:space="preserve">Beyond Control: Medical Power and Abortion Law </w:t>
      </w:r>
      <w:r w:rsidRPr="00CA169C">
        <w:rPr>
          <w:rFonts w:asciiTheme="minorHAnsi" w:hAnsiTheme="minorHAnsi"/>
          <w:b w:val="0"/>
          <w:color w:val="000000" w:themeColor="text1"/>
          <w:sz w:val="18"/>
          <w:szCs w:val="18"/>
        </w:rPr>
        <w:t>(Pluto Press, 1997)</w:t>
      </w:r>
      <w:r w:rsidRPr="00CA169C">
        <w:rPr>
          <w:rFonts w:asciiTheme="minorHAnsi" w:hAnsiTheme="minorHAnsi"/>
          <w:b w:val="0"/>
          <w:sz w:val="18"/>
          <w:szCs w:val="18"/>
        </w:rPr>
        <w:t xml:space="preserve">, A. Grubb, ‘Abortion Law in England: </w:t>
      </w:r>
      <w:proofErr w:type="spellStart"/>
      <w:r w:rsidRPr="00CA169C">
        <w:rPr>
          <w:rFonts w:asciiTheme="minorHAnsi" w:hAnsiTheme="minorHAnsi"/>
          <w:b w:val="0"/>
          <w:sz w:val="18"/>
          <w:szCs w:val="18"/>
        </w:rPr>
        <w:t>Medicalisation</w:t>
      </w:r>
      <w:proofErr w:type="spellEnd"/>
      <w:r w:rsidRPr="00CA169C">
        <w:rPr>
          <w:rFonts w:asciiTheme="minorHAnsi" w:hAnsiTheme="minorHAnsi"/>
          <w:b w:val="0"/>
          <w:sz w:val="18"/>
          <w:szCs w:val="18"/>
        </w:rPr>
        <w:t xml:space="preserve"> of a Crime.’ (1990) 18 JLME 146, E. Jackson, </w:t>
      </w:r>
      <w:r w:rsidRPr="00CA169C">
        <w:rPr>
          <w:rFonts w:asciiTheme="minorHAnsi" w:hAnsiTheme="minorHAnsi"/>
          <w:b w:val="0"/>
          <w:i/>
          <w:sz w:val="18"/>
          <w:szCs w:val="18"/>
        </w:rPr>
        <w:t xml:space="preserve">Regulating Reproduction: Law, Technology and Autonomy </w:t>
      </w:r>
      <w:r w:rsidRPr="00CA169C">
        <w:rPr>
          <w:rFonts w:asciiTheme="minorHAnsi" w:hAnsiTheme="minorHAnsi"/>
          <w:b w:val="0"/>
          <w:sz w:val="18"/>
          <w:szCs w:val="18"/>
        </w:rPr>
        <w:t xml:space="preserve">(2001); E. Lee, </w:t>
      </w:r>
      <w:r w:rsidRPr="00CA169C">
        <w:rPr>
          <w:rFonts w:asciiTheme="minorHAnsi" w:hAnsiTheme="minorHAnsi"/>
          <w:b w:val="0"/>
          <w:i/>
          <w:sz w:val="18"/>
          <w:szCs w:val="18"/>
        </w:rPr>
        <w:t xml:space="preserve">Abortion, Motherhood and Mental Health: </w:t>
      </w:r>
      <w:proofErr w:type="spellStart"/>
      <w:r w:rsidRPr="00CA169C">
        <w:rPr>
          <w:rFonts w:asciiTheme="minorHAnsi" w:hAnsiTheme="minorHAnsi"/>
          <w:b w:val="0"/>
          <w:i/>
          <w:sz w:val="18"/>
          <w:szCs w:val="18"/>
        </w:rPr>
        <w:t>Medicalising</w:t>
      </w:r>
      <w:proofErr w:type="spellEnd"/>
      <w:r w:rsidRPr="00CA169C">
        <w:rPr>
          <w:rFonts w:asciiTheme="minorHAnsi" w:hAnsiTheme="minorHAnsi"/>
          <w:b w:val="0"/>
          <w:i/>
          <w:sz w:val="18"/>
          <w:szCs w:val="18"/>
        </w:rPr>
        <w:t xml:space="preserve"> Reproduction in the US and Britain </w:t>
      </w:r>
      <w:r w:rsidRPr="00CA169C">
        <w:rPr>
          <w:rFonts w:asciiTheme="minorHAnsi" w:hAnsiTheme="minorHAnsi"/>
          <w:b w:val="0"/>
          <w:sz w:val="18"/>
          <w:szCs w:val="18"/>
        </w:rPr>
        <w:t xml:space="preserve">(Aldine Transaction, 2003) and on end of life, </w:t>
      </w:r>
      <w:r w:rsidRPr="00CA169C">
        <w:rPr>
          <w:rFonts w:asciiTheme="minorHAnsi" w:eastAsia="Calibri" w:hAnsiTheme="minorHAnsi"/>
          <w:b w:val="0"/>
          <w:sz w:val="18"/>
          <w:szCs w:val="18"/>
        </w:rPr>
        <w:t xml:space="preserve">J. </w:t>
      </w:r>
      <w:proofErr w:type="spellStart"/>
      <w:r w:rsidRPr="00CA169C">
        <w:rPr>
          <w:rFonts w:asciiTheme="minorHAnsi" w:eastAsia="Calibri" w:hAnsiTheme="minorHAnsi"/>
          <w:b w:val="0"/>
          <w:sz w:val="18"/>
          <w:szCs w:val="18"/>
        </w:rPr>
        <w:t>Miola</w:t>
      </w:r>
      <w:proofErr w:type="spellEnd"/>
      <w:r w:rsidRPr="00CA169C">
        <w:rPr>
          <w:rFonts w:asciiTheme="minorHAnsi" w:eastAsia="Calibri" w:hAnsiTheme="minorHAnsi"/>
          <w:b w:val="0"/>
          <w:sz w:val="18"/>
          <w:szCs w:val="18"/>
        </w:rPr>
        <w:t>, Medical Ethics and Medical Law: A Symbiotic Relationship.  (Hart Publishing, 2007)</w:t>
      </w:r>
      <w:r w:rsidRPr="00CA169C">
        <w:rPr>
          <w:rFonts w:asciiTheme="minorHAnsi" w:hAnsiTheme="minorHAnsi"/>
          <w:b w:val="0"/>
          <w:sz w:val="18"/>
          <w:szCs w:val="18"/>
        </w:rPr>
        <w:t xml:space="preserve"> (</w:t>
      </w:r>
      <w:proofErr w:type="gramStart"/>
      <w:r w:rsidRPr="00CA169C">
        <w:rPr>
          <w:rFonts w:asciiTheme="minorHAnsi" w:hAnsiTheme="minorHAnsi"/>
          <w:b w:val="0"/>
          <w:sz w:val="18"/>
          <w:szCs w:val="18"/>
        </w:rPr>
        <w:t>particularly</w:t>
      </w:r>
      <w:proofErr w:type="gramEnd"/>
      <w:r w:rsidRPr="00CA169C">
        <w:rPr>
          <w:rFonts w:asciiTheme="minorHAnsi" w:hAnsiTheme="minorHAnsi"/>
          <w:b w:val="0"/>
          <w:sz w:val="18"/>
          <w:szCs w:val="18"/>
        </w:rPr>
        <w:t xml:space="preserve"> chapter 7; G. Sayers, ‘Non-voluntary passive euthanasia: the social consequences of euphemisms.’ (2007) 14(3) European Journal of Health Law 221; S. </w:t>
      </w:r>
      <w:proofErr w:type="spellStart"/>
      <w:r w:rsidRPr="00CA169C">
        <w:rPr>
          <w:rFonts w:asciiTheme="minorHAnsi" w:hAnsiTheme="minorHAnsi"/>
          <w:b w:val="0"/>
          <w:sz w:val="18"/>
          <w:szCs w:val="18"/>
        </w:rPr>
        <w:t>Ost</w:t>
      </w:r>
      <w:proofErr w:type="spellEnd"/>
      <w:r w:rsidRPr="00CA169C">
        <w:rPr>
          <w:rFonts w:asciiTheme="minorHAnsi" w:hAnsiTheme="minorHAnsi"/>
          <w:b w:val="0"/>
          <w:sz w:val="18"/>
          <w:szCs w:val="18"/>
        </w:rPr>
        <w:t>, ‘The De-</w:t>
      </w:r>
      <w:proofErr w:type="spellStart"/>
      <w:r w:rsidRPr="00CA169C">
        <w:rPr>
          <w:rFonts w:asciiTheme="minorHAnsi" w:hAnsiTheme="minorHAnsi"/>
          <w:b w:val="0"/>
          <w:sz w:val="18"/>
          <w:szCs w:val="18"/>
        </w:rPr>
        <w:t>medicalisation</w:t>
      </w:r>
      <w:proofErr w:type="spellEnd"/>
      <w:r w:rsidRPr="00CA169C">
        <w:rPr>
          <w:rFonts w:asciiTheme="minorHAnsi" w:hAnsiTheme="minorHAnsi"/>
          <w:b w:val="0"/>
          <w:sz w:val="18"/>
          <w:szCs w:val="18"/>
        </w:rPr>
        <w:t xml:space="preserve"> of assisted dying: is a less </w:t>
      </w:r>
      <w:proofErr w:type="spellStart"/>
      <w:r w:rsidRPr="00CA169C">
        <w:rPr>
          <w:rFonts w:asciiTheme="minorHAnsi" w:hAnsiTheme="minorHAnsi"/>
          <w:b w:val="0"/>
          <w:sz w:val="18"/>
          <w:szCs w:val="18"/>
        </w:rPr>
        <w:t>medicalised</w:t>
      </w:r>
      <w:proofErr w:type="spellEnd"/>
      <w:r w:rsidRPr="00CA169C">
        <w:rPr>
          <w:rFonts w:asciiTheme="minorHAnsi" w:hAnsiTheme="minorHAnsi"/>
          <w:b w:val="0"/>
          <w:sz w:val="18"/>
          <w:szCs w:val="18"/>
        </w:rPr>
        <w:t xml:space="preserve"> model the way forward?’ (2010) 18 Med L Rev 497.</w:t>
      </w:r>
    </w:p>
    <w:p w:rsidR="002F164D" w:rsidRPr="001D2835" w:rsidRDefault="002F164D" w:rsidP="003B1BDD">
      <w:pPr>
        <w:pStyle w:val="FootnoteText"/>
        <w:jc w:val="both"/>
        <w:rPr>
          <w:rFonts w:asciiTheme="minorHAnsi" w:hAnsiTheme="minorHAnsi"/>
          <w:sz w:val="18"/>
          <w:szCs w:val="18"/>
        </w:rPr>
      </w:pPr>
    </w:p>
  </w:footnote>
  <w:footnote w:id="114">
    <w:p w:rsidR="002F164D" w:rsidRPr="001D2835" w:rsidRDefault="002F164D" w:rsidP="009D3774">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S.1(1) – a Bill introduced in 2014-15 proposed to reduce the requirement to signing off by one registered medical practitioner, but the Bill did not make it past its first reading in the House of Lords. A similar </w:t>
      </w:r>
      <w:proofErr w:type="spellStart"/>
      <w:r w:rsidRPr="00CA169C">
        <w:rPr>
          <w:rFonts w:asciiTheme="minorHAnsi" w:hAnsiTheme="minorHAnsi"/>
          <w:sz w:val="18"/>
          <w:szCs w:val="18"/>
        </w:rPr>
        <w:t>gatekeeping</w:t>
      </w:r>
      <w:proofErr w:type="spellEnd"/>
      <w:r w:rsidRPr="00CA169C">
        <w:rPr>
          <w:rFonts w:asciiTheme="minorHAnsi" w:hAnsiTheme="minorHAnsi"/>
          <w:sz w:val="18"/>
          <w:szCs w:val="18"/>
        </w:rPr>
        <w:t xml:space="preserve"> role is assigned to registered medical practitioners (usually being psychiatrists) for determining unfitness to plead in criminal proceedings – see </w:t>
      </w:r>
      <w:proofErr w:type="gramStart"/>
      <w:r w:rsidRPr="00CA169C">
        <w:rPr>
          <w:rFonts w:asciiTheme="minorHAnsi" w:hAnsiTheme="minorHAnsi"/>
          <w:sz w:val="18"/>
          <w:szCs w:val="18"/>
        </w:rPr>
        <w:t>s.4(</w:t>
      </w:r>
      <w:proofErr w:type="gramEnd"/>
      <w:r w:rsidRPr="00CA169C">
        <w:rPr>
          <w:rFonts w:asciiTheme="minorHAnsi" w:hAnsiTheme="minorHAnsi"/>
          <w:sz w:val="18"/>
          <w:szCs w:val="18"/>
        </w:rPr>
        <w:t xml:space="preserve">6) of the Criminal Proceedings (Insanity) Act 1964. </w:t>
      </w:r>
    </w:p>
    <w:p w:rsidR="002F164D" w:rsidRPr="001D2835" w:rsidRDefault="002F164D" w:rsidP="009D3774">
      <w:pPr>
        <w:pStyle w:val="FootnoteText"/>
        <w:jc w:val="both"/>
        <w:rPr>
          <w:rFonts w:asciiTheme="minorHAnsi" w:hAnsiTheme="minorHAnsi"/>
          <w:sz w:val="18"/>
          <w:szCs w:val="18"/>
        </w:rPr>
      </w:pPr>
    </w:p>
  </w:footnote>
  <w:footnote w:id="115">
    <w:p w:rsidR="002F164D" w:rsidRPr="001D2835" w:rsidRDefault="002F164D" w:rsidP="009D3774">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1B7F13">
        <w:rPr>
          <w:rFonts w:asciiTheme="minorHAnsi" w:hAnsiTheme="minorHAnsi"/>
          <w:sz w:val="18"/>
          <w:szCs w:val="18"/>
        </w:rPr>
        <w:t xml:space="preserve">Clause 3 - P’s declaration that he/she was terminally ill and had reached an informed, voluntary and </w:t>
      </w:r>
      <w:proofErr w:type="spellStart"/>
      <w:r w:rsidRPr="001B7F13">
        <w:rPr>
          <w:rFonts w:asciiTheme="minorHAnsi" w:hAnsiTheme="minorHAnsi"/>
          <w:sz w:val="18"/>
          <w:szCs w:val="18"/>
        </w:rPr>
        <w:t>capacitous</w:t>
      </w:r>
      <w:proofErr w:type="spellEnd"/>
      <w:r w:rsidRPr="001B7F13">
        <w:rPr>
          <w:rFonts w:asciiTheme="minorHAnsi" w:hAnsiTheme="minorHAnsi"/>
          <w:sz w:val="18"/>
          <w:szCs w:val="18"/>
        </w:rPr>
        <w:t xml:space="preserve"> decision to end their own life would have required the counter-signature of two registered medical practitioners; the attending doctor (tasked with providing the ‘assistance’) and an ‘independent doctor.’</w:t>
      </w:r>
      <w:r w:rsidRPr="00CA169C">
        <w:rPr>
          <w:rFonts w:asciiTheme="minorHAnsi" w:hAnsiTheme="minorHAnsi"/>
          <w:sz w:val="18"/>
          <w:szCs w:val="18"/>
        </w:rPr>
        <w:t xml:space="preserve"> </w:t>
      </w:r>
    </w:p>
    <w:p w:rsidR="002F164D" w:rsidRPr="001D2835" w:rsidRDefault="002F164D" w:rsidP="009D3774">
      <w:pPr>
        <w:pStyle w:val="FootnoteText"/>
        <w:jc w:val="both"/>
        <w:rPr>
          <w:rFonts w:asciiTheme="minorHAnsi" w:hAnsiTheme="minorHAnsi"/>
          <w:sz w:val="18"/>
          <w:szCs w:val="18"/>
        </w:rPr>
      </w:pPr>
    </w:p>
  </w:footnote>
  <w:footnote w:id="116">
    <w:p w:rsidR="002F164D" w:rsidRPr="001D2835" w:rsidRDefault="002F164D" w:rsidP="009D3774">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J. Harrington, ‘</w:t>
      </w:r>
      <w:proofErr w:type="gramStart"/>
      <w:r w:rsidRPr="00CA169C">
        <w:rPr>
          <w:rFonts w:asciiTheme="minorHAnsi" w:hAnsiTheme="minorHAnsi"/>
          <w:sz w:val="18"/>
          <w:szCs w:val="18"/>
        </w:rPr>
        <w:t>Privileging</w:t>
      </w:r>
      <w:proofErr w:type="gramEnd"/>
      <w:r w:rsidRPr="00CA169C">
        <w:rPr>
          <w:rFonts w:asciiTheme="minorHAnsi" w:hAnsiTheme="minorHAnsi"/>
          <w:sz w:val="18"/>
          <w:szCs w:val="18"/>
        </w:rPr>
        <w:t xml:space="preserve"> the medical norm: liberalism, self-determination and refusal of treatment.’ </w:t>
      </w:r>
      <w:proofErr w:type="gramStart"/>
      <w:r w:rsidRPr="00CA169C">
        <w:rPr>
          <w:rFonts w:asciiTheme="minorHAnsi" w:hAnsiTheme="minorHAnsi"/>
          <w:sz w:val="18"/>
          <w:szCs w:val="18"/>
        </w:rPr>
        <w:t xml:space="preserve">(1996) 16 </w:t>
      </w:r>
      <w:r w:rsidRPr="00CA169C">
        <w:rPr>
          <w:rFonts w:asciiTheme="minorHAnsi" w:hAnsiTheme="minorHAnsi"/>
          <w:i/>
          <w:sz w:val="18"/>
          <w:szCs w:val="18"/>
        </w:rPr>
        <w:t xml:space="preserve">Legal Studies </w:t>
      </w:r>
      <w:r w:rsidRPr="00CA169C">
        <w:rPr>
          <w:rFonts w:asciiTheme="minorHAnsi" w:hAnsiTheme="minorHAnsi"/>
          <w:sz w:val="18"/>
          <w:szCs w:val="18"/>
        </w:rPr>
        <w:t>348 at 359.</w:t>
      </w:r>
      <w:proofErr w:type="gramEnd"/>
      <w:r w:rsidRPr="00CA169C">
        <w:rPr>
          <w:rFonts w:asciiTheme="minorHAnsi" w:hAnsiTheme="minorHAnsi"/>
          <w:sz w:val="18"/>
          <w:szCs w:val="18"/>
        </w:rPr>
        <w:t xml:space="preserve"> </w:t>
      </w:r>
    </w:p>
    <w:p w:rsidR="002F164D" w:rsidRPr="001D2835" w:rsidRDefault="002F164D" w:rsidP="009D3774">
      <w:pPr>
        <w:pStyle w:val="FootnoteText"/>
        <w:rPr>
          <w:rFonts w:asciiTheme="minorHAnsi" w:hAnsiTheme="minorHAnsi"/>
          <w:sz w:val="18"/>
          <w:szCs w:val="18"/>
        </w:rPr>
      </w:pPr>
    </w:p>
  </w:footnote>
  <w:footnote w:id="117">
    <w:p w:rsidR="002F164D" w:rsidRPr="001D2835" w:rsidRDefault="002F164D" w:rsidP="009D3774">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sz w:val="18"/>
          <w:szCs w:val="18"/>
        </w:rPr>
        <w:t xml:space="preserve">Baker v </w:t>
      </w:r>
      <w:proofErr w:type="spellStart"/>
      <w:r w:rsidRPr="00CA169C">
        <w:rPr>
          <w:rFonts w:asciiTheme="minorHAnsi" w:hAnsiTheme="minorHAnsi"/>
          <w:i/>
          <w:sz w:val="18"/>
          <w:szCs w:val="18"/>
        </w:rPr>
        <w:t>Tilly</w:t>
      </w:r>
      <w:proofErr w:type="spellEnd"/>
      <w:r w:rsidRPr="00CA169C">
        <w:rPr>
          <w:rFonts w:asciiTheme="minorHAnsi" w:hAnsiTheme="minorHAnsi"/>
          <w:i/>
          <w:sz w:val="18"/>
          <w:szCs w:val="18"/>
        </w:rPr>
        <w:t xml:space="preserve"> </w:t>
      </w:r>
      <w:r w:rsidRPr="00CA169C">
        <w:rPr>
          <w:rFonts w:asciiTheme="minorHAnsi" w:hAnsiTheme="minorHAnsi"/>
          <w:sz w:val="18"/>
          <w:szCs w:val="18"/>
        </w:rPr>
        <w:t>[2013] EWHC 759 - overturning a decision of the Master (costs judge) that P lacked capacity to litigate, made in the absence of medical evidence (as D would not co-operate with a capacity assessment).</w:t>
      </w:r>
    </w:p>
    <w:p w:rsidR="002F164D" w:rsidRPr="001D2835" w:rsidRDefault="002F164D" w:rsidP="009D3774">
      <w:pPr>
        <w:pStyle w:val="FootnoteText"/>
        <w:jc w:val="both"/>
        <w:rPr>
          <w:rFonts w:asciiTheme="minorHAnsi" w:hAnsiTheme="minorHAnsi"/>
          <w:sz w:val="18"/>
          <w:szCs w:val="18"/>
        </w:rPr>
      </w:pPr>
      <w:r w:rsidRPr="00CA169C">
        <w:rPr>
          <w:rFonts w:asciiTheme="minorHAnsi" w:hAnsiTheme="minorHAnsi"/>
          <w:sz w:val="18"/>
          <w:szCs w:val="18"/>
        </w:rPr>
        <w:t xml:space="preserve"> </w:t>
      </w:r>
    </w:p>
  </w:footnote>
  <w:footnote w:id="118">
    <w:p w:rsidR="002F164D" w:rsidRPr="001D2835" w:rsidRDefault="002F164D" w:rsidP="009D3774">
      <w:pPr>
        <w:jc w:val="both"/>
        <w:rPr>
          <w:sz w:val="18"/>
          <w:szCs w:val="18"/>
        </w:rPr>
      </w:pPr>
      <w:r>
        <w:rPr>
          <w:rStyle w:val="FootnoteReference"/>
          <w:sz w:val="18"/>
          <w:szCs w:val="18"/>
        </w:rPr>
        <w:footnoteRef/>
      </w:r>
      <w:r w:rsidRPr="00CA169C">
        <w:rPr>
          <w:sz w:val="18"/>
          <w:szCs w:val="18"/>
        </w:rPr>
        <w:t xml:space="preserve"> </w:t>
      </w:r>
      <w:r w:rsidRPr="00CA169C">
        <w:rPr>
          <w:color w:val="000000"/>
          <w:sz w:val="18"/>
          <w:szCs w:val="18"/>
        </w:rPr>
        <w:t xml:space="preserve">In </w:t>
      </w:r>
      <w:proofErr w:type="spellStart"/>
      <w:r w:rsidRPr="00CA169C">
        <w:rPr>
          <w:i/>
          <w:color w:val="000000"/>
          <w:sz w:val="18"/>
          <w:szCs w:val="18"/>
        </w:rPr>
        <w:t>Masterman</w:t>
      </w:r>
      <w:proofErr w:type="spellEnd"/>
      <w:r w:rsidRPr="00CA169C">
        <w:rPr>
          <w:i/>
          <w:color w:val="000000"/>
          <w:sz w:val="18"/>
          <w:szCs w:val="18"/>
        </w:rPr>
        <w:t xml:space="preserve">-Lister v </w:t>
      </w:r>
      <w:proofErr w:type="spellStart"/>
      <w:r w:rsidRPr="00CA169C">
        <w:rPr>
          <w:i/>
          <w:color w:val="000000"/>
          <w:sz w:val="18"/>
          <w:szCs w:val="18"/>
        </w:rPr>
        <w:t>Brutton</w:t>
      </w:r>
      <w:proofErr w:type="spellEnd"/>
      <w:r w:rsidRPr="00CA169C">
        <w:rPr>
          <w:color w:val="000000"/>
          <w:sz w:val="18"/>
          <w:szCs w:val="18"/>
        </w:rPr>
        <w:t xml:space="preserve"> [2002] EWCA </w:t>
      </w:r>
      <w:proofErr w:type="spellStart"/>
      <w:r w:rsidRPr="00CA169C">
        <w:rPr>
          <w:color w:val="000000"/>
          <w:sz w:val="18"/>
          <w:szCs w:val="18"/>
        </w:rPr>
        <w:t>Civ</w:t>
      </w:r>
      <w:proofErr w:type="spellEnd"/>
      <w:r w:rsidRPr="00CA169C">
        <w:rPr>
          <w:color w:val="000000"/>
          <w:sz w:val="18"/>
          <w:szCs w:val="18"/>
        </w:rPr>
        <w:t xml:space="preserve"> 1889 at [29] - on litigation capacity. See also </w:t>
      </w:r>
      <w:proofErr w:type="spellStart"/>
      <w:r w:rsidRPr="00CA169C">
        <w:rPr>
          <w:i/>
          <w:color w:val="000000"/>
          <w:sz w:val="18"/>
          <w:szCs w:val="18"/>
        </w:rPr>
        <w:t>Camarthenshire</w:t>
      </w:r>
      <w:proofErr w:type="spellEnd"/>
      <w:r w:rsidRPr="00CA169C">
        <w:rPr>
          <w:i/>
          <w:color w:val="000000"/>
          <w:sz w:val="18"/>
          <w:szCs w:val="18"/>
        </w:rPr>
        <w:t xml:space="preserve"> CC v Lewis</w:t>
      </w:r>
      <w:r w:rsidRPr="00CA169C">
        <w:rPr>
          <w:color w:val="000000"/>
          <w:sz w:val="18"/>
          <w:szCs w:val="18"/>
        </w:rPr>
        <w:t xml:space="preserve"> [2010] EWCA </w:t>
      </w:r>
      <w:proofErr w:type="spellStart"/>
      <w:r w:rsidRPr="00CA169C">
        <w:rPr>
          <w:color w:val="000000"/>
          <w:sz w:val="18"/>
          <w:szCs w:val="18"/>
        </w:rPr>
        <w:t>Civ</w:t>
      </w:r>
      <w:proofErr w:type="spellEnd"/>
      <w:r w:rsidRPr="00CA169C">
        <w:rPr>
          <w:color w:val="000000"/>
          <w:sz w:val="18"/>
          <w:szCs w:val="18"/>
        </w:rPr>
        <w:t xml:space="preserve"> 1567 at [8]: </w:t>
      </w:r>
      <w:r w:rsidRPr="00CA169C">
        <w:rPr>
          <w:i/>
          <w:color w:val="000000"/>
          <w:sz w:val="18"/>
          <w:szCs w:val="18"/>
        </w:rPr>
        <w:t>per</w:t>
      </w:r>
      <w:r w:rsidRPr="00CA169C">
        <w:rPr>
          <w:color w:val="000000"/>
          <w:sz w:val="18"/>
          <w:szCs w:val="18"/>
        </w:rPr>
        <w:t xml:space="preserve"> </w:t>
      </w:r>
      <w:proofErr w:type="spellStart"/>
      <w:r w:rsidRPr="00CA169C">
        <w:rPr>
          <w:color w:val="000000"/>
          <w:sz w:val="18"/>
          <w:szCs w:val="18"/>
        </w:rPr>
        <w:t>Rimer</w:t>
      </w:r>
      <w:proofErr w:type="spellEnd"/>
      <w:r w:rsidRPr="00CA169C">
        <w:rPr>
          <w:color w:val="000000"/>
          <w:sz w:val="18"/>
          <w:szCs w:val="18"/>
        </w:rPr>
        <w:t xml:space="preserve"> LJ ‘the problem raised by this case is as to how, once the court is possessed of information raising a question as to the capacity of a litigant to conduct the litigation, it should satisfy itself as to whether the litigant does in fact have sufficient capacity. I cannot think that the court can ordinarily, by its own impression of the litigant, safely form its own view on that.’</w:t>
      </w:r>
    </w:p>
  </w:footnote>
  <w:footnote w:id="119">
    <w:p w:rsidR="002F164D" w:rsidRPr="001D2835" w:rsidRDefault="002F164D" w:rsidP="0035731D">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w:t>
      </w:r>
      <w:proofErr w:type="spellStart"/>
      <w:r w:rsidRPr="00CA169C">
        <w:rPr>
          <w:rFonts w:asciiTheme="minorHAnsi" w:hAnsiTheme="minorHAnsi"/>
          <w:i/>
          <w:sz w:val="18"/>
          <w:szCs w:val="18"/>
        </w:rPr>
        <w:t>Bolam</w:t>
      </w:r>
      <w:proofErr w:type="spellEnd"/>
      <w:r w:rsidRPr="00CA169C">
        <w:rPr>
          <w:rFonts w:asciiTheme="minorHAnsi" w:hAnsiTheme="minorHAnsi"/>
          <w:i/>
          <w:sz w:val="18"/>
          <w:szCs w:val="18"/>
        </w:rPr>
        <w:t xml:space="preserve"> v </w:t>
      </w:r>
      <w:proofErr w:type="spellStart"/>
      <w:r w:rsidRPr="00CA169C">
        <w:rPr>
          <w:rFonts w:asciiTheme="minorHAnsi" w:hAnsiTheme="minorHAnsi"/>
          <w:i/>
          <w:sz w:val="18"/>
          <w:szCs w:val="18"/>
        </w:rPr>
        <w:t>Friern</w:t>
      </w:r>
      <w:proofErr w:type="spellEnd"/>
      <w:r w:rsidRPr="00CA169C">
        <w:rPr>
          <w:rFonts w:asciiTheme="minorHAnsi" w:hAnsiTheme="minorHAnsi"/>
          <w:i/>
          <w:sz w:val="18"/>
          <w:szCs w:val="18"/>
        </w:rPr>
        <w:t xml:space="preserve"> Hospital Management Committee </w:t>
      </w:r>
      <w:r w:rsidRPr="00CA169C">
        <w:rPr>
          <w:rFonts w:asciiTheme="minorHAnsi" w:hAnsiTheme="minorHAnsi"/>
          <w:sz w:val="18"/>
          <w:szCs w:val="18"/>
        </w:rPr>
        <w:t>[1957] 1 WLR 581.</w:t>
      </w:r>
    </w:p>
    <w:p w:rsidR="002F164D" w:rsidRPr="001D2835" w:rsidRDefault="002F164D" w:rsidP="0035731D">
      <w:pPr>
        <w:pStyle w:val="FootnoteText"/>
        <w:rPr>
          <w:rFonts w:asciiTheme="minorHAnsi" w:hAnsiTheme="minorHAnsi"/>
          <w:sz w:val="18"/>
          <w:szCs w:val="18"/>
        </w:rPr>
      </w:pPr>
    </w:p>
  </w:footnote>
  <w:footnote w:id="120">
    <w:p w:rsidR="002F164D" w:rsidRPr="001D2835" w:rsidRDefault="002F164D" w:rsidP="0035731D">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See e.g. E. Jackson, </w:t>
      </w:r>
      <w:r w:rsidRPr="00CA169C">
        <w:rPr>
          <w:rFonts w:asciiTheme="minorHAnsi" w:hAnsiTheme="minorHAnsi"/>
          <w:i/>
          <w:sz w:val="18"/>
          <w:szCs w:val="18"/>
        </w:rPr>
        <w:t xml:space="preserve">Medical Law: Text, Cases and Materials </w:t>
      </w:r>
      <w:r w:rsidRPr="00CA169C">
        <w:rPr>
          <w:rFonts w:asciiTheme="minorHAnsi" w:hAnsiTheme="minorHAnsi"/>
          <w:sz w:val="18"/>
          <w:szCs w:val="18"/>
        </w:rPr>
        <w:t xml:space="preserve">(OUP, 2013), at 113 and J. Montrose, ‘Is negligence an ethical or sociological concept?’ (1958) 21(3) MLR 259: ‘A motorist is not excused because he shows that he acted in accordance with the common practice of motorists. The question of negligence is one of what </w:t>
      </w:r>
      <w:r w:rsidRPr="00CA169C">
        <w:rPr>
          <w:rFonts w:asciiTheme="minorHAnsi" w:hAnsiTheme="minorHAnsi"/>
          <w:i/>
          <w:sz w:val="18"/>
          <w:szCs w:val="18"/>
        </w:rPr>
        <w:t>ought to be done</w:t>
      </w:r>
      <w:r w:rsidRPr="00CA169C">
        <w:rPr>
          <w:rFonts w:asciiTheme="minorHAnsi" w:hAnsiTheme="minorHAnsi"/>
          <w:sz w:val="18"/>
          <w:szCs w:val="18"/>
        </w:rPr>
        <w:t xml:space="preserve"> in the circumstances, </w:t>
      </w:r>
      <w:r w:rsidRPr="00CA169C">
        <w:rPr>
          <w:rFonts w:asciiTheme="minorHAnsi" w:hAnsiTheme="minorHAnsi"/>
          <w:i/>
          <w:sz w:val="18"/>
          <w:szCs w:val="18"/>
        </w:rPr>
        <w:t>not what is done</w:t>
      </w:r>
      <w:r w:rsidRPr="00CA169C">
        <w:rPr>
          <w:rFonts w:asciiTheme="minorHAnsi" w:hAnsiTheme="minorHAnsi"/>
          <w:sz w:val="18"/>
          <w:szCs w:val="18"/>
        </w:rPr>
        <w:t xml:space="preserve"> in similar circumstances by most people or even by all people’ (at 259).</w:t>
      </w:r>
    </w:p>
    <w:p w:rsidR="002F164D" w:rsidRPr="001D2835" w:rsidRDefault="002F164D" w:rsidP="0035731D">
      <w:pPr>
        <w:pStyle w:val="FootnoteText"/>
        <w:rPr>
          <w:rFonts w:asciiTheme="minorHAnsi" w:hAnsiTheme="minorHAnsi"/>
          <w:sz w:val="18"/>
          <w:szCs w:val="18"/>
        </w:rPr>
      </w:pPr>
    </w:p>
  </w:footnote>
  <w:footnote w:id="121">
    <w:p w:rsidR="002F164D" w:rsidRPr="001D2835" w:rsidRDefault="002F164D" w:rsidP="0035731D">
      <w:pPr>
        <w:tabs>
          <w:tab w:val="left" w:pos="0"/>
        </w:tabs>
        <w:jc w:val="both"/>
        <w:rPr>
          <w:sz w:val="18"/>
          <w:szCs w:val="18"/>
        </w:rPr>
      </w:pPr>
      <w:r>
        <w:rPr>
          <w:rStyle w:val="FootnoteReference"/>
          <w:sz w:val="18"/>
          <w:szCs w:val="18"/>
        </w:rPr>
        <w:footnoteRef/>
      </w:r>
      <w:r w:rsidRPr="00CA169C">
        <w:rPr>
          <w:sz w:val="18"/>
          <w:szCs w:val="18"/>
        </w:rPr>
        <w:t xml:space="preserve"> M. Brazier &amp; J. </w:t>
      </w:r>
      <w:proofErr w:type="spellStart"/>
      <w:r w:rsidRPr="00CA169C">
        <w:rPr>
          <w:sz w:val="18"/>
          <w:szCs w:val="18"/>
        </w:rPr>
        <w:t>Miola</w:t>
      </w:r>
      <w:proofErr w:type="spellEnd"/>
      <w:r w:rsidRPr="00CA169C">
        <w:rPr>
          <w:sz w:val="18"/>
          <w:szCs w:val="18"/>
        </w:rPr>
        <w:t xml:space="preserve">, ‘Bye-bye </w:t>
      </w:r>
      <w:proofErr w:type="spellStart"/>
      <w:r w:rsidRPr="00CA169C">
        <w:rPr>
          <w:sz w:val="18"/>
          <w:szCs w:val="18"/>
        </w:rPr>
        <w:t>Bolam</w:t>
      </w:r>
      <w:proofErr w:type="spellEnd"/>
      <w:r w:rsidRPr="00CA169C">
        <w:rPr>
          <w:sz w:val="18"/>
          <w:szCs w:val="18"/>
        </w:rPr>
        <w:t xml:space="preserve">: a medical litigation revolution? (2000) </w:t>
      </w:r>
      <w:r w:rsidRPr="00CA169C">
        <w:rPr>
          <w:i/>
          <w:sz w:val="18"/>
          <w:szCs w:val="18"/>
        </w:rPr>
        <w:t>Medical Law Review</w:t>
      </w:r>
      <w:r w:rsidRPr="00CA169C">
        <w:rPr>
          <w:sz w:val="18"/>
          <w:szCs w:val="18"/>
        </w:rPr>
        <w:t xml:space="preserve"> 8(1) 85 at 90 and developed further in </w:t>
      </w:r>
      <w:r w:rsidRPr="00CA169C">
        <w:rPr>
          <w:rFonts w:eastAsia="Calibri"/>
          <w:sz w:val="18"/>
          <w:szCs w:val="18"/>
        </w:rPr>
        <w:t xml:space="preserve">J. </w:t>
      </w:r>
      <w:proofErr w:type="spellStart"/>
      <w:r w:rsidRPr="00CA169C">
        <w:rPr>
          <w:rFonts w:eastAsia="Calibri"/>
          <w:sz w:val="18"/>
          <w:szCs w:val="18"/>
        </w:rPr>
        <w:t>Miola</w:t>
      </w:r>
      <w:proofErr w:type="spellEnd"/>
      <w:r w:rsidRPr="00CA169C">
        <w:rPr>
          <w:rFonts w:eastAsia="Calibri"/>
          <w:sz w:val="18"/>
          <w:szCs w:val="18"/>
        </w:rPr>
        <w:t xml:space="preserve">, </w:t>
      </w:r>
      <w:r w:rsidRPr="00CA169C">
        <w:rPr>
          <w:rFonts w:eastAsia="Calibri"/>
          <w:i/>
          <w:sz w:val="18"/>
          <w:szCs w:val="18"/>
        </w:rPr>
        <w:t xml:space="preserve">Medical Ethics and Medical Law: A Symbiotic Relationship. </w:t>
      </w:r>
      <w:r w:rsidRPr="00CA169C">
        <w:rPr>
          <w:rFonts w:eastAsia="Calibri"/>
          <w:sz w:val="18"/>
          <w:szCs w:val="18"/>
        </w:rPr>
        <w:t xml:space="preserve"> (Hart Publishing, 2007).</w:t>
      </w:r>
    </w:p>
  </w:footnote>
  <w:footnote w:id="122">
    <w:p w:rsidR="002F164D" w:rsidRPr="001D2835" w:rsidRDefault="002F164D" w:rsidP="0035731D">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Exemplified by the ‘Bolitho gloss’ which means that the body of opinion supporting D’s conduct may fail to protect D from liability in negligence if that evidence ‘does not withstand logical analysis’: </w:t>
      </w:r>
      <w:r w:rsidRPr="00CA169C">
        <w:rPr>
          <w:rFonts w:asciiTheme="minorHAnsi" w:hAnsiTheme="minorHAnsi"/>
          <w:i/>
          <w:sz w:val="18"/>
          <w:szCs w:val="18"/>
        </w:rPr>
        <w:t xml:space="preserve">Bolitho v City &amp; Hackney Health Authority </w:t>
      </w:r>
      <w:r w:rsidRPr="00CA169C">
        <w:rPr>
          <w:rFonts w:asciiTheme="minorHAnsi" w:hAnsiTheme="minorHAnsi"/>
          <w:sz w:val="18"/>
          <w:szCs w:val="18"/>
        </w:rPr>
        <w:t xml:space="preserve">[1996] 4 All ER 771. See </w:t>
      </w:r>
      <w:r>
        <w:rPr>
          <w:rFonts w:asciiTheme="minorHAnsi" w:hAnsiTheme="minorHAnsi"/>
          <w:sz w:val="18"/>
          <w:szCs w:val="18"/>
        </w:rPr>
        <w:t xml:space="preserve">e.g. </w:t>
      </w:r>
      <w:r w:rsidRPr="00CA169C">
        <w:rPr>
          <w:rFonts w:asciiTheme="minorHAnsi" w:hAnsiTheme="minorHAnsi"/>
          <w:sz w:val="18"/>
          <w:szCs w:val="18"/>
        </w:rPr>
        <w:t xml:space="preserve">R. </w:t>
      </w:r>
      <w:proofErr w:type="spellStart"/>
      <w:r w:rsidRPr="00CA169C">
        <w:rPr>
          <w:rFonts w:asciiTheme="minorHAnsi" w:hAnsiTheme="minorHAnsi"/>
          <w:sz w:val="18"/>
          <w:szCs w:val="18"/>
        </w:rPr>
        <w:t>Mulheron</w:t>
      </w:r>
      <w:proofErr w:type="spellEnd"/>
      <w:r w:rsidRPr="00CA169C">
        <w:rPr>
          <w:rFonts w:asciiTheme="minorHAnsi" w:hAnsiTheme="minorHAnsi"/>
          <w:sz w:val="18"/>
          <w:szCs w:val="18"/>
        </w:rPr>
        <w:t xml:space="preserve">, ‘Trumping </w:t>
      </w:r>
      <w:proofErr w:type="spellStart"/>
      <w:r w:rsidRPr="00CA169C">
        <w:rPr>
          <w:rFonts w:asciiTheme="minorHAnsi" w:hAnsiTheme="minorHAnsi"/>
          <w:sz w:val="18"/>
          <w:szCs w:val="18"/>
        </w:rPr>
        <w:t>Bolam</w:t>
      </w:r>
      <w:proofErr w:type="spellEnd"/>
      <w:r w:rsidRPr="00CA169C">
        <w:rPr>
          <w:rFonts w:asciiTheme="minorHAnsi" w:hAnsiTheme="minorHAnsi"/>
          <w:sz w:val="18"/>
          <w:szCs w:val="18"/>
        </w:rPr>
        <w:t xml:space="preserve">: A critical legal analysis of Bolitho’s gloss.’ (2010) 69(3) CLJ 609. </w:t>
      </w:r>
    </w:p>
    <w:p w:rsidR="002F164D" w:rsidRPr="001D2835" w:rsidRDefault="002F164D" w:rsidP="0035731D">
      <w:pPr>
        <w:pStyle w:val="FootnoteText"/>
        <w:rPr>
          <w:rFonts w:asciiTheme="minorHAnsi" w:hAnsiTheme="minorHAnsi"/>
          <w:sz w:val="18"/>
          <w:szCs w:val="18"/>
        </w:rPr>
      </w:pPr>
    </w:p>
  </w:footnote>
  <w:footnote w:id="123">
    <w:p w:rsidR="002F164D" w:rsidRPr="001D2835" w:rsidRDefault="002F164D" w:rsidP="00235ACA">
      <w:pPr>
        <w:pStyle w:val="FootnoteText"/>
        <w:jc w:val="both"/>
        <w:rPr>
          <w:rFonts w:asciiTheme="minorHAnsi" w:hAnsiTheme="minorHAnsi"/>
          <w: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proofErr w:type="spellStart"/>
      <w:r w:rsidRPr="00CA169C">
        <w:rPr>
          <w:rFonts w:asciiTheme="minorHAnsi" w:hAnsiTheme="minorHAnsi"/>
          <w:i/>
          <w:sz w:val="18"/>
          <w:szCs w:val="18"/>
        </w:rPr>
        <w:t>Wandsworth</w:t>
      </w:r>
      <w:proofErr w:type="spellEnd"/>
      <w:r w:rsidRPr="00CA169C">
        <w:rPr>
          <w:rFonts w:asciiTheme="minorHAnsi" w:hAnsiTheme="minorHAnsi"/>
          <w:i/>
          <w:sz w:val="18"/>
          <w:szCs w:val="18"/>
        </w:rPr>
        <w:t xml:space="preserve"> CCG v IA</w:t>
      </w:r>
      <w:r w:rsidRPr="00CA169C">
        <w:rPr>
          <w:rFonts w:asciiTheme="minorHAnsi" w:hAnsiTheme="minorHAnsi"/>
          <w:sz w:val="18"/>
          <w:szCs w:val="18"/>
        </w:rPr>
        <w:t xml:space="preserve"> [2014] EWCOP 990; </w:t>
      </w:r>
      <w:r w:rsidRPr="00CA169C">
        <w:rPr>
          <w:rFonts w:asciiTheme="minorHAnsi" w:hAnsiTheme="minorHAnsi"/>
          <w:i/>
          <w:sz w:val="18"/>
          <w:szCs w:val="18"/>
        </w:rPr>
        <w:t xml:space="preserve">Re SB </w:t>
      </w:r>
      <w:r w:rsidRPr="00CA169C">
        <w:rPr>
          <w:rFonts w:asciiTheme="minorHAnsi" w:hAnsiTheme="minorHAnsi"/>
          <w:sz w:val="18"/>
          <w:szCs w:val="18"/>
        </w:rPr>
        <w:t>[2013] EWCOP 1417</w:t>
      </w:r>
      <w:r w:rsidRPr="00CA169C">
        <w:rPr>
          <w:rFonts w:asciiTheme="minorHAnsi" w:hAnsiTheme="minorHAnsi"/>
          <w:i/>
          <w:sz w:val="18"/>
          <w:szCs w:val="18"/>
        </w:rPr>
        <w:t xml:space="preserve">, </w:t>
      </w:r>
      <w:r w:rsidRPr="00CA169C">
        <w:rPr>
          <w:rFonts w:asciiTheme="minorHAnsi" w:hAnsiTheme="minorHAnsi"/>
          <w:sz w:val="18"/>
          <w:szCs w:val="18"/>
        </w:rPr>
        <w:t xml:space="preserve">and </w:t>
      </w:r>
      <w:r w:rsidRPr="00CA169C">
        <w:rPr>
          <w:rFonts w:asciiTheme="minorHAnsi" w:hAnsiTheme="minorHAnsi"/>
          <w:i/>
          <w:sz w:val="18"/>
          <w:szCs w:val="18"/>
        </w:rPr>
        <w:t xml:space="preserve">CC v STCC </w:t>
      </w:r>
      <w:r w:rsidRPr="00CA169C">
        <w:rPr>
          <w:rFonts w:asciiTheme="minorHAnsi" w:hAnsiTheme="minorHAnsi"/>
          <w:sz w:val="18"/>
          <w:szCs w:val="18"/>
          <w:lang w:eastAsia="en-GB"/>
        </w:rPr>
        <w:t>[2012] EWCOP 2136</w:t>
      </w:r>
      <w:r w:rsidRPr="00CA169C">
        <w:rPr>
          <w:rFonts w:asciiTheme="minorHAnsi" w:hAnsiTheme="minorHAnsi"/>
          <w:i/>
          <w:sz w:val="18"/>
          <w:szCs w:val="18"/>
        </w:rPr>
        <w:t>.</w:t>
      </w:r>
    </w:p>
    <w:p w:rsidR="002F164D" w:rsidRPr="001D2835" w:rsidRDefault="002F164D" w:rsidP="00235ACA">
      <w:pPr>
        <w:pStyle w:val="FootnoteText"/>
        <w:jc w:val="both"/>
        <w:rPr>
          <w:rFonts w:asciiTheme="minorHAnsi" w:hAnsiTheme="minorHAnsi"/>
          <w:i/>
          <w:sz w:val="18"/>
          <w:szCs w:val="18"/>
        </w:rPr>
      </w:pPr>
    </w:p>
  </w:footnote>
  <w:footnote w:id="124">
    <w:p w:rsidR="002F164D" w:rsidRDefault="002F164D">
      <w:pPr>
        <w:rPr>
          <w:sz w:val="18"/>
          <w:szCs w:val="18"/>
        </w:rPr>
      </w:pPr>
      <w:r w:rsidRPr="00CA169C">
        <w:rPr>
          <w:rStyle w:val="FootnoteReference"/>
          <w:sz w:val="18"/>
          <w:szCs w:val="18"/>
        </w:rPr>
        <w:footnoteRef/>
      </w:r>
      <w:r w:rsidRPr="00CA169C">
        <w:rPr>
          <w:sz w:val="18"/>
          <w:szCs w:val="18"/>
        </w:rPr>
        <w:t xml:space="preserve"> R. A. Houston, ‘Professions and the Identification of Mental Incapacity in Eighteenth Century Scotland.’ (2001) 14(4) </w:t>
      </w:r>
      <w:r w:rsidRPr="00CA169C">
        <w:rPr>
          <w:i/>
          <w:sz w:val="18"/>
          <w:szCs w:val="18"/>
        </w:rPr>
        <w:t xml:space="preserve">Journal of Historical Sociology </w:t>
      </w:r>
      <w:r w:rsidRPr="00CA169C">
        <w:rPr>
          <w:sz w:val="18"/>
          <w:szCs w:val="18"/>
        </w:rPr>
        <w:t xml:space="preserve">441. See also J. Eigen, </w:t>
      </w:r>
      <w:r w:rsidRPr="00CA169C">
        <w:rPr>
          <w:i/>
          <w:sz w:val="18"/>
          <w:szCs w:val="18"/>
        </w:rPr>
        <w:t xml:space="preserve">Witnessing Insanity: Madness and Mad Doctors in the English Court. </w:t>
      </w:r>
      <w:r w:rsidRPr="00CA169C">
        <w:rPr>
          <w:sz w:val="18"/>
          <w:szCs w:val="18"/>
        </w:rPr>
        <w:t xml:space="preserve"> (Yale University Press, 1995) exploring the growing role of medical witnesses in the 18</w:t>
      </w:r>
      <w:r w:rsidRPr="00CA169C">
        <w:rPr>
          <w:sz w:val="18"/>
          <w:szCs w:val="18"/>
          <w:vertAlign w:val="superscript"/>
        </w:rPr>
        <w:t>th</w:t>
      </w:r>
      <w:r w:rsidRPr="00CA169C">
        <w:rPr>
          <w:sz w:val="18"/>
          <w:szCs w:val="18"/>
        </w:rPr>
        <w:t xml:space="preserve"> and 19</w:t>
      </w:r>
      <w:r w:rsidRPr="00CA169C">
        <w:rPr>
          <w:sz w:val="18"/>
          <w:szCs w:val="18"/>
          <w:vertAlign w:val="superscript"/>
        </w:rPr>
        <w:t>th</w:t>
      </w:r>
      <w:r w:rsidRPr="00CA169C">
        <w:rPr>
          <w:sz w:val="18"/>
          <w:szCs w:val="18"/>
        </w:rPr>
        <w:t xml:space="preserve"> centuries.</w:t>
      </w:r>
    </w:p>
  </w:footnote>
  <w:footnote w:id="125">
    <w:p w:rsidR="002F164D" w:rsidRPr="001D2835" w:rsidRDefault="002F164D">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w:t>
      </w:r>
      <w:proofErr w:type="gramStart"/>
      <w:r>
        <w:rPr>
          <w:rFonts w:asciiTheme="minorHAnsi" w:hAnsiTheme="minorHAnsi"/>
          <w:sz w:val="18"/>
          <w:szCs w:val="18"/>
        </w:rPr>
        <w:t>Ibid.,</w:t>
      </w:r>
      <w:proofErr w:type="gramEnd"/>
      <w:r>
        <w:rPr>
          <w:rFonts w:asciiTheme="minorHAnsi" w:hAnsiTheme="minorHAnsi"/>
          <w:sz w:val="18"/>
          <w:szCs w:val="18"/>
        </w:rPr>
        <w:t xml:space="preserve"> Houston</w:t>
      </w:r>
      <w:r w:rsidRPr="00CA169C">
        <w:rPr>
          <w:rFonts w:asciiTheme="minorHAnsi" w:hAnsiTheme="minorHAnsi"/>
          <w:sz w:val="18"/>
          <w:szCs w:val="18"/>
        </w:rPr>
        <w:t xml:space="preserve"> at 457.</w:t>
      </w:r>
    </w:p>
    <w:p w:rsidR="002F164D" w:rsidRPr="001D2835" w:rsidRDefault="002F164D">
      <w:pPr>
        <w:pStyle w:val="FootnoteText"/>
        <w:rPr>
          <w:rFonts w:asciiTheme="minorHAnsi" w:hAnsiTheme="minorHAnsi"/>
          <w:sz w:val="18"/>
          <w:szCs w:val="18"/>
        </w:rPr>
      </w:pPr>
    </w:p>
  </w:footnote>
  <w:footnote w:id="126">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Practice Note 15 for the Court of Protection issued May 2014 states: ‘In addition, where possible, matters requiring expert evidence should be dealt with by a single expert’ (</w:t>
      </w:r>
      <w:proofErr w:type="spellStart"/>
      <w:r w:rsidRPr="00CA169C">
        <w:rPr>
          <w:rFonts w:asciiTheme="minorHAnsi" w:hAnsiTheme="minorHAnsi"/>
          <w:sz w:val="18"/>
          <w:szCs w:val="18"/>
        </w:rPr>
        <w:t>para</w:t>
      </w:r>
      <w:proofErr w:type="spellEnd"/>
      <w:r w:rsidRPr="00CA169C">
        <w:rPr>
          <w:rFonts w:asciiTheme="minorHAnsi" w:hAnsiTheme="minorHAnsi"/>
          <w:sz w:val="18"/>
          <w:szCs w:val="18"/>
        </w:rPr>
        <w:t xml:space="preserve"> 1).</w:t>
      </w:r>
    </w:p>
    <w:p w:rsidR="002F164D" w:rsidRPr="001D2835" w:rsidRDefault="002F164D" w:rsidP="0085767D">
      <w:pPr>
        <w:pStyle w:val="FootnoteText"/>
        <w:jc w:val="both"/>
        <w:rPr>
          <w:rFonts w:asciiTheme="minorHAnsi" w:hAnsiTheme="minorHAnsi"/>
          <w:sz w:val="18"/>
          <w:szCs w:val="18"/>
        </w:rPr>
      </w:pPr>
    </w:p>
  </w:footnote>
  <w:footnote w:id="127">
    <w:p w:rsidR="002F164D" w:rsidRPr="00E87534" w:rsidRDefault="002F164D" w:rsidP="00D14807">
      <w:pPr>
        <w:pStyle w:val="FootnoteText"/>
        <w:rPr>
          <w:rFonts w:asciiTheme="minorHAnsi" w:hAnsiTheme="minorHAnsi"/>
          <w:sz w:val="18"/>
          <w:szCs w:val="18"/>
        </w:rPr>
      </w:pPr>
      <w:r w:rsidRPr="00E87534">
        <w:rPr>
          <w:rStyle w:val="FootnoteReference"/>
          <w:rFonts w:asciiTheme="minorHAnsi" w:hAnsiTheme="minorHAnsi"/>
          <w:sz w:val="18"/>
          <w:szCs w:val="18"/>
        </w:rPr>
        <w:footnoteRef/>
      </w:r>
      <w:r>
        <w:rPr>
          <w:rFonts w:asciiTheme="minorHAnsi" w:hAnsiTheme="minorHAnsi"/>
          <w:sz w:val="18"/>
          <w:szCs w:val="18"/>
        </w:rPr>
        <w:t xml:space="preserve"> Above at n.2</w:t>
      </w:r>
      <w:r w:rsidRPr="00E87534">
        <w:rPr>
          <w:rFonts w:asciiTheme="minorHAnsi" w:hAnsiTheme="minorHAnsi"/>
          <w:sz w:val="18"/>
          <w:szCs w:val="18"/>
        </w:rPr>
        <w:t xml:space="preserve">. </w:t>
      </w:r>
    </w:p>
    <w:p w:rsidR="002F164D" w:rsidRDefault="002F164D" w:rsidP="00D14807">
      <w:pPr>
        <w:pStyle w:val="FootnoteText"/>
      </w:pPr>
    </w:p>
  </w:footnote>
  <w:footnote w:id="128">
    <w:p w:rsidR="002F164D" w:rsidRPr="000D2379" w:rsidRDefault="002F164D" w:rsidP="00596207">
      <w:pPr>
        <w:pStyle w:val="FootnoteText"/>
        <w:jc w:val="both"/>
        <w:rPr>
          <w:rFonts w:asciiTheme="minorHAnsi" w:hAnsiTheme="minorHAnsi"/>
          <w:sz w:val="18"/>
          <w:szCs w:val="18"/>
        </w:rPr>
      </w:pPr>
      <w:r w:rsidRPr="000D2379">
        <w:rPr>
          <w:rStyle w:val="FootnoteReference"/>
          <w:rFonts w:asciiTheme="minorHAnsi" w:hAnsiTheme="minorHAnsi"/>
          <w:sz w:val="18"/>
          <w:szCs w:val="18"/>
        </w:rPr>
        <w:footnoteRef/>
      </w:r>
      <w:r w:rsidRPr="000D2379">
        <w:rPr>
          <w:rFonts w:asciiTheme="minorHAnsi" w:hAnsiTheme="minorHAnsi"/>
          <w:sz w:val="18"/>
          <w:szCs w:val="18"/>
        </w:rPr>
        <w:t xml:space="preserve"> The first of three requirements </w:t>
      </w:r>
      <w:r>
        <w:rPr>
          <w:rFonts w:asciiTheme="minorHAnsi" w:hAnsiTheme="minorHAnsi"/>
          <w:sz w:val="18"/>
          <w:szCs w:val="18"/>
        </w:rPr>
        <w:t>set out in</w:t>
      </w:r>
      <w:r w:rsidRPr="000D2379">
        <w:rPr>
          <w:rFonts w:asciiTheme="minorHAnsi" w:hAnsiTheme="minorHAnsi"/>
          <w:sz w:val="18"/>
          <w:szCs w:val="18"/>
        </w:rPr>
        <w:t xml:space="preserve"> </w:t>
      </w:r>
      <w:proofErr w:type="spellStart"/>
      <w:r w:rsidRPr="000D2379">
        <w:rPr>
          <w:rFonts w:asciiTheme="minorHAnsi" w:hAnsiTheme="minorHAnsi"/>
          <w:i/>
          <w:sz w:val="18"/>
          <w:szCs w:val="18"/>
        </w:rPr>
        <w:t>Winterwerp</w:t>
      </w:r>
      <w:proofErr w:type="spellEnd"/>
      <w:r w:rsidRPr="000D2379">
        <w:rPr>
          <w:rFonts w:asciiTheme="minorHAnsi" w:hAnsiTheme="minorHAnsi"/>
          <w:i/>
          <w:sz w:val="18"/>
          <w:szCs w:val="18"/>
        </w:rPr>
        <w:t xml:space="preserve"> v Netherlands </w:t>
      </w:r>
      <w:r w:rsidRPr="000D2379">
        <w:rPr>
          <w:rFonts w:asciiTheme="minorHAnsi" w:hAnsiTheme="minorHAnsi"/>
          <w:sz w:val="18"/>
          <w:szCs w:val="18"/>
        </w:rPr>
        <w:t xml:space="preserve">(1997) 2 EHRR 387. Such expertise is not required in an emergency but must be obtained as soon as possible thereafter. </w:t>
      </w:r>
    </w:p>
    <w:p w:rsidR="002F164D" w:rsidRPr="000D2379" w:rsidRDefault="002F164D" w:rsidP="00596207">
      <w:pPr>
        <w:pStyle w:val="FootnoteText"/>
        <w:jc w:val="both"/>
        <w:rPr>
          <w:rFonts w:asciiTheme="minorHAnsi" w:hAnsiTheme="minorHAnsi"/>
          <w:sz w:val="18"/>
          <w:szCs w:val="18"/>
        </w:rPr>
      </w:pPr>
    </w:p>
  </w:footnote>
  <w:footnote w:id="129">
    <w:p w:rsidR="002F164D" w:rsidRPr="000D2379" w:rsidRDefault="002F164D" w:rsidP="00B52A69">
      <w:pPr>
        <w:pStyle w:val="FootnoteText"/>
        <w:jc w:val="both"/>
        <w:rPr>
          <w:rFonts w:asciiTheme="minorHAnsi" w:hAnsiTheme="minorHAnsi"/>
          <w:sz w:val="18"/>
          <w:szCs w:val="18"/>
        </w:rPr>
      </w:pPr>
      <w:r w:rsidRPr="000D2379">
        <w:rPr>
          <w:rStyle w:val="FootnoteReference"/>
          <w:rFonts w:asciiTheme="minorHAnsi" w:hAnsiTheme="minorHAnsi"/>
          <w:sz w:val="18"/>
          <w:szCs w:val="18"/>
        </w:rPr>
        <w:footnoteRef/>
      </w:r>
      <w:r w:rsidRPr="000D2379">
        <w:rPr>
          <w:rFonts w:asciiTheme="minorHAnsi" w:hAnsiTheme="minorHAnsi"/>
          <w:sz w:val="18"/>
          <w:szCs w:val="18"/>
        </w:rPr>
        <w:t xml:space="preserve"> </w:t>
      </w:r>
      <w:r w:rsidRPr="00F565FB">
        <w:rPr>
          <w:rFonts w:asciiTheme="minorHAnsi" w:hAnsiTheme="minorHAnsi"/>
          <w:i/>
          <w:sz w:val="18"/>
          <w:szCs w:val="18"/>
        </w:rPr>
        <w:t>Law Commission Consultation on Mental Capacity and Deprivation of Liberty</w:t>
      </w:r>
      <w:r w:rsidRPr="000D2379">
        <w:rPr>
          <w:rFonts w:asciiTheme="minorHAnsi" w:hAnsiTheme="minorHAnsi"/>
          <w:sz w:val="18"/>
          <w:szCs w:val="18"/>
        </w:rPr>
        <w:t xml:space="preserve"> </w:t>
      </w:r>
      <w:r>
        <w:rPr>
          <w:rFonts w:asciiTheme="minorHAnsi" w:hAnsiTheme="minorHAnsi"/>
          <w:sz w:val="18"/>
          <w:szCs w:val="18"/>
        </w:rPr>
        <w:t xml:space="preserve">(2015) </w:t>
      </w:r>
      <w:r w:rsidRPr="000D2379">
        <w:rPr>
          <w:rFonts w:asciiTheme="minorHAnsi" w:hAnsiTheme="minorHAnsi"/>
          <w:sz w:val="18"/>
          <w:szCs w:val="18"/>
        </w:rPr>
        <w:t xml:space="preserve">at 7.174 citing </w:t>
      </w:r>
      <w:proofErr w:type="spellStart"/>
      <w:r w:rsidRPr="000D2379">
        <w:rPr>
          <w:rFonts w:asciiTheme="minorHAnsi" w:hAnsiTheme="minorHAnsi"/>
          <w:i/>
          <w:sz w:val="18"/>
          <w:szCs w:val="18"/>
        </w:rPr>
        <w:t>Nagach</w:t>
      </w:r>
      <w:proofErr w:type="spellEnd"/>
      <w:r w:rsidRPr="000D2379">
        <w:rPr>
          <w:rFonts w:asciiTheme="minorHAnsi" w:hAnsiTheme="minorHAnsi"/>
          <w:i/>
          <w:sz w:val="18"/>
          <w:szCs w:val="18"/>
        </w:rPr>
        <w:t xml:space="preserve"> v Netherlands </w:t>
      </w:r>
      <w:r w:rsidRPr="000D2379">
        <w:rPr>
          <w:rFonts w:asciiTheme="minorHAnsi" w:hAnsiTheme="minorHAnsi"/>
          <w:sz w:val="18"/>
          <w:szCs w:val="18"/>
        </w:rPr>
        <w:t>App No 5379/02 (Admissibility).</w:t>
      </w:r>
    </w:p>
    <w:p w:rsidR="002F164D" w:rsidRPr="000D2379" w:rsidRDefault="002F164D" w:rsidP="00B52A69">
      <w:pPr>
        <w:pStyle w:val="FootnoteText"/>
        <w:jc w:val="both"/>
        <w:rPr>
          <w:rFonts w:asciiTheme="minorHAnsi" w:hAnsiTheme="minorHAnsi"/>
          <w:i/>
          <w:sz w:val="18"/>
          <w:szCs w:val="18"/>
        </w:rPr>
      </w:pPr>
    </w:p>
  </w:footnote>
  <w:footnote w:id="130">
    <w:p w:rsidR="002F164D" w:rsidRPr="00B01E4B" w:rsidRDefault="002F164D" w:rsidP="00596207">
      <w:pPr>
        <w:pStyle w:val="FootnoteText"/>
        <w:rPr>
          <w:rFonts w:asciiTheme="minorHAnsi" w:hAnsiTheme="minorHAnsi"/>
          <w:sz w:val="18"/>
          <w:szCs w:val="18"/>
        </w:rPr>
      </w:pPr>
      <w:r>
        <w:rPr>
          <w:rStyle w:val="FootnoteReference"/>
        </w:rPr>
        <w:footnoteRef/>
      </w:r>
      <w:r>
        <w:t xml:space="preserve"> </w:t>
      </w:r>
      <w:r w:rsidRPr="00B01E4B">
        <w:rPr>
          <w:rFonts w:asciiTheme="minorHAnsi" w:hAnsiTheme="minorHAnsi"/>
          <w:sz w:val="18"/>
          <w:szCs w:val="18"/>
        </w:rPr>
        <w:t xml:space="preserve">The ‘deviation’ cases discussed above. </w:t>
      </w:r>
    </w:p>
    <w:p w:rsidR="002F164D" w:rsidRDefault="002F164D" w:rsidP="00596207">
      <w:pPr>
        <w:pStyle w:val="FootnoteText"/>
      </w:pPr>
    </w:p>
  </w:footnote>
  <w:footnote w:id="131">
    <w:p w:rsidR="002F164D" w:rsidRPr="00C9678B" w:rsidRDefault="002F164D" w:rsidP="009029F3">
      <w:pPr>
        <w:pStyle w:val="FootnoteText"/>
      </w:pPr>
      <w:r>
        <w:rPr>
          <w:rStyle w:val="FootnoteReference"/>
        </w:rPr>
        <w:footnoteRef/>
      </w:r>
      <w:r>
        <w:t xml:space="preserve"> </w:t>
      </w:r>
      <w:r w:rsidRPr="00CA169C">
        <w:rPr>
          <w:rFonts w:asciiTheme="minorHAnsi" w:hAnsiTheme="minorHAnsi"/>
          <w:i/>
          <w:sz w:val="18"/>
          <w:szCs w:val="18"/>
        </w:rPr>
        <w:t>Ibid.</w:t>
      </w:r>
      <w:r>
        <w:rPr>
          <w:i/>
        </w:rPr>
        <w:t xml:space="preserve"> </w:t>
      </w:r>
      <w:r w:rsidRPr="00CA169C">
        <w:rPr>
          <w:rFonts w:asciiTheme="minorHAnsi" w:hAnsiTheme="minorHAnsi"/>
          <w:sz w:val="18"/>
          <w:szCs w:val="18"/>
        </w:rPr>
        <w:t xml:space="preserve">at </w:t>
      </w:r>
      <w:proofErr w:type="spellStart"/>
      <w:r w:rsidRPr="00CA169C">
        <w:rPr>
          <w:rFonts w:asciiTheme="minorHAnsi" w:hAnsiTheme="minorHAnsi"/>
          <w:sz w:val="18"/>
          <w:szCs w:val="18"/>
        </w:rPr>
        <w:t>para</w:t>
      </w:r>
      <w:proofErr w:type="spellEnd"/>
      <w:r w:rsidRPr="00CA169C">
        <w:rPr>
          <w:rFonts w:asciiTheme="minorHAnsi" w:hAnsiTheme="minorHAnsi"/>
          <w:sz w:val="18"/>
          <w:szCs w:val="18"/>
        </w:rPr>
        <w:t xml:space="preserve"> [40]. </w:t>
      </w:r>
    </w:p>
    <w:p w:rsidR="002F164D" w:rsidRPr="009D6405" w:rsidRDefault="002F164D" w:rsidP="009029F3">
      <w:pPr>
        <w:pStyle w:val="FootnoteText"/>
        <w:rPr>
          <w:i/>
        </w:rPr>
      </w:pPr>
    </w:p>
  </w:footnote>
  <w:footnote w:id="132">
    <w:p w:rsidR="002F164D" w:rsidRPr="00A0361F" w:rsidRDefault="002F164D" w:rsidP="009029F3">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Article </w:t>
      </w:r>
      <w:r>
        <w:rPr>
          <w:rFonts w:asciiTheme="minorHAnsi" w:hAnsiTheme="minorHAnsi"/>
          <w:sz w:val="18"/>
          <w:szCs w:val="18"/>
        </w:rPr>
        <w:t>4</w:t>
      </w:r>
      <w:r w:rsidRPr="00CA169C">
        <w:rPr>
          <w:rFonts w:asciiTheme="minorHAnsi" w:hAnsiTheme="minorHAnsi"/>
          <w:sz w:val="18"/>
          <w:szCs w:val="18"/>
        </w:rPr>
        <w:t>.</w:t>
      </w:r>
    </w:p>
    <w:p w:rsidR="002F164D" w:rsidRDefault="002F164D" w:rsidP="009029F3">
      <w:pPr>
        <w:pStyle w:val="FootnoteText"/>
      </w:pPr>
    </w:p>
  </w:footnote>
  <w:footnote w:id="133">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S. </w:t>
      </w:r>
      <w:proofErr w:type="spellStart"/>
      <w:r w:rsidRPr="00CA169C">
        <w:rPr>
          <w:rFonts w:asciiTheme="minorHAnsi" w:hAnsiTheme="minorHAnsi"/>
          <w:sz w:val="18"/>
          <w:szCs w:val="18"/>
        </w:rPr>
        <w:t>Sarker</w:t>
      </w:r>
      <w:proofErr w:type="spellEnd"/>
      <w:r w:rsidRPr="00CA169C">
        <w:rPr>
          <w:rFonts w:asciiTheme="minorHAnsi" w:hAnsiTheme="minorHAnsi"/>
          <w:sz w:val="18"/>
          <w:szCs w:val="18"/>
        </w:rPr>
        <w:t xml:space="preserve"> and G. </w:t>
      </w:r>
      <w:proofErr w:type="spellStart"/>
      <w:r w:rsidRPr="00CA169C">
        <w:rPr>
          <w:rFonts w:asciiTheme="minorHAnsi" w:hAnsiTheme="minorHAnsi"/>
          <w:sz w:val="18"/>
          <w:szCs w:val="18"/>
        </w:rPr>
        <w:t>Adshead</w:t>
      </w:r>
      <w:proofErr w:type="spellEnd"/>
      <w:r w:rsidRPr="00CA169C">
        <w:rPr>
          <w:rFonts w:asciiTheme="minorHAnsi" w:hAnsiTheme="minorHAnsi"/>
          <w:sz w:val="18"/>
          <w:szCs w:val="18"/>
        </w:rPr>
        <w:t xml:space="preserve">, ‘Black robes and white coats: who will win the new mental health tribunals?’ (2005) 186 </w:t>
      </w:r>
      <w:r w:rsidRPr="00CA169C">
        <w:rPr>
          <w:rFonts w:asciiTheme="minorHAnsi" w:hAnsiTheme="minorHAnsi"/>
          <w:i/>
          <w:sz w:val="18"/>
          <w:szCs w:val="18"/>
        </w:rPr>
        <w:t xml:space="preserve">Brit J of Psychiatry </w:t>
      </w:r>
      <w:r w:rsidRPr="00CA169C">
        <w:rPr>
          <w:rFonts w:asciiTheme="minorHAnsi" w:hAnsiTheme="minorHAnsi"/>
          <w:sz w:val="18"/>
          <w:szCs w:val="18"/>
        </w:rPr>
        <w:t>96.</w:t>
      </w:r>
    </w:p>
    <w:p w:rsidR="002F164D" w:rsidRPr="001D2835" w:rsidRDefault="002F164D" w:rsidP="0085767D">
      <w:pPr>
        <w:pStyle w:val="FootnoteText"/>
        <w:jc w:val="both"/>
        <w:rPr>
          <w:rFonts w:asciiTheme="minorHAnsi" w:hAnsiTheme="minorHAnsi"/>
          <w:sz w:val="18"/>
          <w:szCs w:val="18"/>
        </w:rPr>
      </w:pPr>
    </w:p>
  </w:footnote>
  <w:footnote w:id="134">
    <w:p w:rsidR="002F164D" w:rsidRPr="001D2835" w:rsidRDefault="002F164D" w:rsidP="0085767D">
      <w:pPr>
        <w:autoSpaceDE w:val="0"/>
        <w:autoSpaceDN w:val="0"/>
        <w:adjustRightInd w:val="0"/>
        <w:spacing w:after="0" w:line="240" w:lineRule="auto"/>
        <w:jc w:val="both"/>
        <w:rPr>
          <w:i/>
          <w:sz w:val="18"/>
          <w:szCs w:val="18"/>
        </w:rPr>
      </w:pPr>
      <w:r>
        <w:rPr>
          <w:rStyle w:val="FootnoteReference"/>
          <w:sz w:val="18"/>
          <w:szCs w:val="18"/>
        </w:rPr>
        <w:footnoteRef/>
      </w:r>
      <w:r w:rsidRPr="00CA169C">
        <w:rPr>
          <w:sz w:val="18"/>
          <w:szCs w:val="18"/>
        </w:rPr>
        <w:t xml:space="preserve"> B. Angell and G. Bolden, ‘</w:t>
      </w:r>
      <w:proofErr w:type="gramStart"/>
      <w:r w:rsidRPr="00CA169C">
        <w:rPr>
          <w:rFonts w:cs="AdvOT863180fb"/>
          <w:sz w:val="18"/>
          <w:szCs w:val="18"/>
        </w:rPr>
        <w:t>Justifying</w:t>
      </w:r>
      <w:proofErr w:type="gramEnd"/>
      <w:r w:rsidRPr="00CA169C">
        <w:rPr>
          <w:rFonts w:cs="AdvOT863180fb"/>
          <w:sz w:val="18"/>
          <w:szCs w:val="18"/>
        </w:rPr>
        <w:t xml:space="preserve"> medication decisions in mental health care: Psychiatrists' accounts for treatment recommendations.’</w:t>
      </w:r>
      <w:r w:rsidRPr="00CA169C">
        <w:rPr>
          <w:sz w:val="18"/>
          <w:szCs w:val="18"/>
        </w:rPr>
        <w:t xml:space="preserve"> </w:t>
      </w:r>
      <w:proofErr w:type="gramStart"/>
      <w:r w:rsidRPr="00CA169C">
        <w:rPr>
          <w:sz w:val="18"/>
          <w:szCs w:val="18"/>
        </w:rPr>
        <w:t xml:space="preserve">(2015) 138 </w:t>
      </w:r>
      <w:r w:rsidRPr="00CA169C">
        <w:rPr>
          <w:i/>
          <w:sz w:val="18"/>
          <w:szCs w:val="18"/>
        </w:rPr>
        <w:t xml:space="preserve">Social Science and Medicine </w:t>
      </w:r>
      <w:r w:rsidRPr="00CA169C">
        <w:rPr>
          <w:sz w:val="18"/>
          <w:szCs w:val="18"/>
        </w:rPr>
        <w:t>44</w:t>
      </w:r>
      <w:r w:rsidRPr="00CA169C">
        <w:rPr>
          <w:i/>
          <w:sz w:val="18"/>
          <w:szCs w:val="18"/>
        </w:rPr>
        <w:t>.</w:t>
      </w:r>
      <w:proofErr w:type="gramEnd"/>
    </w:p>
    <w:p w:rsidR="002F164D" w:rsidRPr="001D2835" w:rsidRDefault="002F164D" w:rsidP="0085767D">
      <w:pPr>
        <w:pStyle w:val="FootnoteText"/>
        <w:jc w:val="both"/>
        <w:rPr>
          <w:rFonts w:asciiTheme="minorHAnsi" w:hAnsiTheme="minorHAnsi"/>
          <w:sz w:val="18"/>
          <w:szCs w:val="18"/>
        </w:rPr>
      </w:pPr>
    </w:p>
  </w:footnote>
  <w:footnote w:id="135">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J. </w:t>
      </w:r>
      <w:proofErr w:type="spellStart"/>
      <w:r w:rsidRPr="00CA169C">
        <w:rPr>
          <w:rFonts w:asciiTheme="minorHAnsi" w:hAnsiTheme="minorHAnsi"/>
          <w:sz w:val="18"/>
          <w:szCs w:val="18"/>
        </w:rPr>
        <w:t>Peay</w:t>
      </w:r>
      <w:proofErr w:type="spellEnd"/>
      <w:r w:rsidRPr="00CA169C">
        <w:rPr>
          <w:rFonts w:asciiTheme="minorHAnsi" w:hAnsiTheme="minorHAnsi"/>
          <w:sz w:val="18"/>
          <w:szCs w:val="18"/>
        </w:rPr>
        <w:t xml:space="preserve">, </w:t>
      </w:r>
      <w:r w:rsidRPr="00CA169C">
        <w:rPr>
          <w:rFonts w:asciiTheme="minorHAnsi" w:hAnsiTheme="minorHAnsi"/>
          <w:i/>
          <w:sz w:val="18"/>
          <w:szCs w:val="18"/>
        </w:rPr>
        <w:t xml:space="preserve">Tribunals on Trial: A study of decision making under the Mental Health Act 1983. </w:t>
      </w:r>
      <w:r w:rsidRPr="00CA169C">
        <w:rPr>
          <w:rFonts w:asciiTheme="minorHAnsi" w:hAnsiTheme="minorHAnsi"/>
          <w:sz w:val="18"/>
          <w:szCs w:val="18"/>
        </w:rPr>
        <w:t xml:space="preserve">(Clarendon, 1989). </w:t>
      </w:r>
    </w:p>
    <w:p w:rsidR="002F164D" w:rsidRPr="001D2835" w:rsidRDefault="002F164D" w:rsidP="0085767D">
      <w:pPr>
        <w:pStyle w:val="FootnoteText"/>
        <w:jc w:val="both"/>
        <w:rPr>
          <w:rFonts w:asciiTheme="minorHAnsi" w:hAnsiTheme="minorHAnsi"/>
          <w:sz w:val="18"/>
          <w:szCs w:val="18"/>
        </w:rPr>
      </w:pPr>
    </w:p>
  </w:footnote>
  <w:footnote w:id="136">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J. </w:t>
      </w:r>
      <w:proofErr w:type="spellStart"/>
      <w:r w:rsidRPr="00CA169C">
        <w:rPr>
          <w:rFonts w:asciiTheme="minorHAnsi" w:hAnsiTheme="minorHAnsi"/>
          <w:sz w:val="18"/>
          <w:szCs w:val="18"/>
        </w:rPr>
        <w:t>Peay</w:t>
      </w:r>
      <w:proofErr w:type="spellEnd"/>
      <w:r w:rsidRPr="00CA169C">
        <w:rPr>
          <w:rFonts w:asciiTheme="minorHAnsi" w:hAnsiTheme="minorHAnsi"/>
          <w:sz w:val="18"/>
          <w:szCs w:val="18"/>
        </w:rPr>
        <w:t xml:space="preserve">, </w:t>
      </w:r>
      <w:r w:rsidRPr="00CA169C">
        <w:rPr>
          <w:rFonts w:asciiTheme="minorHAnsi" w:hAnsiTheme="minorHAnsi"/>
          <w:i/>
          <w:sz w:val="18"/>
          <w:szCs w:val="18"/>
        </w:rPr>
        <w:t xml:space="preserve">Decisions and Dilemmas: Working with Mental Health Law. </w:t>
      </w:r>
      <w:r w:rsidRPr="00CA169C">
        <w:rPr>
          <w:rFonts w:asciiTheme="minorHAnsi" w:hAnsiTheme="minorHAnsi"/>
          <w:sz w:val="18"/>
          <w:szCs w:val="18"/>
        </w:rPr>
        <w:t>(Hart Publishing, 2003) pp.14-16.</w:t>
      </w:r>
    </w:p>
    <w:p w:rsidR="002F164D" w:rsidRPr="001D2835" w:rsidRDefault="002F164D" w:rsidP="0085767D">
      <w:pPr>
        <w:pStyle w:val="FootnoteText"/>
        <w:jc w:val="both"/>
        <w:rPr>
          <w:rFonts w:asciiTheme="minorHAnsi" w:hAnsiTheme="minorHAnsi"/>
          <w:sz w:val="18"/>
          <w:szCs w:val="18"/>
        </w:rPr>
      </w:pPr>
    </w:p>
  </w:footnote>
  <w:footnote w:id="137">
    <w:p w:rsidR="002F164D" w:rsidRPr="001D2835" w:rsidRDefault="002F164D">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See Select Committee on the Mental Capacity Act 2005, Mental Capacity Act 2005: Post-Legislative Scrutiny, HL Paper 139, particularly 84 to 89.</w:t>
      </w:r>
    </w:p>
    <w:p w:rsidR="002F164D" w:rsidRPr="001D2835" w:rsidRDefault="002F164D">
      <w:pPr>
        <w:pStyle w:val="FootnoteText"/>
        <w:rPr>
          <w:rFonts w:asciiTheme="minorHAnsi" w:hAnsiTheme="minorHAnsi"/>
          <w:sz w:val="18"/>
          <w:szCs w:val="18"/>
        </w:rPr>
      </w:pPr>
    </w:p>
  </w:footnote>
  <w:footnote w:id="138">
    <w:p w:rsidR="002F164D" w:rsidRPr="001D2835" w:rsidRDefault="002F164D" w:rsidP="009E28AB">
      <w:pPr>
        <w:jc w:val="both"/>
        <w:rPr>
          <w:sz w:val="18"/>
          <w:szCs w:val="18"/>
        </w:rPr>
      </w:pPr>
      <w:r>
        <w:rPr>
          <w:rStyle w:val="FootnoteReference"/>
          <w:sz w:val="18"/>
          <w:szCs w:val="18"/>
        </w:rPr>
        <w:footnoteRef/>
      </w:r>
      <w:r w:rsidRPr="00CA169C">
        <w:rPr>
          <w:sz w:val="18"/>
          <w:szCs w:val="18"/>
        </w:rPr>
        <w:t xml:space="preserve"> R. Cairns et al, ‘Prevalence and predictors of mental incapacity in psychiatric in-patients’ (2005) 187 </w:t>
      </w:r>
      <w:r w:rsidRPr="00CA169C">
        <w:rPr>
          <w:i/>
          <w:sz w:val="18"/>
          <w:szCs w:val="18"/>
        </w:rPr>
        <w:t>British Journal of Psychiatry</w:t>
      </w:r>
      <w:r w:rsidRPr="00CA169C">
        <w:rPr>
          <w:sz w:val="18"/>
          <w:szCs w:val="18"/>
        </w:rPr>
        <w:t xml:space="preserve"> 379; S. Whyte et al, ‘Testing Doctors’ Ability to Assess Patients’ Competence’ ( 2004 ) 27 </w:t>
      </w:r>
      <w:r w:rsidRPr="00CA169C">
        <w:rPr>
          <w:i/>
          <w:sz w:val="18"/>
          <w:szCs w:val="18"/>
        </w:rPr>
        <w:t xml:space="preserve">International Journal of Law and Psychiatry </w:t>
      </w:r>
      <w:r w:rsidRPr="00CA169C">
        <w:rPr>
          <w:sz w:val="18"/>
          <w:szCs w:val="18"/>
        </w:rPr>
        <w:t xml:space="preserve">291; </w:t>
      </w:r>
      <w:proofErr w:type="spellStart"/>
      <w:r w:rsidRPr="00CA169C">
        <w:rPr>
          <w:sz w:val="18"/>
          <w:szCs w:val="18"/>
        </w:rPr>
        <w:t>Mukherjee</w:t>
      </w:r>
      <w:proofErr w:type="spellEnd"/>
      <w:r w:rsidRPr="00CA169C">
        <w:rPr>
          <w:sz w:val="18"/>
          <w:szCs w:val="18"/>
        </w:rPr>
        <w:t xml:space="preserve"> S, Shah AK, ‘The prevalence and correlates of capacity to consent to a geriatric psychiatry admission’. (2001) 5 </w:t>
      </w:r>
      <w:r w:rsidRPr="00CA169C">
        <w:rPr>
          <w:i/>
          <w:sz w:val="18"/>
          <w:szCs w:val="18"/>
        </w:rPr>
        <w:t xml:space="preserve">Ageing &amp; Mental Health </w:t>
      </w:r>
      <w:r w:rsidRPr="00CA169C">
        <w:rPr>
          <w:sz w:val="18"/>
          <w:szCs w:val="18"/>
        </w:rPr>
        <w:t>335.</w:t>
      </w:r>
    </w:p>
  </w:footnote>
  <w:footnote w:id="139">
    <w:p w:rsidR="002F164D" w:rsidRPr="001D2835" w:rsidRDefault="002F164D" w:rsidP="009E28AB">
      <w:pPr>
        <w:rPr>
          <w:sz w:val="18"/>
          <w:szCs w:val="18"/>
        </w:rPr>
      </w:pPr>
      <w:r>
        <w:rPr>
          <w:rStyle w:val="FootnoteReference"/>
          <w:sz w:val="18"/>
          <w:szCs w:val="18"/>
        </w:rPr>
        <w:footnoteRef/>
      </w:r>
      <w:r w:rsidRPr="00CA169C">
        <w:rPr>
          <w:sz w:val="18"/>
          <w:szCs w:val="18"/>
        </w:rPr>
        <w:t xml:space="preserve"> V. </w:t>
      </w:r>
      <w:proofErr w:type="spellStart"/>
      <w:r w:rsidRPr="00CA169C">
        <w:rPr>
          <w:sz w:val="18"/>
          <w:szCs w:val="18"/>
        </w:rPr>
        <w:t>Raymont</w:t>
      </w:r>
      <w:proofErr w:type="spellEnd"/>
      <w:r w:rsidRPr="00CA169C">
        <w:rPr>
          <w:sz w:val="18"/>
          <w:szCs w:val="18"/>
        </w:rPr>
        <w:t xml:space="preserve"> et al., ‘Prevalence of mental incapacity in medical inpatients and associated risk factors: cross-sectional study.’ (2004) 364 </w:t>
      </w:r>
      <w:r w:rsidRPr="00CA169C">
        <w:rPr>
          <w:i/>
          <w:sz w:val="18"/>
          <w:szCs w:val="18"/>
        </w:rPr>
        <w:t>Lancet</w:t>
      </w:r>
      <w:r w:rsidRPr="00CA169C">
        <w:rPr>
          <w:sz w:val="18"/>
          <w:szCs w:val="18"/>
        </w:rPr>
        <w:t xml:space="preserve"> 1421. See also the House of Lords which suggested that whilst there were problems of</w:t>
      </w:r>
      <w:r>
        <w:rPr>
          <w:sz w:val="18"/>
          <w:szCs w:val="18"/>
        </w:rPr>
        <w:t xml:space="preserve"> over-identification of incapacity,</w:t>
      </w:r>
      <w:r w:rsidRPr="00CA169C">
        <w:rPr>
          <w:sz w:val="18"/>
          <w:szCs w:val="18"/>
        </w:rPr>
        <w:t xml:space="preserve"> equally there were problems of the presumption of capacity being used as a device to avoid responsibility for decision making (at 105).</w:t>
      </w:r>
    </w:p>
  </w:footnote>
  <w:footnote w:id="140">
    <w:p w:rsidR="002F164D" w:rsidRDefault="002F164D">
      <w:pPr>
        <w:pStyle w:val="FootnoteText"/>
        <w:rPr>
          <w:rFonts w:asciiTheme="minorHAnsi" w:hAnsiTheme="minorHAnsi"/>
          <w:sz w:val="18"/>
          <w:szCs w:val="18"/>
        </w:rPr>
      </w:pPr>
      <w:r w:rsidRPr="00CA169C">
        <w:rPr>
          <w:rStyle w:val="FootnoteReference"/>
          <w:rFonts w:asciiTheme="minorHAnsi" w:hAnsiTheme="minorHAnsi"/>
          <w:sz w:val="18"/>
          <w:szCs w:val="18"/>
        </w:rPr>
        <w:footnoteRef/>
      </w:r>
      <w:r w:rsidRPr="00CA169C">
        <w:rPr>
          <w:rFonts w:asciiTheme="minorHAnsi" w:hAnsiTheme="minorHAnsi"/>
          <w:sz w:val="18"/>
          <w:szCs w:val="18"/>
        </w:rPr>
        <w:t xml:space="preserve"> </w:t>
      </w:r>
      <w:r>
        <w:rPr>
          <w:rFonts w:asciiTheme="minorHAnsi" w:hAnsiTheme="minorHAnsi"/>
          <w:sz w:val="18"/>
          <w:szCs w:val="18"/>
        </w:rPr>
        <w:t>F</w:t>
      </w:r>
      <w:r w:rsidRPr="00CA169C">
        <w:rPr>
          <w:rFonts w:asciiTheme="minorHAnsi" w:hAnsiTheme="minorHAnsi"/>
          <w:sz w:val="18"/>
          <w:szCs w:val="18"/>
        </w:rPr>
        <w:t xml:space="preserve">or a recent exception, see the case of </w:t>
      </w:r>
      <w:r w:rsidRPr="00CA169C">
        <w:rPr>
          <w:rFonts w:asciiTheme="minorHAnsi" w:hAnsiTheme="minorHAnsi"/>
          <w:i/>
          <w:sz w:val="18"/>
          <w:szCs w:val="18"/>
        </w:rPr>
        <w:t xml:space="preserve">Re CD </w:t>
      </w:r>
      <w:r w:rsidRPr="00CA169C">
        <w:rPr>
          <w:rFonts w:asciiTheme="minorHAnsi" w:hAnsiTheme="minorHAnsi"/>
          <w:sz w:val="18"/>
          <w:szCs w:val="18"/>
        </w:rPr>
        <w:t xml:space="preserve">[2015] 74 – assessment of capacity to consent to surgical removal of ovarian masses. </w:t>
      </w:r>
    </w:p>
    <w:p w:rsidR="002F164D" w:rsidRPr="001D2835" w:rsidRDefault="002F164D">
      <w:pPr>
        <w:pStyle w:val="FootnoteText"/>
        <w:rPr>
          <w:rFonts w:asciiTheme="minorHAnsi" w:hAnsiTheme="minorHAnsi"/>
          <w:sz w:val="18"/>
          <w:szCs w:val="18"/>
        </w:rPr>
      </w:pPr>
    </w:p>
  </w:footnote>
  <w:footnote w:id="141">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E.g. </w:t>
      </w:r>
      <w:r w:rsidRPr="00CA169C">
        <w:rPr>
          <w:rFonts w:asciiTheme="minorHAnsi" w:hAnsiTheme="minorHAnsi"/>
          <w:i/>
          <w:sz w:val="18"/>
          <w:szCs w:val="18"/>
        </w:rPr>
        <w:t>Oldham MBC v GW and PW</w:t>
      </w:r>
      <w:r>
        <w:rPr>
          <w:rStyle w:val="apple-converted-space"/>
          <w:rFonts w:asciiTheme="minorHAnsi" w:hAnsiTheme="minorHAnsi"/>
          <w:sz w:val="18"/>
          <w:szCs w:val="18"/>
        </w:rPr>
        <w:t> </w:t>
      </w:r>
      <w:hyperlink r:id="rId6" w:tooltip="Link to BAILII version" w:history="1">
        <w:r>
          <w:rPr>
            <w:rStyle w:val="Hyperlink"/>
            <w:rFonts w:asciiTheme="minorHAnsi" w:hAnsiTheme="minorHAnsi"/>
            <w:color w:val="auto"/>
            <w:sz w:val="18"/>
            <w:szCs w:val="18"/>
            <w:u w:val="none"/>
          </w:rPr>
          <w:t>[2007] EWHC136 (</w:t>
        </w:r>
        <w:proofErr w:type="spellStart"/>
        <w:r>
          <w:rPr>
            <w:rStyle w:val="Hyperlink"/>
            <w:rFonts w:asciiTheme="minorHAnsi" w:hAnsiTheme="minorHAnsi"/>
            <w:color w:val="auto"/>
            <w:sz w:val="18"/>
            <w:szCs w:val="18"/>
            <w:u w:val="none"/>
          </w:rPr>
          <w:t>Fam</w:t>
        </w:r>
        <w:proofErr w:type="spellEnd"/>
        <w:r>
          <w:rPr>
            <w:rStyle w:val="Hyperlink"/>
            <w:rFonts w:asciiTheme="minorHAnsi" w:hAnsiTheme="minorHAnsi"/>
            <w:color w:val="auto"/>
            <w:sz w:val="18"/>
            <w:szCs w:val="18"/>
            <w:u w:val="none"/>
          </w:rPr>
          <w:t>)</w:t>
        </w:r>
      </w:hyperlink>
      <w:hyperlink r:id="rId7" w:tooltip="Link to BAILII version" w:history="1"/>
      <w:r w:rsidRPr="00CA169C">
        <w:rPr>
          <w:rFonts w:asciiTheme="minorHAnsi" w:hAnsiTheme="minorHAnsi"/>
          <w:sz w:val="18"/>
          <w:szCs w:val="18"/>
        </w:rPr>
        <w:t xml:space="preserve">, cited with approval in e.g. </w:t>
      </w:r>
      <w:r w:rsidRPr="00CA169C">
        <w:rPr>
          <w:rFonts w:asciiTheme="minorHAnsi" w:hAnsiTheme="minorHAnsi"/>
          <w:i/>
          <w:sz w:val="18"/>
          <w:szCs w:val="18"/>
        </w:rPr>
        <w:t xml:space="preserve">CC v STCC </w:t>
      </w:r>
      <w:r w:rsidRPr="00CA169C">
        <w:rPr>
          <w:rFonts w:asciiTheme="minorHAnsi" w:hAnsiTheme="minorHAnsi"/>
          <w:sz w:val="18"/>
          <w:szCs w:val="18"/>
        </w:rPr>
        <w:t xml:space="preserve">[2012] EWCOP 2136; </w:t>
      </w:r>
      <w:r w:rsidRPr="00CA169C">
        <w:rPr>
          <w:rFonts w:asciiTheme="minorHAnsi" w:hAnsiTheme="minorHAnsi"/>
          <w:i/>
          <w:sz w:val="18"/>
          <w:szCs w:val="18"/>
        </w:rPr>
        <w:t>PH v A Local Authority</w:t>
      </w:r>
      <w:r w:rsidRPr="00CA169C">
        <w:rPr>
          <w:rFonts w:asciiTheme="minorHAnsi" w:hAnsiTheme="minorHAnsi"/>
          <w:sz w:val="18"/>
          <w:szCs w:val="18"/>
        </w:rPr>
        <w:t xml:space="preserve"> [2011] EWCOP 1704; </w:t>
      </w:r>
      <w:r w:rsidRPr="00CA169C">
        <w:rPr>
          <w:rFonts w:asciiTheme="minorHAnsi" w:hAnsiTheme="minorHAnsi"/>
          <w:i/>
          <w:sz w:val="18"/>
          <w:szCs w:val="18"/>
        </w:rPr>
        <w:t xml:space="preserve">GW v A Local Authority </w:t>
      </w:r>
      <w:r w:rsidRPr="00CA169C">
        <w:rPr>
          <w:rFonts w:asciiTheme="minorHAnsi" w:hAnsiTheme="minorHAnsi"/>
          <w:sz w:val="18"/>
          <w:szCs w:val="18"/>
        </w:rPr>
        <w:t xml:space="preserve">[2014] EWCOP 20; </w:t>
      </w:r>
      <w:r w:rsidRPr="00CA169C">
        <w:rPr>
          <w:rFonts w:asciiTheme="minorHAnsi" w:hAnsiTheme="minorHAnsi"/>
          <w:i/>
          <w:sz w:val="18"/>
          <w:szCs w:val="18"/>
        </w:rPr>
        <w:t xml:space="preserve">A Local Authority v M </w:t>
      </w:r>
      <w:r w:rsidRPr="00CA169C">
        <w:rPr>
          <w:rFonts w:asciiTheme="minorHAnsi" w:hAnsiTheme="minorHAnsi"/>
          <w:sz w:val="18"/>
          <w:szCs w:val="18"/>
        </w:rPr>
        <w:t xml:space="preserve">[2014] EWCOP 33; </w:t>
      </w:r>
      <w:r w:rsidRPr="00CA169C">
        <w:rPr>
          <w:rFonts w:asciiTheme="minorHAnsi" w:hAnsiTheme="minorHAnsi"/>
          <w:i/>
          <w:sz w:val="18"/>
          <w:szCs w:val="18"/>
        </w:rPr>
        <w:t xml:space="preserve">Kings College  NHS Trust v C </w:t>
      </w:r>
      <w:r w:rsidRPr="00CA169C">
        <w:rPr>
          <w:rFonts w:asciiTheme="minorHAnsi" w:hAnsiTheme="minorHAnsi"/>
          <w:sz w:val="18"/>
          <w:szCs w:val="18"/>
        </w:rPr>
        <w:t>[2015] EWCOP 80;</w:t>
      </w:r>
      <w:r w:rsidRPr="00CA169C">
        <w:rPr>
          <w:rFonts w:asciiTheme="minorHAnsi" w:hAnsiTheme="minorHAnsi"/>
          <w:i/>
          <w:sz w:val="18"/>
          <w:szCs w:val="18"/>
        </w:rPr>
        <w:t xml:space="preserve"> </w:t>
      </w:r>
      <w:r w:rsidRPr="00CA169C">
        <w:rPr>
          <w:rFonts w:asciiTheme="minorHAnsi" w:hAnsiTheme="minorHAnsi"/>
          <w:sz w:val="18"/>
          <w:szCs w:val="18"/>
        </w:rPr>
        <w:t xml:space="preserve">and </w:t>
      </w:r>
      <w:r w:rsidRPr="00CA169C">
        <w:rPr>
          <w:rFonts w:asciiTheme="minorHAnsi" w:hAnsiTheme="minorHAnsi"/>
          <w:i/>
          <w:sz w:val="18"/>
          <w:szCs w:val="18"/>
        </w:rPr>
        <w:t>Re CS</w:t>
      </w:r>
      <w:r w:rsidRPr="00CA169C">
        <w:rPr>
          <w:rFonts w:asciiTheme="minorHAnsi" w:hAnsiTheme="minorHAnsi"/>
          <w:sz w:val="18"/>
          <w:szCs w:val="18"/>
        </w:rPr>
        <w:t xml:space="preserve"> [2016] EWCOP 10.</w:t>
      </w:r>
    </w:p>
  </w:footnote>
  <w:footnote w:id="142">
    <w:p w:rsidR="002F164D" w:rsidRPr="001D2835" w:rsidRDefault="002F164D" w:rsidP="0085767D">
      <w:pPr>
        <w:spacing w:before="100" w:beforeAutospacing="1" w:after="100" w:afterAutospacing="1"/>
        <w:jc w:val="both"/>
        <w:rPr>
          <w:sz w:val="18"/>
          <w:szCs w:val="18"/>
        </w:rPr>
      </w:pPr>
      <w:r>
        <w:rPr>
          <w:rStyle w:val="FootnoteReference"/>
          <w:sz w:val="18"/>
          <w:szCs w:val="18"/>
        </w:rPr>
        <w:footnoteRef/>
      </w:r>
      <w:r w:rsidRPr="00CA169C">
        <w:rPr>
          <w:sz w:val="18"/>
          <w:szCs w:val="18"/>
        </w:rPr>
        <w:t xml:space="preserve"> This general rule of identifying expert witnesses is set out in </w:t>
      </w:r>
      <w:proofErr w:type="spellStart"/>
      <w:r w:rsidRPr="00CA169C">
        <w:rPr>
          <w:sz w:val="18"/>
          <w:szCs w:val="18"/>
        </w:rPr>
        <w:t>para</w:t>
      </w:r>
      <w:proofErr w:type="spellEnd"/>
      <w:r w:rsidRPr="00CA169C">
        <w:rPr>
          <w:sz w:val="18"/>
          <w:szCs w:val="18"/>
        </w:rPr>
        <w:t xml:space="preserve"> 20 of </w:t>
      </w:r>
      <w:r w:rsidRPr="00CA169C">
        <w:rPr>
          <w:rFonts w:eastAsia="Times New Roman" w:cs="Times New Roman"/>
          <w:i/>
          <w:color w:val="000000"/>
          <w:sz w:val="18"/>
          <w:szCs w:val="18"/>
          <w:lang w:eastAsia="en-GB"/>
        </w:rPr>
        <w:t>Practice Guidance (Transparency in the Court Of Protection)</w:t>
      </w:r>
      <w:r w:rsidRPr="00CA169C">
        <w:rPr>
          <w:rFonts w:eastAsia="Times New Roman" w:cs="Times New Roman"/>
          <w:color w:val="000000"/>
          <w:sz w:val="18"/>
          <w:szCs w:val="18"/>
          <w:lang w:eastAsia="en-GB"/>
        </w:rPr>
        <w:t xml:space="preserve"> [2014] EWCOP B2.</w:t>
      </w:r>
    </w:p>
  </w:footnote>
  <w:footnote w:id="143">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M. </w:t>
      </w:r>
      <w:proofErr w:type="spellStart"/>
      <w:r w:rsidRPr="00CA169C">
        <w:rPr>
          <w:rFonts w:asciiTheme="minorHAnsi" w:hAnsiTheme="minorHAnsi"/>
          <w:sz w:val="18"/>
          <w:szCs w:val="18"/>
        </w:rPr>
        <w:t>Galanter</w:t>
      </w:r>
      <w:proofErr w:type="spellEnd"/>
      <w:r w:rsidRPr="00CA169C">
        <w:rPr>
          <w:rFonts w:asciiTheme="minorHAnsi" w:hAnsiTheme="minorHAnsi"/>
          <w:sz w:val="18"/>
          <w:szCs w:val="18"/>
        </w:rPr>
        <w:t>, ‘</w:t>
      </w:r>
      <w:proofErr w:type="gramStart"/>
      <w:r w:rsidRPr="00CA169C">
        <w:rPr>
          <w:rFonts w:asciiTheme="minorHAnsi" w:hAnsiTheme="minorHAnsi"/>
          <w:sz w:val="18"/>
          <w:szCs w:val="18"/>
        </w:rPr>
        <w:t>Why</w:t>
      </w:r>
      <w:proofErr w:type="gramEnd"/>
      <w:r w:rsidRPr="00CA169C">
        <w:rPr>
          <w:rFonts w:asciiTheme="minorHAnsi" w:hAnsiTheme="minorHAnsi"/>
          <w:sz w:val="18"/>
          <w:szCs w:val="18"/>
        </w:rPr>
        <w:t xml:space="preserve"> the “haves” come out ahead: speculation on the limits of legal change.’ (1974) 9(1) </w:t>
      </w:r>
      <w:r w:rsidRPr="00CA169C">
        <w:rPr>
          <w:rFonts w:asciiTheme="minorHAnsi" w:hAnsiTheme="minorHAnsi"/>
          <w:i/>
          <w:sz w:val="18"/>
          <w:szCs w:val="18"/>
        </w:rPr>
        <w:t>Law and Society Review</w:t>
      </w:r>
      <w:r w:rsidRPr="00CA169C">
        <w:rPr>
          <w:rFonts w:asciiTheme="minorHAnsi" w:hAnsiTheme="minorHAnsi"/>
          <w:sz w:val="18"/>
          <w:szCs w:val="18"/>
        </w:rPr>
        <w:t xml:space="preserve"> 165 – a seminal paper which explores the organisational and tactical advantages enjoyed by those repeatedly engaging in litigation as compared with ‘one-</w:t>
      </w:r>
      <w:proofErr w:type="spellStart"/>
      <w:r w:rsidRPr="00CA169C">
        <w:rPr>
          <w:rFonts w:asciiTheme="minorHAnsi" w:hAnsiTheme="minorHAnsi"/>
          <w:sz w:val="18"/>
          <w:szCs w:val="18"/>
        </w:rPr>
        <w:t>shotters</w:t>
      </w:r>
      <w:proofErr w:type="spellEnd"/>
      <w:r w:rsidRPr="00CA169C">
        <w:rPr>
          <w:rFonts w:asciiTheme="minorHAnsi" w:hAnsiTheme="minorHAnsi"/>
          <w:sz w:val="18"/>
          <w:szCs w:val="18"/>
        </w:rPr>
        <w:t xml:space="preserve">’. </w:t>
      </w:r>
    </w:p>
    <w:p w:rsidR="002F164D" w:rsidRPr="001D2835" w:rsidRDefault="002F164D" w:rsidP="0085767D">
      <w:pPr>
        <w:pStyle w:val="FootnoteText"/>
        <w:jc w:val="both"/>
        <w:rPr>
          <w:rFonts w:asciiTheme="minorHAnsi" w:hAnsiTheme="minorHAnsi"/>
          <w:sz w:val="18"/>
          <w:szCs w:val="18"/>
        </w:rPr>
      </w:pPr>
    </w:p>
  </w:footnote>
  <w:footnote w:id="144">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G. Grant and D. </w:t>
      </w:r>
      <w:proofErr w:type="spellStart"/>
      <w:r w:rsidRPr="00CA169C">
        <w:rPr>
          <w:rFonts w:asciiTheme="minorHAnsi" w:hAnsiTheme="minorHAnsi"/>
          <w:sz w:val="18"/>
          <w:szCs w:val="18"/>
        </w:rPr>
        <w:t>Studdert</w:t>
      </w:r>
      <w:proofErr w:type="spellEnd"/>
      <w:r w:rsidRPr="00CA169C">
        <w:rPr>
          <w:rFonts w:asciiTheme="minorHAnsi" w:hAnsiTheme="minorHAnsi"/>
          <w:sz w:val="18"/>
          <w:szCs w:val="18"/>
        </w:rPr>
        <w:t>, ‘</w:t>
      </w:r>
      <w:proofErr w:type="gramStart"/>
      <w:r w:rsidRPr="00CA169C">
        <w:rPr>
          <w:rFonts w:asciiTheme="minorHAnsi" w:hAnsiTheme="minorHAnsi"/>
          <w:sz w:val="18"/>
          <w:szCs w:val="18"/>
        </w:rPr>
        <w:t>The</w:t>
      </w:r>
      <w:proofErr w:type="gramEnd"/>
      <w:r w:rsidRPr="00CA169C">
        <w:rPr>
          <w:rFonts w:asciiTheme="minorHAnsi" w:hAnsiTheme="minorHAnsi"/>
          <w:sz w:val="18"/>
          <w:szCs w:val="18"/>
        </w:rPr>
        <w:t xml:space="preserve"> injury brokers: an empirical profile of medical expert witnesses in personal injury litigation.’ </w:t>
      </w:r>
      <w:proofErr w:type="gramStart"/>
      <w:r w:rsidRPr="00CA169C">
        <w:rPr>
          <w:rFonts w:asciiTheme="minorHAnsi" w:hAnsiTheme="minorHAnsi"/>
          <w:sz w:val="18"/>
          <w:szCs w:val="18"/>
        </w:rPr>
        <w:t xml:space="preserve">(2013) </w:t>
      </w:r>
      <w:r w:rsidRPr="00CA169C">
        <w:rPr>
          <w:rFonts w:asciiTheme="minorHAnsi" w:hAnsiTheme="minorHAnsi"/>
          <w:i/>
          <w:sz w:val="18"/>
          <w:szCs w:val="18"/>
        </w:rPr>
        <w:t>Melbourne University Law Review</w:t>
      </w:r>
      <w:r w:rsidRPr="00CA169C">
        <w:rPr>
          <w:rFonts w:asciiTheme="minorHAnsi" w:hAnsiTheme="minorHAnsi"/>
          <w:sz w:val="18"/>
          <w:szCs w:val="18"/>
        </w:rPr>
        <w:t xml:space="preserve"> 831.</w:t>
      </w:r>
      <w:proofErr w:type="gramEnd"/>
      <w:r w:rsidRPr="00CA169C">
        <w:rPr>
          <w:rFonts w:asciiTheme="minorHAnsi" w:hAnsiTheme="minorHAnsi"/>
          <w:sz w:val="18"/>
          <w:szCs w:val="18"/>
        </w:rPr>
        <w:t xml:space="preserve"> </w:t>
      </w:r>
    </w:p>
    <w:p w:rsidR="002F164D" w:rsidRPr="001D2835" w:rsidRDefault="002F164D" w:rsidP="0085767D">
      <w:pPr>
        <w:pStyle w:val="FootnoteText"/>
        <w:jc w:val="both"/>
        <w:rPr>
          <w:rFonts w:asciiTheme="minorHAnsi" w:hAnsiTheme="minorHAnsi"/>
          <w:sz w:val="18"/>
          <w:szCs w:val="18"/>
        </w:rPr>
      </w:pPr>
    </w:p>
  </w:footnote>
  <w:footnote w:id="145">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color w:val="000000"/>
          <w:sz w:val="18"/>
          <w:szCs w:val="18"/>
          <w:lang w:eastAsia="en-GB"/>
        </w:rPr>
        <w:t>A Local Authority v WMA &amp; Ors</w:t>
      </w:r>
      <w:r w:rsidRPr="00CA169C">
        <w:rPr>
          <w:rFonts w:asciiTheme="minorHAnsi" w:hAnsiTheme="minorHAnsi"/>
          <w:color w:val="000000"/>
          <w:sz w:val="18"/>
          <w:szCs w:val="18"/>
          <w:lang w:eastAsia="en-GB"/>
        </w:rPr>
        <w:t xml:space="preserve"> [2013] EWCOP 2580 at [19].</w:t>
      </w:r>
    </w:p>
    <w:p w:rsidR="002F164D" w:rsidRPr="001D2835" w:rsidRDefault="002F164D" w:rsidP="0085767D">
      <w:pPr>
        <w:pStyle w:val="FootnoteText"/>
        <w:jc w:val="both"/>
        <w:rPr>
          <w:rFonts w:asciiTheme="minorHAnsi" w:hAnsiTheme="minorHAnsi"/>
          <w:sz w:val="18"/>
          <w:szCs w:val="18"/>
        </w:rPr>
      </w:pPr>
    </w:p>
  </w:footnote>
  <w:footnote w:id="146">
    <w:p w:rsidR="002F164D" w:rsidRPr="00C858A0" w:rsidRDefault="002F164D" w:rsidP="0085767D">
      <w:pPr>
        <w:pStyle w:val="FootnoteText"/>
        <w:jc w:val="both"/>
        <w:rPr>
          <w:rFonts w:asciiTheme="minorHAnsi" w:hAnsiTheme="minorHAnsi"/>
          <w:color w:val="000000" w:themeColor="text1"/>
          <w:sz w:val="18"/>
          <w:szCs w:val="18"/>
        </w:rPr>
      </w:pPr>
      <w:r w:rsidRPr="00C858A0">
        <w:rPr>
          <w:rStyle w:val="FootnoteReference"/>
          <w:rFonts w:asciiTheme="minorHAnsi" w:hAnsiTheme="minorHAnsi"/>
          <w:color w:val="000000" w:themeColor="text1"/>
          <w:sz w:val="18"/>
          <w:szCs w:val="18"/>
        </w:rPr>
        <w:footnoteRef/>
      </w:r>
      <w:r w:rsidRPr="00C858A0">
        <w:rPr>
          <w:rFonts w:asciiTheme="minorHAnsi" w:hAnsiTheme="minorHAnsi"/>
          <w:color w:val="000000" w:themeColor="text1"/>
          <w:sz w:val="18"/>
          <w:szCs w:val="18"/>
        </w:rPr>
        <w:t xml:space="preserve"> </w:t>
      </w:r>
      <w:hyperlink r:id="rId8" w:history="1">
        <w:r w:rsidRPr="00C858A0">
          <w:rPr>
            <w:rStyle w:val="Hyperlink"/>
            <w:rFonts w:asciiTheme="minorHAnsi" w:hAnsiTheme="minorHAnsi"/>
            <w:color w:val="000000" w:themeColor="text1"/>
            <w:sz w:val="18"/>
            <w:szCs w:val="18"/>
          </w:rPr>
          <w:t>http://www.psychiatrydirect.co.uk/expert-witness/</w:t>
        </w:r>
      </w:hyperlink>
      <w:r w:rsidRPr="00C858A0">
        <w:rPr>
          <w:rFonts w:asciiTheme="minorHAnsi" w:hAnsiTheme="minorHAnsi"/>
          <w:color w:val="000000" w:themeColor="text1"/>
          <w:sz w:val="18"/>
          <w:szCs w:val="18"/>
        </w:rPr>
        <w:t>.</w:t>
      </w:r>
    </w:p>
    <w:p w:rsidR="002F164D" w:rsidRPr="001D2835" w:rsidRDefault="002F164D" w:rsidP="0085767D">
      <w:pPr>
        <w:pStyle w:val="FootnoteText"/>
        <w:jc w:val="both"/>
        <w:rPr>
          <w:rFonts w:asciiTheme="minorHAnsi" w:hAnsiTheme="minorHAnsi"/>
          <w:sz w:val="18"/>
          <w:szCs w:val="18"/>
        </w:rPr>
      </w:pPr>
    </w:p>
  </w:footnote>
  <w:footnote w:id="147">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E.g. in </w:t>
      </w:r>
      <w:r w:rsidRPr="00CA169C">
        <w:rPr>
          <w:rFonts w:asciiTheme="minorHAnsi" w:hAnsiTheme="minorHAnsi"/>
          <w:i/>
          <w:sz w:val="18"/>
          <w:szCs w:val="18"/>
        </w:rPr>
        <w:t xml:space="preserve">PH v A Local Authority </w:t>
      </w:r>
      <w:r w:rsidRPr="00CA169C">
        <w:rPr>
          <w:rFonts w:asciiTheme="minorHAnsi" w:hAnsiTheme="minorHAnsi"/>
          <w:sz w:val="18"/>
          <w:szCs w:val="18"/>
        </w:rPr>
        <w:t xml:space="preserve">[2011] EWCOP 1704 at </w:t>
      </w:r>
      <w:proofErr w:type="spellStart"/>
      <w:r w:rsidRPr="00CA169C">
        <w:rPr>
          <w:rFonts w:asciiTheme="minorHAnsi" w:hAnsiTheme="minorHAnsi"/>
          <w:sz w:val="18"/>
          <w:szCs w:val="18"/>
        </w:rPr>
        <w:t>para</w:t>
      </w:r>
      <w:proofErr w:type="spellEnd"/>
      <w:r w:rsidRPr="00CA169C">
        <w:rPr>
          <w:rFonts w:asciiTheme="minorHAnsi" w:hAnsiTheme="minorHAnsi"/>
          <w:sz w:val="18"/>
          <w:szCs w:val="18"/>
        </w:rPr>
        <w:t xml:space="preserve"> [16]</w:t>
      </w:r>
      <w:r w:rsidRPr="00CA169C">
        <w:rPr>
          <w:rFonts w:asciiTheme="minorHAnsi" w:hAnsiTheme="minorHAnsi"/>
          <w:i/>
          <w:sz w:val="18"/>
          <w:szCs w:val="18"/>
        </w:rPr>
        <w:t xml:space="preserve">, </w:t>
      </w:r>
      <w:r w:rsidRPr="00CA169C">
        <w:rPr>
          <w:rFonts w:asciiTheme="minorHAnsi" w:hAnsiTheme="minorHAnsi"/>
          <w:sz w:val="18"/>
          <w:szCs w:val="18"/>
        </w:rPr>
        <w:t>the judge refers to earlier authority where the expert’s construction of s.3 is adopted by the court, noting that ‘coincidentally’ it is the same expert as appointed in the present case!</w:t>
      </w:r>
    </w:p>
    <w:p w:rsidR="002F164D" w:rsidRPr="001D2835" w:rsidRDefault="002F164D" w:rsidP="0085767D">
      <w:pPr>
        <w:pStyle w:val="FootnoteText"/>
        <w:jc w:val="both"/>
        <w:rPr>
          <w:rFonts w:asciiTheme="minorHAnsi" w:hAnsiTheme="minorHAnsi"/>
          <w:sz w:val="18"/>
          <w:szCs w:val="18"/>
        </w:rPr>
      </w:pPr>
    </w:p>
  </w:footnote>
  <w:footnote w:id="148">
    <w:p w:rsidR="002F164D" w:rsidRPr="001D2835" w:rsidRDefault="002F164D" w:rsidP="0085767D">
      <w:pPr>
        <w:pStyle w:val="FootnoteText"/>
        <w:jc w:val="both"/>
        <w:rPr>
          <w:rFonts w:asciiTheme="minorHAnsi" w:hAnsiTheme="minorHAnsi" w:cs="ArnoPro"/>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S. Gross, ‘</w:t>
      </w:r>
      <w:r w:rsidRPr="00CA169C">
        <w:rPr>
          <w:rFonts w:asciiTheme="minorHAnsi" w:hAnsiTheme="minorHAnsi" w:cs="ArnoPro"/>
          <w:sz w:val="18"/>
          <w:szCs w:val="18"/>
        </w:rPr>
        <w:t xml:space="preserve">Expert Evidence.’ (1991) </w:t>
      </w:r>
      <w:proofErr w:type="spellStart"/>
      <w:r w:rsidRPr="00CA169C">
        <w:rPr>
          <w:rFonts w:asciiTheme="minorHAnsi" w:hAnsiTheme="minorHAnsi" w:cs="ArnoPro"/>
          <w:sz w:val="18"/>
          <w:szCs w:val="18"/>
        </w:rPr>
        <w:t>Wis</w:t>
      </w:r>
      <w:proofErr w:type="spellEnd"/>
      <w:r w:rsidRPr="00CA169C">
        <w:rPr>
          <w:rFonts w:asciiTheme="minorHAnsi" w:hAnsiTheme="minorHAnsi" w:cs="ArnoPro"/>
          <w:sz w:val="18"/>
          <w:szCs w:val="18"/>
        </w:rPr>
        <w:t xml:space="preserve"> L Rev 1113 at 1132.</w:t>
      </w:r>
    </w:p>
    <w:p w:rsidR="002F164D" w:rsidRPr="001D2835" w:rsidRDefault="002F164D" w:rsidP="0085767D">
      <w:pPr>
        <w:pStyle w:val="FootnoteText"/>
        <w:jc w:val="both"/>
        <w:rPr>
          <w:rFonts w:asciiTheme="minorHAnsi" w:hAnsiTheme="minorHAnsi"/>
          <w:sz w:val="18"/>
          <w:szCs w:val="18"/>
        </w:rPr>
      </w:pPr>
    </w:p>
  </w:footnote>
  <w:footnote w:id="149">
    <w:p w:rsidR="002F164D" w:rsidRPr="001D2835" w:rsidRDefault="002F164D" w:rsidP="0085767D">
      <w:pPr>
        <w:pStyle w:val="FootnoteText"/>
        <w:jc w:val="both"/>
        <w:rPr>
          <w:rFonts w:asciiTheme="minorHAnsi" w:hAnsiTheme="minorHAnsi"/>
          <w:color w:val="000000" w:themeColor="text1"/>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olor w:val="000000" w:themeColor="text1"/>
          <w:sz w:val="18"/>
          <w:szCs w:val="18"/>
        </w:rPr>
        <w:t xml:space="preserve">Appearing in </w:t>
      </w:r>
      <w:hyperlink r:id="rId9" w:history="1">
        <w:r>
          <w:rPr>
            <w:rStyle w:val="Hyperlink"/>
            <w:rFonts w:asciiTheme="minorHAnsi" w:hAnsiTheme="minorHAnsi"/>
            <w:i/>
            <w:color w:val="000000" w:themeColor="text1"/>
            <w:sz w:val="18"/>
            <w:szCs w:val="18"/>
            <w:u w:val="none"/>
            <w:shd w:val="clear" w:color="auto" w:fill="FFFFFF"/>
          </w:rPr>
          <w:t>Re E (Medical treatment: Anorexia)</w:t>
        </w:r>
        <w:r>
          <w:rPr>
            <w:rStyle w:val="Hyperlink"/>
            <w:rFonts w:asciiTheme="minorHAnsi" w:hAnsiTheme="minorHAnsi"/>
            <w:color w:val="000000" w:themeColor="text1"/>
            <w:sz w:val="18"/>
            <w:szCs w:val="18"/>
            <w:u w:val="none"/>
            <w:shd w:val="clear" w:color="auto" w:fill="FFFFFF"/>
          </w:rPr>
          <w:t xml:space="preserve"> [2012] EWCOP 1639</w:t>
        </w:r>
      </w:hyperlink>
      <w:r w:rsidRPr="00CA169C">
        <w:rPr>
          <w:rFonts w:asciiTheme="minorHAnsi" w:hAnsiTheme="minorHAnsi"/>
          <w:color w:val="000000" w:themeColor="text1"/>
          <w:sz w:val="18"/>
          <w:szCs w:val="18"/>
        </w:rPr>
        <w:t xml:space="preserve">; </w:t>
      </w:r>
      <w:hyperlink r:id="rId10" w:history="1">
        <w:r>
          <w:rPr>
            <w:rStyle w:val="Hyperlink"/>
            <w:rFonts w:asciiTheme="minorHAnsi" w:hAnsiTheme="minorHAnsi"/>
            <w:i/>
            <w:color w:val="000000" w:themeColor="text1"/>
            <w:sz w:val="18"/>
            <w:szCs w:val="18"/>
            <w:u w:val="none"/>
            <w:shd w:val="clear" w:color="auto" w:fill="FFFFFF"/>
          </w:rPr>
          <w:t>A NHS Foundation Trust v Ms X (By Her Litigation Friend, the Official Solicitor)</w:t>
        </w:r>
        <w:r>
          <w:rPr>
            <w:rStyle w:val="Hyperlink"/>
            <w:rFonts w:asciiTheme="minorHAnsi" w:hAnsiTheme="minorHAnsi"/>
            <w:color w:val="000000" w:themeColor="text1"/>
            <w:sz w:val="18"/>
            <w:szCs w:val="18"/>
            <w:u w:val="none"/>
            <w:shd w:val="clear" w:color="auto" w:fill="FFFFFF"/>
          </w:rPr>
          <w:t xml:space="preserve"> [2014] EWCOP 35</w:t>
        </w:r>
      </w:hyperlink>
      <w:r w:rsidRPr="00CA169C">
        <w:rPr>
          <w:rFonts w:asciiTheme="minorHAnsi" w:hAnsiTheme="minorHAnsi"/>
          <w:sz w:val="18"/>
          <w:szCs w:val="18"/>
        </w:rPr>
        <w:t>,</w:t>
      </w:r>
      <w:r w:rsidRPr="00CA169C">
        <w:rPr>
          <w:rFonts w:asciiTheme="minorHAnsi" w:hAnsiTheme="minorHAnsi"/>
          <w:color w:val="000000" w:themeColor="text1"/>
          <w:sz w:val="18"/>
          <w:szCs w:val="18"/>
        </w:rPr>
        <w:t xml:space="preserve"> </w:t>
      </w:r>
      <w:hyperlink r:id="rId11" w:history="1">
        <w:r>
          <w:rPr>
            <w:rStyle w:val="Hyperlink"/>
            <w:rFonts w:asciiTheme="minorHAnsi" w:hAnsiTheme="minorHAnsi"/>
            <w:i/>
            <w:color w:val="000000" w:themeColor="text1"/>
            <w:sz w:val="18"/>
            <w:szCs w:val="18"/>
            <w:u w:val="none"/>
            <w:shd w:val="clear" w:color="auto" w:fill="FFFFFF"/>
          </w:rPr>
          <w:t>Wye Valley NHS Trust v B</w:t>
        </w:r>
        <w:r>
          <w:rPr>
            <w:rStyle w:val="Hyperlink"/>
            <w:rFonts w:asciiTheme="minorHAnsi" w:hAnsiTheme="minorHAnsi"/>
            <w:color w:val="000000" w:themeColor="text1"/>
            <w:sz w:val="18"/>
            <w:szCs w:val="18"/>
            <w:u w:val="none"/>
            <w:shd w:val="clear" w:color="auto" w:fill="FFFFFF"/>
          </w:rPr>
          <w:t xml:space="preserve"> [2015] EWCOP 60</w:t>
        </w:r>
        <w:r>
          <w:rPr>
            <w:rStyle w:val="apple-converted-space"/>
            <w:rFonts w:asciiTheme="minorHAnsi" w:hAnsiTheme="minorHAnsi"/>
            <w:color w:val="000000" w:themeColor="text1"/>
            <w:sz w:val="18"/>
            <w:szCs w:val="18"/>
            <w:shd w:val="clear" w:color="auto" w:fill="FFFFFF"/>
          </w:rPr>
          <w:t> </w:t>
        </w:r>
      </w:hyperlink>
      <w:r>
        <w:rPr>
          <w:rFonts w:asciiTheme="minorHAnsi" w:hAnsiTheme="minorHAnsi"/>
          <w:sz w:val="18"/>
          <w:szCs w:val="18"/>
        </w:rPr>
        <w:t xml:space="preserve">and </w:t>
      </w:r>
      <w:r>
        <w:rPr>
          <w:rFonts w:asciiTheme="minorHAnsi" w:hAnsiTheme="minorHAnsi"/>
          <w:i/>
          <w:sz w:val="18"/>
          <w:szCs w:val="18"/>
        </w:rPr>
        <w:t xml:space="preserve">Re W (Anorexia) </w:t>
      </w:r>
      <w:r>
        <w:rPr>
          <w:rFonts w:asciiTheme="minorHAnsi" w:hAnsiTheme="minorHAnsi"/>
          <w:sz w:val="18"/>
          <w:szCs w:val="18"/>
        </w:rPr>
        <w:t>[2016] 13</w:t>
      </w:r>
      <w:r>
        <w:rPr>
          <w:rFonts w:asciiTheme="minorHAnsi" w:hAnsiTheme="minorHAnsi"/>
          <w:color w:val="000000" w:themeColor="text1"/>
          <w:sz w:val="18"/>
          <w:szCs w:val="18"/>
        </w:rPr>
        <w:t>.</w:t>
      </w:r>
    </w:p>
    <w:p w:rsidR="002F164D" w:rsidRPr="001D2835" w:rsidRDefault="002F164D" w:rsidP="0085767D">
      <w:pPr>
        <w:pStyle w:val="FootnoteText"/>
        <w:jc w:val="both"/>
        <w:rPr>
          <w:rFonts w:asciiTheme="minorHAnsi" w:hAnsiTheme="minorHAnsi"/>
          <w:sz w:val="18"/>
          <w:szCs w:val="18"/>
        </w:rPr>
      </w:pPr>
    </w:p>
  </w:footnote>
  <w:footnote w:id="150">
    <w:p w:rsidR="002F164D" w:rsidRPr="001D2835" w:rsidRDefault="002F164D" w:rsidP="00E10378">
      <w:pPr>
        <w:pStyle w:val="FootnoteText"/>
        <w:jc w:val="both"/>
        <w:rPr>
          <w:rFonts w:asciiTheme="minorHAnsi" w:hAnsiTheme="minorHAnsi"/>
          <w:color w:val="000000"/>
          <w:sz w:val="18"/>
          <w:szCs w:val="18"/>
          <w:lang w:eastAsia="en-GB"/>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color w:val="000000"/>
          <w:sz w:val="18"/>
          <w:szCs w:val="18"/>
          <w:lang w:eastAsia="en-GB"/>
        </w:rPr>
        <w:t>Re E (Medical treatment: Anorexia)</w:t>
      </w:r>
      <w:r w:rsidRPr="00CA169C">
        <w:rPr>
          <w:rFonts w:asciiTheme="minorHAnsi" w:hAnsiTheme="minorHAnsi"/>
          <w:color w:val="000000"/>
          <w:sz w:val="18"/>
          <w:szCs w:val="18"/>
          <w:lang w:eastAsia="en-GB"/>
        </w:rPr>
        <w:t xml:space="preserve"> [2012] EWCOP 1639 – the case provides an interesting contrast with </w:t>
      </w:r>
      <w:r w:rsidRPr="00CA169C">
        <w:rPr>
          <w:rFonts w:asciiTheme="minorHAnsi" w:hAnsiTheme="minorHAnsi"/>
          <w:i/>
          <w:color w:val="000000"/>
          <w:sz w:val="18"/>
          <w:szCs w:val="18"/>
          <w:lang w:eastAsia="en-GB"/>
        </w:rPr>
        <w:t xml:space="preserve">Ms B v A NHS Trust </w:t>
      </w:r>
      <w:r w:rsidRPr="00CA169C">
        <w:rPr>
          <w:rFonts w:asciiTheme="minorHAnsi" w:hAnsiTheme="minorHAnsi"/>
          <w:color w:val="000000"/>
          <w:sz w:val="18"/>
          <w:szCs w:val="18"/>
          <w:lang w:eastAsia="en-GB"/>
        </w:rPr>
        <w:t xml:space="preserve">[2002] EWHC 429 where the protective bias of the treating clinicians is considered to be a reason for discounting their view that P lacked capacity. See further </w:t>
      </w:r>
      <w:r>
        <w:rPr>
          <w:rFonts w:asciiTheme="minorHAnsi" w:hAnsiTheme="minorHAnsi"/>
          <w:color w:val="000000"/>
          <w:sz w:val="18"/>
          <w:szCs w:val="18"/>
          <w:lang w:eastAsia="en-GB"/>
        </w:rPr>
        <w:t xml:space="preserve">n.150 </w:t>
      </w:r>
      <w:r w:rsidRPr="00CA169C">
        <w:rPr>
          <w:rFonts w:asciiTheme="minorHAnsi" w:hAnsiTheme="minorHAnsi"/>
          <w:color w:val="000000"/>
          <w:sz w:val="18"/>
          <w:szCs w:val="18"/>
          <w:lang w:eastAsia="en-GB"/>
        </w:rPr>
        <w:t xml:space="preserve">below where </w:t>
      </w:r>
      <w:r w:rsidRPr="00CA169C">
        <w:rPr>
          <w:rFonts w:asciiTheme="minorHAnsi" w:hAnsiTheme="minorHAnsi"/>
          <w:i/>
          <w:color w:val="000000"/>
          <w:sz w:val="18"/>
          <w:szCs w:val="18"/>
          <w:lang w:eastAsia="en-GB"/>
        </w:rPr>
        <w:t xml:space="preserve">Re E </w:t>
      </w:r>
      <w:r w:rsidRPr="00CA169C">
        <w:rPr>
          <w:rFonts w:asciiTheme="minorHAnsi" w:hAnsiTheme="minorHAnsi"/>
          <w:color w:val="000000"/>
          <w:sz w:val="18"/>
          <w:szCs w:val="18"/>
          <w:lang w:eastAsia="en-GB"/>
        </w:rPr>
        <w:t xml:space="preserve">is referenced further. </w:t>
      </w:r>
    </w:p>
    <w:p w:rsidR="002F164D" w:rsidRPr="001D2835" w:rsidRDefault="002F164D" w:rsidP="00E10378">
      <w:pPr>
        <w:pStyle w:val="FootnoteText"/>
        <w:jc w:val="both"/>
        <w:rPr>
          <w:rFonts w:asciiTheme="minorHAnsi" w:hAnsiTheme="minorHAnsi"/>
          <w:sz w:val="18"/>
          <w:szCs w:val="18"/>
        </w:rPr>
      </w:pPr>
    </w:p>
  </w:footnote>
  <w:footnote w:id="151">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i/>
          <w:sz w:val="18"/>
          <w:szCs w:val="18"/>
        </w:rPr>
        <w:t>Re E (Medical treatment: Anorexia)</w:t>
      </w:r>
      <w:r w:rsidRPr="00CA169C">
        <w:rPr>
          <w:rFonts w:asciiTheme="minorHAnsi" w:hAnsiTheme="minorHAnsi"/>
          <w:sz w:val="18"/>
          <w:szCs w:val="18"/>
        </w:rPr>
        <w:t xml:space="preserve"> [2012] EWCOP 1639 at [52] – that anyone with severe anorexia would lack capacity in relation to issues surrounding eating – a position which appears to be in conflict with </w:t>
      </w:r>
      <w:proofErr w:type="gramStart"/>
      <w:r w:rsidRPr="00CA169C">
        <w:rPr>
          <w:rFonts w:asciiTheme="minorHAnsi" w:hAnsiTheme="minorHAnsi"/>
          <w:sz w:val="18"/>
          <w:szCs w:val="18"/>
        </w:rPr>
        <w:t>s.2(</w:t>
      </w:r>
      <w:proofErr w:type="gramEnd"/>
      <w:r w:rsidRPr="00CA169C">
        <w:rPr>
          <w:rFonts w:asciiTheme="minorHAnsi" w:hAnsiTheme="minorHAnsi"/>
          <w:sz w:val="18"/>
          <w:szCs w:val="18"/>
        </w:rPr>
        <w:t>3)(b) which states that a lack of capacity cannot be established merely be reference to a particular condition suffered by P.</w:t>
      </w:r>
    </w:p>
    <w:p w:rsidR="002F164D" w:rsidRPr="001D2835" w:rsidRDefault="002F164D" w:rsidP="0085767D">
      <w:pPr>
        <w:pStyle w:val="FootnoteText"/>
        <w:jc w:val="both"/>
        <w:rPr>
          <w:rFonts w:asciiTheme="minorHAnsi" w:hAnsiTheme="minorHAnsi"/>
          <w:sz w:val="18"/>
          <w:szCs w:val="18"/>
        </w:rPr>
      </w:pPr>
    </w:p>
  </w:footnote>
  <w:footnote w:id="152">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J. Montgomery, C. Jones and H. Biggs, ‘Hidden law making in the province of medical jurisprudence.’ (2014) 77(3) MLR 343 at 366-367.</w:t>
      </w:r>
    </w:p>
    <w:p w:rsidR="002F164D" w:rsidRPr="001D2835" w:rsidRDefault="002F164D" w:rsidP="0085767D">
      <w:pPr>
        <w:pStyle w:val="FootnoteText"/>
        <w:jc w:val="both"/>
        <w:rPr>
          <w:rFonts w:asciiTheme="minorHAnsi" w:hAnsiTheme="minorHAnsi"/>
          <w:sz w:val="18"/>
          <w:szCs w:val="18"/>
        </w:rPr>
      </w:pPr>
    </w:p>
  </w:footnote>
  <w:footnote w:id="153">
    <w:p w:rsidR="002F164D" w:rsidRPr="001D2835" w:rsidRDefault="002F164D" w:rsidP="0085767D">
      <w:pPr>
        <w:pStyle w:val="Default"/>
        <w:jc w:val="both"/>
        <w:rPr>
          <w:rFonts w:asciiTheme="minorHAnsi" w:hAnsiTheme="minorHAnsi"/>
          <w:color w:val="auto"/>
          <w:sz w:val="18"/>
          <w:szCs w:val="18"/>
        </w:rPr>
      </w:pPr>
      <w:r>
        <w:rPr>
          <w:rStyle w:val="FootnoteReference"/>
          <w:rFonts w:asciiTheme="minorHAnsi" w:hAnsiTheme="minorHAnsi"/>
          <w:color w:val="auto"/>
          <w:sz w:val="18"/>
          <w:szCs w:val="18"/>
        </w:rPr>
        <w:footnoteRef/>
      </w:r>
      <w:r w:rsidRPr="00CA169C">
        <w:rPr>
          <w:rFonts w:asciiTheme="minorHAnsi" w:hAnsiTheme="minorHAnsi"/>
          <w:color w:val="auto"/>
          <w:sz w:val="18"/>
          <w:szCs w:val="18"/>
        </w:rPr>
        <w:t xml:space="preserve"> </w:t>
      </w:r>
      <w:proofErr w:type="gramStart"/>
      <w:r w:rsidRPr="00CA169C">
        <w:rPr>
          <w:rFonts w:asciiTheme="minorHAnsi" w:hAnsiTheme="minorHAnsi"/>
          <w:color w:val="auto"/>
          <w:sz w:val="18"/>
          <w:szCs w:val="18"/>
        </w:rPr>
        <w:t>Above at n</w:t>
      </w:r>
      <w:r w:rsidR="00C869BF">
        <w:rPr>
          <w:rFonts w:asciiTheme="minorHAnsi" w:hAnsiTheme="minorHAnsi"/>
          <w:color w:val="auto"/>
          <w:sz w:val="18"/>
          <w:szCs w:val="18"/>
        </w:rPr>
        <w:t>.126</w:t>
      </w:r>
      <w:r w:rsidRPr="00F565FB">
        <w:rPr>
          <w:rFonts w:asciiTheme="minorHAnsi" w:hAnsiTheme="minorHAnsi"/>
          <w:color w:val="auto"/>
          <w:sz w:val="18"/>
          <w:szCs w:val="18"/>
        </w:rPr>
        <w:t>.</w:t>
      </w:r>
      <w:proofErr w:type="gramEnd"/>
    </w:p>
    <w:p w:rsidR="002F164D" w:rsidRPr="001D2835" w:rsidRDefault="002F164D" w:rsidP="0085767D">
      <w:pPr>
        <w:pStyle w:val="Default"/>
        <w:jc w:val="both"/>
        <w:rPr>
          <w:rFonts w:asciiTheme="minorHAnsi" w:hAnsiTheme="minorHAnsi"/>
          <w:color w:val="auto"/>
          <w:sz w:val="18"/>
          <w:szCs w:val="18"/>
        </w:rPr>
      </w:pPr>
    </w:p>
  </w:footnote>
  <w:footnote w:id="154">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Rule 130. </w:t>
      </w:r>
    </w:p>
    <w:p w:rsidR="002F164D" w:rsidRPr="001D2835" w:rsidRDefault="002F164D" w:rsidP="0085767D">
      <w:pPr>
        <w:pStyle w:val="FootnoteText"/>
        <w:jc w:val="both"/>
        <w:rPr>
          <w:rFonts w:asciiTheme="minorHAnsi" w:hAnsiTheme="minorHAnsi"/>
          <w:sz w:val="18"/>
          <w:szCs w:val="18"/>
        </w:rPr>
      </w:pPr>
    </w:p>
  </w:footnote>
  <w:footnote w:id="155">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These pressures have culminated in a pilot case management scheme to commence mid-2016.</w:t>
      </w:r>
    </w:p>
    <w:p w:rsidR="002F164D" w:rsidRPr="001D2835" w:rsidRDefault="002F164D" w:rsidP="0085767D">
      <w:pPr>
        <w:pStyle w:val="FootnoteText"/>
        <w:jc w:val="both"/>
        <w:rPr>
          <w:rFonts w:asciiTheme="minorHAnsi" w:hAnsiTheme="minorHAnsi"/>
          <w:sz w:val="18"/>
          <w:szCs w:val="18"/>
        </w:rPr>
      </w:pPr>
    </w:p>
  </w:footnote>
  <w:footnote w:id="156">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For similar reasons the Law Commission has advised that two expert medical reports should be the minimum in fitness to plead cases (</w:t>
      </w:r>
      <w:r w:rsidRPr="00CA169C">
        <w:rPr>
          <w:rFonts w:asciiTheme="minorHAnsi" w:hAnsiTheme="minorHAnsi"/>
          <w:i/>
          <w:sz w:val="18"/>
          <w:szCs w:val="18"/>
        </w:rPr>
        <w:t xml:space="preserve">Unfitness to Plead </w:t>
      </w:r>
      <w:r w:rsidRPr="00CA169C">
        <w:rPr>
          <w:rFonts w:asciiTheme="minorHAnsi" w:hAnsiTheme="minorHAnsi"/>
          <w:sz w:val="18"/>
          <w:szCs w:val="18"/>
        </w:rPr>
        <w:t>(Law Commission, 2016) at 4.43).</w:t>
      </w:r>
    </w:p>
    <w:p w:rsidR="002F164D" w:rsidRPr="001D2835" w:rsidRDefault="002F164D" w:rsidP="0085767D">
      <w:pPr>
        <w:pStyle w:val="FootnoteText"/>
        <w:jc w:val="both"/>
        <w:rPr>
          <w:rFonts w:asciiTheme="minorHAnsi" w:hAnsiTheme="minorHAnsi"/>
          <w:sz w:val="18"/>
          <w:szCs w:val="18"/>
        </w:rPr>
      </w:pPr>
    </w:p>
  </w:footnote>
  <w:footnote w:id="157">
    <w:p w:rsidR="002F164D" w:rsidRPr="001D2835" w:rsidRDefault="002F164D" w:rsidP="0085767D">
      <w:pPr>
        <w:pStyle w:val="FootnoteText"/>
        <w:jc w:val="both"/>
        <w:rPr>
          <w:rFonts w:asciiTheme="minorHAnsi" w:hAnsiTheme="minorHAnsi" w:cs="Helvetica"/>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w:t>
      </w:r>
      <w:r w:rsidRPr="00CA169C">
        <w:rPr>
          <w:rFonts w:asciiTheme="minorHAnsi" w:hAnsiTheme="minorHAnsi" w:cs="Helvetica"/>
          <w:sz w:val="18"/>
          <w:szCs w:val="18"/>
        </w:rPr>
        <w:t xml:space="preserve">‘One thing that worries me is if you have a single joint expert, that’s who decides the case. Is the judge there only as a figurehead?’: ‘Expert witness critic says no need for regulation- yet.’ </w:t>
      </w:r>
      <w:r w:rsidRPr="00CA169C">
        <w:rPr>
          <w:rFonts w:asciiTheme="minorHAnsi" w:hAnsiTheme="minorHAnsi" w:cs="Helvetica"/>
          <w:i/>
          <w:sz w:val="18"/>
          <w:szCs w:val="18"/>
        </w:rPr>
        <w:t>Law Society Gazette</w:t>
      </w:r>
      <w:r w:rsidRPr="00CA169C">
        <w:rPr>
          <w:rFonts w:asciiTheme="minorHAnsi" w:hAnsiTheme="minorHAnsi" w:cs="Helvetica"/>
          <w:sz w:val="18"/>
          <w:szCs w:val="18"/>
        </w:rPr>
        <w:t xml:space="preserve">, 7th November 2014. </w:t>
      </w:r>
    </w:p>
    <w:p w:rsidR="002F164D" w:rsidRPr="001D2835" w:rsidRDefault="002F164D" w:rsidP="0085767D">
      <w:pPr>
        <w:pStyle w:val="FootnoteText"/>
        <w:jc w:val="both"/>
        <w:rPr>
          <w:rFonts w:asciiTheme="minorHAnsi" w:hAnsiTheme="minorHAnsi"/>
          <w:sz w:val="18"/>
          <w:szCs w:val="18"/>
        </w:rPr>
      </w:pPr>
    </w:p>
  </w:footnote>
  <w:footnote w:id="158">
    <w:p w:rsidR="002F164D" w:rsidRPr="001D2835" w:rsidRDefault="002F164D" w:rsidP="00C67D94">
      <w:pPr>
        <w:tabs>
          <w:tab w:val="left" w:pos="0"/>
        </w:tabs>
        <w:spacing w:after="0" w:line="240" w:lineRule="auto"/>
        <w:jc w:val="both"/>
        <w:rPr>
          <w:sz w:val="18"/>
          <w:szCs w:val="18"/>
        </w:rPr>
      </w:pPr>
      <w:r>
        <w:rPr>
          <w:rStyle w:val="FootnoteReference"/>
          <w:sz w:val="18"/>
          <w:szCs w:val="18"/>
        </w:rPr>
        <w:footnoteRef/>
      </w:r>
      <w:r w:rsidRPr="00CA169C">
        <w:rPr>
          <w:sz w:val="18"/>
          <w:szCs w:val="18"/>
        </w:rPr>
        <w:t xml:space="preserve"> E.g. </w:t>
      </w:r>
      <w:r w:rsidRPr="00CA169C">
        <w:rPr>
          <w:rFonts w:eastAsia="Calibri" w:cs="Times New Roman"/>
          <w:sz w:val="18"/>
          <w:szCs w:val="18"/>
        </w:rPr>
        <w:t xml:space="preserve">J. </w:t>
      </w:r>
      <w:proofErr w:type="spellStart"/>
      <w:r w:rsidRPr="00CA169C">
        <w:rPr>
          <w:rFonts w:eastAsia="Calibri" w:cs="Times New Roman"/>
          <w:sz w:val="18"/>
          <w:szCs w:val="18"/>
        </w:rPr>
        <w:t>Miola</w:t>
      </w:r>
      <w:proofErr w:type="spellEnd"/>
      <w:r w:rsidRPr="00CA169C">
        <w:rPr>
          <w:rFonts w:eastAsia="Calibri" w:cs="Times New Roman"/>
          <w:sz w:val="18"/>
          <w:szCs w:val="18"/>
        </w:rPr>
        <w:t xml:space="preserve">, </w:t>
      </w:r>
      <w:r w:rsidRPr="00CA169C">
        <w:rPr>
          <w:rFonts w:eastAsia="Calibri" w:cs="Times New Roman"/>
          <w:i/>
          <w:sz w:val="18"/>
          <w:szCs w:val="18"/>
        </w:rPr>
        <w:t xml:space="preserve">Medical Ethics and Medical Law: A Symbiotic Relationship. </w:t>
      </w:r>
      <w:r w:rsidRPr="00CA169C">
        <w:rPr>
          <w:rFonts w:eastAsia="Calibri" w:cs="Times New Roman"/>
          <w:sz w:val="18"/>
          <w:szCs w:val="18"/>
        </w:rPr>
        <w:t xml:space="preserve">(Hart Publishing, 2007) and, </w:t>
      </w:r>
      <w:r w:rsidRPr="00CA169C">
        <w:rPr>
          <w:sz w:val="18"/>
          <w:szCs w:val="18"/>
        </w:rPr>
        <w:t xml:space="preserve">although not specifically using the term </w:t>
      </w:r>
      <w:proofErr w:type="spellStart"/>
      <w:r w:rsidRPr="00CA169C">
        <w:rPr>
          <w:sz w:val="18"/>
          <w:szCs w:val="18"/>
        </w:rPr>
        <w:t>medicalisation</w:t>
      </w:r>
      <w:proofErr w:type="spellEnd"/>
      <w:r w:rsidRPr="00CA169C">
        <w:rPr>
          <w:sz w:val="18"/>
          <w:szCs w:val="18"/>
        </w:rPr>
        <w:t xml:space="preserve">, but clearly concerned with jurisdictional matters in the application of the best interests test: M. Quigley, ‘Best interests, the power of the medical profession and the power of the judiciary.’ (2008) 16(3) </w:t>
      </w:r>
      <w:r w:rsidRPr="00CA169C">
        <w:rPr>
          <w:i/>
          <w:sz w:val="18"/>
          <w:szCs w:val="18"/>
        </w:rPr>
        <w:t xml:space="preserve">Health Care Analysis </w:t>
      </w:r>
      <w:r w:rsidRPr="00CA169C">
        <w:rPr>
          <w:sz w:val="18"/>
          <w:szCs w:val="18"/>
        </w:rPr>
        <w:t xml:space="preserve">233 and J. Montgomery, ‘Law and the Demoralisation of Medicine.’ (2006) 26(2) </w:t>
      </w:r>
      <w:r w:rsidRPr="00CA169C">
        <w:rPr>
          <w:i/>
          <w:sz w:val="18"/>
          <w:szCs w:val="18"/>
        </w:rPr>
        <w:t xml:space="preserve">Legal Studies </w:t>
      </w:r>
      <w:r w:rsidRPr="00CA169C">
        <w:rPr>
          <w:sz w:val="18"/>
          <w:szCs w:val="18"/>
        </w:rPr>
        <w:t>185.</w:t>
      </w:r>
    </w:p>
    <w:p w:rsidR="002F164D" w:rsidRPr="001D2835" w:rsidRDefault="002F164D" w:rsidP="00C67D94">
      <w:pPr>
        <w:tabs>
          <w:tab w:val="left" w:pos="0"/>
        </w:tabs>
        <w:spacing w:after="0" w:line="240" w:lineRule="auto"/>
        <w:jc w:val="both"/>
        <w:rPr>
          <w:sz w:val="18"/>
          <w:szCs w:val="18"/>
        </w:rPr>
      </w:pPr>
    </w:p>
  </w:footnote>
  <w:footnote w:id="159">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J. K. Rowling, </w:t>
      </w:r>
      <w:r w:rsidRPr="00CA169C">
        <w:rPr>
          <w:rFonts w:asciiTheme="minorHAnsi" w:hAnsiTheme="minorHAnsi"/>
          <w:i/>
          <w:sz w:val="18"/>
          <w:szCs w:val="18"/>
        </w:rPr>
        <w:t>Harry Potter and the Philosophers Stone</w:t>
      </w:r>
      <w:r w:rsidRPr="00CA169C">
        <w:rPr>
          <w:rFonts w:asciiTheme="minorHAnsi" w:hAnsiTheme="minorHAnsi"/>
          <w:sz w:val="18"/>
          <w:szCs w:val="18"/>
        </w:rPr>
        <w:t>. (Bloomsbury Publishing, 1997).</w:t>
      </w:r>
    </w:p>
    <w:p w:rsidR="002F164D" w:rsidRPr="001D2835" w:rsidRDefault="002F164D" w:rsidP="0085767D">
      <w:pPr>
        <w:pStyle w:val="FootnoteText"/>
        <w:jc w:val="both"/>
        <w:rPr>
          <w:rFonts w:asciiTheme="minorHAnsi" w:hAnsiTheme="minorHAnsi"/>
          <w:sz w:val="18"/>
          <w:szCs w:val="18"/>
        </w:rPr>
      </w:pPr>
    </w:p>
  </w:footnote>
  <w:footnote w:id="160">
    <w:p w:rsidR="002F164D" w:rsidRPr="001D2835" w:rsidRDefault="002F164D" w:rsidP="0085767D">
      <w:pPr>
        <w:pStyle w:val="FootnoteText"/>
        <w:jc w:val="both"/>
        <w:rPr>
          <w:rFonts w:asciiTheme="minorHAnsi" w:hAnsiTheme="minorHAns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This contrasts well with the case of </w:t>
      </w:r>
      <w:r w:rsidRPr="00CA169C">
        <w:rPr>
          <w:rFonts w:asciiTheme="minorHAnsi" w:hAnsiTheme="minorHAnsi"/>
          <w:i/>
          <w:sz w:val="18"/>
          <w:szCs w:val="18"/>
        </w:rPr>
        <w:t>Re C</w:t>
      </w:r>
      <w:r w:rsidRPr="00CA169C">
        <w:rPr>
          <w:rFonts w:asciiTheme="minorHAnsi" w:hAnsiTheme="minorHAnsi"/>
          <w:sz w:val="18"/>
          <w:szCs w:val="18"/>
        </w:rPr>
        <w:t xml:space="preserve"> [1994] 1 WLR 290 where Thorpe J thought that the evidence of C himself ‘added little’ to the expert evidence (at p.293, </w:t>
      </w:r>
      <w:proofErr w:type="spellStart"/>
      <w:r w:rsidRPr="00CA169C">
        <w:rPr>
          <w:rFonts w:asciiTheme="minorHAnsi" w:hAnsiTheme="minorHAnsi"/>
          <w:sz w:val="18"/>
          <w:szCs w:val="18"/>
        </w:rPr>
        <w:t>para</w:t>
      </w:r>
      <w:proofErr w:type="spellEnd"/>
      <w:r w:rsidRPr="00CA169C">
        <w:rPr>
          <w:rFonts w:asciiTheme="minorHAnsi" w:hAnsiTheme="minorHAnsi"/>
          <w:sz w:val="18"/>
          <w:szCs w:val="18"/>
        </w:rPr>
        <w:t xml:space="preserve"> C).</w:t>
      </w:r>
    </w:p>
    <w:p w:rsidR="002F164D" w:rsidRPr="001D2835" w:rsidRDefault="002F164D" w:rsidP="0085767D">
      <w:pPr>
        <w:pStyle w:val="FootnoteText"/>
        <w:jc w:val="both"/>
        <w:rPr>
          <w:rFonts w:asciiTheme="minorHAnsi" w:hAnsiTheme="minorHAnsi"/>
          <w:sz w:val="18"/>
          <w:szCs w:val="18"/>
        </w:rPr>
      </w:pPr>
    </w:p>
  </w:footnote>
  <w:footnote w:id="161">
    <w:p w:rsidR="002F164D" w:rsidRPr="001D2835" w:rsidRDefault="002F164D" w:rsidP="0085767D">
      <w:pPr>
        <w:autoSpaceDE w:val="0"/>
        <w:autoSpaceDN w:val="0"/>
        <w:adjustRightInd w:val="0"/>
        <w:spacing w:after="0" w:line="240" w:lineRule="auto"/>
        <w:jc w:val="both"/>
        <w:rPr>
          <w:sz w:val="18"/>
          <w:szCs w:val="18"/>
        </w:rPr>
      </w:pPr>
      <w:r>
        <w:rPr>
          <w:rStyle w:val="FootnoteReference"/>
          <w:sz w:val="18"/>
          <w:szCs w:val="18"/>
        </w:rPr>
        <w:footnoteRef/>
      </w:r>
      <w:r w:rsidRPr="00CA169C">
        <w:rPr>
          <w:sz w:val="18"/>
          <w:szCs w:val="18"/>
        </w:rPr>
        <w:t xml:space="preserve"> Rule 3(1). And see </w:t>
      </w:r>
      <w:r w:rsidRPr="00CA169C">
        <w:rPr>
          <w:rFonts w:cs="Calibri"/>
          <w:sz w:val="18"/>
          <w:szCs w:val="18"/>
        </w:rPr>
        <w:t xml:space="preserve">Peter Jackson J in </w:t>
      </w:r>
      <w:r w:rsidRPr="00CA169C">
        <w:rPr>
          <w:rFonts w:cs="Calibri,Italic"/>
          <w:i/>
          <w:iCs/>
          <w:sz w:val="18"/>
          <w:szCs w:val="18"/>
        </w:rPr>
        <w:t xml:space="preserve">Heart of England NHS Foundation Trust v JB </w:t>
      </w:r>
      <w:r w:rsidRPr="00CA169C">
        <w:rPr>
          <w:rFonts w:cs="Calibri"/>
          <w:sz w:val="18"/>
          <w:szCs w:val="18"/>
        </w:rPr>
        <w:t xml:space="preserve">[2014] EWCOP 342 at [38]: ‘Bearing in mind JB's longstanding mental illness it is entirely appropriate that the core assessment of her capacity comes from psychiatrists, </w:t>
      </w:r>
      <w:r w:rsidRPr="00CA169C">
        <w:rPr>
          <w:rFonts w:cs="Calibri,Italic"/>
          <w:i/>
          <w:iCs/>
          <w:sz w:val="18"/>
          <w:szCs w:val="18"/>
        </w:rPr>
        <w:t>but other disciplines also have an important contribution to make</w:t>
      </w:r>
      <w:r w:rsidRPr="00CA169C">
        <w:rPr>
          <w:rFonts w:cs="Calibri"/>
          <w:sz w:val="18"/>
          <w:szCs w:val="18"/>
        </w:rPr>
        <w:t>.’</w:t>
      </w:r>
    </w:p>
    <w:p w:rsidR="002F164D" w:rsidRPr="001D2835" w:rsidRDefault="002F164D" w:rsidP="00C322CF">
      <w:pPr>
        <w:pStyle w:val="FootnoteText"/>
        <w:rPr>
          <w:rFonts w:asciiTheme="minorHAnsi" w:hAnsiTheme="minorHAnsi"/>
          <w:sz w:val="18"/>
          <w:szCs w:val="18"/>
        </w:rPr>
      </w:pPr>
    </w:p>
  </w:footnote>
  <w:footnote w:id="162">
    <w:p w:rsidR="002F164D" w:rsidRPr="001D2835" w:rsidRDefault="002F164D" w:rsidP="00C322CF">
      <w:pPr>
        <w:pStyle w:val="FootnoteText"/>
        <w:rPr>
          <w:rFonts w:asciiTheme="minorHAnsi" w:hAnsiTheme="minorHAnsi" w:cs="Calibri"/>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Ibid </w:t>
      </w:r>
      <w:r w:rsidRPr="00CA169C">
        <w:rPr>
          <w:rFonts w:asciiTheme="minorHAnsi" w:hAnsiTheme="minorHAnsi" w:cs="Calibri"/>
          <w:sz w:val="18"/>
          <w:szCs w:val="18"/>
        </w:rPr>
        <w:t>at [38].</w:t>
      </w:r>
    </w:p>
    <w:p w:rsidR="002F164D" w:rsidRPr="001D2835" w:rsidRDefault="002F164D" w:rsidP="00C322CF">
      <w:pPr>
        <w:pStyle w:val="FootnoteText"/>
        <w:rPr>
          <w:rFonts w:asciiTheme="minorHAnsi" w:hAnsiTheme="minorHAnsi"/>
          <w:sz w:val="18"/>
          <w:szCs w:val="18"/>
        </w:rPr>
      </w:pPr>
    </w:p>
  </w:footnote>
  <w:footnote w:id="163">
    <w:p w:rsidR="002F164D" w:rsidRPr="001D2835" w:rsidRDefault="002F164D" w:rsidP="00861356">
      <w:pPr>
        <w:pStyle w:val="FootnoteText"/>
        <w:rPr>
          <w:rFonts w:asciiTheme="minorHAnsi" w:hAnsiTheme="minorHAnsi" w:cstheme="minorHAnsi"/>
          <w:color w:val="000000" w:themeColor="text1"/>
          <w:sz w:val="18"/>
          <w:szCs w:val="18"/>
        </w:rPr>
      </w:pPr>
      <w:r>
        <w:rPr>
          <w:rStyle w:val="FootnoteReference"/>
          <w:rFonts w:asciiTheme="minorHAnsi" w:hAnsiTheme="minorHAnsi"/>
          <w:sz w:val="18"/>
          <w:szCs w:val="18"/>
        </w:rPr>
        <w:footnoteRef/>
      </w:r>
      <w:r w:rsidRPr="00CA169C">
        <w:rPr>
          <w:rFonts w:asciiTheme="minorHAnsi" w:hAnsiTheme="minorHAnsi"/>
          <w:sz w:val="18"/>
          <w:szCs w:val="18"/>
        </w:rPr>
        <w:t xml:space="preserve"> E.g. </w:t>
      </w:r>
      <w:r w:rsidRPr="00CA169C">
        <w:rPr>
          <w:rFonts w:asciiTheme="minorHAnsi" w:hAnsiTheme="minorHAnsi" w:cstheme="minorHAnsi"/>
          <w:color w:val="000000" w:themeColor="text1"/>
          <w:sz w:val="18"/>
          <w:szCs w:val="18"/>
        </w:rPr>
        <w:t xml:space="preserve">S. </w:t>
      </w:r>
      <w:proofErr w:type="spellStart"/>
      <w:r w:rsidRPr="00CA169C">
        <w:rPr>
          <w:rFonts w:asciiTheme="minorHAnsi" w:hAnsiTheme="minorHAnsi" w:cstheme="minorHAnsi"/>
          <w:color w:val="000000" w:themeColor="text1"/>
          <w:sz w:val="18"/>
          <w:szCs w:val="18"/>
        </w:rPr>
        <w:t>Halliday</w:t>
      </w:r>
      <w:proofErr w:type="spellEnd"/>
      <w:r w:rsidRPr="00CA169C">
        <w:rPr>
          <w:rFonts w:asciiTheme="minorHAnsi" w:hAnsiTheme="minorHAnsi" w:cstheme="minorHAnsi"/>
          <w:color w:val="000000" w:themeColor="text1"/>
          <w:sz w:val="18"/>
          <w:szCs w:val="18"/>
        </w:rPr>
        <w:t xml:space="preserve"> et al, ‘An Assessment of the Court’s Role in Withdrawing Clinically Assisted Nutrition and Hydration from Patients in a Permanent Vegetative State.’  (2015) 23(4) Med L Rev 556 referencing applications to the court to legitimise diagnostic decisions. </w:t>
      </w:r>
    </w:p>
    <w:p w:rsidR="002F164D" w:rsidRDefault="002F164D" w:rsidP="0086135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EE9B80"/>
    <w:lvl w:ilvl="0">
      <w:numFmt w:val="decimal"/>
      <w:lvlText w:val="*"/>
      <w:lvlJc w:val="left"/>
    </w:lvl>
  </w:abstractNum>
  <w:abstractNum w:abstractNumId="1">
    <w:nsid w:val="010014F1"/>
    <w:multiLevelType w:val="hybridMultilevel"/>
    <w:tmpl w:val="1F2A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57098"/>
    <w:multiLevelType w:val="hybridMultilevel"/>
    <w:tmpl w:val="85DA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60C2D"/>
    <w:multiLevelType w:val="hybridMultilevel"/>
    <w:tmpl w:val="7E00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3A39E3"/>
    <w:multiLevelType w:val="hybridMultilevel"/>
    <w:tmpl w:val="0C8A84F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D426A1B"/>
    <w:multiLevelType w:val="hybridMultilevel"/>
    <w:tmpl w:val="C9FE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91621A"/>
    <w:multiLevelType w:val="hybridMultilevel"/>
    <w:tmpl w:val="98183B7C"/>
    <w:lvl w:ilvl="0" w:tplc="BEAE8B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1A4179"/>
    <w:rsid w:val="000071AA"/>
    <w:rsid w:val="0001577C"/>
    <w:rsid w:val="000167E0"/>
    <w:rsid w:val="00020C66"/>
    <w:rsid w:val="00020FA6"/>
    <w:rsid w:val="00024288"/>
    <w:rsid w:val="000254DF"/>
    <w:rsid w:val="00034843"/>
    <w:rsid w:val="000364F3"/>
    <w:rsid w:val="00036AA0"/>
    <w:rsid w:val="0004718B"/>
    <w:rsid w:val="00047DE3"/>
    <w:rsid w:val="00052D10"/>
    <w:rsid w:val="000558DE"/>
    <w:rsid w:val="00056B67"/>
    <w:rsid w:val="000572E2"/>
    <w:rsid w:val="00057B4D"/>
    <w:rsid w:val="00072C97"/>
    <w:rsid w:val="00073D7A"/>
    <w:rsid w:val="00077208"/>
    <w:rsid w:val="00081443"/>
    <w:rsid w:val="00091CF2"/>
    <w:rsid w:val="00094901"/>
    <w:rsid w:val="00096B67"/>
    <w:rsid w:val="00097B55"/>
    <w:rsid w:val="000A1268"/>
    <w:rsid w:val="000A1813"/>
    <w:rsid w:val="000A525C"/>
    <w:rsid w:val="000A52A3"/>
    <w:rsid w:val="000A6645"/>
    <w:rsid w:val="000B0973"/>
    <w:rsid w:val="000B0B6F"/>
    <w:rsid w:val="000B1C2D"/>
    <w:rsid w:val="000B5919"/>
    <w:rsid w:val="000B7052"/>
    <w:rsid w:val="000C1D35"/>
    <w:rsid w:val="000C2F93"/>
    <w:rsid w:val="000C670C"/>
    <w:rsid w:val="000D0370"/>
    <w:rsid w:val="000D2FD1"/>
    <w:rsid w:val="000D46FC"/>
    <w:rsid w:val="000D4BDC"/>
    <w:rsid w:val="000D4C81"/>
    <w:rsid w:val="000D537F"/>
    <w:rsid w:val="000F3DA4"/>
    <w:rsid w:val="000F3F54"/>
    <w:rsid w:val="000F578D"/>
    <w:rsid w:val="000F6694"/>
    <w:rsid w:val="000F6F09"/>
    <w:rsid w:val="000F77CF"/>
    <w:rsid w:val="00102B8C"/>
    <w:rsid w:val="00105E2B"/>
    <w:rsid w:val="00107F4A"/>
    <w:rsid w:val="00115C5A"/>
    <w:rsid w:val="00117843"/>
    <w:rsid w:val="00120B72"/>
    <w:rsid w:val="00124D56"/>
    <w:rsid w:val="00130939"/>
    <w:rsid w:val="001312B2"/>
    <w:rsid w:val="00133C96"/>
    <w:rsid w:val="00135157"/>
    <w:rsid w:val="00135509"/>
    <w:rsid w:val="00135CEE"/>
    <w:rsid w:val="00135FCE"/>
    <w:rsid w:val="00141BBD"/>
    <w:rsid w:val="00141C51"/>
    <w:rsid w:val="00142BF5"/>
    <w:rsid w:val="001430ED"/>
    <w:rsid w:val="001479E5"/>
    <w:rsid w:val="00150821"/>
    <w:rsid w:val="001508B3"/>
    <w:rsid w:val="00162F3A"/>
    <w:rsid w:val="00165151"/>
    <w:rsid w:val="00165E72"/>
    <w:rsid w:val="00167CCE"/>
    <w:rsid w:val="001741D6"/>
    <w:rsid w:val="00175271"/>
    <w:rsid w:val="001779F7"/>
    <w:rsid w:val="00180241"/>
    <w:rsid w:val="00183154"/>
    <w:rsid w:val="0018528B"/>
    <w:rsid w:val="00186061"/>
    <w:rsid w:val="00191FC2"/>
    <w:rsid w:val="00192ED1"/>
    <w:rsid w:val="00193DF4"/>
    <w:rsid w:val="00195BB4"/>
    <w:rsid w:val="001A33F6"/>
    <w:rsid w:val="001A4179"/>
    <w:rsid w:val="001A502A"/>
    <w:rsid w:val="001A5B25"/>
    <w:rsid w:val="001A6082"/>
    <w:rsid w:val="001A78E4"/>
    <w:rsid w:val="001B0050"/>
    <w:rsid w:val="001B01CF"/>
    <w:rsid w:val="001B365F"/>
    <w:rsid w:val="001B5531"/>
    <w:rsid w:val="001B7F13"/>
    <w:rsid w:val="001C03F3"/>
    <w:rsid w:val="001C1D28"/>
    <w:rsid w:val="001C25F9"/>
    <w:rsid w:val="001C3407"/>
    <w:rsid w:val="001C61B1"/>
    <w:rsid w:val="001C79BF"/>
    <w:rsid w:val="001D1461"/>
    <w:rsid w:val="001D1573"/>
    <w:rsid w:val="001D15B4"/>
    <w:rsid w:val="001D1A45"/>
    <w:rsid w:val="001D2705"/>
    <w:rsid w:val="001D2835"/>
    <w:rsid w:val="001D5ECE"/>
    <w:rsid w:val="001D67BF"/>
    <w:rsid w:val="001E7456"/>
    <w:rsid w:val="001F2AC7"/>
    <w:rsid w:val="001F42E1"/>
    <w:rsid w:val="001F5DB6"/>
    <w:rsid w:val="00201E7E"/>
    <w:rsid w:val="00203AC8"/>
    <w:rsid w:val="0022147E"/>
    <w:rsid w:val="00222177"/>
    <w:rsid w:val="002244AF"/>
    <w:rsid w:val="00226F95"/>
    <w:rsid w:val="00232E8A"/>
    <w:rsid w:val="0023516F"/>
    <w:rsid w:val="00235ACA"/>
    <w:rsid w:val="00235D47"/>
    <w:rsid w:val="002365E8"/>
    <w:rsid w:val="00236B3E"/>
    <w:rsid w:val="00240655"/>
    <w:rsid w:val="0024244E"/>
    <w:rsid w:val="00244CE6"/>
    <w:rsid w:val="00245135"/>
    <w:rsid w:val="00246E6D"/>
    <w:rsid w:val="00250298"/>
    <w:rsid w:val="00252117"/>
    <w:rsid w:val="002532BE"/>
    <w:rsid w:val="002560A6"/>
    <w:rsid w:val="00261012"/>
    <w:rsid w:val="00261132"/>
    <w:rsid w:val="0026341C"/>
    <w:rsid w:val="002635B0"/>
    <w:rsid w:val="002650D2"/>
    <w:rsid w:val="00265463"/>
    <w:rsid w:val="002661F4"/>
    <w:rsid w:val="002662EB"/>
    <w:rsid w:val="00290733"/>
    <w:rsid w:val="0029347F"/>
    <w:rsid w:val="00293C4A"/>
    <w:rsid w:val="00296584"/>
    <w:rsid w:val="00297A6A"/>
    <w:rsid w:val="002A4D59"/>
    <w:rsid w:val="002A669E"/>
    <w:rsid w:val="002A77B4"/>
    <w:rsid w:val="002B09DB"/>
    <w:rsid w:val="002B0C2E"/>
    <w:rsid w:val="002B1130"/>
    <w:rsid w:val="002B70E8"/>
    <w:rsid w:val="002C1724"/>
    <w:rsid w:val="002C67C3"/>
    <w:rsid w:val="002C6E2E"/>
    <w:rsid w:val="002C7098"/>
    <w:rsid w:val="002D2563"/>
    <w:rsid w:val="002D25DA"/>
    <w:rsid w:val="002D5F4B"/>
    <w:rsid w:val="002D6870"/>
    <w:rsid w:val="002E4C47"/>
    <w:rsid w:val="002E51B3"/>
    <w:rsid w:val="002E6422"/>
    <w:rsid w:val="002F164D"/>
    <w:rsid w:val="002F27AD"/>
    <w:rsid w:val="002F333E"/>
    <w:rsid w:val="002F4609"/>
    <w:rsid w:val="002F56D2"/>
    <w:rsid w:val="003010CC"/>
    <w:rsid w:val="00301CA4"/>
    <w:rsid w:val="00303533"/>
    <w:rsid w:val="00303A50"/>
    <w:rsid w:val="00303BF0"/>
    <w:rsid w:val="00311013"/>
    <w:rsid w:val="00311227"/>
    <w:rsid w:val="00313FA4"/>
    <w:rsid w:val="00314DF0"/>
    <w:rsid w:val="003219F1"/>
    <w:rsid w:val="00323F6B"/>
    <w:rsid w:val="00326116"/>
    <w:rsid w:val="0032614A"/>
    <w:rsid w:val="00335B3A"/>
    <w:rsid w:val="0033609F"/>
    <w:rsid w:val="0033663B"/>
    <w:rsid w:val="003420A5"/>
    <w:rsid w:val="0034469A"/>
    <w:rsid w:val="00346672"/>
    <w:rsid w:val="00346893"/>
    <w:rsid w:val="00351E42"/>
    <w:rsid w:val="00355748"/>
    <w:rsid w:val="0035731D"/>
    <w:rsid w:val="00357B3F"/>
    <w:rsid w:val="00364D29"/>
    <w:rsid w:val="00366521"/>
    <w:rsid w:val="0036709A"/>
    <w:rsid w:val="0037023A"/>
    <w:rsid w:val="00376981"/>
    <w:rsid w:val="0038491E"/>
    <w:rsid w:val="00385F15"/>
    <w:rsid w:val="00391E0D"/>
    <w:rsid w:val="00396676"/>
    <w:rsid w:val="00396B6A"/>
    <w:rsid w:val="003A3372"/>
    <w:rsid w:val="003A5297"/>
    <w:rsid w:val="003A6B22"/>
    <w:rsid w:val="003B0B7E"/>
    <w:rsid w:val="003B141E"/>
    <w:rsid w:val="003B1BDD"/>
    <w:rsid w:val="003B297F"/>
    <w:rsid w:val="003B5C31"/>
    <w:rsid w:val="003B635B"/>
    <w:rsid w:val="003C00DC"/>
    <w:rsid w:val="003C3624"/>
    <w:rsid w:val="003C5728"/>
    <w:rsid w:val="003C5F8B"/>
    <w:rsid w:val="003D0345"/>
    <w:rsid w:val="003D3374"/>
    <w:rsid w:val="003E2E4A"/>
    <w:rsid w:val="003F20C3"/>
    <w:rsid w:val="003F3A72"/>
    <w:rsid w:val="003F47D2"/>
    <w:rsid w:val="003F75C6"/>
    <w:rsid w:val="00405CBF"/>
    <w:rsid w:val="004062DD"/>
    <w:rsid w:val="00406691"/>
    <w:rsid w:val="00414BD8"/>
    <w:rsid w:val="004168C6"/>
    <w:rsid w:val="00421442"/>
    <w:rsid w:val="00422302"/>
    <w:rsid w:val="0043001D"/>
    <w:rsid w:val="00431AF6"/>
    <w:rsid w:val="00435CD0"/>
    <w:rsid w:val="004404E1"/>
    <w:rsid w:val="004419AE"/>
    <w:rsid w:val="00444B25"/>
    <w:rsid w:val="004504B8"/>
    <w:rsid w:val="004523B3"/>
    <w:rsid w:val="00455B84"/>
    <w:rsid w:val="004561C0"/>
    <w:rsid w:val="0046076B"/>
    <w:rsid w:val="0046394B"/>
    <w:rsid w:val="004639ED"/>
    <w:rsid w:val="004642DE"/>
    <w:rsid w:val="00475B83"/>
    <w:rsid w:val="0047635C"/>
    <w:rsid w:val="004771D7"/>
    <w:rsid w:val="00481AF8"/>
    <w:rsid w:val="00483AC5"/>
    <w:rsid w:val="004A0700"/>
    <w:rsid w:val="004A122B"/>
    <w:rsid w:val="004A2FF4"/>
    <w:rsid w:val="004A3536"/>
    <w:rsid w:val="004A4D4F"/>
    <w:rsid w:val="004A7A8F"/>
    <w:rsid w:val="004B530E"/>
    <w:rsid w:val="004C236D"/>
    <w:rsid w:val="004C2BB3"/>
    <w:rsid w:val="004C47A1"/>
    <w:rsid w:val="004C6804"/>
    <w:rsid w:val="004C7676"/>
    <w:rsid w:val="004D15C8"/>
    <w:rsid w:val="004D6FC0"/>
    <w:rsid w:val="004E7A32"/>
    <w:rsid w:val="004F35D1"/>
    <w:rsid w:val="00501F26"/>
    <w:rsid w:val="00502633"/>
    <w:rsid w:val="00503D9C"/>
    <w:rsid w:val="00504738"/>
    <w:rsid w:val="00505632"/>
    <w:rsid w:val="00505965"/>
    <w:rsid w:val="00507CAB"/>
    <w:rsid w:val="00510A43"/>
    <w:rsid w:val="005123C2"/>
    <w:rsid w:val="00512B64"/>
    <w:rsid w:val="005172F4"/>
    <w:rsid w:val="0051779E"/>
    <w:rsid w:val="00520D61"/>
    <w:rsid w:val="00521805"/>
    <w:rsid w:val="005241BB"/>
    <w:rsid w:val="00525391"/>
    <w:rsid w:val="00531F4D"/>
    <w:rsid w:val="0053464E"/>
    <w:rsid w:val="00535CCD"/>
    <w:rsid w:val="00543919"/>
    <w:rsid w:val="005444AE"/>
    <w:rsid w:val="005444F4"/>
    <w:rsid w:val="00554EBD"/>
    <w:rsid w:val="00565A9E"/>
    <w:rsid w:val="00570A97"/>
    <w:rsid w:val="00570B53"/>
    <w:rsid w:val="00570C14"/>
    <w:rsid w:val="0057249E"/>
    <w:rsid w:val="00572DFE"/>
    <w:rsid w:val="00575B58"/>
    <w:rsid w:val="0058020B"/>
    <w:rsid w:val="00583784"/>
    <w:rsid w:val="00584310"/>
    <w:rsid w:val="00585AE7"/>
    <w:rsid w:val="00586490"/>
    <w:rsid w:val="005928B2"/>
    <w:rsid w:val="0059426A"/>
    <w:rsid w:val="00595135"/>
    <w:rsid w:val="00596207"/>
    <w:rsid w:val="005973CA"/>
    <w:rsid w:val="005A31F3"/>
    <w:rsid w:val="005A5D00"/>
    <w:rsid w:val="005A79A9"/>
    <w:rsid w:val="005A7E03"/>
    <w:rsid w:val="005B0DBC"/>
    <w:rsid w:val="005B54BC"/>
    <w:rsid w:val="005B5E56"/>
    <w:rsid w:val="005B68E8"/>
    <w:rsid w:val="005C1F85"/>
    <w:rsid w:val="005C3F86"/>
    <w:rsid w:val="005C70F5"/>
    <w:rsid w:val="005D00AD"/>
    <w:rsid w:val="005D1B8C"/>
    <w:rsid w:val="005E0394"/>
    <w:rsid w:val="005E2CD0"/>
    <w:rsid w:val="005E3F7C"/>
    <w:rsid w:val="005E4447"/>
    <w:rsid w:val="005F21B7"/>
    <w:rsid w:val="005F5013"/>
    <w:rsid w:val="00601476"/>
    <w:rsid w:val="006044E8"/>
    <w:rsid w:val="00604898"/>
    <w:rsid w:val="00606BDC"/>
    <w:rsid w:val="006101B1"/>
    <w:rsid w:val="0061074E"/>
    <w:rsid w:val="0061214A"/>
    <w:rsid w:val="006139F0"/>
    <w:rsid w:val="00614217"/>
    <w:rsid w:val="00615DB8"/>
    <w:rsid w:val="006204D4"/>
    <w:rsid w:val="00622576"/>
    <w:rsid w:val="00623CF8"/>
    <w:rsid w:val="006302FA"/>
    <w:rsid w:val="0063282E"/>
    <w:rsid w:val="0063615D"/>
    <w:rsid w:val="0064157B"/>
    <w:rsid w:val="0064436A"/>
    <w:rsid w:val="00645EB6"/>
    <w:rsid w:val="006465BC"/>
    <w:rsid w:val="00655F20"/>
    <w:rsid w:val="006573DE"/>
    <w:rsid w:val="00661453"/>
    <w:rsid w:val="006649DD"/>
    <w:rsid w:val="00665770"/>
    <w:rsid w:val="00666C66"/>
    <w:rsid w:val="00670421"/>
    <w:rsid w:val="00675EF6"/>
    <w:rsid w:val="00681EE7"/>
    <w:rsid w:val="00683647"/>
    <w:rsid w:val="00687C8E"/>
    <w:rsid w:val="006A3F68"/>
    <w:rsid w:val="006A4E56"/>
    <w:rsid w:val="006B179D"/>
    <w:rsid w:val="006B2A31"/>
    <w:rsid w:val="006B3B92"/>
    <w:rsid w:val="006B52D5"/>
    <w:rsid w:val="006B5483"/>
    <w:rsid w:val="006B7064"/>
    <w:rsid w:val="006C34E3"/>
    <w:rsid w:val="006C41D6"/>
    <w:rsid w:val="006C4E29"/>
    <w:rsid w:val="006C50D6"/>
    <w:rsid w:val="006C5F1D"/>
    <w:rsid w:val="006C602C"/>
    <w:rsid w:val="006E1366"/>
    <w:rsid w:val="006E2BAA"/>
    <w:rsid w:val="006E2BF3"/>
    <w:rsid w:val="006E4C24"/>
    <w:rsid w:val="006E65BB"/>
    <w:rsid w:val="006F3D45"/>
    <w:rsid w:val="006F4BB6"/>
    <w:rsid w:val="006F6D7A"/>
    <w:rsid w:val="0070150A"/>
    <w:rsid w:val="007030E9"/>
    <w:rsid w:val="00704542"/>
    <w:rsid w:val="007054B1"/>
    <w:rsid w:val="00706482"/>
    <w:rsid w:val="00706BFA"/>
    <w:rsid w:val="00707133"/>
    <w:rsid w:val="0071640B"/>
    <w:rsid w:val="007263D2"/>
    <w:rsid w:val="0073463B"/>
    <w:rsid w:val="00734DFB"/>
    <w:rsid w:val="00735263"/>
    <w:rsid w:val="0073570E"/>
    <w:rsid w:val="00735A42"/>
    <w:rsid w:val="00737B69"/>
    <w:rsid w:val="00741A21"/>
    <w:rsid w:val="00744189"/>
    <w:rsid w:val="00750772"/>
    <w:rsid w:val="00753036"/>
    <w:rsid w:val="007569B2"/>
    <w:rsid w:val="00770730"/>
    <w:rsid w:val="00770B3C"/>
    <w:rsid w:val="007725DE"/>
    <w:rsid w:val="00772A4B"/>
    <w:rsid w:val="00776884"/>
    <w:rsid w:val="00776AB2"/>
    <w:rsid w:val="00780DE5"/>
    <w:rsid w:val="00797517"/>
    <w:rsid w:val="007A2E76"/>
    <w:rsid w:val="007A354E"/>
    <w:rsid w:val="007B461E"/>
    <w:rsid w:val="007B4861"/>
    <w:rsid w:val="007B54DE"/>
    <w:rsid w:val="007C096B"/>
    <w:rsid w:val="007C0C6D"/>
    <w:rsid w:val="007C44D2"/>
    <w:rsid w:val="007D2ED7"/>
    <w:rsid w:val="007D7CA9"/>
    <w:rsid w:val="007E0D0C"/>
    <w:rsid w:val="007E1535"/>
    <w:rsid w:val="007E1F42"/>
    <w:rsid w:val="007E3A90"/>
    <w:rsid w:val="007E69CD"/>
    <w:rsid w:val="007E70F4"/>
    <w:rsid w:val="007F31CF"/>
    <w:rsid w:val="007F544B"/>
    <w:rsid w:val="00802A4C"/>
    <w:rsid w:val="00802B6C"/>
    <w:rsid w:val="00806710"/>
    <w:rsid w:val="00811CBC"/>
    <w:rsid w:val="008273C2"/>
    <w:rsid w:val="00827B76"/>
    <w:rsid w:val="00830E00"/>
    <w:rsid w:val="00842E1E"/>
    <w:rsid w:val="00855B41"/>
    <w:rsid w:val="008566FC"/>
    <w:rsid w:val="0085767D"/>
    <w:rsid w:val="00861356"/>
    <w:rsid w:val="0086702A"/>
    <w:rsid w:val="008670DE"/>
    <w:rsid w:val="00874AD3"/>
    <w:rsid w:val="008824F3"/>
    <w:rsid w:val="00885D2B"/>
    <w:rsid w:val="00891E9E"/>
    <w:rsid w:val="00892926"/>
    <w:rsid w:val="0089407E"/>
    <w:rsid w:val="008944CE"/>
    <w:rsid w:val="00895419"/>
    <w:rsid w:val="008A2B20"/>
    <w:rsid w:val="008B0192"/>
    <w:rsid w:val="008B038A"/>
    <w:rsid w:val="008B0FB7"/>
    <w:rsid w:val="008B4F65"/>
    <w:rsid w:val="008B5F22"/>
    <w:rsid w:val="008B6279"/>
    <w:rsid w:val="008B682A"/>
    <w:rsid w:val="008B6C88"/>
    <w:rsid w:val="008B72D8"/>
    <w:rsid w:val="008C04F0"/>
    <w:rsid w:val="008C0D0D"/>
    <w:rsid w:val="008C35A6"/>
    <w:rsid w:val="008C3B64"/>
    <w:rsid w:val="008C5F36"/>
    <w:rsid w:val="008D161A"/>
    <w:rsid w:val="008D23E6"/>
    <w:rsid w:val="008D2B16"/>
    <w:rsid w:val="008D3A4E"/>
    <w:rsid w:val="008D52C6"/>
    <w:rsid w:val="008E3FB7"/>
    <w:rsid w:val="008E5BE2"/>
    <w:rsid w:val="008F0611"/>
    <w:rsid w:val="008F2868"/>
    <w:rsid w:val="008F374F"/>
    <w:rsid w:val="008F6715"/>
    <w:rsid w:val="008F6D6C"/>
    <w:rsid w:val="008F6FBE"/>
    <w:rsid w:val="00900EE0"/>
    <w:rsid w:val="00901168"/>
    <w:rsid w:val="009029F3"/>
    <w:rsid w:val="00903EE9"/>
    <w:rsid w:val="0090659A"/>
    <w:rsid w:val="0090677C"/>
    <w:rsid w:val="009072B3"/>
    <w:rsid w:val="00914B9F"/>
    <w:rsid w:val="009203F8"/>
    <w:rsid w:val="00921B52"/>
    <w:rsid w:val="00923081"/>
    <w:rsid w:val="009245CE"/>
    <w:rsid w:val="0092479A"/>
    <w:rsid w:val="00925027"/>
    <w:rsid w:val="0092511E"/>
    <w:rsid w:val="0092671D"/>
    <w:rsid w:val="00930A22"/>
    <w:rsid w:val="00932E01"/>
    <w:rsid w:val="00935A97"/>
    <w:rsid w:val="009375E5"/>
    <w:rsid w:val="00940511"/>
    <w:rsid w:val="00941815"/>
    <w:rsid w:val="00943A2D"/>
    <w:rsid w:val="00946AC5"/>
    <w:rsid w:val="00954549"/>
    <w:rsid w:val="00955D03"/>
    <w:rsid w:val="00956276"/>
    <w:rsid w:val="009604FB"/>
    <w:rsid w:val="00965340"/>
    <w:rsid w:val="0096769D"/>
    <w:rsid w:val="00971E95"/>
    <w:rsid w:val="00977127"/>
    <w:rsid w:val="0097748B"/>
    <w:rsid w:val="00977E20"/>
    <w:rsid w:val="00980B1E"/>
    <w:rsid w:val="00985C86"/>
    <w:rsid w:val="0099246D"/>
    <w:rsid w:val="00992534"/>
    <w:rsid w:val="00994212"/>
    <w:rsid w:val="009A212D"/>
    <w:rsid w:val="009A2482"/>
    <w:rsid w:val="009A3315"/>
    <w:rsid w:val="009A35B6"/>
    <w:rsid w:val="009A4FDA"/>
    <w:rsid w:val="009A5D3E"/>
    <w:rsid w:val="009A6BED"/>
    <w:rsid w:val="009B1170"/>
    <w:rsid w:val="009B4CBA"/>
    <w:rsid w:val="009B5E6F"/>
    <w:rsid w:val="009C266B"/>
    <w:rsid w:val="009C3229"/>
    <w:rsid w:val="009C4D5E"/>
    <w:rsid w:val="009C62E6"/>
    <w:rsid w:val="009C672D"/>
    <w:rsid w:val="009C6C6A"/>
    <w:rsid w:val="009D25EF"/>
    <w:rsid w:val="009D2F7F"/>
    <w:rsid w:val="009D3774"/>
    <w:rsid w:val="009D41B0"/>
    <w:rsid w:val="009D46F6"/>
    <w:rsid w:val="009D4C8C"/>
    <w:rsid w:val="009D5D18"/>
    <w:rsid w:val="009D5D38"/>
    <w:rsid w:val="009D6405"/>
    <w:rsid w:val="009D66BC"/>
    <w:rsid w:val="009E28AB"/>
    <w:rsid w:val="009E3415"/>
    <w:rsid w:val="009E3BB0"/>
    <w:rsid w:val="009E5859"/>
    <w:rsid w:val="009E75F2"/>
    <w:rsid w:val="009F0D41"/>
    <w:rsid w:val="009F1304"/>
    <w:rsid w:val="009F64F0"/>
    <w:rsid w:val="009F7C6A"/>
    <w:rsid w:val="00A0182E"/>
    <w:rsid w:val="00A02502"/>
    <w:rsid w:val="00A03387"/>
    <w:rsid w:val="00A0361F"/>
    <w:rsid w:val="00A1688F"/>
    <w:rsid w:val="00A174FE"/>
    <w:rsid w:val="00A21727"/>
    <w:rsid w:val="00A228AE"/>
    <w:rsid w:val="00A244C4"/>
    <w:rsid w:val="00A2466D"/>
    <w:rsid w:val="00A25B74"/>
    <w:rsid w:val="00A279E0"/>
    <w:rsid w:val="00A32F89"/>
    <w:rsid w:val="00A354A5"/>
    <w:rsid w:val="00A43B62"/>
    <w:rsid w:val="00A4777B"/>
    <w:rsid w:val="00A52AC6"/>
    <w:rsid w:val="00A52DBB"/>
    <w:rsid w:val="00A531AC"/>
    <w:rsid w:val="00A54198"/>
    <w:rsid w:val="00A54A11"/>
    <w:rsid w:val="00A54D98"/>
    <w:rsid w:val="00A55BBB"/>
    <w:rsid w:val="00A64BBE"/>
    <w:rsid w:val="00A64C9D"/>
    <w:rsid w:val="00A6566A"/>
    <w:rsid w:val="00A65E1E"/>
    <w:rsid w:val="00A704C8"/>
    <w:rsid w:val="00A726E8"/>
    <w:rsid w:val="00A74120"/>
    <w:rsid w:val="00A74697"/>
    <w:rsid w:val="00A75D3D"/>
    <w:rsid w:val="00A7719C"/>
    <w:rsid w:val="00A82314"/>
    <w:rsid w:val="00A86C3D"/>
    <w:rsid w:val="00A94C3D"/>
    <w:rsid w:val="00A96CA1"/>
    <w:rsid w:val="00A97833"/>
    <w:rsid w:val="00AA0061"/>
    <w:rsid w:val="00AA0F1E"/>
    <w:rsid w:val="00AA4F4B"/>
    <w:rsid w:val="00AA74F9"/>
    <w:rsid w:val="00AB1E14"/>
    <w:rsid w:val="00AB2A99"/>
    <w:rsid w:val="00AB2C71"/>
    <w:rsid w:val="00AB5562"/>
    <w:rsid w:val="00AC5671"/>
    <w:rsid w:val="00AC5D77"/>
    <w:rsid w:val="00AC5D7E"/>
    <w:rsid w:val="00AC695E"/>
    <w:rsid w:val="00AD1A82"/>
    <w:rsid w:val="00AD231D"/>
    <w:rsid w:val="00AD4720"/>
    <w:rsid w:val="00AE1738"/>
    <w:rsid w:val="00AE2EEA"/>
    <w:rsid w:val="00AE386A"/>
    <w:rsid w:val="00AE6960"/>
    <w:rsid w:val="00AF08D9"/>
    <w:rsid w:val="00AF173F"/>
    <w:rsid w:val="00AF223F"/>
    <w:rsid w:val="00AF2C43"/>
    <w:rsid w:val="00AF4332"/>
    <w:rsid w:val="00AF43A5"/>
    <w:rsid w:val="00B00C06"/>
    <w:rsid w:val="00B0143E"/>
    <w:rsid w:val="00B01E4B"/>
    <w:rsid w:val="00B02A2C"/>
    <w:rsid w:val="00B034A4"/>
    <w:rsid w:val="00B06C59"/>
    <w:rsid w:val="00B07412"/>
    <w:rsid w:val="00B12C69"/>
    <w:rsid w:val="00B333E6"/>
    <w:rsid w:val="00B34EFE"/>
    <w:rsid w:val="00B4002F"/>
    <w:rsid w:val="00B40B19"/>
    <w:rsid w:val="00B42C40"/>
    <w:rsid w:val="00B43E2E"/>
    <w:rsid w:val="00B44DD0"/>
    <w:rsid w:val="00B46BC6"/>
    <w:rsid w:val="00B47EE7"/>
    <w:rsid w:val="00B50404"/>
    <w:rsid w:val="00B52A69"/>
    <w:rsid w:val="00B5353A"/>
    <w:rsid w:val="00B55936"/>
    <w:rsid w:val="00B56E63"/>
    <w:rsid w:val="00B61E30"/>
    <w:rsid w:val="00B643B4"/>
    <w:rsid w:val="00B65688"/>
    <w:rsid w:val="00B667E1"/>
    <w:rsid w:val="00B7779E"/>
    <w:rsid w:val="00B92E0C"/>
    <w:rsid w:val="00BA1596"/>
    <w:rsid w:val="00BA161F"/>
    <w:rsid w:val="00BA225B"/>
    <w:rsid w:val="00BB090F"/>
    <w:rsid w:val="00BB270B"/>
    <w:rsid w:val="00BC1F44"/>
    <w:rsid w:val="00BC43DE"/>
    <w:rsid w:val="00BD1F1B"/>
    <w:rsid w:val="00BE0F12"/>
    <w:rsid w:val="00BE16FB"/>
    <w:rsid w:val="00BE3A4A"/>
    <w:rsid w:val="00BF2BDD"/>
    <w:rsid w:val="00BF2CC0"/>
    <w:rsid w:val="00BF6442"/>
    <w:rsid w:val="00BF6CAE"/>
    <w:rsid w:val="00C008AD"/>
    <w:rsid w:val="00C00BF9"/>
    <w:rsid w:val="00C00E42"/>
    <w:rsid w:val="00C052AB"/>
    <w:rsid w:val="00C1386E"/>
    <w:rsid w:val="00C17E6D"/>
    <w:rsid w:val="00C25A7E"/>
    <w:rsid w:val="00C322CF"/>
    <w:rsid w:val="00C34DBF"/>
    <w:rsid w:val="00C42871"/>
    <w:rsid w:val="00C636FC"/>
    <w:rsid w:val="00C67D94"/>
    <w:rsid w:val="00C72C03"/>
    <w:rsid w:val="00C734EA"/>
    <w:rsid w:val="00C74A39"/>
    <w:rsid w:val="00C858A0"/>
    <w:rsid w:val="00C86730"/>
    <w:rsid w:val="00C869BF"/>
    <w:rsid w:val="00C86B14"/>
    <w:rsid w:val="00C93964"/>
    <w:rsid w:val="00C94434"/>
    <w:rsid w:val="00C952BE"/>
    <w:rsid w:val="00C9678B"/>
    <w:rsid w:val="00C97E2D"/>
    <w:rsid w:val="00CA169C"/>
    <w:rsid w:val="00CA249E"/>
    <w:rsid w:val="00CA36AE"/>
    <w:rsid w:val="00CA56F8"/>
    <w:rsid w:val="00CA6061"/>
    <w:rsid w:val="00CB137F"/>
    <w:rsid w:val="00CB20F3"/>
    <w:rsid w:val="00CB3AB6"/>
    <w:rsid w:val="00CB5DC4"/>
    <w:rsid w:val="00CB77FD"/>
    <w:rsid w:val="00CC2B59"/>
    <w:rsid w:val="00CD4DEB"/>
    <w:rsid w:val="00CE2FE7"/>
    <w:rsid w:val="00CF4FA5"/>
    <w:rsid w:val="00CF6849"/>
    <w:rsid w:val="00D0513B"/>
    <w:rsid w:val="00D14807"/>
    <w:rsid w:val="00D27140"/>
    <w:rsid w:val="00D31C02"/>
    <w:rsid w:val="00D34A37"/>
    <w:rsid w:val="00D436F8"/>
    <w:rsid w:val="00D51B7C"/>
    <w:rsid w:val="00D53D56"/>
    <w:rsid w:val="00D564DD"/>
    <w:rsid w:val="00D62DA8"/>
    <w:rsid w:val="00D634BC"/>
    <w:rsid w:val="00D6609F"/>
    <w:rsid w:val="00D71554"/>
    <w:rsid w:val="00D71691"/>
    <w:rsid w:val="00D76484"/>
    <w:rsid w:val="00D76B50"/>
    <w:rsid w:val="00D8096B"/>
    <w:rsid w:val="00D84A44"/>
    <w:rsid w:val="00D8537D"/>
    <w:rsid w:val="00D85BAA"/>
    <w:rsid w:val="00D86E16"/>
    <w:rsid w:val="00D8706E"/>
    <w:rsid w:val="00D917F0"/>
    <w:rsid w:val="00D92B77"/>
    <w:rsid w:val="00D92F30"/>
    <w:rsid w:val="00D95BFD"/>
    <w:rsid w:val="00DA068E"/>
    <w:rsid w:val="00DA19E4"/>
    <w:rsid w:val="00DA2F72"/>
    <w:rsid w:val="00DB1116"/>
    <w:rsid w:val="00DB224A"/>
    <w:rsid w:val="00DB59E5"/>
    <w:rsid w:val="00DB5EE5"/>
    <w:rsid w:val="00DB6E91"/>
    <w:rsid w:val="00DC140A"/>
    <w:rsid w:val="00DC1A67"/>
    <w:rsid w:val="00DC23CB"/>
    <w:rsid w:val="00DC6D72"/>
    <w:rsid w:val="00DD5FE5"/>
    <w:rsid w:val="00DE58D6"/>
    <w:rsid w:val="00DE6AD1"/>
    <w:rsid w:val="00DF4A1D"/>
    <w:rsid w:val="00DF7EB4"/>
    <w:rsid w:val="00E05E71"/>
    <w:rsid w:val="00E10378"/>
    <w:rsid w:val="00E10B31"/>
    <w:rsid w:val="00E16287"/>
    <w:rsid w:val="00E23B59"/>
    <w:rsid w:val="00E258B0"/>
    <w:rsid w:val="00E267A0"/>
    <w:rsid w:val="00E267DD"/>
    <w:rsid w:val="00E26F46"/>
    <w:rsid w:val="00E34613"/>
    <w:rsid w:val="00E35FC3"/>
    <w:rsid w:val="00E36E42"/>
    <w:rsid w:val="00E4255A"/>
    <w:rsid w:val="00E5333A"/>
    <w:rsid w:val="00E547AB"/>
    <w:rsid w:val="00E563C5"/>
    <w:rsid w:val="00E5786E"/>
    <w:rsid w:val="00E57AF2"/>
    <w:rsid w:val="00E62307"/>
    <w:rsid w:val="00E65E78"/>
    <w:rsid w:val="00E666DA"/>
    <w:rsid w:val="00E70CDC"/>
    <w:rsid w:val="00E70F8E"/>
    <w:rsid w:val="00E77E3D"/>
    <w:rsid w:val="00E8075F"/>
    <w:rsid w:val="00E87534"/>
    <w:rsid w:val="00E90940"/>
    <w:rsid w:val="00E96AA6"/>
    <w:rsid w:val="00EA14AA"/>
    <w:rsid w:val="00EA158F"/>
    <w:rsid w:val="00EA2452"/>
    <w:rsid w:val="00EA6BE6"/>
    <w:rsid w:val="00EB0A07"/>
    <w:rsid w:val="00EB2BF4"/>
    <w:rsid w:val="00EB6C81"/>
    <w:rsid w:val="00EC06CF"/>
    <w:rsid w:val="00EC4CC9"/>
    <w:rsid w:val="00EC501A"/>
    <w:rsid w:val="00ED0BF1"/>
    <w:rsid w:val="00ED3783"/>
    <w:rsid w:val="00ED44CF"/>
    <w:rsid w:val="00ED4AEB"/>
    <w:rsid w:val="00ED5559"/>
    <w:rsid w:val="00ED7B26"/>
    <w:rsid w:val="00EE3EB7"/>
    <w:rsid w:val="00EE504F"/>
    <w:rsid w:val="00EE6200"/>
    <w:rsid w:val="00EE767C"/>
    <w:rsid w:val="00EF06E7"/>
    <w:rsid w:val="00EF242D"/>
    <w:rsid w:val="00EF448D"/>
    <w:rsid w:val="00EF789E"/>
    <w:rsid w:val="00F01B88"/>
    <w:rsid w:val="00F05EA5"/>
    <w:rsid w:val="00F06993"/>
    <w:rsid w:val="00F10713"/>
    <w:rsid w:val="00F13363"/>
    <w:rsid w:val="00F15EE5"/>
    <w:rsid w:val="00F27AA6"/>
    <w:rsid w:val="00F34749"/>
    <w:rsid w:val="00F3483A"/>
    <w:rsid w:val="00F415F3"/>
    <w:rsid w:val="00F437AC"/>
    <w:rsid w:val="00F457DF"/>
    <w:rsid w:val="00F45DE5"/>
    <w:rsid w:val="00F470A7"/>
    <w:rsid w:val="00F4754A"/>
    <w:rsid w:val="00F5004A"/>
    <w:rsid w:val="00F50F94"/>
    <w:rsid w:val="00F514A9"/>
    <w:rsid w:val="00F51908"/>
    <w:rsid w:val="00F51E0D"/>
    <w:rsid w:val="00F565FB"/>
    <w:rsid w:val="00F570CE"/>
    <w:rsid w:val="00F57902"/>
    <w:rsid w:val="00F62633"/>
    <w:rsid w:val="00F6602C"/>
    <w:rsid w:val="00F66506"/>
    <w:rsid w:val="00F6727B"/>
    <w:rsid w:val="00F71634"/>
    <w:rsid w:val="00F80CA7"/>
    <w:rsid w:val="00F848BF"/>
    <w:rsid w:val="00F85E6A"/>
    <w:rsid w:val="00F86765"/>
    <w:rsid w:val="00F96E58"/>
    <w:rsid w:val="00FA2596"/>
    <w:rsid w:val="00FA3151"/>
    <w:rsid w:val="00FA35C3"/>
    <w:rsid w:val="00FA4856"/>
    <w:rsid w:val="00FB2BCA"/>
    <w:rsid w:val="00FB3712"/>
    <w:rsid w:val="00FB4FD6"/>
    <w:rsid w:val="00FB5613"/>
    <w:rsid w:val="00FB7A6D"/>
    <w:rsid w:val="00FC0A07"/>
    <w:rsid w:val="00FC34E2"/>
    <w:rsid w:val="00FC6050"/>
    <w:rsid w:val="00FD2FA8"/>
    <w:rsid w:val="00FD5702"/>
    <w:rsid w:val="00FD6C37"/>
    <w:rsid w:val="00FD778D"/>
    <w:rsid w:val="00FE7F6B"/>
    <w:rsid w:val="00FF1A3E"/>
    <w:rsid w:val="00FF79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79"/>
  </w:style>
  <w:style w:type="paragraph" w:styleId="Heading1">
    <w:name w:val="heading 1"/>
    <w:basedOn w:val="Normal"/>
    <w:link w:val="Heading1Char"/>
    <w:uiPriority w:val="9"/>
    <w:qFormat/>
    <w:rsid w:val="001A4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1453"/>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79"/>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nhideWhenUsed/>
    <w:rsid w:val="001A417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1A4179"/>
    <w:rPr>
      <w:rFonts w:ascii="Arial" w:eastAsia="Times New Roman" w:hAnsi="Arial" w:cs="Times New Roman"/>
      <w:sz w:val="20"/>
      <w:szCs w:val="20"/>
    </w:rPr>
  </w:style>
  <w:style w:type="character" w:styleId="FootnoteReference">
    <w:name w:val="footnote reference"/>
    <w:basedOn w:val="DefaultParagraphFont"/>
    <w:uiPriority w:val="99"/>
    <w:unhideWhenUsed/>
    <w:rsid w:val="001A4179"/>
    <w:rPr>
      <w:vertAlign w:val="superscript"/>
    </w:rPr>
  </w:style>
  <w:style w:type="paragraph" w:styleId="ListParagraph">
    <w:name w:val="List Paragraph"/>
    <w:basedOn w:val="Normal"/>
    <w:uiPriority w:val="34"/>
    <w:qFormat/>
    <w:rsid w:val="001A4179"/>
    <w:pPr>
      <w:spacing w:after="0" w:line="240" w:lineRule="auto"/>
      <w:ind w:left="720"/>
      <w:contextualSpacing/>
    </w:pPr>
    <w:rPr>
      <w:rFonts w:ascii="Arial" w:eastAsia="Times New Roman" w:hAnsi="Arial" w:cs="Times New Roman"/>
      <w:sz w:val="24"/>
      <w:szCs w:val="20"/>
    </w:rPr>
  </w:style>
  <w:style w:type="character" w:styleId="Hyperlink">
    <w:name w:val="Hyperlink"/>
    <w:basedOn w:val="DefaultParagraphFont"/>
    <w:uiPriority w:val="99"/>
    <w:unhideWhenUsed/>
    <w:rsid w:val="001A4179"/>
    <w:rPr>
      <w:color w:val="0000FF" w:themeColor="hyperlink"/>
      <w:u w:val="single"/>
    </w:rPr>
  </w:style>
  <w:style w:type="character" w:styleId="CommentReference">
    <w:name w:val="annotation reference"/>
    <w:basedOn w:val="DefaultParagraphFont"/>
    <w:uiPriority w:val="99"/>
    <w:semiHidden/>
    <w:unhideWhenUsed/>
    <w:rsid w:val="001A4179"/>
    <w:rPr>
      <w:sz w:val="16"/>
      <w:szCs w:val="16"/>
    </w:rPr>
  </w:style>
  <w:style w:type="paragraph" w:styleId="CommentText">
    <w:name w:val="annotation text"/>
    <w:basedOn w:val="Normal"/>
    <w:link w:val="CommentTextChar"/>
    <w:uiPriority w:val="99"/>
    <w:unhideWhenUsed/>
    <w:rsid w:val="001A4179"/>
    <w:pPr>
      <w:spacing w:line="240" w:lineRule="auto"/>
    </w:pPr>
    <w:rPr>
      <w:sz w:val="20"/>
      <w:szCs w:val="20"/>
    </w:rPr>
  </w:style>
  <w:style w:type="character" w:customStyle="1" w:styleId="CommentTextChar">
    <w:name w:val="Comment Text Char"/>
    <w:basedOn w:val="DefaultParagraphFont"/>
    <w:link w:val="CommentText"/>
    <w:uiPriority w:val="99"/>
    <w:rsid w:val="001A4179"/>
    <w:rPr>
      <w:sz w:val="20"/>
      <w:szCs w:val="20"/>
    </w:rPr>
  </w:style>
  <w:style w:type="character" w:customStyle="1" w:styleId="apple-converted-space">
    <w:name w:val="apple-converted-space"/>
    <w:basedOn w:val="DefaultParagraphFont"/>
    <w:rsid w:val="001A4179"/>
  </w:style>
  <w:style w:type="paragraph" w:styleId="BalloonText">
    <w:name w:val="Balloon Text"/>
    <w:basedOn w:val="Normal"/>
    <w:link w:val="BalloonTextChar"/>
    <w:uiPriority w:val="99"/>
    <w:semiHidden/>
    <w:unhideWhenUsed/>
    <w:rsid w:val="001A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79"/>
    <w:rPr>
      <w:rFonts w:ascii="Tahoma" w:hAnsi="Tahoma" w:cs="Tahoma"/>
      <w:sz w:val="16"/>
      <w:szCs w:val="16"/>
    </w:rPr>
  </w:style>
  <w:style w:type="character" w:customStyle="1" w:styleId="citeproc-title">
    <w:name w:val="citeproc-title"/>
    <w:basedOn w:val="DefaultParagraphFont"/>
    <w:rsid w:val="0018528B"/>
  </w:style>
  <w:style w:type="paragraph" w:customStyle="1" w:styleId="Default">
    <w:name w:val="Default"/>
    <w:rsid w:val="0018528B"/>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1074E"/>
    <w:rPr>
      <w:b/>
      <w:bCs/>
    </w:rPr>
  </w:style>
  <w:style w:type="character" w:customStyle="1" w:styleId="CommentSubjectChar">
    <w:name w:val="Comment Subject Char"/>
    <w:basedOn w:val="CommentTextChar"/>
    <w:link w:val="CommentSubject"/>
    <w:uiPriority w:val="99"/>
    <w:semiHidden/>
    <w:rsid w:val="0061074E"/>
    <w:rPr>
      <w:b/>
      <w:bCs/>
      <w:sz w:val="20"/>
      <w:szCs w:val="20"/>
    </w:rPr>
  </w:style>
  <w:style w:type="character" w:customStyle="1" w:styleId="Heading2Char">
    <w:name w:val="Heading 2 Char"/>
    <w:basedOn w:val="DefaultParagraphFont"/>
    <w:link w:val="Heading2"/>
    <w:uiPriority w:val="9"/>
    <w:rsid w:val="00661453"/>
    <w:rPr>
      <w:rFonts w:asciiTheme="majorHAnsi" w:eastAsiaTheme="majorEastAsia" w:hAnsiTheme="majorHAnsi" w:cstheme="majorBidi"/>
      <w:b/>
      <w:bCs/>
      <w:color w:val="4F81BD" w:themeColor="accent1"/>
      <w:sz w:val="26"/>
      <w:szCs w:val="26"/>
      <w:lang w:eastAsia="en-GB"/>
    </w:rPr>
  </w:style>
  <w:style w:type="character" w:customStyle="1" w:styleId="ref-journal">
    <w:name w:val="ref-journal"/>
    <w:basedOn w:val="DefaultParagraphFont"/>
    <w:rsid w:val="00661453"/>
  </w:style>
  <w:style w:type="paragraph" w:styleId="Header">
    <w:name w:val="header"/>
    <w:basedOn w:val="Normal"/>
    <w:link w:val="HeaderChar"/>
    <w:uiPriority w:val="99"/>
    <w:semiHidden/>
    <w:unhideWhenUsed/>
    <w:rsid w:val="008566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66FC"/>
  </w:style>
  <w:style w:type="paragraph" w:styleId="Footer">
    <w:name w:val="footer"/>
    <w:basedOn w:val="Normal"/>
    <w:link w:val="FooterChar"/>
    <w:uiPriority w:val="99"/>
    <w:unhideWhenUsed/>
    <w:rsid w:val="00856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6FC"/>
  </w:style>
  <w:style w:type="character" w:customStyle="1" w:styleId="ft">
    <w:name w:val="ft"/>
    <w:basedOn w:val="DefaultParagraphFont"/>
    <w:rsid w:val="005A79A9"/>
  </w:style>
  <w:style w:type="paragraph" w:styleId="BodyText">
    <w:name w:val="Body Text"/>
    <w:basedOn w:val="Normal"/>
    <w:link w:val="BodyTextChar"/>
    <w:rsid w:val="005E444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E444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500427">
      <w:bodyDiv w:val="1"/>
      <w:marLeft w:val="0"/>
      <w:marRight w:val="0"/>
      <w:marTop w:val="0"/>
      <w:marBottom w:val="0"/>
      <w:divBdr>
        <w:top w:val="none" w:sz="0" w:space="0" w:color="auto"/>
        <w:left w:val="none" w:sz="0" w:space="0" w:color="auto"/>
        <w:bottom w:val="none" w:sz="0" w:space="0" w:color="auto"/>
        <w:right w:val="none" w:sz="0" w:space="0" w:color="auto"/>
      </w:divBdr>
    </w:div>
    <w:div w:id="1280456775">
      <w:bodyDiv w:val="1"/>
      <w:marLeft w:val="0"/>
      <w:marRight w:val="0"/>
      <w:marTop w:val="0"/>
      <w:marBottom w:val="0"/>
      <w:divBdr>
        <w:top w:val="none" w:sz="0" w:space="0" w:color="auto"/>
        <w:left w:val="none" w:sz="0" w:space="0" w:color="auto"/>
        <w:bottom w:val="none" w:sz="0" w:space="0" w:color="auto"/>
        <w:right w:val="none" w:sz="0" w:space="0" w:color="auto"/>
      </w:divBdr>
      <w:divsChild>
        <w:div w:id="1809083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sychiatrydirect.co.uk/expert-witness/" TargetMode="External"/><Relationship Id="rId3" Type="http://schemas.openxmlformats.org/officeDocument/2006/relationships/hyperlink" Target="http://thesmallplaces.blogspot.co.uk/2011/09/is-article-12-keeping-you-awake-at.html" TargetMode="External"/><Relationship Id="rId7" Type="http://schemas.openxmlformats.org/officeDocument/2006/relationships/hyperlink" Target="http://www.bailii.org/cgi-bin/redirect.cgi?path=/ew/cases/EWHC/Fam/2007/136.html" TargetMode="External"/><Relationship Id="rId2" Type="http://schemas.openxmlformats.org/officeDocument/2006/relationships/hyperlink" Target="http://www.bailii.org/uk/cases/UKUT/AAC/2011/74.html" TargetMode="External"/><Relationship Id="rId1" Type="http://schemas.openxmlformats.org/officeDocument/2006/relationships/hyperlink" Target="http://autonomy.essex.ac.uk/wp-content/uploads/2014/06/1.-Briefing-Paper-One-FINAL.pdf" TargetMode="External"/><Relationship Id="rId6" Type="http://schemas.openxmlformats.org/officeDocument/2006/relationships/hyperlink" Target="http://www.bailii.org/ew/cases/EWHC/Fam/2007/136.html" TargetMode="External"/><Relationship Id="rId11" Type="http://schemas.openxmlformats.org/officeDocument/2006/relationships/hyperlink" Target="http://www.bailii.org/cgi-bin/markup.cgi?doc=/ew/cases/EWCOP/2015/60.html&amp;query=%22Dr+Tyrone+Glover%22&amp;method=boolean" TargetMode="External"/><Relationship Id="rId5" Type="http://schemas.openxmlformats.org/officeDocument/2006/relationships/hyperlink" Target="http://www.parliamentlive.tv/Event/Index/0fe8cea8-89db-453c-afb2-7a97d8b20db1" TargetMode="External"/><Relationship Id="rId10" Type="http://schemas.openxmlformats.org/officeDocument/2006/relationships/hyperlink" Target="http://www.bailii.org/cgi-bin/markup.cgi?doc=/ew/cases/EWCOP/2014/35.html&amp;query=%22Dr+Tyrone+Glover%22&amp;method=boolean" TargetMode="External"/><Relationship Id="rId4" Type="http://schemas.openxmlformats.org/officeDocument/2006/relationships/hyperlink" Target="http://autonomy.essex.ac.uk/is-the-mca-compliant-with-the-uncrpd-briefing-papers" TargetMode="External"/><Relationship Id="rId9" Type="http://schemas.openxmlformats.org/officeDocument/2006/relationships/hyperlink" Target="http://www.bailii.org/cgi-bin/markup.cgi?doc=/ew/cases/EWCOP/2012/1639.html&amp;query=%22Dr+Tyrone+Glover%22&amp;method=bool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46871-20F4-47F0-88A1-8CE557CE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29</Pages>
  <Words>10677</Words>
  <Characters>60862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71397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55</cp:revision>
  <cp:lastPrinted>2016-08-05T09:54:00Z</cp:lastPrinted>
  <dcterms:created xsi:type="dcterms:W3CDTF">2016-08-02T08:47:00Z</dcterms:created>
  <dcterms:modified xsi:type="dcterms:W3CDTF">2016-08-08T17:41:00Z</dcterms:modified>
</cp:coreProperties>
</file>