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E7534D" w14:textId="0409D527" w:rsidR="004B0F3E" w:rsidRPr="003A587C" w:rsidRDefault="004B0F3E" w:rsidP="004B0F3E">
      <w:pPr>
        <w:rPr>
          <w:b/>
          <w:sz w:val="28"/>
          <w:szCs w:val="28"/>
        </w:rPr>
      </w:pPr>
      <w:r w:rsidRPr="003A587C">
        <w:rPr>
          <w:b/>
          <w:sz w:val="28"/>
          <w:szCs w:val="28"/>
        </w:rPr>
        <w:t>Disciplinary Social Policy and the failing promise of the New Middle Classes: The Troubled Families Programme</w:t>
      </w:r>
    </w:p>
    <w:p w14:paraId="1E736A25" w14:textId="77777777" w:rsidR="004B0F3E" w:rsidRPr="003A587C" w:rsidRDefault="004B0F3E" w:rsidP="004B0F3E">
      <w:r w:rsidRPr="003A587C">
        <w:t>Alex Nunn, Leeds Beckett University</w:t>
      </w:r>
    </w:p>
    <w:p w14:paraId="5D4BC1DB" w14:textId="069E5AB0" w:rsidR="004B0F3E" w:rsidRPr="003A587C" w:rsidRDefault="004B0F3E" w:rsidP="004B0F3E">
      <w:r w:rsidRPr="003A587C">
        <w:t>Daniela Tepe-Belfrage, University of Sheffield</w:t>
      </w:r>
      <w:bookmarkStart w:id="0" w:name="_GoBack"/>
      <w:bookmarkEnd w:id="0"/>
    </w:p>
    <w:p w14:paraId="3E58D942" w14:textId="77777777" w:rsidR="004B0F3E" w:rsidRPr="003A587C" w:rsidRDefault="004B0F3E" w:rsidP="00F51902">
      <w:pPr>
        <w:pStyle w:val="Heading1"/>
      </w:pPr>
      <w:r w:rsidRPr="003A587C">
        <w:t>Introduction</w:t>
      </w:r>
    </w:p>
    <w:p w14:paraId="0842EA06" w14:textId="329CBC5A" w:rsidR="00CE7BC3" w:rsidRDefault="004B0F3E" w:rsidP="00452628">
      <w:pPr>
        <w:pStyle w:val="Quote"/>
      </w:pPr>
      <w:r w:rsidRPr="003A587C">
        <w:t>“This will be a Budget for working people</w:t>
      </w:r>
      <w:r w:rsidR="000260A0">
        <w:t>..</w:t>
      </w:r>
      <w:r w:rsidRPr="003A587C">
        <w:t>. This is the new settlement. From a one nation government, this is a one nation Budget that takes the necessary steps and follows a sensible path for the benefit of the whole of the United Kingdom.” George Osborne</w:t>
      </w:r>
      <w:r w:rsidR="009D3AE7">
        <w:t xml:space="preserve">, </w:t>
      </w:r>
      <w:r w:rsidRPr="003A587C">
        <w:t>Budget Speech, 8 July 2015</w:t>
      </w:r>
      <w:r w:rsidR="00EF5245">
        <w:t>.</w:t>
      </w:r>
    </w:p>
    <w:p w14:paraId="6293FDBC" w14:textId="6D1DC2E6" w:rsidR="00D21DC2" w:rsidRPr="003A587C" w:rsidRDefault="004B0F3E" w:rsidP="00EB7083">
      <w:r w:rsidRPr="003A587C">
        <w:t xml:space="preserve">This is how </w:t>
      </w:r>
      <w:r w:rsidR="008B0730">
        <w:t xml:space="preserve">the </w:t>
      </w:r>
      <w:r w:rsidRPr="003A587C">
        <w:t xml:space="preserve">UK Chancellor of the Exchequer prefaced his first budget speech as part of the new majority Conservative </w:t>
      </w:r>
      <w:proofErr w:type="spellStart"/>
      <w:r w:rsidRPr="003A587C">
        <w:t>government</w:t>
      </w:r>
      <w:r w:rsidR="001B544A">
        <w:t>in</w:t>
      </w:r>
      <w:proofErr w:type="spellEnd"/>
      <w:r w:rsidR="001B544A">
        <w:t xml:space="preserve"> 2015</w:t>
      </w:r>
      <w:r w:rsidRPr="003A587C">
        <w:t xml:space="preserve">. His aim was to emphasise the commonality of material experience faced by ‘working people’ and that the reforms he was about to announce would be in the universal interest. As Marx and Engels warned in 1846 (1968); alarm bells should sound whenever elites present policies as in the universal </w:t>
      </w:r>
      <w:r w:rsidR="008B0730">
        <w:t>interest, for they rarely are.</w:t>
      </w:r>
    </w:p>
    <w:p w14:paraId="627A052A" w14:textId="29CADC2E" w:rsidR="004B0F3E" w:rsidRPr="003A587C" w:rsidRDefault="004B0F3E" w:rsidP="00F51902">
      <w:r w:rsidRPr="003A587C">
        <w:t xml:space="preserve">Politicians do though regularly appeal to </w:t>
      </w:r>
      <w:r w:rsidR="009D3AE7">
        <w:t>a rhetorical</w:t>
      </w:r>
      <w:r w:rsidRPr="003A587C">
        <w:t xml:space="preserve"> universal interest.  </w:t>
      </w:r>
      <w:r w:rsidR="000260A0">
        <w:t xml:space="preserve">During the Post-War period, they </w:t>
      </w:r>
      <w:r w:rsidR="009D3AE7">
        <w:t>were</w:t>
      </w:r>
      <w:r w:rsidR="000260A0">
        <w:t xml:space="preserve"> helped in this by the social construct of </w:t>
      </w:r>
      <w:r w:rsidRPr="003A587C">
        <w:t xml:space="preserve">the ‘New Middle Class’ (NMC) – a social group whose interests could be associated with those of all because of its assumed universal </w:t>
      </w:r>
      <w:r w:rsidRPr="007C0B7D">
        <w:rPr>
          <w:i/>
        </w:rPr>
        <w:t>potential</w:t>
      </w:r>
      <w:r w:rsidRPr="003A587C">
        <w:t xml:space="preserve">. Even where the material reality of access to a position in the NMC became questionable, the public policy rhetoric suggested that ‘inclusion’ could be defined more by </w:t>
      </w:r>
      <w:r w:rsidR="00C73C07">
        <w:t>consumption</w:t>
      </w:r>
      <w:r w:rsidR="004A4AFF">
        <w:t xml:space="preserve">, </w:t>
      </w:r>
      <w:r w:rsidRPr="003A587C">
        <w:t>cultural experiences</w:t>
      </w:r>
      <w:r w:rsidR="004A4AFF">
        <w:t xml:space="preserve"> and, crucially, behavioural choices.</w:t>
      </w:r>
      <w:r w:rsidR="004A4AFF" w:rsidRPr="003A587C">
        <w:t xml:space="preserve"> </w:t>
      </w:r>
      <w:r w:rsidRPr="003A587C">
        <w:t xml:space="preserve">The spectre of Marx could be held at bay, it seemed, by a new world of status derived from individual freedom, expression and increasingly post-modern consumption of goods, services and even ‘experiences’.  </w:t>
      </w:r>
    </w:p>
    <w:p w14:paraId="6C18C235" w14:textId="1532578F" w:rsidR="00D6285F" w:rsidRPr="003A587C" w:rsidRDefault="004B0F3E" w:rsidP="00F51902">
      <w:r w:rsidRPr="003A587C">
        <w:t>Those unable to make the shift to this expanded NMC, were increasingly ghettoised conceptually</w:t>
      </w:r>
      <w:r w:rsidR="009D3AE7">
        <w:t xml:space="preserve"> </w:t>
      </w:r>
      <w:r w:rsidR="00B76ED7">
        <w:t>and politically</w:t>
      </w:r>
      <w:r w:rsidRPr="003A587C">
        <w:t>. If they couldn’t access the material reality of a position in the NMC, they could at least behave as if this was possible and in this way access the cultural experience of ‘inclusion’. A failure to do so was to risk state discipline.</w:t>
      </w:r>
      <w:r w:rsidR="00F15419">
        <w:t xml:space="preserve"> </w:t>
      </w:r>
      <w:r w:rsidR="00B76ED7">
        <w:t xml:space="preserve">Since </w:t>
      </w:r>
      <w:r w:rsidR="00F15419">
        <w:t xml:space="preserve">the 2008 crisis, </w:t>
      </w:r>
      <w:r w:rsidR="00B76ED7">
        <w:t xml:space="preserve">this disciplinary emphasis has been markedly intensified, with social </w:t>
      </w:r>
      <w:r w:rsidRPr="003A587C">
        <w:t xml:space="preserve">policy </w:t>
      </w:r>
      <w:r w:rsidR="00B76ED7">
        <w:t>focussing on</w:t>
      </w:r>
      <w:r w:rsidRPr="003A587C">
        <w:t xml:space="preserve"> enforcing individual and household competition for access </w:t>
      </w:r>
      <w:r w:rsidRPr="003A587C">
        <w:lastRenderedPageBreak/>
        <w:t xml:space="preserve">to a now contracting and polarising NMC. This paper uses the Troubled Families Programme (TFP) as one example of such a disciplinary social policy. Interviews with policy makers and programme directors in two locales show how families get locked-in to disciplining policies and discourses that condemn their lifestyles and life-choices rather than providing long-term solutions to </w:t>
      </w:r>
      <w:r w:rsidR="00C73C07">
        <w:t>structural inequalities</w:t>
      </w:r>
      <w:r w:rsidRPr="003A587C">
        <w:t xml:space="preserve">. </w:t>
      </w:r>
    </w:p>
    <w:p w14:paraId="0CDF5AFA" w14:textId="33FD0A27" w:rsidR="00D6285F" w:rsidRPr="003A587C" w:rsidRDefault="004B0F3E" w:rsidP="00F51902">
      <w:pPr>
        <w:pStyle w:val="Heading1"/>
      </w:pPr>
      <w:r w:rsidRPr="003A587C">
        <w:t xml:space="preserve">The </w:t>
      </w:r>
      <w:r w:rsidR="00C73C07">
        <w:t xml:space="preserve">Rise and Fall of the </w:t>
      </w:r>
      <w:r w:rsidRPr="003A587C">
        <w:t>New Middle Class</w:t>
      </w:r>
      <w:r w:rsidR="00C73C07">
        <w:t>?</w:t>
      </w:r>
    </w:p>
    <w:p w14:paraId="6FB1D5B3" w14:textId="3DE2C203" w:rsidR="00F51902" w:rsidRDefault="00F51902" w:rsidP="00D608D6">
      <w:r w:rsidRPr="003A587C">
        <w:t>The development of post-war capitalism in the ‘We</w:t>
      </w:r>
      <w:r w:rsidR="008B0730">
        <w:t xml:space="preserve">st’ seemed to suggest that Marx’s </w:t>
      </w:r>
      <w:r w:rsidRPr="003A587C">
        <w:t xml:space="preserve">forecast that </w:t>
      </w:r>
      <w:r w:rsidR="00C73C07">
        <w:t>society</w:t>
      </w:r>
      <w:r w:rsidRPr="003A587C">
        <w:t xml:space="preserve"> would gradually evolve into two opposing classes was incorrect. </w:t>
      </w:r>
      <w:r w:rsidR="00C73C07">
        <w:t>T</w:t>
      </w:r>
      <w:r w:rsidRPr="003A587C">
        <w:t xml:space="preserve">he emergence and rapid expansion of the </w:t>
      </w:r>
      <w:r w:rsidR="008B0730">
        <w:t xml:space="preserve">NMC </w:t>
      </w:r>
      <w:r w:rsidRPr="003A587C">
        <w:t xml:space="preserve">seemed to suggest that the economic contradictions of capitalism might be held in check and displaced into the social and political realm. </w:t>
      </w:r>
      <w:r w:rsidR="000260A0">
        <w:t>The material underpinning of the</w:t>
      </w:r>
      <w:r w:rsidR="000260A0" w:rsidRPr="003A587C">
        <w:t xml:space="preserve"> </w:t>
      </w:r>
      <w:r w:rsidRPr="003A587C">
        <w:t xml:space="preserve">NMC resulted from urbanisation, increasing managerial, supervisory and administrative </w:t>
      </w:r>
      <w:r w:rsidR="001B544A">
        <w:t>occupations</w:t>
      </w:r>
      <w:r w:rsidR="001B544A" w:rsidRPr="003A587C">
        <w:t xml:space="preserve"> </w:t>
      </w:r>
      <w:r w:rsidRPr="003A587C">
        <w:t xml:space="preserve">in expanding corporate and state structures </w:t>
      </w:r>
      <w:r w:rsidR="00415D03">
        <w:rPr>
          <w:noProof/>
        </w:rPr>
        <w:t xml:space="preserve">(Burnham, 1941; Kerr </w:t>
      </w:r>
      <w:r w:rsidR="00415D03" w:rsidRPr="00415D03">
        <w:rPr>
          <w:i/>
          <w:noProof/>
        </w:rPr>
        <w:t>et. al</w:t>
      </w:r>
      <w:r w:rsidR="00415D03">
        <w:rPr>
          <w:noProof/>
        </w:rPr>
        <w:t>.</w:t>
      </w:r>
      <w:r w:rsidRPr="003A587C">
        <w:rPr>
          <w:noProof/>
        </w:rPr>
        <w:t>, 1960; Veblen, 1978)</w:t>
      </w:r>
      <w:r w:rsidRPr="003A587C">
        <w:t xml:space="preserve">. The NMC lived in improved housing conditions in the new suburbs and was able to take advantage of the benefits of consumerism and technology to make life demonstrably easier. The harsh edge of exploitation was smoothed by improving wages and </w:t>
      </w:r>
      <w:r w:rsidR="008B0730">
        <w:t>living standards.</w:t>
      </w:r>
    </w:p>
    <w:p w14:paraId="5D1E63DA" w14:textId="4662117E" w:rsidR="002C08B2" w:rsidRDefault="002C08B2" w:rsidP="00D608D6">
      <w:r>
        <w:t>Con</w:t>
      </w:r>
      <w:r w:rsidRPr="003A587C">
        <w:t xml:space="preserve">ceptually the NMC </w:t>
      </w:r>
      <w:r>
        <w:t xml:space="preserve">appears </w:t>
      </w:r>
      <w:r w:rsidRPr="003A587C">
        <w:t>problematic. New class theory</w:t>
      </w:r>
      <w:r>
        <w:t xml:space="preserve"> especially</w:t>
      </w:r>
      <w:r w:rsidRPr="003A587C">
        <w:t xml:space="preserve"> drew attention to the importance of culture and self-understanding as the basis for social stratification </w:t>
      </w:r>
      <w:r w:rsidRPr="003A587C">
        <w:rPr>
          <w:noProof/>
        </w:rPr>
        <w:t>(Wacquant, 1991)</w:t>
      </w:r>
      <w:r>
        <w:t xml:space="preserve"> and away from conceptualisations of ‘objective’ class positions.</w:t>
      </w:r>
      <w:r w:rsidRPr="003A587C">
        <w:t xml:space="preserve"> </w:t>
      </w:r>
      <w:r>
        <w:t>F</w:t>
      </w:r>
      <w:r w:rsidRPr="003A587C">
        <w:t xml:space="preserve">rom a historical materialist perspective such understandings clash with the notions of </w:t>
      </w:r>
      <w:r>
        <w:t xml:space="preserve">abstract and </w:t>
      </w:r>
      <w:r w:rsidRPr="003A587C">
        <w:t xml:space="preserve">objective class relations defined by relations to the means of production </w:t>
      </w:r>
      <w:r w:rsidRPr="003A587C">
        <w:rPr>
          <w:noProof/>
        </w:rPr>
        <w:t>(Radice, 2014)</w:t>
      </w:r>
      <w:r w:rsidRPr="003A587C">
        <w:t xml:space="preserve">. </w:t>
      </w:r>
      <w:r>
        <w:t xml:space="preserve"> From this point of view, the NMC seemed nonsensical as its members were required, for their subsistence, to offer their labour power for commodification.  Of course, though, Marx himself allowed for both the abstract necessity of a working class that is always internally subdivided </w:t>
      </w:r>
      <w:r>
        <w:rPr>
          <w:noProof/>
        </w:rPr>
        <w:t>(1867, Ch25)</w:t>
      </w:r>
      <w:r>
        <w:t>, and</w:t>
      </w:r>
      <w:r w:rsidR="001B544A">
        <w:t>, in his historical critiques,</w:t>
      </w:r>
      <w:r>
        <w:t xml:space="preserve"> for the </w:t>
      </w:r>
      <w:r w:rsidR="001B544A">
        <w:t>political significance of cultural and social subdivisions within both the capitalist and working class</w:t>
      </w:r>
      <w:r>
        <w:t xml:space="preserve"> (Marx, 1937). Objective classes then may be cut through with status divisions on the grounds of identity (</w:t>
      </w:r>
      <w:r w:rsidRPr="003A587C">
        <w:t>gender, race, age, sexuality, religion and disability</w:t>
      </w:r>
      <w:r>
        <w:t>), culture or behaviour</w:t>
      </w:r>
      <w:r w:rsidR="001B544A">
        <w:t>,</w:t>
      </w:r>
      <w:r w:rsidRPr="003A587C">
        <w:t xml:space="preserve"> </w:t>
      </w:r>
      <w:r>
        <w:t>producing</w:t>
      </w:r>
      <w:r w:rsidRPr="003A587C">
        <w:t xml:space="preserve"> very different intersectional inequalities</w:t>
      </w:r>
      <w:r w:rsidR="001B544A">
        <w:t xml:space="preserve"> and political alliances (including inter- and intra-class factions)</w:t>
      </w:r>
      <w:r>
        <w:t xml:space="preserve"> in different places and times. These two accounts do not have to be in contradiction with one another because they are not describing the same thing.  </w:t>
      </w:r>
    </w:p>
    <w:p w14:paraId="495A6DD1" w14:textId="5ABDD084" w:rsidR="002C08B2" w:rsidRPr="003A587C" w:rsidRDefault="002C08B2" w:rsidP="00D608D6">
      <w:r>
        <w:t>In our reading then the NMC is largely a cultural and ideational social construction, but it has significant material underpinnings – in the growth of service sector employment – and implications – in subdividing the working class in ways that obscure and contain class struggle within the realm of culture and distribution, as opposed to production.  It does not displace objective and relational understandings of class but augments them, helping to show how ideological structures serve as a veil for, and distraction from, objective class positions. Adopting such a distinction helps to show precisely why the NMC and its promise has been so politically stabilising.</w:t>
      </w:r>
    </w:p>
    <w:p w14:paraId="14602CAA" w14:textId="27EA5A9E" w:rsidR="00F51902" w:rsidRPr="003A587C" w:rsidRDefault="000260A0" w:rsidP="00F51902">
      <w:r w:rsidRPr="003A587C">
        <w:t>The material expansion of the</w:t>
      </w:r>
      <w:r w:rsidR="001B544A">
        <w:t xml:space="preserve"> </w:t>
      </w:r>
      <w:r w:rsidRPr="003A587C">
        <w:t xml:space="preserve">NMC </w:t>
      </w:r>
      <w:r w:rsidR="001B544A">
        <w:t xml:space="preserve">occupations </w:t>
      </w:r>
      <w:r w:rsidR="00D017DA">
        <w:t>from</w:t>
      </w:r>
      <w:r w:rsidRPr="003A587C">
        <w:t xml:space="preserve"> the 19</w:t>
      </w:r>
      <w:r w:rsidR="00D017DA">
        <w:t>5</w:t>
      </w:r>
      <w:r w:rsidRPr="003A587C">
        <w:t>0s</w:t>
      </w:r>
      <w:r w:rsidR="00D017DA">
        <w:t xml:space="preserve"> to</w:t>
      </w:r>
      <w:r w:rsidRPr="003A587C">
        <w:t xml:space="preserve"> 80s did benefit </w:t>
      </w:r>
      <w:r w:rsidR="00D017DA">
        <w:t>many</w:t>
      </w:r>
      <w:r w:rsidRPr="003A587C">
        <w:t xml:space="preserve"> from the </w:t>
      </w:r>
      <w:r w:rsidR="001B544A">
        <w:t xml:space="preserve">previously </w:t>
      </w:r>
      <w:r w:rsidRPr="003A587C">
        <w:t>manual working class who were able to enter the new occupations and benefit from improved living standards</w:t>
      </w:r>
      <w:r>
        <w:t xml:space="preserve">, but it was </w:t>
      </w:r>
      <w:r w:rsidR="004A4AFF">
        <w:t>not</w:t>
      </w:r>
      <w:r w:rsidR="00F51902" w:rsidRPr="003A587C">
        <w:t xml:space="preserve"> universal. </w:t>
      </w:r>
      <w:r w:rsidR="00D017DA">
        <w:t>Residual</w:t>
      </w:r>
      <w:r w:rsidR="00F51902" w:rsidRPr="003A587C">
        <w:t xml:space="preserve"> </w:t>
      </w:r>
      <w:r w:rsidR="00D017DA">
        <w:t>industrial</w:t>
      </w:r>
      <w:r w:rsidR="00F51902" w:rsidRPr="003A587C">
        <w:t xml:space="preserve"> communities and women were excluded from direct participation</w:t>
      </w:r>
      <w:r w:rsidR="00725943">
        <w:t xml:space="preserve">, with the latter’s class position continuing to be determined </w:t>
      </w:r>
      <w:r w:rsidR="00F51902" w:rsidRPr="003A587C">
        <w:t xml:space="preserve">by their familial association with men </w:t>
      </w:r>
      <w:r w:rsidR="00F51902" w:rsidRPr="003A587C">
        <w:rPr>
          <w:noProof/>
        </w:rPr>
        <w:t>(Ganzeboom</w:t>
      </w:r>
      <w:r w:rsidR="00415D03">
        <w:rPr>
          <w:noProof/>
        </w:rPr>
        <w:t xml:space="preserve"> </w:t>
      </w:r>
      <w:r w:rsidR="00415D03" w:rsidRPr="00415D03">
        <w:rPr>
          <w:i/>
          <w:noProof/>
        </w:rPr>
        <w:t>et. al.</w:t>
      </w:r>
      <w:r w:rsidR="00F51902" w:rsidRPr="003A587C">
        <w:rPr>
          <w:noProof/>
        </w:rPr>
        <w:t xml:space="preserve">, 1989, p. 4; </w:t>
      </w:r>
      <w:r w:rsidR="00F02669">
        <w:rPr>
          <w:noProof/>
        </w:rPr>
        <w:t>Goldthorpe, 1987</w:t>
      </w:r>
      <w:r w:rsidR="00F51902" w:rsidRPr="003A587C">
        <w:rPr>
          <w:noProof/>
        </w:rPr>
        <w:t>; Halsey</w:t>
      </w:r>
      <w:r w:rsidR="00415D03">
        <w:rPr>
          <w:noProof/>
        </w:rPr>
        <w:t xml:space="preserve"> </w:t>
      </w:r>
      <w:r w:rsidR="00415D03" w:rsidRPr="00415D03">
        <w:rPr>
          <w:i/>
          <w:noProof/>
        </w:rPr>
        <w:t>et. al.</w:t>
      </w:r>
      <w:r w:rsidR="00415D03">
        <w:rPr>
          <w:noProof/>
        </w:rPr>
        <w:t xml:space="preserve"> </w:t>
      </w:r>
      <w:r w:rsidR="00F51902" w:rsidRPr="003A587C">
        <w:rPr>
          <w:noProof/>
        </w:rPr>
        <w:t>1980)</w:t>
      </w:r>
      <w:r w:rsidR="00F51902" w:rsidRPr="003A587C">
        <w:t xml:space="preserve">. Yet, the significance of the NMC was its </w:t>
      </w:r>
      <w:r w:rsidR="00F51902" w:rsidRPr="003A587C">
        <w:rPr>
          <w:i/>
        </w:rPr>
        <w:t>promise</w:t>
      </w:r>
      <w:r w:rsidR="00F51902" w:rsidRPr="003A587C">
        <w:t xml:space="preserve"> – in both class and gender terms. Even those that did not directly move into the</w:t>
      </w:r>
      <w:r w:rsidR="001B544A">
        <w:t>se new occupations</w:t>
      </w:r>
      <w:r w:rsidR="00F51902" w:rsidRPr="003A587C">
        <w:t xml:space="preserve"> could look forward to a future in which they </w:t>
      </w:r>
      <w:r w:rsidR="00F51902" w:rsidRPr="00452628">
        <w:rPr>
          <w:i/>
        </w:rPr>
        <w:t>might</w:t>
      </w:r>
      <w:r w:rsidR="00F51902" w:rsidRPr="003A587C">
        <w:t xml:space="preserve"> - </w:t>
      </w:r>
      <w:proofErr w:type="gramStart"/>
      <w:r w:rsidR="00F51902" w:rsidRPr="003A587C">
        <w:t>shifting</w:t>
      </w:r>
      <w:proofErr w:type="gramEnd"/>
      <w:r w:rsidR="00F51902" w:rsidRPr="003A587C">
        <w:t xml:space="preserve"> the responsibility for remaining inequalities to individuals</w:t>
      </w:r>
      <w:r w:rsidR="001B544A">
        <w:t xml:space="preserve"> and their own personal and familial strategies to achieve this</w:t>
      </w:r>
      <w:r w:rsidR="00F51902" w:rsidRPr="003A587C">
        <w:t xml:space="preserve">. </w:t>
      </w:r>
      <w:r w:rsidR="008B0730">
        <w:t xml:space="preserve"> </w:t>
      </w:r>
      <w:r>
        <w:t>Even where</w:t>
      </w:r>
      <w:r w:rsidRPr="003A587C">
        <w:t xml:space="preserve"> </w:t>
      </w:r>
      <w:r w:rsidR="00C73C07">
        <w:t xml:space="preserve">those outside the NMC </w:t>
      </w:r>
      <w:r w:rsidR="00F51902" w:rsidRPr="003A587C">
        <w:t xml:space="preserve">could not see a way that they could enter </w:t>
      </w:r>
      <w:r w:rsidR="00C73C07">
        <w:t>it</w:t>
      </w:r>
      <w:r w:rsidR="00F51902" w:rsidRPr="003A587C">
        <w:t xml:space="preserve">, there was at least the </w:t>
      </w:r>
      <w:r w:rsidR="00D017DA">
        <w:t>possibility</w:t>
      </w:r>
      <w:r w:rsidR="00D017DA" w:rsidRPr="003A587C">
        <w:t xml:space="preserve"> </w:t>
      </w:r>
      <w:r w:rsidR="00F51902" w:rsidRPr="003A587C">
        <w:t>of their children/daughters ‘doing better’.</w:t>
      </w:r>
    </w:p>
    <w:p w14:paraId="31A3D4AF" w14:textId="2269FFB4" w:rsidR="000260A0" w:rsidRDefault="007274FF" w:rsidP="00F51902">
      <w:r>
        <w:t>Under conditions of neo-liberalisation, th</w:t>
      </w:r>
      <w:r w:rsidR="00EF5245">
        <w:t xml:space="preserve">e </w:t>
      </w:r>
      <w:r w:rsidR="00902CC1">
        <w:t xml:space="preserve">material </w:t>
      </w:r>
      <w:r w:rsidR="001B544A">
        <w:t xml:space="preserve">underpinnings of the NMC </w:t>
      </w:r>
      <w:r w:rsidR="00902CC1">
        <w:t xml:space="preserve">have </w:t>
      </w:r>
      <w:r w:rsidR="00C73C07">
        <w:t>begun</w:t>
      </w:r>
      <w:r w:rsidR="00902CC1">
        <w:t xml:space="preserve"> to unfold</w:t>
      </w:r>
      <w:r>
        <w:t xml:space="preserve">. Private sector strategies of offshoring, technological change and attempts to reduce labour costs have run alongside public sector strategies of privatisation, undermining employment protection legislation and the bargaining power of trade unions and </w:t>
      </w:r>
      <w:r w:rsidR="00EF5245">
        <w:t>t</w:t>
      </w:r>
      <w:r>
        <w:t xml:space="preserve">he </w:t>
      </w:r>
      <w:r w:rsidR="00352AAE">
        <w:t xml:space="preserve">material security of even the ‘included’ NMC workers.  </w:t>
      </w:r>
      <w:r w:rsidR="005956A8">
        <w:t>In that context neo-liberalisation has meant increas</w:t>
      </w:r>
      <w:r w:rsidR="00902CC1">
        <w:t xml:space="preserve">ing polarisation within the NMC.  The post-2008 period is marked by both the intensification of these material processes and popular debunking of the ideological constructs of the NMC; with the 1%/99% logic of the Occupy movement </w:t>
      </w:r>
      <w:r w:rsidR="00921F6E">
        <w:t xml:space="preserve">gaining </w:t>
      </w:r>
      <w:r w:rsidR="00902CC1">
        <w:t>widespread resonance</w:t>
      </w:r>
      <w:r w:rsidR="00725943">
        <w:t xml:space="preserve"> far beyond those that were directly involved in these protests.</w:t>
      </w:r>
    </w:p>
    <w:p w14:paraId="6A32321C" w14:textId="28D3464D" w:rsidR="00476E8D" w:rsidRPr="003A587C" w:rsidRDefault="00476E8D" w:rsidP="00476E8D">
      <w:r w:rsidRPr="003A587C">
        <w:t xml:space="preserve">In this context, two highly gendered and contradictory household scale dynamics have been apparent. </w:t>
      </w:r>
      <w:r w:rsidR="001B544A">
        <w:t>First, p</w:t>
      </w:r>
      <w:r w:rsidRPr="003A587C">
        <w:t xml:space="preserve">oorer households have acted as shock absorbers for the withdrawal of state provided services. </w:t>
      </w:r>
      <w:r w:rsidR="001B544A">
        <w:t>Second,</w:t>
      </w:r>
      <w:r w:rsidRPr="003A587C">
        <w:t xml:space="preserve"> where households fared more successfully in this transition, was where two adult partners were able to access relatively advantageous positions in the emerging occupational structure. </w:t>
      </w:r>
      <w:r w:rsidR="00352AAE">
        <w:t>Because households are usually formed in class and racially cohesive ways, increased female participation increased the polari</w:t>
      </w:r>
      <w:r w:rsidR="005956A8">
        <w:t xml:space="preserve">sing pressures within the NMC. </w:t>
      </w:r>
      <w:r w:rsidR="00921F6E">
        <w:t>C</w:t>
      </w:r>
      <w:r w:rsidR="005956A8">
        <w:t xml:space="preserve">oping with this polarisation is highly </w:t>
      </w:r>
      <w:r w:rsidRPr="003A587C">
        <w:t xml:space="preserve">‘depleting’ </w:t>
      </w:r>
      <w:r w:rsidRPr="003A587C">
        <w:rPr>
          <w:noProof/>
        </w:rPr>
        <w:t>(Rai</w:t>
      </w:r>
      <w:r w:rsidR="00415D03">
        <w:rPr>
          <w:noProof/>
        </w:rPr>
        <w:t xml:space="preserve"> </w:t>
      </w:r>
      <w:r w:rsidR="00415D03" w:rsidRPr="00415D03">
        <w:rPr>
          <w:i/>
          <w:noProof/>
        </w:rPr>
        <w:t>et al</w:t>
      </w:r>
      <w:r w:rsidR="00415D03">
        <w:rPr>
          <w:noProof/>
        </w:rPr>
        <w:t>.</w:t>
      </w:r>
      <w:r w:rsidR="00331561">
        <w:rPr>
          <w:noProof/>
        </w:rPr>
        <w:t>,</w:t>
      </w:r>
      <w:r w:rsidRPr="003A587C">
        <w:rPr>
          <w:noProof/>
        </w:rPr>
        <w:t xml:space="preserve"> 2014)</w:t>
      </w:r>
      <w:r w:rsidRPr="003A587C">
        <w:t xml:space="preserve"> </w:t>
      </w:r>
      <w:r w:rsidR="00921F6E">
        <w:t xml:space="preserve">especially for households lacking </w:t>
      </w:r>
      <w:r w:rsidRPr="003A587C">
        <w:t>the resources available for the work of reproducing individuals, households and communities on a day</w:t>
      </w:r>
      <w:r w:rsidR="00BA36F6">
        <w:t>-</w:t>
      </w:r>
      <w:r w:rsidRPr="003A587C">
        <w:t>to</w:t>
      </w:r>
      <w:r w:rsidR="00BA36F6">
        <w:t>-</w:t>
      </w:r>
      <w:r w:rsidRPr="003A587C">
        <w:t xml:space="preserve">day and generational basis.  </w:t>
      </w:r>
      <w:r w:rsidR="009D3AE7">
        <w:t>Such depletion may then undermine the capacity for some poorer households to continue to behave in ways consistent with the NMC, as well as their motivation to do so.  De</w:t>
      </w:r>
      <w:r w:rsidR="00921F6E">
        <w:t>pletion</w:t>
      </w:r>
      <w:r w:rsidR="00921F6E" w:rsidRPr="003A587C">
        <w:t xml:space="preserve"> </w:t>
      </w:r>
      <w:r w:rsidR="001B544A">
        <w:t>then</w:t>
      </w:r>
      <w:r w:rsidR="001B544A" w:rsidRPr="003A587C">
        <w:t xml:space="preserve"> </w:t>
      </w:r>
      <w:r w:rsidR="009D3AE7">
        <w:t>put</w:t>
      </w:r>
      <w:r w:rsidR="001B544A">
        <w:t>s</w:t>
      </w:r>
      <w:r w:rsidRPr="003A587C">
        <w:t xml:space="preserve"> pressure on the reproduction of ethical norms that sustain and stabilise society</w:t>
      </w:r>
      <w:r w:rsidR="004A4AFF">
        <w:t xml:space="preserve">.  Those left behind were not only to be disciplined because they were unable or unwilling to </w:t>
      </w:r>
      <w:r w:rsidR="00D5092F">
        <w:t xml:space="preserve">access ‘inclusion’ but because this was deemed as undermining the interests </w:t>
      </w:r>
      <w:r w:rsidR="009D3AE7">
        <w:t>social stability for the NMC coalition</w:t>
      </w:r>
      <w:r w:rsidRPr="003A587C">
        <w:t xml:space="preserve"> </w:t>
      </w:r>
      <w:r w:rsidRPr="003A587C">
        <w:rPr>
          <w:noProof/>
        </w:rPr>
        <w:t>(Elson, 1998)</w:t>
      </w:r>
      <w:r w:rsidR="009D3AE7">
        <w:t>.</w:t>
      </w:r>
    </w:p>
    <w:p w14:paraId="22B94287" w14:textId="02D75A43" w:rsidR="00476E8D" w:rsidRPr="003A587C" w:rsidRDefault="00476E8D" w:rsidP="00476E8D">
      <w:r w:rsidRPr="003A587C">
        <w:t xml:space="preserve">Popular </w:t>
      </w:r>
      <w:proofErr w:type="spellStart"/>
      <w:r w:rsidRPr="003A587C">
        <w:t>financialisation</w:t>
      </w:r>
      <w:proofErr w:type="spellEnd"/>
      <w:r w:rsidRPr="003A587C">
        <w:t xml:space="preserve"> and </w:t>
      </w:r>
      <w:r w:rsidR="00D7108A">
        <w:t>the internationalisation of production</w:t>
      </w:r>
      <w:r w:rsidRPr="003A587C">
        <w:t xml:space="preserve"> have helped to cope with the social effects of polarisation at the bottom and absorb the surpluses produced by polarisation at the top of the income distribution </w:t>
      </w:r>
      <w:r w:rsidRPr="003A587C">
        <w:rPr>
          <w:noProof/>
        </w:rPr>
        <w:t>(</w:t>
      </w:r>
      <w:r w:rsidR="00FE4C04">
        <w:rPr>
          <w:noProof/>
        </w:rPr>
        <w:t xml:space="preserve">Montgomerie, 2009; </w:t>
      </w:r>
      <w:r w:rsidRPr="003A587C">
        <w:rPr>
          <w:noProof/>
        </w:rPr>
        <w:t>Lysandrou, 2011)</w:t>
      </w:r>
      <w:r w:rsidRPr="003A587C">
        <w:t>. The debt-financed acquisition of housing assets in particular act</w:t>
      </w:r>
      <w:r w:rsidR="00921F6E">
        <w:t>s</w:t>
      </w:r>
      <w:r w:rsidRPr="003A587C">
        <w:t xml:space="preserve"> as a trade-off for welfare retrenchment </w:t>
      </w:r>
      <w:r w:rsidRPr="003A587C">
        <w:rPr>
          <w:noProof/>
        </w:rPr>
        <w:t>(Seabrooke, 2010)</w:t>
      </w:r>
      <w:r w:rsidR="004B0ACA" w:rsidRPr="003A587C">
        <w:t xml:space="preserve"> </w:t>
      </w:r>
      <w:r w:rsidRPr="003A587C">
        <w:t xml:space="preserve">and an expression of class status derived through symbolic capital and as a mechanism to acquire social and cultural capital too. </w:t>
      </w:r>
      <w:proofErr w:type="spellStart"/>
      <w:r w:rsidRPr="003A587C">
        <w:t>Financialisation</w:t>
      </w:r>
      <w:proofErr w:type="spellEnd"/>
      <w:r w:rsidRPr="003A587C">
        <w:t xml:space="preserve"> then helped to cope with</w:t>
      </w:r>
      <w:r w:rsidR="003A587C" w:rsidRPr="003A587C">
        <w:t xml:space="preserve"> the material affects of polaris</w:t>
      </w:r>
      <w:r w:rsidRPr="003A587C">
        <w:t>ation, sus</w:t>
      </w:r>
      <w:r w:rsidR="003A587C" w:rsidRPr="003A587C">
        <w:t xml:space="preserve">taining the </w:t>
      </w:r>
      <w:r w:rsidR="00D017DA">
        <w:t>social construct of the</w:t>
      </w:r>
      <w:r w:rsidRPr="003A587C">
        <w:t xml:space="preserve"> NMC, even where its material reality was under severe strain.</w:t>
      </w:r>
      <w:r w:rsidR="00D5092F">
        <w:t xml:space="preserve">  Through buy-to-let mortgages and the increased reliance of poorer families on private rented accommodation, this trade-off also resulted in</w:t>
      </w:r>
      <w:r w:rsidR="009D3AE7">
        <w:t xml:space="preserve"> self-reinforcing</w:t>
      </w:r>
      <w:r w:rsidR="00D5092F">
        <w:t xml:space="preserve"> secondary circuits of accumulation/</w:t>
      </w:r>
      <w:proofErr w:type="spellStart"/>
      <w:r w:rsidR="00D5092F">
        <w:t>disaccumulation</w:t>
      </w:r>
      <w:proofErr w:type="spellEnd"/>
      <w:r w:rsidR="00D5092F">
        <w:t xml:space="preserve"> and inclusion/exclusion between the NMC and those marked out for discipline.</w:t>
      </w:r>
    </w:p>
    <w:p w14:paraId="3839ED2A" w14:textId="77777777" w:rsidR="000656EB" w:rsidRPr="003A587C" w:rsidRDefault="00F51902" w:rsidP="000656EB">
      <w:pPr>
        <w:pStyle w:val="Heading1"/>
      </w:pPr>
      <w:r w:rsidRPr="003A587C">
        <w:t>Social Policy as Discipline</w:t>
      </w:r>
      <w:r w:rsidR="00E86D4B" w:rsidRPr="003A587C">
        <w:t xml:space="preserve"> in Neo-Liberalisation</w:t>
      </w:r>
    </w:p>
    <w:p w14:paraId="214C3FF9" w14:textId="191A31E8" w:rsidR="000656EB" w:rsidRPr="003A587C" w:rsidRDefault="000656EB" w:rsidP="00E86D4B">
      <w:proofErr w:type="spellStart"/>
      <w:r w:rsidRPr="003A587C">
        <w:t>Loic</w:t>
      </w:r>
      <w:proofErr w:type="spellEnd"/>
      <w:r w:rsidRPr="003A587C">
        <w:t xml:space="preserve"> Wacquant has long written of the increasing</w:t>
      </w:r>
      <w:r w:rsidR="00D017DA">
        <w:t>ly</w:t>
      </w:r>
      <w:r w:rsidRPr="003A587C">
        <w:t xml:space="preserve"> disciplin</w:t>
      </w:r>
      <w:r w:rsidR="00D017DA">
        <w:t xml:space="preserve">ary </w:t>
      </w:r>
      <w:r w:rsidR="002A7F6F">
        <w:t xml:space="preserve">nature </w:t>
      </w:r>
      <w:r w:rsidR="00D017DA">
        <w:t xml:space="preserve">of </w:t>
      </w:r>
      <w:r w:rsidR="002A7F6F">
        <w:t xml:space="preserve">social </w:t>
      </w:r>
      <w:r w:rsidR="00D017DA">
        <w:t>policy in the US</w:t>
      </w:r>
      <w:r w:rsidR="000E2066">
        <w:t>:</w:t>
      </w:r>
      <w:r w:rsidRPr="003A587C">
        <w:t xml:space="preserve"> </w:t>
      </w:r>
    </w:p>
    <w:p w14:paraId="053EF386" w14:textId="7674318F" w:rsidR="000656EB" w:rsidRPr="003A587C" w:rsidRDefault="000656EB" w:rsidP="00E86D4B">
      <w:pPr>
        <w:pStyle w:val="Quote"/>
      </w:pPr>
      <w:r w:rsidRPr="003A587C">
        <w:t xml:space="preserve">“it works to bend the fractions of the working class recalcitrant to the discipline of the new fragmented service wage </w:t>
      </w:r>
      <w:proofErr w:type="spellStart"/>
      <w:r w:rsidRPr="003A587C">
        <w:t>labor</w:t>
      </w:r>
      <w:proofErr w:type="spellEnd"/>
      <w:r w:rsidRPr="003A587C">
        <w:t xml:space="preserve"> by increasing the cost of strategies of exit into the informal economy of the street; it neutralizes and warehouses its most disruptive elements, or those rendered wholly superfluous by the </w:t>
      </w:r>
      <w:proofErr w:type="spellStart"/>
      <w:r w:rsidRPr="003A587C">
        <w:t>recomposition</w:t>
      </w:r>
      <w:proofErr w:type="spellEnd"/>
      <w:r w:rsidRPr="003A587C">
        <w:t xml:space="preserve"> of the demand for </w:t>
      </w:r>
      <w:proofErr w:type="spellStart"/>
      <w:r w:rsidRPr="003A587C">
        <w:t>labor</w:t>
      </w:r>
      <w:proofErr w:type="spellEnd"/>
      <w:r w:rsidRPr="003A587C">
        <w:t xml:space="preserve">; and it reaffirms the authority of the state in daily life …” </w:t>
      </w:r>
      <w:r w:rsidRPr="003A587C">
        <w:rPr>
          <w:rFonts w:cs="Times New Roman"/>
          <w:color w:val="000000"/>
        </w:rPr>
        <w:t>(2009, pp. 6–7)</w:t>
      </w:r>
      <w:r w:rsidRPr="003A587C">
        <w:t>.</w:t>
      </w:r>
    </w:p>
    <w:p w14:paraId="5B111AC5" w14:textId="0AD27865" w:rsidR="000656EB" w:rsidRPr="003A587C" w:rsidRDefault="00D5092F" w:rsidP="00D608D6">
      <w:r>
        <w:t>For Wacquant,</w:t>
      </w:r>
      <w:r w:rsidR="000656EB" w:rsidRPr="003A587C">
        <w:t xml:space="preserve"> social policy </w:t>
      </w:r>
      <w:r w:rsidR="000E2066">
        <w:t>has become</w:t>
      </w:r>
      <w:r w:rsidR="000E2066" w:rsidRPr="003A587C">
        <w:t xml:space="preserve"> </w:t>
      </w:r>
      <w:r w:rsidR="000656EB" w:rsidRPr="003A587C">
        <w:t xml:space="preserve">a tool to both incentivise and enforce behaviour deemed to be appropriate </w:t>
      </w:r>
      <w:r w:rsidR="000E2066">
        <w:t>to staying in</w:t>
      </w:r>
      <w:r w:rsidR="00EB6B79">
        <w:t>,</w:t>
      </w:r>
      <w:r w:rsidR="000656EB" w:rsidRPr="003A587C">
        <w:t xml:space="preserve"> or enter</w:t>
      </w:r>
      <w:r w:rsidR="000E2066">
        <w:t>ing</w:t>
      </w:r>
      <w:r w:rsidR="00EB6B79">
        <w:t>,</w:t>
      </w:r>
      <w:r w:rsidR="000656EB" w:rsidRPr="003A587C">
        <w:t xml:space="preserve"> the NMC, even where the material p</w:t>
      </w:r>
      <w:r w:rsidR="003A587C">
        <w:t>rospect of success is receding</w:t>
      </w:r>
      <w:r w:rsidR="005956A8">
        <w:t>;</w:t>
      </w:r>
      <w:r w:rsidR="003A587C">
        <w:t xml:space="preserve"> while disciplining and warehousing those unable or unwilling to struggle for such ‘success’. </w:t>
      </w:r>
      <w:r w:rsidR="000656EB" w:rsidRPr="003A587C">
        <w:t xml:space="preserve">Early neo-liberalisation in the UK was oriented around </w:t>
      </w:r>
      <w:r w:rsidR="003A587C">
        <w:t xml:space="preserve">such </w:t>
      </w:r>
      <w:r w:rsidR="000656EB" w:rsidRPr="003A587C">
        <w:t xml:space="preserve">a ‘two-nations’ </w:t>
      </w:r>
      <w:r w:rsidR="003A587C">
        <w:t xml:space="preserve">approach </w:t>
      </w:r>
      <w:r w:rsidR="000656EB" w:rsidRPr="003A587C">
        <w:t>(Jessop</w:t>
      </w:r>
      <w:r w:rsidR="00415D03">
        <w:t xml:space="preserve"> </w:t>
      </w:r>
      <w:r w:rsidR="00415D03" w:rsidRPr="00415D03">
        <w:rPr>
          <w:i/>
        </w:rPr>
        <w:t>et al.</w:t>
      </w:r>
      <w:r w:rsidR="000656EB" w:rsidRPr="00415D03">
        <w:rPr>
          <w:i/>
        </w:rPr>
        <w:t>,</w:t>
      </w:r>
      <w:r w:rsidR="000656EB" w:rsidRPr="003A587C">
        <w:t xml:space="preserve"> 1984) </w:t>
      </w:r>
      <w:r w:rsidR="003A587C">
        <w:t xml:space="preserve">to </w:t>
      </w:r>
      <w:r w:rsidR="000656EB" w:rsidRPr="003A587C">
        <w:t xml:space="preserve">divide the working class, delinking those able to reap relative advantage from state policies and occupational change from those who were disadvantaged by them </w:t>
      </w:r>
      <w:r w:rsidR="000656EB" w:rsidRPr="003A587C">
        <w:rPr>
          <w:noProof/>
        </w:rPr>
        <w:t>(Nunn, 2014)</w:t>
      </w:r>
      <w:r w:rsidR="000656EB" w:rsidRPr="003A587C">
        <w:t>. The first group could be assimilated into the material, cultural and social edifice of the NMC bolstering the political coalition in support of neo-liberalisation, notably t</w:t>
      </w:r>
      <w:r w:rsidR="003A587C">
        <w:t xml:space="preserve">hrough the welfare </w:t>
      </w:r>
      <w:r w:rsidR="000656EB" w:rsidRPr="003A587C">
        <w:t>trade</w:t>
      </w:r>
      <w:r w:rsidR="0075479C">
        <w:t>-</w:t>
      </w:r>
      <w:r w:rsidR="000656EB" w:rsidRPr="003A587C">
        <w:t xml:space="preserve">off. The second group were to be marked out for state discipline in the form of both welfare retrenchment and enhanced coercion </w:t>
      </w:r>
      <w:r w:rsidR="000656EB" w:rsidRPr="003A587C">
        <w:rPr>
          <w:noProof/>
        </w:rPr>
        <w:t>(Gamble, 1979)</w:t>
      </w:r>
      <w:r w:rsidR="000656EB" w:rsidRPr="003A587C">
        <w:t xml:space="preserve">. </w:t>
      </w:r>
    </w:p>
    <w:p w14:paraId="3A3CCF29" w14:textId="47617F7A" w:rsidR="000656EB" w:rsidRPr="003A587C" w:rsidRDefault="000656EB" w:rsidP="000656EB">
      <w:r w:rsidRPr="003A587C">
        <w:t xml:space="preserve">This dualistic strategy </w:t>
      </w:r>
      <w:r w:rsidR="001F4D97">
        <w:t xml:space="preserve">has </w:t>
      </w:r>
      <w:r w:rsidR="00725943">
        <w:t>a long heritage in</w:t>
      </w:r>
      <w:r w:rsidR="00EB6B79">
        <w:t xml:space="preserve"> the UK</w:t>
      </w:r>
      <w:r w:rsidR="001F4D97">
        <w:t>, going back as far as the Poor Laws of the 17</w:t>
      </w:r>
      <w:r w:rsidR="001F4D97" w:rsidRPr="001F4D97">
        <w:rPr>
          <w:vertAlign w:val="superscript"/>
        </w:rPr>
        <w:t>th</w:t>
      </w:r>
      <w:r w:rsidR="001F4D97">
        <w:t>Centur</w:t>
      </w:r>
      <w:r w:rsidR="000E2066">
        <w:t>y</w:t>
      </w:r>
      <w:r w:rsidR="001F4D97">
        <w:t xml:space="preserve"> </w:t>
      </w:r>
      <w:r w:rsidR="001F4D97">
        <w:rPr>
          <w:noProof/>
        </w:rPr>
        <w:t>(Polanyi, 1957)</w:t>
      </w:r>
      <w:r w:rsidR="001F4D97">
        <w:t xml:space="preserve">.  </w:t>
      </w:r>
      <w:r w:rsidR="001F4D97" w:rsidRPr="003A587C">
        <w:t xml:space="preserve">Here, it is not </w:t>
      </w:r>
      <w:r w:rsidR="000E2066">
        <w:t>structural inequalities</w:t>
      </w:r>
      <w:r w:rsidR="001F4D97" w:rsidRPr="003A587C">
        <w:t xml:space="preserve"> but rather the lifestyles of the poor that are </w:t>
      </w:r>
      <w:r w:rsidR="009D3AE7">
        <w:t>deemed</w:t>
      </w:r>
      <w:r w:rsidR="009D3AE7" w:rsidRPr="003A587C">
        <w:t xml:space="preserve"> </w:t>
      </w:r>
      <w:r w:rsidR="001F4D97" w:rsidRPr="003A587C">
        <w:t>respon</w:t>
      </w:r>
      <w:r w:rsidR="001F4D97">
        <w:t>sible for soci</w:t>
      </w:r>
      <w:r w:rsidR="0075479C">
        <w:t>al problems</w:t>
      </w:r>
      <w:r w:rsidR="001F4D97">
        <w:t xml:space="preserve">. </w:t>
      </w:r>
      <w:r w:rsidR="000E2066">
        <w:t xml:space="preserve">More recently, </w:t>
      </w:r>
      <w:r w:rsidRPr="003A587C">
        <w:t xml:space="preserve">New Labour sought to address the concerns of families about the dangers of falling out of the NMC (Nunn, 2007). The language of ‘inclusion’, was the perfect vehicle with which to articulate a strategy for a renewed and rhetorically ‘universal’ class compromise, in which the NMC was seen electorally as the most important cohort to court.  Gendered concerns with social reproduction related to the household-state relationship on issues such as education, childcare, the quality of public services and security from crime were clearly important in New Labour’s appeal not just to the NMC but to </w:t>
      </w:r>
      <w:r w:rsidRPr="003A587C">
        <w:rPr>
          <w:i/>
        </w:rPr>
        <w:t>NMC families</w:t>
      </w:r>
      <w:r w:rsidRPr="003A587C">
        <w:t xml:space="preserve">. </w:t>
      </w:r>
      <w:r w:rsidR="00B002F3" w:rsidRPr="00902CC1">
        <w:t>T</w:t>
      </w:r>
      <w:r w:rsidRPr="00902CC1">
        <w:t>he focus of these interventions was equality of opportunity rather than outcome, with opportunity defined as the capacity to compete for positions within the NMC</w:t>
      </w:r>
      <w:r w:rsidR="00B002F3" w:rsidRPr="00902CC1">
        <w:t xml:space="preserve"> </w:t>
      </w:r>
      <w:r w:rsidRPr="00902CC1">
        <w:t>(Nunn, 20</w:t>
      </w:r>
      <w:r w:rsidR="00D5092F">
        <w:t>12</w:t>
      </w:r>
      <w:r w:rsidRPr="00902CC1">
        <w:t xml:space="preserve">). </w:t>
      </w:r>
    </w:p>
    <w:p w14:paraId="49E41855" w14:textId="77EDF70B" w:rsidR="000656EB" w:rsidRPr="003A587C" w:rsidRDefault="000656EB" w:rsidP="000656EB">
      <w:r w:rsidRPr="003A587C">
        <w:t>In the latter years of the 2000s, as New Labour imploded, the Conservative Party prepared for government by establishing its own w</w:t>
      </w:r>
      <w:r w:rsidR="00C73F66">
        <w:t>elfare and social policy agenda</w:t>
      </w:r>
      <w:proofErr w:type="gramStart"/>
      <w:r w:rsidR="009D3AE7">
        <w:t>.</w:t>
      </w:r>
      <w:r w:rsidR="00C73F66">
        <w:t>,</w:t>
      </w:r>
      <w:proofErr w:type="gramEnd"/>
      <w:r w:rsidR="00C73F66">
        <w:t xml:space="preserve"> </w:t>
      </w:r>
      <w:r w:rsidR="009D3AE7">
        <w:t>T</w:t>
      </w:r>
      <w:r w:rsidRPr="003A587C">
        <w:t>he Tory think-tank the Centre for Social Jus</w:t>
      </w:r>
      <w:r w:rsidR="00E86D4B" w:rsidRPr="003A587C">
        <w:t>tice, established by Ian Duncan-</w:t>
      </w:r>
      <w:r w:rsidRPr="003A587C">
        <w:t>Smith</w:t>
      </w:r>
      <w:r w:rsidR="002A7F6F">
        <w:t>;</w:t>
      </w:r>
      <w:r w:rsidRPr="003A587C">
        <w:t xml:space="preserve"> </w:t>
      </w:r>
      <w:r w:rsidR="002A7F6F">
        <w:t>publish</w:t>
      </w:r>
      <w:r w:rsidR="009D3AE7">
        <w:t>ed</w:t>
      </w:r>
      <w:r w:rsidR="002A7F6F" w:rsidRPr="003A587C">
        <w:t xml:space="preserve"> </w:t>
      </w:r>
      <w:r w:rsidRPr="003A587C">
        <w:t>several influential</w:t>
      </w:r>
      <w:r w:rsidR="00153BCC">
        <w:t xml:space="preserve"> reports – including the </w:t>
      </w:r>
      <w:proofErr w:type="spellStart"/>
      <w:r w:rsidR="00153BCC">
        <w:t>catchi</w:t>
      </w:r>
      <w:r w:rsidRPr="003A587C">
        <w:t>ly</w:t>
      </w:r>
      <w:proofErr w:type="spellEnd"/>
      <w:r w:rsidRPr="003A587C">
        <w:t xml:space="preserve"> titled </w:t>
      </w:r>
      <w:r w:rsidRPr="003A587C">
        <w:rPr>
          <w:i/>
        </w:rPr>
        <w:t>Breakdown Britain</w:t>
      </w:r>
      <w:r w:rsidRPr="003A587C">
        <w:t xml:space="preserve"> and </w:t>
      </w:r>
      <w:r w:rsidRPr="003A587C">
        <w:rPr>
          <w:i/>
        </w:rPr>
        <w:t>Breakthrough Britain</w:t>
      </w:r>
      <w:r w:rsidRPr="003A587C">
        <w:t xml:space="preserve"> (Duncan Smith, 2006, p. 15)</w:t>
      </w:r>
      <w:r w:rsidR="0075479C">
        <w:t xml:space="preserve"> which </w:t>
      </w:r>
      <w:r w:rsidRPr="003A587C">
        <w:t xml:space="preserve">constructed the </w:t>
      </w:r>
      <w:r w:rsidRPr="003A587C">
        <w:rPr>
          <w:i/>
        </w:rPr>
        <w:t>responsibility</w:t>
      </w:r>
      <w:r w:rsidRPr="003A587C">
        <w:t xml:space="preserve"> for poverty, unemployment and other social problems at the level of the individual and as the product of </w:t>
      </w:r>
      <w:r w:rsidRPr="003A587C">
        <w:rPr>
          <w:i/>
        </w:rPr>
        <w:t>choice</w:t>
      </w:r>
      <w:r w:rsidRPr="003A587C">
        <w:t xml:space="preserve"> </w:t>
      </w:r>
      <w:r w:rsidRPr="003A587C">
        <w:rPr>
          <w:noProof/>
        </w:rPr>
        <w:t>(Slater, 2012)</w:t>
      </w:r>
      <w:r w:rsidR="00F15419">
        <w:rPr>
          <w:noProof/>
        </w:rPr>
        <w:t xml:space="preserve">, </w:t>
      </w:r>
      <w:r w:rsidR="00F15419">
        <w:t>e</w:t>
      </w:r>
      <w:r w:rsidRPr="003A587C">
        <w:t xml:space="preserve">ven in advance of the </w:t>
      </w:r>
      <w:r w:rsidR="00F15419">
        <w:t>2008 crisis</w:t>
      </w:r>
      <w:r w:rsidRPr="003A587C">
        <w:t xml:space="preserve">. The consensual and incentivising aspects of New Labour social policy, including stealth </w:t>
      </w:r>
      <w:r w:rsidR="00C73F66">
        <w:t xml:space="preserve">redistribution, </w:t>
      </w:r>
      <w:r w:rsidRPr="003A587C">
        <w:t xml:space="preserve">were even then identified as inducing poor quality choices. </w:t>
      </w:r>
    </w:p>
    <w:p w14:paraId="4E8656CF" w14:textId="39BFFEF8" w:rsidR="000656EB" w:rsidRPr="003A587C" w:rsidRDefault="00F15419" w:rsidP="000656EB">
      <w:r>
        <w:t>In power</w:t>
      </w:r>
      <w:r w:rsidR="00C73F66">
        <w:t>,</w:t>
      </w:r>
      <w:r w:rsidR="000656EB" w:rsidRPr="003A587C">
        <w:t xml:space="preserve"> the Conservative Party sought to play to the politics of aspiration and competitiveness that </w:t>
      </w:r>
      <w:r w:rsidR="00C73F66">
        <w:t>were</w:t>
      </w:r>
      <w:r w:rsidR="000656EB" w:rsidRPr="003A587C">
        <w:t xml:space="preserve"> by </w:t>
      </w:r>
      <w:r w:rsidR="00C73F66">
        <w:t>then</w:t>
      </w:r>
      <w:r w:rsidR="000656EB" w:rsidRPr="003A587C">
        <w:t xml:space="preserve"> successfully engrained in popular culture.  However, </w:t>
      </w:r>
      <w:r w:rsidR="000656EB" w:rsidRPr="003A587C">
        <w:rPr>
          <w:i/>
        </w:rPr>
        <w:t>via</w:t>
      </w:r>
      <w:r w:rsidR="000656EB" w:rsidRPr="003A587C">
        <w:t xml:space="preserve"> the politics of austerity it also combined this with a renewed ‘two-nation’ strategy of differentiating </w:t>
      </w:r>
      <w:r w:rsidR="00725943">
        <w:t xml:space="preserve">within </w:t>
      </w:r>
      <w:r w:rsidR="000656EB" w:rsidRPr="003A587C">
        <w:t>the NMC</w:t>
      </w:r>
      <w:r w:rsidR="00E86D4B" w:rsidRPr="003A587C">
        <w:t>, now in the</w:t>
      </w:r>
      <w:r w:rsidR="00153BCC">
        <w:t xml:space="preserve"> rhetorical</w:t>
      </w:r>
      <w:r w:rsidR="00E86D4B" w:rsidRPr="003A587C">
        <w:t xml:space="preserve"> guise of the much vaunted ‘hard working family’, </w:t>
      </w:r>
      <w:r w:rsidR="000656EB" w:rsidRPr="003A587C">
        <w:t xml:space="preserve">from the </w:t>
      </w:r>
      <w:r>
        <w:t>‘</w:t>
      </w:r>
      <w:r w:rsidR="000656EB" w:rsidRPr="003A587C">
        <w:t>undeserving poor</w:t>
      </w:r>
      <w:r>
        <w:t>’; with the former celebrated and the latter</w:t>
      </w:r>
      <w:r w:rsidR="000656EB" w:rsidRPr="003A587C">
        <w:t xml:space="preserve"> targeted for disciplinary</w:t>
      </w:r>
      <w:r w:rsidR="00725943">
        <w:t xml:space="preserve"> political rhetoric and social policy</w:t>
      </w:r>
      <w:r w:rsidR="000656EB" w:rsidRPr="003A587C">
        <w:t xml:space="preserve"> interventions</w:t>
      </w:r>
      <w:r w:rsidR="00725943">
        <w:t>.</w:t>
      </w:r>
    </w:p>
    <w:p w14:paraId="12BD2C8D" w14:textId="6EC40A15" w:rsidR="000656EB" w:rsidRPr="003A587C" w:rsidRDefault="000656EB" w:rsidP="000656EB">
      <w:r w:rsidRPr="003A587C">
        <w:t xml:space="preserve">Much attention has been </w:t>
      </w:r>
      <w:r w:rsidR="00F15419">
        <w:t>placed on</w:t>
      </w:r>
      <w:r w:rsidR="00F15419" w:rsidRPr="003A587C">
        <w:t xml:space="preserve"> </w:t>
      </w:r>
      <w:r w:rsidRPr="003A587C">
        <w:t xml:space="preserve">the way in which discipline is implemented </w:t>
      </w:r>
      <w:r w:rsidRPr="003A587C">
        <w:rPr>
          <w:i/>
        </w:rPr>
        <w:t>via</w:t>
      </w:r>
      <w:r w:rsidRPr="003A587C">
        <w:t xml:space="preserve"> welfare retrenchment and</w:t>
      </w:r>
      <w:r w:rsidR="00BF6629">
        <w:t xml:space="preserve"> </w:t>
      </w:r>
      <w:proofErr w:type="spellStart"/>
      <w:r w:rsidRPr="003A587C">
        <w:t>workfarist</w:t>
      </w:r>
      <w:proofErr w:type="spellEnd"/>
      <w:r w:rsidRPr="003A587C">
        <w:t xml:space="preserve"> activation </w:t>
      </w:r>
      <w:r w:rsidRPr="003A587C">
        <w:rPr>
          <w:noProof/>
        </w:rPr>
        <w:t>(Wiggan, 2015)</w:t>
      </w:r>
      <w:r w:rsidRPr="003A587C">
        <w:t>.  However, we seek to show that this is complemented also by much more actively interventionist measures designed to extend state discipline into the heart of the family</w:t>
      </w:r>
      <w:r w:rsidR="00F15419">
        <w:t xml:space="preserve"> (Daly and Bray, 2015)</w:t>
      </w:r>
      <w:r w:rsidRPr="003A587C">
        <w:t xml:space="preserve">, coercively </w:t>
      </w:r>
      <w:r w:rsidR="00E86D4B" w:rsidRPr="003A587C">
        <w:t>promoting</w:t>
      </w:r>
      <w:r w:rsidRPr="003A587C">
        <w:t xml:space="preserve"> normative individual and parenting behaviours associated with the NMC, even while its material potential is ever more clearly constrained</w:t>
      </w:r>
      <w:r w:rsidR="00F15419">
        <w:t xml:space="preserve"> (Montgomerie &amp; Tepe-Belfrage, 2016)</w:t>
      </w:r>
      <w:r w:rsidRPr="003A587C">
        <w:t xml:space="preserve">.  Social policy has become much more disciplinary in nature and targeted specifically at those deemed </w:t>
      </w:r>
      <w:r w:rsidRPr="003A587C">
        <w:rPr>
          <w:i/>
        </w:rPr>
        <w:t>uninterested</w:t>
      </w:r>
      <w:r w:rsidRPr="003A587C">
        <w:t xml:space="preserve"> in, or </w:t>
      </w:r>
      <w:r w:rsidRPr="003A587C">
        <w:rPr>
          <w:i/>
        </w:rPr>
        <w:t>unable</w:t>
      </w:r>
      <w:r w:rsidRPr="003A587C">
        <w:t xml:space="preserve"> to reach, a position within the NMC.  At the same time</w:t>
      </w:r>
      <w:r w:rsidR="00725943">
        <w:t>,</w:t>
      </w:r>
      <w:r w:rsidRPr="003A587C">
        <w:t xml:space="preserve"> this is justified as being in the universal interest.  Those targeted are legitimate objects for discipline </w:t>
      </w:r>
      <w:r w:rsidR="00153BCC">
        <w:t>precisely</w:t>
      </w:r>
      <w:r w:rsidRPr="003A587C">
        <w:t xml:space="preserve"> </w:t>
      </w:r>
      <w:r w:rsidR="00F15419">
        <w:t xml:space="preserve">because </w:t>
      </w:r>
      <w:r w:rsidRPr="003A587C">
        <w:t>they are</w:t>
      </w:r>
      <w:r w:rsidR="00E86D4B" w:rsidRPr="003A587C">
        <w:t xml:space="preserve"> </w:t>
      </w:r>
      <w:r w:rsidRPr="003A587C">
        <w:t xml:space="preserve">blamed for undermining the </w:t>
      </w:r>
      <w:r w:rsidR="00E86D4B" w:rsidRPr="003A587C">
        <w:t xml:space="preserve">material prospects of the </w:t>
      </w:r>
      <w:r w:rsidRPr="003A587C">
        <w:t xml:space="preserve">NMC. </w:t>
      </w:r>
    </w:p>
    <w:p w14:paraId="7E62DF88" w14:textId="77777777" w:rsidR="00F51902" w:rsidRDefault="00E86D4B" w:rsidP="00E86D4B">
      <w:pPr>
        <w:pStyle w:val="Heading1"/>
      </w:pPr>
      <w:r w:rsidRPr="003A587C">
        <w:t>The Troubled Families Programme as Disciplinary Social Policy</w:t>
      </w:r>
    </w:p>
    <w:p w14:paraId="32265B18" w14:textId="00AA7D61" w:rsidR="00E86D4B" w:rsidRPr="003A587C" w:rsidRDefault="00E86D4B" w:rsidP="00D608D6">
      <w:r w:rsidRPr="003A587C">
        <w:t xml:space="preserve">As </w:t>
      </w:r>
      <w:r w:rsidR="005F3553">
        <w:t xml:space="preserve">outlined </w:t>
      </w:r>
      <w:r w:rsidR="00153BCC">
        <w:t>by other papers in this</w:t>
      </w:r>
      <w:r w:rsidRPr="003A587C">
        <w:t xml:space="preserve"> volume</w:t>
      </w:r>
      <w:r w:rsidR="00725943">
        <w:t xml:space="preserve"> (INSERT REFS)</w:t>
      </w:r>
      <w:r w:rsidRPr="003A587C">
        <w:t>, the TFP was one of the flagship programs of the previous UK Coalition Government and is strongly championed by the current Conservative government</w:t>
      </w:r>
      <w:r w:rsidR="008636FA">
        <w:t>.  It demonstrates the disciplinary logic outlined above and aims</w:t>
      </w:r>
      <w:r w:rsidRPr="003A587C">
        <w:t xml:space="preserve"> to foster aspiration in those seemingly unable or unwilling to participate in the NMC. As Eric Pickles, Secretary of State for Communities and Local Government (</w:t>
      </w:r>
      <w:r w:rsidR="00BF6629">
        <w:t>responsible for the</w:t>
      </w:r>
      <w:r w:rsidRPr="003A587C">
        <w:t xml:space="preserve"> TFP), states the programme </w:t>
      </w:r>
      <w:r w:rsidR="00E269BF">
        <w:t>is framed by a narrative that ‘Troubled families’ often avoid taking responsibility for their own problems</w:t>
      </w:r>
      <w:r w:rsidR="00153BCC">
        <w:rPr>
          <w:rStyle w:val="storytop"/>
          <w:rFonts w:cs="Times New Roman"/>
        </w:rPr>
        <w:t>:</w:t>
      </w:r>
    </w:p>
    <w:p w14:paraId="048176C6" w14:textId="1EEA5834" w:rsidR="00E86D4B" w:rsidRPr="001F4D97" w:rsidRDefault="00E86D4B" w:rsidP="001F4D97">
      <w:pPr>
        <w:pStyle w:val="Quote"/>
        <w:rPr>
          <w:rFonts w:cstheme="majorBidi"/>
          <w:noProof/>
        </w:rPr>
      </w:pPr>
      <w:r w:rsidRPr="003A587C">
        <w:t xml:space="preserve">“It's basically 'dear Officer </w:t>
      </w:r>
      <w:proofErr w:type="spellStart"/>
      <w:r w:rsidRPr="003A587C">
        <w:t>Krupke</w:t>
      </w:r>
      <w:proofErr w:type="spellEnd"/>
      <w:r w:rsidRPr="00045C4E">
        <w:rPr>
          <w:rStyle w:val="FootnoteReference"/>
        </w:rPr>
        <w:footnoteReference w:id="1"/>
      </w:r>
      <w:r w:rsidRPr="003A587C">
        <w:t>, I've come from a single home, my mother's a drunk, it's not my fault', all that kind of thing. Sometimes when you meet some families, they have got the language, they are fluent in social work.” (</w:t>
      </w:r>
      <w:r w:rsidRPr="003A587C">
        <w:rPr>
          <w:noProof/>
        </w:rPr>
        <w:t>quoted in Chorley 2012)</w:t>
      </w:r>
    </w:p>
    <w:p w14:paraId="75B62F3E" w14:textId="0B5A4876" w:rsidR="00E86D4B" w:rsidRPr="003A587C" w:rsidRDefault="00E269BF" w:rsidP="00D608D6">
      <w:r>
        <w:t>T</w:t>
      </w:r>
      <w:r w:rsidR="00E86D4B" w:rsidRPr="003A587C">
        <w:t xml:space="preserve">he TFP </w:t>
      </w:r>
      <w:r w:rsidR="00BF6629">
        <w:t>was</w:t>
      </w:r>
      <w:r w:rsidR="00BF6629" w:rsidRPr="003A587C">
        <w:t xml:space="preserve"> </w:t>
      </w:r>
      <w:r w:rsidR="00E86D4B" w:rsidRPr="003A587C">
        <w:t xml:space="preserve">designed to ‘turn around the lives’ of </w:t>
      </w:r>
      <w:r w:rsidR="00D2750E">
        <w:t xml:space="preserve">what was </w:t>
      </w:r>
      <w:r w:rsidR="00BF6629">
        <w:t xml:space="preserve">initially </w:t>
      </w:r>
      <w:r w:rsidR="00D2750E">
        <w:t>claimed to be 120,000 f</w:t>
      </w:r>
      <w:r w:rsidR="00E86D4B" w:rsidRPr="003A587C">
        <w:t xml:space="preserve">amilies in the UK by 2015 in order to relieve </w:t>
      </w:r>
      <w:r w:rsidR="00153BCC">
        <w:t xml:space="preserve">the </w:t>
      </w:r>
      <w:r w:rsidR="00E86D4B" w:rsidRPr="003A587C">
        <w:t xml:space="preserve">costs these families </w:t>
      </w:r>
      <w:r w:rsidR="00153BCC">
        <w:t xml:space="preserve">apparently </w:t>
      </w:r>
      <w:r w:rsidR="00E86D4B" w:rsidRPr="003A587C">
        <w:t>cause ‘the public purse’ (</w:t>
      </w:r>
      <w:r w:rsidR="00D2750E">
        <w:rPr>
          <w:noProof/>
        </w:rPr>
        <w:t>DCLG</w:t>
      </w:r>
      <w:r w:rsidR="00E86D4B" w:rsidRPr="003A587C">
        <w:rPr>
          <w:noProof/>
        </w:rPr>
        <w:t xml:space="preserve"> 2013)</w:t>
      </w:r>
      <w:r w:rsidR="00153BCC">
        <w:t>. While this</w:t>
      </w:r>
      <w:r w:rsidR="00E86D4B" w:rsidRPr="003A587C">
        <w:t xml:space="preserve"> number was dubious from the </w:t>
      </w:r>
      <w:r w:rsidR="00153BCC">
        <w:t>outset</w:t>
      </w:r>
      <w:r w:rsidR="00E86D4B" w:rsidRPr="003A587C">
        <w:t xml:space="preserve"> (</w:t>
      </w:r>
      <w:proofErr w:type="spellStart"/>
      <w:r w:rsidR="00E86D4B" w:rsidRPr="003A587C">
        <w:t>Levitas</w:t>
      </w:r>
      <w:proofErr w:type="spellEnd"/>
      <w:r w:rsidR="00E86D4B" w:rsidRPr="003A587C">
        <w:t xml:space="preserve"> 2012), it emerged in August 2014 that new </w:t>
      </w:r>
      <w:r>
        <w:t xml:space="preserve">– similarly questionable - </w:t>
      </w:r>
      <w:r w:rsidR="00E86D4B" w:rsidRPr="003A587C">
        <w:t>estimates suggest 500,000 families in Britain are now considered to fulfil the criteria (</w:t>
      </w:r>
      <w:r w:rsidR="00882861">
        <w:rPr>
          <w:noProof/>
        </w:rPr>
        <w:t>Watt 2014)</w:t>
      </w:r>
      <w:r w:rsidR="00E86D4B" w:rsidRPr="003A587C">
        <w:rPr>
          <w:noProof/>
        </w:rPr>
        <w:t>.</w:t>
      </w:r>
      <w:r w:rsidR="00E86D4B" w:rsidRPr="003A587C">
        <w:t xml:space="preserve"> </w:t>
      </w:r>
      <w:r w:rsidR="00774E61">
        <w:t>The</w:t>
      </w:r>
      <w:r w:rsidR="00BF6629">
        <w:t xml:space="preserve">se </w:t>
      </w:r>
      <w:r w:rsidR="005F3553">
        <w:t>‘forgotten families’ were identified by the Riots, Communities and Victims Panel final report (</w:t>
      </w:r>
      <w:r w:rsidR="00774E61">
        <w:t xml:space="preserve">RCVP 2012). While the panel </w:t>
      </w:r>
      <w:r w:rsidR="00BF6629">
        <w:t xml:space="preserve">found that very few young people involved in the 2010 riots were members of an official ‘troubled family, </w:t>
      </w:r>
      <w:r w:rsidR="00774E61">
        <w:t>it argued for an extension of the principles of the programme to the 500,000</w:t>
      </w:r>
      <w:r w:rsidR="008636FA">
        <w:t>, underpinning our claim that the fracturing NMC leaves a gradually increasing proportion of the population subject to disciplinary interventions.</w:t>
      </w:r>
    </w:p>
    <w:p w14:paraId="693F48E5" w14:textId="43BC80FB" w:rsidR="00E86D4B" w:rsidRPr="003A587C" w:rsidRDefault="00E86D4B" w:rsidP="00D608D6">
      <w:pPr>
        <w:rPr>
          <w:noProof/>
        </w:rPr>
      </w:pPr>
      <w:r w:rsidRPr="003A587C">
        <w:t xml:space="preserve">Family Intervention Policy </w:t>
      </w:r>
      <w:r w:rsidR="00153BCC">
        <w:t>was</w:t>
      </w:r>
      <w:r w:rsidRPr="003A587C">
        <w:t xml:space="preserve"> firmly established under New Labour to tackle poverty, social exclusion, crime and </w:t>
      </w:r>
      <w:r w:rsidR="00153BCC">
        <w:t>anti-social behaviour</w:t>
      </w:r>
      <w:r w:rsidRPr="003A587C">
        <w:t xml:space="preserve"> as well as poor health </w:t>
      </w:r>
      <w:r w:rsidRPr="003A587C">
        <w:rPr>
          <w:noProof/>
        </w:rPr>
        <w:t xml:space="preserve">(Moran </w:t>
      </w:r>
      <w:r w:rsidRPr="00153BCC">
        <w:rPr>
          <w:i/>
          <w:noProof/>
        </w:rPr>
        <w:t>et al.</w:t>
      </w:r>
      <w:r w:rsidRPr="003A587C">
        <w:rPr>
          <w:noProof/>
        </w:rPr>
        <w:t xml:space="preserve"> 2004). </w:t>
      </w:r>
      <w:r w:rsidRPr="003A587C">
        <w:t xml:space="preserve">This particularly focused on tackling </w:t>
      </w:r>
      <w:r w:rsidR="008636FA">
        <w:t>‘</w:t>
      </w:r>
      <w:r w:rsidRPr="003A587C">
        <w:t>poor parenting</w:t>
      </w:r>
      <w:r w:rsidR="008636FA">
        <w:t>’</w:t>
      </w:r>
      <w:r w:rsidRPr="003A587C">
        <w:t xml:space="preserve"> as a source of these ‘evils’ </w:t>
      </w:r>
      <w:r w:rsidRPr="003A587C">
        <w:rPr>
          <w:noProof/>
        </w:rPr>
        <w:t>(Parr 2011, 719)</w:t>
      </w:r>
      <w:r w:rsidRPr="003A587C">
        <w:t xml:space="preserve">. In this context, the courts were given more and more powers to clamp down on parental irresponsibility including, with the </w:t>
      </w:r>
      <w:r w:rsidR="00153BCC">
        <w:t xml:space="preserve">1998 </w:t>
      </w:r>
      <w:r w:rsidRPr="003A587C">
        <w:t>Parenting Order</w:t>
      </w:r>
      <w:r w:rsidR="00153BCC">
        <w:t xml:space="preserve"> which</w:t>
      </w:r>
      <w:r w:rsidRPr="003A587C">
        <w:t xml:space="preserve"> require</w:t>
      </w:r>
      <w:r w:rsidR="00153BCC">
        <w:t>s</w:t>
      </w:r>
      <w:r w:rsidRPr="003A587C">
        <w:t xml:space="preserve"> parents to attend parenting classes or counselling </w:t>
      </w:r>
      <w:r w:rsidR="00153BCC">
        <w:t>under the</w:t>
      </w:r>
      <w:r w:rsidRPr="003A587C">
        <w:t xml:space="preserve"> threat of fines or even prison sentences (Parr 2011, 719). At the same time</w:t>
      </w:r>
      <w:r w:rsidR="00153BCC">
        <w:t>,</w:t>
      </w:r>
      <w:r w:rsidRPr="003A587C">
        <w:t xml:space="preserve"> a moralising discourse is employed that ‘emphasises surveillance, classification, self-regulation, welfare conditionality and community obligations’ </w:t>
      </w:r>
      <w:r w:rsidRPr="003A587C">
        <w:rPr>
          <w:noProof/>
        </w:rPr>
        <w:t>(Parr and Nixon 2008, 165).</w:t>
      </w:r>
    </w:p>
    <w:p w14:paraId="3BDC5E45" w14:textId="54B2A5A9" w:rsidR="00E86D4B" w:rsidRPr="003A587C" w:rsidRDefault="00E86D4B" w:rsidP="00D608D6">
      <w:r w:rsidRPr="003A587C">
        <w:t>Such measures clearly aim at conditioning the behaviour of parents, promising a different and better future</w:t>
      </w:r>
      <w:r w:rsidR="00E269BF">
        <w:t>, conditional on more effective parenting, though what precisely that should look like is less clear</w:t>
      </w:r>
      <w:r w:rsidRPr="003A587C">
        <w:t xml:space="preserve"> (</w:t>
      </w:r>
      <w:r w:rsidR="00433DB5">
        <w:t>Tepe-Belfrage, 2015</w:t>
      </w:r>
      <w:r w:rsidRPr="003A587C">
        <w:t>).</w:t>
      </w:r>
      <w:r w:rsidR="005D3DB3">
        <w:t xml:space="preserve"> </w:t>
      </w:r>
      <w:r w:rsidR="00E269BF">
        <w:t>The</w:t>
      </w:r>
      <w:r w:rsidRPr="003A587C">
        <w:t xml:space="preserve"> TFP</w:t>
      </w:r>
      <w:r w:rsidR="00E269BF">
        <w:t xml:space="preserve"> then</w:t>
      </w:r>
      <w:r w:rsidRPr="003A587C">
        <w:t xml:space="preserve"> is aimed to closely monitor families, foster aspiration and individual responsibility rather than to offer substantiated economic and social assistance </w:t>
      </w:r>
      <w:r w:rsidR="008636FA">
        <w:t>to offset or correct low</w:t>
      </w:r>
      <w:r w:rsidRPr="003A587C">
        <w:t xml:space="preserve"> income, poor health, bad housing or </w:t>
      </w:r>
      <w:r w:rsidR="001F4D97">
        <w:t>deprivation</w:t>
      </w:r>
      <w:r w:rsidR="00BF6629">
        <w:t>:</w:t>
      </w:r>
    </w:p>
    <w:p w14:paraId="1019582F" w14:textId="77777777" w:rsidR="00E86D4B" w:rsidRPr="003A587C" w:rsidRDefault="00E86D4B" w:rsidP="00E86D4B">
      <w:pPr>
        <w:pStyle w:val="Quote"/>
      </w:pPr>
      <w:r w:rsidRPr="003A587C">
        <w:t xml:space="preserve">‘interventions are delivered in the home, in schools and many other locations with a lead keyworker for every case. The direct work is fitted to individual need by providing practical, emotional and financial advice and support to empower individuals within the family and the family unit itself, to build up their capabilities with the view to raising personal development and aspirations. The ultimate aim is to effect change, which can be sustained and passed on through future generations and to enhance resiliency to lessen the impact of further difficulty. The lifecycle will not continue without further challenge at either the societal or personal level, hence the need for sustainability’ (Tower Hamlets 2004) </w:t>
      </w:r>
    </w:p>
    <w:p w14:paraId="3758B1C1" w14:textId="77777777" w:rsidR="00E86D4B" w:rsidRPr="003A587C" w:rsidRDefault="00E86D4B" w:rsidP="00E86D4B"/>
    <w:p w14:paraId="7E5B0E0B" w14:textId="7DA903AA" w:rsidR="005D3DB3" w:rsidRDefault="00E86D4B" w:rsidP="00D608D6">
      <w:pPr>
        <w:rPr>
          <w:noProof/>
        </w:rPr>
      </w:pPr>
      <w:r w:rsidRPr="003A587C">
        <w:t xml:space="preserve">Phase one of TFP (until March 2015) </w:t>
      </w:r>
      <w:r w:rsidR="001F4D97">
        <w:t>paid</w:t>
      </w:r>
      <w:r w:rsidRPr="003A587C">
        <w:t xml:space="preserve"> local authorities </w:t>
      </w:r>
      <w:r w:rsidR="00D37A93">
        <w:t>a fee</w:t>
      </w:r>
      <w:r w:rsidRPr="003A587C">
        <w:t xml:space="preserve"> for every family that signed</w:t>
      </w:r>
      <w:r w:rsidR="001F4D97">
        <w:t>-</w:t>
      </w:r>
      <w:r w:rsidRPr="003A587C">
        <w:t xml:space="preserve">up and an additional </w:t>
      </w:r>
      <w:r w:rsidR="00D37A93">
        <w:t xml:space="preserve">higher fee </w:t>
      </w:r>
      <w:r w:rsidRPr="003A587C">
        <w:t>on a payment-by-result basis for ‘turning around’ the lives of participating families. A family is considered to be ‘officially’ ‘turned around’ when</w:t>
      </w:r>
      <w:r w:rsidR="00E269BF">
        <w:t xml:space="preserve"> all children in the family have had less than three exclusions from school, less than 15% unauthorised school absences in the last three terms and a 60% reduction in anti-social behaviour across the whole family</w:t>
      </w:r>
      <w:r w:rsidRPr="003A587C">
        <w:rPr>
          <w:color w:val="262626"/>
        </w:rPr>
        <w:t xml:space="preserve"> </w:t>
      </w:r>
      <w:r w:rsidRPr="003A587C">
        <w:rPr>
          <w:noProof/>
          <w:color w:val="262626"/>
        </w:rPr>
        <w:t xml:space="preserve">(Wintour 2013). </w:t>
      </w:r>
      <w:r w:rsidRPr="003A587C">
        <w:t xml:space="preserve">Phase two of the TFP (to run until 2020) focuses on the 51 best performing areas to be followed </w:t>
      </w:r>
      <w:r w:rsidR="001F4D97">
        <w:t>by a national 5-year program.</w:t>
      </w:r>
      <w:r w:rsidRPr="003A587C">
        <w:t xml:space="preserve"> The new phase of the program aims to particularly focus </w:t>
      </w:r>
      <w:r w:rsidR="00FF6816">
        <w:t xml:space="preserve">on poor health as, according to </w:t>
      </w:r>
      <w:r w:rsidRPr="003A587C">
        <w:t>government data</w:t>
      </w:r>
      <w:r w:rsidR="002D7202">
        <w:t>,</w:t>
      </w:r>
      <w:r w:rsidRPr="003A587C">
        <w:t xml:space="preserve"> 71% of the troubled families have physical and 46% mental health concerns, while retaining its </w:t>
      </w:r>
      <w:r w:rsidR="001F4D97">
        <w:t>emphasis</w:t>
      </w:r>
      <w:r w:rsidRPr="003A587C">
        <w:t xml:space="preserve"> on, among other things, tackling anti-social behaviour and getting parents into employment</w:t>
      </w:r>
      <w:r w:rsidRPr="003A587C">
        <w:rPr>
          <w:noProof/>
        </w:rPr>
        <w:t xml:space="preserve"> (</w:t>
      </w:r>
      <w:r w:rsidR="001F4D97">
        <w:rPr>
          <w:noProof/>
        </w:rPr>
        <w:t>DCLG</w:t>
      </w:r>
      <w:r w:rsidR="00BA36F6">
        <w:rPr>
          <w:noProof/>
        </w:rPr>
        <w:t>, 2014</w:t>
      </w:r>
      <w:r w:rsidRPr="003A587C">
        <w:rPr>
          <w:noProof/>
        </w:rPr>
        <w:t>)</w:t>
      </w:r>
      <w:r w:rsidR="007C0B7D">
        <w:rPr>
          <w:noProof/>
        </w:rPr>
        <w:t xml:space="preserve">. The actual effects resulting in this change of policy focus are not clear to date. </w:t>
      </w:r>
    </w:p>
    <w:p w14:paraId="0636C591" w14:textId="7E461208" w:rsidR="005D3DB3" w:rsidRPr="003A587C" w:rsidRDefault="005D3DB3" w:rsidP="007C0B7D">
      <w:pPr>
        <w:pStyle w:val="Heading2"/>
      </w:pPr>
      <w:r>
        <w:rPr>
          <w:noProof/>
        </w:rPr>
        <w:t>Research</w:t>
      </w:r>
    </w:p>
    <w:p w14:paraId="5D2B6233" w14:textId="522F64FB" w:rsidR="005D3DB3" w:rsidRDefault="008636FA" w:rsidP="001F4D97">
      <w:r>
        <w:rPr>
          <w:noProof/>
        </w:rPr>
        <w:t>The empirical research underpinning this paper involved a</w:t>
      </w:r>
      <w:r w:rsidR="00A24A16">
        <w:rPr>
          <w:noProof/>
        </w:rPr>
        <w:t xml:space="preserve"> series of 15 i</w:t>
      </w:r>
      <w:r w:rsidR="00E86D4B" w:rsidRPr="003A587C">
        <w:rPr>
          <w:noProof/>
        </w:rPr>
        <w:t xml:space="preserve">nterviews with programme managers, case workers and policy makers </w:t>
      </w:r>
      <w:r w:rsidR="00A24A16">
        <w:rPr>
          <w:noProof/>
        </w:rPr>
        <w:t xml:space="preserve">between 2014-2015 </w:t>
      </w:r>
      <w:r w:rsidR="00E86D4B" w:rsidRPr="003A587C">
        <w:rPr>
          <w:noProof/>
        </w:rPr>
        <w:t xml:space="preserve">in two locales out of the </w:t>
      </w:r>
      <w:r w:rsidR="00E86D4B" w:rsidRPr="003A587C">
        <w:t xml:space="preserve">ten councils </w:t>
      </w:r>
      <w:r w:rsidR="002D7202">
        <w:t xml:space="preserve">with the </w:t>
      </w:r>
      <w:r w:rsidR="00E86D4B" w:rsidRPr="003A587C">
        <w:t>most Troubled Families (Liverpool, Birmingham, Manchester, Essex, Lancashire, Kent, Bradford, Norfolk, Bristol and Nottingham)</w:t>
      </w:r>
      <w:r>
        <w:t>.</w:t>
      </w:r>
      <w:r w:rsidRPr="008636FA">
        <w:t xml:space="preserve"> </w:t>
      </w:r>
      <w:r>
        <w:t>The interviews were part of a research project on the ‘Political Economy of Family Intervention Politics’ funded by the University of Sheffield from 2012-2016. The interviewees were chosen according to availability and willingness to participate in the study</w:t>
      </w:r>
      <w:r w:rsidR="00BF6629">
        <w:t xml:space="preserve"> and initially selected </w:t>
      </w:r>
      <w:r w:rsidRPr="00452628">
        <w:rPr>
          <w:i/>
        </w:rPr>
        <w:t>via</w:t>
      </w:r>
      <w:r>
        <w:t xml:space="preserve"> a basic internet search. Further interviewees were identified by snowballing. Ethical consent was received from all participants for anonymous interviews with exact location and participants remaining undisclosed. The interviews followed a feminist research methodology where the role of the feminist researcher is understood as an ‘active agent in constructing knowledge’ (</w:t>
      </w:r>
      <w:proofErr w:type="spellStart"/>
      <w:r>
        <w:t>Fonow</w:t>
      </w:r>
      <w:proofErr w:type="spellEnd"/>
      <w:r>
        <w:t xml:space="preserve"> and Cook, 2005:  2219). Accordingly, close attention was paid to the dynamics of the interview process and ‘active listening’ (de Vault and Gross, 2006) formed an integral part of the interview process. This allowed new lines of inquiry </w:t>
      </w:r>
      <w:r w:rsidR="00BF6629">
        <w:t xml:space="preserve">to emerge from the </w:t>
      </w:r>
      <w:r>
        <w:t xml:space="preserve">interviewees and enabled an open-ended form of discussion between interviewee and interviewer.  Feminist critical discourse analysis guided the analysis of the interviews where questions of power and advantage, exclusion and disempowerment have structural priority in analysis, following a social emancipatory and </w:t>
      </w:r>
      <w:proofErr w:type="spellStart"/>
      <w:r>
        <w:t>transformatory</w:t>
      </w:r>
      <w:proofErr w:type="spellEnd"/>
      <w:r>
        <w:t xml:space="preserve"> goal (Lazar, 2010). </w:t>
      </w:r>
    </w:p>
    <w:p w14:paraId="612EAC3F" w14:textId="4A4E4CF0" w:rsidR="005D3DB3" w:rsidRDefault="005D3DB3" w:rsidP="007C0B7D">
      <w:pPr>
        <w:pStyle w:val="Heading2"/>
      </w:pPr>
      <w:r>
        <w:t>Findings</w:t>
      </w:r>
    </w:p>
    <w:p w14:paraId="5A860F7A" w14:textId="18A3A78A" w:rsidR="008636FA" w:rsidRDefault="008636FA" w:rsidP="001F4D97">
      <w:pPr>
        <w:rPr>
          <w:rFonts w:cs="Times New Roman"/>
        </w:rPr>
      </w:pPr>
      <w:r>
        <w:rPr>
          <w:rFonts w:cs="Times New Roman"/>
        </w:rPr>
        <w:t xml:space="preserve">The findings from these interviews </w:t>
      </w:r>
      <w:r>
        <w:t xml:space="preserve">partly contrast those of other research on Family Intervention Policy which tends to highlight the complex ways in which national policies are implemented, negotiated and partly circumvented and undermined at the local and frontline scale (see Parr and </w:t>
      </w:r>
      <w:proofErr w:type="spellStart"/>
      <w:r>
        <w:t>Nixos</w:t>
      </w:r>
      <w:proofErr w:type="spellEnd"/>
      <w:r>
        <w:t xml:space="preserve"> 2008, Hayden and Jenkins 2014). Yet, while we acknowledge a multitude of approaches and intentions as well as outcomes in the implementation of the TFP, we highlight common trends present throughout our interviews.</w:t>
      </w:r>
    </w:p>
    <w:p w14:paraId="7FC64275" w14:textId="067CCEBA" w:rsidR="00433DB5" w:rsidRPr="003A587C" w:rsidRDefault="002D7202" w:rsidP="001F4D97">
      <w:pPr>
        <w:rPr>
          <w:noProof/>
        </w:rPr>
      </w:pPr>
      <w:r w:rsidRPr="00882861">
        <w:rPr>
          <w:rFonts w:cs="Times New Roman"/>
        </w:rPr>
        <w:t xml:space="preserve">While we know </w:t>
      </w:r>
      <w:r w:rsidRPr="00882861">
        <w:rPr>
          <w:rFonts w:eastAsiaTheme="majorEastAsia" w:cs="Times New Roman"/>
          <w:color w:val="262626"/>
          <w:lang w:val="en-US"/>
        </w:rPr>
        <w:t xml:space="preserve">that </w:t>
      </w:r>
      <w:r>
        <w:rPr>
          <w:rFonts w:eastAsiaTheme="majorEastAsia" w:cs="Times New Roman"/>
          <w:color w:val="262626"/>
          <w:lang w:val="en-US"/>
        </w:rPr>
        <w:t xml:space="preserve">‘generations of people that have never worked’ are statistically almost non-existent (MacDonald, 2015), the idea of such multi-generational benefit receiving families remains firmly embedded in </w:t>
      </w:r>
      <w:r w:rsidR="008636FA">
        <w:rPr>
          <w:rFonts w:eastAsiaTheme="majorEastAsia" w:cs="Times New Roman"/>
          <w:color w:val="262626"/>
          <w:lang w:val="en-US"/>
        </w:rPr>
        <w:t xml:space="preserve">social policy </w:t>
      </w:r>
      <w:r>
        <w:rPr>
          <w:rFonts w:eastAsiaTheme="majorEastAsia" w:cs="Times New Roman"/>
          <w:color w:val="262626"/>
          <w:lang w:val="en-US"/>
        </w:rPr>
        <w:t>discourse</w:t>
      </w:r>
      <w:r w:rsidR="0075115D">
        <w:rPr>
          <w:rFonts w:eastAsiaTheme="majorEastAsia" w:cs="Times New Roman"/>
          <w:color w:val="262626"/>
          <w:lang w:val="en-US"/>
        </w:rPr>
        <w:t xml:space="preserve"> and in the minds of those implementing the </w:t>
      </w:r>
      <w:proofErr w:type="spellStart"/>
      <w:r w:rsidR="0075115D">
        <w:rPr>
          <w:rFonts w:eastAsiaTheme="majorEastAsia" w:cs="Times New Roman"/>
          <w:color w:val="262626"/>
          <w:lang w:val="en-US"/>
        </w:rPr>
        <w:t>TfP</w:t>
      </w:r>
      <w:proofErr w:type="spellEnd"/>
      <w:r>
        <w:rPr>
          <w:rFonts w:eastAsiaTheme="majorEastAsia" w:cs="Times New Roman"/>
          <w:color w:val="262626"/>
          <w:lang w:val="en-US"/>
        </w:rPr>
        <w:t xml:space="preserve">. </w:t>
      </w:r>
      <w:r w:rsidR="00E86D4B" w:rsidRPr="003A587C">
        <w:t>Acc</w:t>
      </w:r>
      <w:r w:rsidR="001F4D97">
        <w:t>ording to one programme manager:</w:t>
      </w:r>
    </w:p>
    <w:p w14:paraId="07BE0E7A" w14:textId="2B6C2704" w:rsidR="00433DB5" w:rsidRPr="00774E61" w:rsidRDefault="00E86D4B" w:rsidP="00433DB5">
      <w:pPr>
        <w:rPr>
          <w:rFonts w:cs="Times New Roman"/>
          <w:i/>
        </w:rPr>
      </w:pPr>
      <w:r w:rsidRPr="00774E61">
        <w:rPr>
          <w:i/>
        </w:rPr>
        <w:t>‘it’s about linking them</w:t>
      </w:r>
      <w:r w:rsidR="00882861" w:rsidRPr="00774E61">
        <w:rPr>
          <w:i/>
        </w:rPr>
        <w:t xml:space="preserve"> </w:t>
      </w:r>
      <w:r w:rsidR="0075115D">
        <w:rPr>
          <w:i/>
        </w:rPr>
        <w:t>[</w:t>
      </w:r>
      <w:r w:rsidR="00882861" w:rsidRPr="00774E61">
        <w:rPr>
          <w:i/>
        </w:rPr>
        <w:t>the Families</w:t>
      </w:r>
      <w:r w:rsidR="0075115D">
        <w:rPr>
          <w:i/>
        </w:rPr>
        <w:t>]</w:t>
      </w:r>
      <w:r w:rsidR="00882861" w:rsidRPr="00774E61">
        <w:rPr>
          <w:i/>
        </w:rPr>
        <w:t xml:space="preserve"> </w:t>
      </w:r>
      <w:r w:rsidRPr="00774E61">
        <w:rPr>
          <w:i/>
        </w:rPr>
        <w:t>in and having them with aspirations</w:t>
      </w:r>
      <w:r w:rsidR="0075115D">
        <w:rPr>
          <w:i/>
        </w:rPr>
        <w:t>…</w:t>
      </w:r>
      <w:r w:rsidRPr="00774E61">
        <w:rPr>
          <w:i/>
        </w:rPr>
        <w:t xml:space="preserve"> people have been in a benefit culture and we’ve worked with third-, fourth-generation and beyond of all being in benefits, and there are certain pockets of this city that are the most deprived or have been the most deprived in Europe, and therefore those people have no aspirations whatsoever’ (Programme Manager)</w:t>
      </w:r>
    </w:p>
    <w:p w14:paraId="07D1C79B" w14:textId="5D641D93" w:rsidR="00E86D4B" w:rsidRPr="003A587C" w:rsidRDefault="00587F7C" w:rsidP="00E86D4B">
      <w:pPr>
        <w:jc w:val="left"/>
      </w:pPr>
      <w:r>
        <w:t>In this context, o</w:t>
      </w:r>
      <w:r w:rsidR="00E86D4B" w:rsidRPr="003A587C">
        <w:t>ne programme director</w:t>
      </w:r>
      <w:r w:rsidR="00105BD0">
        <w:t xml:space="preserve"> </w:t>
      </w:r>
      <w:r w:rsidR="00A1606C">
        <w:t xml:space="preserve">emphasises the inter-connection between shaping the families’ own behaviour and the wider community: </w:t>
      </w:r>
    </w:p>
    <w:p w14:paraId="4A67D8C9" w14:textId="524BC88D" w:rsidR="00105BD0" w:rsidRDefault="00E86D4B" w:rsidP="00452628">
      <w:pPr>
        <w:pStyle w:val="Quote"/>
      </w:pPr>
      <w:r w:rsidRPr="003A587C">
        <w:t>‘About how we get those people to be far more resilient, to have far more aspirational views about their future and about how they invest in their own communities outside of their own immediate family. It’s about a community as well’ (Programme Director).</w:t>
      </w:r>
    </w:p>
    <w:p w14:paraId="1E234C57" w14:textId="358934F7" w:rsidR="000A127B" w:rsidRPr="003A587C" w:rsidRDefault="00587F7C" w:rsidP="00105BD0">
      <w:r>
        <w:t xml:space="preserve">The contradiction between </w:t>
      </w:r>
      <w:r w:rsidR="00A1606C">
        <w:t xml:space="preserve">a shrinking material base for the NMC </w:t>
      </w:r>
      <w:r w:rsidR="00E86D4B" w:rsidRPr="003A587C">
        <w:t xml:space="preserve">and even shrinking possibilities of </w:t>
      </w:r>
      <w:r w:rsidR="00105BD0">
        <w:t>‘</w:t>
      </w:r>
      <w:r w:rsidR="00E86D4B" w:rsidRPr="003A587C">
        <w:t>dreaming</w:t>
      </w:r>
      <w:r w:rsidR="00105BD0">
        <w:t>’</w:t>
      </w:r>
      <w:r w:rsidR="00E86D4B" w:rsidRPr="003A587C">
        <w:t xml:space="preserve"> </w:t>
      </w:r>
      <w:r w:rsidR="00105BD0">
        <w:t>about</w:t>
      </w:r>
      <w:r w:rsidR="00E86D4B" w:rsidRPr="003A587C">
        <w:t xml:space="preserve"> of joining the </w:t>
      </w:r>
      <w:r w:rsidR="00105BD0">
        <w:t>N</w:t>
      </w:r>
      <w:r w:rsidR="00E86D4B" w:rsidRPr="003A587C">
        <w:t>MC</w:t>
      </w:r>
      <w:r>
        <w:t xml:space="preserve"> and </w:t>
      </w:r>
      <w:r w:rsidR="00E86D4B" w:rsidRPr="003A587C">
        <w:t>the intentions of the programme to foster aspiration and hope for a ‘better’ future</w:t>
      </w:r>
      <w:r>
        <w:t xml:space="preserve"> remained hidden</w:t>
      </w:r>
      <w:r w:rsidR="00E86D4B" w:rsidRPr="003A587C">
        <w:t xml:space="preserve">. </w:t>
      </w:r>
      <w:r>
        <w:t>Indeed</w:t>
      </w:r>
      <w:r w:rsidR="00E86D4B" w:rsidRPr="003A587C">
        <w:t xml:space="preserve">, it was continuously stressed how achievements that would result from </w:t>
      </w:r>
      <w:r w:rsidR="00BF6629">
        <w:t>increased</w:t>
      </w:r>
      <w:r w:rsidR="00E86D4B" w:rsidRPr="003A587C">
        <w:t xml:space="preserve"> aspiration would help to overcome </w:t>
      </w:r>
      <w:r w:rsidR="00433DB5">
        <w:t>the perceived ‘</w:t>
      </w:r>
      <w:r w:rsidR="00E86D4B" w:rsidRPr="003A587C">
        <w:t>intergeneratio</w:t>
      </w:r>
      <w:r w:rsidR="00105BD0">
        <w:t>nal problems</w:t>
      </w:r>
      <w:r w:rsidR="00433DB5">
        <w:t>’</w:t>
      </w:r>
      <w:r w:rsidR="00105BD0">
        <w:t xml:space="preserve"> faced by families:</w:t>
      </w:r>
    </w:p>
    <w:p w14:paraId="6F96042E" w14:textId="247F61C0" w:rsidR="00105BD0" w:rsidRDefault="00E86D4B" w:rsidP="00452628">
      <w:pPr>
        <w:pStyle w:val="Quote"/>
      </w:pPr>
      <w:r w:rsidRPr="003A587C">
        <w:t>‘And achievements. You know these achievements, things to be proud of and also give examples to your children. They’re things that</w:t>
      </w:r>
      <w:r w:rsidR="00105BD0">
        <w:t xml:space="preserve"> [we]</w:t>
      </w:r>
      <w:r w:rsidRPr="003A587C">
        <w:t xml:space="preserve"> are very much trying to move forward at the moment’ (Case Worker Coordinator)</w:t>
      </w:r>
    </w:p>
    <w:p w14:paraId="6CA162FE" w14:textId="45D5C8CF" w:rsidR="00433DB5" w:rsidRPr="003A587C" w:rsidRDefault="00E86D4B" w:rsidP="00E86D4B">
      <w:r w:rsidRPr="003A587C">
        <w:t xml:space="preserve">Indeed, the importance of changing cultures, cultural practices and thereby lifestyles was stressed repeatedly. Cultural change was presented to go hand-in-hand with the development of aspirations, surprisingly talked about as somewhat detached from the deprivation that was however widely acknowledged and was faced by nearly all of the families that had been assigned to the programme. </w:t>
      </w:r>
    </w:p>
    <w:p w14:paraId="065F895C" w14:textId="2596F9FD" w:rsidR="00433DB5" w:rsidRPr="00433DB5" w:rsidRDefault="00E86D4B" w:rsidP="00452628">
      <w:pPr>
        <w:pStyle w:val="Quote"/>
      </w:pPr>
      <w:r w:rsidRPr="003A587C">
        <w:t xml:space="preserve">‘That’s also trying to break the culture that’s been around, because some of the families we’re talking about come from a particular area or areas that have high levels of anti-social behaviour, gun crime, </w:t>
      </w:r>
      <w:r w:rsidR="00105BD0">
        <w:t>etc</w:t>
      </w:r>
      <w:r w:rsidRPr="003A587C">
        <w:t xml:space="preserve">. </w:t>
      </w:r>
      <w:r w:rsidR="00893957">
        <w:t>…</w:t>
      </w:r>
      <w:r w:rsidRPr="003A587C">
        <w:t xml:space="preserve"> they’re working with real, hardened criminality families. And so that is a real uphill challenge </w:t>
      </w:r>
      <w:r w:rsidR="00893957">
        <w:t>…</w:t>
      </w:r>
      <w:r w:rsidRPr="003A587C">
        <w:t xml:space="preserve"> I suppose, even if you only do it with one family, it’s going to save thousands. It saves an awful lot of money, you know’ (Programme Director)</w:t>
      </w:r>
    </w:p>
    <w:p w14:paraId="33CE5AD8" w14:textId="46943805" w:rsidR="000A127B" w:rsidRPr="000A127B" w:rsidRDefault="00105BD0" w:rsidP="00105BD0">
      <w:pPr>
        <w:rPr>
          <w:rFonts w:cs="Times New Roman"/>
        </w:rPr>
      </w:pPr>
      <w:r>
        <w:t>In this way</w:t>
      </w:r>
      <w:r w:rsidR="0075115D">
        <w:t>,</w:t>
      </w:r>
      <w:r>
        <w:t xml:space="preserve"> the instrumentality of the TFP was justified in terms of the benefits that could be derived by the hard working, tax paying families of the NMC coalition. At the same time the recognition of the absence of the consumption and cultural opportunities associated with the NMC was acknowledged as part of the problems of troubled families.  </w:t>
      </w:r>
      <w:r w:rsidR="00E86D4B" w:rsidRPr="003A587C">
        <w:rPr>
          <w:rFonts w:cs="Times New Roman"/>
        </w:rPr>
        <w:t>One programme director for example acknowledged that:</w:t>
      </w:r>
    </w:p>
    <w:p w14:paraId="0E7FD69B" w14:textId="4F55629F" w:rsidR="000A127B" w:rsidRPr="000A127B" w:rsidRDefault="00E86D4B" w:rsidP="00452628">
      <w:pPr>
        <w:pStyle w:val="Quote"/>
      </w:pPr>
      <w:r w:rsidRPr="003A587C">
        <w:t>‘I mean, you’ve come in to the city centre now, you’ve got lots and lots of resources for families late of a night, but you can go to certain areas in this city and there won’t be a bank, there won’t be a shop, there won’t be anything that’s a resource for a family</w:t>
      </w:r>
      <w:r w:rsidR="0075115D">
        <w:t>…</w:t>
      </w:r>
      <w:r w:rsidRPr="003A587C">
        <w:t xml:space="preserve"> businesses have pulled out because people haven’t got money to spend on a day-to-day basis. </w:t>
      </w:r>
      <w:r w:rsidR="0075115D">
        <w:t>…</w:t>
      </w:r>
      <w:r w:rsidRPr="003A587C">
        <w:t xml:space="preserve"> The basics for managing family life are not around them’ </w:t>
      </w:r>
    </w:p>
    <w:p w14:paraId="12891160" w14:textId="591D5CD9" w:rsidR="005C3A28" w:rsidRDefault="00E86D4B" w:rsidP="00E86D4B">
      <w:r w:rsidRPr="003A587C">
        <w:t>Yet, this acknowledgment did not result in a questioning of the lack of provision of infrastructure as part of the TFP</w:t>
      </w:r>
      <w:r w:rsidR="0075115D">
        <w:t xml:space="preserve">. </w:t>
      </w:r>
      <w:r w:rsidR="00E0215D">
        <w:t xml:space="preserve">The programme </w:t>
      </w:r>
      <w:r w:rsidRPr="003A587C">
        <w:t xml:space="preserve">director </w:t>
      </w:r>
      <w:r w:rsidR="00E0215D">
        <w:t>quoted above focussed on</w:t>
      </w:r>
      <w:r w:rsidRPr="003A587C">
        <w:t xml:space="preserve"> parenting classes </w:t>
      </w:r>
      <w:r w:rsidR="00E0215D">
        <w:t>as</w:t>
      </w:r>
      <w:r w:rsidR="00E0215D" w:rsidRPr="003A587C">
        <w:t xml:space="preserve"> </w:t>
      </w:r>
      <w:r w:rsidRPr="003A587C">
        <w:t>the source of developing the skills to manage the very same families lives by teaching parents how to be ‘good examples’ to their children</w:t>
      </w:r>
      <w:r w:rsidR="00E0215D">
        <w:t>, emphasising behaviour as the implicit cause and explicit solution to being in a ‘troubled’ state.</w:t>
      </w:r>
      <w:r w:rsidRPr="003A587C">
        <w:t xml:space="preserve"> Again, </w:t>
      </w:r>
      <w:r w:rsidR="00105BD0">
        <w:t>t</w:t>
      </w:r>
      <w:r w:rsidRPr="003A587C">
        <w:t xml:space="preserve">hese contradictions between </w:t>
      </w:r>
      <w:r w:rsidR="00893957">
        <w:t>the material reality and the desire to make ‘troubled families’ believe NMC cultural inclusion is possible were p</w:t>
      </w:r>
      <w:r w:rsidRPr="003A587C">
        <w:t xml:space="preserve">resent throughout the interviews. </w:t>
      </w:r>
    </w:p>
    <w:p w14:paraId="4A24B41C" w14:textId="755E9337" w:rsidR="0015322A" w:rsidRDefault="00686D1F" w:rsidP="00686D1F">
      <w:pPr>
        <w:rPr>
          <w:rFonts w:cs="Times New Roman"/>
        </w:rPr>
      </w:pPr>
      <w:r>
        <w:t xml:space="preserve">Statistics on the demographics of the families involved in the programme are hard to </w:t>
      </w:r>
      <w:r w:rsidR="00E0215D">
        <w:t>access</w:t>
      </w:r>
      <w:r>
        <w:t xml:space="preserve">. </w:t>
      </w:r>
      <w:r w:rsidR="00430C4C">
        <w:t>F</w:t>
      </w:r>
      <w:r>
        <w:t xml:space="preserve">reedom of information requests (February 2014) to the ten councils identified as having the highest number of </w:t>
      </w:r>
      <w:r w:rsidR="00D3657B">
        <w:t>families identified as ‘t</w:t>
      </w:r>
      <w:r>
        <w:t>roubled</w:t>
      </w:r>
      <w:r w:rsidR="00D3657B">
        <w:t>’</w:t>
      </w:r>
      <w:r>
        <w:t xml:space="preserve"> </w:t>
      </w:r>
      <w:r w:rsidR="00E0215D">
        <w:t>did not reveal his information</w:t>
      </w:r>
      <w:r w:rsidR="005C3A28">
        <w:t xml:space="preserve"> (see also Montgomerie and Tepe-Belfrage, forthcoming)</w:t>
      </w:r>
      <w:r>
        <w:t xml:space="preserve">. </w:t>
      </w:r>
      <w:r w:rsidR="00E0215D">
        <w:t>Anecdotally it appears that single parents and single mother households in particular are over-represented;</w:t>
      </w:r>
      <w:r w:rsidR="005C3A28">
        <w:t xml:space="preserve"> with one programme director suggesting female headed single parent households would make up to 80% of the families included in the TFP in his council. </w:t>
      </w:r>
      <w:proofErr w:type="spellStart"/>
      <w:r w:rsidR="00430C4C">
        <w:t>Similalry</w:t>
      </w:r>
      <w:proofErr w:type="spellEnd"/>
      <w:r w:rsidR="00430C4C">
        <w:t xml:space="preserve">, the very limited governmental data available indicates an ‘higher than average proportion of lone parents (49% compared to 16% in the general population’ (DCLG 2014). Yet, this data has to be looked at with significant caution as the report authors themselves recognise that they are ‘unsure whether the data submitted is representative of all troubled families going through the programme’ (DCLG 2014:3). </w:t>
      </w:r>
      <w:r w:rsidRPr="00794BD3">
        <w:rPr>
          <w:rFonts w:cs="Times New Roman"/>
        </w:rPr>
        <w:t xml:space="preserve">Parr and Nixon (2008) </w:t>
      </w:r>
      <w:r w:rsidR="00E0215D">
        <w:rPr>
          <w:rFonts w:cs="Times New Roman"/>
        </w:rPr>
        <w:t xml:space="preserve">suggest that </w:t>
      </w:r>
      <w:r w:rsidRPr="00794BD3">
        <w:rPr>
          <w:rFonts w:cs="Times New Roman"/>
        </w:rPr>
        <w:t xml:space="preserve">the bulk of family intervention projects in the UK are aimed at female-only households with a tendency ’to blame female tenants for the ‘inappropriate’ </w:t>
      </w:r>
      <w:proofErr w:type="spellStart"/>
      <w:r w:rsidRPr="00794BD3">
        <w:rPr>
          <w:rFonts w:cs="Times New Roman"/>
        </w:rPr>
        <w:t>behavior</w:t>
      </w:r>
      <w:proofErr w:type="spellEnd"/>
      <w:r w:rsidRPr="00794BD3">
        <w:rPr>
          <w:rFonts w:cs="Times New Roman"/>
        </w:rPr>
        <w:t xml:space="preserve"> of their male partners or teenage sons. Parenting Orders</w:t>
      </w:r>
      <w:r w:rsidR="00E0215D">
        <w:rPr>
          <w:rFonts w:cs="Times New Roman"/>
        </w:rPr>
        <w:t xml:space="preserve"> have also</w:t>
      </w:r>
      <w:r w:rsidRPr="00794BD3">
        <w:rPr>
          <w:rFonts w:cs="Times New Roman"/>
        </w:rPr>
        <w:t xml:space="preserve"> been predominantly given to lone mothers</w:t>
      </w:r>
      <w:r w:rsidR="00BA36F6">
        <w:rPr>
          <w:rFonts w:cs="Times New Roman"/>
        </w:rPr>
        <w:t xml:space="preserve"> (Martin and Wilcox 2013,</w:t>
      </w:r>
      <w:r w:rsidR="0015322A">
        <w:rPr>
          <w:rFonts w:cs="Times New Roman"/>
        </w:rPr>
        <w:t xml:space="preserve"> 157). </w:t>
      </w:r>
    </w:p>
    <w:p w14:paraId="1A8A519E" w14:textId="6FE21112" w:rsidR="007268BE" w:rsidRDefault="000B6698" w:rsidP="00686D1F">
      <w:pPr>
        <w:rPr>
          <w:rFonts w:cs="Times New Roman"/>
        </w:rPr>
      </w:pPr>
      <w:r>
        <w:rPr>
          <w:rFonts w:cs="Times New Roman"/>
        </w:rPr>
        <w:t xml:space="preserve">Different local authorities have implemented the TFP in different ways. Yet, </w:t>
      </w:r>
      <w:r w:rsidR="0015322A">
        <w:rPr>
          <w:rFonts w:cs="Times New Roman"/>
        </w:rPr>
        <w:t xml:space="preserve">in </w:t>
      </w:r>
      <w:r>
        <w:rPr>
          <w:rFonts w:cs="Times New Roman"/>
        </w:rPr>
        <w:t xml:space="preserve">several of </w:t>
      </w:r>
      <w:r w:rsidR="0015322A">
        <w:rPr>
          <w:rFonts w:cs="Times New Roman"/>
        </w:rPr>
        <w:t xml:space="preserve">the local authorities we </w:t>
      </w:r>
      <w:r>
        <w:rPr>
          <w:rFonts w:cs="Times New Roman"/>
        </w:rPr>
        <w:t>research</w:t>
      </w:r>
      <w:r w:rsidR="0015322A">
        <w:rPr>
          <w:rFonts w:cs="Times New Roman"/>
        </w:rPr>
        <w:t>ed</w:t>
      </w:r>
      <w:r>
        <w:rPr>
          <w:rFonts w:cs="Times New Roman"/>
        </w:rPr>
        <w:t xml:space="preserve">, the focus has been on developing a multi-agency approach to family intervention where previous less coordinated interventions from different providers are now provided by </w:t>
      </w:r>
      <w:r w:rsidR="0015322A">
        <w:rPr>
          <w:rFonts w:cs="Times New Roman"/>
        </w:rPr>
        <w:t>more integrated or even</w:t>
      </w:r>
      <w:r>
        <w:rPr>
          <w:rFonts w:cs="Times New Roman"/>
        </w:rPr>
        <w:t xml:space="preserve"> single units that negotiate between the various public and private providers including for example, health commissioners, charities, local authority providers, police, probation and voluntary, community and faith organisations.  While these coordinating efforts have </w:t>
      </w:r>
      <w:r w:rsidR="001A290D">
        <w:rPr>
          <w:rFonts w:cs="Times New Roman"/>
        </w:rPr>
        <w:t xml:space="preserve">been </w:t>
      </w:r>
      <w:r>
        <w:rPr>
          <w:rFonts w:cs="Times New Roman"/>
        </w:rPr>
        <w:t>success</w:t>
      </w:r>
      <w:r w:rsidR="001A290D">
        <w:rPr>
          <w:rFonts w:cs="Times New Roman"/>
        </w:rPr>
        <w:t>ful</w:t>
      </w:r>
      <w:r>
        <w:rPr>
          <w:rFonts w:cs="Times New Roman"/>
        </w:rPr>
        <w:t xml:space="preserve"> in terms of providing families facing multiple problems with </w:t>
      </w:r>
      <w:r w:rsidR="001A290D">
        <w:rPr>
          <w:rFonts w:cs="Times New Roman"/>
        </w:rPr>
        <w:t>integrated support</w:t>
      </w:r>
      <w:r w:rsidR="00C06FEC">
        <w:rPr>
          <w:rFonts w:cs="Times New Roman"/>
        </w:rPr>
        <w:t xml:space="preserve">, they also </w:t>
      </w:r>
      <w:r w:rsidR="001A290D">
        <w:rPr>
          <w:rFonts w:cs="Times New Roman"/>
        </w:rPr>
        <w:t>result in increased</w:t>
      </w:r>
      <w:r w:rsidR="00C06FEC">
        <w:rPr>
          <w:rFonts w:cs="Times New Roman"/>
        </w:rPr>
        <w:t xml:space="preserve"> coordinati</w:t>
      </w:r>
      <w:r w:rsidR="001A290D">
        <w:rPr>
          <w:rFonts w:cs="Times New Roman"/>
        </w:rPr>
        <w:t xml:space="preserve">on and effectiveness in </w:t>
      </w:r>
      <w:r w:rsidR="00C06FEC">
        <w:rPr>
          <w:rFonts w:cs="Times New Roman"/>
        </w:rPr>
        <w:t xml:space="preserve">careful monitoring and disciplining. </w:t>
      </w:r>
    </w:p>
    <w:p w14:paraId="067392CF" w14:textId="46F8A0EF" w:rsidR="00C06FEC" w:rsidRDefault="00092C14" w:rsidP="00C06FEC">
      <w:pPr>
        <w:widowControl w:val="0"/>
        <w:autoSpaceDE w:val="0"/>
        <w:autoSpaceDN w:val="0"/>
        <w:adjustRightInd w:val="0"/>
        <w:spacing w:after="240"/>
        <w:rPr>
          <w:rFonts w:cs="Times New Roman"/>
        </w:rPr>
      </w:pPr>
      <w:r>
        <w:rPr>
          <w:rFonts w:cs="Times New Roman"/>
        </w:rPr>
        <w:t>Coordinating</w:t>
      </w:r>
      <w:r w:rsidR="00C06FEC" w:rsidRPr="00794BD3">
        <w:rPr>
          <w:rFonts w:cs="Times New Roman"/>
        </w:rPr>
        <w:t xml:space="preserve"> social policy</w:t>
      </w:r>
      <w:r w:rsidR="0015322A">
        <w:rPr>
          <w:rFonts w:cs="Times New Roman"/>
        </w:rPr>
        <w:t xml:space="preserve"> more narrowly</w:t>
      </w:r>
      <w:r w:rsidR="00C06FEC" w:rsidRPr="00794BD3">
        <w:rPr>
          <w:rFonts w:cs="Times New Roman"/>
        </w:rPr>
        <w:t xml:space="preserve"> </w:t>
      </w:r>
      <w:r>
        <w:rPr>
          <w:rFonts w:cs="Times New Roman"/>
        </w:rPr>
        <w:t>was</w:t>
      </w:r>
      <w:r w:rsidR="00C06FEC" w:rsidRPr="00794BD3">
        <w:rPr>
          <w:rFonts w:cs="Times New Roman"/>
        </w:rPr>
        <w:t xml:space="preserve"> a prominent feature of </w:t>
      </w:r>
      <w:r>
        <w:rPr>
          <w:rFonts w:cs="Times New Roman"/>
        </w:rPr>
        <w:t xml:space="preserve">family </w:t>
      </w:r>
      <w:r w:rsidR="00C06FEC">
        <w:rPr>
          <w:rFonts w:cs="Times New Roman"/>
        </w:rPr>
        <w:t>intervention politics</w:t>
      </w:r>
      <w:r w:rsidR="00C06FEC" w:rsidRPr="00794BD3">
        <w:rPr>
          <w:rFonts w:cs="Times New Roman"/>
        </w:rPr>
        <w:t xml:space="preserve"> already under New Labour along with changing understandings of social solidarity and of what should be done about ‘antisocial behaviour’ (Rodgers 2008). Indeed, key features of social policy </w:t>
      </w:r>
      <w:r w:rsidR="0015322A">
        <w:rPr>
          <w:rFonts w:cs="Times New Roman"/>
        </w:rPr>
        <w:t>since</w:t>
      </w:r>
      <w:r w:rsidR="00C06FEC" w:rsidRPr="00794BD3">
        <w:rPr>
          <w:rFonts w:cs="Times New Roman"/>
        </w:rPr>
        <w:t xml:space="preserve"> New Labour and under the coalition government </w:t>
      </w:r>
      <w:r w:rsidR="00C06FEC">
        <w:rPr>
          <w:rFonts w:cs="Times New Roman"/>
        </w:rPr>
        <w:t>were</w:t>
      </w:r>
      <w:r w:rsidR="00C06FEC" w:rsidRPr="00794BD3">
        <w:rPr>
          <w:rFonts w:cs="Times New Roman"/>
        </w:rPr>
        <w:t xml:space="preserve"> to link the ‘reform of the welfare system and the development of a criminal justice agenda [to] dealing with dysfunctional families, anti-social behaviour in children and early intervention to rescue the ill-disciplined ‘feral children’ in the peripheral housing estates and poor inner cities from entrapment in…. ‘inferior </w:t>
      </w:r>
      <w:r w:rsidR="00BA36F6">
        <w:rPr>
          <w:rFonts w:cs="Times New Roman"/>
        </w:rPr>
        <w:t>life trajectories’ (Rodger 2012,</w:t>
      </w:r>
      <w:r w:rsidR="00C06FEC" w:rsidRPr="00794BD3">
        <w:rPr>
          <w:rFonts w:cs="Times New Roman"/>
        </w:rPr>
        <w:t xml:space="preserve"> 415). According to Rodger, The Crime and Disorder Act of 1998 and the Anti-Social Behaviour Act 2003 exemplify this point of continuity. ‘The two key principles that underpinned criminal justice legislation were early intervention into families that were failing and reinforcing parent</w:t>
      </w:r>
      <w:r w:rsidR="00BA36F6">
        <w:rPr>
          <w:rFonts w:cs="Times New Roman"/>
        </w:rPr>
        <w:t>al responsibility’ (Rodger 2012,</w:t>
      </w:r>
      <w:r w:rsidR="00C06FEC" w:rsidRPr="00794BD3">
        <w:rPr>
          <w:rFonts w:cs="Times New Roman"/>
        </w:rPr>
        <w:t xml:space="preserve"> 415). Indeed, both acts were linked up with attempts to create community efficiency and crime prevention partnerships.  </w:t>
      </w:r>
      <w:r w:rsidR="00C06FEC">
        <w:rPr>
          <w:rFonts w:cs="Times New Roman"/>
        </w:rPr>
        <w:t xml:space="preserve">The 2010 Parenting Order on Breach of anti-social behaviour order </w:t>
      </w:r>
      <w:r w:rsidR="0015322A">
        <w:rPr>
          <w:rFonts w:cs="Times New Roman"/>
        </w:rPr>
        <w:t>further signifies</w:t>
      </w:r>
      <w:r w:rsidR="0009779B">
        <w:rPr>
          <w:rFonts w:cs="Times New Roman"/>
        </w:rPr>
        <w:t xml:space="preserve"> this continued development.</w:t>
      </w:r>
    </w:p>
    <w:p w14:paraId="7EA10E34" w14:textId="64C01C19" w:rsidR="00D753B5" w:rsidRPr="00D753B5" w:rsidRDefault="00BA36F6" w:rsidP="00686D1F">
      <w:pPr>
        <w:rPr>
          <w:rFonts w:cs="Times New Roman"/>
        </w:rPr>
      </w:pPr>
      <w:r>
        <w:rPr>
          <w:rFonts w:cs="Times New Roman"/>
        </w:rPr>
        <w:t xml:space="preserve">As Garrett </w:t>
      </w:r>
      <w:r w:rsidR="001A290D">
        <w:rPr>
          <w:rFonts w:cs="Times New Roman"/>
        </w:rPr>
        <w:t>(</w:t>
      </w:r>
      <w:r>
        <w:rPr>
          <w:rFonts w:cs="Times New Roman"/>
        </w:rPr>
        <w:t>2007,</w:t>
      </w:r>
      <w:r w:rsidR="002859FB" w:rsidRPr="00794BD3">
        <w:rPr>
          <w:rFonts w:cs="Times New Roman"/>
        </w:rPr>
        <w:t xml:space="preserve"> 221-2</w:t>
      </w:r>
      <w:r w:rsidR="001A290D">
        <w:rPr>
          <w:rFonts w:cs="Times New Roman"/>
        </w:rPr>
        <w:t>)</w:t>
      </w:r>
      <w:r w:rsidR="002859FB" w:rsidRPr="00794BD3">
        <w:rPr>
          <w:rFonts w:cs="Times New Roman"/>
        </w:rPr>
        <w:t xml:space="preserve"> recognises</w:t>
      </w:r>
      <w:r w:rsidR="002859FB">
        <w:rPr>
          <w:rFonts w:cs="Times New Roman"/>
        </w:rPr>
        <w:t>,</w:t>
      </w:r>
      <w:r w:rsidR="002859FB" w:rsidRPr="00794BD3">
        <w:rPr>
          <w:rFonts w:cs="Times New Roman"/>
        </w:rPr>
        <w:t xml:space="preserve"> </w:t>
      </w:r>
      <w:r w:rsidR="00D3657B">
        <w:rPr>
          <w:rFonts w:cs="Times New Roman"/>
        </w:rPr>
        <w:t xml:space="preserve">family intervention </w:t>
      </w:r>
      <w:r w:rsidR="002859FB" w:rsidRPr="00794BD3">
        <w:rPr>
          <w:rFonts w:cs="Times New Roman"/>
        </w:rPr>
        <w:t xml:space="preserve">projects such as </w:t>
      </w:r>
      <w:r w:rsidR="002859FB">
        <w:rPr>
          <w:rFonts w:cs="Times New Roman"/>
        </w:rPr>
        <w:t xml:space="preserve">the </w:t>
      </w:r>
      <w:r w:rsidR="001A290D">
        <w:rPr>
          <w:rFonts w:cs="Times New Roman"/>
        </w:rPr>
        <w:t>TFP</w:t>
      </w:r>
      <w:r w:rsidR="002859FB" w:rsidRPr="00794BD3">
        <w:rPr>
          <w:rFonts w:cs="Times New Roman"/>
        </w:rPr>
        <w:t xml:space="preserve"> are ‘schooling families to accept new temporal frameworks’ by infantilising adults. </w:t>
      </w:r>
      <w:r w:rsidR="002859FB">
        <w:rPr>
          <w:rFonts w:cs="Times New Roman"/>
        </w:rPr>
        <w:t>Families, and here particularly single mothers, are monitored in their parenting skills, subjected to parenting classes and intensive teaching</w:t>
      </w:r>
      <w:r w:rsidR="00B92B9F">
        <w:rPr>
          <w:rFonts w:cs="Times New Roman"/>
        </w:rPr>
        <w:t xml:space="preserve"> of ‘life-skills’ though which to foster aspirations among generations of perceived aspirational failures. These interventions and close monitoring of the poor are backed-up by welfare cuts, and restrictions to access welfare. As pointed out by </w:t>
      </w:r>
      <w:proofErr w:type="spellStart"/>
      <w:r w:rsidR="00B92B9F">
        <w:rPr>
          <w:rFonts w:cs="Times New Roman"/>
        </w:rPr>
        <w:t>Danil</w:t>
      </w:r>
      <w:proofErr w:type="spellEnd"/>
      <w:r w:rsidR="00B92B9F">
        <w:rPr>
          <w:rFonts w:cs="Times New Roman"/>
        </w:rPr>
        <w:t xml:space="preserve"> (2013), these interventions take</w:t>
      </w:r>
      <w:r w:rsidR="00B92B9F" w:rsidRPr="00794BD3">
        <w:rPr>
          <w:rFonts w:cs="Times New Roman"/>
        </w:rPr>
        <w:t xml:space="preserve"> on an agentic approach that focuses entirely on the families and treats their problems as endogenous and self-generated, rather than examining the structural factors, and larger socio-economic context in which those fam</w:t>
      </w:r>
      <w:r>
        <w:rPr>
          <w:rFonts w:cs="Times New Roman"/>
        </w:rPr>
        <w:t>ilies operate’ (</w:t>
      </w:r>
      <w:proofErr w:type="spellStart"/>
      <w:r>
        <w:rPr>
          <w:rFonts w:cs="Times New Roman"/>
        </w:rPr>
        <w:t>Danil</w:t>
      </w:r>
      <w:proofErr w:type="spellEnd"/>
      <w:r>
        <w:rPr>
          <w:rFonts w:cs="Times New Roman"/>
        </w:rPr>
        <w:t xml:space="preserve"> 2013,</w:t>
      </w:r>
      <w:r w:rsidR="00B92B9F" w:rsidRPr="00794BD3">
        <w:rPr>
          <w:rFonts w:cs="Times New Roman"/>
        </w:rPr>
        <w:t xml:space="preserve"> 11)</w:t>
      </w:r>
      <w:r w:rsidR="00382642">
        <w:rPr>
          <w:rFonts w:cs="Times New Roman"/>
        </w:rPr>
        <w:t>.</w:t>
      </w:r>
      <w:r w:rsidR="00D3657B">
        <w:rPr>
          <w:rFonts w:cs="Times New Roman"/>
        </w:rPr>
        <w:t xml:space="preserve">  </w:t>
      </w:r>
    </w:p>
    <w:p w14:paraId="6AE13967" w14:textId="77777777" w:rsidR="00934DA5" w:rsidRDefault="00934DA5" w:rsidP="00934DA5"/>
    <w:p w14:paraId="0E13EA6A" w14:textId="484290F4" w:rsidR="00A425AA" w:rsidRDefault="00331561" w:rsidP="00934DA5">
      <w:pPr>
        <w:rPr>
          <w:b/>
        </w:rPr>
      </w:pPr>
      <w:r w:rsidRPr="00934DA5">
        <w:rPr>
          <w:b/>
        </w:rPr>
        <w:t>Conclusion</w:t>
      </w:r>
    </w:p>
    <w:p w14:paraId="3B525BDC" w14:textId="1415AC26" w:rsidR="00A425AA" w:rsidRDefault="00A425AA" w:rsidP="005D3DB3">
      <w:pPr>
        <w:rPr>
          <w:rFonts w:cs="Times New Roman"/>
          <w:color w:val="1A1A1A"/>
          <w:lang w:val="en-US"/>
        </w:rPr>
      </w:pPr>
      <w:r>
        <w:rPr>
          <w:rFonts w:cs="Times New Roman"/>
          <w:color w:val="1A1A1A"/>
          <w:lang w:val="en-US"/>
        </w:rPr>
        <w:t>Research</w:t>
      </w:r>
      <w:r w:rsidR="005D3DB3" w:rsidRPr="005D3DB3">
        <w:rPr>
          <w:rFonts w:cs="Times New Roman"/>
          <w:color w:val="1A1A1A"/>
          <w:lang w:val="en-US"/>
        </w:rPr>
        <w:t xml:space="preserve"> on the TFP, and Family Intervention </w:t>
      </w:r>
      <w:r w:rsidR="005D3DB3">
        <w:rPr>
          <w:rFonts w:cs="Times New Roman"/>
          <w:color w:val="1A1A1A"/>
          <w:lang w:val="en-US"/>
        </w:rPr>
        <w:t>Policy more general,</w:t>
      </w:r>
      <w:r w:rsidR="005D3DB3" w:rsidRPr="005D3DB3">
        <w:rPr>
          <w:rFonts w:cs="Times New Roman"/>
          <w:color w:val="1A1A1A"/>
          <w:lang w:val="en-US"/>
        </w:rPr>
        <w:t xml:space="preserve"> </w:t>
      </w:r>
      <w:r>
        <w:rPr>
          <w:rFonts w:cs="Times New Roman"/>
          <w:color w:val="1A1A1A"/>
          <w:lang w:val="en-US"/>
        </w:rPr>
        <w:t xml:space="preserve">had generally </w:t>
      </w:r>
      <w:proofErr w:type="spellStart"/>
      <w:r w:rsidR="005D3DB3" w:rsidRPr="005D3DB3">
        <w:rPr>
          <w:rFonts w:cs="Times New Roman"/>
          <w:color w:val="1A1A1A"/>
          <w:lang w:val="en-US"/>
        </w:rPr>
        <w:t>emphasise</w:t>
      </w:r>
      <w:r>
        <w:rPr>
          <w:rFonts w:cs="Times New Roman"/>
          <w:color w:val="1A1A1A"/>
          <w:lang w:val="en-US"/>
        </w:rPr>
        <w:t>d</w:t>
      </w:r>
      <w:proofErr w:type="spellEnd"/>
      <w:r w:rsidR="005D3DB3" w:rsidRPr="005D3DB3">
        <w:rPr>
          <w:rFonts w:cs="Times New Roman"/>
          <w:color w:val="1A1A1A"/>
          <w:lang w:val="en-US"/>
        </w:rPr>
        <w:t xml:space="preserve"> the complex ways in which national policies are implemented, negotiated and partly circumvented and undermined at the local and frontline scale (see Parr and </w:t>
      </w:r>
      <w:proofErr w:type="spellStart"/>
      <w:r w:rsidR="005D3DB3" w:rsidRPr="005D3DB3">
        <w:rPr>
          <w:rFonts w:cs="Times New Roman"/>
          <w:color w:val="1A1A1A"/>
          <w:lang w:val="en-US"/>
        </w:rPr>
        <w:t>Nixos</w:t>
      </w:r>
      <w:proofErr w:type="spellEnd"/>
      <w:r w:rsidR="005D3DB3" w:rsidRPr="005D3DB3">
        <w:rPr>
          <w:rFonts w:cs="Times New Roman"/>
          <w:color w:val="1A1A1A"/>
          <w:lang w:val="en-US"/>
        </w:rPr>
        <w:t xml:space="preserve"> 2008, Hayden and Jenkins 2014).  </w:t>
      </w:r>
      <w:r w:rsidR="005D3DB3">
        <w:rPr>
          <w:rFonts w:cs="Times New Roman"/>
          <w:color w:val="1A1A1A"/>
          <w:lang w:val="en-US"/>
        </w:rPr>
        <w:t>Partly in contrast to these,</w:t>
      </w:r>
      <w:r>
        <w:rPr>
          <w:rFonts w:cs="Times New Roman"/>
          <w:color w:val="1A1A1A"/>
          <w:lang w:val="en-US"/>
        </w:rPr>
        <w:t xml:space="preserve"> and in line with the crucial aim of instilling a sense of aspiration in the families it targets,</w:t>
      </w:r>
      <w:r w:rsidR="005D3DB3">
        <w:rPr>
          <w:rFonts w:cs="Times New Roman"/>
          <w:color w:val="1A1A1A"/>
          <w:lang w:val="en-US"/>
        </w:rPr>
        <w:t xml:space="preserve"> </w:t>
      </w:r>
      <w:r w:rsidR="005D3DB3" w:rsidRPr="005D3DB3">
        <w:rPr>
          <w:rFonts w:cs="Times New Roman"/>
          <w:color w:val="1A1A1A"/>
          <w:lang w:val="en-US"/>
        </w:rPr>
        <w:t xml:space="preserve">we find five common themes in our </w:t>
      </w:r>
      <w:r w:rsidR="009D3AE7">
        <w:rPr>
          <w:rFonts w:cs="Times New Roman"/>
          <w:color w:val="1A1A1A"/>
          <w:lang w:val="en-US"/>
        </w:rPr>
        <w:t xml:space="preserve">research on the </w:t>
      </w:r>
      <w:proofErr w:type="spellStart"/>
      <w:r w:rsidR="009D3AE7">
        <w:rPr>
          <w:rFonts w:cs="Times New Roman"/>
          <w:color w:val="1A1A1A"/>
          <w:lang w:val="en-US"/>
        </w:rPr>
        <w:t>TfP</w:t>
      </w:r>
      <w:proofErr w:type="spellEnd"/>
      <w:r w:rsidR="005D3DB3" w:rsidRPr="005D3DB3">
        <w:rPr>
          <w:rFonts w:cs="Times New Roman"/>
          <w:color w:val="1A1A1A"/>
          <w:lang w:val="en-US"/>
        </w:rPr>
        <w:t xml:space="preserve">: (1) that the </w:t>
      </w:r>
      <w:proofErr w:type="spellStart"/>
      <w:r w:rsidR="005D3DB3" w:rsidRPr="005D3DB3">
        <w:rPr>
          <w:rFonts w:cs="Times New Roman"/>
          <w:color w:val="1A1A1A"/>
          <w:lang w:val="en-US"/>
        </w:rPr>
        <w:t>highlevel</w:t>
      </w:r>
      <w:proofErr w:type="spellEnd"/>
      <w:r w:rsidR="005D3DB3" w:rsidRPr="005D3DB3">
        <w:rPr>
          <w:rFonts w:cs="Times New Roman"/>
          <w:color w:val="1A1A1A"/>
          <w:lang w:val="en-US"/>
        </w:rPr>
        <w:t xml:space="preserve"> </w:t>
      </w:r>
      <w:proofErr w:type="spellStart"/>
      <w:r w:rsidR="005D3DB3" w:rsidRPr="005D3DB3">
        <w:rPr>
          <w:rFonts w:cs="Times New Roman"/>
          <w:color w:val="1A1A1A"/>
          <w:lang w:val="en-US"/>
        </w:rPr>
        <w:t>programme</w:t>
      </w:r>
      <w:proofErr w:type="spellEnd"/>
      <w:r w:rsidR="005D3DB3" w:rsidRPr="005D3DB3">
        <w:rPr>
          <w:rFonts w:cs="Times New Roman"/>
          <w:color w:val="1A1A1A"/>
          <w:lang w:val="en-US"/>
        </w:rPr>
        <w:t xml:space="preserve"> aims and logic are </w:t>
      </w:r>
      <w:proofErr w:type="spellStart"/>
      <w:r w:rsidR="005D3DB3" w:rsidRPr="005D3DB3">
        <w:rPr>
          <w:rFonts w:cs="Times New Roman"/>
          <w:color w:val="1A1A1A"/>
          <w:lang w:val="en-US"/>
        </w:rPr>
        <w:t>focussed</w:t>
      </w:r>
      <w:proofErr w:type="spellEnd"/>
      <w:r w:rsidR="005D3DB3" w:rsidRPr="005D3DB3">
        <w:rPr>
          <w:rFonts w:cs="Times New Roman"/>
          <w:color w:val="1A1A1A"/>
          <w:lang w:val="en-US"/>
        </w:rPr>
        <w:t xml:space="preserve"> on promoting </w:t>
      </w:r>
      <w:proofErr w:type="spellStart"/>
      <w:r w:rsidR="005D3DB3" w:rsidRPr="005D3DB3">
        <w:rPr>
          <w:rFonts w:cs="Times New Roman"/>
          <w:color w:val="1A1A1A"/>
          <w:lang w:val="en-US"/>
        </w:rPr>
        <w:t>behaviour</w:t>
      </w:r>
      <w:proofErr w:type="spellEnd"/>
      <w:r w:rsidR="005D3DB3" w:rsidRPr="005D3DB3">
        <w:rPr>
          <w:rFonts w:cs="Times New Roman"/>
          <w:color w:val="1A1A1A"/>
          <w:lang w:val="en-US"/>
        </w:rPr>
        <w:t xml:space="preserve"> and cultures consistent with the social and political construct of the NMC; (2) that the </w:t>
      </w:r>
      <w:proofErr w:type="spellStart"/>
      <w:r w:rsidR="005D3DB3" w:rsidRPr="005D3DB3">
        <w:rPr>
          <w:rFonts w:cs="Times New Roman"/>
          <w:color w:val="1A1A1A"/>
          <w:lang w:val="en-US"/>
        </w:rPr>
        <w:t>programme</w:t>
      </w:r>
      <w:proofErr w:type="spellEnd"/>
      <w:r w:rsidR="005D3DB3" w:rsidRPr="005D3DB3">
        <w:rPr>
          <w:rFonts w:cs="Times New Roman"/>
          <w:color w:val="1A1A1A"/>
          <w:lang w:val="en-US"/>
        </w:rPr>
        <w:t xml:space="preserve"> is targeted at poor families and often women, especially Lone Parents, as bearing the responsibility for reproducing NMC values; (3) that this involves in-depth intervention, monitoring, performance management and conditionality </w:t>
      </w:r>
      <w:proofErr w:type="spellStart"/>
      <w:r w:rsidR="005D3DB3" w:rsidRPr="005D3DB3">
        <w:rPr>
          <w:rFonts w:cs="Times New Roman"/>
          <w:color w:val="1A1A1A"/>
          <w:lang w:val="en-US"/>
        </w:rPr>
        <w:t>focussed</w:t>
      </w:r>
      <w:proofErr w:type="spellEnd"/>
      <w:r w:rsidR="005D3DB3" w:rsidRPr="005D3DB3">
        <w:rPr>
          <w:rFonts w:cs="Times New Roman"/>
          <w:color w:val="1A1A1A"/>
          <w:lang w:val="en-US"/>
        </w:rPr>
        <w:t xml:space="preserve"> on household and family </w:t>
      </w:r>
      <w:proofErr w:type="spellStart"/>
      <w:r w:rsidR="005D3DB3" w:rsidRPr="005D3DB3">
        <w:rPr>
          <w:rFonts w:cs="Times New Roman"/>
          <w:color w:val="1A1A1A"/>
          <w:lang w:val="en-US"/>
        </w:rPr>
        <w:t>behaviour</w:t>
      </w:r>
      <w:proofErr w:type="spellEnd"/>
      <w:r w:rsidR="005D3DB3" w:rsidRPr="005D3DB3">
        <w:rPr>
          <w:rFonts w:cs="Times New Roman"/>
          <w:color w:val="1A1A1A"/>
          <w:lang w:val="en-US"/>
        </w:rPr>
        <w:t xml:space="preserve">; (4) that this may result in disciplinary interventions for not upholding and reproducing NMC values and cultures; (5) that local implementation often acknowledges the links between individual family and household dynamics and the wider local community, and therefore attempts to change both.  While other research may show that local agents act in ways that show solidarity and sympathy with </w:t>
      </w:r>
      <w:proofErr w:type="spellStart"/>
      <w:r w:rsidR="005D3DB3" w:rsidRPr="005D3DB3">
        <w:rPr>
          <w:rFonts w:cs="Times New Roman"/>
          <w:color w:val="1A1A1A"/>
          <w:lang w:val="en-US"/>
        </w:rPr>
        <w:t>programme</w:t>
      </w:r>
      <w:proofErr w:type="spellEnd"/>
      <w:r w:rsidR="005D3DB3" w:rsidRPr="005D3DB3">
        <w:rPr>
          <w:rFonts w:cs="Times New Roman"/>
          <w:color w:val="1A1A1A"/>
          <w:lang w:val="en-US"/>
        </w:rPr>
        <w:t xml:space="preserve"> ‘beneficiaries’, this often merely softens the disciplinary elements of the </w:t>
      </w:r>
      <w:proofErr w:type="spellStart"/>
      <w:r w:rsidR="005D3DB3" w:rsidRPr="005D3DB3">
        <w:rPr>
          <w:rFonts w:cs="Times New Roman"/>
          <w:color w:val="1A1A1A"/>
          <w:lang w:val="en-US"/>
        </w:rPr>
        <w:t>programme</w:t>
      </w:r>
      <w:proofErr w:type="spellEnd"/>
      <w:r w:rsidR="005D3DB3" w:rsidRPr="005D3DB3">
        <w:rPr>
          <w:rFonts w:cs="Times New Roman"/>
          <w:color w:val="1A1A1A"/>
          <w:lang w:val="en-US"/>
        </w:rPr>
        <w:t xml:space="preserve">, </w:t>
      </w:r>
    </w:p>
    <w:p w14:paraId="3F24A78F" w14:textId="52C09E7E" w:rsidR="005D3DB3" w:rsidRPr="005D3DB3" w:rsidRDefault="005D3DB3" w:rsidP="00B92B9F">
      <w:pPr>
        <w:rPr>
          <w:rFonts w:cs="Times New Roman"/>
        </w:rPr>
      </w:pPr>
      <w:r>
        <w:rPr>
          <w:rFonts w:cs="Times New Roman"/>
          <w:color w:val="1A1A1A"/>
          <w:lang w:val="en-US"/>
        </w:rPr>
        <w:t xml:space="preserve">Thus, </w:t>
      </w:r>
      <w:r>
        <w:t>we argue the TFP showcases the commonality of disciplinary social policy and conditionality that replaces the services and supports that poor individuals households and communities rely on disproportionately.  Our claim here is that discipline is also present in highly interventionist elements of family social policy. The TFP is one example of this. The TFP is constructed in the minds of those implementing it as a tool to normatively promote behaviour consistent with a position in the NMC.  Families subject to the attention of the TFP are regularly divided according to their willingness – with incentives and sanctions – to struggle for a position in the NMC.  Importantly, those regarded as unwilling to strive for a position in the NMC are targeted for disciplinary interventions in the heart of the family.</w:t>
      </w:r>
    </w:p>
    <w:p w14:paraId="67A85571" w14:textId="0329919C" w:rsidR="004C1DE6" w:rsidRDefault="0090603F" w:rsidP="00452628">
      <w:pPr>
        <w:pStyle w:val="Heading1"/>
        <w:rPr>
          <w:rFonts w:cs="Times New Roman"/>
        </w:rPr>
      </w:pPr>
      <w:r>
        <w:t>References</w:t>
      </w:r>
    </w:p>
    <w:p w14:paraId="3FE2CF0E" w14:textId="77777777" w:rsidR="004C1DE6" w:rsidRDefault="004C1DE6" w:rsidP="004C1DE6">
      <w:pPr>
        <w:pStyle w:val="Bibliography"/>
        <w:spacing w:before="0" w:line="240" w:lineRule="auto"/>
        <w:ind w:left="0" w:firstLine="0"/>
        <w:rPr>
          <w:rFonts w:cs="Times New Roman"/>
        </w:rPr>
      </w:pPr>
      <w:r w:rsidRPr="00B14DA2">
        <w:rPr>
          <w:rFonts w:cs="Times New Roman"/>
        </w:rPr>
        <w:t xml:space="preserve">Burnham, J. (1941). </w:t>
      </w:r>
      <w:r w:rsidRPr="00B14DA2">
        <w:rPr>
          <w:rFonts w:cs="Times New Roman"/>
          <w:i/>
          <w:iCs/>
        </w:rPr>
        <w:t>The managerial revolution: what is happening in the world</w:t>
      </w:r>
      <w:r w:rsidRPr="00B14DA2">
        <w:rPr>
          <w:rFonts w:cs="Times New Roman"/>
        </w:rPr>
        <w:t>. John Day Company.</w:t>
      </w:r>
    </w:p>
    <w:p w14:paraId="7B2E215A" w14:textId="77777777" w:rsidR="004C1DE6" w:rsidRDefault="004C1DE6" w:rsidP="004C1DE6">
      <w:pPr>
        <w:spacing w:before="0" w:after="0" w:line="240" w:lineRule="auto"/>
        <w:rPr>
          <w:rFonts w:cs="Times New Roman"/>
        </w:rPr>
      </w:pPr>
    </w:p>
    <w:p w14:paraId="33C26EA9" w14:textId="77777777" w:rsidR="004C1DE6" w:rsidRPr="00C346F4" w:rsidRDefault="004C1DE6" w:rsidP="004C1DE6">
      <w:pPr>
        <w:spacing w:before="0" w:after="0" w:line="240" w:lineRule="auto"/>
        <w:rPr>
          <w:rFonts w:cs="Times New Roman"/>
          <w:i/>
          <w:iCs/>
        </w:rPr>
      </w:pPr>
      <w:r w:rsidRPr="006E430E">
        <w:rPr>
          <w:rFonts w:cs="Times New Roman"/>
        </w:rPr>
        <w:t>Chorley, Matt. 2012. “</w:t>
      </w:r>
      <w:proofErr w:type="spellStart"/>
      <w:r w:rsidRPr="006E430E">
        <w:rPr>
          <w:rFonts w:cs="Times New Roman"/>
        </w:rPr>
        <w:t>IoS</w:t>
      </w:r>
      <w:proofErr w:type="spellEnd"/>
      <w:r w:rsidRPr="006E430E">
        <w:rPr>
          <w:rFonts w:cs="Times New Roman"/>
        </w:rPr>
        <w:t xml:space="preserve"> exclusive: Problem families told – ‘Stop blaming others’.” </w:t>
      </w:r>
      <w:r w:rsidRPr="006E430E">
        <w:rPr>
          <w:rFonts w:cs="Times New Roman"/>
          <w:i/>
          <w:iCs/>
        </w:rPr>
        <w:t>The Independent</w:t>
      </w:r>
      <w:r w:rsidRPr="006E430E">
        <w:rPr>
          <w:rFonts w:cs="Times New Roman"/>
        </w:rPr>
        <w:t xml:space="preserve">, June 10. </w:t>
      </w:r>
    </w:p>
    <w:p w14:paraId="451C11B3" w14:textId="77777777" w:rsidR="004C1DE6" w:rsidRDefault="004C1DE6" w:rsidP="004C1DE6">
      <w:pPr>
        <w:spacing w:before="0" w:after="0" w:line="240" w:lineRule="auto"/>
        <w:rPr>
          <w:rFonts w:cs="Times New Roman"/>
        </w:rPr>
      </w:pPr>
    </w:p>
    <w:p w14:paraId="1ED65E68" w14:textId="438CE147" w:rsidR="00F15419" w:rsidRPr="00F15419" w:rsidRDefault="00F15419" w:rsidP="00F15419">
      <w:pPr>
        <w:spacing w:before="0" w:after="0" w:line="240" w:lineRule="auto"/>
        <w:rPr>
          <w:rFonts w:cs="Times New Roman"/>
          <w:lang w:val="en-US"/>
        </w:rPr>
      </w:pPr>
      <w:r w:rsidRPr="00F15419">
        <w:rPr>
          <w:rFonts w:cs="Times New Roman"/>
          <w:lang w:val="en-US"/>
        </w:rPr>
        <w:t xml:space="preserve">Daly, M., &amp; Bray, R. (2015). Parenting Support in England: The Bedding Down of a New Policy. </w:t>
      </w:r>
      <w:r w:rsidRPr="00F15419">
        <w:rPr>
          <w:rFonts w:cs="Times New Roman"/>
          <w:i/>
          <w:iCs/>
          <w:lang w:val="en-US"/>
        </w:rPr>
        <w:t>Social Policy and Society</w:t>
      </w:r>
      <w:r w:rsidRPr="00F15419">
        <w:rPr>
          <w:rFonts w:cs="Times New Roman"/>
          <w:lang w:val="en-US"/>
        </w:rPr>
        <w:t xml:space="preserve">, </w:t>
      </w:r>
      <w:r w:rsidRPr="00F15419">
        <w:rPr>
          <w:rFonts w:cs="Times New Roman"/>
          <w:i/>
          <w:iCs/>
          <w:lang w:val="en-US"/>
        </w:rPr>
        <w:t>14</w:t>
      </w:r>
      <w:r w:rsidRPr="00F15419">
        <w:rPr>
          <w:rFonts w:cs="Times New Roman"/>
          <w:lang w:val="en-US"/>
        </w:rPr>
        <w:t xml:space="preserve">(04), 633–644. </w:t>
      </w:r>
    </w:p>
    <w:p w14:paraId="4BADF390" w14:textId="77777777" w:rsidR="00F15419" w:rsidRDefault="00F15419" w:rsidP="004C1DE6">
      <w:pPr>
        <w:spacing w:before="0" w:after="0" w:line="240" w:lineRule="auto"/>
        <w:rPr>
          <w:rFonts w:cs="Times New Roman"/>
        </w:rPr>
      </w:pPr>
    </w:p>
    <w:p w14:paraId="60DFE4BB" w14:textId="77777777" w:rsidR="004C1DE6" w:rsidRDefault="004C1DE6" w:rsidP="004C1DE6">
      <w:pPr>
        <w:spacing w:before="0" w:after="0" w:line="240" w:lineRule="auto"/>
        <w:rPr>
          <w:rFonts w:cs="Times New Roman"/>
        </w:rPr>
      </w:pPr>
      <w:proofErr w:type="spellStart"/>
      <w:r>
        <w:rPr>
          <w:rFonts w:cs="Times New Roman"/>
        </w:rPr>
        <w:t>Danil</w:t>
      </w:r>
      <w:proofErr w:type="spellEnd"/>
      <w:r>
        <w:rPr>
          <w:rFonts w:cs="Times New Roman"/>
        </w:rPr>
        <w:t>, L. R.</w:t>
      </w:r>
      <w:r w:rsidRPr="00794BD3">
        <w:rPr>
          <w:rFonts w:cs="Times New Roman"/>
        </w:rPr>
        <w:t xml:space="preserve"> (2013) “Families First”: A Study into the Coalition Government’s “Troubled Families Programme” in Leeds, West Yorkshire, UK, </w:t>
      </w:r>
      <w:hyperlink r:id="rId8" w:history="1">
        <w:r w:rsidRPr="00794BD3">
          <w:rPr>
            <w:rStyle w:val="Hyperlink"/>
            <w:rFonts w:cs="Times New Roman"/>
          </w:rPr>
          <w:t>https://www.academia.edu/2762324/_Families_First_A_study_into_the_Coalition_Governments_Troubled_Families_Programme_in_Leeds_West_Yorkshire_UK</w:t>
        </w:r>
      </w:hyperlink>
      <w:r w:rsidRPr="00794BD3">
        <w:rPr>
          <w:rFonts w:cs="Times New Roman"/>
        </w:rPr>
        <w:t xml:space="preserve"> (accessed 20.01.2014)</w:t>
      </w:r>
    </w:p>
    <w:p w14:paraId="0856B892" w14:textId="77777777" w:rsidR="004C1DE6" w:rsidRDefault="004C1DE6" w:rsidP="004C1DE6">
      <w:pPr>
        <w:spacing w:before="0" w:after="0" w:line="240" w:lineRule="auto"/>
        <w:rPr>
          <w:noProof/>
        </w:rPr>
      </w:pPr>
    </w:p>
    <w:p w14:paraId="01F37C54" w14:textId="4515D878" w:rsidR="004C1DE6" w:rsidRPr="00317874" w:rsidRDefault="00631093" w:rsidP="004C1DE6">
      <w:pPr>
        <w:spacing w:before="0" w:after="0" w:line="240" w:lineRule="auto"/>
        <w:rPr>
          <w:noProof/>
        </w:rPr>
      </w:pPr>
      <w:r>
        <w:rPr>
          <w:noProof/>
        </w:rPr>
        <w:t>DCLG</w:t>
      </w:r>
      <w:r w:rsidR="004C1DE6">
        <w:rPr>
          <w:noProof/>
        </w:rPr>
        <w:t xml:space="preserve"> </w:t>
      </w:r>
      <w:r>
        <w:rPr>
          <w:noProof/>
        </w:rPr>
        <w:t>(</w:t>
      </w:r>
      <w:r w:rsidR="004C1DE6">
        <w:rPr>
          <w:noProof/>
        </w:rPr>
        <w:t>2014</w:t>
      </w:r>
      <w:r>
        <w:rPr>
          <w:noProof/>
        </w:rPr>
        <w:t xml:space="preserve">) National Evaluation of the Troubled Families Programme, Interim Report Family Monitoring Data. A report by Ecorys UK. </w:t>
      </w:r>
      <w:r w:rsidR="005F14CA">
        <w:rPr>
          <w:noProof/>
        </w:rPr>
        <w:t xml:space="preserve">London: </w:t>
      </w:r>
      <w:r>
        <w:rPr>
          <w:noProof/>
        </w:rPr>
        <w:t xml:space="preserve">Department for Communities and Local Government.  </w:t>
      </w:r>
    </w:p>
    <w:p w14:paraId="74F55A56" w14:textId="77777777" w:rsidR="004C1DE6" w:rsidRDefault="004C1DE6" w:rsidP="004C1DE6">
      <w:pPr>
        <w:pStyle w:val="Bibliography"/>
        <w:spacing w:before="0" w:line="240" w:lineRule="auto"/>
        <w:ind w:left="0" w:firstLine="0"/>
        <w:rPr>
          <w:rFonts w:cs="Times New Roman"/>
        </w:rPr>
      </w:pPr>
    </w:p>
    <w:p w14:paraId="03977B73" w14:textId="77777777" w:rsidR="004C1DE6" w:rsidRPr="00B14DA2" w:rsidRDefault="004C1DE6" w:rsidP="004C1DE6">
      <w:pPr>
        <w:pStyle w:val="Bibliography"/>
        <w:spacing w:before="0" w:line="240" w:lineRule="auto"/>
        <w:ind w:left="0" w:firstLine="0"/>
        <w:rPr>
          <w:rFonts w:cs="Times New Roman"/>
        </w:rPr>
      </w:pPr>
      <w:r w:rsidRPr="00B14DA2">
        <w:rPr>
          <w:rFonts w:cs="Times New Roman"/>
        </w:rPr>
        <w:t xml:space="preserve">Duncan Smith, I. (2006). Breakdown Britain. </w:t>
      </w:r>
      <w:r w:rsidRPr="00B14DA2">
        <w:rPr>
          <w:rFonts w:cs="Times New Roman"/>
          <w:i/>
          <w:iCs/>
        </w:rPr>
        <w:t>Social Justice Policy Group, London: The Centre for Social Justice</w:t>
      </w:r>
      <w:r w:rsidRPr="00B14DA2">
        <w:rPr>
          <w:rFonts w:cs="Times New Roman"/>
        </w:rPr>
        <w:t>, 55.</w:t>
      </w:r>
    </w:p>
    <w:p w14:paraId="6567AC0A" w14:textId="77777777" w:rsidR="004C1DE6" w:rsidRDefault="004C1DE6" w:rsidP="004C1DE6">
      <w:pPr>
        <w:pStyle w:val="Bibliography"/>
        <w:spacing w:before="0" w:line="240" w:lineRule="auto"/>
        <w:ind w:left="0" w:firstLine="0"/>
        <w:rPr>
          <w:rFonts w:cs="Times New Roman"/>
        </w:rPr>
      </w:pPr>
    </w:p>
    <w:p w14:paraId="2FA5F393" w14:textId="694089CD" w:rsidR="00A24A16" w:rsidRDefault="004C1DE6" w:rsidP="00861429">
      <w:pPr>
        <w:pStyle w:val="Bibliography"/>
        <w:spacing w:before="0" w:line="240" w:lineRule="auto"/>
        <w:ind w:left="0" w:firstLine="0"/>
        <w:rPr>
          <w:rFonts w:cs="Times New Roman"/>
        </w:rPr>
      </w:pPr>
      <w:r w:rsidRPr="00B14DA2">
        <w:rPr>
          <w:rFonts w:cs="Times New Roman"/>
        </w:rPr>
        <w:t xml:space="preserve">Elson, D. (1998). The economic, the political and the domestic: Businesses, states and households in the organisation of production. </w:t>
      </w:r>
      <w:r w:rsidRPr="00B14DA2">
        <w:rPr>
          <w:rFonts w:cs="Times New Roman"/>
          <w:i/>
          <w:iCs/>
        </w:rPr>
        <w:t>New Political Economy</w:t>
      </w:r>
      <w:r w:rsidRPr="00B14DA2">
        <w:rPr>
          <w:rFonts w:cs="Times New Roman"/>
        </w:rPr>
        <w:t xml:space="preserve">, </w:t>
      </w:r>
      <w:r w:rsidRPr="00B14DA2">
        <w:rPr>
          <w:rFonts w:cs="Times New Roman"/>
          <w:i/>
          <w:iCs/>
        </w:rPr>
        <w:t>3</w:t>
      </w:r>
      <w:r>
        <w:rPr>
          <w:rFonts w:cs="Times New Roman"/>
        </w:rPr>
        <w:t>(2), 189–208.</w:t>
      </w:r>
    </w:p>
    <w:p w14:paraId="0C7E2972" w14:textId="6CC3CF88" w:rsidR="00A24A16" w:rsidRPr="00A24A16" w:rsidRDefault="00A24A16" w:rsidP="00861429">
      <w:pPr>
        <w:spacing w:line="240" w:lineRule="auto"/>
      </w:pPr>
      <w:proofErr w:type="spellStart"/>
      <w:r>
        <w:t>Fonow</w:t>
      </w:r>
      <w:proofErr w:type="spellEnd"/>
      <w:r>
        <w:t xml:space="preserve">, M.M. and Cook, J.A. (2005) </w:t>
      </w:r>
      <w:r w:rsidR="00861429">
        <w:t xml:space="preserve">Feminist Methodology: New Applications in the Academy and Public Policy, </w:t>
      </w:r>
      <w:r w:rsidR="00861429" w:rsidRPr="00452628">
        <w:rPr>
          <w:i/>
        </w:rPr>
        <w:t>Signs</w:t>
      </w:r>
      <w:r w:rsidR="00861429">
        <w:t>, 30(4): 2211-2235)</w:t>
      </w:r>
    </w:p>
    <w:p w14:paraId="3E356904" w14:textId="77777777" w:rsidR="004C1DE6" w:rsidRDefault="004C1DE6" w:rsidP="004C1DE6">
      <w:pPr>
        <w:pStyle w:val="Bibliography"/>
        <w:spacing w:before="0" w:line="240" w:lineRule="auto"/>
        <w:ind w:left="0" w:firstLine="0"/>
        <w:rPr>
          <w:rFonts w:cs="Times New Roman"/>
        </w:rPr>
      </w:pPr>
    </w:p>
    <w:p w14:paraId="220A81AA" w14:textId="77777777" w:rsidR="004C1DE6" w:rsidRPr="00B14DA2" w:rsidRDefault="004C1DE6" w:rsidP="004C1DE6">
      <w:pPr>
        <w:pStyle w:val="Bibliography"/>
        <w:spacing w:before="0" w:line="240" w:lineRule="auto"/>
        <w:ind w:left="0" w:firstLine="0"/>
        <w:rPr>
          <w:rFonts w:cs="Times New Roman"/>
        </w:rPr>
      </w:pPr>
      <w:r w:rsidRPr="00B14DA2">
        <w:rPr>
          <w:rFonts w:cs="Times New Roman"/>
        </w:rPr>
        <w:t xml:space="preserve">Gamble, A. (1979). The free economy and the strong state. </w:t>
      </w:r>
      <w:r w:rsidRPr="00B14DA2">
        <w:rPr>
          <w:rFonts w:cs="Times New Roman"/>
          <w:i/>
          <w:iCs/>
        </w:rPr>
        <w:t>Socialist Register</w:t>
      </w:r>
      <w:r w:rsidRPr="00B14DA2">
        <w:rPr>
          <w:rFonts w:cs="Times New Roman"/>
        </w:rPr>
        <w:t xml:space="preserve">, </w:t>
      </w:r>
      <w:r w:rsidRPr="00B14DA2">
        <w:rPr>
          <w:rFonts w:cs="Times New Roman"/>
          <w:i/>
          <w:iCs/>
        </w:rPr>
        <w:t>16</w:t>
      </w:r>
      <w:r w:rsidRPr="00B14DA2">
        <w:rPr>
          <w:rFonts w:cs="Times New Roman"/>
        </w:rPr>
        <w:t>(16).</w:t>
      </w:r>
    </w:p>
    <w:p w14:paraId="081D2DFA" w14:textId="77777777" w:rsidR="004C1DE6" w:rsidRDefault="004C1DE6" w:rsidP="004C1DE6">
      <w:pPr>
        <w:pStyle w:val="Bibliography"/>
        <w:spacing w:before="0" w:line="240" w:lineRule="auto"/>
        <w:ind w:left="0" w:firstLine="0"/>
        <w:rPr>
          <w:rFonts w:cs="Times New Roman"/>
        </w:rPr>
      </w:pPr>
    </w:p>
    <w:p w14:paraId="627993C7" w14:textId="77777777" w:rsidR="004C1DE6" w:rsidRDefault="004C1DE6" w:rsidP="004C1DE6">
      <w:pPr>
        <w:pStyle w:val="Bibliography"/>
        <w:spacing w:before="0" w:line="240" w:lineRule="auto"/>
        <w:ind w:left="0" w:firstLine="0"/>
        <w:rPr>
          <w:rFonts w:cs="Times New Roman"/>
        </w:rPr>
      </w:pPr>
      <w:proofErr w:type="spellStart"/>
      <w:r w:rsidRPr="00B14DA2">
        <w:rPr>
          <w:rFonts w:cs="Times New Roman"/>
        </w:rPr>
        <w:t>Ganzeboom</w:t>
      </w:r>
      <w:proofErr w:type="spellEnd"/>
      <w:r w:rsidRPr="00B14DA2">
        <w:rPr>
          <w:rFonts w:cs="Times New Roman"/>
        </w:rPr>
        <w:t xml:space="preserve">, H. B. G., </w:t>
      </w:r>
      <w:proofErr w:type="spellStart"/>
      <w:r w:rsidRPr="00B14DA2">
        <w:rPr>
          <w:rFonts w:cs="Times New Roman"/>
        </w:rPr>
        <w:t>Luijkx</w:t>
      </w:r>
      <w:proofErr w:type="spellEnd"/>
      <w:r w:rsidRPr="00B14DA2">
        <w:rPr>
          <w:rFonts w:cs="Times New Roman"/>
        </w:rPr>
        <w:t xml:space="preserve">, R., &amp; </w:t>
      </w:r>
      <w:proofErr w:type="spellStart"/>
      <w:r w:rsidRPr="00B14DA2">
        <w:rPr>
          <w:rFonts w:cs="Times New Roman"/>
        </w:rPr>
        <w:t>Treiman</w:t>
      </w:r>
      <w:proofErr w:type="spellEnd"/>
      <w:r w:rsidRPr="00B14DA2">
        <w:rPr>
          <w:rFonts w:cs="Times New Roman"/>
        </w:rPr>
        <w:t xml:space="preserve">, D. J. (1989). Intergenerational class mobility in comparative perspective. </w:t>
      </w:r>
      <w:r w:rsidRPr="00B14DA2">
        <w:rPr>
          <w:rFonts w:cs="Times New Roman"/>
          <w:i/>
          <w:iCs/>
        </w:rPr>
        <w:t>Research in Social Stratification and Mobility</w:t>
      </w:r>
      <w:r w:rsidRPr="00B14DA2">
        <w:rPr>
          <w:rFonts w:cs="Times New Roman"/>
        </w:rPr>
        <w:t xml:space="preserve">, </w:t>
      </w:r>
      <w:r w:rsidRPr="00B14DA2">
        <w:rPr>
          <w:rFonts w:cs="Times New Roman"/>
          <w:i/>
          <w:iCs/>
        </w:rPr>
        <w:t>8</w:t>
      </w:r>
      <w:r w:rsidRPr="00B14DA2">
        <w:rPr>
          <w:rFonts w:cs="Times New Roman"/>
        </w:rPr>
        <w:t>, 3–84.</w:t>
      </w:r>
    </w:p>
    <w:p w14:paraId="6D272FD4" w14:textId="77777777" w:rsidR="004C1DE6" w:rsidRDefault="004C1DE6" w:rsidP="004C1DE6">
      <w:pPr>
        <w:spacing w:before="0" w:after="0" w:line="240" w:lineRule="auto"/>
        <w:rPr>
          <w:rFonts w:cs="Times New Roman"/>
        </w:rPr>
      </w:pPr>
    </w:p>
    <w:p w14:paraId="1362BF7F" w14:textId="77777777" w:rsidR="004C1DE6" w:rsidRPr="007C7E2C" w:rsidRDefault="004C1DE6" w:rsidP="004C1DE6">
      <w:pPr>
        <w:spacing w:before="0" w:after="0" w:line="240" w:lineRule="auto"/>
        <w:rPr>
          <w:rFonts w:cs="Times New Roman"/>
        </w:rPr>
      </w:pPr>
      <w:r>
        <w:rPr>
          <w:rFonts w:cs="Times New Roman"/>
        </w:rPr>
        <w:t>Garrett, P. M.</w:t>
      </w:r>
      <w:r w:rsidRPr="00794BD3">
        <w:rPr>
          <w:rFonts w:cs="Times New Roman"/>
        </w:rPr>
        <w:t xml:space="preserve"> (2007)</w:t>
      </w:r>
      <w:r>
        <w:rPr>
          <w:rFonts w:cs="Times New Roman"/>
        </w:rPr>
        <w:t>.</w:t>
      </w:r>
      <w:r w:rsidRPr="00794BD3">
        <w:rPr>
          <w:rFonts w:cs="Times New Roman"/>
        </w:rPr>
        <w:t xml:space="preserve"> ‘Sinbin’ Solutions: The Pioneer Projects for “Problem Families” and the Forgetfulness of Social Policy Research, </w:t>
      </w:r>
      <w:r w:rsidRPr="00794BD3">
        <w:rPr>
          <w:rFonts w:cs="Times New Roman"/>
          <w:i/>
        </w:rPr>
        <w:t>Critical Social Policy</w:t>
      </w:r>
      <w:r w:rsidRPr="00794BD3">
        <w:rPr>
          <w:rFonts w:cs="Times New Roman"/>
        </w:rPr>
        <w:t>, 27(2): 203-230.</w:t>
      </w:r>
    </w:p>
    <w:p w14:paraId="4E5918C4" w14:textId="77777777" w:rsidR="004C1DE6" w:rsidRDefault="004C1DE6" w:rsidP="004C1DE6">
      <w:pPr>
        <w:pStyle w:val="Bibliography"/>
        <w:spacing w:before="0" w:line="240" w:lineRule="auto"/>
        <w:ind w:left="0" w:firstLine="0"/>
        <w:rPr>
          <w:rFonts w:cs="Times New Roman"/>
        </w:rPr>
      </w:pPr>
    </w:p>
    <w:p w14:paraId="4B1808CB" w14:textId="77777777" w:rsidR="004C1DE6" w:rsidRPr="00B14DA2" w:rsidRDefault="004C1DE6" w:rsidP="004C1DE6">
      <w:pPr>
        <w:pStyle w:val="Bibliography"/>
        <w:spacing w:before="0" w:line="240" w:lineRule="auto"/>
        <w:ind w:left="0" w:firstLine="0"/>
        <w:rPr>
          <w:rFonts w:cs="Times New Roman"/>
        </w:rPr>
      </w:pPr>
      <w:proofErr w:type="spellStart"/>
      <w:r w:rsidRPr="00B14DA2">
        <w:rPr>
          <w:rFonts w:cs="Times New Roman"/>
        </w:rPr>
        <w:t>Goldthorpe</w:t>
      </w:r>
      <w:proofErr w:type="spellEnd"/>
      <w:r w:rsidRPr="00B14DA2">
        <w:rPr>
          <w:rFonts w:cs="Times New Roman"/>
        </w:rPr>
        <w:t>, J. (1987). Social mobility and cl</w:t>
      </w:r>
      <w:r>
        <w:rPr>
          <w:rFonts w:cs="Times New Roman"/>
        </w:rPr>
        <w:t xml:space="preserve">ass structure in modern Britain.  Oxford: </w:t>
      </w:r>
      <w:proofErr w:type="spellStart"/>
      <w:r>
        <w:rPr>
          <w:rFonts w:cs="Times New Roman"/>
        </w:rPr>
        <w:t>Clarenden</w:t>
      </w:r>
      <w:proofErr w:type="spellEnd"/>
      <w:r>
        <w:rPr>
          <w:rFonts w:cs="Times New Roman"/>
        </w:rPr>
        <w:t xml:space="preserve"> Press.</w:t>
      </w:r>
    </w:p>
    <w:p w14:paraId="1B31DD50" w14:textId="77777777" w:rsidR="004C1DE6" w:rsidRDefault="004C1DE6" w:rsidP="004C1DE6">
      <w:pPr>
        <w:pStyle w:val="Bibliography"/>
        <w:spacing w:before="0" w:line="240" w:lineRule="auto"/>
        <w:ind w:left="0" w:firstLine="0"/>
        <w:rPr>
          <w:rFonts w:cs="Times New Roman"/>
        </w:rPr>
      </w:pPr>
    </w:p>
    <w:p w14:paraId="2E77078B" w14:textId="6C698A06" w:rsidR="004C1DE6" w:rsidRPr="00D753B5" w:rsidRDefault="00D753B5" w:rsidP="00D753B5">
      <w:pPr>
        <w:spacing w:line="240" w:lineRule="auto"/>
      </w:pPr>
      <w:r>
        <w:t xml:space="preserve">Hayden, C. and Jenkins, C. (2014) ‘Troubled Families’ Programme in England: ‘wicked-problems’ and policy-based evidence, </w:t>
      </w:r>
      <w:r w:rsidRPr="00D753B5">
        <w:rPr>
          <w:i/>
        </w:rPr>
        <w:t>Policy Studies</w:t>
      </w:r>
      <w:r>
        <w:t>, 35(6): 631-649.</w:t>
      </w:r>
    </w:p>
    <w:p w14:paraId="276921F6" w14:textId="77777777" w:rsidR="004C1DE6" w:rsidRPr="00B14DA2" w:rsidRDefault="004C1DE6" w:rsidP="00D753B5">
      <w:pPr>
        <w:pStyle w:val="Bibliography"/>
        <w:spacing w:before="0" w:line="240" w:lineRule="auto"/>
        <w:ind w:left="0" w:firstLine="0"/>
        <w:rPr>
          <w:rFonts w:cs="Times New Roman"/>
        </w:rPr>
      </w:pPr>
      <w:r w:rsidRPr="00B14DA2">
        <w:rPr>
          <w:rFonts w:cs="Times New Roman"/>
        </w:rPr>
        <w:t>Halsey, A. H., Heath, A. F., &amp; Ridge, J. M. (1980). Origins and destinations: family, class and education in modern Britain.</w:t>
      </w:r>
      <w:r>
        <w:rPr>
          <w:rFonts w:cs="Times New Roman"/>
        </w:rPr>
        <w:t xml:space="preserve"> Oxford: </w:t>
      </w:r>
      <w:proofErr w:type="spellStart"/>
      <w:r>
        <w:rPr>
          <w:rFonts w:cs="Times New Roman"/>
        </w:rPr>
        <w:t>Clarenden</w:t>
      </w:r>
      <w:proofErr w:type="spellEnd"/>
      <w:r>
        <w:rPr>
          <w:rFonts w:cs="Times New Roman"/>
        </w:rPr>
        <w:t xml:space="preserve"> press.</w:t>
      </w:r>
    </w:p>
    <w:p w14:paraId="5673CFBF" w14:textId="77777777" w:rsidR="004C1DE6" w:rsidRDefault="004C1DE6" w:rsidP="004C1DE6">
      <w:pPr>
        <w:pStyle w:val="Bibliography"/>
        <w:spacing w:before="0" w:line="240" w:lineRule="auto"/>
        <w:ind w:left="0" w:firstLine="0"/>
        <w:rPr>
          <w:rFonts w:cs="Times New Roman"/>
        </w:rPr>
      </w:pPr>
    </w:p>
    <w:p w14:paraId="33F5A5EF" w14:textId="77777777" w:rsidR="004C1DE6" w:rsidRPr="00B14DA2" w:rsidRDefault="004C1DE6" w:rsidP="004C1DE6">
      <w:pPr>
        <w:pStyle w:val="Bibliography"/>
        <w:spacing w:before="0" w:line="240" w:lineRule="auto"/>
        <w:ind w:left="0" w:firstLine="0"/>
        <w:rPr>
          <w:rFonts w:cs="Times New Roman"/>
        </w:rPr>
      </w:pPr>
      <w:r w:rsidRPr="00B14DA2">
        <w:rPr>
          <w:rFonts w:cs="Times New Roman"/>
        </w:rPr>
        <w:t xml:space="preserve">Jessop, B., </w:t>
      </w:r>
      <w:proofErr w:type="spellStart"/>
      <w:r w:rsidRPr="00B14DA2">
        <w:rPr>
          <w:rFonts w:cs="Times New Roman"/>
        </w:rPr>
        <w:t>Bonnett</w:t>
      </w:r>
      <w:proofErr w:type="spellEnd"/>
      <w:r w:rsidRPr="00B14DA2">
        <w:rPr>
          <w:rFonts w:cs="Times New Roman"/>
        </w:rPr>
        <w:t xml:space="preserve">, K., Bromley, S., &amp; Ling, T. (1984). Authoritarian populism, two nations, and Thatcherism. </w:t>
      </w:r>
      <w:r w:rsidRPr="00B14DA2">
        <w:rPr>
          <w:rFonts w:cs="Times New Roman"/>
          <w:i/>
          <w:iCs/>
        </w:rPr>
        <w:t>New Left Review</w:t>
      </w:r>
      <w:r w:rsidRPr="00B14DA2">
        <w:rPr>
          <w:rFonts w:cs="Times New Roman"/>
        </w:rPr>
        <w:t xml:space="preserve">, </w:t>
      </w:r>
      <w:r w:rsidRPr="00B14DA2">
        <w:rPr>
          <w:rFonts w:cs="Times New Roman"/>
          <w:i/>
          <w:iCs/>
        </w:rPr>
        <w:t>147</w:t>
      </w:r>
      <w:r w:rsidRPr="00B14DA2">
        <w:rPr>
          <w:rFonts w:cs="Times New Roman"/>
        </w:rPr>
        <w:t>, 32–60.</w:t>
      </w:r>
    </w:p>
    <w:p w14:paraId="71EB899A" w14:textId="77777777" w:rsidR="004C1DE6" w:rsidRDefault="004C1DE6" w:rsidP="004C1DE6">
      <w:pPr>
        <w:pStyle w:val="Bibliography"/>
        <w:spacing w:before="0" w:line="240" w:lineRule="auto"/>
        <w:ind w:left="0" w:firstLine="0"/>
        <w:rPr>
          <w:rFonts w:cs="Times New Roman"/>
        </w:rPr>
      </w:pPr>
    </w:p>
    <w:p w14:paraId="740AD998" w14:textId="77777777" w:rsidR="004C1DE6" w:rsidRPr="00B14DA2" w:rsidRDefault="004C1DE6" w:rsidP="004C1DE6">
      <w:pPr>
        <w:pStyle w:val="Bibliography"/>
        <w:spacing w:before="0" w:line="240" w:lineRule="auto"/>
        <w:ind w:left="0" w:firstLine="0"/>
        <w:rPr>
          <w:rFonts w:cs="Times New Roman"/>
        </w:rPr>
      </w:pPr>
      <w:r w:rsidRPr="00B14DA2">
        <w:rPr>
          <w:rFonts w:cs="Times New Roman"/>
        </w:rPr>
        <w:t xml:space="preserve">Kerr, C., Harbison, F. H., Dunlop, J. T., &amp; Myers, C. A. (1960). Industrialism and industrial man. </w:t>
      </w:r>
      <w:r w:rsidRPr="00B14DA2">
        <w:rPr>
          <w:rFonts w:cs="Times New Roman"/>
          <w:i/>
          <w:iCs/>
        </w:rPr>
        <w:t>Int’l Lab. Rev.</w:t>
      </w:r>
      <w:r w:rsidRPr="00B14DA2">
        <w:rPr>
          <w:rFonts w:cs="Times New Roman"/>
        </w:rPr>
        <w:t xml:space="preserve">, </w:t>
      </w:r>
      <w:r w:rsidRPr="00B14DA2">
        <w:rPr>
          <w:rFonts w:cs="Times New Roman"/>
          <w:i/>
          <w:iCs/>
        </w:rPr>
        <w:t>82</w:t>
      </w:r>
      <w:r w:rsidRPr="00B14DA2">
        <w:rPr>
          <w:rFonts w:cs="Times New Roman"/>
        </w:rPr>
        <w:t>, 236.</w:t>
      </w:r>
    </w:p>
    <w:p w14:paraId="5F4A97C6" w14:textId="77777777" w:rsidR="004C1DE6" w:rsidRDefault="004C1DE6" w:rsidP="004C1DE6">
      <w:pPr>
        <w:pStyle w:val="Bibliography"/>
        <w:spacing w:before="0" w:line="240" w:lineRule="auto"/>
        <w:ind w:left="0" w:firstLine="0"/>
        <w:rPr>
          <w:rFonts w:cs="Times New Roman"/>
        </w:rPr>
      </w:pPr>
    </w:p>
    <w:p w14:paraId="7A9A9C1C" w14:textId="2CD0D31D" w:rsidR="008979BB" w:rsidRDefault="008979BB" w:rsidP="009D7618">
      <w:pPr>
        <w:spacing w:line="240" w:lineRule="auto"/>
      </w:pPr>
      <w:r>
        <w:t>Lazar, M.M. (2010) Feminist Critical Discourse Analysis: Articulating a Feminist Discourse Pra</w:t>
      </w:r>
      <w:r w:rsidR="009D7618">
        <w:t>xis. Critical Discourse Studies, 4(2): 141-164.</w:t>
      </w:r>
    </w:p>
    <w:p w14:paraId="66AFC81F" w14:textId="77777777" w:rsidR="004C1DE6" w:rsidRDefault="004C1DE6" w:rsidP="004C1DE6">
      <w:pPr>
        <w:pStyle w:val="Bibliography"/>
        <w:spacing w:before="0" w:line="240" w:lineRule="auto"/>
        <w:ind w:left="0" w:firstLine="0"/>
        <w:rPr>
          <w:rFonts w:cs="Times New Roman"/>
        </w:rPr>
      </w:pPr>
    </w:p>
    <w:p w14:paraId="009D3531" w14:textId="77777777" w:rsidR="004C1DE6" w:rsidRDefault="004C1DE6" w:rsidP="004C1DE6">
      <w:pPr>
        <w:pStyle w:val="Bibliography"/>
        <w:spacing w:before="0" w:line="240" w:lineRule="auto"/>
        <w:ind w:left="0" w:firstLine="0"/>
        <w:rPr>
          <w:rFonts w:cs="Times New Roman"/>
        </w:rPr>
      </w:pPr>
      <w:proofErr w:type="spellStart"/>
      <w:r w:rsidRPr="00B14DA2">
        <w:rPr>
          <w:rFonts w:cs="Times New Roman"/>
        </w:rPr>
        <w:t>Lysandrou</w:t>
      </w:r>
      <w:proofErr w:type="spellEnd"/>
      <w:r w:rsidRPr="00B14DA2">
        <w:rPr>
          <w:rFonts w:cs="Times New Roman"/>
        </w:rPr>
        <w:t xml:space="preserve">, P. (2011). Global Inequality, Wealth Concentration and the Subprime Crisis: A Marxian Commodity Theory Analysis. </w:t>
      </w:r>
      <w:r w:rsidRPr="00B14DA2">
        <w:rPr>
          <w:rFonts w:cs="Times New Roman"/>
          <w:i/>
          <w:iCs/>
        </w:rPr>
        <w:t>Development and Change</w:t>
      </w:r>
      <w:r w:rsidRPr="00B14DA2">
        <w:rPr>
          <w:rFonts w:cs="Times New Roman"/>
        </w:rPr>
        <w:t xml:space="preserve">, </w:t>
      </w:r>
      <w:r w:rsidRPr="00B14DA2">
        <w:rPr>
          <w:rFonts w:cs="Times New Roman"/>
          <w:i/>
          <w:iCs/>
        </w:rPr>
        <w:t>42</w:t>
      </w:r>
      <w:r w:rsidRPr="00B14DA2">
        <w:rPr>
          <w:rFonts w:cs="Times New Roman"/>
        </w:rPr>
        <w:t xml:space="preserve">(1), 183–208. </w:t>
      </w:r>
    </w:p>
    <w:p w14:paraId="2A0E49CE" w14:textId="77777777" w:rsidR="004C1DE6" w:rsidRDefault="004C1DE6" w:rsidP="004C1DE6">
      <w:pPr>
        <w:widowControl w:val="0"/>
        <w:autoSpaceDE w:val="0"/>
        <w:autoSpaceDN w:val="0"/>
        <w:adjustRightInd w:val="0"/>
        <w:spacing w:before="0" w:after="0" w:line="240" w:lineRule="auto"/>
        <w:jc w:val="left"/>
        <w:rPr>
          <w:rFonts w:eastAsiaTheme="majorEastAsia" w:cs="Times New Roman"/>
          <w:bCs/>
          <w:color w:val="262626"/>
          <w:lang w:val="en-US"/>
        </w:rPr>
      </w:pPr>
    </w:p>
    <w:p w14:paraId="013235BD" w14:textId="77777777" w:rsidR="004C1DE6" w:rsidRPr="00453263" w:rsidRDefault="004C1DE6" w:rsidP="004C1DE6">
      <w:pPr>
        <w:widowControl w:val="0"/>
        <w:autoSpaceDE w:val="0"/>
        <w:autoSpaceDN w:val="0"/>
        <w:adjustRightInd w:val="0"/>
        <w:spacing w:before="0" w:after="0" w:line="240" w:lineRule="auto"/>
        <w:jc w:val="left"/>
        <w:rPr>
          <w:rFonts w:eastAsiaTheme="majorEastAsia" w:cs="Times New Roman"/>
          <w:bCs/>
          <w:color w:val="262626"/>
          <w:lang w:val="en-US"/>
        </w:rPr>
      </w:pPr>
      <w:r w:rsidRPr="00453263">
        <w:rPr>
          <w:rFonts w:eastAsiaTheme="majorEastAsia" w:cs="Times New Roman"/>
          <w:bCs/>
          <w:color w:val="262626"/>
          <w:lang w:val="en-US"/>
        </w:rPr>
        <w:t>MacDonald, R. (2015). The Power of Stupid Ideas: ‘Three Generations That Have Never Worked’</w:t>
      </w:r>
      <w:r>
        <w:rPr>
          <w:rFonts w:eastAsiaTheme="majorEastAsia" w:cs="Times New Roman"/>
          <w:bCs/>
          <w:color w:val="262626"/>
          <w:lang w:val="en-US"/>
        </w:rPr>
        <w:t xml:space="preserve">, </w:t>
      </w:r>
      <w:r w:rsidRPr="00453263">
        <w:rPr>
          <w:rFonts w:eastAsiaTheme="majorEastAsia" w:cs="Times New Roman"/>
          <w:iCs/>
          <w:color w:val="262626"/>
          <w:lang w:val="en-US"/>
        </w:rPr>
        <w:t>Unity and Strength for Workers, 26/05/2015</w:t>
      </w:r>
      <w:r>
        <w:rPr>
          <w:rFonts w:eastAsiaTheme="majorEastAsia" w:cs="Times New Roman"/>
          <w:iCs/>
          <w:color w:val="262626"/>
          <w:lang w:val="en-US"/>
        </w:rPr>
        <w:t>,</w:t>
      </w:r>
      <w:r w:rsidRPr="00453263">
        <w:rPr>
          <w:rFonts w:eastAsiaTheme="majorEastAsia" w:cs="Times New Roman"/>
          <w:i/>
          <w:iCs/>
          <w:color w:val="262626"/>
          <w:lang w:val="en-US"/>
        </w:rPr>
        <w:t xml:space="preserve"> Northern Echo, 27/05/2015</w:t>
      </w:r>
    </w:p>
    <w:p w14:paraId="7E4440BA" w14:textId="77777777" w:rsidR="004C1DE6" w:rsidRDefault="004C1DE6" w:rsidP="004C1DE6">
      <w:pPr>
        <w:spacing w:before="0" w:after="0" w:line="240" w:lineRule="auto"/>
        <w:rPr>
          <w:rFonts w:cs="Times New Roman"/>
        </w:rPr>
      </w:pPr>
    </w:p>
    <w:p w14:paraId="1B741673" w14:textId="77777777" w:rsidR="004C1DE6" w:rsidRPr="006E430E" w:rsidRDefault="004C1DE6" w:rsidP="004C1DE6">
      <w:pPr>
        <w:spacing w:after="0" w:line="240" w:lineRule="auto"/>
        <w:rPr>
          <w:rFonts w:cs="Times New Roman"/>
        </w:rPr>
      </w:pPr>
      <w:r>
        <w:rPr>
          <w:rFonts w:cs="Times New Roman"/>
        </w:rPr>
        <w:t>Martin, D.</w:t>
      </w:r>
      <w:r w:rsidRPr="006E430E">
        <w:rPr>
          <w:rFonts w:cs="Times New Roman"/>
        </w:rPr>
        <w:t xml:space="preserve"> and </w:t>
      </w:r>
      <w:r>
        <w:rPr>
          <w:rFonts w:cs="Times New Roman"/>
        </w:rPr>
        <w:t>Wilcox, P.</w:t>
      </w:r>
      <w:r w:rsidRPr="006E430E">
        <w:rPr>
          <w:rFonts w:cs="Times New Roman"/>
        </w:rPr>
        <w:t xml:space="preserve"> </w:t>
      </w:r>
      <w:r>
        <w:rPr>
          <w:rFonts w:cs="Times New Roman"/>
        </w:rPr>
        <w:t>(</w:t>
      </w:r>
      <w:r w:rsidRPr="006E430E">
        <w:rPr>
          <w:rFonts w:cs="Times New Roman"/>
        </w:rPr>
        <w:t>2013</w:t>
      </w:r>
      <w:r>
        <w:rPr>
          <w:rFonts w:cs="Times New Roman"/>
        </w:rPr>
        <w:t xml:space="preserve">). </w:t>
      </w:r>
      <w:r w:rsidRPr="006E430E">
        <w:rPr>
          <w:rFonts w:cs="Times New Roman"/>
        </w:rPr>
        <w:t xml:space="preserve">Women, welfare and the </w:t>
      </w:r>
      <w:proofErr w:type="spellStart"/>
      <w:r w:rsidRPr="006E430E">
        <w:rPr>
          <w:rFonts w:cs="Times New Roman"/>
        </w:rPr>
        <w:t>carceral</w:t>
      </w:r>
      <w:proofErr w:type="spellEnd"/>
      <w:r w:rsidRPr="006E430E">
        <w:rPr>
          <w:rFonts w:cs="Times New Roman"/>
        </w:rPr>
        <w:t xml:space="preserve"> state. In </w:t>
      </w:r>
      <w:r w:rsidRPr="006E430E">
        <w:rPr>
          <w:rFonts w:cs="Times New Roman"/>
          <w:i/>
          <w:iCs/>
        </w:rPr>
        <w:t xml:space="preserve">Criminalisation and advanced marginality: critically exploring the work of </w:t>
      </w:r>
      <w:proofErr w:type="spellStart"/>
      <w:r w:rsidRPr="006E430E">
        <w:rPr>
          <w:rFonts w:cs="Times New Roman"/>
          <w:i/>
          <w:iCs/>
        </w:rPr>
        <w:t>Loic</w:t>
      </w:r>
      <w:proofErr w:type="spellEnd"/>
      <w:r w:rsidRPr="006E430E">
        <w:rPr>
          <w:rFonts w:cs="Times New Roman"/>
          <w:i/>
          <w:iCs/>
        </w:rPr>
        <w:t xml:space="preserve"> Wacquant</w:t>
      </w:r>
      <w:r w:rsidRPr="006E430E">
        <w:rPr>
          <w:rFonts w:cs="Times New Roman"/>
        </w:rPr>
        <w:t>, eds. Peter Squires and John Lea, pp. 151-176. Bristol: Policy Press.</w:t>
      </w:r>
    </w:p>
    <w:p w14:paraId="1F73919D" w14:textId="77777777" w:rsidR="00A24A16" w:rsidRDefault="00A24A16" w:rsidP="004C1DE6">
      <w:pPr>
        <w:pStyle w:val="Bibliography"/>
        <w:spacing w:before="0" w:line="240" w:lineRule="auto"/>
        <w:ind w:left="0" w:firstLine="0"/>
      </w:pPr>
    </w:p>
    <w:p w14:paraId="55120770" w14:textId="77777777" w:rsidR="004C1DE6" w:rsidRDefault="004C1DE6" w:rsidP="004C1DE6">
      <w:pPr>
        <w:pStyle w:val="Bibliography"/>
        <w:spacing w:before="0" w:line="240" w:lineRule="auto"/>
        <w:ind w:left="0" w:firstLine="0"/>
        <w:rPr>
          <w:rFonts w:cs="Times New Roman"/>
        </w:rPr>
      </w:pPr>
      <w:r w:rsidRPr="00B14DA2">
        <w:rPr>
          <w:rFonts w:cs="Times New Roman"/>
        </w:rPr>
        <w:t xml:space="preserve">Marx, K., &amp; Engels, F. (1968). </w:t>
      </w:r>
      <w:r w:rsidRPr="00B14DA2">
        <w:rPr>
          <w:rFonts w:cs="Times New Roman"/>
          <w:i/>
          <w:iCs/>
        </w:rPr>
        <w:t>The German Ideology (1845)</w:t>
      </w:r>
      <w:r w:rsidRPr="00B14DA2">
        <w:rPr>
          <w:rFonts w:cs="Times New Roman"/>
        </w:rPr>
        <w:t>. Moscow: Progress Pu</w:t>
      </w:r>
      <w:r>
        <w:rPr>
          <w:rFonts w:cs="Times New Roman"/>
        </w:rPr>
        <w:t>blishers.</w:t>
      </w:r>
    </w:p>
    <w:p w14:paraId="2FB44308" w14:textId="77777777" w:rsidR="004C1DE6" w:rsidRDefault="004C1DE6" w:rsidP="004C1DE6">
      <w:pPr>
        <w:pStyle w:val="Bibliography"/>
        <w:spacing w:before="0" w:line="240" w:lineRule="auto"/>
        <w:ind w:left="0" w:firstLine="0"/>
        <w:rPr>
          <w:rFonts w:cs="Times New Roman"/>
        </w:rPr>
      </w:pPr>
    </w:p>
    <w:p w14:paraId="317C6099" w14:textId="77777777" w:rsidR="004C1DE6" w:rsidRDefault="004C1DE6" w:rsidP="004C1DE6">
      <w:pPr>
        <w:pStyle w:val="Bibliography"/>
        <w:spacing w:before="0" w:line="240" w:lineRule="auto"/>
        <w:ind w:left="0" w:firstLine="0"/>
        <w:rPr>
          <w:rFonts w:cs="Times New Roman"/>
        </w:rPr>
      </w:pPr>
      <w:r w:rsidRPr="00B14DA2">
        <w:rPr>
          <w:rFonts w:cs="Times New Roman"/>
        </w:rPr>
        <w:t xml:space="preserve">Montgomerie, J. (2009). The pursuit of (past) happiness? Middle-class indebtedness and American </w:t>
      </w:r>
      <w:proofErr w:type="spellStart"/>
      <w:r w:rsidRPr="00B14DA2">
        <w:rPr>
          <w:rFonts w:cs="Times New Roman"/>
        </w:rPr>
        <w:t>financialisation</w:t>
      </w:r>
      <w:proofErr w:type="spellEnd"/>
      <w:r w:rsidRPr="00B14DA2">
        <w:rPr>
          <w:rFonts w:cs="Times New Roman"/>
        </w:rPr>
        <w:t xml:space="preserve">. </w:t>
      </w:r>
      <w:r w:rsidRPr="00B14DA2">
        <w:rPr>
          <w:rFonts w:cs="Times New Roman"/>
          <w:i/>
          <w:iCs/>
        </w:rPr>
        <w:t>New Political Economy</w:t>
      </w:r>
      <w:r w:rsidRPr="00B14DA2">
        <w:rPr>
          <w:rFonts w:cs="Times New Roman"/>
        </w:rPr>
        <w:t xml:space="preserve">, </w:t>
      </w:r>
      <w:r w:rsidRPr="00B14DA2">
        <w:rPr>
          <w:rFonts w:cs="Times New Roman"/>
          <w:i/>
          <w:iCs/>
        </w:rPr>
        <w:t>14</w:t>
      </w:r>
      <w:r w:rsidRPr="00B14DA2">
        <w:rPr>
          <w:rFonts w:cs="Times New Roman"/>
        </w:rPr>
        <w:t>(1), 1–24.</w:t>
      </w:r>
    </w:p>
    <w:p w14:paraId="0B92AD7E" w14:textId="77777777" w:rsidR="004C1DE6" w:rsidRDefault="004C1DE6" w:rsidP="004C1DE6">
      <w:pPr>
        <w:spacing w:before="0" w:after="0" w:line="240" w:lineRule="auto"/>
      </w:pPr>
    </w:p>
    <w:p w14:paraId="1516816F" w14:textId="561CD431" w:rsidR="004C1DE6" w:rsidRPr="007C7E2C" w:rsidRDefault="004C1DE6" w:rsidP="004C1DE6">
      <w:pPr>
        <w:spacing w:before="0" w:after="0" w:line="240" w:lineRule="auto"/>
        <w:rPr>
          <w:rFonts w:cs="Times New Roman"/>
          <w:color w:val="1A1A1A"/>
          <w:lang w:val="en-US"/>
        </w:rPr>
      </w:pPr>
      <w:r w:rsidRPr="007C7E2C">
        <w:rPr>
          <w:rFonts w:cs="Times New Roman"/>
        </w:rPr>
        <w:t>Montgomerie, J. and Tepe-Belfrage, D. (</w:t>
      </w:r>
      <w:r w:rsidR="000E2066">
        <w:rPr>
          <w:rFonts w:cs="Times New Roman"/>
        </w:rPr>
        <w:t>2016</w:t>
      </w:r>
      <w:r w:rsidRPr="007C7E2C">
        <w:rPr>
          <w:rFonts w:cs="Times New Roman"/>
        </w:rPr>
        <w:t xml:space="preserve">) </w:t>
      </w:r>
      <w:r w:rsidRPr="007C7E2C">
        <w:rPr>
          <w:rFonts w:cs="Times New Roman"/>
          <w:lang w:val="en-US"/>
        </w:rPr>
        <w:t xml:space="preserve">A Feminist Moral Political Economy of Uneven Reform in Austerity Britain: Fostering Financial and Parental Literacy, </w:t>
      </w:r>
      <w:r w:rsidRPr="007C7E2C">
        <w:rPr>
          <w:rFonts w:cs="Times New Roman"/>
          <w:i/>
          <w:lang w:val="en-US"/>
        </w:rPr>
        <w:t>Globalizations</w:t>
      </w:r>
      <w:r w:rsidRPr="007C7E2C">
        <w:rPr>
          <w:rFonts w:cs="Times New Roman"/>
          <w:lang w:val="en-US"/>
        </w:rPr>
        <w:t>, DOI: 10.1080/14747731.2016.1160605</w:t>
      </w:r>
      <w:r w:rsidRPr="007C7E2C">
        <w:rPr>
          <w:rFonts w:cs="Times New Roman"/>
          <w:color w:val="1A1A1A"/>
          <w:lang w:val="en-US"/>
        </w:rPr>
        <w:t>, online first</w:t>
      </w:r>
    </w:p>
    <w:p w14:paraId="1B703DD1" w14:textId="77777777" w:rsidR="004C1DE6" w:rsidRDefault="004C1DE6" w:rsidP="004C1DE6">
      <w:pPr>
        <w:spacing w:before="0" w:after="0" w:line="240" w:lineRule="auto"/>
      </w:pPr>
    </w:p>
    <w:p w14:paraId="3C004122" w14:textId="77777777" w:rsidR="004C1DE6" w:rsidRPr="006E430E" w:rsidRDefault="004C1DE6" w:rsidP="004C1DE6">
      <w:pPr>
        <w:spacing w:before="0" w:after="0" w:line="240" w:lineRule="auto"/>
        <w:rPr>
          <w:rFonts w:cs="Times New Roman"/>
          <w:i/>
          <w:iCs/>
        </w:rPr>
      </w:pPr>
      <w:r>
        <w:rPr>
          <w:rFonts w:cs="Times New Roman"/>
        </w:rPr>
        <w:t>Moran, P., Deborah G.</w:t>
      </w:r>
      <w:r w:rsidRPr="006E430E">
        <w:rPr>
          <w:rFonts w:cs="Times New Roman"/>
        </w:rPr>
        <w:t xml:space="preserve"> and van der Merwe</w:t>
      </w:r>
      <w:r>
        <w:rPr>
          <w:rFonts w:cs="Times New Roman"/>
        </w:rPr>
        <w:t>, A</w:t>
      </w:r>
      <w:proofErr w:type="gramStart"/>
      <w:r>
        <w:rPr>
          <w:rFonts w:cs="Times New Roman"/>
        </w:rPr>
        <w:t>.</w:t>
      </w:r>
      <w:r w:rsidRPr="006E430E">
        <w:rPr>
          <w:rFonts w:cs="Times New Roman"/>
        </w:rPr>
        <w:t>.</w:t>
      </w:r>
      <w:proofErr w:type="gramEnd"/>
      <w:r w:rsidRPr="006E430E">
        <w:rPr>
          <w:rFonts w:cs="Times New Roman"/>
        </w:rPr>
        <w:t xml:space="preserve"> </w:t>
      </w:r>
      <w:r>
        <w:rPr>
          <w:rFonts w:cs="Times New Roman"/>
        </w:rPr>
        <w:t>(</w:t>
      </w:r>
      <w:r w:rsidRPr="006E430E">
        <w:rPr>
          <w:rFonts w:cs="Times New Roman"/>
        </w:rPr>
        <w:t>2004</w:t>
      </w:r>
      <w:r>
        <w:rPr>
          <w:rFonts w:cs="Times New Roman"/>
        </w:rPr>
        <w:t>)</w:t>
      </w:r>
      <w:r w:rsidRPr="006E430E">
        <w:rPr>
          <w:rFonts w:cs="Times New Roman"/>
        </w:rPr>
        <w:t>. W</w:t>
      </w:r>
      <w:r w:rsidRPr="006E430E">
        <w:rPr>
          <w:rFonts w:cs="Times New Roman"/>
          <w:i/>
          <w:iCs/>
        </w:rPr>
        <w:t xml:space="preserve">hat Works in Parenting </w:t>
      </w:r>
    </w:p>
    <w:p w14:paraId="70CF96C1" w14:textId="77777777" w:rsidR="004C1DE6" w:rsidRPr="00317874" w:rsidRDefault="004C1DE6" w:rsidP="004C1DE6">
      <w:pPr>
        <w:spacing w:before="0" w:after="0" w:line="240" w:lineRule="auto"/>
      </w:pPr>
      <w:r w:rsidRPr="006E430E">
        <w:rPr>
          <w:rFonts w:cs="Times New Roman"/>
          <w:i/>
          <w:iCs/>
        </w:rPr>
        <w:t>Support? A Review of the International Evidence</w:t>
      </w:r>
      <w:r w:rsidRPr="006E430E">
        <w:rPr>
          <w:rFonts w:cs="Times New Roman"/>
        </w:rPr>
        <w:t>. Report by the Policy Research Bureau. London: The Dep</w:t>
      </w:r>
      <w:r>
        <w:rPr>
          <w:rFonts w:cs="Times New Roman"/>
        </w:rPr>
        <w:t>artment for Education and Skills.</w:t>
      </w:r>
    </w:p>
    <w:p w14:paraId="66D76F69" w14:textId="77777777" w:rsidR="004C1DE6" w:rsidRDefault="004C1DE6" w:rsidP="004C1DE6">
      <w:pPr>
        <w:pStyle w:val="Bibliography"/>
        <w:spacing w:before="0" w:line="240" w:lineRule="auto"/>
        <w:ind w:left="0" w:firstLine="0"/>
        <w:rPr>
          <w:rFonts w:cs="Times New Roman"/>
        </w:rPr>
      </w:pPr>
    </w:p>
    <w:p w14:paraId="3754EF9A" w14:textId="39402B60" w:rsidR="00D5092F" w:rsidRPr="00D5092F" w:rsidRDefault="004C1DE6" w:rsidP="007C0B7D">
      <w:r w:rsidRPr="00B14DA2">
        <w:rPr>
          <w:rFonts w:cs="Times New Roman"/>
        </w:rPr>
        <w:t xml:space="preserve">Nunn, A. (2007). Competitiveness and the New Labour Project. </w:t>
      </w:r>
      <w:r w:rsidRPr="00B14DA2">
        <w:rPr>
          <w:rFonts w:cs="Times New Roman"/>
          <w:i/>
          <w:iCs/>
        </w:rPr>
        <w:t>Papers in the Politics of Global Competitiveness</w:t>
      </w:r>
      <w:r w:rsidRPr="00B14DA2">
        <w:rPr>
          <w:rFonts w:cs="Times New Roman"/>
        </w:rPr>
        <w:t xml:space="preserve">, </w:t>
      </w:r>
      <w:r w:rsidRPr="00B14DA2">
        <w:rPr>
          <w:rFonts w:cs="Times New Roman"/>
          <w:i/>
          <w:iCs/>
        </w:rPr>
        <w:t>8</w:t>
      </w:r>
      <w:r w:rsidRPr="00B14DA2">
        <w:rPr>
          <w:rFonts w:cs="Times New Roman"/>
        </w:rPr>
        <w:t xml:space="preserve">. </w:t>
      </w:r>
    </w:p>
    <w:p w14:paraId="2652CEFB" w14:textId="77777777" w:rsidR="00D5092F" w:rsidRPr="00D5092F" w:rsidRDefault="00D5092F" w:rsidP="007C0B7D">
      <w:pPr>
        <w:pStyle w:val="Bibliography"/>
        <w:spacing w:before="0" w:line="240" w:lineRule="auto"/>
        <w:ind w:left="0" w:firstLine="0"/>
        <w:rPr>
          <w:lang w:val="en-US"/>
        </w:rPr>
      </w:pPr>
      <w:r w:rsidRPr="00D5092F">
        <w:rPr>
          <w:lang w:val="en-US"/>
        </w:rPr>
        <w:t xml:space="preserve">Nunn, A. (2012). The Political Economy of Competitiveness and Social Mobility. </w:t>
      </w:r>
      <w:r w:rsidRPr="00D5092F">
        <w:rPr>
          <w:i/>
          <w:iCs/>
          <w:lang w:val="en-US"/>
        </w:rPr>
        <w:t>British Politics</w:t>
      </w:r>
      <w:r w:rsidRPr="00D5092F">
        <w:rPr>
          <w:lang w:val="en-US"/>
        </w:rPr>
        <w:t>.</w:t>
      </w:r>
    </w:p>
    <w:p w14:paraId="05D527FA" w14:textId="77777777" w:rsidR="004C1DE6" w:rsidRDefault="004C1DE6" w:rsidP="004C1DE6">
      <w:pPr>
        <w:pStyle w:val="Bibliography"/>
        <w:spacing w:before="0" w:line="240" w:lineRule="auto"/>
        <w:ind w:left="0" w:firstLine="0"/>
        <w:rPr>
          <w:rFonts w:cs="Times New Roman"/>
        </w:rPr>
      </w:pPr>
    </w:p>
    <w:p w14:paraId="5D6B42B6" w14:textId="77777777" w:rsidR="004C1DE6" w:rsidRDefault="004C1DE6" w:rsidP="004C1DE6">
      <w:pPr>
        <w:pStyle w:val="Bibliography"/>
        <w:spacing w:before="0" w:line="240" w:lineRule="auto"/>
        <w:ind w:left="0" w:firstLine="0"/>
        <w:rPr>
          <w:rFonts w:cs="Times New Roman"/>
        </w:rPr>
      </w:pPr>
      <w:r w:rsidRPr="00B14DA2">
        <w:rPr>
          <w:rFonts w:cs="Times New Roman"/>
        </w:rPr>
        <w:t xml:space="preserve">Nunn, A. (2014). The contested and contingent outcomes of Thatcherism in the UK. </w:t>
      </w:r>
      <w:r w:rsidRPr="00B14DA2">
        <w:rPr>
          <w:rFonts w:cs="Times New Roman"/>
          <w:i/>
          <w:iCs/>
        </w:rPr>
        <w:t>Capital &amp; Class</w:t>
      </w:r>
      <w:r w:rsidRPr="00B14DA2">
        <w:rPr>
          <w:rFonts w:cs="Times New Roman"/>
        </w:rPr>
        <w:t xml:space="preserve">, </w:t>
      </w:r>
      <w:r w:rsidRPr="00B14DA2">
        <w:rPr>
          <w:rFonts w:cs="Times New Roman"/>
          <w:i/>
          <w:iCs/>
        </w:rPr>
        <w:t>38</w:t>
      </w:r>
      <w:r w:rsidRPr="00B14DA2">
        <w:rPr>
          <w:rFonts w:cs="Times New Roman"/>
        </w:rPr>
        <w:t xml:space="preserve">(2), 303–321. </w:t>
      </w:r>
    </w:p>
    <w:p w14:paraId="2F9F93E0" w14:textId="77777777" w:rsidR="004C1DE6" w:rsidRDefault="004C1DE6" w:rsidP="004C1DE6">
      <w:pPr>
        <w:spacing w:before="0" w:after="0" w:line="240" w:lineRule="auto"/>
        <w:rPr>
          <w:rFonts w:cs="Times New Roman"/>
        </w:rPr>
      </w:pPr>
    </w:p>
    <w:p w14:paraId="17F8C21B" w14:textId="77777777" w:rsidR="004C1DE6" w:rsidRPr="00453263" w:rsidRDefault="004C1DE6" w:rsidP="004C1DE6">
      <w:pPr>
        <w:spacing w:before="0" w:after="0" w:line="240" w:lineRule="auto"/>
        <w:rPr>
          <w:rFonts w:cs="Times New Roman"/>
        </w:rPr>
      </w:pPr>
      <w:r>
        <w:rPr>
          <w:rFonts w:cs="Times New Roman"/>
        </w:rPr>
        <w:t>Parr, S.</w:t>
      </w:r>
      <w:r w:rsidRPr="006E430E">
        <w:rPr>
          <w:rFonts w:cs="Times New Roman"/>
        </w:rPr>
        <w:t xml:space="preserve"> </w:t>
      </w:r>
      <w:r>
        <w:rPr>
          <w:rFonts w:cs="Times New Roman"/>
        </w:rPr>
        <w:t>(</w:t>
      </w:r>
      <w:r w:rsidRPr="006E430E">
        <w:rPr>
          <w:rFonts w:cs="Times New Roman"/>
        </w:rPr>
        <w:t>2011</w:t>
      </w:r>
      <w:r>
        <w:rPr>
          <w:rFonts w:cs="Times New Roman"/>
        </w:rPr>
        <w:t xml:space="preserve">). </w:t>
      </w:r>
      <w:r w:rsidRPr="006E430E">
        <w:rPr>
          <w:rFonts w:cs="Times New Roman"/>
        </w:rPr>
        <w:t>Family Policy and the Governance of Anti-Social Behaviour in the UK: Women's Experienc</w:t>
      </w:r>
      <w:r>
        <w:rPr>
          <w:rFonts w:cs="Times New Roman"/>
        </w:rPr>
        <w:t>es of Intensive Family Support.</w:t>
      </w:r>
      <w:r w:rsidRPr="006E430E">
        <w:rPr>
          <w:rFonts w:cs="Times New Roman"/>
        </w:rPr>
        <w:t xml:space="preserve"> </w:t>
      </w:r>
      <w:r w:rsidRPr="006E430E">
        <w:rPr>
          <w:rFonts w:cs="Times New Roman"/>
          <w:i/>
          <w:iCs/>
        </w:rPr>
        <w:t>Journal of Social Policy</w:t>
      </w:r>
      <w:r w:rsidRPr="006E430E">
        <w:rPr>
          <w:rFonts w:cs="Times New Roman"/>
        </w:rPr>
        <w:t xml:space="preserve"> 40, no. 4: 717-737.</w:t>
      </w:r>
    </w:p>
    <w:p w14:paraId="3D3B5575" w14:textId="77777777" w:rsidR="004C1DE6" w:rsidRDefault="004C1DE6" w:rsidP="004C1DE6">
      <w:pPr>
        <w:spacing w:before="0" w:after="0" w:line="240" w:lineRule="auto"/>
        <w:rPr>
          <w:rFonts w:cs="Times New Roman"/>
        </w:rPr>
      </w:pPr>
    </w:p>
    <w:p w14:paraId="284A4691" w14:textId="77777777" w:rsidR="004C1DE6" w:rsidRPr="00453263" w:rsidRDefault="004C1DE6" w:rsidP="004C1DE6">
      <w:pPr>
        <w:spacing w:before="0" w:after="0" w:line="240" w:lineRule="auto"/>
        <w:rPr>
          <w:rFonts w:cs="Times New Roman"/>
          <w:i/>
          <w:iCs/>
        </w:rPr>
      </w:pPr>
      <w:r w:rsidRPr="006E430E">
        <w:rPr>
          <w:rFonts w:cs="Times New Roman"/>
        </w:rPr>
        <w:t>Parr, S</w:t>
      </w:r>
      <w:r>
        <w:rPr>
          <w:rFonts w:cs="Times New Roman"/>
        </w:rPr>
        <w:t>.</w:t>
      </w:r>
      <w:r w:rsidRPr="006E430E">
        <w:rPr>
          <w:rFonts w:cs="Times New Roman"/>
        </w:rPr>
        <w:t xml:space="preserve"> and </w:t>
      </w:r>
      <w:r>
        <w:rPr>
          <w:rFonts w:cs="Times New Roman"/>
        </w:rPr>
        <w:t>Nixon, J.</w:t>
      </w:r>
      <w:r w:rsidRPr="006E430E">
        <w:rPr>
          <w:rFonts w:cs="Times New Roman"/>
        </w:rPr>
        <w:t xml:space="preserve"> </w:t>
      </w:r>
      <w:r>
        <w:rPr>
          <w:rFonts w:cs="Times New Roman"/>
        </w:rPr>
        <w:t>(</w:t>
      </w:r>
      <w:r w:rsidRPr="006E430E">
        <w:rPr>
          <w:rFonts w:cs="Times New Roman"/>
        </w:rPr>
        <w:t>2008</w:t>
      </w:r>
      <w:r>
        <w:rPr>
          <w:rFonts w:cs="Times New Roman"/>
        </w:rPr>
        <w:t xml:space="preserve">). </w:t>
      </w:r>
      <w:r w:rsidRPr="006E430E">
        <w:rPr>
          <w:rFonts w:cs="Times New Roman"/>
        </w:rPr>
        <w:t>Rationalising Family intervention</w:t>
      </w:r>
      <w:r>
        <w:rPr>
          <w:rFonts w:cs="Times New Roman"/>
        </w:rPr>
        <w:t xml:space="preserve"> projects.</w:t>
      </w:r>
      <w:r w:rsidRPr="006E430E">
        <w:rPr>
          <w:rFonts w:cs="Times New Roman"/>
        </w:rPr>
        <w:t xml:space="preserve"> In </w:t>
      </w:r>
      <w:r w:rsidRPr="006E430E">
        <w:rPr>
          <w:rFonts w:cs="Times New Roman"/>
          <w:i/>
          <w:iCs/>
        </w:rPr>
        <w:t>ASBO Nation: The Criminalisation of Nuisance,</w:t>
      </w:r>
      <w:r w:rsidRPr="006E430E">
        <w:rPr>
          <w:rFonts w:cs="Times New Roman"/>
        </w:rPr>
        <w:t xml:space="preserve"> ed. Peter Squires, pp. 161-178. Bristol: Policy Press. </w:t>
      </w:r>
    </w:p>
    <w:p w14:paraId="4481F314" w14:textId="77777777" w:rsidR="004C1DE6" w:rsidRPr="00317874" w:rsidRDefault="004C1DE6" w:rsidP="004C1DE6">
      <w:pPr>
        <w:spacing w:before="0" w:after="0" w:line="240" w:lineRule="auto"/>
      </w:pPr>
    </w:p>
    <w:p w14:paraId="48572E44" w14:textId="77777777" w:rsidR="004C1DE6" w:rsidRPr="00B14DA2" w:rsidRDefault="004C1DE6" w:rsidP="004C1DE6">
      <w:pPr>
        <w:pStyle w:val="Bibliography"/>
        <w:spacing w:before="0" w:line="240" w:lineRule="auto"/>
        <w:ind w:left="0" w:firstLine="0"/>
        <w:rPr>
          <w:rFonts w:cs="Times New Roman"/>
        </w:rPr>
      </w:pPr>
      <w:r w:rsidRPr="00B14DA2">
        <w:rPr>
          <w:rFonts w:cs="Times New Roman"/>
        </w:rPr>
        <w:t>Polanyi, K. (1957). The great transformation</w:t>
      </w:r>
      <w:r>
        <w:rPr>
          <w:rFonts w:cs="Times New Roman"/>
        </w:rPr>
        <w:t>.</w:t>
      </w:r>
      <w:r w:rsidRPr="00B14DA2">
        <w:rPr>
          <w:rFonts w:cs="Times New Roman"/>
        </w:rPr>
        <w:t xml:space="preserve"> </w:t>
      </w:r>
      <w:r>
        <w:rPr>
          <w:rFonts w:cs="Times New Roman"/>
        </w:rPr>
        <w:t>London: Beacon Press.</w:t>
      </w:r>
    </w:p>
    <w:p w14:paraId="7A8E2A72" w14:textId="77777777" w:rsidR="004C1DE6" w:rsidRDefault="004C1DE6" w:rsidP="004C1DE6">
      <w:pPr>
        <w:pStyle w:val="Bibliography"/>
        <w:spacing w:before="0" w:line="240" w:lineRule="auto"/>
        <w:ind w:left="0" w:firstLine="0"/>
        <w:rPr>
          <w:rFonts w:cs="Times New Roman"/>
        </w:rPr>
      </w:pPr>
    </w:p>
    <w:p w14:paraId="3AFF627B" w14:textId="77777777" w:rsidR="004C1DE6" w:rsidRDefault="004C1DE6" w:rsidP="004C1DE6">
      <w:pPr>
        <w:pStyle w:val="Bibliography"/>
        <w:spacing w:before="0" w:line="240" w:lineRule="auto"/>
        <w:ind w:left="0" w:firstLine="0"/>
        <w:rPr>
          <w:rFonts w:cs="Times New Roman"/>
        </w:rPr>
      </w:pPr>
      <w:r w:rsidRPr="00B14DA2">
        <w:rPr>
          <w:rFonts w:cs="Times New Roman"/>
        </w:rPr>
        <w:t xml:space="preserve">Rai, S. M., </w:t>
      </w:r>
      <w:proofErr w:type="spellStart"/>
      <w:r w:rsidRPr="00B14DA2">
        <w:rPr>
          <w:rFonts w:cs="Times New Roman"/>
        </w:rPr>
        <w:t>Hoskyns</w:t>
      </w:r>
      <w:proofErr w:type="spellEnd"/>
      <w:r w:rsidRPr="00B14DA2">
        <w:rPr>
          <w:rFonts w:cs="Times New Roman"/>
        </w:rPr>
        <w:t xml:space="preserve">, C., &amp; Thomas, D. (2014). Depletion: The cost of social reproduction. </w:t>
      </w:r>
      <w:r w:rsidRPr="00B14DA2">
        <w:rPr>
          <w:rFonts w:cs="Times New Roman"/>
          <w:i/>
          <w:iCs/>
        </w:rPr>
        <w:t>International Feminist Journal of Politics</w:t>
      </w:r>
      <w:r w:rsidRPr="00B14DA2">
        <w:rPr>
          <w:rFonts w:cs="Times New Roman"/>
        </w:rPr>
        <w:t xml:space="preserve">, </w:t>
      </w:r>
      <w:r w:rsidRPr="00B14DA2">
        <w:rPr>
          <w:rFonts w:cs="Times New Roman"/>
          <w:i/>
          <w:iCs/>
        </w:rPr>
        <w:t>16</w:t>
      </w:r>
      <w:r w:rsidRPr="00B14DA2">
        <w:rPr>
          <w:rFonts w:cs="Times New Roman"/>
        </w:rPr>
        <w:t>(1), 86–105.</w:t>
      </w:r>
    </w:p>
    <w:p w14:paraId="7271E751" w14:textId="77777777" w:rsidR="004C1DE6" w:rsidRDefault="004C1DE6" w:rsidP="004C1DE6">
      <w:pPr>
        <w:spacing w:before="0" w:after="0" w:line="240" w:lineRule="auto"/>
        <w:rPr>
          <w:rFonts w:cs="Times New Roman"/>
        </w:rPr>
      </w:pPr>
    </w:p>
    <w:p w14:paraId="7D1BE77C" w14:textId="68AF4C60" w:rsidR="00774E61" w:rsidRDefault="00774E61" w:rsidP="004C1DE6">
      <w:pPr>
        <w:spacing w:before="0" w:after="0" w:line="240" w:lineRule="auto"/>
        <w:rPr>
          <w:rFonts w:cs="Times New Roman"/>
        </w:rPr>
      </w:pPr>
      <w:r>
        <w:rPr>
          <w:rFonts w:cs="Times New Roman"/>
        </w:rPr>
        <w:t xml:space="preserve">Riots, Communities and Victims Panel (RCVP) (2012). After the riots. The final report of the Riots, Communities and Victims Panel, </w:t>
      </w:r>
      <w:hyperlink r:id="rId9" w:history="1">
        <w:r w:rsidRPr="00010E3D">
          <w:rPr>
            <w:rStyle w:val="Hyperlink"/>
            <w:rFonts w:cs="Times New Roman"/>
          </w:rPr>
          <w:t>http://webarchive.nationalarchives.gov.uk/20121003195935/http://riotspanel.independent.gov.uk/wp-content/uploads/2012/03/Riots-Panel-Final-Report1.pdf</w:t>
        </w:r>
      </w:hyperlink>
      <w:r>
        <w:rPr>
          <w:rFonts w:cs="Times New Roman"/>
        </w:rPr>
        <w:t xml:space="preserve"> (accessed 04.04.2016)</w:t>
      </w:r>
    </w:p>
    <w:p w14:paraId="6326AE85" w14:textId="77777777" w:rsidR="00774E61" w:rsidRDefault="00774E61" w:rsidP="004C1DE6">
      <w:pPr>
        <w:spacing w:before="0" w:after="0" w:line="240" w:lineRule="auto"/>
        <w:rPr>
          <w:rFonts w:cs="Times New Roman"/>
        </w:rPr>
      </w:pPr>
    </w:p>
    <w:p w14:paraId="16C3F814" w14:textId="77777777" w:rsidR="004C1DE6" w:rsidRPr="00453263" w:rsidRDefault="004C1DE6" w:rsidP="004C1DE6">
      <w:pPr>
        <w:spacing w:before="0" w:after="0" w:line="240" w:lineRule="auto"/>
        <w:rPr>
          <w:rFonts w:cs="Times New Roman"/>
          <w:i/>
          <w:iCs/>
        </w:rPr>
      </w:pPr>
      <w:r w:rsidRPr="006E430E">
        <w:rPr>
          <w:rFonts w:cs="Times New Roman"/>
        </w:rPr>
        <w:t xml:space="preserve">Rodger, John. 2008. </w:t>
      </w:r>
      <w:r w:rsidRPr="006E430E">
        <w:rPr>
          <w:rFonts w:cs="Times New Roman"/>
          <w:i/>
          <w:iCs/>
        </w:rPr>
        <w:t>Criminalising Social Policy: Anti-social behaviour and welfare in a de-civilised society</w:t>
      </w:r>
      <w:r w:rsidRPr="006E430E">
        <w:rPr>
          <w:rFonts w:cs="Times New Roman"/>
        </w:rPr>
        <w:t xml:space="preserve">. </w:t>
      </w:r>
      <w:proofErr w:type="spellStart"/>
      <w:r w:rsidRPr="006E430E">
        <w:rPr>
          <w:rFonts w:cs="Times New Roman"/>
        </w:rPr>
        <w:t>Cullompton</w:t>
      </w:r>
      <w:proofErr w:type="spellEnd"/>
      <w:r w:rsidRPr="006E430E">
        <w:rPr>
          <w:rFonts w:cs="Times New Roman"/>
        </w:rPr>
        <w:t xml:space="preserve">: </w:t>
      </w:r>
      <w:proofErr w:type="spellStart"/>
      <w:r w:rsidRPr="006E430E">
        <w:rPr>
          <w:rFonts w:cs="Times New Roman"/>
        </w:rPr>
        <w:t>Willan</w:t>
      </w:r>
      <w:proofErr w:type="spellEnd"/>
      <w:r w:rsidRPr="006E430E">
        <w:rPr>
          <w:rFonts w:cs="Times New Roman"/>
        </w:rPr>
        <w:t>.</w:t>
      </w:r>
    </w:p>
    <w:p w14:paraId="28217EA9" w14:textId="77777777" w:rsidR="000E2066" w:rsidRPr="006E430E" w:rsidRDefault="000E2066" w:rsidP="004C1DE6">
      <w:pPr>
        <w:pStyle w:val="EndNoteBibliography"/>
        <w:rPr>
          <w:noProof/>
        </w:rPr>
      </w:pPr>
    </w:p>
    <w:p w14:paraId="09F4D3A6" w14:textId="77777777" w:rsidR="004C1DE6" w:rsidRPr="00B14DA2" w:rsidRDefault="004C1DE6" w:rsidP="004C1DE6">
      <w:pPr>
        <w:pStyle w:val="Bibliography"/>
        <w:spacing w:before="0" w:line="240" w:lineRule="auto"/>
        <w:ind w:left="0" w:firstLine="0"/>
        <w:rPr>
          <w:rFonts w:cs="Times New Roman"/>
        </w:rPr>
      </w:pPr>
      <w:proofErr w:type="spellStart"/>
      <w:r w:rsidRPr="00B14DA2">
        <w:rPr>
          <w:rFonts w:cs="Times New Roman"/>
        </w:rPr>
        <w:t>Seabrooke</w:t>
      </w:r>
      <w:proofErr w:type="spellEnd"/>
      <w:r w:rsidRPr="00B14DA2">
        <w:rPr>
          <w:rFonts w:cs="Times New Roman"/>
        </w:rPr>
        <w:t xml:space="preserve">, L. (2010). What Do I Get? The Everyday Politics of Expectations and the Subprime Crisis. </w:t>
      </w:r>
      <w:r w:rsidRPr="00B14DA2">
        <w:rPr>
          <w:rFonts w:cs="Times New Roman"/>
          <w:i/>
          <w:iCs/>
        </w:rPr>
        <w:t>New Political Economy</w:t>
      </w:r>
      <w:r w:rsidRPr="00B14DA2">
        <w:rPr>
          <w:rFonts w:cs="Times New Roman"/>
        </w:rPr>
        <w:t xml:space="preserve">, </w:t>
      </w:r>
      <w:r w:rsidRPr="00B14DA2">
        <w:rPr>
          <w:rFonts w:cs="Times New Roman"/>
          <w:i/>
          <w:iCs/>
        </w:rPr>
        <w:t>15</w:t>
      </w:r>
      <w:r w:rsidRPr="00B14DA2">
        <w:rPr>
          <w:rFonts w:cs="Times New Roman"/>
        </w:rPr>
        <w:t xml:space="preserve">(1), 51–70. </w:t>
      </w:r>
    </w:p>
    <w:p w14:paraId="10682D39" w14:textId="77777777" w:rsidR="004C1DE6" w:rsidRDefault="004C1DE6" w:rsidP="004C1DE6">
      <w:pPr>
        <w:pStyle w:val="Bibliography"/>
        <w:spacing w:before="0" w:line="240" w:lineRule="auto"/>
        <w:ind w:left="0" w:firstLine="0"/>
        <w:rPr>
          <w:rFonts w:cs="Times New Roman"/>
        </w:rPr>
      </w:pPr>
    </w:p>
    <w:p w14:paraId="079B93BD" w14:textId="77777777" w:rsidR="004C1DE6" w:rsidRPr="00B14DA2" w:rsidRDefault="004C1DE6" w:rsidP="004C1DE6">
      <w:pPr>
        <w:pStyle w:val="Bibliography"/>
        <w:spacing w:before="0" w:line="240" w:lineRule="auto"/>
        <w:ind w:left="0" w:firstLine="0"/>
        <w:rPr>
          <w:rFonts w:cs="Times New Roman"/>
        </w:rPr>
      </w:pPr>
      <w:r w:rsidRPr="00B14DA2">
        <w:rPr>
          <w:rFonts w:cs="Times New Roman"/>
        </w:rPr>
        <w:t xml:space="preserve">Slater, T. (2012). The Myth of “Broken Britain”: Welfare Reform and the Production of Ignorance. </w:t>
      </w:r>
      <w:r w:rsidRPr="00B14DA2">
        <w:rPr>
          <w:rFonts w:cs="Times New Roman"/>
          <w:i/>
          <w:iCs/>
        </w:rPr>
        <w:t>Antipode</w:t>
      </w:r>
      <w:r w:rsidRPr="00B14DA2">
        <w:rPr>
          <w:rFonts w:cs="Times New Roman"/>
        </w:rPr>
        <w:t xml:space="preserve">, </w:t>
      </w:r>
      <w:r w:rsidRPr="00B14DA2">
        <w:rPr>
          <w:rFonts w:cs="Times New Roman"/>
          <w:i/>
          <w:iCs/>
        </w:rPr>
        <w:t>46</w:t>
      </w:r>
      <w:r w:rsidRPr="00B14DA2">
        <w:rPr>
          <w:rFonts w:cs="Times New Roman"/>
        </w:rPr>
        <w:t xml:space="preserve">(4), 948–969. </w:t>
      </w:r>
    </w:p>
    <w:p w14:paraId="767F7DB1" w14:textId="77777777" w:rsidR="004C1DE6" w:rsidRDefault="004C1DE6" w:rsidP="004C1DE6">
      <w:pPr>
        <w:pStyle w:val="Bibliography"/>
        <w:spacing w:before="0" w:line="240" w:lineRule="auto"/>
        <w:ind w:left="0" w:firstLine="0"/>
        <w:rPr>
          <w:rFonts w:cs="Times New Roman"/>
        </w:rPr>
      </w:pPr>
    </w:p>
    <w:p w14:paraId="4845D3B6" w14:textId="77777777" w:rsidR="004C1DE6" w:rsidRDefault="004C1DE6" w:rsidP="004C1DE6">
      <w:pPr>
        <w:spacing w:before="0" w:after="0" w:line="240" w:lineRule="auto"/>
        <w:rPr>
          <w:rFonts w:cs="Times New Roman"/>
        </w:rPr>
      </w:pPr>
    </w:p>
    <w:p w14:paraId="39D7C4EF" w14:textId="77777777" w:rsidR="004C1DE6" w:rsidRPr="00453263" w:rsidRDefault="004C1DE6" w:rsidP="004C1DE6">
      <w:pPr>
        <w:spacing w:before="0" w:after="0" w:line="240" w:lineRule="auto"/>
        <w:rPr>
          <w:rFonts w:cs="Times New Roman"/>
          <w:i/>
        </w:rPr>
      </w:pPr>
      <w:r>
        <w:rPr>
          <w:rFonts w:cs="Times New Roman"/>
        </w:rPr>
        <w:t>Tepe-Belfrage, D.</w:t>
      </w:r>
      <w:r w:rsidRPr="006E430E">
        <w:rPr>
          <w:rFonts w:cs="Times New Roman"/>
        </w:rPr>
        <w:t xml:space="preserve"> </w:t>
      </w:r>
      <w:r>
        <w:rPr>
          <w:rFonts w:cs="Times New Roman"/>
        </w:rPr>
        <w:t>(</w:t>
      </w:r>
      <w:r w:rsidRPr="006E430E">
        <w:rPr>
          <w:rFonts w:cs="Times New Roman"/>
        </w:rPr>
        <w:t>2015</w:t>
      </w:r>
      <w:r>
        <w:rPr>
          <w:rFonts w:cs="Times New Roman"/>
        </w:rPr>
        <w:t>)</w:t>
      </w:r>
      <w:r w:rsidRPr="006E430E">
        <w:rPr>
          <w:rFonts w:cs="Times New Roman"/>
        </w:rPr>
        <w:t>. “A Feminist Critique of Community Politics” In</w:t>
      </w:r>
      <w:r w:rsidRPr="006E430E">
        <w:rPr>
          <w:rFonts w:cs="Times New Roman"/>
          <w:i/>
        </w:rPr>
        <w:t xml:space="preserve"> The British Growth Crisis: The Search for a New Model,</w:t>
      </w:r>
      <w:r w:rsidRPr="006E430E">
        <w:rPr>
          <w:rFonts w:cs="Times New Roman"/>
        </w:rPr>
        <w:t xml:space="preserve"> eds. Jeremy Green and Colin Hay. Basingstoke: Palgrave Macmillan.</w:t>
      </w:r>
    </w:p>
    <w:p w14:paraId="25AADA2B" w14:textId="77777777" w:rsidR="004C1DE6" w:rsidRDefault="004C1DE6" w:rsidP="004C1DE6">
      <w:pPr>
        <w:pStyle w:val="Bibliography"/>
        <w:spacing w:before="0" w:line="240" w:lineRule="auto"/>
        <w:ind w:left="0" w:firstLine="0"/>
        <w:rPr>
          <w:rFonts w:cs="Times New Roman"/>
        </w:rPr>
      </w:pPr>
    </w:p>
    <w:p w14:paraId="26807931" w14:textId="77777777" w:rsidR="004C1DE6" w:rsidRPr="00B14DA2" w:rsidRDefault="004C1DE6" w:rsidP="004C1DE6">
      <w:pPr>
        <w:pStyle w:val="Bibliography"/>
        <w:spacing w:before="0" w:line="240" w:lineRule="auto"/>
        <w:ind w:left="0" w:firstLine="0"/>
        <w:rPr>
          <w:rFonts w:cs="Times New Roman"/>
        </w:rPr>
      </w:pPr>
      <w:r w:rsidRPr="00B14DA2">
        <w:rPr>
          <w:rFonts w:cs="Times New Roman"/>
        </w:rPr>
        <w:t xml:space="preserve">Veblen, T. (1978). </w:t>
      </w:r>
      <w:r w:rsidRPr="00B14DA2">
        <w:rPr>
          <w:rFonts w:cs="Times New Roman"/>
          <w:i/>
          <w:iCs/>
        </w:rPr>
        <w:t>The theory of business enterprise</w:t>
      </w:r>
      <w:r w:rsidRPr="00B14DA2">
        <w:rPr>
          <w:rFonts w:cs="Times New Roman"/>
        </w:rPr>
        <w:t xml:space="preserve">. Transaction Publishers. </w:t>
      </w:r>
    </w:p>
    <w:p w14:paraId="29B610EA" w14:textId="77777777" w:rsidR="004C1DE6" w:rsidRDefault="004C1DE6" w:rsidP="004C1DE6">
      <w:pPr>
        <w:pStyle w:val="Bibliography"/>
        <w:spacing w:before="0" w:line="240" w:lineRule="auto"/>
        <w:ind w:left="0" w:firstLine="0"/>
        <w:rPr>
          <w:rFonts w:cs="Times New Roman"/>
        </w:rPr>
      </w:pPr>
    </w:p>
    <w:p w14:paraId="71739A66" w14:textId="0EAFC5F7" w:rsidR="00176E4C" w:rsidRPr="00176E4C" w:rsidRDefault="00176E4C" w:rsidP="004C1DE6">
      <w:pPr>
        <w:pStyle w:val="Bibliography"/>
        <w:spacing w:before="0" w:line="240" w:lineRule="auto"/>
        <w:ind w:left="0" w:firstLine="0"/>
        <w:rPr>
          <w:rFonts w:eastAsiaTheme="majorEastAsia" w:cs="Times New Roman"/>
          <w:color w:val="1A1A1A"/>
          <w:lang w:val="en-US"/>
        </w:rPr>
      </w:pPr>
      <w:proofErr w:type="spellStart"/>
      <w:r w:rsidRPr="00176E4C">
        <w:rPr>
          <w:rFonts w:eastAsiaTheme="majorEastAsia" w:cs="Times New Roman"/>
          <w:color w:val="1A1A1A"/>
          <w:lang w:val="en-US"/>
        </w:rPr>
        <w:t>DeVault</w:t>
      </w:r>
      <w:proofErr w:type="spellEnd"/>
      <w:r w:rsidRPr="00176E4C">
        <w:rPr>
          <w:rFonts w:eastAsiaTheme="majorEastAsia" w:cs="Times New Roman"/>
          <w:color w:val="1A1A1A"/>
          <w:lang w:val="en-US"/>
        </w:rPr>
        <w:t>, M.L., &amp; Gro</w:t>
      </w:r>
      <w:r>
        <w:rPr>
          <w:rFonts w:eastAsiaTheme="majorEastAsia" w:cs="Times New Roman"/>
          <w:color w:val="1A1A1A"/>
          <w:lang w:val="en-US"/>
        </w:rPr>
        <w:t>ss, G. (</w:t>
      </w:r>
      <w:r w:rsidRPr="00176E4C">
        <w:rPr>
          <w:rFonts w:eastAsiaTheme="majorEastAsia" w:cs="Times New Roman"/>
          <w:color w:val="1A1A1A"/>
          <w:lang w:val="en-US"/>
        </w:rPr>
        <w:t xml:space="preserve">2006) </w:t>
      </w:r>
      <w:r w:rsidRPr="00176E4C">
        <w:rPr>
          <w:rFonts w:eastAsiaTheme="majorEastAsia" w:cs="Times New Roman"/>
          <w:i/>
          <w:iCs/>
          <w:color w:val="1A1A1A"/>
          <w:lang w:val="en-US"/>
        </w:rPr>
        <w:t xml:space="preserve">Feminist interviewing: Experience, talk, and </w:t>
      </w:r>
      <w:proofErr w:type="gramStart"/>
      <w:r w:rsidRPr="00176E4C">
        <w:rPr>
          <w:rFonts w:eastAsiaTheme="majorEastAsia" w:cs="Times New Roman"/>
          <w:i/>
          <w:iCs/>
          <w:color w:val="1A1A1A"/>
          <w:lang w:val="en-US"/>
        </w:rPr>
        <w:t>knowledge</w:t>
      </w:r>
      <w:r w:rsidRPr="00176E4C">
        <w:rPr>
          <w:rFonts w:eastAsiaTheme="majorEastAsia" w:cs="Times New Roman"/>
          <w:color w:val="1A1A1A"/>
          <w:lang w:val="en-US"/>
        </w:rPr>
        <w:t xml:space="preserve"> .</w:t>
      </w:r>
      <w:proofErr w:type="gramEnd"/>
      <w:r w:rsidRPr="00176E4C">
        <w:rPr>
          <w:rFonts w:eastAsiaTheme="majorEastAsia" w:cs="Times New Roman"/>
          <w:color w:val="1A1A1A"/>
          <w:lang w:val="en-US"/>
        </w:rPr>
        <w:t xml:space="preserve"> In S. N. </w:t>
      </w:r>
      <w:proofErr w:type="spellStart"/>
      <w:r w:rsidRPr="00176E4C">
        <w:rPr>
          <w:rFonts w:eastAsiaTheme="majorEastAsia" w:cs="Times New Roman"/>
          <w:color w:val="1A1A1A"/>
          <w:lang w:val="en-US"/>
        </w:rPr>
        <w:t>Hesse-Biber</w:t>
      </w:r>
      <w:proofErr w:type="spellEnd"/>
      <w:r w:rsidRPr="00176E4C">
        <w:rPr>
          <w:rFonts w:eastAsiaTheme="majorEastAsia" w:cs="Times New Roman"/>
          <w:color w:val="1A1A1A"/>
          <w:lang w:val="en-US"/>
        </w:rPr>
        <w:t xml:space="preserve"> (Ed.), </w:t>
      </w:r>
      <w:r w:rsidRPr="00176E4C">
        <w:rPr>
          <w:rFonts w:eastAsiaTheme="majorEastAsia" w:cs="Times New Roman"/>
          <w:i/>
          <w:iCs/>
          <w:color w:val="1A1A1A"/>
          <w:lang w:val="en-US"/>
        </w:rPr>
        <w:t>Handbook of feminist research: Theory and praxis</w:t>
      </w:r>
      <w:r>
        <w:rPr>
          <w:rFonts w:eastAsiaTheme="majorEastAsia" w:cs="Times New Roman"/>
          <w:color w:val="1A1A1A"/>
          <w:lang w:val="en-US"/>
        </w:rPr>
        <w:t>. Thousand Oaks, CA: SAGE,</w:t>
      </w:r>
      <w:r w:rsidRPr="00176E4C">
        <w:rPr>
          <w:rFonts w:eastAsiaTheme="majorEastAsia" w:cs="Times New Roman"/>
          <w:color w:val="1A1A1A"/>
          <w:lang w:val="en-US"/>
        </w:rPr>
        <w:t xml:space="preserve"> 173-197</w:t>
      </w:r>
    </w:p>
    <w:p w14:paraId="2CF80359" w14:textId="77777777" w:rsidR="004C1DE6" w:rsidRDefault="004C1DE6" w:rsidP="004C1DE6">
      <w:pPr>
        <w:pStyle w:val="Bibliography"/>
        <w:spacing w:before="0" w:line="240" w:lineRule="auto"/>
        <w:ind w:left="0" w:firstLine="0"/>
        <w:rPr>
          <w:rFonts w:cs="Times New Roman"/>
        </w:rPr>
      </w:pPr>
    </w:p>
    <w:p w14:paraId="41A54200" w14:textId="77777777" w:rsidR="004C1DE6" w:rsidRPr="00B14DA2" w:rsidRDefault="004C1DE6" w:rsidP="004C1DE6">
      <w:pPr>
        <w:pStyle w:val="Bibliography"/>
        <w:spacing w:before="0" w:line="240" w:lineRule="auto"/>
        <w:ind w:left="0" w:firstLine="0"/>
        <w:rPr>
          <w:rFonts w:cs="Times New Roman"/>
        </w:rPr>
      </w:pPr>
      <w:r w:rsidRPr="00B14DA2">
        <w:rPr>
          <w:rFonts w:cs="Times New Roman"/>
        </w:rPr>
        <w:t xml:space="preserve">Wacquant, L. (2009). </w:t>
      </w:r>
      <w:r w:rsidRPr="00B14DA2">
        <w:rPr>
          <w:rFonts w:cs="Times New Roman"/>
          <w:i/>
          <w:iCs/>
        </w:rPr>
        <w:t>Punishing the poor: The neoliberal government of social insecurity</w:t>
      </w:r>
      <w:r>
        <w:rPr>
          <w:rFonts w:cs="Times New Roman"/>
        </w:rPr>
        <w:t>. Duke U</w:t>
      </w:r>
      <w:r w:rsidRPr="00B14DA2">
        <w:rPr>
          <w:rFonts w:cs="Times New Roman"/>
        </w:rPr>
        <w:t xml:space="preserve">niversity Press. </w:t>
      </w:r>
    </w:p>
    <w:p w14:paraId="13B46179" w14:textId="77777777" w:rsidR="004C1DE6" w:rsidRDefault="004C1DE6" w:rsidP="004C1DE6">
      <w:pPr>
        <w:pStyle w:val="Bibliography"/>
        <w:spacing w:before="0" w:line="240" w:lineRule="auto"/>
        <w:ind w:left="0" w:firstLine="0"/>
        <w:rPr>
          <w:rFonts w:cs="Times New Roman"/>
        </w:rPr>
      </w:pPr>
    </w:p>
    <w:p w14:paraId="0A0C112A" w14:textId="77777777" w:rsidR="004C1DE6" w:rsidRPr="00B14DA2" w:rsidRDefault="004C1DE6" w:rsidP="004C1DE6">
      <w:pPr>
        <w:pStyle w:val="Bibliography"/>
        <w:spacing w:before="0" w:line="240" w:lineRule="auto"/>
        <w:ind w:left="0" w:firstLine="0"/>
        <w:rPr>
          <w:rFonts w:cs="Times New Roman"/>
        </w:rPr>
      </w:pPr>
      <w:proofErr w:type="spellStart"/>
      <w:r w:rsidRPr="00B14DA2">
        <w:rPr>
          <w:rFonts w:cs="Times New Roman"/>
        </w:rPr>
        <w:t>Wiggan</w:t>
      </w:r>
      <w:proofErr w:type="spellEnd"/>
      <w:r w:rsidRPr="00B14DA2">
        <w:rPr>
          <w:rFonts w:cs="Times New Roman"/>
        </w:rPr>
        <w:t xml:space="preserve">, J. (2015). Reading active labour market policy politically: An autonomist analysis of Britain’s Work Programme and Mandatory Work Activity. </w:t>
      </w:r>
      <w:r w:rsidRPr="00B14DA2">
        <w:rPr>
          <w:rFonts w:cs="Times New Roman"/>
          <w:i/>
          <w:iCs/>
        </w:rPr>
        <w:t>Critical Social Policy</w:t>
      </w:r>
      <w:r w:rsidRPr="00B14DA2">
        <w:rPr>
          <w:rFonts w:cs="Times New Roman"/>
        </w:rPr>
        <w:t xml:space="preserve">, </w:t>
      </w:r>
      <w:r w:rsidRPr="00B14DA2">
        <w:rPr>
          <w:rFonts w:cs="Times New Roman"/>
          <w:i/>
          <w:iCs/>
        </w:rPr>
        <w:t>35</w:t>
      </w:r>
      <w:r w:rsidRPr="00B14DA2">
        <w:rPr>
          <w:rFonts w:cs="Times New Roman"/>
        </w:rPr>
        <w:t xml:space="preserve">(3), 369–392. </w:t>
      </w:r>
    </w:p>
    <w:p w14:paraId="0BFB2033" w14:textId="77777777" w:rsidR="004C1DE6" w:rsidRDefault="004C1DE6" w:rsidP="004C1DE6">
      <w:pPr>
        <w:spacing w:before="0" w:after="0" w:line="240" w:lineRule="auto"/>
      </w:pPr>
    </w:p>
    <w:p w14:paraId="2C4BB70C" w14:textId="77777777" w:rsidR="004C1DE6" w:rsidRPr="00C346F4" w:rsidRDefault="004C1DE6" w:rsidP="004C1DE6">
      <w:pPr>
        <w:spacing w:before="0" w:after="0" w:line="240" w:lineRule="auto"/>
        <w:rPr>
          <w:rFonts w:cs="Times New Roman"/>
          <w:i/>
          <w:iCs/>
        </w:rPr>
      </w:pPr>
      <w:r w:rsidRPr="006E430E">
        <w:rPr>
          <w:rFonts w:cs="Times New Roman"/>
        </w:rPr>
        <w:t xml:space="preserve">Wintour, Patrick. 2013. “Eric Pickles hails progress in tackling 'troubled families'.” </w:t>
      </w:r>
      <w:r w:rsidRPr="006E430E">
        <w:rPr>
          <w:rFonts w:cs="Times New Roman"/>
          <w:i/>
          <w:iCs/>
        </w:rPr>
        <w:t>The Guardian</w:t>
      </w:r>
      <w:r w:rsidRPr="006E430E">
        <w:rPr>
          <w:rFonts w:cs="Times New Roman"/>
        </w:rPr>
        <w:t xml:space="preserve">. November 25. </w:t>
      </w:r>
    </w:p>
    <w:p w14:paraId="6FBA185B" w14:textId="77777777" w:rsidR="004C1DE6" w:rsidRPr="00453263" w:rsidRDefault="004C1DE6" w:rsidP="004C1DE6">
      <w:pPr>
        <w:spacing w:before="0" w:after="0" w:line="240" w:lineRule="auto"/>
        <w:rPr>
          <w:noProof/>
          <w:color w:val="262626"/>
        </w:rPr>
      </w:pPr>
    </w:p>
    <w:p w14:paraId="3041FC75" w14:textId="7AB32691" w:rsidR="00D6285F" w:rsidRPr="003A587C" w:rsidRDefault="00D6285F" w:rsidP="00EB7083">
      <w:pPr>
        <w:rPr>
          <w:b/>
        </w:rPr>
      </w:pPr>
    </w:p>
    <w:p w14:paraId="6E7ED2FE" w14:textId="77777777" w:rsidR="00D608D6" w:rsidRPr="003A587C" w:rsidRDefault="00D608D6" w:rsidP="00EB7083">
      <w:pPr>
        <w:rPr>
          <w:b/>
        </w:rPr>
      </w:pPr>
    </w:p>
    <w:sectPr w:rsidR="00D608D6" w:rsidRPr="003A587C" w:rsidSect="00FA3C4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5214B2" w14:textId="77777777" w:rsidR="0054610A" w:rsidRDefault="0054610A" w:rsidP="00E86D4B">
      <w:pPr>
        <w:spacing w:before="0" w:after="0" w:line="240" w:lineRule="auto"/>
      </w:pPr>
      <w:r>
        <w:separator/>
      </w:r>
    </w:p>
  </w:endnote>
  <w:endnote w:type="continuationSeparator" w:id="0">
    <w:p w14:paraId="48A15F0A" w14:textId="77777777" w:rsidR="0054610A" w:rsidRDefault="0054610A" w:rsidP="00E86D4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D80DEE" w14:textId="77777777" w:rsidR="0054610A" w:rsidRDefault="0054610A" w:rsidP="00E86D4B">
      <w:pPr>
        <w:spacing w:before="0" w:after="0" w:line="240" w:lineRule="auto"/>
      </w:pPr>
      <w:r>
        <w:separator/>
      </w:r>
    </w:p>
  </w:footnote>
  <w:footnote w:type="continuationSeparator" w:id="0">
    <w:p w14:paraId="077B4A7C" w14:textId="77777777" w:rsidR="0054610A" w:rsidRDefault="0054610A" w:rsidP="00E86D4B">
      <w:pPr>
        <w:spacing w:before="0" w:after="0" w:line="240" w:lineRule="auto"/>
      </w:pPr>
      <w:r>
        <w:continuationSeparator/>
      </w:r>
    </w:p>
  </w:footnote>
  <w:footnote w:id="1">
    <w:p w14:paraId="7775C71F" w14:textId="5A15821D" w:rsidR="00934DA5" w:rsidRPr="00880DC5" w:rsidRDefault="00934DA5" w:rsidP="00E86D4B">
      <w:pPr>
        <w:pStyle w:val="FootnoteText"/>
        <w:rPr>
          <w:rFonts w:ascii="Times New Roman" w:hAnsi="Times New Roman" w:cs="Times New Roman"/>
          <w:lang w:val="en-GB"/>
        </w:rPr>
      </w:pPr>
      <w:r w:rsidRPr="00045C4E">
        <w:rPr>
          <w:rStyle w:val="FootnoteReference"/>
        </w:rPr>
        <w:footnoteRef/>
      </w:r>
      <w:r>
        <w:rPr>
          <w:rFonts w:ascii="Times New Roman" w:hAnsi="Times New Roman" w:cs="Times New Roman"/>
        </w:rPr>
        <w:t xml:space="preserve"> </w:t>
      </w:r>
      <w:r w:rsidRPr="009F51F6">
        <w:rPr>
          <w:rFonts w:ascii="Times New Roman" w:hAnsi="Times New Roman" w:cs="Times New Roman"/>
          <w:sz w:val="20"/>
          <w:szCs w:val="20"/>
        </w:rPr>
        <w:t xml:space="preserve">This refers to musical West Side Story, lyrics to the song </w:t>
      </w:r>
      <w:r w:rsidRPr="009F51F6">
        <w:rPr>
          <w:rFonts w:ascii="Times New Roman" w:hAnsi="Times New Roman" w:cs="Times New Roman"/>
          <w:i/>
          <w:sz w:val="20"/>
          <w:szCs w:val="20"/>
        </w:rPr>
        <w:t xml:space="preserve">Gee Officer </w:t>
      </w:r>
      <w:proofErr w:type="spellStart"/>
      <w:r w:rsidRPr="009F51F6">
        <w:rPr>
          <w:rFonts w:ascii="Times New Roman" w:hAnsi="Times New Roman" w:cs="Times New Roman"/>
          <w:i/>
          <w:sz w:val="20"/>
          <w:szCs w:val="20"/>
        </w:rPr>
        <w:t>Krupke</w:t>
      </w:r>
      <w:proofErr w:type="spellEnd"/>
      <w:r w:rsidRPr="009F51F6">
        <w:rPr>
          <w:rFonts w:ascii="Times New Roman" w:hAnsi="Times New Roman" w:cs="Times New Roman"/>
          <w:sz w:val="20"/>
          <w:szCs w:val="20"/>
        </w:rPr>
        <w:t xml:space="preserve"> can be found here: </w:t>
      </w:r>
      <w:r w:rsidR="008636FA">
        <w:rPr>
          <w:rFonts w:ascii="Times New Roman" w:hAnsi="Times New Roman" w:cs="Times New Roman"/>
          <w:sz w:val="20"/>
          <w:szCs w:val="20"/>
        </w:rPr>
        <w:t xml:space="preserve"> </w:t>
      </w:r>
      <w:r w:rsidRPr="009F51F6">
        <w:rPr>
          <w:rFonts w:ascii="Times New Roman" w:hAnsi="Times New Roman" w:cs="Times New Roman"/>
          <w:sz w:val="20"/>
          <w:szCs w:val="20"/>
        </w:rPr>
        <w:t>http://www.metrolyrics.com/gee-officer-krupke-lyrics-westside-story.html</w:t>
      </w:r>
    </w:p>
  </w:footnote>
</w:footnote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F3E"/>
    <w:rsid w:val="00014D37"/>
    <w:rsid w:val="000260A0"/>
    <w:rsid w:val="00045C4E"/>
    <w:rsid w:val="000656EB"/>
    <w:rsid w:val="0007171A"/>
    <w:rsid w:val="00092C14"/>
    <w:rsid w:val="0009779B"/>
    <w:rsid w:val="000A127B"/>
    <w:rsid w:val="000B6698"/>
    <w:rsid w:val="000D5CB4"/>
    <w:rsid w:val="000E2066"/>
    <w:rsid w:val="00105BD0"/>
    <w:rsid w:val="0012347B"/>
    <w:rsid w:val="00130074"/>
    <w:rsid w:val="0015322A"/>
    <w:rsid w:val="0015362E"/>
    <w:rsid w:val="00153BCC"/>
    <w:rsid w:val="00176E4C"/>
    <w:rsid w:val="001A15A2"/>
    <w:rsid w:val="001A290D"/>
    <w:rsid w:val="001A7C5F"/>
    <w:rsid w:val="001B544A"/>
    <w:rsid w:val="001F4D97"/>
    <w:rsid w:val="002859FB"/>
    <w:rsid w:val="002A7F6F"/>
    <w:rsid w:val="002C08B2"/>
    <w:rsid w:val="002D7202"/>
    <w:rsid w:val="00331561"/>
    <w:rsid w:val="00352AAE"/>
    <w:rsid w:val="00355DA9"/>
    <w:rsid w:val="00382642"/>
    <w:rsid w:val="003A587C"/>
    <w:rsid w:val="00415D03"/>
    <w:rsid w:val="004230AF"/>
    <w:rsid w:val="00430C4C"/>
    <w:rsid w:val="00433DB5"/>
    <w:rsid w:val="00450344"/>
    <w:rsid w:val="00452628"/>
    <w:rsid w:val="00476E8D"/>
    <w:rsid w:val="004A46BA"/>
    <w:rsid w:val="004A4AFF"/>
    <w:rsid w:val="004A702B"/>
    <w:rsid w:val="004B0ACA"/>
    <w:rsid w:val="004B0F3E"/>
    <w:rsid w:val="004C1DE6"/>
    <w:rsid w:val="004F1D1F"/>
    <w:rsid w:val="00542DF4"/>
    <w:rsid w:val="00544D48"/>
    <w:rsid w:val="0054610A"/>
    <w:rsid w:val="00557E70"/>
    <w:rsid w:val="00587F7C"/>
    <w:rsid w:val="005956A8"/>
    <w:rsid w:val="005C3A28"/>
    <w:rsid w:val="005D3DB3"/>
    <w:rsid w:val="005F14CA"/>
    <w:rsid w:val="005F3553"/>
    <w:rsid w:val="00631093"/>
    <w:rsid w:val="00686D1F"/>
    <w:rsid w:val="006E314C"/>
    <w:rsid w:val="007021E0"/>
    <w:rsid w:val="00725943"/>
    <w:rsid w:val="007268BE"/>
    <w:rsid w:val="007274FF"/>
    <w:rsid w:val="0075115D"/>
    <w:rsid w:val="0075479C"/>
    <w:rsid w:val="00774E61"/>
    <w:rsid w:val="007B19CE"/>
    <w:rsid w:val="007B686E"/>
    <w:rsid w:val="007C0B7D"/>
    <w:rsid w:val="007C416A"/>
    <w:rsid w:val="008339A5"/>
    <w:rsid w:val="00861429"/>
    <w:rsid w:val="008636FA"/>
    <w:rsid w:val="00875147"/>
    <w:rsid w:val="00882861"/>
    <w:rsid w:val="00893957"/>
    <w:rsid w:val="008979BB"/>
    <w:rsid w:val="008B0730"/>
    <w:rsid w:val="008C71C5"/>
    <w:rsid w:val="008D6EA2"/>
    <w:rsid w:val="00902CC1"/>
    <w:rsid w:val="0090603F"/>
    <w:rsid w:val="0092190F"/>
    <w:rsid w:val="00921F6E"/>
    <w:rsid w:val="00934DA5"/>
    <w:rsid w:val="00986463"/>
    <w:rsid w:val="009978EB"/>
    <w:rsid w:val="009D3AE7"/>
    <w:rsid w:val="009D7618"/>
    <w:rsid w:val="009F19D2"/>
    <w:rsid w:val="00A067A6"/>
    <w:rsid w:val="00A1606C"/>
    <w:rsid w:val="00A24A16"/>
    <w:rsid w:val="00A425AA"/>
    <w:rsid w:val="00A641DB"/>
    <w:rsid w:val="00AE38FB"/>
    <w:rsid w:val="00B002F3"/>
    <w:rsid w:val="00B14DA2"/>
    <w:rsid w:val="00B55471"/>
    <w:rsid w:val="00B738D3"/>
    <w:rsid w:val="00B76ED7"/>
    <w:rsid w:val="00B92B9F"/>
    <w:rsid w:val="00BA36F6"/>
    <w:rsid w:val="00BB6D9B"/>
    <w:rsid w:val="00BF07E2"/>
    <w:rsid w:val="00BF6629"/>
    <w:rsid w:val="00C06FEC"/>
    <w:rsid w:val="00C73C07"/>
    <w:rsid w:val="00C73F66"/>
    <w:rsid w:val="00C93FBC"/>
    <w:rsid w:val="00CB5729"/>
    <w:rsid w:val="00CE7BC3"/>
    <w:rsid w:val="00D01653"/>
    <w:rsid w:val="00D017DA"/>
    <w:rsid w:val="00D21DC2"/>
    <w:rsid w:val="00D2750E"/>
    <w:rsid w:val="00D3657B"/>
    <w:rsid w:val="00D37A93"/>
    <w:rsid w:val="00D5092F"/>
    <w:rsid w:val="00D608D6"/>
    <w:rsid w:val="00D6285F"/>
    <w:rsid w:val="00D7108A"/>
    <w:rsid w:val="00D753B5"/>
    <w:rsid w:val="00DC6C0B"/>
    <w:rsid w:val="00E0215D"/>
    <w:rsid w:val="00E175A3"/>
    <w:rsid w:val="00E23805"/>
    <w:rsid w:val="00E269BF"/>
    <w:rsid w:val="00E26BE1"/>
    <w:rsid w:val="00E27862"/>
    <w:rsid w:val="00E61F58"/>
    <w:rsid w:val="00E66313"/>
    <w:rsid w:val="00E86D4B"/>
    <w:rsid w:val="00E908E8"/>
    <w:rsid w:val="00EB6B79"/>
    <w:rsid w:val="00EB7083"/>
    <w:rsid w:val="00ED04BB"/>
    <w:rsid w:val="00EE74DE"/>
    <w:rsid w:val="00EF5245"/>
    <w:rsid w:val="00EF6511"/>
    <w:rsid w:val="00F02669"/>
    <w:rsid w:val="00F15419"/>
    <w:rsid w:val="00F51884"/>
    <w:rsid w:val="00F51902"/>
    <w:rsid w:val="00F82F26"/>
    <w:rsid w:val="00FA3C43"/>
    <w:rsid w:val="00FB36A7"/>
    <w:rsid w:val="00FE4C04"/>
    <w:rsid w:val="00FF68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2736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8D6"/>
    <w:pPr>
      <w:spacing w:before="120" w:after="120" w:line="360" w:lineRule="auto"/>
      <w:jc w:val="both"/>
    </w:pPr>
    <w:rPr>
      <w:rFonts w:ascii="Times New Roman" w:eastAsiaTheme="minorEastAsia" w:hAnsi="Times New Roman" w:cstheme="minorBidi"/>
      <w:sz w:val="24"/>
      <w:szCs w:val="24"/>
      <w:lang w:val="en-GB"/>
    </w:rPr>
  </w:style>
  <w:style w:type="paragraph" w:styleId="Heading1">
    <w:name w:val="heading 1"/>
    <w:basedOn w:val="Normal"/>
    <w:next w:val="Normal"/>
    <w:link w:val="Heading1Char"/>
    <w:uiPriority w:val="9"/>
    <w:qFormat/>
    <w:rsid w:val="00F51902"/>
    <w:pPr>
      <w:spacing w:before="480"/>
      <w:contextualSpacing/>
      <w:outlineLvl w:val="0"/>
    </w:pPr>
    <w:rPr>
      <w:rFonts w:eastAsiaTheme="majorEastAsia" w:cstheme="majorBidi"/>
      <w:b/>
      <w:spacing w:val="5"/>
      <w:sz w:val="28"/>
      <w:szCs w:val="36"/>
    </w:rPr>
  </w:style>
  <w:style w:type="paragraph" w:styleId="Heading2">
    <w:name w:val="heading 2"/>
    <w:basedOn w:val="Normal"/>
    <w:next w:val="Normal"/>
    <w:link w:val="Heading2Char"/>
    <w:uiPriority w:val="9"/>
    <w:unhideWhenUsed/>
    <w:qFormat/>
    <w:rsid w:val="00D5092F"/>
    <w:pPr>
      <w:spacing w:before="240" w:line="271" w:lineRule="auto"/>
      <w:outlineLvl w:val="1"/>
    </w:pPr>
    <w:rPr>
      <w:b/>
      <w:i/>
      <w:szCs w:val="28"/>
    </w:rPr>
  </w:style>
  <w:style w:type="paragraph" w:styleId="Heading3">
    <w:name w:val="heading 3"/>
    <w:basedOn w:val="Normal"/>
    <w:next w:val="Normal"/>
    <w:link w:val="Heading3Char"/>
    <w:uiPriority w:val="9"/>
    <w:semiHidden/>
    <w:unhideWhenUsed/>
    <w:qFormat/>
    <w:rsid w:val="00EB7083"/>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EB7083"/>
    <w:pPr>
      <w:spacing w:after="0" w:line="271" w:lineRule="auto"/>
      <w:outlineLvl w:val="3"/>
    </w:pPr>
    <w:rPr>
      <w:b/>
      <w:bCs/>
      <w:spacing w:val="5"/>
    </w:rPr>
  </w:style>
  <w:style w:type="paragraph" w:styleId="Heading5">
    <w:name w:val="heading 5"/>
    <w:basedOn w:val="Normal"/>
    <w:next w:val="Normal"/>
    <w:link w:val="Heading5Char"/>
    <w:uiPriority w:val="9"/>
    <w:semiHidden/>
    <w:unhideWhenUsed/>
    <w:qFormat/>
    <w:rsid w:val="00EB7083"/>
    <w:pPr>
      <w:spacing w:after="0" w:line="271" w:lineRule="auto"/>
      <w:outlineLvl w:val="4"/>
    </w:pPr>
    <w:rPr>
      <w:i/>
      <w:iCs/>
    </w:rPr>
  </w:style>
  <w:style w:type="paragraph" w:styleId="Heading6">
    <w:name w:val="heading 6"/>
    <w:basedOn w:val="Normal"/>
    <w:next w:val="Normal"/>
    <w:link w:val="Heading6Char"/>
    <w:uiPriority w:val="9"/>
    <w:semiHidden/>
    <w:unhideWhenUsed/>
    <w:qFormat/>
    <w:rsid w:val="00EB708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EB708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EB708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EB708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1902"/>
    <w:rPr>
      <w:rFonts w:ascii="Times New Roman" w:hAnsi="Times New Roman"/>
      <w:b/>
      <w:spacing w:val="5"/>
      <w:sz w:val="28"/>
      <w:szCs w:val="36"/>
      <w:lang w:val="en-GB"/>
    </w:rPr>
  </w:style>
  <w:style w:type="character" w:customStyle="1" w:styleId="Heading2Char">
    <w:name w:val="Heading 2 Char"/>
    <w:basedOn w:val="DefaultParagraphFont"/>
    <w:link w:val="Heading2"/>
    <w:uiPriority w:val="9"/>
    <w:rsid w:val="00D5092F"/>
    <w:rPr>
      <w:rFonts w:ascii="Times New Roman" w:eastAsiaTheme="minorEastAsia" w:hAnsi="Times New Roman" w:cstheme="minorBidi"/>
      <w:b/>
      <w:i/>
      <w:sz w:val="24"/>
      <w:szCs w:val="28"/>
      <w:lang w:val="en-GB"/>
    </w:rPr>
  </w:style>
  <w:style w:type="character" w:customStyle="1" w:styleId="Heading3Char">
    <w:name w:val="Heading 3 Char"/>
    <w:basedOn w:val="DefaultParagraphFont"/>
    <w:link w:val="Heading3"/>
    <w:uiPriority w:val="9"/>
    <w:semiHidden/>
    <w:rsid w:val="00EB7083"/>
    <w:rPr>
      <w:i/>
      <w:iCs/>
      <w:smallCaps/>
      <w:spacing w:val="5"/>
      <w:sz w:val="26"/>
      <w:szCs w:val="26"/>
    </w:rPr>
  </w:style>
  <w:style w:type="character" w:customStyle="1" w:styleId="Heading4Char">
    <w:name w:val="Heading 4 Char"/>
    <w:basedOn w:val="DefaultParagraphFont"/>
    <w:link w:val="Heading4"/>
    <w:uiPriority w:val="9"/>
    <w:semiHidden/>
    <w:rsid w:val="00EB7083"/>
    <w:rPr>
      <w:b/>
      <w:bCs/>
      <w:spacing w:val="5"/>
      <w:sz w:val="24"/>
      <w:szCs w:val="24"/>
    </w:rPr>
  </w:style>
  <w:style w:type="character" w:customStyle="1" w:styleId="Heading5Char">
    <w:name w:val="Heading 5 Char"/>
    <w:basedOn w:val="DefaultParagraphFont"/>
    <w:link w:val="Heading5"/>
    <w:uiPriority w:val="9"/>
    <w:semiHidden/>
    <w:rsid w:val="00EB7083"/>
    <w:rPr>
      <w:i/>
      <w:iCs/>
      <w:sz w:val="24"/>
      <w:szCs w:val="24"/>
    </w:rPr>
  </w:style>
  <w:style w:type="character" w:customStyle="1" w:styleId="Heading6Char">
    <w:name w:val="Heading 6 Char"/>
    <w:basedOn w:val="DefaultParagraphFont"/>
    <w:link w:val="Heading6"/>
    <w:uiPriority w:val="9"/>
    <w:semiHidden/>
    <w:rsid w:val="00EB708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EB708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EB7083"/>
    <w:rPr>
      <w:b/>
      <w:bCs/>
      <w:color w:val="7F7F7F" w:themeColor="text1" w:themeTint="80"/>
      <w:sz w:val="20"/>
      <w:szCs w:val="20"/>
    </w:rPr>
  </w:style>
  <w:style w:type="character" w:customStyle="1" w:styleId="Heading9Char">
    <w:name w:val="Heading 9 Char"/>
    <w:basedOn w:val="DefaultParagraphFont"/>
    <w:link w:val="Heading9"/>
    <w:uiPriority w:val="9"/>
    <w:semiHidden/>
    <w:rsid w:val="00EB7083"/>
    <w:rPr>
      <w:b/>
      <w:bCs/>
      <w:i/>
      <w:iCs/>
      <w:color w:val="7F7F7F" w:themeColor="text1" w:themeTint="80"/>
      <w:sz w:val="18"/>
      <w:szCs w:val="18"/>
    </w:rPr>
  </w:style>
  <w:style w:type="paragraph" w:styleId="Title">
    <w:name w:val="Title"/>
    <w:basedOn w:val="Normal"/>
    <w:next w:val="Normal"/>
    <w:link w:val="TitleChar"/>
    <w:uiPriority w:val="10"/>
    <w:qFormat/>
    <w:rsid w:val="00EB708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EB7083"/>
    <w:rPr>
      <w:smallCaps/>
      <w:sz w:val="52"/>
      <w:szCs w:val="52"/>
    </w:rPr>
  </w:style>
  <w:style w:type="paragraph" w:styleId="Subtitle">
    <w:name w:val="Subtitle"/>
    <w:basedOn w:val="Normal"/>
    <w:next w:val="Normal"/>
    <w:link w:val="SubtitleChar"/>
    <w:uiPriority w:val="11"/>
    <w:qFormat/>
    <w:rsid w:val="00EB7083"/>
    <w:rPr>
      <w:i/>
      <w:iCs/>
      <w:smallCaps/>
      <w:spacing w:val="10"/>
      <w:sz w:val="28"/>
      <w:szCs w:val="28"/>
    </w:rPr>
  </w:style>
  <w:style w:type="character" w:customStyle="1" w:styleId="SubtitleChar">
    <w:name w:val="Subtitle Char"/>
    <w:basedOn w:val="DefaultParagraphFont"/>
    <w:link w:val="Subtitle"/>
    <w:uiPriority w:val="11"/>
    <w:rsid w:val="00EB7083"/>
    <w:rPr>
      <w:i/>
      <w:iCs/>
      <w:smallCaps/>
      <w:spacing w:val="10"/>
      <w:sz w:val="28"/>
      <w:szCs w:val="28"/>
    </w:rPr>
  </w:style>
  <w:style w:type="character" w:styleId="Strong">
    <w:name w:val="Strong"/>
    <w:uiPriority w:val="22"/>
    <w:qFormat/>
    <w:rsid w:val="00EB7083"/>
    <w:rPr>
      <w:b/>
      <w:bCs/>
    </w:rPr>
  </w:style>
  <w:style w:type="character" w:styleId="Emphasis">
    <w:name w:val="Emphasis"/>
    <w:uiPriority w:val="20"/>
    <w:qFormat/>
    <w:rsid w:val="00EB7083"/>
    <w:rPr>
      <w:b/>
      <w:bCs/>
      <w:i/>
      <w:iCs/>
      <w:spacing w:val="10"/>
    </w:rPr>
  </w:style>
  <w:style w:type="paragraph" w:styleId="NoSpacing">
    <w:name w:val="No Spacing"/>
    <w:basedOn w:val="Normal"/>
    <w:uiPriority w:val="1"/>
    <w:qFormat/>
    <w:rsid w:val="00EB7083"/>
    <w:pPr>
      <w:spacing w:after="0" w:line="240" w:lineRule="auto"/>
    </w:pPr>
  </w:style>
  <w:style w:type="paragraph" w:styleId="ListParagraph">
    <w:name w:val="List Paragraph"/>
    <w:basedOn w:val="Normal"/>
    <w:uiPriority w:val="34"/>
    <w:qFormat/>
    <w:rsid w:val="00EB7083"/>
    <w:pPr>
      <w:ind w:left="720"/>
      <w:contextualSpacing/>
    </w:pPr>
  </w:style>
  <w:style w:type="paragraph" w:styleId="Quote">
    <w:name w:val="Quote"/>
    <w:basedOn w:val="Normal"/>
    <w:next w:val="Normal"/>
    <w:link w:val="QuoteChar"/>
    <w:uiPriority w:val="29"/>
    <w:qFormat/>
    <w:rsid w:val="00EB7083"/>
    <w:rPr>
      <w:i/>
      <w:iCs/>
    </w:rPr>
  </w:style>
  <w:style w:type="character" w:customStyle="1" w:styleId="QuoteChar">
    <w:name w:val="Quote Char"/>
    <w:basedOn w:val="DefaultParagraphFont"/>
    <w:link w:val="Quote"/>
    <w:uiPriority w:val="29"/>
    <w:rsid w:val="00EB7083"/>
    <w:rPr>
      <w:i/>
      <w:iCs/>
    </w:rPr>
  </w:style>
  <w:style w:type="paragraph" w:styleId="IntenseQuote">
    <w:name w:val="Intense Quote"/>
    <w:basedOn w:val="Normal"/>
    <w:next w:val="Normal"/>
    <w:link w:val="IntenseQuoteChar"/>
    <w:uiPriority w:val="30"/>
    <w:qFormat/>
    <w:rsid w:val="00EB7083"/>
    <w:pPr>
      <w:pBdr>
        <w:top w:val="single" w:sz="4" w:space="10" w:color="auto"/>
        <w:bottom w:val="single" w:sz="4" w:space="10" w:color="auto"/>
      </w:pBdr>
      <w:spacing w:before="240" w:after="240" w:line="300" w:lineRule="auto"/>
      <w:ind w:left="1152" w:right="1152"/>
    </w:pPr>
    <w:rPr>
      <w:i/>
      <w:iCs/>
    </w:rPr>
  </w:style>
  <w:style w:type="character" w:customStyle="1" w:styleId="IntenseQuoteChar">
    <w:name w:val="Intense Quote Char"/>
    <w:basedOn w:val="DefaultParagraphFont"/>
    <w:link w:val="IntenseQuote"/>
    <w:uiPriority w:val="30"/>
    <w:rsid w:val="00EB7083"/>
    <w:rPr>
      <w:i/>
      <w:iCs/>
    </w:rPr>
  </w:style>
  <w:style w:type="character" w:styleId="SubtleEmphasis">
    <w:name w:val="Subtle Emphasis"/>
    <w:uiPriority w:val="19"/>
    <w:qFormat/>
    <w:rsid w:val="00EB7083"/>
    <w:rPr>
      <w:i/>
      <w:iCs/>
    </w:rPr>
  </w:style>
  <w:style w:type="character" w:styleId="IntenseEmphasis">
    <w:name w:val="Intense Emphasis"/>
    <w:uiPriority w:val="21"/>
    <w:qFormat/>
    <w:rsid w:val="00EB7083"/>
    <w:rPr>
      <w:b/>
      <w:bCs/>
      <w:i/>
      <w:iCs/>
    </w:rPr>
  </w:style>
  <w:style w:type="character" w:styleId="SubtleReference">
    <w:name w:val="Subtle Reference"/>
    <w:basedOn w:val="DefaultParagraphFont"/>
    <w:uiPriority w:val="31"/>
    <w:qFormat/>
    <w:rsid w:val="00EB7083"/>
    <w:rPr>
      <w:smallCaps/>
    </w:rPr>
  </w:style>
  <w:style w:type="character" w:styleId="IntenseReference">
    <w:name w:val="Intense Reference"/>
    <w:uiPriority w:val="32"/>
    <w:qFormat/>
    <w:rsid w:val="00EB7083"/>
    <w:rPr>
      <w:b/>
      <w:bCs/>
      <w:smallCaps/>
    </w:rPr>
  </w:style>
  <w:style w:type="character" w:styleId="BookTitle">
    <w:name w:val="Book Title"/>
    <w:basedOn w:val="DefaultParagraphFont"/>
    <w:uiPriority w:val="33"/>
    <w:qFormat/>
    <w:rsid w:val="00EB7083"/>
    <w:rPr>
      <w:i/>
      <w:iCs/>
      <w:smallCaps/>
      <w:spacing w:val="5"/>
    </w:rPr>
  </w:style>
  <w:style w:type="paragraph" w:styleId="TOCHeading">
    <w:name w:val="TOC Heading"/>
    <w:basedOn w:val="Heading1"/>
    <w:next w:val="Normal"/>
    <w:uiPriority w:val="39"/>
    <w:semiHidden/>
    <w:unhideWhenUsed/>
    <w:qFormat/>
    <w:rsid w:val="00EB7083"/>
    <w:pPr>
      <w:outlineLvl w:val="9"/>
    </w:pPr>
    <w:rPr>
      <w:lang w:bidi="en-US"/>
    </w:rPr>
  </w:style>
  <w:style w:type="paragraph" w:styleId="DocumentMap">
    <w:name w:val="Document Map"/>
    <w:basedOn w:val="Normal"/>
    <w:link w:val="DocumentMapChar"/>
    <w:uiPriority w:val="99"/>
    <w:semiHidden/>
    <w:unhideWhenUsed/>
    <w:rsid w:val="004B0F3E"/>
    <w:pPr>
      <w:spacing w:before="0" w:after="0" w:line="240" w:lineRule="auto"/>
    </w:pPr>
    <w:rPr>
      <w:rFonts w:cs="Times New Roman"/>
    </w:rPr>
  </w:style>
  <w:style w:type="character" w:customStyle="1" w:styleId="DocumentMapChar">
    <w:name w:val="Document Map Char"/>
    <w:basedOn w:val="DefaultParagraphFont"/>
    <w:link w:val="DocumentMap"/>
    <w:uiPriority w:val="99"/>
    <w:semiHidden/>
    <w:rsid w:val="004B0F3E"/>
    <w:rPr>
      <w:rFonts w:ascii="Times New Roman" w:eastAsiaTheme="minorEastAsia" w:hAnsi="Times New Roman" w:cs="Times New Roman"/>
      <w:sz w:val="24"/>
      <w:szCs w:val="24"/>
      <w:lang w:val="en-GB"/>
    </w:rPr>
  </w:style>
  <w:style w:type="paragraph" w:styleId="FootnoteText">
    <w:name w:val="footnote text"/>
    <w:basedOn w:val="Normal"/>
    <w:link w:val="FootnoteTextChar"/>
    <w:uiPriority w:val="99"/>
    <w:unhideWhenUsed/>
    <w:rsid w:val="00E86D4B"/>
    <w:pPr>
      <w:spacing w:before="0" w:after="0" w:line="240" w:lineRule="auto"/>
    </w:pPr>
    <w:rPr>
      <w:rFonts w:asciiTheme="minorHAnsi" w:hAnsiTheme="minorHAnsi"/>
      <w:lang w:val="en-US"/>
    </w:rPr>
  </w:style>
  <w:style w:type="character" w:customStyle="1" w:styleId="FootnoteTextChar">
    <w:name w:val="Footnote Text Char"/>
    <w:basedOn w:val="DefaultParagraphFont"/>
    <w:link w:val="FootnoteText"/>
    <w:uiPriority w:val="99"/>
    <w:rsid w:val="00E86D4B"/>
    <w:rPr>
      <w:rFonts w:asciiTheme="minorHAnsi" w:eastAsiaTheme="minorEastAsia" w:hAnsiTheme="minorHAnsi" w:cstheme="minorBidi"/>
      <w:sz w:val="24"/>
      <w:szCs w:val="24"/>
    </w:rPr>
  </w:style>
  <w:style w:type="character" w:styleId="FootnoteReference">
    <w:name w:val="footnote reference"/>
    <w:basedOn w:val="DefaultParagraphFont"/>
    <w:uiPriority w:val="99"/>
    <w:unhideWhenUsed/>
    <w:rsid w:val="00E86D4B"/>
    <w:rPr>
      <w:vertAlign w:val="superscript"/>
    </w:rPr>
  </w:style>
  <w:style w:type="character" w:customStyle="1" w:styleId="storytop">
    <w:name w:val="storytop"/>
    <w:basedOn w:val="DefaultParagraphFont"/>
    <w:rsid w:val="00E86D4B"/>
  </w:style>
  <w:style w:type="character" w:styleId="CommentReference">
    <w:name w:val="annotation reference"/>
    <w:basedOn w:val="DefaultParagraphFont"/>
    <w:uiPriority w:val="99"/>
    <w:semiHidden/>
    <w:unhideWhenUsed/>
    <w:rsid w:val="00153BCC"/>
    <w:rPr>
      <w:sz w:val="18"/>
      <w:szCs w:val="18"/>
    </w:rPr>
  </w:style>
  <w:style w:type="paragraph" w:styleId="Bibliography">
    <w:name w:val="Bibliography"/>
    <w:basedOn w:val="Normal"/>
    <w:next w:val="Normal"/>
    <w:uiPriority w:val="37"/>
    <w:unhideWhenUsed/>
    <w:rsid w:val="00D608D6"/>
    <w:pPr>
      <w:spacing w:after="0" w:line="480" w:lineRule="auto"/>
      <w:ind w:left="720" w:hanging="720"/>
    </w:pPr>
  </w:style>
  <w:style w:type="paragraph" w:styleId="CommentText">
    <w:name w:val="annotation text"/>
    <w:basedOn w:val="Normal"/>
    <w:link w:val="CommentTextChar"/>
    <w:uiPriority w:val="99"/>
    <w:semiHidden/>
    <w:unhideWhenUsed/>
    <w:rsid w:val="00153BCC"/>
    <w:pPr>
      <w:spacing w:line="240" w:lineRule="auto"/>
    </w:pPr>
  </w:style>
  <w:style w:type="character" w:customStyle="1" w:styleId="CommentTextChar">
    <w:name w:val="Comment Text Char"/>
    <w:basedOn w:val="DefaultParagraphFont"/>
    <w:link w:val="CommentText"/>
    <w:uiPriority w:val="99"/>
    <w:semiHidden/>
    <w:rsid w:val="00153BCC"/>
    <w:rPr>
      <w:rFonts w:ascii="Times New Roman" w:eastAsiaTheme="minorEastAsia" w:hAnsi="Times New Roman" w:cstheme="minorBidi"/>
      <w:sz w:val="24"/>
      <w:szCs w:val="24"/>
      <w:lang w:val="en-GB"/>
    </w:rPr>
  </w:style>
  <w:style w:type="paragraph" w:styleId="CommentSubject">
    <w:name w:val="annotation subject"/>
    <w:basedOn w:val="CommentText"/>
    <w:next w:val="CommentText"/>
    <w:link w:val="CommentSubjectChar"/>
    <w:uiPriority w:val="99"/>
    <w:semiHidden/>
    <w:unhideWhenUsed/>
    <w:rsid w:val="00153BCC"/>
    <w:rPr>
      <w:b/>
      <w:bCs/>
      <w:sz w:val="20"/>
      <w:szCs w:val="20"/>
    </w:rPr>
  </w:style>
  <w:style w:type="character" w:customStyle="1" w:styleId="CommentSubjectChar">
    <w:name w:val="Comment Subject Char"/>
    <w:basedOn w:val="CommentTextChar"/>
    <w:link w:val="CommentSubject"/>
    <w:uiPriority w:val="99"/>
    <w:semiHidden/>
    <w:rsid w:val="00153BCC"/>
    <w:rPr>
      <w:rFonts w:ascii="Times New Roman" w:eastAsiaTheme="minorEastAsia" w:hAnsi="Times New Roman" w:cstheme="minorBidi"/>
      <w:b/>
      <w:bCs/>
      <w:sz w:val="20"/>
      <w:szCs w:val="20"/>
      <w:lang w:val="en-GB"/>
    </w:rPr>
  </w:style>
  <w:style w:type="paragraph" w:styleId="BalloonText">
    <w:name w:val="Balloon Text"/>
    <w:basedOn w:val="Normal"/>
    <w:link w:val="BalloonTextChar"/>
    <w:uiPriority w:val="99"/>
    <w:semiHidden/>
    <w:unhideWhenUsed/>
    <w:rsid w:val="00153BCC"/>
    <w:pPr>
      <w:spacing w:before="0" w:after="0"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153BCC"/>
    <w:rPr>
      <w:rFonts w:ascii="Times New Roman" w:eastAsiaTheme="minorEastAsia" w:hAnsi="Times New Roman" w:cs="Times New Roman"/>
      <w:sz w:val="18"/>
      <w:szCs w:val="18"/>
      <w:lang w:val="en-GB"/>
    </w:rPr>
  </w:style>
  <w:style w:type="character" w:styleId="EndnoteReference">
    <w:name w:val="endnote reference"/>
    <w:basedOn w:val="DefaultParagraphFont"/>
    <w:uiPriority w:val="99"/>
    <w:semiHidden/>
    <w:unhideWhenUsed/>
    <w:rsid w:val="00045C4E"/>
    <w:rPr>
      <w:vertAlign w:val="superscript"/>
    </w:rPr>
  </w:style>
  <w:style w:type="paragraph" w:customStyle="1" w:styleId="EndNoteBibliography">
    <w:name w:val="EndNote Bibliography"/>
    <w:basedOn w:val="Normal"/>
    <w:rsid w:val="004C1DE6"/>
    <w:pPr>
      <w:spacing w:before="0" w:after="0" w:line="240" w:lineRule="auto"/>
      <w:jc w:val="left"/>
    </w:pPr>
    <w:rPr>
      <w:rFonts w:eastAsia="Cambria" w:cs="Times New Roman"/>
      <w:lang w:val="en-US"/>
    </w:rPr>
  </w:style>
  <w:style w:type="character" w:styleId="Hyperlink">
    <w:name w:val="Hyperlink"/>
    <w:basedOn w:val="DefaultParagraphFont"/>
    <w:uiPriority w:val="99"/>
    <w:unhideWhenUsed/>
    <w:rsid w:val="004C1DE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8D6"/>
    <w:pPr>
      <w:spacing w:before="120" w:after="120" w:line="360" w:lineRule="auto"/>
      <w:jc w:val="both"/>
    </w:pPr>
    <w:rPr>
      <w:rFonts w:ascii="Times New Roman" w:eastAsiaTheme="minorEastAsia" w:hAnsi="Times New Roman" w:cstheme="minorBidi"/>
      <w:sz w:val="24"/>
      <w:szCs w:val="24"/>
      <w:lang w:val="en-GB"/>
    </w:rPr>
  </w:style>
  <w:style w:type="paragraph" w:styleId="Heading1">
    <w:name w:val="heading 1"/>
    <w:basedOn w:val="Normal"/>
    <w:next w:val="Normal"/>
    <w:link w:val="Heading1Char"/>
    <w:uiPriority w:val="9"/>
    <w:qFormat/>
    <w:rsid w:val="00F51902"/>
    <w:pPr>
      <w:spacing w:before="480"/>
      <w:contextualSpacing/>
      <w:outlineLvl w:val="0"/>
    </w:pPr>
    <w:rPr>
      <w:rFonts w:eastAsiaTheme="majorEastAsia" w:cstheme="majorBidi"/>
      <w:b/>
      <w:spacing w:val="5"/>
      <w:sz w:val="28"/>
      <w:szCs w:val="36"/>
    </w:rPr>
  </w:style>
  <w:style w:type="paragraph" w:styleId="Heading2">
    <w:name w:val="heading 2"/>
    <w:basedOn w:val="Normal"/>
    <w:next w:val="Normal"/>
    <w:link w:val="Heading2Char"/>
    <w:uiPriority w:val="9"/>
    <w:unhideWhenUsed/>
    <w:qFormat/>
    <w:rsid w:val="00D5092F"/>
    <w:pPr>
      <w:spacing w:before="240" w:line="271" w:lineRule="auto"/>
      <w:outlineLvl w:val="1"/>
    </w:pPr>
    <w:rPr>
      <w:b/>
      <w:i/>
      <w:szCs w:val="28"/>
    </w:rPr>
  </w:style>
  <w:style w:type="paragraph" w:styleId="Heading3">
    <w:name w:val="heading 3"/>
    <w:basedOn w:val="Normal"/>
    <w:next w:val="Normal"/>
    <w:link w:val="Heading3Char"/>
    <w:uiPriority w:val="9"/>
    <w:semiHidden/>
    <w:unhideWhenUsed/>
    <w:qFormat/>
    <w:rsid w:val="00EB7083"/>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EB7083"/>
    <w:pPr>
      <w:spacing w:after="0" w:line="271" w:lineRule="auto"/>
      <w:outlineLvl w:val="3"/>
    </w:pPr>
    <w:rPr>
      <w:b/>
      <w:bCs/>
      <w:spacing w:val="5"/>
    </w:rPr>
  </w:style>
  <w:style w:type="paragraph" w:styleId="Heading5">
    <w:name w:val="heading 5"/>
    <w:basedOn w:val="Normal"/>
    <w:next w:val="Normal"/>
    <w:link w:val="Heading5Char"/>
    <w:uiPriority w:val="9"/>
    <w:semiHidden/>
    <w:unhideWhenUsed/>
    <w:qFormat/>
    <w:rsid w:val="00EB7083"/>
    <w:pPr>
      <w:spacing w:after="0" w:line="271" w:lineRule="auto"/>
      <w:outlineLvl w:val="4"/>
    </w:pPr>
    <w:rPr>
      <w:i/>
      <w:iCs/>
    </w:rPr>
  </w:style>
  <w:style w:type="paragraph" w:styleId="Heading6">
    <w:name w:val="heading 6"/>
    <w:basedOn w:val="Normal"/>
    <w:next w:val="Normal"/>
    <w:link w:val="Heading6Char"/>
    <w:uiPriority w:val="9"/>
    <w:semiHidden/>
    <w:unhideWhenUsed/>
    <w:qFormat/>
    <w:rsid w:val="00EB708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EB708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EB708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EB708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1902"/>
    <w:rPr>
      <w:rFonts w:ascii="Times New Roman" w:hAnsi="Times New Roman"/>
      <w:b/>
      <w:spacing w:val="5"/>
      <w:sz w:val="28"/>
      <w:szCs w:val="36"/>
      <w:lang w:val="en-GB"/>
    </w:rPr>
  </w:style>
  <w:style w:type="character" w:customStyle="1" w:styleId="Heading2Char">
    <w:name w:val="Heading 2 Char"/>
    <w:basedOn w:val="DefaultParagraphFont"/>
    <w:link w:val="Heading2"/>
    <w:uiPriority w:val="9"/>
    <w:rsid w:val="00D5092F"/>
    <w:rPr>
      <w:rFonts w:ascii="Times New Roman" w:eastAsiaTheme="minorEastAsia" w:hAnsi="Times New Roman" w:cstheme="minorBidi"/>
      <w:b/>
      <w:i/>
      <w:sz w:val="24"/>
      <w:szCs w:val="28"/>
      <w:lang w:val="en-GB"/>
    </w:rPr>
  </w:style>
  <w:style w:type="character" w:customStyle="1" w:styleId="Heading3Char">
    <w:name w:val="Heading 3 Char"/>
    <w:basedOn w:val="DefaultParagraphFont"/>
    <w:link w:val="Heading3"/>
    <w:uiPriority w:val="9"/>
    <w:semiHidden/>
    <w:rsid w:val="00EB7083"/>
    <w:rPr>
      <w:i/>
      <w:iCs/>
      <w:smallCaps/>
      <w:spacing w:val="5"/>
      <w:sz w:val="26"/>
      <w:szCs w:val="26"/>
    </w:rPr>
  </w:style>
  <w:style w:type="character" w:customStyle="1" w:styleId="Heading4Char">
    <w:name w:val="Heading 4 Char"/>
    <w:basedOn w:val="DefaultParagraphFont"/>
    <w:link w:val="Heading4"/>
    <w:uiPriority w:val="9"/>
    <w:semiHidden/>
    <w:rsid w:val="00EB7083"/>
    <w:rPr>
      <w:b/>
      <w:bCs/>
      <w:spacing w:val="5"/>
      <w:sz w:val="24"/>
      <w:szCs w:val="24"/>
    </w:rPr>
  </w:style>
  <w:style w:type="character" w:customStyle="1" w:styleId="Heading5Char">
    <w:name w:val="Heading 5 Char"/>
    <w:basedOn w:val="DefaultParagraphFont"/>
    <w:link w:val="Heading5"/>
    <w:uiPriority w:val="9"/>
    <w:semiHidden/>
    <w:rsid w:val="00EB7083"/>
    <w:rPr>
      <w:i/>
      <w:iCs/>
      <w:sz w:val="24"/>
      <w:szCs w:val="24"/>
    </w:rPr>
  </w:style>
  <w:style w:type="character" w:customStyle="1" w:styleId="Heading6Char">
    <w:name w:val="Heading 6 Char"/>
    <w:basedOn w:val="DefaultParagraphFont"/>
    <w:link w:val="Heading6"/>
    <w:uiPriority w:val="9"/>
    <w:semiHidden/>
    <w:rsid w:val="00EB708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EB708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EB7083"/>
    <w:rPr>
      <w:b/>
      <w:bCs/>
      <w:color w:val="7F7F7F" w:themeColor="text1" w:themeTint="80"/>
      <w:sz w:val="20"/>
      <w:szCs w:val="20"/>
    </w:rPr>
  </w:style>
  <w:style w:type="character" w:customStyle="1" w:styleId="Heading9Char">
    <w:name w:val="Heading 9 Char"/>
    <w:basedOn w:val="DefaultParagraphFont"/>
    <w:link w:val="Heading9"/>
    <w:uiPriority w:val="9"/>
    <w:semiHidden/>
    <w:rsid w:val="00EB7083"/>
    <w:rPr>
      <w:b/>
      <w:bCs/>
      <w:i/>
      <w:iCs/>
      <w:color w:val="7F7F7F" w:themeColor="text1" w:themeTint="80"/>
      <w:sz w:val="18"/>
      <w:szCs w:val="18"/>
    </w:rPr>
  </w:style>
  <w:style w:type="paragraph" w:styleId="Title">
    <w:name w:val="Title"/>
    <w:basedOn w:val="Normal"/>
    <w:next w:val="Normal"/>
    <w:link w:val="TitleChar"/>
    <w:uiPriority w:val="10"/>
    <w:qFormat/>
    <w:rsid w:val="00EB708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EB7083"/>
    <w:rPr>
      <w:smallCaps/>
      <w:sz w:val="52"/>
      <w:szCs w:val="52"/>
    </w:rPr>
  </w:style>
  <w:style w:type="paragraph" w:styleId="Subtitle">
    <w:name w:val="Subtitle"/>
    <w:basedOn w:val="Normal"/>
    <w:next w:val="Normal"/>
    <w:link w:val="SubtitleChar"/>
    <w:uiPriority w:val="11"/>
    <w:qFormat/>
    <w:rsid w:val="00EB7083"/>
    <w:rPr>
      <w:i/>
      <w:iCs/>
      <w:smallCaps/>
      <w:spacing w:val="10"/>
      <w:sz w:val="28"/>
      <w:szCs w:val="28"/>
    </w:rPr>
  </w:style>
  <w:style w:type="character" w:customStyle="1" w:styleId="SubtitleChar">
    <w:name w:val="Subtitle Char"/>
    <w:basedOn w:val="DefaultParagraphFont"/>
    <w:link w:val="Subtitle"/>
    <w:uiPriority w:val="11"/>
    <w:rsid w:val="00EB7083"/>
    <w:rPr>
      <w:i/>
      <w:iCs/>
      <w:smallCaps/>
      <w:spacing w:val="10"/>
      <w:sz w:val="28"/>
      <w:szCs w:val="28"/>
    </w:rPr>
  </w:style>
  <w:style w:type="character" w:styleId="Strong">
    <w:name w:val="Strong"/>
    <w:uiPriority w:val="22"/>
    <w:qFormat/>
    <w:rsid w:val="00EB7083"/>
    <w:rPr>
      <w:b/>
      <w:bCs/>
    </w:rPr>
  </w:style>
  <w:style w:type="character" w:styleId="Emphasis">
    <w:name w:val="Emphasis"/>
    <w:uiPriority w:val="20"/>
    <w:qFormat/>
    <w:rsid w:val="00EB7083"/>
    <w:rPr>
      <w:b/>
      <w:bCs/>
      <w:i/>
      <w:iCs/>
      <w:spacing w:val="10"/>
    </w:rPr>
  </w:style>
  <w:style w:type="paragraph" w:styleId="NoSpacing">
    <w:name w:val="No Spacing"/>
    <w:basedOn w:val="Normal"/>
    <w:uiPriority w:val="1"/>
    <w:qFormat/>
    <w:rsid w:val="00EB7083"/>
    <w:pPr>
      <w:spacing w:after="0" w:line="240" w:lineRule="auto"/>
    </w:pPr>
  </w:style>
  <w:style w:type="paragraph" w:styleId="ListParagraph">
    <w:name w:val="List Paragraph"/>
    <w:basedOn w:val="Normal"/>
    <w:uiPriority w:val="34"/>
    <w:qFormat/>
    <w:rsid w:val="00EB7083"/>
    <w:pPr>
      <w:ind w:left="720"/>
      <w:contextualSpacing/>
    </w:pPr>
  </w:style>
  <w:style w:type="paragraph" w:styleId="Quote">
    <w:name w:val="Quote"/>
    <w:basedOn w:val="Normal"/>
    <w:next w:val="Normal"/>
    <w:link w:val="QuoteChar"/>
    <w:uiPriority w:val="29"/>
    <w:qFormat/>
    <w:rsid w:val="00EB7083"/>
    <w:rPr>
      <w:i/>
      <w:iCs/>
    </w:rPr>
  </w:style>
  <w:style w:type="character" w:customStyle="1" w:styleId="QuoteChar">
    <w:name w:val="Quote Char"/>
    <w:basedOn w:val="DefaultParagraphFont"/>
    <w:link w:val="Quote"/>
    <w:uiPriority w:val="29"/>
    <w:rsid w:val="00EB7083"/>
    <w:rPr>
      <w:i/>
      <w:iCs/>
    </w:rPr>
  </w:style>
  <w:style w:type="paragraph" w:styleId="IntenseQuote">
    <w:name w:val="Intense Quote"/>
    <w:basedOn w:val="Normal"/>
    <w:next w:val="Normal"/>
    <w:link w:val="IntenseQuoteChar"/>
    <w:uiPriority w:val="30"/>
    <w:qFormat/>
    <w:rsid w:val="00EB7083"/>
    <w:pPr>
      <w:pBdr>
        <w:top w:val="single" w:sz="4" w:space="10" w:color="auto"/>
        <w:bottom w:val="single" w:sz="4" w:space="10" w:color="auto"/>
      </w:pBdr>
      <w:spacing w:before="240" w:after="240" w:line="300" w:lineRule="auto"/>
      <w:ind w:left="1152" w:right="1152"/>
    </w:pPr>
    <w:rPr>
      <w:i/>
      <w:iCs/>
    </w:rPr>
  </w:style>
  <w:style w:type="character" w:customStyle="1" w:styleId="IntenseQuoteChar">
    <w:name w:val="Intense Quote Char"/>
    <w:basedOn w:val="DefaultParagraphFont"/>
    <w:link w:val="IntenseQuote"/>
    <w:uiPriority w:val="30"/>
    <w:rsid w:val="00EB7083"/>
    <w:rPr>
      <w:i/>
      <w:iCs/>
    </w:rPr>
  </w:style>
  <w:style w:type="character" w:styleId="SubtleEmphasis">
    <w:name w:val="Subtle Emphasis"/>
    <w:uiPriority w:val="19"/>
    <w:qFormat/>
    <w:rsid w:val="00EB7083"/>
    <w:rPr>
      <w:i/>
      <w:iCs/>
    </w:rPr>
  </w:style>
  <w:style w:type="character" w:styleId="IntenseEmphasis">
    <w:name w:val="Intense Emphasis"/>
    <w:uiPriority w:val="21"/>
    <w:qFormat/>
    <w:rsid w:val="00EB7083"/>
    <w:rPr>
      <w:b/>
      <w:bCs/>
      <w:i/>
      <w:iCs/>
    </w:rPr>
  </w:style>
  <w:style w:type="character" w:styleId="SubtleReference">
    <w:name w:val="Subtle Reference"/>
    <w:basedOn w:val="DefaultParagraphFont"/>
    <w:uiPriority w:val="31"/>
    <w:qFormat/>
    <w:rsid w:val="00EB7083"/>
    <w:rPr>
      <w:smallCaps/>
    </w:rPr>
  </w:style>
  <w:style w:type="character" w:styleId="IntenseReference">
    <w:name w:val="Intense Reference"/>
    <w:uiPriority w:val="32"/>
    <w:qFormat/>
    <w:rsid w:val="00EB7083"/>
    <w:rPr>
      <w:b/>
      <w:bCs/>
      <w:smallCaps/>
    </w:rPr>
  </w:style>
  <w:style w:type="character" w:styleId="BookTitle">
    <w:name w:val="Book Title"/>
    <w:basedOn w:val="DefaultParagraphFont"/>
    <w:uiPriority w:val="33"/>
    <w:qFormat/>
    <w:rsid w:val="00EB7083"/>
    <w:rPr>
      <w:i/>
      <w:iCs/>
      <w:smallCaps/>
      <w:spacing w:val="5"/>
    </w:rPr>
  </w:style>
  <w:style w:type="paragraph" w:styleId="TOCHeading">
    <w:name w:val="TOC Heading"/>
    <w:basedOn w:val="Heading1"/>
    <w:next w:val="Normal"/>
    <w:uiPriority w:val="39"/>
    <w:semiHidden/>
    <w:unhideWhenUsed/>
    <w:qFormat/>
    <w:rsid w:val="00EB7083"/>
    <w:pPr>
      <w:outlineLvl w:val="9"/>
    </w:pPr>
    <w:rPr>
      <w:lang w:bidi="en-US"/>
    </w:rPr>
  </w:style>
  <w:style w:type="paragraph" w:styleId="DocumentMap">
    <w:name w:val="Document Map"/>
    <w:basedOn w:val="Normal"/>
    <w:link w:val="DocumentMapChar"/>
    <w:uiPriority w:val="99"/>
    <w:semiHidden/>
    <w:unhideWhenUsed/>
    <w:rsid w:val="004B0F3E"/>
    <w:pPr>
      <w:spacing w:before="0" w:after="0" w:line="240" w:lineRule="auto"/>
    </w:pPr>
    <w:rPr>
      <w:rFonts w:cs="Times New Roman"/>
    </w:rPr>
  </w:style>
  <w:style w:type="character" w:customStyle="1" w:styleId="DocumentMapChar">
    <w:name w:val="Document Map Char"/>
    <w:basedOn w:val="DefaultParagraphFont"/>
    <w:link w:val="DocumentMap"/>
    <w:uiPriority w:val="99"/>
    <w:semiHidden/>
    <w:rsid w:val="004B0F3E"/>
    <w:rPr>
      <w:rFonts w:ascii="Times New Roman" w:eastAsiaTheme="minorEastAsia" w:hAnsi="Times New Roman" w:cs="Times New Roman"/>
      <w:sz w:val="24"/>
      <w:szCs w:val="24"/>
      <w:lang w:val="en-GB"/>
    </w:rPr>
  </w:style>
  <w:style w:type="paragraph" w:styleId="FootnoteText">
    <w:name w:val="footnote text"/>
    <w:basedOn w:val="Normal"/>
    <w:link w:val="FootnoteTextChar"/>
    <w:uiPriority w:val="99"/>
    <w:unhideWhenUsed/>
    <w:rsid w:val="00E86D4B"/>
    <w:pPr>
      <w:spacing w:before="0" w:after="0" w:line="240" w:lineRule="auto"/>
    </w:pPr>
    <w:rPr>
      <w:rFonts w:asciiTheme="minorHAnsi" w:hAnsiTheme="minorHAnsi"/>
      <w:lang w:val="en-US"/>
    </w:rPr>
  </w:style>
  <w:style w:type="character" w:customStyle="1" w:styleId="FootnoteTextChar">
    <w:name w:val="Footnote Text Char"/>
    <w:basedOn w:val="DefaultParagraphFont"/>
    <w:link w:val="FootnoteText"/>
    <w:uiPriority w:val="99"/>
    <w:rsid w:val="00E86D4B"/>
    <w:rPr>
      <w:rFonts w:asciiTheme="minorHAnsi" w:eastAsiaTheme="minorEastAsia" w:hAnsiTheme="minorHAnsi" w:cstheme="minorBidi"/>
      <w:sz w:val="24"/>
      <w:szCs w:val="24"/>
    </w:rPr>
  </w:style>
  <w:style w:type="character" w:styleId="FootnoteReference">
    <w:name w:val="footnote reference"/>
    <w:basedOn w:val="DefaultParagraphFont"/>
    <w:uiPriority w:val="99"/>
    <w:unhideWhenUsed/>
    <w:rsid w:val="00E86D4B"/>
    <w:rPr>
      <w:vertAlign w:val="superscript"/>
    </w:rPr>
  </w:style>
  <w:style w:type="character" w:customStyle="1" w:styleId="storytop">
    <w:name w:val="storytop"/>
    <w:basedOn w:val="DefaultParagraphFont"/>
    <w:rsid w:val="00E86D4B"/>
  </w:style>
  <w:style w:type="character" w:styleId="CommentReference">
    <w:name w:val="annotation reference"/>
    <w:basedOn w:val="DefaultParagraphFont"/>
    <w:uiPriority w:val="99"/>
    <w:semiHidden/>
    <w:unhideWhenUsed/>
    <w:rsid w:val="00153BCC"/>
    <w:rPr>
      <w:sz w:val="18"/>
      <w:szCs w:val="18"/>
    </w:rPr>
  </w:style>
  <w:style w:type="paragraph" w:styleId="Bibliography">
    <w:name w:val="Bibliography"/>
    <w:basedOn w:val="Normal"/>
    <w:next w:val="Normal"/>
    <w:uiPriority w:val="37"/>
    <w:unhideWhenUsed/>
    <w:rsid w:val="00D608D6"/>
    <w:pPr>
      <w:spacing w:after="0" w:line="480" w:lineRule="auto"/>
      <w:ind w:left="720" w:hanging="720"/>
    </w:pPr>
  </w:style>
  <w:style w:type="paragraph" w:styleId="CommentText">
    <w:name w:val="annotation text"/>
    <w:basedOn w:val="Normal"/>
    <w:link w:val="CommentTextChar"/>
    <w:uiPriority w:val="99"/>
    <w:semiHidden/>
    <w:unhideWhenUsed/>
    <w:rsid w:val="00153BCC"/>
    <w:pPr>
      <w:spacing w:line="240" w:lineRule="auto"/>
    </w:pPr>
  </w:style>
  <w:style w:type="character" w:customStyle="1" w:styleId="CommentTextChar">
    <w:name w:val="Comment Text Char"/>
    <w:basedOn w:val="DefaultParagraphFont"/>
    <w:link w:val="CommentText"/>
    <w:uiPriority w:val="99"/>
    <w:semiHidden/>
    <w:rsid w:val="00153BCC"/>
    <w:rPr>
      <w:rFonts w:ascii="Times New Roman" w:eastAsiaTheme="minorEastAsia" w:hAnsi="Times New Roman" w:cstheme="minorBidi"/>
      <w:sz w:val="24"/>
      <w:szCs w:val="24"/>
      <w:lang w:val="en-GB"/>
    </w:rPr>
  </w:style>
  <w:style w:type="paragraph" w:styleId="CommentSubject">
    <w:name w:val="annotation subject"/>
    <w:basedOn w:val="CommentText"/>
    <w:next w:val="CommentText"/>
    <w:link w:val="CommentSubjectChar"/>
    <w:uiPriority w:val="99"/>
    <w:semiHidden/>
    <w:unhideWhenUsed/>
    <w:rsid w:val="00153BCC"/>
    <w:rPr>
      <w:b/>
      <w:bCs/>
      <w:sz w:val="20"/>
      <w:szCs w:val="20"/>
    </w:rPr>
  </w:style>
  <w:style w:type="character" w:customStyle="1" w:styleId="CommentSubjectChar">
    <w:name w:val="Comment Subject Char"/>
    <w:basedOn w:val="CommentTextChar"/>
    <w:link w:val="CommentSubject"/>
    <w:uiPriority w:val="99"/>
    <w:semiHidden/>
    <w:rsid w:val="00153BCC"/>
    <w:rPr>
      <w:rFonts w:ascii="Times New Roman" w:eastAsiaTheme="minorEastAsia" w:hAnsi="Times New Roman" w:cstheme="minorBidi"/>
      <w:b/>
      <w:bCs/>
      <w:sz w:val="20"/>
      <w:szCs w:val="20"/>
      <w:lang w:val="en-GB"/>
    </w:rPr>
  </w:style>
  <w:style w:type="paragraph" w:styleId="BalloonText">
    <w:name w:val="Balloon Text"/>
    <w:basedOn w:val="Normal"/>
    <w:link w:val="BalloonTextChar"/>
    <w:uiPriority w:val="99"/>
    <w:semiHidden/>
    <w:unhideWhenUsed/>
    <w:rsid w:val="00153BCC"/>
    <w:pPr>
      <w:spacing w:before="0" w:after="0"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153BCC"/>
    <w:rPr>
      <w:rFonts w:ascii="Times New Roman" w:eastAsiaTheme="minorEastAsia" w:hAnsi="Times New Roman" w:cs="Times New Roman"/>
      <w:sz w:val="18"/>
      <w:szCs w:val="18"/>
      <w:lang w:val="en-GB"/>
    </w:rPr>
  </w:style>
  <w:style w:type="character" w:styleId="EndnoteReference">
    <w:name w:val="endnote reference"/>
    <w:basedOn w:val="DefaultParagraphFont"/>
    <w:uiPriority w:val="99"/>
    <w:semiHidden/>
    <w:unhideWhenUsed/>
    <w:rsid w:val="00045C4E"/>
    <w:rPr>
      <w:vertAlign w:val="superscript"/>
    </w:rPr>
  </w:style>
  <w:style w:type="paragraph" w:customStyle="1" w:styleId="EndNoteBibliography">
    <w:name w:val="EndNote Bibliography"/>
    <w:basedOn w:val="Normal"/>
    <w:rsid w:val="004C1DE6"/>
    <w:pPr>
      <w:spacing w:before="0" w:after="0" w:line="240" w:lineRule="auto"/>
      <w:jc w:val="left"/>
    </w:pPr>
    <w:rPr>
      <w:rFonts w:eastAsia="Cambria" w:cs="Times New Roman"/>
      <w:lang w:val="en-US"/>
    </w:rPr>
  </w:style>
  <w:style w:type="character" w:styleId="Hyperlink">
    <w:name w:val="Hyperlink"/>
    <w:basedOn w:val="DefaultParagraphFont"/>
    <w:uiPriority w:val="99"/>
    <w:unhideWhenUsed/>
    <w:rsid w:val="004C1D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540417">
      <w:bodyDiv w:val="1"/>
      <w:marLeft w:val="0"/>
      <w:marRight w:val="0"/>
      <w:marTop w:val="0"/>
      <w:marBottom w:val="0"/>
      <w:divBdr>
        <w:top w:val="none" w:sz="0" w:space="0" w:color="auto"/>
        <w:left w:val="none" w:sz="0" w:space="0" w:color="auto"/>
        <w:bottom w:val="none" w:sz="0" w:space="0" w:color="auto"/>
        <w:right w:val="none" w:sz="0" w:space="0" w:color="auto"/>
      </w:divBdr>
      <w:divsChild>
        <w:div w:id="283464837">
          <w:marLeft w:val="0"/>
          <w:marRight w:val="0"/>
          <w:marTop w:val="0"/>
          <w:marBottom w:val="0"/>
          <w:divBdr>
            <w:top w:val="none" w:sz="0" w:space="0" w:color="auto"/>
            <w:left w:val="none" w:sz="0" w:space="0" w:color="auto"/>
            <w:bottom w:val="none" w:sz="0" w:space="0" w:color="auto"/>
            <w:right w:val="none" w:sz="0" w:space="0" w:color="auto"/>
          </w:divBdr>
          <w:divsChild>
            <w:div w:id="175204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552343">
      <w:bodyDiv w:val="1"/>
      <w:marLeft w:val="0"/>
      <w:marRight w:val="0"/>
      <w:marTop w:val="0"/>
      <w:marBottom w:val="0"/>
      <w:divBdr>
        <w:top w:val="none" w:sz="0" w:space="0" w:color="auto"/>
        <w:left w:val="none" w:sz="0" w:space="0" w:color="auto"/>
        <w:bottom w:val="none" w:sz="0" w:space="0" w:color="auto"/>
        <w:right w:val="none" w:sz="0" w:space="0" w:color="auto"/>
      </w:divBdr>
      <w:divsChild>
        <w:div w:id="858472533">
          <w:marLeft w:val="0"/>
          <w:marRight w:val="0"/>
          <w:marTop w:val="0"/>
          <w:marBottom w:val="0"/>
          <w:divBdr>
            <w:top w:val="none" w:sz="0" w:space="0" w:color="auto"/>
            <w:left w:val="none" w:sz="0" w:space="0" w:color="auto"/>
            <w:bottom w:val="none" w:sz="0" w:space="0" w:color="auto"/>
            <w:right w:val="none" w:sz="0" w:space="0" w:color="auto"/>
          </w:divBdr>
          <w:divsChild>
            <w:div w:id="21647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55298">
      <w:bodyDiv w:val="1"/>
      <w:marLeft w:val="0"/>
      <w:marRight w:val="0"/>
      <w:marTop w:val="0"/>
      <w:marBottom w:val="0"/>
      <w:divBdr>
        <w:top w:val="none" w:sz="0" w:space="0" w:color="auto"/>
        <w:left w:val="none" w:sz="0" w:space="0" w:color="auto"/>
        <w:bottom w:val="none" w:sz="0" w:space="0" w:color="auto"/>
        <w:right w:val="none" w:sz="0" w:space="0" w:color="auto"/>
      </w:divBdr>
      <w:divsChild>
        <w:div w:id="1305234729">
          <w:marLeft w:val="0"/>
          <w:marRight w:val="0"/>
          <w:marTop w:val="0"/>
          <w:marBottom w:val="0"/>
          <w:divBdr>
            <w:top w:val="none" w:sz="0" w:space="0" w:color="auto"/>
            <w:left w:val="none" w:sz="0" w:space="0" w:color="auto"/>
            <w:bottom w:val="none" w:sz="0" w:space="0" w:color="auto"/>
            <w:right w:val="none" w:sz="0" w:space="0" w:color="auto"/>
          </w:divBdr>
          <w:divsChild>
            <w:div w:id="26866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20664">
      <w:bodyDiv w:val="1"/>
      <w:marLeft w:val="0"/>
      <w:marRight w:val="0"/>
      <w:marTop w:val="0"/>
      <w:marBottom w:val="0"/>
      <w:divBdr>
        <w:top w:val="none" w:sz="0" w:space="0" w:color="auto"/>
        <w:left w:val="none" w:sz="0" w:space="0" w:color="auto"/>
        <w:bottom w:val="none" w:sz="0" w:space="0" w:color="auto"/>
        <w:right w:val="none" w:sz="0" w:space="0" w:color="auto"/>
      </w:divBdr>
      <w:divsChild>
        <w:div w:id="2039890904">
          <w:marLeft w:val="0"/>
          <w:marRight w:val="0"/>
          <w:marTop w:val="0"/>
          <w:marBottom w:val="0"/>
          <w:divBdr>
            <w:top w:val="none" w:sz="0" w:space="0" w:color="auto"/>
            <w:left w:val="none" w:sz="0" w:space="0" w:color="auto"/>
            <w:bottom w:val="none" w:sz="0" w:space="0" w:color="auto"/>
            <w:right w:val="none" w:sz="0" w:space="0" w:color="auto"/>
          </w:divBdr>
          <w:divsChild>
            <w:div w:id="109362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748489">
      <w:bodyDiv w:val="1"/>
      <w:marLeft w:val="0"/>
      <w:marRight w:val="0"/>
      <w:marTop w:val="0"/>
      <w:marBottom w:val="0"/>
      <w:divBdr>
        <w:top w:val="none" w:sz="0" w:space="0" w:color="auto"/>
        <w:left w:val="none" w:sz="0" w:space="0" w:color="auto"/>
        <w:bottom w:val="none" w:sz="0" w:space="0" w:color="auto"/>
        <w:right w:val="none" w:sz="0" w:space="0" w:color="auto"/>
      </w:divBdr>
      <w:divsChild>
        <w:div w:id="12614641">
          <w:marLeft w:val="0"/>
          <w:marRight w:val="0"/>
          <w:marTop w:val="0"/>
          <w:marBottom w:val="0"/>
          <w:divBdr>
            <w:top w:val="none" w:sz="0" w:space="0" w:color="auto"/>
            <w:left w:val="none" w:sz="0" w:space="0" w:color="auto"/>
            <w:bottom w:val="none" w:sz="0" w:space="0" w:color="auto"/>
            <w:right w:val="none" w:sz="0" w:space="0" w:color="auto"/>
          </w:divBdr>
          <w:divsChild>
            <w:div w:id="70795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academia.edu/2762324/_Families_First_A_study_into_the_Coalition_Governments_Troubled_Families_Programme_in_Leeds_West_Yorkshire_UK" TargetMode="External"/><Relationship Id="rId9" Type="http://schemas.openxmlformats.org/officeDocument/2006/relationships/hyperlink" Target="http://webarchive.nationalarchives.gov.uk/20121003195935/http://riotspanel.independent.gov.uk/wp-content/uploads/2012/03/Riots-Panel-Final-Report1.pdf" TargetMode="Externa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2D4CC-0E99-C844-AB08-DCFC69AD3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5723</Words>
  <Characters>32624</Characters>
  <Application>Microsoft Macintosh Word</Application>
  <DocSecurity>0</DocSecurity>
  <Lines>271</Lines>
  <Paragraphs>76</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Introduction</vt:lpstr>
      <vt:lpstr>The Rise and Fall of the New Middle Class?</vt:lpstr>
      <vt:lpstr>Social Policy as Discipline in Neo-Liberalisation</vt:lpstr>
      <vt:lpstr>The Troubled Families Programme as Disciplinary Social Policy</vt:lpstr>
      <vt:lpstr>    Research</vt:lpstr>
      <vt:lpstr>    Findings</vt:lpstr>
      <vt:lpstr>References</vt:lpstr>
    </vt:vector>
  </TitlesOfParts>
  <Company/>
  <LinksUpToDate>false</LinksUpToDate>
  <CharactersWithSpaces>38271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Nunn</dc:creator>
  <cp:keywords/>
  <dc:description/>
  <cp:lastModifiedBy>Daniela Tepe-Belfrage</cp:lastModifiedBy>
  <cp:revision>2</cp:revision>
  <dcterms:created xsi:type="dcterms:W3CDTF">2016-07-13T09:01:00Z</dcterms:created>
  <dcterms:modified xsi:type="dcterms:W3CDTF">2016-07-13T09:01:00Z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zotero-version="4.0.29.5"&gt;&lt;session id="MlAmuWbR"/&gt;&lt;style id="http://www.zotero.org/styles/apa" locale="en-US" hasBibliography="1" bibliographyStyleHasBeenSet="1"/&gt;&lt;prefs&gt;&lt;pref name="fieldType" value="Field"/&gt;&lt;pref name="storeReferen</vt:lpwstr>
  </property>
  <property fmtid="{D5CDD505-2E9C-101B-9397-08002B2CF9AE}" pid="3" name="ZOTERO_PREF_2">
    <vt:lpwstr>ces" value="true"/&gt;&lt;pref name="automaticJournalAbbreviations" value="true"/&gt;&lt;pref name="noteType" value=""/&gt;&lt;/prefs&gt;&lt;/data&gt;</vt:lpwstr>
  </property>
</Properties>
</file>