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863" w:rsidRPr="007D0D5D" w:rsidRDefault="00586863" w:rsidP="00194DCF">
      <w:pPr>
        <w:rPr>
          <w:rStyle w:val="Heading2Char"/>
          <w:b/>
          <w:bCs w:val="0"/>
        </w:rPr>
      </w:pPr>
      <w:bookmarkStart w:id="0" w:name="_GoBack"/>
      <w:bookmarkEnd w:id="0"/>
    </w:p>
    <w:p w:rsidR="00586863" w:rsidRPr="007D0D5D" w:rsidRDefault="00586863" w:rsidP="00194DCF">
      <w:pPr>
        <w:rPr>
          <w:rStyle w:val="Heading2Char"/>
          <w:b/>
          <w:bCs w:val="0"/>
        </w:rPr>
      </w:pPr>
    </w:p>
    <w:p w:rsidR="00586863" w:rsidRPr="007D0D5D" w:rsidRDefault="00586863" w:rsidP="00194DCF">
      <w:pPr>
        <w:rPr>
          <w:rStyle w:val="Heading2Char"/>
          <w:b/>
          <w:bCs w:val="0"/>
        </w:rPr>
      </w:pPr>
    </w:p>
    <w:p w:rsidR="00586863" w:rsidRPr="007D0D5D" w:rsidRDefault="00586863" w:rsidP="00194DCF">
      <w:pPr>
        <w:rPr>
          <w:rStyle w:val="Heading2Char"/>
          <w:b/>
          <w:bCs w:val="0"/>
        </w:rPr>
      </w:pPr>
    </w:p>
    <w:p w:rsidR="00586863" w:rsidRPr="007D0D5D" w:rsidRDefault="00586863" w:rsidP="00194DCF">
      <w:pPr>
        <w:rPr>
          <w:rStyle w:val="Heading2Char"/>
          <w:b/>
          <w:bCs w:val="0"/>
        </w:rPr>
      </w:pPr>
    </w:p>
    <w:p w:rsidR="00586863" w:rsidRPr="007D0D5D" w:rsidRDefault="00586863" w:rsidP="00194DCF">
      <w:pPr>
        <w:rPr>
          <w:rStyle w:val="Heading2Char"/>
          <w:b/>
          <w:bCs w:val="0"/>
        </w:rPr>
      </w:pPr>
    </w:p>
    <w:p w:rsidR="00586863" w:rsidRPr="00194DCF" w:rsidRDefault="00391224" w:rsidP="00194DCF">
      <w:pPr>
        <w:jc w:val="center"/>
        <w:rPr>
          <w:caps/>
        </w:rPr>
      </w:pPr>
      <w:r w:rsidRPr="00194DCF">
        <w:rPr>
          <w:rStyle w:val="Heading2Char"/>
          <w:b/>
          <w:bCs w:val="0"/>
          <w:caps w:val="0"/>
        </w:rPr>
        <w:t xml:space="preserve">Uncertainty of Outcome </w:t>
      </w:r>
      <w:r w:rsidR="009F6D46" w:rsidRPr="00194DCF">
        <w:rPr>
          <w:rStyle w:val="Heading2Char"/>
          <w:b/>
          <w:bCs w:val="0"/>
          <w:caps w:val="0"/>
        </w:rPr>
        <w:t>or Star Quality? Television Audience D</w:t>
      </w:r>
      <w:r w:rsidR="00586863" w:rsidRPr="00194DCF">
        <w:rPr>
          <w:rStyle w:val="Heading2Char"/>
          <w:b/>
          <w:bCs w:val="0"/>
          <w:caps w:val="0"/>
        </w:rPr>
        <w:t>em</w:t>
      </w:r>
      <w:r w:rsidR="007D0D5D" w:rsidRPr="00194DCF">
        <w:rPr>
          <w:rStyle w:val="Heading2Char"/>
          <w:b/>
          <w:bCs w:val="0"/>
          <w:caps w:val="0"/>
        </w:rPr>
        <w:t>and for English Premier League F</w:t>
      </w:r>
      <w:r w:rsidR="00586863" w:rsidRPr="00194DCF">
        <w:rPr>
          <w:rStyle w:val="Heading2Char"/>
          <w:b/>
          <w:bCs w:val="0"/>
          <w:caps w:val="0"/>
        </w:rPr>
        <w:t>ootball</w:t>
      </w:r>
    </w:p>
    <w:p w:rsidR="00586863" w:rsidRPr="007D0D5D" w:rsidRDefault="00586863" w:rsidP="0099548F"/>
    <w:p w:rsidR="00586863" w:rsidRPr="007D0D5D" w:rsidRDefault="00586863" w:rsidP="0099548F">
      <w:pPr>
        <w:jc w:val="center"/>
      </w:pPr>
      <w:r w:rsidRPr="007D0D5D">
        <w:t>By</w:t>
      </w:r>
    </w:p>
    <w:p w:rsidR="00586863" w:rsidRPr="007D0D5D" w:rsidRDefault="00586863" w:rsidP="00A157AB">
      <w:pPr>
        <w:jc w:val="center"/>
      </w:pPr>
      <w:r w:rsidRPr="007D0D5D">
        <w:t>Babatunde Buraimo</w:t>
      </w:r>
      <w:r w:rsidRPr="007D0D5D">
        <w:rPr>
          <w:rStyle w:val="FootnoteReference"/>
        </w:rPr>
        <w:footnoteReference w:id="2"/>
      </w:r>
      <w:r w:rsidRPr="007D0D5D">
        <w:br/>
        <w:t>and</w:t>
      </w:r>
      <w:r w:rsidRPr="007D0D5D">
        <w:br/>
        <w:t>Rob Simmons</w:t>
      </w:r>
      <w:r w:rsidRPr="007D0D5D">
        <w:rPr>
          <w:rStyle w:val="FootnoteReference"/>
        </w:rPr>
        <w:footnoteReference w:id="3"/>
      </w:r>
    </w:p>
    <w:p w:rsidR="00586863" w:rsidRPr="007D0D5D" w:rsidRDefault="00586863">
      <w:pPr>
        <w:spacing w:after="200" w:line="276" w:lineRule="auto"/>
        <w:rPr>
          <w:rStyle w:val="Heading2Char"/>
          <w:caps w:val="0"/>
        </w:rPr>
        <w:sectPr w:rsidR="00586863" w:rsidRPr="007D0D5D" w:rsidSect="00586863">
          <w:footerReference w:type="default" r:id="rId9"/>
          <w:footnotePr>
            <w:numFmt w:val="chicago"/>
          </w:footnotePr>
          <w:pgSz w:w="11909" w:h="16834" w:code="9"/>
          <w:pgMar w:top="1440" w:right="1440" w:bottom="1440" w:left="1440" w:header="720" w:footer="720" w:gutter="0"/>
          <w:cols w:space="720"/>
          <w:noEndnote/>
        </w:sectPr>
      </w:pPr>
    </w:p>
    <w:p w:rsidR="00586863" w:rsidRPr="007D0D5D" w:rsidRDefault="00586863">
      <w:pPr>
        <w:spacing w:after="200" w:line="276" w:lineRule="auto"/>
        <w:rPr>
          <w:rStyle w:val="Heading2Char"/>
          <w:caps w:val="0"/>
        </w:rPr>
      </w:pPr>
    </w:p>
    <w:p w:rsidR="00586863" w:rsidRPr="007D0D5D" w:rsidRDefault="009F6D46" w:rsidP="0099548F">
      <w:pPr>
        <w:pStyle w:val="Heading2"/>
        <w:jc w:val="center"/>
        <w:rPr>
          <w:b/>
          <w:caps w:val="0"/>
        </w:rPr>
      </w:pPr>
      <w:r w:rsidRPr="007D0D5D">
        <w:rPr>
          <w:rStyle w:val="Heading2Char"/>
          <w:b/>
          <w:bCs/>
        </w:rPr>
        <w:t xml:space="preserve">Uncertainty of Outcome </w:t>
      </w:r>
      <w:r>
        <w:rPr>
          <w:rStyle w:val="Heading2Char"/>
          <w:b/>
          <w:bCs/>
        </w:rPr>
        <w:t>or Star Quality? Television Audience D</w:t>
      </w:r>
      <w:r w:rsidRPr="007D0D5D">
        <w:rPr>
          <w:rStyle w:val="Heading2Char"/>
          <w:b/>
          <w:bCs/>
        </w:rPr>
        <w:t>emand for English Premier League Football</w:t>
      </w:r>
    </w:p>
    <w:p w:rsidR="00586863" w:rsidRPr="007D0D5D" w:rsidRDefault="00586863" w:rsidP="0099548F"/>
    <w:p w:rsidR="00586863" w:rsidRPr="009F6D46" w:rsidRDefault="00586863" w:rsidP="0099548F">
      <w:pPr>
        <w:pStyle w:val="Heading2"/>
        <w:rPr>
          <w:b/>
          <w:caps w:val="0"/>
        </w:rPr>
      </w:pPr>
      <w:r w:rsidRPr="009F6D46">
        <w:rPr>
          <w:b/>
          <w:caps w:val="0"/>
        </w:rPr>
        <w:t>Abstract</w:t>
      </w:r>
    </w:p>
    <w:p w:rsidR="00586863" w:rsidRPr="007D0D5D" w:rsidRDefault="00586863" w:rsidP="0099548F">
      <w:r w:rsidRPr="007D0D5D">
        <w:t>This paper presents new evidence on the releva</w:t>
      </w:r>
      <w:r w:rsidR="00D8703A" w:rsidRPr="007D0D5D">
        <w:t>nce of uncertainty of outcome for demand for</w:t>
      </w:r>
      <w:r w:rsidRPr="007D0D5D">
        <w:t xml:space="preserve"> sports</w:t>
      </w:r>
      <w:r w:rsidR="00D8703A" w:rsidRPr="007D0D5D">
        <w:t xml:space="preserve"> viewing</w:t>
      </w:r>
      <w:r w:rsidRPr="007D0D5D">
        <w:t xml:space="preserve">. Using television viewing figures </w:t>
      </w:r>
      <w:r w:rsidR="00DB0C3F" w:rsidRPr="007D0D5D">
        <w:t>for</w:t>
      </w:r>
      <w:r w:rsidRPr="007D0D5D">
        <w:t xml:space="preserve"> eight seasons </w:t>
      </w:r>
      <w:r w:rsidR="00DB0C3F" w:rsidRPr="007D0D5D">
        <w:t>from</w:t>
      </w:r>
      <w:r w:rsidRPr="007D0D5D">
        <w:t xml:space="preserve"> the English Premier League, we show that uncertainty of outcome does not have the hypothesised effect on television audience demand. Separating uncertainty of outcome</w:t>
      </w:r>
      <w:r w:rsidR="00D8703A" w:rsidRPr="007D0D5D">
        <w:t xml:space="preserve"> effects</w:t>
      </w:r>
      <w:r w:rsidRPr="007D0D5D">
        <w:t xml:space="preserve"> by season, the results show that</w:t>
      </w:r>
      <w:r w:rsidR="00D8703A" w:rsidRPr="007D0D5D">
        <w:t>, at best,</w:t>
      </w:r>
      <w:r w:rsidRPr="007D0D5D">
        <w:t xml:space="preserve"> uncertainty of out</w:t>
      </w:r>
      <w:r w:rsidR="00D8703A" w:rsidRPr="007D0D5D">
        <w:t>come had imprecise effects on audiences</w:t>
      </w:r>
      <w:r w:rsidRPr="007D0D5D">
        <w:t xml:space="preserve"> in earlier season</w:t>
      </w:r>
      <w:r w:rsidR="0037483A" w:rsidRPr="007D0D5D">
        <w:t>s</w:t>
      </w:r>
      <w:r w:rsidR="00D8703A" w:rsidRPr="007D0D5D">
        <w:t xml:space="preserve"> but zero effect</w:t>
      </w:r>
      <w:r w:rsidR="00CE3413">
        <w:t>s</w:t>
      </w:r>
      <w:r w:rsidRPr="007D0D5D">
        <w:t xml:space="preserve"> in later seasons. Television audiences hav</w:t>
      </w:r>
      <w:r w:rsidR="00D8703A" w:rsidRPr="007D0D5D">
        <w:t xml:space="preserve">e evolved to exhibit </w:t>
      </w:r>
      <w:r w:rsidRPr="007D0D5D">
        <w:t>preference</w:t>
      </w:r>
      <w:r w:rsidR="00D8703A" w:rsidRPr="007D0D5D">
        <w:t>s</w:t>
      </w:r>
      <w:r w:rsidRPr="007D0D5D">
        <w:t xml:space="preserve"> for talent. We suggest that the notion of a pure sporting contest in which uncertainty of outcome matters is no longer relevant and more important is the extent to which sports teams and leagues can increase the quality of the talent on show. </w:t>
      </w:r>
    </w:p>
    <w:p w:rsidR="00586863" w:rsidRPr="009F6D46" w:rsidRDefault="00586863" w:rsidP="0099548F">
      <w:pPr>
        <w:pStyle w:val="Heading2"/>
        <w:rPr>
          <w:b/>
          <w:caps w:val="0"/>
        </w:rPr>
      </w:pPr>
      <w:r w:rsidRPr="009F6D46">
        <w:rPr>
          <w:b/>
          <w:caps w:val="0"/>
        </w:rPr>
        <w:t>Keywords</w:t>
      </w:r>
    </w:p>
    <w:p w:rsidR="00586863" w:rsidRPr="007D0D5D" w:rsidRDefault="00586863" w:rsidP="0099548F">
      <w:r w:rsidRPr="007D0D5D">
        <w:t>Broadcasting, demand, uncertainty of outcome, soccer, football, superstars</w:t>
      </w:r>
    </w:p>
    <w:p w:rsidR="0065339A" w:rsidRPr="009F6D46" w:rsidRDefault="007D0D5D" w:rsidP="0065339A">
      <w:pPr>
        <w:pStyle w:val="Heading2"/>
        <w:rPr>
          <w:b/>
          <w:caps w:val="0"/>
        </w:rPr>
      </w:pPr>
      <w:r w:rsidRPr="009F6D46">
        <w:rPr>
          <w:b/>
          <w:caps w:val="0"/>
        </w:rPr>
        <w:t>JEL Classifications</w:t>
      </w:r>
    </w:p>
    <w:p w:rsidR="0065339A" w:rsidRPr="007D0D5D" w:rsidRDefault="007F670C" w:rsidP="0065339A">
      <w:r w:rsidRPr="007D0D5D">
        <w:t>L82, L83</w:t>
      </w:r>
    </w:p>
    <w:p w:rsidR="00586863" w:rsidRPr="007D0D5D" w:rsidRDefault="00586863" w:rsidP="0099548F"/>
    <w:p w:rsidR="00586863" w:rsidRPr="007D0D5D" w:rsidRDefault="00586863" w:rsidP="0099548F">
      <w:pPr>
        <w:sectPr w:rsidR="00586863" w:rsidRPr="007D0D5D" w:rsidSect="0099548F">
          <w:pgSz w:w="11909" w:h="16834" w:code="9"/>
          <w:pgMar w:top="1440" w:right="1440" w:bottom="1440" w:left="1440" w:header="720" w:footer="720" w:gutter="0"/>
          <w:cols w:space="720"/>
          <w:noEndnote/>
        </w:sectPr>
      </w:pPr>
    </w:p>
    <w:p w:rsidR="00586863" w:rsidRPr="009F6D46" w:rsidRDefault="00586863" w:rsidP="00194DCF">
      <w:pPr>
        <w:pStyle w:val="Heading1"/>
        <w:numPr>
          <w:ilvl w:val="0"/>
          <w:numId w:val="21"/>
        </w:numPr>
      </w:pPr>
      <w:r w:rsidRPr="009F6D46">
        <w:lastRenderedPageBreak/>
        <w:t>Introduction</w:t>
      </w:r>
    </w:p>
    <w:p w:rsidR="00586863" w:rsidRPr="007D0D5D" w:rsidRDefault="00586863" w:rsidP="0099548F">
      <w:r w:rsidRPr="007D0D5D">
        <w:t xml:space="preserve">Economic analyses of professional team sports have generally been different to those of other markets. Unlike conventional markets in which competition is encouraged, economic cooperation is often regarded as a necessary condition in order to maximize consumer welfare. Neale’s </w:t>
      </w:r>
      <w:r w:rsidRPr="007D0D5D">
        <w:rPr>
          <w:noProof/>
        </w:rPr>
        <w:t>(1964)</w:t>
      </w:r>
      <w:r w:rsidRPr="007D0D5D">
        <w:t xml:space="preserve"> seminal contribution appraised the peculiar economics of professional sport. Neale noted, among other things, that monopoly practices were undesirable and there was a need to maintain uncertainty of sporting outcomes. For professional sport to thrive, the presence of viable competitors is desirable so that the unpredictability of sporting outcomes </w:t>
      </w:r>
      <w:r w:rsidR="0037483A" w:rsidRPr="007D0D5D">
        <w:t>is</w:t>
      </w:r>
      <w:r w:rsidRPr="007D0D5D">
        <w:t xml:space="preserve"> maximised. Essentially, the values of sporting contests are maximised if rivals are evenly matched as this creates </w:t>
      </w:r>
      <w:r w:rsidRPr="007D0D5D">
        <w:rPr>
          <w:i/>
        </w:rPr>
        <w:t>uncertainty of outcome</w:t>
      </w:r>
      <w:r w:rsidRPr="007D0D5D">
        <w:t xml:space="preserve">. </w:t>
      </w:r>
    </w:p>
    <w:p w:rsidR="00586863" w:rsidRPr="007D0D5D" w:rsidRDefault="00586863" w:rsidP="0099548F">
      <w:pPr>
        <w:ind w:firstLine="720"/>
      </w:pPr>
      <w:r w:rsidRPr="007D0D5D">
        <w:t>Attempts to maximise uncertainty of outcome in professional sports have seen the introduction of policies aimed at equalising the playing strengths of teams organised in leagues. In North American</w:t>
      </w:r>
      <w:r w:rsidR="0037483A" w:rsidRPr="007D0D5D">
        <w:t xml:space="preserve"> sports</w:t>
      </w:r>
      <w:r w:rsidRPr="007D0D5D">
        <w:t>, the use of player drafts, salary caps, luxury tax</w:t>
      </w:r>
      <w:r w:rsidR="0037483A" w:rsidRPr="007D0D5D">
        <w:t>es</w:t>
      </w:r>
      <w:r w:rsidRPr="007D0D5D">
        <w:t xml:space="preserve"> and revenue sharing are aimed at maintaining competitive balance. In Europe, and more specifically European soccer, similar schemes are not as prevalent</w:t>
      </w:r>
      <w:r w:rsidR="00D8703A" w:rsidRPr="007D0D5D">
        <w:t xml:space="preserve"> partly due to the overriding principle of free movement of labour</w:t>
      </w:r>
      <w:r w:rsidR="00730DB2" w:rsidRPr="007D0D5D">
        <w:t>. P</w:t>
      </w:r>
      <w:r w:rsidRPr="007D0D5D">
        <w:t>layers are traded freely although with some constraints</w:t>
      </w:r>
      <w:r w:rsidR="00D8703A" w:rsidRPr="007D0D5D">
        <w:t xml:space="preserve"> relating to work permits for non-EU players</w:t>
      </w:r>
      <w:r w:rsidRPr="007D0D5D">
        <w:t>. Consequently</w:t>
      </w:r>
      <w:r w:rsidR="00CE3413">
        <w:t>,</w:t>
      </w:r>
      <w:r w:rsidRPr="007D0D5D">
        <w:t xml:space="preserve"> talent generally migrates to big budget teams where salaries are likely to be at their highest. The only practice that might have an impact on equalising playing strength is the distribution of broadcast revenue but</w:t>
      </w:r>
      <w:r w:rsidR="00D8703A" w:rsidRPr="007D0D5D">
        <w:t xml:space="preserve"> policies on this vary</w:t>
      </w:r>
      <w:r w:rsidRPr="007D0D5D">
        <w:t xml:space="preserve"> across leagues. For example, since the start of the English Premier League in 1992, broadcast revenue</w:t>
      </w:r>
      <w:r w:rsidR="00730081" w:rsidRPr="007D0D5D">
        <w:t>s have</w:t>
      </w:r>
      <w:r w:rsidRPr="007D0D5D">
        <w:t xml:space="preserve"> been systematically shared between its member clubs</w:t>
      </w:r>
      <w:r w:rsidR="00D90C63" w:rsidRPr="007D0D5D">
        <w:t xml:space="preserve"> whereas clubs negotiate broadcast rights on an individual basis in Spain</w:t>
      </w:r>
      <w:r w:rsidRPr="007D0D5D">
        <w:t xml:space="preserve">. Irrespective of whether </w:t>
      </w:r>
      <w:r w:rsidR="0037483A" w:rsidRPr="007D0D5D">
        <w:t xml:space="preserve">policies to maintain some form of equality between teams </w:t>
      </w:r>
      <w:r w:rsidRPr="007D0D5D">
        <w:t xml:space="preserve">actually achieve the desired outcome, league authorities have often defended </w:t>
      </w:r>
      <w:r w:rsidR="0037483A" w:rsidRPr="007D0D5D">
        <w:t>these policies</w:t>
      </w:r>
      <w:r w:rsidRPr="007D0D5D">
        <w:t xml:space="preserve"> on the </w:t>
      </w:r>
      <w:r w:rsidRPr="007D0D5D">
        <w:lastRenderedPageBreak/>
        <w:t>grounds of preserving uncertainty of outcome. However, an important consideration for policymakers is whether preserving uncertainty of outcome is actually welfare-maximising.</w:t>
      </w:r>
    </w:p>
    <w:p w:rsidR="00586863" w:rsidRPr="007D0D5D" w:rsidRDefault="00586863" w:rsidP="0099548F">
      <w:pPr>
        <w:ind w:firstLine="720"/>
      </w:pPr>
      <w:r w:rsidRPr="007D0D5D">
        <w:t xml:space="preserve">The relevance of uncertainty of outcome needs to be re-assessed in the era of modern professional sports. As a theoretical conjecture that was first put forward in the 1950s </w:t>
      </w:r>
      <w:r w:rsidRPr="007D0D5D">
        <w:rPr>
          <w:noProof/>
        </w:rPr>
        <w:t>(Rottenberg, 1956)</w:t>
      </w:r>
      <w:r w:rsidRPr="007D0D5D">
        <w:t xml:space="preserve">, it has strong merits; the validity of any sporting contest surely depends on the comparative strengths of </w:t>
      </w:r>
      <w:r w:rsidR="00730081" w:rsidRPr="007D0D5D">
        <w:t>rivals</w:t>
      </w:r>
      <w:r w:rsidRPr="007D0D5D">
        <w:t xml:space="preserve"> involved and whether outcome</w:t>
      </w:r>
      <w:r w:rsidR="00730081" w:rsidRPr="007D0D5D">
        <w:t>s are</w:t>
      </w:r>
      <w:r w:rsidRPr="007D0D5D">
        <w:t xml:space="preserve"> predetermined. However, there is a need for such a conjecture to be empirically validated particularly if it is going to be the basis of policy making and management practice. This is even more relevant as there have been numerous changes occurring in professional sports. Specifically,</w:t>
      </w:r>
      <w:r w:rsidR="00212D84">
        <w:t xml:space="preserve"> in the past</w:t>
      </w:r>
      <w:r w:rsidRPr="007D0D5D">
        <w:t xml:space="preserve"> the audience</w:t>
      </w:r>
      <w:r w:rsidR="00730081" w:rsidRPr="007D0D5D">
        <w:t>s</w:t>
      </w:r>
      <w:r w:rsidRPr="007D0D5D">
        <w:t xml:space="preserve"> for professional team sports </w:t>
      </w:r>
      <w:r w:rsidR="00730081" w:rsidRPr="007D0D5D">
        <w:t>have</w:t>
      </w:r>
      <w:r w:rsidRPr="007D0D5D">
        <w:t xml:space="preserve"> predominantly been stadium goers and they have been the dominant source of revenue for leagues and teams. More recently, however, globalisation and adv</w:t>
      </w:r>
      <w:r w:rsidR="00730DB2" w:rsidRPr="007D0D5D">
        <w:t>ances in technology have attracted</w:t>
      </w:r>
      <w:r w:rsidRPr="007D0D5D">
        <w:t xml:space="preserve"> new consumer</w:t>
      </w:r>
      <w:r w:rsidR="0037483A" w:rsidRPr="007D0D5D">
        <w:t>s</w:t>
      </w:r>
      <w:r w:rsidRPr="007D0D5D">
        <w:t xml:space="preserve"> and broadcasting is now a more dominant source of revenue. Many of the world’s leading sports leagues now generate the majority of their revenue from the sale of rights to broadcasters who in turn broadcast matches across different platforms and territories </w:t>
      </w:r>
      <w:r w:rsidRPr="007D0D5D">
        <w:rPr>
          <w:noProof/>
        </w:rPr>
        <w:t>(Cave and Crandall, 2001; Solberg, 2007)</w:t>
      </w:r>
      <w:r w:rsidRPr="007D0D5D">
        <w:t xml:space="preserve">. </w:t>
      </w:r>
      <w:r w:rsidR="007F670C" w:rsidRPr="007D0D5D">
        <w:t>According to Deloitte data, i</w:t>
      </w:r>
      <w:r w:rsidRPr="007D0D5D">
        <w:t xml:space="preserve">n the 2010-11 season, revenue from broadcasting accounted for 52% </w:t>
      </w:r>
      <w:r w:rsidR="0037483A" w:rsidRPr="007D0D5D">
        <w:t xml:space="preserve">of total revenue </w:t>
      </w:r>
      <w:r w:rsidRPr="007D0D5D">
        <w:t xml:space="preserve">in the English Premier League, 45% in Spain’s Primera Liga and 60% in Italy’s Serie A. Given the growing importance of broadcasting and television audiences compared with the traditional markets </w:t>
      </w:r>
      <w:r w:rsidR="000F3E56">
        <w:t>of stadium goers, the consideration</w:t>
      </w:r>
      <w:r w:rsidRPr="007D0D5D">
        <w:t xml:space="preserve"> of uncertainty of outcome should not be limited to consumers who attend sporting contests live at stadia. Television audiences and their preferences for outcome uncertainty should be given greater prominence in empirical analysis. Unfortunately, the data needed for this task tend to be elusive.</w:t>
      </w:r>
    </w:p>
    <w:p w:rsidR="00586863" w:rsidRPr="007D0D5D" w:rsidRDefault="00586863" w:rsidP="0099548F">
      <w:pPr>
        <w:ind w:firstLine="720"/>
      </w:pPr>
      <w:r w:rsidRPr="007D0D5D">
        <w:lastRenderedPageBreak/>
        <w:t xml:space="preserve">This paper examines the economic importance of uncertainty of outcome among television audiences in the English Premier League. The results show that the overall impact of uncertainty of outcome on television audiences is not significantly different from zero. Separating the impact of uncertainty of outcome across different seasons </w:t>
      </w:r>
      <w:r w:rsidR="00730081" w:rsidRPr="007D0D5D">
        <w:t>is</w:t>
      </w:r>
      <w:r w:rsidRPr="007D0D5D">
        <w:t xml:space="preserve"> revealing. The impact of uncertainty of outcome on television audiences in earlier seasons is significant</w:t>
      </w:r>
      <w:r w:rsidR="00D8703A" w:rsidRPr="007D0D5D">
        <w:t xml:space="preserve"> but only at</w:t>
      </w:r>
      <w:r w:rsidR="007F670C" w:rsidRPr="007D0D5D">
        <w:t xml:space="preserve"> the</w:t>
      </w:r>
      <w:r w:rsidR="00D8703A" w:rsidRPr="007D0D5D">
        <w:t xml:space="preserve"> 10 per cent level. A</w:t>
      </w:r>
      <w:r w:rsidRPr="007D0D5D">
        <w:t>s the seasons progress from earlier to more recent ones, the impacts</w:t>
      </w:r>
      <w:r w:rsidR="00D8703A" w:rsidRPr="007D0D5D">
        <w:t xml:space="preserve"> of outcome uncertainty</w:t>
      </w:r>
      <w:r w:rsidRPr="007D0D5D">
        <w:t xml:space="preserve"> </w:t>
      </w:r>
      <w:r w:rsidR="00D8703A" w:rsidRPr="007D0D5D">
        <w:t>fall to zero</w:t>
      </w:r>
      <w:r w:rsidRPr="007D0D5D">
        <w:t>. Rather than valuing contests in which outcomes are uncertain, television audiences now have a preference for matches</w:t>
      </w:r>
      <w:r w:rsidR="00DD214E" w:rsidRPr="007D0D5D">
        <w:t xml:space="preserve"> in which the quality of talent</w:t>
      </w:r>
      <w:r w:rsidR="00D8703A" w:rsidRPr="007D0D5D">
        <w:t xml:space="preserve"> (proxied here by the clubs’ wage bills)</w:t>
      </w:r>
      <w:r w:rsidRPr="007D0D5D">
        <w:t xml:space="preserve"> is high. The change in preference from uncertainty of outcome to quality of playing talent captures a fundamental shift. “Pure” sporting contests are no longer of value and have been superseded by entertainment to be delivered by sports superstars.</w:t>
      </w:r>
    </w:p>
    <w:p w:rsidR="00586863" w:rsidRPr="007D0D5D" w:rsidRDefault="00586863" w:rsidP="0099548F">
      <w:pPr>
        <w:ind w:firstLine="720"/>
      </w:pPr>
      <w:r w:rsidRPr="007D0D5D">
        <w:t xml:space="preserve">The rest of the article is organised as follows. </w:t>
      </w:r>
      <w:r w:rsidR="00D8703A" w:rsidRPr="007D0D5D">
        <w:t xml:space="preserve">Section </w:t>
      </w:r>
      <w:r w:rsidR="005E36E2">
        <w:t>2</w:t>
      </w:r>
      <w:r w:rsidR="00D8703A" w:rsidRPr="007D0D5D">
        <w:t xml:space="preserve"> reviews the literature on the relationship between outcome uncertainty and attendance demand in sports</w:t>
      </w:r>
      <w:r w:rsidR="005E36E2">
        <w:t>. Section 3 presents the setting</w:t>
      </w:r>
      <w:r w:rsidR="000C0B3D" w:rsidRPr="007D0D5D">
        <w:t xml:space="preserve"> while Section </w:t>
      </w:r>
      <w:r w:rsidR="005E36E2">
        <w:t>4</w:t>
      </w:r>
      <w:r w:rsidR="000C0B3D" w:rsidRPr="007D0D5D">
        <w:t xml:space="preserve"> sets out our data set and empirical model</w:t>
      </w:r>
      <w:r w:rsidR="00074189" w:rsidRPr="007D0D5D">
        <w:t>s</w:t>
      </w:r>
      <w:r w:rsidR="00D8703A" w:rsidRPr="007D0D5D">
        <w:t xml:space="preserve">. </w:t>
      </w:r>
      <w:r w:rsidRPr="007D0D5D">
        <w:t>The results are discussed</w:t>
      </w:r>
      <w:r w:rsidR="000C0B3D" w:rsidRPr="007D0D5D">
        <w:t xml:space="preserve"> in Section </w:t>
      </w:r>
      <w:r w:rsidR="005E36E2">
        <w:t>5</w:t>
      </w:r>
      <w:r w:rsidRPr="007D0D5D">
        <w:t xml:space="preserve"> and the final section offers concluding remarks.</w:t>
      </w:r>
    </w:p>
    <w:p w:rsidR="00586863" w:rsidRPr="00F11EF8" w:rsidRDefault="00445A86" w:rsidP="00194DCF">
      <w:pPr>
        <w:pStyle w:val="Heading1"/>
        <w:numPr>
          <w:ilvl w:val="0"/>
          <w:numId w:val="21"/>
        </w:numPr>
      </w:pPr>
      <w:r w:rsidRPr="00F11EF8">
        <w:t>Literature on</w:t>
      </w:r>
      <w:r w:rsidR="00D8703A" w:rsidRPr="00F11EF8">
        <w:t xml:space="preserve"> </w:t>
      </w:r>
      <w:r w:rsidR="00586863" w:rsidRPr="00F11EF8">
        <w:t>Uncertainty of Outcome</w:t>
      </w:r>
    </w:p>
    <w:p w:rsidR="00586863" w:rsidRPr="007D0D5D" w:rsidRDefault="00586863" w:rsidP="0099548F">
      <w:r w:rsidRPr="007D0D5D">
        <w:t xml:space="preserve">The extent to which uncertainty of outcome positively impacts consumer demand and maximises consumer welfare is far from unambiguous </w:t>
      </w:r>
      <w:r w:rsidRPr="007D0D5D">
        <w:rPr>
          <w:noProof/>
        </w:rPr>
        <w:t>(Szymanski, 2003)</w:t>
      </w:r>
      <w:r w:rsidRPr="007D0D5D">
        <w:t>. However, the need to preserve it has been defended by league authorities and the English Premier League is no exception</w:t>
      </w:r>
      <w:r w:rsidR="008D1773" w:rsidRPr="007D0D5D">
        <w:t xml:space="preserve"> (Restrictive Practices Court, 1999)</w:t>
      </w:r>
      <w:r w:rsidRPr="007D0D5D">
        <w:t xml:space="preserve">. Many studies have investigated the relationship between uncertainty of outcome and demand across a variety of leagues and sports. For the most part, these have concentrated on demand for stadium attendance. </w:t>
      </w:r>
    </w:p>
    <w:p w:rsidR="000F3E56" w:rsidRDefault="00586863" w:rsidP="0099548F">
      <w:pPr>
        <w:ind w:firstLine="720"/>
      </w:pPr>
      <w:r w:rsidRPr="007D0D5D">
        <w:lastRenderedPageBreak/>
        <w:t>Uncertainty of outcome can be viewed at three levels: match level; seasonal dimension; and long run</w:t>
      </w:r>
      <w:r w:rsidR="008D1773" w:rsidRPr="007D0D5D">
        <w:t xml:space="preserve"> (Borland and Macdonald, 2003; Szymanski, 2003</w:t>
      </w:r>
      <w:r w:rsidR="00BA1420" w:rsidRPr="007D0D5D">
        <w:t>; Dobson and Goddard, 2011</w:t>
      </w:r>
      <w:r w:rsidR="008D1773" w:rsidRPr="007D0D5D">
        <w:t>)</w:t>
      </w:r>
      <w:r w:rsidRPr="007D0D5D">
        <w:t xml:space="preserve">. The focus of this paper is uncertainty of outcome at the match level. </w:t>
      </w:r>
    </w:p>
    <w:p w:rsidR="00586863" w:rsidRPr="007D0D5D" w:rsidRDefault="00586863" w:rsidP="0099548F">
      <w:pPr>
        <w:ind w:firstLine="720"/>
      </w:pPr>
      <w:r w:rsidRPr="007D0D5D">
        <w:t>In baseball,</w:t>
      </w:r>
      <w:r w:rsidR="00A152F2" w:rsidRPr="007D0D5D">
        <w:t xml:space="preserve"> </w:t>
      </w:r>
      <w:r w:rsidRPr="007D0D5D">
        <w:rPr>
          <w:noProof/>
        </w:rPr>
        <w:t>Knowles</w:t>
      </w:r>
      <w:r w:rsidRPr="007D0D5D">
        <w:rPr>
          <w:i/>
          <w:noProof/>
        </w:rPr>
        <w:t xml:space="preserve"> </w:t>
      </w:r>
      <w:r w:rsidR="00EA0EEC" w:rsidRPr="007D0D5D">
        <w:rPr>
          <w:i/>
          <w:noProof/>
        </w:rPr>
        <w:t>et al.</w:t>
      </w:r>
      <w:r w:rsidRPr="007D0D5D">
        <w:rPr>
          <w:i/>
          <w:noProof/>
        </w:rPr>
        <w:t xml:space="preserve"> </w:t>
      </w:r>
      <w:r w:rsidRPr="007D0D5D">
        <w:rPr>
          <w:noProof/>
        </w:rPr>
        <w:t>(1992)</w:t>
      </w:r>
      <w:r w:rsidRPr="007D0D5D">
        <w:t xml:space="preserve"> examine the effects of uncertainty of outcome on game day attendance. Using the probability of </w:t>
      </w:r>
      <w:r w:rsidR="008D1773" w:rsidRPr="007D0D5D">
        <w:t xml:space="preserve">a </w:t>
      </w:r>
      <w:r w:rsidRPr="007D0D5D">
        <w:t xml:space="preserve">home win as their measure of uncertainty of outcome and controlling for a series of factors, they find in favour of the hypothesis; as the home team’s (or the away team’s) probability of winning became more (less) certain, attendances declined. Attendances were maximised when the home team’s win probability was 0.6 indicating that stadium goers have a preference for </w:t>
      </w:r>
      <w:r w:rsidR="008D1773" w:rsidRPr="007D0D5D">
        <w:t xml:space="preserve">a </w:t>
      </w:r>
      <w:r w:rsidRPr="007D0D5D">
        <w:t xml:space="preserve">home win but not dominance. </w:t>
      </w:r>
      <w:r w:rsidRPr="007D0D5D">
        <w:rPr>
          <w:noProof/>
        </w:rPr>
        <w:t>Lee and Fort</w:t>
      </w:r>
      <w:r w:rsidRPr="007D0D5D">
        <w:t xml:space="preserve"> </w:t>
      </w:r>
      <w:r w:rsidRPr="007D0D5D">
        <w:rPr>
          <w:noProof/>
        </w:rPr>
        <w:t>(2008)</w:t>
      </w:r>
      <w:r w:rsidR="000C319B" w:rsidRPr="007D0D5D">
        <w:rPr>
          <w:noProof/>
        </w:rPr>
        <w:t xml:space="preserve"> and Mills a</w:t>
      </w:r>
      <w:r w:rsidR="00692FEF" w:rsidRPr="007D0D5D">
        <w:rPr>
          <w:noProof/>
        </w:rPr>
        <w:t>n</w:t>
      </w:r>
      <w:r w:rsidR="000C319B" w:rsidRPr="007D0D5D">
        <w:rPr>
          <w:noProof/>
        </w:rPr>
        <w:t>d Fort (2014)</w:t>
      </w:r>
      <w:r w:rsidRPr="007D0D5D">
        <w:t xml:space="preserve"> similarly examine uncertainty of outcome and attendance in baseball across </w:t>
      </w:r>
      <w:r w:rsidR="00FE6F12" w:rsidRPr="007D0D5D">
        <w:t>a long period</w:t>
      </w:r>
      <w:r w:rsidRPr="007D0D5D">
        <w:t>,</w:t>
      </w:r>
      <w:r w:rsidR="000C319B" w:rsidRPr="007D0D5D">
        <w:t xml:space="preserve"> from 1901. H</w:t>
      </w:r>
      <w:r w:rsidRPr="007D0D5D">
        <w:t>owever, they do not find in favour of uncertainty of outcome</w:t>
      </w:r>
      <w:r w:rsidR="000C319B" w:rsidRPr="007D0D5D">
        <w:t xml:space="preserve"> effects</w:t>
      </w:r>
      <w:r w:rsidRPr="007D0D5D">
        <w:t xml:space="preserve"> at the game level. They do find</w:t>
      </w:r>
      <w:r w:rsidR="000C319B" w:rsidRPr="007D0D5D">
        <w:t xml:space="preserve"> some evidence</w:t>
      </w:r>
      <w:r w:rsidRPr="007D0D5D">
        <w:t xml:space="preserve"> in favour of playoff uncertainty. </w:t>
      </w:r>
      <w:r w:rsidR="000C319B" w:rsidRPr="007D0D5D">
        <w:t xml:space="preserve">Coates </w:t>
      </w:r>
      <w:r w:rsidR="000C319B" w:rsidRPr="007D0D5D">
        <w:rPr>
          <w:i/>
        </w:rPr>
        <w:t>et al. (</w:t>
      </w:r>
      <w:r w:rsidR="000C319B" w:rsidRPr="007D0D5D">
        <w:t>2014</w:t>
      </w:r>
      <w:r w:rsidR="000C319B" w:rsidRPr="007D0D5D">
        <w:rPr>
          <w:noProof/>
        </w:rPr>
        <w:t>)</w:t>
      </w:r>
      <w:r w:rsidRPr="007D0D5D">
        <w:t xml:space="preserve"> also study baseball attendance demand b</w:t>
      </w:r>
      <w:r w:rsidR="000C319B" w:rsidRPr="007D0D5D">
        <w:t>ut their results support ‘loss aversion’ and directly contradict the uncertainty of outcome hypothesis</w:t>
      </w:r>
      <w:r w:rsidRPr="007D0D5D">
        <w:t>.</w:t>
      </w:r>
      <w:r w:rsidR="00692FEF" w:rsidRPr="007D0D5D">
        <w:t xml:space="preserve"> They </w:t>
      </w:r>
      <w:r w:rsidR="000C319B" w:rsidRPr="007D0D5D">
        <w:t xml:space="preserve">note that out of 24 attendance demand studies surveyed, only four gave support for the outcome uncertainty hypothesis. </w:t>
      </w:r>
      <w:r w:rsidRPr="007D0D5D">
        <w:t>Analyses of uncertainty of outcome in other sports include</w:t>
      </w:r>
      <w:r w:rsidR="00A9682D" w:rsidRPr="007D0D5D">
        <w:t xml:space="preserve"> international cricket (Sacheti </w:t>
      </w:r>
      <w:r w:rsidR="00EA0EEC" w:rsidRPr="007D0D5D">
        <w:rPr>
          <w:i/>
        </w:rPr>
        <w:t>et al.</w:t>
      </w:r>
      <w:r w:rsidR="00A9682D" w:rsidRPr="007D0D5D">
        <w:rPr>
          <w:i/>
        </w:rPr>
        <w:t xml:space="preserve"> </w:t>
      </w:r>
      <w:r w:rsidR="00A9682D" w:rsidRPr="007D0D5D">
        <w:t>2014),</w:t>
      </w:r>
      <w:r w:rsidR="000C319B" w:rsidRPr="007D0D5D">
        <w:t xml:space="preserve"> </w:t>
      </w:r>
      <w:r w:rsidRPr="007D0D5D">
        <w:t xml:space="preserve">rugby </w:t>
      </w:r>
      <w:r w:rsidRPr="007D0D5D">
        <w:rPr>
          <w:noProof/>
        </w:rPr>
        <w:t>(Owen and Weatherston, 200</w:t>
      </w:r>
      <w:r w:rsidR="008D1773" w:rsidRPr="007D0D5D">
        <w:rPr>
          <w:noProof/>
        </w:rPr>
        <w:t>4a; Owen and Weatherston, 2004b</w:t>
      </w:r>
      <w:r w:rsidRPr="007D0D5D">
        <w:rPr>
          <w:noProof/>
        </w:rPr>
        <w:t>)</w:t>
      </w:r>
      <w:r w:rsidRPr="007D0D5D">
        <w:t xml:space="preserve">, NBA basketball </w:t>
      </w:r>
      <w:r w:rsidR="00AE4E6F" w:rsidRPr="007D0D5D">
        <w:rPr>
          <w:noProof/>
        </w:rPr>
        <w:t>(Rascher and Solmes</w:t>
      </w:r>
      <w:r w:rsidRPr="007D0D5D">
        <w:rPr>
          <w:noProof/>
        </w:rPr>
        <w:t>, 2007</w:t>
      </w:r>
      <w:r w:rsidR="008D1773" w:rsidRPr="007D0D5D">
        <w:rPr>
          <w:noProof/>
        </w:rPr>
        <w:t>), college football (</w:t>
      </w:r>
      <w:r w:rsidRPr="007D0D5D">
        <w:rPr>
          <w:noProof/>
        </w:rPr>
        <w:t>Paul</w:t>
      </w:r>
      <w:r w:rsidRPr="007D0D5D">
        <w:rPr>
          <w:i/>
          <w:noProof/>
        </w:rPr>
        <w:t xml:space="preserve"> </w:t>
      </w:r>
      <w:r w:rsidR="00EA0EEC" w:rsidRPr="007D0D5D">
        <w:rPr>
          <w:i/>
          <w:noProof/>
        </w:rPr>
        <w:t>et al.</w:t>
      </w:r>
      <w:r w:rsidRPr="007D0D5D">
        <w:rPr>
          <w:noProof/>
        </w:rPr>
        <w:t>, 2012)</w:t>
      </w:r>
      <w:r w:rsidRPr="007D0D5D">
        <w:t xml:space="preserve">, American football </w:t>
      </w:r>
      <w:r w:rsidRPr="007D0D5D">
        <w:rPr>
          <w:noProof/>
        </w:rPr>
        <w:t>(Paul</w:t>
      </w:r>
      <w:r w:rsidRPr="007D0D5D">
        <w:rPr>
          <w:i/>
          <w:noProof/>
        </w:rPr>
        <w:t xml:space="preserve"> </w:t>
      </w:r>
      <w:r w:rsidR="00EA0EEC" w:rsidRPr="007D0D5D">
        <w:rPr>
          <w:i/>
          <w:noProof/>
        </w:rPr>
        <w:t>et al.</w:t>
      </w:r>
      <w:r w:rsidRPr="007D0D5D">
        <w:rPr>
          <w:noProof/>
        </w:rPr>
        <w:t>, 2011)</w:t>
      </w:r>
      <w:r w:rsidRPr="007D0D5D">
        <w:t xml:space="preserve"> and soccer </w:t>
      </w:r>
      <w:r w:rsidRPr="007D0D5D">
        <w:rPr>
          <w:noProof/>
        </w:rPr>
        <w:t>(Buraimo</w:t>
      </w:r>
      <w:r w:rsidRPr="007D0D5D">
        <w:rPr>
          <w:i/>
          <w:noProof/>
        </w:rPr>
        <w:t xml:space="preserve"> </w:t>
      </w:r>
      <w:r w:rsidR="00EA0EEC" w:rsidRPr="007D0D5D">
        <w:rPr>
          <w:i/>
          <w:noProof/>
        </w:rPr>
        <w:t>et al.</w:t>
      </w:r>
      <w:r w:rsidRPr="007D0D5D">
        <w:rPr>
          <w:noProof/>
        </w:rPr>
        <w:t>, 2007; Buraimo and Simmons, 2008; Czarnitzki and Stadtmann, 2002; Pawlowski, 2013)</w:t>
      </w:r>
      <w:r w:rsidRPr="007D0D5D">
        <w:t xml:space="preserve">. </w:t>
      </w:r>
    </w:p>
    <w:p w:rsidR="002231CB" w:rsidRPr="007D0D5D" w:rsidRDefault="00586863" w:rsidP="000C319B">
      <w:pPr>
        <w:ind w:firstLine="720"/>
      </w:pPr>
      <w:r w:rsidRPr="007D0D5D">
        <w:t xml:space="preserve">There have been a limited number of studies that have modelled television audience demand and even fewer modelling the effects of uncertainty of outcome on television demand. </w:t>
      </w:r>
      <w:r w:rsidRPr="007D0D5D">
        <w:rPr>
          <w:noProof/>
        </w:rPr>
        <w:t>Forrest</w:t>
      </w:r>
      <w:r w:rsidRPr="007D0D5D">
        <w:rPr>
          <w:i/>
          <w:noProof/>
        </w:rPr>
        <w:t xml:space="preserve"> </w:t>
      </w:r>
      <w:r w:rsidR="00EA0EEC" w:rsidRPr="007D0D5D">
        <w:rPr>
          <w:i/>
          <w:noProof/>
        </w:rPr>
        <w:t>et al.</w:t>
      </w:r>
      <w:r w:rsidRPr="007D0D5D">
        <w:rPr>
          <w:i/>
          <w:noProof/>
        </w:rPr>
        <w:t xml:space="preserve"> </w:t>
      </w:r>
      <w:r w:rsidRPr="007D0D5D">
        <w:rPr>
          <w:noProof/>
        </w:rPr>
        <w:t>(2005)</w:t>
      </w:r>
      <w:r w:rsidR="00451537" w:rsidRPr="007D0D5D">
        <w:rPr>
          <w:noProof/>
        </w:rPr>
        <w:t xml:space="preserve"> were</w:t>
      </w:r>
      <w:r w:rsidRPr="007D0D5D">
        <w:rPr>
          <w:noProof/>
        </w:rPr>
        <w:t xml:space="preserve"> among the first to examine the effects of uncertainty of outcome </w:t>
      </w:r>
      <w:r w:rsidR="00730081" w:rsidRPr="007D0D5D">
        <w:rPr>
          <w:noProof/>
        </w:rPr>
        <w:t>among television audiences</w:t>
      </w:r>
      <w:r w:rsidRPr="007D0D5D">
        <w:rPr>
          <w:noProof/>
        </w:rPr>
        <w:t xml:space="preserve"> and found that uncertainty</w:t>
      </w:r>
      <w:r w:rsidR="00850F6E" w:rsidRPr="007D0D5D">
        <w:rPr>
          <w:noProof/>
        </w:rPr>
        <w:t xml:space="preserve"> of outcome did have the </w:t>
      </w:r>
      <w:r w:rsidR="00850F6E" w:rsidRPr="007D0D5D">
        <w:rPr>
          <w:noProof/>
        </w:rPr>
        <w:lastRenderedPageBreak/>
        <w:t>theor</w:t>
      </w:r>
      <w:r w:rsidRPr="007D0D5D">
        <w:rPr>
          <w:noProof/>
        </w:rPr>
        <w:t>ised impact on audience demand. Bura</w:t>
      </w:r>
      <w:r w:rsidR="00451537" w:rsidRPr="007D0D5D">
        <w:rPr>
          <w:noProof/>
        </w:rPr>
        <w:t>imo and Simmons (2009) analysed</w:t>
      </w:r>
      <w:r w:rsidRPr="007D0D5D">
        <w:rPr>
          <w:noProof/>
        </w:rPr>
        <w:t xml:space="preserve"> demand for both gate attendance and television audiences in Spanish league soccer </w:t>
      </w:r>
      <w:r w:rsidR="006222AB" w:rsidRPr="007D0D5D">
        <w:rPr>
          <w:noProof/>
        </w:rPr>
        <w:t xml:space="preserve">and </w:t>
      </w:r>
      <w:r w:rsidRPr="007D0D5D">
        <w:rPr>
          <w:noProof/>
        </w:rPr>
        <w:t>found that stadium goers disliked uncertainty of outcome</w:t>
      </w:r>
      <w:r w:rsidR="00F83AB3" w:rsidRPr="007D0D5D">
        <w:rPr>
          <w:noProof/>
        </w:rPr>
        <w:t>,</w:t>
      </w:r>
      <w:r w:rsidRPr="007D0D5D">
        <w:rPr>
          <w:noProof/>
        </w:rPr>
        <w:t xml:space="preserve"> however</w:t>
      </w:r>
      <w:r w:rsidR="00F83AB3" w:rsidRPr="007D0D5D">
        <w:rPr>
          <w:noProof/>
        </w:rPr>
        <w:t>,</w:t>
      </w:r>
      <w:r w:rsidRPr="007D0D5D">
        <w:rPr>
          <w:noProof/>
        </w:rPr>
        <w:t xml:space="preserve"> television audiences had a preference </w:t>
      </w:r>
      <w:r w:rsidR="00F83AB3" w:rsidRPr="007D0D5D">
        <w:rPr>
          <w:noProof/>
        </w:rPr>
        <w:t>for</w:t>
      </w:r>
      <w:r w:rsidRPr="007D0D5D">
        <w:rPr>
          <w:noProof/>
        </w:rPr>
        <w:t xml:space="preserve"> it. </w:t>
      </w:r>
      <w:r w:rsidRPr="007D0D5D">
        <w:t xml:space="preserve">Tainsky and McEvoy </w:t>
      </w:r>
      <w:r w:rsidRPr="007D0D5D">
        <w:rPr>
          <w:noProof/>
        </w:rPr>
        <w:t>(2012)</w:t>
      </w:r>
      <w:r w:rsidRPr="007D0D5D">
        <w:t xml:space="preserve"> also examined the effects of uncertainty of outcome </w:t>
      </w:r>
      <w:r w:rsidR="00F83AB3" w:rsidRPr="007D0D5D">
        <w:t xml:space="preserve">on </w:t>
      </w:r>
      <w:r w:rsidRPr="007D0D5D">
        <w:t xml:space="preserve">the size of television audiences in the NFL and found that greater uncertainty resulted in greater audience demand in line with the hypothesis. </w:t>
      </w:r>
      <w:r w:rsidR="003B7ACB" w:rsidRPr="007D0D5D">
        <w:t xml:space="preserve">Alavy </w:t>
      </w:r>
      <w:r w:rsidR="00EA0EEC" w:rsidRPr="007D0D5D">
        <w:rPr>
          <w:i/>
        </w:rPr>
        <w:t>et al.</w:t>
      </w:r>
      <w:r w:rsidR="003B7ACB" w:rsidRPr="007D0D5D">
        <w:rPr>
          <w:i/>
        </w:rPr>
        <w:t xml:space="preserve"> </w:t>
      </w:r>
      <w:r w:rsidR="003B7ACB" w:rsidRPr="007D0D5D">
        <w:t>(2010)</w:t>
      </w:r>
      <w:r w:rsidR="000C0B3D" w:rsidRPr="007D0D5D">
        <w:t xml:space="preserve"> used</w:t>
      </w:r>
      <w:r w:rsidR="00730081" w:rsidRPr="007D0D5D">
        <w:t xml:space="preserve"> minute by minute measures of television audience demand </w:t>
      </w:r>
      <w:r w:rsidR="00823A38" w:rsidRPr="007D0D5D">
        <w:t>in English league football</w:t>
      </w:r>
      <w:r w:rsidR="000C0B3D" w:rsidRPr="007D0D5D">
        <w:t xml:space="preserve"> and</w:t>
      </w:r>
      <w:r w:rsidR="00823A38" w:rsidRPr="007D0D5D">
        <w:t xml:space="preserve"> </w:t>
      </w:r>
      <w:r w:rsidR="00730081" w:rsidRPr="007D0D5D">
        <w:t>found in favour of uncertainty of outcome</w:t>
      </w:r>
      <w:r w:rsidR="000C0B3D" w:rsidRPr="007D0D5D">
        <w:t>. H</w:t>
      </w:r>
      <w:r w:rsidR="00823A38" w:rsidRPr="007D0D5D">
        <w:t>owever, the progression of th</w:t>
      </w:r>
      <w:r w:rsidR="00621B13">
        <w:t>e match and the score line were</w:t>
      </w:r>
      <w:r w:rsidR="00823A38" w:rsidRPr="007D0D5D">
        <w:t xml:space="preserve"> dominant factor</w:t>
      </w:r>
      <w:r w:rsidR="00621B13">
        <w:t>s</w:t>
      </w:r>
      <w:r w:rsidR="00823A38" w:rsidRPr="007D0D5D">
        <w:t xml:space="preserve"> in determining the level of </w:t>
      </w:r>
      <w:r w:rsidR="00074189" w:rsidRPr="007D0D5D">
        <w:t>television audiences</w:t>
      </w:r>
      <w:r w:rsidR="00823A38" w:rsidRPr="007D0D5D">
        <w:t>.</w:t>
      </w:r>
    </w:p>
    <w:p w:rsidR="00194DCF" w:rsidRPr="007D0D5D" w:rsidRDefault="002231CB" w:rsidP="00194DCF">
      <w:pPr>
        <w:ind w:firstLine="720"/>
      </w:pPr>
      <w:r w:rsidRPr="007D0D5D">
        <w:t>Another strand of literature examines the effects of star quality or brands on audience demand. Studies</w:t>
      </w:r>
      <w:r w:rsidR="00024A44" w:rsidRPr="007D0D5D">
        <w:t xml:space="preserve"> finding some effects of star quality</w:t>
      </w:r>
      <w:r w:rsidRPr="007D0D5D">
        <w:t xml:space="preserve"> include Berri </w:t>
      </w:r>
      <w:r w:rsidRPr="007D0D5D">
        <w:rPr>
          <w:i/>
        </w:rPr>
        <w:t xml:space="preserve">et al. </w:t>
      </w:r>
      <w:r w:rsidRPr="007D0D5D">
        <w:t xml:space="preserve">(2004) on National Basketball Association, and Brandes </w:t>
      </w:r>
      <w:r w:rsidR="00EA0EEC" w:rsidRPr="007D0D5D">
        <w:rPr>
          <w:i/>
        </w:rPr>
        <w:t>et al.</w:t>
      </w:r>
      <w:r w:rsidRPr="007D0D5D">
        <w:t xml:space="preserve"> (2008), Czarnitzki and Stadtmann (2002) and Pawlowski and Anders (2012) all on German Bundesliga. These studies all relate to gate attendance and revenues and do not consider the effects of star quality on broadcast audiences, which is our concern in this paper. </w:t>
      </w:r>
      <w:r w:rsidR="00194DCF" w:rsidRPr="007D0D5D">
        <w:t xml:space="preserve">Previous analyses of outcome uncertainty have relied on stadium attendance demand models, partly because television audience data are typically difficult and expensive to obtain. Using a rare television ratings data set from the 2000-01 to 2007-08 seasons, we examine the impact of uncertainty of outcome on the size of television audiences. </w:t>
      </w:r>
    </w:p>
    <w:p w:rsidR="00194DCF" w:rsidRPr="00194DCF" w:rsidRDefault="00194DCF" w:rsidP="00194DCF">
      <w:pPr>
        <w:pStyle w:val="Heading1"/>
        <w:numPr>
          <w:ilvl w:val="0"/>
          <w:numId w:val="21"/>
        </w:numPr>
      </w:pPr>
      <w:r>
        <w:t>The Setting</w:t>
      </w:r>
    </w:p>
    <w:p w:rsidR="006A79D3" w:rsidRPr="007D0D5D" w:rsidRDefault="00823A38" w:rsidP="0099548F">
      <w:pPr>
        <w:ind w:firstLine="720"/>
      </w:pPr>
      <w:r w:rsidRPr="007D0D5D">
        <w:t xml:space="preserve">The setting for this study is the English Premier League. </w:t>
      </w:r>
      <w:r w:rsidR="00586863" w:rsidRPr="007D0D5D">
        <w:t xml:space="preserve">The English Premier League was established in 1992 and </w:t>
      </w:r>
      <w:r w:rsidR="00664E5C" w:rsidRPr="007D0D5D">
        <w:t xml:space="preserve">currently </w:t>
      </w:r>
      <w:r w:rsidR="00586863" w:rsidRPr="007D0D5D">
        <w:t>comprises 20 teams. The</w:t>
      </w:r>
      <w:r w:rsidR="00FE6F12" w:rsidRPr="007D0D5D">
        <w:t xml:space="preserve"> establishment</w:t>
      </w:r>
      <w:r w:rsidR="00586863" w:rsidRPr="007D0D5D">
        <w:t xml:space="preserve"> of the Premier League coinci</w:t>
      </w:r>
      <w:r w:rsidR="000C0B3D" w:rsidRPr="007D0D5D">
        <w:t>ded with a</w:t>
      </w:r>
      <w:r w:rsidR="00586863" w:rsidRPr="007D0D5D">
        <w:t>dvances in technology</w:t>
      </w:r>
      <w:r w:rsidR="000C0B3D" w:rsidRPr="007D0D5D">
        <w:t xml:space="preserve"> which</w:t>
      </w:r>
      <w:r w:rsidR="00586863" w:rsidRPr="007D0D5D">
        <w:t xml:space="preserve"> brought about satellit</w:t>
      </w:r>
      <w:r w:rsidR="000F3E56">
        <w:t>e broadcasting and the entry</w:t>
      </w:r>
      <w:r w:rsidR="00586863" w:rsidRPr="007D0D5D">
        <w:t xml:space="preserve"> of pay-television operators. Their emergence saw a dramatic increase in </w:t>
      </w:r>
      <w:r w:rsidR="00586863" w:rsidRPr="007D0D5D">
        <w:lastRenderedPageBreak/>
        <w:t>broadcast revenue accruing to the top tier of English football. Table 1 shows the rights values to the English Premier League</w:t>
      </w:r>
      <w:r w:rsidR="00074189" w:rsidRPr="007D0D5D">
        <w:t xml:space="preserve"> since it started. The increases</w:t>
      </w:r>
      <w:r w:rsidR="000E5275" w:rsidRPr="007D0D5D">
        <w:t xml:space="preserve"> in</w:t>
      </w:r>
      <w:r w:rsidR="00586863" w:rsidRPr="007D0D5D">
        <w:t xml:space="preserve"> broadcast </w:t>
      </w:r>
      <w:r w:rsidR="002703DF" w:rsidRPr="007D0D5D">
        <w:t>revenues have</w:t>
      </w:r>
      <w:r w:rsidR="00586863" w:rsidRPr="007D0D5D">
        <w:t xml:space="preserve"> made it the most valued soccer league in Europe</w:t>
      </w:r>
      <w:r w:rsidR="0037483A" w:rsidRPr="007D0D5D">
        <w:t xml:space="preserve"> (</w:t>
      </w:r>
      <w:r w:rsidRPr="007D0D5D">
        <w:t>Deloitte, various years</w:t>
      </w:r>
      <w:r w:rsidR="0037483A" w:rsidRPr="007D0D5D">
        <w:t>)</w:t>
      </w:r>
      <w:r w:rsidR="00586863" w:rsidRPr="007D0D5D">
        <w:t xml:space="preserve">. </w:t>
      </w:r>
    </w:p>
    <w:p w:rsidR="00B60244" w:rsidRPr="007D0D5D" w:rsidRDefault="00B60244" w:rsidP="0099548F">
      <w:pPr>
        <w:ind w:firstLine="720"/>
      </w:pPr>
      <w:r w:rsidRPr="007D0D5D">
        <w:t>[Table 1 around here]</w:t>
      </w:r>
    </w:p>
    <w:p w:rsidR="00586863" w:rsidRPr="007D0D5D" w:rsidRDefault="00586863" w:rsidP="0099548F">
      <w:pPr>
        <w:ind w:firstLine="720"/>
      </w:pPr>
      <w:r w:rsidRPr="007D0D5D">
        <w:t>The connection between broadcasting (increase in rights values, revenue sharing among clubs and number of televised games) and the clubs’ motivation to spend large sums in the labour market is an important one</w:t>
      </w:r>
      <w:r w:rsidR="004248B7" w:rsidRPr="007D0D5D">
        <w:t xml:space="preserve"> (Cox</w:t>
      </w:r>
      <w:r w:rsidR="00CE6AA4">
        <w:t>,</w:t>
      </w:r>
      <w:r w:rsidR="004248B7" w:rsidRPr="007D0D5D">
        <w:t xml:space="preserve"> 2012)</w:t>
      </w:r>
      <w:r w:rsidRPr="007D0D5D">
        <w:t xml:space="preserve">. The desire to maximise wins means that clubs are motivated to increase their spending in the labour market. The effect of an increase in </w:t>
      </w:r>
      <w:r w:rsidR="009D12EA" w:rsidRPr="007D0D5D">
        <w:t>wage bill</w:t>
      </w:r>
      <w:r w:rsidRPr="007D0D5D">
        <w:t xml:space="preserve"> spending by club</w:t>
      </w:r>
      <w:r w:rsidR="000E5275" w:rsidRPr="007D0D5D">
        <w:t>s</w:t>
      </w:r>
      <w:r w:rsidRPr="007D0D5D">
        <w:t xml:space="preserve"> </w:t>
      </w:r>
      <w:r w:rsidR="009F44B5" w:rsidRPr="007D0D5D">
        <w:t>in</w:t>
      </w:r>
      <w:r w:rsidR="00024A44" w:rsidRPr="007D0D5D">
        <w:t xml:space="preserve"> the league is substantial</w:t>
      </w:r>
      <w:r w:rsidRPr="007D0D5D">
        <w:t>. The migration of star player talent to the English Premier League makes it a very at</w:t>
      </w:r>
      <w:r w:rsidR="006222AB" w:rsidRPr="007D0D5D">
        <w:t xml:space="preserve">tractive spectacle to viewers. </w:t>
      </w:r>
      <w:r w:rsidRPr="007D0D5D">
        <w:t xml:space="preserve">Broadcasters are willing to invest in this league </w:t>
      </w:r>
      <w:r w:rsidR="009F44B5" w:rsidRPr="007D0D5D">
        <w:t xml:space="preserve">so </w:t>
      </w:r>
      <w:r w:rsidRPr="007D0D5D">
        <w:t>as to maximise television audiences, advertising revenues and subscriptions which in turn</w:t>
      </w:r>
      <w:r w:rsidR="004308B8">
        <w:t xml:space="preserve"> helps maximise</w:t>
      </w:r>
      <w:r w:rsidRPr="007D0D5D">
        <w:t xml:space="preserve"> their profits.</w:t>
      </w:r>
    </w:p>
    <w:p w:rsidR="00AC7270" w:rsidRPr="007D0D5D" w:rsidRDefault="00AC7270" w:rsidP="00AC7270">
      <w:pPr>
        <w:ind w:firstLine="720"/>
      </w:pPr>
      <w:r w:rsidRPr="007D0D5D">
        <w:t>Up until 2003-04, BSkyB</w:t>
      </w:r>
      <w:r w:rsidR="00074189" w:rsidRPr="007D0D5D">
        <w:t>, the principal broadcaster,</w:t>
      </w:r>
      <w:r w:rsidRPr="007D0D5D">
        <w:t xml:space="preserve"> had a monopoly</w:t>
      </w:r>
      <w:r w:rsidR="00024A44" w:rsidRPr="007D0D5D">
        <w:t xml:space="preserve"> over Premier League broadcasts</w:t>
      </w:r>
      <w:r w:rsidRPr="007D0D5D">
        <w:t xml:space="preserve"> and the number of games was limited to 66 games per season. Consequently, consumer demand was concentrated across a limited number of games. However, the European</w:t>
      </w:r>
      <w:r w:rsidR="00024A44" w:rsidRPr="007D0D5D">
        <w:t xml:space="preserve"> Commission was unhappy with </w:t>
      </w:r>
      <w:r w:rsidRPr="007D0D5D">
        <w:t>both the market structure and the limited outputs (Harbord and Szymanski, 2004). In an effort to keep the Commission and other competition authorities at bay, the league increased the rights package to four packages with a total of 138 games.</w:t>
      </w:r>
      <w:r w:rsidR="0065339A" w:rsidRPr="007D0D5D">
        <w:rPr>
          <w:rStyle w:val="EndnoteReference"/>
        </w:rPr>
        <w:endnoteReference w:id="2"/>
      </w:r>
      <w:r w:rsidR="0065339A" w:rsidRPr="007D0D5D">
        <w:t xml:space="preserve"> </w:t>
      </w:r>
      <w:r w:rsidRPr="007D0D5D">
        <w:t xml:space="preserve">The intention of this restructuring was to allow smaller broadcasters to enter the market. Although more and smaller rights packages were available, BSkyB still acquired the rights to all four packages. BSkyB’s monopoly continued but consumers now had a greater number of matches to view (88 matches per season). Whilst the net effect was a reduction in the mean television audience rating the total audience across all matches increased by 176,000 viewers. This suggests that the previous monopoly </w:t>
      </w:r>
      <w:r w:rsidRPr="007D0D5D">
        <w:lastRenderedPageBreak/>
        <w:t xml:space="preserve">arrangements adversely affected consumer </w:t>
      </w:r>
      <w:r w:rsidR="000F3E56">
        <w:t xml:space="preserve">welfare. For the 2007-08 season, </w:t>
      </w:r>
      <w:r w:rsidRPr="007D0D5D">
        <w:t xml:space="preserve">the European Commission ruled that no single broadcaster should acquire all live rights. It was only then that smaller broadcasters entered the market. Setanta was the first and while its involvement in the market was short lived </w:t>
      </w:r>
      <w:r w:rsidRPr="007D0D5D">
        <w:rPr>
          <w:noProof/>
        </w:rPr>
        <w:t>(Buraimo, 2012)</w:t>
      </w:r>
      <w:r w:rsidRPr="007D0D5D">
        <w:t xml:space="preserve">, the subsequent entries of ESPN and, most recently, British Telecom (BT) represented competition in a market that had been monopolised by </w:t>
      </w:r>
      <w:r w:rsidR="00552C3C">
        <w:t>B</w:t>
      </w:r>
      <w:r w:rsidRPr="007D0D5D">
        <w:t>Sky</w:t>
      </w:r>
      <w:r w:rsidR="00552C3C">
        <w:t>B</w:t>
      </w:r>
      <w:r w:rsidRPr="007D0D5D">
        <w:t xml:space="preserve"> for 15 years. </w:t>
      </w:r>
      <w:r w:rsidR="00743BA1" w:rsidRPr="007D0D5D">
        <w:t>The broadcast rights for the period 2013-14 to 2015-16 generated £3.04 billion for the English Premier League (Hughson, 2013).</w:t>
      </w:r>
      <w:r w:rsidR="00AA705F" w:rsidRPr="007D0D5D">
        <w:t xml:space="preserve"> It is this increase in economic significance in the broadcast market for sport which warrants an empirical analysis of the effects of uncertainty of outcome and superstars on television audience demand. </w:t>
      </w:r>
    </w:p>
    <w:p w:rsidR="00586863" w:rsidRPr="00F10FCC" w:rsidRDefault="00790100" w:rsidP="00194DCF">
      <w:pPr>
        <w:pStyle w:val="Heading1"/>
        <w:numPr>
          <w:ilvl w:val="0"/>
          <w:numId w:val="21"/>
        </w:numPr>
      </w:pPr>
      <w:r w:rsidRPr="00F10FCC">
        <w:t>Data and Model</w:t>
      </w:r>
    </w:p>
    <w:p w:rsidR="002D548C" w:rsidRPr="007D0D5D" w:rsidRDefault="002D548C" w:rsidP="002D548C">
      <w:r w:rsidRPr="007D0D5D">
        <w:t xml:space="preserve">Audience data from the 2000-01 to 2007-08 seasons inclusive </w:t>
      </w:r>
      <w:r w:rsidR="00790100" w:rsidRPr="007D0D5D">
        <w:t xml:space="preserve">were obtained from the </w:t>
      </w:r>
      <w:r w:rsidR="00893894" w:rsidRPr="007D0D5D">
        <w:t>print version</w:t>
      </w:r>
      <w:r w:rsidR="0057333B" w:rsidRPr="007D0D5D">
        <w:t>s</w:t>
      </w:r>
      <w:r w:rsidR="00893894" w:rsidRPr="007D0D5D">
        <w:t xml:space="preserve"> of the </w:t>
      </w:r>
      <w:r w:rsidR="00790100" w:rsidRPr="007D0D5D">
        <w:t xml:space="preserve">publication, </w:t>
      </w:r>
      <w:r w:rsidR="00790100" w:rsidRPr="007D0D5D">
        <w:rPr>
          <w:i/>
        </w:rPr>
        <w:t>TV Sports M</w:t>
      </w:r>
      <w:r w:rsidR="000C5582" w:rsidRPr="007D0D5D">
        <w:rPr>
          <w:i/>
        </w:rPr>
        <w:t>arket</w:t>
      </w:r>
      <w:r w:rsidR="00893894" w:rsidRPr="007D0D5D">
        <w:rPr>
          <w:i/>
        </w:rPr>
        <w:t>s</w:t>
      </w:r>
      <w:r w:rsidR="00790100" w:rsidRPr="007D0D5D">
        <w:t xml:space="preserve">. </w:t>
      </w:r>
      <w:r w:rsidRPr="007D0D5D">
        <w:t>The data are limited to these seasons and whilst extending the data would be desirable</w:t>
      </w:r>
      <w:r w:rsidR="00135F1B" w:rsidRPr="007D0D5D">
        <w:t>, this is not feasible since the</w:t>
      </w:r>
      <w:r w:rsidRPr="007D0D5D">
        <w:t xml:space="preserve"> </w:t>
      </w:r>
      <w:r w:rsidR="00893894" w:rsidRPr="007D0D5D">
        <w:t xml:space="preserve">print version of the </w:t>
      </w:r>
      <w:r w:rsidRPr="007D0D5D">
        <w:t>pu</w:t>
      </w:r>
      <w:r w:rsidR="00135F1B" w:rsidRPr="007D0D5D">
        <w:t>blication ceased to</w:t>
      </w:r>
      <w:r w:rsidR="00893894" w:rsidRPr="007D0D5D">
        <w:t xml:space="preserve"> </w:t>
      </w:r>
      <w:r w:rsidR="0057333B" w:rsidRPr="007D0D5D">
        <w:t>publish</w:t>
      </w:r>
      <w:r w:rsidR="00893894" w:rsidRPr="007D0D5D">
        <w:t xml:space="preserve"> the data</w:t>
      </w:r>
      <w:r w:rsidRPr="007D0D5D">
        <w:t xml:space="preserve"> </w:t>
      </w:r>
      <w:r w:rsidR="00743BA1" w:rsidRPr="007D0D5D">
        <w:t>after</w:t>
      </w:r>
      <w:r w:rsidRPr="007D0D5D">
        <w:t xml:space="preserve"> 2008. </w:t>
      </w:r>
    </w:p>
    <w:p w:rsidR="002D548C" w:rsidRPr="007D0D5D" w:rsidRDefault="00893894" w:rsidP="002D548C">
      <w:pPr>
        <w:ind w:firstLine="720"/>
      </w:pPr>
      <w:r w:rsidRPr="007D0D5D">
        <w:t>While t</w:t>
      </w:r>
      <w:r w:rsidR="002D548C" w:rsidRPr="007D0D5D">
        <w:t xml:space="preserve">he source of data </w:t>
      </w:r>
      <w:r w:rsidRPr="007D0D5D">
        <w:t xml:space="preserve">is </w:t>
      </w:r>
      <w:r w:rsidRPr="007D0D5D">
        <w:rPr>
          <w:i/>
        </w:rPr>
        <w:t>TV Sports Markets</w:t>
      </w:r>
      <w:r w:rsidRPr="007D0D5D">
        <w:t xml:space="preserve">, the origin </w:t>
      </w:r>
      <w:r w:rsidR="002D548C" w:rsidRPr="007D0D5D">
        <w:t>is the British Audience Research Board (BARB), a not-for-profit limited company funded by the major broadcasters in the UK and the Institute of Practitioners in Advertising. BARB is the official source for television audience viewing figures in the UK. Audience sizes derive from more than 30,000 electronic viewing devices in a sample of over 5,100 households (barb.co.uk). These devices measure the number of people watching a programme when first transmitted and also when viewed on playback. The data on viewers are captured on a minute by minute basis and then averaged across the duration of the programme to generate audience ratings.</w:t>
      </w:r>
      <w:r w:rsidR="0065339A" w:rsidRPr="007D0D5D">
        <w:rPr>
          <w:rStyle w:val="EndnoteReference"/>
        </w:rPr>
        <w:endnoteReference w:id="3"/>
      </w:r>
      <w:r w:rsidR="0065339A" w:rsidRPr="007D0D5D">
        <w:t xml:space="preserve"> </w:t>
      </w:r>
      <w:r w:rsidR="002D548C" w:rsidRPr="007D0D5D">
        <w:t xml:space="preserve">Unlike the Nielsen Ratings used in the US which measure the share of the population in designated market areas, the UK audience ratings are the estimated number of individuals watching the </w:t>
      </w:r>
      <w:r w:rsidR="002D548C" w:rsidRPr="007D0D5D">
        <w:lastRenderedPageBreak/>
        <w:t xml:space="preserve">programme. Using multi-staged, stratified and unclustered surveys, the viewing figures are then extrapolated for the whole of the UK population (www.barb.co.uk). </w:t>
      </w:r>
    </w:p>
    <w:p w:rsidR="000C5582" w:rsidRPr="007D0D5D" w:rsidRDefault="005B5F30" w:rsidP="00FC3751">
      <w:pPr>
        <w:ind w:firstLine="720"/>
      </w:pPr>
      <w:r w:rsidRPr="007D0D5D">
        <w:t>Table 2</w:t>
      </w:r>
      <w:r w:rsidR="00586863" w:rsidRPr="007D0D5D">
        <w:t xml:space="preserve"> provides summary statistics for the television audience ratings across the sample period.</w:t>
      </w:r>
      <w:r w:rsidR="006E052A" w:rsidRPr="007D0D5D">
        <w:t xml:space="preserve"> </w:t>
      </w:r>
      <w:r w:rsidR="00586863" w:rsidRPr="007D0D5D">
        <w:t xml:space="preserve"> From </w:t>
      </w:r>
      <w:r w:rsidR="00CC7E59">
        <w:t>the summary data, there was</w:t>
      </w:r>
      <w:r w:rsidR="00586863" w:rsidRPr="007D0D5D">
        <w:t xml:space="preserve"> a steady increase in the mean television audience rating from 2000-01 to 2003-04. Since this peak, </w:t>
      </w:r>
      <w:r w:rsidR="00CC7E59">
        <w:t xml:space="preserve">per-match </w:t>
      </w:r>
      <w:r w:rsidR="00586863" w:rsidRPr="007D0D5D">
        <w:t>audience ratings have declin</w:t>
      </w:r>
      <w:r w:rsidR="000C5582" w:rsidRPr="007D0D5D">
        <w:t>ed. The decline coincides with the</w:t>
      </w:r>
      <w:r w:rsidR="00586863" w:rsidRPr="007D0D5D">
        <w:t xml:space="preserve"> structural change in broadcasting regime</w:t>
      </w:r>
      <w:r w:rsidR="00893894" w:rsidRPr="007D0D5D">
        <w:t>.</w:t>
      </w:r>
    </w:p>
    <w:p w:rsidR="00853100" w:rsidRPr="007D0D5D" w:rsidRDefault="005B5F30" w:rsidP="00853100">
      <w:pPr>
        <w:ind w:firstLine="720"/>
      </w:pPr>
      <w:r w:rsidRPr="007D0D5D">
        <w:t>[Table 2</w:t>
      </w:r>
      <w:r w:rsidR="00853100" w:rsidRPr="007D0D5D">
        <w:t xml:space="preserve"> around here]</w:t>
      </w:r>
    </w:p>
    <w:p w:rsidR="006E052A" w:rsidRPr="00371E9E" w:rsidRDefault="00586863" w:rsidP="006E052A">
      <w:pPr>
        <w:pStyle w:val="FootnoteText"/>
        <w:spacing w:line="480" w:lineRule="auto"/>
        <w:rPr>
          <w:sz w:val="24"/>
          <w:szCs w:val="24"/>
        </w:rPr>
      </w:pPr>
      <w:r w:rsidRPr="00371E9E">
        <w:rPr>
          <w:sz w:val="24"/>
          <w:szCs w:val="24"/>
        </w:rPr>
        <w:t xml:space="preserve">Over the 2000-01 to 2007-08 seasons, a total of 660 games from 3,040 were televised. The effective sample </w:t>
      </w:r>
      <w:r w:rsidR="0057333B" w:rsidRPr="00371E9E">
        <w:rPr>
          <w:sz w:val="24"/>
          <w:szCs w:val="24"/>
        </w:rPr>
        <w:t>of</w:t>
      </w:r>
      <w:r w:rsidRPr="00371E9E">
        <w:rPr>
          <w:sz w:val="24"/>
          <w:szCs w:val="24"/>
        </w:rPr>
        <w:t xml:space="preserve"> the </w:t>
      </w:r>
      <w:r w:rsidR="0057333B" w:rsidRPr="00371E9E">
        <w:rPr>
          <w:sz w:val="24"/>
          <w:szCs w:val="24"/>
        </w:rPr>
        <w:t xml:space="preserve">audience </w:t>
      </w:r>
      <w:r w:rsidRPr="00371E9E">
        <w:rPr>
          <w:sz w:val="24"/>
          <w:szCs w:val="24"/>
        </w:rPr>
        <w:t xml:space="preserve">data set comprises 631 televised games. A small number of observations (29 televised games) are dropped due to missing data. </w:t>
      </w:r>
      <w:r w:rsidR="00694489" w:rsidRPr="00371E9E">
        <w:rPr>
          <w:sz w:val="24"/>
          <w:szCs w:val="24"/>
        </w:rPr>
        <w:t>The mean television</w:t>
      </w:r>
      <w:r w:rsidR="00F41DAF" w:rsidRPr="00371E9E">
        <w:rPr>
          <w:sz w:val="24"/>
          <w:szCs w:val="24"/>
        </w:rPr>
        <w:t xml:space="preserve"> </w:t>
      </w:r>
      <w:r w:rsidR="00513A27" w:rsidRPr="00371E9E">
        <w:rPr>
          <w:sz w:val="24"/>
          <w:szCs w:val="24"/>
        </w:rPr>
        <w:t>audience rating was</w:t>
      </w:r>
      <w:r w:rsidR="00694489" w:rsidRPr="00371E9E">
        <w:rPr>
          <w:sz w:val="24"/>
          <w:szCs w:val="24"/>
        </w:rPr>
        <w:t xml:space="preserve"> 978</w:t>
      </w:r>
      <w:r w:rsidR="00DE4E5D" w:rsidRPr="00371E9E">
        <w:rPr>
          <w:sz w:val="24"/>
          <w:szCs w:val="24"/>
        </w:rPr>
        <w:t>,647</w:t>
      </w:r>
      <w:r w:rsidR="0065339A" w:rsidRPr="00371E9E">
        <w:rPr>
          <w:rStyle w:val="EndnoteReference"/>
          <w:sz w:val="24"/>
          <w:szCs w:val="24"/>
        </w:rPr>
        <w:endnoteReference w:id="4"/>
      </w:r>
      <w:r w:rsidR="0065339A" w:rsidRPr="00371E9E">
        <w:rPr>
          <w:sz w:val="24"/>
          <w:szCs w:val="24"/>
        </w:rPr>
        <w:t>.</w:t>
      </w:r>
      <w:r w:rsidR="00750FF6" w:rsidRPr="00371E9E">
        <w:rPr>
          <w:sz w:val="24"/>
          <w:szCs w:val="24"/>
        </w:rPr>
        <w:t xml:space="preserve"> </w:t>
      </w:r>
      <w:r w:rsidR="006E052A" w:rsidRPr="00371E9E">
        <w:rPr>
          <w:sz w:val="24"/>
          <w:szCs w:val="24"/>
        </w:rPr>
        <w:t>Note that the viewing ratings relate to domestic households only and do not include pubs and social clubs where games might be shown.</w:t>
      </w:r>
    </w:p>
    <w:p w:rsidR="00586863" w:rsidRPr="00371E9E" w:rsidRDefault="00586863" w:rsidP="002D548C">
      <w:pPr>
        <w:ind w:firstLine="720"/>
        <w:rPr>
          <w:szCs w:val="24"/>
        </w:rPr>
      </w:pPr>
      <w:r w:rsidRPr="00371E9E">
        <w:rPr>
          <w:szCs w:val="24"/>
        </w:rPr>
        <w:t xml:space="preserve">The television audience rating for a match involving teams </w:t>
      </w:r>
      <m:oMath>
        <m:r>
          <w:rPr>
            <w:rFonts w:ascii="Cambria Math" w:hAnsi="Cambria Math"/>
            <w:szCs w:val="24"/>
          </w:rPr>
          <m:t>i</m:t>
        </m:r>
      </m:oMath>
      <w:r w:rsidRPr="00371E9E">
        <w:rPr>
          <w:szCs w:val="24"/>
        </w:rPr>
        <w:t xml:space="preserve"> and </w:t>
      </w:r>
      <m:oMath>
        <m:r>
          <w:rPr>
            <w:rFonts w:ascii="Cambria Math" w:hAnsi="Cambria Math"/>
            <w:szCs w:val="24"/>
          </w:rPr>
          <m:t>j</m:t>
        </m:r>
      </m:oMath>
      <w:r w:rsidRPr="00371E9E">
        <w:rPr>
          <w:szCs w:val="24"/>
        </w:rPr>
        <w:t xml:space="preserve"> in season </w:t>
      </w:r>
      <m:oMath>
        <m:r>
          <w:rPr>
            <w:rFonts w:ascii="Cambria Math" w:hAnsi="Cambria Math"/>
            <w:szCs w:val="24"/>
          </w:rPr>
          <m:t>t</m:t>
        </m:r>
      </m:oMath>
      <w:r w:rsidRPr="00371E9E">
        <w:rPr>
          <w:szCs w:val="24"/>
        </w:rPr>
        <w:t xml:space="preserve"> is modelled as follows.</w:t>
      </w:r>
    </w:p>
    <w:p w:rsidR="00586863" w:rsidRPr="007D0D5D" w:rsidRDefault="00586863" w:rsidP="0099548F">
      <w:pPr>
        <w:tabs>
          <w:tab w:val="center" w:pos="4500"/>
          <w:tab w:val="right" w:pos="9000"/>
        </w:tabs>
        <w:ind w:firstLine="720"/>
      </w:pPr>
      <w:r w:rsidRPr="007D0D5D">
        <w:tab/>
      </w:r>
      <m:oMath>
        <m:func>
          <m:funcPr>
            <m:ctrlPr>
              <w:rPr>
                <w:rFonts w:ascii="Cambria Math" w:hAnsi="Cambria Math"/>
              </w:rPr>
            </m:ctrlPr>
          </m:funcPr>
          <m:fName>
            <m:r>
              <m:rPr>
                <m:sty m:val="p"/>
              </m:rPr>
              <w:rPr>
                <w:rFonts w:ascii="Cambria Math" w:hAnsi="Cambria Math"/>
              </w:rPr>
              <m:t>ln</m:t>
            </m:r>
          </m:fName>
          <m:e>
            <m:d>
              <m:dPr>
                <m:ctrlPr>
                  <w:rPr>
                    <w:rFonts w:ascii="Cambria Math" w:hAnsi="Cambria Math"/>
                    <w:i/>
                  </w:rPr>
                </m:ctrlPr>
              </m:dPr>
              <m:e>
                <m:sSub>
                  <m:sSubPr>
                    <m:ctrlPr>
                      <w:rPr>
                        <w:rFonts w:ascii="Cambria Math" w:hAnsi="Cambria Math"/>
                        <w:i/>
                      </w:rPr>
                    </m:ctrlPr>
                  </m:sSubPr>
                  <m:e>
                    <m:r>
                      <w:rPr>
                        <w:rFonts w:ascii="Cambria Math" w:hAnsi="Cambria Math"/>
                      </w:rPr>
                      <m:t>AUDIENCE</m:t>
                    </m:r>
                  </m:e>
                  <m:sub>
                    <m:r>
                      <w:rPr>
                        <w:rFonts w:ascii="Cambria Math" w:hAnsi="Cambria Math"/>
                      </w:rPr>
                      <m:t>ijt</m:t>
                    </m:r>
                  </m:sub>
                </m:sSub>
              </m:e>
            </m:d>
          </m:e>
        </m:func>
        <m:r>
          <w:rPr>
            <w:rFonts w:ascii="Cambria Math" w:hAnsi="Cambria Math"/>
          </w:rPr>
          <m:t>=</m:t>
        </m:r>
        <m:r>
          <m:rPr>
            <m:sty m:val="bi"/>
          </m:rPr>
          <w:rPr>
            <w:rFonts w:ascii="Cambria Math" w:hAnsi="Cambria Math"/>
          </w:rPr>
          <m:t>α</m:t>
        </m:r>
        <m:sSub>
          <m:sSubPr>
            <m:ctrlPr>
              <w:rPr>
                <w:rFonts w:ascii="Cambria Math" w:hAnsi="Cambria Math"/>
                <w:b/>
                <w:i/>
              </w:rPr>
            </m:ctrlPr>
          </m:sSubPr>
          <m:e>
            <m:r>
              <m:rPr>
                <m:sty m:val="bi"/>
              </m:rPr>
              <w:rPr>
                <w:rFonts w:ascii="Cambria Math" w:hAnsi="Cambria Math"/>
              </w:rPr>
              <m:t>X</m:t>
            </m:r>
          </m:e>
          <m:sub>
            <m:r>
              <w:rPr>
                <w:rFonts w:ascii="Cambria Math" w:hAnsi="Cambria Math"/>
              </w:rPr>
              <m:t>ijt</m:t>
            </m:r>
          </m:sub>
        </m:sSub>
        <m:r>
          <w:rPr>
            <w:rFonts w:ascii="Cambria Math" w:hAnsi="Cambria Math"/>
          </w:rPr>
          <m:t>+</m:t>
        </m:r>
        <m:r>
          <m:rPr>
            <m:sty m:val="bi"/>
          </m:rPr>
          <w:rPr>
            <w:rFonts w:ascii="Cambria Math" w:hAnsi="Cambria Math"/>
          </w:rPr>
          <m:t>βZ</m:t>
        </m:r>
        <m:r>
          <w:rPr>
            <w:rFonts w:ascii="Cambria Math" w:hAnsi="Cambria Math"/>
          </w:rPr>
          <m:t>+</m:t>
        </m:r>
        <m:sSub>
          <m:sSubPr>
            <m:ctrlPr>
              <w:rPr>
                <w:rFonts w:ascii="Cambria Math" w:hAnsi="Cambria Math"/>
                <w:i/>
              </w:rPr>
            </m:ctrlPr>
          </m:sSubPr>
          <m:e>
            <m:r>
              <w:rPr>
                <w:rFonts w:ascii="Cambria Math" w:hAnsi="Cambria Math"/>
              </w:rPr>
              <m:t>ϵ</m:t>
            </m:r>
          </m:e>
          <m:sub>
            <m:r>
              <w:rPr>
                <w:rFonts w:ascii="Cambria Math" w:hAnsi="Cambria Math"/>
              </w:rPr>
              <m:t>ijt</m:t>
            </m:r>
          </m:sub>
        </m:sSub>
      </m:oMath>
      <w:r w:rsidRPr="007D0D5D">
        <w:rPr>
          <w:b/>
        </w:rPr>
        <w:tab/>
      </w:r>
      <w:r w:rsidRPr="007D0D5D">
        <w:t>(1)</w:t>
      </w:r>
    </w:p>
    <w:p w:rsidR="00AC7270" w:rsidRPr="007D0D5D" w:rsidRDefault="00586863" w:rsidP="0099548F">
      <w:r w:rsidRPr="007D0D5D">
        <w:t xml:space="preserve">where </w:t>
      </w:r>
      <m:oMath>
        <m:sSub>
          <m:sSubPr>
            <m:ctrlPr>
              <w:rPr>
                <w:rFonts w:ascii="Cambria Math" w:hAnsi="Cambria Math"/>
                <w:b/>
                <w:i/>
              </w:rPr>
            </m:ctrlPr>
          </m:sSubPr>
          <m:e>
            <m:r>
              <m:rPr>
                <m:sty m:val="bi"/>
              </m:rPr>
              <w:rPr>
                <w:rFonts w:ascii="Cambria Math" w:hAnsi="Cambria Math"/>
              </w:rPr>
              <m:t>X</m:t>
            </m:r>
          </m:e>
          <m:sub>
            <m:r>
              <w:rPr>
                <w:rFonts w:ascii="Cambria Math" w:hAnsi="Cambria Math"/>
              </w:rPr>
              <m:t>ijt</m:t>
            </m:r>
          </m:sub>
        </m:sSub>
      </m:oMath>
      <w:r w:rsidRPr="007D0D5D">
        <w:t xml:space="preserve"> is a vector of independent variables and </w:t>
      </w:r>
      <m:oMath>
        <m:r>
          <m:rPr>
            <m:sty m:val="bi"/>
          </m:rPr>
          <w:rPr>
            <w:rFonts w:ascii="Cambria Math" w:hAnsi="Cambria Math"/>
          </w:rPr>
          <m:t>Z</m:t>
        </m:r>
      </m:oMath>
      <w:r w:rsidRPr="007D0D5D">
        <w:t xml:space="preserve"> is a vector of team, month and season fixed effects, and </w:t>
      </w:r>
      <m:oMath>
        <m:sSub>
          <m:sSubPr>
            <m:ctrlPr>
              <w:rPr>
                <w:rFonts w:ascii="Cambria Math" w:hAnsi="Cambria Math"/>
                <w:i/>
              </w:rPr>
            </m:ctrlPr>
          </m:sSubPr>
          <m:e>
            <m:r>
              <w:rPr>
                <w:rFonts w:ascii="Cambria Math" w:hAnsi="Cambria Math"/>
              </w:rPr>
              <m:t>ϵ</m:t>
            </m:r>
          </m:e>
          <m:sub>
            <m:r>
              <w:rPr>
                <w:rFonts w:ascii="Cambria Math" w:hAnsi="Cambria Math"/>
              </w:rPr>
              <m:t>ijt</m:t>
            </m:r>
          </m:sub>
        </m:sSub>
      </m:oMath>
      <w:r w:rsidRPr="007D0D5D">
        <w:t xml:space="preserve"> is the disturbance term. </w:t>
      </w:r>
      <w:r w:rsidR="00CF1CD2" w:rsidRPr="007D0D5D">
        <w:t>A peculiar feature of the market for televised English Premier League games is that not all games are televised as the broadcasters have some degree of freedom over match selection.</w:t>
      </w:r>
      <w:r w:rsidR="005F40B5" w:rsidRPr="007D0D5D">
        <w:t xml:space="preserve"> I</w:t>
      </w:r>
      <w:r w:rsidR="00CF1CD2" w:rsidRPr="007D0D5D">
        <w:t>f games were modelled using ordinary least squares</w:t>
      </w:r>
      <w:r w:rsidR="00281246" w:rsidRPr="007D0D5D">
        <w:t xml:space="preserve"> (OLS)</w:t>
      </w:r>
      <w:r w:rsidR="00CF1CD2" w:rsidRPr="007D0D5D">
        <w:t xml:space="preserve">, the estimates may be biased if there are differences in the characteristics of </w:t>
      </w:r>
      <w:r w:rsidR="005F40B5" w:rsidRPr="007D0D5D">
        <w:t>televised and non-televised games. Consequently, there might be a need to model not just television audience demand but also the broadcasters’ choice of games to televise.</w:t>
      </w:r>
      <w:r w:rsidR="00AC7270" w:rsidRPr="007D0D5D">
        <w:t xml:space="preserve"> </w:t>
      </w:r>
      <w:r w:rsidR="005F40B5" w:rsidRPr="007D0D5D">
        <w:t xml:space="preserve"> </w:t>
      </w:r>
    </w:p>
    <w:p w:rsidR="00CF1CD2" w:rsidRPr="007D0D5D" w:rsidRDefault="005F40B5" w:rsidP="00AC7270">
      <w:pPr>
        <w:ind w:firstLine="720"/>
      </w:pPr>
      <w:r w:rsidRPr="007D0D5D">
        <w:lastRenderedPageBreak/>
        <w:t>The Heckman selection model (Heckman, 1976) can be used to model equation 1 as part of an estimation procedure which first uses maximum likelihood estimation to model the likelihood of a game being selected for broadcasting and</w:t>
      </w:r>
      <w:r w:rsidR="0041304D" w:rsidRPr="007D0D5D">
        <w:t>,</w:t>
      </w:r>
      <w:r w:rsidRPr="007D0D5D">
        <w:t xml:space="preserve"> conditional on </w:t>
      </w:r>
      <w:r w:rsidR="0057333B" w:rsidRPr="007D0D5D">
        <w:t>being broadcast</w:t>
      </w:r>
      <w:r w:rsidRPr="007D0D5D">
        <w:t xml:space="preserve">, the size of the television audiences. </w:t>
      </w:r>
      <w:r w:rsidR="0041304D" w:rsidRPr="007D0D5D">
        <w:t>The following equation</w:t>
      </w:r>
      <w:r w:rsidRPr="007D0D5D">
        <w:t xml:space="preserve"> models </w:t>
      </w:r>
      <w:r w:rsidR="00995230" w:rsidRPr="007D0D5D">
        <w:t>selection.</w:t>
      </w:r>
      <w:r w:rsidR="00286585" w:rsidRPr="007D0D5D">
        <w:t xml:space="preserve"> </w:t>
      </w:r>
    </w:p>
    <w:p w:rsidR="00995230" w:rsidRPr="007D0D5D" w:rsidRDefault="00995230" w:rsidP="00995230">
      <w:pPr>
        <w:tabs>
          <w:tab w:val="center" w:pos="4500"/>
          <w:tab w:val="right" w:pos="9000"/>
        </w:tabs>
        <w:ind w:firstLine="720"/>
      </w:pPr>
      <w:r w:rsidRPr="007D0D5D">
        <w:tab/>
      </w:r>
      <m:oMath>
        <m:func>
          <m:funcPr>
            <m:ctrlPr>
              <w:rPr>
                <w:rFonts w:ascii="Cambria Math" w:hAnsi="Cambria Math"/>
              </w:rPr>
            </m:ctrlPr>
          </m:funcPr>
          <m:fName>
            <m:r>
              <m:rPr>
                <m:sty m:val="p"/>
              </m:rPr>
              <w:rPr>
                <w:rFonts w:ascii="Cambria Math" w:hAnsi="Cambria Math"/>
              </w:rPr>
              <m:t>Prob</m:t>
            </m:r>
          </m:fName>
          <m:e>
            <m:d>
              <m:dPr>
                <m:ctrlPr>
                  <w:rPr>
                    <w:rFonts w:ascii="Cambria Math" w:hAnsi="Cambria Math"/>
                    <w:i/>
                  </w:rPr>
                </m:ctrlPr>
              </m:dPr>
              <m:e>
                <m:sSub>
                  <m:sSubPr>
                    <m:ctrlPr>
                      <w:rPr>
                        <w:rFonts w:ascii="Cambria Math" w:hAnsi="Cambria Math"/>
                        <w:i/>
                      </w:rPr>
                    </m:ctrlPr>
                  </m:sSubPr>
                  <m:e>
                    <m:r>
                      <w:rPr>
                        <w:rFonts w:ascii="Cambria Math" w:hAnsi="Cambria Math"/>
                      </w:rPr>
                      <m:t>TELEVISED</m:t>
                    </m:r>
                  </m:e>
                  <m:sub>
                    <m:r>
                      <w:rPr>
                        <w:rFonts w:ascii="Cambria Math" w:hAnsi="Cambria Math"/>
                      </w:rPr>
                      <m:t>ijt</m:t>
                    </m:r>
                  </m:sub>
                </m:sSub>
              </m:e>
            </m:d>
          </m:e>
        </m:func>
        <m:r>
          <w:rPr>
            <w:rFonts w:ascii="Cambria Math" w:hAnsi="Cambria Math"/>
          </w:rPr>
          <m:t>=</m:t>
        </m:r>
        <m:r>
          <m:rPr>
            <m:sty m:val="p"/>
          </m:rPr>
          <w:rPr>
            <w:rFonts w:ascii="Cambria Math" w:hAnsi="Cambria Math"/>
          </w:rPr>
          <m:t>Φ</m:t>
        </m:r>
        <m:r>
          <w:rPr>
            <w:rFonts w:ascii="Cambria Math" w:hAnsi="Cambria Math"/>
          </w:rPr>
          <m:t>(</m:t>
        </m:r>
        <m:r>
          <m:rPr>
            <m:sty m:val="bi"/>
          </m:rPr>
          <w:rPr>
            <w:rFonts w:ascii="Cambria Math" w:hAnsi="Cambria Math"/>
          </w:rPr>
          <m:t>γ</m:t>
        </m:r>
        <m:sSub>
          <m:sSubPr>
            <m:ctrlPr>
              <w:rPr>
                <w:rFonts w:ascii="Cambria Math" w:hAnsi="Cambria Math"/>
                <w:b/>
                <w:i/>
              </w:rPr>
            </m:ctrlPr>
          </m:sSubPr>
          <m:e>
            <m:r>
              <m:rPr>
                <m:sty m:val="bi"/>
              </m:rPr>
              <w:rPr>
                <w:rFonts w:ascii="Cambria Math" w:hAnsi="Cambria Math"/>
              </w:rPr>
              <m:t>Y</m:t>
            </m:r>
          </m:e>
          <m:sub>
            <m:r>
              <w:rPr>
                <w:rFonts w:ascii="Cambria Math" w:hAnsi="Cambria Math"/>
              </w:rPr>
              <m:t>ijt</m:t>
            </m:r>
          </m:sub>
        </m:sSub>
        <m:r>
          <w:rPr>
            <w:rFonts w:ascii="Cambria Math" w:hAnsi="Cambria Math"/>
          </w:rPr>
          <m:t>+</m:t>
        </m:r>
        <m:r>
          <m:rPr>
            <m:sty m:val="bi"/>
          </m:rPr>
          <w:rPr>
            <w:rFonts w:ascii="Cambria Math" w:hAnsi="Cambria Math"/>
          </w:rPr>
          <m:t>λZ</m:t>
        </m:r>
        <m:r>
          <w:rPr>
            <w:rFonts w:ascii="Cambria Math" w:hAnsi="Cambria Math"/>
          </w:rPr>
          <m:t>+</m:t>
        </m:r>
        <m:sSub>
          <m:sSubPr>
            <m:ctrlPr>
              <w:rPr>
                <w:rFonts w:ascii="Cambria Math" w:hAnsi="Cambria Math"/>
                <w:i/>
              </w:rPr>
            </m:ctrlPr>
          </m:sSubPr>
          <m:e>
            <m:r>
              <w:rPr>
                <w:rFonts w:ascii="Cambria Math" w:hAnsi="Cambria Math"/>
              </w:rPr>
              <m:t>ε</m:t>
            </m:r>
          </m:e>
          <m:sub>
            <m:r>
              <w:rPr>
                <w:rFonts w:ascii="Cambria Math" w:hAnsi="Cambria Math"/>
              </w:rPr>
              <m:t>ijt</m:t>
            </m:r>
          </m:sub>
        </m:sSub>
        <m:r>
          <m:rPr>
            <m:sty m:val="bi"/>
          </m:rPr>
          <w:rPr>
            <w:rFonts w:ascii="Cambria Math" w:hAnsi="Cambria Math"/>
          </w:rPr>
          <m:t>)</m:t>
        </m:r>
      </m:oMath>
      <w:r w:rsidRPr="007D0D5D">
        <w:rPr>
          <w:b/>
        </w:rPr>
        <w:tab/>
      </w:r>
      <w:r w:rsidRPr="007D0D5D">
        <w:t>(2)</w:t>
      </w:r>
    </w:p>
    <w:p w:rsidR="00995230" w:rsidRPr="007D0D5D" w:rsidRDefault="00E63B3B" w:rsidP="0099548F">
      <w:r w:rsidRPr="007D0D5D">
        <w:t>w</w:t>
      </w:r>
      <w:r w:rsidR="00995230" w:rsidRPr="007D0D5D">
        <w:t xml:space="preserve">here </w:t>
      </w:r>
      <m:oMath>
        <m:sSub>
          <m:sSubPr>
            <m:ctrlPr>
              <w:rPr>
                <w:rFonts w:ascii="Cambria Math" w:hAnsi="Cambria Math"/>
                <w:i/>
              </w:rPr>
            </m:ctrlPr>
          </m:sSubPr>
          <m:e>
            <m:r>
              <w:rPr>
                <w:rFonts w:ascii="Cambria Math" w:hAnsi="Cambria Math"/>
              </w:rPr>
              <m:t>TELEVISED</m:t>
            </m:r>
          </m:e>
          <m:sub>
            <m:r>
              <w:rPr>
                <w:rFonts w:ascii="Cambria Math" w:hAnsi="Cambria Math"/>
              </w:rPr>
              <m:t>ijt</m:t>
            </m:r>
          </m:sub>
        </m:sSub>
      </m:oMath>
      <w:r w:rsidR="00995230" w:rsidRPr="007D0D5D">
        <w:t xml:space="preserve"> is a dummy var</w:t>
      </w:r>
      <w:r w:rsidR="0088691A">
        <w:t>iable which takes the value of one</w:t>
      </w:r>
      <w:r w:rsidR="00995230" w:rsidRPr="007D0D5D">
        <w:t xml:space="preserve"> if the game</w:t>
      </w:r>
      <w:r w:rsidR="0057333B" w:rsidRPr="007D0D5D">
        <w:t xml:space="preserve"> between team </w:t>
      </w:r>
      <m:oMath>
        <m:r>
          <w:rPr>
            <w:rFonts w:ascii="Cambria Math" w:hAnsi="Cambria Math"/>
          </w:rPr>
          <m:t>i</m:t>
        </m:r>
      </m:oMath>
      <w:r w:rsidR="0057333B" w:rsidRPr="007D0D5D">
        <w:t xml:space="preserve"> and team </w:t>
      </w:r>
      <m:oMath>
        <m:r>
          <w:rPr>
            <w:rFonts w:ascii="Cambria Math" w:hAnsi="Cambria Math"/>
          </w:rPr>
          <m:t>j</m:t>
        </m:r>
      </m:oMath>
      <w:r w:rsidR="00995230" w:rsidRPr="007D0D5D">
        <w:t xml:space="preserve"> was televised </w:t>
      </w:r>
      <w:r w:rsidR="0002168A" w:rsidRPr="007D0D5D">
        <w:t xml:space="preserve">in season </w:t>
      </w:r>
      <m:oMath>
        <m:r>
          <w:rPr>
            <w:rFonts w:ascii="Cambria Math" w:hAnsi="Cambria Math"/>
          </w:rPr>
          <m:t>t</m:t>
        </m:r>
      </m:oMath>
      <w:r w:rsidR="0002168A" w:rsidRPr="007D0D5D">
        <w:t xml:space="preserve"> </w:t>
      </w:r>
      <w:r w:rsidR="0088691A">
        <w:t>and zero</w:t>
      </w:r>
      <w:r w:rsidR="00995230" w:rsidRPr="007D0D5D">
        <w:t xml:space="preserve"> otherwise</w:t>
      </w:r>
      <w:r w:rsidR="00C119FF" w:rsidRPr="007D0D5D">
        <w:t xml:space="preserve">, </w:t>
      </w:r>
      <m:oMath>
        <m:sSub>
          <m:sSubPr>
            <m:ctrlPr>
              <w:rPr>
                <w:rFonts w:ascii="Cambria Math" w:hAnsi="Cambria Math"/>
                <w:b/>
                <w:i/>
              </w:rPr>
            </m:ctrlPr>
          </m:sSubPr>
          <m:e>
            <m:r>
              <m:rPr>
                <m:sty m:val="bi"/>
              </m:rPr>
              <w:rPr>
                <w:rFonts w:ascii="Cambria Math" w:hAnsi="Cambria Math"/>
              </w:rPr>
              <m:t>Y</m:t>
            </m:r>
          </m:e>
          <m:sub>
            <m:r>
              <w:rPr>
                <w:rFonts w:ascii="Cambria Math" w:hAnsi="Cambria Math"/>
              </w:rPr>
              <m:t>ijt</m:t>
            </m:r>
          </m:sub>
        </m:sSub>
      </m:oMath>
      <w:r w:rsidR="00C119FF" w:rsidRPr="007D0D5D">
        <w:rPr>
          <w:b/>
        </w:rPr>
        <w:t xml:space="preserve"> </w:t>
      </w:r>
      <w:r w:rsidR="00C119FF" w:rsidRPr="007D0D5D">
        <w:t xml:space="preserve">is a vector of independent variables which include </w:t>
      </w:r>
      <m:oMath>
        <m:sSub>
          <m:sSubPr>
            <m:ctrlPr>
              <w:rPr>
                <w:rFonts w:ascii="Cambria Math" w:hAnsi="Cambria Math"/>
                <w:b/>
                <w:i/>
              </w:rPr>
            </m:ctrlPr>
          </m:sSubPr>
          <m:e>
            <m:r>
              <m:rPr>
                <m:sty m:val="bi"/>
              </m:rPr>
              <w:rPr>
                <w:rFonts w:ascii="Cambria Math" w:hAnsi="Cambria Math"/>
              </w:rPr>
              <m:t>X</m:t>
            </m:r>
          </m:e>
          <m:sub>
            <m:r>
              <w:rPr>
                <w:rFonts w:ascii="Cambria Math" w:hAnsi="Cambria Math"/>
              </w:rPr>
              <m:t>ijt</m:t>
            </m:r>
          </m:sub>
        </m:sSub>
      </m:oMath>
      <w:r w:rsidR="00D24EFF" w:rsidRPr="007D0D5D">
        <w:t xml:space="preserve"> and </w:t>
      </w:r>
      <m:oMath>
        <m:r>
          <m:rPr>
            <m:sty m:val="p"/>
          </m:rPr>
          <w:rPr>
            <w:rFonts w:ascii="Cambria Math" w:hAnsi="Cambria Math"/>
          </w:rPr>
          <m:t>Φ</m:t>
        </m:r>
        <m:r>
          <w:rPr>
            <w:rFonts w:ascii="Cambria Math" w:hAnsi="Cambria Math"/>
          </w:rPr>
          <m:t>(.)</m:t>
        </m:r>
      </m:oMath>
      <w:r w:rsidR="00995230" w:rsidRPr="007D0D5D">
        <w:t xml:space="preserve"> is the standard normal distribution function. </w:t>
      </w:r>
      <w:r w:rsidR="00D24EFF" w:rsidRPr="007D0D5D">
        <w:t xml:space="preserve">The error term </w:t>
      </w:r>
      <m:oMath>
        <m:sSub>
          <m:sSubPr>
            <m:ctrlPr>
              <w:rPr>
                <w:rFonts w:ascii="Cambria Math" w:hAnsi="Cambria Math"/>
                <w:i/>
              </w:rPr>
            </m:ctrlPr>
          </m:sSubPr>
          <m:e>
            <m:r>
              <w:rPr>
                <w:rFonts w:ascii="Cambria Math" w:hAnsi="Cambria Math"/>
              </w:rPr>
              <m:t>ε</m:t>
            </m:r>
          </m:e>
          <m:sub>
            <m:r>
              <w:rPr>
                <w:rFonts w:ascii="Cambria Math" w:hAnsi="Cambria Math"/>
              </w:rPr>
              <m:t>ijt</m:t>
            </m:r>
          </m:sub>
        </m:sSub>
      </m:oMath>
      <w:r w:rsidR="00893894" w:rsidRPr="007D0D5D">
        <w:t xml:space="preserve"> </w:t>
      </w:r>
      <w:r w:rsidR="0088691A">
        <w:t>has a mean value of zero</w:t>
      </w:r>
      <w:r w:rsidR="00286585" w:rsidRPr="007D0D5D">
        <w:t xml:space="preserve"> and is normally </w:t>
      </w:r>
      <w:r w:rsidR="0088691A">
        <w:t>distributed with a variance of one</w:t>
      </w:r>
      <w:r w:rsidR="00286585" w:rsidRPr="007D0D5D">
        <w:t xml:space="preserve">. If there are characteristics that </w:t>
      </w:r>
      <w:r w:rsidR="00C119FF" w:rsidRPr="007D0D5D">
        <w:t>distinguish</w:t>
      </w:r>
      <w:r w:rsidR="00286585" w:rsidRPr="007D0D5D">
        <w:t xml:space="preserve"> televised from non-televised games and</w:t>
      </w:r>
      <w:r w:rsidRPr="007D0D5D">
        <w:t xml:space="preserve"> these features influence</w:t>
      </w:r>
      <w:r w:rsidR="00286585" w:rsidRPr="007D0D5D">
        <w:t xml:space="preserve"> the broadcasters’ selection, then the </w:t>
      </w:r>
      <w:r w:rsidR="00C119FF" w:rsidRPr="007D0D5D">
        <w:t>correlation</w:t>
      </w:r>
      <w:r w:rsidR="00286585" w:rsidRPr="007D0D5D">
        <w:t xml:space="preserve"> coefficient, </w:t>
      </w:r>
      <m:oMath>
        <m:r>
          <w:rPr>
            <w:rFonts w:ascii="Cambria Math" w:hAnsi="Cambria Math"/>
          </w:rPr>
          <m:t>ρ</m:t>
        </m:r>
      </m:oMath>
      <w:r w:rsidR="00286585" w:rsidRPr="007D0D5D">
        <w:t xml:space="preserve">, between </w:t>
      </w:r>
      <m:oMath>
        <m:sSub>
          <m:sSubPr>
            <m:ctrlPr>
              <w:rPr>
                <w:rFonts w:ascii="Cambria Math" w:hAnsi="Cambria Math"/>
                <w:i/>
              </w:rPr>
            </m:ctrlPr>
          </m:sSubPr>
          <m:e>
            <m:r>
              <w:rPr>
                <w:rFonts w:ascii="Cambria Math" w:hAnsi="Cambria Math"/>
              </w:rPr>
              <m:t>ϵ</m:t>
            </m:r>
          </m:e>
          <m:sub>
            <m:r>
              <w:rPr>
                <w:rFonts w:ascii="Cambria Math" w:hAnsi="Cambria Math"/>
              </w:rPr>
              <m:t>ijt</m:t>
            </m:r>
          </m:sub>
        </m:sSub>
      </m:oMath>
      <w:r w:rsidR="00286585" w:rsidRPr="007D0D5D">
        <w:t xml:space="preserve"> and </w:t>
      </w:r>
      <m:oMath>
        <m:sSub>
          <m:sSubPr>
            <m:ctrlPr>
              <w:rPr>
                <w:rFonts w:ascii="Cambria Math" w:hAnsi="Cambria Math"/>
                <w:i/>
              </w:rPr>
            </m:ctrlPr>
          </m:sSubPr>
          <m:e>
            <m:r>
              <w:rPr>
                <w:rFonts w:ascii="Cambria Math" w:hAnsi="Cambria Math"/>
              </w:rPr>
              <m:t>ε</m:t>
            </m:r>
          </m:e>
          <m:sub>
            <m:r>
              <w:rPr>
                <w:rFonts w:ascii="Cambria Math" w:hAnsi="Cambria Math"/>
              </w:rPr>
              <m:t>ijt</m:t>
            </m:r>
          </m:sub>
        </m:sSub>
      </m:oMath>
      <w:r w:rsidR="00286585" w:rsidRPr="007D0D5D">
        <w:t xml:space="preserve"> </w:t>
      </w:r>
      <w:r w:rsidR="002E517A" w:rsidRPr="007D0D5D">
        <w:t>will</w:t>
      </w:r>
      <w:r w:rsidR="00286585" w:rsidRPr="007D0D5D">
        <w:t xml:space="preserve"> b</w:t>
      </w:r>
      <w:r w:rsidR="00135F1B" w:rsidRPr="007D0D5D">
        <w:t>e statistically different from zero</w:t>
      </w:r>
      <w:r w:rsidR="00286585" w:rsidRPr="007D0D5D">
        <w:t xml:space="preserve"> and therefore the estimates in the television audience equation </w:t>
      </w:r>
      <w:r w:rsidR="00C119FF" w:rsidRPr="007D0D5D">
        <w:t xml:space="preserve">derived using OLS </w:t>
      </w:r>
      <w:r w:rsidR="00674B74" w:rsidRPr="007D0D5D">
        <w:t>will be</w:t>
      </w:r>
      <w:r w:rsidR="0041304D" w:rsidRPr="007D0D5D">
        <w:t xml:space="preserve"> </w:t>
      </w:r>
      <w:r w:rsidR="00286585" w:rsidRPr="007D0D5D">
        <w:t>biased</w:t>
      </w:r>
      <w:r w:rsidR="00C119FF" w:rsidRPr="007D0D5D">
        <w:t xml:space="preserve"> and</w:t>
      </w:r>
      <w:r w:rsidR="0041304D" w:rsidRPr="007D0D5D">
        <w:t xml:space="preserve"> the</w:t>
      </w:r>
      <w:r w:rsidR="00C119FF" w:rsidRPr="007D0D5D">
        <w:t xml:space="preserve"> Heckman selection model offers more reliable estimates</w:t>
      </w:r>
      <w:r w:rsidR="00D24EFF" w:rsidRPr="007D0D5D">
        <w:t xml:space="preserve">. The Heckman selection model is an appropriate estimation procedure for establishing </w:t>
      </w:r>
      <w:r w:rsidR="00D24EFF" w:rsidRPr="007D0D5D">
        <w:rPr>
          <w:i/>
        </w:rPr>
        <w:t>if there are factors</w:t>
      </w:r>
      <w:r w:rsidR="00D24EFF" w:rsidRPr="007D0D5D">
        <w:t xml:space="preserve"> that affect whether games </w:t>
      </w:r>
      <w:r w:rsidR="005B5F30" w:rsidRPr="007D0D5D">
        <w:t xml:space="preserve">are televised </w:t>
      </w:r>
      <w:r w:rsidR="00D24EFF" w:rsidRPr="007D0D5D">
        <w:t xml:space="preserve">but not the size of the audience if televised. </w:t>
      </w:r>
      <w:r w:rsidRPr="007D0D5D">
        <w:t xml:space="preserve">The existence of such factors is </w:t>
      </w:r>
      <w:r w:rsidRPr="007D0D5D">
        <w:rPr>
          <w:i/>
        </w:rPr>
        <w:t xml:space="preserve">required </w:t>
      </w:r>
      <w:r w:rsidRPr="007D0D5D">
        <w:t xml:space="preserve">for identification. </w:t>
      </w:r>
      <w:r w:rsidR="00D24EFF" w:rsidRPr="007D0D5D">
        <w:t>In this respect,</w:t>
      </w:r>
      <w:r w:rsidRPr="007D0D5D">
        <w:t xml:space="preserve"> equation 2 is the first part of</w:t>
      </w:r>
      <w:r w:rsidR="00D24EFF" w:rsidRPr="007D0D5D">
        <w:t xml:space="preserve"> the Heckman selection model and equation 1 is the second part. If </w:t>
      </w:r>
      <m:oMath>
        <m:r>
          <w:rPr>
            <w:rFonts w:ascii="Cambria Math" w:hAnsi="Cambria Math"/>
          </w:rPr>
          <m:t>ρ=0</m:t>
        </m:r>
      </m:oMath>
      <w:r w:rsidR="00D24EFF" w:rsidRPr="007D0D5D">
        <w:t xml:space="preserve">, then the estimates from Heckman </w:t>
      </w:r>
      <w:r w:rsidR="00BA1420" w:rsidRPr="007D0D5D">
        <w:t>will be similar</w:t>
      </w:r>
      <w:r w:rsidR="00D24EFF" w:rsidRPr="007D0D5D">
        <w:t xml:space="preserve"> </w:t>
      </w:r>
      <w:r w:rsidR="0023642A" w:rsidRPr="007D0D5D">
        <w:t xml:space="preserve">to </w:t>
      </w:r>
      <w:r w:rsidR="00D24EFF" w:rsidRPr="007D0D5D">
        <w:t>those of OLS.</w:t>
      </w:r>
      <w:r w:rsidR="00AC7270" w:rsidRPr="007D0D5D">
        <w:t xml:space="preserve"> Below, we report both Heckman and OLS estimates of television audience demand.</w:t>
      </w:r>
    </w:p>
    <w:p w:rsidR="00BA1420" w:rsidRPr="007D0D5D" w:rsidRDefault="00BA1D27" w:rsidP="00B67080">
      <w:pPr>
        <w:ind w:firstLine="720"/>
      </w:pPr>
      <w:r w:rsidRPr="007D0D5D">
        <w:t>In studies of gate attendance demand, it is normal to treat the teams involved in the contest as home and away. However, t</w:t>
      </w:r>
      <w:r w:rsidR="00343250" w:rsidRPr="007D0D5D">
        <w:t>he concept</w:t>
      </w:r>
      <w:r w:rsidR="00EF2E40" w:rsidRPr="007D0D5D">
        <w:t>s</w:t>
      </w:r>
      <w:r w:rsidR="00343250" w:rsidRPr="007D0D5D">
        <w:t xml:space="preserve"> of home and away team</w:t>
      </w:r>
      <w:r w:rsidR="00EF2E40" w:rsidRPr="007D0D5D">
        <w:t>s</w:t>
      </w:r>
      <w:r w:rsidR="00343250" w:rsidRPr="007D0D5D">
        <w:t xml:space="preserve"> in the televised market </w:t>
      </w:r>
      <w:r w:rsidR="00EF2E40" w:rsidRPr="007D0D5D">
        <w:t>are i</w:t>
      </w:r>
      <w:r w:rsidR="00343250" w:rsidRPr="007D0D5D">
        <w:t xml:space="preserve">rrelevant as there </w:t>
      </w:r>
      <w:r w:rsidR="00EF2E40" w:rsidRPr="007D0D5D">
        <w:t xml:space="preserve">is </w:t>
      </w:r>
      <w:r w:rsidR="00343250" w:rsidRPr="007D0D5D">
        <w:t xml:space="preserve">no difference in the cost of watching the games for home, </w:t>
      </w:r>
      <w:r w:rsidR="00343250" w:rsidRPr="007D0D5D">
        <w:lastRenderedPageBreak/>
        <w:t>away and neutral fans.</w:t>
      </w:r>
      <w:r w:rsidR="00EF2E40" w:rsidRPr="007D0D5D">
        <w:t xml:space="preserve"> Any group of fans could dominate the others in the televised market unlike stadium attendance in which the home team</w:t>
      </w:r>
      <w:r w:rsidR="002E517A" w:rsidRPr="007D0D5D">
        <w:t>’s fans are</w:t>
      </w:r>
      <w:r w:rsidR="00EF2E40" w:rsidRPr="007D0D5D">
        <w:t xml:space="preserve"> always dominant.</w:t>
      </w:r>
      <w:r w:rsidR="00343250" w:rsidRPr="007D0D5D">
        <w:t xml:space="preserve"> </w:t>
      </w:r>
      <w:r w:rsidRPr="007D0D5D">
        <w:t xml:space="preserve">Instead of home and away, two alternative metrics are used: </w:t>
      </w:r>
      <w:r w:rsidR="002E517A" w:rsidRPr="00B722BD">
        <w:rPr>
          <w:i/>
        </w:rPr>
        <w:t>COMBINED</w:t>
      </w:r>
      <w:r w:rsidRPr="007D0D5D">
        <w:t xml:space="preserve"> and </w:t>
      </w:r>
      <w:r w:rsidR="002E517A" w:rsidRPr="00B722BD">
        <w:rPr>
          <w:i/>
        </w:rPr>
        <w:t xml:space="preserve">ABSOLUTE DIFFERENCE </w:t>
      </w:r>
      <w:r w:rsidR="002E517A" w:rsidRPr="007D0D5D">
        <w:t xml:space="preserve">(see Forrest </w:t>
      </w:r>
      <w:r w:rsidR="00EA0EEC" w:rsidRPr="007D0D5D">
        <w:rPr>
          <w:i/>
        </w:rPr>
        <w:t>et al.</w:t>
      </w:r>
      <w:r w:rsidR="002E517A" w:rsidRPr="007D0D5D">
        <w:t xml:space="preserve"> (2005))</w:t>
      </w:r>
      <w:r w:rsidR="00552C3C">
        <w:t>.</w:t>
      </w:r>
    </w:p>
    <w:p w:rsidR="005B5F30" w:rsidRPr="007D0D5D" w:rsidRDefault="00EF2E40" w:rsidP="005B5F30">
      <w:pPr>
        <w:ind w:firstLine="720"/>
      </w:pPr>
      <w:r w:rsidRPr="007D0D5D">
        <w:t>The first of the independent variables</w:t>
      </w:r>
      <w:r w:rsidR="00674B74" w:rsidRPr="007D0D5D">
        <w:t xml:space="preserve"> in </w:t>
      </w:r>
      <m:oMath>
        <m:sSub>
          <m:sSubPr>
            <m:ctrlPr>
              <w:rPr>
                <w:rFonts w:ascii="Cambria Math" w:hAnsi="Cambria Math"/>
                <w:b/>
                <w:i/>
              </w:rPr>
            </m:ctrlPr>
          </m:sSubPr>
          <m:e>
            <m:r>
              <m:rPr>
                <m:sty m:val="bi"/>
              </m:rPr>
              <w:rPr>
                <w:rFonts w:ascii="Cambria Math" w:hAnsi="Cambria Math"/>
              </w:rPr>
              <m:t>X</m:t>
            </m:r>
          </m:e>
          <m:sub>
            <m:r>
              <w:rPr>
                <w:rFonts w:ascii="Cambria Math" w:hAnsi="Cambria Math"/>
              </w:rPr>
              <m:t>ijt</m:t>
            </m:r>
          </m:sub>
        </m:sSub>
      </m:oMath>
      <w:r w:rsidRPr="007D0D5D">
        <w:t xml:space="preserve"> is </w:t>
      </w:r>
      <w:r w:rsidRPr="00B722BD">
        <w:rPr>
          <w:i/>
        </w:rPr>
        <w:t>COMBINED RELATIVE WAGE</w:t>
      </w:r>
      <w:r w:rsidRPr="007D0D5D">
        <w:t xml:space="preserve">. Relative wage is a team’s wage bill for the current season divided by the mean </w:t>
      </w:r>
      <w:r w:rsidR="009D12EA" w:rsidRPr="007D0D5D">
        <w:t>wage bill</w:t>
      </w:r>
      <w:r w:rsidRPr="007D0D5D">
        <w:t xml:space="preserve"> for that season. </w:t>
      </w:r>
      <w:r w:rsidR="005B5F30" w:rsidRPr="007D0D5D">
        <w:t>For the eight seasons from 2001-02 to 2009-10, the mean wage bill of the English Premier League clubs increased from £35 million to £70 million (Table 2). A typical strategy for many clubs is to improve their playing talent</w:t>
      </w:r>
      <w:r w:rsidR="004E209E" w:rsidRPr="007D0D5D">
        <w:t xml:space="preserve"> by</w:t>
      </w:r>
      <w:r w:rsidR="005B5F30" w:rsidRPr="007D0D5D">
        <w:t xml:space="preserve"> spending </w:t>
      </w:r>
      <w:r w:rsidR="004E209E" w:rsidRPr="007D0D5D">
        <w:t xml:space="preserve">more </w:t>
      </w:r>
      <w:r w:rsidR="005B5F30" w:rsidRPr="007D0D5D">
        <w:t>on better players and inflationary wage bill increases. Furthermore the variance in player talent is also increasing.</w:t>
      </w:r>
      <w:r w:rsidR="004E209E" w:rsidRPr="007D0D5D">
        <w:t xml:space="preserve"> For example</w:t>
      </w:r>
      <w:r w:rsidR="003911F3">
        <w:t>,</w:t>
      </w:r>
      <w:r w:rsidR="004E209E" w:rsidRPr="007D0D5D">
        <w:t xml:space="preserve"> t</w:t>
      </w:r>
      <w:r w:rsidR="005B5F30" w:rsidRPr="007D0D5D">
        <w:t>he standard deviation of wage bill has generally increased over the eight seasons shown in Table 2. The use of a relative wage bill measure normalises the wage bill by the average in a given season; hence the mean value of the relative wage bill must be one. The standard deviation varies from 0.42 to 0.65, rising over time with the most recent value being 0.61. Hence, the distribution of talent is widening as large clubs outspend others.</w:t>
      </w:r>
    </w:p>
    <w:p w:rsidR="005B5F30" w:rsidRPr="007D0D5D" w:rsidRDefault="005B5F30" w:rsidP="005B5F30">
      <w:pPr>
        <w:ind w:firstLine="720"/>
      </w:pPr>
      <w:r w:rsidRPr="007D0D5D">
        <w:t>[Table 2 around here]</w:t>
      </w:r>
    </w:p>
    <w:p w:rsidR="00FC3751" w:rsidRPr="007D0D5D" w:rsidRDefault="00EF2E40" w:rsidP="004E209E">
      <w:r w:rsidRPr="007D0D5D">
        <w:t>Wage bill data are gathered from various years of Deloitte’s Annual Review of Football Finance. The wage bill data is for all the clubs</w:t>
      </w:r>
      <w:r w:rsidR="0020721E" w:rsidRPr="007D0D5D">
        <w:t>’</w:t>
      </w:r>
      <w:r w:rsidRPr="007D0D5D">
        <w:t xml:space="preserve"> employees and not just the team, however, it is extremely likely that the wages of the players dominate those of other employees in the clubs and is therefore a good proxy for the quality of </w:t>
      </w:r>
      <w:r w:rsidR="0026226F" w:rsidRPr="007D0D5D">
        <w:t xml:space="preserve">both the squad and </w:t>
      </w:r>
      <w:r w:rsidRPr="007D0D5D">
        <w:t xml:space="preserve">the team. Furthermore, the market mechanism for buying and selling players, which is effectively an auction, means that the best players are also the highest paid. </w:t>
      </w:r>
      <w:r w:rsidR="0020721E" w:rsidRPr="007D0D5D">
        <w:t xml:space="preserve">A test of this is the correlation between end of season performance and </w:t>
      </w:r>
      <w:r w:rsidR="009D12EA" w:rsidRPr="007D0D5D">
        <w:t>wage bill</w:t>
      </w:r>
      <w:r w:rsidR="0020721E" w:rsidRPr="007D0D5D">
        <w:t xml:space="preserve"> by season. The correlation between performance and </w:t>
      </w:r>
      <w:r w:rsidR="009D12EA" w:rsidRPr="007D0D5D">
        <w:t>wage bill</w:t>
      </w:r>
      <w:r w:rsidR="0020721E" w:rsidRPr="007D0D5D">
        <w:t xml:space="preserve"> by season </w:t>
      </w:r>
      <w:r w:rsidR="0026226F" w:rsidRPr="007D0D5D">
        <w:t>is very strong</w:t>
      </w:r>
      <w:r w:rsidR="00E650B4" w:rsidRPr="007D0D5D">
        <w:t xml:space="preserve"> (Hall </w:t>
      </w:r>
      <w:r w:rsidR="00EA0EEC" w:rsidRPr="007D0D5D">
        <w:rPr>
          <w:i/>
        </w:rPr>
        <w:t>et al.</w:t>
      </w:r>
      <w:r w:rsidR="00E650B4" w:rsidRPr="007D0D5D">
        <w:t xml:space="preserve"> </w:t>
      </w:r>
      <w:r w:rsidR="00B753EA" w:rsidRPr="007D0D5D">
        <w:t>2002</w:t>
      </w:r>
      <w:r w:rsidR="00E650B4" w:rsidRPr="007D0D5D">
        <w:t>)</w:t>
      </w:r>
      <w:r w:rsidR="0020721E" w:rsidRPr="007D0D5D">
        <w:t>.</w:t>
      </w:r>
      <w:r w:rsidR="003911F3" w:rsidRPr="007D0D5D">
        <w:rPr>
          <w:rStyle w:val="EndnoteReference"/>
        </w:rPr>
        <w:endnoteReference w:id="5"/>
      </w:r>
      <w:r w:rsidR="003911F3" w:rsidRPr="007D0D5D">
        <w:t xml:space="preserve"> </w:t>
      </w:r>
      <w:r w:rsidRPr="007D0D5D">
        <w:t xml:space="preserve">Hence </w:t>
      </w:r>
      <w:r w:rsidR="009D12EA" w:rsidRPr="007D0D5D">
        <w:t>the wage bill is</w:t>
      </w:r>
      <w:r w:rsidRPr="007D0D5D">
        <w:t xml:space="preserve"> </w:t>
      </w:r>
      <w:r w:rsidR="0088691A">
        <w:lastRenderedPageBreak/>
        <w:t>a good</w:t>
      </w:r>
      <w:r w:rsidRPr="007D0D5D">
        <w:t xml:space="preserve"> reflection of </w:t>
      </w:r>
      <w:r w:rsidR="0020721E" w:rsidRPr="007D0D5D">
        <w:t xml:space="preserve">skill and </w:t>
      </w:r>
      <w:r w:rsidRPr="007D0D5D">
        <w:t>quality of talent.</w:t>
      </w:r>
      <w:r w:rsidR="00B67080" w:rsidRPr="007D0D5D">
        <w:t xml:space="preserve"> </w:t>
      </w:r>
      <w:r w:rsidR="00586863" w:rsidRPr="007D0D5D">
        <w:t xml:space="preserve">As </w:t>
      </w:r>
      <w:r w:rsidR="00B67080" w:rsidRPr="00B722BD">
        <w:rPr>
          <w:i/>
          <w:caps/>
        </w:rPr>
        <w:t>combined relative wage</w:t>
      </w:r>
      <w:r w:rsidR="00B67080" w:rsidRPr="007D0D5D">
        <w:t xml:space="preserve"> </w:t>
      </w:r>
      <w:r w:rsidR="004E209E" w:rsidRPr="007D0D5D">
        <w:t xml:space="preserve">is the sum of the two teams’ relative wage and as it </w:t>
      </w:r>
      <w:r w:rsidR="00586863" w:rsidRPr="007D0D5D">
        <w:t>increases, it is expected that audience rating will also increase as fans have a preference for watching the best talent.</w:t>
      </w:r>
      <w:r w:rsidR="002231CB" w:rsidRPr="007D0D5D">
        <w:t xml:space="preserve"> </w:t>
      </w:r>
      <w:r w:rsidR="002231CB" w:rsidRPr="00B722BD">
        <w:rPr>
          <w:i/>
          <w:caps/>
        </w:rPr>
        <w:t>absolute difference in relative wage</w:t>
      </w:r>
      <w:r w:rsidR="002231CB" w:rsidRPr="007D0D5D">
        <w:t xml:space="preserve"> </w:t>
      </w:r>
      <w:r w:rsidR="008D7698" w:rsidRPr="007D0D5D">
        <w:t xml:space="preserve">is </w:t>
      </w:r>
      <w:r w:rsidR="002231CB" w:rsidRPr="007D0D5D">
        <w:t>included</w:t>
      </w:r>
      <w:r w:rsidR="00FC3751" w:rsidRPr="007D0D5D">
        <w:t xml:space="preserve"> to capture the spread of talent acr</w:t>
      </w:r>
      <w:r w:rsidR="007A295E" w:rsidRPr="007D0D5D">
        <w:t>oss the two teams in the match.</w:t>
      </w:r>
      <w:r w:rsidR="0002168A" w:rsidRPr="007D0D5D">
        <w:t xml:space="preserve"> With respect to talent, if fans have a preference for a contest in which the quality of talent is evenly distributed across the teams (Buraimo, 2008; Forrest </w:t>
      </w:r>
      <w:r w:rsidR="00EA0EEC" w:rsidRPr="007D0D5D">
        <w:t>et al.</w:t>
      </w:r>
      <w:r w:rsidR="0002168A" w:rsidRPr="007D0D5D">
        <w:t xml:space="preserve">, 2005), then this variable is in itself a measure of outcome uncertainty.  As such, we need to recognize the possibility of multicollinearity with </w:t>
      </w:r>
      <w:r w:rsidR="0002168A" w:rsidRPr="00B722BD">
        <w:rPr>
          <w:i/>
        </w:rPr>
        <w:t>OUTCOME UNCERTAINTY</w:t>
      </w:r>
      <w:r w:rsidR="0002168A" w:rsidRPr="007D0D5D">
        <w:t xml:space="preserve">. Hence, </w:t>
      </w:r>
      <w:r w:rsidR="0002168A" w:rsidRPr="00B722BD">
        <w:rPr>
          <w:i/>
        </w:rPr>
        <w:t>ABSOLUTE DIFFERENCE IN RELATIVE WAGE</w:t>
      </w:r>
      <w:r w:rsidR="0002168A" w:rsidRPr="007D0D5D">
        <w:t xml:space="preserve"> is included in the Heckman selection model, since it represents a prior indicator of outcome uncertainty before the season starts when the broadcasters begin to select games </w:t>
      </w:r>
    </w:p>
    <w:p w:rsidR="00BA6DAF" w:rsidRPr="007D0D5D" w:rsidRDefault="001C7330" w:rsidP="0099548F">
      <w:pPr>
        <w:ind w:firstLine="720"/>
      </w:pPr>
      <w:r w:rsidRPr="007D0D5D">
        <w:t>We use</w:t>
      </w:r>
      <w:r w:rsidR="00586863" w:rsidRPr="007D0D5D">
        <w:t xml:space="preserve"> </w:t>
      </w:r>
      <w:r w:rsidR="00F32915" w:rsidRPr="007D0D5D">
        <w:t xml:space="preserve">the sum of the two teams’ </w:t>
      </w:r>
      <w:r w:rsidR="00B67080" w:rsidRPr="007D0D5D">
        <w:t xml:space="preserve">current </w:t>
      </w:r>
      <w:r w:rsidR="00586863" w:rsidRPr="007D0D5D">
        <w:t xml:space="preserve">points per </w:t>
      </w:r>
      <w:r w:rsidRPr="007D0D5D">
        <w:t xml:space="preserve">game up to the match </w:t>
      </w:r>
      <w:r w:rsidR="00586863" w:rsidRPr="007D0D5D">
        <w:t>to derive combined</w:t>
      </w:r>
      <w:r w:rsidR="00F32915" w:rsidRPr="007D0D5D">
        <w:t xml:space="preserve"> points per game.</w:t>
      </w:r>
      <w:r w:rsidR="00586863" w:rsidRPr="007D0D5D">
        <w:t xml:space="preserve"> </w:t>
      </w:r>
      <w:r w:rsidR="00B67080" w:rsidRPr="007D0D5D">
        <w:t>In English football, three points are awarded for a victory, one point for a dr</w:t>
      </w:r>
      <w:r w:rsidR="0088691A">
        <w:t>aw and no</w:t>
      </w:r>
      <w:r w:rsidR="00B67080" w:rsidRPr="007D0D5D">
        <w:t xml:space="preserve"> points for a loss. The </w:t>
      </w:r>
      <w:r w:rsidR="00F32915" w:rsidRPr="007D0D5D">
        <w:t>measure</w:t>
      </w:r>
      <w:r w:rsidRPr="007D0D5D">
        <w:t xml:space="preserve"> </w:t>
      </w:r>
      <w:r w:rsidR="00586863" w:rsidRPr="007D0D5D">
        <w:t>capture</w:t>
      </w:r>
      <w:r w:rsidR="00F32915" w:rsidRPr="007D0D5D">
        <w:t>s</w:t>
      </w:r>
      <w:r w:rsidR="00586863" w:rsidRPr="007D0D5D">
        <w:t xml:space="preserve"> the form of the teams prior to the contest. The combined value captures the overall form of </w:t>
      </w:r>
      <w:r w:rsidR="007A295E" w:rsidRPr="007D0D5D">
        <w:t>the two</w:t>
      </w:r>
      <w:r w:rsidR="00586863" w:rsidRPr="007D0D5D">
        <w:t xml:space="preserve"> teams and higher values are likely to have a positive impact on audience ratings. The next set of independent variables captures the extent to which at least one of the team</w:t>
      </w:r>
      <w:r w:rsidR="00E63B3B" w:rsidRPr="007D0D5D">
        <w:t>s</w:t>
      </w:r>
      <w:r w:rsidR="00586863" w:rsidRPr="007D0D5D">
        <w:t xml:space="preserve"> in the contest is in contention for</w:t>
      </w:r>
      <w:r w:rsidR="00E63B3B" w:rsidRPr="007D0D5D">
        <w:t xml:space="preserve"> the</w:t>
      </w:r>
      <w:r w:rsidR="00586863" w:rsidRPr="007D0D5D">
        <w:t xml:space="preserve"> championship (winning the league), European competition the following season or relegation. Contention is computed using an algorithm proposed by Goddard and Asimakopoulos </w:t>
      </w:r>
      <w:r w:rsidR="00586863" w:rsidRPr="007D0D5D">
        <w:rPr>
          <w:noProof/>
        </w:rPr>
        <w:t>(2004)</w:t>
      </w:r>
      <w:r w:rsidR="00586863" w:rsidRPr="007D0D5D">
        <w:t>. A team is in contention if it wins all its remaining games (three points per game) and others only tie theirs (one point per game) and in doing so, the team is able to win the title</w:t>
      </w:r>
      <w:r w:rsidR="00AF6333">
        <w:t xml:space="preserve"> or</w:t>
      </w:r>
      <w:r w:rsidR="00586863" w:rsidRPr="007D0D5D">
        <w:t xml:space="preserve"> qual</w:t>
      </w:r>
      <w:r w:rsidR="00B67080" w:rsidRPr="007D0D5D">
        <w:t>ify for Europe</w:t>
      </w:r>
      <w:r w:rsidR="00AF6333">
        <w:t xml:space="preserve">; a team is also in contention for relegation if other teams win their remaining matches and it only ties its and in doing so will </w:t>
      </w:r>
      <w:r w:rsidR="00B67080" w:rsidRPr="007D0D5D">
        <w:t>be relegated. These in contention variables (</w:t>
      </w:r>
      <w:r w:rsidR="00B67080" w:rsidRPr="00B722BD">
        <w:rPr>
          <w:i/>
          <w:caps/>
        </w:rPr>
        <w:t>champion contention</w:t>
      </w:r>
      <w:r w:rsidR="00B67080" w:rsidRPr="007D0D5D">
        <w:t xml:space="preserve">, </w:t>
      </w:r>
      <w:r w:rsidR="00B67080" w:rsidRPr="00B722BD">
        <w:rPr>
          <w:i/>
          <w:caps/>
        </w:rPr>
        <w:t>Europe contention</w:t>
      </w:r>
      <w:r w:rsidR="00B67080" w:rsidRPr="007D0D5D">
        <w:t xml:space="preserve"> and </w:t>
      </w:r>
      <w:r w:rsidR="00B67080" w:rsidRPr="00B722BD">
        <w:rPr>
          <w:i/>
          <w:caps/>
        </w:rPr>
        <w:t>relegation contention</w:t>
      </w:r>
      <w:r w:rsidR="00B67080" w:rsidRPr="007D0D5D">
        <w:t>) capture the long run aspect of competitiveness</w:t>
      </w:r>
      <w:r w:rsidR="002B5F85" w:rsidRPr="007D0D5D">
        <w:t xml:space="preserve"> and</w:t>
      </w:r>
      <w:r w:rsidR="00B67080" w:rsidRPr="007D0D5D">
        <w:t xml:space="preserve"> are expected to have a positive impact on </w:t>
      </w:r>
      <w:r w:rsidR="00B67080" w:rsidRPr="007D0D5D">
        <w:lastRenderedPageBreak/>
        <w:t xml:space="preserve">television audience, </w:t>
      </w:r>
      <w:r w:rsidR="00B67080" w:rsidRPr="007D0D5D">
        <w:rPr>
          <w:i/>
        </w:rPr>
        <w:t>ceteris paribus</w:t>
      </w:r>
      <w:r w:rsidR="00B67080" w:rsidRPr="007D0D5D">
        <w:t>.</w:t>
      </w:r>
      <w:r w:rsidR="00BA6DAF" w:rsidRPr="007D0D5D">
        <w:t xml:space="preserve"> Previous studies have constructed numerous variables to capture</w:t>
      </w:r>
      <w:r w:rsidR="00961BBD" w:rsidRPr="007D0D5D">
        <w:t xml:space="preserve"> contention (see Jennett (1984)</w:t>
      </w:r>
      <w:r w:rsidR="00BA6DAF" w:rsidRPr="007D0D5D">
        <w:t xml:space="preserve"> and Pawlowski and Anders (2012) as examples), however, they have all used the number of points </w:t>
      </w:r>
      <w:r w:rsidR="0023642A" w:rsidRPr="007D0D5D">
        <w:t>necessary to</w:t>
      </w:r>
      <w:r w:rsidR="00BA6DAF" w:rsidRPr="007D0D5D">
        <w:t xml:space="preserve"> win the championship </w:t>
      </w:r>
      <w:r w:rsidR="0023642A" w:rsidRPr="007D0D5D">
        <w:t>in</w:t>
      </w:r>
      <w:r w:rsidR="00BA6DAF" w:rsidRPr="007D0D5D">
        <w:t xml:space="preserve"> their measure</w:t>
      </w:r>
      <w:r w:rsidR="0023642A" w:rsidRPr="007D0D5D">
        <w:t>s</w:t>
      </w:r>
      <w:r w:rsidR="00BA6DAF" w:rsidRPr="007D0D5D">
        <w:t xml:space="preserve">. The number of points </w:t>
      </w:r>
      <w:r w:rsidR="0023642A" w:rsidRPr="007D0D5D">
        <w:t xml:space="preserve">required </w:t>
      </w:r>
      <w:r w:rsidR="00BA6DAF" w:rsidRPr="007D0D5D">
        <w:t xml:space="preserve">to win the championship is available </w:t>
      </w:r>
      <w:r w:rsidR="00BA6DAF" w:rsidRPr="007D0D5D">
        <w:rPr>
          <w:i/>
        </w:rPr>
        <w:t>ex post</w:t>
      </w:r>
      <w:r w:rsidR="00BA6DAF" w:rsidRPr="007D0D5D">
        <w:t xml:space="preserve"> and such information is not available to consumers. It is for this reason </w:t>
      </w:r>
      <w:r w:rsidR="00681C82" w:rsidRPr="007D0D5D">
        <w:t xml:space="preserve">that </w:t>
      </w:r>
      <w:r w:rsidR="00664E5C" w:rsidRPr="007D0D5D">
        <w:t>Goddard and Asimakopoulos</w:t>
      </w:r>
      <w:r w:rsidR="0023642A" w:rsidRPr="007D0D5D">
        <w:t>’s</w:t>
      </w:r>
      <w:r w:rsidR="00664E5C" w:rsidRPr="007D0D5D">
        <w:t xml:space="preserve"> approach is preferred. </w:t>
      </w:r>
    </w:p>
    <w:p w:rsidR="008D07DB" w:rsidRPr="007D0D5D" w:rsidRDefault="008D07DB" w:rsidP="0099548F">
      <w:pPr>
        <w:ind w:firstLine="720"/>
      </w:pPr>
      <w:r w:rsidRPr="007D0D5D">
        <w:t xml:space="preserve">Games televised by Setanta in the 2007-08 season feature in the </w:t>
      </w:r>
      <w:r w:rsidR="00DC1D56" w:rsidRPr="007D0D5D">
        <w:t xml:space="preserve">data and a dummy variable, </w:t>
      </w:r>
      <w:r w:rsidR="00DC1D56" w:rsidRPr="00B722BD">
        <w:rPr>
          <w:i/>
        </w:rPr>
        <w:t>SETANTA</w:t>
      </w:r>
      <w:r w:rsidR="00DC1D56" w:rsidRPr="007D0D5D">
        <w:t>, take</w:t>
      </w:r>
      <w:r w:rsidR="00961BBD" w:rsidRPr="007D0D5D">
        <w:t>s the value one if the game</w:t>
      </w:r>
      <w:r w:rsidR="00DC1D56" w:rsidRPr="007D0D5D">
        <w:t xml:space="preserve"> was broadcast by the new entrant. Otherwise, </w:t>
      </w:r>
      <w:r w:rsidR="00DC1D56" w:rsidRPr="00B722BD">
        <w:rPr>
          <w:i/>
        </w:rPr>
        <w:t>SETANTA</w:t>
      </w:r>
      <w:r w:rsidR="00DC1D56" w:rsidRPr="007D0D5D">
        <w:t xml:space="preserve"> take the value </w:t>
      </w:r>
      <w:r w:rsidR="007A295E" w:rsidRPr="007D0D5D">
        <w:t>zero</w:t>
      </w:r>
      <w:r w:rsidR="00DC1D56" w:rsidRPr="007D0D5D">
        <w:t xml:space="preserve"> as the game was broadcast by BSkyB. Given Setanta’s limited penetration within the televised football market, the coefficient of </w:t>
      </w:r>
      <w:r w:rsidR="00DC1D56" w:rsidRPr="00B722BD">
        <w:rPr>
          <w:i/>
        </w:rPr>
        <w:t>SETANTA</w:t>
      </w:r>
      <w:r w:rsidR="00DC1D56" w:rsidRPr="007D0D5D">
        <w:t xml:space="preserve"> is expected to be negative with a large magnitude.</w:t>
      </w:r>
    </w:p>
    <w:p w:rsidR="00C45453" w:rsidRPr="007D0D5D" w:rsidRDefault="00586863" w:rsidP="00BA1D27">
      <w:pPr>
        <w:ind w:firstLine="720"/>
      </w:pPr>
      <w:r w:rsidRPr="007D0D5D">
        <w:t xml:space="preserve">Games are televised at different times of the day and week to </w:t>
      </w:r>
      <w:r w:rsidR="00BA1D27" w:rsidRPr="007D0D5D">
        <w:t xml:space="preserve">avoid </w:t>
      </w:r>
      <w:r w:rsidR="00412BD6" w:rsidRPr="007D0D5D">
        <w:t xml:space="preserve">clashes and </w:t>
      </w:r>
      <w:r w:rsidR="00BA1D27" w:rsidRPr="007D0D5D">
        <w:t>cannibalising</w:t>
      </w:r>
      <w:r w:rsidRPr="007D0D5D">
        <w:t xml:space="preserve"> audience ratings for </w:t>
      </w:r>
      <w:r w:rsidR="00412BD6" w:rsidRPr="007D0D5D">
        <w:t>other</w:t>
      </w:r>
      <w:r w:rsidRPr="007D0D5D">
        <w:t xml:space="preserve"> games. </w:t>
      </w:r>
      <w:r w:rsidR="00412BD6" w:rsidRPr="007D0D5D">
        <w:t>However, a</w:t>
      </w:r>
      <w:r w:rsidRPr="007D0D5D">
        <w:t>ll games on the last day of the season are played at the same time.</w:t>
      </w:r>
      <w:r w:rsidR="0088691A">
        <w:t xml:space="preserve"> A dummy variable, </w:t>
      </w:r>
      <w:r w:rsidR="0088691A" w:rsidRPr="00DF59FE">
        <w:rPr>
          <w:i/>
        </w:rPr>
        <w:t>OTHER MATCHES</w:t>
      </w:r>
      <w:r w:rsidRPr="007D0D5D">
        <w:t>, is i</w:t>
      </w:r>
      <w:r w:rsidR="0088691A">
        <w:t>ncluded and takes the value of zero</w:t>
      </w:r>
      <w:r w:rsidRPr="007D0D5D">
        <w:t xml:space="preserve"> if no other matches are </w:t>
      </w:r>
      <w:r w:rsidR="0088691A">
        <w:t>occurring at the same time and one</w:t>
      </w:r>
      <w:r w:rsidRPr="007D0D5D">
        <w:t xml:space="preserve"> if at least one other match is taking place concurrentl</w:t>
      </w:r>
      <w:r w:rsidR="0088691A">
        <w:t xml:space="preserve">y. Another dummy variable, </w:t>
      </w:r>
      <w:r w:rsidR="0088691A" w:rsidRPr="00DF59FE">
        <w:rPr>
          <w:i/>
        </w:rPr>
        <w:t>DERBY</w:t>
      </w:r>
      <w:r w:rsidRPr="007D0D5D">
        <w:t xml:space="preserve">, is included to capture matches that involve local and historical rivals. </w:t>
      </w:r>
      <w:r w:rsidR="003647EF" w:rsidRPr="00DF59FE">
        <w:rPr>
          <w:i/>
        </w:rPr>
        <w:t>DERBY</w:t>
      </w:r>
      <w:r w:rsidR="003647EF" w:rsidRPr="007D0D5D">
        <w:t xml:space="preserve"> may or may not be significant in the context of television audiences. In models of gate attendance, </w:t>
      </w:r>
      <w:r w:rsidR="003647EF" w:rsidRPr="00DF59FE">
        <w:rPr>
          <w:i/>
        </w:rPr>
        <w:t>DERBY</w:t>
      </w:r>
      <w:r w:rsidR="003647EF" w:rsidRPr="007D0D5D">
        <w:t xml:space="preserve"> has proved to be a significant determinant of demand such is the intense historical and local rivalry between neighbouring football teams</w:t>
      </w:r>
      <w:r w:rsidR="00BA1420" w:rsidRPr="007D0D5D">
        <w:t xml:space="preserve"> (</w:t>
      </w:r>
      <w:r w:rsidR="00674B74" w:rsidRPr="007D0D5D">
        <w:t xml:space="preserve">Buraimo, 2008; </w:t>
      </w:r>
      <w:r w:rsidR="00BA1420" w:rsidRPr="007D0D5D">
        <w:t xml:space="preserve">Buraimo </w:t>
      </w:r>
      <w:r w:rsidR="00EA0EEC" w:rsidRPr="007D0D5D">
        <w:rPr>
          <w:i/>
        </w:rPr>
        <w:t>et al.</w:t>
      </w:r>
      <w:r w:rsidR="00BA1420" w:rsidRPr="007D0D5D">
        <w:t>, 2010; Forrest and Simmons, 2006)</w:t>
      </w:r>
      <w:r w:rsidR="003647EF" w:rsidRPr="007D0D5D">
        <w:t xml:space="preserve">. However, television audiences are drawn from a wider population and such rivalry may be </w:t>
      </w:r>
      <w:r w:rsidR="00674B74" w:rsidRPr="007D0D5D">
        <w:t xml:space="preserve">regarded as </w:t>
      </w:r>
      <w:r w:rsidR="003647EF" w:rsidRPr="007D0D5D">
        <w:t>a local matter</w:t>
      </w:r>
      <w:r w:rsidR="00C45453" w:rsidRPr="007D0D5D">
        <w:t xml:space="preserve">; Forrest </w:t>
      </w:r>
      <w:r w:rsidR="00EA0EEC" w:rsidRPr="007D0D5D">
        <w:rPr>
          <w:i/>
        </w:rPr>
        <w:t>et al.</w:t>
      </w:r>
      <w:r w:rsidR="00C45453" w:rsidRPr="007D0D5D">
        <w:t xml:space="preserve"> </w:t>
      </w:r>
      <w:r w:rsidR="00C45453" w:rsidRPr="007D0D5D">
        <w:rPr>
          <w:noProof/>
        </w:rPr>
        <w:t>(2005)</w:t>
      </w:r>
      <w:r w:rsidR="003647EF" w:rsidRPr="007D0D5D">
        <w:t xml:space="preserve"> </w:t>
      </w:r>
      <w:r w:rsidR="0088691A">
        <w:t>found that derby matches</w:t>
      </w:r>
      <w:r w:rsidR="00C45453" w:rsidRPr="007D0D5D">
        <w:t xml:space="preserve"> had no significant effect on television audience</w:t>
      </w:r>
      <w:r w:rsidR="00961BBD" w:rsidRPr="007D0D5D">
        <w:t>s</w:t>
      </w:r>
      <w:r w:rsidR="00C45453" w:rsidRPr="007D0D5D">
        <w:t xml:space="preserve">. </w:t>
      </w:r>
      <w:r w:rsidR="003647EF" w:rsidRPr="007D0D5D">
        <w:t>Alternatively</w:t>
      </w:r>
      <w:r w:rsidR="0088691A">
        <w:t>,</w:t>
      </w:r>
      <w:r w:rsidR="003647EF" w:rsidRPr="007D0D5D">
        <w:t xml:space="preserve"> national audiences may similarly share this passion for rivalry. </w:t>
      </w:r>
    </w:p>
    <w:p w:rsidR="00BA1D27" w:rsidRPr="007D0D5D" w:rsidRDefault="00586863" w:rsidP="00BA1D27">
      <w:pPr>
        <w:ind w:firstLine="720"/>
      </w:pPr>
      <w:r w:rsidRPr="007D0D5D">
        <w:lastRenderedPageBreak/>
        <w:t xml:space="preserve">The final control variable in </w:t>
      </w:r>
      <m:oMath>
        <m:sSub>
          <m:sSubPr>
            <m:ctrlPr>
              <w:rPr>
                <w:rFonts w:ascii="Cambria Math" w:hAnsi="Cambria Math"/>
                <w:b/>
                <w:i/>
              </w:rPr>
            </m:ctrlPr>
          </m:sSubPr>
          <m:e>
            <m:r>
              <m:rPr>
                <m:sty m:val="bi"/>
              </m:rPr>
              <w:rPr>
                <w:rFonts w:ascii="Cambria Math" w:hAnsi="Cambria Math"/>
              </w:rPr>
              <m:t>X</m:t>
            </m:r>
          </m:e>
          <m:sub>
            <m:r>
              <w:rPr>
                <w:rFonts w:ascii="Cambria Math" w:hAnsi="Cambria Math"/>
              </w:rPr>
              <m:t>ijt</m:t>
            </m:r>
          </m:sub>
        </m:sSub>
        <m:r>
          <m:rPr>
            <m:sty m:val="bi"/>
          </m:rPr>
          <w:rPr>
            <w:rFonts w:ascii="Cambria Math" w:hAnsi="Cambria Math"/>
          </w:rPr>
          <m:t xml:space="preserve"> </m:t>
        </m:r>
      </m:oMath>
      <w:r w:rsidR="0088691A">
        <w:t xml:space="preserve">is the dummy variable </w:t>
      </w:r>
      <w:r w:rsidR="0088691A" w:rsidRPr="00DF59FE">
        <w:rPr>
          <w:i/>
        </w:rPr>
        <w:t>WEEKDAY</w:t>
      </w:r>
      <w:r w:rsidR="0088691A">
        <w:t>. This</w:t>
      </w:r>
      <w:r w:rsidR="00961BBD" w:rsidRPr="007D0D5D">
        <w:t xml:space="preserve"> takes the value of zero</w:t>
      </w:r>
      <w:r w:rsidRPr="007D0D5D">
        <w:t xml:space="preserve"> if the match is telev</w:t>
      </w:r>
      <w:r w:rsidR="00961BBD" w:rsidRPr="007D0D5D">
        <w:t>ised on Saturday or Sunday and one</w:t>
      </w:r>
      <w:r w:rsidRPr="007D0D5D">
        <w:t xml:space="preserve"> otherwise. This is intended to capture the reduced leisure time available during the week relative to the abundance of leisure time available at the weekend. As well as these variables,</w:t>
      </w:r>
      <w:r w:rsidR="00DA3576">
        <w:t xml:space="preserve"> a set of fixed effects is</w:t>
      </w:r>
      <w:r w:rsidRPr="007D0D5D">
        <w:t xml:space="preserve"> included in </w:t>
      </w:r>
      <m:oMath>
        <m:r>
          <m:rPr>
            <m:sty m:val="bi"/>
          </m:rPr>
          <w:rPr>
            <w:rFonts w:ascii="Cambria Math" w:hAnsi="Cambria Math"/>
          </w:rPr>
          <m:t>Z</m:t>
        </m:r>
      </m:oMath>
      <w:r w:rsidR="00DA3576">
        <w:t>, comprising</w:t>
      </w:r>
      <w:r w:rsidR="00961BBD" w:rsidRPr="007D0D5D">
        <w:t xml:space="preserve"> team, month and season</w:t>
      </w:r>
      <w:r w:rsidRPr="007D0D5D">
        <w:t xml:space="preserve"> effects.</w:t>
      </w:r>
    </w:p>
    <w:p w:rsidR="00B753EA" w:rsidRPr="007D0D5D" w:rsidRDefault="00586863" w:rsidP="00FC46FF">
      <w:pPr>
        <w:ind w:firstLine="720"/>
      </w:pPr>
      <w:r w:rsidRPr="007D0D5D">
        <w:t xml:space="preserve">Our focus variable is outcome uncertainty, defined here as the absolute difference in the two teams’ probability of winning the match. The probabilities are derived from the betting odds posted by William Hill, a leading UK bookmaker. The choice of bookmarker is irrelevant as the correlations between posted odds by different bookmakers are extremely high (around 0.95) and the results are robust to the use of different bookmakers’ odds. The use of odds to compute probabilities is apt as they are very strong predictors of match outcomes indicating a </w:t>
      </w:r>
      <w:r w:rsidR="00DC1D5F" w:rsidRPr="007D0D5D">
        <w:t>strong degree of</w:t>
      </w:r>
      <w:r w:rsidRPr="007D0D5D">
        <w:t xml:space="preserve"> efficiency. A further advantage of using bet</w:t>
      </w:r>
      <w:r w:rsidR="00681C82" w:rsidRPr="007D0D5D">
        <w:t xml:space="preserve">ting odds is that they capture </w:t>
      </w:r>
      <w:r w:rsidRPr="007D0D5D">
        <w:t>all relevant public</w:t>
      </w:r>
      <w:r w:rsidR="00412C26" w:rsidRPr="007D0D5D">
        <w:t xml:space="preserve"> as well as</w:t>
      </w:r>
      <w:r w:rsidR="00681C82" w:rsidRPr="007D0D5D">
        <w:t xml:space="preserve"> private</w:t>
      </w:r>
      <w:r w:rsidRPr="007D0D5D">
        <w:t xml:space="preserve"> information that is not readily observed</w:t>
      </w:r>
      <w:r w:rsidR="00DC1D5F" w:rsidRPr="007D0D5D">
        <w:t xml:space="preserve"> but which may affect </w:t>
      </w:r>
      <w:r w:rsidR="00C45453" w:rsidRPr="007D0D5D">
        <w:t>performance</w:t>
      </w:r>
      <w:r w:rsidR="00681C82" w:rsidRPr="007D0D5D">
        <w:t>,</w:t>
      </w:r>
      <w:r w:rsidRPr="007D0D5D">
        <w:t xml:space="preserve"> such as player injuries, suspension and dressing room morale. </w:t>
      </w:r>
    </w:p>
    <w:p w:rsidR="0041304D" w:rsidRPr="007D0D5D" w:rsidRDefault="00586863" w:rsidP="0041304D">
      <w:pPr>
        <w:ind w:firstLine="720"/>
      </w:pPr>
      <w:r w:rsidRPr="007D0D5D">
        <w:t xml:space="preserve">The sum of unadjusted (home win, away win and draw) probabilities routinely exceeds unity due to the bookmaker’s margin. This margin, or ‘over-round’, was around 12% over our sample period. The </w:t>
      </w:r>
      <w:r w:rsidR="00DC1D5F" w:rsidRPr="007D0D5D">
        <w:t xml:space="preserve">adjusted </w:t>
      </w:r>
      <w:r w:rsidRPr="007D0D5D">
        <w:t xml:space="preserve">probabilities are derived by dividing </w:t>
      </w:r>
      <w:r w:rsidR="00DC1D5F" w:rsidRPr="007D0D5D">
        <w:t xml:space="preserve">each of the probabilities </w:t>
      </w:r>
      <w:r w:rsidRPr="007D0D5D">
        <w:t xml:space="preserve">by the </w:t>
      </w:r>
      <w:r w:rsidR="00DC1D5F" w:rsidRPr="007D0D5D">
        <w:t xml:space="preserve">sum of unadjusted probabilities. By doing so, </w:t>
      </w:r>
      <w:r w:rsidRPr="007D0D5D">
        <w:t xml:space="preserve">the adjusted values sum to one. The values of </w:t>
      </w:r>
      <w:r w:rsidR="0088691A" w:rsidRPr="00DF59FE">
        <w:rPr>
          <w:i/>
        </w:rPr>
        <w:t>OUTCOME UNCERTAINTY</w:t>
      </w:r>
      <w:r w:rsidRPr="007D0D5D">
        <w:t>, the absolute difference in home and away team probabilities, for televised games ran</w:t>
      </w:r>
      <w:r w:rsidR="0088691A">
        <w:t>ge from 0 to 0.712. A value of zero</w:t>
      </w:r>
      <w:r w:rsidRPr="007D0D5D">
        <w:t xml:space="preserve"> represents matches with the highest degree of uncertainty while high values represent those matches with a low degree of uncertainty. The values</w:t>
      </w:r>
      <w:r w:rsidR="001A2EAC" w:rsidRPr="007D0D5D">
        <w:t xml:space="preserve"> of uncertainty of outcome show</w:t>
      </w:r>
      <w:r w:rsidRPr="007D0D5D">
        <w:t xml:space="preserve"> that there is a high variat</w:t>
      </w:r>
      <w:r w:rsidR="009F44B5" w:rsidRPr="007D0D5D">
        <w:t>ion given that the theoretical</w:t>
      </w:r>
      <w:r w:rsidR="0088691A">
        <w:t xml:space="preserve"> range is between zero and one</w:t>
      </w:r>
      <w:r w:rsidRPr="007D0D5D">
        <w:t xml:space="preserve">. Hence, there is </w:t>
      </w:r>
      <w:r w:rsidRPr="007D0D5D">
        <w:lastRenderedPageBreak/>
        <w:t>enough variation to capture any effect of uncertainty of outcome on audience rating.</w:t>
      </w:r>
      <w:r w:rsidR="005C7B9E" w:rsidRPr="007D0D5D">
        <w:t xml:space="preserve"> A shortcoming of this measure is that the draw probability is assumed constant. This is a reasonable assumption since there is only a slight variation in the draw probabilities across matches. However, as a robustness check and to deal explicitly with the draw probability</w:t>
      </w:r>
      <w:r w:rsidR="00BA1D27" w:rsidRPr="007D0D5D">
        <w:t xml:space="preserve">, an alternative measure of outcome uncertainty, </w:t>
      </w:r>
      <w:r w:rsidR="00FC46FF" w:rsidRPr="007D0D5D">
        <w:t xml:space="preserve">the </w:t>
      </w:r>
      <w:r w:rsidR="00BA1D27" w:rsidRPr="007D0D5D">
        <w:t>Theil measure</w:t>
      </w:r>
      <w:r w:rsidR="00DC1D5F" w:rsidRPr="007D0D5D">
        <w:t>, is also used (</w:t>
      </w:r>
      <w:r w:rsidR="00412C26" w:rsidRPr="007D0D5D">
        <w:t>Peel and Thomas, 1992; Czarnitzki and Stadtmann, 2002;</w:t>
      </w:r>
      <w:r w:rsidR="00FC46FF" w:rsidRPr="007D0D5D">
        <w:t xml:space="preserve"> </w:t>
      </w:r>
      <w:r w:rsidR="00412C26" w:rsidRPr="007D0D5D">
        <w:t>Buraimo and Simmons, 2008</w:t>
      </w:r>
      <w:r w:rsidR="00DC1D5F" w:rsidRPr="007D0D5D">
        <w:t>)</w:t>
      </w:r>
      <w:r w:rsidR="0041304D" w:rsidRPr="007D0D5D">
        <w:t>. T</w:t>
      </w:r>
      <w:r w:rsidR="00BA1D27" w:rsidRPr="007D0D5D">
        <w:t>he Theil measure makes use of the proba</w:t>
      </w:r>
      <w:r w:rsidR="00FC46FF" w:rsidRPr="007D0D5D">
        <w:t>bilities of all three</w:t>
      </w:r>
      <w:r w:rsidR="0041304D" w:rsidRPr="007D0D5D">
        <w:t xml:space="preserve"> match outcomes and is derived as:</w:t>
      </w:r>
    </w:p>
    <w:p w:rsidR="00FC46FF" w:rsidRPr="007D0D5D" w:rsidRDefault="003B30FE" w:rsidP="0041304D">
      <w:pPr>
        <w:ind w:firstLine="720"/>
      </w:pPr>
      <m:oMathPara>
        <m:oMath>
          <m:nary>
            <m:naryPr>
              <m:chr m:val="∑"/>
              <m:limLoc m:val="undOvr"/>
              <m:ctrlPr>
                <w:rPr>
                  <w:rFonts w:ascii="Cambria Math" w:hAnsi="Cambria Math"/>
                  <w:i/>
                </w:rPr>
              </m:ctrlPr>
            </m:naryPr>
            <m:sub>
              <m:r>
                <w:rPr>
                  <w:rFonts w:ascii="Cambria Math" w:hAnsi="Cambria Math"/>
                </w:rPr>
                <m:t>i=1</m:t>
              </m:r>
            </m:sub>
            <m:sup>
              <m:r>
                <w:rPr>
                  <w:rFonts w:ascii="Cambria Math" w:hAnsi="Cambria Math"/>
                </w:rPr>
                <m:t>3</m:t>
              </m:r>
            </m:sup>
            <m:e>
              <m:sSub>
                <m:sSubPr>
                  <m:ctrlPr>
                    <w:rPr>
                      <w:rFonts w:ascii="Cambria Math" w:hAnsi="Cambria Math"/>
                      <w:i/>
                    </w:rPr>
                  </m:ctrlPr>
                </m:sSubPr>
                <m:e>
                  <m:r>
                    <w:rPr>
                      <w:rFonts w:ascii="Cambria Math" w:hAnsi="Cambria Math"/>
                    </w:rPr>
                    <m:t>P</m:t>
                  </m:r>
                </m:e>
                <m:sub>
                  <m:r>
                    <w:rPr>
                      <w:rFonts w:ascii="Cambria Math" w:hAnsi="Cambria Math"/>
                    </w:rPr>
                    <m:t>i</m:t>
                  </m:r>
                </m:sub>
              </m:sSub>
            </m:e>
          </m:nary>
          <m:r>
            <w:rPr>
              <w:rFonts w:ascii="Cambria Math" w:hAnsi="Cambria Math"/>
            </w:rPr>
            <m:t>×</m:t>
          </m:r>
          <m:r>
            <m:rPr>
              <m:sty m:val="p"/>
            </m:rPr>
            <w:rPr>
              <w:rFonts w:ascii="Cambria Math" w:hAnsi="Cambria Math"/>
            </w:rPr>
            <m:t>ln</m:t>
          </m:r>
          <m:d>
            <m:dPr>
              <m:ctrlPr>
                <w:rPr>
                  <w:rFonts w:ascii="Cambria Math" w:hAnsi="Cambria Math"/>
                </w:rPr>
              </m:ctrlPr>
            </m:dPr>
            <m:e>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p</m:t>
                      </m:r>
                    </m:e>
                    <m:sub>
                      <m:r>
                        <w:rPr>
                          <w:rFonts w:ascii="Cambria Math" w:hAnsi="Cambria Math"/>
                        </w:rPr>
                        <m:t>i</m:t>
                      </m:r>
                    </m:sub>
                  </m:sSub>
                </m:den>
              </m:f>
            </m:e>
          </m:d>
        </m:oMath>
      </m:oMathPara>
    </w:p>
    <w:p w:rsidR="00BA1D27" w:rsidRPr="007D0D5D" w:rsidRDefault="0041304D" w:rsidP="00FC46FF">
      <w:r w:rsidRPr="007D0D5D">
        <w:t>w</w:t>
      </w:r>
      <w:r w:rsidR="00FC46FF" w:rsidRPr="007D0D5D">
        <w:t xml:space="preserve">here </w:t>
      </w:r>
      <m:oMath>
        <m:sSub>
          <m:sSubPr>
            <m:ctrlPr>
              <w:rPr>
                <w:rFonts w:ascii="Cambria Math" w:hAnsi="Cambria Math"/>
                <w:i/>
              </w:rPr>
            </m:ctrlPr>
          </m:sSubPr>
          <m:e>
            <m:r>
              <w:rPr>
                <w:rFonts w:ascii="Cambria Math" w:hAnsi="Cambria Math"/>
              </w:rPr>
              <m:t>P</m:t>
            </m:r>
          </m:e>
          <m:sub>
            <m:r>
              <w:rPr>
                <w:rFonts w:ascii="Cambria Math" w:hAnsi="Cambria Math"/>
              </w:rPr>
              <m:t>i</m:t>
            </m:r>
          </m:sub>
        </m:sSub>
      </m:oMath>
      <w:r w:rsidR="00FC46FF" w:rsidRPr="007D0D5D">
        <w:t xml:space="preserve"> is the probability of </w:t>
      </w:r>
      <w:r w:rsidR="00DC1D5F" w:rsidRPr="007D0D5D">
        <w:t xml:space="preserve">outcome </w:t>
      </w:r>
      <m:oMath>
        <m:r>
          <w:rPr>
            <w:rFonts w:ascii="Cambria Math" w:hAnsi="Cambria Math"/>
          </w:rPr>
          <m:t>i</m:t>
        </m:r>
      </m:oMath>
      <w:r w:rsidR="00DC1D5F" w:rsidRPr="007D0D5D">
        <w:t xml:space="preserve">, which is any one of </w:t>
      </w:r>
      <w:r w:rsidR="00FC46FF" w:rsidRPr="007D0D5D">
        <w:t xml:space="preserve">the three possible </w:t>
      </w:r>
      <w:r w:rsidR="00B753EA" w:rsidRPr="007D0D5D">
        <w:t>results</w:t>
      </w:r>
      <w:r w:rsidR="00FC46FF" w:rsidRPr="007D0D5D">
        <w:t>.</w:t>
      </w:r>
      <w:r w:rsidR="007A2813" w:rsidRPr="007D0D5D">
        <w:t xml:space="preserve"> It is highly likely that the results, qualitatively, would be similar as the correlation coefficient between </w:t>
      </w:r>
      <w:r w:rsidR="007A2813" w:rsidRPr="00DF59FE">
        <w:rPr>
          <w:i/>
        </w:rPr>
        <w:t>OUTCOME UNCERTAINTY</w:t>
      </w:r>
      <w:r w:rsidR="007A2813" w:rsidRPr="007D0D5D">
        <w:t xml:space="preserve"> and the Theil measure is -0.944.</w:t>
      </w:r>
      <w:r w:rsidRPr="007D0D5D">
        <w:t xml:space="preserve"> </w:t>
      </w:r>
      <w:r w:rsidR="00451537" w:rsidRPr="007D0D5D">
        <w:t xml:space="preserve"> </w:t>
      </w:r>
    </w:p>
    <w:p w:rsidR="00EF2E40" w:rsidRPr="007D0D5D" w:rsidRDefault="00412C26" w:rsidP="0099548F">
      <w:pPr>
        <w:ind w:firstLine="720"/>
      </w:pPr>
      <w:r w:rsidRPr="007D0D5D">
        <w:t xml:space="preserve">Considering the variables in </w:t>
      </w:r>
      <m:oMath>
        <m:sSub>
          <m:sSubPr>
            <m:ctrlPr>
              <w:rPr>
                <w:rFonts w:ascii="Cambria Math" w:hAnsi="Cambria Math"/>
                <w:b/>
                <w:i/>
              </w:rPr>
            </m:ctrlPr>
          </m:sSubPr>
          <m:e>
            <m:r>
              <m:rPr>
                <m:sty m:val="bi"/>
              </m:rPr>
              <w:rPr>
                <w:rFonts w:ascii="Cambria Math" w:hAnsi="Cambria Math"/>
              </w:rPr>
              <m:t>Y</m:t>
            </m:r>
          </m:e>
          <m:sub>
            <m:r>
              <w:rPr>
                <w:rFonts w:ascii="Cambria Math" w:hAnsi="Cambria Math"/>
              </w:rPr>
              <m:t>ijt</m:t>
            </m:r>
          </m:sub>
        </m:sSub>
      </m:oMath>
      <w:r w:rsidRPr="007D0D5D">
        <w:rPr>
          <w:b/>
        </w:rPr>
        <w:t>, s</w:t>
      </w:r>
      <w:r w:rsidR="00D33E1D" w:rsidRPr="007D0D5D">
        <w:t>electing game</w:t>
      </w:r>
      <w:r w:rsidR="00AE4E6F" w:rsidRPr="007D0D5D">
        <w:t>s for broadcast is not straight</w:t>
      </w:r>
      <w:r w:rsidR="00D33E1D" w:rsidRPr="007D0D5D">
        <w:t>forward. The challenge broadcasters face in this market is that games selected for broadcast cannot be televised at</w:t>
      </w:r>
      <w:r w:rsidR="007E6EDF" w:rsidRPr="007D0D5D">
        <w:t xml:space="preserve"> the regular time of</w:t>
      </w:r>
      <w:r w:rsidR="00D33E1D" w:rsidRPr="007D0D5D">
        <w:t xml:space="preserve"> 3:00 PM on Saturday</w:t>
      </w:r>
      <w:r w:rsidR="0095019E" w:rsidRPr="007D0D5D">
        <w:t>, by League rule</w:t>
      </w:r>
      <w:r w:rsidR="00D33E1D" w:rsidRPr="007D0D5D">
        <w:t xml:space="preserve">. </w:t>
      </w:r>
      <w:r w:rsidR="008B5CE6" w:rsidRPr="007D0D5D">
        <w:t>Instead</w:t>
      </w:r>
      <w:r w:rsidR="0095019E" w:rsidRPr="007D0D5D">
        <w:t>,</w:t>
      </w:r>
      <w:r w:rsidR="00D33E1D" w:rsidRPr="007D0D5D">
        <w:t xml:space="preserve"> games </w:t>
      </w:r>
      <w:r w:rsidR="007E6EDF" w:rsidRPr="007D0D5D">
        <w:t xml:space="preserve">must be </w:t>
      </w:r>
      <w:r w:rsidR="00D33E1D" w:rsidRPr="007D0D5D">
        <w:t>moved to other times of the day</w:t>
      </w:r>
      <w:r w:rsidR="007E6EDF" w:rsidRPr="007D0D5D">
        <w:t xml:space="preserve"> (</w:t>
      </w:r>
      <w:r w:rsidR="0069775B" w:rsidRPr="007D0D5D">
        <w:t>usually</w:t>
      </w:r>
      <w:r w:rsidR="007E6EDF" w:rsidRPr="007D0D5D">
        <w:t xml:space="preserve"> Noon or 5:30 PM)</w:t>
      </w:r>
      <w:r w:rsidR="00D33E1D" w:rsidRPr="007D0D5D">
        <w:t xml:space="preserve"> or other days of the week. The rationale for such </w:t>
      </w:r>
      <w:r w:rsidR="0069775B" w:rsidRPr="007D0D5D">
        <w:t xml:space="preserve">a </w:t>
      </w:r>
      <w:r w:rsidR="00D33E1D" w:rsidRPr="007D0D5D">
        <w:t xml:space="preserve">move is to reduce the substitution effect that will occur across the whole of English football since the majority of football games (in the English Premier League and the three professional divisions of the Football League) take place </w:t>
      </w:r>
      <w:r w:rsidR="0069775B" w:rsidRPr="007D0D5D">
        <w:t xml:space="preserve">at 3:00 PM </w:t>
      </w:r>
      <w:r w:rsidR="00D33E1D" w:rsidRPr="007D0D5D">
        <w:t>on Saturday</w:t>
      </w:r>
      <w:r w:rsidR="0069775B" w:rsidRPr="007D0D5D">
        <w:t>s</w:t>
      </w:r>
      <w:r w:rsidR="00D33E1D" w:rsidRPr="007D0D5D">
        <w:t xml:space="preserve">. </w:t>
      </w:r>
      <w:r w:rsidR="0069775B" w:rsidRPr="007D0D5D">
        <w:t>Many spectators</w:t>
      </w:r>
      <w:r w:rsidR="00D33E1D" w:rsidRPr="007D0D5D">
        <w:t xml:space="preserve"> will simply </w:t>
      </w:r>
      <w:r w:rsidR="0069775B" w:rsidRPr="007D0D5D">
        <w:t>substitute</w:t>
      </w:r>
      <w:r w:rsidR="00D33E1D" w:rsidRPr="007D0D5D">
        <w:t xml:space="preserve"> going to these games </w:t>
      </w:r>
      <w:r w:rsidR="0069775B" w:rsidRPr="007D0D5D">
        <w:t>with watching</w:t>
      </w:r>
      <w:r w:rsidR="00D33E1D" w:rsidRPr="007D0D5D">
        <w:t xml:space="preserve"> live transmission of Premier League games. Moving games from 3:00 PM is </w:t>
      </w:r>
      <w:r w:rsidR="008B5CE6" w:rsidRPr="007D0D5D">
        <w:t xml:space="preserve">disruptive </w:t>
      </w:r>
      <w:r w:rsidR="0069775B" w:rsidRPr="007D0D5D">
        <w:t xml:space="preserve">particularly </w:t>
      </w:r>
      <w:r w:rsidR="00D33E1D" w:rsidRPr="007D0D5D">
        <w:t>to season ticket holders who purchase</w:t>
      </w:r>
      <w:r w:rsidR="0069775B" w:rsidRPr="007D0D5D">
        <w:t xml:space="preserve"> </w:t>
      </w:r>
      <w:r w:rsidR="00D33E1D" w:rsidRPr="007D0D5D">
        <w:t xml:space="preserve">their tickets </w:t>
      </w:r>
      <w:r w:rsidR="0069775B" w:rsidRPr="007D0D5D">
        <w:t>in advance of the season starting</w:t>
      </w:r>
      <w:r w:rsidR="008B5CE6" w:rsidRPr="007D0D5D">
        <w:t xml:space="preserve">. To minimise </w:t>
      </w:r>
      <w:r w:rsidR="0069775B" w:rsidRPr="007D0D5D">
        <w:t>this</w:t>
      </w:r>
      <w:r w:rsidR="008B5CE6" w:rsidRPr="007D0D5D">
        <w:t xml:space="preserve"> disruption, </w:t>
      </w:r>
      <w:r w:rsidR="0069775B" w:rsidRPr="007D0D5D">
        <w:t xml:space="preserve">a schedule of games for the </w:t>
      </w:r>
      <w:r w:rsidR="008B5CE6" w:rsidRPr="007D0D5D">
        <w:t>first half of the season (</w:t>
      </w:r>
      <w:r w:rsidR="0069775B" w:rsidRPr="007D0D5D">
        <w:t xml:space="preserve">normally from </w:t>
      </w:r>
      <w:r w:rsidR="008B5CE6" w:rsidRPr="007D0D5D">
        <w:t xml:space="preserve">August to December) are announced prior to the start of the season. This means that the broadcasters </w:t>
      </w:r>
      <w:r w:rsidR="008B5CE6" w:rsidRPr="007D0D5D">
        <w:lastRenderedPageBreak/>
        <w:t xml:space="preserve">have to choose which </w:t>
      </w:r>
      <w:r w:rsidR="0069775B" w:rsidRPr="007D0D5D">
        <w:t>games</w:t>
      </w:r>
      <w:r w:rsidR="008B5CE6" w:rsidRPr="007D0D5D">
        <w:t xml:space="preserve"> to televise without any information </w:t>
      </w:r>
      <w:r w:rsidR="0069775B" w:rsidRPr="007D0D5D">
        <w:t xml:space="preserve">on how well the teams </w:t>
      </w:r>
      <w:r w:rsidR="00FA696D" w:rsidRPr="007D0D5D">
        <w:t>will be</w:t>
      </w:r>
      <w:r w:rsidR="0069775B" w:rsidRPr="007D0D5D">
        <w:t xml:space="preserve"> doing</w:t>
      </w:r>
      <w:r w:rsidR="008B5CE6" w:rsidRPr="007D0D5D">
        <w:t>. It is therefore likely that the broadcaster</w:t>
      </w:r>
      <w:r w:rsidR="0069775B" w:rsidRPr="007D0D5D">
        <w:t xml:space="preserve"> will</w:t>
      </w:r>
      <w:r w:rsidR="008B5CE6" w:rsidRPr="007D0D5D">
        <w:t xml:space="preserve"> instead make use of </w:t>
      </w:r>
      <w:r w:rsidR="0069775B" w:rsidRPr="007D0D5D">
        <w:t>other exogenous information outside the current season</w:t>
      </w:r>
      <w:r w:rsidR="008B5CE6" w:rsidRPr="007D0D5D">
        <w:t xml:space="preserve">. </w:t>
      </w:r>
    </w:p>
    <w:p w:rsidR="00A50E07" w:rsidRPr="007D0D5D" w:rsidRDefault="0095019E" w:rsidP="00D60D97">
      <w:pPr>
        <w:ind w:firstLine="720"/>
      </w:pPr>
      <w:r w:rsidRPr="007D0D5D">
        <w:t>Similar to</w:t>
      </w:r>
      <w:r w:rsidR="0069775B" w:rsidRPr="007D0D5D">
        <w:t xml:space="preserve"> audiences, broadcasters are likely to be attracted to games involving teams with a high wage bill, a proxy measure fo</w:t>
      </w:r>
      <w:r w:rsidR="0088691A">
        <w:t xml:space="preserve">r talent. </w:t>
      </w:r>
      <w:r w:rsidR="0088691A" w:rsidRPr="00DF59FE">
        <w:rPr>
          <w:i/>
        </w:rPr>
        <w:t>COMBINED RELATIVE WAGE</w:t>
      </w:r>
      <w:r w:rsidR="0069775B" w:rsidRPr="007D0D5D">
        <w:t xml:space="preserve"> is likely to have a positive impact on the decision to televise a match.</w:t>
      </w:r>
      <w:r w:rsidR="008D07DB" w:rsidRPr="007D0D5D">
        <w:t xml:space="preserve"> </w:t>
      </w:r>
      <w:r w:rsidR="00FF6B49" w:rsidRPr="007D0D5D">
        <w:t xml:space="preserve">The </w:t>
      </w:r>
      <w:r w:rsidR="00FF6B49" w:rsidRPr="00DF59FE">
        <w:rPr>
          <w:i/>
        </w:rPr>
        <w:t>ABSO</w:t>
      </w:r>
      <w:r w:rsidR="00A50E07" w:rsidRPr="00DF59FE">
        <w:rPr>
          <w:i/>
        </w:rPr>
        <w:t>LUTE DIFFERENCE IN RELATIVE WAGE</w:t>
      </w:r>
      <w:r w:rsidR="00A50E07" w:rsidRPr="007D0D5D">
        <w:t xml:space="preserve"> is also included to capture the emphasis that the broadcaster might place on teams who are evenly matched.</w:t>
      </w:r>
      <w:r w:rsidR="00FD7B1F" w:rsidRPr="007D0D5D">
        <w:t xml:space="preserve"> With respect to talent, broadcasters may have a preference for a contest in which the quality of talent is evenly distributed across the teams </w:t>
      </w:r>
      <w:r w:rsidR="00FD7B1F" w:rsidRPr="007D0D5D">
        <w:rPr>
          <w:noProof/>
        </w:rPr>
        <w:t>(Buraimo, 2008; Forrest</w:t>
      </w:r>
      <w:r w:rsidR="00FD7B1F" w:rsidRPr="007D0D5D">
        <w:rPr>
          <w:i/>
          <w:noProof/>
        </w:rPr>
        <w:t xml:space="preserve"> </w:t>
      </w:r>
      <w:r w:rsidR="00EA0EEC" w:rsidRPr="007D0D5D">
        <w:rPr>
          <w:i/>
          <w:noProof/>
        </w:rPr>
        <w:t>et al.</w:t>
      </w:r>
      <w:r w:rsidR="00FD7B1F" w:rsidRPr="007D0D5D">
        <w:rPr>
          <w:noProof/>
        </w:rPr>
        <w:t>, 2005)</w:t>
      </w:r>
      <w:r w:rsidR="00FD7B1F" w:rsidRPr="007D0D5D">
        <w:t xml:space="preserve">. </w:t>
      </w:r>
      <w:r w:rsidR="00E53DFD" w:rsidRPr="007D0D5D">
        <w:t xml:space="preserve">The inclusion of </w:t>
      </w:r>
      <w:r w:rsidR="00FD7B1F" w:rsidRPr="00DF59FE">
        <w:rPr>
          <w:i/>
          <w:caps/>
        </w:rPr>
        <w:t>absolute difference in relative wage</w:t>
      </w:r>
      <w:r w:rsidR="00FD7B1F" w:rsidRPr="00DF59FE">
        <w:rPr>
          <w:i/>
        </w:rPr>
        <w:t xml:space="preserve"> </w:t>
      </w:r>
      <w:r w:rsidR="00FD7B1F" w:rsidRPr="007D0D5D">
        <w:t>in the selection part of the model represents a prior indicator of outcome uncertainty before the season starts when the broadcasters begin to select games.</w:t>
      </w:r>
      <w:r w:rsidR="00E53DFD" w:rsidRPr="007D0D5D">
        <w:t xml:space="preserve"> To capture the effects of the broadcasters’ decision making process in the first and second half of the season, </w:t>
      </w:r>
      <w:r w:rsidR="00E53DFD" w:rsidRPr="00DF59FE">
        <w:rPr>
          <w:i/>
          <w:caps/>
        </w:rPr>
        <w:t>Combined relative wage</w:t>
      </w:r>
      <w:r w:rsidR="00E53DFD" w:rsidRPr="007D0D5D">
        <w:t xml:space="preserve"> </w:t>
      </w:r>
      <w:r w:rsidR="00FF6B49" w:rsidRPr="007D0D5D">
        <w:t xml:space="preserve">and </w:t>
      </w:r>
      <w:r w:rsidR="00FF6B49" w:rsidRPr="00DF59FE">
        <w:rPr>
          <w:i/>
        </w:rPr>
        <w:t>ABSO</w:t>
      </w:r>
      <w:r w:rsidR="00E53DFD" w:rsidRPr="00DF59FE">
        <w:rPr>
          <w:i/>
        </w:rPr>
        <w:t>LUTE DIFFERENCE IN RELATIVE WAGE</w:t>
      </w:r>
      <w:r w:rsidR="00E53DFD" w:rsidRPr="007D0D5D">
        <w:t xml:space="preserve"> are interacted with </w:t>
      </w:r>
      <w:r w:rsidR="00E53DFD" w:rsidRPr="00DF59FE">
        <w:rPr>
          <w:i/>
        </w:rPr>
        <w:t>FIRST HALF</w:t>
      </w:r>
      <w:r w:rsidR="00E53DFD" w:rsidRPr="007D0D5D">
        <w:t xml:space="preserve"> and </w:t>
      </w:r>
      <w:r w:rsidR="00E53DFD" w:rsidRPr="00DF59FE">
        <w:rPr>
          <w:i/>
        </w:rPr>
        <w:t>SECOND HALF</w:t>
      </w:r>
      <w:r w:rsidR="00E53DFD" w:rsidRPr="007D0D5D">
        <w:t xml:space="preserve">. </w:t>
      </w:r>
      <w:r w:rsidR="00E53DFD" w:rsidRPr="00DF59FE">
        <w:rPr>
          <w:i/>
        </w:rPr>
        <w:t>FIRST</w:t>
      </w:r>
      <w:r w:rsidR="00DF49C5" w:rsidRPr="00DF59FE">
        <w:rPr>
          <w:i/>
        </w:rPr>
        <w:t xml:space="preserve"> HALF</w:t>
      </w:r>
      <w:r w:rsidR="00DF49C5">
        <w:t xml:space="preserve"> takes the value of value one</w:t>
      </w:r>
      <w:r w:rsidR="00E53DFD" w:rsidRPr="007D0D5D">
        <w:t xml:space="preserve"> for the months between August and December and zero otherwise and </w:t>
      </w:r>
      <w:r w:rsidR="00DF49C5" w:rsidRPr="00DF59FE">
        <w:rPr>
          <w:i/>
        </w:rPr>
        <w:t xml:space="preserve">SECOND HALF </w:t>
      </w:r>
      <w:r w:rsidR="00DF49C5">
        <w:t>takes the value of one</w:t>
      </w:r>
      <w:r w:rsidR="00E53DFD" w:rsidRPr="007D0D5D">
        <w:t xml:space="preserve"> during</w:t>
      </w:r>
      <w:r w:rsidR="00701771" w:rsidRPr="007D0D5D">
        <w:t xml:space="preserve"> the months January to May and zero</w:t>
      </w:r>
      <w:r w:rsidR="00E53DFD" w:rsidRPr="007D0D5D">
        <w:t xml:space="preserve"> otherwise</w:t>
      </w:r>
      <w:r w:rsidR="00701771" w:rsidRPr="007D0D5D">
        <w:t xml:space="preserve">. By interacting the </w:t>
      </w:r>
      <w:r w:rsidR="00701771" w:rsidRPr="00DF59FE">
        <w:rPr>
          <w:i/>
        </w:rPr>
        <w:t>RELATIVE WAGE</w:t>
      </w:r>
      <w:r w:rsidR="00701771" w:rsidRPr="007D0D5D">
        <w:t xml:space="preserve"> variables with </w:t>
      </w:r>
      <w:r w:rsidR="00701771" w:rsidRPr="00DF59FE">
        <w:rPr>
          <w:i/>
        </w:rPr>
        <w:t>FIRST HALF</w:t>
      </w:r>
      <w:r w:rsidR="00701771" w:rsidRPr="007D0D5D">
        <w:t xml:space="preserve"> and </w:t>
      </w:r>
      <w:r w:rsidR="00701771" w:rsidRPr="00DF59FE">
        <w:rPr>
          <w:i/>
        </w:rPr>
        <w:t>SECOND HALF</w:t>
      </w:r>
      <w:r w:rsidR="00701771" w:rsidRPr="007D0D5D">
        <w:t xml:space="preserve">, the relative weights attributed to </w:t>
      </w:r>
      <w:r w:rsidR="00701771" w:rsidRPr="00DF59FE">
        <w:rPr>
          <w:i/>
        </w:rPr>
        <w:t>RELATIVE WAGE</w:t>
      </w:r>
      <w:r w:rsidR="00701771" w:rsidRPr="007D0D5D">
        <w:t xml:space="preserve"> during the first and second parts of the season by the broadcasters can be evaluated.</w:t>
      </w:r>
    </w:p>
    <w:p w:rsidR="00B55E3A" w:rsidRPr="007D0D5D" w:rsidRDefault="0069775B" w:rsidP="00D60D97">
      <w:pPr>
        <w:ind w:firstLine="720"/>
      </w:pPr>
      <w:r w:rsidRPr="007D0D5D">
        <w:t xml:space="preserve">Selection for broadcasting is </w:t>
      </w:r>
      <w:r w:rsidR="003647EF" w:rsidRPr="007D0D5D">
        <w:t xml:space="preserve">also </w:t>
      </w:r>
      <w:r w:rsidRPr="007D0D5D">
        <w:t xml:space="preserve">likely to be based on how popular the teams are. </w:t>
      </w:r>
      <w:r w:rsidR="00EF2E40" w:rsidRPr="007D0D5D">
        <w:t>In order t</w:t>
      </w:r>
      <w:r w:rsidR="00554420" w:rsidRPr="007D0D5D">
        <w:t xml:space="preserve">o capture the popularity of </w:t>
      </w:r>
      <w:r w:rsidR="00EF2E40" w:rsidRPr="007D0D5D">
        <w:t>a given</w:t>
      </w:r>
      <w:r w:rsidR="00554420" w:rsidRPr="007D0D5D">
        <w:t xml:space="preserve"> match, the (log of) the combined mean attendance of the two team</w:t>
      </w:r>
      <w:r w:rsidR="00EF2E40" w:rsidRPr="007D0D5D">
        <w:t>s</w:t>
      </w:r>
      <w:r w:rsidR="00A50E07" w:rsidRPr="007D0D5D">
        <w:t xml:space="preserve"> from the previous season</w:t>
      </w:r>
      <w:r w:rsidR="00EC365A">
        <w:t>, l</w:t>
      </w:r>
      <w:r w:rsidR="00701771" w:rsidRPr="007D0D5D">
        <w:t>n</w:t>
      </w:r>
      <w:r w:rsidR="00FF6B49" w:rsidRPr="007D0D5D">
        <w:t>(</w:t>
      </w:r>
      <w:r w:rsidR="00FF6B49" w:rsidRPr="00DF59FE">
        <w:rPr>
          <w:i/>
        </w:rPr>
        <w:t>COMBINED LAG</w:t>
      </w:r>
      <w:r w:rsidR="00701771" w:rsidRPr="00DF59FE">
        <w:rPr>
          <w:i/>
        </w:rPr>
        <w:t xml:space="preserve"> ATTENDANCE</w:t>
      </w:r>
      <w:r w:rsidR="00701771" w:rsidRPr="007D0D5D">
        <w:t xml:space="preserve">) is </w:t>
      </w:r>
      <w:r w:rsidR="00554420" w:rsidRPr="007D0D5D">
        <w:t>interacted with</w:t>
      </w:r>
      <w:r w:rsidR="00A50E07" w:rsidRPr="007D0D5D">
        <w:t xml:space="preserve"> </w:t>
      </w:r>
      <w:r w:rsidR="008D07DB" w:rsidRPr="00DF59FE">
        <w:rPr>
          <w:i/>
        </w:rPr>
        <w:t>FIRST HALF</w:t>
      </w:r>
      <w:r w:rsidR="00BD3E24" w:rsidRPr="007D0D5D">
        <w:t xml:space="preserve"> </w:t>
      </w:r>
      <w:r w:rsidR="00701771" w:rsidRPr="007D0D5D">
        <w:t>to</w:t>
      </w:r>
      <w:r w:rsidR="00A50E07" w:rsidRPr="007D0D5D">
        <w:t xml:space="preserve"> capture the fact the broadcasters have to select matches for </w:t>
      </w:r>
      <w:r w:rsidR="00A50E07" w:rsidRPr="007D0D5D">
        <w:lastRenderedPageBreak/>
        <w:t xml:space="preserve">the broadcast schedule for the first part of the season in advance of the season starting. It is only in the second half that they are able to use contemporary information to inform their selection. </w:t>
      </w:r>
      <w:r w:rsidR="00BC52B5" w:rsidRPr="007D0D5D">
        <w:t xml:space="preserve">In the absence of any information on form, the points at the end of the previous season are used </w:t>
      </w:r>
      <w:r w:rsidR="000D1BC0" w:rsidRPr="007D0D5D">
        <w:t xml:space="preserve">as an indicator of future form, at least for the first half of the season. Therefore the combined and the absolute difference in </w:t>
      </w:r>
      <w:r w:rsidR="00CF59C1" w:rsidRPr="007D0D5D">
        <w:t xml:space="preserve">lag </w:t>
      </w:r>
      <w:r w:rsidR="000D1BC0" w:rsidRPr="007D0D5D">
        <w:t xml:space="preserve">points per game, interacted with the dummy variable </w:t>
      </w:r>
      <w:r w:rsidRPr="007D0D5D">
        <w:t>first half</w:t>
      </w:r>
      <w:r w:rsidR="000D1BC0" w:rsidRPr="007D0D5D">
        <w:t xml:space="preserve"> are included. </w:t>
      </w:r>
      <w:r w:rsidR="008B5CE6" w:rsidRPr="007D0D5D">
        <w:t>During the second half of the season</w:t>
      </w:r>
      <w:r w:rsidR="00D60D97" w:rsidRPr="007D0D5D">
        <w:t>,</w:t>
      </w:r>
      <w:r w:rsidR="008B5CE6" w:rsidRPr="007D0D5D">
        <w:t xml:space="preserve"> however, the broadcasters, like the television </w:t>
      </w:r>
      <w:r w:rsidRPr="007D0D5D">
        <w:t xml:space="preserve">audiences are able to base their selection decision on contemporary information. </w:t>
      </w:r>
      <w:r w:rsidR="00EB22A2" w:rsidRPr="007D0D5D">
        <w:t xml:space="preserve">It is with this in mind that </w:t>
      </w:r>
      <w:r w:rsidR="00EB22A2" w:rsidRPr="00DF59FE">
        <w:rPr>
          <w:i/>
        </w:rPr>
        <w:t xml:space="preserve">COMBINED POINTS PER GAME </w:t>
      </w:r>
      <w:r w:rsidR="007A05F9" w:rsidRPr="00DF59FE">
        <w:rPr>
          <w:rFonts w:cs="Times New Roman"/>
          <w:i/>
        </w:rPr>
        <w:t>×</w:t>
      </w:r>
      <w:r w:rsidR="00EB22A2" w:rsidRPr="00DF59FE">
        <w:rPr>
          <w:i/>
        </w:rPr>
        <w:t xml:space="preserve"> SECOND </w:t>
      </w:r>
      <w:r w:rsidR="007A05F9" w:rsidRPr="00DF59FE">
        <w:rPr>
          <w:i/>
        </w:rPr>
        <w:t>HALF</w:t>
      </w:r>
      <w:r w:rsidR="007A05F9" w:rsidRPr="007D0D5D">
        <w:t xml:space="preserve"> </w:t>
      </w:r>
      <w:r w:rsidR="00EB22A2" w:rsidRPr="007D0D5D">
        <w:t>is included</w:t>
      </w:r>
      <w:r w:rsidR="00A50E07" w:rsidRPr="007D0D5D">
        <w:t xml:space="preserve"> </w:t>
      </w:r>
      <w:r w:rsidR="00EB22A2" w:rsidRPr="007D0D5D">
        <w:t xml:space="preserve">This is the sum of the points per game of the two teams prior to the </w:t>
      </w:r>
      <w:r w:rsidR="00A50E07" w:rsidRPr="007D0D5D">
        <w:t xml:space="preserve">current </w:t>
      </w:r>
      <w:r w:rsidR="00EB22A2" w:rsidRPr="007D0D5D">
        <w:t>match durin</w:t>
      </w:r>
      <w:r w:rsidR="00A50E07" w:rsidRPr="007D0D5D">
        <w:t>g the second half of the season;</w:t>
      </w:r>
      <w:r w:rsidR="00EB22A2" w:rsidRPr="007D0D5D">
        <w:t xml:space="preserve"> </w:t>
      </w:r>
      <w:r w:rsidR="00A50E07" w:rsidRPr="00DF59FE">
        <w:rPr>
          <w:i/>
        </w:rPr>
        <w:t>SECOND HALF</w:t>
      </w:r>
      <w:r w:rsidR="00A50E07" w:rsidRPr="007D0D5D">
        <w:t xml:space="preserve"> is a dummy va</w:t>
      </w:r>
      <w:r w:rsidR="00B722BD">
        <w:t>riable that takes the value of one</w:t>
      </w:r>
      <w:r w:rsidR="00A50E07" w:rsidRPr="007D0D5D">
        <w:t xml:space="preserve"> in the second half of the season (January to May inclusive) and zero otherwise.</w:t>
      </w:r>
    </w:p>
    <w:p w:rsidR="00586863" w:rsidRPr="007D0D5D" w:rsidRDefault="00B55E3A" w:rsidP="00672F8C">
      <w:pPr>
        <w:ind w:firstLine="720"/>
      </w:pPr>
      <w:r w:rsidRPr="007D0D5D">
        <w:t>As with the television audience demand</w:t>
      </w:r>
      <w:r w:rsidR="00FF6B49" w:rsidRPr="007D0D5D">
        <w:t xml:space="preserve"> equation</w:t>
      </w:r>
      <w:r w:rsidRPr="007D0D5D">
        <w:t xml:space="preserve">, </w:t>
      </w:r>
      <w:r w:rsidR="005B2900" w:rsidRPr="007D0D5D">
        <w:t>champion contention</w:t>
      </w:r>
      <w:r w:rsidRPr="007D0D5D">
        <w:t xml:space="preserve">, Europe contention and relegation contention are included but </w:t>
      </w:r>
      <w:r w:rsidR="00AC1485" w:rsidRPr="007D0D5D">
        <w:t xml:space="preserve">only </w:t>
      </w:r>
      <w:r w:rsidRPr="007D0D5D">
        <w:t xml:space="preserve">for the second half of the season since </w:t>
      </w:r>
      <w:r w:rsidR="00EF29F7" w:rsidRPr="007D0D5D">
        <w:t xml:space="preserve">such </w:t>
      </w:r>
      <w:r w:rsidRPr="007D0D5D">
        <w:t>information is not available</w:t>
      </w:r>
      <w:r w:rsidR="00EF29F7" w:rsidRPr="007D0D5D">
        <w:t xml:space="preserve"> to the broadcasters</w:t>
      </w:r>
      <w:r w:rsidRPr="007D0D5D">
        <w:t xml:space="preserve"> during the first half of the season. Each of the contention variables are therefore interacted with </w:t>
      </w:r>
      <w:r w:rsidRPr="00DF59FE">
        <w:rPr>
          <w:i/>
        </w:rPr>
        <w:t>SECOND HALF</w:t>
      </w:r>
      <w:r w:rsidR="00D60D97" w:rsidRPr="007D0D5D">
        <w:t xml:space="preserve">. </w:t>
      </w:r>
      <w:r w:rsidRPr="007D0D5D">
        <w:t>The intention of the variables is to capture any preference</w:t>
      </w:r>
      <w:r w:rsidR="00EF29F7" w:rsidRPr="007D0D5D">
        <w:t xml:space="preserve">s the broadcasters have </w:t>
      </w:r>
      <w:r w:rsidRPr="007D0D5D">
        <w:t>for games involving team in contention of any end of season h</w:t>
      </w:r>
      <w:r w:rsidR="00EF29F7" w:rsidRPr="007D0D5D">
        <w:t>onours</w:t>
      </w:r>
      <w:r w:rsidRPr="007D0D5D">
        <w:t xml:space="preserve"> over and above any uncertainty of outcome. </w:t>
      </w:r>
      <w:r w:rsidR="00EF29F7" w:rsidRPr="007D0D5D">
        <w:t xml:space="preserve">The potential impact of </w:t>
      </w:r>
      <w:r w:rsidR="00EF29F7" w:rsidRPr="00DF59FE">
        <w:rPr>
          <w:i/>
        </w:rPr>
        <w:t>DERBY</w:t>
      </w:r>
      <w:r w:rsidR="00EF29F7" w:rsidRPr="007D0D5D">
        <w:t xml:space="preserve"> is also modelled as this may influence the broadcasters’ selection</w:t>
      </w:r>
      <w:r w:rsidR="00D60D97" w:rsidRPr="007D0D5D">
        <w:t xml:space="preserve">. </w:t>
      </w:r>
      <w:r w:rsidRPr="007D0D5D">
        <w:t xml:space="preserve">The final covariate is </w:t>
      </w:r>
      <w:r w:rsidRPr="00DF59FE">
        <w:rPr>
          <w:i/>
        </w:rPr>
        <w:t>OUTCOME UNCERTAINTY</w:t>
      </w:r>
      <w:r w:rsidRPr="007D0D5D">
        <w:t xml:space="preserve">. For reasons noted earlier, this is interacted with </w:t>
      </w:r>
      <w:r w:rsidRPr="00DF59FE">
        <w:rPr>
          <w:i/>
        </w:rPr>
        <w:t>SECOND HALF</w:t>
      </w:r>
      <w:r w:rsidRPr="007D0D5D">
        <w:t>. Furthermore, as well as using the ab</w:t>
      </w:r>
      <w:r w:rsidR="007F62A3" w:rsidRPr="007D0D5D">
        <w:t>solute difference in home and away win probabilities, the Theil measure is also used for robustness.</w:t>
      </w:r>
      <w:r w:rsidR="00672F8C" w:rsidRPr="007D0D5D">
        <w:t xml:space="preserve"> </w:t>
      </w:r>
      <w:r w:rsidR="00AC1485" w:rsidRPr="007D0D5D">
        <w:t xml:space="preserve">Descriptions of the variables along with their </w:t>
      </w:r>
      <w:r w:rsidR="00586863" w:rsidRPr="007D0D5D">
        <w:t xml:space="preserve">summary statistics for televised </w:t>
      </w:r>
      <w:r w:rsidR="00E04DCB" w:rsidRPr="007D0D5D">
        <w:t xml:space="preserve">sample </w:t>
      </w:r>
      <w:r w:rsidR="00586863" w:rsidRPr="007D0D5D">
        <w:t>are presented in Table 4.</w:t>
      </w:r>
    </w:p>
    <w:p w:rsidR="00853100" w:rsidRPr="007D0D5D" w:rsidRDefault="00853100" w:rsidP="00853100">
      <w:pPr>
        <w:ind w:firstLine="360"/>
      </w:pPr>
      <w:r w:rsidRPr="007D0D5D">
        <w:lastRenderedPageBreak/>
        <w:t>[Table 4 around here]</w:t>
      </w:r>
    </w:p>
    <w:p w:rsidR="00586863" w:rsidRPr="00A21A4F" w:rsidRDefault="00586863" w:rsidP="00194DCF">
      <w:pPr>
        <w:pStyle w:val="Heading1"/>
        <w:numPr>
          <w:ilvl w:val="0"/>
          <w:numId w:val="21"/>
        </w:numPr>
      </w:pPr>
      <w:r w:rsidRPr="00A21A4F">
        <w:t>Empirical Results</w:t>
      </w:r>
    </w:p>
    <w:p w:rsidR="00E05905" w:rsidRPr="007D0D5D" w:rsidRDefault="00586863" w:rsidP="0099548F">
      <w:pPr>
        <w:rPr>
          <w:rFonts w:cs="Times New Roman"/>
          <w:lang w:val="en-US"/>
        </w:rPr>
      </w:pPr>
      <w:r w:rsidRPr="007D0D5D">
        <w:t xml:space="preserve">The results of the </w:t>
      </w:r>
      <w:r w:rsidR="00E05905" w:rsidRPr="007D0D5D">
        <w:t xml:space="preserve">Heckman selection model </w:t>
      </w:r>
      <w:r w:rsidRPr="007D0D5D">
        <w:t>with robust standard errors clustered by rounds</w:t>
      </w:r>
      <w:r w:rsidR="0065339A" w:rsidRPr="007D0D5D">
        <w:rPr>
          <w:rStyle w:val="EndnoteReference"/>
        </w:rPr>
        <w:endnoteReference w:id="6"/>
      </w:r>
      <w:r w:rsidR="0065339A" w:rsidRPr="007D0D5D">
        <w:t xml:space="preserve"> </w:t>
      </w:r>
      <w:r w:rsidRPr="007D0D5D">
        <w:t xml:space="preserve">are presented in Table 5. </w:t>
      </w:r>
      <w:r w:rsidR="00E34D57" w:rsidRPr="007D0D5D">
        <w:t>In the selection part of the model</w:t>
      </w:r>
      <w:r w:rsidR="00F748AC" w:rsidRPr="007D0D5D">
        <w:t xml:space="preserve">, the </w:t>
      </w:r>
      <w:r w:rsidR="0087499C" w:rsidRPr="007D0D5D">
        <w:t xml:space="preserve">coefficients </w:t>
      </w:r>
      <w:r w:rsidR="0087499C" w:rsidRPr="00457E40">
        <w:t>of</w:t>
      </w:r>
      <w:r w:rsidR="0087499C" w:rsidRPr="00DF59FE">
        <w:rPr>
          <w:i/>
        </w:rPr>
        <w:t xml:space="preserve"> </w:t>
      </w:r>
      <w:r w:rsidR="0087499C" w:rsidRPr="00DF59FE">
        <w:rPr>
          <w:rFonts w:cs="Times New Roman"/>
          <w:i/>
          <w:caps/>
          <w:lang w:val="en-US"/>
        </w:rPr>
        <w:t>Combined relative wage</w:t>
      </w:r>
      <w:r w:rsidR="00165E35" w:rsidRPr="00DF59FE">
        <w:rPr>
          <w:rFonts w:cs="Times New Roman"/>
          <w:i/>
          <w:lang w:val="en-US"/>
        </w:rPr>
        <w:t xml:space="preserve"> × </w:t>
      </w:r>
      <w:r w:rsidR="0087499C" w:rsidRPr="00DF59FE">
        <w:rPr>
          <w:rFonts w:cs="Times New Roman"/>
          <w:i/>
          <w:lang w:val="en-US"/>
        </w:rPr>
        <w:t>FIRST HALF</w:t>
      </w:r>
      <w:r w:rsidR="0087499C" w:rsidRPr="007D0D5D">
        <w:rPr>
          <w:rFonts w:cs="Times New Roman"/>
          <w:lang w:val="en-US"/>
        </w:rPr>
        <w:t xml:space="preserve"> and </w:t>
      </w:r>
      <w:r w:rsidR="0087499C" w:rsidRPr="00DF59FE">
        <w:rPr>
          <w:rFonts w:cs="Times New Roman"/>
          <w:i/>
          <w:caps/>
          <w:lang w:val="en-US"/>
        </w:rPr>
        <w:t>Combined relative wage</w:t>
      </w:r>
      <w:r w:rsidR="00165E35" w:rsidRPr="00DF59FE">
        <w:rPr>
          <w:rFonts w:cs="Times New Roman"/>
          <w:i/>
          <w:lang w:val="en-US"/>
        </w:rPr>
        <w:t xml:space="preserve"> × </w:t>
      </w:r>
      <w:r w:rsidR="0087499C" w:rsidRPr="00DF59FE">
        <w:rPr>
          <w:rFonts w:cs="Times New Roman"/>
          <w:i/>
          <w:caps/>
          <w:lang w:val="en-US"/>
        </w:rPr>
        <w:t>second</w:t>
      </w:r>
      <w:r w:rsidR="0087499C" w:rsidRPr="00DF59FE">
        <w:rPr>
          <w:rFonts w:cs="Times New Roman"/>
          <w:i/>
          <w:lang w:val="en-US"/>
        </w:rPr>
        <w:t xml:space="preserve"> HALF</w:t>
      </w:r>
      <w:r w:rsidR="0087499C" w:rsidRPr="007D0D5D">
        <w:rPr>
          <w:rFonts w:cs="Times New Roman"/>
          <w:lang w:val="en-US"/>
        </w:rPr>
        <w:t xml:space="preserve"> are positive as</w:t>
      </w:r>
      <w:r w:rsidR="00DF59FE">
        <w:rPr>
          <w:rFonts w:cs="Times New Roman"/>
          <w:lang w:val="en-US"/>
        </w:rPr>
        <w:t xml:space="preserve"> was</w:t>
      </w:r>
      <w:r w:rsidR="0087499C" w:rsidRPr="007D0D5D">
        <w:rPr>
          <w:rFonts w:cs="Times New Roman"/>
          <w:lang w:val="en-US"/>
        </w:rPr>
        <w:t xml:space="preserve"> to be expected. However, </w:t>
      </w:r>
      <w:r w:rsidR="00DF59FE">
        <w:rPr>
          <w:rFonts w:cs="Times New Roman"/>
          <w:lang w:val="en-US"/>
        </w:rPr>
        <w:t>it is revealing</w:t>
      </w:r>
      <w:r w:rsidR="0087499C" w:rsidRPr="007D0D5D">
        <w:rPr>
          <w:rFonts w:cs="Times New Roman"/>
          <w:lang w:val="en-US"/>
        </w:rPr>
        <w:t xml:space="preserve"> that</w:t>
      </w:r>
      <w:r w:rsidR="00E34D57" w:rsidRPr="007D0D5D">
        <w:t xml:space="preserve"> t</w:t>
      </w:r>
      <w:r w:rsidR="0087499C" w:rsidRPr="007D0D5D">
        <w:t xml:space="preserve">he coefficient of </w:t>
      </w:r>
      <w:r w:rsidR="0087499C" w:rsidRPr="00DF59FE">
        <w:rPr>
          <w:rFonts w:cs="Times New Roman"/>
          <w:i/>
          <w:caps/>
          <w:lang w:val="en-US"/>
        </w:rPr>
        <w:t>Combined relative wage</w:t>
      </w:r>
      <w:r w:rsidR="00165E35" w:rsidRPr="00DF59FE">
        <w:rPr>
          <w:rFonts w:cs="Times New Roman"/>
          <w:i/>
          <w:lang w:val="en-US"/>
        </w:rPr>
        <w:t xml:space="preserve"> × </w:t>
      </w:r>
      <w:r w:rsidR="0087499C" w:rsidRPr="00DF59FE">
        <w:rPr>
          <w:rFonts w:cs="Times New Roman"/>
          <w:i/>
          <w:lang w:val="en-US"/>
        </w:rPr>
        <w:t>FIRST HALF</w:t>
      </w:r>
      <w:r w:rsidR="0087499C" w:rsidRPr="007D0D5D">
        <w:rPr>
          <w:rFonts w:cs="Times New Roman"/>
          <w:lang w:val="en-US"/>
        </w:rPr>
        <w:t xml:space="preserve"> is greater than that of </w:t>
      </w:r>
      <w:r w:rsidR="0087499C" w:rsidRPr="00DF59FE">
        <w:rPr>
          <w:rFonts w:cs="Times New Roman"/>
          <w:i/>
          <w:caps/>
          <w:lang w:val="en-US"/>
        </w:rPr>
        <w:t>Combined relative wage</w:t>
      </w:r>
      <w:r w:rsidR="0087499C" w:rsidRPr="00DF59FE">
        <w:rPr>
          <w:rFonts w:cs="Times New Roman"/>
          <w:i/>
          <w:lang w:val="en-US"/>
        </w:rPr>
        <w:t xml:space="preserve"> </w:t>
      </w:r>
      <w:r w:rsidR="007A05F9" w:rsidRPr="00DF59FE">
        <w:rPr>
          <w:rFonts w:cs="Times New Roman"/>
          <w:i/>
          <w:lang w:val="en-US"/>
        </w:rPr>
        <w:t>×</w:t>
      </w:r>
      <w:r w:rsidR="0087499C" w:rsidRPr="00DF59FE">
        <w:rPr>
          <w:rFonts w:cs="Times New Roman"/>
          <w:i/>
          <w:lang w:val="en-US"/>
        </w:rPr>
        <w:t xml:space="preserve"> </w:t>
      </w:r>
      <w:r w:rsidR="0087499C" w:rsidRPr="00DF59FE">
        <w:rPr>
          <w:rFonts w:cs="Times New Roman"/>
          <w:i/>
          <w:caps/>
          <w:lang w:val="en-US"/>
        </w:rPr>
        <w:t>second</w:t>
      </w:r>
      <w:r w:rsidR="0087499C" w:rsidRPr="00DF59FE">
        <w:rPr>
          <w:rFonts w:cs="Times New Roman"/>
          <w:i/>
          <w:lang w:val="en-US"/>
        </w:rPr>
        <w:t xml:space="preserve"> HALF</w:t>
      </w:r>
      <w:r w:rsidR="0087499C" w:rsidRPr="007D0D5D">
        <w:rPr>
          <w:rFonts w:cs="Times New Roman"/>
          <w:lang w:val="en-US"/>
        </w:rPr>
        <w:t>.</w:t>
      </w:r>
      <w:r w:rsidR="00F748AC" w:rsidRPr="007D0D5D">
        <w:rPr>
          <w:rFonts w:cs="Times New Roman"/>
          <w:lang w:val="en-US"/>
        </w:rPr>
        <w:t xml:space="preserve"> </w:t>
      </w:r>
      <w:r w:rsidR="0095019E" w:rsidRPr="007D0D5D">
        <w:rPr>
          <w:rFonts w:cs="Times New Roman"/>
          <w:lang w:val="en-US"/>
        </w:rPr>
        <w:t>I</w:t>
      </w:r>
      <w:r w:rsidR="0087499C" w:rsidRPr="007D0D5D">
        <w:rPr>
          <w:rFonts w:cs="Times New Roman"/>
          <w:lang w:val="en-US"/>
        </w:rPr>
        <w:t xml:space="preserve">n the absence of contemporary information to select games on a round by round basis, </w:t>
      </w:r>
      <w:r w:rsidR="00D95BF9" w:rsidRPr="007D0D5D">
        <w:rPr>
          <w:rFonts w:cs="Times New Roman"/>
          <w:lang w:val="en-US"/>
        </w:rPr>
        <w:t>the wage bills strongly inf</w:t>
      </w:r>
      <w:r w:rsidR="00F748AC" w:rsidRPr="007D0D5D">
        <w:rPr>
          <w:rFonts w:cs="Times New Roman"/>
          <w:lang w:val="en-US"/>
        </w:rPr>
        <w:t>luence the broadcasters’ choice</w:t>
      </w:r>
      <w:r w:rsidR="00D95BF9" w:rsidRPr="007D0D5D">
        <w:rPr>
          <w:rFonts w:cs="Times New Roman"/>
          <w:lang w:val="en-US"/>
        </w:rPr>
        <w:t>. However, once there is greater freedom of the selection, the impact of wage bill</w:t>
      </w:r>
      <w:r w:rsidR="0095019E" w:rsidRPr="007D0D5D">
        <w:rPr>
          <w:rFonts w:cs="Times New Roman"/>
          <w:lang w:val="en-US"/>
        </w:rPr>
        <w:t xml:space="preserve"> falls</w:t>
      </w:r>
      <w:r w:rsidR="00D95BF9" w:rsidRPr="007D0D5D">
        <w:rPr>
          <w:rFonts w:cs="Times New Roman"/>
          <w:lang w:val="en-US"/>
        </w:rPr>
        <w:t>, although</w:t>
      </w:r>
      <w:r w:rsidR="0095019E" w:rsidRPr="007D0D5D">
        <w:rPr>
          <w:rFonts w:cs="Times New Roman"/>
          <w:lang w:val="en-US"/>
        </w:rPr>
        <w:t xml:space="preserve"> it is</w:t>
      </w:r>
      <w:r w:rsidR="00D95BF9" w:rsidRPr="007D0D5D">
        <w:rPr>
          <w:rFonts w:cs="Times New Roman"/>
          <w:lang w:val="en-US"/>
        </w:rPr>
        <w:t xml:space="preserve"> s</w:t>
      </w:r>
      <w:r w:rsidR="0095019E" w:rsidRPr="007D0D5D">
        <w:rPr>
          <w:rFonts w:cs="Times New Roman"/>
          <w:lang w:val="en-US"/>
        </w:rPr>
        <w:t xml:space="preserve">till highly </w:t>
      </w:r>
      <w:r w:rsidR="00F748AC" w:rsidRPr="007D0D5D">
        <w:rPr>
          <w:rFonts w:cs="Times New Roman"/>
          <w:lang w:val="en-US"/>
        </w:rPr>
        <w:t>significant. This</w:t>
      </w:r>
      <w:r w:rsidR="00D95BF9" w:rsidRPr="007D0D5D">
        <w:rPr>
          <w:rFonts w:cs="Times New Roman"/>
          <w:lang w:val="en-US"/>
        </w:rPr>
        <w:t xml:space="preserve"> pattern is repeated for </w:t>
      </w:r>
      <w:r w:rsidR="00F748AC" w:rsidRPr="00DF59FE">
        <w:rPr>
          <w:rFonts w:cs="Times New Roman"/>
          <w:i/>
          <w:lang w:val="en-US"/>
        </w:rPr>
        <w:t xml:space="preserve">ABSOLUTE </w:t>
      </w:r>
      <w:r w:rsidR="00D95BF9" w:rsidRPr="00DF59FE">
        <w:rPr>
          <w:rFonts w:cs="Times New Roman"/>
          <w:i/>
          <w:lang w:val="en-US"/>
        </w:rPr>
        <w:t>DIFFERENCE IN RELATIVE WAGE</w:t>
      </w:r>
      <w:r w:rsidR="00F748AC" w:rsidRPr="007D0D5D">
        <w:rPr>
          <w:rFonts w:cs="Times New Roman"/>
          <w:lang w:val="en-US"/>
        </w:rPr>
        <w:t xml:space="preserve"> as the magnitude of the variable is greater in the second half of the season</w:t>
      </w:r>
      <w:r w:rsidR="00D95BF9" w:rsidRPr="007D0D5D">
        <w:rPr>
          <w:rFonts w:cs="Times New Roman"/>
          <w:lang w:val="en-US"/>
        </w:rPr>
        <w:t xml:space="preserve">. Taking the relative </w:t>
      </w:r>
      <w:r w:rsidR="009D12EA" w:rsidRPr="007D0D5D">
        <w:rPr>
          <w:rFonts w:cs="Times New Roman"/>
          <w:lang w:val="en-US"/>
        </w:rPr>
        <w:t>wage bill</w:t>
      </w:r>
      <w:r w:rsidR="00D95BF9" w:rsidRPr="007D0D5D">
        <w:rPr>
          <w:rFonts w:cs="Times New Roman"/>
          <w:lang w:val="en-US"/>
        </w:rPr>
        <w:t xml:space="preserve"> variables together, the </w:t>
      </w:r>
      <w:r w:rsidR="009953D5" w:rsidRPr="007D0D5D">
        <w:rPr>
          <w:rFonts w:cs="Times New Roman"/>
          <w:lang w:val="en-US"/>
        </w:rPr>
        <w:t>broadcasters’</w:t>
      </w:r>
      <w:r w:rsidR="00D95BF9" w:rsidRPr="007D0D5D">
        <w:rPr>
          <w:rFonts w:cs="Times New Roman"/>
          <w:lang w:val="en-US"/>
        </w:rPr>
        <w:t xml:space="preserve"> selection is influenced by the total talent and also</w:t>
      </w:r>
      <w:r w:rsidR="00F748AC" w:rsidRPr="007D0D5D">
        <w:rPr>
          <w:rFonts w:cs="Times New Roman"/>
          <w:lang w:val="en-US"/>
        </w:rPr>
        <w:t xml:space="preserve"> by</w:t>
      </w:r>
      <w:r w:rsidR="00D95BF9" w:rsidRPr="007D0D5D">
        <w:rPr>
          <w:rFonts w:cs="Times New Roman"/>
          <w:lang w:val="en-US"/>
        </w:rPr>
        <w:t xml:space="preserve"> how </w:t>
      </w:r>
      <w:r w:rsidR="00F748AC" w:rsidRPr="007D0D5D">
        <w:rPr>
          <w:rFonts w:cs="Times New Roman"/>
          <w:lang w:val="en-US"/>
        </w:rPr>
        <w:t>evenly the talent is distributed across the two teams</w:t>
      </w:r>
      <w:r w:rsidR="00D92BF6" w:rsidRPr="007D0D5D">
        <w:rPr>
          <w:rFonts w:cs="Times New Roman"/>
          <w:lang w:val="en-US"/>
        </w:rPr>
        <w:t>.</w:t>
      </w:r>
    </w:p>
    <w:p w:rsidR="009953D5" w:rsidRPr="007D0D5D" w:rsidRDefault="009953D5" w:rsidP="009675B8">
      <w:pPr>
        <w:ind w:firstLine="720"/>
      </w:pPr>
      <w:r w:rsidRPr="007D0D5D">
        <w:t xml:space="preserve">The coefficient of </w:t>
      </w:r>
      <w:r w:rsidRPr="00BC70C4">
        <w:rPr>
          <w:i/>
        </w:rPr>
        <w:t>DERBY</w:t>
      </w:r>
      <w:r w:rsidRPr="007D0D5D">
        <w:t xml:space="preserve"> is s</w:t>
      </w:r>
      <w:r w:rsidR="0041304D" w:rsidRPr="007D0D5D">
        <w:t>ignificantly different from zero</w:t>
      </w:r>
      <w:r w:rsidRPr="007D0D5D">
        <w:t xml:space="preserve"> and broadcasters favour games with historical and local rivalry attached. The popularity of the game as measured by </w:t>
      </w:r>
      <w:r w:rsidR="00EC365A">
        <w:t>l</w:t>
      </w:r>
      <w:r w:rsidRPr="007D0D5D">
        <w:t>n(</w:t>
      </w:r>
      <w:r w:rsidRPr="00BC70C4">
        <w:rPr>
          <w:i/>
        </w:rPr>
        <w:t>COMBINED LAG ATTENDANCE</w:t>
      </w:r>
      <w:r w:rsidRPr="007D0D5D">
        <w:t>)</w:t>
      </w:r>
      <w:r w:rsidR="00165E35">
        <w:t xml:space="preserve"> × </w:t>
      </w:r>
      <w:r w:rsidRPr="00BC70C4">
        <w:rPr>
          <w:i/>
        </w:rPr>
        <w:t>FIRST HALF</w:t>
      </w:r>
      <w:r w:rsidRPr="007D0D5D">
        <w:t xml:space="preserve"> is also significant indicating that games involving teams with a strong following are more likely to be selected for broadcasting</w:t>
      </w:r>
      <w:r w:rsidR="00F748AC" w:rsidRPr="007D0D5D">
        <w:t xml:space="preserve"> in the absence of current information on form</w:t>
      </w:r>
      <w:r w:rsidRPr="007D0D5D">
        <w:t>. Similarly games involving teams with high performances from the previous season influence selection in the first part of the seasons. It would also seem that if the previous seasons</w:t>
      </w:r>
      <w:r w:rsidR="00AC1485" w:rsidRPr="007D0D5D">
        <w:t>’</w:t>
      </w:r>
      <w:r w:rsidRPr="007D0D5D">
        <w:t xml:space="preserve"> performance</w:t>
      </w:r>
      <w:r w:rsidR="00AC1485" w:rsidRPr="007D0D5D">
        <w:t>s</w:t>
      </w:r>
      <w:r w:rsidRPr="007D0D5D">
        <w:t xml:space="preserve"> of the two teams are comparable, this also increases the likelihood of selection given the sign and magnitude of the coefficient of </w:t>
      </w:r>
      <w:r w:rsidRPr="00BC70C4">
        <w:rPr>
          <w:i/>
        </w:rPr>
        <w:t>ABS</w:t>
      </w:r>
      <w:r w:rsidR="00707E28" w:rsidRPr="00BC70C4">
        <w:rPr>
          <w:i/>
        </w:rPr>
        <w:t xml:space="preserve">OLUTE DIFFERENCE IN LAG POINTS PER </w:t>
      </w:r>
      <w:r w:rsidRPr="00BC70C4">
        <w:rPr>
          <w:i/>
        </w:rPr>
        <w:t xml:space="preserve">GAME </w:t>
      </w:r>
      <w:r w:rsidR="007A05F9" w:rsidRPr="00BC70C4">
        <w:rPr>
          <w:rFonts w:cs="Times New Roman"/>
          <w:i/>
        </w:rPr>
        <w:t>×</w:t>
      </w:r>
      <w:r w:rsidRPr="00BC70C4">
        <w:rPr>
          <w:i/>
        </w:rPr>
        <w:t xml:space="preserve"> FIRST HALF</w:t>
      </w:r>
      <w:r w:rsidRPr="007D0D5D">
        <w:t>.</w:t>
      </w:r>
      <w:r w:rsidR="00EE3DA5" w:rsidRPr="007D0D5D">
        <w:t xml:space="preserve"> The variable </w:t>
      </w:r>
      <w:r w:rsidR="00EE3DA5" w:rsidRPr="00BC70C4">
        <w:rPr>
          <w:i/>
        </w:rPr>
        <w:lastRenderedPageBreak/>
        <w:t xml:space="preserve">COMBINED POINTS PER GAME </w:t>
      </w:r>
      <w:r w:rsidR="007A05F9" w:rsidRPr="00BC70C4">
        <w:rPr>
          <w:rFonts w:cs="Times New Roman"/>
          <w:i/>
        </w:rPr>
        <w:t>×</w:t>
      </w:r>
      <w:r w:rsidR="00EE3DA5" w:rsidRPr="00BC70C4">
        <w:rPr>
          <w:i/>
        </w:rPr>
        <w:t xml:space="preserve"> SECOND HALF</w:t>
      </w:r>
      <w:r w:rsidR="00457E40">
        <w:t xml:space="preserve"> has a</w:t>
      </w:r>
      <w:r w:rsidR="00EE3DA5" w:rsidRPr="007D0D5D">
        <w:t xml:space="preserve"> significant</w:t>
      </w:r>
      <w:r w:rsidR="00457E40">
        <w:t xml:space="preserve"> coefficient</w:t>
      </w:r>
      <w:r w:rsidR="00EE3DA5" w:rsidRPr="007D0D5D">
        <w:t xml:space="preserve"> and broadcaster</w:t>
      </w:r>
      <w:r w:rsidR="00FF6B49" w:rsidRPr="007D0D5D">
        <w:t>s</w:t>
      </w:r>
      <w:r w:rsidR="00EE3DA5" w:rsidRPr="007D0D5D">
        <w:t xml:space="preserve"> value games involving high performing teams, however, such games need not involve teams with comparable performance given the insignificant coefficient of </w:t>
      </w:r>
      <w:r w:rsidR="00EE3DA5" w:rsidRPr="00BC70C4">
        <w:rPr>
          <w:i/>
        </w:rPr>
        <w:t xml:space="preserve">ABSOLUTE DIFFENCE IN POINTS PER GAME </w:t>
      </w:r>
      <w:r w:rsidR="007A05F9" w:rsidRPr="00BC70C4">
        <w:rPr>
          <w:rFonts w:cs="Times New Roman"/>
          <w:i/>
        </w:rPr>
        <w:t>×</w:t>
      </w:r>
      <w:r w:rsidR="00EE3DA5" w:rsidRPr="00BC70C4">
        <w:rPr>
          <w:i/>
        </w:rPr>
        <w:t xml:space="preserve"> SECOND HALF</w:t>
      </w:r>
      <w:r w:rsidR="00707E28" w:rsidRPr="007D0D5D">
        <w:t xml:space="preserve">. </w:t>
      </w:r>
      <w:r w:rsidR="00EE3DA5" w:rsidRPr="007D0D5D">
        <w:t>Of th</w:t>
      </w:r>
      <w:r w:rsidR="00DF49C5">
        <w:t xml:space="preserve">e contention variables, only </w:t>
      </w:r>
      <w:r w:rsidR="00EE3DA5" w:rsidRPr="00BC70C4">
        <w:rPr>
          <w:i/>
        </w:rPr>
        <w:t xml:space="preserve">EUROPE CONTENTION </w:t>
      </w:r>
      <w:r w:rsidR="007A05F9" w:rsidRPr="00BC70C4">
        <w:rPr>
          <w:rFonts w:cs="Times New Roman"/>
          <w:i/>
        </w:rPr>
        <w:t>×</w:t>
      </w:r>
      <w:r w:rsidR="00EE3DA5" w:rsidRPr="00BC70C4">
        <w:rPr>
          <w:i/>
        </w:rPr>
        <w:t xml:space="preserve"> SEC</w:t>
      </w:r>
      <w:r w:rsidR="00DF49C5" w:rsidRPr="00BC70C4">
        <w:rPr>
          <w:i/>
        </w:rPr>
        <w:t>OND HALF</w:t>
      </w:r>
      <w:r w:rsidR="00DF49C5">
        <w:t xml:space="preserve"> has a</w:t>
      </w:r>
      <w:r w:rsidR="00EE3DA5" w:rsidRPr="007D0D5D">
        <w:t xml:space="preserve"> significant</w:t>
      </w:r>
      <w:r w:rsidR="00DF49C5">
        <w:t xml:space="preserve"> coefficient</w:t>
      </w:r>
      <w:r w:rsidR="00EE3DA5" w:rsidRPr="007D0D5D">
        <w:t xml:space="preserve"> indicating that as far as end of season honours are concerned, the race for qualifying for European competition strongly influences</w:t>
      </w:r>
      <w:r w:rsidR="00BC70C4">
        <w:t xml:space="preserve"> broadcaster</w:t>
      </w:r>
      <w:r w:rsidR="00EE3DA5" w:rsidRPr="007D0D5D">
        <w:t xml:space="preserve"> selection</w:t>
      </w:r>
      <w:r w:rsidR="00BC70C4">
        <w:t xml:space="preserve"> of games</w:t>
      </w:r>
      <w:r w:rsidR="00EE3DA5" w:rsidRPr="007D0D5D">
        <w:t xml:space="preserve">. </w:t>
      </w:r>
    </w:p>
    <w:p w:rsidR="00EE3DA5" w:rsidRPr="007D0D5D" w:rsidRDefault="00EE3DA5" w:rsidP="009953D5">
      <w:pPr>
        <w:ind w:firstLine="720"/>
      </w:pPr>
      <w:r w:rsidRPr="007D0D5D">
        <w:t xml:space="preserve">As for the focus variable </w:t>
      </w:r>
      <w:r w:rsidRPr="00BC70C4">
        <w:rPr>
          <w:i/>
        </w:rPr>
        <w:t>OUTCOME UNCERTAINTY</w:t>
      </w:r>
      <w:r w:rsidRPr="007D0D5D">
        <w:t>, its estimated impact on selection is no</w:t>
      </w:r>
      <w:r w:rsidR="0095019E" w:rsidRPr="007D0D5D">
        <w:t>t significantly different from zero</w:t>
      </w:r>
      <w:r w:rsidRPr="007D0D5D">
        <w:t xml:space="preserve">. This is a different result to that shown by Forrest </w:t>
      </w:r>
      <w:r w:rsidR="00EA0EEC" w:rsidRPr="007D0D5D">
        <w:rPr>
          <w:i/>
        </w:rPr>
        <w:t>et al.</w:t>
      </w:r>
      <w:r w:rsidRPr="007D0D5D">
        <w:rPr>
          <w:i/>
        </w:rPr>
        <w:t xml:space="preserve"> </w:t>
      </w:r>
      <w:r w:rsidRPr="007D0D5D">
        <w:t>(2005). The evidence suggest</w:t>
      </w:r>
      <w:r w:rsidR="00D92BF6" w:rsidRPr="007D0D5D">
        <w:t>s</w:t>
      </w:r>
      <w:r w:rsidR="00FF6B49" w:rsidRPr="007D0D5D">
        <w:t xml:space="preserve"> that broadcaster</w:t>
      </w:r>
      <w:r w:rsidRPr="007D0D5D">
        <w:t>s</w:t>
      </w:r>
      <w:r w:rsidR="00FF6B49" w:rsidRPr="007D0D5D">
        <w:t>’</w:t>
      </w:r>
      <w:r w:rsidRPr="007D0D5D">
        <w:t xml:space="preserve"> selection is no longer driven by uncertainty of outcome and other factors are more important in the selection choice.</w:t>
      </w:r>
    </w:p>
    <w:p w:rsidR="00B9630D" w:rsidRPr="007D0D5D" w:rsidRDefault="00EE3DA5" w:rsidP="00D21E5A">
      <w:pPr>
        <w:ind w:firstLine="720"/>
      </w:pPr>
      <w:r w:rsidRPr="007D0D5D">
        <w:t>For the second part of the Heckman model, audien</w:t>
      </w:r>
      <w:r w:rsidR="00BA7C1F">
        <w:t>ce, the only variables which have</w:t>
      </w:r>
      <w:r w:rsidRPr="007D0D5D">
        <w:t xml:space="preserve"> statistically significant</w:t>
      </w:r>
      <w:r w:rsidR="00BA7C1F">
        <w:t xml:space="preserve"> coefficients are </w:t>
      </w:r>
      <w:r w:rsidR="009A4A51" w:rsidRPr="00BC70C4">
        <w:rPr>
          <w:i/>
        </w:rPr>
        <w:t>COMBINED RELATIVE WAGE</w:t>
      </w:r>
      <w:r w:rsidR="009A4A51" w:rsidRPr="007D0D5D">
        <w:t xml:space="preserve">, </w:t>
      </w:r>
      <w:r w:rsidR="009A4A51" w:rsidRPr="00BC70C4">
        <w:rPr>
          <w:i/>
        </w:rPr>
        <w:t>WEEK</w:t>
      </w:r>
      <w:r w:rsidRPr="00BC70C4">
        <w:rPr>
          <w:i/>
        </w:rPr>
        <w:t>DAY</w:t>
      </w:r>
      <w:r w:rsidRPr="007D0D5D">
        <w:t xml:space="preserve"> and </w:t>
      </w:r>
      <w:r w:rsidRPr="00BC70C4">
        <w:rPr>
          <w:i/>
        </w:rPr>
        <w:t>SETANTA</w:t>
      </w:r>
      <w:r w:rsidRPr="007D0D5D">
        <w:t xml:space="preserve">. The relevance of </w:t>
      </w:r>
      <w:r w:rsidRPr="00BC70C4">
        <w:rPr>
          <w:i/>
        </w:rPr>
        <w:t>SETANTA</w:t>
      </w:r>
      <w:r w:rsidRPr="007D0D5D">
        <w:t xml:space="preserve"> in this context is to suggest that the platform on which the game is transmitted matters. This is not surprising given that different platforms have different level</w:t>
      </w:r>
      <w:r w:rsidR="00FF6B49" w:rsidRPr="007D0D5D">
        <w:t>s</w:t>
      </w:r>
      <w:r w:rsidRPr="007D0D5D">
        <w:t xml:space="preserve"> of penetration in the football broadcast market.</w:t>
      </w:r>
      <w:r w:rsidR="002740B2" w:rsidRPr="007D0D5D">
        <w:t xml:space="preserve"> As for </w:t>
      </w:r>
      <w:r w:rsidR="002740B2" w:rsidRPr="00BC70C4">
        <w:rPr>
          <w:i/>
        </w:rPr>
        <w:t>WEEKDAY</w:t>
      </w:r>
      <w:r w:rsidR="00457E40">
        <w:t>, the significant coefficient</w:t>
      </w:r>
      <w:r w:rsidR="002740B2" w:rsidRPr="007D0D5D">
        <w:t xml:space="preserve"> signals that</w:t>
      </w:r>
      <w:r w:rsidR="00457E40">
        <w:t>, due to</w:t>
      </w:r>
      <w:r w:rsidR="002740B2" w:rsidRPr="007D0D5D">
        <w:t xml:space="preserve"> relative lack of leisure time during the week</w:t>
      </w:r>
      <w:r w:rsidR="00457E40">
        <w:t xml:space="preserve">, </w:t>
      </w:r>
      <w:r w:rsidR="002740B2" w:rsidRPr="007D0D5D">
        <w:t xml:space="preserve"> game</w:t>
      </w:r>
      <w:r w:rsidR="00FF6B49" w:rsidRPr="007D0D5D">
        <w:t>s</w:t>
      </w:r>
      <w:r w:rsidR="002740B2" w:rsidRPr="007D0D5D">
        <w:t xml:space="preserve"> televised from Monday to Friday inclusive have lower audiences compared with those televised at the w</w:t>
      </w:r>
      <w:r w:rsidR="00B722BD">
        <w:t>eekend, a marginal</w:t>
      </w:r>
      <w:r w:rsidR="00457E40">
        <w:t xml:space="preserve"> negative</w:t>
      </w:r>
      <w:r w:rsidR="00B722BD">
        <w:t xml:space="preserve"> effect</w:t>
      </w:r>
      <w:r w:rsidR="00EB22A2" w:rsidRPr="007D0D5D">
        <w:t xml:space="preserve"> of 8.</w:t>
      </w:r>
      <w:r w:rsidR="002740B2" w:rsidRPr="007D0D5D">
        <w:t>3%. Therefore controlling for broadcas</w:t>
      </w:r>
      <w:r w:rsidR="00D92BF6" w:rsidRPr="007D0D5D">
        <w:t xml:space="preserve">t market conditions and team </w:t>
      </w:r>
      <w:r w:rsidR="009675B8" w:rsidRPr="007D0D5D">
        <w:t>idiosyncrasies</w:t>
      </w:r>
      <w:r w:rsidR="002740B2" w:rsidRPr="007D0D5D">
        <w:t xml:space="preserve">, </w:t>
      </w:r>
      <w:r w:rsidR="002740B2" w:rsidRPr="00BC70C4">
        <w:rPr>
          <w:i/>
        </w:rPr>
        <w:t>COMBINED RELATIVE WAGE</w:t>
      </w:r>
      <w:r w:rsidR="002740B2" w:rsidRPr="007D0D5D">
        <w:t xml:space="preserve"> is all that matters to television audiences. Unlik</w:t>
      </w:r>
      <w:r w:rsidR="00D92BF6" w:rsidRPr="007D0D5D">
        <w:t>e the broadcasters who care how</w:t>
      </w:r>
      <w:r w:rsidR="002740B2" w:rsidRPr="007D0D5D">
        <w:t xml:space="preserve"> the talent is distributed across the two teams, television audiences are indifferent to this and all that matters is that the volume of talent on display is high</w:t>
      </w:r>
      <w:r w:rsidR="00D21E5A" w:rsidRPr="007D0D5D">
        <w:t>, whichever team has that talent</w:t>
      </w:r>
      <w:r w:rsidR="002740B2" w:rsidRPr="007D0D5D">
        <w:t xml:space="preserve">. </w:t>
      </w:r>
      <w:r w:rsidR="00D21E5A" w:rsidRPr="007D0D5D">
        <w:t>The fixed effects for months, seasons and teams are included and</w:t>
      </w:r>
      <w:r w:rsidR="00D92BF6" w:rsidRPr="007D0D5D">
        <w:t xml:space="preserve"> each set is</w:t>
      </w:r>
      <w:r w:rsidR="00D21E5A" w:rsidRPr="007D0D5D">
        <w:t xml:space="preserve"> significant. Hence </w:t>
      </w:r>
      <w:r w:rsidR="00D21E5A" w:rsidRPr="007D0D5D">
        <w:lastRenderedPageBreak/>
        <w:t xml:space="preserve">the impacts </w:t>
      </w:r>
      <w:r w:rsidR="002E517A" w:rsidRPr="007D0D5D">
        <w:t xml:space="preserve">of talent </w:t>
      </w:r>
      <w:r w:rsidR="00D21E5A" w:rsidRPr="007D0D5D">
        <w:t xml:space="preserve">noted are over and above </w:t>
      </w:r>
      <w:r w:rsidR="002E517A" w:rsidRPr="007D0D5D">
        <w:t xml:space="preserve">the </w:t>
      </w:r>
      <w:r w:rsidR="00D21E5A" w:rsidRPr="007D0D5D">
        <w:t xml:space="preserve">effects of </w:t>
      </w:r>
      <w:r w:rsidR="000337D1" w:rsidRPr="007D0D5D">
        <w:t>specific</w:t>
      </w:r>
      <w:r w:rsidR="00D21E5A" w:rsidRPr="007D0D5D">
        <w:t xml:space="preserve"> teams</w:t>
      </w:r>
      <w:r w:rsidR="000337D1" w:rsidRPr="007D0D5D">
        <w:t xml:space="preserve"> which in themselves influence the size of </w:t>
      </w:r>
      <w:r w:rsidR="00800834" w:rsidRPr="007D0D5D">
        <w:t>television aud</w:t>
      </w:r>
      <w:r w:rsidR="00D92BF6" w:rsidRPr="007D0D5D">
        <w:t xml:space="preserve">iences </w:t>
      </w:r>
      <w:r w:rsidR="000337D1" w:rsidRPr="007D0D5D">
        <w:t xml:space="preserve">that </w:t>
      </w:r>
      <w:r w:rsidR="00800834" w:rsidRPr="007D0D5D">
        <w:t>tune in</w:t>
      </w:r>
      <w:r w:rsidR="00B9630D" w:rsidRPr="007D0D5D">
        <w:t>.</w:t>
      </w:r>
    </w:p>
    <w:p w:rsidR="00D21E5A" w:rsidRPr="007D0D5D" w:rsidRDefault="002740B2" w:rsidP="009A4A51">
      <w:pPr>
        <w:ind w:firstLine="720"/>
      </w:pPr>
      <w:r w:rsidRPr="007D0D5D">
        <w:t>The</w:t>
      </w:r>
      <w:r w:rsidR="00B9630D" w:rsidRPr="007D0D5D">
        <w:t xml:space="preserve"> use of</w:t>
      </w:r>
      <w:r w:rsidR="00FF6B49" w:rsidRPr="007D0D5D">
        <w:t xml:space="preserve"> the</w:t>
      </w:r>
      <w:r w:rsidR="00B9630D" w:rsidRPr="007D0D5D">
        <w:t xml:space="preserve"> Heckman</w:t>
      </w:r>
      <w:r w:rsidR="00FF6B49" w:rsidRPr="007D0D5D">
        <w:t xml:space="preserve"> sample selection correction</w:t>
      </w:r>
      <w:r w:rsidR="00B9630D" w:rsidRPr="007D0D5D">
        <w:t xml:space="preserve"> reveals</w:t>
      </w:r>
      <w:r w:rsidRPr="007D0D5D">
        <w:t xml:space="preserve"> that the correlation be</w:t>
      </w:r>
      <w:r w:rsidR="00B9630D" w:rsidRPr="007D0D5D">
        <w:t xml:space="preserve">tween the error terms from </w:t>
      </w:r>
      <w:r w:rsidRPr="007D0D5D">
        <w:t>the selection and demand equation</w:t>
      </w:r>
      <w:r w:rsidR="00D21E5A" w:rsidRPr="007D0D5D">
        <w:t>s</w:t>
      </w:r>
      <w:r w:rsidRPr="007D0D5D">
        <w:t xml:space="preserve"> is not </w:t>
      </w:r>
      <w:r w:rsidR="00B9630D" w:rsidRPr="007D0D5D">
        <w:t>significantly different from zero</w:t>
      </w:r>
      <w:r w:rsidRPr="007D0D5D">
        <w:t xml:space="preserve">. This indicates that there are no discerning features between those matches that are broadcast and those that are not. The effect of this result is that the estimates </w:t>
      </w:r>
      <w:r w:rsidR="00511912" w:rsidRPr="007D0D5D">
        <w:t>from</w:t>
      </w:r>
      <w:r w:rsidRPr="007D0D5D">
        <w:t xml:space="preserve"> the demand equation are no</w:t>
      </w:r>
      <w:r w:rsidR="00D21E5A" w:rsidRPr="007D0D5D">
        <w:t>t significantly</w:t>
      </w:r>
      <w:r w:rsidRPr="007D0D5D">
        <w:t xml:space="preserve"> different from those that would </w:t>
      </w:r>
      <w:r w:rsidR="00D21E5A" w:rsidRPr="007D0D5D">
        <w:t xml:space="preserve">otherwise </w:t>
      </w:r>
      <w:r w:rsidRPr="007D0D5D">
        <w:t>be derived from OLS</w:t>
      </w:r>
      <w:r w:rsidR="00B9630D" w:rsidRPr="007D0D5D">
        <w:t>, i.e.</w:t>
      </w:r>
      <w:r w:rsidR="00D21E5A" w:rsidRPr="007D0D5D">
        <w:t xml:space="preserve"> there is no selection bias.</w:t>
      </w:r>
    </w:p>
    <w:p w:rsidR="005B2900" w:rsidRPr="007D0D5D" w:rsidRDefault="005B2900" w:rsidP="002B404D">
      <w:pPr>
        <w:ind w:firstLine="720"/>
      </w:pPr>
      <w:r w:rsidRPr="007D0D5D">
        <w:t>[Table 5 around here]</w:t>
      </w:r>
    </w:p>
    <w:p w:rsidR="00586863" w:rsidRPr="007D0D5D" w:rsidRDefault="002B404D" w:rsidP="00E648ED">
      <w:pPr>
        <w:ind w:firstLine="720"/>
      </w:pPr>
      <w:r w:rsidRPr="007D0D5D">
        <w:t>As well as using</w:t>
      </w:r>
      <w:r w:rsidR="00B9630D" w:rsidRPr="007D0D5D">
        <w:t xml:space="preserve"> a</w:t>
      </w:r>
      <w:r w:rsidRPr="007D0D5D">
        <w:t xml:space="preserve"> Heckman selection model, OLS is used to model TV audiences. </w:t>
      </w:r>
      <w:r w:rsidR="00586863" w:rsidRPr="007D0D5D">
        <w:t>The results of</w:t>
      </w:r>
      <w:r w:rsidR="00FF6B49" w:rsidRPr="007D0D5D">
        <w:t xml:space="preserve"> the OLS estimates </w:t>
      </w:r>
      <w:r w:rsidR="00F23F2D" w:rsidRPr="007D0D5D">
        <w:t xml:space="preserve">are shown in Table </w:t>
      </w:r>
      <w:r w:rsidRPr="007D0D5D">
        <w:t>6.</w:t>
      </w:r>
      <w:r w:rsidR="00586863" w:rsidRPr="007D0D5D">
        <w:t xml:space="preserve"> </w:t>
      </w:r>
      <w:r w:rsidR="00B214E9">
        <w:t xml:space="preserve">We test </w:t>
      </w:r>
      <w:r w:rsidR="005C6D51">
        <w:t xml:space="preserve">for the normality of the residuals </w:t>
      </w:r>
      <w:r w:rsidR="006E3CF0">
        <w:t>in</w:t>
      </w:r>
      <w:r w:rsidR="005C6D51">
        <w:t xml:space="preserve"> each of the models noted in Table 6. The</w:t>
      </w:r>
      <w:r w:rsidR="005C6D51" w:rsidRPr="005C6D51">
        <w:t xml:space="preserve"> test</w:t>
      </w:r>
      <w:r w:rsidR="005C6D51">
        <w:t>s</w:t>
      </w:r>
      <w:r w:rsidR="005C6D51" w:rsidRPr="005C6D51">
        <w:t xml:space="preserve"> </w:t>
      </w:r>
      <w:r w:rsidR="005C6D51">
        <w:t xml:space="preserve">show that the </w:t>
      </w:r>
      <w:r w:rsidR="005C6D51" w:rsidRPr="005C6D51">
        <w:t xml:space="preserve">hypothesis that the </w:t>
      </w:r>
      <w:r w:rsidR="005C6D51">
        <w:t>residuals</w:t>
      </w:r>
      <w:r w:rsidR="005C6D51" w:rsidRPr="005C6D51">
        <w:t xml:space="preserve"> are normally distributed</w:t>
      </w:r>
      <w:r w:rsidR="005C6D51">
        <w:t xml:space="preserve"> with a zero mean cannot be rejected. </w:t>
      </w:r>
      <w:r w:rsidR="00F23F2D" w:rsidRPr="007D0D5D">
        <w:t xml:space="preserve">In model 1 of Table </w:t>
      </w:r>
      <w:r w:rsidR="00FF6B49" w:rsidRPr="007D0D5D">
        <w:t xml:space="preserve">6, and also </w:t>
      </w:r>
      <w:r w:rsidR="007D4716" w:rsidRPr="007D0D5D">
        <w:t>the Heckm</w:t>
      </w:r>
      <w:r w:rsidR="00FF6B49" w:rsidRPr="007D0D5D">
        <w:t>an model, the variables with</w:t>
      </w:r>
      <w:r w:rsidR="007D4716" w:rsidRPr="007D0D5D">
        <w:t xml:space="preserve"> significant</w:t>
      </w:r>
      <w:r w:rsidR="00FF6B49" w:rsidRPr="007D0D5D">
        <w:t xml:space="preserve"> coefficients are </w:t>
      </w:r>
      <w:r w:rsidR="007D4716" w:rsidRPr="00BC70C4">
        <w:rPr>
          <w:i/>
        </w:rPr>
        <w:t>COMBINED RELATIVE WAGE,</w:t>
      </w:r>
      <w:r w:rsidR="007D4716" w:rsidRPr="007D0D5D">
        <w:t xml:space="preserve"> </w:t>
      </w:r>
      <w:r w:rsidR="007D4716" w:rsidRPr="00BC70C4">
        <w:rPr>
          <w:i/>
        </w:rPr>
        <w:t>WEEKDAY</w:t>
      </w:r>
      <w:r w:rsidR="007D4716" w:rsidRPr="007D0D5D">
        <w:t xml:space="preserve"> and </w:t>
      </w:r>
      <w:r w:rsidR="007D4716" w:rsidRPr="00BC70C4">
        <w:rPr>
          <w:i/>
        </w:rPr>
        <w:t>SETANTA</w:t>
      </w:r>
      <w:r w:rsidR="007D4716" w:rsidRPr="007D0D5D">
        <w:t xml:space="preserve">. </w:t>
      </w:r>
      <w:r w:rsidR="009A0E6B" w:rsidRPr="007D0D5D">
        <w:t>Irrespective of model specification</w:t>
      </w:r>
      <w:r w:rsidR="008D00BC" w:rsidRPr="007D0D5D">
        <w:t>, t</w:t>
      </w:r>
      <w:r w:rsidR="007D4716" w:rsidRPr="007D0D5D">
        <w:t xml:space="preserve">he </w:t>
      </w:r>
      <w:r w:rsidR="007D4716" w:rsidRPr="00BC70C4">
        <w:rPr>
          <w:i/>
        </w:rPr>
        <w:t>OUTCOME UNCERTAINTY</w:t>
      </w:r>
      <w:r w:rsidR="007D4716" w:rsidRPr="007D0D5D">
        <w:t xml:space="preserve"> variable</w:t>
      </w:r>
      <w:r w:rsidR="00FF6B49" w:rsidRPr="007D0D5D">
        <w:t xml:space="preserve"> has a coefficient that</w:t>
      </w:r>
      <w:r w:rsidR="007D4716" w:rsidRPr="007D0D5D">
        <w:t xml:space="preserve"> is no</w:t>
      </w:r>
      <w:r w:rsidR="0041374A" w:rsidRPr="007D0D5D">
        <w:t>t significantly different from zero</w:t>
      </w:r>
      <w:r w:rsidR="007D4716" w:rsidRPr="007D0D5D">
        <w:t xml:space="preserve">. </w:t>
      </w:r>
      <w:r w:rsidR="00586863" w:rsidRPr="007D0D5D">
        <w:t xml:space="preserve">The significance of the </w:t>
      </w:r>
      <w:r w:rsidR="00E648ED" w:rsidRPr="00BC70C4">
        <w:rPr>
          <w:i/>
        </w:rPr>
        <w:t>COMBINED RELATIVE WAGE</w:t>
      </w:r>
      <w:r w:rsidR="009A0E6B" w:rsidRPr="007D0D5D">
        <w:t xml:space="preserve"> coefficient</w:t>
      </w:r>
      <w:r w:rsidR="00E648ED" w:rsidRPr="007D0D5D">
        <w:t xml:space="preserve"> </w:t>
      </w:r>
      <w:r w:rsidR="00586863" w:rsidRPr="007D0D5D">
        <w:t xml:space="preserve">indicates that audience size is influenced by the </w:t>
      </w:r>
      <w:r w:rsidR="00785C49" w:rsidRPr="007D0D5D">
        <w:t>total</w:t>
      </w:r>
      <w:r w:rsidR="00586863" w:rsidRPr="007D0D5D">
        <w:t xml:space="preserve"> quality of players across the two teams; the higher the </w:t>
      </w:r>
      <w:r w:rsidR="00D92BF6" w:rsidRPr="00BC70C4">
        <w:rPr>
          <w:i/>
        </w:rPr>
        <w:t>COMB</w:t>
      </w:r>
      <w:r w:rsidR="00785C49" w:rsidRPr="00BC70C4">
        <w:rPr>
          <w:i/>
        </w:rPr>
        <w:t>INED RELATIVE WAGE</w:t>
      </w:r>
      <w:r w:rsidR="00586863" w:rsidRPr="007D0D5D">
        <w:t>, the greater the audience rating. The magnitude of the effect is such that if the quality of players as represented by relative wage</w:t>
      </w:r>
      <w:r w:rsidR="009D12EA" w:rsidRPr="007D0D5D">
        <w:t xml:space="preserve"> bill</w:t>
      </w:r>
      <w:r w:rsidR="00586863" w:rsidRPr="007D0D5D">
        <w:t xml:space="preserve"> was to improve by one standard deviation, the audience size is estimated to increase by </w:t>
      </w:r>
      <w:r w:rsidR="00EE328F" w:rsidRPr="007D0D5D">
        <w:t>11</w:t>
      </w:r>
      <w:r w:rsidR="00F10FCC">
        <w:t>.1</w:t>
      </w:r>
      <w:r w:rsidR="00586863" w:rsidRPr="007D0D5D">
        <w:t xml:space="preserve">%, an increase of approximately </w:t>
      </w:r>
      <w:r w:rsidR="00F10FCC">
        <w:t>108</w:t>
      </w:r>
      <w:r w:rsidR="00586863" w:rsidRPr="007D0D5D">
        <w:t>,</w:t>
      </w:r>
      <w:r w:rsidR="00F10FCC">
        <w:t>389</w:t>
      </w:r>
      <w:r w:rsidR="00586863" w:rsidRPr="007D0D5D">
        <w:t xml:space="preserve"> viewers </w:t>
      </w:r>
      <w:r w:rsidR="00EE328F" w:rsidRPr="007D0D5D">
        <w:t xml:space="preserve">per match </w:t>
      </w:r>
      <w:r w:rsidR="00586863" w:rsidRPr="007D0D5D">
        <w:t xml:space="preserve">on BSkyB’s platform. </w:t>
      </w:r>
      <w:r w:rsidR="00785C49" w:rsidRPr="007D0D5D">
        <w:t>Given that deviations in recent season have increased</w:t>
      </w:r>
      <w:r w:rsidR="00586863" w:rsidRPr="007D0D5D">
        <w:t xml:space="preserve">, if </w:t>
      </w:r>
      <w:r w:rsidR="00785C49" w:rsidRPr="007D0D5D">
        <w:t xml:space="preserve">the </w:t>
      </w:r>
      <w:r w:rsidR="00586863" w:rsidRPr="007D0D5D">
        <w:t xml:space="preserve">standard deviation of </w:t>
      </w:r>
      <w:r w:rsidR="00785C49" w:rsidRPr="00BC70C4">
        <w:rPr>
          <w:i/>
        </w:rPr>
        <w:t>COMBINED RELATIVE WAGE</w:t>
      </w:r>
      <w:r w:rsidR="00785C49" w:rsidRPr="007D0D5D">
        <w:t xml:space="preserve"> </w:t>
      </w:r>
      <w:r w:rsidR="00586863" w:rsidRPr="007D0D5D">
        <w:t xml:space="preserve">for </w:t>
      </w:r>
      <w:r w:rsidR="00347C75" w:rsidRPr="007D0D5D">
        <w:t xml:space="preserve">televised games in </w:t>
      </w:r>
      <w:r w:rsidR="00586863" w:rsidRPr="007D0D5D">
        <w:t xml:space="preserve">the most recent season (0.924) were to be used, the increase in television </w:t>
      </w:r>
      <w:r w:rsidR="00586863" w:rsidRPr="007D0D5D">
        <w:lastRenderedPageBreak/>
        <w:t xml:space="preserve">audience is </w:t>
      </w:r>
      <w:r w:rsidR="00F10FCC">
        <w:t>113</w:t>
      </w:r>
      <w:r w:rsidR="00586863" w:rsidRPr="007D0D5D">
        <w:t>,</w:t>
      </w:r>
      <w:r w:rsidR="00F10FCC">
        <w:t>938</w:t>
      </w:r>
      <w:r w:rsidR="00586863" w:rsidRPr="007D0D5D">
        <w:t xml:space="preserve"> viewers</w:t>
      </w:r>
      <w:r w:rsidR="00EE328F" w:rsidRPr="007D0D5D">
        <w:t xml:space="preserve"> per match</w:t>
      </w:r>
      <w:r w:rsidR="00586863" w:rsidRPr="007D0D5D">
        <w:t xml:space="preserve">. These increases are </w:t>
      </w:r>
      <w:r w:rsidR="00347C75" w:rsidRPr="007D0D5D">
        <w:t>non-</w:t>
      </w:r>
      <w:r w:rsidR="00586863" w:rsidRPr="007D0D5D">
        <w:t>trivial given that this is a subscription platform. It is</w:t>
      </w:r>
      <w:r w:rsidR="00347C75" w:rsidRPr="007D0D5D">
        <w:t xml:space="preserve"> therefore in the broadcasters’ </w:t>
      </w:r>
      <w:r w:rsidR="00586863" w:rsidRPr="007D0D5D">
        <w:t>interest to televise those games in which the available talent on show is high.</w:t>
      </w:r>
    </w:p>
    <w:p w:rsidR="00853100" w:rsidRPr="007D0D5D" w:rsidRDefault="00F23F2D" w:rsidP="00853100">
      <w:pPr>
        <w:ind w:firstLine="720"/>
      </w:pPr>
      <w:r w:rsidRPr="007D0D5D">
        <w:t xml:space="preserve">[Table </w:t>
      </w:r>
      <w:r w:rsidR="00347C75" w:rsidRPr="007D0D5D">
        <w:t>6</w:t>
      </w:r>
      <w:r w:rsidR="00853100" w:rsidRPr="007D0D5D">
        <w:t xml:space="preserve"> around here]</w:t>
      </w:r>
    </w:p>
    <w:p w:rsidR="00586863" w:rsidRPr="007D0D5D" w:rsidRDefault="008D00BC" w:rsidP="0099548F">
      <w:pPr>
        <w:ind w:firstLine="720"/>
      </w:pPr>
      <w:r w:rsidRPr="00BC70C4">
        <w:rPr>
          <w:i/>
        </w:rPr>
        <w:t>ABSOLUTE DIFFERENCE IN RELATIVE WAGE</w:t>
      </w:r>
      <w:r w:rsidRPr="007D0D5D">
        <w:t xml:space="preserve"> and </w:t>
      </w:r>
      <w:r w:rsidRPr="00BC70C4">
        <w:rPr>
          <w:i/>
        </w:rPr>
        <w:t>A</w:t>
      </w:r>
      <w:r w:rsidR="00C844D7" w:rsidRPr="00BC70C4">
        <w:rPr>
          <w:i/>
        </w:rPr>
        <w:t>B</w:t>
      </w:r>
      <w:r w:rsidRPr="00BC70C4">
        <w:rPr>
          <w:i/>
        </w:rPr>
        <w:t>SOLUTE DI</w:t>
      </w:r>
      <w:r w:rsidR="00BA7C1F" w:rsidRPr="00BC70C4">
        <w:rPr>
          <w:i/>
        </w:rPr>
        <w:t>FFERENCE IN POINTS PER GAME</w:t>
      </w:r>
      <w:r w:rsidR="00BA7C1F">
        <w:t xml:space="preserve"> had</w:t>
      </w:r>
      <w:r w:rsidRPr="007D0D5D">
        <w:t xml:space="preserve"> insignificant</w:t>
      </w:r>
      <w:r w:rsidR="00BA7C1F">
        <w:t xml:space="preserve"> coefficients</w:t>
      </w:r>
      <w:r w:rsidRPr="007D0D5D">
        <w:t xml:space="preserve"> and</w:t>
      </w:r>
      <w:r w:rsidR="00BA7C1F">
        <w:t xml:space="preserve"> were</w:t>
      </w:r>
      <w:r w:rsidRPr="007D0D5D">
        <w:t xml:space="preserve"> duly dropped from the regression. Their exclusion can be justified on the g</w:t>
      </w:r>
      <w:r w:rsidR="00BA7C1F">
        <w:t xml:space="preserve">rounds of collinearity with </w:t>
      </w:r>
      <w:r w:rsidRPr="00BC70C4">
        <w:rPr>
          <w:i/>
        </w:rPr>
        <w:t>OUTCOME UNCERTAINTY</w:t>
      </w:r>
      <w:r w:rsidRPr="007D0D5D">
        <w:t xml:space="preserve">. </w:t>
      </w:r>
      <w:r w:rsidR="00D92BF6" w:rsidRPr="007D0D5D">
        <w:t>T</w:t>
      </w:r>
      <w:r w:rsidR="00586863" w:rsidRPr="007D0D5D">
        <w:t xml:space="preserve">he effect of </w:t>
      </w:r>
      <w:r w:rsidR="00347C75" w:rsidRPr="00BC70C4">
        <w:rPr>
          <w:i/>
        </w:rPr>
        <w:t>C</w:t>
      </w:r>
      <w:r w:rsidR="00D92BF6" w:rsidRPr="00BC70C4">
        <w:rPr>
          <w:i/>
        </w:rPr>
        <w:t xml:space="preserve">OMBINED </w:t>
      </w:r>
      <w:r w:rsidR="00347C75" w:rsidRPr="00BC70C4">
        <w:rPr>
          <w:i/>
        </w:rPr>
        <w:t>POINTS PER GAME</w:t>
      </w:r>
      <w:r w:rsidR="00347C75" w:rsidRPr="007D0D5D">
        <w:t xml:space="preserve"> </w:t>
      </w:r>
      <w:r w:rsidRPr="007D0D5D">
        <w:t>is</w:t>
      </w:r>
      <w:r w:rsidR="00586863" w:rsidRPr="007D0D5D">
        <w:t xml:space="preserve"> not significantly different from zero. Television audiences are influenced more </w:t>
      </w:r>
      <w:r w:rsidR="00347C75" w:rsidRPr="007D0D5D">
        <w:t xml:space="preserve">so </w:t>
      </w:r>
      <w:r w:rsidR="00586863" w:rsidRPr="007D0D5D">
        <w:t xml:space="preserve">by the identity of the teams </w:t>
      </w:r>
      <w:r w:rsidR="00347C75" w:rsidRPr="007D0D5D">
        <w:t xml:space="preserve">and not their respective performances to date. </w:t>
      </w:r>
      <w:r w:rsidR="00586863" w:rsidRPr="007D0D5D">
        <w:t xml:space="preserve">The dummy variables, </w:t>
      </w:r>
      <w:r w:rsidR="00347C75" w:rsidRPr="00BC70C4">
        <w:rPr>
          <w:i/>
        </w:rPr>
        <w:t>OTHER MATCHES</w:t>
      </w:r>
      <w:r w:rsidR="00586863" w:rsidRPr="007D0D5D">
        <w:t xml:space="preserve">, </w:t>
      </w:r>
      <w:r w:rsidR="00347C75" w:rsidRPr="00BC70C4">
        <w:rPr>
          <w:i/>
        </w:rPr>
        <w:t>DERBY</w:t>
      </w:r>
      <w:r w:rsidR="00347C75" w:rsidRPr="007D0D5D">
        <w:t xml:space="preserve"> </w:t>
      </w:r>
      <w:r w:rsidR="00586863" w:rsidRPr="007D0D5D">
        <w:t xml:space="preserve">and the </w:t>
      </w:r>
      <w:r w:rsidR="00347C75" w:rsidRPr="00BC70C4">
        <w:rPr>
          <w:i/>
        </w:rPr>
        <w:t>CONTENTION</w:t>
      </w:r>
      <w:r w:rsidR="00347C75" w:rsidRPr="007D0D5D">
        <w:t xml:space="preserve"> </w:t>
      </w:r>
      <w:r w:rsidR="00BC70C4">
        <w:t xml:space="preserve">variables do not have </w:t>
      </w:r>
      <w:r w:rsidR="00586863" w:rsidRPr="007D0D5D">
        <w:t>significant impact</w:t>
      </w:r>
      <w:r w:rsidR="00BC70C4">
        <w:t>s</w:t>
      </w:r>
      <w:r w:rsidR="00586863" w:rsidRPr="007D0D5D">
        <w:t xml:space="preserve"> on the size of television audiences. The dummy variable </w:t>
      </w:r>
      <w:r w:rsidR="00347C75" w:rsidRPr="00BC70C4">
        <w:rPr>
          <w:i/>
        </w:rPr>
        <w:t>OTHER MATCHES</w:t>
      </w:r>
      <w:r w:rsidR="00347C75" w:rsidRPr="007D0D5D">
        <w:t xml:space="preserve"> </w:t>
      </w:r>
      <w:r w:rsidR="00586863" w:rsidRPr="007D0D5D">
        <w:t xml:space="preserve">is intended to capture the greater proportion of games televised on the last day of the season but the lack of significance would suggest that such games are not substitutes for one another. This raises the interesting prospect that it might be possible for broadcasters to televise games concurrently without harming total audience ratings. This is particularly relevant as the number of live games from one contract period to the next </w:t>
      </w:r>
      <w:r w:rsidR="00347C75" w:rsidRPr="007D0D5D">
        <w:t>has increased but as the number of games increase, it might be necessary to televise some matches concurrently</w:t>
      </w:r>
      <w:r w:rsidR="00586863" w:rsidRPr="007D0D5D">
        <w:t xml:space="preserve">. For </w:t>
      </w:r>
      <w:r w:rsidR="00347C75" w:rsidRPr="00BC70C4">
        <w:rPr>
          <w:i/>
        </w:rPr>
        <w:t>DERBY</w:t>
      </w:r>
      <w:r w:rsidR="00347C75" w:rsidRPr="007D0D5D">
        <w:t xml:space="preserve"> </w:t>
      </w:r>
      <w:r w:rsidR="00586863" w:rsidRPr="007D0D5D">
        <w:t>matches, it would seem that the attraction of such games is limited</w:t>
      </w:r>
      <w:r w:rsidR="00BC70C4">
        <w:t xml:space="preserve">, </w:t>
      </w:r>
      <w:r w:rsidR="00BC70C4">
        <w:rPr>
          <w:i/>
        </w:rPr>
        <w:t>ceteris paribus</w:t>
      </w:r>
      <w:r w:rsidR="00BC70C4">
        <w:t>,</w:t>
      </w:r>
      <w:r w:rsidR="00586863" w:rsidRPr="007D0D5D">
        <w:t xml:space="preserve"> to stadium g</w:t>
      </w:r>
      <w:r w:rsidR="00347C75" w:rsidRPr="007D0D5D">
        <w:t>oers and not television viewers</w:t>
      </w:r>
      <w:r w:rsidR="00586863" w:rsidRPr="007D0D5D">
        <w:t>.</w:t>
      </w:r>
    </w:p>
    <w:p w:rsidR="00586863" w:rsidRPr="007D0D5D" w:rsidRDefault="00586863" w:rsidP="0099548F">
      <w:pPr>
        <w:ind w:firstLine="720"/>
      </w:pPr>
      <w:r w:rsidRPr="007D0D5D">
        <w:t xml:space="preserve">Audience ratings for matches televised during the week are lower compared with those televised at the weekend; the fall in audience rating is of the magnitude of </w:t>
      </w:r>
      <w:r w:rsidR="00347C75" w:rsidRPr="007D0D5D">
        <w:t>8</w:t>
      </w:r>
      <w:r w:rsidR="00F10FCC">
        <w:t>.6</w:t>
      </w:r>
      <w:r w:rsidRPr="007D0D5D">
        <w:t xml:space="preserve">%. This is likely to be capturing the limited amount of leisure time available to audiences during the week compared with the weekend. Also those games televised by Setanta attracted far fewer </w:t>
      </w:r>
      <w:r w:rsidRPr="007D0D5D">
        <w:lastRenderedPageBreak/>
        <w:t>audiences compared to those televised on BSky</w:t>
      </w:r>
      <w:r w:rsidR="009A4A51" w:rsidRPr="007D0D5D">
        <w:t>B’s channels. D</w:t>
      </w:r>
      <w:r w:rsidRPr="007D0D5D">
        <w:t>uring the pe</w:t>
      </w:r>
      <w:r w:rsidR="009A4A51" w:rsidRPr="007D0D5D">
        <w:t>riod of analysis, Setanta’s</w:t>
      </w:r>
      <w:r w:rsidRPr="007D0D5D">
        <w:t xml:space="preserve"> penetration within UK households was much smaller compared with BSkyB’s. </w:t>
      </w:r>
    </w:p>
    <w:p w:rsidR="00A8309E" w:rsidRPr="007D0D5D" w:rsidRDefault="00586863" w:rsidP="0099548F">
      <w:pPr>
        <w:ind w:firstLine="720"/>
      </w:pPr>
      <w:r w:rsidRPr="007D0D5D">
        <w:t xml:space="preserve">The coefficient of the focus variable, </w:t>
      </w:r>
      <w:r w:rsidR="00347C75" w:rsidRPr="00BC70C4">
        <w:rPr>
          <w:i/>
        </w:rPr>
        <w:t>OUTCOME UNCERTAINTY</w:t>
      </w:r>
      <w:r w:rsidRPr="007D0D5D">
        <w:t>, is not significantly different from zero</w:t>
      </w:r>
      <w:r w:rsidR="00B9077F" w:rsidRPr="007D0D5D">
        <w:t xml:space="preserve"> and</w:t>
      </w:r>
      <w:r w:rsidR="00BC70C4">
        <w:t xml:space="preserve"> this result</w:t>
      </w:r>
      <w:r w:rsidR="00B9077F" w:rsidRPr="007D0D5D">
        <w:t xml:space="preserve"> </w:t>
      </w:r>
      <w:r w:rsidR="004A47EF" w:rsidRPr="007D0D5D">
        <w:t>is robust to a series of modelling approaches.</w:t>
      </w:r>
      <w:r w:rsidR="003911F3" w:rsidRPr="007D0D5D">
        <w:rPr>
          <w:rStyle w:val="EndnoteReference"/>
        </w:rPr>
        <w:endnoteReference w:id="7"/>
      </w:r>
      <w:r w:rsidR="003911F3" w:rsidRPr="007D0D5D">
        <w:t xml:space="preserve"> </w:t>
      </w:r>
      <w:r w:rsidRPr="007D0D5D">
        <w:t xml:space="preserve">This finding is contrary to those reported in earlier papers </w:t>
      </w:r>
      <w:r w:rsidRPr="007D0D5D">
        <w:rPr>
          <w:noProof/>
        </w:rPr>
        <w:t>(Buraimo and Simmons, 2009; Forrest</w:t>
      </w:r>
      <w:r w:rsidRPr="007D0D5D">
        <w:rPr>
          <w:i/>
          <w:noProof/>
        </w:rPr>
        <w:t xml:space="preserve"> </w:t>
      </w:r>
      <w:r w:rsidR="00EA0EEC" w:rsidRPr="007D0D5D">
        <w:rPr>
          <w:i/>
          <w:noProof/>
        </w:rPr>
        <w:t>et al.</w:t>
      </w:r>
      <w:r w:rsidRPr="007D0D5D">
        <w:rPr>
          <w:noProof/>
        </w:rPr>
        <w:t>, 2005)</w:t>
      </w:r>
      <w:r w:rsidR="00BC70C4">
        <w:t xml:space="preserve"> and</w:t>
      </w:r>
      <w:r w:rsidR="00A8309E" w:rsidRPr="007D0D5D">
        <w:t xml:space="preserve"> could be capturing an evolution in television audiences’ preferences</w:t>
      </w:r>
      <w:r w:rsidR="004A47EF" w:rsidRPr="007D0D5D">
        <w:t>. We interact</w:t>
      </w:r>
      <w:r w:rsidRPr="007D0D5D">
        <w:t xml:space="preserve"> the focus variable with </w:t>
      </w:r>
      <w:r w:rsidR="00A8309E" w:rsidRPr="007D0D5D">
        <w:t xml:space="preserve">season </w:t>
      </w:r>
      <w:r w:rsidRPr="007D0D5D">
        <w:t>dummy variables. The estimates ar</w:t>
      </w:r>
      <w:r w:rsidR="00F25F2F" w:rsidRPr="007D0D5D">
        <w:t>e reported in model 2 of Table 6</w:t>
      </w:r>
      <w:r w:rsidRPr="007D0D5D">
        <w:t xml:space="preserve">. </w:t>
      </w:r>
      <w:r w:rsidR="00A8309E" w:rsidRPr="007D0D5D">
        <w:t>T</w:t>
      </w:r>
      <w:r w:rsidRPr="007D0D5D">
        <w:t>he coefficient</w:t>
      </w:r>
      <w:r w:rsidR="00A8309E" w:rsidRPr="007D0D5D">
        <w:t>s</w:t>
      </w:r>
      <w:r w:rsidRPr="007D0D5D">
        <w:t xml:space="preserve"> of </w:t>
      </w:r>
      <w:r w:rsidR="00A8309E" w:rsidRPr="00BC70C4">
        <w:rPr>
          <w:i/>
        </w:rPr>
        <w:t>OUTCOME UNCERTAINTY</w:t>
      </w:r>
      <w:r w:rsidR="00A8309E" w:rsidRPr="007D0D5D">
        <w:t xml:space="preserve"> interacted with 2000-</w:t>
      </w:r>
      <w:r w:rsidR="004A47EF" w:rsidRPr="007D0D5D">
        <w:t>20</w:t>
      </w:r>
      <w:r w:rsidR="00A8309E" w:rsidRPr="007D0D5D">
        <w:t>01 and 2001-</w:t>
      </w:r>
      <w:r w:rsidR="004A47EF" w:rsidRPr="007D0D5D">
        <w:t>20</w:t>
      </w:r>
      <w:r w:rsidR="00A8309E" w:rsidRPr="007D0D5D">
        <w:t xml:space="preserve">02 are </w:t>
      </w:r>
      <w:r w:rsidRPr="007D0D5D">
        <w:t>significantly different from zero (at the 10% level) with the appropriate sign</w:t>
      </w:r>
      <w:r w:rsidR="00D92BF6" w:rsidRPr="007D0D5D">
        <w:t>s</w:t>
      </w:r>
      <w:r w:rsidRPr="007D0D5D">
        <w:t xml:space="preserve"> showing</w:t>
      </w:r>
      <w:r w:rsidR="00D92BF6" w:rsidRPr="007D0D5D">
        <w:t>, tentatively,</w:t>
      </w:r>
      <w:r w:rsidRPr="007D0D5D">
        <w:t xml:space="preserve"> that television audience</w:t>
      </w:r>
      <w:r w:rsidR="00E04DCB" w:rsidRPr="007D0D5D">
        <w:t>s</w:t>
      </w:r>
      <w:r w:rsidRPr="007D0D5D">
        <w:t xml:space="preserve"> value contests that are close. Ho</w:t>
      </w:r>
      <w:r w:rsidR="00D92BF6" w:rsidRPr="007D0D5D">
        <w:t>wever, in the seasons after 2002</w:t>
      </w:r>
      <w:r w:rsidRPr="007D0D5D">
        <w:t xml:space="preserve">, the coefficients of </w:t>
      </w:r>
      <w:r w:rsidR="00A8309E" w:rsidRPr="00BC70C4">
        <w:rPr>
          <w:i/>
        </w:rPr>
        <w:t>OUTCOME UNCERTAINTY</w:t>
      </w:r>
      <w:r w:rsidR="00A8309E" w:rsidRPr="007D0D5D">
        <w:t xml:space="preserve"> interacted with </w:t>
      </w:r>
      <w:r w:rsidR="000337D1" w:rsidRPr="007D0D5D">
        <w:t xml:space="preserve">each season from </w:t>
      </w:r>
      <w:r w:rsidR="00A8309E" w:rsidRPr="007D0D5D">
        <w:t>2003-</w:t>
      </w:r>
      <w:r w:rsidR="004A47EF" w:rsidRPr="007D0D5D">
        <w:t>20</w:t>
      </w:r>
      <w:r w:rsidR="00A8309E" w:rsidRPr="007D0D5D">
        <w:t>03 to 2007-</w:t>
      </w:r>
      <w:r w:rsidR="004A47EF" w:rsidRPr="007D0D5D">
        <w:t>20</w:t>
      </w:r>
      <w:r w:rsidR="00A8309E" w:rsidRPr="007D0D5D">
        <w:t xml:space="preserve">08 </w:t>
      </w:r>
      <w:r w:rsidRPr="007D0D5D">
        <w:t xml:space="preserve">are not significantly different from zero. This would seem to mark a transition away from valuing uncertainty of outcome. </w:t>
      </w:r>
      <w:r w:rsidR="00A8309E" w:rsidRPr="007D0D5D">
        <w:t xml:space="preserve">To further explore television audience demand, </w:t>
      </w:r>
      <w:r w:rsidR="00A8309E" w:rsidRPr="00BC70C4">
        <w:rPr>
          <w:i/>
        </w:rPr>
        <w:t>COMBINED RELATIVE WAGE</w:t>
      </w:r>
      <w:r w:rsidR="00A8309E" w:rsidRPr="007D0D5D">
        <w:t xml:space="preserve"> is also interacted with seasons and the result</w:t>
      </w:r>
      <w:r w:rsidR="00851E3C" w:rsidRPr="007D0D5D">
        <w:t>s are show in model 3 of Table 6</w:t>
      </w:r>
      <w:r w:rsidR="00A8309E" w:rsidRPr="007D0D5D">
        <w:t xml:space="preserve">. </w:t>
      </w:r>
      <w:r w:rsidR="00D92BF6" w:rsidRPr="007D0D5D">
        <w:t>Strikingly,</w:t>
      </w:r>
      <w:r w:rsidR="00A8309E" w:rsidRPr="007D0D5D">
        <w:t xml:space="preserve"> the interaction of </w:t>
      </w:r>
      <w:r w:rsidR="00A8309E" w:rsidRPr="00BC70C4">
        <w:rPr>
          <w:i/>
        </w:rPr>
        <w:t>COMBINED RELATIVE WAGE</w:t>
      </w:r>
      <w:r w:rsidR="00A8309E" w:rsidRPr="007D0D5D">
        <w:t xml:space="preserve"> with the earliest four seasons is no</w:t>
      </w:r>
      <w:r w:rsidR="00F25F2F" w:rsidRPr="007D0D5D">
        <w:t>t significantly different from zero</w:t>
      </w:r>
      <w:r w:rsidR="00A8309E" w:rsidRPr="007D0D5D">
        <w:t>. However, for the seasons 2004-05 to 2007-08 incl</w:t>
      </w:r>
      <w:r w:rsidR="00D92BF6" w:rsidRPr="007D0D5D">
        <w:t xml:space="preserve">usive, </w:t>
      </w:r>
      <w:r w:rsidR="00D92BF6" w:rsidRPr="00BC70C4">
        <w:rPr>
          <w:i/>
        </w:rPr>
        <w:t>COMBINED RELATIVE WAGE</w:t>
      </w:r>
      <w:r w:rsidR="00D92BF6" w:rsidRPr="007D0D5D">
        <w:t xml:space="preserve"> interacted with season has</w:t>
      </w:r>
      <w:r w:rsidR="00A8309E" w:rsidRPr="007D0D5D">
        <w:t xml:space="preserve"> significant</w:t>
      </w:r>
      <w:r w:rsidR="00D92BF6" w:rsidRPr="007D0D5D">
        <w:t xml:space="preserve"> coefficients</w:t>
      </w:r>
      <w:r w:rsidR="00A8309E" w:rsidRPr="007D0D5D">
        <w:t>. Again it should be noted that these impacts are over and above the team fixed effects which already distinguish between the identity and brand of the teams</w:t>
      </w:r>
      <w:r w:rsidR="00664E5C" w:rsidRPr="007D0D5D">
        <w:t>. F</w:t>
      </w:r>
      <w:r w:rsidR="00A8309E" w:rsidRPr="007D0D5D">
        <w:t xml:space="preserve">or example, </w:t>
      </w:r>
      <w:r w:rsidR="007A05F9">
        <w:t>the reported effect</w:t>
      </w:r>
      <w:r w:rsidR="00851E3C" w:rsidRPr="007D0D5D">
        <w:t xml:space="preserve"> of </w:t>
      </w:r>
      <w:r w:rsidR="00A8309E" w:rsidRPr="00BC70C4">
        <w:rPr>
          <w:i/>
        </w:rPr>
        <w:t>COMBINED RELATIVE WAGE</w:t>
      </w:r>
      <w:r w:rsidR="00A8309E" w:rsidRPr="007D0D5D">
        <w:t xml:space="preserve"> is in addition to</w:t>
      </w:r>
      <w:r w:rsidR="006A79D3" w:rsidRPr="007D0D5D">
        <w:t xml:space="preserve"> the </w:t>
      </w:r>
      <w:r w:rsidR="00851E3C" w:rsidRPr="007D0D5D">
        <w:t>effects</w:t>
      </w:r>
      <w:r w:rsidR="006A79D3" w:rsidRPr="007D0D5D">
        <w:t xml:space="preserve"> of individual teams</w:t>
      </w:r>
      <w:r w:rsidR="00C809E7" w:rsidRPr="007D0D5D">
        <w:t xml:space="preserve"> which would attract large audiences anyway.</w:t>
      </w:r>
    </w:p>
    <w:p w:rsidR="00F25F2F" w:rsidRPr="007D0D5D" w:rsidRDefault="00586863" w:rsidP="00C04DEC">
      <w:pPr>
        <w:ind w:firstLine="720"/>
      </w:pPr>
      <w:r w:rsidRPr="007D0D5D">
        <w:t>This i</w:t>
      </w:r>
      <w:r w:rsidR="002A608D">
        <w:t>s a major result</w:t>
      </w:r>
      <w:r w:rsidRPr="007D0D5D">
        <w:t xml:space="preserve"> that policy makers and league</w:t>
      </w:r>
      <w:r w:rsidR="004D798E" w:rsidRPr="007D0D5D">
        <w:t xml:space="preserve"> authorities should not ignore</w:t>
      </w:r>
      <w:r w:rsidR="001F5DF5" w:rsidRPr="007D0D5D">
        <w:t xml:space="preserve">. </w:t>
      </w:r>
      <w:r w:rsidRPr="007D0D5D">
        <w:t xml:space="preserve">The central finding of this paper suggests that consumer interest has shifted </w:t>
      </w:r>
      <w:r w:rsidR="00B83755" w:rsidRPr="007D0D5D">
        <w:t xml:space="preserve">away </w:t>
      </w:r>
      <w:r w:rsidRPr="007D0D5D">
        <w:t>from uncertainty of outcome to the quality of playing talent. Television audience</w:t>
      </w:r>
      <w:r w:rsidR="00B83755" w:rsidRPr="007D0D5D">
        <w:t>s</w:t>
      </w:r>
      <w:r w:rsidRPr="007D0D5D">
        <w:t xml:space="preserve"> are drawn to </w:t>
      </w:r>
      <w:r w:rsidRPr="007D0D5D">
        <w:lastRenderedPageBreak/>
        <w:t>games with a greater presence of st</w:t>
      </w:r>
      <w:r w:rsidR="00F25F2F" w:rsidRPr="007D0D5D">
        <w:t>ar talent on show</w:t>
      </w:r>
      <w:r w:rsidR="008807DD" w:rsidRPr="007D0D5D">
        <w:t xml:space="preserve">. Preferences for </w:t>
      </w:r>
      <w:r w:rsidR="00851E3C" w:rsidRPr="007D0D5D">
        <w:t>balanced</w:t>
      </w:r>
      <w:r w:rsidRPr="007D0D5D">
        <w:t xml:space="preserve"> contest</w:t>
      </w:r>
      <w:r w:rsidR="008807DD" w:rsidRPr="007D0D5D">
        <w:t>s</w:t>
      </w:r>
      <w:r w:rsidRPr="007D0D5D">
        <w:t xml:space="preserve"> and the anticipation of</w:t>
      </w:r>
      <w:r w:rsidR="008807DD" w:rsidRPr="007D0D5D">
        <w:t xml:space="preserve"> an</w:t>
      </w:r>
      <w:r w:rsidRPr="007D0D5D">
        <w:t xml:space="preserve"> </w:t>
      </w:r>
      <w:r w:rsidR="007A05F9" w:rsidRPr="007D0D5D">
        <w:t>uncertain outcome</w:t>
      </w:r>
      <w:r w:rsidRPr="007D0D5D">
        <w:t xml:space="preserve"> appear to have waned amongst television audiences.</w:t>
      </w:r>
      <w:r w:rsidR="00B83755" w:rsidRPr="007D0D5D">
        <w:t xml:space="preserve"> Instead, decision-</w:t>
      </w:r>
      <w:r w:rsidR="004D798E" w:rsidRPr="007D0D5D">
        <w:t>makers</w:t>
      </w:r>
      <w:r w:rsidR="00B83755" w:rsidRPr="007D0D5D">
        <w:t xml:space="preserve"> and league authorities should concern themselves with one dominant strategy: maximising the quality of talent coming into the league.</w:t>
      </w:r>
      <w:r w:rsidR="00A61133" w:rsidRPr="007D0D5D">
        <w:t xml:space="preserve"> For this to happen, </w:t>
      </w:r>
      <w:r w:rsidR="00F25F2F" w:rsidRPr="007D0D5D">
        <w:t>clubs will need to continue to spend</w:t>
      </w:r>
      <w:r w:rsidR="009D12EA" w:rsidRPr="007D0D5D">
        <w:t xml:space="preserve"> large sums of money on recruiting talent</w:t>
      </w:r>
      <w:r w:rsidR="007E57CF" w:rsidRPr="007D0D5D">
        <w:t xml:space="preserve">. </w:t>
      </w:r>
      <w:r w:rsidR="00F25F2F" w:rsidRPr="007D0D5D">
        <w:t xml:space="preserve"> Assessment of efforts to control such costs at the levels of league and governing body are beyond the scope of this paper (see e.g. </w:t>
      </w:r>
      <w:r w:rsidR="00BA7C1F">
        <w:t xml:space="preserve">Franck (2014) and </w:t>
      </w:r>
      <w:r w:rsidR="00F25F2F" w:rsidRPr="007D0D5D">
        <w:t>Peeters and Szymanski, 2014</w:t>
      </w:r>
      <w:r w:rsidR="00BA7C1F">
        <w:t xml:space="preserve"> on UEFA’s Financial Fair Play policy</w:t>
      </w:r>
      <w:r w:rsidR="00F25F2F" w:rsidRPr="007D0D5D">
        <w:t xml:space="preserve">) but such efforts need to be reconciled with the preferences of viewers as expressed through audience demand.  </w:t>
      </w:r>
    </w:p>
    <w:p w:rsidR="00586863" w:rsidRPr="007D0D5D" w:rsidRDefault="00F25F2F" w:rsidP="00C04DEC">
      <w:pPr>
        <w:ind w:firstLine="720"/>
      </w:pPr>
      <w:r w:rsidRPr="007D0D5D">
        <w:t>Acquisition of star players to satisfy viewer preferences implies</w:t>
      </w:r>
      <w:r w:rsidR="007E57CF" w:rsidRPr="007D0D5D">
        <w:t xml:space="preserve"> a net migr</w:t>
      </w:r>
      <w:r w:rsidR="004D798E" w:rsidRPr="007D0D5D">
        <w:t>ation of talent into the league. H</w:t>
      </w:r>
      <w:r w:rsidR="007E57CF" w:rsidRPr="007D0D5D">
        <w:t xml:space="preserve">owever, such migration must be at the expense of other leagues. </w:t>
      </w:r>
      <w:r w:rsidR="006A79D3" w:rsidRPr="007D0D5D">
        <w:t xml:space="preserve">The </w:t>
      </w:r>
      <w:r w:rsidR="009D12EA" w:rsidRPr="007D0D5D">
        <w:t xml:space="preserve">league and its clubs </w:t>
      </w:r>
      <w:r w:rsidR="006A79D3" w:rsidRPr="007D0D5D">
        <w:t xml:space="preserve">therefore </w:t>
      </w:r>
      <w:r w:rsidR="009D12EA" w:rsidRPr="007D0D5D">
        <w:t>have an incentive</w:t>
      </w:r>
      <w:r w:rsidR="007E57CF" w:rsidRPr="007D0D5D">
        <w:t xml:space="preserve"> to attract the best players to the league. The</w:t>
      </w:r>
      <w:r w:rsidR="00851E3C" w:rsidRPr="007D0D5D">
        <w:t>y</w:t>
      </w:r>
      <w:r w:rsidR="007E57CF" w:rsidRPr="007D0D5D">
        <w:t xml:space="preserve"> must be able to meet the cost of such extravagance and one major source of finance is the revenues from the television broadcast sector. In the case of the English Premier League, it is imperative that </w:t>
      </w:r>
      <w:r w:rsidRPr="007D0D5D">
        <w:t>it</w:t>
      </w:r>
      <w:r w:rsidR="007E57CF" w:rsidRPr="007D0D5D">
        <w:t xml:space="preserve"> maximis</w:t>
      </w:r>
      <w:r w:rsidR="00E04DCB" w:rsidRPr="007D0D5D">
        <w:t>es the revenue that it generates</w:t>
      </w:r>
      <w:r w:rsidR="007E57CF" w:rsidRPr="007D0D5D">
        <w:t xml:space="preserve"> from </w:t>
      </w:r>
      <w:r w:rsidR="006A79D3" w:rsidRPr="007D0D5D">
        <w:t xml:space="preserve">the </w:t>
      </w:r>
      <w:r w:rsidR="004D798E" w:rsidRPr="007D0D5D">
        <w:t>broadcast</w:t>
      </w:r>
      <w:r w:rsidR="007E57CF" w:rsidRPr="007D0D5D">
        <w:t xml:space="preserve"> market. Consequently its rights strategy must give considerable attention to how to make use of the growing c</w:t>
      </w:r>
      <w:r w:rsidR="004D798E" w:rsidRPr="007D0D5D">
        <w:t>ompetition amongst broadcasters particularly if it is to attract talent which in turn will maximise audience demand.</w:t>
      </w:r>
    </w:p>
    <w:p w:rsidR="00586863" w:rsidRPr="00F10FCC" w:rsidRDefault="00586863" w:rsidP="00194DCF">
      <w:pPr>
        <w:pStyle w:val="Heading1"/>
        <w:numPr>
          <w:ilvl w:val="0"/>
          <w:numId w:val="21"/>
        </w:numPr>
      </w:pPr>
      <w:r w:rsidRPr="00F10FCC">
        <w:t>Concluding Remarks</w:t>
      </w:r>
    </w:p>
    <w:p w:rsidR="00586863" w:rsidRPr="007D0D5D" w:rsidRDefault="00586863" w:rsidP="0099548F">
      <w:r w:rsidRPr="007D0D5D">
        <w:t>This paper examines the notion that uncertainty of outcome matters to</w:t>
      </w:r>
      <w:r w:rsidR="00DE0C0D">
        <w:t xml:space="preserve"> football</w:t>
      </w:r>
      <w:r w:rsidRPr="007D0D5D">
        <w:t xml:space="preserve"> audiences and more specifically, television audiences for the English Premier League. The concept of uncertainty of outcome is a central conjecture </w:t>
      </w:r>
      <w:r w:rsidR="006A79D3" w:rsidRPr="007D0D5D">
        <w:t>in</w:t>
      </w:r>
      <w:r w:rsidRPr="007D0D5D">
        <w:t xml:space="preserve"> the economic literature on professional team sports and since it was first presented, its relevance to</w:t>
      </w:r>
      <w:r w:rsidR="006A79D3" w:rsidRPr="007D0D5D">
        <w:t xml:space="preserve"> policy-making and management</w:t>
      </w:r>
      <w:r w:rsidRPr="007D0D5D">
        <w:t xml:space="preserve"> practices in professional sports leagues has been strong. The empirical testing ground for </w:t>
      </w:r>
      <w:r w:rsidRPr="007D0D5D">
        <w:lastRenderedPageBreak/>
        <w:t>uncertainty of outcome has usually been stadium atte</w:t>
      </w:r>
      <w:r w:rsidR="00A724D5" w:rsidRPr="007D0D5D">
        <w:t>ndees. T</w:t>
      </w:r>
      <w:r w:rsidRPr="007D0D5D">
        <w:t xml:space="preserve">raditionally, income from stadia has been the dominant source of revenue. However, in today’s sports markets in which the supply of talent to sports leagues is global, attention should shift to television audiences for sport. The use of television audiences over stadium attendees to test the uncertainty of outcome hypothesis is more appropriate. </w:t>
      </w:r>
    </w:p>
    <w:p w:rsidR="007A05F9" w:rsidRPr="00165E35" w:rsidRDefault="00586863" w:rsidP="00165E35">
      <w:pPr>
        <w:ind w:firstLine="720"/>
      </w:pPr>
      <w:r w:rsidRPr="007D0D5D">
        <w:t>We find that uncertainty of outcome does not have a significant impact on television audience ratings overall. Separating the measure of uncertainty of outcome by seasons shows significant coefficients over the first two seasons of our sample</w:t>
      </w:r>
      <w:r w:rsidR="00A724D5" w:rsidRPr="007D0D5D">
        <w:t>, albeit at the 10 per cent level</w:t>
      </w:r>
      <w:r w:rsidRPr="007D0D5D">
        <w:t xml:space="preserve">.  But </w:t>
      </w:r>
      <w:r w:rsidR="00A724D5" w:rsidRPr="007D0D5D">
        <w:t>over seasons, this</w:t>
      </w:r>
      <w:r w:rsidRPr="007D0D5D">
        <w:t xml:space="preserve"> significance disappears. The dissipation of the outcome unce</w:t>
      </w:r>
      <w:r w:rsidR="00E04DCB" w:rsidRPr="007D0D5D">
        <w:t xml:space="preserve">rtainty effect coincides with an </w:t>
      </w:r>
      <w:r w:rsidRPr="007D0D5D">
        <w:t>increase in the quality of talent employed in the English Premier League. We argue that there has been a transition of preference for uncertainty of outcome towards a preference for</w:t>
      </w:r>
      <w:r w:rsidR="003B7ACB" w:rsidRPr="007D0D5D">
        <w:t xml:space="preserve"> increased </w:t>
      </w:r>
      <w:r w:rsidRPr="007D0D5D">
        <w:t xml:space="preserve">talent. </w:t>
      </w:r>
      <w:r w:rsidR="00B2201B" w:rsidRPr="007D0D5D">
        <w:t>The classic</w:t>
      </w:r>
      <w:r w:rsidRPr="007D0D5D">
        <w:t xml:space="preserve"> notion of a pure sporting contest in which the outcome is unpredictable has been replaced w</w:t>
      </w:r>
      <w:r w:rsidR="003B7ACB" w:rsidRPr="007D0D5D">
        <w:t>ith one in which the preference</w:t>
      </w:r>
      <w:r w:rsidRPr="007D0D5D">
        <w:t xml:space="preserve"> is for sporting entertainment delivered by superstars. The unpredictability of the outcome no longer matters</w:t>
      </w:r>
      <w:r w:rsidR="00A724D5" w:rsidRPr="007D0D5D">
        <w:t xml:space="preserve"> for television viewers</w:t>
      </w:r>
      <w:r w:rsidRPr="007D0D5D">
        <w:t xml:space="preserve">. The implications of these findings are that leagues should no longer defend their practices on the ground of uncertainty of outcome and consequently the defence of sports policies should be reconsidered. Furthermore, if consumer welfare is to be maximised, maximising uncertainty of outcome is unlikely to achieve this. Instead, policies and </w:t>
      </w:r>
      <w:r w:rsidR="00B2201B" w:rsidRPr="007D0D5D">
        <w:t>strategies</w:t>
      </w:r>
      <w:r w:rsidRPr="007D0D5D">
        <w:t xml:space="preserve"> aimed at the labour market and how it operates should be the focus of league administrators.</w:t>
      </w:r>
      <w:r w:rsidR="00A724D5" w:rsidRPr="007D0D5D">
        <w:t xml:space="preserve"> The policy recommendation</w:t>
      </w:r>
      <w:r w:rsidR="00B2201B" w:rsidRPr="007D0D5D">
        <w:t xml:space="preserve"> that emerges from this analysis is that the leagues (and its constituent clubs) need to increase the quality of talent migrating into the league; the distribution of such talent across the clubs is presently of little significance. Attempts to increase the quality of talent coming into the league mean direct competition against other leagues competing for the same talent. The league should create the right incentives for clubs </w:t>
      </w:r>
      <w:r w:rsidR="00B2201B" w:rsidRPr="007D0D5D">
        <w:lastRenderedPageBreak/>
        <w:t>to attract the best players and similarly clubs need to create the right economic incentives to attract players from other leagues. This in turn will maximise television a</w:t>
      </w:r>
      <w:r w:rsidR="00A152F2" w:rsidRPr="007D0D5D">
        <w:t>udience ratings</w:t>
      </w:r>
      <w:r w:rsidR="00B2201B" w:rsidRPr="007D0D5D">
        <w:t>.</w:t>
      </w:r>
    </w:p>
    <w:p w:rsidR="00586863" w:rsidRPr="007D0D5D" w:rsidRDefault="00586863" w:rsidP="00194DCF">
      <w:pPr>
        <w:pStyle w:val="Heading1"/>
      </w:pPr>
      <w:r w:rsidRPr="007D0D5D">
        <w:t>References</w:t>
      </w:r>
    </w:p>
    <w:p w:rsidR="00445A86" w:rsidRPr="00F81977" w:rsidRDefault="00445A86" w:rsidP="000E5275">
      <w:pPr>
        <w:spacing w:line="240" w:lineRule="auto"/>
      </w:pPr>
      <w:r w:rsidRPr="00F81977">
        <w:t xml:space="preserve">Alavy, Kevin, Alison Gaskell, Stephanie Leach, and Stefan Szymanski. 2010. On the Edge of Your Seat: Demand for Football on Television and the Uncertainty of Outcome Hypothesis. </w:t>
      </w:r>
      <w:r w:rsidRPr="00BA7C1F">
        <w:rPr>
          <w:i/>
        </w:rPr>
        <w:t>International Journal of Sport Finance</w:t>
      </w:r>
      <w:r w:rsidRPr="00F81977">
        <w:t xml:space="preserve"> 5(2): 75-95.</w:t>
      </w:r>
    </w:p>
    <w:p w:rsidR="00445A86" w:rsidRPr="00F81977" w:rsidRDefault="00445A86" w:rsidP="000E5275">
      <w:pPr>
        <w:spacing w:line="240" w:lineRule="auto"/>
      </w:pPr>
      <w:r w:rsidRPr="00F81977">
        <w:t xml:space="preserve">Baimbridge, Mark, Samuel Cameron, and Peter Dawson. 1996. Satellite Television and the Demand for Football: A Whole New Ball Game? </w:t>
      </w:r>
      <w:r w:rsidRPr="00BA7C1F">
        <w:rPr>
          <w:i/>
        </w:rPr>
        <w:t xml:space="preserve">Scottish </w:t>
      </w:r>
      <w:r w:rsidR="00165E35" w:rsidRPr="00BA7C1F">
        <w:rPr>
          <w:i/>
        </w:rPr>
        <w:t>Journal of Political Economy</w:t>
      </w:r>
      <w:r w:rsidR="00165E35" w:rsidRPr="00F81977">
        <w:t xml:space="preserve"> 43</w:t>
      </w:r>
      <w:r w:rsidRPr="00F81977">
        <w:t>(3): 317-333.</w:t>
      </w:r>
    </w:p>
    <w:p w:rsidR="00445A86" w:rsidRPr="00F81977" w:rsidRDefault="00445A86" w:rsidP="000E5275">
      <w:pPr>
        <w:spacing w:line="240" w:lineRule="auto"/>
      </w:pPr>
      <w:r w:rsidRPr="00F81977">
        <w:t>BARB. 2014. http://www.barb.co.uk/</w:t>
      </w:r>
    </w:p>
    <w:p w:rsidR="000E5275" w:rsidRPr="00F81977" w:rsidRDefault="00850F6E" w:rsidP="000E5275">
      <w:pPr>
        <w:spacing w:line="240" w:lineRule="auto"/>
      </w:pPr>
      <w:r w:rsidRPr="00F81977">
        <w:t>Berri, David, Martin Schmidt, and Stacey Brook. 2004. Stars at the Gate: The Impact of Star Power on NBA Gate Revenues</w:t>
      </w:r>
      <w:r w:rsidR="000E5275" w:rsidRPr="00F81977">
        <w:t xml:space="preserve">. </w:t>
      </w:r>
      <w:r w:rsidR="000E5275" w:rsidRPr="00BA7C1F">
        <w:rPr>
          <w:i/>
        </w:rPr>
        <w:t>Journal of Sports Economics</w:t>
      </w:r>
      <w:r w:rsidR="000E5275" w:rsidRPr="00F81977">
        <w:t xml:space="preserve"> </w:t>
      </w:r>
      <w:r w:rsidR="00165E35" w:rsidRPr="00F81977">
        <w:t>5</w:t>
      </w:r>
      <w:r w:rsidR="000E5275" w:rsidRPr="00F81977">
        <w:t xml:space="preserve">(1): 33-50. </w:t>
      </w:r>
    </w:p>
    <w:p w:rsidR="000E5275" w:rsidRPr="00F81977" w:rsidRDefault="000264BA" w:rsidP="000E5275">
      <w:pPr>
        <w:spacing w:line="240" w:lineRule="auto"/>
        <w:rPr>
          <w:rFonts w:cs="Calibri"/>
          <w:noProof/>
        </w:rPr>
      </w:pPr>
      <w:r w:rsidRPr="00F81977">
        <w:rPr>
          <w:rFonts w:cs="Calibri"/>
          <w:noProof/>
        </w:rPr>
        <w:t xml:space="preserve">Borland, Jeffery, and Robert MacDonald. 2003. </w:t>
      </w:r>
      <w:r w:rsidR="000E5275" w:rsidRPr="00F81977">
        <w:rPr>
          <w:rFonts w:cs="Calibri"/>
          <w:noProof/>
        </w:rPr>
        <w:t>Demand for Sport.</w:t>
      </w:r>
      <w:r w:rsidRPr="00F81977">
        <w:rPr>
          <w:rFonts w:cs="Calibri"/>
          <w:noProof/>
        </w:rPr>
        <w:t xml:space="preserve"> </w:t>
      </w:r>
      <w:r w:rsidRPr="00BA7C1F">
        <w:rPr>
          <w:rFonts w:cs="Calibri"/>
          <w:i/>
          <w:noProof/>
        </w:rPr>
        <w:t xml:space="preserve">Oxford Review of Economic Policy </w:t>
      </w:r>
      <w:r w:rsidRPr="00F81977">
        <w:rPr>
          <w:rFonts w:cs="Calibri"/>
          <w:noProof/>
        </w:rPr>
        <w:t>19(4): 478-502.</w:t>
      </w:r>
    </w:p>
    <w:p w:rsidR="000E5275" w:rsidRPr="00F81977" w:rsidRDefault="000264BA" w:rsidP="000E5275">
      <w:pPr>
        <w:spacing w:line="240" w:lineRule="auto"/>
      </w:pPr>
      <w:r w:rsidRPr="00F81977">
        <w:t>Brandes, Leif, Egon Franck, and Stephan Nüesch. 2008. Local Heroes and Superstars</w:t>
      </w:r>
      <w:r w:rsidR="000E5275" w:rsidRPr="00F81977">
        <w:t xml:space="preserve">: </w:t>
      </w:r>
      <w:r w:rsidRPr="00F81977">
        <w:t xml:space="preserve"> An Empirical Analysis of Star Attraction in German Soccer. </w:t>
      </w:r>
      <w:r w:rsidRPr="00BA7C1F">
        <w:rPr>
          <w:i/>
        </w:rPr>
        <w:t>Journal of Sports Economics</w:t>
      </w:r>
      <w:r w:rsidR="00165E35" w:rsidRPr="00F81977">
        <w:t xml:space="preserve"> 9(3):</w:t>
      </w:r>
      <w:r w:rsidRPr="00F81977">
        <w:t xml:space="preserve"> 266-286.</w:t>
      </w:r>
    </w:p>
    <w:p w:rsidR="000E5275" w:rsidRPr="00F81977" w:rsidRDefault="000264BA" w:rsidP="000E5275">
      <w:pPr>
        <w:spacing w:line="240" w:lineRule="auto"/>
        <w:rPr>
          <w:rFonts w:cs="Calibri"/>
          <w:noProof/>
        </w:rPr>
      </w:pPr>
      <w:r w:rsidRPr="00F81977">
        <w:rPr>
          <w:rFonts w:cs="Calibri"/>
          <w:noProof/>
        </w:rPr>
        <w:t xml:space="preserve">Buraimo, Babatunde. 2012. Attendance and broadcast demand for professional team sports: the case of English league football, in Robinson, </w:t>
      </w:r>
      <w:r w:rsidR="006E3CF0" w:rsidRPr="006E3CF0">
        <w:rPr>
          <w:rFonts w:cs="Calibri"/>
          <w:noProof/>
        </w:rPr>
        <w:t>Leigh</w:t>
      </w:r>
      <w:r w:rsidRPr="00F81977">
        <w:rPr>
          <w:rFonts w:cs="Calibri"/>
          <w:noProof/>
        </w:rPr>
        <w:t xml:space="preserve">, </w:t>
      </w:r>
      <w:r w:rsidR="006E3CF0" w:rsidRPr="006E3CF0">
        <w:rPr>
          <w:rFonts w:cs="Calibri"/>
          <w:noProof/>
        </w:rPr>
        <w:t>Guillaume Bodet</w:t>
      </w:r>
      <w:r w:rsidRPr="00F81977">
        <w:rPr>
          <w:rFonts w:cs="Calibri"/>
          <w:noProof/>
        </w:rPr>
        <w:t xml:space="preserve">, </w:t>
      </w:r>
      <w:r w:rsidR="006E3CF0" w:rsidRPr="006E3CF0">
        <w:rPr>
          <w:rFonts w:cs="Calibri"/>
          <w:noProof/>
        </w:rPr>
        <w:t xml:space="preserve">Packianathan Chelladurai </w:t>
      </w:r>
      <w:r w:rsidRPr="00F81977">
        <w:rPr>
          <w:rFonts w:cs="Calibri"/>
          <w:noProof/>
        </w:rPr>
        <w:t xml:space="preserve">and </w:t>
      </w:r>
      <w:r w:rsidR="006E3CF0" w:rsidRPr="006E3CF0">
        <w:rPr>
          <w:rFonts w:cs="Calibri"/>
          <w:noProof/>
        </w:rPr>
        <w:t xml:space="preserve">Paul Downward </w:t>
      </w:r>
      <w:r w:rsidR="006E3CF0">
        <w:rPr>
          <w:rFonts w:cs="Calibri"/>
          <w:noProof/>
        </w:rPr>
        <w:t>(</w:t>
      </w:r>
      <w:r w:rsidR="000E5275" w:rsidRPr="00F81977">
        <w:rPr>
          <w:rFonts w:cs="Calibri"/>
          <w:noProof/>
        </w:rPr>
        <w:t>Eds.).</w:t>
      </w:r>
      <w:r w:rsidRPr="00F81977">
        <w:rPr>
          <w:rFonts w:cs="Calibri"/>
          <w:noProof/>
        </w:rPr>
        <w:t xml:space="preserve"> </w:t>
      </w:r>
      <w:r w:rsidRPr="00BA7C1F">
        <w:rPr>
          <w:rFonts w:cs="Calibri"/>
          <w:i/>
          <w:noProof/>
        </w:rPr>
        <w:t>Routledge Handbook of Sport Management</w:t>
      </w:r>
      <w:r w:rsidRPr="00F81977">
        <w:rPr>
          <w:rFonts w:cs="Calibri"/>
          <w:noProof/>
        </w:rPr>
        <w:t xml:space="preserve"> 405-418, Routledge.</w:t>
      </w:r>
    </w:p>
    <w:p w:rsidR="000E5275" w:rsidRPr="00F81977" w:rsidRDefault="000264BA" w:rsidP="000E5275">
      <w:pPr>
        <w:spacing w:line="240" w:lineRule="auto"/>
        <w:rPr>
          <w:rFonts w:cs="Calibri"/>
          <w:noProof/>
        </w:rPr>
      </w:pPr>
      <w:r w:rsidRPr="00F81977">
        <w:rPr>
          <w:rFonts w:cs="Calibri"/>
          <w:noProof/>
        </w:rPr>
        <w:t>Buraimo, Babatunde. 2008. Stadium Attendance and Television Audience De</w:t>
      </w:r>
      <w:r w:rsidR="000E5275" w:rsidRPr="00F81977">
        <w:rPr>
          <w:rFonts w:cs="Calibri"/>
          <w:noProof/>
        </w:rPr>
        <w:t>mand in English League Football.</w:t>
      </w:r>
      <w:r w:rsidRPr="00F81977">
        <w:rPr>
          <w:rFonts w:cs="Calibri"/>
          <w:noProof/>
        </w:rPr>
        <w:t xml:space="preserve"> </w:t>
      </w:r>
      <w:r w:rsidRPr="00BA7C1F">
        <w:rPr>
          <w:rFonts w:cs="Calibri"/>
          <w:i/>
          <w:noProof/>
        </w:rPr>
        <w:t>Ma</w:t>
      </w:r>
      <w:r w:rsidR="00F416BC" w:rsidRPr="00BA7C1F">
        <w:rPr>
          <w:rFonts w:cs="Calibri"/>
          <w:i/>
          <w:noProof/>
        </w:rPr>
        <w:t>nagerial and Decision Economics</w:t>
      </w:r>
      <w:r w:rsidRPr="00BA7C1F">
        <w:rPr>
          <w:rFonts w:cs="Calibri"/>
          <w:i/>
          <w:noProof/>
        </w:rPr>
        <w:t xml:space="preserve"> </w:t>
      </w:r>
      <w:r w:rsidRPr="00F81977">
        <w:rPr>
          <w:rFonts w:cs="Calibri"/>
          <w:noProof/>
        </w:rPr>
        <w:t>29(6): 513-523.</w:t>
      </w:r>
    </w:p>
    <w:p w:rsidR="000E5275" w:rsidRPr="00F81977" w:rsidRDefault="000264BA" w:rsidP="000E5275">
      <w:pPr>
        <w:spacing w:line="240" w:lineRule="auto"/>
        <w:rPr>
          <w:rFonts w:cs="Calibri"/>
          <w:noProof/>
        </w:rPr>
      </w:pPr>
      <w:r w:rsidRPr="00F81977">
        <w:t xml:space="preserve">Buraimo, Babatunde, Juan Luis Paramio, and Carlos Campos. 2010. The impact of televised football on stadium attendances in English and Spanish league football. </w:t>
      </w:r>
      <w:r w:rsidRPr="00BA7C1F">
        <w:rPr>
          <w:i/>
        </w:rPr>
        <w:t>Soccer &amp; Society</w:t>
      </w:r>
      <w:r w:rsidRPr="00F81977">
        <w:t xml:space="preserve"> 11(4): 461-474.</w:t>
      </w:r>
      <w:r w:rsidRPr="00F81977">
        <w:rPr>
          <w:rFonts w:cs="Calibri"/>
          <w:noProof/>
        </w:rPr>
        <w:t xml:space="preserve"> </w:t>
      </w:r>
    </w:p>
    <w:p w:rsidR="000E5275" w:rsidRPr="00F81977" w:rsidRDefault="000264BA" w:rsidP="000E5275">
      <w:pPr>
        <w:spacing w:line="240" w:lineRule="auto"/>
        <w:rPr>
          <w:rFonts w:cs="Calibri"/>
          <w:noProof/>
        </w:rPr>
      </w:pPr>
      <w:r w:rsidRPr="00F81977">
        <w:rPr>
          <w:rFonts w:cs="Calibri"/>
          <w:noProof/>
        </w:rPr>
        <w:t xml:space="preserve">Buraimo, Babatunde, and Rob Simmons. 2009. A Tale of Two Audiences: Spectators, Television Viewers and Outcome Uncertainty in Spanish Football, </w:t>
      </w:r>
      <w:r w:rsidRPr="00BA7C1F">
        <w:rPr>
          <w:rFonts w:cs="Calibri"/>
          <w:i/>
          <w:noProof/>
        </w:rPr>
        <w:t>Jo</w:t>
      </w:r>
      <w:r w:rsidR="00F416BC" w:rsidRPr="00BA7C1F">
        <w:rPr>
          <w:rFonts w:cs="Calibri"/>
          <w:i/>
          <w:noProof/>
        </w:rPr>
        <w:t>urnal of Economics and Business</w:t>
      </w:r>
      <w:r w:rsidRPr="00F81977">
        <w:rPr>
          <w:rFonts w:cs="Calibri"/>
          <w:noProof/>
        </w:rPr>
        <w:t xml:space="preserve"> 61(4): 326-338.</w:t>
      </w:r>
    </w:p>
    <w:p w:rsidR="000E5275" w:rsidRPr="00F81977" w:rsidRDefault="000264BA" w:rsidP="000E5275">
      <w:pPr>
        <w:spacing w:line="240" w:lineRule="auto"/>
        <w:rPr>
          <w:rFonts w:cs="Calibri"/>
          <w:noProof/>
        </w:rPr>
      </w:pPr>
      <w:r w:rsidRPr="00F81977">
        <w:rPr>
          <w:rFonts w:cs="Calibri"/>
          <w:noProof/>
        </w:rPr>
        <w:t xml:space="preserve">Buraimo, Babatunde, and Rob Simmons. 2008. Do Sports Fans Really Value Uncertainty of Outcome: Evidence From the English Premier League, </w:t>
      </w:r>
      <w:r w:rsidRPr="00BA7C1F">
        <w:rPr>
          <w:rFonts w:cs="Calibri"/>
          <w:i/>
          <w:noProof/>
        </w:rPr>
        <w:t>International Journal of Sport Finance</w:t>
      </w:r>
      <w:r w:rsidRPr="00F81977">
        <w:rPr>
          <w:rFonts w:cs="Calibri"/>
          <w:noProof/>
        </w:rPr>
        <w:t xml:space="preserve"> 3(3): 146-155.</w:t>
      </w:r>
    </w:p>
    <w:p w:rsidR="00445A86" w:rsidRPr="00F81977" w:rsidRDefault="00445A86" w:rsidP="00445A86">
      <w:pPr>
        <w:spacing w:line="240" w:lineRule="auto"/>
        <w:rPr>
          <w:rFonts w:cs="Calibri"/>
          <w:noProof/>
        </w:rPr>
      </w:pPr>
      <w:r w:rsidRPr="00F81977">
        <w:rPr>
          <w:rFonts w:cs="Calibri"/>
          <w:noProof/>
        </w:rPr>
        <w:t xml:space="preserve">Buraimo, Babatunde, David Forrest, and Rob Simmons. 2007. Outcome Uncertainty Measures: How Closely Do They Predict a Close Game?, in Albert, Jim, and Ruud Koning. (Eds.), </w:t>
      </w:r>
      <w:r w:rsidRPr="00BA7C1F">
        <w:rPr>
          <w:rFonts w:cs="Calibri"/>
          <w:i/>
          <w:noProof/>
        </w:rPr>
        <w:t>Statistical Thinking in Sports</w:t>
      </w:r>
      <w:r w:rsidRPr="00F81977">
        <w:rPr>
          <w:rFonts w:cs="Calibri"/>
          <w:noProof/>
        </w:rPr>
        <w:t>, 167-178, London: Chapman &amp; Hall/CRC.</w:t>
      </w:r>
    </w:p>
    <w:p w:rsidR="00445A86" w:rsidRPr="00F81977" w:rsidRDefault="00445A86" w:rsidP="00445A86">
      <w:pPr>
        <w:spacing w:line="240" w:lineRule="auto"/>
        <w:rPr>
          <w:rFonts w:cs="Calibri"/>
          <w:noProof/>
        </w:rPr>
      </w:pPr>
      <w:r w:rsidRPr="00F81977">
        <w:rPr>
          <w:rFonts w:cs="Calibri"/>
          <w:noProof/>
        </w:rPr>
        <w:lastRenderedPageBreak/>
        <w:t>Cave, Martin, and Robert W. Crandall. 2001. Sports Rights and the Broadcasting</w:t>
      </w:r>
      <w:r w:rsidR="00BA7C1F">
        <w:rPr>
          <w:rFonts w:cs="Calibri"/>
          <w:noProof/>
        </w:rPr>
        <w:t xml:space="preserve"> Industry, </w:t>
      </w:r>
      <w:r w:rsidR="00F416BC" w:rsidRPr="00BA7C1F">
        <w:rPr>
          <w:rFonts w:cs="Calibri"/>
          <w:i/>
          <w:noProof/>
        </w:rPr>
        <w:t>Economic Journal</w:t>
      </w:r>
      <w:r w:rsidRPr="00F81977">
        <w:rPr>
          <w:rFonts w:cs="Calibri"/>
          <w:noProof/>
        </w:rPr>
        <w:t xml:space="preserve"> 111: F4-F26.</w:t>
      </w:r>
    </w:p>
    <w:p w:rsidR="00445A86" w:rsidRPr="00F81977" w:rsidRDefault="00445A86" w:rsidP="00445A86">
      <w:pPr>
        <w:spacing w:line="240" w:lineRule="auto"/>
        <w:rPr>
          <w:rFonts w:cs="Calibri"/>
          <w:noProof/>
        </w:rPr>
      </w:pPr>
      <w:r w:rsidRPr="00F81977">
        <w:rPr>
          <w:rFonts w:cs="Calibri"/>
          <w:noProof/>
        </w:rPr>
        <w:t xml:space="preserve">Coates, Dennis, Bernd Frick, and Todd Jewell. 2014. Superstar Salaries and Soccer Success The Impact of Designated Players in Major League Soccer. </w:t>
      </w:r>
      <w:r w:rsidRPr="00BA7C1F">
        <w:rPr>
          <w:rFonts w:cs="Calibri"/>
          <w:i/>
          <w:noProof/>
        </w:rPr>
        <w:t>Journal of Sports Economics</w:t>
      </w:r>
      <w:r w:rsidRPr="00F81977">
        <w:rPr>
          <w:rFonts w:cs="Calibri"/>
          <w:noProof/>
        </w:rPr>
        <w:t xml:space="preserve"> (forthcoming).</w:t>
      </w:r>
    </w:p>
    <w:p w:rsidR="00445A86" w:rsidRPr="00F81977" w:rsidRDefault="00445A86" w:rsidP="00445A86">
      <w:pPr>
        <w:spacing w:line="240" w:lineRule="auto"/>
        <w:rPr>
          <w:rFonts w:cs="Calibri"/>
          <w:noProof/>
        </w:rPr>
      </w:pPr>
      <w:r w:rsidRPr="00F81977">
        <w:rPr>
          <w:rFonts w:cs="Calibri"/>
          <w:noProof/>
        </w:rPr>
        <w:t xml:space="preserve">Cox, Adam. 2012. Live Broadcasting, Gate Revenue, and Football Club Performance: Some Evidence, </w:t>
      </w:r>
      <w:r w:rsidRPr="00BA7C1F">
        <w:rPr>
          <w:rFonts w:cs="Calibri"/>
          <w:i/>
          <w:noProof/>
        </w:rPr>
        <w:t>International Journ</w:t>
      </w:r>
      <w:r w:rsidR="00F416BC" w:rsidRPr="00BA7C1F">
        <w:rPr>
          <w:rFonts w:cs="Calibri"/>
          <w:i/>
          <w:noProof/>
        </w:rPr>
        <w:t>al of the Economics of Business</w:t>
      </w:r>
      <w:r w:rsidRPr="00F81977">
        <w:rPr>
          <w:rFonts w:cs="Calibri"/>
          <w:noProof/>
        </w:rPr>
        <w:t xml:space="preserve"> 19(1): 75-98.</w:t>
      </w:r>
    </w:p>
    <w:p w:rsidR="00445A86" w:rsidRPr="00F81977" w:rsidRDefault="00445A86" w:rsidP="00445A86">
      <w:pPr>
        <w:spacing w:line="240" w:lineRule="auto"/>
        <w:rPr>
          <w:rFonts w:cs="Calibri"/>
          <w:noProof/>
        </w:rPr>
      </w:pPr>
      <w:r w:rsidRPr="00F81977">
        <w:rPr>
          <w:rFonts w:cs="Calibri"/>
          <w:noProof/>
        </w:rPr>
        <w:t xml:space="preserve">Czarnitzki, Dirk, and Georg Stadtmann. 2002. Uncertainty of Outcome Versus Reputation: Empricial Evidence for the First German Football Division, </w:t>
      </w:r>
      <w:r w:rsidRPr="00BA7C1F">
        <w:rPr>
          <w:rFonts w:cs="Calibri"/>
          <w:i/>
          <w:noProof/>
        </w:rPr>
        <w:t>Empirical Economics</w:t>
      </w:r>
      <w:r w:rsidRPr="00F81977">
        <w:rPr>
          <w:rFonts w:cs="Calibri"/>
          <w:noProof/>
        </w:rPr>
        <w:t xml:space="preserve"> 27(1): 101-112.</w:t>
      </w:r>
    </w:p>
    <w:p w:rsidR="00445A86" w:rsidRPr="00F81977" w:rsidRDefault="00445A86" w:rsidP="00445A86">
      <w:pPr>
        <w:spacing w:line="240" w:lineRule="auto"/>
        <w:rPr>
          <w:rFonts w:cs="Calibri"/>
          <w:noProof/>
        </w:rPr>
      </w:pPr>
      <w:r w:rsidRPr="00F81977">
        <w:rPr>
          <w:rFonts w:cs="Calibri"/>
          <w:noProof/>
        </w:rPr>
        <w:t xml:space="preserve">Deloitte. Various years. </w:t>
      </w:r>
      <w:r w:rsidRPr="00BA7C1F">
        <w:rPr>
          <w:rFonts w:cs="Calibri"/>
          <w:i/>
          <w:noProof/>
        </w:rPr>
        <w:t>Annual Review of Football Finance</w:t>
      </w:r>
      <w:r w:rsidRPr="00F81977">
        <w:rPr>
          <w:rFonts w:cs="Calibri"/>
          <w:noProof/>
        </w:rPr>
        <w:t>, Manchester: Deloitte</w:t>
      </w:r>
    </w:p>
    <w:p w:rsidR="00445A86" w:rsidRPr="00F81977" w:rsidRDefault="00445A86" w:rsidP="00445A86">
      <w:pPr>
        <w:spacing w:line="240" w:lineRule="auto"/>
        <w:rPr>
          <w:rFonts w:cs="Calibri"/>
          <w:noProof/>
        </w:rPr>
      </w:pPr>
      <w:r w:rsidRPr="00F81977">
        <w:rPr>
          <w:rFonts w:cs="Calibri"/>
          <w:noProof/>
        </w:rPr>
        <w:t xml:space="preserve">Dobson, Stephen, and John Goddard. 2011. </w:t>
      </w:r>
      <w:r w:rsidRPr="00BA7C1F">
        <w:rPr>
          <w:rFonts w:cs="Calibri"/>
          <w:i/>
          <w:noProof/>
        </w:rPr>
        <w:t>The Economics of Football</w:t>
      </w:r>
      <w:r w:rsidR="00621B13">
        <w:rPr>
          <w:rFonts w:cs="Calibri"/>
          <w:noProof/>
        </w:rPr>
        <w:t>, 2</w:t>
      </w:r>
      <w:r w:rsidR="00621B13" w:rsidRPr="00621B13">
        <w:rPr>
          <w:rFonts w:cs="Calibri"/>
          <w:noProof/>
          <w:vertAlign w:val="superscript"/>
        </w:rPr>
        <w:t>nd</w:t>
      </w:r>
      <w:r w:rsidR="00621B13">
        <w:rPr>
          <w:rFonts w:cs="Calibri"/>
          <w:noProof/>
        </w:rPr>
        <w:t>. ed</w:t>
      </w:r>
      <w:r w:rsidRPr="00F81977">
        <w:rPr>
          <w:rFonts w:cs="Calibri"/>
          <w:noProof/>
        </w:rPr>
        <w:t>. Cambridge: Cambridge University Press.</w:t>
      </w:r>
    </w:p>
    <w:p w:rsidR="00445A86" w:rsidRPr="00F81977" w:rsidRDefault="00445A86" w:rsidP="00445A86">
      <w:pPr>
        <w:spacing w:line="240" w:lineRule="auto"/>
        <w:rPr>
          <w:rFonts w:cs="Calibri"/>
          <w:noProof/>
        </w:rPr>
      </w:pPr>
      <w:r w:rsidRPr="00F81977">
        <w:rPr>
          <w:rFonts w:cs="Calibri"/>
          <w:noProof/>
        </w:rPr>
        <w:t>Forrest, David, and Rob Simmons. 2006. New Issues in Attendance Demand The Case of the English Football Leag</w:t>
      </w:r>
      <w:r w:rsidR="00F81977" w:rsidRPr="00F81977">
        <w:rPr>
          <w:rFonts w:cs="Calibri"/>
          <w:noProof/>
        </w:rPr>
        <w:t xml:space="preserve">ue. </w:t>
      </w:r>
      <w:r w:rsidR="00F81977" w:rsidRPr="00BA7C1F">
        <w:rPr>
          <w:rFonts w:cs="Calibri"/>
          <w:i/>
          <w:noProof/>
        </w:rPr>
        <w:t>Journal of Sports Economics</w:t>
      </w:r>
      <w:r w:rsidRPr="00F81977">
        <w:rPr>
          <w:rFonts w:cs="Calibri"/>
          <w:noProof/>
        </w:rPr>
        <w:t xml:space="preserve"> 7(3): 247-266.</w:t>
      </w:r>
    </w:p>
    <w:p w:rsidR="00445A86" w:rsidRDefault="00445A86" w:rsidP="00445A86">
      <w:pPr>
        <w:spacing w:line="240" w:lineRule="auto"/>
        <w:rPr>
          <w:rFonts w:cs="Calibri"/>
          <w:noProof/>
        </w:rPr>
      </w:pPr>
      <w:r w:rsidRPr="00F81977">
        <w:rPr>
          <w:rFonts w:cs="Calibri"/>
          <w:noProof/>
        </w:rPr>
        <w:t xml:space="preserve">Forrest, David, Robert Simmons, and Babatunde Buraimo. 2005. Outcome Uncertainty and the Couch Potato Audience, </w:t>
      </w:r>
      <w:r w:rsidRPr="00BA7C1F">
        <w:rPr>
          <w:rFonts w:cs="Calibri"/>
          <w:i/>
          <w:noProof/>
        </w:rPr>
        <w:t xml:space="preserve">Scottish Journal of </w:t>
      </w:r>
      <w:r w:rsidR="00F81977" w:rsidRPr="00BA7C1F">
        <w:rPr>
          <w:rFonts w:cs="Calibri"/>
          <w:i/>
          <w:noProof/>
        </w:rPr>
        <w:t>Political Economy</w:t>
      </w:r>
      <w:r w:rsidRPr="00F81977">
        <w:rPr>
          <w:rFonts w:cs="Calibri"/>
          <w:noProof/>
        </w:rPr>
        <w:t xml:space="preserve"> 52(4): 641-661.</w:t>
      </w:r>
    </w:p>
    <w:p w:rsidR="00BA7C1F" w:rsidRPr="00F81977" w:rsidRDefault="00BA7C1F" w:rsidP="00445A86">
      <w:pPr>
        <w:spacing w:line="240" w:lineRule="auto"/>
        <w:rPr>
          <w:rFonts w:cs="Calibri"/>
          <w:noProof/>
        </w:rPr>
      </w:pPr>
      <w:r>
        <w:rPr>
          <w:rFonts w:cs="Calibri"/>
          <w:noProof/>
        </w:rPr>
        <w:t xml:space="preserve">Franck, Egon. 2014. Financial Fair Play in European Club Football: What Is It All About? </w:t>
      </w:r>
      <w:r w:rsidRPr="00BA7C1F">
        <w:rPr>
          <w:rFonts w:cs="Calibri"/>
          <w:i/>
          <w:noProof/>
        </w:rPr>
        <w:t>International Journal of Sport Finance</w:t>
      </w:r>
      <w:r>
        <w:rPr>
          <w:rFonts w:cs="Calibri"/>
          <w:noProof/>
        </w:rPr>
        <w:t xml:space="preserve"> 9(3): 193-217.</w:t>
      </w:r>
    </w:p>
    <w:p w:rsidR="00445A86" w:rsidRPr="00F81977" w:rsidRDefault="00445A86" w:rsidP="00445A86">
      <w:pPr>
        <w:spacing w:line="240" w:lineRule="auto"/>
        <w:rPr>
          <w:rFonts w:cs="Calibri"/>
          <w:noProof/>
        </w:rPr>
      </w:pPr>
      <w:r w:rsidRPr="00F81977">
        <w:rPr>
          <w:rFonts w:cs="Calibri"/>
          <w:noProof/>
        </w:rPr>
        <w:t xml:space="preserve">Goddard, John, and Ioannis Asimakopoulos. 2004. Forecasting Football Results and the Efficiency of Fixed-Odds </w:t>
      </w:r>
      <w:r w:rsidR="00F81977" w:rsidRPr="00F81977">
        <w:rPr>
          <w:rFonts w:cs="Calibri"/>
          <w:noProof/>
        </w:rPr>
        <w:t xml:space="preserve">Betting, </w:t>
      </w:r>
      <w:r w:rsidR="00F81977" w:rsidRPr="00C878A4">
        <w:rPr>
          <w:rFonts w:cs="Calibri"/>
          <w:i/>
          <w:noProof/>
        </w:rPr>
        <w:t>Journal of Forecasting</w:t>
      </w:r>
      <w:r w:rsidRPr="00F81977">
        <w:rPr>
          <w:rFonts w:cs="Calibri"/>
          <w:noProof/>
        </w:rPr>
        <w:t xml:space="preserve"> 23: 51-66.</w:t>
      </w:r>
    </w:p>
    <w:p w:rsidR="00445A86" w:rsidRPr="00F81977" w:rsidRDefault="00445A86" w:rsidP="00445A86">
      <w:pPr>
        <w:spacing w:line="240" w:lineRule="auto"/>
        <w:rPr>
          <w:rFonts w:cs="Calibri"/>
          <w:noProof/>
        </w:rPr>
      </w:pPr>
      <w:r w:rsidRPr="00F81977">
        <w:rPr>
          <w:rFonts w:cs="Calibri"/>
          <w:noProof/>
        </w:rPr>
        <w:t>Hall, Stephen, Stefan Szymanski, and Andrew S. Zimbalist. 2002. Testing causality between team performance and payroll the cases of major league baseball and English socc</w:t>
      </w:r>
      <w:r w:rsidR="00F81977" w:rsidRPr="00F81977">
        <w:rPr>
          <w:rFonts w:cs="Calibri"/>
          <w:noProof/>
        </w:rPr>
        <w:t xml:space="preserve">er. </w:t>
      </w:r>
      <w:r w:rsidR="00F81977" w:rsidRPr="00C878A4">
        <w:rPr>
          <w:rFonts w:cs="Calibri"/>
          <w:i/>
          <w:noProof/>
        </w:rPr>
        <w:t>Journal of Sports Economics</w:t>
      </w:r>
      <w:r w:rsidRPr="00F81977">
        <w:rPr>
          <w:rFonts w:cs="Calibri"/>
          <w:noProof/>
        </w:rPr>
        <w:t xml:space="preserve"> 3(2): 149-168.</w:t>
      </w:r>
    </w:p>
    <w:p w:rsidR="00445A86" w:rsidRPr="00F81977" w:rsidRDefault="00445A86" w:rsidP="00445A86">
      <w:pPr>
        <w:spacing w:line="240" w:lineRule="auto"/>
        <w:rPr>
          <w:rFonts w:cs="Calibri"/>
          <w:noProof/>
        </w:rPr>
      </w:pPr>
      <w:r w:rsidRPr="00F81977">
        <w:rPr>
          <w:rFonts w:cs="Calibri"/>
          <w:noProof/>
        </w:rPr>
        <w:t xml:space="preserve">Harbord, David, and Stefan Szymanski. 2004. Football trials, </w:t>
      </w:r>
      <w:r w:rsidR="00F81977" w:rsidRPr="00C878A4">
        <w:rPr>
          <w:rFonts w:cs="Calibri"/>
          <w:i/>
          <w:noProof/>
        </w:rPr>
        <w:t>European Competition Law Review</w:t>
      </w:r>
      <w:r w:rsidRPr="00F81977">
        <w:rPr>
          <w:rFonts w:cs="Calibri"/>
          <w:noProof/>
        </w:rPr>
        <w:t xml:space="preserve"> 25(2): 117-121. </w:t>
      </w:r>
    </w:p>
    <w:p w:rsidR="00445A86" w:rsidRPr="00F81977" w:rsidRDefault="00445A86" w:rsidP="00445A86">
      <w:pPr>
        <w:spacing w:line="240" w:lineRule="auto"/>
        <w:rPr>
          <w:rFonts w:cs="Calibri"/>
          <w:noProof/>
        </w:rPr>
      </w:pPr>
      <w:r w:rsidRPr="00F81977">
        <w:rPr>
          <w:rFonts w:cs="Calibri"/>
          <w:noProof/>
        </w:rPr>
        <w:t>Hughson, John. 2013. Watching the Football with Raymond Wiliams: A Reconsideration of the Gl</w:t>
      </w:r>
      <w:r w:rsidR="00380704">
        <w:rPr>
          <w:rFonts w:cs="Calibri"/>
          <w:noProof/>
        </w:rPr>
        <w:t xml:space="preserve">obal Game as a Wonderful Game. </w:t>
      </w:r>
      <w:r w:rsidRPr="00F81977">
        <w:rPr>
          <w:rFonts w:cs="Calibri"/>
          <w:noProof/>
        </w:rPr>
        <w:t xml:space="preserve">In Scherer, Jay, and David Rowe. (Eds), Sport, </w:t>
      </w:r>
      <w:r w:rsidRPr="00C878A4">
        <w:rPr>
          <w:rFonts w:cs="Calibri"/>
          <w:i/>
          <w:noProof/>
        </w:rPr>
        <w:t>Public Broadcasting, and Cultural Citizenship: Signal Lost?</w:t>
      </w:r>
      <w:r w:rsidRPr="00F81977">
        <w:rPr>
          <w:rFonts w:cs="Calibri"/>
          <w:noProof/>
        </w:rPr>
        <w:t xml:space="preserve"> 283-299.</w:t>
      </w:r>
    </w:p>
    <w:p w:rsidR="00445A86" w:rsidRPr="00F81977" w:rsidRDefault="00445A86" w:rsidP="00445A86">
      <w:pPr>
        <w:spacing w:line="240" w:lineRule="auto"/>
        <w:rPr>
          <w:rFonts w:cs="Calibri"/>
          <w:noProof/>
        </w:rPr>
      </w:pPr>
      <w:r w:rsidRPr="00F81977">
        <w:rPr>
          <w:rFonts w:cs="Calibri"/>
          <w:noProof/>
        </w:rPr>
        <w:t xml:space="preserve">Jennett, Nicholas. 1984. Attendances, Uncertainty of Outcome and Policy in Scottish League Football. </w:t>
      </w:r>
      <w:r w:rsidRPr="00C878A4">
        <w:rPr>
          <w:rFonts w:cs="Calibri"/>
          <w:i/>
          <w:noProof/>
        </w:rPr>
        <w:t>Scotti</w:t>
      </w:r>
      <w:r w:rsidR="00F81977" w:rsidRPr="00C878A4">
        <w:rPr>
          <w:rFonts w:cs="Calibri"/>
          <w:i/>
          <w:noProof/>
        </w:rPr>
        <w:t>sh Journal of Political Economy</w:t>
      </w:r>
      <w:r w:rsidRPr="00F81977">
        <w:rPr>
          <w:rFonts w:cs="Calibri"/>
          <w:noProof/>
        </w:rPr>
        <w:t xml:space="preserve"> 31(2): 176-198.</w:t>
      </w:r>
    </w:p>
    <w:p w:rsidR="00445A86" w:rsidRPr="00F81977" w:rsidRDefault="00445A86" w:rsidP="00445A86">
      <w:pPr>
        <w:spacing w:line="240" w:lineRule="auto"/>
        <w:rPr>
          <w:rFonts w:cs="Calibri"/>
          <w:noProof/>
        </w:rPr>
      </w:pPr>
      <w:r w:rsidRPr="00F81977">
        <w:rPr>
          <w:rFonts w:cs="Calibri"/>
          <w:noProof/>
        </w:rPr>
        <w:t>Knowles, Glenn, Keith Sherony, and Mike Haupert. 1992. The Demand for Major League Baseball: A Test of the Uncertainty of Outcome Hyp</w:t>
      </w:r>
      <w:r w:rsidR="00F81977" w:rsidRPr="00F81977">
        <w:rPr>
          <w:rFonts w:cs="Calibri"/>
          <w:noProof/>
        </w:rPr>
        <w:t xml:space="preserve">othesis, </w:t>
      </w:r>
      <w:r w:rsidR="00F81977" w:rsidRPr="00C878A4">
        <w:rPr>
          <w:rFonts w:cs="Calibri"/>
          <w:i/>
          <w:noProof/>
        </w:rPr>
        <w:t>The American Economist</w:t>
      </w:r>
      <w:r w:rsidRPr="00F81977">
        <w:rPr>
          <w:rFonts w:cs="Calibri"/>
          <w:noProof/>
        </w:rPr>
        <w:t xml:space="preserve"> 36(2): 72-80.</w:t>
      </w:r>
    </w:p>
    <w:p w:rsidR="00445A86" w:rsidRPr="00F81977" w:rsidRDefault="00445A86" w:rsidP="00445A86">
      <w:pPr>
        <w:spacing w:line="240" w:lineRule="auto"/>
        <w:rPr>
          <w:rFonts w:cs="Calibri"/>
          <w:noProof/>
        </w:rPr>
      </w:pPr>
      <w:r w:rsidRPr="00F81977">
        <w:rPr>
          <w:rFonts w:cs="Calibri"/>
          <w:noProof/>
        </w:rPr>
        <w:t xml:space="preserve">Lee, Young Hoon, and Rodney Fort. 2008. Attendance and the Uncertainty-of-Outcome Hypothesis in Baseball, </w:t>
      </w:r>
      <w:r w:rsidRPr="00C878A4">
        <w:rPr>
          <w:rFonts w:cs="Calibri"/>
          <w:i/>
          <w:noProof/>
        </w:rPr>
        <w:t>Re</w:t>
      </w:r>
      <w:r w:rsidR="00F81977" w:rsidRPr="00C878A4">
        <w:rPr>
          <w:rFonts w:cs="Calibri"/>
          <w:i/>
          <w:noProof/>
        </w:rPr>
        <w:t>view of Industrial Organization</w:t>
      </w:r>
      <w:r w:rsidRPr="00F81977">
        <w:rPr>
          <w:rFonts w:cs="Calibri"/>
          <w:noProof/>
        </w:rPr>
        <w:t xml:space="preserve"> 33(4): 281-295.</w:t>
      </w:r>
    </w:p>
    <w:p w:rsidR="00445A86" w:rsidRPr="00F81977" w:rsidRDefault="00445A86" w:rsidP="00445A86">
      <w:pPr>
        <w:spacing w:line="240" w:lineRule="auto"/>
        <w:rPr>
          <w:rFonts w:cs="Calibri"/>
          <w:noProof/>
        </w:rPr>
      </w:pPr>
      <w:r w:rsidRPr="00F81977">
        <w:rPr>
          <w:rFonts w:cs="Calibri"/>
          <w:noProof/>
        </w:rPr>
        <w:lastRenderedPageBreak/>
        <w:t>Mills, Brian, and Rodney Fort. 2014. League</w:t>
      </w:r>
      <w:r w:rsidRPr="00F81977">
        <w:rPr>
          <w:rFonts w:ascii="Cambria Math" w:hAnsi="Cambria Math" w:cs="Calibri"/>
          <w:noProof/>
        </w:rPr>
        <w:t>‐</w:t>
      </w:r>
      <w:r w:rsidRPr="00F81977">
        <w:rPr>
          <w:rFonts w:cs="Calibri"/>
          <w:noProof/>
        </w:rPr>
        <w:t>Level Attendance and Outcome Uncertainty in US Pro S</w:t>
      </w:r>
      <w:r w:rsidR="00F81977" w:rsidRPr="00F81977">
        <w:rPr>
          <w:rFonts w:cs="Calibri"/>
          <w:noProof/>
        </w:rPr>
        <w:t xml:space="preserve">ports Leagues. </w:t>
      </w:r>
      <w:r w:rsidR="00F81977" w:rsidRPr="00C878A4">
        <w:rPr>
          <w:rFonts w:cs="Calibri"/>
          <w:i/>
          <w:noProof/>
        </w:rPr>
        <w:t>Economic Inquiry</w:t>
      </w:r>
      <w:r w:rsidRPr="00F81977">
        <w:rPr>
          <w:rFonts w:cs="Calibri"/>
          <w:noProof/>
        </w:rPr>
        <w:t xml:space="preserve"> 52(1), 205-218.</w:t>
      </w:r>
    </w:p>
    <w:p w:rsidR="00445A86" w:rsidRPr="00F81977" w:rsidRDefault="00445A86" w:rsidP="00445A86">
      <w:pPr>
        <w:spacing w:line="240" w:lineRule="auto"/>
        <w:rPr>
          <w:rFonts w:cs="Calibri"/>
          <w:noProof/>
        </w:rPr>
      </w:pPr>
      <w:r w:rsidRPr="00F81977">
        <w:rPr>
          <w:rFonts w:cs="Calibri"/>
          <w:noProof/>
        </w:rPr>
        <w:t>Neale, Walter C. 1964. The Peculiar Econo</w:t>
      </w:r>
      <w:r w:rsidR="00C878A4">
        <w:rPr>
          <w:rFonts w:cs="Calibri"/>
          <w:noProof/>
        </w:rPr>
        <w:t xml:space="preserve">mics of Professional Sports, </w:t>
      </w:r>
      <w:r w:rsidR="00F81977" w:rsidRPr="00C878A4">
        <w:rPr>
          <w:rFonts w:cs="Calibri"/>
          <w:i/>
          <w:noProof/>
        </w:rPr>
        <w:t>Quarterly Journal of Economics</w:t>
      </w:r>
      <w:r w:rsidRPr="00F81977">
        <w:rPr>
          <w:rFonts w:cs="Calibri"/>
          <w:noProof/>
        </w:rPr>
        <w:t xml:space="preserve"> 78(1): 1-14.</w:t>
      </w:r>
    </w:p>
    <w:p w:rsidR="00445A86" w:rsidRPr="00F81977" w:rsidRDefault="00445A86" w:rsidP="00445A86">
      <w:pPr>
        <w:spacing w:line="240" w:lineRule="auto"/>
        <w:rPr>
          <w:rFonts w:cs="Calibri"/>
          <w:noProof/>
        </w:rPr>
      </w:pPr>
      <w:r w:rsidRPr="00F81977">
        <w:rPr>
          <w:rFonts w:cs="Calibri"/>
          <w:noProof/>
        </w:rPr>
        <w:t>Owen, P. Dorian, and Clayton R. Weatherston. 2004a. Uncertainty of Outcome and Super 12 Rugby Union Attendance Application of a General-to-Specific Modeling Strate</w:t>
      </w:r>
      <w:r w:rsidR="00F81977" w:rsidRPr="00F81977">
        <w:rPr>
          <w:rFonts w:cs="Calibri"/>
          <w:noProof/>
        </w:rPr>
        <w:t xml:space="preserve">gy, </w:t>
      </w:r>
      <w:r w:rsidR="00F81977" w:rsidRPr="00C878A4">
        <w:rPr>
          <w:rFonts w:cs="Calibri"/>
          <w:i/>
          <w:noProof/>
        </w:rPr>
        <w:t>Journal of Sports Economics</w:t>
      </w:r>
      <w:r w:rsidRPr="00F81977">
        <w:rPr>
          <w:rFonts w:cs="Calibri"/>
          <w:noProof/>
        </w:rPr>
        <w:t xml:space="preserve"> 5(4): 347-370.</w:t>
      </w:r>
    </w:p>
    <w:p w:rsidR="00445A86" w:rsidRPr="00F81977" w:rsidRDefault="00445A86" w:rsidP="00445A86">
      <w:pPr>
        <w:spacing w:line="240" w:lineRule="auto"/>
        <w:rPr>
          <w:rFonts w:cs="Calibri"/>
          <w:noProof/>
        </w:rPr>
      </w:pPr>
      <w:r w:rsidRPr="00F81977">
        <w:rPr>
          <w:rFonts w:cs="Calibri"/>
          <w:noProof/>
        </w:rPr>
        <w:t xml:space="preserve">Owen, P. Dorian, and Clayton R. Weatherston. 2004b. Uncertainty of Outcome, Player Quality and Attendance at National Provincial Championship Rugby Union Matches: an Evaluation in Light of the Competitions Review, </w:t>
      </w:r>
      <w:r w:rsidRPr="00C878A4">
        <w:rPr>
          <w:rFonts w:cs="Calibri"/>
          <w:i/>
          <w:noProof/>
        </w:rPr>
        <w:t xml:space="preserve">Economic Papers: A Journal </w:t>
      </w:r>
      <w:r w:rsidR="00F81977" w:rsidRPr="00C878A4">
        <w:rPr>
          <w:rFonts w:cs="Calibri"/>
          <w:i/>
          <w:noProof/>
        </w:rPr>
        <w:t>of Applied Economics and Policy</w:t>
      </w:r>
      <w:r w:rsidRPr="00F81977">
        <w:rPr>
          <w:rFonts w:cs="Calibri"/>
          <w:noProof/>
        </w:rPr>
        <w:t xml:space="preserve"> 23(4): 301-324.</w:t>
      </w:r>
    </w:p>
    <w:p w:rsidR="00445A86" w:rsidRPr="00F81977" w:rsidRDefault="00445A86" w:rsidP="00445A86">
      <w:pPr>
        <w:spacing w:line="240" w:lineRule="auto"/>
        <w:rPr>
          <w:rFonts w:cs="Calibri"/>
          <w:noProof/>
        </w:rPr>
      </w:pPr>
      <w:r w:rsidRPr="00F81977">
        <w:rPr>
          <w:rFonts w:cs="Calibri"/>
          <w:noProof/>
        </w:rPr>
        <w:t>Paul, Rodney J., Yoav Wachsman, and Andrew P. Weinbach. 2011. The Role of Uncertainty of Outcome and Scoring in the Determination of Fan Satisfaction in the N</w:t>
      </w:r>
      <w:r w:rsidR="00F81977" w:rsidRPr="00F81977">
        <w:rPr>
          <w:rFonts w:cs="Calibri"/>
          <w:noProof/>
        </w:rPr>
        <w:t xml:space="preserve">FL, </w:t>
      </w:r>
      <w:r w:rsidR="00F81977" w:rsidRPr="00C878A4">
        <w:rPr>
          <w:rFonts w:cs="Calibri"/>
          <w:i/>
          <w:noProof/>
        </w:rPr>
        <w:t>Journal of Sports Economics</w:t>
      </w:r>
      <w:r w:rsidRPr="00F81977">
        <w:rPr>
          <w:rFonts w:cs="Calibri"/>
          <w:noProof/>
        </w:rPr>
        <w:t xml:space="preserve"> 12(2): 213-221.</w:t>
      </w:r>
    </w:p>
    <w:p w:rsidR="00445A86" w:rsidRPr="00F81977" w:rsidRDefault="00445A86" w:rsidP="00445A86">
      <w:pPr>
        <w:spacing w:line="240" w:lineRule="auto"/>
        <w:rPr>
          <w:rFonts w:cs="Calibri"/>
          <w:noProof/>
        </w:rPr>
      </w:pPr>
      <w:r w:rsidRPr="00F81977">
        <w:rPr>
          <w:rFonts w:cs="Calibri"/>
          <w:noProof/>
        </w:rPr>
        <w:t xml:space="preserve">Paul, Rodney, Brad R. Humphreys, and Andrew Weinbach. 2012. Uncertainty of Outcome and Attendance in College Football: Evidence From Four Conferences. </w:t>
      </w:r>
      <w:r w:rsidRPr="00C878A4">
        <w:rPr>
          <w:rFonts w:cs="Calibri"/>
          <w:i/>
          <w:noProof/>
        </w:rPr>
        <w:t>Economic and Labour Relations Review</w:t>
      </w:r>
      <w:r w:rsidRPr="00F81977">
        <w:rPr>
          <w:rFonts w:cs="Calibri"/>
          <w:noProof/>
        </w:rPr>
        <w:t xml:space="preserve"> 23(2): 69.</w:t>
      </w:r>
    </w:p>
    <w:p w:rsidR="00445A86" w:rsidRPr="00F81977" w:rsidRDefault="00445A86" w:rsidP="00445A86">
      <w:pPr>
        <w:spacing w:line="240" w:lineRule="auto"/>
        <w:rPr>
          <w:rFonts w:cs="Calibri"/>
          <w:noProof/>
        </w:rPr>
      </w:pPr>
      <w:r w:rsidRPr="00F81977">
        <w:rPr>
          <w:rFonts w:cs="Calibri"/>
          <w:noProof/>
        </w:rPr>
        <w:t xml:space="preserve">Pawlowski, Tim, and Christoph Anders. 2012. Stadum Attendance in German Professional Football- The (Un)Importance of Uncertainty of Outcome Revisited. </w:t>
      </w:r>
      <w:r w:rsidRPr="00C878A4">
        <w:rPr>
          <w:rFonts w:cs="Calibri"/>
          <w:i/>
          <w:noProof/>
        </w:rPr>
        <w:t xml:space="preserve">Applied Economics Letters </w:t>
      </w:r>
      <w:r w:rsidRPr="00F81977">
        <w:rPr>
          <w:rFonts w:cs="Calibri"/>
          <w:noProof/>
        </w:rPr>
        <w:t>19 (16), 1553-1556.</w:t>
      </w:r>
    </w:p>
    <w:p w:rsidR="00445A86" w:rsidRPr="00F81977" w:rsidRDefault="00445A86" w:rsidP="00445A86">
      <w:pPr>
        <w:spacing w:line="240" w:lineRule="auto"/>
        <w:rPr>
          <w:rFonts w:cs="Calibri"/>
          <w:noProof/>
        </w:rPr>
      </w:pPr>
      <w:r w:rsidRPr="00F81977">
        <w:rPr>
          <w:rFonts w:cs="Calibri"/>
          <w:noProof/>
        </w:rPr>
        <w:t>Pawlowski, Tim. 2013. Testing the Uncertainty of Outcome Hypothesis in European Professional Football:</w:t>
      </w:r>
      <w:r w:rsidR="00165E35" w:rsidRPr="00F81977">
        <w:rPr>
          <w:rFonts w:cs="Calibri"/>
          <w:noProof/>
        </w:rPr>
        <w:t xml:space="preserve"> A Stated Preference Approach. </w:t>
      </w:r>
      <w:r w:rsidRPr="00C878A4">
        <w:rPr>
          <w:rFonts w:cs="Calibri"/>
          <w:i/>
          <w:noProof/>
        </w:rPr>
        <w:t>Journal of Sports Economics</w:t>
      </w:r>
      <w:r w:rsidRPr="00F81977">
        <w:rPr>
          <w:rFonts w:cs="Calibri"/>
          <w:noProof/>
        </w:rPr>
        <w:t xml:space="preserve"> 14(4): 341-367.</w:t>
      </w:r>
    </w:p>
    <w:p w:rsidR="00445A86" w:rsidRPr="00F81977" w:rsidRDefault="00445A86" w:rsidP="00445A86">
      <w:pPr>
        <w:spacing w:line="240" w:lineRule="auto"/>
        <w:rPr>
          <w:rFonts w:cs="Calibri"/>
          <w:noProof/>
        </w:rPr>
      </w:pPr>
      <w:r w:rsidRPr="00F81977">
        <w:rPr>
          <w:rFonts w:cs="Calibri"/>
          <w:noProof/>
        </w:rPr>
        <w:t xml:space="preserve">Peel, David, and Dennis Thomas. 1992. The Demand for Football: Some Evidence on Outcome Uncertainty. </w:t>
      </w:r>
      <w:r w:rsidRPr="00C878A4">
        <w:rPr>
          <w:rFonts w:cs="Calibri"/>
          <w:i/>
          <w:noProof/>
        </w:rPr>
        <w:t>Empirical Economics</w:t>
      </w:r>
      <w:r w:rsidRPr="00F81977">
        <w:rPr>
          <w:rFonts w:cs="Calibri"/>
          <w:noProof/>
        </w:rPr>
        <w:t xml:space="preserve"> 17 (2): 323-331.</w:t>
      </w:r>
    </w:p>
    <w:p w:rsidR="00445A86" w:rsidRPr="00F81977" w:rsidRDefault="00445A86" w:rsidP="00445A86">
      <w:pPr>
        <w:spacing w:line="240" w:lineRule="auto"/>
        <w:rPr>
          <w:rFonts w:cs="Calibri"/>
          <w:noProof/>
        </w:rPr>
      </w:pPr>
      <w:r w:rsidRPr="00F81977">
        <w:rPr>
          <w:rFonts w:cs="Calibri"/>
          <w:noProof/>
        </w:rPr>
        <w:t xml:space="preserve">Peeters, Thomas and Stefan Szymanski. 2014. Financial Fair Play in European Football. </w:t>
      </w:r>
      <w:r w:rsidRPr="00C878A4">
        <w:rPr>
          <w:rFonts w:cs="Calibri"/>
          <w:i/>
          <w:noProof/>
        </w:rPr>
        <w:t>Economic Policy</w:t>
      </w:r>
      <w:r w:rsidRPr="00F81977">
        <w:rPr>
          <w:rFonts w:cs="Calibri"/>
          <w:noProof/>
        </w:rPr>
        <w:t xml:space="preserve"> 29 (78): 343-390.</w:t>
      </w:r>
    </w:p>
    <w:p w:rsidR="00445A86" w:rsidRPr="00F81977" w:rsidRDefault="00445A86" w:rsidP="00445A86">
      <w:pPr>
        <w:spacing w:line="240" w:lineRule="auto"/>
        <w:rPr>
          <w:rFonts w:cs="Calibri"/>
          <w:noProof/>
        </w:rPr>
      </w:pPr>
      <w:r w:rsidRPr="00F81977">
        <w:rPr>
          <w:rFonts w:cs="Calibri"/>
          <w:noProof/>
        </w:rPr>
        <w:t xml:space="preserve">Rascher, Daniel A., and John Paul G. Solmes. 2007. Do Fans Want Close Contests? A Test of the Uncertainty of Outcome Hypothesis in the National Basketball Association, </w:t>
      </w:r>
      <w:r w:rsidRPr="00C878A4">
        <w:rPr>
          <w:rFonts w:cs="Calibri"/>
          <w:i/>
          <w:noProof/>
        </w:rPr>
        <w:t>Interna</w:t>
      </w:r>
      <w:r w:rsidR="00F81977" w:rsidRPr="00C878A4">
        <w:rPr>
          <w:rFonts w:cs="Calibri"/>
          <w:i/>
          <w:noProof/>
        </w:rPr>
        <w:t>tional Journal of Sport Finance</w:t>
      </w:r>
      <w:r w:rsidRPr="00F81977">
        <w:rPr>
          <w:rFonts w:cs="Calibri"/>
          <w:noProof/>
        </w:rPr>
        <w:t xml:space="preserve"> 2(3), 130-141.</w:t>
      </w:r>
    </w:p>
    <w:p w:rsidR="00445A86" w:rsidRPr="00F81977" w:rsidRDefault="00445A86" w:rsidP="00445A86">
      <w:pPr>
        <w:spacing w:line="240" w:lineRule="auto"/>
        <w:rPr>
          <w:rFonts w:cs="Calibri"/>
          <w:noProof/>
        </w:rPr>
      </w:pPr>
      <w:r w:rsidRPr="00F81977">
        <w:rPr>
          <w:rFonts w:cs="Calibri"/>
          <w:noProof/>
        </w:rPr>
        <w:t>Restrictive Practices Court. 1999. Premier League Judgement, 28th July, 1999, E&amp;W No. 1.</w:t>
      </w:r>
    </w:p>
    <w:p w:rsidR="00445A86" w:rsidRPr="00F81977" w:rsidRDefault="00445A86" w:rsidP="00445A86">
      <w:pPr>
        <w:spacing w:line="240" w:lineRule="auto"/>
        <w:rPr>
          <w:rFonts w:cs="Calibri"/>
          <w:noProof/>
        </w:rPr>
      </w:pPr>
      <w:r w:rsidRPr="00F81977">
        <w:rPr>
          <w:rFonts w:cs="Calibri"/>
          <w:noProof/>
        </w:rPr>
        <w:t>Rottenberg, Simon. 1956. The Baseball Players' Labor Marke</w:t>
      </w:r>
      <w:r w:rsidR="00F81977" w:rsidRPr="00F81977">
        <w:rPr>
          <w:rFonts w:cs="Calibri"/>
          <w:noProof/>
        </w:rPr>
        <w:t xml:space="preserve">t, </w:t>
      </w:r>
      <w:r w:rsidR="00F81977" w:rsidRPr="00C878A4">
        <w:rPr>
          <w:rFonts w:cs="Calibri"/>
          <w:i/>
          <w:noProof/>
        </w:rPr>
        <w:t>Journal of Political Economy</w:t>
      </w:r>
      <w:r w:rsidRPr="00F81977">
        <w:rPr>
          <w:rFonts w:cs="Calibri"/>
          <w:noProof/>
        </w:rPr>
        <w:t xml:space="preserve"> 64: 242-258.</w:t>
      </w:r>
    </w:p>
    <w:p w:rsidR="00445A86" w:rsidRPr="00F81977" w:rsidRDefault="00445A86" w:rsidP="00445A86">
      <w:pPr>
        <w:spacing w:line="240" w:lineRule="auto"/>
        <w:rPr>
          <w:rFonts w:cs="Calibri"/>
          <w:noProof/>
        </w:rPr>
      </w:pPr>
      <w:r w:rsidRPr="00F81977">
        <w:rPr>
          <w:rFonts w:cs="Calibri"/>
          <w:noProof/>
        </w:rPr>
        <w:t xml:space="preserve">Sacheti, Abhinav, Ian Gregory-Smith, and David Paton. 2014. Uncertainty of Outcome or Strengths of Teams: An  Economic Analysis of Attendance Demand for International Cricket. </w:t>
      </w:r>
      <w:r w:rsidRPr="00C878A4">
        <w:rPr>
          <w:rFonts w:cs="Calibri"/>
          <w:i/>
          <w:noProof/>
        </w:rPr>
        <w:t>Applied Economics</w:t>
      </w:r>
      <w:r w:rsidRPr="00F81977">
        <w:rPr>
          <w:rFonts w:cs="Calibri"/>
          <w:noProof/>
        </w:rPr>
        <w:t xml:space="preserve"> 46 (17): 2034-2046.</w:t>
      </w:r>
    </w:p>
    <w:p w:rsidR="00445A86" w:rsidRPr="00F81977" w:rsidRDefault="00445A86" w:rsidP="00445A86">
      <w:pPr>
        <w:spacing w:line="240" w:lineRule="auto"/>
        <w:rPr>
          <w:rFonts w:cs="Calibri"/>
          <w:noProof/>
        </w:rPr>
      </w:pPr>
      <w:r w:rsidRPr="00F81977">
        <w:rPr>
          <w:rFonts w:cs="Calibri"/>
          <w:noProof/>
        </w:rPr>
        <w:t xml:space="preserve">Solberg, Harry Arne. 2007. The Auctioning of TV-Sports Rights, </w:t>
      </w:r>
      <w:r w:rsidRPr="00C878A4">
        <w:rPr>
          <w:rFonts w:cs="Calibri"/>
          <w:i/>
          <w:noProof/>
        </w:rPr>
        <w:t>Interna</w:t>
      </w:r>
      <w:r w:rsidR="00F81977" w:rsidRPr="00C878A4">
        <w:rPr>
          <w:rFonts w:cs="Calibri"/>
          <w:i/>
          <w:noProof/>
        </w:rPr>
        <w:t>tional Journal of Sport Finance</w:t>
      </w:r>
      <w:r w:rsidRPr="00F81977">
        <w:rPr>
          <w:rFonts w:cs="Calibri"/>
          <w:noProof/>
        </w:rPr>
        <w:t xml:space="preserve"> 1(1): 33-45.</w:t>
      </w:r>
    </w:p>
    <w:p w:rsidR="00445A86" w:rsidRPr="00F81977" w:rsidRDefault="00445A86" w:rsidP="00445A86">
      <w:pPr>
        <w:spacing w:line="240" w:lineRule="auto"/>
        <w:rPr>
          <w:rFonts w:cs="Calibri"/>
          <w:noProof/>
        </w:rPr>
      </w:pPr>
      <w:r w:rsidRPr="00F81977">
        <w:rPr>
          <w:rFonts w:cs="Calibri"/>
          <w:noProof/>
        </w:rPr>
        <w:lastRenderedPageBreak/>
        <w:t>Szymanski, Stefan. 2003. The Economic Design of Sporting Contest,</w:t>
      </w:r>
      <w:r w:rsidR="00F81977" w:rsidRPr="00F81977">
        <w:rPr>
          <w:rFonts w:cs="Calibri"/>
          <w:noProof/>
        </w:rPr>
        <w:t xml:space="preserve"> </w:t>
      </w:r>
      <w:r w:rsidR="00F81977" w:rsidRPr="00C878A4">
        <w:rPr>
          <w:rFonts w:cs="Calibri"/>
          <w:i/>
          <w:noProof/>
        </w:rPr>
        <w:t>Journal of Economic Literature</w:t>
      </w:r>
      <w:r w:rsidRPr="00F81977">
        <w:rPr>
          <w:rFonts w:cs="Calibri"/>
          <w:noProof/>
        </w:rPr>
        <w:t xml:space="preserve"> 41(4): 1137-1187.</w:t>
      </w:r>
    </w:p>
    <w:p w:rsidR="00445A86" w:rsidRPr="00F81977" w:rsidRDefault="00445A86" w:rsidP="00445A86">
      <w:pPr>
        <w:spacing w:line="240" w:lineRule="auto"/>
        <w:rPr>
          <w:rFonts w:cs="Calibri"/>
          <w:noProof/>
        </w:rPr>
      </w:pPr>
      <w:r w:rsidRPr="00F81977">
        <w:rPr>
          <w:rFonts w:cs="Calibri"/>
          <w:noProof/>
        </w:rPr>
        <w:t>Tainsky, Scott, and Jason A. Winfree. 2012. Television Broadcast Demand in Markets Without Local Tea</w:t>
      </w:r>
      <w:r w:rsidR="00F81977" w:rsidRPr="00F81977">
        <w:rPr>
          <w:rFonts w:cs="Calibri"/>
          <w:noProof/>
        </w:rPr>
        <w:t xml:space="preserve">ms, </w:t>
      </w:r>
      <w:r w:rsidR="00F81977" w:rsidRPr="00C878A4">
        <w:rPr>
          <w:rFonts w:cs="Calibri"/>
          <w:i/>
          <w:noProof/>
        </w:rPr>
        <w:t>Journal of Sports Economics</w:t>
      </w:r>
      <w:r w:rsidRPr="00F81977">
        <w:rPr>
          <w:rFonts w:cs="Calibri"/>
          <w:noProof/>
        </w:rPr>
        <w:t xml:space="preserve"> 13(3): 250-265. </w:t>
      </w:r>
    </w:p>
    <w:p w:rsidR="00445A86" w:rsidRPr="00F81977" w:rsidRDefault="00445A86" w:rsidP="00445A86">
      <w:pPr>
        <w:spacing w:line="240" w:lineRule="auto"/>
        <w:rPr>
          <w:rFonts w:cs="Calibri"/>
          <w:noProof/>
        </w:rPr>
      </w:pPr>
      <w:r w:rsidRPr="00F81977">
        <w:rPr>
          <w:rFonts w:cs="Calibri"/>
          <w:noProof/>
        </w:rPr>
        <w:t>TV Sports Market, Sports Business Group, London.</w:t>
      </w:r>
    </w:p>
    <w:p w:rsidR="00586863" w:rsidRPr="007D0D5D" w:rsidRDefault="00586863" w:rsidP="0099548F"/>
    <w:p w:rsidR="00586863" w:rsidRPr="007D0D5D" w:rsidRDefault="00586863" w:rsidP="0099548F">
      <w:pPr>
        <w:sectPr w:rsidR="00586863" w:rsidRPr="007D0D5D" w:rsidSect="0099548F">
          <w:endnotePr>
            <w:numFmt w:val="decimal"/>
          </w:endnotePr>
          <w:pgSz w:w="11909" w:h="16834" w:code="9"/>
          <w:pgMar w:top="1440" w:right="1440" w:bottom="1440" w:left="1440" w:header="720" w:footer="720" w:gutter="0"/>
          <w:cols w:space="720"/>
          <w:noEndnote/>
        </w:sectPr>
      </w:pPr>
    </w:p>
    <w:p w:rsidR="00586863" w:rsidRPr="00165E35" w:rsidRDefault="00586863" w:rsidP="00E37AF3">
      <w:pPr>
        <w:pStyle w:val="Heading4"/>
        <w:spacing w:line="240" w:lineRule="auto"/>
        <w:rPr>
          <w:rFonts w:ascii="Times New Roman" w:hAnsi="Times New Roman" w:cs="Times New Roman"/>
        </w:rPr>
      </w:pPr>
      <w:r w:rsidRPr="00165E35">
        <w:rPr>
          <w:rFonts w:ascii="Times New Roman" w:hAnsi="Times New Roman" w:cs="Times New Roman"/>
        </w:rPr>
        <w:lastRenderedPageBreak/>
        <w:t>Table 1. Rights fees for English Premier League from 1992-93 to 2013-14</w:t>
      </w:r>
      <w:r w:rsidR="00E37AF3" w:rsidRPr="00165E35">
        <w:rPr>
          <w:rFonts w:ascii="Times New Roman" w:hAnsi="Times New Roman" w:cs="Times New Roman"/>
        </w:rPr>
        <w:t xml:space="preserve"> (Baimbridge </w:t>
      </w:r>
      <w:r w:rsidR="00EA0EEC" w:rsidRPr="00165E35">
        <w:rPr>
          <w:rFonts w:ascii="Times New Roman" w:hAnsi="Times New Roman" w:cs="Times New Roman"/>
          <w:i/>
        </w:rPr>
        <w:t>et al.</w:t>
      </w:r>
      <w:r w:rsidR="00E37AF3" w:rsidRPr="00165E35">
        <w:rPr>
          <w:rFonts w:ascii="Times New Roman" w:hAnsi="Times New Roman" w:cs="Times New Roman"/>
        </w:rPr>
        <w:t xml:space="preserve">, 1996; Buraimo, </w:t>
      </w:r>
      <w:r w:rsidR="006350DA" w:rsidRPr="00165E35">
        <w:rPr>
          <w:rFonts w:ascii="Times New Roman" w:hAnsi="Times New Roman" w:cs="Times New Roman"/>
        </w:rPr>
        <w:t>2012</w:t>
      </w:r>
      <w:r w:rsidR="00E37AF3" w:rsidRPr="00165E35">
        <w:rPr>
          <w:rFonts w:ascii="Times New Roman" w:hAnsi="Times New Roman" w:cs="Times New Roman"/>
        </w:rPr>
        <w:t>)</w:t>
      </w:r>
    </w:p>
    <w:tbl>
      <w:tblPr>
        <w:tblStyle w:val="TableGrid"/>
        <w:tblW w:w="5000" w:type="pct"/>
        <w:jc w:val="center"/>
        <w:tblLook w:val="04A0" w:firstRow="1" w:lastRow="0" w:firstColumn="1" w:lastColumn="0" w:noHBand="0" w:noVBand="1"/>
      </w:tblPr>
      <w:tblGrid>
        <w:gridCol w:w="726"/>
        <w:gridCol w:w="1705"/>
        <w:gridCol w:w="1721"/>
        <w:gridCol w:w="1703"/>
        <w:gridCol w:w="1696"/>
        <w:gridCol w:w="1694"/>
      </w:tblGrid>
      <w:tr w:rsidR="00586863" w:rsidRPr="007D0D5D" w:rsidTr="0099548F">
        <w:trPr>
          <w:jc w:val="center"/>
        </w:trPr>
        <w:tc>
          <w:tcPr>
            <w:tcW w:w="393" w:type="pct"/>
          </w:tcPr>
          <w:p w:rsidR="00586863" w:rsidRPr="007D0D5D" w:rsidRDefault="00586863" w:rsidP="0099548F">
            <w:pPr>
              <w:keepNext/>
              <w:spacing w:after="0" w:line="240" w:lineRule="auto"/>
              <w:rPr>
                <w:sz w:val="18"/>
                <w:szCs w:val="18"/>
              </w:rPr>
            </w:pPr>
            <w:r w:rsidRPr="007D0D5D">
              <w:rPr>
                <w:sz w:val="18"/>
                <w:szCs w:val="18"/>
              </w:rPr>
              <w:t>Year</w:t>
            </w:r>
          </w:p>
        </w:tc>
        <w:tc>
          <w:tcPr>
            <w:tcW w:w="922" w:type="pct"/>
          </w:tcPr>
          <w:p w:rsidR="00586863" w:rsidRPr="007D0D5D" w:rsidRDefault="00586863" w:rsidP="0099548F">
            <w:pPr>
              <w:keepNext/>
              <w:spacing w:after="0" w:line="240" w:lineRule="auto"/>
              <w:jc w:val="center"/>
              <w:rPr>
                <w:sz w:val="18"/>
                <w:szCs w:val="18"/>
              </w:rPr>
            </w:pPr>
            <w:r w:rsidRPr="007D0D5D">
              <w:rPr>
                <w:sz w:val="18"/>
                <w:szCs w:val="18"/>
              </w:rPr>
              <w:t>Duration of contract (years)</w:t>
            </w:r>
          </w:p>
        </w:tc>
        <w:tc>
          <w:tcPr>
            <w:tcW w:w="931" w:type="pct"/>
          </w:tcPr>
          <w:p w:rsidR="00586863" w:rsidRPr="007D0D5D" w:rsidRDefault="00586863" w:rsidP="0099548F">
            <w:pPr>
              <w:keepNext/>
              <w:spacing w:after="0" w:line="240" w:lineRule="auto"/>
              <w:jc w:val="center"/>
              <w:rPr>
                <w:sz w:val="18"/>
                <w:szCs w:val="18"/>
              </w:rPr>
            </w:pPr>
            <w:r w:rsidRPr="007D0D5D">
              <w:rPr>
                <w:sz w:val="18"/>
                <w:szCs w:val="18"/>
              </w:rPr>
              <w:t>Broadcasters</w:t>
            </w:r>
          </w:p>
        </w:tc>
        <w:tc>
          <w:tcPr>
            <w:tcW w:w="921" w:type="pct"/>
          </w:tcPr>
          <w:p w:rsidR="00586863" w:rsidRPr="007D0D5D" w:rsidRDefault="00586863" w:rsidP="0099548F">
            <w:pPr>
              <w:keepNext/>
              <w:spacing w:after="0" w:line="240" w:lineRule="auto"/>
              <w:jc w:val="center"/>
              <w:rPr>
                <w:sz w:val="18"/>
                <w:szCs w:val="18"/>
              </w:rPr>
            </w:pPr>
            <w:r w:rsidRPr="007D0D5D">
              <w:rPr>
                <w:sz w:val="18"/>
                <w:szCs w:val="18"/>
              </w:rPr>
              <w:t>Matches per season</w:t>
            </w:r>
          </w:p>
        </w:tc>
        <w:tc>
          <w:tcPr>
            <w:tcW w:w="917" w:type="pct"/>
          </w:tcPr>
          <w:p w:rsidR="00586863" w:rsidRPr="007D0D5D" w:rsidRDefault="00586863" w:rsidP="0099548F">
            <w:pPr>
              <w:keepNext/>
              <w:spacing w:after="0" w:line="240" w:lineRule="auto"/>
              <w:jc w:val="center"/>
              <w:rPr>
                <w:sz w:val="18"/>
                <w:szCs w:val="18"/>
              </w:rPr>
            </w:pPr>
            <w:r w:rsidRPr="007D0D5D">
              <w:rPr>
                <w:sz w:val="18"/>
                <w:szCs w:val="18"/>
              </w:rPr>
              <w:t>Mean annual rights fee (£m)</w:t>
            </w:r>
          </w:p>
        </w:tc>
        <w:tc>
          <w:tcPr>
            <w:tcW w:w="916" w:type="pct"/>
          </w:tcPr>
          <w:p w:rsidR="00586863" w:rsidRPr="007D0D5D" w:rsidRDefault="00586863" w:rsidP="0099548F">
            <w:pPr>
              <w:keepNext/>
              <w:spacing w:after="0" w:line="240" w:lineRule="auto"/>
              <w:jc w:val="center"/>
              <w:rPr>
                <w:sz w:val="18"/>
                <w:szCs w:val="18"/>
              </w:rPr>
            </w:pPr>
            <w:r w:rsidRPr="007D0D5D">
              <w:rPr>
                <w:sz w:val="18"/>
                <w:szCs w:val="18"/>
              </w:rPr>
              <w:t>Rights fee per match (£m)</w:t>
            </w:r>
          </w:p>
        </w:tc>
      </w:tr>
      <w:tr w:rsidR="00586863" w:rsidRPr="007D0D5D" w:rsidTr="0099548F">
        <w:trPr>
          <w:jc w:val="center"/>
        </w:trPr>
        <w:tc>
          <w:tcPr>
            <w:tcW w:w="393" w:type="pct"/>
          </w:tcPr>
          <w:p w:rsidR="00586863" w:rsidRPr="007D0D5D" w:rsidRDefault="00586863" w:rsidP="0099548F">
            <w:pPr>
              <w:keepNext/>
              <w:spacing w:after="0" w:line="240" w:lineRule="auto"/>
              <w:rPr>
                <w:sz w:val="18"/>
                <w:szCs w:val="18"/>
              </w:rPr>
            </w:pPr>
            <w:r w:rsidRPr="007D0D5D">
              <w:rPr>
                <w:sz w:val="18"/>
                <w:szCs w:val="18"/>
              </w:rPr>
              <w:t>1992</w:t>
            </w:r>
          </w:p>
        </w:tc>
        <w:tc>
          <w:tcPr>
            <w:tcW w:w="922" w:type="pct"/>
          </w:tcPr>
          <w:p w:rsidR="00586863" w:rsidRPr="007D0D5D" w:rsidRDefault="00586863" w:rsidP="0099548F">
            <w:pPr>
              <w:keepNext/>
              <w:spacing w:after="0" w:line="240" w:lineRule="auto"/>
              <w:jc w:val="center"/>
              <w:rPr>
                <w:sz w:val="18"/>
                <w:szCs w:val="18"/>
              </w:rPr>
            </w:pPr>
            <w:r w:rsidRPr="007D0D5D">
              <w:rPr>
                <w:sz w:val="18"/>
                <w:szCs w:val="18"/>
              </w:rPr>
              <w:t>5</w:t>
            </w:r>
          </w:p>
        </w:tc>
        <w:tc>
          <w:tcPr>
            <w:tcW w:w="931" w:type="pct"/>
          </w:tcPr>
          <w:p w:rsidR="00586863" w:rsidRPr="007D0D5D" w:rsidRDefault="00586863" w:rsidP="0099548F">
            <w:pPr>
              <w:keepNext/>
              <w:spacing w:after="0" w:line="240" w:lineRule="auto"/>
              <w:jc w:val="center"/>
              <w:rPr>
                <w:sz w:val="18"/>
                <w:szCs w:val="18"/>
              </w:rPr>
            </w:pPr>
            <w:r w:rsidRPr="007D0D5D">
              <w:rPr>
                <w:sz w:val="18"/>
                <w:szCs w:val="18"/>
              </w:rPr>
              <w:t>BSkyB</w:t>
            </w:r>
          </w:p>
        </w:tc>
        <w:tc>
          <w:tcPr>
            <w:tcW w:w="921" w:type="pct"/>
          </w:tcPr>
          <w:p w:rsidR="00586863" w:rsidRPr="007D0D5D" w:rsidRDefault="00586863" w:rsidP="0099548F">
            <w:pPr>
              <w:keepNext/>
              <w:spacing w:after="0" w:line="240" w:lineRule="auto"/>
              <w:jc w:val="center"/>
              <w:rPr>
                <w:sz w:val="18"/>
                <w:szCs w:val="18"/>
              </w:rPr>
            </w:pPr>
            <w:r w:rsidRPr="007D0D5D">
              <w:rPr>
                <w:sz w:val="18"/>
                <w:szCs w:val="18"/>
              </w:rPr>
              <w:t>60</w:t>
            </w:r>
          </w:p>
        </w:tc>
        <w:tc>
          <w:tcPr>
            <w:tcW w:w="917" w:type="pct"/>
          </w:tcPr>
          <w:p w:rsidR="00586863" w:rsidRPr="007D0D5D" w:rsidRDefault="00586863" w:rsidP="0099548F">
            <w:pPr>
              <w:keepNext/>
              <w:spacing w:after="0" w:line="240" w:lineRule="auto"/>
              <w:jc w:val="center"/>
              <w:rPr>
                <w:sz w:val="18"/>
                <w:szCs w:val="18"/>
              </w:rPr>
            </w:pPr>
            <w:r w:rsidRPr="007D0D5D">
              <w:rPr>
                <w:sz w:val="18"/>
                <w:szCs w:val="18"/>
              </w:rPr>
              <w:t>52</w:t>
            </w:r>
          </w:p>
        </w:tc>
        <w:tc>
          <w:tcPr>
            <w:tcW w:w="916" w:type="pct"/>
          </w:tcPr>
          <w:p w:rsidR="00586863" w:rsidRPr="007D0D5D" w:rsidRDefault="00586863" w:rsidP="0099548F">
            <w:pPr>
              <w:keepNext/>
              <w:spacing w:after="0" w:line="240" w:lineRule="auto"/>
              <w:jc w:val="center"/>
              <w:rPr>
                <w:sz w:val="18"/>
                <w:szCs w:val="18"/>
              </w:rPr>
            </w:pPr>
            <w:r w:rsidRPr="007D0D5D">
              <w:rPr>
                <w:sz w:val="18"/>
                <w:szCs w:val="18"/>
              </w:rPr>
              <w:t>0.87</w:t>
            </w:r>
          </w:p>
        </w:tc>
      </w:tr>
      <w:tr w:rsidR="00586863" w:rsidRPr="007D0D5D" w:rsidTr="0099548F">
        <w:trPr>
          <w:jc w:val="center"/>
        </w:trPr>
        <w:tc>
          <w:tcPr>
            <w:tcW w:w="393" w:type="pct"/>
          </w:tcPr>
          <w:p w:rsidR="00586863" w:rsidRPr="007D0D5D" w:rsidRDefault="00586863" w:rsidP="0099548F">
            <w:pPr>
              <w:keepNext/>
              <w:spacing w:after="0" w:line="240" w:lineRule="auto"/>
              <w:rPr>
                <w:sz w:val="18"/>
                <w:szCs w:val="18"/>
              </w:rPr>
            </w:pPr>
            <w:r w:rsidRPr="007D0D5D">
              <w:rPr>
                <w:sz w:val="18"/>
                <w:szCs w:val="18"/>
              </w:rPr>
              <w:t>1997</w:t>
            </w:r>
          </w:p>
        </w:tc>
        <w:tc>
          <w:tcPr>
            <w:tcW w:w="922" w:type="pct"/>
          </w:tcPr>
          <w:p w:rsidR="00586863" w:rsidRPr="007D0D5D" w:rsidRDefault="00586863" w:rsidP="0099548F">
            <w:pPr>
              <w:keepNext/>
              <w:spacing w:after="0" w:line="240" w:lineRule="auto"/>
              <w:jc w:val="center"/>
              <w:rPr>
                <w:sz w:val="18"/>
                <w:szCs w:val="18"/>
              </w:rPr>
            </w:pPr>
            <w:r w:rsidRPr="007D0D5D">
              <w:rPr>
                <w:sz w:val="18"/>
                <w:szCs w:val="18"/>
              </w:rPr>
              <w:t>4</w:t>
            </w:r>
          </w:p>
        </w:tc>
        <w:tc>
          <w:tcPr>
            <w:tcW w:w="931" w:type="pct"/>
          </w:tcPr>
          <w:p w:rsidR="00586863" w:rsidRPr="007D0D5D" w:rsidRDefault="00586863" w:rsidP="0099548F">
            <w:pPr>
              <w:keepNext/>
              <w:spacing w:after="0" w:line="240" w:lineRule="auto"/>
              <w:jc w:val="center"/>
              <w:rPr>
                <w:sz w:val="18"/>
                <w:szCs w:val="18"/>
              </w:rPr>
            </w:pPr>
            <w:r w:rsidRPr="007D0D5D">
              <w:rPr>
                <w:sz w:val="18"/>
                <w:szCs w:val="18"/>
              </w:rPr>
              <w:t>BSkyB</w:t>
            </w:r>
          </w:p>
        </w:tc>
        <w:tc>
          <w:tcPr>
            <w:tcW w:w="921" w:type="pct"/>
          </w:tcPr>
          <w:p w:rsidR="00586863" w:rsidRPr="007D0D5D" w:rsidRDefault="00586863" w:rsidP="0099548F">
            <w:pPr>
              <w:keepNext/>
              <w:spacing w:after="0" w:line="240" w:lineRule="auto"/>
              <w:jc w:val="center"/>
              <w:rPr>
                <w:sz w:val="18"/>
                <w:szCs w:val="18"/>
              </w:rPr>
            </w:pPr>
            <w:r w:rsidRPr="007D0D5D">
              <w:rPr>
                <w:sz w:val="18"/>
                <w:szCs w:val="18"/>
              </w:rPr>
              <w:t>60</w:t>
            </w:r>
          </w:p>
        </w:tc>
        <w:tc>
          <w:tcPr>
            <w:tcW w:w="917" w:type="pct"/>
          </w:tcPr>
          <w:p w:rsidR="00586863" w:rsidRPr="007D0D5D" w:rsidRDefault="00586863" w:rsidP="0099548F">
            <w:pPr>
              <w:keepNext/>
              <w:spacing w:after="0" w:line="240" w:lineRule="auto"/>
              <w:jc w:val="center"/>
              <w:rPr>
                <w:sz w:val="18"/>
                <w:szCs w:val="18"/>
              </w:rPr>
            </w:pPr>
            <w:r w:rsidRPr="007D0D5D">
              <w:rPr>
                <w:sz w:val="18"/>
                <w:szCs w:val="18"/>
              </w:rPr>
              <w:t>199</w:t>
            </w:r>
          </w:p>
        </w:tc>
        <w:tc>
          <w:tcPr>
            <w:tcW w:w="916" w:type="pct"/>
          </w:tcPr>
          <w:p w:rsidR="00586863" w:rsidRPr="007D0D5D" w:rsidRDefault="00586863" w:rsidP="0099548F">
            <w:pPr>
              <w:keepNext/>
              <w:spacing w:after="0" w:line="240" w:lineRule="auto"/>
              <w:jc w:val="center"/>
              <w:rPr>
                <w:sz w:val="18"/>
                <w:szCs w:val="18"/>
              </w:rPr>
            </w:pPr>
            <w:r w:rsidRPr="007D0D5D">
              <w:rPr>
                <w:sz w:val="18"/>
                <w:szCs w:val="18"/>
              </w:rPr>
              <w:t>3.32</w:t>
            </w:r>
          </w:p>
        </w:tc>
      </w:tr>
      <w:tr w:rsidR="00586863" w:rsidRPr="007D0D5D" w:rsidTr="0099548F">
        <w:trPr>
          <w:jc w:val="center"/>
        </w:trPr>
        <w:tc>
          <w:tcPr>
            <w:tcW w:w="393" w:type="pct"/>
          </w:tcPr>
          <w:p w:rsidR="00586863" w:rsidRPr="007D0D5D" w:rsidRDefault="00586863" w:rsidP="0099548F">
            <w:pPr>
              <w:keepNext/>
              <w:spacing w:after="0" w:line="240" w:lineRule="auto"/>
              <w:rPr>
                <w:sz w:val="18"/>
                <w:szCs w:val="18"/>
              </w:rPr>
            </w:pPr>
            <w:r w:rsidRPr="007D0D5D">
              <w:rPr>
                <w:sz w:val="18"/>
                <w:szCs w:val="18"/>
              </w:rPr>
              <w:t>2001</w:t>
            </w:r>
          </w:p>
        </w:tc>
        <w:tc>
          <w:tcPr>
            <w:tcW w:w="922" w:type="pct"/>
          </w:tcPr>
          <w:p w:rsidR="00586863" w:rsidRPr="007D0D5D" w:rsidRDefault="00586863" w:rsidP="0099548F">
            <w:pPr>
              <w:keepNext/>
              <w:spacing w:after="0" w:line="240" w:lineRule="auto"/>
              <w:jc w:val="center"/>
              <w:rPr>
                <w:sz w:val="18"/>
                <w:szCs w:val="18"/>
              </w:rPr>
            </w:pPr>
            <w:r w:rsidRPr="007D0D5D">
              <w:rPr>
                <w:sz w:val="18"/>
                <w:szCs w:val="18"/>
              </w:rPr>
              <w:t>3</w:t>
            </w:r>
          </w:p>
        </w:tc>
        <w:tc>
          <w:tcPr>
            <w:tcW w:w="931" w:type="pct"/>
          </w:tcPr>
          <w:p w:rsidR="00586863" w:rsidRPr="007D0D5D" w:rsidRDefault="00586863" w:rsidP="0099548F">
            <w:pPr>
              <w:keepNext/>
              <w:spacing w:after="0" w:line="240" w:lineRule="auto"/>
              <w:jc w:val="center"/>
              <w:rPr>
                <w:sz w:val="18"/>
                <w:szCs w:val="18"/>
              </w:rPr>
            </w:pPr>
            <w:r w:rsidRPr="007D0D5D">
              <w:rPr>
                <w:sz w:val="18"/>
                <w:szCs w:val="18"/>
              </w:rPr>
              <w:t>BSkyB</w:t>
            </w:r>
          </w:p>
        </w:tc>
        <w:tc>
          <w:tcPr>
            <w:tcW w:w="921" w:type="pct"/>
          </w:tcPr>
          <w:p w:rsidR="00586863" w:rsidRPr="007D0D5D" w:rsidRDefault="00586863" w:rsidP="0099548F">
            <w:pPr>
              <w:keepNext/>
              <w:spacing w:after="0" w:line="240" w:lineRule="auto"/>
              <w:jc w:val="center"/>
              <w:rPr>
                <w:sz w:val="18"/>
                <w:szCs w:val="18"/>
              </w:rPr>
            </w:pPr>
            <w:r w:rsidRPr="007D0D5D">
              <w:rPr>
                <w:sz w:val="18"/>
                <w:szCs w:val="18"/>
              </w:rPr>
              <w:t>66</w:t>
            </w:r>
          </w:p>
        </w:tc>
        <w:tc>
          <w:tcPr>
            <w:tcW w:w="917" w:type="pct"/>
          </w:tcPr>
          <w:p w:rsidR="00586863" w:rsidRPr="007D0D5D" w:rsidRDefault="00586863" w:rsidP="0099548F">
            <w:pPr>
              <w:keepNext/>
              <w:spacing w:after="0" w:line="240" w:lineRule="auto"/>
              <w:jc w:val="center"/>
              <w:rPr>
                <w:sz w:val="18"/>
                <w:szCs w:val="18"/>
              </w:rPr>
            </w:pPr>
            <w:r w:rsidRPr="007D0D5D">
              <w:rPr>
                <w:sz w:val="18"/>
                <w:szCs w:val="18"/>
              </w:rPr>
              <w:t>371</w:t>
            </w:r>
          </w:p>
        </w:tc>
        <w:tc>
          <w:tcPr>
            <w:tcW w:w="916" w:type="pct"/>
          </w:tcPr>
          <w:p w:rsidR="00586863" w:rsidRPr="007D0D5D" w:rsidRDefault="00586863" w:rsidP="0099548F">
            <w:pPr>
              <w:keepNext/>
              <w:spacing w:after="0" w:line="240" w:lineRule="auto"/>
              <w:jc w:val="center"/>
              <w:rPr>
                <w:sz w:val="18"/>
                <w:szCs w:val="18"/>
              </w:rPr>
            </w:pPr>
            <w:r w:rsidRPr="007D0D5D">
              <w:rPr>
                <w:sz w:val="18"/>
                <w:szCs w:val="18"/>
              </w:rPr>
              <w:t>5.62</w:t>
            </w:r>
          </w:p>
        </w:tc>
      </w:tr>
      <w:tr w:rsidR="00586863" w:rsidRPr="007D0D5D" w:rsidTr="0099548F">
        <w:trPr>
          <w:jc w:val="center"/>
        </w:trPr>
        <w:tc>
          <w:tcPr>
            <w:tcW w:w="393" w:type="pct"/>
          </w:tcPr>
          <w:p w:rsidR="00586863" w:rsidRPr="007D0D5D" w:rsidRDefault="00586863" w:rsidP="0099548F">
            <w:pPr>
              <w:keepNext/>
              <w:spacing w:after="0" w:line="240" w:lineRule="auto"/>
              <w:rPr>
                <w:sz w:val="18"/>
                <w:szCs w:val="18"/>
              </w:rPr>
            </w:pPr>
            <w:r w:rsidRPr="007D0D5D">
              <w:rPr>
                <w:sz w:val="18"/>
                <w:szCs w:val="18"/>
              </w:rPr>
              <w:t>2004</w:t>
            </w:r>
          </w:p>
        </w:tc>
        <w:tc>
          <w:tcPr>
            <w:tcW w:w="922" w:type="pct"/>
          </w:tcPr>
          <w:p w:rsidR="00586863" w:rsidRPr="007D0D5D" w:rsidRDefault="00586863" w:rsidP="0099548F">
            <w:pPr>
              <w:keepNext/>
              <w:spacing w:after="0" w:line="240" w:lineRule="auto"/>
              <w:jc w:val="center"/>
              <w:rPr>
                <w:sz w:val="18"/>
                <w:szCs w:val="18"/>
              </w:rPr>
            </w:pPr>
            <w:r w:rsidRPr="007D0D5D">
              <w:rPr>
                <w:sz w:val="18"/>
                <w:szCs w:val="18"/>
              </w:rPr>
              <w:t>3</w:t>
            </w:r>
          </w:p>
        </w:tc>
        <w:tc>
          <w:tcPr>
            <w:tcW w:w="931" w:type="pct"/>
          </w:tcPr>
          <w:p w:rsidR="00586863" w:rsidRPr="007D0D5D" w:rsidRDefault="00586863" w:rsidP="0099548F">
            <w:pPr>
              <w:keepNext/>
              <w:spacing w:after="0" w:line="240" w:lineRule="auto"/>
              <w:jc w:val="center"/>
              <w:rPr>
                <w:sz w:val="18"/>
                <w:szCs w:val="18"/>
              </w:rPr>
            </w:pPr>
            <w:r w:rsidRPr="007D0D5D">
              <w:rPr>
                <w:sz w:val="18"/>
                <w:szCs w:val="18"/>
              </w:rPr>
              <w:t>BSkyB</w:t>
            </w:r>
          </w:p>
        </w:tc>
        <w:tc>
          <w:tcPr>
            <w:tcW w:w="921" w:type="pct"/>
          </w:tcPr>
          <w:p w:rsidR="00586863" w:rsidRPr="007D0D5D" w:rsidRDefault="00586863" w:rsidP="0099548F">
            <w:pPr>
              <w:keepNext/>
              <w:spacing w:after="0" w:line="240" w:lineRule="auto"/>
              <w:jc w:val="center"/>
              <w:rPr>
                <w:sz w:val="18"/>
                <w:szCs w:val="18"/>
              </w:rPr>
            </w:pPr>
            <w:r w:rsidRPr="007D0D5D">
              <w:rPr>
                <w:sz w:val="18"/>
                <w:szCs w:val="18"/>
              </w:rPr>
              <w:t>88</w:t>
            </w:r>
          </w:p>
        </w:tc>
        <w:tc>
          <w:tcPr>
            <w:tcW w:w="917" w:type="pct"/>
          </w:tcPr>
          <w:p w:rsidR="00586863" w:rsidRPr="007D0D5D" w:rsidRDefault="00586863" w:rsidP="0099548F">
            <w:pPr>
              <w:keepNext/>
              <w:spacing w:after="0" w:line="240" w:lineRule="auto"/>
              <w:jc w:val="center"/>
              <w:rPr>
                <w:sz w:val="18"/>
                <w:szCs w:val="18"/>
              </w:rPr>
            </w:pPr>
            <w:r w:rsidRPr="007D0D5D">
              <w:rPr>
                <w:sz w:val="18"/>
                <w:szCs w:val="18"/>
              </w:rPr>
              <w:t>341</w:t>
            </w:r>
          </w:p>
        </w:tc>
        <w:tc>
          <w:tcPr>
            <w:tcW w:w="916" w:type="pct"/>
          </w:tcPr>
          <w:p w:rsidR="00586863" w:rsidRPr="007D0D5D" w:rsidRDefault="00586863" w:rsidP="0099548F">
            <w:pPr>
              <w:keepNext/>
              <w:spacing w:after="0" w:line="240" w:lineRule="auto"/>
              <w:jc w:val="center"/>
              <w:rPr>
                <w:sz w:val="18"/>
                <w:szCs w:val="18"/>
              </w:rPr>
            </w:pPr>
            <w:r w:rsidRPr="007D0D5D">
              <w:rPr>
                <w:sz w:val="18"/>
                <w:szCs w:val="18"/>
              </w:rPr>
              <w:t>3.88</w:t>
            </w:r>
          </w:p>
        </w:tc>
      </w:tr>
      <w:tr w:rsidR="00586863" w:rsidRPr="007D0D5D" w:rsidTr="0099548F">
        <w:trPr>
          <w:jc w:val="center"/>
        </w:trPr>
        <w:tc>
          <w:tcPr>
            <w:tcW w:w="393" w:type="pct"/>
          </w:tcPr>
          <w:p w:rsidR="00586863" w:rsidRPr="007D0D5D" w:rsidRDefault="00586863" w:rsidP="0099548F">
            <w:pPr>
              <w:keepNext/>
              <w:spacing w:after="0" w:line="240" w:lineRule="auto"/>
              <w:rPr>
                <w:sz w:val="18"/>
                <w:szCs w:val="18"/>
              </w:rPr>
            </w:pPr>
            <w:r w:rsidRPr="007D0D5D">
              <w:rPr>
                <w:sz w:val="18"/>
                <w:szCs w:val="18"/>
              </w:rPr>
              <w:t>2007</w:t>
            </w:r>
          </w:p>
        </w:tc>
        <w:tc>
          <w:tcPr>
            <w:tcW w:w="922" w:type="pct"/>
          </w:tcPr>
          <w:p w:rsidR="00586863" w:rsidRPr="007D0D5D" w:rsidRDefault="00586863" w:rsidP="0099548F">
            <w:pPr>
              <w:keepNext/>
              <w:spacing w:after="0" w:line="240" w:lineRule="auto"/>
              <w:jc w:val="center"/>
              <w:rPr>
                <w:sz w:val="18"/>
                <w:szCs w:val="18"/>
              </w:rPr>
            </w:pPr>
            <w:r w:rsidRPr="007D0D5D">
              <w:rPr>
                <w:sz w:val="18"/>
                <w:szCs w:val="18"/>
              </w:rPr>
              <w:t>3</w:t>
            </w:r>
          </w:p>
        </w:tc>
        <w:tc>
          <w:tcPr>
            <w:tcW w:w="931" w:type="pct"/>
          </w:tcPr>
          <w:p w:rsidR="00586863" w:rsidRPr="007D0D5D" w:rsidRDefault="00586863" w:rsidP="0099548F">
            <w:pPr>
              <w:keepNext/>
              <w:spacing w:after="0" w:line="240" w:lineRule="auto"/>
              <w:jc w:val="center"/>
              <w:rPr>
                <w:sz w:val="18"/>
                <w:szCs w:val="18"/>
              </w:rPr>
            </w:pPr>
            <w:r w:rsidRPr="007D0D5D">
              <w:rPr>
                <w:sz w:val="18"/>
                <w:szCs w:val="18"/>
              </w:rPr>
              <w:t>BSkyB and Setanta*</w:t>
            </w:r>
          </w:p>
        </w:tc>
        <w:tc>
          <w:tcPr>
            <w:tcW w:w="921" w:type="pct"/>
          </w:tcPr>
          <w:p w:rsidR="00586863" w:rsidRPr="007D0D5D" w:rsidRDefault="00586863" w:rsidP="0099548F">
            <w:pPr>
              <w:keepNext/>
              <w:spacing w:after="0" w:line="240" w:lineRule="auto"/>
              <w:jc w:val="center"/>
              <w:rPr>
                <w:sz w:val="18"/>
                <w:szCs w:val="18"/>
              </w:rPr>
            </w:pPr>
            <w:r w:rsidRPr="007D0D5D">
              <w:rPr>
                <w:sz w:val="18"/>
                <w:szCs w:val="18"/>
              </w:rPr>
              <w:t>92 and 46</w:t>
            </w:r>
          </w:p>
        </w:tc>
        <w:tc>
          <w:tcPr>
            <w:tcW w:w="917" w:type="pct"/>
          </w:tcPr>
          <w:p w:rsidR="00586863" w:rsidRPr="007D0D5D" w:rsidRDefault="00586863" w:rsidP="0099548F">
            <w:pPr>
              <w:keepNext/>
              <w:spacing w:after="0" w:line="240" w:lineRule="auto"/>
              <w:jc w:val="center"/>
              <w:rPr>
                <w:sz w:val="18"/>
                <w:szCs w:val="18"/>
              </w:rPr>
            </w:pPr>
            <w:r w:rsidRPr="007D0D5D">
              <w:rPr>
                <w:sz w:val="18"/>
                <w:szCs w:val="18"/>
              </w:rPr>
              <w:t>567</w:t>
            </w:r>
          </w:p>
        </w:tc>
        <w:tc>
          <w:tcPr>
            <w:tcW w:w="916" w:type="pct"/>
          </w:tcPr>
          <w:p w:rsidR="00586863" w:rsidRPr="007D0D5D" w:rsidRDefault="00586863" w:rsidP="0099548F">
            <w:pPr>
              <w:keepNext/>
              <w:spacing w:after="0" w:line="240" w:lineRule="auto"/>
              <w:jc w:val="center"/>
              <w:rPr>
                <w:sz w:val="18"/>
                <w:szCs w:val="18"/>
              </w:rPr>
            </w:pPr>
            <w:r w:rsidRPr="007D0D5D">
              <w:rPr>
                <w:sz w:val="18"/>
                <w:szCs w:val="18"/>
              </w:rPr>
              <w:t>4.11</w:t>
            </w:r>
          </w:p>
        </w:tc>
      </w:tr>
      <w:tr w:rsidR="00586863" w:rsidRPr="007D0D5D" w:rsidTr="0099548F">
        <w:trPr>
          <w:trHeight w:val="134"/>
          <w:jc w:val="center"/>
        </w:trPr>
        <w:tc>
          <w:tcPr>
            <w:tcW w:w="393" w:type="pct"/>
          </w:tcPr>
          <w:p w:rsidR="00586863" w:rsidRPr="007D0D5D" w:rsidRDefault="00586863" w:rsidP="0099548F">
            <w:pPr>
              <w:keepNext/>
              <w:spacing w:after="0" w:line="240" w:lineRule="auto"/>
              <w:rPr>
                <w:sz w:val="18"/>
                <w:szCs w:val="18"/>
              </w:rPr>
            </w:pPr>
            <w:r w:rsidRPr="007D0D5D">
              <w:rPr>
                <w:sz w:val="18"/>
                <w:szCs w:val="18"/>
              </w:rPr>
              <w:t>2010</w:t>
            </w:r>
          </w:p>
        </w:tc>
        <w:tc>
          <w:tcPr>
            <w:tcW w:w="922" w:type="pct"/>
          </w:tcPr>
          <w:p w:rsidR="00586863" w:rsidRPr="007D0D5D" w:rsidRDefault="00586863" w:rsidP="0099548F">
            <w:pPr>
              <w:keepNext/>
              <w:spacing w:after="0" w:line="240" w:lineRule="auto"/>
              <w:jc w:val="center"/>
              <w:rPr>
                <w:sz w:val="18"/>
                <w:szCs w:val="18"/>
              </w:rPr>
            </w:pPr>
            <w:r w:rsidRPr="007D0D5D">
              <w:rPr>
                <w:sz w:val="18"/>
                <w:szCs w:val="18"/>
              </w:rPr>
              <w:t>3</w:t>
            </w:r>
          </w:p>
        </w:tc>
        <w:tc>
          <w:tcPr>
            <w:tcW w:w="931" w:type="pct"/>
          </w:tcPr>
          <w:p w:rsidR="00586863" w:rsidRPr="007D0D5D" w:rsidRDefault="00586863" w:rsidP="0099548F">
            <w:pPr>
              <w:keepNext/>
              <w:spacing w:after="0" w:line="240" w:lineRule="auto"/>
              <w:jc w:val="center"/>
              <w:rPr>
                <w:sz w:val="18"/>
                <w:szCs w:val="18"/>
              </w:rPr>
            </w:pPr>
            <w:r w:rsidRPr="007D0D5D">
              <w:rPr>
                <w:sz w:val="18"/>
                <w:szCs w:val="18"/>
              </w:rPr>
              <w:t>BSkyB and ESPN</w:t>
            </w:r>
          </w:p>
        </w:tc>
        <w:tc>
          <w:tcPr>
            <w:tcW w:w="921" w:type="pct"/>
          </w:tcPr>
          <w:p w:rsidR="00586863" w:rsidRPr="007D0D5D" w:rsidRDefault="00586863" w:rsidP="0099548F">
            <w:pPr>
              <w:keepNext/>
              <w:spacing w:after="0" w:line="240" w:lineRule="auto"/>
              <w:jc w:val="center"/>
              <w:rPr>
                <w:sz w:val="18"/>
                <w:szCs w:val="18"/>
              </w:rPr>
            </w:pPr>
            <w:r w:rsidRPr="007D0D5D">
              <w:rPr>
                <w:sz w:val="18"/>
                <w:szCs w:val="18"/>
              </w:rPr>
              <w:t>115 and 23</w:t>
            </w:r>
          </w:p>
        </w:tc>
        <w:tc>
          <w:tcPr>
            <w:tcW w:w="917" w:type="pct"/>
          </w:tcPr>
          <w:p w:rsidR="00586863" w:rsidRPr="007D0D5D" w:rsidRDefault="00586863" w:rsidP="0099548F">
            <w:pPr>
              <w:keepNext/>
              <w:spacing w:after="0" w:line="240" w:lineRule="auto"/>
              <w:jc w:val="center"/>
              <w:rPr>
                <w:sz w:val="18"/>
                <w:szCs w:val="18"/>
              </w:rPr>
            </w:pPr>
            <w:r w:rsidRPr="007D0D5D">
              <w:rPr>
                <w:sz w:val="18"/>
                <w:szCs w:val="18"/>
              </w:rPr>
              <w:t>594</w:t>
            </w:r>
          </w:p>
        </w:tc>
        <w:tc>
          <w:tcPr>
            <w:tcW w:w="916" w:type="pct"/>
          </w:tcPr>
          <w:p w:rsidR="00586863" w:rsidRPr="007D0D5D" w:rsidRDefault="00586863" w:rsidP="0099548F">
            <w:pPr>
              <w:keepNext/>
              <w:spacing w:after="0" w:line="240" w:lineRule="auto"/>
              <w:jc w:val="center"/>
              <w:rPr>
                <w:sz w:val="18"/>
                <w:szCs w:val="18"/>
              </w:rPr>
            </w:pPr>
            <w:r w:rsidRPr="007D0D5D">
              <w:rPr>
                <w:sz w:val="18"/>
                <w:szCs w:val="18"/>
              </w:rPr>
              <w:t>4.30</w:t>
            </w:r>
          </w:p>
        </w:tc>
      </w:tr>
      <w:tr w:rsidR="00586863" w:rsidRPr="007D0D5D" w:rsidTr="0099548F">
        <w:trPr>
          <w:trHeight w:val="134"/>
          <w:jc w:val="center"/>
        </w:trPr>
        <w:tc>
          <w:tcPr>
            <w:tcW w:w="393" w:type="pct"/>
          </w:tcPr>
          <w:p w:rsidR="00586863" w:rsidRPr="007D0D5D" w:rsidRDefault="00586863" w:rsidP="0099548F">
            <w:pPr>
              <w:keepNext/>
              <w:spacing w:after="0" w:line="240" w:lineRule="auto"/>
              <w:rPr>
                <w:sz w:val="18"/>
                <w:szCs w:val="18"/>
              </w:rPr>
            </w:pPr>
            <w:r w:rsidRPr="007D0D5D">
              <w:rPr>
                <w:sz w:val="18"/>
                <w:szCs w:val="18"/>
              </w:rPr>
              <w:t>2013</w:t>
            </w:r>
          </w:p>
        </w:tc>
        <w:tc>
          <w:tcPr>
            <w:tcW w:w="922" w:type="pct"/>
          </w:tcPr>
          <w:p w:rsidR="00586863" w:rsidRPr="007D0D5D" w:rsidRDefault="00586863" w:rsidP="0099548F">
            <w:pPr>
              <w:keepNext/>
              <w:spacing w:after="0" w:line="240" w:lineRule="auto"/>
              <w:jc w:val="center"/>
              <w:rPr>
                <w:sz w:val="18"/>
                <w:szCs w:val="18"/>
              </w:rPr>
            </w:pPr>
            <w:r w:rsidRPr="007D0D5D">
              <w:rPr>
                <w:sz w:val="18"/>
                <w:szCs w:val="18"/>
              </w:rPr>
              <w:t>3</w:t>
            </w:r>
          </w:p>
        </w:tc>
        <w:tc>
          <w:tcPr>
            <w:tcW w:w="931" w:type="pct"/>
          </w:tcPr>
          <w:p w:rsidR="00586863" w:rsidRPr="007D0D5D" w:rsidRDefault="00586863" w:rsidP="0099548F">
            <w:pPr>
              <w:keepNext/>
              <w:spacing w:after="0" w:line="240" w:lineRule="auto"/>
              <w:jc w:val="center"/>
              <w:rPr>
                <w:sz w:val="18"/>
                <w:szCs w:val="18"/>
              </w:rPr>
            </w:pPr>
            <w:r w:rsidRPr="007D0D5D">
              <w:rPr>
                <w:sz w:val="18"/>
                <w:szCs w:val="18"/>
              </w:rPr>
              <w:t>BSkyB and BT</w:t>
            </w:r>
          </w:p>
        </w:tc>
        <w:tc>
          <w:tcPr>
            <w:tcW w:w="921" w:type="pct"/>
          </w:tcPr>
          <w:p w:rsidR="00586863" w:rsidRPr="007D0D5D" w:rsidRDefault="00586863" w:rsidP="0099548F">
            <w:pPr>
              <w:keepNext/>
              <w:spacing w:after="0" w:line="240" w:lineRule="auto"/>
              <w:jc w:val="center"/>
              <w:rPr>
                <w:sz w:val="18"/>
                <w:szCs w:val="18"/>
              </w:rPr>
            </w:pPr>
            <w:r w:rsidRPr="007D0D5D">
              <w:rPr>
                <w:sz w:val="18"/>
                <w:szCs w:val="18"/>
              </w:rPr>
              <w:t>116 and 38</w:t>
            </w:r>
          </w:p>
        </w:tc>
        <w:tc>
          <w:tcPr>
            <w:tcW w:w="917" w:type="pct"/>
          </w:tcPr>
          <w:p w:rsidR="00586863" w:rsidRPr="007D0D5D" w:rsidRDefault="00586863" w:rsidP="0099548F">
            <w:pPr>
              <w:keepNext/>
              <w:spacing w:after="0" w:line="240" w:lineRule="auto"/>
              <w:jc w:val="center"/>
              <w:rPr>
                <w:sz w:val="18"/>
                <w:szCs w:val="18"/>
              </w:rPr>
            </w:pPr>
            <w:r w:rsidRPr="007D0D5D">
              <w:rPr>
                <w:sz w:val="18"/>
                <w:szCs w:val="18"/>
              </w:rPr>
              <w:t>1,012</w:t>
            </w:r>
          </w:p>
        </w:tc>
        <w:tc>
          <w:tcPr>
            <w:tcW w:w="916" w:type="pct"/>
          </w:tcPr>
          <w:p w:rsidR="00586863" w:rsidRPr="007D0D5D" w:rsidRDefault="00586863" w:rsidP="0099548F">
            <w:pPr>
              <w:keepNext/>
              <w:spacing w:after="0" w:line="240" w:lineRule="auto"/>
              <w:jc w:val="center"/>
              <w:rPr>
                <w:sz w:val="18"/>
                <w:szCs w:val="18"/>
              </w:rPr>
            </w:pPr>
            <w:r w:rsidRPr="007D0D5D">
              <w:rPr>
                <w:sz w:val="18"/>
                <w:szCs w:val="18"/>
              </w:rPr>
              <w:t>6.58</w:t>
            </w:r>
          </w:p>
        </w:tc>
      </w:tr>
    </w:tbl>
    <w:p w:rsidR="00586863" w:rsidRPr="007D0D5D" w:rsidRDefault="00586863" w:rsidP="0099548F">
      <w:pPr>
        <w:rPr>
          <w:sz w:val="16"/>
        </w:rPr>
      </w:pPr>
      <w:r w:rsidRPr="007D0D5D">
        <w:rPr>
          <w:sz w:val="16"/>
        </w:rPr>
        <w:t>*Setanta’s administration saw its final season’s rights bought by ESPN.</w:t>
      </w:r>
    </w:p>
    <w:p w:rsidR="007D0D5D" w:rsidRDefault="007D0D5D">
      <w:pPr>
        <w:spacing w:after="200" w:line="276" w:lineRule="auto"/>
        <w:rPr>
          <w:rFonts w:ascii="Calibri" w:eastAsiaTheme="majorEastAsia" w:hAnsi="Calibri" w:cstheme="majorBidi"/>
          <w:bCs/>
          <w:iCs/>
        </w:rPr>
      </w:pPr>
      <w:r>
        <w:br w:type="page"/>
      </w:r>
    </w:p>
    <w:p w:rsidR="00586863" w:rsidRPr="00165E35" w:rsidRDefault="00586863" w:rsidP="0099548F">
      <w:pPr>
        <w:pStyle w:val="Heading4"/>
        <w:rPr>
          <w:rFonts w:ascii="Times New Roman" w:hAnsi="Times New Roman" w:cs="Times New Roman"/>
        </w:rPr>
      </w:pPr>
      <w:r w:rsidRPr="00165E35">
        <w:rPr>
          <w:rFonts w:ascii="Times New Roman" w:hAnsi="Times New Roman" w:cs="Times New Roman"/>
        </w:rPr>
        <w:lastRenderedPageBreak/>
        <w:t>Table 2. English Premier League wage</w:t>
      </w:r>
      <w:r w:rsidR="009D12EA" w:rsidRPr="00165E35">
        <w:rPr>
          <w:rFonts w:ascii="Times New Roman" w:hAnsi="Times New Roman" w:cs="Times New Roman"/>
        </w:rPr>
        <w:t xml:space="preserve"> bill</w:t>
      </w:r>
      <w:r w:rsidRPr="00165E35">
        <w:rPr>
          <w:rFonts w:ascii="Times New Roman" w:hAnsi="Times New Roman" w:cs="Times New Roman"/>
        </w:rPr>
        <w:t xml:space="preserve"> and relative wages by season</w:t>
      </w:r>
      <w:r w:rsidR="008F3AE8" w:rsidRPr="00165E35">
        <w:rPr>
          <w:rFonts w:ascii="Times New Roman" w:hAnsi="Times New Roman" w:cs="Times New Roman"/>
        </w:rPr>
        <w:t xml:space="preserve"> (Deloitte, various years)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5"/>
        <w:gridCol w:w="1155"/>
        <w:gridCol w:w="1155"/>
        <w:gridCol w:w="1156"/>
        <w:gridCol w:w="1156"/>
        <w:gridCol w:w="1156"/>
        <w:gridCol w:w="1156"/>
        <w:gridCol w:w="1156"/>
      </w:tblGrid>
      <w:tr w:rsidR="00586863" w:rsidRPr="007D0D5D" w:rsidTr="0099548F">
        <w:trPr>
          <w:trHeight w:val="20"/>
        </w:trPr>
        <w:tc>
          <w:tcPr>
            <w:tcW w:w="625" w:type="pct"/>
            <w:shd w:val="clear" w:color="auto" w:fill="auto"/>
            <w:noWrap/>
            <w:vAlign w:val="bottom"/>
          </w:tcPr>
          <w:p w:rsidR="00586863" w:rsidRPr="007D0D5D" w:rsidRDefault="00586863" w:rsidP="0099548F">
            <w:pPr>
              <w:keepNext/>
              <w:spacing w:after="0" w:line="240" w:lineRule="auto"/>
              <w:rPr>
                <w:rFonts w:eastAsia="Times New Roman" w:cs="Times New Roman"/>
                <w:color w:val="000000"/>
                <w:sz w:val="18"/>
                <w:szCs w:val="18"/>
              </w:rPr>
            </w:pPr>
          </w:p>
        </w:tc>
        <w:tc>
          <w:tcPr>
            <w:tcW w:w="2500" w:type="pct"/>
            <w:gridSpan w:val="4"/>
            <w:shd w:val="clear" w:color="auto" w:fill="auto"/>
            <w:noWrap/>
            <w:vAlign w:val="bottom"/>
          </w:tcPr>
          <w:p w:rsidR="00586863" w:rsidRPr="007D0D5D" w:rsidRDefault="00586863" w:rsidP="0099548F">
            <w:pPr>
              <w:keepNext/>
              <w:spacing w:after="0" w:line="240" w:lineRule="auto"/>
              <w:jc w:val="center"/>
              <w:rPr>
                <w:rFonts w:eastAsia="Times New Roman" w:cs="Times New Roman"/>
                <w:color w:val="000000"/>
                <w:sz w:val="18"/>
                <w:szCs w:val="18"/>
              </w:rPr>
            </w:pPr>
            <w:r w:rsidRPr="007D0D5D">
              <w:rPr>
                <w:rFonts w:eastAsia="Times New Roman" w:cs="Times New Roman"/>
                <w:color w:val="000000"/>
                <w:sz w:val="18"/>
                <w:szCs w:val="18"/>
              </w:rPr>
              <w:t>Wage (in millions of £)</w:t>
            </w:r>
          </w:p>
        </w:tc>
        <w:tc>
          <w:tcPr>
            <w:tcW w:w="1876" w:type="pct"/>
            <w:gridSpan w:val="3"/>
          </w:tcPr>
          <w:p w:rsidR="00586863" w:rsidRPr="007D0D5D" w:rsidRDefault="00586863" w:rsidP="0099548F">
            <w:pPr>
              <w:keepNext/>
              <w:spacing w:after="0" w:line="240" w:lineRule="auto"/>
              <w:jc w:val="center"/>
              <w:rPr>
                <w:rFonts w:eastAsia="Times New Roman" w:cs="Times New Roman"/>
                <w:color w:val="000000"/>
                <w:sz w:val="18"/>
                <w:szCs w:val="18"/>
              </w:rPr>
            </w:pPr>
            <w:r w:rsidRPr="007D0D5D">
              <w:rPr>
                <w:rFonts w:eastAsia="Times New Roman" w:cs="Times New Roman"/>
                <w:color w:val="000000"/>
                <w:sz w:val="18"/>
                <w:szCs w:val="18"/>
              </w:rPr>
              <w:t>Relative wage (mean = 1)</w:t>
            </w:r>
          </w:p>
        </w:tc>
      </w:tr>
      <w:tr w:rsidR="00586863" w:rsidRPr="007D0D5D" w:rsidTr="0099548F">
        <w:trPr>
          <w:trHeight w:val="20"/>
        </w:trPr>
        <w:tc>
          <w:tcPr>
            <w:tcW w:w="625" w:type="pct"/>
            <w:shd w:val="clear" w:color="auto" w:fill="auto"/>
            <w:noWrap/>
            <w:vAlign w:val="bottom"/>
          </w:tcPr>
          <w:p w:rsidR="00586863" w:rsidRPr="007D0D5D" w:rsidRDefault="00586863" w:rsidP="0099548F">
            <w:pPr>
              <w:keepNext/>
              <w:spacing w:after="0" w:line="240" w:lineRule="auto"/>
              <w:rPr>
                <w:rFonts w:eastAsia="Times New Roman" w:cs="Times New Roman"/>
                <w:color w:val="000000"/>
                <w:sz w:val="18"/>
                <w:szCs w:val="18"/>
              </w:rPr>
            </w:pPr>
            <w:r w:rsidRPr="007D0D5D">
              <w:rPr>
                <w:rFonts w:eastAsia="Times New Roman" w:cs="Times New Roman"/>
                <w:color w:val="000000"/>
                <w:sz w:val="18"/>
                <w:szCs w:val="18"/>
              </w:rPr>
              <w:t>Season</w:t>
            </w:r>
          </w:p>
        </w:tc>
        <w:tc>
          <w:tcPr>
            <w:tcW w:w="625" w:type="pct"/>
            <w:shd w:val="clear" w:color="auto" w:fill="auto"/>
            <w:noWrap/>
            <w:vAlign w:val="bottom"/>
          </w:tcPr>
          <w:p w:rsidR="00586863" w:rsidRPr="007D0D5D" w:rsidRDefault="00586863" w:rsidP="0099548F">
            <w:pPr>
              <w:keepNext/>
              <w:spacing w:after="0" w:line="240" w:lineRule="auto"/>
              <w:jc w:val="center"/>
              <w:rPr>
                <w:rFonts w:eastAsia="Times New Roman" w:cs="Times New Roman"/>
                <w:color w:val="000000"/>
                <w:sz w:val="18"/>
                <w:szCs w:val="18"/>
              </w:rPr>
            </w:pPr>
            <w:r w:rsidRPr="007D0D5D">
              <w:rPr>
                <w:rFonts w:eastAsia="Times New Roman" w:cs="Times New Roman"/>
                <w:color w:val="000000"/>
                <w:sz w:val="18"/>
                <w:szCs w:val="18"/>
              </w:rPr>
              <w:t>Mean</w:t>
            </w:r>
          </w:p>
        </w:tc>
        <w:tc>
          <w:tcPr>
            <w:tcW w:w="625" w:type="pct"/>
            <w:shd w:val="clear" w:color="auto" w:fill="auto"/>
            <w:noWrap/>
            <w:vAlign w:val="bottom"/>
          </w:tcPr>
          <w:p w:rsidR="00586863" w:rsidRPr="007D0D5D" w:rsidRDefault="00586863" w:rsidP="0099548F">
            <w:pPr>
              <w:keepNext/>
              <w:spacing w:after="0" w:line="240" w:lineRule="auto"/>
              <w:jc w:val="center"/>
              <w:rPr>
                <w:rFonts w:eastAsia="Times New Roman" w:cs="Times New Roman"/>
                <w:color w:val="000000"/>
                <w:sz w:val="18"/>
                <w:szCs w:val="18"/>
              </w:rPr>
            </w:pPr>
            <w:r w:rsidRPr="007D0D5D">
              <w:rPr>
                <w:rFonts w:eastAsia="Times New Roman" w:cs="Times New Roman"/>
                <w:color w:val="000000"/>
                <w:sz w:val="18"/>
                <w:szCs w:val="18"/>
              </w:rPr>
              <w:t>St. dev.</w:t>
            </w:r>
          </w:p>
        </w:tc>
        <w:tc>
          <w:tcPr>
            <w:tcW w:w="625" w:type="pct"/>
            <w:shd w:val="clear" w:color="auto" w:fill="auto"/>
            <w:noWrap/>
            <w:vAlign w:val="bottom"/>
          </w:tcPr>
          <w:p w:rsidR="00586863" w:rsidRPr="007D0D5D" w:rsidRDefault="00586863" w:rsidP="0099548F">
            <w:pPr>
              <w:keepNext/>
              <w:spacing w:after="0" w:line="240" w:lineRule="auto"/>
              <w:jc w:val="center"/>
              <w:rPr>
                <w:rFonts w:eastAsia="Times New Roman" w:cs="Times New Roman"/>
                <w:color w:val="000000"/>
                <w:sz w:val="18"/>
                <w:szCs w:val="18"/>
              </w:rPr>
            </w:pPr>
            <w:r w:rsidRPr="007D0D5D">
              <w:rPr>
                <w:rFonts w:eastAsia="Times New Roman" w:cs="Times New Roman"/>
                <w:color w:val="000000"/>
                <w:sz w:val="18"/>
                <w:szCs w:val="18"/>
              </w:rPr>
              <w:t>Minimum</w:t>
            </w:r>
          </w:p>
        </w:tc>
        <w:tc>
          <w:tcPr>
            <w:tcW w:w="625" w:type="pct"/>
            <w:shd w:val="clear" w:color="auto" w:fill="auto"/>
            <w:noWrap/>
            <w:vAlign w:val="bottom"/>
          </w:tcPr>
          <w:p w:rsidR="00586863" w:rsidRPr="007D0D5D" w:rsidRDefault="00586863" w:rsidP="0099548F">
            <w:pPr>
              <w:keepNext/>
              <w:spacing w:after="0" w:line="240" w:lineRule="auto"/>
              <w:jc w:val="center"/>
              <w:rPr>
                <w:rFonts w:eastAsia="Times New Roman" w:cs="Times New Roman"/>
                <w:color w:val="000000"/>
                <w:sz w:val="18"/>
                <w:szCs w:val="18"/>
              </w:rPr>
            </w:pPr>
            <w:r w:rsidRPr="007D0D5D">
              <w:rPr>
                <w:rFonts w:eastAsia="Times New Roman" w:cs="Times New Roman"/>
                <w:color w:val="000000"/>
                <w:sz w:val="18"/>
                <w:szCs w:val="18"/>
              </w:rPr>
              <w:t>Maximum</w:t>
            </w:r>
          </w:p>
        </w:tc>
        <w:tc>
          <w:tcPr>
            <w:tcW w:w="625" w:type="pct"/>
          </w:tcPr>
          <w:p w:rsidR="00586863" w:rsidRPr="007D0D5D" w:rsidRDefault="00586863" w:rsidP="0099548F">
            <w:pPr>
              <w:keepNext/>
              <w:spacing w:after="0" w:line="240" w:lineRule="auto"/>
              <w:jc w:val="center"/>
              <w:rPr>
                <w:rFonts w:eastAsia="Times New Roman" w:cs="Times New Roman"/>
                <w:color w:val="000000"/>
                <w:sz w:val="18"/>
                <w:szCs w:val="18"/>
              </w:rPr>
            </w:pPr>
            <w:r w:rsidRPr="007D0D5D">
              <w:rPr>
                <w:rFonts w:eastAsia="Times New Roman" w:cs="Times New Roman"/>
                <w:color w:val="000000"/>
                <w:sz w:val="18"/>
                <w:szCs w:val="18"/>
              </w:rPr>
              <w:t>St. dev.</w:t>
            </w:r>
          </w:p>
        </w:tc>
        <w:tc>
          <w:tcPr>
            <w:tcW w:w="625" w:type="pct"/>
            <w:vAlign w:val="bottom"/>
          </w:tcPr>
          <w:p w:rsidR="00586863" w:rsidRPr="007D0D5D" w:rsidRDefault="00586863" w:rsidP="0099548F">
            <w:pPr>
              <w:keepNext/>
              <w:spacing w:after="0" w:line="240" w:lineRule="auto"/>
              <w:jc w:val="center"/>
              <w:rPr>
                <w:rFonts w:eastAsia="Times New Roman" w:cs="Times New Roman"/>
                <w:color w:val="000000"/>
                <w:sz w:val="18"/>
                <w:szCs w:val="18"/>
              </w:rPr>
            </w:pPr>
            <w:r w:rsidRPr="007D0D5D">
              <w:rPr>
                <w:rFonts w:eastAsia="Times New Roman" w:cs="Times New Roman"/>
                <w:color w:val="000000"/>
                <w:sz w:val="18"/>
                <w:szCs w:val="18"/>
              </w:rPr>
              <w:t>Minimum</w:t>
            </w:r>
          </w:p>
        </w:tc>
        <w:tc>
          <w:tcPr>
            <w:tcW w:w="625" w:type="pct"/>
            <w:vAlign w:val="bottom"/>
          </w:tcPr>
          <w:p w:rsidR="00586863" w:rsidRPr="007D0D5D" w:rsidRDefault="00586863" w:rsidP="0099548F">
            <w:pPr>
              <w:keepNext/>
              <w:spacing w:after="0" w:line="240" w:lineRule="auto"/>
              <w:jc w:val="center"/>
              <w:rPr>
                <w:rFonts w:eastAsia="Times New Roman" w:cs="Times New Roman"/>
                <w:color w:val="000000"/>
                <w:sz w:val="18"/>
                <w:szCs w:val="18"/>
              </w:rPr>
            </w:pPr>
            <w:r w:rsidRPr="007D0D5D">
              <w:rPr>
                <w:rFonts w:eastAsia="Times New Roman" w:cs="Times New Roman"/>
                <w:color w:val="000000"/>
                <w:sz w:val="18"/>
                <w:szCs w:val="18"/>
              </w:rPr>
              <w:t>Maximum</w:t>
            </w:r>
          </w:p>
        </w:tc>
      </w:tr>
      <w:tr w:rsidR="00586863" w:rsidRPr="007D0D5D" w:rsidTr="0099548F">
        <w:trPr>
          <w:trHeight w:val="20"/>
        </w:trPr>
        <w:tc>
          <w:tcPr>
            <w:tcW w:w="625" w:type="pct"/>
            <w:shd w:val="clear" w:color="auto" w:fill="auto"/>
            <w:noWrap/>
            <w:vAlign w:val="center"/>
            <w:hideMark/>
          </w:tcPr>
          <w:p w:rsidR="00586863" w:rsidRPr="007D0D5D" w:rsidRDefault="00586863" w:rsidP="0099548F">
            <w:pPr>
              <w:keepNext/>
              <w:spacing w:after="0" w:line="240" w:lineRule="auto"/>
              <w:rPr>
                <w:rFonts w:eastAsia="Times New Roman" w:cs="Times New Roman"/>
                <w:color w:val="000000"/>
                <w:sz w:val="18"/>
                <w:szCs w:val="18"/>
              </w:rPr>
            </w:pPr>
            <w:r w:rsidRPr="007D0D5D">
              <w:rPr>
                <w:rFonts w:eastAsia="Times New Roman" w:cs="Times New Roman"/>
                <w:color w:val="000000"/>
                <w:sz w:val="18"/>
                <w:szCs w:val="18"/>
              </w:rPr>
              <w:t>2001-02</w:t>
            </w:r>
          </w:p>
        </w:tc>
        <w:tc>
          <w:tcPr>
            <w:tcW w:w="625" w:type="pct"/>
            <w:shd w:val="clear" w:color="auto" w:fill="auto"/>
            <w:noWrap/>
            <w:vAlign w:val="bottom"/>
            <w:hideMark/>
          </w:tcPr>
          <w:p w:rsidR="00586863" w:rsidRPr="007D0D5D" w:rsidRDefault="00586863" w:rsidP="0099548F">
            <w:pPr>
              <w:keepNext/>
              <w:tabs>
                <w:tab w:val="decimal" w:pos="483"/>
              </w:tabs>
              <w:spacing w:after="0" w:line="240" w:lineRule="auto"/>
              <w:rPr>
                <w:rFonts w:eastAsia="Times New Roman" w:cs="Times New Roman"/>
                <w:color w:val="000000"/>
                <w:sz w:val="18"/>
                <w:szCs w:val="18"/>
              </w:rPr>
            </w:pPr>
            <w:r w:rsidRPr="007D0D5D">
              <w:rPr>
                <w:rFonts w:eastAsia="Times New Roman" w:cs="Times New Roman"/>
                <w:color w:val="000000"/>
                <w:sz w:val="18"/>
                <w:szCs w:val="18"/>
              </w:rPr>
              <w:t>35.02</w:t>
            </w:r>
          </w:p>
        </w:tc>
        <w:tc>
          <w:tcPr>
            <w:tcW w:w="625" w:type="pct"/>
            <w:shd w:val="clear" w:color="auto" w:fill="auto"/>
            <w:noWrap/>
            <w:vAlign w:val="bottom"/>
            <w:hideMark/>
          </w:tcPr>
          <w:p w:rsidR="00586863" w:rsidRPr="007D0D5D" w:rsidRDefault="00586863" w:rsidP="0099548F">
            <w:pPr>
              <w:keepNext/>
              <w:tabs>
                <w:tab w:val="decimal" w:pos="483"/>
              </w:tabs>
              <w:spacing w:after="0" w:line="240" w:lineRule="auto"/>
              <w:rPr>
                <w:rFonts w:eastAsia="Times New Roman" w:cs="Times New Roman"/>
                <w:color w:val="000000"/>
                <w:sz w:val="18"/>
                <w:szCs w:val="18"/>
              </w:rPr>
            </w:pPr>
            <w:r w:rsidRPr="007D0D5D">
              <w:rPr>
                <w:rFonts w:eastAsia="Times New Roman" w:cs="Times New Roman"/>
                <w:color w:val="000000"/>
                <w:sz w:val="18"/>
                <w:szCs w:val="18"/>
              </w:rPr>
              <w:t>14.87</w:t>
            </w:r>
          </w:p>
        </w:tc>
        <w:tc>
          <w:tcPr>
            <w:tcW w:w="625" w:type="pct"/>
            <w:shd w:val="clear" w:color="auto" w:fill="auto"/>
            <w:noWrap/>
            <w:vAlign w:val="bottom"/>
            <w:hideMark/>
          </w:tcPr>
          <w:p w:rsidR="00586863" w:rsidRPr="007D0D5D" w:rsidRDefault="00586863" w:rsidP="0099548F">
            <w:pPr>
              <w:keepNext/>
              <w:tabs>
                <w:tab w:val="decimal" w:pos="483"/>
              </w:tabs>
              <w:spacing w:after="0" w:line="240" w:lineRule="auto"/>
              <w:rPr>
                <w:rFonts w:eastAsia="Times New Roman" w:cs="Times New Roman"/>
                <w:color w:val="000000"/>
                <w:sz w:val="18"/>
                <w:szCs w:val="18"/>
              </w:rPr>
            </w:pPr>
            <w:r w:rsidRPr="007D0D5D">
              <w:rPr>
                <w:rFonts w:eastAsia="Times New Roman" w:cs="Times New Roman"/>
                <w:color w:val="000000"/>
                <w:sz w:val="18"/>
                <w:szCs w:val="18"/>
              </w:rPr>
              <w:t>18.22</w:t>
            </w:r>
          </w:p>
        </w:tc>
        <w:tc>
          <w:tcPr>
            <w:tcW w:w="625" w:type="pct"/>
            <w:shd w:val="clear" w:color="auto" w:fill="auto"/>
            <w:noWrap/>
            <w:vAlign w:val="bottom"/>
            <w:hideMark/>
          </w:tcPr>
          <w:p w:rsidR="00586863" w:rsidRPr="007D0D5D" w:rsidRDefault="00586863" w:rsidP="0099548F">
            <w:pPr>
              <w:keepNext/>
              <w:tabs>
                <w:tab w:val="decimal" w:pos="483"/>
              </w:tabs>
              <w:spacing w:after="0" w:line="240" w:lineRule="auto"/>
              <w:rPr>
                <w:rFonts w:eastAsia="Times New Roman" w:cs="Times New Roman"/>
                <w:color w:val="000000"/>
                <w:sz w:val="18"/>
                <w:szCs w:val="18"/>
              </w:rPr>
            </w:pPr>
            <w:r w:rsidRPr="007D0D5D">
              <w:rPr>
                <w:rFonts w:eastAsia="Times New Roman" w:cs="Times New Roman"/>
                <w:color w:val="000000"/>
                <w:sz w:val="18"/>
                <w:szCs w:val="18"/>
              </w:rPr>
              <w:t>62.22</w:t>
            </w:r>
          </w:p>
        </w:tc>
        <w:tc>
          <w:tcPr>
            <w:tcW w:w="625" w:type="pct"/>
          </w:tcPr>
          <w:p w:rsidR="00586863" w:rsidRPr="007D0D5D" w:rsidRDefault="00586863" w:rsidP="0099548F">
            <w:pPr>
              <w:keepNext/>
              <w:tabs>
                <w:tab w:val="decimal" w:pos="483"/>
              </w:tabs>
              <w:spacing w:after="0" w:line="240" w:lineRule="auto"/>
              <w:rPr>
                <w:sz w:val="18"/>
                <w:szCs w:val="18"/>
              </w:rPr>
            </w:pPr>
            <w:r w:rsidRPr="007D0D5D">
              <w:rPr>
                <w:sz w:val="18"/>
                <w:szCs w:val="18"/>
              </w:rPr>
              <w:t>0.426</w:t>
            </w:r>
          </w:p>
        </w:tc>
        <w:tc>
          <w:tcPr>
            <w:tcW w:w="625" w:type="pct"/>
          </w:tcPr>
          <w:p w:rsidR="00586863" w:rsidRPr="007D0D5D" w:rsidRDefault="00586863" w:rsidP="0099548F">
            <w:pPr>
              <w:keepNext/>
              <w:tabs>
                <w:tab w:val="decimal" w:pos="483"/>
              </w:tabs>
              <w:spacing w:after="0" w:line="240" w:lineRule="auto"/>
              <w:rPr>
                <w:sz w:val="18"/>
                <w:szCs w:val="18"/>
              </w:rPr>
            </w:pPr>
            <w:r w:rsidRPr="007D0D5D">
              <w:rPr>
                <w:sz w:val="18"/>
                <w:szCs w:val="18"/>
              </w:rPr>
              <w:t>0.512</w:t>
            </w:r>
          </w:p>
        </w:tc>
        <w:tc>
          <w:tcPr>
            <w:tcW w:w="625" w:type="pct"/>
          </w:tcPr>
          <w:p w:rsidR="00586863" w:rsidRPr="007D0D5D" w:rsidRDefault="00586863" w:rsidP="0099548F">
            <w:pPr>
              <w:keepNext/>
              <w:tabs>
                <w:tab w:val="decimal" w:pos="483"/>
              </w:tabs>
              <w:spacing w:after="0" w:line="240" w:lineRule="auto"/>
              <w:rPr>
                <w:sz w:val="18"/>
                <w:szCs w:val="18"/>
              </w:rPr>
            </w:pPr>
            <w:r w:rsidRPr="007D0D5D">
              <w:rPr>
                <w:sz w:val="18"/>
                <w:szCs w:val="18"/>
              </w:rPr>
              <w:t>1.944</w:t>
            </w:r>
          </w:p>
        </w:tc>
      </w:tr>
      <w:tr w:rsidR="00586863" w:rsidRPr="007D0D5D" w:rsidTr="0099548F">
        <w:trPr>
          <w:trHeight w:val="20"/>
        </w:trPr>
        <w:tc>
          <w:tcPr>
            <w:tcW w:w="625" w:type="pct"/>
            <w:shd w:val="clear" w:color="auto" w:fill="auto"/>
            <w:noWrap/>
            <w:vAlign w:val="center"/>
            <w:hideMark/>
          </w:tcPr>
          <w:p w:rsidR="00586863" w:rsidRPr="007D0D5D" w:rsidRDefault="00586863" w:rsidP="0099548F">
            <w:pPr>
              <w:keepNext/>
              <w:spacing w:after="0" w:line="240" w:lineRule="auto"/>
              <w:rPr>
                <w:rFonts w:eastAsia="Times New Roman" w:cs="Times New Roman"/>
                <w:color w:val="000000"/>
                <w:sz w:val="18"/>
                <w:szCs w:val="18"/>
              </w:rPr>
            </w:pPr>
            <w:r w:rsidRPr="007D0D5D">
              <w:rPr>
                <w:rFonts w:eastAsia="Times New Roman" w:cs="Times New Roman"/>
                <w:color w:val="000000"/>
                <w:sz w:val="18"/>
                <w:szCs w:val="18"/>
              </w:rPr>
              <w:t>2002-03</w:t>
            </w:r>
          </w:p>
        </w:tc>
        <w:tc>
          <w:tcPr>
            <w:tcW w:w="625" w:type="pct"/>
            <w:shd w:val="clear" w:color="auto" w:fill="auto"/>
            <w:noWrap/>
            <w:vAlign w:val="bottom"/>
            <w:hideMark/>
          </w:tcPr>
          <w:p w:rsidR="00586863" w:rsidRPr="007D0D5D" w:rsidRDefault="00586863" w:rsidP="0099548F">
            <w:pPr>
              <w:keepNext/>
              <w:tabs>
                <w:tab w:val="decimal" w:pos="483"/>
              </w:tabs>
              <w:spacing w:after="0" w:line="240" w:lineRule="auto"/>
              <w:rPr>
                <w:rFonts w:eastAsia="Times New Roman" w:cs="Times New Roman"/>
                <w:color w:val="000000"/>
                <w:sz w:val="18"/>
                <w:szCs w:val="18"/>
              </w:rPr>
            </w:pPr>
            <w:r w:rsidRPr="007D0D5D">
              <w:rPr>
                <w:rFonts w:eastAsia="Times New Roman" w:cs="Times New Roman"/>
                <w:color w:val="000000"/>
                <w:sz w:val="18"/>
                <w:szCs w:val="18"/>
              </w:rPr>
              <w:t>36.78</w:t>
            </w:r>
          </w:p>
        </w:tc>
        <w:tc>
          <w:tcPr>
            <w:tcW w:w="625" w:type="pct"/>
            <w:shd w:val="clear" w:color="auto" w:fill="auto"/>
            <w:noWrap/>
            <w:vAlign w:val="bottom"/>
            <w:hideMark/>
          </w:tcPr>
          <w:p w:rsidR="00586863" w:rsidRPr="007D0D5D" w:rsidRDefault="00586863" w:rsidP="0099548F">
            <w:pPr>
              <w:keepNext/>
              <w:tabs>
                <w:tab w:val="decimal" w:pos="483"/>
              </w:tabs>
              <w:spacing w:after="0" w:line="240" w:lineRule="auto"/>
              <w:rPr>
                <w:rFonts w:eastAsia="Times New Roman" w:cs="Times New Roman"/>
                <w:color w:val="000000"/>
                <w:sz w:val="18"/>
                <w:szCs w:val="18"/>
              </w:rPr>
            </w:pPr>
            <w:r w:rsidRPr="007D0D5D">
              <w:rPr>
                <w:rFonts w:eastAsia="Times New Roman" w:cs="Times New Roman"/>
                <w:color w:val="000000"/>
                <w:sz w:val="18"/>
                <w:szCs w:val="18"/>
              </w:rPr>
              <w:t>15.11</w:t>
            </w:r>
          </w:p>
        </w:tc>
        <w:tc>
          <w:tcPr>
            <w:tcW w:w="625" w:type="pct"/>
            <w:shd w:val="clear" w:color="auto" w:fill="auto"/>
            <w:noWrap/>
            <w:vAlign w:val="bottom"/>
            <w:hideMark/>
          </w:tcPr>
          <w:p w:rsidR="00586863" w:rsidRPr="007D0D5D" w:rsidRDefault="00586863" w:rsidP="0099548F">
            <w:pPr>
              <w:keepNext/>
              <w:tabs>
                <w:tab w:val="decimal" w:pos="483"/>
              </w:tabs>
              <w:spacing w:after="0" w:line="240" w:lineRule="auto"/>
              <w:rPr>
                <w:rFonts w:eastAsia="Times New Roman" w:cs="Times New Roman"/>
                <w:color w:val="000000"/>
                <w:sz w:val="18"/>
                <w:szCs w:val="18"/>
              </w:rPr>
            </w:pPr>
            <w:r w:rsidRPr="007D0D5D">
              <w:rPr>
                <w:rFonts w:eastAsia="Times New Roman" w:cs="Times New Roman"/>
                <w:color w:val="000000"/>
                <w:sz w:val="18"/>
                <w:szCs w:val="18"/>
              </w:rPr>
              <w:t>11.37</w:t>
            </w:r>
          </w:p>
        </w:tc>
        <w:tc>
          <w:tcPr>
            <w:tcW w:w="625" w:type="pct"/>
            <w:shd w:val="clear" w:color="auto" w:fill="auto"/>
            <w:noWrap/>
            <w:vAlign w:val="bottom"/>
            <w:hideMark/>
          </w:tcPr>
          <w:p w:rsidR="00586863" w:rsidRPr="007D0D5D" w:rsidRDefault="00586863" w:rsidP="0099548F">
            <w:pPr>
              <w:keepNext/>
              <w:tabs>
                <w:tab w:val="decimal" w:pos="483"/>
              </w:tabs>
              <w:spacing w:after="0" w:line="240" w:lineRule="auto"/>
              <w:rPr>
                <w:rFonts w:eastAsia="Times New Roman" w:cs="Times New Roman"/>
                <w:color w:val="000000"/>
                <w:sz w:val="18"/>
                <w:szCs w:val="18"/>
              </w:rPr>
            </w:pPr>
            <w:r w:rsidRPr="007D0D5D">
              <w:rPr>
                <w:rFonts w:eastAsia="Times New Roman" w:cs="Times New Roman"/>
                <w:color w:val="000000"/>
                <w:sz w:val="18"/>
                <w:szCs w:val="18"/>
              </w:rPr>
              <w:t>70.46</w:t>
            </w:r>
          </w:p>
        </w:tc>
        <w:tc>
          <w:tcPr>
            <w:tcW w:w="625" w:type="pct"/>
          </w:tcPr>
          <w:p w:rsidR="00586863" w:rsidRPr="007D0D5D" w:rsidRDefault="00586863" w:rsidP="0099548F">
            <w:pPr>
              <w:keepNext/>
              <w:tabs>
                <w:tab w:val="decimal" w:pos="483"/>
              </w:tabs>
              <w:spacing w:after="0" w:line="240" w:lineRule="auto"/>
              <w:rPr>
                <w:sz w:val="18"/>
                <w:szCs w:val="18"/>
              </w:rPr>
            </w:pPr>
            <w:r w:rsidRPr="007D0D5D">
              <w:rPr>
                <w:sz w:val="18"/>
                <w:szCs w:val="18"/>
              </w:rPr>
              <w:t>0.424</w:t>
            </w:r>
          </w:p>
        </w:tc>
        <w:tc>
          <w:tcPr>
            <w:tcW w:w="625" w:type="pct"/>
          </w:tcPr>
          <w:p w:rsidR="00586863" w:rsidRPr="007D0D5D" w:rsidRDefault="00586863" w:rsidP="0099548F">
            <w:pPr>
              <w:keepNext/>
              <w:tabs>
                <w:tab w:val="decimal" w:pos="483"/>
              </w:tabs>
              <w:spacing w:after="0" w:line="240" w:lineRule="auto"/>
              <w:rPr>
                <w:sz w:val="18"/>
                <w:szCs w:val="18"/>
              </w:rPr>
            </w:pPr>
            <w:r w:rsidRPr="007D0D5D">
              <w:rPr>
                <w:sz w:val="18"/>
                <w:szCs w:val="18"/>
              </w:rPr>
              <w:t>0.303</w:t>
            </w:r>
          </w:p>
        </w:tc>
        <w:tc>
          <w:tcPr>
            <w:tcW w:w="625" w:type="pct"/>
          </w:tcPr>
          <w:p w:rsidR="00586863" w:rsidRPr="007D0D5D" w:rsidRDefault="00586863" w:rsidP="0099548F">
            <w:pPr>
              <w:keepNext/>
              <w:tabs>
                <w:tab w:val="decimal" w:pos="483"/>
              </w:tabs>
              <w:spacing w:after="0" w:line="240" w:lineRule="auto"/>
              <w:rPr>
                <w:sz w:val="18"/>
                <w:szCs w:val="18"/>
              </w:rPr>
            </w:pPr>
            <w:r w:rsidRPr="007D0D5D">
              <w:rPr>
                <w:sz w:val="18"/>
                <w:szCs w:val="18"/>
              </w:rPr>
              <w:t>2.090</w:t>
            </w:r>
          </w:p>
        </w:tc>
      </w:tr>
      <w:tr w:rsidR="00586863" w:rsidRPr="007D0D5D" w:rsidTr="0099548F">
        <w:trPr>
          <w:trHeight w:val="20"/>
        </w:trPr>
        <w:tc>
          <w:tcPr>
            <w:tcW w:w="625" w:type="pct"/>
            <w:shd w:val="clear" w:color="auto" w:fill="auto"/>
            <w:noWrap/>
            <w:vAlign w:val="center"/>
            <w:hideMark/>
          </w:tcPr>
          <w:p w:rsidR="00586863" w:rsidRPr="007D0D5D" w:rsidRDefault="00586863" w:rsidP="0099548F">
            <w:pPr>
              <w:keepNext/>
              <w:spacing w:after="0" w:line="240" w:lineRule="auto"/>
              <w:rPr>
                <w:rFonts w:eastAsia="Times New Roman" w:cs="Times New Roman"/>
                <w:color w:val="000000"/>
                <w:sz w:val="18"/>
                <w:szCs w:val="18"/>
              </w:rPr>
            </w:pPr>
            <w:r w:rsidRPr="007D0D5D">
              <w:rPr>
                <w:rFonts w:eastAsia="Times New Roman" w:cs="Times New Roman"/>
                <w:color w:val="000000"/>
                <w:sz w:val="18"/>
                <w:szCs w:val="18"/>
              </w:rPr>
              <w:t>2003-04</w:t>
            </w:r>
          </w:p>
        </w:tc>
        <w:tc>
          <w:tcPr>
            <w:tcW w:w="625" w:type="pct"/>
            <w:shd w:val="clear" w:color="auto" w:fill="auto"/>
            <w:noWrap/>
            <w:vAlign w:val="bottom"/>
            <w:hideMark/>
          </w:tcPr>
          <w:p w:rsidR="00586863" w:rsidRPr="007D0D5D" w:rsidRDefault="00586863" w:rsidP="0099548F">
            <w:pPr>
              <w:keepNext/>
              <w:tabs>
                <w:tab w:val="decimal" w:pos="483"/>
              </w:tabs>
              <w:spacing w:after="0" w:line="240" w:lineRule="auto"/>
              <w:rPr>
                <w:rFonts w:eastAsia="Times New Roman" w:cs="Times New Roman"/>
                <w:color w:val="000000"/>
                <w:sz w:val="18"/>
                <w:szCs w:val="18"/>
              </w:rPr>
            </w:pPr>
            <w:r w:rsidRPr="007D0D5D">
              <w:rPr>
                <w:rFonts w:eastAsia="Times New Roman" w:cs="Times New Roman"/>
                <w:color w:val="000000"/>
                <w:sz w:val="18"/>
                <w:szCs w:val="18"/>
              </w:rPr>
              <w:t>39.38</w:t>
            </w:r>
          </w:p>
        </w:tc>
        <w:tc>
          <w:tcPr>
            <w:tcW w:w="625" w:type="pct"/>
            <w:shd w:val="clear" w:color="auto" w:fill="auto"/>
            <w:noWrap/>
            <w:vAlign w:val="bottom"/>
            <w:hideMark/>
          </w:tcPr>
          <w:p w:rsidR="00586863" w:rsidRPr="007D0D5D" w:rsidRDefault="00586863" w:rsidP="0099548F">
            <w:pPr>
              <w:keepNext/>
              <w:tabs>
                <w:tab w:val="decimal" w:pos="483"/>
              </w:tabs>
              <w:spacing w:after="0" w:line="240" w:lineRule="auto"/>
              <w:rPr>
                <w:rFonts w:eastAsia="Times New Roman" w:cs="Times New Roman"/>
                <w:color w:val="000000"/>
                <w:sz w:val="18"/>
                <w:szCs w:val="18"/>
              </w:rPr>
            </w:pPr>
            <w:r w:rsidRPr="007D0D5D">
              <w:rPr>
                <w:rFonts w:eastAsia="Times New Roman" w:cs="Times New Roman"/>
                <w:color w:val="000000"/>
                <w:sz w:val="18"/>
                <w:szCs w:val="18"/>
              </w:rPr>
              <w:t>22.84</w:t>
            </w:r>
          </w:p>
        </w:tc>
        <w:tc>
          <w:tcPr>
            <w:tcW w:w="625" w:type="pct"/>
            <w:shd w:val="clear" w:color="auto" w:fill="auto"/>
            <w:noWrap/>
            <w:vAlign w:val="bottom"/>
            <w:hideMark/>
          </w:tcPr>
          <w:p w:rsidR="00586863" w:rsidRPr="007D0D5D" w:rsidRDefault="00586863" w:rsidP="0099548F">
            <w:pPr>
              <w:keepNext/>
              <w:tabs>
                <w:tab w:val="decimal" w:pos="483"/>
              </w:tabs>
              <w:spacing w:after="0" w:line="240" w:lineRule="auto"/>
              <w:rPr>
                <w:rFonts w:eastAsia="Times New Roman" w:cs="Times New Roman"/>
                <w:color w:val="000000"/>
                <w:sz w:val="18"/>
                <w:szCs w:val="18"/>
              </w:rPr>
            </w:pPr>
            <w:r w:rsidRPr="007D0D5D">
              <w:rPr>
                <w:rFonts w:eastAsia="Times New Roman" w:cs="Times New Roman"/>
                <w:color w:val="000000"/>
                <w:sz w:val="18"/>
                <w:szCs w:val="18"/>
              </w:rPr>
              <w:t>19.28</w:t>
            </w:r>
          </w:p>
        </w:tc>
        <w:tc>
          <w:tcPr>
            <w:tcW w:w="625" w:type="pct"/>
            <w:shd w:val="clear" w:color="auto" w:fill="auto"/>
            <w:noWrap/>
            <w:vAlign w:val="bottom"/>
            <w:hideMark/>
          </w:tcPr>
          <w:p w:rsidR="00586863" w:rsidRPr="007D0D5D" w:rsidRDefault="00586863" w:rsidP="0099548F">
            <w:pPr>
              <w:keepNext/>
              <w:tabs>
                <w:tab w:val="decimal" w:pos="483"/>
              </w:tabs>
              <w:spacing w:after="0" w:line="240" w:lineRule="auto"/>
              <w:rPr>
                <w:rFonts w:eastAsia="Times New Roman" w:cs="Times New Roman"/>
                <w:color w:val="000000"/>
                <w:sz w:val="18"/>
                <w:szCs w:val="18"/>
              </w:rPr>
            </w:pPr>
            <w:r w:rsidRPr="007D0D5D">
              <w:rPr>
                <w:rFonts w:eastAsia="Times New Roman" w:cs="Times New Roman"/>
                <w:color w:val="000000"/>
                <w:sz w:val="18"/>
                <w:szCs w:val="18"/>
              </w:rPr>
              <w:t>115.57</w:t>
            </w:r>
          </w:p>
        </w:tc>
        <w:tc>
          <w:tcPr>
            <w:tcW w:w="625" w:type="pct"/>
          </w:tcPr>
          <w:p w:rsidR="00586863" w:rsidRPr="007D0D5D" w:rsidRDefault="00586863" w:rsidP="0099548F">
            <w:pPr>
              <w:keepNext/>
              <w:tabs>
                <w:tab w:val="decimal" w:pos="483"/>
              </w:tabs>
              <w:spacing w:after="0" w:line="240" w:lineRule="auto"/>
              <w:rPr>
                <w:sz w:val="18"/>
                <w:szCs w:val="18"/>
              </w:rPr>
            </w:pPr>
            <w:r w:rsidRPr="007D0D5D">
              <w:rPr>
                <w:sz w:val="18"/>
                <w:szCs w:val="18"/>
              </w:rPr>
              <w:t>0.584</w:t>
            </w:r>
          </w:p>
        </w:tc>
        <w:tc>
          <w:tcPr>
            <w:tcW w:w="625" w:type="pct"/>
          </w:tcPr>
          <w:p w:rsidR="00586863" w:rsidRPr="007D0D5D" w:rsidRDefault="00586863" w:rsidP="0099548F">
            <w:pPr>
              <w:keepNext/>
              <w:tabs>
                <w:tab w:val="decimal" w:pos="483"/>
              </w:tabs>
              <w:spacing w:after="0" w:line="240" w:lineRule="auto"/>
              <w:rPr>
                <w:sz w:val="18"/>
                <w:szCs w:val="18"/>
              </w:rPr>
            </w:pPr>
            <w:r w:rsidRPr="007D0D5D">
              <w:rPr>
                <w:sz w:val="18"/>
                <w:szCs w:val="18"/>
              </w:rPr>
              <w:t>0.475</w:t>
            </w:r>
          </w:p>
        </w:tc>
        <w:tc>
          <w:tcPr>
            <w:tcW w:w="625" w:type="pct"/>
          </w:tcPr>
          <w:p w:rsidR="00586863" w:rsidRPr="007D0D5D" w:rsidRDefault="00586863" w:rsidP="0099548F">
            <w:pPr>
              <w:keepNext/>
              <w:tabs>
                <w:tab w:val="decimal" w:pos="483"/>
              </w:tabs>
              <w:spacing w:after="0" w:line="240" w:lineRule="auto"/>
              <w:rPr>
                <w:sz w:val="18"/>
                <w:szCs w:val="18"/>
              </w:rPr>
            </w:pPr>
            <w:r w:rsidRPr="007D0D5D">
              <w:rPr>
                <w:sz w:val="18"/>
                <w:szCs w:val="18"/>
              </w:rPr>
              <w:t>2.829</w:t>
            </w:r>
          </w:p>
        </w:tc>
      </w:tr>
      <w:tr w:rsidR="00586863" w:rsidRPr="007D0D5D" w:rsidTr="0099548F">
        <w:trPr>
          <w:trHeight w:val="20"/>
        </w:trPr>
        <w:tc>
          <w:tcPr>
            <w:tcW w:w="625" w:type="pct"/>
            <w:shd w:val="clear" w:color="auto" w:fill="auto"/>
            <w:noWrap/>
            <w:vAlign w:val="center"/>
            <w:hideMark/>
          </w:tcPr>
          <w:p w:rsidR="00586863" w:rsidRPr="007D0D5D" w:rsidRDefault="00586863" w:rsidP="0099548F">
            <w:pPr>
              <w:keepNext/>
              <w:spacing w:after="0" w:line="240" w:lineRule="auto"/>
              <w:rPr>
                <w:rFonts w:eastAsia="Times New Roman" w:cs="Times New Roman"/>
                <w:color w:val="000000"/>
                <w:sz w:val="18"/>
                <w:szCs w:val="18"/>
              </w:rPr>
            </w:pPr>
            <w:r w:rsidRPr="007D0D5D">
              <w:rPr>
                <w:rFonts w:eastAsia="Times New Roman" w:cs="Times New Roman"/>
                <w:color w:val="000000"/>
                <w:sz w:val="18"/>
                <w:szCs w:val="18"/>
              </w:rPr>
              <w:t>2004-05</w:t>
            </w:r>
          </w:p>
        </w:tc>
        <w:tc>
          <w:tcPr>
            <w:tcW w:w="625" w:type="pct"/>
            <w:shd w:val="clear" w:color="auto" w:fill="auto"/>
            <w:noWrap/>
            <w:vAlign w:val="bottom"/>
            <w:hideMark/>
          </w:tcPr>
          <w:p w:rsidR="00586863" w:rsidRPr="007D0D5D" w:rsidRDefault="00586863" w:rsidP="0099548F">
            <w:pPr>
              <w:keepNext/>
              <w:tabs>
                <w:tab w:val="decimal" w:pos="483"/>
              </w:tabs>
              <w:spacing w:after="0" w:line="240" w:lineRule="auto"/>
              <w:rPr>
                <w:rFonts w:eastAsia="Times New Roman" w:cs="Times New Roman"/>
                <w:color w:val="000000"/>
                <w:sz w:val="18"/>
                <w:szCs w:val="18"/>
              </w:rPr>
            </w:pPr>
            <w:r w:rsidRPr="007D0D5D">
              <w:rPr>
                <w:rFonts w:eastAsia="Times New Roman" w:cs="Times New Roman"/>
                <w:color w:val="000000"/>
                <w:sz w:val="18"/>
                <w:szCs w:val="18"/>
              </w:rPr>
              <w:t>38.47</w:t>
            </w:r>
          </w:p>
        </w:tc>
        <w:tc>
          <w:tcPr>
            <w:tcW w:w="625" w:type="pct"/>
            <w:shd w:val="clear" w:color="auto" w:fill="auto"/>
            <w:noWrap/>
            <w:vAlign w:val="bottom"/>
            <w:hideMark/>
          </w:tcPr>
          <w:p w:rsidR="00586863" w:rsidRPr="007D0D5D" w:rsidRDefault="00586863" w:rsidP="0099548F">
            <w:pPr>
              <w:keepNext/>
              <w:tabs>
                <w:tab w:val="decimal" w:pos="483"/>
              </w:tabs>
              <w:spacing w:after="0" w:line="240" w:lineRule="auto"/>
              <w:rPr>
                <w:rFonts w:eastAsia="Times New Roman" w:cs="Times New Roman"/>
                <w:color w:val="000000"/>
                <w:sz w:val="18"/>
                <w:szCs w:val="18"/>
              </w:rPr>
            </w:pPr>
            <w:r w:rsidRPr="007D0D5D">
              <w:rPr>
                <w:rFonts w:eastAsia="Times New Roman" w:cs="Times New Roman"/>
                <w:color w:val="000000"/>
                <w:sz w:val="18"/>
                <w:szCs w:val="18"/>
              </w:rPr>
              <w:t>22.28</w:t>
            </w:r>
          </w:p>
        </w:tc>
        <w:tc>
          <w:tcPr>
            <w:tcW w:w="625" w:type="pct"/>
            <w:shd w:val="clear" w:color="auto" w:fill="auto"/>
            <w:noWrap/>
            <w:vAlign w:val="bottom"/>
            <w:hideMark/>
          </w:tcPr>
          <w:p w:rsidR="00586863" w:rsidRPr="007D0D5D" w:rsidRDefault="00586863" w:rsidP="0099548F">
            <w:pPr>
              <w:keepNext/>
              <w:tabs>
                <w:tab w:val="decimal" w:pos="483"/>
              </w:tabs>
              <w:spacing w:after="0" w:line="240" w:lineRule="auto"/>
              <w:rPr>
                <w:rFonts w:eastAsia="Times New Roman" w:cs="Times New Roman"/>
                <w:color w:val="000000"/>
                <w:sz w:val="18"/>
                <w:szCs w:val="18"/>
              </w:rPr>
            </w:pPr>
            <w:r w:rsidRPr="007D0D5D">
              <w:rPr>
                <w:rFonts w:eastAsia="Times New Roman" w:cs="Times New Roman"/>
                <w:color w:val="000000"/>
                <w:sz w:val="18"/>
                <w:szCs w:val="18"/>
              </w:rPr>
              <w:t>16.92</w:t>
            </w:r>
          </w:p>
        </w:tc>
        <w:tc>
          <w:tcPr>
            <w:tcW w:w="625" w:type="pct"/>
            <w:shd w:val="clear" w:color="auto" w:fill="auto"/>
            <w:noWrap/>
            <w:vAlign w:val="bottom"/>
            <w:hideMark/>
          </w:tcPr>
          <w:p w:rsidR="00586863" w:rsidRPr="007D0D5D" w:rsidRDefault="00586863" w:rsidP="0099548F">
            <w:pPr>
              <w:keepNext/>
              <w:tabs>
                <w:tab w:val="decimal" w:pos="483"/>
              </w:tabs>
              <w:spacing w:after="0" w:line="240" w:lineRule="auto"/>
              <w:rPr>
                <w:rFonts w:eastAsia="Times New Roman" w:cs="Times New Roman"/>
                <w:color w:val="000000"/>
                <w:sz w:val="18"/>
                <w:szCs w:val="18"/>
              </w:rPr>
            </w:pPr>
            <w:r w:rsidRPr="007D0D5D">
              <w:rPr>
                <w:rFonts w:eastAsia="Times New Roman" w:cs="Times New Roman"/>
                <w:color w:val="000000"/>
                <w:sz w:val="18"/>
                <w:szCs w:val="18"/>
              </w:rPr>
              <w:t>108.89</w:t>
            </w:r>
          </w:p>
        </w:tc>
        <w:tc>
          <w:tcPr>
            <w:tcW w:w="625" w:type="pct"/>
          </w:tcPr>
          <w:p w:rsidR="00586863" w:rsidRPr="007D0D5D" w:rsidRDefault="00586863" w:rsidP="0099548F">
            <w:pPr>
              <w:keepNext/>
              <w:tabs>
                <w:tab w:val="decimal" w:pos="483"/>
              </w:tabs>
              <w:spacing w:after="0" w:line="240" w:lineRule="auto"/>
              <w:rPr>
                <w:sz w:val="18"/>
                <w:szCs w:val="18"/>
              </w:rPr>
            </w:pPr>
            <w:r w:rsidRPr="007D0D5D">
              <w:rPr>
                <w:sz w:val="18"/>
                <w:szCs w:val="18"/>
              </w:rPr>
              <w:t>0.573</w:t>
            </w:r>
          </w:p>
        </w:tc>
        <w:tc>
          <w:tcPr>
            <w:tcW w:w="625" w:type="pct"/>
          </w:tcPr>
          <w:p w:rsidR="00586863" w:rsidRPr="007D0D5D" w:rsidRDefault="00586863" w:rsidP="0099548F">
            <w:pPr>
              <w:keepNext/>
              <w:tabs>
                <w:tab w:val="decimal" w:pos="483"/>
              </w:tabs>
              <w:spacing w:after="0" w:line="240" w:lineRule="auto"/>
              <w:rPr>
                <w:sz w:val="18"/>
                <w:szCs w:val="18"/>
              </w:rPr>
            </w:pPr>
            <w:r w:rsidRPr="007D0D5D">
              <w:rPr>
                <w:sz w:val="18"/>
                <w:szCs w:val="18"/>
              </w:rPr>
              <w:t>0.419</w:t>
            </w:r>
          </w:p>
        </w:tc>
        <w:tc>
          <w:tcPr>
            <w:tcW w:w="625" w:type="pct"/>
          </w:tcPr>
          <w:p w:rsidR="00586863" w:rsidRPr="007D0D5D" w:rsidRDefault="00586863" w:rsidP="0099548F">
            <w:pPr>
              <w:keepNext/>
              <w:tabs>
                <w:tab w:val="decimal" w:pos="483"/>
              </w:tabs>
              <w:spacing w:after="0" w:line="240" w:lineRule="auto"/>
              <w:rPr>
                <w:sz w:val="18"/>
                <w:szCs w:val="18"/>
              </w:rPr>
            </w:pPr>
            <w:r w:rsidRPr="007D0D5D">
              <w:rPr>
                <w:sz w:val="18"/>
                <w:szCs w:val="18"/>
              </w:rPr>
              <w:t>2.695</w:t>
            </w:r>
          </w:p>
        </w:tc>
      </w:tr>
      <w:tr w:rsidR="00586863" w:rsidRPr="007D0D5D" w:rsidTr="0099548F">
        <w:trPr>
          <w:trHeight w:val="20"/>
        </w:trPr>
        <w:tc>
          <w:tcPr>
            <w:tcW w:w="625" w:type="pct"/>
            <w:shd w:val="clear" w:color="auto" w:fill="auto"/>
            <w:noWrap/>
            <w:vAlign w:val="center"/>
            <w:hideMark/>
          </w:tcPr>
          <w:p w:rsidR="00586863" w:rsidRPr="007D0D5D" w:rsidRDefault="00586863" w:rsidP="0099548F">
            <w:pPr>
              <w:keepNext/>
              <w:spacing w:after="0" w:line="240" w:lineRule="auto"/>
              <w:rPr>
                <w:rFonts w:eastAsia="Times New Roman" w:cs="Times New Roman"/>
                <w:color w:val="000000"/>
                <w:sz w:val="18"/>
                <w:szCs w:val="18"/>
              </w:rPr>
            </w:pPr>
            <w:r w:rsidRPr="007D0D5D">
              <w:rPr>
                <w:rFonts w:eastAsia="Times New Roman" w:cs="Times New Roman"/>
                <w:color w:val="000000"/>
                <w:sz w:val="18"/>
                <w:szCs w:val="18"/>
              </w:rPr>
              <w:t>2005-06</w:t>
            </w:r>
          </w:p>
        </w:tc>
        <w:tc>
          <w:tcPr>
            <w:tcW w:w="625" w:type="pct"/>
            <w:shd w:val="clear" w:color="auto" w:fill="auto"/>
            <w:noWrap/>
            <w:vAlign w:val="bottom"/>
            <w:hideMark/>
          </w:tcPr>
          <w:p w:rsidR="00586863" w:rsidRPr="007D0D5D" w:rsidRDefault="00586863" w:rsidP="0099548F">
            <w:pPr>
              <w:keepNext/>
              <w:tabs>
                <w:tab w:val="decimal" w:pos="483"/>
              </w:tabs>
              <w:spacing w:after="0" w:line="240" w:lineRule="auto"/>
              <w:rPr>
                <w:rFonts w:eastAsia="Times New Roman" w:cs="Times New Roman"/>
                <w:color w:val="000000"/>
                <w:sz w:val="18"/>
                <w:szCs w:val="18"/>
              </w:rPr>
            </w:pPr>
            <w:r w:rsidRPr="007D0D5D">
              <w:rPr>
                <w:rFonts w:eastAsia="Times New Roman" w:cs="Times New Roman"/>
                <w:color w:val="000000"/>
                <w:sz w:val="18"/>
                <w:szCs w:val="18"/>
              </w:rPr>
              <w:t>43.27</w:t>
            </w:r>
          </w:p>
        </w:tc>
        <w:tc>
          <w:tcPr>
            <w:tcW w:w="625" w:type="pct"/>
            <w:shd w:val="clear" w:color="auto" w:fill="auto"/>
            <w:noWrap/>
            <w:vAlign w:val="bottom"/>
            <w:hideMark/>
          </w:tcPr>
          <w:p w:rsidR="00586863" w:rsidRPr="007D0D5D" w:rsidRDefault="00586863" w:rsidP="0099548F">
            <w:pPr>
              <w:keepNext/>
              <w:tabs>
                <w:tab w:val="decimal" w:pos="483"/>
              </w:tabs>
              <w:spacing w:after="0" w:line="240" w:lineRule="auto"/>
              <w:rPr>
                <w:rFonts w:eastAsia="Times New Roman" w:cs="Times New Roman"/>
                <w:color w:val="000000"/>
                <w:sz w:val="18"/>
                <w:szCs w:val="18"/>
              </w:rPr>
            </w:pPr>
            <w:r w:rsidRPr="007D0D5D">
              <w:rPr>
                <w:rFonts w:eastAsia="Times New Roman" w:cs="Times New Roman"/>
                <w:color w:val="000000"/>
                <w:sz w:val="18"/>
                <w:szCs w:val="18"/>
              </w:rPr>
              <w:t>26.79</w:t>
            </w:r>
          </w:p>
        </w:tc>
        <w:tc>
          <w:tcPr>
            <w:tcW w:w="625" w:type="pct"/>
            <w:shd w:val="clear" w:color="auto" w:fill="auto"/>
            <w:noWrap/>
            <w:vAlign w:val="bottom"/>
            <w:hideMark/>
          </w:tcPr>
          <w:p w:rsidR="00586863" w:rsidRPr="007D0D5D" w:rsidRDefault="00586863" w:rsidP="0099548F">
            <w:pPr>
              <w:keepNext/>
              <w:tabs>
                <w:tab w:val="decimal" w:pos="483"/>
              </w:tabs>
              <w:spacing w:after="0" w:line="240" w:lineRule="auto"/>
              <w:rPr>
                <w:rFonts w:eastAsia="Times New Roman" w:cs="Times New Roman"/>
                <w:color w:val="000000"/>
                <w:sz w:val="18"/>
                <w:szCs w:val="18"/>
              </w:rPr>
            </w:pPr>
            <w:r w:rsidRPr="007D0D5D">
              <w:rPr>
                <w:rFonts w:eastAsia="Times New Roman" w:cs="Times New Roman"/>
                <w:color w:val="000000"/>
                <w:sz w:val="18"/>
                <w:szCs w:val="18"/>
              </w:rPr>
              <w:t>17.35</w:t>
            </w:r>
          </w:p>
        </w:tc>
        <w:tc>
          <w:tcPr>
            <w:tcW w:w="625" w:type="pct"/>
            <w:shd w:val="clear" w:color="auto" w:fill="auto"/>
            <w:noWrap/>
            <w:vAlign w:val="bottom"/>
            <w:hideMark/>
          </w:tcPr>
          <w:p w:rsidR="00586863" w:rsidRPr="007D0D5D" w:rsidRDefault="00586863" w:rsidP="0099548F">
            <w:pPr>
              <w:keepNext/>
              <w:tabs>
                <w:tab w:val="decimal" w:pos="483"/>
              </w:tabs>
              <w:spacing w:after="0" w:line="240" w:lineRule="auto"/>
              <w:rPr>
                <w:rFonts w:eastAsia="Times New Roman" w:cs="Times New Roman"/>
                <w:color w:val="000000"/>
                <w:sz w:val="18"/>
                <w:szCs w:val="18"/>
              </w:rPr>
            </w:pPr>
            <w:r w:rsidRPr="007D0D5D">
              <w:rPr>
                <w:rFonts w:eastAsia="Times New Roman" w:cs="Times New Roman"/>
                <w:color w:val="000000"/>
                <w:sz w:val="18"/>
                <w:szCs w:val="18"/>
              </w:rPr>
              <w:t>114.00</w:t>
            </w:r>
          </w:p>
        </w:tc>
        <w:tc>
          <w:tcPr>
            <w:tcW w:w="625" w:type="pct"/>
          </w:tcPr>
          <w:p w:rsidR="00586863" w:rsidRPr="007D0D5D" w:rsidRDefault="00586863" w:rsidP="0099548F">
            <w:pPr>
              <w:keepNext/>
              <w:tabs>
                <w:tab w:val="decimal" w:pos="483"/>
              </w:tabs>
              <w:spacing w:after="0" w:line="240" w:lineRule="auto"/>
              <w:rPr>
                <w:sz w:val="18"/>
                <w:szCs w:val="18"/>
              </w:rPr>
            </w:pPr>
            <w:r w:rsidRPr="007D0D5D">
              <w:rPr>
                <w:sz w:val="18"/>
                <w:szCs w:val="18"/>
              </w:rPr>
              <w:t>0.598</w:t>
            </w:r>
          </w:p>
        </w:tc>
        <w:tc>
          <w:tcPr>
            <w:tcW w:w="625" w:type="pct"/>
          </w:tcPr>
          <w:p w:rsidR="00586863" w:rsidRPr="007D0D5D" w:rsidRDefault="00586863" w:rsidP="0099548F">
            <w:pPr>
              <w:keepNext/>
              <w:tabs>
                <w:tab w:val="decimal" w:pos="483"/>
              </w:tabs>
              <w:spacing w:after="0" w:line="240" w:lineRule="auto"/>
              <w:rPr>
                <w:sz w:val="18"/>
                <w:szCs w:val="18"/>
              </w:rPr>
            </w:pPr>
            <w:r w:rsidRPr="007D0D5D">
              <w:rPr>
                <w:sz w:val="18"/>
                <w:szCs w:val="18"/>
              </w:rPr>
              <w:t>0.383</w:t>
            </w:r>
          </w:p>
        </w:tc>
        <w:tc>
          <w:tcPr>
            <w:tcW w:w="625" w:type="pct"/>
          </w:tcPr>
          <w:p w:rsidR="00586863" w:rsidRPr="007D0D5D" w:rsidRDefault="00586863" w:rsidP="0099548F">
            <w:pPr>
              <w:keepNext/>
              <w:tabs>
                <w:tab w:val="decimal" w:pos="483"/>
              </w:tabs>
              <w:spacing w:after="0" w:line="240" w:lineRule="auto"/>
              <w:rPr>
                <w:sz w:val="18"/>
                <w:szCs w:val="18"/>
              </w:rPr>
            </w:pPr>
            <w:r w:rsidRPr="007D0D5D">
              <w:rPr>
                <w:sz w:val="18"/>
                <w:szCs w:val="18"/>
              </w:rPr>
              <w:t>2.516</w:t>
            </w:r>
          </w:p>
        </w:tc>
      </w:tr>
      <w:tr w:rsidR="00586863" w:rsidRPr="007D0D5D" w:rsidTr="0099548F">
        <w:trPr>
          <w:trHeight w:val="20"/>
        </w:trPr>
        <w:tc>
          <w:tcPr>
            <w:tcW w:w="625" w:type="pct"/>
            <w:shd w:val="clear" w:color="auto" w:fill="auto"/>
            <w:noWrap/>
            <w:vAlign w:val="center"/>
            <w:hideMark/>
          </w:tcPr>
          <w:p w:rsidR="00586863" w:rsidRPr="007D0D5D" w:rsidRDefault="00586863" w:rsidP="0099548F">
            <w:pPr>
              <w:keepNext/>
              <w:spacing w:after="0" w:line="240" w:lineRule="auto"/>
              <w:rPr>
                <w:rFonts w:eastAsia="Times New Roman" w:cs="Times New Roman"/>
                <w:color w:val="000000"/>
                <w:sz w:val="18"/>
                <w:szCs w:val="18"/>
              </w:rPr>
            </w:pPr>
            <w:r w:rsidRPr="007D0D5D">
              <w:rPr>
                <w:rFonts w:eastAsia="Times New Roman" w:cs="Times New Roman"/>
                <w:color w:val="000000"/>
                <w:sz w:val="18"/>
                <w:szCs w:val="18"/>
              </w:rPr>
              <w:t>2006-07</w:t>
            </w:r>
          </w:p>
        </w:tc>
        <w:tc>
          <w:tcPr>
            <w:tcW w:w="625" w:type="pct"/>
            <w:shd w:val="clear" w:color="auto" w:fill="auto"/>
            <w:noWrap/>
            <w:vAlign w:val="bottom"/>
            <w:hideMark/>
          </w:tcPr>
          <w:p w:rsidR="00586863" w:rsidRPr="007D0D5D" w:rsidRDefault="00586863" w:rsidP="0099548F">
            <w:pPr>
              <w:keepNext/>
              <w:tabs>
                <w:tab w:val="decimal" w:pos="483"/>
              </w:tabs>
              <w:spacing w:after="0" w:line="240" w:lineRule="auto"/>
              <w:rPr>
                <w:rFonts w:eastAsia="Times New Roman" w:cs="Times New Roman"/>
                <w:color w:val="000000"/>
                <w:sz w:val="18"/>
                <w:szCs w:val="18"/>
              </w:rPr>
            </w:pPr>
            <w:r w:rsidRPr="007D0D5D">
              <w:rPr>
                <w:rFonts w:eastAsia="Times New Roman" w:cs="Times New Roman"/>
                <w:color w:val="000000"/>
                <w:sz w:val="18"/>
                <w:szCs w:val="18"/>
              </w:rPr>
              <w:t>47.36</w:t>
            </w:r>
          </w:p>
        </w:tc>
        <w:tc>
          <w:tcPr>
            <w:tcW w:w="625" w:type="pct"/>
            <w:shd w:val="clear" w:color="auto" w:fill="auto"/>
            <w:noWrap/>
            <w:vAlign w:val="bottom"/>
            <w:hideMark/>
          </w:tcPr>
          <w:p w:rsidR="00586863" w:rsidRPr="007D0D5D" w:rsidRDefault="00586863" w:rsidP="0099548F">
            <w:pPr>
              <w:keepNext/>
              <w:tabs>
                <w:tab w:val="decimal" w:pos="483"/>
              </w:tabs>
              <w:spacing w:after="0" w:line="240" w:lineRule="auto"/>
              <w:rPr>
                <w:rFonts w:eastAsia="Times New Roman" w:cs="Times New Roman"/>
                <w:color w:val="000000"/>
                <w:sz w:val="18"/>
                <w:szCs w:val="18"/>
              </w:rPr>
            </w:pPr>
            <w:r w:rsidRPr="007D0D5D">
              <w:rPr>
                <w:rFonts w:eastAsia="Times New Roman" w:cs="Times New Roman"/>
                <w:color w:val="000000"/>
                <w:sz w:val="18"/>
                <w:szCs w:val="18"/>
              </w:rPr>
              <w:t>28.81</w:t>
            </w:r>
          </w:p>
        </w:tc>
        <w:tc>
          <w:tcPr>
            <w:tcW w:w="625" w:type="pct"/>
            <w:shd w:val="clear" w:color="auto" w:fill="auto"/>
            <w:noWrap/>
            <w:vAlign w:val="bottom"/>
            <w:hideMark/>
          </w:tcPr>
          <w:p w:rsidR="00586863" w:rsidRPr="007D0D5D" w:rsidRDefault="00586863" w:rsidP="0099548F">
            <w:pPr>
              <w:keepNext/>
              <w:tabs>
                <w:tab w:val="decimal" w:pos="483"/>
              </w:tabs>
              <w:spacing w:after="0" w:line="240" w:lineRule="auto"/>
              <w:rPr>
                <w:rFonts w:eastAsia="Times New Roman" w:cs="Times New Roman"/>
                <w:color w:val="000000"/>
                <w:sz w:val="18"/>
                <w:szCs w:val="18"/>
              </w:rPr>
            </w:pPr>
            <w:r w:rsidRPr="007D0D5D">
              <w:rPr>
                <w:rFonts w:eastAsia="Times New Roman" w:cs="Times New Roman"/>
                <w:color w:val="000000"/>
                <w:sz w:val="18"/>
                <w:szCs w:val="18"/>
              </w:rPr>
              <w:t>17.10</w:t>
            </w:r>
          </w:p>
        </w:tc>
        <w:tc>
          <w:tcPr>
            <w:tcW w:w="625" w:type="pct"/>
            <w:shd w:val="clear" w:color="auto" w:fill="auto"/>
            <w:noWrap/>
            <w:vAlign w:val="bottom"/>
            <w:hideMark/>
          </w:tcPr>
          <w:p w:rsidR="00586863" w:rsidRPr="007D0D5D" w:rsidRDefault="00586863" w:rsidP="0099548F">
            <w:pPr>
              <w:keepNext/>
              <w:tabs>
                <w:tab w:val="decimal" w:pos="483"/>
              </w:tabs>
              <w:spacing w:after="0" w:line="240" w:lineRule="auto"/>
              <w:rPr>
                <w:rFonts w:eastAsia="Times New Roman" w:cs="Times New Roman"/>
                <w:color w:val="000000"/>
                <w:sz w:val="18"/>
                <w:szCs w:val="18"/>
              </w:rPr>
            </w:pPr>
            <w:r w:rsidRPr="007D0D5D">
              <w:rPr>
                <w:rFonts w:eastAsia="Times New Roman" w:cs="Times New Roman"/>
                <w:color w:val="000000"/>
                <w:sz w:val="18"/>
                <w:szCs w:val="18"/>
              </w:rPr>
              <w:t>132.82</w:t>
            </w:r>
          </w:p>
        </w:tc>
        <w:tc>
          <w:tcPr>
            <w:tcW w:w="625" w:type="pct"/>
          </w:tcPr>
          <w:p w:rsidR="00586863" w:rsidRPr="007D0D5D" w:rsidRDefault="00586863" w:rsidP="0099548F">
            <w:pPr>
              <w:keepNext/>
              <w:tabs>
                <w:tab w:val="decimal" w:pos="483"/>
              </w:tabs>
              <w:spacing w:after="0" w:line="240" w:lineRule="auto"/>
              <w:rPr>
                <w:sz w:val="18"/>
                <w:szCs w:val="18"/>
              </w:rPr>
            </w:pPr>
            <w:r w:rsidRPr="007D0D5D">
              <w:rPr>
                <w:sz w:val="18"/>
                <w:szCs w:val="18"/>
              </w:rPr>
              <w:t>0.591</w:t>
            </w:r>
          </w:p>
        </w:tc>
        <w:tc>
          <w:tcPr>
            <w:tcW w:w="625" w:type="pct"/>
          </w:tcPr>
          <w:p w:rsidR="00586863" w:rsidRPr="007D0D5D" w:rsidRDefault="00586863" w:rsidP="0099548F">
            <w:pPr>
              <w:keepNext/>
              <w:tabs>
                <w:tab w:val="decimal" w:pos="483"/>
              </w:tabs>
              <w:spacing w:after="0" w:line="240" w:lineRule="auto"/>
              <w:rPr>
                <w:sz w:val="18"/>
                <w:szCs w:val="18"/>
              </w:rPr>
            </w:pPr>
            <w:r w:rsidRPr="007D0D5D">
              <w:rPr>
                <w:sz w:val="18"/>
                <w:szCs w:val="18"/>
              </w:rPr>
              <w:t>0.366</w:t>
            </w:r>
          </w:p>
        </w:tc>
        <w:tc>
          <w:tcPr>
            <w:tcW w:w="625" w:type="pct"/>
          </w:tcPr>
          <w:p w:rsidR="00586863" w:rsidRPr="007D0D5D" w:rsidRDefault="00586863" w:rsidP="0099548F">
            <w:pPr>
              <w:keepNext/>
              <w:tabs>
                <w:tab w:val="decimal" w:pos="483"/>
              </w:tabs>
              <w:spacing w:after="0" w:line="240" w:lineRule="auto"/>
              <w:rPr>
                <w:sz w:val="18"/>
                <w:szCs w:val="18"/>
              </w:rPr>
            </w:pPr>
            <w:r w:rsidRPr="007D0D5D">
              <w:rPr>
                <w:sz w:val="18"/>
                <w:szCs w:val="18"/>
              </w:rPr>
              <w:t>2.754</w:t>
            </w:r>
          </w:p>
        </w:tc>
      </w:tr>
      <w:tr w:rsidR="00586863" w:rsidRPr="007D0D5D" w:rsidTr="0099548F">
        <w:trPr>
          <w:trHeight w:val="20"/>
        </w:trPr>
        <w:tc>
          <w:tcPr>
            <w:tcW w:w="625" w:type="pct"/>
            <w:shd w:val="clear" w:color="auto" w:fill="auto"/>
            <w:noWrap/>
            <w:vAlign w:val="center"/>
            <w:hideMark/>
          </w:tcPr>
          <w:p w:rsidR="00586863" w:rsidRPr="007D0D5D" w:rsidRDefault="00586863" w:rsidP="0099548F">
            <w:pPr>
              <w:keepNext/>
              <w:spacing w:after="0" w:line="240" w:lineRule="auto"/>
              <w:rPr>
                <w:rFonts w:eastAsia="Times New Roman" w:cs="Times New Roman"/>
                <w:color w:val="000000"/>
                <w:sz w:val="18"/>
                <w:szCs w:val="18"/>
              </w:rPr>
            </w:pPr>
            <w:r w:rsidRPr="007D0D5D">
              <w:rPr>
                <w:rFonts w:eastAsia="Times New Roman" w:cs="Times New Roman"/>
                <w:color w:val="000000"/>
                <w:sz w:val="18"/>
                <w:szCs w:val="18"/>
              </w:rPr>
              <w:t>2007-08</w:t>
            </w:r>
          </w:p>
        </w:tc>
        <w:tc>
          <w:tcPr>
            <w:tcW w:w="625" w:type="pct"/>
            <w:shd w:val="clear" w:color="auto" w:fill="auto"/>
            <w:noWrap/>
            <w:vAlign w:val="bottom"/>
            <w:hideMark/>
          </w:tcPr>
          <w:p w:rsidR="00586863" w:rsidRPr="007D0D5D" w:rsidRDefault="00586863" w:rsidP="0099548F">
            <w:pPr>
              <w:keepNext/>
              <w:tabs>
                <w:tab w:val="decimal" w:pos="483"/>
              </w:tabs>
              <w:spacing w:after="0" w:line="240" w:lineRule="auto"/>
              <w:rPr>
                <w:rFonts w:eastAsia="Times New Roman" w:cs="Times New Roman"/>
                <w:color w:val="000000"/>
                <w:sz w:val="18"/>
                <w:szCs w:val="18"/>
              </w:rPr>
            </w:pPr>
            <w:r w:rsidRPr="007D0D5D">
              <w:rPr>
                <w:rFonts w:eastAsia="Times New Roman" w:cs="Times New Roman"/>
                <w:color w:val="000000"/>
                <w:sz w:val="18"/>
                <w:szCs w:val="18"/>
              </w:rPr>
              <w:t>59.28</w:t>
            </w:r>
          </w:p>
        </w:tc>
        <w:tc>
          <w:tcPr>
            <w:tcW w:w="625" w:type="pct"/>
            <w:shd w:val="clear" w:color="auto" w:fill="auto"/>
            <w:noWrap/>
            <w:vAlign w:val="bottom"/>
            <w:hideMark/>
          </w:tcPr>
          <w:p w:rsidR="00586863" w:rsidRPr="007D0D5D" w:rsidRDefault="00586863" w:rsidP="0099548F">
            <w:pPr>
              <w:keepNext/>
              <w:tabs>
                <w:tab w:val="decimal" w:pos="483"/>
              </w:tabs>
              <w:spacing w:after="0" w:line="240" w:lineRule="auto"/>
              <w:rPr>
                <w:rFonts w:eastAsia="Times New Roman" w:cs="Times New Roman"/>
                <w:color w:val="000000"/>
                <w:sz w:val="18"/>
                <w:szCs w:val="18"/>
              </w:rPr>
            </w:pPr>
            <w:r w:rsidRPr="007D0D5D">
              <w:rPr>
                <w:rFonts w:eastAsia="Times New Roman" w:cs="Times New Roman"/>
                <w:color w:val="000000"/>
                <w:sz w:val="18"/>
                <w:szCs w:val="18"/>
              </w:rPr>
              <w:t>36.70</w:t>
            </w:r>
          </w:p>
        </w:tc>
        <w:tc>
          <w:tcPr>
            <w:tcW w:w="625" w:type="pct"/>
            <w:shd w:val="clear" w:color="auto" w:fill="auto"/>
            <w:noWrap/>
            <w:vAlign w:val="bottom"/>
            <w:hideMark/>
          </w:tcPr>
          <w:p w:rsidR="00586863" w:rsidRPr="007D0D5D" w:rsidRDefault="00586863" w:rsidP="0099548F">
            <w:pPr>
              <w:keepNext/>
              <w:tabs>
                <w:tab w:val="decimal" w:pos="483"/>
              </w:tabs>
              <w:spacing w:after="0" w:line="240" w:lineRule="auto"/>
              <w:rPr>
                <w:rFonts w:eastAsia="Times New Roman" w:cs="Times New Roman"/>
                <w:color w:val="000000"/>
                <w:sz w:val="18"/>
                <w:szCs w:val="18"/>
              </w:rPr>
            </w:pPr>
            <w:r w:rsidRPr="007D0D5D">
              <w:rPr>
                <w:rFonts w:eastAsia="Times New Roman" w:cs="Times New Roman"/>
                <w:color w:val="000000"/>
                <w:sz w:val="18"/>
                <w:szCs w:val="18"/>
              </w:rPr>
              <w:t>26.11</w:t>
            </w:r>
          </w:p>
        </w:tc>
        <w:tc>
          <w:tcPr>
            <w:tcW w:w="625" w:type="pct"/>
            <w:shd w:val="clear" w:color="auto" w:fill="auto"/>
            <w:noWrap/>
            <w:vAlign w:val="bottom"/>
            <w:hideMark/>
          </w:tcPr>
          <w:p w:rsidR="00586863" w:rsidRPr="007D0D5D" w:rsidRDefault="00586863" w:rsidP="0099548F">
            <w:pPr>
              <w:keepNext/>
              <w:tabs>
                <w:tab w:val="decimal" w:pos="483"/>
              </w:tabs>
              <w:spacing w:after="0" w:line="240" w:lineRule="auto"/>
              <w:rPr>
                <w:rFonts w:eastAsia="Times New Roman" w:cs="Times New Roman"/>
                <w:color w:val="000000"/>
                <w:sz w:val="18"/>
                <w:szCs w:val="18"/>
              </w:rPr>
            </w:pPr>
            <w:r w:rsidRPr="007D0D5D">
              <w:rPr>
                <w:rFonts w:eastAsia="Times New Roman" w:cs="Times New Roman"/>
                <w:color w:val="000000"/>
                <w:sz w:val="18"/>
                <w:szCs w:val="18"/>
              </w:rPr>
              <w:t>171.62</w:t>
            </w:r>
          </w:p>
        </w:tc>
        <w:tc>
          <w:tcPr>
            <w:tcW w:w="625" w:type="pct"/>
          </w:tcPr>
          <w:p w:rsidR="00586863" w:rsidRPr="007D0D5D" w:rsidRDefault="00586863" w:rsidP="0099548F">
            <w:pPr>
              <w:keepNext/>
              <w:tabs>
                <w:tab w:val="decimal" w:pos="483"/>
              </w:tabs>
              <w:spacing w:after="0" w:line="240" w:lineRule="auto"/>
              <w:rPr>
                <w:sz w:val="18"/>
                <w:szCs w:val="18"/>
              </w:rPr>
            </w:pPr>
            <w:r w:rsidRPr="007D0D5D">
              <w:rPr>
                <w:sz w:val="18"/>
                <w:szCs w:val="18"/>
              </w:rPr>
              <w:t>0.652</w:t>
            </w:r>
          </w:p>
        </w:tc>
        <w:tc>
          <w:tcPr>
            <w:tcW w:w="625" w:type="pct"/>
          </w:tcPr>
          <w:p w:rsidR="00586863" w:rsidRPr="007D0D5D" w:rsidRDefault="00586863" w:rsidP="0099548F">
            <w:pPr>
              <w:keepNext/>
              <w:tabs>
                <w:tab w:val="decimal" w:pos="483"/>
              </w:tabs>
              <w:spacing w:after="0" w:line="240" w:lineRule="auto"/>
              <w:rPr>
                <w:sz w:val="18"/>
                <w:szCs w:val="18"/>
              </w:rPr>
            </w:pPr>
            <w:r w:rsidRPr="007D0D5D">
              <w:rPr>
                <w:sz w:val="18"/>
                <w:szCs w:val="18"/>
              </w:rPr>
              <w:t>0.376</w:t>
            </w:r>
          </w:p>
        </w:tc>
        <w:tc>
          <w:tcPr>
            <w:tcW w:w="625" w:type="pct"/>
          </w:tcPr>
          <w:p w:rsidR="00586863" w:rsidRPr="007D0D5D" w:rsidRDefault="00586863" w:rsidP="0099548F">
            <w:pPr>
              <w:keepNext/>
              <w:tabs>
                <w:tab w:val="decimal" w:pos="483"/>
              </w:tabs>
              <w:spacing w:after="0" w:line="240" w:lineRule="auto"/>
              <w:rPr>
                <w:sz w:val="18"/>
                <w:szCs w:val="18"/>
              </w:rPr>
            </w:pPr>
            <w:r w:rsidRPr="007D0D5D">
              <w:rPr>
                <w:sz w:val="18"/>
                <w:szCs w:val="18"/>
              </w:rPr>
              <w:t>2.974</w:t>
            </w:r>
          </w:p>
        </w:tc>
      </w:tr>
      <w:tr w:rsidR="00586863" w:rsidRPr="007D0D5D" w:rsidTr="0099548F">
        <w:trPr>
          <w:trHeight w:val="20"/>
        </w:trPr>
        <w:tc>
          <w:tcPr>
            <w:tcW w:w="625" w:type="pct"/>
            <w:shd w:val="clear" w:color="auto" w:fill="auto"/>
            <w:noWrap/>
            <w:vAlign w:val="center"/>
            <w:hideMark/>
          </w:tcPr>
          <w:p w:rsidR="00586863" w:rsidRPr="007D0D5D" w:rsidRDefault="00586863" w:rsidP="0099548F">
            <w:pPr>
              <w:keepNext/>
              <w:spacing w:after="0" w:line="240" w:lineRule="auto"/>
              <w:rPr>
                <w:rFonts w:eastAsia="Times New Roman" w:cs="Times New Roman"/>
                <w:color w:val="000000"/>
                <w:sz w:val="18"/>
                <w:szCs w:val="18"/>
              </w:rPr>
            </w:pPr>
            <w:r w:rsidRPr="007D0D5D">
              <w:rPr>
                <w:rFonts w:eastAsia="Times New Roman" w:cs="Times New Roman"/>
                <w:color w:val="000000"/>
                <w:sz w:val="18"/>
                <w:szCs w:val="18"/>
              </w:rPr>
              <w:t>2008-09</w:t>
            </w:r>
          </w:p>
        </w:tc>
        <w:tc>
          <w:tcPr>
            <w:tcW w:w="625" w:type="pct"/>
            <w:shd w:val="clear" w:color="auto" w:fill="auto"/>
            <w:noWrap/>
            <w:vAlign w:val="bottom"/>
            <w:hideMark/>
          </w:tcPr>
          <w:p w:rsidR="00586863" w:rsidRPr="007D0D5D" w:rsidRDefault="00586863" w:rsidP="0099548F">
            <w:pPr>
              <w:keepNext/>
              <w:tabs>
                <w:tab w:val="decimal" w:pos="483"/>
              </w:tabs>
              <w:spacing w:after="0" w:line="240" w:lineRule="auto"/>
              <w:rPr>
                <w:rFonts w:eastAsia="Times New Roman" w:cs="Times New Roman"/>
                <w:color w:val="000000"/>
                <w:sz w:val="18"/>
                <w:szCs w:val="18"/>
              </w:rPr>
            </w:pPr>
            <w:r w:rsidRPr="007D0D5D">
              <w:rPr>
                <w:rFonts w:eastAsia="Times New Roman" w:cs="Times New Roman"/>
                <w:color w:val="000000"/>
                <w:sz w:val="18"/>
                <w:szCs w:val="18"/>
              </w:rPr>
              <w:t>65.59</w:t>
            </w:r>
          </w:p>
        </w:tc>
        <w:tc>
          <w:tcPr>
            <w:tcW w:w="625" w:type="pct"/>
            <w:shd w:val="clear" w:color="auto" w:fill="auto"/>
            <w:noWrap/>
            <w:vAlign w:val="bottom"/>
            <w:hideMark/>
          </w:tcPr>
          <w:p w:rsidR="00586863" w:rsidRPr="007D0D5D" w:rsidRDefault="00586863" w:rsidP="0099548F">
            <w:pPr>
              <w:keepNext/>
              <w:tabs>
                <w:tab w:val="decimal" w:pos="483"/>
              </w:tabs>
              <w:spacing w:after="0" w:line="240" w:lineRule="auto"/>
              <w:rPr>
                <w:rFonts w:eastAsia="Times New Roman" w:cs="Times New Roman"/>
                <w:color w:val="000000"/>
                <w:sz w:val="18"/>
                <w:szCs w:val="18"/>
              </w:rPr>
            </w:pPr>
            <w:r w:rsidRPr="007D0D5D">
              <w:rPr>
                <w:rFonts w:eastAsia="Times New Roman" w:cs="Times New Roman"/>
                <w:color w:val="000000"/>
                <w:sz w:val="18"/>
                <w:szCs w:val="18"/>
              </w:rPr>
              <w:t>36.35</w:t>
            </w:r>
          </w:p>
        </w:tc>
        <w:tc>
          <w:tcPr>
            <w:tcW w:w="625" w:type="pct"/>
            <w:shd w:val="clear" w:color="auto" w:fill="auto"/>
            <w:noWrap/>
            <w:vAlign w:val="bottom"/>
            <w:hideMark/>
          </w:tcPr>
          <w:p w:rsidR="00586863" w:rsidRPr="007D0D5D" w:rsidRDefault="00586863" w:rsidP="0099548F">
            <w:pPr>
              <w:keepNext/>
              <w:tabs>
                <w:tab w:val="decimal" w:pos="483"/>
              </w:tabs>
              <w:spacing w:after="0" w:line="240" w:lineRule="auto"/>
              <w:rPr>
                <w:rFonts w:eastAsia="Times New Roman" w:cs="Times New Roman"/>
                <w:color w:val="000000"/>
                <w:sz w:val="18"/>
                <w:szCs w:val="18"/>
              </w:rPr>
            </w:pPr>
            <w:r w:rsidRPr="007D0D5D">
              <w:rPr>
                <w:rFonts w:eastAsia="Times New Roman" w:cs="Times New Roman"/>
                <w:color w:val="000000"/>
                <w:sz w:val="18"/>
                <w:szCs w:val="18"/>
              </w:rPr>
              <w:t>29.75</w:t>
            </w:r>
          </w:p>
        </w:tc>
        <w:tc>
          <w:tcPr>
            <w:tcW w:w="625" w:type="pct"/>
            <w:shd w:val="clear" w:color="auto" w:fill="auto"/>
            <w:noWrap/>
            <w:vAlign w:val="bottom"/>
            <w:hideMark/>
          </w:tcPr>
          <w:p w:rsidR="00586863" w:rsidRPr="007D0D5D" w:rsidRDefault="00586863" w:rsidP="0099548F">
            <w:pPr>
              <w:keepNext/>
              <w:tabs>
                <w:tab w:val="decimal" w:pos="483"/>
              </w:tabs>
              <w:spacing w:after="0" w:line="240" w:lineRule="auto"/>
              <w:rPr>
                <w:rFonts w:eastAsia="Times New Roman" w:cs="Times New Roman"/>
                <w:color w:val="000000"/>
                <w:sz w:val="18"/>
                <w:szCs w:val="18"/>
              </w:rPr>
            </w:pPr>
            <w:r w:rsidRPr="007D0D5D">
              <w:rPr>
                <w:rFonts w:eastAsia="Times New Roman" w:cs="Times New Roman"/>
                <w:color w:val="000000"/>
                <w:sz w:val="18"/>
                <w:szCs w:val="18"/>
              </w:rPr>
              <w:t>165.61</w:t>
            </w:r>
          </w:p>
        </w:tc>
        <w:tc>
          <w:tcPr>
            <w:tcW w:w="625" w:type="pct"/>
          </w:tcPr>
          <w:p w:rsidR="00586863" w:rsidRPr="007D0D5D" w:rsidRDefault="00586863" w:rsidP="0099548F">
            <w:pPr>
              <w:keepNext/>
              <w:tabs>
                <w:tab w:val="decimal" w:pos="483"/>
              </w:tabs>
              <w:spacing w:after="0" w:line="240" w:lineRule="auto"/>
              <w:rPr>
                <w:rFonts w:eastAsia="Times New Roman" w:cs="Times New Roman"/>
                <w:color w:val="000000"/>
                <w:sz w:val="18"/>
                <w:szCs w:val="18"/>
              </w:rPr>
            </w:pPr>
            <w:r w:rsidRPr="007D0D5D">
              <w:rPr>
                <w:rFonts w:eastAsia="Times New Roman" w:cs="Times New Roman"/>
                <w:color w:val="000000"/>
                <w:sz w:val="18"/>
                <w:szCs w:val="18"/>
              </w:rPr>
              <w:t>0.537</w:t>
            </w:r>
          </w:p>
        </w:tc>
        <w:tc>
          <w:tcPr>
            <w:tcW w:w="625" w:type="pct"/>
            <w:vAlign w:val="bottom"/>
          </w:tcPr>
          <w:p w:rsidR="00586863" w:rsidRPr="007D0D5D" w:rsidRDefault="00586863" w:rsidP="0099548F">
            <w:pPr>
              <w:keepNext/>
              <w:tabs>
                <w:tab w:val="decimal" w:pos="483"/>
              </w:tabs>
              <w:spacing w:after="0" w:line="240" w:lineRule="auto"/>
              <w:rPr>
                <w:rFonts w:eastAsia="Times New Roman" w:cs="Times New Roman"/>
                <w:color w:val="000000"/>
                <w:sz w:val="18"/>
                <w:szCs w:val="18"/>
              </w:rPr>
            </w:pPr>
            <w:r w:rsidRPr="007D0D5D">
              <w:rPr>
                <w:rFonts w:eastAsia="Times New Roman" w:cs="Times New Roman"/>
                <w:color w:val="000000"/>
                <w:sz w:val="18"/>
                <w:szCs w:val="18"/>
              </w:rPr>
              <w:t>0.448</w:t>
            </w:r>
          </w:p>
        </w:tc>
        <w:tc>
          <w:tcPr>
            <w:tcW w:w="625" w:type="pct"/>
            <w:vAlign w:val="bottom"/>
          </w:tcPr>
          <w:p w:rsidR="00586863" w:rsidRPr="007D0D5D" w:rsidRDefault="00586863" w:rsidP="0099548F">
            <w:pPr>
              <w:keepNext/>
              <w:tabs>
                <w:tab w:val="decimal" w:pos="483"/>
              </w:tabs>
              <w:spacing w:after="0" w:line="240" w:lineRule="auto"/>
              <w:rPr>
                <w:rFonts w:eastAsia="Times New Roman" w:cs="Times New Roman"/>
                <w:color w:val="000000"/>
                <w:sz w:val="18"/>
                <w:szCs w:val="18"/>
              </w:rPr>
            </w:pPr>
            <w:r w:rsidRPr="007D0D5D">
              <w:rPr>
                <w:rFonts w:eastAsia="Times New Roman" w:cs="Times New Roman"/>
                <w:color w:val="000000"/>
                <w:sz w:val="18"/>
                <w:szCs w:val="18"/>
              </w:rPr>
              <w:t>2.518</w:t>
            </w:r>
          </w:p>
        </w:tc>
      </w:tr>
      <w:tr w:rsidR="00586863" w:rsidRPr="007D0D5D" w:rsidTr="0099548F">
        <w:trPr>
          <w:trHeight w:val="20"/>
        </w:trPr>
        <w:tc>
          <w:tcPr>
            <w:tcW w:w="625" w:type="pct"/>
            <w:shd w:val="clear" w:color="auto" w:fill="auto"/>
            <w:noWrap/>
            <w:vAlign w:val="center"/>
            <w:hideMark/>
          </w:tcPr>
          <w:p w:rsidR="00586863" w:rsidRPr="007D0D5D" w:rsidRDefault="00586863" w:rsidP="0099548F">
            <w:pPr>
              <w:keepNext/>
              <w:spacing w:after="0" w:line="240" w:lineRule="auto"/>
              <w:rPr>
                <w:rFonts w:eastAsia="Times New Roman" w:cs="Times New Roman"/>
                <w:color w:val="000000"/>
                <w:sz w:val="18"/>
                <w:szCs w:val="18"/>
              </w:rPr>
            </w:pPr>
            <w:r w:rsidRPr="007D0D5D">
              <w:rPr>
                <w:rFonts w:eastAsia="Times New Roman" w:cs="Times New Roman"/>
                <w:color w:val="000000"/>
                <w:sz w:val="18"/>
                <w:szCs w:val="18"/>
              </w:rPr>
              <w:t>2009-10</w:t>
            </w:r>
          </w:p>
        </w:tc>
        <w:tc>
          <w:tcPr>
            <w:tcW w:w="625" w:type="pct"/>
            <w:shd w:val="clear" w:color="auto" w:fill="auto"/>
            <w:noWrap/>
            <w:vAlign w:val="bottom"/>
            <w:hideMark/>
          </w:tcPr>
          <w:p w:rsidR="00586863" w:rsidRPr="007D0D5D" w:rsidRDefault="00586863" w:rsidP="0099548F">
            <w:pPr>
              <w:keepNext/>
              <w:tabs>
                <w:tab w:val="decimal" w:pos="483"/>
              </w:tabs>
              <w:spacing w:after="0" w:line="240" w:lineRule="auto"/>
              <w:rPr>
                <w:rFonts w:eastAsia="Times New Roman" w:cs="Times New Roman"/>
                <w:color w:val="000000"/>
                <w:sz w:val="18"/>
                <w:szCs w:val="18"/>
              </w:rPr>
            </w:pPr>
            <w:r w:rsidRPr="007D0D5D">
              <w:rPr>
                <w:rFonts w:eastAsia="Times New Roman" w:cs="Times New Roman"/>
                <w:color w:val="000000"/>
                <w:sz w:val="18"/>
                <w:szCs w:val="18"/>
              </w:rPr>
              <w:t>69.96</w:t>
            </w:r>
          </w:p>
        </w:tc>
        <w:tc>
          <w:tcPr>
            <w:tcW w:w="625" w:type="pct"/>
            <w:shd w:val="clear" w:color="auto" w:fill="auto"/>
            <w:noWrap/>
            <w:vAlign w:val="bottom"/>
            <w:hideMark/>
          </w:tcPr>
          <w:p w:rsidR="00586863" w:rsidRPr="007D0D5D" w:rsidRDefault="00586863" w:rsidP="0099548F">
            <w:pPr>
              <w:keepNext/>
              <w:tabs>
                <w:tab w:val="decimal" w:pos="483"/>
              </w:tabs>
              <w:spacing w:after="0" w:line="240" w:lineRule="auto"/>
              <w:rPr>
                <w:rFonts w:eastAsia="Times New Roman" w:cs="Times New Roman"/>
                <w:color w:val="000000"/>
                <w:sz w:val="18"/>
                <w:szCs w:val="18"/>
              </w:rPr>
            </w:pPr>
            <w:r w:rsidRPr="007D0D5D">
              <w:rPr>
                <w:rFonts w:eastAsia="Times New Roman" w:cs="Times New Roman"/>
                <w:color w:val="000000"/>
                <w:sz w:val="18"/>
                <w:szCs w:val="18"/>
              </w:rPr>
              <w:t>42.57</w:t>
            </w:r>
          </w:p>
        </w:tc>
        <w:tc>
          <w:tcPr>
            <w:tcW w:w="625" w:type="pct"/>
            <w:shd w:val="clear" w:color="auto" w:fill="auto"/>
            <w:noWrap/>
            <w:vAlign w:val="bottom"/>
            <w:hideMark/>
          </w:tcPr>
          <w:p w:rsidR="00586863" w:rsidRPr="007D0D5D" w:rsidRDefault="00586863" w:rsidP="0099548F">
            <w:pPr>
              <w:keepNext/>
              <w:tabs>
                <w:tab w:val="decimal" w:pos="483"/>
              </w:tabs>
              <w:spacing w:after="0" w:line="240" w:lineRule="auto"/>
              <w:rPr>
                <w:rFonts w:eastAsia="Times New Roman" w:cs="Times New Roman"/>
                <w:color w:val="000000"/>
                <w:sz w:val="18"/>
                <w:szCs w:val="18"/>
              </w:rPr>
            </w:pPr>
            <w:r w:rsidRPr="007D0D5D">
              <w:rPr>
                <w:rFonts w:eastAsia="Times New Roman" w:cs="Times New Roman"/>
                <w:color w:val="000000"/>
                <w:sz w:val="18"/>
                <w:szCs w:val="18"/>
              </w:rPr>
              <w:t>22.37</w:t>
            </w:r>
          </w:p>
        </w:tc>
        <w:tc>
          <w:tcPr>
            <w:tcW w:w="625" w:type="pct"/>
            <w:shd w:val="clear" w:color="auto" w:fill="auto"/>
            <w:noWrap/>
            <w:vAlign w:val="bottom"/>
            <w:hideMark/>
          </w:tcPr>
          <w:p w:rsidR="00586863" w:rsidRPr="007D0D5D" w:rsidRDefault="00586863" w:rsidP="0099548F">
            <w:pPr>
              <w:keepNext/>
              <w:tabs>
                <w:tab w:val="decimal" w:pos="483"/>
              </w:tabs>
              <w:spacing w:after="0" w:line="240" w:lineRule="auto"/>
              <w:rPr>
                <w:rFonts w:eastAsia="Times New Roman" w:cs="Times New Roman"/>
                <w:color w:val="000000"/>
                <w:sz w:val="18"/>
                <w:szCs w:val="18"/>
              </w:rPr>
            </w:pPr>
            <w:r w:rsidRPr="007D0D5D">
              <w:rPr>
                <w:rFonts w:eastAsia="Times New Roman" w:cs="Times New Roman"/>
                <w:color w:val="000000"/>
                <w:sz w:val="18"/>
                <w:szCs w:val="18"/>
              </w:rPr>
              <w:t>172.55</w:t>
            </w:r>
          </w:p>
        </w:tc>
        <w:tc>
          <w:tcPr>
            <w:tcW w:w="625" w:type="pct"/>
          </w:tcPr>
          <w:p w:rsidR="00586863" w:rsidRPr="007D0D5D" w:rsidRDefault="00586863" w:rsidP="0099548F">
            <w:pPr>
              <w:keepNext/>
              <w:tabs>
                <w:tab w:val="decimal" w:pos="483"/>
              </w:tabs>
              <w:spacing w:after="0" w:line="240" w:lineRule="auto"/>
              <w:rPr>
                <w:rFonts w:eastAsia="Times New Roman" w:cs="Times New Roman"/>
                <w:color w:val="000000"/>
                <w:sz w:val="18"/>
                <w:szCs w:val="18"/>
              </w:rPr>
            </w:pPr>
            <w:r w:rsidRPr="007D0D5D">
              <w:rPr>
                <w:rFonts w:eastAsia="Times New Roman" w:cs="Times New Roman"/>
                <w:color w:val="000000"/>
                <w:sz w:val="18"/>
                <w:szCs w:val="18"/>
              </w:rPr>
              <w:t>0.608</w:t>
            </w:r>
          </w:p>
        </w:tc>
        <w:tc>
          <w:tcPr>
            <w:tcW w:w="625" w:type="pct"/>
            <w:vAlign w:val="bottom"/>
          </w:tcPr>
          <w:p w:rsidR="00586863" w:rsidRPr="007D0D5D" w:rsidRDefault="00586863" w:rsidP="0099548F">
            <w:pPr>
              <w:keepNext/>
              <w:tabs>
                <w:tab w:val="decimal" w:pos="483"/>
              </w:tabs>
              <w:spacing w:after="0" w:line="240" w:lineRule="auto"/>
              <w:rPr>
                <w:rFonts w:eastAsia="Times New Roman" w:cs="Times New Roman"/>
                <w:color w:val="000000"/>
                <w:sz w:val="18"/>
                <w:szCs w:val="18"/>
              </w:rPr>
            </w:pPr>
            <w:r w:rsidRPr="007D0D5D">
              <w:rPr>
                <w:rFonts w:eastAsia="Times New Roman" w:cs="Times New Roman"/>
                <w:color w:val="000000"/>
                <w:sz w:val="18"/>
                <w:szCs w:val="18"/>
              </w:rPr>
              <w:t>0.319</w:t>
            </w:r>
          </w:p>
        </w:tc>
        <w:tc>
          <w:tcPr>
            <w:tcW w:w="625" w:type="pct"/>
            <w:vAlign w:val="bottom"/>
          </w:tcPr>
          <w:p w:rsidR="00586863" w:rsidRPr="007D0D5D" w:rsidRDefault="00586863" w:rsidP="0099548F">
            <w:pPr>
              <w:keepNext/>
              <w:tabs>
                <w:tab w:val="decimal" w:pos="483"/>
              </w:tabs>
              <w:spacing w:after="0" w:line="240" w:lineRule="auto"/>
              <w:rPr>
                <w:rFonts w:eastAsia="Times New Roman" w:cs="Times New Roman"/>
                <w:color w:val="000000"/>
                <w:sz w:val="18"/>
                <w:szCs w:val="18"/>
              </w:rPr>
            </w:pPr>
            <w:r w:rsidRPr="007D0D5D">
              <w:rPr>
                <w:rFonts w:eastAsia="Times New Roman" w:cs="Times New Roman"/>
                <w:color w:val="000000"/>
                <w:sz w:val="18"/>
                <w:szCs w:val="18"/>
              </w:rPr>
              <w:t>2.479</w:t>
            </w:r>
          </w:p>
        </w:tc>
      </w:tr>
    </w:tbl>
    <w:p w:rsidR="007D0D5D" w:rsidRDefault="007D0D5D" w:rsidP="00E76C7A">
      <w:pPr>
        <w:pStyle w:val="Heading4"/>
        <w:spacing w:line="240" w:lineRule="auto"/>
      </w:pPr>
    </w:p>
    <w:p w:rsidR="007D0D5D" w:rsidRDefault="007D0D5D" w:rsidP="007D0D5D">
      <w:pPr>
        <w:rPr>
          <w:rFonts w:ascii="Calibri" w:eastAsiaTheme="majorEastAsia" w:hAnsi="Calibri" w:cstheme="majorBidi"/>
        </w:rPr>
      </w:pPr>
      <w:r>
        <w:br w:type="page"/>
      </w:r>
    </w:p>
    <w:p w:rsidR="00586863" w:rsidRPr="00165E35" w:rsidRDefault="00586863" w:rsidP="00E76C7A">
      <w:pPr>
        <w:pStyle w:val="Heading4"/>
        <w:spacing w:line="240" w:lineRule="auto"/>
        <w:rPr>
          <w:rFonts w:ascii="Times New Roman" w:hAnsi="Times New Roman" w:cs="Times New Roman"/>
        </w:rPr>
      </w:pPr>
      <w:r w:rsidRPr="00165E35">
        <w:rPr>
          <w:rFonts w:ascii="Times New Roman" w:hAnsi="Times New Roman" w:cs="Times New Roman"/>
        </w:rPr>
        <w:t xml:space="preserve">Table 3. Television audience ratings for English Premier </w:t>
      </w:r>
      <w:r w:rsidR="00F230AF" w:rsidRPr="00165E35">
        <w:rPr>
          <w:rFonts w:ascii="Times New Roman" w:hAnsi="Times New Roman" w:cs="Times New Roman"/>
        </w:rPr>
        <w:t>League</w:t>
      </w:r>
      <w:r w:rsidRPr="00165E35">
        <w:rPr>
          <w:rFonts w:ascii="Times New Roman" w:hAnsi="Times New Roman" w:cs="Times New Roman"/>
        </w:rPr>
        <w:t xml:space="preserve"> (in millions)</w:t>
      </w:r>
      <w:r w:rsidR="008F3AE8" w:rsidRPr="00165E35">
        <w:rPr>
          <w:rFonts w:ascii="Times New Roman" w:hAnsi="Times New Roman" w:cs="Times New Roman"/>
        </w:rPr>
        <w:t xml:space="preserve"> (TV Sports Market, </w:t>
      </w:r>
      <w:r w:rsidR="00E76C7A" w:rsidRPr="00165E35">
        <w:rPr>
          <w:rFonts w:ascii="Times New Roman" w:hAnsi="Times New Roman" w:cs="Times New Roman"/>
        </w:rPr>
        <w:t>various</w:t>
      </w:r>
      <w:r w:rsidR="008F3AE8" w:rsidRPr="00165E35">
        <w:rPr>
          <w:rFonts w:ascii="Times New Roman" w:hAnsi="Times New Roman" w:cs="Times New Roman"/>
        </w:rPr>
        <w:t xml:space="preserve"> years).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4"/>
        <w:gridCol w:w="1534"/>
        <w:gridCol w:w="1534"/>
        <w:gridCol w:w="1571"/>
        <w:gridCol w:w="1534"/>
        <w:gridCol w:w="1538"/>
      </w:tblGrid>
      <w:tr w:rsidR="00586863" w:rsidRPr="007D0D5D" w:rsidTr="0099548F">
        <w:trPr>
          <w:trHeight w:val="20"/>
        </w:trPr>
        <w:tc>
          <w:tcPr>
            <w:tcW w:w="833" w:type="pct"/>
            <w:tcBorders>
              <w:top w:val="single" w:sz="4" w:space="0" w:color="auto"/>
              <w:left w:val="single" w:sz="4" w:space="0" w:color="auto"/>
              <w:bottom w:val="single" w:sz="4" w:space="0" w:color="auto"/>
              <w:right w:val="single" w:sz="4" w:space="0" w:color="auto"/>
            </w:tcBorders>
            <w:shd w:val="clear" w:color="auto" w:fill="auto"/>
            <w:noWrap/>
            <w:hideMark/>
          </w:tcPr>
          <w:p w:rsidR="00586863" w:rsidRPr="007D0D5D" w:rsidRDefault="00586863" w:rsidP="0099548F">
            <w:pPr>
              <w:keepNext/>
              <w:spacing w:after="0" w:line="240" w:lineRule="auto"/>
              <w:jc w:val="center"/>
              <w:rPr>
                <w:rFonts w:eastAsia="Times New Roman" w:cs="Times New Roman"/>
                <w:color w:val="000000"/>
                <w:sz w:val="18"/>
                <w:szCs w:val="18"/>
              </w:rPr>
            </w:pPr>
          </w:p>
        </w:tc>
        <w:tc>
          <w:tcPr>
            <w:tcW w:w="833" w:type="pct"/>
            <w:tcBorders>
              <w:top w:val="single" w:sz="4" w:space="0" w:color="auto"/>
              <w:left w:val="single" w:sz="4" w:space="0" w:color="auto"/>
              <w:bottom w:val="single" w:sz="4" w:space="0" w:color="auto"/>
              <w:right w:val="single" w:sz="4" w:space="0" w:color="auto"/>
            </w:tcBorders>
          </w:tcPr>
          <w:p w:rsidR="00586863" w:rsidRPr="007D0D5D" w:rsidRDefault="00586863" w:rsidP="0099548F">
            <w:pPr>
              <w:keepNext/>
              <w:spacing w:after="0" w:line="240" w:lineRule="auto"/>
              <w:jc w:val="center"/>
              <w:rPr>
                <w:rFonts w:eastAsia="Times New Roman" w:cs="Times New Roman"/>
                <w:color w:val="000000"/>
                <w:sz w:val="18"/>
                <w:szCs w:val="18"/>
              </w:rPr>
            </w:pPr>
            <w:r w:rsidRPr="007D0D5D">
              <w:rPr>
                <w:rFonts w:eastAsia="Times New Roman" w:cs="Times New Roman"/>
                <w:color w:val="000000"/>
                <w:sz w:val="18"/>
                <w:szCs w:val="18"/>
              </w:rPr>
              <w:t>N</w:t>
            </w:r>
          </w:p>
        </w:tc>
        <w:tc>
          <w:tcPr>
            <w:tcW w:w="833" w:type="pct"/>
            <w:tcBorders>
              <w:top w:val="single" w:sz="4" w:space="0" w:color="auto"/>
              <w:left w:val="single" w:sz="4" w:space="0" w:color="auto"/>
              <w:bottom w:val="single" w:sz="4" w:space="0" w:color="auto"/>
              <w:right w:val="single" w:sz="4" w:space="0" w:color="auto"/>
            </w:tcBorders>
            <w:shd w:val="clear" w:color="auto" w:fill="auto"/>
            <w:noWrap/>
            <w:hideMark/>
          </w:tcPr>
          <w:p w:rsidR="00586863" w:rsidRPr="007D0D5D" w:rsidRDefault="00586863" w:rsidP="006E052A">
            <w:pPr>
              <w:keepNext/>
              <w:spacing w:after="0" w:line="240" w:lineRule="auto"/>
              <w:jc w:val="center"/>
              <w:rPr>
                <w:rFonts w:eastAsia="Times New Roman" w:cs="Times New Roman"/>
                <w:color w:val="000000"/>
                <w:sz w:val="18"/>
                <w:szCs w:val="18"/>
              </w:rPr>
            </w:pPr>
            <w:r w:rsidRPr="007D0D5D">
              <w:rPr>
                <w:rFonts w:eastAsia="Times New Roman" w:cs="Times New Roman"/>
                <w:color w:val="000000"/>
                <w:sz w:val="18"/>
                <w:szCs w:val="18"/>
              </w:rPr>
              <w:t>Mean</w:t>
            </w:r>
          </w:p>
        </w:tc>
        <w:tc>
          <w:tcPr>
            <w:tcW w:w="833" w:type="pct"/>
            <w:tcBorders>
              <w:top w:val="single" w:sz="4" w:space="0" w:color="auto"/>
              <w:left w:val="single" w:sz="4" w:space="0" w:color="auto"/>
              <w:bottom w:val="single" w:sz="4" w:space="0" w:color="auto"/>
              <w:right w:val="single" w:sz="4" w:space="0" w:color="auto"/>
            </w:tcBorders>
            <w:shd w:val="clear" w:color="auto" w:fill="auto"/>
            <w:noWrap/>
            <w:hideMark/>
          </w:tcPr>
          <w:p w:rsidR="00586863" w:rsidRPr="007D0D5D" w:rsidRDefault="00586863" w:rsidP="0099548F">
            <w:pPr>
              <w:keepNext/>
              <w:spacing w:after="0" w:line="240" w:lineRule="auto"/>
              <w:jc w:val="center"/>
              <w:rPr>
                <w:rFonts w:eastAsia="Times New Roman" w:cs="Times New Roman"/>
                <w:color w:val="000000"/>
                <w:sz w:val="18"/>
                <w:szCs w:val="18"/>
              </w:rPr>
            </w:pPr>
            <w:r w:rsidRPr="007D0D5D">
              <w:rPr>
                <w:rFonts w:eastAsia="Times New Roman" w:cs="Times New Roman"/>
                <w:color w:val="000000"/>
                <w:sz w:val="18"/>
                <w:szCs w:val="18"/>
              </w:rPr>
              <w:t>Standard deviation</w:t>
            </w:r>
          </w:p>
        </w:tc>
        <w:tc>
          <w:tcPr>
            <w:tcW w:w="833" w:type="pct"/>
            <w:tcBorders>
              <w:top w:val="single" w:sz="4" w:space="0" w:color="auto"/>
              <w:left w:val="single" w:sz="4" w:space="0" w:color="auto"/>
              <w:bottom w:val="single" w:sz="4" w:space="0" w:color="auto"/>
              <w:right w:val="single" w:sz="4" w:space="0" w:color="auto"/>
            </w:tcBorders>
            <w:shd w:val="clear" w:color="auto" w:fill="auto"/>
            <w:noWrap/>
            <w:hideMark/>
          </w:tcPr>
          <w:p w:rsidR="00586863" w:rsidRPr="007D0D5D" w:rsidRDefault="00586863" w:rsidP="0099548F">
            <w:pPr>
              <w:keepNext/>
              <w:spacing w:after="0" w:line="240" w:lineRule="auto"/>
              <w:jc w:val="center"/>
              <w:rPr>
                <w:rFonts w:eastAsia="Times New Roman" w:cs="Times New Roman"/>
                <w:color w:val="000000"/>
                <w:sz w:val="18"/>
                <w:szCs w:val="18"/>
              </w:rPr>
            </w:pPr>
            <w:r w:rsidRPr="007D0D5D">
              <w:rPr>
                <w:rFonts w:eastAsia="Times New Roman" w:cs="Times New Roman"/>
                <w:color w:val="000000"/>
                <w:sz w:val="18"/>
                <w:szCs w:val="18"/>
              </w:rPr>
              <w:t>Minimum</w:t>
            </w:r>
          </w:p>
        </w:tc>
        <w:tc>
          <w:tcPr>
            <w:tcW w:w="835" w:type="pct"/>
            <w:tcBorders>
              <w:top w:val="single" w:sz="4" w:space="0" w:color="auto"/>
              <w:left w:val="single" w:sz="4" w:space="0" w:color="auto"/>
              <w:bottom w:val="single" w:sz="4" w:space="0" w:color="auto"/>
              <w:right w:val="single" w:sz="4" w:space="0" w:color="auto"/>
            </w:tcBorders>
            <w:shd w:val="clear" w:color="auto" w:fill="auto"/>
            <w:noWrap/>
            <w:hideMark/>
          </w:tcPr>
          <w:p w:rsidR="00586863" w:rsidRPr="007D0D5D" w:rsidRDefault="00586863" w:rsidP="0099548F">
            <w:pPr>
              <w:keepNext/>
              <w:spacing w:after="0" w:line="240" w:lineRule="auto"/>
              <w:jc w:val="center"/>
              <w:rPr>
                <w:rFonts w:eastAsia="Times New Roman" w:cs="Times New Roman"/>
                <w:color w:val="000000"/>
                <w:sz w:val="18"/>
                <w:szCs w:val="18"/>
              </w:rPr>
            </w:pPr>
            <w:r w:rsidRPr="007D0D5D">
              <w:rPr>
                <w:rFonts w:eastAsia="Times New Roman" w:cs="Times New Roman"/>
                <w:color w:val="000000"/>
                <w:sz w:val="18"/>
                <w:szCs w:val="18"/>
              </w:rPr>
              <w:t>Maximum</w:t>
            </w:r>
          </w:p>
        </w:tc>
      </w:tr>
      <w:tr w:rsidR="00586863" w:rsidRPr="007D0D5D" w:rsidTr="0099548F">
        <w:trPr>
          <w:trHeight w:val="2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586863" w:rsidRPr="007D0D5D" w:rsidRDefault="00586863" w:rsidP="0099548F">
            <w:pPr>
              <w:keepNext/>
              <w:spacing w:after="0" w:line="240" w:lineRule="auto"/>
              <w:jc w:val="center"/>
              <w:rPr>
                <w:rFonts w:eastAsia="Times New Roman" w:cs="Times New Roman"/>
                <w:color w:val="000000"/>
                <w:sz w:val="18"/>
                <w:szCs w:val="18"/>
              </w:rPr>
            </w:pPr>
            <w:r w:rsidRPr="007D0D5D">
              <w:rPr>
                <w:rFonts w:eastAsia="Times New Roman" w:cs="Times New Roman"/>
                <w:color w:val="000000"/>
                <w:sz w:val="18"/>
                <w:szCs w:val="18"/>
              </w:rPr>
              <w:t>By season</w:t>
            </w:r>
          </w:p>
        </w:tc>
      </w:tr>
      <w:tr w:rsidR="00586863" w:rsidRPr="007D0D5D" w:rsidTr="0099548F">
        <w:trPr>
          <w:trHeight w:val="20"/>
        </w:trPr>
        <w:tc>
          <w:tcPr>
            <w:tcW w:w="833" w:type="pct"/>
            <w:shd w:val="clear" w:color="auto" w:fill="auto"/>
            <w:noWrap/>
            <w:vAlign w:val="bottom"/>
          </w:tcPr>
          <w:p w:rsidR="00586863" w:rsidRPr="007D0D5D" w:rsidRDefault="00586863" w:rsidP="0099548F">
            <w:pPr>
              <w:keepNext/>
              <w:spacing w:after="0" w:line="240" w:lineRule="auto"/>
              <w:rPr>
                <w:rFonts w:eastAsia="Times New Roman" w:cs="Times New Roman"/>
                <w:color w:val="000000"/>
                <w:sz w:val="18"/>
                <w:szCs w:val="18"/>
              </w:rPr>
            </w:pPr>
            <w:r w:rsidRPr="007D0D5D">
              <w:rPr>
                <w:rFonts w:eastAsia="Times New Roman" w:cs="Times New Roman"/>
                <w:color w:val="000000"/>
                <w:sz w:val="18"/>
                <w:szCs w:val="18"/>
              </w:rPr>
              <w:t>2000-01</w:t>
            </w:r>
          </w:p>
        </w:tc>
        <w:tc>
          <w:tcPr>
            <w:tcW w:w="833" w:type="pct"/>
          </w:tcPr>
          <w:p w:rsidR="00586863" w:rsidRPr="007D0D5D" w:rsidRDefault="00586863" w:rsidP="0099548F">
            <w:pPr>
              <w:keepNext/>
              <w:spacing w:after="0" w:line="240" w:lineRule="auto"/>
              <w:jc w:val="center"/>
              <w:rPr>
                <w:rFonts w:eastAsia="Times New Roman" w:cs="Times New Roman"/>
                <w:color w:val="000000"/>
                <w:sz w:val="18"/>
                <w:szCs w:val="18"/>
              </w:rPr>
            </w:pPr>
            <w:r w:rsidRPr="007D0D5D">
              <w:rPr>
                <w:rFonts w:eastAsia="Times New Roman" w:cs="Times New Roman"/>
                <w:color w:val="000000"/>
                <w:sz w:val="18"/>
                <w:szCs w:val="18"/>
              </w:rPr>
              <w:t>60</w:t>
            </w:r>
          </w:p>
        </w:tc>
        <w:tc>
          <w:tcPr>
            <w:tcW w:w="833" w:type="pct"/>
            <w:shd w:val="clear" w:color="auto" w:fill="auto"/>
            <w:noWrap/>
            <w:vAlign w:val="bottom"/>
          </w:tcPr>
          <w:p w:rsidR="00586863" w:rsidRPr="007D0D5D" w:rsidRDefault="00586863" w:rsidP="0099548F">
            <w:pPr>
              <w:keepNext/>
              <w:spacing w:after="0" w:line="240" w:lineRule="auto"/>
              <w:jc w:val="center"/>
              <w:rPr>
                <w:rFonts w:eastAsia="Times New Roman" w:cs="Times New Roman"/>
                <w:color w:val="000000"/>
                <w:sz w:val="18"/>
                <w:szCs w:val="18"/>
              </w:rPr>
            </w:pPr>
            <w:r w:rsidRPr="007D0D5D">
              <w:rPr>
                <w:rFonts w:eastAsia="Times New Roman" w:cs="Times New Roman"/>
                <w:color w:val="000000"/>
                <w:sz w:val="18"/>
                <w:szCs w:val="18"/>
              </w:rPr>
              <w:t>1.09</w:t>
            </w:r>
          </w:p>
        </w:tc>
        <w:tc>
          <w:tcPr>
            <w:tcW w:w="833" w:type="pct"/>
            <w:shd w:val="clear" w:color="auto" w:fill="auto"/>
            <w:noWrap/>
            <w:vAlign w:val="bottom"/>
          </w:tcPr>
          <w:p w:rsidR="00586863" w:rsidRPr="007D0D5D" w:rsidRDefault="00586863" w:rsidP="0099548F">
            <w:pPr>
              <w:keepNext/>
              <w:spacing w:after="0" w:line="240" w:lineRule="auto"/>
              <w:jc w:val="center"/>
              <w:rPr>
                <w:rFonts w:eastAsia="Times New Roman" w:cs="Times New Roman"/>
                <w:color w:val="000000"/>
                <w:sz w:val="18"/>
                <w:szCs w:val="18"/>
              </w:rPr>
            </w:pPr>
            <w:r w:rsidRPr="007D0D5D">
              <w:rPr>
                <w:rFonts w:eastAsia="Times New Roman" w:cs="Times New Roman"/>
                <w:color w:val="000000"/>
                <w:sz w:val="18"/>
                <w:szCs w:val="18"/>
              </w:rPr>
              <w:t>0.35</w:t>
            </w:r>
          </w:p>
        </w:tc>
        <w:tc>
          <w:tcPr>
            <w:tcW w:w="833" w:type="pct"/>
            <w:shd w:val="clear" w:color="auto" w:fill="auto"/>
            <w:noWrap/>
            <w:vAlign w:val="bottom"/>
          </w:tcPr>
          <w:p w:rsidR="00586863" w:rsidRPr="007D0D5D" w:rsidRDefault="006B36F4" w:rsidP="0099548F">
            <w:pPr>
              <w:keepNext/>
              <w:spacing w:after="0" w:line="240" w:lineRule="auto"/>
              <w:jc w:val="center"/>
              <w:rPr>
                <w:rFonts w:eastAsia="Times New Roman" w:cs="Times New Roman"/>
                <w:color w:val="000000"/>
                <w:sz w:val="18"/>
                <w:szCs w:val="18"/>
              </w:rPr>
            </w:pPr>
            <w:r w:rsidRPr="007D0D5D">
              <w:rPr>
                <w:rFonts w:eastAsia="Times New Roman" w:cs="Times New Roman"/>
                <w:color w:val="000000"/>
                <w:sz w:val="18"/>
                <w:szCs w:val="18"/>
              </w:rPr>
              <w:t>0.20</w:t>
            </w:r>
          </w:p>
        </w:tc>
        <w:tc>
          <w:tcPr>
            <w:tcW w:w="835" w:type="pct"/>
            <w:shd w:val="clear" w:color="auto" w:fill="auto"/>
            <w:noWrap/>
            <w:vAlign w:val="bottom"/>
          </w:tcPr>
          <w:p w:rsidR="00586863" w:rsidRPr="007D0D5D" w:rsidRDefault="00586863" w:rsidP="0099548F">
            <w:pPr>
              <w:keepNext/>
              <w:spacing w:after="0" w:line="240" w:lineRule="auto"/>
              <w:jc w:val="center"/>
              <w:rPr>
                <w:rFonts w:eastAsia="Times New Roman" w:cs="Times New Roman"/>
                <w:color w:val="000000"/>
                <w:sz w:val="18"/>
                <w:szCs w:val="18"/>
              </w:rPr>
            </w:pPr>
            <w:r w:rsidRPr="007D0D5D">
              <w:rPr>
                <w:rFonts w:eastAsia="Times New Roman" w:cs="Times New Roman"/>
                <w:color w:val="000000"/>
                <w:sz w:val="18"/>
                <w:szCs w:val="18"/>
              </w:rPr>
              <w:t>1.94</w:t>
            </w:r>
          </w:p>
        </w:tc>
      </w:tr>
      <w:tr w:rsidR="00586863" w:rsidRPr="007D0D5D" w:rsidTr="0099548F">
        <w:trPr>
          <w:trHeight w:val="20"/>
        </w:trPr>
        <w:tc>
          <w:tcPr>
            <w:tcW w:w="833" w:type="pct"/>
            <w:shd w:val="clear" w:color="auto" w:fill="auto"/>
            <w:noWrap/>
            <w:vAlign w:val="bottom"/>
            <w:hideMark/>
          </w:tcPr>
          <w:p w:rsidR="00586863" w:rsidRPr="007D0D5D" w:rsidRDefault="00586863" w:rsidP="0099548F">
            <w:pPr>
              <w:keepNext/>
              <w:spacing w:after="0" w:line="240" w:lineRule="auto"/>
              <w:rPr>
                <w:rFonts w:eastAsia="Times New Roman" w:cs="Times New Roman"/>
                <w:color w:val="000000"/>
                <w:sz w:val="18"/>
                <w:szCs w:val="18"/>
              </w:rPr>
            </w:pPr>
            <w:r w:rsidRPr="007D0D5D">
              <w:rPr>
                <w:rFonts w:eastAsia="Times New Roman" w:cs="Times New Roman"/>
                <w:color w:val="000000"/>
                <w:sz w:val="18"/>
                <w:szCs w:val="18"/>
              </w:rPr>
              <w:t>2001-02</w:t>
            </w:r>
          </w:p>
        </w:tc>
        <w:tc>
          <w:tcPr>
            <w:tcW w:w="833" w:type="pct"/>
          </w:tcPr>
          <w:p w:rsidR="00586863" w:rsidRPr="007D0D5D" w:rsidRDefault="00586863" w:rsidP="0099548F">
            <w:pPr>
              <w:keepNext/>
              <w:spacing w:after="0" w:line="240" w:lineRule="auto"/>
              <w:jc w:val="center"/>
              <w:rPr>
                <w:rFonts w:eastAsia="Times New Roman" w:cs="Times New Roman"/>
                <w:color w:val="000000"/>
                <w:sz w:val="18"/>
                <w:szCs w:val="18"/>
              </w:rPr>
            </w:pPr>
            <w:r w:rsidRPr="007D0D5D">
              <w:rPr>
                <w:rFonts w:eastAsia="Times New Roman" w:cs="Times New Roman"/>
                <w:color w:val="000000"/>
                <w:sz w:val="18"/>
                <w:szCs w:val="18"/>
              </w:rPr>
              <w:t>66</w:t>
            </w:r>
          </w:p>
        </w:tc>
        <w:tc>
          <w:tcPr>
            <w:tcW w:w="833" w:type="pct"/>
            <w:shd w:val="clear" w:color="auto" w:fill="auto"/>
            <w:noWrap/>
            <w:vAlign w:val="bottom"/>
            <w:hideMark/>
          </w:tcPr>
          <w:p w:rsidR="00586863" w:rsidRPr="007D0D5D" w:rsidRDefault="00586863" w:rsidP="0099548F">
            <w:pPr>
              <w:keepNext/>
              <w:spacing w:after="0" w:line="240" w:lineRule="auto"/>
              <w:jc w:val="center"/>
              <w:rPr>
                <w:rFonts w:eastAsia="Times New Roman" w:cs="Times New Roman"/>
                <w:color w:val="000000"/>
                <w:sz w:val="18"/>
                <w:szCs w:val="18"/>
              </w:rPr>
            </w:pPr>
            <w:r w:rsidRPr="007D0D5D">
              <w:rPr>
                <w:rFonts w:eastAsia="Times New Roman" w:cs="Times New Roman"/>
                <w:color w:val="000000"/>
                <w:sz w:val="18"/>
                <w:szCs w:val="18"/>
              </w:rPr>
              <w:t>1.17</w:t>
            </w:r>
          </w:p>
        </w:tc>
        <w:tc>
          <w:tcPr>
            <w:tcW w:w="833" w:type="pct"/>
            <w:shd w:val="clear" w:color="auto" w:fill="auto"/>
            <w:noWrap/>
            <w:vAlign w:val="bottom"/>
            <w:hideMark/>
          </w:tcPr>
          <w:p w:rsidR="00586863" w:rsidRPr="007D0D5D" w:rsidRDefault="00586863" w:rsidP="0099548F">
            <w:pPr>
              <w:keepNext/>
              <w:spacing w:after="0" w:line="240" w:lineRule="auto"/>
              <w:jc w:val="center"/>
              <w:rPr>
                <w:rFonts w:eastAsia="Times New Roman" w:cs="Times New Roman"/>
                <w:color w:val="000000"/>
                <w:sz w:val="18"/>
                <w:szCs w:val="18"/>
              </w:rPr>
            </w:pPr>
            <w:r w:rsidRPr="007D0D5D">
              <w:rPr>
                <w:rFonts w:eastAsia="Times New Roman" w:cs="Times New Roman"/>
                <w:color w:val="000000"/>
                <w:sz w:val="18"/>
                <w:szCs w:val="18"/>
              </w:rPr>
              <w:t>0.44</w:t>
            </w:r>
          </w:p>
        </w:tc>
        <w:tc>
          <w:tcPr>
            <w:tcW w:w="833" w:type="pct"/>
            <w:shd w:val="clear" w:color="auto" w:fill="auto"/>
            <w:noWrap/>
            <w:vAlign w:val="bottom"/>
            <w:hideMark/>
          </w:tcPr>
          <w:p w:rsidR="00586863" w:rsidRPr="007D0D5D" w:rsidRDefault="00586863" w:rsidP="0099548F">
            <w:pPr>
              <w:keepNext/>
              <w:spacing w:after="0" w:line="240" w:lineRule="auto"/>
              <w:jc w:val="center"/>
              <w:rPr>
                <w:rFonts w:eastAsia="Times New Roman" w:cs="Times New Roman"/>
                <w:color w:val="000000"/>
                <w:sz w:val="18"/>
                <w:szCs w:val="18"/>
              </w:rPr>
            </w:pPr>
            <w:r w:rsidRPr="007D0D5D">
              <w:rPr>
                <w:rFonts w:eastAsia="Times New Roman" w:cs="Times New Roman"/>
                <w:color w:val="000000"/>
                <w:sz w:val="18"/>
                <w:szCs w:val="18"/>
              </w:rPr>
              <w:t>0.40</w:t>
            </w:r>
          </w:p>
        </w:tc>
        <w:tc>
          <w:tcPr>
            <w:tcW w:w="835" w:type="pct"/>
            <w:shd w:val="clear" w:color="auto" w:fill="auto"/>
            <w:noWrap/>
            <w:vAlign w:val="bottom"/>
            <w:hideMark/>
          </w:tcPr>
          <w:p w:rsidR="00586863" w:rsidRPr="007D0D5D" w:rsidRDefault="00586863" w:rsidP="0099548F">
            <w:pPr>
              <w:keepNext/>
              <w:spacing w:after="0" w:line="240" w:lineRule="auto"/>
              <w:jc w:val="center"/>
              <w:rPr>
                <w:rFonts w:eastAsia="Times New Roman" w:cs="Times New Roman"/>
                <w:color w:val="000000"/>
                <w:sz w:val="18"/>
                <w:szCs w:val="18"/>
              </w:rPr>
            </w:pPr>
            <w:r w:rsidRPr="007D0D5D">
              <w:rPr>
                <w:rFonts w:eastAsia="Times New Roman" w:cs="Times New Roman"/>
                <w:color w:val="000000"/>
                <w:sz w:val="18"/>
                <w:szCs w:val="18"/>
              </w:rPr>
              <w:t>2.29</w:t>
            </w:r>
          </w:p>
        </w:tc>
      </w:tr>
      <w:tr w:rsidR="00586863" w:rsidRPr="007D0D5D" w:rsidTr="0099548F">
        <w:trPr>
          <w:trHeight w:val="20"/>
        </w:trPr>
        <w:tc>
          <w:tcPr>
            <w:tcW w:w="833" w:type="pct"/>
            <w:shd w:val="clear" w:color="auto" w:fill="auto"/>
            <w:noWrap/>
            <w:vAlign w:val="bottom"/>
            <w:hideMark/>
          </w:tcPr>
          <w:p w:rsidR="00586863" w:rsidRPr="007D0D5D" w:rsidRDefault="00586863" w:rsidP="0099548F">
            <w:pPr>
              <w:keepNext/>
              <w:spacing w:after="0" w:line="240" w:lineRule="auto"/>
              <w:rPr>
                <w:rFonts w:eastAsia="Times New Roman" w:cs="Times New Roman"/>
                <w:color w:val="000000"/>
                <w:sz w:val="18"/>
                <w:szCs w:val="18"/>
              </w:rPr>
            </w:pPr>
            <w:r w:rsidRPr="007D0D5D">
              <w:rPr>
                <w:rFonts w:eastAsia="Times New Roman" w:cs="Times New Roman"/>
                <w:color w:val="000000"/>
                <w:sz w:val="18"/>
                <w:szCs w:val="18"/>
              </w:rPr>
              <w:t>2002-03</w:t>
            </w:r>
          </w:p>
        </w:tc>
        <w:tc>
          <w:tcPr>
            <w:tcW w:w="833" w:type="pct"/>
          </w:tcPr>
          <w:p w:rsidR="00586863" w:rsidRPr="007D0D5D" w:rsidRDefault="00586863" w:rsidP="0099548F">
            <w:pPr>
              <w:keepNext/>
              <w:spacing w:after="0" w:line="240" w:lineRule="auto"/>
              <w:jc w:val="center"/>
              <w:rPr>
                <w:rFonts w:eastAsia="Times New Roman" w:cs="Times New Roman"/>
                <w:color w:val="000000"/>
                <w:sz w:val="18"/>
                <w:szCs w:val="18"/>
              </w:rPr>
            </w:pPr>
            <w:r w:rsidRPr="007D0D5D">
              <w:rPr>
                <w:rFonts w:eastAsia="Times New Roman" w:cs="Times New Roman"/>
                <w:color w:val="000000"/>
                <w:sz w:val="18"/>
                <w:szCs w:val="18"/>
              </w:rPr>
              <w:t>66</w:t>
            </w:r>
          </w:p>
        </w:tc>
        <w:tc>
          <w:tcPr>
            <w:tcW w:w="833" w:type="pct"/>
            <w:shd w:val="clear" w:color="auto" w:fill="auto"/>
            <w:noWrap/>
            <w:vAlign w:val="bottom"/>
            <w:hideMark/>
          </w:tcPr>
          <w:p w:rsidR="00586863" w:rsidRPr="007D0D5D" w:rsidRDefault="00586863" w:rsidP="0099548F">
            <w:pPr>
              <w:keepNext/>
              <w:spacing w:after="0" w:line="240" w:lineRule="auto"/>
              <w:jc w:val="center"/>
              <w:rPr>
                <w:rFonts w:eastAsia="Times New Roman" w:cs="Times New Roman"/>
                <w:color w:val="000000"/>
                <w:sz w:val="18"/>
                <w:szCs w:val="18"/>
              </w:rPr>
            </w:pPr>
            <w:r w:rsidRPr="007D0D5D">
              <w:rPr>
                <w:rFonts w:eastAsia="Times New Roman" w:cs="Times New Roman"/>
                <w:color w:val="000000"/>
                <w:sz w:val="18"/>
                <w:szCs w:val="18"/>
              </w:rPr>
              <w:t>1.36</w:t>
            </w:r>
          </w:p>
        </w:tc>
        <w:tc>
          <w:tcPr>
            <w:tcW w:w="833" w:type="pct"/>
            <w:shd w:val="clear" w:color="auto" w:fill="auto"/>
            <w:noWrap/>
            <w:vAlign w:val="bottom"/>
            <w:hideMark/>
          </w:tcPr>
          <w:p w:rsidR="00586863" w:rsidRPr="007D0D5D" w:rsidRDefault="00586863" w:rsidP="0099548F">
            <w:pPr>
              <w:keepNext/>
              <w:spacing w:after="0" w:line="240" w:lineRule="auto"/>
              <w:jc w:val="center"/>
              <w:rPr>
                <w:rFonts w:eastAsia="Times New Roman" w:cs="Times New Roman"/>
                <w:color w:val="000000"/>
                <w:sz w:val="18"/>
                <w:szCs w:val="18"/>
              </w:rPr>
            </w:pPr>
            <w:r w:rsidRPr="007D0D5D">
              <w:rPr>
                <w:rFonts w:eastAsia="Times New Roman" w:cs="Times New Roman"/>
                <w:color w:val="000000"/>
                <w:sz w:val="18"/>
                <w:szCs w:val="18"/>
              </w:rPr>
              <w:t>0.52</w:t>
            </w:r>
          </w:p>
        </w:tc>
        <w:tc>
          <w:tcPr>
            <w:tcW w:w="833" w:type="pct"/>
            <w:shd w:val="clear" w:color="auto" w:fill="auto"/>
            <w:noWrap/>
            <w:vAlign w:val="bottom"/>
            <w:hideMark/>
          </w:tcPr>
          <w:p w:rsidR="00586863" w:rsidRPr="007D0D5D" w:rsidRDefault="00586863" w:rsidP="0099548F">
            <w:pPr>
              <w:keepNext/>
              <w:spacing w:after="0" w:line="240" w:lineRule="auto"/>
              <w:jc w:val="center"/>
              <w:rPr>
                <w:rFonts w:eastAsia="Times New Roman" w:cs="Times New Roman"/>
                <w:color w:val="000000"/>
                <w:sz w:val="18"/>
                <w:szCs w:val="18"/>
              </w:rPr>
            </w:pPr>
            <w:r w:rsidRPr="007D0D5D">
              <w:rPr>
                <w:rFonts w:eastAsia="Times New Roman" w:cs="Times New Roman"/>
                <w:color w:val="000000"/>
                <w:sz w:val="18"/>
                <w:szCs w:val="18"/>
              </w:rPr>
              <w:t>0.27</w:t>
            </w:r>
          </w:p>
        </w:tc>
        <w:tc>
          <w:tcPr>
            <w:tcW w:w="835" w:type="pct"/>
            <w:shd w:val="clear" w:color="auto" w:fill="auto"/>
            <w:noWrap/>
            <w:vAlign w:val="bottom"/>
            <w:hideMark/>
          </w:tcPr>
          <w:p w:rsidR="00586863" w:rsidRPr="007D0D5D" w:rsidRDefault="00586863" w:rsidP="0099548F">
            <w:pPr>
              <w:keepNext/>
              <w:spacing w:after="0" w:line="240" w:lineRule="auto"/>
              <w:jc w:val="center"/>
              <w:rPr>
                <w:rFonts w:eastAsia="Times New Roman" w:cs="Times New Roman"/>
                <w:color w:val="000000"/>
                <w:sz w:val="18"/>
                <w:szCs w:val="18"/>
              </w:rPr>
            </w:pPr>
            <w:r w:rsidRPr="007D0D5D">
              <w:rPr>
                <w:rFonts w:eastAsia="Times New Roman" w:cs="Times New Roman"/>
                <w:color w:val="000000"/>
                <w:sz w:val="18"/>
                <w:szCs w:val="18"/>
              </w:rPr>
              <w:t>3.44</w:t>
            </w:r>
          </w:p>
        </w:tc>
      </w:tr>
      <w:tr w:rsidR="00586863" w:rsidRPr="007D0D5D" w:rsidTr="0099548F">
        <w:trPr>
          <w:trHeight w:val="20"/>
        </w:trPr>
        <w:tc>
          <w:tcPr>
            <w:tcW w:w="833" w:type="pct"/>
            <w:shd w:val="clear" w:color="auto" w:fill="auto"/>
            <w:noWrap/>
            <w:vAlign w:val="bottom"/>
            <w:hideMark/>
          </w:tcPr>
          <w:p w:rsidR="00586863" w:rsidRPr="007D0D5D" w:rsidRDefault="00586863" w:rsidP="0099548F">
            <w:pPr>
              <w:keepNext/>
              <w:spacing w:after="0" w:line="240" w:lineRule="auto"/>
              <w:rPr>
                <w:rFonts w:eastAsia="Times New Roman" w:cs="Times New Roman"/>
                <w:color w:val="000000"/>
                <w:sz w:val="18"/>
                <w:szCs w:val="18"/>
              </w:rPr>
            </w:pPr>
            <w:r w:rsidRPr="007D0D5D">
              <w:rPr>
                <w:rFonts w:eastAsia="Times New Roman" w:cs="Times New Roman"/>
                <w:color w:val="000000"/>
                <w:sz w:val="18"/>
                <w:szCs w:val="18"/>
              </w:rPr>
              <w:t>2003-04</w:t>
            </w:r>
          </w:p>
        </w:tc>
        <w:tc>
          <w:tcPr>
            <w:tcW w:w="833" w:type="pct"/>
          </w:tcPr>
          <w:p w:rsidR="00586863" w:rsidRPr="007D0D5D" w:rsidRDefault="00586863" w:rsidP="0099548F">
            <w:pPr>
              <w:keepNext/>
              <w:spacing w:after="0" w:line="240" w:lineRule="auto"/>
              <w:jc w:val="center"/>
              <w:rPr>
                <w:rFonts w:eastAsia="Times New Roman" w:cs="Times New Roman"/>
                <w:color w:val="000000"/>
                <w:sz w:val="18"/>
                <w:szCs w:val="18"/>
              </w:rPr>
            </w:pPr>
            <w:r w:rsidRPr="007D0D5D">
              <w:rPr>
                <w:rFonts w:eastAsia="Times New Roman" w:cs="Times New Roman"/>
                <w:color w:val="000000"/>
                <w:sz w:val="18"/>
                <w:szCs w:val="18"/>
              </w:rPr>
              <w:t>66</w:t>
            </w:r>
          </w:p>
        </w:tc>
        <w:tc>
          <w:tcPr>
            <w:tcW w:w="833" w:type="pct"/>
            <w:shd w:val="clear" w:color="auto" w:fill="auto"/>
            <w:noWrap/>
            <w:vAlign w:val="bottom"/>
            <w:hideMark/>
          </w:tcPr>
          <w:p w:rsidR="00586863" w:rsidRPr="007D0D5D" w:rsidRDefault="00586863" w:rsidP="0099548F">
            <w:pPr>
              <w:keepNext/>
              <w:spacing w:after="0" w:line="240" w:lineRule="auto"/>
              <w:jc w:val="center"/>
              <w:rPr>
                <w:rFonts w:eastAsia="Times New Roman" w:cs="Times New Roman"/>
                <w:color w:val="000000"/>
                <w:sz w:val="18"/>
                <w:szCs w:val="18"/>
              </w:rPr>
            </w:pPr>
            <w:r w:rsidRPr="007D0D5D">
              <w:rPr>
                <w:rFonts w:eastAsia="Times New Roman" w:cs="Times New Roman"/>
                <w:color w:val="000000"/>
                <w:sz w:val="18"/>
                <w:szCs w:val="18"/>
              </w:rPr>
              <w:t>1.36</w:t>
            </w:r>
          </w:p>
        </w:tc>
        <w:tc>
          <w:tcPr>
            <w:tcW w:w="833" w:type="pct"/>
            <w:shd w:val="clear" w:color="auto" w:fill="auto"/>
            <w:noWrap/>
            <w:vAlign w:val="bottom"/>
            <w:hideMark/>
          </w:tcPr>
          <w:p w:rsidR="00586863" w:rsidRPr="007D0D5D" w:rsidRDefault="00586863" w:rsidP="0099548F">
            <w:pPr>
              <w:keepNext/>
              <w:spacing w:after="0" w:line="240" w:lineRule="auto"/>
              <w:jc w:val="center"/>
              <w:rPr>
                <w:rFonts w:eastAsia="Times New Roman" w:cs="Times New Roman"/>
                <w:color w:val="000000"/>
                <w:sz w:val="18"/>
                <w:szCs w:val="18"/>
              </w:rPr>
            </w:pPr>
            <w:r w:rsidRPr="007D0D5D">
              <w:rPr>
                <w:rFonts w:eastAsia="Times New Roman" w:cs="Times New Roman"/>
                <w:color w:val="000000"/>
                <w:sz w:val="18"/>
                <w:szCs w:val="18"/>
              </w:rPr>
              <w:t>0.48</w:t>
            </w:r>
          </w:p>
        </w:tc>
        <w:tc>
          <w:tcPr>
            <w:tcW w:w="833" w:type="pct"/>
            <w:shd w:val="clear" w:color="auto" w:fill="auto"/>
            <w:noWrap/>
            <w:vAlign w:val="bottom"/>
            <w:hideMark/>
          </w:tcPr>
          <w:p w:rsidR="00586863" w:rsidRPr="007D0D5D" w:rsidRDefault="00586863" w:rsidP="0099548F">
            <w:pPr>
              <w:keepNext/>
              <w:spacing w:after="0" w:line="240" w:lineRule="auto"/>
              <w:jc w:val="center"/>
              <w:rPr>
                <w:rFonts w:eastAsia="Times New Roman" w:cs="Times New Roman"/>
                <w:color w:val="000000"/>
                <w:sz w:val="18"/>
                <w:szCs w:val="18"/>
              </w:rPr>
            </w:pPr>
            <w:r w:rsidRPr="007D0D5D">
              <w:rPr>
                <w:rFonts w:eastAsia="Times New Roman" w:cs="Times New Roman"/>
                <w:color w:val="000000"/>
                <w:sz w:val="18"/>
                <w:szCs w:val="18"/>
              </w:rPr>
              <w:t>0.57</w:t>
            </w:r>
          </w:p>
        </w:tc>
        <w:tc>
          <w:tcPr>
            <w:tcW w:w="835" w:type="pct"/>
            <w:shd w:val="clear" w:color="auto" w:fill="auto"/>
            <w:noWrap/>
            <w:vAlign w:val="bottom"/>
            <w:hideMark/>
          </w:tcPr>
          <w:p w:rsidR="00586863" w:rsidRPr="007D0D5D" w:rsidRDefault="00586863" w:rsidP="0099548F">
            <w:pPr>
              <w:keepNext/>
              <w:spacing w:after="0" w:line="240" w:lineRule="auto"/>
              <w:jc w:val="center"/>
              <w:rPr>
                <w:rFonts w:eastAsia="Times New Roman" w:cs="Times New Roman"/>
                <w:color w:val="000000"/>
                <w:sz w:val="18"/>
                <w:szCs w:val="18"/>
              </w:rPr>
            </w:pPr>
            <w:r w:rsidRPr="007D0D5D">
              <w:rPr>
                <w:rFonts w:eastAsia="Times New Roman" w:cs="Times New Roman"/>
                <w:color w:val="000000"/>
                <w:sz w:val="18"/>
                <w:szCs w:val="18"/>
              </w:rPr>
              <w:t>2.69</w:t>
            </w:r>
          </w:p>
        </w:tc>
      </w:tr>
      <w:tr w:rsidR="00586863" w:rsidRPr="007D0D5D" w:rsidTr="0099548F">
        <w:trPr>
          <w:trHeight w:val="20"/>
        </w:trPr>
        <w:tc>
          <w:tcPr>
            <w:tcW w:w="833" w:type="pct"/>
            <w:shd w:val="clear" w:color="auto" w:fill="auto"/>
            <w:noWrap/>
            <w:vAlign w:val="bottom"/>
            <w:hideMark/>
          </w:tcPr>
          <w:p w:rsidR="00586863" w:rsidRPr="007D0D5D" w:rsidRDefault="00586863" w:rsidP="0099548F">
            <w:pPr>
              <w:keepNext/>
              <w:spacing w:after="0" w:line="240" w:lineRule="auto"/>
              <w:rPr>
                <w:rFonts w:eastAsia="Times New Roman" w:cs="Times New Roman"/>
                <w:color w:val="000000"/>
                <w:sz w:val="18"/>
                <w:szCs w:val="18"/>
              </w:rPr>
            </w:pPr>
            <w:r w:rsidRPr="007D0D5D">
              <w:rPr>
                <w:rFonts w:eastAsia="Times New Roman" w:cs="Times New Roman"/>
                <w:color w:val="000000"/>
                <w:sz w:val="18"/>
                <w:szCs w:val="18"/>
              </w:rPr>
              <w:t>2004-05</w:t>
            </w:r>
          </w:p>
        </w:tc>
        <w:tc>
          <w:tcPr>
            <w:tcW w:w="833" w:type="pct"/>
          </w:tcPr>
          <w:p w:rsidR="00586863" w:rsidRPr="007D0D5D" w:rsidRDefault="00586863" w:rsidP="0099548F">
            <w:pPr>
              <w:keepNext/>
              <w:spacing w:after="0" w:line="240" w:lineRule="auto"/>
              <w:jc w:val="center"/>
              <w:rPr>
                <w:rFonts w:eastAsia="Times New Roman" w:cs="Times New Roman"/>
                <w:color w:val="000000"/>
                <w:sz w:val="18"/>
                <w:szCs w:val="18"/>
              </w:rPr>
            </w:pPr>
            <w:r w:rsidRPr="007D0D5D">
              <w:rPr>
                <w:rFonts w:eastAsia="Times New Roman" w:cs="Times New Roman"/>
                <w:color w:val="000000"/>
                <w:sz w:val="18"/>
                <w:szCs w:val="18"/>
              </w:rPr>
              <w:t>88</w:t>
            </w:r>
          </w:p>
        </w:tc>
        <w:tc>
          <w:tcPr>
            <w:tcW w:w="833" w:type="pct"/>
            <w:shd w:val="clear" w:color="auto" w:fill="auto"/>
            <w:noWrap/>
            <w:vAlign w:val="bottom"/>
            <w:hideMark/>
          </w:tcPr>
          <w:p w:rsidR="00586863" w:rsidRPr="007D0D5D" w:rsidRDefault="00586863" w:rsidP="0099548F">
            <w:pPr>
              <w:keepNext/>
              <w:spacing w:after="0" w:line="240" w:lineRule="auto"/>
              <w:jc w:val="center"/>
              <w:rPr>
                <w:rFonts w:eastAsia="Times New Roman" w:cs="Times New Roman"/>
                <w:color w:val="000000"/>
                <w:sz w:val="18"/>
                <w:szCs w:val="18"/>
              </w:rPr>
            </w:pPr>
            <w:r w:rsidRPr="007D0D5D">
              <w:rPr>
                <w:rFonts w:eastAsia="Times New Roman" w:cs="Times New Roman"/>
                <w:color w:val="000000"/>
                <w:sz w:val="18"/>
                <w:szCs w:val="18"/>
              </w:rPr>
              <w:t>1.22</w:t>
            </w:r>
          </w:p>
        </w:tc>
        <w:tc>
          <w:tcPr>
            <w:tcW w:w="833" w:type="pct"/>
            <w:shd w:val="clear" w:color="auto" w:fill="auto"/>
            <w:noWrap/>
            <w:vAlign w:val="bottom"/>
            <w:hideMark/>
          </w:tcPr>
          <w:p w:rsidR="00586863" w:rsidRPr="007D0D5D" w:rsidRDefault="00586863" w:rsidP="0099548F">
            <w:pPr>
              <w:keepNext/>
              <w:spacing w:after="0" w:line="240" w:lineRule="auto"/>
              <w:jc w:val="center"/>
              <w:rPr>
                <w:rFonts w:eastAsia="Times New Roman" w:cs="Times New Roman"/>
                <w:color w:val="000000"/>
                <w:sz w:val="18"/>
                <w:szCs w:val="18"/>
              </w:rPr>
            </w:pPr>
            <w:r w:rsidRPr="007D0D5D">
              <w:rPr>
                <w:rFonts w:eastAsia="Times New Roman" w:cs="Times New Roman"/>
                <w:color w:val="000000"/>
                <w:sz w:val="18"/>
                <w:szCs w:val="18"/>
              </w:rPr>
              <w:t>0.56</w:t>
            </w:r>
          </w:p>
        </w:tc>
        <w:tc>
          <w:tcPr>
            <w:tcW w:w="833" w:type="pct"/>
            <w:shd w:val="clear" w:color="auto" w:fill="auto"/>
            <w:noWrap/>
            <w:vAlign w:val="bottom"/>
            <w:hideMark/>
          </w:tcPr>
          <w:p w:rsidR="00586863" w:rsidRPr="007D0D5D" w:rsidRDefault="00586863" w:rsidP="0099548F">
            <w:pPr>
              <w:keepNext/>
              <w:spacing w:after="0" w:line="240" w:lineRule="auto"/>
              <w:jc w:val="center"/>
              <w:rPr>
                <w:rFonts w:eastAsia="Times New Roman" w:cs="Times New Roman"/>
                <w:color w:val="000000"/>
                <w:sz w:val="18"/>
                <w:szCs w:val="18"/>
              </w:rPr>
            </w:pPr>
            <w:r w:rsidRPr="007D0D5D">
              <w:rPr>
                <w:rFonts w:eastAsia="Times New Roman" w:cs="Times New Roman"/>
                <w:color w:val="000000"/>
                <w:sz w:val="18"/>
                <w:szCs w:val="18"/>
              </w:rPr>
              <w:t>0.41</w:t>
            </w:r>
          </w:p>
        </w:tc>
        <w:tc>
          <w:tcPr>
            <w:tcW w:w="835" w:type="pct"/>
            <w:shd w:val="clear" w:color="auto" w:fill="auto"/>
            <w:noWrap/>
            <w:vAlign w:val="bottom"/>
            <w:hideMark/>
          </w:tcPr>
          <w:p w:rsidR="00586863" w:rsidRPr="007D0D5D" w:rsidRDefault="00586863" w:rsidP="0099548F">
            <w:pPr>
              <w:keepNext/>
              <w:spacing w:after="0" w:line="240" w:lineRule="auto"/>
              <w:jc w:val="center"/>
              <w:rPr>
                <w:rFonts w:eastAsia="Times New Roman" w:cs="Times New Roman"/>
                <w:color w:val="000000"/>
                <w:sz w:val="18"/>
                <w:szCs w:val="18"/>
              </w:rPr>
            </w:pPr>
            <w:r w:rsidRPr="007D0D5D">
              <w:rPr>
                <w:rFonts w:eastAsia="Times New Roman" w:cs="Times New Roman"/>
                <w:color w:val="000000"/>
                <w:sz w:val="18"/>
                <w:szCs w:val="18"/>
              </w:rPr>
              <w:t>3.14</w:t>
            </w:r>
          </w:p>
        </w:tc>
      </w:tr>
      <w:tr w:rsidR="00586863" w:rsidRPr="007D0D5D" w:rsidTr="0099548F">
        <w:trPr>
          <w:trHeight w:val="20"/>
        </w:trPr>
        <w:tc>
          <w:tcPr>
            <w:tcW w:w="833" w:type="pct"/>
            <w:shd w:val="clear" w:color="auto" w:fill="auto"/>
            <w:noWrap/>
            <w:vAlign w:val="bottom"/>
            <w:hideMark/>
          </w:tcPr>
          <w:p w:rsidR="00586863" w:rsidRPr="007D0D5D" w:rsidRDefault="00586863" w:rsidP="0099548F">
            <w:pPr>
              <w:keepNext/>
              <w:spacing w:after="0" w:line="240" w:lineRule="auto"/>
              <w:rPr>
                <w:rFonts w:eastAsia="Times New Roman" w:cs="Times New Roman"/>
                <w:color w:val="000000"/>
                <w:sz w:val="18"/>
                <w:szCs w:val="18"/>
              </w:rPr>
            </w:pPr>
            <w:r w:rsidRPr="007D0D5D">
              <w:rPr>
                <w:rFonts w:eastAsia="Times New Roman" w:cs="Times New Roman"/>
                <w:color w:val="000000"/>
                <w:sz w:val="18"/>
                <w:szCs w:val="18"/>
              </w:rPr>
              <w:t>2005-06</w:t>
            </w:r>
          </w:p>
        </w:tc>
        <w:tc>
          <w:tcPr>
            <w:tcW w:w="833" w:type="pct"/>
          </w:tcPr>
          <w:p w:rsidR="00586863" w:rsidRPr="007D0D5D" w:rsidRDefault="00586863" w:rsidP="0099548F">
            <w:pPr>
              <w:keepNext/>
              <w:spacing w:after="0" w:line="240" w:lineRule="auto"/>
              <w:jc w:val="center"/>
              <w:rPr>
                <w:rFonts w:eastAsia="Times New Roman" w:cs="Times New Roman"/>
                <w:color w:val="000000"/>
                <w:sz w:val="18"/>
                <w:szCs w:val="18"/>
              </w:rPr>
            </w:pPr>
            <w:r w:rsidRPr="007D0D5D">
              <w:rPr>
                <w:rFonts w:eastAsia="Times New Roman" w:cs="Times New Roman"/>
                <w:color w:val="000000"/>
                <w:sz w:val="18"/>
                <w:szCs w:val="18"/>
              </w:rPr>
              <w:t>88</w:t>
            </w:r>
          </w:p>
        </w:tc>
        <w:tc>
          <w:tcPr>
            <w:tcW w:w="833" w:type="pct"/>
            <w:shd w:val="clear" w:color="auto" w:fill="auto"/>
            <w:noWrap/>
            <w:vAlign w:val="bottom"/>
            <w:hideMark/>
          </w:tcPr>
          <w:p w:rsidR="00586863" w:rsidRPr="007D0D5D" w:rsidRDefault="00586863" w:rsidP="0099548F">
            <w:pPr>
              <w:keepNext/>
              <w:spacing w:after="0" w:line="240" w:lineRule="auto"/>
              <w:jc w:val="center"/>
              <w:rPr>
                <w:rFonts w:eastAsia="Times New Roman" w:cs="Times New Roman"/>
                <w:color w:val="000000"/>
                <w:sz w:val="18"/>
                <w:szCs w:val="18"/>
              </w:rPr>
            </w:pPr>
            <w:r w:rsidRPr="007D0D5D">
              <w:rPr>
                <w:rFonts w:eastAsia="Times New Roman" w:cs="Times New Roman"/>
                <w:color w:val="000000"/>
                <w:sz w:val="18"/>
                <w:szCs w:val="18"/>
              </w:rPr>
              <w:t>1.21</w:t>
            </w:r>
          </w:p>
        </w:tc>
        <w:tc>
          <w:tcPr>
            <w:tcW w:w="833" w:type="pct"/>
            <w:shd w:val="clear" w:color="auto" w:fill="auto"/>
            <w:noWrap/>
            <w:vAlign w:val="bottom"/>
            <w:hideMark/>
          </w:tcPr>
          <w:p w:rsidR="00586863" w:rsidRPr="007D0D5D" w:rsidRDefault="00586863" w:rsidP="0099548F">
            <w:pPr>
              <w:keepNext/>
              <w:spacing w:after="0" w:line="240" w:lineRule="auto"/>
              <w:jc w:val="center"/>
              <w:rPr>
                <w:rFonts w:eastAsia="Times New Roman" w:cs="Times New Roman"/>
                <w:color w:val="000000"/>
                <w:sz w:val="18"/>
                <w:szCs w:val="18"/>
              </w:rPr>
            </w:pPr>
            <w:r w:rsidRPr="007D0D5D">
              <w:rPr>
                <w:rFonts w:eastAsia="Times New Roman" w:cs="Times New Roman"/>
                <w:color w:val="000000"/>
                <w:sz w:val="18"/>
                <w:szCs w:val="18"/>
              </w:rPr>
              <w:t>0.54</w:t>
            </w:r>
          </w:p>
        </w:tc>
        <w:tc>
          <w:tcPr>
            <w:tcW w:w="833" w:type="pct"/>
            <w:shd w:val="clear" w:color="auto" w:fill="auto"/>
            <w:noWrap/>
            <w:vAlign w:val="bottom"/>
            <w:hideMark/>
          </w:tcPr>
          <w:p w:rsidR="00586863" w:rsidRPr="007D0D5D" w:rsidRDefault="00586863" w:rsidP="0099548F">
            <w:pPr>
              <w:keepNext/>
              <w:spacing w:after="0" w:line="240" w:lineRule="auto"/>
              <w:jc w:val="center"/>
              <w:rPr>
                <w:rFonts w:eastAsia="Times New Roman" w:cs="Times New Roman"/>
                <w:color w:val="000000"/>
                <w:sz w:val="18"/>
                <w:szCs w:val="18"/>
              </w:rPr>
            </w:pPr>
            <w:r w:rsidRPr="007D0D5D">
              <w:rPr>
                <w:rFonts w:eastAsia="Times New Roman" w:cs="Times New Roman"/>
                <w:color w:val="000000"/>
                <w:sz w:val="18"/>
                <w:szCs w:val="18"/>
              </w:rPr>
              <w:t>0.39</w:t>
            </w:r>
          </w:p>
        </w:tc>
        <w:tc>
          <w:tcPr>
            <w:tcW w:w="835" w:type="pct"/>
            <w:shd w:val="clear" w:color="auto" w:fill="auto"/>
            <w:noWrap/>
            <w:vAlign w:val="bottom"/>
            <w:hideMark/>
          </w:tcPr>
          <w:p w:rsidR="00586863" w:rsidRPr="007D0D5D" w:rsidRDefault="00586863" w:rsidP="0099548F">
            <w:pPr>
              <w:keepNext/>
              <w:spacing w:after="0" w:line="240" w:lineRule="auto"/>
              <w:jc w:val="center"/>
              <w:rPr>
                <w:rFonts w:eastAsia="Times New Roman" w:cs="Times New Roman"/>
                <w:color w:val="000000"/>
                <w:sz w:val="18"/>
                <w:szCs w:val="18"/>
              </w:rPr>
            </w:pPr>
            <w:r w:rsidRPr="007D0D5D">
              <w:rPr>
                <w:rFonts w:eastAsia="Times New Roman" w:cs="Times New Roman"/>
                <w:color w:val="000000"/>
                <w:sz w:val="18"/>
                <w:szCs w:val="18"/>
              </w:rPr>
              <w:t>3.02</w:t>
            </w:r>
          </w:p>
        </w:tc>
      </w:tr>
      <w:tr w:rsidR="00586863" w:rsidRPr="007D0D5D" w:rsidTr="0099548F">
        <w:trPr>
          <w:trHeight w:val="20"/>
        </w:trPr>
        <w:tc>
          <w:tcPr>
            <w:tcW w:w="833" w:type="pct"/>
            <w:shd w:val="clear" w:color="auto" w:fill="auto"/>
            <w:noWrap/>
            <w:vAlign w:val="bottom"/>
            <w:hideMark/>
          </w:tcPr>
          <w:p w:rsidR="00586863" w:rsidRPr="007D0D5D" w:rsidRDefault="00586863" w:rsidP="0099548F">
            <w:pPr>
              <w:keepNext/>
              <w:spacing w:after="0" w:line="240" w:lineRule="auto"/>
              <w:rPr>
                <w:rFonts w:eastAsia="Times New Roman" w:cs="Times New Roman"/>
                <w:color w:val="000000"/>
                <w:sz w:val="18"/>
                <w:szCs w:val="18"/>
              </w:rPr>
            </w:pPr>
            <w:r w:rsidRPr="007D0D5D">
              <w:rPr>
                <w:rFonts w:eastAsia="Times New Roman" w:cs="Times New Roman"/>
                <w:color w:val="000000"/>
                <w:sz w:val="18"/>
                <w:szCs w:val="18"/>
              </w:rPr>
              <w:t>2006-07</w:t>
            </w:r>
          </w:p>
        </w:tc>
        <w:tc>
          <w:tcPr>
            <w:tcW w:w="833" w:type="pct"/>
          </w:tcPr>
          <w:p w:rsidR="00586863" w:rsidRPr="007D0D5D" w:rsidRDefault="00586863" w:rsidP="0099548F">
            <w:pPr>
              <w:keepNext/>
              <w:spacing w:after="0" w:line="240" w:lineRule="auto"/>
              <w:jc w:val="center"/>
              <w:rPr>
                <w:rFonts w:eastAsia="Times New Roman" w:cs="Times New Roman"/>
                <w:color w:val="000000"/>
                <w:sz w:val="18"/>
                <w:szCs w:val="18"/>
              </w:rPr>
            </w:pPr>
            <w:r w:rsidRPr="007D0D5D">
              <w:rPr>
                <w:rFonts w:eastAsia="Times New Roman" w:cs="Times New Roman"/>
                <w:color w:val="000000"/>
                <w:sz w:val="18"/>
                <w:szCs w:val="18"/>
              </w:rPr>
              <w:t>88</w:t>
            </w:r>
          </w:p>
        </w:tc>
        <w:tc>
          <w:tcPr>
            <w:tcW w:w="833" w:type="pct"/>
            <w:shd w:val="clear" w:color="auto" w:fill="auto"/>
            <w:noWrap/>
            <w:vAlign w:val="bottom"/>
            <w:hideMark/>
          </w:tcPr>
          <w:p w:rsidR="00586863" w:rsidRPr="007D0D5D" w:rsidRDefault="00586863" w:rsidP="0099548F">
            <w:pPr>
              <w:keepNext/>
              <w:spacing w:after="0" w:line="240" w:lineRule="auto"/>
              <w:jc w:val="center"/>
              <w:rPr>
                <w:rFonts w:eastAsia="Times New Roman" w:cs="Times New Roman"/>
                <w:color w:val="000000"/>
                <w:sz w:val="18"/>
                <w:szCs w:val="18"/>
              </w:rPr>
            </w:pPr>
            <w:r w:rsidRPr="007D0D5D">
              <w:rPr>
                <w:rFonts w:eastAsia="Times New Roman" w:cs="Times New Roman"/>
                <w:color w:val="000000"/>
                <w:sz w:val="18"/>
                <w:szCs w:val="18"/>
              </w:rPr>
              <w:t>1.18</w:t>
            </w:r>
          </w:p>
        </w:tc>
        <w:tc>
          <w:tcPr>
            <w:tcW w:w="833" w:type="pct"/>
            <w:shd w:val="clear" w:color="auto" w:fill="auto"/>
            <w:noWrap/>
            <w:vAlign w:val="bottom"/>
            <w:hideMark/>
          </w:tcPr>
          <w:p w:rsidR="00586863" w:rsidRPr="007D0D5D" w:rsidRDefault="00586863" w:rsidP="0099548F">
            <w:pPr>
              <w:keepNext/>
              <w:spacing w:after="0" w:line="240" w:lineRule="auto"/>
              <w:jc w:val="center"/>
              <w:rPr>
                <w:rFonts w:eastAsia="Times New Roman" w:cs="Times New Roman"/>
                <w:color w:val="000000"/>
                <w:sz w:val="18"/>
                <w:szCs w:val="18"/>
              </w:rPr>
            </w:pPr>
            <w:r w:rsidRPr="007D0D5D">
              <w:rPr>
                <w:rFonts w:eastAsia="Times New Roman" w:cs="Times New Roman"/>
                <w:color w:val="000000"/>
                <w:sz w:val="18"/>
                <w:szCs w:val="18"/>
              </w:rPr>
              <w:t>0.55</w:t>
            </w:r>
          </w:p>
        </w:tc>
        <w:tc>
          <w:tcPr>
            <w:tcW w:w="833" w:type="pct"/>
            <w:shd w:val="clear" w:color="auto" w:fill="auto"/>
            <w:noWrap/>
            <w:vAlign w:val="bottom"/>
            <w:hideMark/>
          </w:tcPr>
          <w:p w:rsidR="00586863" w:rsidRPr="007D0D5D" w:rsidRDefault="00586863" w:rsidP="0099548F">
            <w:pPr>
              <w:keepNext/>
              <w:spacing w:after="0" w:line="240" w:lineRule="auto"/>
              <w:jc w:val="center"/>
              <w:rPr>
                <w:rFonts w:eastAsia="Times New Roman" w:cs="Times New Roman"/>
                <w:color w:val="000000"/>
                <w:sz w:val="18"/>
                <w:szCs w:val="18"/>
              </w:rPr>
            </w:pPr>
            <w:r w:rsidRPr="007D0D5D">
              <w:rPr>
                <w:rFonts w:eastAsia="Times New Roman" w:cs="Times New Roman"/>
                <w:color w:val="000000"/>
                <w:sz w:val="18"/>
                <w:szCs w:val="18"/>
              </w:rPr>
              <w:t>0.22</w:t>
            </w:r>
          </w:p>
        </w:tc>
        <w:tc>
          <w:tcPr>
            <w:tcW w:w="835" w:type="pct"/>
            <w:shd w:val="clear" w:color="auto" w:fill="auto"/>
            <w:noWrap/>
            <w:vAlign w:val="bottom"/>
            <w:hideMark/>
          </w:tcPr>
          <w:p w:rsidR="00586863" w:rsidRPr="007D0D5D" w:rsidRDefault="00586863" w:rsidP="0099548F">
            <w:pPr>
              <w:keepNext/>
              <w:spacing w:after="0" w:line="240" w:lineRule="auto"/>
              <w:jc w:val="center"/>
              <w:rPr>
                <w:rFonts w:eastAsia="Times New Roman" w:cs="Times New Roman"/>
                <w:color w:val="000000"/>
                <w:sz w:val="18"/>
                <w:szCs w:val="18"/>
              </w:rPr>
            </w:pPr>
            <w:r w:rsidRPr="007D0D5D">
              <w:rPr>
                <w:rFonts w:eastAsia="Times New Roman" w:cs="Times New Roman"/>
                <w:color w:val="000000"/>
                <w:sz w:val="18"/>
                <w:szCs w:val="18"/>
              </w:rPr>
              <w:t>2.95</w:t>
            </w:r>
          </w:p>
        </w:tc>
      </w:tr>
      <w:tr w:rsidR="00586863" w:rsidRPr="007D0D5D" w:rsidTr="0099548F">
        <w:trPr>
          <w:trHeight w:val="20"/>
        </w:trPr>
        <w:tc>
          <w:tcPr>
            <w:tcW w:w="833" w:type="pct"/>
            <w:shd w:val="clear" w:color="auto" w:fill="auto"/>
            <w:noWrap/>
            <w:vAlign w:val="bottom"/>
            <w:hideMark/>
          </w:tcPr>
          <w:p w:rsidR="00586863" w:rsidRPr="007D0D5D" w:rsidRDefault="00586863" w:rsidP="0099548F">
            <w:pPr>
              <w:keepNext/>
              <w:spacing w:after="0" w:line="240" w:lineRule="auto"/>
              <w:rPr>
                <w:rFonts w:eastAsia="Times New Roman" w:cs="Times New Roman"/>
                <w:color w:val="000000"/>
                <w:sz w:val="18"/>
                <w:szCs w:val="18"/>
              </w:rPr>
            </w:pPr>
            <w:r w:rsidRPr="007D0D5D">
              <w:rPr>
                <w:rFonts w:eastAsia="Times New Roman" w:cs="Times New Roman"/>
                <w:color w:val="000000"/>
                <w:sz w:val="18"/>
                <w:szCs w:val="18"/>
              </w:rPr>
              <w:t>2007-08</w:t>
            </w:r>
          </w:p>
        </w:tc>
        <w:tc>
          <w:tcPr>
            <w:tcW w:w="833" w:type="pct"/>
          </w:tcPr>
          <w:p w:rsidR="00586863" w:rsidRPr="007D0D5D" w:rsidRDefault="00586863" w:rsidP="0099548F">
            <w:pPr>
              <w:keepNext/>
              <w:spacing w:after="0" w:line="240" w:lineRule="auto"/>
              <w:jc w:val="center"/>
              <w:rPr>
                <w:rFonts w:eastAsia="Times New Roman" w:cs="Times New Roman"/>
                <w:color w:val="000000"/>
                <w:sz w:val="18"/>
                <w:szCs w:val="18"/>
              </w:rPr>
            </w:pPr>
            <w:r w:rsidRPr="007D0D5D">
              <w:rPr>
                <w:rFonts w:eastAsia="Times New Roman" w:cs="Times New Roman"/>
                <w:color w:val="000000"/>
                <w:sz w:val="18"/>
                <w:szCs w:val="18"/>
              </w:rPr>
              <w:t>137</w:t>
            </w:r>
          </w:p>
        </w:tc>
        <w:tc>
          <w:tcPr>
            <w:tcW w:w="833" w:type="pct"/>
            <w:shd w:val="clear" w:color="auto" w:fill="auto"/>
            <w:noWrap/>
            <w:vAlign w:val="bottom"/>
            <w:hideMark/>
          </w:tcPr>
          <w:p w:rsidR="00586863" w:rsidRPr="007D0D5D" w:rsidRDefault="00586863" w:rsidP="0099548F">
            <w:pPr>
              <w:keepNext/>
              <w:spacing w:after="0" w:line="240" w:lineRule="auto"/>
              <w:jc w:val="center"/>
              <w:rPr>
                <w:rFonts w:eastAsia="Times New Roman" w:cs="Times New Roman"/>
                <w:color w:val="000000"/>
                <w:sz w:val="18"/>
                <w:szCs w:val="18"/>
              </w:rPr>
            </w:pPr>
            <w:r w:rsidRPr="007D0D5D">
              <w:rPr>
                <w:rFonts w:eastAsia="Times New Roman" w:cs="Times New Roman"/>
                <w:color w:val="000000"/>
                <w:sz w:val="18"/>
                <w:szCs w:val="18"/>
              </w:rPr>
              <w:t>0.98</w:t>
            </w:r>
          </w:p>
        </w:tc>
        <w:tc>
          <w:tcPr>
            <w:tcW w:w="833" w:type="pct"/>
            <w:shd w:val="clear" w:color="auto" w:fill="auto"/>
            <w:noWrap/>
            <w:vAlign w:val="bottom"/>
            <w:hideMark/>
          </w:tcPr>
          <w:p w:rsidR="00586863" w:rsidRPr="007D0D5D" w:rsidRDefault="00586863" w:rsidP="0099548F">
            <w:pPr>
              <w:keepNext/>
              <w:spacing w:after="0" w:line="240" w:lineRule="auto"/>
              <w:jc w:val="center"/>
              <w:rPr>
                <w:rFonts w:eastAsia="Times New Roman" w:cs="Times New Roman"/>
                <w:color w:val="000000"/>
                <w:sz w:val="18"/>
                <w:szCs w:val="18"/>
              </w:rPr>
            </w:pPr>
            <w:r w:rsidRPr="007D0D5D">
              <w:rPr>
                <w:rFonts w:eastAsia="Times New Roman" w:cs="Times New Roman"/>
                <w:color w:val="000000"/>
                <w:sz w:val="18"/>
                <w:szCs w:val="18"/>
              </w:rPr>
              <w:t>0.57</w:t>
            </w:r>
          </w:p>
        </w:tc>
        <w:tc>
          <w:tcPr>
            <w:tcW w:w="833" w:type="pct"/>
            <w:shd w:val="clear" w:color="auto" w:fill="auto"/>
            <w:noWrap/>
            <w:vAlign w:val="bottom"/>
            <w:hideMark/>
          </w:tcPr>
          <w:p w:rsidR="00586863" w:rsidRPr="007D0D5D" w:rsidRDefault="00586863" w:rsidP="0099548F">
            <w:pPr>
              <w:keepNext/>
              <w:spacing w:after="0" w:line="240" w:lineRule="auto"/>
              <w:jc w:val="center"/>
              <w:rPr>
                <w:rFonts w:eastAsia="Times New Roman" w:cs="Times New Roman"/>
                <w:color w:val="000000"/>
                <w:sz w:val="18"/>
                <w:szCs w:val="18"/>
              </w:rPr>
            </w:pPr>
            <w:r w:rsidRPr="007D0D5D">
              <w:rPr>
                <w:rFonts w:eastAsia="Times New Roman" w:cs="Times New Roman"/>
                <w:color w:val="000000"/>
                <w:sz w:val="18"/>
                <w:szCs w:val="18"/>
              </w:rPr>
              <w:t>0.20</w:t>
            </w:r>
          </w:p>
        </w:tc>
        <w:tc>
          <w:tcPr>
            <w:tcW w:w="835" w:type="pct"/>
            <w:shd w:val="clear" w:color="auto" w:fill="auto"/>
            <w:noWrap/>
            <w:vAlign w:val="bottom"/>
            <w:hideMark/>
          </w:tcPr>
          <w:p w:rsidR="00586863" w:rsidRPr="007D0D5D" w:rsidRDefault="00586863" w:rsidP="0099548F">
            <w:pPr>
              <w:keepNext/>
              <w:spacing w:after="0" w:line="240" w:lineRule="auto"/>
              <w:jc w:val="center"/>
              <w:rPr>
                <w:rFonts w:eastAsia="Times New Roman" w:cs="Times New Roman"/>
                <w:color w:val="000000"/>
                <w:sz w:val="18"/>
                <w:szCs w:val="18"/>
              </w:rPr>
            </w:pPr>
            <w:r w:rsidRPr="007D0D5D">
              <w:rPr>
                <w:rFonts w:eastAsia="Times New Roman" w:cs="Times New Roman"/>
                <w:color w:val="000000"/>
                <w:sz w:val="18"/>
                <w:szCs w:val="18"/>
              </w:rPr>
              <w:t>2.78</w:t>
            </w:r>
          </w:p>
        </w:tc>
      </w:tr>
      <w:tr w:rsidR="00586863" w:rsidRPr="007D0D5D" w:rsidTr="0099548F">
        <w:trPr>
          <w:trHeight w:val="20"/>
        </w:trPr>
        <w:tc>
          <w:tcPr>
            <w:tcW w:w="5000" w:type="pct"/>
            <w:gridSpan w:val="6"/>
            <w:shd w:val="clear" w:color="auto" w:fill="auto"/>
            <w:noWrap/>
            <w:vAlign w:val="bottom"/>
          </w:tcPr>
          <w:p w:rsidR="00586863" w:rsidRPr="007D0D5D" w:rsidRDefault="00586863" w:rsidP="0099548F">
            <w:pPr>
              <w:keepNext/>
              <w:spacing w:after="0" w:line="240" w:lineRule="auto"/>
              <w:jc w:val="center"/>
              <w:rPr>
                <w:rFonts w:eastAsia="Times New Roman" w:cs="Times New Roman"/>
                <w:color w:val="000000"/>
                <w:sz w:val="18"/>
                <w:szCs w:val="18"/>
              </w:rPr>
            </w:pPr>
            <w:r w:rsidRPr="007D0D5D">
              <w:rPr>
                <w:rFonts w:eastAsia="Times New Roman" w:cs="Times New Roman"/>
                <w:color w:val="000000"/>
                <w:sz w:val="18"/>
                <w:szCs w:val="18"/>
              </w:rPr>
              <w:t>By broadcaster</w:t>
            </w:r>
          </w:p>
        </w:tc>
      </w:tr>
      <w:tr w:rsidR="00586863" w:rsidRPr="007D0D5D" w:rsidTr="0099548F">
        <w:trPr>
          <w:trHeight w:val="2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tcPr>
          <w:p w:rsidR="00586863" w:rsidRPr="007D0D5D" w:rsidRDefault="00586863" w:rsidP="0099548F">
            <w:pPr>
              <w:keepNext/>
              <w:spacing w:after="0" w:line="240" w:lineRule="auto"/>
              <w:rPr>
                <w:rFonts w:eastAsia="Times New Roman" w:cs="Times New Roman"/>
                <w:color w:val="000000"/>
                <w:sz w:val="18"/>
                <w:szCs w:val="18"/>
              </w:rPr>
            </w:pPr>
            <w:r w:rsidRPr="007D0D5D">
              <w:rPr>
                <w:rFonts w:eastAsia="Times New Roman" w:cs="Times New Roman"/>
                <w:color w:val="000000"/>
                <w:sz w:val="18"/>
                <w:szCs w:val="18"/>
              </w:rPr>
              <w:t>Setanta</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586863" w:rsidRPr="007D0D5D" w:rsidRDefault="00586863" w:rsidP="0099548F">
            <w:pPr>
              <w:keepNext/>
              <w:spacing w:after="0" w:line="240" w:lineRule="auto"/>
              <w:jc w:val="center"/>
              <w:rPr>
                <w:rFonts w:eastAsia="Times New Roman" w:cs="Times New Roman"/>
                <w:color w:val="000000"/>
                <w:sz w:val="18"/>
                <w:szCs w:val="18"/>
              </w:rPr>
            </w:pPr>
            <w:r w:rsidRPr="007D0D5D">
              <w:rPr>
                <w:rFonts w:eastAsia="Times New Roman" w:cs="Times New Roman"/>
                <w:color w:val="000000"/>
                <w:sz w:val="18"/>
                <w:szCs w:val="18"/>
              </w:rPr>
              <w:t>46</w:t>
            </w:r>
          </w:p>
        </w:tc>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tcPr>
          <w:p w:rsidR="00586863" w:rsidRPr="007D0D5D" w:rsidRDefault="00586863" w:rsidP="0099548F">
            <w:pPr>
              <w:keepNext/>
              <w:spacing w:after="0" w:line="240" w:lineRule="auto"/>
              <w:jc w:val="center"/>
              <w:rPr>
                <w:rFonts w:eastAsia="Times New Roman" w:cs="Times New Roman"/>
                <w:color w:val="000000"/>
                <w:sz w:val="18"/>
                <w:szCs w:val="18"/>
              </w:rPr>
            </w:pPr>
            <w:r w:rsidRPr="007D0D5D">
              <w:rPr>
                <w:rFonts w:eastAsia="Times New Roman" w:cs="Times New Roman"/>
                <w:color w:val="000000"/>
                <w:sz w:val="18"/>
                <w:szCs w:val="18"/>
              </w:rPr>
              <w:t>0.45</w:t>
            </w:r>
          </w:p>
        </w:tc>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tcPr>
          <w:p w:rsidR="00586863" w:rsidRPr="007D0D5D" w:rsidRDefault="00586863" w:rsidP="0099548F">
            <w:pPr>
              <w:keepNext/>
              <w:spacing w:after="0" w:line="240" w:lineRule="auto"/>
              <w:jc w:val="center"/>
              <w:rPr>
                <w:rFonts w:eastAsia="Times New Roman" w:cs="Times New Roman"/>
                <w:color w:val="000000"/>
                <w:sz w:val="18"/>
                <w:szCs w:val="18"/>
              </w:rPr>
            </w:pPr>
            <w:r w:rsidRPr="007D0D5D">
              <w:rPr>
                <w:rFonts w:eastAsia="Times New Roman" w:cs="Times New Roman"/>
                <w:color w:val="000000"/>
                <w:sz w:val="18"/>
                <w:szCs w:val="18"/>
              </w:rPr>
              <w:t>0.16</w:t>
            </w:r>
          </w:p>
        </w:tc>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tcPr>
          <w:p w:rsidR="00586863" w:rsidRPr="007D0D5D" w:rsidRDefault="00586863" w:rsidP="0099548F">
            <w:pPr>
              <w:keepNext/>
              <w:spacing w:after="0" w:line="240" w:lineRule="auto"/>
              <w:jc w:val="center"/>
              <w:rPr>
                <w:rFonts w:eastAsia="Times New Roman" w:cs="Times New Roman"/>
                <w:color w:val="000000"/>
                <w:sz w:val="18"/>
                <w:szCs w:val="18"/>
              </w:rPr>
            </w:pPr>
            <w:r w:rsidRPr="007D0D5D">
              <w:rPr>
                <w:rFonts w:eastAsia="Times New Roman" w:cs="Times New Roman"/>
                <w:color w:val="000000"/>
                <w:sz w:val="18"/>
                <w:szCs w:val="18"/>
              </w:rPr>
              <w:t>0.20</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bottom"/>
          </w:tcPr>
          <w:p w:rsidR="00586863" w:rsidRPr="007D0D5D" w:rsidRDefault="00586863" w:rsidP="0099548F">
            <w:pPr>
              <w:keepNext/>
              <w:spacing w:after="0" w:line="240" w:lineRule="auto"/>
              <w:jc w:val="center"/>
              <w:rPr>
                <w:rFonts w:eastAsia="Times New Roman" w:cs="Times New Roman"/>
                <w:color w:val="000000"/>
                <w:sz w:val="18"/>
                <w:szCs w:val="18"/>
              </w:rPr>
            </w:pPr>
            <w:r w:rsidRPr="007D0D5D">
              <w:rPr>
                <w:rFonts w:eastAsia="Times New Roman" w:cs="Times New Roman"/>
                <w:color w:val="000000"/>
                <w:sz w:val="18"/>
                <w:szCs w:val="18"/>
              </w:rPr>
              <w:t>0.77</w:t>
            </w:r>
          </w:p>
        </w:tc>
      </w:tr>
      <w:tr w:rsidR="00586863" w:rsidRPr="007D0D5D" w:rsidTr="0099548F">
        <w:trPr>
          <w:trHeight w:val="2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tcPr>
          <w:p w:rsidR="00586863" w:rsidRPr="007D0D5D" w:rsidRDefault="00586863" w:rsidP="0099548F">
            <w:pPr>
              <w:spacing w:after="0" w:line="240" w:lineRule="auto"/>
              <w:rPr>
                <w:rFonts w:eastAsia="Times New Roman" w:cs="Times New Roman"/>
                <w:color w:val="000000"/>
                <w:sz w:val="18"/>
                <w:szCs w:val="18"/>
              </w:rPr>
            </w:pPr>
            <w:r w:rsidRPr="007D0D5D">
              <w:rPr>
                <w:rFonts w:eastAsia="Times New Roman" w:cs="Times New Roman"/>
                <w:color w:val="000000"/>
                <w:sz w:val="18"/>
                <w:szCs w:val="18"/>
              </w:rPr>
              <w:t>BSkyB</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586863" w:rsidRPr="007D0D5D" w:rsidRDefault="00586863" w:rsidP="0099548F">
            <w:pPr>
              <w:spacing w:after="0" w:line="240" w:lineRule="auto"/>
              <w:jc w:val="center"/>
              <w:rPr>
                <w:rFonts w:eastAsia="Times New Roman" w:cs="Times New Roman"/>
                <w:color w:val="000000"/>
                <w:sz w:val="18"/>
                <w:szCs w:val="18"/>
              </w:rPr>
            </w:pPr>
            <w:r w:rsidRPr="007D0D5D">
              <w:rPr>
                <w:rFonts w:eastAsia="Times New Roman" w:cs="Times New Roman"/>
                <w:color w:val="000000"/>
                <w:sz w:val="18"/>
                <w:szCs w:val="18"/>
              </w:rPr>
              <w:t>613</w:t>
            </w:r>
          </w:p>
        </w:tc>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tcPr>
          <w:p w:rsidR="00586863" w:rsidRPr="007D0D5D" w:rsidRDefault="00586863" w:rsidP="0099548F">
            <w:pPr>
              <w:spacing w:after="0" w:line="240" w:lineRule="auto"/>
              <w:jc w:val="center"/>
              <w:rPr>
                <w:rFonts w:eastAsia="Times New Roman" w:cs="Times New Roman"/>
                <w:color w:val="000000"/>
                <w:sz w:val="18"/>
                <w:szCs w:val="18"/>
              </w:rPr>
            </w:pPr>
            <w:r w:rsidRPr="007D0D5D">
              <w:rPr>
                <w:rFonts w:eastAsia="Times New Roman" w:cs="Times New Roman"/>
                <w:color w:val="000000"/>
                <w:sz w:val="18"/>
                <w:szCs w:val="18"/>
              </w:rPr>
              <w:t>1.23</w:t>
            </w:r>
          </w:p>
        </w:tc>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tcPr>
          <w:p w:rsidR="00586863" w:rsidRPr="007D0D5D" w:rsidRDefault="00586863" w:rsidP="0099548F">
            <w:pPr>
              <w:spacing w:after="0" w:line="240" w:lineRule="auto"/>
              <w:jc w:val="center"/>
              <w:rPr>
                <w:rFonts w:eastAsia="Times New Roman" w:cs="Times New Roman"/>
                <w:color w:val="000000"/>
                <w:sz w:val="18"/>
                <w:szCs w:val="18"/>
              </w:rPr>
            </w:pPr>
            <w:r w:rsidRPr="007D0D5D">
              <w:rPr>
                <w:rFonts w:eastAsia="Times New Roman" w:cs="Times New Roman"/>
                <w:color w:val="000000"/>
                <w:sz w:val="18"/>
                <w:szCs w:val="18"/>
              </w:rPr>
              <w:t>0.51</w:t>
            </w:r>
          </w:p>
        </w:tc>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tcPr>
          <w:p w:rsidR="00586863" w:rsidRPr="007D0D5D" w:rsidRDefault="00586863" w:rsidP="0099548F">
            <w:pPr>
              <w:spacing w:after="0" w:line="240" w:lineRule="auto"/>
              <w:jc w:val="center"/>
              <w:rPr>
                <w:rFonts w:eastAsia="Times New Roman" w:cs="Times New Roman"/>
                <w:color w:val="000000"/>
                <w:sz w:val="18"/>
                <w:szCs w:val="18"/>
              </w:rPr>
            </w:pPr>
            <w:r w:rsidRPr="007D0D5D">
              <w:rPr>
                <w:rFonts w:eastAsia="Times New Roman" w:cs="Times New Roman"/>
                <w:color w:val="000000"/>
                <w:sz w:val="18"/>
                <w:szCs w:val="18"/>
              </w:rPr>
              <w:t>0.20</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bottom"/>
          </w:tcPr>
          <w:p w:rsidR="00586863" w:rsidRPr="007D0D5D" w:rsidRDefault="00586863" w:rsidP="0099548F">
            <w:pPr>
              <w:spacing w:after="0" w:line="240" w:lineRule="auto"/>
              <w:jc w:val="center"/>
              <w:rPr>
                <w:rFonts w:eastAsia="Times New Roman" w:cs="Times New Roman"/>
                <w:color w:val="000000"/>
                <w:sz w:val="18"/>
                <w:szCs w:val="18"/>
              </w:rPr>
            </w:pPr>
            <w:r w:rsidRPr="007D0D5D">
              <w:rPr>
                <w:rFonts w:eastAsia="Times New Roman" w:cs="Times New Roman"/>
                <w:color w:val="000000"/>
                <w:sz w:val="18"/>
                <w:szCs w:val="18"/>
              </w:rPr>
              <w:t>3.44</w:t>
            </w:r>
          </w:p>
        </w:tc>
      </w:tr>
    </w:tbl>
    <w:p w:rsidR="00586863" w:rsidRPr="007D0D5D" w:rsidRDefault="00586863" w:rsidP="0099548F"/>
    <w:p w:rsidR="007D0D5D" w:rsidRDefault="007D0D5D">
      <w:pPr>
        <w:spacing w:after="200" w:line="276" w:lineRule="auto"/>
        <w:rPr>
          <w:rFonts w:ascii="Calibri" w:eastAsiaTheme="majorEastAsia" w:hAnsi="Calibri" w:cstheme="majorBidi"/>
          <w:bCs/>
          <w:iCs/>
        </w:rPr>
      </w:pPr>
      <w:r>
        <w:br w:type="page"/>
      </w:r>
    </w:p>
    <w:p w:rsidR="001A2EAC" w:rsidRPr="00165E35" w:rsidRDefault="001A2EAC" w:rsidP="001A2EAC">
      <w:pPr>
        <w:pStyle w:val="Heading4"/>
        <w:rPr>
          <w:rFonts w:ascii="Times New Roman" w:hAnsi="Times New Roman" w:cs="Times New Roman"/>
        </w:rPr>
      </w:pPr>
      <w:r w:rsidRPr="00165E35">
        <w:rPr>
          <w:rFonts w:ascii="Times New Roman" w:hAnsi="Times New Roman" w:cs="Times New Roman"/>
        </w:rPr>
        <w:t>Table 4</w:t>
      </w:r>
      <w:r w:rsidR="00E76C7A" w:rsidRPr="00165E35">
        <w:rPr>
          <w:rFonts w:ascii="Times New Roman" w:hAnsi="Times New Roman" w:cs="Times New Roman"/>
        </w:rPr>
        <w:t>a</w:t>
      </w:r>
      <w:r w:rsidRPr="00165E35">
        <w:rPr>
          <w:rFonts w:ascii="Times New Roman" w:hAnsi="Times New Roman" w:cs="Times New Roman"/>
        </w:rPr>
        <w:t xml:space="preserve">. </w:t>
      </w:r>
      <w:r w:rsidR="00C604EA" w:rsidRPr="00165E35">
        <w:rPr>
          <w:rFonts w:ascii="Times New Roman" w:hAnsi="Times New Roman" w:cs="Times New Roman"/>
        </w:rPr>
        <w:t>Description of s</w:t>
      </w:r>
      <w:r w:rsidRPr="00165E35">
        <w:rPr>
          <w:rFonts w:ascii="Times New Roman" w:hAnsi="Times New Roman" w:cs="Times New Roman"/>
        </w:rPr>
        <w:t>ummary statistics.</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708"/>
        <w:gridCol w:w="5537"/>
      </w:tblGrid>
      <w:tr w:rsidR="001A2EAC" w:rsidRPr="007D0D5D" w:rsidTr="001A2EAC">
        <w:trPr>
          <w:trHeight w:val="20"/>
        </w:trPr>
        <w:tc>
          <w:tcPr>
            <w:tcW w:w="3708" w:type="dxa"/>
          </w:tcPr>
          <w:p w:rsidR="001A2EAC" w:rsidRPr="00165E35" w:rsidRDefault="001A2EAC" w:rsidP="003F6BF5">
            <w:pPr>
              <w:keepNext/>
              <w:spacing w:after="0" w:line="240" w:lineRule="auto"/>
              <w:rPr>
                <w:rFonts w:eastAsia="Times New Roman" w:cs="Times New Roman"/>
                <w:color w:val="000000"/>
                <w:sz w:val="16"/>
                <w:szCs w:val="16"/>
              </w:rPr>
            </w:pPr>
            <w:r w:rsidRPr="00165E35">
              <w:rPr>
                <w:rFonts w:eastAsia="Times New Roman" w:cs="Times New Roman"/>
                <w:color w:val="000000"/>
                <w:sz w:val="16"/>
                <w:szCs w:val="16"/>
              </w:rPr>
              <w:t>Variable</w:t>
            </w:r>
          </w:p>
        </w:tc>
        <w:tc>
          <w:tcPr>
            <w:tcW w:w="5537" w:type="dxa"/>
          </w:tcPr>
          <w:p w:rsidR="001A2EAC" w:rsidRPr="00165E35" w:rsidRDefault="001A2EAC" w:rsidP="003F6BF5">
            <w:pPr>
              <w:spacing w:after="0" w:line="240" w:lineRule="auto"/>
              <w:rPr>
                <w:sz w:val="16"/>
                <w:szCs w:val="16"/>
              </w:rPr>
            </w:pPr>
            <w:r w:rsidRPr="00165E35">
              <w:rPr>
                <w:sz w:val="16"/>
                <w:szCs w:val="16"/>
              </w:rPr>
              <w:t>Description</w:t>
            </w:r>
          </w:p>
        </w:tc>
      </w:tr>
      <w:tr w:rsidR="001A2EAC" w:rsidRPr="007D0D5D" w:rsidTr="001A2EAC">
        <w:trPr>
          <w:trHeight w:val="20"/>
        </w:trPr>
        <w:tc>
          <w:tcPr>
            <w:tcW w:w="3708" w:type="dxa"/>
          </w:tcPr>
          <w:p w:rsidR="001A2EAC" w:rsidRPr="00165E35" w:rsidRDefault="001A2EAC" w:rsidP="003F6BF5">
            <w:pPr>
              <w:keepNext/>
              <w:spacing w:after="0" w:line="240" w:lineRule="auto"/>
              <w:rPr>
                <w:rFonts w:eastAsia="Times New Roman" w:cs="Times New Roman"/>
                <w:caps/>
                <w:color w:val="000000"/>
                <w:sz w:val="16"/>
                <w:szCs w:val="16"/>
              </w:rPr>
            </w:pPr>
            <w:r w:rsidRPr="00165E35">
              <w:rPr>
                <w:rFonts w:eastAsia="Times New Roman" w:cs="Times New Roman"/>
                <w:caps/>
                <w:color w:val="000000"/>
                <w:sz w:val="16"/>
                <w:szCs w:val="16"/>
              </w:rPr>
              <w:t>Combined relative wage</w:t>
            </w:r>
          </w:p>
        </w:tc>
        <w:tc>
          <w:tcPr>
            <w:tcW w:w="5537" w:type="dxa"/>
          </w:tcPr>
          <w:p w:rsidR="001A2EAC" w:rsidRPr="00165E35" w:rsidRDefault="001A2EAC" w:rsidP="003F6BF5">
            <w:pPr>
              <w:spacing w:after="0" w:line="240" w:lineRule="auto"/>
              <w:rPr>
                <w:i/>
                <w:sz w:val="16"/>
                <w:szCs w:val="16"/>
              </w:rPr>
            </w:pPr>
            <w:r w:rsidRPr="00165E35">
              <w:rPr>
                <w:i/>
                <w:sz w:val="16"/>
                <w:szCs w:val="16"/>
              </w:rPr>
              <w:t xml:space="preserve">A team’s relative wage is its wage bill for a give season divided by the mean wage bill for that season. COMNBINED RELATIVE </w:t>
            </w:r>
            <w:r w:rsidR="006E052A" w:rsidRPr="00165E35">
              <w:rPr>
                <w:i/>
                <w:sz w:val="16"/>
                <w:szCs w:val="16"/>
              </w:rPr>
              <w:t>WAGE is the sum of the two team</w:t>
            </w:r>
            <w:r w:rsidRPr="00165E35">
              <w:rPr>
                <w:i/>
                <w:sz w:val="16"/>
                <w:szCs w:val="16"/>
              </w:rPr>
              <w:t>s</w:t>
            </w:r>
            <w:r w:rsidR="006E052A" w:rsidRPr="00165E35">
              <w:rPr>
                <w:i/>
                <w:sz w:val="16"/>
                <w:szCs w:val="16"/>
              </w:rPr>
              <w:t>’</w:t>
            </w:r>
            <w:r w:rsidRPr="00165E35">
              <w:rPr>
                <w:i/>
                <w:sz w:val="16"/>
                <w:szCs w:val="16"/>
              </w:rPr>
              <w:t xml:space="preserve"> relative wage</w:t>
            </w:r>
            <w:r w:rsidR="006E052A" w:rsidRPr="00165E35">
              <w:rPr>
                <w:i/>
                <w:sz w:val="16"/>
                <w:szCs w:val="16"/>
              </w:rPr>
              <w:t>s</w:t>
            </w:r>
            <w:r w:rsidRPr="00165E35">
              <w:rPr>
                <w:i/>
                <w:sz w:val="16"/>
                <w:szCs w:val="16"/>
              </w:rPr>
              <w:t>.</w:t>
            </w:r>
          </w:p>
        </w:tc>
      </w:tr>
      <w:tr w:rsidR="001A2EAC" w:rsidRPr="007D0D5D" w:rsidTr="001A2EAC">
        <w:trPr>
          <w:trHeight w:val="20"/>
        </w:trPr>
        <w:tc>
          <w:tcPr>
            <w:tcW w:w="3708" w:type="dxa"/>
          </w:tcPr>
          <w:p w:rsidR="001A2EAC" w:rsidRPr="00165E35" w:rsidRDefault="001A2EAC" w:rsidP="003F6BF5">
            <w:pPr>
              <w:keepNext/>
              <w:spacing w:after="0" w:line="240" w:lineRule="auto"/>
              <w:rPr>
                <w:rFonts w:eastAsia="Times New Roman" w:cs="Times New Roman"/>
                <w:caps/>
                <w:color w:val="000000"/>
                <w:sz w:val="16"/>
                <w:szCs w:val="16"/>
              </w:rPr>
            </w:pPr>
            <w:r w:rsidRPr="00165E35">
              <w:rPr>
                <w:rFonts w:eastAsia="Times New Roman" w:cs="Times New Roman"/>
                <w:caps/>
                <w:color w:val="000000"/>
                <w:sz w:val="16"/>
                <w:szCs w:val="16"/>
              </w:rPr>
              <w:t>Absolute difference in relative wage</w:t>
            </w:r>
          </w:p>
        </w:tc>
        <w:tc>
          <w:tcPr>
            <w:tcW w:w="5537" w:type="dxa"/>
          </w:tcPr>
          <w:p w:rsidR="001A2EAC" w:rsidRPr="00165E35" w:rsidRDefault="001A2EAC" w:rsidP="003F6BF5">
            <w:pPr>
              <w:spacing w:after="0" w:line="240" w:lineRule="auto"/>
              <w:rPr>
                <w:i/>
                <w:sz w:val="16"/>
                <w:szCs w:val="16"/>
              </w:rPr>
            </w:pPr>
            <w:r w:rsidRPr="00165E35">
              <w:rPr>
                <w:i/>
                <w:sz w:val="16"/>
                <w:szCs w:val="16"/>
              </w:rPr>
              <w:t>This the absolute difference in the two teams’ relative wage bill.</w:t>
            </w:r>
          </w:p>
        </w:tc>
      </w:tr>
      <w:tr w:rsidR="001A2EAC" w:rsidRPr="007D0D5D" w:rsidTr="001A2EAC">
        <w:trPr>
          <w:trHeight w:val="20"/>
        </w:trPr>
        <w:tc>
          <w:tcPr>
            <w:tcW w:w="3708" w:type="dxa"/>
          </w:tcPr>
          <w:p w:rsidR="001A2EAC" w:rsidRPr="00165E35" w:rsidRDefault="001A2EAC" w:rsidP="003F6BF5">
            <w:pPr>
              <w:keepNext/>
              <w:spacing w:after="0" w:line="240" w:lineRule="auto"/>
              <w:rPr>
                <w:rFonts w:eastAsia="Times New Roman" w:cs="Times New Roman"/>
                <w:caps/>
                <w:color w:val="000000"/>
                <w:sz w:val="16"/>
                <w:szCs w:val="16"/>
              </w:rPr>
            </w:pPr>
            <w:r w:rsidRPr="00165E35">
              <w:rPr>
                <w:rFonts w:eastAsia="Times New Roman" w:cs="Times New Roman"/>
                <w:caps/>
                <w:color w:val="000000"/>
                <w:sz w:val="16"/>
                <w:szCs w:val="16"/>
              </w:rPr>
              <w:t>Combined</w:t>
            </w:r>
            <w:r w:rsidR="00CF59C1" w:rsidRPr="00165E35">
              <w:rPr>
                <w:rFonts w:eastAsia="Times New Roman" w:cs="Times New Roman"/>
                <w:caps/>
                <w:color w:val="000000"/>
                <w:sz w:val="16"/>
                <w:szCs w:val="16"/>
              </w:rPr>
              <w:t xml:space="preserve"> lag</w:t>
            </w:r>
            <w:r w:rsidRPr="00165E35">
              <w:rPr>
                <w:rFonts w:eastAsia="Times New Roman" w:cs="Times New Roman"/>
                <w:caps/>
                <w:color w:val="000000"/>
                <w:sz w:val="16"/>
                <w:szCs w:val="16"/>
              </w:rPr>
              <w:t xml:space="preserve"> points per game</w:t>
            </w:r>
          </w:p>
        </w:tc>
        <w:tc>
          <w:tcPr>
            <w:tcW w:w="5537" w:type="dxa"/>
          </w:tcPr>
          <w:p w:rsidR="001A2EAC" w:rsidRPr="00165E35" w:rsidRDefault="00CF59C1" w:rsidP="00CF59C1">
            <w:pPr>
              <w:spacing w:after="0" w:line="240" w:lineRule="auto"/>
              <w:rPr>
                <w:i/>
                <w:sz w:val="16"/>
                <w:szCs w:val="16"/>
              </w:rPr>
            </w:pPr>
            <w:r w:rsidRPr="00165E35">
              <w:rPr>
                <w:i/>
                <w:sz w:val="16"/>
                <w:szCs w:val="16"/>
              </w:rPr>
              <w:t>This is the combined points per game from the previous season of the teams involved in the match</w:t>
            </w:r>
          </w:p>
        </w:tc>
      </w:tr>
      <w:tr w:rsidR="001A2EAC" w:rsidRPr="007D0D5D" w:rsidTr="001A2EAC">
        <w:trPr>
          <w:trHeight w:val="20"/>
        </w:trPr>
        <w:tc>
          <w:tcPr>
            <w:tcW w:w="3708" w:type="dxa"/>
          </w:tcPr>
          <w:p w:rsidR="001A2EAC" w:rsidRPr="00165E35" w:rsidRDefault="001A2EAC" w:rsidP="003F6BF5">
            <w:pPr>
              <w:keepNext/>
              <w:spacing w:after="0" w:line="240" w:lineRule="auto"/>
              <w:rPr>
                <w:rFonts w:eastAsia="Times New Roman" w:cs="Times New Roman"/>
                <w:caps/>
                <w:color w:val="000000"/>
                <w:sz w:val="16"/>
                <w:szCs w:val="16"/>
              </w:rPr>
            </w:pPr>
            <w:r w:rsidRPr="00165E35">
              <w:rPr>
                <w:rFonts w:eastAsia="Times New Roman" w:cs="Times New Roman"/>
                <w:caps/>
                <w:color w:val="000000"/>
                <w:sz w:val="16"/>
                <w:szCs w:val="16"/>
              </w:rPr>
              <w:t>Absolute difference in</w:t>
            </w:r>
            <w:r w:rsidR="00CF59C1" w:rsidRPr="00165E35">
              <w:rPr>
                <w:rFonts w:eastAsia="Times New Roman" w:cs="Times New Roman"/>
                <w:caps/>
                <w:color w:val="000000"/>
                <w:sz w:val="16"/>
                <w:szCs w:val="16"/>
              </w:rPr>
              <w:t xml:space="preserve"> lag</w:t>
            </w:r>
            <w:r w:rsidRPr="00165E35">
              <w:rPr>
                <w:rFonts w:eastAsia="Times New Roman" w:cs="Times New Roman"/>
                <w:caps/>
                <w:color w:val="000000"/>
                <w:sz w:val="16"/>
                <w:szCs w:val="16"/>
              </w:rPr>
              <w:t xml:space="preserve"> points per game</w:t>
            </w:r>
          </w:p>
        </w:tc>
        <w:tc>
          <w:tcPr>
            <w:tcW w:w="5537" w:type="dxa"/>
          </w:tcPr>
          <w:p w:rsidR="001A2EAC" w:rsidRPr="00165E35" w:rsidRDefault="001A2EAC" w:rsidP="003F6BF5">
            <w:pPr>
              <w:spacing w:after="0" w:line="240" w:lineRule="auto"/>
              <w:rPr>
                <w:i/>
                <w:sz w:val="16"/>
                <w:szCs w:val="16"/>
              </w:rPr>
            </w:pPr>
            <w:r w:rsidRPr="00165E35">
              <w:rPr>
                <w:i/>
                <w:sz w:val="16"/>
                <w:szCs w:val="16"/>
              </w:rPr>
              <w:t>This is the absolute difference in points per game</w:t>
            </w:r>
            <w:r w:rsidR="00CF59C1" w:rsidRPr="00165E35">
              <w:rPr>
                <w:i/>
                <w:sz w:val="16"/>
                <w:szCs w:val="16"/>
              </w:rPr>
              <w:t xml:space="preserve"> from the previous season</w:t>
            </w:r>
            <w:r w:rsidRPr="00165E35">
              <w:rPr>
                <w:i/>
                <w:sz w:val="16"/>
                <w:szCs w:val="16"/>
              </w:rPr>
              <w:t xml:space="preserve"> of the teams involved in the match. </w:t>
            </w:r>
          </w:p>
        </w:tc>
      </w:tr>
      <w:tr w:rsidR="008E2342" w:rsidRPr="007D0D5D" w:rsidTr="00074189">
        <w:trPr>
          <w:trHeight w:val="20"/>
        </w:trPr>
        <w:tc>
          <w:tcPr>
            <w:tcW w:w="3708" w:type="dxa"/>
          </w:tcPr>
          <w:p w:rsidR="008E2342" w:rsidRPr="00165E35" w:rsidRDefault="008E2342" w:rsidP="00074189">
            <w:pPr>
              <w:keepNext/>
              <w:spacing w:after="0" w:line="240" w:lineRule="auto"/>
              <w:rPr>
                <w:rFonts w:eastAsia="Times New Roman" w:cs="Times New Roman"/>
                <w:caps/>
                <w:color w:val="000000"/>
                <w:sz w:val="16"/>
                <w:szCs w:val="16"/>
              </w:rPr>
            </w:pPr>
            <w:r w:rsidRPr="00165E35">
              <w:rPr>
                <w:rFonts w:eastAsia="Times New Roman" w:cs="Times New Roman"/>
                <w:caps/>
                <w:color w:val="000000"/>
                <w:sz w:val="16"/>
                <w:szCs w:val="16"/>
              </w:rPr>
              <w:t>Combined points per game</w:t>
            </w:r>
          </w:p>
        </w:tc>
        <w:tc>
          <w:tcPr>
            <w:tcW w:w="5537" w:type="dxa"/>
          </w:tcPr>
          <w:p w:rsidR="008E2342" w:rsidRPr="00165E35" w:rsidRDefault="008E2342" w:rsidP="00074189">
            <w:pPr>
              <w:spacing w:after="0" w:line="240" w:lineRule="auto"/>
              <w:rPr>
                <w:i/>
                <w:sz w:val="16"/>
                <w:szCs w:val="16"/>
              </w:rPr>
            </w:pPr>
            <w:r w:rsidRPr="00165E35">
              <w:rPr>
                <w:i/>
                <w:sz w:val="16"/>
                <w:szCs w:val="16"/>
              </w:rPr>
              <w:t>This is the sum of both teams’ points per game prior to the match. Points per game is the ratio of the total number of points to the number of games played prior to the match.</w:t>
            </w:r>
          </w:p>
        </w:tc>
      </w:tr>
      <w:tr w:rsidR="00CF59C1" w:rsidRPr="007D0D5D" w:rsidTr="00074189">
        <w:trPr>
          <w:trHeight w:val="20"/>
        </w:trPr>
        <w:tc>
          <w:tcPr>
            <w:tcW w:w="3708" w:type="dxa"/>
          </w:tcPr>
          <w:p w:rsidR="00CF59C1" w:rsidRPr="00165E35" w:rsidRDefault="00165E35" w:rsidP="00074189">
            <w:pPr>
              <w:keepNext/>
              <w:spacing w:after="0" w:line="240" w:lineRule="auto"/>
              <w:rPr>
                <w:rFonts w:eastAsia="Times New Roman" w:cs="Times New Roman"/>
                <w:caps/>
                <w:color w:val="000000"/>
                <w:sz w:val="16"/>
                <w:szCs w:val="16"/>
              </w:rPr>
            </w:pPr>
            <w:r w:rsidRPr="00165E35">
              <w:rPr>
                <w:rFonts w:eastAsia="Times New Roman" w:cs="Times New Roman"/>
                <w:caps/>
                <w:color w:val="000000"/>
                <w:sz w:val="16"/>
                <w:szCs w:val="16"/>
              </w:rPr>
              <w:t>absolute</w:t>
            </w:r>
            <w:r w:rsidR="008E2342" w:rsidRPr="00165E35">
              <w:rPr>
                <w:rFonts w:eastAsia="Times New Roman" w:cs="Times New Roman"/>
                <w:caps/>
                <w:color w:val="000000"/>
                <w:sz w:val="16"/>
                <w:szCs w:val="16"/>
              </w:rPr>
              <w:t xml:space="preserve"> DIFFERENCE IN</w:t>
            </w:r>
            <w:r w:rsidR="00CF59C1" w:rsidRPr="00165E35">
              <w:rPr>
                <w:rFonts w:eastAsia="Times New Roman" w:cs="Times New Roman"/>
                <w:caps/>
                <w:color w:val="000000"/>
                <w:sz w:val="16"/>
                <w:szCs w:val="16"/>
              </w:rPr>
              <w:t xml:space="preserve"> points per game</w:t>
            </w:r>
          </w:p>
        </w:tc>
        <w:tc>
          <w:tcPr>
            <w:tcW w:w="5537" w:type="dxa"/>
          </w:tcPr>
          <w:p w:rsidR="00CF59C1" w:rsidRPr="00165E35" w:rsidRDefault="00CF59C1" w:rsidP="008E2342">
            <w:pPr>
              <w:spacing w:after="0" w:line="240" w:lineRule="auto"/>
              <w:rPr>
                <w:i/>
                <w:sz w:val="16"/>
                <w:szCs w:val="16"/>
              </w:rPr>
            </w:pPr>
            <w:r w:rsidRPr="00165E35">
              <w:rPr>
                <w:i/>
                <w:sz w:val="16"/>
                <w:szCs w:val="16"/>
              </w:rPr>
              <w:t xml:space="preserve">This is the </w:t>
            </w:r>
            <w:r w:rsidR="008E2342" w:rsidRPr="00165E35">
              <w:rPr>
                <w:i/>
                <w:sz w:val="16"/>
                <w:szCs w:val="16"/>
              </w:rPr>
              <w:t xml:space="preserve">absolute difference in the </w:t>
            </w:r>
            <w:r w:rsidRPr="00165E35">
              <w:rPr>
                <w:i/>
                <w:sz w:val="16"/>
                <w:szCs w:val="16"/>
              </w:rPr>
              <w:t>teams’ points per game prior to the match. Points per game is the ratio of the total number of points to the number of games played prior to the match.</w:t>
            </w:r>
          </w:p>
        </w:tc>
      </w:tr>
      <w:tr w:rsidR="001A2EAC" w:rsidRPr="007D0D5D" w:rsidTr="001A2EAC">
        <w:trPr>
          <w:trHeight w:val="20"/>
        </w:trPr>
        <w:tc>
          <w:tcPr>
            <w:tcW w:w="3708" w:type="dxa"/>
          </w:tcPr>
          <w:p w:rsidR="001A2EAC" w:rsidRPr="00165E35" w:rsidRDefault="001A2EAC" w:rsidP="003F6BF5">
            <w:pPr>
              <w:keepNext/>
              <w:widowControl w:val="0"/>
              <w:autoSpaceDE w:val="0"/>
              <w:autoSpaceDN w:val="0"/>
              <w:adjustRightInd w:val="0"/>
              <w:spacing w:after="0" w:line="240" w:lineRule="auto"/>
              <w:rPr>
                <w:rFonts w:cs="Times New Roman"/>
                <w:caps/>
                <w:sz w:val="16"/>
                <w:szCs w:val="16"/>
              </w:rPr>
            </w:pPr>
            <w:r w:rsidRPr="00165E35">
              <w:rPr>
                <w:rFonts w:cs="Times New Roman"/>
                <w:caps/>
                <w:sz w:val="16"/>
                <w:szCs w:val="16"/>
              </w:rPr>
              <w:t>Champion contention</w:t>
            </w:r>
          </w:p>
        </w:tc>
        <w:tc>
          <w:tcPr>
            <w:tcW w:w="5537" w:type="dxa"/>
          </w:tcPr>
          <w:p w:rsidR="001A2EAC" w:rsidRPr="00165E35" w:rsidRDefault="001A2EAC" w:rsidP="003F6BF5">
            <w:pPr>
              <w:spacing w:after="0" w:line="240" w:lineRule="auto"/>
              <w:rPr>
                <w:i/>
                <w:sz w:val="16"/>
                <w:szCs w:val="16"/>
              </w:rPr>
            </w:pPr>
            <w:r w:rsidRPr="00165E35">
              <w:rPr>
                <w:i/>
                <w:sz w:val="16"/>
                <w:szCs w:val="16"/>
              </w:rPr>
              <w:t xml:space="preserve">This is a dummy variable that takes the value of 1 if either of the teams in the match can win the championship if it was to win all its remaining games while others only take an average of one point from their remaining games </w:t>
            </w:r>
            <w:r w:rsidR="003F6BF5" w:rsidRPr="00165E35">
              <w:rPr>
                <w:i/>
                <w:sz w:val="16"/>
                <w:szCs w:val="16"/>
              </w:rPr>
              <w:t>and 0 other</w:t>
            </w:r>
            <w:r w:rsidRPr="00165E35">
              <w:rPr>
                <w:i/>
                <w:sz w:val="16"/>
                <w:szCs w:val="16"/>
              </w:rPr>
              <w:t>wise.</w:t>
            </w:r>
          </w:p>
        </w:tc>
      </w:tr>
      <w:tr w:rsidR="001A2EAC" w:rsidRPr="007D0D5D" w:rsidTr="001A2EAC">
        <w:trPr>
          <w:trHeight w:val="20"/>
        </w:trPr>
        <w:tc>
          <w:tcPr>
            <w:tcW w:w="3708" w:type="dxa"/>
          </w:tcPr>
          <w:p w:rsidR="001A2EAC" w:rsidRPr="00165E35" w:rsidRDefault="001A2EAC" w:rsidP="003F6BF5">
            <w:pPr>
              <w:keepNext/>
              <w:widowControl w:val="0"/>
              <w:autoSpaceDE w:val="0"/>
              <w:autoSpaceDN w:val="0"/>
              <w:adjustRightInd w:val="0"/>
              <w:spacing w:after="0" w:line="240" w:lineRule="auto"/>
              <w:rPr>
                <w:rFonts w:cs="Times New Roman"/>
                <w:caps/>
                <w:sz w:val="16"/>
                <w:szCs w:val="16"/>
              </w:rPr>
            </w:pPr>
            <w:r w:rsidRPr="00165E35">
              <w:rPr>
                <w:rFonts w:cs="Times New Roman"/>
                <w:caps/>
                <w:sz w:val="16"/>
                <w:szCs w:val="16"/>
              </w:rPr>
              <w:t>Europe contention</w:t>
            </w:r>
          </w:p>
        </w:tc>
        <w:tc>
          <w:tcPr>
            <w:tcW w:w="5537" w:type="dxa"/>
          </w:tcPr>
          <w:p w:rsidR="001A2EAC" w:rsidRPr="00165E35" w:rsidRDefault="001A2EAC" w:rsidP="003F6BF5">
            <w:pPr>
              <w:spacing w:after="0" w:line="240" w:lineRule="auto"/>
              <w:rPr>
                <w:i/>
                <w:sz w:val="16"/>
                <w:szCs w:val="16"/>
              </w:rPr>
            </w:pPr>
            <w:r w:rsidRPr="00165E35">
              <w:rPr>
                <w:i/>
                <w:sz w:val="16"/>
                <w:szCs w:val="16"/>
              </w:rPr>
              <w:t xml:space="preserve">This is a dummy variable that takes the value of 1 if either of the teams in the match can qualify for either the Champions League or the Europa Cup but not win the championship if it was to win all its remaining games while others only take an average of one point from their remaining games </w:t>
            </w:r>
            <w:r w:rsidR="003F6BF5" w:rsidRPr="00165E35">
              <w:rPr>
                <w:i/>
                <w:sz w:val="16"/>
                <w:szCs w:val="16"/>
              </w:rPr>
              <w:t>and 0 other</w:t>
            </w:r>
            <w:r w:rsidRPr="00165E35">
              <w:rPr>
                <w:i/>
                <w:sz w:val="16"/>
                <w:szCs w:val="16"/>
              </w:rPr>
              <w:t>wise.</w:t>
            </w:r>
          </w:p>
        </w:tc>
      </w:tr>
      <w:tr w:rsidR="001A2EAC" w:rsidRPr="007D0D5D" w:rsidTr="001A2EAC">
        <w:trPr>
          <w:trHeight w:val="20"/>
        </w:trPr>
        <w:tc>
          <w:tcPr>
            <w:tcW w:w="3708" w:type="dxa"/>
          </w:tcPr>
          <w:p w:rsidR="001A2EAC" w:rsidRPr="00165E35" w:rsidRDefault="001A2EAC" w:rsidP="003F6BF5">
            <w:pPr>
              <w:keepNext/>
              <w:widowControl w:val="0"/>
              <w:autoSpaceDE w:val="0"/>
              <w:autoSpaceDN w:val="0"/>
              <w:adjustRightInd w:val="0"/>
              <w:spacing w:after="0" w:line="240" w:lineRule="auto"/>
              <w:rPr>
                <w:rFonts w:cs="Times New Roman"/>
                <w:caps/>
                <w:sz w:val="16"/>
                <w:szCs w:val="16"/>
              </w:rPr>
            </w:pPr>
            <w:r w:rsidRPr="00165E35">
              <w:rPr>
                <w:rFonts w:cs="Times New Roman"/>
                <w:caps/>
                <w:sz w:val="16"/>
                <w:szCs w:val="16"/>
              </w:rPr>
              <w:t>Relegation contention</w:t>
            </w:r>
          </w:p>
        </w:tc>
        <w:tc>
          <w:tcPr>
            <w:tcW w:w="5537" w:type="dxa"/>
          </w:tcPr>
          <w:p w:rsidR="001A2EAC" w:rsidRPr="00165E35" w:rsidRDefault="001A2EAC" w:rsidP="003F6BF5">
            <w:pPr>
              <w:spacing w:after="0" w:line="240" w:lineRule="auto"/>
              <w:rPr>
                <w:i/>
                <w:sz w:val="16"/>
                <w:szCs w:val="16"/>
              </w:rPr>
            </w:pPr>
            <w:r w:rsidRPr="00165E35">
              <w:rPr>
                <w:i/>
                <w:sz w:val="16"/>
                <w:szCs w:val="16"/>
              </w:rPr>
              <w:t xml:space="preserve">This is a dummy variable that takes the value of 1 if either of the teams in the match can be relegated if it was to win all its remaining games while others only take an average of one point from their remaining games </w:t>
            </w:r>
            <w:r w:rsidR="003F6BF5" w:rsidRPr="00165E35">
              <w:rPr>
                <w:i/>
                <w:sz w:val="16"/>
                <w:szCs w:val="16"/>
              </w:rPr>
              <w:t>and 0 other</w:t>
            </w:r>
            <w:r w:rsidRPr="00165E35">
              <w:rPr>
                <w:i/>
                <w:sz w:val="16"/>
                <w:szCs w:val="16"/>
              </w:rPr>
              <w:t>wise</w:t>
            </w:r>
          </w:p>
        </w:tc>
      </w:tr>
      <w:tr w:rsidR="003F6BF5" w:rsidRPr="007D0D5D" w:rsidTr="001A2EAC">
        <w:trPr>
          <w:trHeight w:val="20"/>
        </w:trPr>
        <w:tc>
          <w:tcPr>
            <w:tcW w:w="3708" w:type="dxa"/>
          </w:tcPr>
          <w:p w:rsidR="003F6BF5" w:rsidRPr="00165E35" w:rsidRDefault="003F6BF5" w:rsidP="003F6BF5">
            <w:pPr>
              <w:keepNext/>
              <w:spacing w:after="0" w:line="240" w:lineRule="auto"/>
              <w:rPr>
                <w:rFonts w:eastAsia="Times New Roman" w:cs="Times New Roman"/>
                <w:caps/>
                <w:color w:val="000000"/>
                <w:sz w:val="16"/>
                <w:szCs w:val="16"/>
              </w:rPr>
            </w:pPr>
            <w:r w:rsidRPr="00165E35">
              <w:rPr>
                <w:rFonts w:eastAsia="Times New Roman" w:cs="Times New Roman"/>
                <w:caps/>
                <w:color w:val="000000"/>
                <w:sz w:val="16"/>
                <w:szCs w:val="16"/>
              </w:rPr>
              <w:t>SETANTA</w:t>
            </w:r>
          </w:p>
        </w:tc>
        <w:tc>
          <w:tcPr>
            <w:tcW w:w="5537" w:type="dxa"/>
          </w:tcPr>
          <w:p w:rsidR="003F6BF5" w:rsidRPr="00165E35" w:rsidRDefault="003F6BF5" w:rsidP="003F6BF5">
            <w:pPr>
              <w:spacing w:after="0" w:line="240" w:lineRule="auto"/>
              <w:rPr>
                <w:i/>
                <w:sz w:val="16"/>
                <w:szCs w:val="16"/>
              </w:rPr>
            </w:pPr>
            <w:r w:rsidRPr="00165E35">
              <w:rPr>
                <w:i/>
                <w:sz w:val="16"/>
                <w:szCs w:val="16"/>
              </w:rPr>
              <w:t>This dummy variable is 1 if the match was televised by the broadcaster Setanta and 0 otherwise. If 0, the match was televised by BSkyB.</w:t>
            </w:r>
          </w:p>
        </w:tc>
      </w:tr>
      <w:tr w:rsidR="001A2EAC" w:rsidRPr="007D0D5D" w:rsidTr="001A2EAC">
        <w:trPr>
          <w:trHeight w:val="20"/>
        </w:trPr>
        <w:tc>
          <w:tcPr>
            <w:tcW w:w="3708" w:type="dxa"/>
          </w:tcPr>
          <w:p w:rsidR="001A2EAC" w:rsidRPr="00165E35" w:rsidRDefault="001A2EAC" w:rsidP="003F6BF5">
            <w:pPr>
              <w:keepNext/>
              <w:spacing w:after="0" w:line="240" w:lineRule="auto"/>
              <w:rPr>
                <w:rFonts w:eastAsia="Times New Roman" w:cs="Times New Roman"/>
                <w:caps/>
                <w:color w:val="000000"/>
                <w:sz w:val="16"/>
                <w:szCs w:val="16"/>
              </w:rPr>
            </w:pPr>
            <w:r w:rsidRPr="00165E35">
              <w:rPr>
                <w:rFonts w:eastAsia="Times New Roman" w:cs="Times New Roman"/>
                <w:caps/>
                <w:color w:val="000000"/>
                <w:sz w:val="16"/>
                <w:szCs w:val="16"/>
              </w:rPr>
              <w:t>Other matches</w:t>
            </w:r>
          </w:p>
        </w:tc>
        <w:tc>
          <w:tcPr>
            <w:tcW w:w="5537" w:type="dxa"/>
          </w:tcPr>
          <w:p w:rsidR="001A2EAC" w:rsidRPr="00165E35" w:rsidRDefault="001A2EAC" w:rsidP="003F6BF5">
            <w:pPr>
              <w:spacing w:after="0" w:line="240" w:lineRule="auto"/>
              <w:rPr>
                <w:i/>
                <w:sz w:val="16"/>
                <w:szCs w:val="16"/>
              </w:rPr>
            </w:pPr>
            <w:r w:rsidRPr="00165E35">
              <w:rPr>
                <w:i/>
                <w:sz w:val="16"/>
                <w:szCs w:val="16"/>
              </w:rPr>
              <w:t xml:space="preserve">This is a dummy variable that takes the value of 1 if there are other matches being broadcast at the same time </w:t>
            </w:r>
            <w:r w:rsidR="003F6BF5" w:rsidRPr="00165E35">
              <w:rPr>
                <w:i/>
                <w:sz w:val="16"/>
                <w:szCs w:val="16"/>
              </w:rPr>
              <w:t>and 0 other</w:t>
            </w:r>
            <w:r w:rsidRPr="00165E35">
              <w:rPr>
                <w:i/>
                <w:sz w:val="16"/>
                <w:szCs w:val="16"/>
              </w:rPr>
              <w:t>wise.</w:t>
            </w:r>
          </w:p>
        </w:tc>
      </w:tr>
      <w:tr w:rsidR="001A2EAC" w:rsidRPr="007D0D5D" w:rsidTr="001A2EAC">
        <w:trPr>
          <w:trHeight w:val="20"/>
        </w:trPr>
        <w:tc>
          <w:tcPr>
            <w:tcW w:w="3708" w:type="dxa"/>
          </w:tcPr>
          <w:p w:rsidR="001A2EAC" w:rsidRPr="00165E35" w:rsidRDefault="001A2EAC" w:rsidP="003F6BF5">
            <w:pPr>
              <w:keepNext/>
              <w:spacing w:after="0" w:line="240" w:lineRule="auto"/>
              <w:rPr>
                <w:rFonts w:eastAsia="Times New Roman" w:cs="Times New Roman"/>
                <w:caps/>
                <w:color w:val="000000"/>
                <w:sz w:val="16"/>
                <w:szCs w:val="16"/>
              </w:rPr>
            </w:pPr>
            <w:r w:rsidRPr="00165E35">
              <w:rPr>
                <w:rFonts w:eastAsia="Times New Roman" w:cs="Times New Roman"/>
                <w:caps/>
                <w:color w:val="000000"/>
                <w:sz w:val="16"/>
                <w:szCs w:val="16"/>
              </w:rPr>
              <w:t>Derby</w:t>
            </w:r>
          </w:p>
        </w:tc>
        <w:tc>
          <w:tcPr>
            <w:tcW w:w="5537" w:type="dxa"/>
          </w:tcPr>
          <w:p w:rsidR="001A2EAC" w:rsidRPr="00165E35" w:rsidRDefault="001A2EAC" w:rsidP="003F6BF5">
            <w:pPr>
              <w:spacing w:after="0" w:line="240" w:lineRule="auto"/>
              <w:rPr>
                <w:i/>
                <w:sz w:val="16"/>
                <w:szCs w:val="16"/>
              </w:rPr>
            </w:pPr>
            <w:r w:rsidRPr="00165E35">
              <w:rPr>
                <w:i/>
                <w:sz w:val="16"/>
                <w:szCs w:val="16"/>
              </w:rPr>
              <w:t xml:space="preserve">This is a dummy variable that takes the value of 1 if the match involves teams who are historical or local rivals and </w:t>
            </w:r>
          </w:p>
        </w:tc>
      </w:tr>
      <w:tr w:rsidR="001A2EAC" w:rsidRPr="007D0D5D" w:rsidTr="001A2EAC">
        <w:trPr>
          <w:trHeight w:val="20"/>
        </w:trPr>
        <w:tc>
          <w:tcPr>
            <w:tcW w:w="3708" w:type="dxa"/>
          </w:tcPr>
          <w:p w:rsidR="001A2EAC" w:rsidRPr="00165E35" w:rsidRDefault="001A2EAC" w:rsidP="003F6BF5">
            <w:pPr>
              <w:keepNext/>
              <w:spacing w:after="0" w:line="240" w:lineRule="auto"/>
              <w:rPr>
                <w:rFonts w:eastAsia="Times New Roman" w:cs="Times New Roman"/>
                <w:caps/>
                <w:color w:val="000000"/>
                <w:sz w:val="16"/>
                <w:szCs w:val="16"/>
              </w:rPr>
            </w:pPr>
            <w:r w:rsidRPr="00165E35">
              <w:rPr>
                <w:rFonts w:eastAsia="Times New Roman" w:cs="Times New Roman"/>
                <w:caps/>
                <w:color w:val="000000"/>
                <w:sz w:val="16"/>
                <w:szCs w:val="16"/>
              </w:rPr>
              <w:t>Weekday</w:t>
            </w:r>
          </w:p>
        </w:tc>
        <w:tc>
          <w:tcPr>
            <w:tcW w:w="5537" w:type="dxa"/>
          </w:tcPr>
          <w:p w:rsidR="001A2EAC" w:rsidRPr="00165E35" w:rsidRDefault="001A2EAC" w:rsidP="003F6BF5">
            <w:pPr>
              <w:spacing w:after="0" w:line="240" w:lineRule="auto"/>
              <w:rPr>
                <w:i/>
                <w:sz w:val="16"/>
                <w:szCs w:val="16"/>
              </w:rPr>
            </w:pPr>
            <w:r w:rsidRPr="00165E35">
              <w:rPr>
                <w:i/>
                <w:sz w:val="16"/>
                <w:szCs w:val="16"/>
              </w:rPr>
              <w:t xml:space="preserve">This is a dummy variable that take the value of 1 if the game is televised on Monday to Friday inclusive </w:t>
            </w:r>
            <w:r w:rsidR="003F6BF5" w:rsidRPr="00165E35">
              <w:rPr>
                <w:i/>
                <w:sz w:val="16"/>
                <w:szCs w:val="16"/>
              </w:rPr>
              <w:t>and 0 other</w:t>
            </w:r>
            <w:r w:rsidRPr="00165E35">
              <w:rPr>
                <w:i/>
                <w:sz w:val="16"/>
                <w:szCs w:val="16"/>
              </w:rPr>
              <w:t>wise.</w:t>
            </w:r>
          </w:p>
        </w:tc>
      </w:tr>
      <w:tr w:rsidR="008E2342" w:rsidRPr="007D0D5D" w:rsidTr="00074189">
        <w:trPr>
          <w:trHeight w:val="20"/>
        </w:trPr>
        <w:tc>
          <w:tcPr>
            <w:tcW w:w="3708" w:type="dxa"/>
          </w:tcPr>
          <w:p w:rsidR="008E2342" w:rsidRPr="00165E35" w:rsidRDefault="008E2342" w:rsidP="00074189">
            <w:pPr>
              <w:spacing w:after="0" w:line="240" w:lineRule="auto"/>
              <w:rPr>
                <w:rFonts w:eastAsia="Times New Roman" w:cs="Times New Roman"/>
                <w:caps/>
                <w:color w:val="000000"/>
                <w:sz w:val="16"/>
                <w:szCs w:val="16"/>
              </w:rPr>
            </w:pPr>
            <w:r w:rsidRPr="00165E35">
              <w:rPr>
                <w:rFonts w:eastAsia="Times New Roman" w:cs="Times New Roman"/>
                <w:caps/>
                <w:color w:val="000000"/>
                <w:sz w:val="16"/>
                <w:szCs w:val="16"/>
              </w:rPr>
              <w:t>FIRST HALF</w:t>
            </w:r>
          </w:p>
        </w:tc>
        <w:tc>
          <w:tcPr>
            <w:tcW w:w="5537" w:type="dxa"/>
          </w:tcPr>
          <w:p w:rsidR="008E2342" w:rsidRPr="00165E35" w:rsidRDefault="008E2342" w:rsidP="00074189">
            <w:pPr>
              <w:spacing w:after="0" w:line="240" w:lineRule="auto"/>
              <w:rPr>
                <w:i/>
                <w:sz w:val="16"/>
                <w:szCs w:val="16"/>
              </w:rPr>
            </w:pPr>
            <w:r w:rsidRPr="00165E35">
              <w:rPr>
                <w:i/>
                <w:sz w:val="16"/>
                <w:szCs w:val="16"/>
              </w:rPr>
              <w:t>This is a dummy variable that takes the value of 1 if the match is played between August and December inclusive and 0 otherwise.</w:t>
            </w:r>
          </w:p>
        </w:tc>
      </w:tr>
      <w:tr w:rsidR="008E2342" w:rsidRPr="007D0D5D" w:rsidTr="00074189">
        <w:trPr>
          <w:trHeight w:val="20"/>
        </w:trPr>
        <w:tc>
          <w:tcPr>
            <w:tcW w:w="3708" w:type="dxa"/>
          </w:tcPr>
          <w:p w:rsidR="008E2342" w:rsidRPr="00165E35" w:rsidRDefault="008E2342" w:rsidP="00074189">
            <w:pPr>
              <w:spacing w:after="0" w:line="240" w:lineRule="auto"/>
              <w:rPr>
                <w:rFonts w:eastAsia="Times New Roman" w:cs="Times New Roman"/>
                <w:caps/>
                <w:color w:val="000000"/>
                <w:sz w:val="16"/>
                <w:szCs w:val="16"/>
              </w:rPr>
            </w:pPr>
            <w:r w:rsidRPr="00165E35">
              <w:rPr>
                <w:rFonts w:eastAsia="Times New Roman" w:cs="Times New Roman"/>
                <w:caps/>
                <w:color w:val="000000"/>
                <w:sz w:val="16"/>
                <w:szCs w:val="16"/>
              </w:rPr>
              <w:t>SECOND HALF</w:t>
            </w:r>
          </w:p>
        </w:tc>
        <w:tc>
          <w:tcPr>
            <w:tcW w:w="5537" w:type="dxa"/>
          </w:tcPr>
          <w:p w:rsidR="008E2342" w:rsidRPr="00165E35" w:rsidRDefault="008E2342" w:rsidP="00074189">
            <w:pPr>
              <w:spacing w:after="0" w:line="240" w:lineRule="auto"/>
              <w:rPr>
                <w:i/>
                <w:sz w:val="16"/>
                <w:szCs w:val="16"/>
              </w:rPr>
            </w:pPr>
            <w:r w:rsidRPr="00165E35">
              <w:rPr>
                <w:i/>
                <w:sz w:val="16"/>
                <w:szCs w:val="16"/>
              </w:rPr>
              <w:t>This is a dummy variable that takes the value of 1 if the match is played between January and May inclusive and 0 otherwise.</w:t>
            </w:r>
          </w:p>
        </w:tc>
      </w:tr>
      <w:tr w:rsidR="001A2EAC" w:rsidRPr="007D0D5D" w:rsidTr="001A2EAC">
        <w:trPr>
          <w:trHeight w:val="20"/>
        </w:trPr>
        <w:tc>
          <w:tcPr>
            <w:tcW w:w="3708" w:type="dxa"/>
          </w:tcPr>
          <w:p w:rsidR="001A2EAC" w:rsidRPr="00165E35" w:rsidRDefault="001A2EAC" w:rsidP="003F6BF5">
            <w:pPr>
              <w:spacing w:after="0" w:line="240" w:lineRule="auto"/>
              <w:rPr>
                <w:rFonts w:eastAsia="Times New Roman" w:cs="Times New Roman"/>
                <w:caps/>
                <w:color w:val="000000"/>
                <w:sz w:val="16"/>
                <w:szCs w:val="16"/>
              </w:rPr>
            </w:pPr>
            <w:r w:rsidRPr="00165E35">
              <w:rPr>
                <w:rFonts w:eastAsia="Times New Roman" w:cs="Times New Roman"/>
                <w:caps/>
                <w:color w:val="000000"/>
                <w:sz w:val="16"/>
                <w:szCs w:val="16"/>
              </w:rPr>
              <w:t xml:space="preserve">Outcome Uncertanty </w:t>
            </w:r>
          </w:p>
        </w:tc>
        <w:tc>
          <w:tcPr>
            <w:tcW w:w="5537" w:type="dxa"/>
          </w:tcPr>
          <w:p w:rsidR="001A2EAC" w:rsidRPr="00165E35" w:rsidRDefault="001A2EAC" w:rsidP="003F6BF5">
            <w:pPr>
              <w:spacing w:after="0" w:line="240" w:lineRule="auto"/>
              <w:rPr>
                <w:i/>
                <w:sz w:val="16"/>
                <w:szCs w:val="16"/>
              </w:rPr>
            </w:pPr>
            <w:r w:rsidRPr="00165E35">
              <w:rPr>
                <w:i/>
                <w:sz w:val="16"/>
                <w:szCs w:val="16"/>
              </w:rPr>
              <w:t>This is the absolute difference in home-win probability and away-win probability. Probabilities are derived from the bookmaker’s odds and adjusted for over</w:t>
            </w:r>
            <w:r w:rsidR="00E34D57" w:rsidRPr="00165E35">
              <w:rPr>
                <w:i/>
                <w:sz w:val="16"/>
                <w:szCs w:val="16"/>
              </w:rPr>
              <w:t>-</w:t>
            </w:r>
            <w:r w:rsidRPr="00165E35">
              <w:rPr>
                <w:i/>
                <w:sz w:val="16"/>
                <w:szCs w:val="16"/>
              </w:rPr>
              <w:t>round.</w:t>
            </w:r>
          </w:p>
        </w:tc>
      </w:tr>
      <w:tr w:rsidR="008E2342" w:rsidRPr="007D0D5D" w:rsidTr="001A2EAC">
        <w:trPr>
          <w:trHeight w:val="20"/>
        </w:trPr>
        <w:tc>
          <w:tcPr>
            <w:tcW w:w="3708" w:type="dxa"/>
          </w:tcPr>
          <w:p w:rsidR="008E2342" w:rsidRPr="00165E35" w:rsidRDefault="00165E35" w:rsidP="00165E35">
            <w:pPr>
              <w:spacing w:after="0" w:line="240" w:lineRule="auto"/>
              <w:rPr>
                <w:rFonts w:eastAsia="Times New Roman" w:cs="Times New Roman"/>
                <w:caps/>
                <w:color w:val="000000"/>
                <w:sz w:val="16"/>
                <w:szCs w:val="16"/>
              </w:rPr>
            </w:pPr>
            <w:r w:rsidRPr="00165E35">
              <w:rPr>
                <w:rFonts w:eastAsia="Times New Roman" w:cs="Times New Roman"/>
                <w:caps/>
                <w:color w:val="000000"/>
                <w:sz w:val="16"/>
                <w:szCs w:val="16"/>
              </w:rPr>
              <w:t>Theil</w:t>
            </w:r>
          </w:p>
        </w:tc>
        <w:tc>
          <w:tcPr>
            <w:tcW w:w="5537" w:type="dxa"/>
          </w:tcPr>
          <w:p w:rsidR="008E2342" w:rsidRPr="00165E35" w:rsidRDefault="003B30FE" w:rsidP="00466D1A">
            <w:pPr>
              <w:spacing w:after="0" w:line="240" w:lineRule="auto"/>
              <w:jc w:val="both"/>
              <w:rPr>
                <w:i/>
                <w:sz w:val="16"/>
                <w:szCs w:val="16"/>
              </w:rPr>
            </w:pPr>
            <m:oMath>
              <m:nary>
                <m:naryPr>
                  <m:chr m:val="∑"/>
                  <m:limLoc m:val="undOvr"/>
                  <m:ctrlPr>
                    <w:rPr>
                      <w:rFonts w:ascii="Cambria Math" w:hAnsi="Cambria Math"/>
                      <w:i/>
                      <w:sz w:val="16"/>
                      <w:szCs w:val="16"/>
                    </w:rPr>
                  </m:ctrlPr>
                </m:naryPr>
                <m:sub>
                  <m:r>
                    <w:rPr>
                      <w:rFonts w:ascii="Cambria Math" w:hAnsi="Cambria Math"/>
                      <w:sz w:val="16"/>
                      <w:szCs w:val="16"/>
                    </w:rPr>
                    <m:t>i=1</m:t>
                  </m:r>
                </m:sub>
                <m:sup>
                  <m:r>
                    <w:rPr>
                      <w:rFonts w:ascii="Cambria Math" w:hAnsi="Cambria Math"/>
                      <w:sz w:val="16"/>
                      <w:szCs w:val="16"/>
                    </w:rPr>
                    <m:t>3</m:t>
                  </m:r>
                </m:sup>
                <m:e>
                  <m:sSub>
                    <m:sSubPr>
                      <m:ctrlPr>
                        <w:rPr>
                          <w:rFonts w:ascii="Cambria Math" w:hAnsi="Cambria Math"/>
                          <w:i/>
                          <w:sz w:val="16"/>
                          <w:szCs w:val="16"/>
                        </w:rPr>
                      </m:ctrlPr>
                    </m:sSubPr>
                    <m:e>
                      <m:r>
                        <w:rPr>
                          <w:rFonts w:ascii="Cambria Math" w:hAnsi="Cambria Math"/>
                          <w:sz w:val="16"/>
                          <w:szCs w:val="16"/>
                        </w:rPr>
                        <m:t>P</m:t>
                      </m:r>
                    </m:e>
                    <m:sub>
                      <m:r>
                        <w:rPr>
                          <w:rFonts w:ascii="Cambria Math" w:hAnsi="Cambria Math"/>
                          <w:sz w:val="16"/>
                          <w:szCs w:val="16"/>
                        </w:rPr>
                        <m:t>i</m:t>
                      </m:r>
                    </m:sub>
                  </m:sSub>
                </m:e>
              </m:nary>
              <m:r>
                <w:rPr>
                  <w:rFonts w:ascii="Cambria Math" w:hAnsi="Cambria Math"/>
                  <w:sz w:val="16"/>
                  <w:szCs w:val="16"/>
                </w:rPr>
                <m:t>×ln</m:t>
              </m:r>
              <m:d>
                <m:dPr>
                  <m:ctrlPr>
                    <w:rPr>
                      <w:rFonts w:ascii="Cambria Math" w:hAnsi="Cambria Math"/>
                      <w:i/>
                      <w:sz w:val="16"/>
                      <w:szCs w:val="16"/>
                    </w:rPr>
                  </m:ctrlPr>
                </m:dPr>
                <m:e>
                  <m:f>
                    <m:fPr>
                      <m:ctrlPr>
                        <w:rPr>
                          <w:rFonts w:ascii="Cambria Math" w:hAnsi="Cambria Math"/>
                          <w:i/>
                          <w:sz w:val="16"/>
                          <w:szCs w:val="16"/>
                        </w:rPr>
                      </m:ctrlPr>
                    </m:fPr>
                    <m:num>
                      <m:r>
                        <w:rPr>
                          <w:rFonts w:ascii="Cambria Math" w:hAnsi="Cambria Math"/>
                          <w:sz w:val="16"/>
                          <w:szCs w:val="16"/>
                        </w:rPr>
                        <m:t>1</m:t>
                      </m:r>
                    </m:num>
                    <m:den>
                      <m:sSub>
                        <m:sSubPr>
                          <m:ctrlPr>
                            <w:rPr>
                              <w:rFonts w:ascii="Cambria Math" w:hAnsi="Cambria Math"/>
                              <w:i/>
                              <w:sz w:val="16"/>
                              <w:szCs w:val="16"/>
                            </w:rPr>
                          </m:ctrlPr>
                        </m:sSubPr>
                        <m:e>
                          <m:r>
                            <w:rPr>
                              <w:rFonts w:ascii="Cambria Math" w:hAnsi="Cambria Math"/>
                              <w:sz w:val="16"/>
                              <w:szCs w:val="16"/>
                            </w:rPr>
                            <m:t>p</m:t>
                          </m:r>
                        </m:e>
                        <m:sub>
                          <m:r>
                            <w:rPr>
                              <w:rFonts w:ascii="Cambria Math" w:hAnsi="Cambria Math"/>
                              <w:sz w:val="16"/>
                              <w:szCs w:val="16"/>
                            </w:rPr>
                            <m:t>i</m:t>
                          </m:r>
                        </m:sub>
                      </m:sSub>
                    </m:den>
                  </m:f>
                </m:e>
              </m:d>
            </m:oMath>
            <w:r w:rsidR="008E2342" w:rsidRPr="00165E35">
              <w:rPr>
                <w:i/>
                <w:sz w:val="16"/>
                <w:szCs w:val="16"/>
              </w:rPr>
              <w:t xml:space="preserve"> where </w:t>
            </w:r>
            <m:oMath>
              <m:sSub>
                <m:sSubPr>
                  <m:ctrlPr>
                    <w:rPr>
                      <w:rFonts w:ascii="Cambria Math" w:hAnsi="Cambria Math"/>
                      <w:i/>
                      <w:sz w:val="16"/>
                      <w:szCs w:val="16"/>
                    </w:rPr>
                  </m:ctrlPr>
                </m:sSubPr>
                <m:e>
                  <m:r>
                    <w:rPr>
                      <w:rFonts w:ascii="Cambria Math" w:hAnsi="Cambria Math"/>
                      <w:sz w:val="16"/>
                      <w:szCs w:val="16"/>
                    </w:rPr>
                    <m:t>P</m:t>
                  </m:r>
                </m:e>
                <m:sub>
                  <m:r>
                    <w:rPr>
                      <w:rFonts w:ascii="Cambria Math" w:hAnsi="Cambria Math"/>
                      <w:sz w:val="16"/>
                      <w:szCs w:val="16"/>
                    </w:rPr>
                    <m:t>i</m:t>
                  </m:r>
                </m:sub>
              </m:sSub>
            </m:oMath>
            <w:r w:rsidR="008E2342" w:rsidRPr="00165E35">
              <w:rPr>
                <w:i/>
                <w:sz w:val="16"/>
                <w:szCs w:val="16"/>
              </w:rPr>
              <w:t xml:space="preserve"> is the probability of outcome </w:t>
            </w:r>
            <m:oMath>
              <m:r>
                <w:rPr>
                  <w:rFonts w:ascii="Cambria Math" w:hAnsi="Cambria Math"/>
                  <w:sz w:val="16"/>
                  <w:szCs w:val="16"/>
                </w:rPr>
                <m:t>i</m:t>
              </m:r>
            </m:oMath>
            <w:r w:rsidR="006E052A" w:rsidRPr="00165E35">
              <w:rPr>
                <w:i/>
                <w:sz w:val="16"/>
                <w:szCs w:val="16"/>
              </w:rPr>
              <w:t xml:space="preserve"> which is</w:t>
            </w:r>
            <w:r w:rsidR="00466D1A" w:rsidRPr="00165E35">
              <w:rPr>
                <w:i/>
                <w:sz w:val="16"/>
                <w:szCs w:val="16"/>
              </w:rPr>
              <w:t xml:space="preserve"> any one of the three possible results</w:t>
            </w:r>
          </w:p>
        </w:tc>
      </w:tr>
    </w:tbl>
    <w:p w:rsidR="001A2EAC" w:rsidRPr="007D0D5D" w:rsidRDefault="001A2EAC" w:rsidP="001A2EAC"/>
    <w:p w:rsidR="001A2EAC" w:rsidRPr="00165E35" w:rsidRDefault="001A2EAC" w:rsidP="001A2EAC">
      <w:pPr>
        <w:pStyle w:val="Heading4"/>
        <w:rPr>
          <w:rFonts w:ascii="Times New Roman" w:hAnsi="Times New Roman" w:cs="Times New Roman"/>
        </w:rPr>
      </w:pPr>
      <w:r w:rsidRPr="00165E35">
        <w:rPr>
          <w:rFonts w:ascii="Times New Roman" w:hAnsi="Times New Roman" w:cs="Times New Roman"/>
        </w:rPr>
        <w:t>Table 4b. Summary statistics for televised games.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59"/>
        <w:gridCol w:w="1270"/>
        <w:gridCol w:w="1272"/>
        <w:gridCol w:w="1270"/>
        <w:gridCol w:w="1274"/>
      </w:tblGrid>
      <w:tr w:rsidR="00586863" w:rsidRPr="00165E35" w:rsidTr="00165E35">
        <w:trPr>
          <w:trHeight w:val="20"/>
        </w:trPr>
        <w:tc>
          <w:tcPr>
            <w:tcW w:w="2249" w:type="pct"/>
            <w:tcBorders>
              <w:top w:val="single" w:sz="4" w:space="0" w:color="auto"/>
              <w:left w:val="single" w:sz="4" w:space="0" w:color="auto"/>
              <w:bottom w:val="single" w:sz="4" w:space="0" w:color="auto"/>
              <w:right w:val="single" w:sz="4" w:space="0" w:color="auto"/>
            </w:tcBorders>
            <w:shd w:val="clear" w:color="auto" w:fill="auto"/>
            <w:noWrap/>
            <w:vAlign w:val="bottom"/>
          </w:tcPr>
          <w:p w:rsidR="00586863" w:rsidRPr="00165E35" w:rsidRDefault="00586863" w:rsidP="0099548F">
            <w:pPr>
              <w:keepNext/>
              <w:spacing w:after="0" w:line="240" w:lineRule="auto"/>
              <w:rPr>
                <w:rFonts w:eastAsia="Times New Roman" w:cs="Times New Roman"/>
                <w:color w:val="000000"/>
                <w:sz w:val="16"/>
                <w:szCs w:val="16"/>
              </w:rPr>
            </w:pPr>
          </w:p>
        </w:tc>
        <w:tc>
          <w:tcPr>
            <w:tcW w:w="2751" w:type="pct"/>
            <w:gridSpan w:val="4"/>
            <w:tcBorders>
              <w:top w:val="single" w:sz="4" w:space="0" w:color="auto"/>
              <w:left w:val="single" w:sz="4" w:space="0" w:color="auto"/>
              <w:bottom w:val="single" w:sz="4" w:space="0" w:color="auto"/>
              <w:right w:val="single" w:sz="4" w:space="0" w:color="auto"/>
            </w:tcBorders>
          </w:tcPr>
          <w:p w:rsidR="00586863" w:rsidRPr="00165E35" w:rsidRDefault="00586863" w:rsidP="0099548F">
            <w:pPr>
              <w:keepNext/>
              <w:tabs>
                <w:tab w:val="decimal" w:pos="433"/>
              </w:tabs>
              <w:spacing w:after="0" w:line="240" w:lineRule="auto"/>
              <w:jc w:val="center"/>
              <w:rPr>
                <w:rFonts w:eastAsia="Times New Roman" w:cs="Times New Roman"/>
                <w:color w:val="000000"/>
                <w:sz w:val="16"/>
                <w:szCs w:val="16"/>
              </w:rPr>
            </w:pPr>
            <w:r w:rsidRPr="00165E35">
              <w:rPr>
                <w:rFonts w:eastAsia="Times New Roman" w:cs="Times New Roman"/>
                <w:color w:val="000000"/>
                <w:sz w:val="16"/>
                <w:szCs w:val="16"/>
              </w:rPr>
              <w:t>Televised games (N = 631)</w:t>
            </w:r>
          </w:p>
        </w:tc>
      </w:tr>
      <w:tr w:rsidR="00F230AF" w:rsidRPr="00165E35" w:rsidTr="00165E35">
        <w:trPr>
          <w:trHeight w:val="20"/>
        </w:trPr>
        <w:tc>
          <w:tcPr>
            <w:tcW w:w="2249" w:type="pct"/>
            <w:shd w:val="clear" w:color="auto" w:fill="auto"/>
            <w:noWrap/>
          </w:tcPr>
          <w:p w:rsidR="00F230AF" w:rsidRPr="00165E35" w:rsidRDefault="00F230AF" w:rsidP="00F230AF">
            <w:pPr>
              <w:keepNext/>
              <w:spacing w:after="0" w:line="240" w:lineRule="auto"/>
              <w:rPr>
                <w:rFonts w:eastAsia="Times New Roman" w:cs="Times New Roman"/>
                <w:color w:val="000000"/>
                <w:sz w:val="16"/>
                <w:szCs w:val="16"/>
              </w:rPr>
            </w:pPr>
            <w:r w:rsidRPr="00165E35">
              <w:rPr>
                <w:rFonts w:eastAsia="Times New Roman" w:cs="Times New Roman"/>
                <w:color w:val="000000"/>
                <w:sz w:val="16"/>
                <w:szCs w:val="16"/>
              </w:rPr>
              <w:t>Variables</w:t>
            </w:r>
          </w:p>
        </w:tc>
        <w:tc>
          <w:tcPr>
            <w:tcW w:w="687" w:type="pct"/>
          </w:tcPr>
          <w:p w:rsidR="00F230AF" w:rsidRPr="00165E35" w:rsidRDefault="00F230AF" w:rsidP="00F230AF">
            <w:pPr>
              <w:keepNext/>
              <w:spacing w:after="0" w:line="240" w:lineRule="auto"/>
              <w:jc w:val="center"/>
              <w:rPr>
                <w:rFonts w:eastAsia="Times New Roman" w:cs="Times New Roman"/>
                <w:color w:val="000000"/>
                <w:sz w:val="16"/>
                <w:szCs w:val="16"/>
              </w:rPr>
            </w:pPr>
            <w:r w:rsidRPr="00165E35">
              <w:rPr>
                <w:rFonts w:eastAsia="Times New Roman" w:cs="Times New Roman"/>
                <w:color w:val="000000"/>
                <w:sz w:val="16"/>
                <w:szCs w:val="16"/>
              </w:rPr>
              <w:t>Mean</w:t>
            </w:r>
          </w:p>
        </w:tc>
        <w:tc>
          <w:tcPr>
            <w:tcW w:w="688" w:type="pct"/>
          </w:tcPr>
          <w:p w:rsidR="00F230AF" w:rsidRPr="00165E35" w:rsidRDefault="00F230AF" w:rsidP="00F230AF">
            <w:pPr>
              <w:keepNext/>
              <w:spacing w:after="0" w:line="240" w:lineRule="auto"/>
              <w:jc w:val="center"/>
              <w:rPr>
                <w:rFonts w:eastAsia="Times New Roman" w:cs="Times New Roman"/>
                <w:color w:val="000000"/>
                <w:sz w:val="16"/>
                <w:szCs w:val="16"/>
              </w:rPr>
            </w:pPr>
            <w:r w:rsidRPr="00165E35">
              <w:rPr>
                <w:rFonts w:eastAsia="Times New Roman" w:cs="Times New Roman"/>
                <w:color w:val="000000"/>
                <w:sz w:val="16"/>
                <w:szCs w:val="16"/>
              </w:rPr>
              <w:t>Standard deviation</w:t>
            </w:r>
          </w:p>
        </w:tc>
        <w:tc>
          <w:tcPr>
            <w:tcW w:w="687" w:type="pct"/>
          </w:tcPr>
          <w:p w:rsidR="00F230AF" w:rsidRPr="00165E35" w:rsidRDefault="00F230AF" w:rsidP="00F230AF">
            <w:pPr>
              <w:keepNext/>
              <w:spacing w:after="0" w:line="240" w:lineRule="auto"/>
              <w:jc w:val="center"/>
              <w:rPr>
                <w:rFonts w:eastAsia="Times New Roman" w:cs="Times New Roman"/>
                <w:color w:val="000000"/>
                <w:sz w:val="16"/>
                <w:szCs w:val="16"/>
              </w:rPr>
            </w:pPr>
            <w:r w:rsidRPr="00165E35">
              <w:rPr>
                <w:rFonts w:eastAsia="Times New Roman" w:cs="Times New Roman"/>
                <w:color w:val="000000"/>
                <w:sz w:val="16"/>
                <w:szCs w:val="16"/>
              </w:rPr>
              <w:t>Minimum</w:t>
            </w:r>
          </w:p>
        </w:tc>
        <w:tc>
          <w:tcPr>
            <w:tcW w:w="688" w:type="pct"/>
          </w:tcPr>
          <w:p w:rsidR="00F230AF" w:rsidRPr="00165E35" w:rsidRDefault="00F230AF" w:rsidP="00F230AF">
            <w:pPr>
              <w:keepNext/>
              <w:spacing w:after="0" w:line="240" w:lineRule="auto"/>
              <w:jc w:val="center"/>
              <w:rPr>
                <w:rFonts w:eastAsia="Times New Roman" w:cs="Times New Roman"/>
                <w:color w:val="000000"/>
                <w:sz w:val="16"/>
                <w:szCs w:val="16"/>
              </w:rPr>
            </w:pPr>
            <w:r w:rsidRPr="00165E35">
              <w:rPr>
                <w:rFonts w:eastAsia="Times New Roman" w:cs="Times New Roman"/>
                <w:color w:val="000000"/>
                <w:sz w:val="16"/>
                <w:szCs w:val="16"/>
              </w:rPr>
              <w:t>Maximum</w:t>
            </w:r>
          </w:p>
        </w:tc>
      </w:tr>
      <w:tr w:rsidR="00694489" w:rsidRPr="00165E35" w:rsidTr="00165E35">
        <w:trPr>
          <w:trHeight w:val="20"/>
        </w:trPr>
        <w:tc>
          <w:tcPr>
            <w:tcW w:w="2249" w:type="pct"/>
            <w:shd w:val="clear" w:color="auto" w:fill="auto"/>
            <w:noWrap/>
            <w:vAlign w:val="bottom"/>
          </w:tcPr>
          <w:p w:rsidR="00694489" w:rsidRPr="00DF59FE" w:rsidRDefault="00694489" w:rsidP="0099548F">
            <w:pPr>
              <w:keepNext/>
              <w:spacing w:after="0" w:line="240" w:lineRule="auto"/>
              <w:rPr>
                <w:rFonts w:eastAsia="Times New Roman" w:cs="Times New Roman"/>
                <w:i/>
                <w:caps/>
                <w:color w:val="000000"/>
                <w:sz w:val="16"/>
                <w:szCs w:val="16"/>
              </w:rPr>
            </w:pPr>
            <w:r w:rsidRPr="00DF59FE">
              <w:rPr>
                <w:rFonts w:eastAsia="Times New Roman" w:cs="Times New Roman"/>
                <w:i/>
                <w:caps/>
                <w:color w:val="000000"/>
                <w:sz w:val="16"/>
                <w:szCs w:val="16"/>
              </w:rPr>
              <w:t>Television audience rating</w:t>
            </w:r>
          </w:p>
        </w:tc>
        <w:tc>
          <w:tcPr>
            <w:tcW w:w="687" w:type="pct"/>
            <w:vAlign w:val="bottom"/>
          </w:tcPr>
          <w:p w:rsidR="00694489" w:rsidRPr="00165E35" w:rsidRDefault="00DE4E5D" w:rsidP="0099548F">
            <w:pPr>
              <w:keepNext/>
              <w:tabs>
                <w:tab w:val="decimal" w:pos="534"/>
              </w:tabs>
              <w:spacing w:after="0" w:line="240" w:lineRule="auto"/>
              <w:rPr>
                <w:rFonts w:eastAsia="Times New Roman" w:cs="Times New Roman"/>
                <w:color w:val="000000"/>
                <w:sz w:val="16"/>
                <w:szCs w:val="16"/>
              </w:rPr>
            </w:pPr>
            <w:r w:rsidRPr="00165E35">
              <w:rPr>
                <w:rFonts w:eastAsia="Times New Roman" w:cs="Times New Roman"/>
                <w:color w:val="000000"/>
                <w:sz w:val="16"/>
                <w:szCs w:val="16"/>
              </w:rPr>
              <w:t>978,647</w:t>
            </w:r>
          </w:p>
        </w:tc>
        <w:tc>
          <w:tcPr>
            <w:tcW w:w="688" w:type="pct"/>
            <w:vAlign w:val="bottom"/>
          </w:tcPr>
          <w:p w:rsidR="00694489" w:rsidRPr="00165E35" w:rsidRDefault="00DE4E5D" w:rsidP="0099548F">
            <w:pPr>
              <w:keepNext/>
              <w:tabs>
                <w:tab w:val="decimal" w:pos="534"/>
              </w:tabs>
              <w:spacing w:after="0" w:line="240" w:lineRule="auto"/>
              <w:rPr>
                <w:rFonts w:eastAsia="Times New Roman" w:cs="Times New Roman"/>
                <w:color w:val="000000"/>
                <w:sz w:val="16"/>
                <w:szCs w:val="16"/>
              </w:rPr>
            </w:pPr>
            <w:r w:rsidRPr="00165E35">
              <w:rPr>
                <w:rFonts w:eastAsia="Times New Roman" w:cs="Times New Roman"/>
                <w:color w:val="000000"/>
                <w:sz w:val="16"/>
                <w:szCs w:val="16"/>
              </w:rPr>
              <w:t>570,092</w:t>
            </w:r>
          </w:p>
        </w:tc>
        <w:tc>
          <w:tcPr>
            <w:tcW w:w="687" w:type="pct"/>
            <w:vAlign w:val="bottom"/>
          </w:tcPr>
          <w:p w:rsidR="00694489" w:rsidRPr="00165E35" w:rsidRDefault="00DE4E5D" w:rsidP="0099548F">
            <w:pPr>
              <w:keepNext/>
              <w:tabs>
                <w:tab w:val="decimal" w:pos="534"/>
              </w:tabs>
              <w:spacing w:after="0" w:line="240" w:lineRule="auto"/>
              <w:rPr>
                <w:rFonts w:eastAsia="Times New Roman" w:cs="Times New Roman"/>
                <w:color w:val="000000"/>
                <w:sz w:val="16"/>
                <w:szCs w:val="16"/>
              </w:rPr>
            </w:pPr>
            <w:r w:rsidRPr="00165E35">
              <w:rPr>
                <w:rFonts w:eastAsia="Times New Roman" w:cs="Times New Roman"/>
                <w:color w:val="000000"/>
                <w:sz w:val="16"/>
                <w:szCs w:val="16"/>
              </w:rPr>
              <w:t>204,000</w:t>
            </w:r>
          </w:p>
        </w:tc>
        <w:tc>
          <w:tcPr>
            <w:tcW w:w="688" w:type="pct"/>
            <w:vAlign w:val="bottom"/>
          </w:tcPr>
          <w:p w:rsidR="00694489" w:rsidRPr="00165E35" w:rsidRDefault="00DE4E5D" w:rsidP="0099548F">
            <w:pPr>
              <w:keepNext/>
              <w:tabs>
                <w:tab w:val="decimal" w:pos="534"/>
              </w:tabs>
              <w:spacing w:after="0" w:line="240" w:lineRule="auto"/>
              <w:rPr>
                <w:rFonts w:eastAsia="Times New Roman" w:cs="Times New Roman"/>
                <w:color w:val="000000"/>
                <w:sz w:val="16"/>
                <w:szCs w:val="16"/>
              </w:rPr>
            </w:pPr>
            <w:r w:rsidRPr="00165E35">
              <w:rPr>
                <w:rFonts w:eastAsia="Times New Roman" w:cs="Times New Roman"/>
                <w:color w:val="000000"/>
                <w:sz w:val="16"/>
                <w:szCs w:val="16"/>
              </w:rPr>
              <w:t>2,780,000</w:t>
            </w:r>
          </w:p>
        </w:tc>
      </w:tr>
      <w:tr w:rsidR="0089728D" w:rsidRPr="00165E35" w:rsidTr="00165E35">
        <w:trPr>
          <w:trHeight w:val="20"/>
        </w:trPr>
        <w:tc>
          <w:tcPr>
            <w:tcW w:w="2249" w:type="pct"/>
            <w:shd w:val="clear" w:color="auto" w:fill="auto"/>
            <w:noWrap/>
            <w:vAlign w:val="bottom"/>
            <w:hideMark/>
          </w:tcPr>
          <w:p w:rsidR="00586863" w:rsidRPr="00DF59FE" w:rsidRDefault="00586863" w:rsidP="0099548F">
            <w:pPr>
              <w:keepNext/>
              <w:spacing w:after="0" w:line="240" w:lineRule="auto"/>
              <w:rPr>
                <w:rFonts w:eastAsia="Times New Roman" w:cs="Times New Roman"/>
                <w:i/>
                <w:caps/>
                <w:color w:val="000000"/>
                <w:sz w:val="16"/>
                <w:szCs w:val="16"/>
              </w:rPr>
            </w:pPr>
            <w:r w:rsidRPr="00DF59FE">
              <w:rPr>
                <w:rFonts w:eastAsia="Times New Roman" w:cs="Times New Roman"/>
                <w:i/>
                <w:caps/>
                <w:color w:val="000000"/>
                <w:sz w:val="16"/>
                <w:szCs w:val="16"/>
              </w:rPr>
              <w:t>Combined relative wage</w:t>
            </w:r>
          </w:p>
        </w:tc>
        <w:tc>
          <w:tcPr>
            <w:tcW w:w="687" w:type="pct"/>
            <w:vAlign w:val="bottom"/>
          </w:tcPr>
          <w:p w:rsidR="00586863" w:rsidRPr="00165E35" w:rsidRDefault="00586863" w:rsidP="0099548F">
            <w:pPr>
              <w:keepNext/>
              <w:tabs>
                <w:tab w:val="decimal" w:pos="534"/>
              </w:tabs>
              <w:spacing w:after="0" w:line="240" w:lineRule="auto"/>
              <w:rPr>
                <w:rFonts w:eastAsia="Times New Roman" w:cs="Times New Roman"/>
                <w:color w:val="000000"/>
                <w:sz w:val="16"/>
                <w:szCs w:val="16"/>
              </w:rPr>
            </w:pPr>
            <w:r w:rsidRPr="00165E35">
              <w:rPr>
                <w:rFonts w:eastAsia="Times New Roman" w:cs="Times New Roman"/>
                <w:color w:val="000000"/>
                <w:sz w:val="16"/>
                <w:szCs w:val="16"/>
              </w:rPr>
              <w:t>2.368</w:t>
            </w:r>
          </w:p>
        </w:tc>
        <w:tc>
          <w:tcPr>
            <w:tcW w:w="688" w:type="pct"/>
            <w:vAlign w:val="bottom"/>
          </w:tcPr>
          <w:p w:rsidR="00586863" w:rsidRPr="00165E35" w:rsidRDefault="00586863" w:rsidP="0099548F">
            <w:pPr>
              <w:keepNext/>
              <w:tabs>
                <w:tab w:val="decimal" w:pos="534"/>
              </w:tabs>
              <w:spacing w:after="0" w:line="240" w:lineRule="auto"/>
              <w:rPr>
                <w:rFonts w:eastAsia="Times New Roman" w:cs="Times New Roman"/>
                <w:color w:val="000000"/>
                <w:sz w:val="16"/>
                <w:szCs w:val="16"/>
              </w:rPr>
            </w:pPr>
            <w:r w:rsidRPr="00165E35">
              <w:rPr>
                <w:rFonts w:eastAsia="Times New Roman" w:cs="Times New Roman"/>
                <w:color w:val="000000"/>
                <w:sz w:val="16"/>
                <w:szCs w:val="16"/>
              </w:rPr>
              <w:t>0.879</w:t>
            </w:r>
          </w:p>
        </w:tc>
        <w:tc>
          <w:tcPr>
            <w:tcW w:w="687" w:type="pct"/>
            <w:vAlign w:val="bottom"/>
          </w:tcPr>
          <w:p w:rsidR="00586863" w:rsidRPr="00165E35" w:rsidRDefault="00586863" w:rsidP="0099548F">
            <w:pPr>
              <w:keepNext/>
              <w:tabs>
                <w:tab w:val="decimal" w:pos="534"/>
              </w:tabs>
              <w:spacing w:after="0" w:line="240" w:lineRule="auto"/>
              <w:rPr>
                <w:rFonts w:eastAsia="Times New Roman" w:cs="Times New Roman"/>
                <w:color w:val="000000"/>
                <w:sz w:val="16"/>
                <w:szCs w:val="16"/>
              </w:rPr>
            </w:pPr>
            <w:r w:rsidRPr="00165E35">
              <w:rPr>
                <w:rFonts w:eastAsia="Times New Roman" w:cs="Times New Roman"/>
                <w:color w:val="000000"/>
                <w:sz w:val="16"/>
                <w:szCs w:val="16"/>
              </w:rPr>
              <w:t>0.831</w:t>
            </w:r>
          </w:p>
        </w:tc>
        <w:tc>
          <w:tcPr>
            <w:tcW w:w="688" w:type="pct"/>
            <w:vAlign w:val="bottom"/>
          </w:tcPr>
          <w:p w:rsidR="00586863" w:rsidRPr="00165E35" w:rsidRDefault="00586863" w:rsidP="0099548F">
            <w:pPr>
              <w:keepNext/>
              <w:tabs>
                <w:tab w:val="decimal" w:pos="534"/>
              </w:tabs>
              <w:spacing w:after="0" w:line="240" w:lineRule="auto"/>
              <w:rPr>
                <w:rFonts w:eastAsia="Times New Roman" w:cs="Times New Roman"/>
                <w:color w:val="000000"/>
                <w:sz w:val="16"/>
                <w:szCs w:val="16"/>
              </w:rPr>
            </w:pPr>
            <w:r w:rsidRPr="00165E35">
              <w:rPr>
                <w:rFonts w:eastAsia="Times New Roman" w:cs="Times New Roman"/>
                <w:color w:val="000000"/>
                <w:sz w:val="16"/>
                <w:szCs w:val="16"/>
              </w:rPr>
              <w:t>5.067</w:t>
            </w:r>
          </w:p>
        </w:tc>
      </w:tr>
      <w:tr w:rsidR="0089728D" w:rsidRPr="00165E35" w:rsidTr="00165E35">
        <w:trPr>
          <w:trHeight w:val="20"/>
        </w:trPr>
        <w:tc>
          <w:tcPr>
            <w:tcW w:w="2249" w:type="pct"/>
            <w:shd w:val="clear" w:color="auto" w:fill="auto"/>
            <w:noWrap/>
            <w:vAlign w:val="bottom"/>
            <w:hideMark/>
          </w:tcPr>
          <w:p w:rsidR="00586863" w:rsidRPr="00DF59FE" w:rsidRDefault="00586863" w:rsidP="0099548F">
            <w:pPr>
              <w:keepNext/>
              <w:spacing w:after="0" w:line="240" w:lineRule="auto"/>
              <w:rPr>
                <w:rFonts w:eastAsia="Times New Roman" w:cs="Times New Roman"/>
                <w:i/>
                <w:caps/>
                <w:color w:val="000000"/>
                <w:sz w:val="16"/>
                <w:szCs w:val="16"/>
              </w:rPr>
            </w:pPr>
            <w:r w:rsidRPr="00DF59FE">
              <w:rPr>
                <w:rFonts w:eastAsia="Times New Roman" w:cs="Times New Roman"/>
                <w:i/>
                <w:caps/>
                <w:color w:val="000000"/>
                <w:sz w:val="16"/>
                <w:szCs w:val="16"/>
              </w:rPr>
              <w:t>Absolute difference in relative wage</w:t>
            </w:r>
          </w:p>
        </w:tc>
        <w:tc>
          <w:tcPr>
            <w:tcW w:w="687" w:type="pct"/>
            <w:vAlign w:val="bottom"/>
          </w:tcPr>
          <w:p w:rsidR="00586863" w:rsidRPr="00165E35" w:rsidRDefault="00586863" w:rsidP="0099548F">
            <w:pPr>
              <w:keepNext/>
              <w:tabs>
                <w:tab w:val="decimal" w:pos="534"/>
              </w:tabs>
              <w:spacing w:after="0" w:line="240" w:lineRule="auto"/>
              <w:rPr>
                <w:rFonts w:eastAsia="Times New Roman" w:cs="Times New Roman"/>
                <w:color w:val="000000"/>
                <w:sz w:val="16"/>
                <w:szCs w:val="16"/>
              </w:rPr>
            </w:pPr>
            <w:r w:rsidRPr="00165E35">
              <w:rPr>
                <w:rFonts w:eastAsia="Times New Roman" w:cs="Times New Roman"/>
                <w:color w:val="000000"/>
                <w:sz w:val="16"/>
                <w:szCs w:val="16"/>
              </w:rPr>
              <w:t>0.646</w:t>
            </w:r>
          </w:p>
        </w:tc>
        <w:tc>
          <w:tcPr>
            <w:tcW w:w="688" w:type="pct"/>
            <w:vAlign w:val="bottom"/>
          </w:tcPr>
          <w:p w:rsidR="00586863" w:rsidRPr="00165E35" w:rsidRDefault="00586863" w:rsidP="0099548F">
            <w:pPr>
              <w:keepNext/>
              <w:tabs>
                <w:tab w:val="decimal" w:pos="534"/>
              </w:tabs>
              <w:spacing w:after="0" w:line="240" w:lineRule="auto"/>
              <w:rPr>
                <w:rFonts w:eastAsia="Times New Roman" w:cs="Times New Roman"/>
                <w:color w:val="000000"/>
                <w:sz w:val="16"/>
                <w:szCs w:val="16"/>
              </w:rPr>
            </w:pPr>
            <w:r w:rsidRPr="00165E35">
              <w:rPr>
                <w:rFonts w:eastAsia="Times New Roman" w:cs="Times New Roman"/>
                <w:color w:val="000000"/>
                <w:sz w:val="16"/>
                <w:szCs w:val="16"/>
              </w:rPr>
              <w:t>0.559</w:t>
            </w:r>
          </w:p>
        </w:tc>
        <w:tc>
          <w:tcPr>
            <w:tcW w:w="687" w:type="pct"/>
            <w:vAlign w:val="bottom"/>
          </w:tcPr>
          <w:p w:rsidR="00586863" w:rsidRPr="00165E35" w:rsidRDefault="00586863" w:rsidP="0099548F">
            <w:pPr>
              <w:keepNext/>
              <w:tabs>
                <w:tab w:val="decimal" w:pos="534"/>
              </w:tabs>
              <w:spacing w:after="0" w:line="240" w:lineRule="auto"/>
              <w:rPr>
                <w:rFonts w:eastAsia="Times New Roman" w:cs="Times New Roman"/>
                <w:color w:val="000000"/>
                <w:sz w:val="16"/>
                <w:szCs w:val="16"/>
              </w:rPr>
            </w:pPr>
            <w:r w:rsidRPr="00165E35">
              <w:rPr>
                <w:rFonts w:eastAsia="Times New Roman" w:cs="Times New Roman"/>
                <w:color w:val="000000"/>
                <w:sz w:val="16"/>
                <w:szCs w:val="16"/>
              </w:rPr>
              <w:t>0.000</w:t>
            </w:r>
          </w:p>
        </w:tc>
        <w:tc>
          <w:tcPr>
            <w:tcW w:w="688" w:type="pct"/>
            <w:vAlign w:val="bottom"/>
          </w:tcPr>
          <w:p w:rsidR="00586863" w:rsidRPr="00165E35" w:rsidRDefault="00586863" w:rsidP="0099548F">
            <w:pPr>
              <w:keepNext/>
              <w:tabs>
                <w:tab w:val="decimal" w:pos="534"/>
              </w:tabs>
              <w:spacing w:after="0" w:line="240" w:lineRule="auto"/>
              <w:rPr>
                <w:rFonts w:eastAsia="Times New Roman" w:cs="Times New Roman"/>
                <w:color w:val="000000"/>
                <w:sz w:val="16"/>
                <w:szCs w:val="16"/>
              </w:rPr>
            </w:pPr>
            <w:r w:rsidRPr="00165E35">
              <w:rPr>
                <w:rFonts w:eastAsia="Times New Roman" w:cs="Times New Roman"/>
                <w:color w:val="000000"/>
                <w:sz w:val="16"/>
                <w:szCs w:val="16"/>
              </w:rPr>
              <w:t>2.598</w:t>
            </w:r>
          </w:p>
        </w:tc>
      </w:tr>
      <w:tr w:rsidR="0089728D" w:rsidRPr="00165E35" w:rsidTr="00165E35">
        <w:trPr>
          <w:trHeight w:val="20"/>
        </w:trPr>
        <w:tc>
          <w:tcPr>
            <w:tcW w:w="2249" w:type="pct"/>
            <w:shd w:val="clear" w:color="auto" w:fill="auto"/>
            <w:noWrap/>
            <w:vAlign w:val="bottom"/>
            <w:hideMark/>
          </w:tcPr>
          <w:p w:rsidR="00586863" w:rsidRPr="00DF59FE" w:rsidRDefault="00586863" w:rsidP="0099548F">
            <w:pPr>
              <w:keepNext/>
              <w:spacing w:after="0" w:line="240" w:lineRule="auto"/>
              <w:rPr>
                <w:rFonts w:eastAsia="Times New Roman" w:cs="Times New Roman"/>
                <w:i/>
                <w:caps/>
                <w:color w:val="000000"/>
                <w:sz w:val="16"/>
                <w:szCs w:val="16"/>
              </w:rPr>
            </w:pPr>
            <w:r w:rsidRPr="00DF59FE">
              <w:rPr>
                <w:rFonts w:eastAsia="Times New Roman" w:cs="Times New Roman"/>
                <w:i/>
                <w:caps/>
                <w:color w:val="000000"/>
                <w:sz w:val="16"/>
                <w:szCs w:val="16"/>
              </w:rPr>
              <w:t>Combined points per game</w:t>
            </w:r>
          </w:p>
        </w:tc>
        <w:tc>
          <w:tcPr>
            <w:tcW w:w="687" w:type="pct"/>
            <w:vAlign w:val="bottom"/>
          </w:tcPr>
          <w:p w:rsidR="00586863" w:rsidRPr="00165E35" w:rsidRDefault="00586863" w:rsidP="0099548F">
            <w:pPr>
              <w:keepNext/>
              <w:tabs>
                <w:tab w:val="decimal" w:pos="534"/>
              </w:tabs>
              <w:spacing w:after="0" w:line="240" w:lineRule="auto"/>
              <w:rPr>
                <w:rFonts w:eastAsia="Times New Roman" w:cs="Times New Roman"/>
                <w:color w:val="000000"/>
                <w:sz w:val="16"/>
                <w:szCs w:val="16"/>
              </w:rPr>
            </w:pPr>
            <w:r w:rsidRPr="00165E35">
              <w:rPr>
                <w:rFonts w:eastAsia="Times New Roman" w:cs="Times New Roman"/>
                <w:color w:val="000000"/>
                <w:sz w:val="16"/>
                <w:szCs w:val="16"/>
              </w:rPr>
              <w:t>3.104</w:t>
            </w:r>
          </w:p>
        </w:tc>
        <w:tc>
          <w:tcPr>
            <w:tcW w:w="688" w:type="pct"/>
            <w:vAlign w:val="bottom"/>
          </w:tcPr>
          <w:p w:rsidR="00586863" w:rsidRPr="00165E35" w:rsidRDefault="00586863" w:rsidP="0099548F">
            <w:pPr>
              <w:keepNext/>
              <w:tabs>
                <w:tab w:val="decimal" w:pos="534"/>
              </w:tabs>
              <w:spacing w:after="0" w:line="240" w:lineRule="auto"/>
              <w:rPr>
                <w:rFonts w:eastAsia="Times New Roman" w:cs="Times New Roman"/>
                <w:color w:val="000000"/>
                <w:sz w:val="16"/>
                <w:szCs w:val="16"/>
              </w:rPr>
            </w:pPr>
            <w:r w:rsidRPr="00165E35">
              <w:rPr>
                <w:rFonts w:eastAsia="Times New Roman" w:cs="Times New Roman"/>
                <w:color w:val="000000"/>
                <w:sz w:val="16"/>
                <w:szCs w:val="16"/>
              </w:rPr>
              <w:t>0.815</w:t>
            </w:r>
          </w:p>
        </w:tc>
        <w:tc>
          <w:tcPr>
            <w:tcW w:w="687" w:type="pct"/>
            <w:vAlign w:val="bottom"/>
          </w:tcPr>
          <w:p w:rsidR="00586863" w:rsidRPr="00165E35" w:rsidRDefault="00586863" w:rsidP="0099548F">
            <w:pPr>
              <w:keepNext/>
              <w:tabs>
                <w:tab w:val="decimal" w:pos="534"/>
              </w:tabs>
              <w:spacing w:after="0" w:line="240" w:lineRule="auto"/>
              <w:rPr>
                <w:rFonts w:eastAsia="Times New Roman" w:cs="Times New Roman"/>
                <w:color w:val="000000"/>
                <w:sz w:val="16"/>
                <w:szCs w:val="16"/>
              </w:rPr>
            </w:pPr>
            <w:r w:rsidRPr="00165E35">
              <w:rPr>
                <w:rFonts w:eastAsia="Times New Roman" w:cs="Times New Roman"/>
                <w:color w:val="000000"/>
                <w:sz w:val="16"/>
                <w:szCs w:val="16"/>
              </w:rPr>
              <w:t>0</w:t>
            </w:r>
          </w:p>
        </w:tc>
        <w:tc>
          <w:tcPr>
            <w:tcW w:w="688" w:type="pct"/>
            <w:vAlign w:val="bottom"/>
          </w:tcPr>
          <w:p w:rsidR="00586863" w:rsidRPr="00165E35" w:rsidRDefault="00586863" w:rsidP="0099548F">
            <w:pPr>
              <w:keepNext/>
              <w:tabs>
                <w:tab w:val="decimal" w:pos="534"/>
              </w:tabs>
              <w:spacing w:after="0" w:line="240" w:lineRule="auto"/>
              <w:rPr>
                <w:rFonts w:eastAsia="Times New Roman" w:cs="Times New Roman"/>
                <w:color w:val="000000"/>
                <w:sz w:val="16"/>
                <w:szCs w:val="16"/>
              </w:rPr>
            </w:pPr>
            <w:r w:rsidRPr="00165E35">
              <w:rPr>
                <w:rFonts w:eastAsia="Times New Roman" w:cs="Times New Roman"/>
                <w:color w:val="000000"/>
                <w:sz w:val="16"/>
                <w:szCs w:val="16"/>
              </w:rPr>
              <w:t>6</w:t>
            </w:r>
          </w:p>
        </w:tc>
      </w:tr>
      <w:tr w:rsidR="0089728D" w:rsidRPr="00165E35" w:rsidTr="00165E35">
        <w:trPr>
          <w:trHeight w:val="20"/>
        </w:trPr>
        <w:tc>
          <w:tcPr>
            <w:tcW w:w="2249" w:type="pct"/>
            <w:shd w:val="clear" w:color="auto" w:fill="auto"/>
            <w:noWrap/>
            <w:vAlign w:val="bottom"/>
            <w:hideMark/>
          </w:tcPr>
          <w:p w:rsidR="00586863" w:rsidRPr="00DF59FE" w:rsidRDefault="00586863" w:rsidP="0099548F">
            <w:pPr>
              <w:keepNext/>
              <w:spacing w:after="0" w:line="240" w:lineRule="auto"/>
              <w:rPr>
                <w:rFonts w:eastAsia="Times New Roman" w:cs="Times New Roman"/>
                <w:i/>
                <w:caps/>
                <w:color w:val="000000"/>
                <w:sz w:val="16"/>
                <w:szCs w:val="16"/>
              </w:rPr>
            </w:pPr>
            <w:r w:rsidRPr="00DF59FE">
              <w:rPr>
                <w:rFonts w:eastAsia="Times New Roman" w:cs="Times New Roman"/>
                <w:i/>
                <w:caps/>
                <w:color w:val="000000"/>
                <w:sz w:val="16"/>
                <w:szCs w:val="16"/>
              </w:rPr>
              <w:t>Absolute difference in points per game</w:t>
            </w:r>
          </w:p>
        </w:tc>
        <w:tc>
          <w:tcPr>
            <w:tcW w:w="687" w:type="pct"/>
            <w:vAlign w:val="bottom"/>
          </w:tcPr>
          <w:p w:rsidR="00586863" w:rsidRPr="00165E35" w:rsidRDefault="00586863" w:rsidP="0099548F">
            <w:pPr>
              <w:keepNext/>
              <w:tabs>
                <w:tab w:val="decimal" w:pos="534"/>
              </w:tabs>
              <w:spacing w:after="0" w:line="240" w:lineRule="auto"/>
              <w:rPr>
                <w:rFonts w:eastAsia="Times New Roman" w:cs="Times New Roman"/>
                <w:color w:val="000000"/>
                <w:sz w:val="16"/>
                <w:szCs w:val="16"/>
              </w:rPr>
            </w:pPr>
            <w:r w:rsidRPr="00165E35">
              <w:rPr>
                <w:rFonts w:eastAsia="Times New Roman" w:cs="Times New Roman"/>
                <w:color w:val="000000"/>
                <w:sz w:val="16"/>
                <w:szCs w:val="16"/>
              </w:rPr>
              <w:t>0.658</w:t>
            </w:r>
          </w:p>
        </w:tc>
        <w:tc>
          <w:tcPr>
            <w:tcW w:w="688" w:type="pct"/>
            <w:vAlign w:val="bottom"/>
          </w:tcPr>
          <w:p w:rsidR="00586863" w:rsidRPr="00165E35" w:rsidRDefault="00586863" w:rsidP="0099548F">
            <w:pPr>
              <w:keepNext/>
              <w:tabs>
                <w:tab w:val="decimal" w:pos="534"/>
              </w:tabs>
              <w:spacing w:after="0" w:line="240" w:lineRule="auto"/>
              <w:rPr>
                <w:rFonts w:eastAsia="Times New Roman" w:cs="Times New Roman"/>
                <w:color w:val="000000"/>
                <w:sz w:val="16"/>
                <w:szCs w:val="16"/>
              </w:rPr>
            </w:pPr>
            <w:r w:rsidRPr="00165E35">
              <w:rPr>
                <w:rFonts w:eastAsia="Times New Roman" w:cs="Times New Roman"/>
                <w:color w:val="000000"/>
                <w:sz w:val="16"/>
                <w:szCs w:val="16"/>
              </w:rPr>
              <w:t>0.525</w:t>
            </w:r>
          </w:p>
        </w:tc>
        <w:tc>
          <w:tcPr>
            <w:tcW w:w="687" w:type="pct"/>
            <w:vAlign w:val="bottom"/>
          </w:tcPr>
          <w:p w:rsidR="00586863" w:rsidRPr="00165E35" w:rsidRDefault="00586863" w:rsidP="0099548F">
            <w:pPr>
              <w:keepNext/>
              <w:tabs>
                <w:tab w:val="decimal" w:pos="534"/>
              </w:tabs>
              <w:spacing w:after="0" w:line="240" w:lineRule="auto"/>
              <w:rPr>
                <w:rFonts w:eastAsia="Times New Roman" w:cs="Times New Roman"/>
                <w:color w:val="000000"/>
                <w:sz w:val="16"/>
                <w:szCs w:val="16"/>
              </w:rPr>
            </w:pPr>
            <w:r w:rsidRPr="00165E35">
              <w:rPr>
                <w:rFonts w:eastAsia="Times New Roman" w:cs="Times New Roman"/>
                <w:color w:val="000000"/>
                <w:sz w:val="16"/>
                <w:szCs w:val="16"/>
              </w:rPr>
              <w:t>0</w:t>
            </w:r>
          </w:p>
        </w:tc>
        <w:tc>
          <w:tcPr>
            <w:tcW w:w="688" w:type="pct"/>
            <w:vAlign w:val="bottom"/>
          </w:tcPr>
          <w:p w:rsidR="00586863" w:rsidRPr="00165E35" w:rsidRDefault="00586863" w:rsidP="0099548F">
            <w:pPr>
              <w:keepNext/>
              <w:tabs>
                <w:tab w:val="decimal" w:pos="534"/>
              </w:tabs>
              <w:spacing w:after="0" w:line="240" w:lineRule="auto"/>
              <w:rPr>
                <w:rFonts w:eastAsia="Times New Roman" w:cs="Times New Roman"/>
                <w:color w:val="000000"/>
                <w:sz w:val="16"/>
                <w:szCs w:val="16"/>
              </w:rPr>
            </w:pPr>
            <w:r w:rsidRPr="00165E35">
              <w:rPr>
                <w:rFonts w:eastAsia="Times New Roman" w:cs="Times New Roman"/>
                <w:color w:val="000000"/>
                <w:sz w:val="16"/>
                <w:szCs w:val="16"/>
              </w:rPr>
              <w:t>3</w:t>
            </w:r>
          </w:p>
        </w:tc>
      </w:tr>
      <w:tr w:rsidR="0089728D" w:rsidRPr="00165E35" w:rsidTr="00165E35">
        <w:trPr>
          <w:trHeight w:val="20"/>
        </w:trPr>
        <w:tc>
          <w:tcPr>
            <w:tcW w:w="2249" w:type="pct"/>
            <w:shd w:val="clear" w:color="auto" w:fill="auto"/>
            <w:noWrap/>
          </w:tcPr>
          <w:p w:rsidR="00586863" w:rsidRPr="00DF59FE" w:rsidRDefault="00586863" w:rsidP="0099548F">
            <w:pPr>
              <w:keepNext/>
              <w:widowControl w:val="0"/>
              <w:autoSpaceDE w:val="0"/>
              <w:autoSpaceDN w:val="0"/>
              <w:adjustRightInd w:val="0"/>
              <w:spacing w:after="0" w:line="240" w:lineRule="auto"/>
              <w:rPr>
                <w:rFonts w:cs="Times New Roman"/>
                <w:i/>
                <w:caps/>
                <w:sz w:val="16"/>
                <w:szCs w:val="16"/>
              </w:rPr>
            </w:pPr>
            <w:r w:rsidRPr="00DF59FE">
              <w:rPr>
                <w:rFonts w:cs="Times New Roman"/>
                <w:i/>
                <w:caps/>
                <w:sz w:val="16"/>
                <w:szCs w:val="16"/>
              </w:rPr>
              <w:t>Champion contention</w:t>
            </w:r>
          </w:p>
        </w:tc>
        <w:tc>
          <w:tcPr>
            <w:tcW w:w="687" w:type="pct"/>
            <w:vAlign w:val="bottom"/>
          </w:tcPr>
          <w:p w:rsidR="00586863" w:rsidRPr="00165E35" w:rsidRDefault="00586863" w:rsidP="0099548F">
            <w:pPr>
              <w:keepNext/>
              <w:tabs>
                <w:tab w:val="decimal" w:pos="534"/>
              </w:tabs>
              <w:spacing w:after="0" w:line="240" w:lineRule="auto"/>
              <w:rPr>
                <w:rFonts w:ascii="Calibri" w:hAnsi="Calibri"/>
                <w:color w:val="000000"/>
                <w:sz w:val="16"/>
                <w:szCs w:val="16"/>
              </w:rPr>
            </w:pPr>
            <w:r w:rsidRPr="00165E35">
              <w:rPr>
                <w:rFonts w:ascii="Calibri" w:hAnsi="Calibri"/>
                <w:color w:val="000000"/>
                <w:sz w:val="16"/>
                <w:szCs w:val="16"/>
              </w:rPr>
              <w:t>0.187</w:t>
            </w:r>
          </w:p>
        </w:tc>
        <w:tc>
          <w:tcPr>
            <w:tcW w:w="688" w:type="pct"/>
            <w:vAlign w:val="bottom"/>
          </w:tcPr>
          <w:p w:rsidR="00586863" w:rsidRPr="00165E35" w:rsidRDefault="00586863" w:rsidP="0099548F">
            <w:pPr>
              <w:keepNext/>
              <w:tabs>
                <w:tab w:val="decimal" w:pos="534"/>
              </w:tabs>
              <w:spacing w:after="0" w:line="240" w:lineRule="auto"/>
              <w:rPr>
                <w:rFonts w:ascii="Calibri" w:hAnsi="Calibri"/>
                <w:color w:val="000000"/>
                <w:sz w:val="16"/>
                <w:szCs w:val="16"/>
              </w:rPr>
            </w:pPr>
            <w:r w:rsidRPr="00165E35">
              <w:rPr>
                <w:rFonts w:ascii="Calibri" w:hAnsi="Calibri"/>
                <w:color w:val="000000"/>
                <w:sz w:val="16"/>
                <w:szCs w:val="16"/>
              </w:rPr>
              <w:t>0.390</w:t>
            </w:r>
          </w:p>
        </w:tc>
        <w:tc>
          <w:tcPr>
            <w:tcW w:w="687" w:type="pct"/>
            <w:vAlign w:val="bottom"/>
          </w:tcPr>
          <w:p w:rsidR="00586863" w:rsidRPr="00165E35" w:rsidRDefault="00586863" w:rsidP="0099548F">
            <w:pPr>
              <w:keepNext/>
              <w:tabs>
                <w:tab w:val="decimal" w:pos="534"/>
              </w:tabs>
              <w:spacing w:after="0" w:line="240" w:lineRule="auto"/>
              <w:rPr>
                <w:rFonts w:eastAsia="Times New Roman" w:cs="Times New Roman"/>
                <w:color w:val="000000"/>
                <w:sz w:val="16"/>
                <w:szCs w:val="16"/>
              </w:rPr>
            </w:pPr>
            <w:r w:rsidRPr="00165E35">
              <w:rPr>
                <w:rFonts w:eastAsia="Times New Roman" w:cs="Times New Roman"/>
                <w:color w:val="000000"/>
                <w:sz w:val="16"/>
                <w:szCs w:val="16"/>
              </w:rPr>
              <w:t>0</w:t>
            </w:r>
          </w:p>
        </w:tc>
        <w:tc>
          <w:tcPr>
            <w:tcW w:w="688" w:type="pct"/>
            <w:vAlign w:val="bottom"/>
          </w:tcPr>
          <w:p w:rsidR="00586863" w:rsidRPr="00165E35" w:rsidRDefault="00586863" w:rsidP="0099548F">
            <w:pPr>
              <w:keepNext/>
              <w:tabs>
                <w:tab w:val="decimal" w:pos="534"/>
              </w:tabs>
              <w:spacing w:after="0" w:line="240" w:lineRule="auto"/>
              <w:rPr>
                <w:rFonts w:eastAsia="Times New Roman" w:cs="Times New Roman"/>
                <w:color w:val="000000"/>
                <w:sz w:val="16"/>
                <w:szCs w:val="16"/>
              </w:rPr>
            </w:pPr>
            <w:r w:rsidRPr="00165E35">
              <w:rPr>
                <w:rFonts w:eastAsia="Times New Roman" w:cs="Times New Roman"/>
                <w:color w:val="000000"/>
                <w:sz w:val="16"/>
                <w:szCs w:val="16"/>
              </w:rPr>
              <w:t>1</w:t>
            </w:r>
          </w:p>
        </w:tc>
      </w:tr>
      <w:tr w:rsidR="0089728D" w:rsidRPr="00165E35" w:rsidTr="00165E35">
        <w:trPr>
          <w:trHeight w:val="20"/>
        </w:trPr>
        <w:tc>
          <w:tcPr>
            <w:tcW w:w="2249" w:type="pct"/>
            <w:shd w:val="clear" w:color="auto" w:fill="auto"/>
            <w:noWrap/>
          </w:tcPr>
          <w:p w:rsidR="00586863" w:rsidRPr="00DF59FE" w:rsidRDefault="00586863" w:rsidP="0099548F">
            <w:pPr>
              <w:keepNext/>
              <w:widowControl w:val="0"/>
              <w:autoSpaceDE w:val="0"/>
              <w:autoSpaceDN w:val="0"/>
              <w:adjustRightInd w:val="0"/>
              <w:spacing w:after="0" w:line="240" w:lineRule="auto"/>
              <w:rPr>
                <w:rFonts w:cs="Times New Roman"/>
                <w:i/>
                <w:caps/>
                <w:sz w:val="16"/>
                <w:szCs w:val="16"/>
              </w:rPr>
            </w:pPr>
            <w:r w:rsidRPr="00DF59FE">
              <w:rPr>
                <w:rFonts w:cs="Times New Roman"/>
                <w:i/>
                <w:caps/>
                <w:sz w:val="16"/>
                <w:szCs w:val="16"/>
              </w:rPr>
              <w:t>Europe contention</w:t>
            </w:r>
          </w:p>
        </w:tc>
        <w:tc>
          <w:tcPr>
            <w:tcW w:w="687" w:type="pct"/>
            <w:vAlign w:val="bottom"/>
          </w:tcPr>
          <w:p w:rsidR="00586863" w:rsidRPr="00165E35" w:rsidRDefault="00586863" w:rsidP="0099548F">
            <w:pPr>
              <w:keepNext/>
              <w:tabs>
                <w:tab w:val="decimal" w:pos="534"/>
              </w:tabs>
              <w:spacing w:after="0" w:line="240" w:lineRule="auto"/>
              <w:rPr>
                <w:rFonts w:ascii="Calibri" w:hAnsi="Calibri"/>
                <w:color w:val="000000"/>
                <w:sz w:val="16"/>
                <w:szCs w:val="16"/>
              </w:rPr>
            </w:pPr>
            <w:r w:rsidRPr="00165E35">
              <w:rPr>
                <w:rFonts w:ascii="Calibri" w:hAnsi="Calibri"/>
                <w:color w:val="000000"/>
                <w:sz w:val="16"/>
                <w:szCs w:val="16"/>
              </w:rPr>
              <w:t>0.160</w:t>
            </w:r>
          </w:p>
        </w:tc>
        <w:tc>
          <w:tcPr>
            <w:tcW w:w="688" w:type="pct"/>
            <w:vAlign w:val="bottom"/>
          </w:tcPr>
          <w:p w:rsidR="00586863" w:rsidRPr="00165E35" w:rsidRDefault="00586863" w:rsidP="0099548F">
            <w:pPr>
              <w:keepNext/>
              <w:tabs>
                <w:tab w:val="decimal" w:pos="534"/>
              </w:tabs>
              <w:spacing w:after="0" w:line="240" w:lineRule="auto"/>
              <w:rPr>
                <w:rFonts w:ascii="Calibri" w:hAnsi="Calibri"/>
                <w:color w:val="000000"/>
                <w:sz w:val="16"/>
                <w:szCs w:val="16"/>
              </w:rPr>
            </w:pPr>
            <w:r w:rsidRPr="00165E35">
              <w:rPr>
                <w:rFonts w:ascii="Calibri" w:hAnsi="Calibri"/>
                <w:color w:val="000000"/>
                <w:sz w:val="16"/>
                <w:szCs w:val="16"/>
              </w:rPr>
              <w:t>0.367</w:t>
            </w:r>
          </w:p>
        </w:tc>
        <w:tc>
          <w:tcPr>
            <w:tcW w:w="687" w:type="pct"/>
            <w:vAlign w:val="bottom"/>
          </w:tcPr>
          <w:p w:rsidR="00586863" w:rsidRPr="00165E35" w:rsidRDefault="00586863" w:rsidP="0099548F">
            <w:pPr>
              <w:keepNext/>
              <w:tabs>
                <w:tab w:val="decimal" w:pos="534"/>
              </w:tabs>
              <w:spacing w:after="0" w:line="240" w:lineRule="auto"/>
              <w:rPr>
                <w:rFonts w:eastAsia="Times New Roman" w:cs="Times New Roman"/>
                <w:color w:val="000000"/>
                <w:sz w:val="16"/>
                <w:szCs w:val="16"/>
              </w:rPr>
            </w:pPr>
            <w:r w:rsidRPr="00165E35">
              <w:rPr>
                <w:rFonts w:eastAsia="Times New Roman" w:cs="Times New Roman"/>
                <w:color w:val="000000"/>
                <w:sz w:val="16"/>
                <w:szCs w:val="16"/>
              </w:rPr>
              <w:t>0</w:t>
            </w:r>
          </w:p>
        </w:tc>
        <w:tc>
          <w:tcPr>
            <w:tcW w:w="688" w:type="pct"/>
            <w:vAlign w:val="bottom"/>
          </w:tcPr>
          <w:p w:rsidR="00586863" w:rsidRPr="00165E35" w:rsidRDefault="00586863" w:rsidP="0099548F">
            <w:pPr>
              <w:keepNext/>
              <w:tabs>
                <w:tab w:val="decimal" w:pos="534"/>
              </w:tabs>
              <w:spacing w:after="0" w:line="240" w:lineRule="auto"/>
              <w:rPr>
                <w:rFonts w:eastAsia="Times New Roman" w:cs="Times New Roman"/>
                <w:color w:val="000000"/>
                <w:sz w:val="16"/>
                <w:szCs w:val="16"/>
              </w:rPr>
            </w:pPr>
            <w:r w:rsidRPr="00165E35">
              <w:rPr>
                <w:rFonts w:eastAsia="Times New Roman" w:cs="Times New Roman"/>
                <w:color w:val="000000"/>
                <w:sz w:val="16"/>
                <w:szCs w:val="16"/>
              </w:rPr>
              <w:t>1</w:t>
            </w:r>
          </w:p>
        </w:tc>
      </w:tr>
      <w:tr w:rsidR="0089728D" w:rsidRPr="00165E35" w:rsidTr="00165E35">
        <w:trPr>
          <w:trHeight w:val="20"/>
        </w:trPr>
        <w:tc>
          <w:tcPr>
            <w:tcW w:w="2249" w:type="pct"/>
            <w:shd w:val="clear" w:color="auto" w:fill="auto"/>
            <w:noWrap/>
          </w:tcPr>
          <w:p w:rsidR="00586863" w:rsidRPr="00DF59FE" w:rsidRDefault="00586863" w:rsidP="0099548F">
            <w:pPr>
              <w:keepNext/>
              <w:widowControl w:val="0"/>
              <w:autoSpaceDE w:val="0"/>
              <w:autoSpaceDN w:val="0"/>
              <w:adjustRightInd w:val="0"/>
              <w:spacing w:after="0" w:line="240" w:lineRule="auto"/>
              <w:rPr>
                <w:rFonts w:cs="Times New Roman"/>
                <w:i/>
                <w:caps/>
                <w:sz w:val="16"/>
                <w:szCs w:val="16"/>
              </w:rPr>
            </w:pPr>
            <w:r w:rsidRPr="00DF59FE">
              <w:rPr>
                <w:rFonts w:cs="Times New Roman"/>
                <w:i/>
                <w:caps/>
                <w:sz w:val="16"/>
                <w:szCs w:val="16"/>
              </w:rPr>
              <w:t>Relegation contention</w:t>
            </w:r>
          </w:p>
        </w:tc>
        <w:tc>
          <w:tcPr>
            <w:tcW w:w="687" w:type="pct"/>
            <w:vAlign w:val="bottom"/>
          </w:tcPr>
          <w:p w:rsidR="00586863" w:rsidRPr="00165E35" w:rsidRDefault="00586863" w:rsidP="0099548F">
            <w:pPr>
              <w:keepNext/>
              <w:tabs>
                <w:tab w:val="decimal" w:pos="534"/>
              </w:tabs>
              <w:spacing w:after="0" w:line="240" w:lineRule="auto"/>
              <w:rPr>
                <w:rFonts w:ascii="Calibri" w:hAnsi="Calibri"/>
                <w:color w:val="000000"/>
                <w:sz w:val="16"/>
                <w:szCs w:val="16"/>
              </w:rPr>
            </w:pPr>
            <w:r w:rsidRPr="00165E35">
              <w:rPr>
                <w:rFonts w:ascii="Calibri" w:hAnsi="Calibri"/>
                <w:color w:val="000000"/>
                <w:sz w:val="16"/>
                <w:szCs w:val="16"/>
              </w:rPr>
              <w:t>0.179</w:t>
            </w:r>
          </w:p>
        </w:tc>
        <w:tc>
          <w:tcPr>
            <w:tcW w:w="688" w:type="pct"/>
            <w:vAlign w:val="bottom"/>
          </w:tcPr>
          <w:p w:rsidR="00586863" w:rsidRPr="00165E35" w:rsidRDefault="00586863" w:rsidP="0099548F">
            <w:pPr>
              <w:keepNext/>
              <w:tabs>
                <w:tab w:val="decimal" w:pos="534"/>
              </w:tabs>
              <w:spacing w:after="0" w:line="240" w:lineRule="auto"/>
              <w:rPr>
                <w:rFonts w:ascii="Calibri" w:hAnsi="Calibri"/>
                <w:color w:val="000000"/>
                <w:sz w:val="16"/>
                <w:szCs w:val="16"/>
              </w:rPr>
            </w:pPr>
            <w:r w:rsidRPr="00165E35">
              <w:rPr>
                <w:rFonts w:ascii="Calibri" w:hAnsi="Calibri"/>
                <w:color w:val="000000"/>
                <w:sz w:val="16"/>
                <w:szCs w:val="16"/>
              </w:rPr>
              <w:t>0.384</w:t>
            </w:r>
          </w:p>
        </w:tc>
        <w:tc>
          <w:tcPr>
            <w:tcW w:w="687" w:type="pct"/>
            <w:vAlign w:val="bottom"/>
          </w:tcPr>
          <w:p w:rsidR="00586863" w:rsidRPr="00165E35" w:rsidRDefault="00586863" w:rsidP="0099548F">
            <w:pPr>
              <w:keepNext/>
              <w:tabs>
                <w:tab w:val="decimal" w:pos="534"/>
              </w:tabs>
              <w:spacing w:after="0" w:line="240" w:lineRule="auto"/>
              <w:rPr>
                <w:rFonts w:eastAsia="Times New Roman" w:cs="Times New Roman"/>
                <w:color w:val="000000"/>
                <w:sz w:val="16"/>
                <w:szCs w:val="16"/>
              </w:rPr>
            </w:pPr>
            <w:r w:rsidRPr="00165E35">
              <w:rPr>
                <w:rFonts w:eastAsia="Times New Roman" w:cs="Times New Roman"/>
                <w:color w:val="000000"/>
                <w:sz w:val="16"/>
                <w:szCs w:val="16"/>
              </w:rPr>
              <w:t>0</w:t>
            </w:r>
          </w:p>
        </w:tc>
        <w:tc>
          <w:tcPr>
            <w:tcW w:w="688" w:type="pct"/>
            <w:vAlign w:val="bottom"/>
          </w:tcPr>
          <w:p w:rsidR="00586863" w:rsidRPr="00165E35" w:rsidRDefault="00586863" w:rsidP="0099548F">
            <w:pPr>
              <w:keepNext/>
              <w:tabs>
                <w:tab w:val="decimal" w:pos="534"/>
              </w:tabs>
              <w:spacing w:after="0" w:line="240" w:lineRule="auto"/>
              <w:rPr>
                <w:rFonts w:eastAsia="Times New Roman" w:cs="Times New Roman"/>
                <w:color w:val="000000"/>
                <w:sz w:val="16"/>
                <w:szCs w:val="16"/>
              </w:rPr>
            </w:pPr>
            <w:r w:rsidRPr="00165E35">
              <w:rPr>
                <w:rFonts w:eastAsia="Times New Roman" w:cs="Times New Roman"/>
                <w:color w:val="000000"/>
                <w:sz w:val="16"/>
                <w:szCs w:val="16"/>
              </w:rPr>
              <w:t>1</w:t>
            </w:r>
          </w:p>
        </w:tc>
      </w:tr>
      <w:tr w:rsidR="003F6BF5" w:rsidRPr="00165E35" w:rsidTr="00165E35">
        <w:trPr>
          <w:trHeight w:val="20"/>
        </w:trPr>
        <w:tc>
          <w:tcPr>
            <w:tcW w:w="2249" w:type="pct"/>
            <w:shd w:val="clear" w:color="auto" w:fill="auto"/>
            <w:noWrap/>
            <w:vAlign w:val="bottom"/>
          </w:tcPr>
          <w:p w:rsidR="003F6BF5" w:rsidRPr="00DF59FE" w:rsidRDefault="003F6BF5" w:rsidP="0099548F">
            <w:pPr>
              <w:keepNext/>
              <w:spacing w:after="0" w:line="240" w:lineRule="auto"/>
              <w:rPr>
                <w:rFonts w:eastAsia="Times New Roman" w:cs="Times New Roman"/>
                <w:i/>
                <w:caps/>
                <w:color w:val="000000"/>
                <w:sz w:val="16"/>
                <w:szCs w:val="16"/>
              </w:rPr>
            </w:pPr>
            <w:r w:rsidRPr="00DF59FE">
              <w:rPr>
                <w:rFonts w:eastAsia="Times New Roman" w:cs="Times New Roman"/>
                <w:i/>
                <w:caps/>
                <w:color w:val="000000"/>
                <w:sz w:val="16"/>
                <w:szCs w:val="16"/>
              </w:rPr>
              <w:t>SETANTA</w:t>
            </w:r>
          </w:p>
        </w:tc>
        <w:tc>
          <w:tcPr>
            <w:tcW w:w="687" w:type="pct"/>
            <w:vAlign w:val="bottom"/>
          </w:tcPr>
          <w:p w:rsidR="003F6BF5" w:rsidRPr="00165E35" w:rsidRDefault="003F6BF5" w:rsidP="003F6BF5">
            <w:pPr>
              <w:keepNext/>
              <w:tabs>
                <w:tab w:val="decimal" w:pos="534"/>
              </w:tabs>
              <w:spacing w:after="0" w:line="240" w:lineRule="auto"/>
              <w:rPr>
                <w:rFonts w:eastAsia="Times New Roman" w:cs="Times New Roman"/>
                <w:color w:val="000000"/>
                <w:sz w:val="16"/>
                <w:szCs w:val="16"/>
              </w:rPr>
            </w:pPr>
            <w:r w:rsidRPr="00165E35">
              <w:rPr>
                <w:rFonts w:eastAsia="Times New Roman" w:cs="Times New Roman"/>
                <w:color w:val="000000"/>
                <w:sz w:val="16"/>
                <w:szCs w:val="16"/>
              </w:rPr>
              <w:t>0.071</w:t>
            </w:r>
          </w:p>
        </w:tc>
        <w:tc>
          <w:tcPr>
            <w:tcW w:w="688" w:type="pct"/>
            <w:vAlign w:val="bottom"/>
          </w:tcPr>
          <w:p w:rsidR="003F6BF5" w:rsidRPr="00165E35" w:rsidRDefault="003F6BF5" w:rsidP="0099548F">
            <w:pPr>
              <w:keepNext/>
              <w:tabs>
                <w:tab w:val="decimal" w:pos="534"/>
              </w:tabs>
              <w:spacing w:after="0" w:line="240" w:lineRule="auto"/>
              <w:rPr>
                <w:rFonts w:eastAsia="Times New Roman" w:cs="Times New Roman"/>
                <w:color w:val="000000"/>
                <w:sz w:val="16"/>
                <w:szCs w:val="16"/>
              </w:rPr>
            </w:pPr>
            <w:r w:rsidRPr="00165E35">
              <w:rPr>
                <w:rFonts w:eastAsia="Times New Roman" w:cs="Times New Roman"/>
                <w:color w:val="000000"/>
                <w:sz w:val="16"/>
                <w:szCs w:val="16"/>
              </w:rPr>
              <w:t>0.258</w:t>
            </w:r>
          </w:p>
        </w:tc>
        <w:tc>
          <w:tcPr>
            <w:tcW w:w="687" w:type="pct"/>
            <w:vAlign w:val="bottom"/>
          </w:tcPr>
          <w:p w:rsidR="003F6BF5" w:rsidRPr="00165E35" w:rsidRDefault="003F6BF5" w:rsidP="0099548F">
            <w:pPr>
              <w:keepNext/>
              <w:tabs>
                <w:tab w:val="decimal" w:pos="534"/>
              </w:tabs>
              <w:spacing w:after="0" w:line="240" w:lineRule="auto"/>
              <w:rPr>
                <w:rFonts w:eastAsia="Times New Roman" w:cs="Times New Roman"/>
                <w:color w:val="000000"/>
                <w:sz w:val="16"/>
                <w:szCs w:val="16"/>
              </w:rPr>
            </w:pPr>
            <w:r w:rsidRPr="00165E35">
              <w:rPr>
                <w:rFonts w:eastAsia="Times New Roman" w:cs="Times New Roman"/>
                <w:color w:val="000000"/>
                <w:sz w:val="16"/>
                <w:szCs w:val="16"/>
              </w:rPr>
              <w:t>0</w:t>
            </w:r>
          </w:p>
        </w:tc>
        <w:tc>
          <w:tcPr>
            <w:tcW w:w="688" w:type="pct"/>
            <w:vAlign w:val="bottom"/>
          </w:tcPr>
          <w:p w:rsidR="003F6BF5" w:rsidRPr="00165E35" w:rsidRDefault="003F6BF5" w:rsidP="0099548F">
            <w:pPr>
              <w:keepNext/>
              <w:tabs>
                <w:tab w:val="decimal" w:pos="534"/>
              </w:tabs>
              <w:spacing w:after="0" w:line="240" w:lineRule="auto"/>
              <w:rPr>
                <w:rFonts w:eastAsia="Times New Roman" w:cs="Times New Roman"/>
                <w:color w:val="000000"/>
                <w:sz w:val="16"/>
                <w:szCs w:val="16"/>
              </w:rPr>
            </w:pPr>
            <w:r w:rsidRPr="00165E35">
              <w:rPr>
                <w:rFonts w:eastAsia="Times New Roman" w:cs="Times New Roman"/>
                <w:color w:val="000000"/>
                <w:sz w:val="16"/>
                <w:szCs w:val="16"/>
              </w:rPr>
              <w:t>1</w:t>
            </w:r>
          </w:p>
        </w:tc>
      </w:tr>
      <w:tr w:rsidR="0089728D" w:rsidRPr="00165E35" w:rsidTr="00165E35">
        <w:trPr>
          <w:trHeight w:val="20"/>
        </w:trPr>
        <w:tc>
          <w:tcPr>
            <w:tcW w:w="2249" w:type="pct"/>
            <w:shd w:val="clear" w:color="auto" w:fill="auto"/>
            <w:noWrap/>
            <w:vAlign w:val="bottom"/>
            <w:hideMark/>
          </w:tcPr>
          <w:p w:rsidR="00586863" w:rsidRPr="00DF59FE" w:rsidRDefault="00586863" w:rsidP="0099548F">
            <w:pPr>
              <w:keepNext/>
              <w:spacing w:after="0" w:line="240" w:lineRule="auto"/>
              <w:rPr>
                <w:rFonts w:eastAsia="Times New Roman" w:cs="Times New Roman"/>
                <w:i/>
                <w:caps/>
                <w:color w:val="000000"/>
                <w:sz w:val="16"/>
                <w:szCs w:val="16"/>
              </w:rPr>
            </w:pPr>
            <w:r w:rsidRPr="00DF59FE">
              <w:rPr>
                <w:rFonts w:eastAsia="Times New Roman" w:cs="Times New Roman"/>
                <w:i/>
                <w:caps/>
                <w:color w:val="000000"/>
                <w:sz w:val="16"/>
                <w:szCs w:val="16"/>
              </w:rPr>
              <w:t>Other matches</w:t>
            </w:r>
          </w:p>
        </w:tc>
        <w:tc>
          <w:tcPr>
            <w:tcW w:w="687" w:type="pct"/>
            <w:vAlign w:val="bottom"/>
          </w:tcPr>
          <w:p w:rsidR="00586863" w:rsidRPr="00165E35" w:rsidRDefault="00586863" w:rsidP="0099548F">
            <w:pPr>
              <w:keepNext/>
              <w:tabs>
                <w:tab w:val="decimal" w:pos="534"/>
              </w:tabs>
              <w:spacing w:after="0" w:line="240" w:lineRule="auto"/>
              <w:rPr>
                <w:rFonts w:eastAsia="Times New Roman" w:cs="Times New Roman"/>
                <w:color w:val="000000"/>
                <w:sz w:val="16"/>
                <w:szCs w:val="16"/>
              </w:rPr>
            </w:pPr>
            <w:r w:rsidRPr="00165E35">
              <w:rPr>
                <w:rFonts w:eastAsia="Times New Roman" w:cs="Times New Roman"/>
                <w:color w:val="000000"/>
                <w:sz w:val="16"/>
                <w:szCs w:val="16"/>
              </w:rPr>
              <w:t>0.025</w:t>
            </w:r>
          </w:p>
        </w:tc>
        <w:tc>
          <w:tcPr>
            <w:tcW w:w="688" w:type="pct"/>
            <w:vAlign w:val="bottom"/>
          </w:tcPr>
          <w:p w:rsidR="00586863" w:rsidRPr="00165E35" w:rsidRDefault="00586863" w:rsidP="0099548F">
            <w:pPr>
              <w:keepNext/>
              <w:tabs>
                <w:tab w:val="decimal" w:pos="534"/>
              </w:tabs>
              <w:spacing w:after="0" w:line="240" w:lineRule="auto"/>
              <w:rPr>
                <w:rFonts w:eastAsia="Times New Roman" w:cs="Times New Roman"/>
                <w:color w:val="000000"/>
                <w:sz w:val="16"/>
                <w:szCs w:val="16"/>
              </w:rPr>
            </w:pPr>
            <w:r w:rsidRPr="00165E35">
              <w:rPr>
                <w:rFonts w:eastAsia="Times New Roman" w:cs="Times New Roman"/>
                <w:color w:val="000000"/>
                <w:sz w:val="16"/>
                <w:szCs w:val="16"/>
              </w:rPr>
              <w:t>0.194</w:t>
            </w:r>
          </w:p>
        </w:tc>
        <w:tc>
          <w:tcPr>
            <w:tcW w:w="687" w:type="pct"/>
            <w:vAlign w:val="bottom"/>
          </w:tcPr>
          <w:p w:rsidR="00586863" w:rsidRPr="00165E35" w:rsidRDefault="00586863" w:rsidP="0099548F">
            <w:pPr>
              <w:keepNext/>
              <w:tabs>
                <w:tab w:val="decimal" w:pos="534"/>
              </w:tabs>
              <w:spacing w:after="0" w:line="240" w:lineRule="auto"/>
              <w:rPr>
                <w:rFonts w:eastAsia="Times New Roman" w:cs="Times New Roman"/>
                <w:color w:val="000000"/>
                <w:sz w:val="16"/>
                <w:szCs w:val="16"/>
              </w:rPr>
            </w:pPr>
            <w:r w:rsidRPr="00165E35">
              <w:rPr>
                <w:rFonts w:eastAsia="Times New Roman" w:cs="Times New Roman"/>
                <w:color w:val="000000"/>
                <w:sz w:val="16"/>
                <w:szCs w:val="16"/>
              </w:rPr>
              <w:t>0</w:t>
            </w:r>
          </w:p>
        </w:tc>
        <w:tc>
          <w:tcPr>
            <w:tcW w:w="688" w:type="pct"/>
            <w:vAlign w:val="bottom"/>
          </w:tcPr>
          <w:p w:rsidR="00586863" w:rsidRPr="00165E35" w:rsidRDefault="00586863" w:rsidP="0099548F">
            <w:pPr>
              <w:keepNext/>
              <w:tabs>
                <w:tab w:val="decimal" w:pos="534"/>
              </w:tabs>
              <w:spacing w:after="0" w:line="240" w:lineRule="auto"/>
              <w:rPr>
                <w:rFonts w:eastAsia="Times New Roman" w:cs="Times New Roman"/>
                <w:color w:val="000000"/>
                <w:sz w:val="16"/>
                <w:szCs w:val="16"/>
              </w:rPr>
            </w:pPr>
            <w:r w:rsidRPr="00165E35">
              <w:rPr>
                <w:rFonts w:eastAsia="Times New Roman" w:cs="Times New Roman"/>
                <w:color w:val="000000"/>
                <w:sz w:val="16"/>
                <w:szCs w:val="16"/>
              </w:rPr>
              <w:t>2</w:t>
            </w:r>
          </w:p>
        </w:tc>
      </w:tr>
      <w:tr w:rsidR="0089728D" w:rsidRPr="00165E35" w:rsidTr="00165E35">
        <w:trPr>
          <w:trHeight w:val="20"/>
        </w:trPr>
        <w:tc>
          <w:tcPr>
            <w:tcW w:w="2249" w:type="pct"/>
            <w:shd w:val="clear" w:color="auto" w:fill="auto"/>
            <w:noWrap/>
            <w:vAlign w:val="bottom"/>
            <w:hideMark/>
          </w:tcPr>
          <w:p w:rsidR="00586863" w:rsidRPr="00DF59FE" w:rsidRDefault="00586863" w:rsidP="0099548F">
            <w:pPr>
              <w:keepNext/>
              <w:spacing w:after="0" w:line="240" w:lineRule="auto"/>
              <w:rPr>
                <w:rFonts w:eastAsia="Times New Roman" w:cs="Times New Roman"/>
                <w:i/>
                <w:caps/>
                <w:color w:val="000000"/>
                <w:sz w:val="16"/>
                <w:szCs w:val="16"/>
              </w:rPr>
            </w:pPr>
            <w:r w:rsidRPr="00DF59FE">
              <w:rPr>
                <w:rFonts w:eastAsia="Times New Roman" w:cs="Times New Roman"/>
                <w:i/>
                <w:caps/>
                <w:color w:val="000000"/>
                <w:sz w:val="16"/>
                <w:szCs w:val="16"/>
              </w:rPr>
              <w:t>Derby</w:t>
            </w:r>
          </w:p>
        </w:tc>
        <w:tc>
          <w:tcPr>
            <w:tcW w:w="687" w:type="pct"/>
            <w:vAlign w:val="bottom"/>
          </w:tcPr>
          <w:p w:rsidR="00586863" w:rsidRPr="00165E35" w:rsidRDefault="00586863" w:rsidP="0099548F">
            <w:pPr>
              <w:keepNext/>
              <w:tabs>
                <w:tab w:val="decimal" w:pos="534"/>
              </w:tabs>
              <w:spacing w:after="0" w:line="240" w:lineRule="auto"/>
              <w:rPr>
                <w:rFonts w:eastAsia="Times New Roman" w:cs="Times New Roman"/>
                <w:color w:val="000000"/>
                <w:sz w:val="16"/>
                <w:szCs w:val="16"/>
              </w:rPr>
            </w:pPr>
            <w:r w:rsidRPr="00165E35">
              <w:rPr>
                <w:rFonts w:eastAsia="Times New Roman" w:cs="Times New Roman"/>
                <w:color w:val="000000"/>
                <w:sz w:val="16"/>
                <w:szCs w:val="16"/>
              </w:rPr>
              <w:t>0.074</w:t>
            </w:r>
          </w:p>
        </w:tc>
        <w:tc>
          <w:tcPr>
            <w:tcW w:w="688" w:type="pct"/>
            <w:vAlign w:val="bottom"/>
          </w:tcPr>
          <w:p w:rsidR="00586863" w:rsidRPr="00165E35" w:rsidRDefault="00586863" w:rsidP="0099548F">
            <w:pPr>
              <w:keepNext/>
              <w:tabs>
                <w:tab w:val="decimal" w:pos="534"/>
              </w:tabs>
              <w:spacing w:after="0" w:line="240" w:lineRule="auto"/>
              <w:rPr>
                <w:rFonts w:eastAsia="Times New Roman" w:cs="Times New Roman"/>
                <w:color w:val="000000"/>
                <w:sz w:val="16"/>
                <w:szCs w:val="16"/>
              </w:rPr>
            </w:pPr>
            <w:r w:rsidRPr="00165E35">
              <w:rPr>
                <w:rFonts w:eastAsia="Times New Roman" w:cs="Times New Roman"/>
                <w:color w:val="000000"/>
                <w:sz w:val="16"/>
                <w:szCs w:val="16"/>
              </w:rPr>
              <w:t>0.263</w:t>
            </w:r>
          </w:p>
        </w:tc>
        <w:tc>
          <w:tcPr>
            <w:tcW w:w="687" w:type="pct"/>
            <w:vAlign w:val="bottom"/>
          </w:tcPr>
          <w:p w:rsidR="00586863" w:rsidRPr="00165E35" w:rsidRDefault="00586863" w:rsidP="0099548F">
            <w:pPr>
              <w:keepNext/>
              <w:tabs>
                <w:tab w:val="decimal" w:pos="534"/>
              </w:tabs>
              <w:spacing w:after="0" w:line="240" w:lineRule="auto"/>
              <w:rPr>
                <w:rFonts w:eastAsia="Times New Roman" w:cs="Times New Roman"/>
                <w:color w:val="000000"/>
                <w:sz w:val="16"/>
                <w:szCs w:val="16"/>
              </w:rPr>
            </w:pPr>
            <w:r w:rsidRPr="00165E35">
              <w:rPr>
                <w:rFonts w:eastAsia="Times New Roman" w:cs="Times New Roman"/>
                <w:color w:val="000000"/>
                <w:sz w:val="16"/>
                <w:szCs w:val="16"/>
              </w:rPr>
              <w:t>0</w:t>
            </w:r>
          </w:p>
        </w:tc>
        <w:tc>
          <w:tcPr>
            <w:tcW w:w="688" w:type="pct"/>
            <w:vAlign w:val="bottom"/>
          </w:tcPr>
          <w:p w:rsidR="00586863" w:rsidRPr="00165E35" w:rsidRDefault="00586863" w:rsidP="0099548F">
            <w:pPr>
              <w:keepNext/>
              <w:tabs>
                <w:tab w:val="decimal" w:pos="534"/>
              </w:tabs>
              <w:spacing w:after="0" w:line="240" w:lineRule="auto"/>
              <w:rPr>
                <w:rFonts w:eastAsia="Times New Roman" w:cs="Times New Roman"/>
                <w:color w:val="000000"/>
                <w:sz w:val="16"/>
                <w:szCs w:val="16"/>
              </w:rPr>
            </w:pPr>
            <w:r w:rsidRPr="00165E35">
              <w:rPr>
                <w:rFonts w:eastAsia="Times New Roman" w:cs="Times New Roman"/>
                <w:color w:val="000000"/>
                <w:sz w:val="16"/>
                <w:szCs w:val="16"/>
              </w:rPr>
              <w:t>1</w:t>
            </w:r>
          </w:p>
        </w:tc>
      </w:tr>
      <w:tr w:rsidR="0089728D" w:rsidRPr="00165E35" w:rsidTr="00165E35">
        <w:trPr>
          <w:trHeight w:val="20"/>
        </w:trPr>
        <w:tc>
          <w:tcPr>
            <w:tcW w:w="2249" w:type="pct"/>
            <w:shd w:val="clear" w:color="auto" w:fill="auto"/>
            <w:noWrap/>
            <w:vAlign w:val="bottom"/>
            <w:hideMark/>
          </w:tcPr>
          <w:p w:rsidR="00586863" w:rsidRPr="00DF59FE" w:rsidRDefault="00586863" w:rsidP="0099548F">
            <w:pPr>
              <w:keepNext/>
              <w:spacing w:after="0" w:line="240" w:lineRule="auto"/>
              <w:rPr>
                <w:rFonts w:eastAsia="Times New Roman" w:cs="Times New Roman"/>
                <w:i/>
                <w:caps/>
                <w:color w:val="000000"/>
                <w:sz w:val="16"/>
                <w:szCs w:val="16"/>
              </w:rPr>
            </w:pPr>
            <w:r w:rsidRPr="00DF59FE">
              <w:rPr>
                <w:rFonts w:eastAsia="Times New Roman" w:cs="Times New Roman"/>
                <w:i/>
                <w:caps/>
                <w:color w:val="000000"/>
                <w:sz w:val="16"/>
                <w:szCs w:val="16"/>
              </w:rPr>
              <w:t>Weekday</w:t>
            </w:r>
          </w:p>
        </w:tc>
        <w:tc>
          <w:tcPr>
            <w:tcW w:w="687" w:type="pct"/>
            <w:vAlign w:val="bottom"/>
          </w:tcPr>
          <w:p w:rsidR="00586863" w:rsidRPr="00165E35" w:rsidRDefault="00586863" w:rsidP="0099548F">
            <w:pPr>
              <w:keepNext/>
              <w:tabs>
                <w:tab w:val="decimal" w:pos="534"/>
              </w:tabs>
              <w:spacing w:after="0" w:line="240" w:lineRule="auto"/>
              <w:rPr>
                <w:rFonts w:eastAsia="Times New Roman" w:cs="Times New Roman"/>
                <w:color w:val="000000"/>
                <w:sz w:val="16"/>
                <w:szCs w:val="16"/>
              </w:rPr>
            </w:pPr>
            <w:r w:rsidRPr="00165E35">
              <w:rPr>
                <w:rFonts w:eastAsia="Times New Roman" w:cs="Times New Roman"/>
                <w:color w:val="000000"/>
                <w:sz w:val="16"/>
                <w:szCs w:val="16"/>
              </w:rPr>
              <w:t>0.319</w:t>
            </w:r>
          </w:p>
        </w:tc>
        <w:tc>
          <w:tcPr>
            <w:tcW w:w="688" w:type="pct"/>
            <w:vAlign w:val="bottom"/>
          </w:tcPr>
          <w:p w:rsidR="00586863" w:rsidRPr="00165E35" w:rsidRDefault="00586863" w:rsidP="0099548F">
            <w:pPr>
              <w:keepNext/>
              <w:tabs>
                <w:tab w:val="decimal" w:pos="534"/>
              </w:tabs>
              <w:spacing w:after="0" w:line="240" w:lineRule="auto"/>
              <w:rPr>
                <w:rFonts w:eastAsia="Times New Roman" w:cs="Times New Roman"/>
                <w:color w:val="000000"/>
                <w:sz w:val="16"/>
                <w:szCs w:val="16"/>
              </w:rPr>
            </w:pPr>
            <w:r w:rsidRPr="00165E35">
              <w:rPr>
                <w:rFonts w:eastAsia="Times New Roman" w:cs="Times New Roman"/>
                <w:color w:val="000000"/>
                <w:sz w:val="16"/>
                <w:szCs w:val="16"/>
              </w:rPr>
              <w:t>0.466</w:t>
            </w:r>
          </w:p>
        </w:tc>
        <w:tc>
          <w:tcPr>
            <w:tcW w:w="687" w:type="pct"/>
            <w:vAlign w:val="bottom"/>
          </w:tcPr>
          <w:p w:rsidR="00586863" w:rsidRPr="00165E35" w:rsidRDefault="00586863" w:rsidP="0099548F">
            <w:pPr>
              <w:keepNext/>
              <w:tabs>
                <w:tab w:val="decimal" w:pos="534"/>
              </w:tabs>
              <w:spacing w:after="0" w:line="240" w:lineRule="auto"/>
              <w:rPr>
                <w:rFonts w:eastAsia="Times New Roman" w:cs="Times New Roman"/>
                <w:color w:val="000000"/>
                <w:sz w:val="16"/>
                <w:szCs w:val="16"/>
              </w:rPr>
            </w:pPr>
            <w:r w:rsidRPr="00165E35">
              <w:rPr>
                <w:rFonts w:eastAsia="Times New Roman" w:cs="Times New Roman"/>
                <w:color w:val="000000"/>
                <w:sz w:val="16"/>
                <w:szCs w:val="16"/>
              </w:rPr>
              <w:t>0</w:t>
            </w:r>
          </w:p>
        </w:tc>
        <w:tc>
          <w:tcPr>
            <w:tcW w:w="688" w:type="pct"/>
            <w:vAlign w:val="bottom"/>
          </w:tcPr>
          <w:p w:rsidR="00586863" w:rsidRPr="00165E35" w:rsidRDefault="00586863" w:rsidP="0099548F">
            <w:pPr>
              <w:keepNext/>
              <w:tabs>
                <w:tab w:val="decimal" w:pos="534"/>
              </w:tabs>
              <w:spacing w:after="0" w:line="240" w:lineRule="auto"/>
              <w:rPr>
                <w:rFonts w:eastAsia="Times New Roman" w:cs="Times New Roman"/>
                <w:color w:val="000000"/>
                <w:sz w:val="16"/>
                <w:szCs w:val="16"/>
              </w:rPr>
            </w:pPr>
            <w:r w:rsidRPr="00165E35">
              <w:rPr>
                <w:rFonts w:eastAsia="Times New Roman" w:cs="Times New Roman"/>
                <w:color w:val="000000"/>
                <w:sz w:val="16"/>
                <w:szCs w:val="16"/>
              </w:rPr>
              <w:t>1</w:t>
            </w:r>
          </w:p>
        </w:tc>
      </w:tr>
      <w:tr w:rsidR="0089728D" w:rsidRPr="00165E35" w:rsidTr="00165E35">
        <w:trPr>
          <w:trHeight w:val="20"/>
        </w:trPr>
        <w:tc>
          <w:tcPr>
            <w:tcW w:w="2249" w:type="pct"/>
            <w:shd w:val="clear" w:color="auto" w:fill="auto"/>
            <w:noWrap/>
            <w:vAlign w:val="bottom"/>
            <w:hideMark/>
          </w:tcPr>
          <w:p w:rsidR="00586863" w:rsidRPr="00DF59FE" w:rsidRDefault="0089728D" w:rsidP="00E37AF3">
            <w:pPr>
              <w:spacing w:after="0" w:line="240" w:lineRule="auto"/>
              <w:rPr>
                <w:rFonts w:eastAsia="Times New Roman" w:cs="Times New Roman"/>
                <w:i/>
                <w:caps/>
                <w:color w:val="000000"/>
                <w:sz w:val="16"/>
                <w:szCs w:val="16"/>
              </w:rPr>
            </w:pPr>
            <w:r w:rsidRPr="00DF59FE">
              <w:rPr>
                <w:rFonts w:eastAsia="Times New Roman" w:cs="Times New Roman"/>
                <w:i/>
                <w:caps/>
                <w:color w:val="000000"/>
                <w:sz w:val="16"/>
                <w:szCs w:val="16"/>
              </w:rPr>
              <w:t xml:space="preserve">Outcome Uncertanty </w:t>
            </w:r>
          </w:p>
        </w:tc>
        <w:tc>
          <w:tcPr>
            <w:tcW w:w="687" w:type="pct"/>
            <w:vAlign w:val="bottom"/>
          </w:tcPr>
          <w:p w:rsidR="00586863" w:rsidRPr="00165E35" w:rsidRDefault="00586863" w:rsidP="0099548F">
            <w:pPr>
              <w:tabs>
                <w:tab w:val="decimal" w:pos="534"/>
              </w:tabs>
              <w:spacing w:after="0" w:line="240" w:lineRule="auto"/>
              <w:rPr>
                <w:rFonts w:eastAsia="Times New Roman" w:cs="Times New Roman"/>
                <w:color w:val="000000"/>
                <w:sz w:val="16"/>
                <w:szCs w:val="16"/>
              </w:rPr>
            </w:pPr>
            <w:r w:rsidRPr="00165E35">
              <w:rPr>
                <w:rFonts w:eastAsia="Times New Roman" w:cs="Times New Roman"/>
                <w:color w:val="000000"/>
                <w:sz w:val="16"/>
                <w:szCs w:val="16"/>
              </w:rPr>
              <w:t>0.249</w:t>
            </w:r>
          </w:p>
        </w:tc>
        <w:tc>
          <w:tcPr>
            <w:tcW w:w="688" w:type="pct"/>
            <w:vAlign w:val="bottom"/>
          </w:tcPr>
          <w:p w:rsidR="00586863" w:rsidRPr="00165E35" w:rsidRDefault="00586863" w:rsidP="0099548F">
            <w:pPr>
              <w:tabs>
                <w:tab w:val="decimal" w:pos="534"/>
              </w:tabs>
              <w:spacing w:after="0" w:line="240" w:lineRule="auto"/>
              <w:rPr>
                <w:rFonts w:eastAsia="Times New Roman" w:cs="Times New Roman"/>
                <w:color w:val="000000"/>
                <w:sz w:val="16"/>
                <w:szCs w:val="16"/>
              </w:rPr>
            </w:pPr>
            <w:r w:rsidRPr="00165E35">
              <w:rPr>
                <w:rFonts w:eastAsia="Times New Roman" w:cs="Times New Roman"/>
                <w:color w:val="000000"/>
                <w:sz w:val="16"/>
                <w:szCs w:val="16"/>
              </w:rPr>
              <w:t>0.180</w:t>
            </w:r>
          </w:p>
        </w:tc>
        <w:tc>
          <w:tcPr>
            <w:tcW w:w="687" w:type="pct"/>
            <w:vAlign w:val="bottom"/>
          </w:tcPr>
          <w:p w:rsidR="00586863" w:rsidRPr="00165E35" w:rsidRDefault="00586863" w:rsidP="0099548F">
            <w:pPr>
              <w:tabs>
                <w:tab w:val="decimal" w:pos="534"/>
              </w:tabs>
              <w:spacing w:after="0" w:line="240" w:lineRule="auto"/>
              <w:rPr>
                <w:rFonts w:eastAsia="Times New Roman" w:cs="Times New Roman"/>
                <w:color w:val="000000"/>
                <w:sz w:val="16"/>
                <w:szCs w:val="16"/>
              </w:rPr>
            </w:pPr>
            <w:r w:rsidRPr="00165E35">
              <w:rPr>
                <w:rFonts w:eastAsia="Times New Roman" w:cs="Times New Roman"/>
                <w:color w:val="000000"/>
                <w:sz w:val="16"/>
                <w:szCs w:val="16"/>
              </w:rPr>
              <w:t>0</w:t>
            </w:r>
          </w:p>
        </w:tc>
        <w:tc>
          <w:tcPr>
            <w:tcW w:w="688" w:type="pct"/>
            <w:vAlign w:val="bottom"/>
          </w:tcPr>
          <w:p w:rsidR="00586863" w:rsidRPr="00165E35" w:rsidRDefault="00586863" w:rsidP="0099548F">
            <w:pPr>
              <w:tabs>
                <w:tab w:val="decimal" w:pos="534"/>
              </w:tabs>
              <w:spacing w:after="0" w:line="240" w:lineRule="auto"/>
              <w:rPr>
                <w:rFonts w:eastAsia="Times New Roman" w:cs="Times New Roman"/>
                <w:color w:val="000000"/>
                <w:sz w:val="16"/>
                <w:szCs w:val="16"/>
              </w:rPr>
            </w:pPr>
            <w:r w:rsidRPr="00165E35">
              <w:rPr>
                <w:rFonts w:eastAsia="Times New Roman" w:cs="Times New Roman"/>
                <w:color w:val="000000"/>
                <w:sz w:val="16"/>
                <w:szCs w:val="16"/>
              </w:rPr>
              <w:t>0.712</w:t>
            </w:r>
          </w:p>
        </w:tc>
      </w:tr>
      <w:tr w:rsidR="0089728D" w:rsidRPr="00165E35" w:rsidTr="00165E35">
        <w:trPr>
          <w:trHeight w:val="20"/>
        </w:trPr>
        <w:tc>
          <w:tcPr>
            <w:tcW w:w="2249" w:type="pct"/>
            <w:shd w:val="clear" w:color="auto" w:fill="auto"/>
            <w:noWrap/>
            <w:vAlign w:val="bottom"/>
          </w:tcPr>
          <w:p w:rsidR="0089728D" w:rsidRPr="00DF59FE" w:rsidRDefault="0089728D" w:rsidP="0099548F">
            <w:pPr>
              <w:spacing w:after="0" w:line="240" w:lineRule="auto"/>
              <w:rPr>
                <w:rFonts w:eastAsia="Times New Roman" w:cs="Times New Roman"/>
                <w:i/>
                <w:caps/>
                <w:color w:val="000000"/>
                <w:sz w:val="16"/>
                <w:szCs w:val="16"/>
              </w:rPr>
            </w:pPr>
            <w:r w:rsidRPr="00DF59FE">
              <w:rPr>
                <w:rFonts w:eastAsia="Times New Roman" w:cs="Times New Roman"/>
                <w:i/>
                <w:caps/>
                <w:color w:val="000000"/>
                <w:sz w:val="16"/>
                <w:szCs w:val="16"/>
              </w:rPr>
              <w:t>Theil</w:t>
            </w:r>
          </w:p>
        </w:tc>
        <w:tc>
          <w:tcPr>
            <w:tcW w:w="687" w:type="pct"/>
            <w:vAlign w:val="bottom"/>
          </w:tcPr>
          <w:p w:rsidR="0089728D" w:rsidRPr="00165E35" w:rsidRDefault="0089728D" w:rsidP="0099548F">
            <w:pPr>
              <w:tabs>
                <w:tab w:val="decimal" w:pos="534"/>
              </w:tabs>
              <w:spacing w:after="0" w:line="240" w:lineRule="auto"/>
              <w:rPr>
                <w:rFonts w:eastAsia="Times New Roman" w:cs="Times New Roman"/>
                <w:color w:val="000000"/>
                <w:sz w:val="16"/>
                <w:szCs w:val="16"/>
              </w:rPr>
            </w:pPr>
            <w:r w:rsidRPr="00165E35">
              <w:rPr>
                <w:rFonts w:eastAsia="Times New Roman" w:cs="Times New Roman"/>
                <w:color w:val="000000"/>
                <w:sz w:val="16"/>
                <w:szCs w:val="16"/>
              </w:rPr>
              <w:t>1.020</w:t>
            </w:r>
          </w:p>
        </w:tc>
        <w:tc>
          <w:tcPr>
            <w:tcW w:w="688" w:type="pct"/>
            <w:vAlign w:val="bottom"/>
          </w:tcPr>
          <w:p w:rsidR="0089728D" w:rsidRPr="00165E35" w:rsidRDefault="0089728D" w:rsidP="0099548F">
            <w:pPr>
              <w:tabs>
                <w:tab w:val="decimal" w:pos="534"/>
              </w:tabs>
              <w:spacing w:after="0" w:line="240" w:lineRule="auto"/>
              <w:rPr>
                <w:rFonts w:eastAsia="Times New Roman" w:cs="Times New Roman"/>
                <w:color w:val="000000"/>
                <w:sz w:val="16"/>
                <w:szCs w:val="16"/>
              </w:rPr>
            </w:pPr>
            <w:r w:rsidRPr="00165E35">
              <w:rPr>
                <w:rFonts w:eastAsia="Times New Roman" w:cs="Times New Roman"/>
                <w:color w:val="000000"/>
                <w:sz w:val="16"/>
                <w:szCs w:val="16"/>
              </w:rPr>
              <w:t>0.095</w:t>
            </w:r>
          </w:p>
        </w:tc>
        <w:tc>
          <w:tcPr>
            <w:tcW w:w="687" w:type="pct"/>
            <w:vAlign w:val="bottom"/>
          </w:tcPr>
          <w:p w:rsidR="0089728D" w:rsidRPr="00165E35" w:rsidRDefault="0089728D" w:rsidP="0099548F">
            <w:pPr>
              <w:tabs>
                <w:tab w:val="decimal" w:pos="534"/>
              </w:tabs>
              <w:spacing w:after="0" w:line="240" w:lineRule="auto"/>
              <w:rPr>
                <w:rFonts w:eastAsia="Times New Roman" w:cs="Times New Roman"/>
                <w:color w:val="000000"/>
                <w:sz w:val="16"/>
                <w:szCs w:val="16"/>
              </w:rPr>
            </w:pPr>
            <w:r w:rsidRPr="00165E35">
              <w:rPr>
                <w:rFonts w:eastAsia="Times New Roman" w:cs="Times New Roman"/>
                <w:color w:val="000000"/>
                <w:sz w:val="16"/>
                <w:szCs w:val="16"/>
              </w:rPr>
              <w:t>0.662</w:t>
            </w:r>
          </w:p>
        </w:tc>
        <w:tc>
          <w:tcPr>
            <w:tcW w:w="688" w:type="pct"/>
            <w:vAlign w:val="bottom"/>
          </w:tcPr>
          <w:p w:rsidR="0089728D" w:rsidRPr="00165E35" w:rsidRDefault="0089728D" w:rsidP="0099548F">
            <w:pPr>
              <w:tabs>
                <w:tab w:val="decimal" w:pos="534"/>
              </w:tabs>
              <w:spacing w:after="0" w:line="240" w:lineRule="auto"/>
              <w:rPr>
                <w:rFonts w:eastAsia="Times New Roman" w:cs="Times New Roman"/>
                <w:color w:val="000000"/>
                <w:sz w:val="16"/>
                <w:szCs w:val="16"/>
              </w:rPr>
            </w:pPr>
            <w:r w:rsidRPr="00165E35">
              <w:rPr>
                <w:rFonts w:eastAsia="Times New Roman" w:cs="Times New Roman"/>
                <w:color w:val="000000"/>
                <w:sz w:val="16"/>
                <w:szCs w:val="16"/>
              </w:rPr>
              <w:t>1.097</w:t>
            </w:r>
          </w:p>
        </w:tc>
      </w:tr>
    </w:tbl>
    <w:p w:rsidR="007D0D5D" w:rsidRDefault="007D0D5D">
      <w:pPr>
        <w:spacing w:after="200" w:line="276" w:lineRule="auto"/>
        <w:rPr>
          <w:rFonts w:ascii="Calibri" w:eastAsiaTheme="majorEastAsia" w:hAnsi="Calibri" w:cstheme="majorBidi"/>
          <w:bCs/>
          <w:iCs/>
        </w:rPr>
      </w:pPr>
      <w:r>
        <w:br w:type="page"/>
      </w:r>
    </w:p>
    <w:p w:rsidR="005B2900" w:rsidRPr="00165E35" w:rsidRDefault="005B2900" w:rsidP="005B2900">
      <w:pPr>
        <w:pStyle w:val="Heading4"/>
        <w:rPr>
          <w:rFonts w:ascii="Times New Roman" w:hAnsi="Times New Roman" w:cs="Times New Roman"/>
        </w:rPr>
      </w:pPr>
      <w:r w:rsidRPr="00165E35">
        <w:rPr>
          <w:rFonts w:ascii="Times New Roman" w:hAnsi="Times New Roman" w:cs="Times New Roman"/>
        </w:rPr>
        <w:t>Table 5.Heckman selection model for TV audience ratings.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11"/>
        <w:gridCol w:w="1792"/>
        <w:gridCol w:w="1442"/>
      </w:tblGrid>
      <w:tr w:rsidR="0048026C" w:rsidRPr="007D0D5D" w:rsidTr="0048026C">
        <w:tc>
          <w:tcPr>
            <w:tcW w:w="5000" w:type="pct"/>
            <w:gridSpan w:val="3"/>
          </w:tcPr>
          <w:p w:rsidR="0048026C" w:rsidRPr="007D0D5D" w:rsidRDefault="0048026C" w:rsidP="005B2900">
            <w:pPr>
              <w:widowControl w:val="0"/>
              <w:autoSpaceDE w:val="0"/>
              <w:autoSpaceDN w:val="0"/>
              <w:adjustRightInd w:val="0"/>
              <w:spacing w:after="0" w:line="240" w:lineRule="auto"/>
              <w:jc w:val="center"/>
              <w:rPr>
                <w:rFonts w:cs="Times New Roman"/>
                <w:sz w:val="18"/>
                <w:szCs w:val="18"/>
                <w:lang w:val="en-US"/>
              </w:rPr>
            </w:pPr>
            <w:r w:rsidRPr="007D0D5D">
              <w:rPr>
                <w:rFonts w:cs="Times New Roman"/>
                <w:sz w:val="18"/>
                <w:szCs w:val="18"/>
                <w:lang w:val="en-US"/>
              </w:rPr>
              <w:t xml:space="preserve">Audience Model: Dependent variable is </w:t>
            </w:r>
            <m:oMath>
              <m:func>
                <m:funcPr>
                  <m:ctrlPr>
                    <w:rPr>
                      <w:rFonts w:ascii="Cambria Math" w:hAnsi="Cambria Math"/>
                      <w:sz w:val="18"/>
                      <w:szCs w:val="18"/>
                    </w:rPr>
                  </m:ctrlPr>
                </m:funcPr>
                <m:fName>
                  <m:r>
                    <m:rPr>
                      <m:sty m:val="p"/>
                    </m:rPr>
                    <w:rPr>
                      <w:rFonts w:ascii="Cambria Math" w:hAnsi="Cambria Math"/>
                      <w:sz w:val="18"/>
                      <w:szCs w:val="18"/>
                    </w:rPr>
                    <m:t>ln</m:t>
                  </m:r>
                </m:fName>
                <m:e>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AUDIENCE</m:t>
                          </m:r>
                        </m:e>
                        <m:sub>
                          <m:r>
                            <w:rPr>
                              <w:rFonts w:ascii="Cambria Math" w:hAnsi="Cambria Math"/>
                              <w:sz w:val="18"/>
                              <w:szCs w:val="18"/>
                            </w:rPr>
                            <m:t>ijt</m:t>
                          </m:r>
                        </m:sub>
                      </m:sSub>
                    </m:e>
                  </m:d>
                </m:e>
              </m:func>
            </m:oMath>
          </w:p>
        </w:tc>
      </w:tr>
      <w:tr w:rsidR="0048026C" w:rsidRPr="007D0D5D" w:rsidTr="00E53DFD">
        <w:tc>
          <w:tcPr>
            <w:tcW w:w="3251" w:type="pct"/>
          </w:tcPr>
          <w:p w:rsidR="0048026C" w:rsidRPr="007D0D5D" w:rsidRDefault="0048026C" w:rsidP="005B2900">
            <w:pPr>
              <w:widowControl w:val="0"/>
              <w:autoSpaceDE w:val="0"/>
              <w:autoSpaceDN w:val="0"/>
              <w:adjustRightInd w:val="0"/>
              <w:spacing w:after="0" w:line="240" w:lineRule="auto"/>
              <w:rPr>
                <w:rFonts w:cs="Times New Roman"/>
                <w:sz w:val="18"/>
                <w:szCs w:val="18"/>
                <w:lang w:val="en-US"/>
              </w:rPr>
            </w:pPr>
          </w:p>
        </w:tc>
        <w:tc>
          <w:tcPr>
            <w:tcW w:w="969" w:type="pct"/>
          </w:tcPr>
          <w:p w:rsidR="0048026C" w:rsidRPr="007D0D5D" w:rsidRDefault="0048026C" w:rsidP="009675B8">
            <w:pPr>
              <w:widowControl w:val="0"/>
              <w:tabs>
                <w:tab w:val="decimal" w:pos="578"/>
              </w:tabs>
              <w:autoSpaceDE w:val="0"/>
              <w:autoSpaceDN w:val="0"/>
              <w:adjustRightInd w:val="0"/>
              <w:spacing w:after="0" w:line="240" w:lineRule="auto"/>
              <w:rPr>
                <w:rFonts w:cs="Times New Roman"/>
                <w:sz w:val="18"/>
                <w:szCs w:val="18"/>
                <w:lang w:val="en-US"/>
              </w:rPr>
            </w:pPr>
            <w:r w:rsidRPr="007D0D5D">
              <w:rPr>
                <w:rFonts w:cs="Times New Roman"/>
                <w:sz w:val="18"/>
                <w:szCs w:val="18"/>
                <w:lang w:val="en-US"/>
              </w:rPr>
              <w:t>Coefficient</w:t>
            </w:r>
          </w:p>
        </w:tc>
        <w:tc>
          <w:tcPr>
            <w:tcW w:w="780" w:type="pct"/>
          </w:tcPr>
          <w:p w:rsidR="0048026C" w:rsidRPr="007D0D5D" w:rsidRDefault="00046215" w:rsidP="009675B8">
            <w:pPr>
              <w:widowControl w:val="0"/>
              <w:tabs>
                <w:tab w:val="decimal" w:pos="578"/>
              </w:tabs>
              <w:autoSpaceDE w:val="0"/>
              <w:autoSpaceDN w:val="0"/>
              <w:adjustRightInd w:val="0"/>
              <w:spacing w:after="0" w:line="240" w:lineRule="auto"/>
              <w:rPr>
                <w:rFonts w:cs="Times New Roman"/>
                <w:sz w:val="18"/>
                <w:szCs w:val="18"/>
                <w:lang w:val="en-US"/>
              </w:rPr>
            </w:pPr>
            <w:r w:rsidRPr="007D0D5D">
              <w:rPr>
                <w:rFonts w:cs="Times New Roman"/>
                <w:sz w:val="18"/>
                <w:szCs w:val="18"/>
                <w:lang w:val="en-US"/>
              </w:rPr>
              <w:t>t</w:t>
            </w:r>
            <w:r w:rsidR="0048026C" w:rsidRPr="007D0D5D">
              <w:rPr>
                <w:rFonts w:cs="Times New Roman"/>
                <w:sz w:val="18"/>
                <w:szCs w:val="18"/>
                <w:lang w:val="en-US"/>
              </w:rPr>
              <w:t xml:space="preserve"> statistic</w:t>
            </w:r>
          </w:p>
        </w:tc>
      </w:tr>
      <w:tr w:rsidR="00B835A9" w:rsidRPr="007D0D5D" w:rsidTr="00E53DFD">
        <w:tc>
          <w:tcPr>
            <w:tcW w:w="3251" w:type="pct"/>
          </w:tcPr>
          <w:p w:rsidR="00B835A9" w:rsidRPr="00DF59FE" w:rsidRDefault="00B835A9" w:rsidP="00074189">
            <w:pPr>
              <w:widowControl w:val="0"/>
              <w:autoSpaceDE w:val="0"/>
              <w:autoSpaceDN w:val="0"/>
              <w:adjustRightInd w:val="0"/>
              <w:spacing w:after="0" w:line="240" w:lineRule="auto"/>
              <w:rPr>
                <w:rFonts w:cs="Times New Roman"/>
                <w:i/>
                <w:caps/>
                <w:sz w:val="18"/>
                <w:szCs w:val="18"/>
                <w:lang w:val="en-US"/>
              </w:rPr>
            </w:pPr>
            <w:r w:rsidRPr="00DF59FE">
              <w:rPr>
                <w:rFonts w:cs="Times New Roman"/>
                <w:i/>
                <w:caps/>
                <w:sz w:val="18"/>
                <w:szCs w:val="18"/>
                <w:lang w:val="en-US"/>
              </w:rPr>
              <w:t>Combined relative wage</w:t>
            </w:r>
          </w:p>
        </w:tc>
        <w:tc>
          <w:tcPr>
            <w:tcW w:w="969" w:type="pct"/>
          </w:tcPr>
          <w:p w:rsidR="00B835A9" w:rsidRPr="007D0D5D" w:rsidRDefault="00B835A9" w:rsidP="009675B8">
            <w:pPr>
              <w:widowControl w:val="0"/>
              <w:tabs>
                <w:tab w:val="decimal" w:pos="578"/>
              </w:tabs>
              <w:autoSpaceDE w:val="0"/>
              <w:autoSpaceDN w:val="0"/>
              <w:adjustRightInd w:val="0"/>
              <w:spacing w:after="0" w:line="240" w:lineRule="auto"/>
              <w:rPr>
                <w:rFonts w:cs="Times New Roman"/>
                <w:sz w:val="18"/>
                <w:szCs w:val="18"/>
                <w:lang w:val="en-US"/>
              </w:rPr>
            </w:pPr>
            <w:r w:rsidRPr="007D0D5D">
              <w:rPr>
                <w:rFonts w:cs="Times New Roman"/>
                <w:sz w:val="18"/>
                <w:szCs w:val="18"/>
                <w:lang w:val="en-US"/>
              </w:rPr>
              <w:t>0.119**</w:t>
            </w:r>
          </w:p>
        </w:tc>
        <w:tc>
          <w:tcPr>
            <w:tcW w:w="780" w:type="pct"/>
          </w:tcPr>
          <w:p w:rsidR="00B835A9" w:rsidRPr="007D0D5D" w:rsidRDefault="00B835A9" w:rsidP="009675B8">
            <w:pPr>
              <w:widowControl w:val="0"/>
              <w:tabs>
                <w:tab w:val="decimal" w:pos="578"/>
              </w:tabs>
              <w:autoSpaceDE w:val="0"/>
              <w:autoSpaceDN w:val="0"/>
              <w:adjustRightInd w:val="0"/>
              <w:spacing w:after="0" w:line="240" w:lineRule="auto"/>
              <w:rPr>
                <w:rFonts w:cs="Times New Roman"/>
                <w:sz w:val="18"/>
                <w:szCs w:val="18"/>
                <w:lang w:val="en-US"/>
              </w:rPr>
            </w:pPr>
            <w:r w:rsidRPr="007D0D5D">
              <w:rPr>
                <w:rFonts w:cs="Times New Roman"/>
                <w:sz w:val="18"/>
                <w:szCs w:val="18"/>
                <w:lang w:val="en-US"/>
              </w:rPr>
              <w:t>(2.12)</w:t>
            </w:r>
          </w:p>
        </w:tc>
      </w:tr>
      <w:tr w:rsidR="00B835A9" w:rsidRPr="007D0D5D" w:rsidTr="00E53DFD">
        <w:tc>
          <w:tcPr>
            <w:tcW w:w="3251" w:type="pct"/>
          </w:tcPr>
          <w:p w:rsidR="00B835A9" w:rsidRPr="00DF59FE" w:rsidRDefault="00B835A9" w:rsidP="00074189">
            <w:pPr>
              <w:widowControl w:val="0"/>
              <w:autoSpaceDE w:val="0"/>
              <w:autoSpaceDN w:val="0"/>
              <w:adjustRightInd w:val="0"/>
              <w:spacing w:after="0" w:line="240" w:lineRule="auto"/>
              <w:rPr>
                <w:rFonts w:cs="Times New Roman"/>
                <w:i/>
                <w:caps/>
                <w:sz w:val="18"/>
                <w:szCs w:val="18"/>
                <w:lang w:val="en-US"/>
              </w:rPr>
            </w:pPr>
            <w:r w:rsidRPr="00DF59FE">
              <w:rPr>
                <w:rFonts w:cs="Times New Roman"/>
                <w:i/>
                <w:caps/>
                <w:sz w:val="18"/>
                <w:szCs w:val="18"/>
                <w:lang w:val="en-US"/>
              </w:rPr>
              <w:t>Absolute difference in relative wage</w:t>
            </w:r>
          </w:p>
        </w:tc>
        <w:tc>
          <w:tcPr>
            <w:tcW w:w="969" w:type="pct"/>
          </w:tcPr>
          <w:p w:rsidR="00B835A9" w:rsidRPr="007D0D5D" w:rsidRDefault="00B835A9" w:rsidP="009675B8">
            <w:pPr>
              <w:widowControl w:val="0"/>
              <w:tabs>
                <w:tab w:val="decimal" w:pos="578"/>
              </w:tabs>
              <w:autoSpaceDE w:val="0"/>
              <w:autoSpaceDN w:val="0"/>
              <w:adjustRightInd w:val="0"/>
              <w:spacing w:after="0" w:line="240" w:lineRule="auto"/>
              <w:rPr>
                <w:rFonts w:cs="Times New Roman"/>
                <w:sz w:val="18"/>
                <w:szCs w:val="18"/>
                <w:lang w:val="en-US"/>
              </w:rPr>
            </w:pPr>
            <w:r w:rsidRPr="007D0D5D">
              <w:rPr>
                <w:rFonts w:cs="Times New Roman"/>
                <w:sz w:val="18"/>
                <w:szCs w:val="18"/>
                <w:lang w:val="en-US"/>
              </w:rPr>
              <w:t>-0.019</w:t>
            </w:r>
          </w:p>
        </w:tc>
        <w:tc>
          <w:tcPr>
            <w:tcW w:w="780" w:type="pct"/>
          </w:tcPr>
          <w:p w:rsidR="00B835A9" w:rsidRPr="007D0D5D" w:rsidRDefault="00B835A9" w:rsidP="009675B8">
            <w:pPr>
              <w:widowControl w:val="0"/>
              <w:tabs>
                <w:tab w:val="decimal" w:pos="578"/>
              </w:tabs>
              <w:autoSpaceDE w:val="0"/>
              <w:autoSpaceDN w:val="0"/>
              <w:adjustRightInd w:val="0"/>
              <w:spacing w:after="0" w:line="240" w:lineRule="auto"/>
              <w:rPr>
                <w:rFonts w:cs="Times New Roman"/>
                <w:sz w:val="18"/>
                <w:szCs w:val="18"/>
                <w:lang w:val="en-US"/>
              </w:rPr>
            </w:pPr>
            <w:r w:rsidRPr="007D0D5D">
              <w:rPr>
                <w:rFonts w:cs="Times New Roman"/>
                <w:sz w:val="18"/>
                <w:szCs w:val="18"/>
                <w:lang w:val="en-US"/>
              </w:rPr>
              <w:t>(0.51)</w:t>
            </w:r>
          </w:p>
        </w:tc>
      </w:tr>
      <w:tr w:rsidR="00B835A9" w:rsidRPr="007D0D5D" w:rsidTr="00E53DFD">
        <w:tc>
          <w:tcPr>
            <w:tcW w:w="3251" w:type="pct"/>
          </w:tcPr>
          <w:p w:rsidR="00B835A9" w:rsidRPr="00DF59FE" w:rsidRDefault="00B835A9" w:rsidP="00074189">
            <w:pPr>
              <w:widowControl w:val="0"/>
              <w:autoSpaceDE w:val="0"/>
              <w:autoSpaceDN w:val="0"/>
              <w:adjustRightInd w:val="0"/>
              <w:spacing w:after="0" w:line="240" w:lineRule="auto"/>
              <w:rPr>
                <w:rFonts w:cs="Times New Roman"/>
                <w:i/>
                <w:caps/>
                <w:sz w:val="18"/>
                <w:szCs w:val="18"/>
                <w:lang w:val="en-US"/>
              </w:rPr>
            </w:pPr>
            <w:r w:rsidRPr="00DF59FE">
              <w:rPr>
                <w:rFonts w:cs="Times New Roman"/>
                <w:i/>
                <w:caps/>
                <w:sz w:val="18"/>
                <w:szCs w:val="18"/>
                <w:lang w:val="en-US"/>
              </w:rPr>
              <w:t>Combined points per game</w:t>
            </w:r>
          </w:p>
        </w:tc>
        <w:tc>
          <w:tcPr>
            <w:tcW w:w="969" w:type="pct"/>
          </w:tcPr>
          <w:p w:rsidR="00B835A9" w:rsidRPr="007D0D5D" w:rsidRDefault="00B835A9" w:rsidP="009675B8">
            <w:pPr>
              <w:widowControl w:val="0"/>
              <w:tabs>
                <w:tab w:val="decimal" w:pos="578"/>
              </w:tabs>
              <w:autoSpaceDE w:val="0"/>
              <w:autoSpaceDN w:val="0"/>
              <w:adjustRightInd w:val="0"/>
              <w:spacing w:after="0" w:line="240" w:lineRule="auto"/>
              <w:rPr>
                <w:rFonts w:cs="Times New Roman"/>
                <w:sz w:val="18"/>
                <w:szCs w:val="18"/>
                <w:lang w:val="en-US"/>
              </w:rPr>
            </w:pPr>
            <w:r w:rsidRPr="007D0D5D">
              <w:rPr>
                <w:rFonts w:cs="Times New Roman"/>
                <w:sz w:val="18"/>
                <w:szCs w:val="18"/>
                <w:lang w:val="en-US"/>
              </w:rPr>
              <w:t>0.023</w:t>
            </w:r>
          </w:p>
        </w:tc>
        <w:tc>
          <w:tcPr>
            <w:tcW w:w="780" w:type="pct"/>
          </w:tcPr>
          <w:p w:rsidR="00B835A9" w:rsidRPr="007D0D5D" w:rsidRDefault="00B835A9" w:rsidP="009675B8">
            <w:pPr>
              <w:widowControl w:val="0"/>
              <w:tabs>
                <w:tab w:val="decimal" w:pos="578"/>
              </w:tabs>
              <w:autoSpaceDE w:val="0"/>
              <w:autoSpaceDN w:val="0"/>
              <w:adjustRightInd w:val="0"/>
              <w:spacing w:after="0" w:line="240" w:lineRule="auto"/>
              <w:rPr>
                <w:rFonts w:cs="Times New Roman"/>
                <w:sz w:val="18"/>
                <w:szCs w:val="18"/>
                <w:lang w:val="en-US"/>
              </w:rPr>
            </w:pPr>
            <w:r w:rsidRPr="007D0D5D">
              <w:rPr>
                <w:rFonts w:cs="Times New Roman"/>
                <w:sz w:val="18"/>
                <w:szCs w:val="18"/>
                <w:lang w:val="en-US"/>
              </w:rPr>
              <w:t>(1.25)</w:t>
            </w:r>
          </w:p>
        </w:tc>
      </w:tr>
      <w:tr w:rsidR="00B835A9" w:rsidRPr="007D0D5D" w:rsidTr="00E53DFD">
        <w:tc>
          <w:tcPr>
            <w:tcW w:w="3251" w:type="pct"/>
          </w:tcPr>
          <w:p w:rsidR="00B835A9" w:rsidRPr="00DF59FE" w:rsidRDefault="00B835A9" w:rsidP="00074189">
            <w:pPr>
              <w:widowControl w:val="0"/>
              <w:autoSpaceDE w:val="0"/>
              <w:autoSpaceDN w:val="0"/>
              <w:adjustRightInd w:val="0"/>
              <w:spacing w:after="0" w:line="240" w:lineRule="auto"/>
              <w:rPr>
                <w:rFonts w:cs="Times New Roman"/>
                <w:i/>
                <w:caps/>
                <w:sz w:val="18"/>
                <w:szCs w:val="18"/>
                <w:lang w:val="en-US"/>
              </w:rPr>
            </w:pPr>
            <w:r w:rsidRPr="00DF59FE">
              <w:rPr>
                <w:rFonts w:cs="Times New Roman"/>
                <w:i/>
                <w:caps/>
                <w:sz w:val="18"/>
                <w:szCs w:val="18"/>
                <w:lang w:val="en-US"/>
              </w:rPr>
              <w:t>Champion contention</w:t>
            </w:r>
          </w:p>
        </w:tc>
        <w:tc>
          <w:tcPr>
            <w:tcW w:w="969" w:type="pct"/>
          </w:tcPr>
          <w:p w:rsidR="00B835A9" w:rsidRPr="007D0D5D" w:rsidRDefault="00B835A9" w:rsidP="009675B8">
            <w:pPr>
              <w:widowControl w:val="0"/>
              <w:tabs>
                <w:tab w:val="decimal" w:pos="578"/>
              </w:tabs>
              <w:autoSpaceDE w:val="0"/>
              <w:autoSpaceDN w:val="0"/>
              <w:adjustRightInd w:val="0"/>
              <w:spacing w:after="0" w:line="240" w:lineRule="auto"/>
              <w:rPr>
                <w:rFonts w:cs="Times New Roman"/>
                <w:sz w:val="18"/>
                <w:szCs w:val="18"/>
                <w:lang w:val="en-US"/>
              </w:rPr>
            </w:pPr>
            <w:r w:rsidRPr="007D0D5D">
              <w:rPr>
                <w:rFonts w:cs="Times New Roman"/>
                <w:sz w:val="18"/>
                <w:szCs w:val="18"/>
                <w:lang w:val="en-US"/>
              </w:rPr>
              <w:t>0.014</w:t>
            </w:r>
          </w:p>
        </w:tc>
        <w:tc>
          <w:tcPr>
            <w:tcW w:w="780" w:type="pct"/>
          </w:tcPr>
          <w:p w:rsidR="00B835A9" w:rsidRPr="007D0D5D" w:rsidRDefault="00B835A9" w:rsidP="009675B8">
            <w:pPr>
              <w:widowControl w:val="0"/>
              <w:tabs>
                <w:tab w:val="decimal" w:pos="578"/>
              </w:tabs>
              <w:autoSpaceDE w:val="0"/>
              <w:autoSpaceDN w:val="0"/>
              <w:adjustRightInd w:val="0"/>
              <w:spacing w:after="0" w:line="240" w:lineRule="auto"/>
              <w:rPr>
                <w:rFonts w:cs="Times New Roman"/>
                <w:sz w:val="18"/>
                <w:szCs w:val="18"/>
                <w:lang w:val="en-US"/>
              </w:rPr>
            </w:pPr>
            <w:r w:rsidRPr="007D0D5D">
              <w:rPr>
                <w:rFonts w:cs="Times New Roman"/>
                <w:sz w:val="18"/>
                <w:szCs w:val="18"/>
                <w:lang w:val="en-US"/>
              </w:rPr>
              <w:t>(0.37)</w:t>
            </w:r>
          </w:p>
        </w:tc>
      </w:tr>
      <w:tr w:rsidR="00B835A9" w:rsidRPr="007D0D5D" w:rsidTr="00E53DFD">
        <w:tc>
          <w:tcPr>
            <w:tcW w:w="3251" w:type="pct"/>
          </w:tcPr>
          <w:p w:rsidR="00B835A9" w:rsidRPr="00DF59FE" w:rsidRDefault="00B835A9" w:rsidP="00074189">
            <w:pPr>
              <w:widowControl w:val="0"/>
              <w:autoSpaceDE w:val="0"/>
              <w:autoSpaceDN w:val="0"/>
              <w:adjustRightInd w:val="0"/>
              <w:spacing w:after="0" w:line="240" w:lineRule="auto"/>
              <w:rPr>
                <w:rFonts w:cs="Times New Roman"/>
                <w:i/>
                <w:caps/>
                <w:sz w:val="18"/>
                <w:szCs w:val="18"/>
                <w:lang w:val="en-US"/>
              </w:rPr>
            </w:pPr>
            <w:r w:rsidRPr="00DF59FE">
              <w:rPr>
                <w:rFonts w:cs="Times New Roman"/>
                <w:i/>
                <w:caps/>
                <w:sz w:val="18"/>
                <w:szCs w:val="18"/>
                <w:lang w:val="en-US"/>
              </w:rPr>
              <w:t>Europe contention</w:t>
            </w:r>
          </w:p>
        </w:tc>
        <w:tc>
          <w:tcPr>
            <w:tcW w:w="969" w:type="pct"/>
          </w:tcPr>
          <w:p w:rsidR="00B835A9" w:rsidRPr="007D0D5D" w:rsidRDefault="00B835A9" w:rsidP="009675B8">
            <w:pPr>
              <w:widowControl w:val="0"/>
              <w:tabs>
                <w:tab w:val="decimal" w:pos="578"/>
              </w:tabs>
              <w:autoSpaceDE w:val="0"/>
              <w:autoSpaceDN w:val="0"/>
              <w:adjustRightInd w:val="0"/>
              <w:spacing w:after="0" w:line="240" w:lineRule="auto"/>
              <w:rPr>
                <w:rFonts w:cs="Times New Roman"/>
                <w:sz w:val="18"/>
                <w:szCs w:val="18"/>
                <w:lang w:val="en-US"/>
              </w:rPr>
            </w:pPr>
            <w:r w:rsidRPr="007D0D5D">
              <w:rPr>
                <w:rFonts w:cs="Times New Roman"/>
                <w:sz w:val="18"/>
                <w:szCs w:val="18"/>
                <w:lang w:val="en-US"/>
              </w:rPr>
              <w:t>-0.031</w:t>
            </w:r>
          </w:p>
        </w:tc>
        <w:tc>
          <w:tcPr>
            <w:tcW w:w="780" w:type="pct"/>
          </w:tcPr>
          <w:p w:rsidR="00B835A9" w:rsidRPr="007D0D5D" w:rsidRDefault="00B835A9" w:rsidP="009675B8">
            <w:pPr>
              <w:widowControl w:val="0"/>
              <w:tabs>
                <w:tab w:val="decimal" w:pos="578"/>
              </w:tabs>
              <w:autoSpaceDE w:val="0"/>
              <w:autoSpaceDN w:val="0"/>
              <w:adjustRightInd w:val="0"/>
              <w:spacing w:after="0" w:line="240" w:lineRule="auto"/>
              <w:rPr>
                <w:rFonts w:cs="Times New Roman"/>
                <w:sz w:val="18"/>
                <w:szCs w:val="18"/>
                <w:lang w:val="en-US"/>
              </w:rPr>
            </w:pPr>
            <w:r w:rsidRPr="007D0D5D">
              <w:rPr>
                <w:rFonts w:cs="Times New Roman"/>
                <w:sz w:val="18"/>
                <w:szCs w:val="18"/>
                <w:lang w:val="en-US"/>
              </w:rPr>
              <w:t>(0.64)</w:t>
            </w:r>
          </w:p>
        </w:tc>
      </w:tr>
      <w:tr w:rsidR="00B835A9" w:rsidRPr="007D0D5D" w:rsidTr="00E53DFD">
        <w:tc>
          <w:tcPr>
            <w:tcW w:w="3251" w:type="pct"/>
          </w:tcPr>
          <w:p w:rsidR="00B835A9" w:rsidRPr="00DF59FE" w:rsidRDefault="00B835A9" w:rsidP="00074189">
            <w:pPr>
              <w:widowControl w:val="0"/>
              <w:autoSpaceDE w:val="0"/>
              <w:autoSpaceDN w:val="0"/>
              <w:adjustRightInd w:val="0"/>
              <w:spacing w:after="0" w:line="240" w:lineRule="auto"/>
              <w:rPr>
                <w:rFonts w:cs="Times New Roman"/>
                <w:i/>
                <w:caps/>
                <w:sz w:val="18"/>
                <w:szCs w:val="18"/>
                <w:lang w:val="en-US"/>
              </w:rPr>
            </w:pPr>
            <w:r w:rsidRPr="00DF59FE">
              <w:rPr>
                <w:rFonts w:cs="Times New Roman"/>
                <w:i/>
                <w:caps/>
                <w:sz w:val="18"/>
                <w:szCs w:val="18"/>
                <w:lang w:val="en-US"/>
              </w:rPr>
              <w:t>Relegation contention</w:t>
            </w:r>
          </w:p>
        </w:tc>
        <w:tc>
          <w:tcPr>
            <w:tcW w:w="969" w:type="pct"/>
          </w:tcPr>
          <w:p w:rsidR="00B835A9" w:rsidRPr="007D0D5D" w:rsidRDefault="00B835A9" w:rsidP="009675B8">
            <w:pPr>
              <w:widowControl w:val="0"/>
              <w:tabs>
                <w:tab w:val="decimal" w:pos="578"/>
              </w:tabs>
              <w:autoSpaceDE w:val="0"/>
              <w:autoSpaceDN w:val="0"/>
              <w:adjustRightInd w:val="0"/>
              <w:spacing w:after="0" w:line="240" w:lineRule="auto"/>
              <w:rPr>
                <w:rFonts w:cs="Times New Roman"/>
                <w:sz w:val="18"/>
                <w:szCs w:val="18"/>
                <w:lang w:val="en-US"/>
              </w:rPr>
            </w:pPr>
            <w:r w:rsidRPr="007D0D5D">
              <w:rPr>
                <w:rFonts w:cs="Times New Roman"/>
                <w:sz w:val="18"/>
                <w:szCs w:val="18"/>
                <w:lang w:val="en-US"/>
              </w:rPr>
              <w:t>-0.019</w:t>
            </w:r>
          </w:p>
        </w:tc>
        <w:tc>
          <w:tcPr>
            <w:tcW w:w="780" w:type="pct"/>
          </w:tcPr>
          <w:p w:rsidR="00B835A9" w:rsidRPr="007D0D5D" w:rsidRDefault="00B835A9" w:rsidP="009675B8">
            <w:pPr>
              <w:widowControl w:val="0"/>
              <w:tabs>
                <w:tab w:val="decimal" w:pos="578"/>
              </w:tabs>
              <w:autoSpaceDE w:val="0"/>
              <w:autoSpaceDN w:val="0"/>
              <w:adjustRightInd w:val="0"/>
              <w:spacing w:after="0" w:line="240" w:lineRule="auto"/>
              <w:rPr>
                <w:rFonts w:cs="Times New Roman"/>
                <w:sz w:val="18"/>
                <w:szCs w:val="18"/>
                <w:lang w:val="en-US"/>
              </w:rPr>
            </w:pPr>
            <w:r w:rsidRPr="007D0D5D">
              <w:rPr>
                <w:rFonts w:cs="Times New Roman"/>
                <w:sz w:val="18"/>
                <w:szCs w:val="18"/>
                <w:lang w:val="en-US"/>
              </w:rPr>
              <w:t>(0.47)</w:t>
            </w:r>
          </w:p>
        </w:tc>
      </w:tr>
      <w:tr w:rsidR="00B835A9" w:rsidRPr="007D0D5D" w:rsidTr="00E53DFD">
        <w:tc>
          <w:tcPr>
            <w:tcW w:w="3251" w:type="pct"/>
          </w:tcPr>
          <w:p w:rsidR="00B835A9" w:rsidRPr="00DF59FE" w:rsidRDefault="00B835A9" w:rsidP="00074189">
            <w:pPr>
              <w:widowControl w:val="0"/>
              <w:autoSpaceDE w:val="0"/>
              <w:autoSpaceDN w:val="0"/>
              <w:adjustRightInd w:val="0"/>
              <w:spacing w:after="0" w:line="240" w:lineRule="auto"/>
              <w:rPr>
                <w:rFonts w:cs="Times New Roman"/>
                <w:i/>
                <w:caps/>
                <w:sz w:val="18"/>
                <w:szCs w:val="18"/>
                <w:lang w:val="en-US"/>
              </w:rPr>
            </w:pPr>
            <w:r w:rsidRPr="00DF59FE">
              <w:rPr>
                <w:rFonts w:cs="Times New Roman"/>
                <w:i/>
                <w:caps/>
                <w:sz w:val="18"/>
                <w:szCs w:val="18"/>
                <w:lang w:val="en-US"/>
              </w:rPr>
              <w:t>Setanta</w:t>
            </w:r>
          </w:p>
        </w:tc>
        <w:tc>
          <w:tcPr>
            <w:tcW w:w="969" w:type="pct"/>
          </w:tcPr>
          <w:p w:rsidR="00B835A9" w:rsidRPr="007D0D5D" w:rsidRDefault="00B835A9" w:rsidP="009675B8">
            <w:pPr>
              <w:widowControl w:val="0"/>
              <w:tabs>
                <w:tab w:val="decimal" w:pos="578"/>
              </w:tabs>
              <w:autoSpaceDE w:val="0"/>
              <w:autoSpaceDN w:val="0"/>
              <w:adjustRightInd w:val="0"/>
              <w:spacing w:after="0" w:line="240" w:lineRule="auto"/>
              <w:rPr>
                <w:rFonts w:cs="Times New Roman"/>
                <w:sz w:val="18"/>
                <w:szCs w:val="18"/>
                <w:lang w:val="en-US"/>
              </w:rPr>
            </w:pPr>
            <w:r w:rsidRPr="007D0D5D">
              <w:rPr>
                <w:rFonts w:cs="Times New Roman"/>
                <w:sz w:val="18"/>
                <w:szCs w:val="18"/>
                <w:lang w:val="en-US"/>
              </w:rPr>
              <w:t>-0.966***</w:t>
            </w:r>
          </w:p>
        </w:tc>
        <w:tc>
          <w:tcPr>
            <w:tcW w:w="780" w:type="pct"/>
          </w:tcPr>
          <w:p w:rsidR="00B835A9" w:rsidRPr="007D0D5D" w:rsidRDefault="00B835A9" w:rsidP="009675B8">
            <w:pPr>
              <w:widowControl w:val="0"/>
              <w:tabs>
                <w:tab w:val="decimal" w:pos="578"/>
              </w:tabs>
              <w:autoSpaceDE w:val="0"/>
              <w:autoSpaceDN w:val="0"/>
              <w:adjustRightInd w:val="0"/>
              <w:spacing w:after="0" w:line="240" w:lineRule="auto"/>
              <w:rPr>
                <w:rFonts w:cs="Times New Roman"/>
                <w:sz w:val="18"/>
                <w:szCs w:val="18"/>
                <w:lang w:val="en-US"/>
              </w:rPr>
            </w:pPr>
            <w:r w:rsidRPr="007D0D5D">
              <w:rPr>
                <w:rFonts w:cs="Times New Roman"/>
                <w:sz w:val="18"/>
                <w:szCs w:val="18"/>
                <w:lang w:val="en-US"/>
              </w:rPr>
              <w:t>(22.94)</w:t>
            </w:r>
          </w:p>
        </w:tc>
      </w:tr>
      <w:tr w:rsidR="00E53DFD" w:rsidRPr="007D0D5D" w:rsidTr="00E53DFD">
        <w:tc>
          <w:tcPr>
            <w:tcW w:w="3251" w:type="pct"/>
          </w:tcPr>
          <w:p w:rsidR="00E53DFD" w:rsidRPr="00DF59FE" w:rsidRDefault="00E53DFD" w:rsidP="00074189">
            <w:pPr>
              <w:widowControl w:val="0"/>
              <w:autoSpaceDE w:val="0"/>
              <w:autoSpaceDN w:val="0"/>
              <w:adjustRightInd w:val="0"/>
              <w:spacing w:after="0" w:line="240" w:lineRule="auto"/>
              <w:rPr>
                <w:rFonts w:cs="Times New Roman"/>
                <w:i/>
                <w:caps/>
                <w:sz w:val="18"/>
                <w:szCs w:val="18"/>
                <w:lang w:val="en-US"/>
              </w:rPr>
            </w:pPr>
            <w:r w:rsidRPr="00DF59FE">
              <w:rPr>
                <w:rFonts w:cs="Times New Roman"/>
                <w:i/>
                <w:caps/>
                <w:sz w:val="18"/>
                <w:szCs w:val="18"/>
                <w:lang w:val="en-US"/>
              </w:rPr>
              <w:t>Other matches</w:t>
            </w:r>
          </w:p>
        </w:tc>
        <w:tc>
          <w:tcPr>
            <w:tcW w:w="969" w:type="pct"/>
          </w:tcPr>
          <w:p w:rsidR="00E53DFD" w:rsidRPr="007D0D5D" w:rsidRDefault="00E53DFD" w:rsidP="009675B8">
            <w:pPr>
              <w:widowControl w:val="0"/>
              <w:tabs>
                <w:tab w:val="decimal" w:pos="578"/>
              </w:tabs>
              <w:autoSpaceDE w:val="0"/>
              <w:autoSpaceDN w:val="0"/>
              <w:adjustRightInd w:val="0"/>
              <w:spacing w:after="0" w:line="240" w:lineRule="auto"/>
              <w:rPr>
                <w:rFonts w:cs="Times New Roman"/>
                <w:sz w:val="18"/>
                <w:szCs w:val="18"/>
                <w:lang w:val="en-US"/>
              </w:rPr>
            </w:pPr>
            <w:r w:rsidRPr="007D0D5D">
              <w:rPr>
                <w:rFonts w:cs="Times New Roman"/>
                <w:sz w:val="18"/>
                <w:szCs w:val="18"/>
                <w:lang w:val="en-US"/>
              </w:rPr>
              <w:t>-0.106</w:t>
            </w:r>
          </w:p>
        </w:tc>
        <w:tc>
          <w:tcPr>
            <w:tcW w:w="780" w:type="pct"/>
          </w:tcPr>
          <w:p w:rsidR="00E53DFD" w:rsidRPr="007D0D5D" w:rsidRDefault="00E53DFD" w:rsidP="009675B8">
            <w:pPr>
              <w:widowControl w:val="0"/>
              <w:tabs>
                <w:tab w:val="decimal" w:pos="578"/>
              </w:tabs>
              <w:autoSpaceDE w:val="0"/>
              <w:autoSpaceDN w:val="0"/>
              <w:adjustRightInd w:val="0"/>
              <w:spacing w:after="0" w:line="240" w:lineRule="auto"/>
              <w:rPr>
                <w:rFonts w:cs="Times New Roman"/>
                <w:sz w:val="18"/>
                <w:szCs w:val="18"/>
                <w:lang w:val="en-US"/>
              </w:rPr>
            </w:pPr>
            <w:r w:rsidRPr="007D0D5D">
              <w:rPr>
                <w:rFonts w:cs="Times New Roman"/>
                <w:sz w:val="18"/>
                <w:szCs w:val="18"/>
                <w:lang w:val="en-US"/>
              </w:rPr>
              <w:t>(0.76)</w:t>
            </w:r>
          </w:p>
        </w:tc>
      </w:tr>
      <w:tr w:rsidR="00E53DFD" w:rsidRPr="007D0D5D" w:rsidTr="00E53DFD">
        <w:tc>
          <w:tcPr>
            <w:tcW w:w="3251" w:type="pct"/>
          </w:tcPr>
          <w:p w:rsidR="00E53DFD" w:rsidRPr="00DF59FE" w:rsidRDefault="00E53DFD" w:rsidP="00074189">
            <w:pPr>
              <w:widowControl w:val="0"/>
              <w:autoSpaceDE w:val="0"/>
              <w:autoSpaceDN w:val="0"/>
              <w:adjustRightInd w:val="0"/>
              <w:spacing w:after="0" w:line="240" w:lineRule="auto"/>
              <w:rPr>
                <w:rFonts w:cs="Times New Roman"/>
                <w:i/>
                <w:caps/>
                <w:sz w:val="18"/>
                <w:szCs w:val="18"/>
                <w:lang w:val="en-US"/>
              </w:rPr>
            </w:pPr>
            <w:r w:rsidRPr="00DF59FE">
              <w:rPr>
                <w:rFonts w:cs="Times New Roman"/>
                <w:i/>
                <w:caps/>
                <w:sz w:val="18"/>
                <w:szCs w:val="18"/>
                <w:lang w:val="en-US"/>
              </w:rPr>
              <w:t>Derby</w:t>
            </w:r>
          </w:p>
        </w:tc>
        <w:tc>
          <w:tcPr>
            <w:tcW w:w="969" w:type="pct"/>
          </w:tcPr>
          <w:p w:rsidR="00E53DFD" w:rsidRPr="007D0D5D" w:rsidRDefault="00E53DFD" w:rsidP="009675B8">
            <w:pPr>
              <w:widowControl w:val="0"/>
              <w:tabs>
                <w:tab w:val="decimal" w:pos="578"/>
              </w:tabs>
              <w:autoSpaceDE w:val="0"/>
              <w:autoSpaceDN w:val="0"/>
              <w:adjustRightInd w:val="0"/>
              <w:spacing w:after="0" w:line="240" w:lineRule="auto"/>
              <w:rPr>
                <w:rFonts w:cs="Times New Roman"/>
                <w:sz w:val="18"/>
                <w:szCs w:val="18"/>
                <w:lang w:val="en-US"/>
              </w:rPr>
            </w:pPr>
            <w:r w:rsidRPr="007D0D5D">
              <w:rPr>
                <w:rFonts w:cs="Times New Roman"/>
                <w:sz w:val="18"/>
                <w:szCs w:val="18"/>
                <w:lang w:val="en-US"/>
              </w:rPr>
              <w:t>-0.008</w:t>
            </w:r>
          </w:p>
        </w:tc>
        <w:tc>
          <w:tcPr>
            <w:tcW w:w="780" w:type="pct"/>
          </w:tcPr>
          <w:p w:rsidR="00E53DFD" w:rsidRPr="007D0D5D" w:rsidRDefault="00E53DFD" w:rsidP="009675B8">
            <w:pPr>
              <w:widowControl w:val="0"/>
              <w:tabs>
                <w:tab w:val="decimal" w:pos="578"/>
              </w:tabs>
              <w:autoSpaceDE w:val="0"/>
              <w:autoSpaceDN w:val="0"/>
              <w:adjustRightInd w:val="0"/>
              <w:spacing w:after="0" w:line="240" w:lineRule="auto"/>
              <w:rPr>
                <w:rFonts w:cs="Times New Roman"/>
                <w:sz w:val="18"/>
                <w:szCs w:val="18"/>
                <w:lang w:val="en-US"/>
              </w:rPr>
            </w:pPr>
            <w:r w:rsidRPr="007D0D5D">
              <w:rPr>
                <w:rFonts w:cs="Times New Roman"/>
                <w:sz w:val="18"/>
                <w:szCs w:val="18"/>
                <w:lang w:val="en-US"/>
              </w:rPr>
              <w:t>(0.19)</w:t>
            </w:r>
          </w:p>
        </w:tc>
      </w:tr>
      <w:tr w:rsidR="00E53DFD" w:rsidRPr="007D0D5D" w:rsidTr="00E53DFD">
        <w:tc>
          <w:tcPr>
            <w:tcW w:w="3251" w:type="pct"/>
          </w:tcPr>
          <w:p w:rsidR="00E53DFD" w:rsidRPr="00DF59FE" w:rsidRDefault="00E53DFD" w:rsidP="00074189">
            <w:pPr>
              <w:widowControl w:val="0"/>
              <w:autoSpaceDE w:val="0"/>
              <w:autoSpaceDN w:val="0"/>
              <w:adjustRightInd w:val="0"/>
              <w:spacing w:after="0" w:line="240" w:lineRule="auto"/>
              <w:rPr>
                <w:rFonts w:cs="Times New Roman"/>
                <w:i/>
                <w:caps/>
                <w:sz w:val="18"/>
                <w:szCs w:val="18"/>
                <w:lang w:val="en-US"/>
              </w:rPr>
            </w:pPr>
            <w:r w:rsidRPr="00DF59FE">
              <w:rPr>
                <w:rFonts w:cs="Times New Roman"/>
                <w:i/>
                <w:caps/>
                <w:sz w:val="18"/>
                <w:szCs w:val="18"/>
                <w:lang w:val="en-US"/>
              </w:rPr>
              <w:t>Weekday</w:t>
            </w:r>
          </w:p>
        </w:tc>
        <w:tc>
          <w:tcPr>
            <w:tcW w:w="969" w:type="pct"/>
          </w:tcPr>
          <w:p w:rsidR="00E53DFD" w:rsidRPr="007D0D5D" w:rsidRDefault="00E53DFD" w:rsidP="009675B8">
            <w:pPr>
              <w:widowControl w:val="0"/>
              <w:tabs>
                <w:tab w:val="decimal" w:pos="578"/>
              </w:tabs>
              <w:autoSpaceDE w:val="0"/>
              <w:autoSpaceDN w:val="0"/>
              <w:adjustRightInd w:val="0"/>
              <w:spacing w:after="0" w:line="240" w:lineRule="auto"/>
              <w:rPr>
                <w:rFonts w:cs="Times New Roman"/>
                <w:sz w:val="18"/>
                <w:szCs w:val="18"/>
                <w:lang w:val="en-US"/>
              </w:rPr>
            </w:pPr>
            <w:r w:rsidRPr="007D0D5D">
              <w:rPr>
                <w:rFonts w:cs="Times New Roman"/>
                <w:sz w:val="18"/>
                <w:szCs w:val="18"/>
                <w:lang w:val="en-US"/>
              </w:rPr>
              <w:t>-0.083***</w:t>
            </w:r>
          </w:p>
        </w:tc>
        <w:tc>
          <w:tcPr>
            <w:tcW w:w="780" w:type="pct"/>
          </w:tcPr>
          <w:p w:rsidR="00E53DFD" w:rsidRPr="007D0D5D" w:rsidRDefault="00E53DFD" w:rsidP="009675B8">
            <w:pPr>
              <w:widowControl w:val="0"/>
              <w:tabs>
                <w:tab w:val="decimal" w:pos="578"/>
              </w:tabs>
              <w:autoSpaceDE w:val="0"/>
              <w:autoSpaceDN w:val="0"/>
              <w:adjustRightInd w:val="0"/>
              <w:spacing w:after="0" w:line="240" w:lineRule="auto"/>
              <w:rPr>
                <w:rFonts w:cs="Times New Roman"/>
                <w:sz w:val="18"/>
                <w:szCs w:val="18"/>
                <w:lang w:val="en-US"/>
              </w:rPr>
            </w:pPr>
            <w:r w:rsidRPr="007D0D5D">
              <w:rPr>
                <w:rFonts w:cs="Times New Roman"/>
                <w:sz w:val="18"/>
                <w:szCs w:val="18"/>
                <w:lang w:val="en-US"/>
              </w:rPr>
              <w:t>(3.85)</w:t>
            </w:r>
          </w:p>
        </w:tc>
      </w:tr>
      <w:tr w:rsidR="00B835A9" w:rsidRPr="007D0D5D" w:rsidTr="00E53DFD">
        <w:tc>
          <w:tcPr>
            <w:tcW w:w="3251" w:type="pct"/>
          </w:tcPr>
          <w:p w:rsidR="00B835A9" w:rsidRPr="00DF59FE" w:rsidRDefault="00B835A9" w:rsidP="00074189">
            <w:pPr>
              <w:widowControl w:val="0"/>
              <w:autoSpaceDE w:val="0"/>
              <w:autoSpaceDN w:val="0"/>
              <w:adjustRightInd w:val="0"/>
              <w:spacing w:after="0" w:line="240" w:lineRule="auto"/>
              <w:rPr>
                <w:rFonts w:cs="Times New Roman"/>
                <w:i/>
                <w:caps/>
                <w:sz w:val="18"/>
                <w:szCs w:val="18"/>
                <w:lang w:val="en-US"/>
              </w:rPr>
            </w:pPr>
            <w:r w:rsidRPr="00DF59FE">
              <w:rPr>
                <w:rFonts w:cs="Times New Roman"/>
                <w:i/>
                <w:caps/>
                <w:sz w:val="18"/>
                <w:szCs w:val="18"/>
                <w:lang w:val="en-US"/>
              </w:rPr>
              <w:t>Outcome Uncertainty</w:t>
            </w:r>
          </w:p>
        </w:tc>
        <w:tc>
          <w:tcPr>
            <w:tcW w:w="969" w:type="pct"/>
          </w:tcPr>
          <w:p w:rsidR="00B835A9" w:rsidRPr="007D0D5D" w:rsidRDefault="00B835A9" w:rsidP="009675B8">
            <w:pPr>
              <w:widowControl w:val="0"/>
              <w:tabs>
                <w:tab w:val="decimal" w:pos="578"/>
              </w:tabs>
              <w:autoSpaceDE w:val="0"/>
              <w:autoSpaceDN w:val="0"/>
              <w:adjustRightInd w:val="0"/>
              <w:spacing w:after="0" w:line="240" w:lineRule="auto"/>
              <w:rPr>
                <w:rFonts w:cs="Times New Roman"/>
                <w:sz w:val="18"/>
                <w:szCs w:val="18"/>
                <w:lang w:val="en-US"/>
              </w:rPr>
            </w:pPr>
            <w:r w:rsidRPr="007D0D5D">
              <w:rPr>
                <w:rFonts w:cs="Times New Roman"/>
                <w:sz w:val="18"/>
                <w:szCs w:val="18"/>
                <w:lang w:val="en-US"/>
              </w:rPr>
              <w:t>-0.039</w:t>
            </w:r>
          </w:p>
        </w:tc>
        <w:tc>
          <w:tcPr>
            <w:tcW w:w="780" w:type="pct"/>
          </w:tcPr>
          <w:p w:rsidR="00B835A9" w:rsidRPr="007D0D5D" w:rsidRDefault="00B835A9" w:rsidP="009675B8">
            <w:pPr>
              <w:widowControl w:val="0"/>
              <w:tabs>
                <w:tab w:val="decimal" w:pos="578"/>
              </w:tabs>
              <w:autoSpaceDE w:val="0"/>
              <w:autoSpaceDN w:val="0"/>
              <w:adjustRightInd w:val="0"/>
              <w:spacing w:after="0" w:line="240" w:lineRule="auto"/>
              <w:rPr>
                <w:rFonts w:cs="Times New Roman"/>
                <w:sz w:val="18"/>
                <w:szCs w:val="18"/>
                <w:lang w:val="en-US"/>
              </w:rPr>
            </w:pPr>
            <w:r w:rsidRPr="007D0D5D">
              <w:rPr>
                <w:rFonts w:cs="Times New Roman"/>
                <w:sz w:val="18"/>
                <w:szCs w:val="18"/>
                <w:lang w:val="en-US"/>
              </w:rPr>
              <w:t>(0.49)</w:t>
            </w:r>
          </w:p>
        </w:tc>
      </w:tr>
      <w:tr w:rsidR="00B835A9" w:rsidRPr="007D0D5D" w:rsidTr="00E53DFD">
        <w:tc>
          <w:tcPr>
            <w:tcW w:w="3251" w:type="pct"/>
          </w:tcPr>
          <w:p w:rsidR="00B835A9" w:rsidRPr="00DF59FE" w:rsidRDefault="00B835A9" w:rsidP="00074189">
            <w:pPr>
              <w:widowControl w:val="0"/>
              <w:autoSpaceDE w:val="0"/>
              <w:autoSpaceDN w:val="0"/>
              <w:adjustRightInd w:val="0"/>
              <w:spacing w:after="0" w:line="240" w:lineRule="auto"/>
              <w:rPr>
                <w:rFonts w:cs="Times New Roman"/>
                <w:i/>
                <w:caps/>
                <w:sz w:val="18"/>
                <w:szCs w:val="18"/>
                <w:lang w:val="en-US"/>
              </w:rPr>
            </w:pPr>
            <w:r w:rsidRPr="00DF59FE">
              <w:rPr>
                <w:rFonts w:cs="Times New Roman"/>
                <w:i/>
                <w:caps/>
                <w:sz w:val="18"/>
                <w:szCs w:val="18"/>
                <w:lang w:val="en-US"/>
              </w:rPr>
              <w:t>Constant</w:t>
            </w:r>
          </w:p>
        </w:tc>
        <w:tc>
          <w:tcPr>
            <w:tcW w:w="969" w:type="pct"/>
          </w:tcPr>
          <w:p w:rsidR="00B835A9" w:rsidRPr="007D0D5D" w:rsidRDefault="00B835A9" w:rsidP="009675B8">
            <w:pPr>
              <w:widowControl w:val="0"/>
              <w:tabs>
                <w:tab w:val="decimal" w:pos="578"/>
              </w:tabs>
              <w:autoSpaceDE w:val="0"/>
              <w:autoSpaceDN w:val="0"/>
              <w:adjustRightInd w:val="0"/>
              <w:spacing w:after="0" w:line="240" w:lineRule="auto"/>
              <w:rPr>
                <w:rFonts w:cs="Times New Roman"/>
                <w:sz w:val="18"/>
                <w:szCs w:val="18"/>
                <w:lang w:val="en-US"/>
              </w:rPr>
            </w:pPr>
            <w:r w:rsidRPr="007D0D5D">
              <w:rPr>
                <w:rFonts w:cs="Times New Roman"/>
                <w:sz w:val="18"/>
                <w:szCs w:val="18"/>
                <w:lang w:val="en-US"/>
              </w:rPr>
              <w:t>13.037***</w:t>
            </w:r>
          </w:p>
        </w:tc>
        <w:tc>
          <w:tcPr>
            <w:tcW w:w="780" w:type="pct"/>
          </w:tcPr>
          <w:p w:rsidR="00B835A9" w:rsidRPr="007D0D5D" w:rsidRDefault="00B835A9" w:rsidP="009675B8">
            <w:pPr>
              <w:widowControl w:val="0"/>
              <w:tabs>
                <w:tab w:val="decimal" w:pos="578"/>
              </w:tabs>
              <w:autoSpaceDE w:val="0"/>
              <w:autoSpaceDN w:val="0"/>
              <w:adjustRightInd w:val="0"/>
              <w:spacing w:after="0" w:line="240" w:lineRule="auto"/>
              <w:rPr>
                <w:rFonts w:cs="Times New Roman"/>
                <w:sz w:val="18"/>
                <w:szCs w:val="18"/>
                <w:lang w:val="en-US"/>
              </w:rPr>
            </w:pPr>
            <w:r w:rsidRPr="007D0D5D">
              <w:rPr>
                <w:rFonts w:cs="Times New Roman"/>
                <w:sz w:val="18"/>
                <w:szCs w:val="18"/>
                <w:lang w:val="en-US"/>
              </w:rPr>
              <w:t>(32.44)</w:t>
            </w:r>
          </w:p>
        </w:tc>
      </w:tr>
      <w:tr w:rsidR="00B835A9" w:rsidRPr="007D0D5D" w:rsidTr="0048026C">
        <w:tc>
          <w:tcPr>
            <w:tcW w:w="5000" w:type="pct"/>
            <w:gridSpan w:val="3"/>
          </w:tcPr>
          <w:p w:rsidR="00B835A9" w:rsidRPr="007D0D5D" w:rsidRDefault="00B835A9" w:rsidP="008E2342">
            <w:pPr>
              <w:widowControl w:val="0"/>
              <w:tabs>
                <w:tab w:val="decimal" w:pos="578"/>
              </w:tabs>
              <w:autoSpaceDE w:val="0"/>
              <w:autoSpaceDN w:val="0"/>
              <w:adjustRightInd w:val="0"/>
              <w:spacing w:after="0" w:line="240" w:lineRule="auto"/>
              <w:jc w:val="center"/>
              <w:rPr>
                <w:rFonts w:cs="Times New Roman"/>
                <w:sz w:val="18"/>
                <w:szCs w:val="18"/>
                <w:lang w:val="en-US"/>
              </w:rPr>
            </w:pPr>
            <w:r w:rsidRPr="007D0D5D">
              <w:rPr>
                <w:rFonts w:cs="Times New Roman"/>
                <w:sz w:val="18"/>
                <w:szCs w:val="18"/>
                <w:lang w:val="en-US"/>
              </w:rPr>
              <w:t xml:space="preserve">Selection model: Dependent variable is </w:t>
            </w:r>
            <m:oMath>
              <m:func>
                <m:funcPr>
                  <m:ctrlPr>
                    <w:rPr>
                      <w:rFonts w:ascii="Cambria Math" w:hAnsi="Cambria Math"/>
                      <w:sz w:val="18"/>
                      <w:szCs w:val="18"/>
                    </w:rPr>
                  </m:ctrlPr>
                </m:funcPr>
                <m:fName>
                  <m:r>
                    <m:rPr>
                      <m:sty m:val="p"/>
                    </m:rPr>
                    <w:rPr>
                      <w:rFonts w:ascii="Cambria Math" w:hAnsi="Cambria Math"/>
                      <w:sz w:val="18"/>
                      <w:szCs w:val="18"/>
                    </w:rPr>
                    <m:t>Prob</m:t>
                  </m:r>
                </m:fName>
                <m:e>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TELEVISED</m:t>
                          </m:r>
                        </m:e>
                        <m:sub>
                          <m:r>
                            <w:rPr>
                              <w:rFonts w:ascii="Cambria Math" w:hAnsi="Cambria Math"/>
                              <w:sz w:val="18"/>
                              <w:szCs w:val="18"/>
                            </w:rPr>
                            <m:t>ijt</m:t>
                          </m:r>
                        </m:sub>
                      </m:sSub>
                    </m:e>
                  </m:d>
                </m:e>
              </m:func>
            </m:oMath>
          </w:p>
        </w:tc>
      </w:tr>
      <w:tr w:rsidR="00B835A9" w:rsidRPr="007D0D5D" w:rsidTr="00E53DFD">
        <w:tc>
          <w:tcPr>
            <w:tcW w:w="3251" w:type="pct"/>
          </w:tcPr>
          <w:p w:rsidR="00B835A9" w:rsidRPr="007D0D5D" w:rsidRDefault="00B835A9" w:rsidP="005B2900">
            <w:pPr>
              <w:widowControl w:val="0"/>
              <w:autoSpaceDE w:val="0"/>
              <w:autoSpaceDN w:val="0"/>
              <w:adjustRightInd w:val="0"/>
              <w:spacing w:after="0" w:line="240" w:lineRule="auto"/>
              <w:rPr>
                <w:rFonts w:cs="Times New Roman"/>
                <w:sz w:val="18"/>
                <w:szCs w:val="18"/>
                <w:lang w:val="en-US"/>
              </w:rPr>
            </w:pPr>
          </w:p>
        </w:tc>
        <w:tc>
          <w:tcPr>
            <w:tcW w:w="969" w:type="pct"/>
          </w:tcPr>
          <w:p w:rsidR="00B835A9" w:rsidRPr="007D0D5D" w:rsidRDefault="00B835A9" w:rsidP="009675B8">
            <w:pPr>
              <w:widowControl w:val="0"/>
              <w:tabs>
                <w:tab w:val="decimal" w:pos="578"/>
              </w:tabs>
              <w:autoSpaceDE w:val="0"/>
              <w:autoSpaceDN w:val="0"/>
              <w:adjustRightInd w:val="0"/>
              <w:spacing w:after="0" w:line="240" w:lineRule="auto"/>
              <w:rPr>
                <w:rFonts w:cs="Times New Roman"/>
                <w:sz w:val="18"/>
                <w:szCs w:val="18"/>
                <w:lang w:val="en-US"/>
              </w:rPr>
            </w:pPr>
            <w:r w:rsidRPr="007D0D5D">
              <w:rPr>
                <w:rFonts w:cs="Times New Roman"/>
                <w:sz w:val="18"/>
                <w:szCs w:val="18"/>
                <w:lang w:val="en-US"/>
              </w:rPr>
              <w:t>Coefficient</w:t>
            </w:r>
          </w:p>
        </w:tc>
        <w:tc>
          <w:tcPr>
            <w:tcW w:w="780" w:type="pct"/>
          </w:tcPr>
          <w:p w:rsidR="00B835A9" w:rsidRPr="007D0D5D" w:rsidRDefault="00B835A9" w:rsidP="009675B8">
            <w:pPr>
              <w:widowControl w:val="0"/>
              <w:tabs>
                <w:tab w:val="decimal" w:pos="578"/>
              </w:tabs>
              <w:autoSpaceDE w:val="0"/>
              <w:autoSpaceDN w:val="0"/>
              <w:adjustRightInd w:val="0"/>
              <w:spacing w:after="0" w:line="240" w:lineRule="auto"/>
              <w:rPr>
                <w:rFonts w:cs="Times New Roman"/>
                <w:sz w:val="18"/>
                <w:szCs w:val="18"/>
                <w:lang w:val="en-US"/>
              </w:rPr>
            </w:pPr>
            <w:r w:rsidRPr="007D0D5D">
              <w:rPr>
                <w:rFonts w:cs="Times New Roman"/>
                <w:sz w:val="18"/>
                <w:szCs w:val="18"/>
                <w:lang w:val="en-US"/>
              </w:rPr>
              <w:t>t statistic</w:t>
            </w:r>
          </w:p>
        </w:tc>
      </w:tr>
      <w:tr w:rsidR="00B835A9" w:rsidRPr="007D0D5D" w:rsidTr="00E53DFD">
        <w:tc>
          <w:tcPr>
            <w:tcW w:w="3251" w:type="pct"/>
          </w:tcPr>
          <w:p w:rsidR="00B835A9" w:rsidRPr="00DF59FE" w:rsidRDefault="00B835A9" w:rsidP="00074189">
            <w:pPr>
              <w:widowControl w:val="0"/>
              <w:autoSpaceDE w:val="0"/>
              <w:autoSpaceDN w:val="0"/>
              <w:adjustRightInd w:val="0"/>
              <w:spacing w:after="0" w:line="240" w:lineRule="auto"/>
              <w:rPr>
                <w:rFonts w:cs="Times New Roman"/>
                <w:i/>
                <w:caps/>
                <w:sz w:val="18"/>
                <w:szCs w:val="18"/>
                <w:lang w:val="en-US"/>
              </w:rPr>
            </w:pPr>
            <w:r w:rsidRPr="00DF59FE">
              <w:rPr>
                <w:rFonts w:cs="Times New Roman"/>
                <w:i/>
                <w:caps/>
                <w:sz w:val="18"/>
                <w:szCs w:val="18"/>
                <w:lang w:val="en-US"/>
              </w:rPr>
              <w:t>Combined relative wage</w:t>
            </w:r>
            <w:r w:rsidR="00165E35" w:rsidRPr="00DF59FE">
              <w:rPr>
                <w:rFonts w:cs="Times New Roman"/>
                <w:i/>
                <w:caps/>
                <w:sz w:val="18"/>
                <w:szCs w:val="18"/>
                <w:lang w:val="en-US"/>
              </w:rPr>
              <w:t xml:space="preserve"> × </w:t>
            </w:r>
            <w:r w:rsidRPr="00DF59FE">
              <w:rPr>
                <w:rFonts w:cs="Times New Roman"/>
                <w:i/>
                <w:caps/>
                <w:sz w:val="18"/>
                <w:szCs w:val="18"/>
                <w:lang w:val="en-US"/>
              </w:rPr>
              <w:t>First half</w:t>
            </w:r>
          </w:p>
        </w:tc>
        <w:tc>
          <w:tcPr>
            <w:tcW w:w="969" w:type="pct"/>
          </w:tcPr>
          <w:p w:rsidR="00B835A9" w:rsidRPr="007D0D5D" w:rsidRDefault="00B835A9" w:rsidP="009675B8">
            <w:pPr>
              <w:widowControl w:val="0"/>
              <w:tabs>
                <w:tab w:val="decimal" w:pos="578"/>
              </w:tabs>
              <w:autoSpaceDE w:val="0"/>
              <w:autoSpaceDN w:val="0"/>
              <w:adjustRightInd w:val="0"/>
              <w:spacing w:after="0" w:line="240" w:lineRule="auto"/>
              <w:rPr>
                <w:rFonts w:cs="Times New Roman"/>
                <w:sz w:val="18"/>
                <w:szCs w:val="18"/>
                <w:lang w:val="en-US"/>
              </w:rPr>
            </w:pPr>
            <w:r w:rsidRPr="007D0D5D">
              <w:rPr>
                <w:rFonts w:cs="Times New Roman"/>
                <w:sz w:val="18"/>
                <w:szCs w:val="18"/>
                <w:lang w:val="en-US"/>
              </w:rPr>
              <w:t>0.572***</w:t>
            </w:r>
          </w:p>
        </w:tc>
        <w:tc>
          <w:tcPr>
            <w:tcW w:w="780" w:type="pct"/>
          </w:tcPr>
          <w:p w:rsidR="00B835A9" w:rsidRPr="007D0D5D" w:rsidRDefault="00B835A9" w:rsidP="009675B8">
            <w:pPr>
              <w:widowControl w:val="0"/>
              <w:tabs>
                <w:tab w:val="decimal" w:pos="578"/>
              </w:tabs>
              <w:autoSpaceDE w:val="0"/>
              <w:autoSpaceDN w:val="0"/>
              <w:adjustRightInd w:val="0"/>
              <w:spacing w:after="0" w:line="240" w:lineRule="auto"/>
              <w:rPr>
                <w:rFonts w:cs="Times New Roman"/>
                <w:sz w:val="18"/>
                <w:szCs w:val="18"/>
                <w:lang w:val="en-US"/>
              </w:rPr>
            </w:pPr>
            <w:r w:rsidRPr="007D0D5D">
              <w:rPr>
                <w:rFonts w:cs="Times New Roman"/>
                <w:sz w:val="18"/>
                <w:szCs w:val="18"/>
                <w:lang w:val="en-US"/>
              </w:rPr>
              <w:t>(7.93)</w:t>
            </w:r>
          </w:p>
        </w:tc>
      </w:tr>
      <w:tr w:rsidR="00B835A9" w:rsidRPr="007D0D5D" w:rsidTr="00E53DFD">
        <w:tc>
          <w:tcPr>
            <w:tcW w:w="3251" w:type="pct"/>
          </w:tcPr>
          <w:p w:rsidR="00B835A9" w:rsidRPr="00DF59FE" w:rsidRDefault="00B835A9" w:rsidP="00074189">
            <w:pPr>
              <w:widowControl w:val="0"/>
              <w:autoSpaceDE w:val="0"/>
              <w:autoSpaceDN w:val="0"/>
              <w:adjustRightInd w:val="0"/>
              <w:spacing w:after="0" w:line="240" w:lineRule="auto"/>
              <w:rPr>
                <w:rFonts w:cs="Times New Roman"/>
                <w:i/>
                <w:caps/>
                <w:sz w:val="18"/>
                <w:szCs w:val="18"/>
                <w:lang w:val="en-US"/>
              </w:rPr>
            </w:pPr>
            <w:r w:rsidRPr="00DF59FE">
              <w:rPr>
                <w:rFonts w:cs="Times New Roman"/>
                <w:i/>
                <w:caps/>
                <w:sz w:val="18"/>
                <w:szCs w:val="18"/>
                <w:lang w:val="en-US"/>
              </w:rPr>
              <w:t>Combined relative wage</w:t>
            </w:r>
            <w:r w:rsidR="00165E35" w:rsidRPr="00DF59FE">
              <w:rPr>
                <w:rFonts w:cs="Times New Roman"/>
                <w:i/>
                <w:caps/>
                <w:sz w:val="18"/>
                <w:szCs w:val="18"/>
                <w:lang w:val="en-US"/>
              </w:rPr>
              <w:t xml:space="preserve"> × </w:t>
            </w:r>
            <w:r w:rsidRPr="00DF59FE">
              <w:rPr>
                <w:rFonts w:cs="Times New Roman"/>
                <w:i/>
                <w:caps/>
                <w:sz w:val="18"/>
                <w:szCs w:val="18"/>
                <w:lang w:val="en-US"/>
              </w:rPr>
              <w:t>second half</w:t>
            </w:r>
          </w:p>
        </w:tc>
        <w:tc>
          <w:tcPr>
            <w:tcW w:w="969" w:type="pct"/>
          </w:tcPr>
          <w:p w:rsidR="00B835A9" w:rsidRPr="007D0D5D" w:rsidRDefault="00B835A9" w:rsidP="009675B8">
            <w:pPr>
              <w:widowControl w:val="0"/>
              <w:tabs>
                <w:tab w:val="decimal" w:pos="578"/>
              </w:tabs>
              <w:autoSpaceDE w:val="0"/>
              <w:autoSpaceDN w:val="0"/>
              <w:adjustRightInd w:val="0"/>
              <w:spacing w:after="0" w:line="240" w:lineRule="auto"/>
              <w:rPr>
                <w:rFonts w:cs="Times New Roman"/>
                <w:sz w:val="18"/>
                <w:szCs w:val="18"/>
                <w:lang w:val="en-US"/>
              </w:rPr>
            </w:pPr>
            <w:r w:rsidRPr="007D0D5D">
              <w:rPr>
                <w:rFonts w:cs="Times New Roman"/>
                <w:sz w:val="18"/>
                <w:szCs w:val="18"/>
                <w:lang w:val="en-US"/>
              </w:rPr>
              <w:t>0.275***</w:t>
            </w:r>
          </w:p>
        </w:tc>
        <w:tc>
          <w:tcPr>
            <w:tcW w:w="780" w:type="pct"/>
          </w:tcPr>
          <w:p w:rsidR="00B835A9" w:rsidRPr="007D0D5D" w:rsidRDefault="00B835A9" w:rsidP="009675B8">
            <w:pPr>
              <w:widowControl w:val="0"/>
              <w:tabs>
                <w:tab w:val="decimal" w:pos="578"/>
              </w:tabs>
              <w:autoSpaceDE w:val="0"/>
              <w:autoSpaceDN w:val="0"/>
              <w:adjustRightInd w:val="0"/>
              <w:spacing w:after="0" w:line="240" w:lineRule="auto"/>
              <w:rPr>
                <w:rFonts w:cs="Times New Roman"/>
                <w:sz w:val="18"/>
                <w:szCs w:val="18"/>
                <w:lang w:val="en-US"/>
              </w:rPr>
            </w:pPr>
            <w:r w:rsidRPr="007D0D5D">
              <w:rPr>
                <w:rFonts w:cs="Times New Roman"/>
                <w:sz w:val="18"/>
                <w:szCs w:val="18"/>
                <w:lang w:val="en-US"/>
              </w:rPr>
              <w:t>(2.84)</w:t>
            </w:r>
          </w:p>
        </w:tc>
      </w:tr>
      <w:tr w:rsidR="00B835A9" w:rsidRPr="007D0D5D" w:rsidTr="00E53DFD">
        <w:tc>
          <w:tcPr>
            <w:tcW w:w="3251" w:type="pct"/>
          </w:tcPr>
          <w:p w:rsidR="00B835A9" w:rsidRPr="00DF59FE" w:rsidRDefault="00B835A9" w:rsidP="00074189">
            <w:pPr>
              <w:widowControl w:val="0"/>
              <w:autoSpaceDE w:val="0"/>
              <w:autoSpaceDN w:val="0"/>
              <w:adjustRightInd w:val="0"/>
              <w:spacing w:after="0" w:line="240" w:lineRule="auto"/>
              <w:rPr>
                <w:rFonts w:cs="Times New Roman"/>
                <w:i/>
                <w:caps/>
                <w:sz w:val="18"/>
                <w:szCs w:val="18"/>
                <w:lang w:val="en-US"/>
              </w:rPr>
            </w:pPr>
            <w:r w:rsidRPr="00DF59FE">
              <w:rPr>
                <w:rFonts w:cs="Times New Roman"/>
                <w:i/>
                <w:caps/>
                <w:sz w:val="18"/>
                <w:szCs w:val="18"/>
                <w:lang w:val="en-US"/>
              </w:rPr>
              <w:t>absolute difference in relative wage</w:t>
            </w:r>
            <w:r w:rsidR="00165E35" w:rsidRPr="00DF59FE">
              <w:rPr>
                <w:rFonts w:cs="Times New Roman"/>
                <w:i/>
                <w:caps/>
                <w:sz w:val="18"/>
                <w:szCs w:val="18"/>
                <w:lang w:val="en-US"/>
              </w:rPr>
              <w:t xml:space="preserve"> × </w:t>
            </w:r>
            <w:r w:rsidRPr="00DF59FE">
              <w:rPr>
                <w:rFonts w:cs="Times New Roman"/>
                <w:i/>
                <w:caps/>
                <w:sz w:val="18"/>
                <w:szCs w:val="18"/>
                <w:lang w:val="en-US"/>
              </w:rPr>
              <w:t>First half</w:t>
            </w:r>
          </w:p>
        </w:tc>
        <w:tc>
          <w:tcPr>
            <w:tcW w:w="969" w:type="pct"/>
          </w:tcPr>
          <w:p w:rsidR="00B835A9" w:rsidRPr="007D0D5D" w:rsidRDefault="00B835A9" w:rsidP="009675B8">
            <w:pPr>
              <w:widowControl w:val="0"/>
              <w:tabs>
                <w:tab w:val="decimal" w:pos="578"/>
              </w:tabs>
              <w:autoSpaceDE w:val="0"/>
              <w:autoSpaceDN w:val="0"/>
              <w:adjustRightInd w:val="0"/>
              <w:spacing w:after="0" w:line="240" w:lineRule="auto"/>
              <w:rPr>
                <w:rFonts w:cs="Times New Roman"/>
                <w:sz w:val="18"/>
                <w:szCs w:val="18"/>
                <w:lang w:val="en-US"/>
              </w:rPr>
            </w:pPr>
            <w:r w:rsidRPr="007D0D5D">
              <w:rPr>
                <w:rFonts w:cs="Times New Roman"/>
                <w:sz w:val="18"/>
                <w:szCs w:val="18"/>
                <w:lang w:val="en-US"/>
              </w:rPr>
              <w:t>-0.526***</w:t>
            </w:r>
          </w:p>
        </w:tc>
        <w:tc>
          <w:tcPr>
            <w:tcW w:w="780" w:type="pct"/>
          </w:tcPr>
          <w:p w:rsidR="00B835A9" w:rsidRPr="007D0D5D" w:rsidRDefault="00B835A9" w:rsidP="009675B8">
            <w:pPr>
              <w:widowControl w:val="0"/>
              <w:tabs>
                <w:tab w:val="decimal" w:pos="578"/>
              </w:tabs>
              <w:autoSpaceDE w:val="0"/>
              <w:autoSpaceDN w:val="0"/>
              <w:adjustRightInd w:val="0"/>
              <w:spacing w:after="0" w:line="240" w:lineRule="auto"/>
              <w:rPr>
                <w:rFonts w:cs="Times New Roman"/>
                <w:sz w:val="18"/>
                <w:szCs w:val="18"/>
                <w:lang w:val="en-US"/>
              </w:rPr>
            </w:pPr>
            <w:r w:rsidRPr="007D0D5D">
              <w:rPr>
                <w:rFonts w:cs="Times New Roman"/>
                <w:sz w:val="18"/>
                <w:szCs w:val="18"/>
                <w:lang w:val="en-US"/>
              </w:rPr>
              <w:t>(5.87)</w:t>
            </w:r>
          </w:p>
        </w:tc>
      </w:tr>
      <w:tr w:rsidR="00B835A9" w:rsidRPr="007D0D5D" w:rsidTr="00E53DFD">
        <w:tc>
          <w:tcPr>
            <w:tcW w:w="3251" w:type="pct"/>
          </w:tcPr>
          <w:p w:rsidR="00B835A9" w:rsidRPr="00DF59FE" w:rsidRDefault="00B835A9" w:rsidP="00074189">
            <w:pPr>
              <w:widowControl w:val="0"/>
              <w:autoSpaceDE w:val="0"/>
              <w:autoSpaceDN w:val="0"/>
              <w:adjustRightInd w:val="0"/>
              <w:spacing w:after="0" w:line="240" w:lineRule="auto"/>
              <w:rPr>
                <w:rFonts w:cs="Times New Roman"/>
                <w:i/>
                <w:caps/>
                <w:sz w:val="18"/>
                <w:szCs w:val="18"/>
                <w:lang w:val="en-US"/>
              </w:rPr>
            </w:pPr>
            <w:r w:rsidRPr="00DF59FE">
              <w:rPr>
                <w:rFonts w:cs="Times New Roman"/>
                <w:i/>
                <w:caps/>
                <w:sz w:val="18"/>
                <w:szCs w:val="18"/>
                <w:lang w:val="en-US"/>
              </w:rPr>
              <w:t>absolute difference in relative wage</w:t>
            </w:r>
            <w:r w:rsidR="00165E35" w:rsidRPr="00DF59FE">
              <w:rPr>
                <w:rFonts w:cs="Times New Roman"/>
                <w:i/>
                <w:caps/>
                <w:sz w:val="18"/>
                <w:szCs w:val="18"/>
                <w:lang w:val="en-US"/>
              </w:rPr>
              <w:t xml:space="preserve"> × </w:t>
            </w:r>
            <w:r w:rsidRPr="00DF59FE">
              <w:rPr>
                <w:rFonts w:cs="Times New Roman"/>
                <w:i/>
                <w:caps/>
                <w:sz w:val="18"/>
                <w:szCs w:val="18"/>
                <w:lang w:val="en-US"/>
              </w:rPr>
              <w:t>second half</w:t>
            </w:r>
          </w:p>
        </w:tc>
        <w:tc>
          <w:tcPr>
            <w:tcW w:w="969" w:type="pct"/>
          </w:tcPr>
          <w:p w:rsidR="00B835A9" w:rsidRPr="007D0D5D" w:rsidRDefault="00B835A9" w:rsidP="009675B8">
            <w:pPr>
              <w:widowControl w:val="0"/>
              <w:tabs>
                <w:tab w:val="decimal" w:pos="578"/>
              </w:tabs>
              <w:autoSpaceDE w:val="0"/>
              <w:autoSpaceDN w:val="0"/>
              <w:adjustRightInd w:val="0"/>
              <w:spacing w:after="0" w:line="240" w:lineRule="auto"/>
              <w:rPr>
                <w:rFonts w:cs="Times New Roman"/>
                <w:sz w:val="18"/>
                <w:szCs w:val="18"/>
                <w:lang w:val="en-US"/>
              </w:rPr>
            </w:pPr>
            <w:r w:rsidRPr="007D0D5D">
              <w:rPr>
                <w:rFonts w:cs="Times New Roman"/>
                <w:sz w:val="18"/>
                <w:szCs w:val="18"/>
                <w:lang w:val="en-US"/>
              </w:rPr>
              <w:t>-0.387***</w:t>
            </w:r>
          </w:p>
        </w:tc>
        <w:tc>
          <w:tcPr>
            <w:tcW w:w="780" w:type="pct"/>
          </w:tcPr>
          <w:p w:rsidR="00B835A9" w:rsidRPr="007D0D5D" w:rsidRDefault="00B835A9" w:rsidP="009675B8">
            <w:pPr>
              <w:widowControl w:val="0"/>
              <w:tabs>
                <w:tab w:val="decimal" w:pos="578"/>
              </w:tabs>
              <w:autoSpaceDE w:val="0"/>
              <w:autoSpaceDN w:val="0"/>
              <w:adjustRightInd w:val="0"/>
              <w:spacing w:after="0" w:line="240" w:lineRule="auto"/>
              <w:rPr>
                <w:rFonts w:cs="Times New Roman"/>
                <w:sz w:val="18"/>
                <w:szCs w:val="18"/>
                <w:lang w:val="en-US"/>
              </w:rPr>
            </w:pPr>
            <w:r w:rsidRPr="007D0D5D">
              <w:rPr>
                <w:rFonts w:cs="Times New Roman"/>
                <w:sz w:val="18"/>
                <w:szCs w:val="18"/>
                <w:lang w:val="en-US"/>
              </w:rPr>
              <w:t>(3.10)</w:t>
            </w:r>
          </w:p>
        </w:tc>
      </w:tr>
      <w:tr w:rsidR="00B835A9" w:rsidRPr="007D0D5D" w:rsidTr="00E53DFD">
        <w:tc>
          <w:tcPr>
            <w:tcW w:w="3251" w:type="pct"/>
          </w:tcPr>
          <w:p w:rsidR="00B835A9" w:rsidRPr="00DF59FE" w:rsidRDefault="00B835A9" w:rsidP="00074189">
            <w:pPr>
              <w:widowControl w:val="0"/>
              <w:autoSpaceDE w:val="0"/>
              <w:autoSpaceDN w:val="0"/>
              <w:adjustRightInd w:val="0"/>
              <w:spacing w:after="0" w:line="240" w:lineRule="auto"/>
              <w:rPr>
                <w:rFonts w:cs="Times New Roman"/>
                <w:i/>
                <w:caps/>
                <w:sz w:val="18"/>
                <w:szCs w:val="18"/>
                <w:lang w:val="en-US"/>
              </w:rPr>
            </w:pPr>
            <w:r w:rsidRPr="00DF59FE">
              <w:rPr>
                <w:rFonts w:cs="Times New Roman"/>
                <w:i/>
                <w:caps/>
                <w:sz w:val="18"/>
                <w:szCs w:val="18"/>
                <w:lang w:val="en-US"/>
              </w:rPr>
              <w:t>Derby</w:t>
            </w:r>
          </w:p>
        </w:tc>
        <w:tc>
          <w:tcPr>
            <w:tcW w:w="969" w:type="pct"/>
          </w:tcPr>
          <w:p w:rsidR="00B835A9" w:rsidRPr="007D0D5D" w:rsidRDefault="00B835A9" w:rsidP="009675B8">
            <w:pPr>
              <w:widowControl w:val="0"/>
              <w:tabs>
                <w:tab w:val="decimal" w:pos="578"/>
              </w:tabs>
              <w:autoSpaceDE w:val="0"/>
              <w:autoSpaceDN w:val="0"/>
              <w:adjustRightInd w:val="0"/>
              <w:spacing w:after="0" w:line="240" w:lineRule="auto"/>
              <w:rPr>
                <w:rFonts w:cs="Times New Roman"/>
                <w:sz w:val="18"/>
                <w:szCs w:val="18"/>
                <w:lang w:val="en-US"/>
              </w:rPr>
            </w:pPr>
            <w:r w:rsidRPr="007D0D5D">
              <w:rPr>
                <w:rFonts w:cs="Times New Roman"/>
                <w:sz w:val="18"/>
                <w:szCs w:val="18"/>
                <w:lang w:val="en-US"/>
              </w:rPr>
              <w:t>0.463***</w:t>
            </w:r>
          </w:p>
        </w:tc>
        <w:tc>
          <w:tcPr>
            <w:tcW w:w="780" w:type="pct"/>
          </w:tcPr>
          <w:p w:rsidR="00B835A9" w:rsidRPr="007D0D5D" w:rsidRDefault="00B835A9" w:rsidP="009675B8">
            <w:pPr>
              <w:widowControl w:val="0"/>
              <w:tabs>
                <w:tab w:val="decimal" w:pos="578"/>
              </w:tabs>
              <w:autoSpaceDE w:val="0"/>
              <w:autoSpaceDN w:val="0"/>
              <w:adjustRightInd w:val="0"/>
              <w:spacing w:after="0" w:line="240" w:lineRule="auto"/>
              <w:rPr>
                <w:rFonts w:cs="Times New Roman"/>
                <w:sz w:val="18"/>
                <w:szCs w:val="18"/>
                <w:lang w:val="en-US"/>
              </w:rPr>
            </w:pPr>
            <w:r w:rsidRPr="007D0D5D">
              <w:rPr>
                <w:rFonts w:cs="Times New Roman"/>
                <w:sz w:val="18"/>
                <w:szCs w:val="18"/>
                <w:lang w:val="en-US"/>
              </w:rPr>
              <w:t>(3.58)</w:t>
            </w:r>
          </w:p>
        </w:tc>
      </w:tr>
      <w:tr w:rsidR="00B835A9" w:rsidRPr="007D0D5D" w:rsidTr="00E53DFD">
        <w:tc>
          <w:tcPr>
            <w:tcW w:w="3251" w:type="pct"/>
          </w:tcPr>
          <w:p w:rsidR="00B835A9" w:rsidRPr="00DF59FE" w:rsidRDefault="00B835A9" w:rsidP="00074189">
            <w:pPr>
              <w:widowControl w:val="0"/>
              <w:autoSpaceDE w:val="0"/>
              <w:autoSpaceDN w:val="0"/>
              <w:adjustRightInd w:val="0"/>
              <w:spacing w:after="0" w:line="240" w:lineRule="auto"/>
              <w:rPr>
                <w:rFonts w:cs="Times New Roman"/>
                <w:i/>
                <w:caps/>
                <w:sz w:val="18"/>
                <w:szCs w:val="18"/>
                <w:lang w:val="en-US"/>
              </w:rPr>
            </w:pPr>
            <w:r w:rsidRPr="00DF59FE">
              <w:rPr>
                <w:rFonts w:cs="Times New Roman"/>
                <w:i/>
                <w:caps/>
                <w:sz w:val="18"/>
                <w:szCs w:val="18"/>
                <w:lang w:val="en-US"/>
              </w:rPr>
              <w:t>Ln(COMBINED LAG ATTENDANCE)</w:t>
            </w:r>
            <w:r w:rsidR="00165E35" w:rsidRPr="00DF59FE">
              <w:rPr>
                <w:rFonts w:cs="Times New Roman"/>
                <w:i/>
                <w:caps/>
                <w:sz w:val="18"/>
                <w:szCs w:val="18"/>
                <w:lang w:val="en-US"/>
              </w:rPr>
              <w:t xml:space="preserve"> × </w:t>
            </w:r>
            <w:r w:rsidRPr="00DF59FE">
              <w:rPr>
                <w:rFonts w:cs="Times New Roman"/>
                <w:i/>
                <w:caps/>
                <w:sz w:val="18"/>
                <w:szCs w:val="18"/>
                <w:lang w:val="en-US"/>
              </w:rPr>
              <w:t>FIRST HALF</w:t>
            </w:r>
          </w:p>
        </w:tc>
        <w:tc>
          <w:tcPr>
            <w:tcW w:w="969" w:type="pct"/>
          </w:tcPr>
          <w:p w:rsidR="00B835A9" w:rsidRPr="007D0D5D" w:rsidRDefault="00B835A9" w:rsidP="009675B8">
            <w:pPr>
              <w:widowControl w:val="0"/>
              <w:tabs>
                <w:tab w:val="decimal" w:pos="578"/>
              </w:tabs>
              <w:autoSpaceDE w:val="0"/>
              <w:autoSpaceDN w:val="0"/>
              <w:adjustRightInd w:val="0"/>
              <w:spacing w:after="0" w:line="240" w:lineRule="auto"/>
              <w:rPr>
                <w:rFonts w:cs="Times New Roman"/>
                <w:sz w:val="18"/>
                <w:szCs w:val="18"/>
                <w:lang w:val="en-US"/>
              </w:rPr>
            </w:pPr>
            <w:r w:rsidRPr="007D0D5D">
              <w:rPr>
                <w:rFonts w:cs="Times New Roman"/>
                <w:sz w:val="18"/>
                <w:szCs w:val="18"/>
                <w:lang w:val="en-US"/>
              </w:rPr>
              <w:t>0.140***</w:t>
            </w:r>
          </w:p>
        </w:tc>
        <w:tc>
          <w:tcPr>
            <w:tcW w:w="780" w:type="pct"/>
          </w:tcPr>
          <w:p w:rsidR="00B835A9" w:rsidRPr="007D0D5D" w:rsidRDefault="00B835A9" w:rsidP="009675B8">
            <w:pPr>
              <w:widowControl w:val="0"/>
              <w:tabs>
                <w:tab w:val="decimal" w:pos="578"/>
              </w:tabs>
              <w:autoSpaceDE w:val="0"/>
              <w:autoSpaceDN w:val="0"/>
              <w:adjustRightInd w:val="0"/>
              <w:spacing w:after="0" w:line="240" w:lineRule="auto"/>
              <w:rPr>
                <w:rFonts w:cs="Times New Roman"/>
                <w:sz w:val="18"/>
                <w:szCs w:val="18"/>
                <w:lang w:val="en-US"/>
              </w:rPr>
            </w:pPr>
            <w:r w:rsidRPr="007D0D5D">
              <w:rPr>
                <w:rFonts w:cs="Times New Roman"/>
                <w:sz w:val="18"/>
                <w:szCs w:val="18"/>
                <w:lang w:val="en-US"/>
              </w:rPr>
              <w:t>(4.42)</w:t>
            </w:r>
          </w:p>
        </w:tc>
      </w:tr>
      <w:tr w:rsidR="00B835A9" w:rsidRPr="007D0D5D" w:rsidTr="00E53DFD">
        <w:tc>
          <w:tcPr>
            <w:tcW w:w="3251" w:type="pct"/>
          </w:tcPr>
          <w:p w:rsidR="00B835A9" w:rsidRPr="00DF59FE" w:rsidRDefault="00B835A9" w:rsidP="00074189">
            <w:pPr>
              <w:widowControl w:val="0"/>
              <w:autoSpaceDE w:val="0"/>
              <w:autoSpaceDN w:val="0"/>
              <w:adjustRightInd w:val="0"/>
              <w:spacing w:after="0" w:line="240" w:lineRule="auto"/>
              <w:rPr>
                <w:rFonts w:cs="Times New Roman"/>
                <w:i/>
                <w:caps/>
                <w:sz w:val="18"/>
                <w:szCs w:val="18"/>
                <w:lang w:val="en-US"/>
              </w:rPr>
            </w:pPr>
            <w:r w:rsidRPr="00DF59FE">
              <w:rPr>
                <w:rFonts w:cs="Times New Roman"/>
                <w:i/>
                <w:caps/>
                <w:sz w:val="18"/>
                <w:szCs w:val="18"/>
                <w:lang w:val="en-US"/>
              </w:rPr>
              <w:t>COMBINED lag POINTS PER GAME</w:t>
            </w:r>
            <w:r w:rsidR="00165E35" w:rsidRPr="00DF59FE">
              <w:rPr>
                <w:rFonts w:cs="Times New Roman"/>
                <w:i/>
                <w:caps/>
                <w:sz w:val="18"/>
                <w:szCs w:val="18"/>
                <w:lang w:val="en-US"/>
              </w:rPr>
              <w:t xml:space="preserve"> × </w:t>
            </w:r>
            <w:r w:rsidRPr="00DF59FE">
              <w:rPr>
                <w:rFonts w:cs="Times New Roman"/>
                <w:i/>
                <w:caps/>
                <w:sz w:val="18"/>
                <w:szCs w:val="18"/>
                <w:lang w:val="en-US"/>
              </w:rPr>
              <w:t>FIRST HALF</w:t>
            </w:r>
          </w:p>
        </w:tc>
        <w:tc>
          <w:tcPr>
            <w:tcW w:w="969" w:type="pct"/>
          </w:tcPr>
          <w:p w:rsidR="00B835A9" w:rsidRPr="007D0D5D" w:rsidRDefault="00B835A9" w:rsidP="009675B8">
            <w:pPr>
              <w:widowControl w:val="0"/>
              <w:tabs>
                <w:tab w:val="decimal" w:pos="578"/>
              </w:tabs>
              <w:autoSpaceDE w:val="0"/>
              <w:autoSpaceDN w:val="0"/>
              <w:adjustRightInd w:val="0"/>
              <w:spacing w:after="0" w:line="240" w:lineRule="auto"/>
              <w:rPr>
                <w:rFonts w:cs="Times New Roman"/>
                <w:sz w:val="18"/>
                <w:szCs w:val="18"/>
                <w:lang w:val="en-US"/>
              </w:rPr>
            </w:pPr>
            <w:r w:rsidRPr="007D0D5D">
              <w:rPr>
                <w:rFonts w:cs="Times New Roman"/>
                <w:sz w:val="18"/>
                <w:szCs w:val="18"/>
                <w:lang w:val="en-US"/>
              </w:rPr>
              <w:t>0.005***</w:t>
            </w:r>
          </w:p>
        </w:tc>
        <w:tc>
          <w:tcPr>
            <w:tcW w:w="780" w:type="pct"/>
          </w:tcPr>
          <w:p w:rsidR="00B835A9" w:rsidRPr="007D0D5D" w:rsidRDefault="00B835A9" w:rsidP="009675B8">
            <w:pPr>
              <w:widowControl w:val="0"/>
              <w:tabs>
                <w:tab w:val="decimal" w:pos="578"/>
              </w:tabs>
              <w:autoSpaceDE w:val="0"/>
              <w:autoSpaceDN w:val="0"/>
              <w:adjustRightInd w:val="0"/>
              <w:spacing w:after="0" w:line="240" w:lineRule="auto"/>
              <w:rPr>
                <w:rFonts w:cs="Times New Roman"/>
                <w:sz w:val="18"/>
                <w:szCs w:val="18"/>
                <w:lang w:val="en-US"/>
              </w:rPr>
            </w:pPr>
            <w:r w:rsidRPr="007D0D5D">
              <w:rPr>
                <w:rFonts w:cs="Times New Roman"/>
                <w:sz w:val="18"/>
                <w:szCs w:val="18"/>
                <w:lang w:val="en-US"/>
              </w:rPr>
              <w:t>(3.27)</w:t>
            </w:r>
          </w:p>
        </w:tc>
      </w:tr>
      <w:tr w:rsidR="00B835A9" w:rsidRPr="007D0D5D" w:rsidTr="00E53DFD">
        <w:tc>
          <w:tcPr>
            <w:tcW w:w="3251" w:type="pct"/>
          </w:tcPr>
          <w:p w:rsidR="00B835A9" w:rsidRPr="00DF59FE" w:rsidRDefault="00B835A9" w:rsidP="00074189">
            <w:pPr>
              <w:widowControl w:val="0"/>
              <w:autoSpaceDE w:val="0"/>
              <w:autoSpaceDN w:val="0"/>
              <w:adjustRightInd w:val="0"/>
              <w:spacing w:after="0" w:line="240" w:lineRule="auto"/>
              <w:rPr>
                <w:rFonts w:cs="Times New Roman"/>
                <w:i/>
                <w:caps/>
                <w:sz w:val="18"/>
                <w:szCs w:val="18"/>
                <w:lang w:val="en-US"/>
              </w:rPr>
            </w:pPr>
            <w:r w:rsidRPr="00DF59FE">
              <w:rPr>
                <w:rFonts w:cs="Times New Roman"/>
                <w:i/>
                <w:caps/>
                <w:sz w:val="18"/>
                <w:szCs w:val="18"/>
                <w:lang w:val="en-US"/>
              </w:rPr>
              <w:t>Absolute difference in lag POINTS PER GAME</w:t>
            </w:r>
            <w:r w:rsidR="00165E35" w:rsidRPr="00DF59FE">
              <w:rPr>
                <w:rFonts w:cs="Times New Roman"/>
                <w:i/>
                <w:caps/>
                <w:sz w:val="18"/>
                <w:szCs w:val="18"/>
                <w:lang w:val="en-US"/>
              </w:rPr>
              <w:t xml:space="preserve"> × </w:t>
            </w:r>
            <w:r w:rsidRPr="00DF59FE">
              <w:rPr>
                <w:rFonts w:cs="Times New Roman"/>
                <w:i/>
                <w:caps/>
                <w:sz w:val="18"/>
                <w:szCs w:val="18"/>
                <w:lang w:val="en-US"/>
              </w:rPr>
              <w:t>FIRST HALF</w:t>
            </w:r>
          </w:p>
        </w:tc>
        <w:tc>
          <w:tcPr>
            <w:tcW w:w="969" w:type="pct"/>
          </w:tcPr>
          <w:p w:rsidR="00B835A9" w:rsidRPr="007D0D5D" w:rsidRDefault="00B835A9" w:rsidP="009675B8">
            <w:pPr>
              <w:widowControl w:val="0"/>
              <w:tabs>
                <w:tab w:val="decimal" w:pos="578"/>
              </w:tabs>
              <w:autoSpaceDE w:val="0"/>
              <w:autoSpaceDN w:val="0"/>
              <w:adjustRightInd w:val="0"/>
              <w:spacing w:after="0" w:line="240" w:lineRule="auto"/>
              <w:rPr>
                <w:rFonts w:cs="Times New Roman"/>
                <w:sz w:val="18"/>
                <w:szCs w:val="18"/>
                <w:lang w:val="en-US"/>
              </w:rPr>
            </w:pPr>
            <w:r w:rsidRPr="007D0D5D">
              <w:rPr>
                <w:rFonts w:cs="Times New Roman"/>
                <w:sz w:val="18"/>
                <w:szCs w:val="18"/>
                <w:lang w:val="en-US"/>
              </w:rPr>
              <w:t>-0.011***</w:t>
            </w:r>
          </w:p>
        </w:tc>
        <w:tc>
          <w:tcPr>
            <w:tcW w:w="780" w:type="pct"/>
          </w:tcPr>
          <w:p w:rsidR="00B835A9" w:rsidRPr="007D0D5D" w:rsidRDefault="00B835A9" w:rsidP="009675B8">
            <w:pPr>
              <w:widowControl w:val="0"/>
              <w:tabs>
                <w:tab w:val="decimal" w:pos="578"/>
              </w:tabs>
              <w:autoSpaceDE w:val="0"/>
              <w:autoSpaceDN w:val="0"/>
              <w:adjustRightInd w:val="0"/>
              <w:spacing w:after="0" w:line="240" w:lineRule="auto"/>
              <w:rPr>
                <w:rFonts w:cs="Times New Roman"/>
                <w:sz w:val="18"/>
                <w:szCs w:val="18"/>
                <w:lang w:val="en-US"/>
              </w:rPr>
            </w:pPr>
            <w:r w:rsidRPr="007D0D5D">
              <w:rPr>
                <w:rFonts w:cs="Times New Roman"/>
                <w:sz w:val="18"/>
                <w:szCs w:val="18"/>
                <w:lang w:val="en-US"/>
              </w:rPr>
              <w:t>(3.87)</w:t>
            </w:r>
          </w:p>
        </w:tc>
      </w:tr>
      <w:tr w:rsidR="00B835A9" w:rsidRPr="007D0D5D" w:rsidTr="00E53DFD">
        <w:tc>
          <w:tcPr>
            <w:tcW w:w="3251" w:type="pct"/>
          </w:tcPr>
          <w:p w:rsidR="00B835A9" w:rsidRPr="00DF59FE" w:rsidRDefault="00B835A9" w:rsidP="009675B8">
            <w:pPr>
              <w:widowControl w:val="0"/>
              <w:autoSpaceDE w:val="0"/>
              <w:autoSpaceDN w:val="0"/>
              <w:adjustRightInd w:val="0"/>
              <w:spacing w:after="0" w:line="240" w:lineRule="auto"/>
              <w:rPr>
                <w:rFonts w:cs="Times New Roman"/>
                <w:i/>
                <w:caps/>
                <w:sz w:val="18"/>
                <w:szCs w:val="18"/>
                <w:lang w:val="en-US"/>
              </w:rPr>
            </w:pPr>
            <w:r w:rsidRPr="00DF59FE">
              <w:rPr>
                <w:rFonts w:cs="Times New Roman"/>
                <w:i/>
                <w:caps/>
                <w:sz w:val="18"/>
                <w:szCs w:val="18"/>
                <w:lang w:val="en-US"/>
              </w:rPr>
              <w:t>COMBINED POINTS PER GAME</w:t>
            </w:r>
            <w:r w:rsidR="00165E35" w:rsidRPr="00DF59FE">
              <w:rPr>
                <w:rFonts w:cs="Times New Roman"/>
                <w:i/>
                <w:caps/>
                <w:sz w:val="18"/>
                <w:szCs w:val="18"/>
                <w:lang w:val="en-US"/>
              </w:rPr>
              <w:t xml:space="preserve"> × </w:t>
            </w:r>
            <w:r w:rsidR="009675B8" w:rsidRPr="00DF59FE">
              <w:rPr>
                <w:rFonts w:cs="Times New Roman"/>
                <w:i/>
                <w:caps/>
                <w:sz w:val="18"/>
                <w:szCs w:val="18"/>
                <w:lang w:val="en-US"/>
              </w:rPr>
              <w:t>second</w:t>
            </w:r>
            <w:r w:rsidRPr="00DF59FE">
              <w:rPr>
                <w:rFonts w:cs="Times New Roman"/>
                <w:i/>
                <w:caps/>
                <w:sz w:val="18"/>
                <w:szCs w:val="18"/>
                <w:lang w:val="en-US"/>
              </w:rPr>
              <w:t xml:space="preserve"> HALF</w:t>
            </w:r>
          </w:p>
        </w:tc>
        <w:tc>
          <w:tcPr>
            <w:tcW w:w="969" w:type="pct"/>
          </w:tcPr>
          <w:p w:rsidR="00B835A9" w:rsidRPr="007D0D5D" w:rsidRDefault="00B835A9" w:rsidP="009675B8">
            <w:pPr>
              <w:widowControl w:val="0"/>
              <w:tabs>
                <w:tab w:val="decimal" w:pos="578"/>
              </w:tabs>
              <w:autoSpaceDE w:val="0"/>
              <w:autoSpaceDN w:val="0"/>
              <w:adjustRightInd w:val="0"/>
              <w:spacing w:after="0" w:line="240" w:lineRule="auto"/>
              <w:rPr>
                <w:rFonts w:cs="Times New Roman"/>
                <w:sz w:val="18"/>
                <w:szCs w:val="18"/>
                <w:lang w:val="en-US"/>
              </w:rPr>
            </w:pPr>
            <w:r w:rsidRPr="007D0D5D">
              <w:rPr>
                <w:rFonts w:cs="Times New Roman"/>
                <w:sz w:val="18"/>
                <w:szCs w:val="18"/>
                <w:lang w:val="en-US"/>
              </w:rPr>
              <w:t>0.782***</w:t>
            </w:r>
          </w:p>
        </w:tc>
        <w:tc>
          <w:tcPr>
            <w:tcW w:w="780" w:type="pct"/>
          </w:tcPr>
          <w:p w:rsidR="00B835A9" w:rsidRPr="007D0D5D" w:rsidRDefault="00B835A9" w:rsidP="009675B8">
            <w:pPr>
              <w:widowControl w:val="0"/>
              <w:tabs>
                <w:tab w:val="decimal" w:pos="578"/>
              </w:tabs>
              <w:autoSpaceDE w:val="0"/>
              <w:autoSpaceDN w:val="0"/>
              <w:adjustRightInd w:val="0"/>
              <w:spacing w:after="0" w:line="240" w:lineRule="auto"/>
              <w:rPr>
                <w:rFonts w:cs="Times New Roman"/>
                <w:sz w:val="18"/>
                <w:szCs w:val="18"/>
                <w:lang w:val="en-US"/>
              </w:rPr>
            </w:pPr>
            <w:r w:rsidRPr="007D0D5D">
              <w:rPr>
                <w:rFonts w:cs="Times New Roman"/>
                <w:sz w:val="18"/>
                <w:szCs w:val="18"/>
                <w:lang w:val="en-US"/>
              </w:rPr>
              <w:t>(6.81)</w:t>
            </w:r>
          </w:p>
        </w:tc>
      </w:tr>
      <w:tr w:rsidR="00B835A9" w:rsidRPr="007D0D5D" w:rsidTr="00E53DFD">
        <w:tc>
          <w:tcPr>
            <w:tcW w:w="3251" w:type="pct"/>
          </w:tcPr>
          <w:p w:rsidR="00B835A9" w:rsidRPr="00DF59FE" w:rsidRDefault="00B835A9" w:rsidP="009675B8">
            <w:pPr>
              <w:widowControl w:val="0"/>
              <w:autoSpaceDE w:val="0"/>
              <w:autoSpaceDN w:val="0"/>
              <w:adjustRightInd w:val="0"/>
              <w:spacing w:after="0" w:line="240" w:lineRule="auto"/>
              <w:rPr>
                <w:rFonts w:cs="Times New Roman"/>
                <w:i/>
                <w:caps/>
                <w:sz w:val="18"/>
                <w:szCs w:val="18"/>
                <w:lang w:val="en-US"/>
              </w:rPr>
            </w:pPr>
            <w:r w:rsidRPr="00DF59FE">
              <w:rPr>
                <w:rFonts w:cs="Times New Roman"/>
                <w:i/>
                <w:caps/>
                <w:sz w:val="18"/>
                <w:szCs w:val="18"/>
                <w:lang w:val="en-US"/>
              </w:rPr>
              <w:t>absolute difference in POINTS PER GAME</w:t>
            </w:r>
            <w:r w:rsidR="00165E35" w:rsidRPr="00DF59FE">
              <w:rPr>
                <w:rFonts w:cs="Times New Roman"/>
                <w:i/>
                <w:caps/>
                <w:sz w:val="18"/>
                <w:szCs w:val="18"/>
                <w:lang w:val="en-US"/>
              </w:rPr>
              <w:t xml:space="preserve"> × </w:t>
            </w:r>
            <w:r w:rsidR="009675B8" w:rsidRPr="00DF59FE">
              <w:rPr>
                <w:rFonts w:cs="Times New Roman"/>
                <w:i/>
                <w:caps/>
                <w:sz w:val="18"/>
                <w:szCs w:val="18"/>
                <w:lang w:val="en-US"/>
              </w:rPr>
              <w:t>second</w:t>
            </w:r>
            <w:r w:rsidRPr="00DF59FE">
              <w:rPr>
                <w:rFonts w:cs="Times New Roman"/>
                <w:i/>
                <w:caps/>
                <w:sz w:val="18"/>
                <w:szCs w:val="18"/>
                <w:lang w:val="en-US"/>
              </w:rPr>
              <w:t xml:space="preserve"> HALF</w:t>
            </w:r>
          </w:p>
        </w:tc>
        <w:tc>
          <w:tcPr>
            <w:tcW w:w="969" w:type="pct"/>
          </w:tcPr>
          <w:p w:rsidR="00B835A9" w:rsidRPr="007D0D5D" w:rsidRDefault="00B835A9" w:rsidP="009675B8">
            <w:pPr>
              <w:widowControl w:val="0"/>
              <w:tabs>
                <w:tab w:val="decimal" w:pos="578"/>
              </w:tabs>
              <w:autoSpaceDE w:val="0"/>
              <w:autoSpaceDN w:val="0"/>
              <w:adjustRightInd w:val="0"/>
              <w:spacing w:after="0" w:line="240" w:lineRule="auto"/>
              <w:rPr>
                <w:rFonts w:cs="Times New Roman"/>
                <w:sz w:val="18"/>
                <w:szCs w:val="18"/>
                <w:lang w:val="en-US"/>
              </w:rPr>
            </w:pPr>
            <w:r w:rsidRPr="007D0D5D">
              <w:rPr>
                <w:rFonts w:cs="Times New Roman"/>
                <w:sz w:val="18"/>
                <w:szCs w:val="18"/>
                <w:lang w:val="en-US"/>
              </w:rPr>
              <w:t>0.175</w:t>
            </w:r>
          </w:p>
        </w:tc>
        <w:tc>
          <w:tcPr>
            <w:tcW w:w="780" w:type="pct"/>
          </w:tcPr>
          <w:p w:rsidR="00B835A9" w:rsidRPr="007D0D5D" w:rsidRDefault="00B835A9" w:rsidP="009675B8">
            <w:pPr>
              <w:widowControl w:val="0"/>
              <w:tabs>
                <w:tab w:val="decimal" w:pos="578"/>
              </w:tabs>
              <w:autoSpaceDE w:val="0"/>
              <w:autoSpaceDN w:val="0"/>
              <w:adjustRightInd w:val="0"/>
              <w:spacing w:after="0" w:line="240" w:lineRule="auto"/>
              <w:rPr>
                <w:rFonts w:cs="Times New Roman"/>
                <w:sz w:val="18"/>
                <w:szCs w:val="18"/>
                <w:lang w:val="en-US"/>
              </w:rPr>
            </w:pPr>
            <w:r w:rsidRPr="007D0D5D">
              <w:rPr>
                <w:rFonts w:cs="Times New Roman"/>
                <w:sz w:val="18"/>
                <w:szCs w:val="18"/>
                <w:lang w:val="en-US"/>
              </w:rPr>
              <w:t>(0.99)</w:t>
            </w:r>
          </w:p>
        </w:tc>
      </w:tr>
      <w:tr w:rsidR="00B835A9" w:rsidRPr="007D0D5D" w:rsidTr="00E53DFD">
        <w:tc>
          <w:tcPr>
            <w:tcW w:w="3251" w:type="pct"/>
          </w:tcPr>
          <w:p w:rsidR="00B835A9" w:rsidRPr="00DF59FE" w:rsidRDefault="00B835A9" w:rsidP="00074189">
            <w:pPr>
              <w:widowControl w:val="0"/>
              <w:autoSpaceDE w:val="0"/>
              <w:autoSpaceDN w:val="0"/>
              <w:adjustRightInd w:val="0"/>
              <w:spacing w:after="0" w:line="240" w:lineRule="auto"/>
              <w:rPr>
                <w:rFonts w:cs="Times New Roman"/>
                <w:i/>
                <w:caps/>
                <w:sz w:val="18"/>
                <w:szCs w:val="18"/>
                <w:lang w:val="en-US"/>
              </w:rPr>
            </w:pPr>
            <w:r w:rsidRPr="00DF59FE">
              <w:rPr>
                <w:rFonts w:cs="Times New Roman"/>
                <w:i/>
                <w:caps/>
                <w:sz w:val="18"/>
                <w:szCs w:val="18"/>
                <w:lang w:val="en-US"/>
              </w:rPr>
              <w:t>Champion contention</w:t>
            </w:r>
            <w:r w:rsidR="00165E35" w:rsidRPr="00DF59FE">
              <w:rPr>
                <w:rFonts w:cs="Times New Roman"/>
                <w:i/>
                <w:caps/>
                <w:sz w:val="18"/>
                <w:szCs w:val="18"/>
                <w:lang w:val="en-US"/>
              </w:rPr>
              <w:t xml:space="preserve"> × SECOND </w:t>
            </w:r>
            <w:r w:rsidRPr="00DF59FE">
              <w:rPr>
                <w:rFonts w:cs="Times New Roman"/>
                <w:i/>
                <w:caps/>
                <w:sz w:val="18"/>
                <w:szCs w:val="18"/>
                <w:lang w:val="en-US"/>
              </w:rPr>
              <w:t>half</w:t>
            </w:r>
          </w:p>
        </w:tc>
        <w:tc>
          <w:tcPr>
            <w:tcW w:w="969" w:type="pct"/>
          </w:tcPr>
          <w:p w:rsidR="00B835A9" w:rsidRPr="007D0D5D" w:rsidRDefault="00B835A9" w:rsidP="009675B8">
            <w:pPr>
              <w:widowControl w:val="0"/>
              <w:tabs>
                <w:tab w:val="decimal" w:pos="578"/>
              </w:tabs>
              <w:autoSpaceDE w:val="0"/>
              <w:autoSpaceDN w:val="0"/>
              <w:adjustRightInd w:val="0"/>
              <w:spacing w:after="0" w:line="240" w:lineRule="auto"/>
              <w:rPr>
                <w:rFonts w:cs="Times New Roman"/>
                <w:sz w:val="18"/>
                <w:szCs w:val="18"/>
                <w:lang w:val="en-US"/>
              </w:rPr>
            </w:pPr>
            <w:r w:rsidRPr="007D0D5D">
              <w:rPr>
                <w:rFonts w:cs="Times New Roman"/>
                <w:sz w:val="18"/>
                <w:szCs w:val="18"/>
                <w:lang w:val="en-US"/>
              </w:rPr>
              <w:t>0.141</w:t>
            </w:r>
          </w:p>
        </w:tc>
        <w:tc>
          <w:tcPr>
            <w:tcW w:w="780" w:type="pct"/>
          </w:tcPr>
          <w:p w:rsidR="00B835A9" w:rsidRPr="007D0D5D" w:rsidRDefault="00B835A9" w:rsidP="009675B8">
            <w:pPr>
              <w:widowControl w:val="0"/>
              <w:tabs>
                <w:tab w:val="decimal" w:pos="578"/>
              </w:tabs>
              <w:autoSpaceDE w:val="0"/>
              <w:autoSpaceDN w:val="0"/>
              <w:adjustRightInd w:val="0"/>
              <w:spacing w:after="0" w:line="240" w:lineRule="auto"/>
              <w:rPr>
                <w:rFonts w:cs="Times New Roman"/>
                <w:sz w:val="18"/>
                <w:szCs w:val="18"/>
                <w:lang w:val="en-US"/>
              </w:rPr>
            </w:pPr>
            <w:r w:rsidRPr="007D0D5D">
              <w:rPr>
                <w:rFonts w:cs="Times New Roman"/>
                <w:sz w:val="18"/>
                <w:szCs w:val="18"/>
                <w:lang w:val="en-US"/>
              </w:rPr>
              <w:t>(1.28)</w:t>
            </w:r>
          </w:p>
        </w:tc>
      </w:tr>
      <w:tr w:rsidR="00B835A9" w:rsidRPr="007D0D5D" w:rsidTr="00E53DFD">
        <w:tc>
          <w:tcPr>
            <w:tcW w:w="3251" w:type="pct"/>
          </w:tcPr>
          <w:p w:rsidR="00B835A9" w:rsidRPr="00DF59FE" w:rsidRDefault="00B835A9" w:rsidP="00074189">
            <w:pPr>
              <w:widowControl w:val="0"/>
              <w:autoSpaceDE w:val="0"/>
              <w:autoSpaceDN w:val="0"/>
              <w:adjustRightInd w:val="0"/>
              <w:spacing w:after="0" w:line="240" w:lineRule="auto"/>
              <w:rPr>
                <w:rFonts w:cs="Times New Roman"/>
                <w:i/>
                <w:caps/>
                <w:sz w:val="18"/>
                <w:szCs w:val="18"/>
                <w:lang w:val="en-US"/>
              </w:rPr>
            </w:pPr>
            <w:r w:rsidRPr="00DF59FE">
              <w:rPr>
                <w:rFonts w:cs="Times New Roman"/>
                <w:i/>
                <w:caps/>
                <w:sz w:val="18"/>
                <w:szCs w:val="18"/>
                <w:lang w:val="en-US"/>
              </w:rPr>
              <w:t>Europe contention</w:t>
            </w:r>
            <w:r w:rsidR="00165E35" w:rsidRPr="00DF59FE">
              <w:rPr>
                <w:rFonts w:cs="Times New Roman"/>
                <w:i/>
                <w:caps/>
                <w:sz w:val="18"/>
                <w:szCs w:val="18"/>
                <w:lang w:val="en-US"/>
              </w:rPr>
              <w:t xml:space="preserve"> × SECOND </w:t>
            </w:r>
            <w:r w:rsidRPr="00DF59FE">
              <w:rPr>
                <w:rFonts w:cs="Times New Roman"/>
                <w:i/>
                <w:caps/>
                <w:sz w:val="18"/>
                <w:szCs w:val="18"/>
                <w:lang w:val="en-US"/>
              </w:rPr>
              <w:t>half</w:t>
            </w:r>
          </w:p>
        </w:tc>
        <w:tc>
          <w:tcPr>
            <w:tcW w:w="969" w:type="pct"/>
          </w:tcPr>
          <w:p w:rsidR="00B835A9" w:rsidRPr="007D0D5D" w:rsidRDefault="00B835A9" w:rsidP="009675B8">
            <w:pPr>
              <w:widowControl w:val="0"/>
              <w:tabs>
                <w:tab w:val="decimal" w:pos="578"/>
              </w:tabs>
              <w:autoSpaceDE w:val="0"/>
              <w:autoSpaceDN w:val="0"/>
              <w:adjustRightInd w:val="0"/>
              <w:spacing w:after="0" w:line="240" w:lineRule="auto"/>
              <w:rPr>
                <w:rFonts w:cs="Times New Roman"/>
                <w:sz w:val="18"/>
                <w:szCs w:val="18"/>
                <w:lang w:val="en-US"/>
              </w:rPr>
            </w:pPr>
            <w:r w:rsidRPr="007D0D5D">
              <w:rPr>
                <w:rFonts w:cs="Times New Roman"/>
                <w:sz w:val="18"/>
                <w:szCs w:val="18"/>
                <w:lang w:val="en-US"/>
              </w:rPr>
              <w:t>0.272***</w:t>
            </w:r>
          </w:p>
        </w:tc>
        <w:tc>
          <w:tcPr>
            <w:tcW w:w="780" w:type="pct"/>
          </w:tcPr>
          <w:p w:rsidR="00B835A9" w:rsidRPr="007D0D5D" w:rsidRDefault="00B835A9" w:rsidP="009675B8">
            <w:pPr>
              <w:widowControl w:val="0"/>
              <w:tabs>
                <w:tab w:val="decimal" w:pos="578"/>
              </w:tabs>
              <w:autoSpaceDE w:val="0"/>
              <w:autoSpaceDN w:val="0"/>
              <w:adjustRightInd w:val="0"/>
              <w:spacing w:after="0" w:line="240" w:lineRule="auto"/>
              <w:rPr>
                <w:rFonts w:cs="Times New Roman"/>
                <w:sz w:val="18"/>
                <w:szCs w:val="18"/>
                <w:lang w:val="en-US"/>
              </w:rPr>
            </w:pPr>
            <w:r w:rsidRPr="007D0D5D">
              <w:rPr>
                <w:rFonts w:cs="Times New Roman"/>
                <w:sz w:val="18"/>
                <w:szCs w:val="18"/>
                <w:lang w:val="en-US"/>
              </w:rPr>
              <w:t>(3.09)</w:t>
            </w:r>
          </w:p>
        </w:tc>
      </w:tr>
      <w:tr w:rsidR="00B835A9" w:rsidRPr="007D0D5D" w:rsidTr="00E53DFD">
        <w:tc>
          <w:tcPr>
            <w:tcW w:w="3251" w:type="pct"/>
          </w:tcPr>
          <w:p w:rsidR="00B835A9" w:rsidRPr="00DF59FE" w:rsidRDefault="00B835A9" w:rsidP="00074189">
            <w:pPr>
              <w:widowControl w:val="0"/>
              <w:autoSpaceDE w:val="0"/>
              <w:autoSpaceDN w:val="0"/>
              <w:adjustRightInd w:val="0"/>
              <w:spacing w:after="0" w:line="240" w:lineRule="auto"/>
              <w:rPr>
                <w:rFonts w:cs="Times New Roman"/>
                <w:i/>
                <w:caps/>
                <w:sz w:val="18"/>
                <w:szCs w:val="18"/>
                <w:lang w:val="en-US"/>
              </w:rPr>
            </w:pPr>
            <w:r w:rsidRPr="00DF59FE">
              <w:rPr>
                <w:rFonts w:cs="Times New Roman"/>
                <w:i/>
                <w:caps/>
                <w:sz w:val="18"/>
                <w:szCs w:val="18"/>
                <w:lang w:val="en-US"/>
              </w:rPr>
              <w:t>Relegation contention</w:t>
            </w:r>
            <w:r w:rsidR="00165E35" w:rsidRPr="00DF59FE">
              <w:rPr>
                <w:rFonts w:cs="Times New Roman"/>
                <w:i/>
                <w:caps/>
                <w:sz w:val="18"/>
                <w:szCs w:val="18"/>
                <w:lang w:val="en-US"/>
              </w:rPr>
              <w:t xml:space="preserve"> × SECOND </w:t>
            </w:r>
            <w:r w:rsidRPr="00DF59FE">
              <w:rPr>
                <w:rFonts w:cs="Times New Roman"/>
                <w:i/>
                <w:caps/>
                <w:sz w:val="18"/>
                <w:szCs w:val="18"/>
                <w:lang w:val="en-US"/>
              </w:rPr>
              <w:t>half</w:t>
            </w:r>
          </w:p>
        </w:tc>
        <w:tc>
          <w:tcPr>
            <w:tcW w:w="969" w:type="pct"/>
          </w:tcPr>
          <w:p w:rsidR="00B835A9" w:rsidRPr="007D0D5D" w:rsidRDefault="00B835A9" w:rsidP="009675B8">
            <w:pPr>
              <w:widowControl w:val="0"/>
              <w:tabs>
                <w:tab w:val="decimal" w:pos="578"/>
              </w:tabs>
              <w:autoSpaceDE w:val="0"/>
              <w:autoSpaceDN w:val="0"/>
              <w:adjustRightInd w:val="0"/>
              <w:spacing w:after="0" w:line="240" w:lineRule="auto"/>
              <w:rPr>
                <w:rFonts w:cs="Times New Roman"/>
                <w:sz w:val="18"/>
                <w:szCs w:val="18"/>
                <w:lang w:val="en-US"/>
              </w:rPr>
            </w:pPr>
            <w:r w:rsidRPr="007D0D5D">
              <w:rPr>
                <w:rFonts w:cs="Times New Roman"/>
                <w:sz w:val="18"/>
                <w:szCs w:val="18"/>
                <w:lang w:val="en-US"/>
              </w:rPr>
              <w:t>-0.006</w:t>
            </w:r>
          </w:p>
        </w:tc>
        <w:tc>
          <w:tcPr>
            <w:tcW w:w="780" w:type="pct"/>
          </w:tcPr>
          <w:p w:rsidR="00B835A9" w:rsidRPr="007D0D5D" w:rsidRDefault="00B835A9" w:rsidP="009675B8">
            <w:pPr>
              <w:widowControl w:val="0"/>
              <w:tabs>
                <w:tab w:val="decimal" w:pos="578"/>
              </w:tabs>
              <w:autoSpaceDE w:val="0"/>
              <w:autoSpaceDN w:val="0"/>
              <w:adjustRightInd w:val="0"/>
              <w:spacing w:after="0" w:line="240" w:lineRule="auto"/>
              <w:rPr>
                <w:rFonts w:cs="Times New Roman"/>
                <w:sz w:val="18"/>
                <w:szCs w:val="18"/>
                <w:lang w:val="en-US"/>
              </w:rPr>
            </w:pPr>
            <w:r w:rsidRPr="007D0D5D">
              <w:rPr>
                <w:rFonts w:cs="Times New Roman"/>
                <w:sz w:val="18"/>
                <w:szCs w:val="18"/>
                <w:lang w:val="en-US"/>
              </w:rPr>
              <w:t>(0.06)</w:t>
            </w:r>
          </w:p>
        </w:tc>
      </w:tr>
      <w:tr w:rsidR="00B835A9" w:rsidRPr="007D0D5D" w:rsidTr="00E53DFD">
        <w:tc>
          <w:tcPr>
            <w:tcW w:w="3251" w:type="pct"/>
          </w:tcPr>
          <w:p w:rsidR="00B835A9" w:rsidRPr="00DF59FE" w:rsidRDefault="00B835A9" w:rsidP="00074189">
            <w:pPr>
              <w:widowControl w:val="0"/>
              <w:autoSpaceDE w:val="0"/>
              <w:autoSpaceDN w:val="0"/>
              <w:adjustRightInd w:val="0"/>
              <w:spacing w:after="0" w:line="240" w:lineRule="auto"/>
              <w:rPr>
                <w:rFonts w:cs="Times New Roman"/>
                <w:i/>
                <w:caps/>
                <w:sz w:val="18"/>
                <w:szCs w:val="18"/>
                <w:lang w:val="en-US"/>
              </w:rPr>
            </w:pPr>
            <w:r w:rsidRPr="00DF59FE">
              <w:rPr>
                <w:rFonts w:cs="Times New Roman"/>
                <w:i/>
                <w:caps/>
                <w:sz w:val="18"/>
                <w:szCs w:val="18"/>
                <w:lang w:val="en-US"/>
              </w:rPr>
              <w:t>outcome uncertainty</w:t>
            </w:r>
            <w:r w:rsidR="00165E35" w:rsidRPr="00DF59FE">
              <w:rPr>
                <w:rFonts w:cs="Times New Roman"/>
                <w:i/>
                <w:caps/>
                <w:sz w:val="18"/>
                <w:szCs w:val="18"/>
                <w:lang w:val="en-US"/>
              </w:rPr>
              <w:t xml:space="preserve"> × </w:t>
            </w:r>
            <w:r w:rsidRPr="00DF59FE">
              <w:rPr>
                <w:rFonts w:cs="Times New Roman"/>
                <w:i/>
                <w:caps/>
                <w:sz w:val="18"/>
                <w:szCs w:val="18"/>
                <w:lang w:val="en-US"/>
              </w:rPr>
              <w:t>SECOND</w:t>
            </w:r>
            <w:r w:rsidR="00165E35" w:rsidRPr="00DF59FE">
              <w:rPr>
                <w:rFonts w:cs="Times New Roman"/>
                <w:i/>
                <w:caps/>
                <w:sz w:val="18"/>
                <w:szCs w:val="18"/>
                <w:lang w:val="en-US"/>
              </w:rPr>
              <w:t xml:space="preserve"> </w:t>
            </w:r>
            <w:r w:rsidRPr="00DF59FE">
              <w:rPr>
                <w:rFonts w:cs="Times New Roman"/>
                <w:i/>
                <w:caps/>
                <w:sz w:val="18"/>
                <w:szCs w:val="18"/>
                <w:lang w:val="en-US"/>
              </w:rPr>
              <w:t>HALF</w:t>
            </w:r>
          </w:p>
        </w:tc>
        <w:tc>
          <w:tcPr>
            <w:tcW w:w="969" w:type="pct"/>
          </w:tcPr>
          <w:p w:rsidR="00B835A9" w:rsidRPr="007D0D5D" w:rsidRDefault="00B835A9" w:rsidP="009675B8">
            <w:pPr>
              <w:widowControl w:val="0"/>
              <w:tabs>
                <w:tab w:val="decimal" w:pos="578"/>
              </w:tabs>
              <w:autoSpaceDE w:val="0"/>
              <w:autoSpaceDN w:val="0"/>
              <w:adjustRightInd w:val="0"/>
              <w:spacing w:after="0" w:line="240" w:lineRule="auto"/>
              <w:rPr>
                <w:rFonts w:cs="Times New Roman"/>
                <w:sz w:val="18"/>
                <w:szCs w:val="18"/>
                <w:lang w:val="en-US"/>
              </w:rPr>
            </w:pPr>
            <w:r w:rsidRPr="007D0D5D">
              <w:rPr>
                <w:rFonts w:cs="Times New Roman"/>
                <w:sz w:val="18"/>
                <w:szCs w:val="18"/>
                <w:lang w:val="en-US"/>
              </w:rPr>
              <w:t>0.059</w:t>
            </w:r>
          </w:p>
        </w:tc>
        <w:tc>
          <w:tcPr>
            <w:tcW w:w="780" w:type="pct"/>
          </w:tcPr>
          <w:p w:rsidR="00B835A9" w:rsidRPr="007D0D5D" w:rsidRDefault="00B835A9" w:rsidP="009675B8">
            <w:pPr>
              <w:widowControl w:val="0"/>
              <w:tabs>
                <w:tab w:val="decimal" w:pos="578"/>
              </w:tabs>
              <w:autoSpaceDE w:val="0"/>
              <w:autoSpaceDN w:val="0"/>
              <w:adjustRightInd w:val="0"/>
              <w:spacing w:after="0" w:line="240" w:lineRule="auto"/>
              <w:rPr>
                <w:rFonts w:cs="Times New Roman"/>
                <w:sz w:val="18"/>
                <w:szCs w:val="18"/>
                <w:lang w:val="en-US"/>
              </w:rPr>
            </w:pPr>
            <w:r w:rsidRPr="007D0D5D">
              <w:rPr>
                <w:rFonts w:cs="Times New Roman"/>
                <w:sz w:val="18"/>
                <w:szCs w:val="18"/>
                <w:lang w:val="en-US"/>
              </w:rPr>
              <w:t>(0.19)</w:t>
            </w:r>
          </w:p>
        </w:tc>
      </w:tr>
      <w:tr w:rsidR="00B835A9" w:rsidRPr="007D0D5D" w:rsidTr="00E53DFD">
        <w:tc>
          <w:tcPr>
            <w:tcW w:w="3251" w:type="pct"/>
          </w:tcPr>
          <w:p w:rsidR="00B835A9" w:rsidRPr="00DF59FE" w:rsidRDefault="00B835A9" w:rsidP="00074189">
            <w:pPr>
              <w:widowControl w:val="0"/>
              <w:autoSpaceDE w:val="0"/>
              <w:autoSpaceDN w:val="0"/>
              <w:adjustRightInd w:val="0"/>
              <w:spacing w:after="0" w:line="240" w:lineRule="auto"/>
              <w:rPr>
                <w:rFonts w:cs="Times New Roman"/>
                <w:i/>
                <w:caps/>
                <w:sz w:val="18"/>
                <w:szCs w:val="18"/>
                <w:lang w:val="en-US"/>
              </w:rPr>
            </w:pPr>
            <w:r w:rsidRPr="00DF59FE">
              <w:rPr>
                <w:rFonts w:cs="Times New Roman"/>
                <w:i/>
                <w:caps/>
                <w:sz w:val="18"/>
                <w:szCs w:val="18"/>
                <w:lang w:val="en-US"/>
              </w:rPr>
              <w:t>Constant</w:t>
            </w:r>
          </w:p>
        </w:tc>
        <w:tc>
          <w:tcPr>
            <w:tcW w:w="969" w:type="pct"/>
          </w:tcPr>
          <w:p w:rsidR="00B835A9" w:rsidRPr="007D0D5D" w:rsidRDefault="00B835A9" w:rsidP="009675B8">
            <w:pPr>
              <w:widowControl w:val="0"/>
              <w:tabs>
                <w:tab w:val="decimal" w:pos="578"/>
              </w:tabs>
              <w:autoSpaceDE w:val="0"/>
              <w:autoSpaceDN w:val="0"/>
              <w:adjustRightInd w:val="0"/>
              <w:spacing w:after="0" w:line="240" w:lineRule="auto"/>
              <w:rPr>
                <w:rFonts w:cs="Times New Roman"/>
                <w:sz w:val="18"/>
                <w:szCs w:val="18"/>
                <w:lang w:val="en-US"/>
              </w:rPr>
            </w:pPr>
            <w:r w:rsidRPr="007D0D5D">
              <w:rPr>
                <w:rFonts w:cs="Times New Roman"/>
                <w:sz w:val="18"/>
                <w:szCs w:val="18"/>
                <w:lang w:val="en-US"/>
              </w:rPr>
              <w:t>-3.647***</w:t>
            </w:r>
          </w:p>
        </w:tc>
        <w:tc>
          <w:tcPr>
            <w:tcW w:w="780" w:type="pct"/>
          </w:tcPr>
          <w:p w:rsidR="00B835A9" w:rsidRPr="007D0D5D" w:rsidRDefault="00B835A9" w:rsidP="009675B8">
            <w:pPr>
              <w:widowControl w:val="0"/>
              <w:tabs>
                <w:tab w:val="decimal" w:pos="578"/>
              </w:tabs>
              <w:autoSpaceDE w:val="0"/>
              <w:autoSpaceDN w:val="0"/>
              <w:adjustRightInd w:val="0"/>
              <w:spacing w:after="0" w:line="240" w:lineRule="auto"/>
              <w:rPr>
                <w:rFonts w:cs="Times New Roman"/>
                <w:sz w:val="18"/>
                <w:szCs w:val="18"/>
                <w:lang w:val="en-US"/>
              </w:rPr>
            </w:pPr>
            <w:r w:rsidRPr="007D0D5D">
              <w:rPr>
                <w:rFonts w:cs="Times New Roman"/>
                <w:sz w:val="18"/>
                <w:szCs w:val="18"/>
                <w:lang w:val="en-US"/>
              </w:rPr>
              <w:t>(13.65)</w:t>
            </w:r>
          </w:p>
        </w:tc>
      </w:tr>
      <w:tr w:rsidR="00B835A9" w:rsidRPr="007D0D5D" w:rsidTr="00E53DFD">
        <w:tc>
          <w:tcPr>
            <w:tcW w:w="3251" w:type="pct"/>
          </w:tcPr>
          <w:p w:rsidR="00B835A9" w:rsidRPr="007D0D5D" w:rsidRDefault="00B835A9" w:rsidP="005B2900">
            <w:pPr>
              <w:widowControl w:val="0"/>
              <w:autoSpaceDE w:val="0"/>
              <w:autoSpaceDN w:val="0"/>
              <w:adjustRightInd w:val="0"/>
              <w:spacing w:after="0" w:line="240" w:lineRule="auto"/>
              <w:rPr>
                <w:rFonts w:cs="Times New Roman"/>
                <w:sz w:val="18"/>
                <w:szCs w:val="18"/>
                <w:lang w:val="en-US"/>
              </w:rPr>
            </w:pPr>
            <w:r w:rsidRPr="007D0D5D">
              <w:rPr>
                <w:rFonts w:cs="Times New Roman"/>
                <w:sz w:val="18"/>
                <w:szCs w:val="18"/>
                <w:lang w:val="en-US"/>
              </w:rPr>
              <w:t>Lambda</w:t>
            </w:r>
          </w:p>
        </w:tc>
        <w:tc>
          <w:tcPr>
            <w:tcW w:w="969" w:type="pct"/>
          </w:tcPr>
          <w:p w:rsidR="00B835A9" w:rsidRPr="007D0D5D" w:rsidRDefault="00B835A9" w:rsidP="009675B8">
            <w:pPr>
              <w:widowControl w:val="0"/>
              <w:tabs>
                <w:tab w:val="decimal" w:pos="578"/>
              </w:tabs>
              <w:autoSpaceDE w:val="0"/>
              <w:autoSpaceDN w:val="0"/>
              <w:adjustRightInd w:val="0"/>
              <w:spacing w:after="0" w:line="240" w:lineRule="auto"/>
              <w:rPr>
                <w:rFonts w:cs="Times New Roman"/>
                <w:sz w:val="18"/>
                <w:szCs w:val="18"/>
                <w:lang w:val="en-US"/>
              </w:rPr>
            </w:pPr>
            <w:r w:rsidRPr="007D0D5D">
              <w:rPr>
                <w:rFonts w:cs="Times New Roman"/>
                <w:sz w:val="18"/>
                <w:szCs w:val="18"/>
                <w:lang w:val="en-US"/>
              </w:rPr>
              <w:t>0.007</w:t>
            </w:r>
          </w:p>
        </w:tc>
        <w:tc>
          <w:tcPr>
            <w:tcW w:w="780" w:type="pct"/>
          </w:tcPr>
          <w:p w:rsidR="00B835A9" w:rsidRPr="007D0D5D" w:rsidRDefault="00B835A9" w:rsidP="009675B8">
            <w:pPr>
              <w:widowControl w:val="0"/>
              <w:tabs>
                <w:tab w:val="decimal" w:pos="578"/>
              </w:tabs>
              <w:autoSpaceDE w:val="0"/>
              <w:autoSpaceDN w:val="0"/>
              <w:adjustRightInd w:val="0"/>
              <w:spacing w:after="0" w:line="240" w:lineRule="auto"/>
              <w:rPr>
                <w:rFonts w:cs="Times New Roman"/>
                <w:sz w:val="18"/>
                <w:szCs w:val="18"/>
                <w:lang w:val="en-US"/>
              </w:rPr>
            </w:pPr>
            <w:r w:rsidRPr="007D0D5D">
              <w:rPr>
                <w:rFonts w:cs="Times New Roman"/>
                <w:sz w:val="18"/>
                <w:szCs w:val="18"/>
                <w:lang w:val="en-US"/>
              </w:rPr>
              <w:t>0.083</w:t>
            </w:r>
          </w:p>
        </w:tc>
      </w:tr>
      <w:tr w:rsidR="00B835A9" w:rsidRPr="007D0D5D" w:rsidTr="00E53DFD">
        <w:tc>
          <w:tcPr>
            <w:tcW w:w="3251" w:type="pct"/>
          </w:tcPr>
          <w:p w:rsidR="00B835A9" w:rsidRPr="007D0D5D" w:rsidRDefault="00B835A9" w:rsidP="005B2900">
            <w:pPr>
              <w:widowControl w:val="0"/>
              <w:autoSpaceDE w:val="0"/>
              <w:autoSpaceDN w:val="0"/>
              <w:adjustRightInd w:val="0"/>
              <w:spacing w:after="0" w:line="240" w:lineRule="auto"/>
              <w:rPr>
                <w:rFonts w:cs="Times New Roman"/>
                <w:sz w:val="18"/>
                <w:szCs w:val="18"/>
                <w:lang w:val="en-US"/>
              </w:rPr>
            </w:pPr>
            <w:r w:rsidRPr="007D0D5D">
              <w:rPr>
                <w:rFonts w:cs="Times New Roman"/>
                <w:sz w:val="18"/>
                <w:szCs w:val="18"/>
                <w:lang w:val="en-US"/>
              </w:rPr>
              <w:t>Rho</w:t>
            </w:r>
          </w:p>
        </w:tc>
        <w:tc>
          <w:tcPr>
            <w:tcW w:w="969" w:type="pct"/>
          </w:tcPr>
          <w:p w:rsidR="00B835A9" w:rsidRPr="007D0D5D" w:rsidRDefault="00B835A9" w:rsidP="009675B8">
            <w:pPr>
              <w:widowControl w:val="0"/>
              <w:tabs>
                <w:tab w:val="decimal" w:pos="578"/>
              </w:tabs>
              <w:autoSpaceDE w:val="0"/>
              <w:autoSpaceDN w:val="0"/>
              <w:adjustRightInd w:val="0"/>
              <w:spacing w:after="0" w:line="240" w:lineRule="auto"/>
              <w:rPr>
                <w:rFonts w:cs="Times New Roman"/>
                <w:sz w:val="18"/>
                <w:szCs w:val="18"/>
                <w:lang w:val="en-US"/>
              </w:rPr>
            </w:pPr>
            <w:r w:rsidRPr="007D0D5D">
              <w:rPr>
                <w:rFonts w:cs="Times New Roman"/>
                <w:sz w:val="18"/>
                <w:szCs w:val="18"/>
                <w:lang w:val="en-US"/>
              </w:rPr>
              <w:t>0.026</w:t>
            </w:r>
          </w:p>
        </w:tc>
        <w:tc>
          <w:tcPr>
            <w:tcW w:w="780" w:type="pct"/>
          </w:tcPr>
          <w:p w:rsidR="00B835A9" w:rsidRPr="007D0D5D" w:rsidRDefault="00B835A9" w:rsidP="009675B8">
            <w:pPr>
              <w:widowControl w:val="0"/>
              <w:tabs>
                <w:tab w:val="decimal" w:pos="578"/>
              </w:tabs>
              <w:autoSpaceDE w:val="0"/>
              <w:autoSpaceDN w:val="0"/>
              <w:adjustRightInd w:val="0"/>
              <w:spacing w:after="0" w:line="240" w:lineRule="auto"/>
              <w:rPr>
                <w:rFonts w:cs="Times New Roman"/>
                <w:sz w:val="18"/>
                <w:szCs w:val="18"/>
                <w:lang w:val="en-US"/>
              </w:rPr>
            </w:pPr>
          </w:p>
        </w:tc>
      </w:tr>
      <w:tr w:rsidR="00B835A9" w:rsidRPr="007D0D5D" w:rsidTr="00E53DFD">
        <w:tc>
          <w:tcPr>
            <w:tcW w:w="3251" w:type="pct"/>
          </w:tcPr>
          <w:p w:rsidR="00B835A9" w:rsidRPr="007D0D5D" w:rsidRDefault="00B835A9" w:rsidP="005B2900">
            <w:pPr>
              <w:widowControl w:val="0"/>
              <w:autoSpaceDE w:val="0"/>
              <w:autoSpaceDN w:val="0"/>
              <w:adjustRightInd w:val="0"/>
              <w:spacing w:after="0" w:line="240" w:lineRule="auto"/>
              <w:rPr>
                <w:rFonts w:cs="Times New Roman"/>
                <w:sz w:val="18"/>
                <w:szCs w:val="18"/>
                <w:lang w:val="en-US"/>
              </w:rPr>
            </w:pPr>
            <w:r w:rsidRPr="007D0D5D">
              <w:rPr>
                <w:rFonts w:cs="Times New Roman"/>
                <w:sz w:val="18"/>
                <w:szCs w:val="18"/>
                <w:lang w:val="en-US"/>
              </w:rPr>
              <w:t>Observations</w:t>
            </w:r>
          </w:p>
        </w:tc>
        <w:tc>
          <w:tcPr>
            <w:tcW w:w="969" w:type="pct"/>
          </w:tcPr>
          <w:p w:rsidR="00B835A9" w:rsidRPr="007D0D5D" w:rsidRDefault="00B835A9" w:rsidP="009675B8">
            <w:pPr>
              <w:widowControl w:val="0"/>
              <w:tabs>
                <w:tab w:val="decimal" w:pos="578"/>
              </w:tabs>
              <w:autoSpaceDE w:val="0"/>
              <w:autoSpaceDN w:val="0"/>
              <w:adjustRightInd w:val="0"/>
              <w:spacing w:after="0" w:line="240" w:lineRule="auto"/>
              <w:rPr>
                <w:rFonts w:cs="Times New Roman"/>
                <w:sz w:val="18"/>
                <w:szCs w:val="18"/>
                <w:lang w:val="en-US"/>
              </w:rPr>
            </w:pPr>
            <w:r w:rsidRPr="007D0D5D">
              <w:rPr>
                <w:rFonts w:cs="Times New Roman"/>
                <w:sz w:val="18"/>
                <w:szCs w:val="18"/>
                <w:lang w:val="en-US"/>
              </w:rPr>
              <w:t>2872</w:t>
            </w:r>
          </w:p>
        </w:tc>
        <w:tc>
          <w:tcPr>
            <w:tcW w:w="780" w:type="pct"/>
          </w:tcPr>
          <w:p w:rsidR="00B835A9" w:rsidRPr="007D0D5D" w:rsidRDefault="00B835A9" w:rsidP="009675B8">
            <w:pPr>
              <w:widowControl w:val="0"/>
              <w:tabs>
                <w:tab w:val="decimal" w:pos="578"/>
              </w:tabs>
              <w:autoSpaceDE w:val="0"/>
              <w:autoSpaceDN w:val="0"/>
              <w:adjustRightInd w:val="0"/>
              <w:spacing w:after="0" w:line="240" w:lineRule="auto"/>
              <w:rPr>
                <w:rFonts w:cs="Times New Roman"/>
                <w:sz w:val="18"/>
                <w:szCs w:val="18"/>
                <w:lang w:val="en-US"/>
              </w:rPr>
            </w:pPr>
          </w:p>
        </w:tc>
      </w:tr>
    </w:tbl>
    <w:p w:rsidR="00511912" w:rsidRPr="007D0D5D" w:rsidRDefault="00511912" w:rsidP="007F7EE3">
      <w:pPr>
        <w:keepNext/>
        <w:widowControl w:val="0"/>
        <w:autoSpaceDE w:val="0"/>
        <w:autoSpaceDN w:val="0"/>
        <w:adjustRightInd w:val="0"/>
        <w:spacing w:after="0" w:line="240" w:lineRule="auto"/>
        <w:rPr>
          <w:rFonts w:cs="Times New Roman"/>
          <w:sz w:val="16"/>
          <w:szCs w:val="20"/>
        </w:rPr>
      </w:pPr>
      <w:r w:rsidRPr="007D0D5D">
        <w:rPr>
          <w:rFonts w:cs="Times New Roman"/>
          <w:sz w:val="16"/>
          <w:szCs w:val="20"/>
        </w:rPr>
        <w:t>Absolute t statistics in parentheses</w:t>
      </w:r>
      <w:r w:rsidR="007F7EE3" w:rsidRPr="007D0D5D">
        <w:rPr>
          <w:rFonts w:cs="Times New Roman"/>
          <w:sz w:val="16"/>
          <w:szCs w:val="20"/>
        </w:rPr>
        <w:t xml:space="preserve">. Clustered by round of match using robust standard errors. </w:t>
      </w:r>
      <w:r w:rsidRPr="007D0D5D">
        <w:rPr>
          <w:rFonts w:cs="Times New Roman"/>
          <w:sz w:val="16"/>
          <w:szCs w:val="20"/>
        </w:rPr>
        <w:t>* p &lt; 0.10, ** p &lt; 0.05, *** p &lt; 0.01</w:t>
      </w:r>
      <w:r w:rsidR="007F7EE3" w:rsidRPr="007D0D5D">
        <w:rPr>
          <w:rFonts w:cs="Times New Roman"/>
          <w:sz w:val="16"/>
          <w:szCs w:val="20"/>
        </w:rPr>
        <w:t xml:space="preserve">. </w:t>
      </w:r>
      <w:r w:rsidRPr="007D0D5D">
        <w:rPr>
          <w:rFonts w:cs="Times New Roman"/>
          <w:sz w:val="16"/>
          <w:szCs w:val="20"/>
        </w:rPr>
        <w:t>Month, season and team effects are significant.</w:t>
      </w:r>
    </w:p>
    <w:p w:rsidR="007D0D5D" w:rsidRDefault="007D0D5D">
      <w:pPr>
        <w:spacing w:after="200" w:line="276" w:lineRule="auto"/>
        <w:rPr>
          <w:rFonts w:ascii="Calibri" w:eastAsiaTheme="majorEastAsia" w:hAnsi="Calibri" w:cstheme="majorBidi"/>
          <w:bCs/>
          <w:iCs/>
        </w:rPr>
      </w:pPr>
      <w:r>
        <w:br w:type="page"/>
      </w:r>
    </w:p>
    <w:p w:rsidR="0065339A" w:rsidRPr="00165E35" w:rsidRDefault="009E05D6" w:rsidP="0099548F">
      <w:pPr>
        <w:pStyle w:val="Heading4"/>
        <w:rPr>
          <w:rFonts w:ascii="Times New Roman" w:hAnsi="Times New Roman" w:cs="Times New Roman"/>
        </w:rPr>
      </w:pPr>
      <w:r w:rsidRPr="00165E35">
        <w:rPr>
          <w:rFonts w:ascii="Times New Roman" w:hAnsi="Times New Roman" w:cs="Times New Roman"/>
        </w:rPr>
        <w:t xml:space="preserve">Table </w:t>
      </w:r>
      <w:r w:rsidR="00605664" w:rsidRPr="00165E35">
        <w:rPr>
          <w:rFonts w:ascii="Times New Roman" w:hAnsi="Times New Roman" w:cs="Times New Roman"/>
        </w:rPr>
        <w:t>6</w:t>
      </w:r>
      <w:r w:rsidR="00586863" w:rsidRPr="00165E35">
        <w:rPr>
          <w:rFonts w:ascii="Times New Roman" w:hAnsi="Times New Roman" w:cs="Times New Roman"/>
        </w:rPr>
        <w:t>. OLS models of TV audience ratings.</w:t>
      </w:r>
      <w:r w:rsidR="0065339A" w:rsidRPr="00165E35">
        <w:rPr>
          <w:rStyle w:val="EndnoteReference"/>
          <w:rFonts w:ascii="Times New Roman" w:hAnsi="Times New Roman" w:cs="Times New Roman"/>
        </w:rPr>
        <w:endnoteReference w:id="8"/>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3608"/>
        <w:gridCol w:w="978"/>
        <w:gridCol w:w="877"/>
        <w:gridCol w:w="978"/>
        <w:gridCol w:w="877"/>
        <w:gridCol w:w="978"/>
        <w:gridCol w:w="877"/>
      </w:tblGrid>
      <w:tr w:rsidR="002B404D" w:rsidRPr="00165E35" w:rsidTr="002B404D">
        <w:tc>
          <w:tcPr>
            <w:tcW w:w="1967" w:type="pct"/>
          </w:tcPr>
          <w:p w:rsidR="002B404D" w:rsidRPr="00165E35" w:rsidRDefault="002B404D" w:rsidP="00605664">
            <w:pPr>
              <w:keepNext/>
              <w:widowControl w:val="0"/>
              <w:autoSpaceDE w:val="0"/>
              <w:autoSpaceDN w:val="0"/>
              <w:adjustRightInd w:val="0"/>
              <w:spacing w:after="0" w:line="240" w:lineRule="auto"/>
              <w:rPr>
                <w:rFonts w:cs="Times New Roman"/>
                <w:sz w:val="16"/>
                <w:szCs w:val="16"/>
                <w:lang w:val="en-US"/>
              </w:rPr>
            </w:pPr>
          </w:p>
        </w:tc>
        <w:tc>
          <w:tcPr>
            <w:tcW w:w="1011" w:type="pct"/>
            <w:gridSpan w:val="2"/>
          </w:tcPr>
          <w:p w:rsidR="002B404D" w:rsidRPr="00165E35" w:rsidRDefault="002B404D" w:rsidP="00605664">
            <w:pPr>
              <w:keepNext/>
              <w:widowControl w:val="0"/>
              <w:autoSpaceDE w:val="0"/>
              <w:autoSpaceDN w:val="0"/>
              <w:adjustRightInd w:val="0"/>
              <w:spacing w:after="0" w:line="240" w:lineRule="auto"/>
              <w:jc w:val="center"/>
              <w:rPr>
                <w:rFonts w:cs="Times New Roman"/>
                <w:sz w:val="16"/>
                <w:szCs w:val="16"/>
                <w:lang w:val="en-US"/>
              </w:rPr>
            </w:pPr>
            <w:r w:rsidRPr="00165E35">
              <w:rPr>
                <w:rFonts w:cs="Times New Roman"/>
                <w:sz w:val="16"/>
                <w:szCs w:val="16"/>
                <w:lang w:val="en-US"/>
              </w:rPr>
              <w:t>(1)</w:t>
            </w:r>
          </w:p>
        </w:tc>
        <w:tc>
          <w:tcPr>
            <w:tcW w:w="1011" w:type="pct"/>
            <w:gridSpan w:val="2"/>
          </w:tcPr>
          <w:p w:rsidR="002B404D" w:rsidRPr="00165E35" w:rsidRDefault="002B404D" w:rsidP="00605664">
            <w:pPr>
              <w:keepNext/>
              <w:widowControl w:val="0"/>
              <w:autoSpaceDE w:val="0"/>
              <w:autoSpaceDN w:val="0"/>
              <w:adjustRightInd w:val="0"/>
              <w:spacing w:after="0" w:line="240" w:lineRule="auto"/>
              <w:jc w:val="center"/>
              <w:rPr>
                <w:rFonts w:cs="Times New Roman"/>
                <w:sz w:val="16"/>
                <w:szCs w:val="16"/>
                <w:lang w:val="en-US"/>
              </w:rPr>
            </w:pPr>
            <w:r w:rsidRPr="00165E35">
              <w:rPr>
                <w:rFonts w:cs="Times New Roman"/>
                <w:sz w:val="16"/>
                <w:szCs w:val="16"/>
                <w:lang w:val="en-US"/>
              </w:rPr>
              <w:t>(2)</w:t>
            </w:r>
          </w:p>
        </w:tc>
        <w:tc>
          <w:tcPr>
            <w:tcW w:w="1011" w:type="pct"/>
            <w:gridSpan w:val="2"/>
          </w:tcPr>
          <w:p w:rsidR="002B404D" w:rsidRPr="00165E35" w:rsidRDefault="002B404D" w:rsidP="00605664">
            <w:pPr>
              <w:keepNext/>
              <w:widowControl w:val="0"/>
              <w:autoSpaceDE w:val="0"/>
              <w:autoSpaceDN w:val="0"/>
              <w:adjustRightInd w:val="0"/>
              <w:spacing w:after="0" w:line="240" w:lineRule="auto"/>
              <w:jc w:val="center"/>
              <w:rPr>
                <w:rFonts w:cs="Times New Roman"/>
                <w:sz w:val="16"/>
                <w:szCs w:val="16"/>
                <w:lang w:val="en-US"/>
              </w:rPr>
            </w:pPr>
            <w:r w:rsidRPr="00165E35">
              <w:rPr>
                <w:rFonts w:cs="Times New Roman"/>
                <w:sz w:val="16"/>
                <w:szCs w:val="16"/>
                <w:lang w:val="en-US"/>
              </w:rPr>
              <w:t>(3)</w:t>
            </w:r>
          </w:p>
        </w:tc>
      </w:tr>
      <w:tr w:rsidR="00511912" w:rsidRPr="00165E35" w:rsidTr="00511912">
        <w:tc>
          <w:tcPr>
            <w:tcW w:w="1967" w:type="pct"/>
          </w:tcPr>
          <w:p w:rsidR="00511912" w:rsidRPr="00165E35" w:rsidRDefault="00511912" w:rsidP="00605664">
            <w:pPr>
              <w:keepNext/>
              <w:widowControl w:val="0"/>
              <w:autoSpaceDE w:val="0"/>
              <w:autoSpaceDN w:val="0"/>
              <w:adjustRightInd w:val="0"/>
              <w:spacing w:after="0" w:line="240" w:lineRule="auto"/>
              <w:rPr>
                <w:rFonts w:cs="Times New Roman"/>
                <w:sz w:val="16"/>
                <w:szCs w:val="16"/>
                <w:lang w:val="en-US"/>
              </w:rPr>
            </w:pPr>
          </w:p>
        </w:tc>
        <w:tc>
          <w:tcPr>
            <w:tcW w:w="533" w:type="pct"/>
          </w:tcPr>
          <w:p w:rsidR="00511912" w:rsidRPr="00165E35" w:rsidRDefault="00511912" w:rsidP="00605664">
            <w:pPr>
              <w:keepNext/>
              <w:widowControl w:val="0"/>
              <w:autoSpaceDE w:val="0"/>
              <w:autoSpaceDN w:val="0"/>
              <w:adjustRightInd w:val="0"/>
              <w:spacing w:after="0" w:line="240" w:lineRule="auto"/>
              <w:jc w:val="center"/>
              <w:rPr>
                <w:rFonts w:cs="Times New Roman"/>
                <w:sz w:val="16"/>
                <w:szCs w:val="16"/>
                <w:lang w:val="en-US"/>
              </w:rPr>
            </w:pPr>
            <w:r w:rsidRPr="00165E35">
              <w:rPr>
                <w:rFonts w:cs="Times New Roman"/>
                <w:sz w:val="16"/>
                <w:szCs w:val="16"/>
                <w:lang w:val="en-US"/>
              </w:rPr>
              <w:t>Coefficient</w:t>
            </w:r>
          </w:p>
        </w:tc>
        <w:tc>
          <w:tcPr>
            <w:tcW w:w="478" w:type="pct"/>
          </w:tcPr>
          <w:p w:rsidR="00511912" w:rsidRPr="00165E35" w:rsidRDefault="00046215" w:rsidP="00605664">
            <w:pPr>
              <w:keepNext/>
              <w:widowControl w:val="0"/>
              <w:autoSpaceDE w:val="0"/>
              <w:autoSpaceDN w:val="0"/>
              <w:adjustRightInd w:val="0"/>
              <w:spacing w:after="0" w:line="240" w:lineRule="auto"/>
              <w:jc w:val="center"/>
              <w:rPr>
                <w:rFonts w:cs="Times New Roman"/>
                <w:sz w:val="16"/>
                <w:szCs w:val="16"/>
                <w:lang w:val="en-US"/>
              </w:rPr>
            </w:pPr>
            <w:r w:rsidRPr="00165E35">
              <w:rPr>
                <w:rFonts w:cs="Times New Roman"/>
                <w:sz w:val="16"/>
                <w:szCs w:val="16"/>
                <w:lang w:val="en-US"/>
              </w:rPr>
              <w:t>t</w:t>
            </w:r>
            <w:r w:rsidR="00511912" w:rsidRPr="00165E35">
              <w:rPr>
                <w:rFonts w:cs="Times New Roman"/>
                <w:sz w:val="16"/>
                <w:szCs w:val="16"/>
                <w:lang w:val="en-US"/>
              </w:rPr>
              <w:t xml:space="preserve"> statistic</w:t>
            </w:r>
          </w:p>
        </w:tc>
        <w:tc>
          <w:tcPr>
            <w:tcW w:w="533" w:type="pct"/>
          </w:tcPr>
          <w:p w:rsidR="00511912" w:rsidRPr="00165E35" w:rsidRDefault="00511912" w:rsidP="00605664">
            <w:pPr>
              <w:keepNext/>
              <w:widowControl w:val="0"/>
              <w:autoSpaceDE w:val="0"/>
              <w:autoSpaceDN w:val="0"/>
              <w:adjustRightInd w:val="0"/>
              <w:spacing w:after="0" w:line="240" w:lineRule="auto"/>
              <w:jc w:val="center"/>
              <w:rPr>
                <w:rFonts w:cs="Times New Roman"/>
                <w:sz w:val="16"/>
                <w:szCs w:val="16"/>
                <w:lang w:val="en-US"/>
              </w:rPr>
            </w:pPr>
            <w:r w:rsidRPr="00165E35">
              <w:rPr>
                <w:rFonts w:cs="Times New Roman"/>
                <w:sz w:val="16"/>
                <w:szCs w:val="16"/>
                <w:lang w:val="en-US"/>
              </w:rPr>
              <w:t>Coefficient</w:t>
            </w:r>
          </w:p>
        </w:tc>
        <w:tc>
          <w:tcPr>
            <w:tcW w:w="478" w:type="pct"/>
          </w:tcPr>
          <w:p w:rsidR="00511912" w:rsidRPr="00165E35" w:rsidRDefault="00046215" w:rsidP="00605664">
            <w:pPr>
              <w:keepNext/>
              <w:widowControl w:val="0"/>
              <w:autoSpaceDE w:val="0"/>
              <w:autoSpaceDN w:val="0"/>
              <w:adjustRightInd w:val="0"/>
              <w:spacing w:after="0" w:line="240" w:lineRule="auto"/>
              <w:jc w:val="center"/>
              <w:rPr>
                <w:rFonts w:cs="Times New Roman"/>
                <w:sz w:val="16"/>
                <w:szCs w:val="16"/>
                <w:lang w:val="en-US"/>
              </w:rPr>
            </w:pPr>
            <w:r w:rsidRPr="00165E35">
              <w:rPr>
                <w:rFonts w:cs="Times New Roman"/>
                <w:sz w:val="16"/>
                <w:szCs w:val="16"/>
                <w:lang w:val="en-US"/>
              </w:rPr>
              <w:t>t</w:t>
            </w:r>
            <w:r w:rsidR="00511912" w:rsidRPr="00165E35">
              <w:rPr>
                <w:rFonts w:cs="Times New Roman"/>
                <w:sz w:val="16"/>
                <w:szCs w:val="16"/>
                <w:lang w:val="en-US"/>
              </w:rPr>
              <w:t xml:space="preserve"> statistic</w:t>
            </w:r>
          </w:p>
        </w:tc>
        <w:tc>
          <w:tcPr>
            <w:tcW w:w="533" w:type="pct"/>
          </w:tcPr>
          <w:p w:rsidR="00511912" w:rsidRPr="00165E35" w:rsidRDefault="00511912" w:rsidP="00605664">
            <w:pPr>
              <w:keepNext/>
              <w:widowControl w:val="0"/>
              <w:autoSpaceDE w:val="0"/>
              <w:autoSpaceDN w:val="0"/>
              <w:adjustRightInd w:val="0"/>
              <w:spacing w:after="0" w:line="240" w:lineRule="auto"/>
              <w:jc w:val="center"/>
              <w:rPr>
                <w:rFonts w:cs="Times New Roman"/>
                <w:sz w:val="16"/>
                <w:szCs w:val="16"/>
                <w:lang w:val="en-US"/>
              </w:rPr>
            </w:pPr>
            <w:r w:rsidRPr="00165E35">
              <w:rPr>
                <w:rFonts w:cs="Times New Roman"/>
                <w:sz w:val="16"/>
                <w:szCs w:val="16"/>
                <w:lang w:val="en-US"/>
              </w:rPr>
              <w:t>Coefficient</w:t>
            </w:r>
          </w:p>
        </w:tc>
        <w:tc>
          <w:tcPr>
            <w:tcW w:w="478" w:type="pct"/>
          </w:tcPr>
          <w:p w:rsidR="00511912" w:rsidRPr="00165E35" w:rsidRDefault="00046215" w:rsidP="00605664">
            <w:pPr>
              <w:keepNext/>
              <w:widowControl w:val="0"/>
              <w:autoSpaceDE w:val="0"/>
              <w:autoSpaceDN w:val="0"/>
              <w:adjustRightInd w:val="0"/>
              <w:spacing w:after="0" w:line="240" w:lineRule="auto"/>
              <w:jc w:val="center"/>
              <w:rPr>
                <w:rFonts w:cs="Times New Roman"/>
                <w:sz w:val="16"/>
                <w:szCs w:val="16"/>
                <w:lang w:val="en-US"/>
              </w:rPr>
            </w:pPr>
            <w:r w:rsidRPr="00165E35">
              <w:rPr>
                <w:rFonts w:cs="Times New Roman"/>
                <w:sz w:val="16"/>
                <w:szCs w:val="16"/>
                <w:lang w:val="en-US"/>
              </w:rPr>
              <w:t>t</w:t>
            </w:r>
            <w:r w:rsidR="00511912" w:rsidRPr="00165E35">
              <w:rPr>
                <w:rFonts w:cs="Times New Roman"/>
                <w:sz w:val="16"/>
                <w:szCs w:val="16"/>
                <w:lang w:val="en-US"/>
              </w:rPr>
              <w:t xml:space="preserve"> statistic</w:t>
            </w:r>
          </w:p>
        </w:tc>
      </w:tr>
      <w:tr w:rsidR="00511912" w:rsidRPr="00165E35" w:rsidTr="00511912">
        <w:tc>
          <w:tcPr>
            <w:tcW w:w="1967" w:type="pct"/>
          </w:tcPr>
          <w:p w:rsidR="00511912" w:rsidRPr="00DF59FE" w:rsidRDefault="00511912" w:rsidP="00605664">
            <w:pPr>
              <w:keepNext/>
              <w:widowControl w:val="0"/>
              <w:autoSpaceDE w:val="0"/>
              <w:autoSpaceDN w:val="0"/>
              <w:adjustRightInd w:val="0"/>
              <w:spacing w:after="0" w:line="240" w:lineRule="auto"/>
              <w:rPr>
                <w:rFonts w:cs="Times New Roman"/>
                <w:i/>
                <w:caps/>
                <w:sz w:val="16"/>
                <w:szCs w:val="16"/>
                <w:lang w:val="en-US"/>
              </w:rPr>
            </w:pPr>
            <w:r w:rsidRPr="00DF59FE">
              <w:rPr>
                <w:rFonts w:cs="Times New Roman"/>
                <w:i/>
                <w:caps/>
                <w:sz w:val="16"/>
                <w:szCs w:val="16"/>
                <w:lang w:val="en-US"/>
              </w:rPr>
              <w:t>Combined relative wage</w:t>
            </w:r>
          </w:p>
        </w:tc>
        <w:tc>
          <w:tcPr>
            <w:tcW w:w="533" w:type="pct"/>
          </w:tcPr>
          <w:p w:rsidR="00511912" w:rsidRPr="00165E35" w:rsidRDefault="00046215" w:rsidP="00805450">
            <w:pPr>
              <w:keepNext/>
              <w:widowControl w:val="0"/>
              <w:autoSpaceDE w:val="0"/>
              <w:autoSpaceDN w:val="0"/>
              <w:adjustRightInd w:val="0"/>
              <w:spacing w:after="0" w:line="240" w:lineRule="auto"/>
              <w:jc w:val="center"/>
              <w:rPr>
                <w:rFonts w:cs="Times New Roman"/>
                <w:sz w:val="16"/>
                <w:szCs w:val="16"/>
                <w:lang w:val="en-US"/>
              </w:rPr>
            </w:pPr>
            <w:r w:rsidRPr="00165E35">
              <w:rPr>
                <w:rFonts w:cs="Times New Roman"/>
                <w:sz w:val="16"/>
                <w:szCs w:val="16"/>
                <w:lang w:val="en-US"/>
              </w:rPr>
              <w:t>0.</w:t>
            </w:r>
            <w:r w:rsidR="00805450">
              <w:rPr>
                <w:rFonts w:cs="Times New Roman"/>
                <w:sz w:val="16"/>
                <w:szCs w:val="16"/>
                <w:lang w:val="en-US"/>
              </w:rPr>
              <w:t>126</w:t>
            </w:r>
            <w:r w:rsidR="00511912" w:rsidRPr="00165E35">
              <w:rPr>
                <w:rFonts w:cs="Times New Roman"/>
                <w:sz w:val="16"/>
                <w:szCs w:val="16"/>
                <w:lang w:val="en-US"/>
              </w:rPr>
              <w:t>**</w:t>
            </w:r>
          </w:p>
        </w:tc>
        <w:tc>
          <w:tcPr>
            <w:tcW w:w="478" w:type="pct"/>
          </w:tcPr>
          <w:p w:rsidR="00511912" w:rsidRPr="00165E35" w:rsidRDefault="00046215" w:rsidP="00805450">
            <w:pPr>
              <w:keepNext/>
              <w:widowControl w:val="0"/>
              <w:autoSpaceDE w:val="0"/>
              <w:autoSpaceDN w:val="0"/>
              <w:adjustRightInd w:val="0"/>
              <w:spacing w:after="0" w:line="240" w:lineRule="auto"/>
              <w:jc w:val="center"/>
              <w:rPr>
                <w:rFonts w:cs="Times New Roman"/>
                <w:sz w:val="16"/>
                <w:szCs w:val="16"/>
                <w:lang w:val="en-US"/>
              </w:rPr>
            </w:pPr>
            <w:r w:rsidRPr="00165E35">
              <w:rPr>
                <w:rFonts w:cs="Times New Roman"/>
                <w:sz w:val="16"/>
                <w:szCs w:val="16"/>
                <w:lang w:val="en-US"/>
              </w:rPr>
              <w:t>(2.</w:t>
            </w:r>
            <w:r w:rsidR="00805450">
              <w:rPr>
                <w:rFonts w:cs="Times New Roman"/>
                <w:sz w:val="16"/>
                <w:szCs w:val="16"/>
                <w:lang w:val="en-US"/>
              </w:rPr>
              <w:t>84</w:t>
            </w:r>
            <w:r w:rsidR="00511912" w:rsidRPr="00165E35">
              <w:rPr>
                <w:rFonts w:cs="Times New Roman"/>
                <w:sz w:val="16"/>
                <w:szCs w:val="16"/>
                <w:lang w:val="en-US"/>
              </w:rPr>
              <w:t>)</w:t>
            </w:r>
          </w:p>
        </w:tc>
        <w:tc>
          <w:tcPr>
            <w:tcW w:w="533" w:type="pct"/>
          </w:tcPr>
          <w:p w:rsidR="00511912" w:rsidRPr="00165E35" w:rsidRDefault="00046215" w:rsidP="00605664">
            <w:pPr>
              <w:keepNext/>
              <w:widowControl w:val="0"/>
              <w:autoSpaceDE w:val="0"/>
              <w:autoSpaceDN w:val="0"/>
              <w:adjustRightInd w:val="0"/>
              <w:spacing w:after="0" w:line="240" w:lineRule="auto"/>
              <w:jc w:val="center"/>
              <w:rPr>
                <w:rFonts w:cs="Times New Roman"/>
                <w:sz w:val="16"/>
                <w:szCs w:val="16"/>
                <w:lang w:val="en-US"/>
              </w:rPr>
            </w:pPr>
            <w:r w:rsidRPr="00165E35">
              <w:rPr>
                <w:rFonts w:cs="Times New Roman"/>
                <w:sz w:val="16"/>
                <w:szCs w:val="16"/>
                <w:lang w:val="en-US"/>
              </w:rPr>
              <w:t>0.111</w:t>
            </w:r>
            <w:r w:rsidR="00511912" w:rsidRPr="00165E35">
              <w:rPr>
                <w:rFonts w:cs="Times New Roman"/>
                <w:sz w:val="16"/>
                <w:szCs w:val="16"/>
                <w:lang w:val="en-US"/>
              </w:rPr>
              <w:t>**</w:t>
            </w:r>
          </w:p>
        </w:tc>
        <w:tc>
          <w:tcPr>
            <w:tcW w:w="478" w:type="pct"/>
          </w:tcPr>
          <w:p w:rsidR="00511912" w:rsidRPr="00165E35" w:rsidRDefault="00046215" w:rsidP="00605664">
            <w:pPr>
              <w:keepNext/>
              <w:widowControl w:val="0"/>
              <w:autoSpaceDE w:val="0"/>
              <w:autoSpaceDN w:val="0"/>
              <w:adjustRightInd w:val="0"/>
              <w:spacing w:after="0" w:line="240" w:lineRule="auto"/>
              <w:jc w:val="center"/>
              <w:rPr>
                <w:rFonts w:cs="Times New Roman"/>
                <w:sz w:val="16"/>
                <w:szCs w:val="16"/>
                <w:lang w:val="en-US"/>
              </w:rPr>
            </w:pPr>
            <w:r w:rsidRPr="00165E35">
              <w:rPr>
                <w:rFonts w:cs="Times New Roman"/>
                <w:sz w:val="16"/>
                <w:szCs w:val="16"/>
                <w:lang w:val="en-US"/>
              </w:rPr>
              <w:t>(2.38</w:t>
            </w:r>
            <w:r w:rsidR="00511912" w:rsidRPr="00165E35">
              <w:rPr>
                <w:rFonts w:cs="Times New Roman"/>
                <w:sz w:val="16"/>
                <w:szCs w:val="16"/>
                <w:lang w:val="en-US"/>
              </w:rPr>
              <w:t>)</w:t>
            </w:r>
          </w:p>
        </w:tc>
        <w:tc>
          <w:tcPr>
            <w:tcW w:w="533" w:type="pct"/>
          </w:tcPr>
          <w:p w:rsidR="00511912" w:rsidRPr="00165E35" w:rsidRDefault="00511912" w:rsidP="00605664">
            <w:pPr>
              <w:keepNext/>
              <w:widowControl w:val="0"/>
              <w:autoSpaceDE w:val="0"/>
              <w:autoSpaceDN w:val="0"/>
              <w:adjustRightInd w:val="0"/>
              <w:spacing w:after="0" w:line="240" w:lineRule="auto"/>
              <w:jc w:val="center"/>
              <w:rPr>
                <w:rFonts w:cs="Times New Roman"/>
                <w:sz w:val="16"/>
                <w:szCs w:val="16"/>
                <w:lang w:val="en-US"/>
              </w:rPr>
            </w:pPr>
          </w:p>
        </w:tc>
        <w:tc>
          <w:tcPr>
            <w:tcW w:w="478" w:type="pct"/>
          </w:tcPr>
          <w:p w:rsidR="00511912" w:rsidRPr="00165E35" w:rsidRDefault="00511912" w:rsidP="00605664">
            <w:pPr>
              <w:keepNext/>
              <w:widowControl w:val="0"/>
              <w:autoSpaceDE w:val="0"/>
              <w:autoSpaceDN w:val="0"/>
              <w:adjustRightInd w:val="0"/>
              <w:spacing w:after="0" w:line="240" w:lineRule="auto"/>
              <w:jc w:val="center"/>
              <w:rPr>
                <w:rFonts w:cs="Times New Roman"/>
                <w:sz w:val="16"/>
                <w:szCs w:val="16"/>
                <w:lang w:val="en-US"/>
              </w:rPr>
            </w:pPr>
          </w:p>
        </w:tc>
      </w:tr>
      <w:tr w:rsidR="00511912" w:rsidRPr="00165E35" w:rsidTr="00511912">
        <w:tc>
          <w:tcPr>
            <w:tcW w:w="1967" w:type="pct"/>
          </w:tcPr>
          <w:p w:rsidR="00511912" w:rsidRPr="00DF59FE" w:rsidRDefault="00511912" w:rsidP="00605664">
            <w:pPr>
              <w:keepNext/>
              <w:widowControl w:val="0"/>
              <w:autoSpaceDE w:val="0"/>
              <w:autoSpaceDN w:val="0"/>
              <w:adjustRightInd w:val="0"/>
              <w:spacing w:after="0" w:line="240" w:lineRule="auto"/>
              <w:rPr>
                <w:rFonts w:cs="Times New Roman"/>
                <w:i/>
                <w:caps/>
                <w:sz w:val="16"/>
                <w:szCs w:val="16"/>
                <w:lang w:val="en-US"/>
              </w:rPr>
            </w:pPr>
            <w:r w:rsidRPr="00DF59FE">
              <w:rPr>
                <w:rFonts w:cs="Times New Roman"/>
                <w:i/>
                <w:caps/>
                <w:sz w:val="16"/>
                <w:szCs w:val="16"/>
                <w:lang w:val="en-US"/>
              </w:rPr>
              <w:t>Combined points per game</w:t>
            </w:r>
          </w:p>
        </w:tc>
        <w:tc>
          <w:tcPr>
            <w:tcW w:w="533" w:type="pct"/>
          </w:tcPr>
          <w:p w:rsidR="00511912" w:rsidRPr="00165E35" w:rsidRDefault="00511912" w:rsidP="00805450">
            <w:pPr>
              <w:keepNext/>
              <w:widowControl w:val="0"/>
              <w:autoSpaceDE w:val="0"/>
              <w:autoSpaceDN w:val="0"/>
              <w:adjustRightInd w:val="0"/>
              <w:spacing w:after="0" w:line="240" w:lineRule="auto"/>
              <w:jc w:val="center"/>
              <w:rPr>
                <w:rFonts w:cs="Times New Roman"/>
                <w:sz w:val="16"/>
                <w:szCs w:val="16"/>
                <w:lang w:val="en-US"/>
              </w:rPr>
            </w:pPr>
            <w:r w:rsidRPr="00165E35">
              <w:rPr>
                <w:rFonts w:cs="Times New Roman"/>
                <w:sz w:val="16"/>
                <w:szCs w:val="16"/>
                <w:lang w:val="en-US"/>
              </w:rPr>
              <w:t>0.</w:t>
            </w:r>
            <w:r w:rsidR="00805450">
              <w:rPr>
                <w:rFonts w:cs="Times New Roman"/>
                <w:sz w:val="16"/>
                <w:szCs w:val="16"/>
                <w:lang w:val="en-US"/>
              </w:rPr>
              <w:t>021</w:t>
            </w:r>
          </w:p>
        </w:tc>
        <w:tc>
          <w:tcPr>
            <w:tcW w:w="478" w:type="pct"/>
          </w:tcPr>
          <w:p w:rsidR="00511912" w:rsidRPr="00165E35" w:rsidRDefault="00046215" w:rsidP="00805450">
            <w:pPr>
              <w:keepNext/>
              <w:widowControl w:val="0"/>
              <w:autoSpaceDE w:val="0"/>
              <w:autoSpaceDN w:val="0"/>
              <w:adjustRightInd w:val="0"/>
              <w:spacing w:after="0" w:line="240" w:lineRule="auto"/>
              <w:jc w:val="center"/>
              <w:rPr>
                <w:rFonts w:cs="Times New Roman"/>
                <w:sz w:val="16"/>
                <w:szCs w:val="16"/>
                <w:lang w:val="en-US"/>
              </w:rPr>
            </w:pPr>
            <w:r w:rsidRPr="00165E35">
              <w:rPr>
                <w:rFonts w:cs="Times New Roman"/>
                <w:sz w:val="16"/>
                <w:szCs w:val="16"/>
                <w:lang w:val="en-US"/>
              </w:rPr>
              <w:t>(1.</w:t>
            </w:r>
            <w:r w:rsidR="00805450">
              <w:rPr>
                <w:rFonts w:cs="Times New Roman"/>
                <w:sz w:val="16"/>
                <w:szCs w:val="16"/>
                <w:lang w:val="en-US"/>
              </w:rPr>
              <w:t>11</w:t>
            </w:r>
            <w:r w:rsidR="00511912" w:rsidRPr="00165E35">
              <w:rPr>
                <w:rFonts w:cs="Times New Roman"/>
                <w:sz w:val="16"/>
                <w:szCs w:val="16"/>
                <w:lang w:val="en-US"/>
              </w:rPr>
              <w:t>)</w:t>
            </w:r>
          </w:p>
        </w:tc>
        <w:tc>
          <w:tcPr>
            <w:tcW w:w="533" w:type="pct"/>
          </w:tcPr>
          <w:p w:rsidR="00511912" w:rsidRPr="00165E35" w:rsidRDefault="00511912" w:rsidP="00605664">
            <w:pPr>
              <w:keepNext/>
              <w:widowControl w:val="0"/>
              <w:autoSpaceDE w:val="0"/>
              <w:autoSpaceDN w:val="0"/>
              <w:adjustRightInd w:val="0"/>
              <w:spacing w:after="0" w:line="240" w:lineRule="auto"/>
              <w:jc w:val="center"/>
              <w:rPr>
                <w:rFonts w:cs="Times New Roman"/>
                <w:sz w:val="16"/>
                <w:szCs w:val="16"/>
                <w:lang w:val="en-US"/>
              </w:rPr>
            </w:pPr>
            <w:r w:rsidRPr="00165E35">
              <w:rPr>
                <w:rFonts w:cs="Times New Roman"/>
                <w:sz w:val="16"/>
                <w:szCs w:val="16"/>
                <w:lang w:val="en-US"/>
              </w:rPr>
              <w:t>0.022</w:t>
            </w:r>
          </w:p>
        </w:tc>
        <w:tc>
          <w:tcPr>
            <w:tcW w:w="478" w:type="pct"/>
          </w:tcPr>
          <w:p w:rsidR="00511912" w:rsidRPr="00165E35" w:rsidRDefault="00511912" w:rsidP="00605664">
            <w:pPr>
              <w:keepNext/>
              <w:widowControl w:val="0"/>
              <w:autoSpaceDE w:val="0"/>
              <w:autoSpaceDN w:val="0"/>
              <w:adjustRightInd w:val="0"/>
              <w:spacing w:after="0" w:line="240" w:lineRule="auto"/>
              <w:jc w:val="center"/>
              <w:rPr>
                <w:rFonts w:cs="Times New Roman"/>
                <w:sz w:val="16"/>
                <w:szCs w:val="16"/>
                <w:lang w:val="en-US"/>
              </w:rPr>
            </w:pPr>
            <w:r w:rsidRPr="00165E35">
              <w:rPr>
                <w:rFonts w:cs="Times New Roman"/>
                <w:sz w:val="16"/>
                <w:szCs w:val="16"/>
                <w:lang w:val="en-US"/>
              </w:rPr>
              <w:t>(1.19)</w:t>
            </w:r>
          </w:p>
        </w:tc>
        <w:tc>
          <w:tcPr>
            <w:tcW w:w="533" w:type="pct"/>
          </w:tcPr>
          <w:p w:rsidR="00511912" w:rsidRPr="00165E35" w:rsidRDefault="00511912" w:rsidP="00605664">
            <w:pPr>
              <w:keepNext/>
              <w:widowControl w:val="0"/>
              <w:autoSpaceDE w:val="0"/>
              <w:autoSpaceDN w:val="0"/>
              <w:adjustRightInd w:val="0"/>
              <w:spacing w:after="0" w:line="240" w:lineRule="auto"/>
              <w:jc w:val="center"/>
              <w:rPr>
                <w:rFonts w:cs="Times New Roman"/>
                <w:sz w:val="16"/>
                <w:szCs w:val="16"/>
                <w:lang w:val="en-US"/>
              </w:rPr>
            </w:pPr>
            <w:r w:rsidRPr="00165E35">
              <w:rPr>
                <w:rFonts w:cs="Times New Roman"/>
                <w:sz w:val="16"/>
                <w:szCs w:val="16"/>
                <w:lang w:val="en-US"/>
              </w:rPr>
              <w:t>0.015</w:t>
            </w:r>
          </w:p>
        </w:tc>
        <w:tc>
          <w:tcPr>
            <w:tcW w:w="478" w:type="pct"/>
          </w:tcPr>
          <w:p w:rsidR="00511912" w:rsidRPr="00165E35" w:rsidRDefault="00046215" w:rsidP="00605664">
            <w:pPr>
              <w:keepNext/>
              <w:widowControl w:val="0"/>
              <w:autoSpaceDE w:val="0"/>
              <w:autoSpaceDN w:val="0"/>
              <w:adjustRightInd w:val="0"/>
              <w:spacing w:after="0" w:line="240" w:lineRule="auto"/>
              <w:jc w:val="center"/>
              <w:rPr>
                <w:rFonts w:cs="Times New Roman"/>
                <w:sz w:val="16"/>
                <w:szCs w:val="16"/>
                <w:lang w:val="en-US"/>
              </w:rPr>
            </w:pPr>
            <w:r w:rsidRPr="00165E35">
              <w:rPr>
                <w:rFonts w:cs="Times New Roman"/>
                <w:sz w:val="16"/>
                <w:szCs w:val="16"/>
                <w:lang w:val="en-US"/>
              </w:rPr>
              <w:t>(0.79</w:t>
            </w:r>
            <w:r w:rsidR="00511912" w:rsidRPr="00165E35">
              <w:rPr>
                <w:rFonts w:cs="Times New Roman"/>
                <w:sz w:val="16"/>
                <w:szCs w:val="16"/>
                <w:lang w:val="en-US"/>
              </w:rPr>
              <w:t>)</w:t>
            </w:r>
          </w:p>
        </w:tc>
      </w:tr>
      <w:tr w:rsidR="00511912" w:rsidRPr="00165E35" w:rsidTr="00511912">
        <w:tc>
          <w:tcPr>
            <w:tcW w:w="1967" w:type="pct"/>
          </w:tcPr>
          <w:p w:rsidR="00511912" w:rsidRPr="00DF59FE" w:rsidRDefault="00511912" w:rsidP="00605664">
            <w:pPr>
              <w:keepNext/>
              <w:widowControl w:val="0"/>
              <w:autoSpaceDE w:val="0"/>
              <w:autoSpaceDN w:val="0"/>
              <w:adjustRightInd w:val="0"/>
              <w:spacing w:after="0" w:line="240" w:lineRule="auto"/>
              <w:rPr>
                <w:rFonts w:cs="Times New Roman"/>
                <w:i/>
                <w:caps/>
                <w:sz w:val="16"/>
                <w:szCs w:val="16"/>
                <w:lang w:val="en-US"/>
              </w:rPr>
            </w:pPr>
            <w:r w:rsidRPr="00DF59FE">
              <w:rPr>
                <w:rFonts w:cs="Times New Roman"/>
                <w:i/>
                <w:caps/>
                <w:sz w:val="16"/>
                <w:szCs w:val="16"/>
                <w:lang w:val="en-US"/>
              </w:rPr>
              <w:t>Other matches</w:t>
            </w:r>
          </w:p>
        </w:tc>
        <w:tc>
          <w:tcPr>
            <w:tcW w:w="533" w:type="pct"/>
          </w:tcPr>
          <w:p w:rsidR="00511912" w:rsidRPr="00165E35" w:rsidRDefault="00046215" w:rsidP="00805450">
            <w:pPr>
              <w:keepNext/>
              <w:widowControl w:val="0"/>
              <w:autoSpaceDE w:val="0"/>
              <w:autoSpaceDN w:val="0"/>
              <w:adjustRightInd w:val="0"/>
              <w:spacing w:after="0" w:line="240" w:lineRule="auto"/>
              <w:jc w:val="center"/>
              <w:rPr>
                <w:rFonts w:cs="Times New Roman"/>
                <w:sz w:val="16"/>
                <w:szCs w:val="16"/>
                <w:lang w:val="en-US"/>
              </w:rPr>
            </w:pPr>
            <w:r w:rsidRPr="00165E35">
              <w:rPr>
                <w:rFonts w:cs="Times New Roman"/>
                <w:sz w:val="16"/>
                <w:szCs w:val="16"/>
                <w:lang w:val="en-US"/>
              </w:rPr>
              <w:t>-0.</w:t>
            </w:r>
            <w:r w:rsidR="00805450">
              <w:rPr>
                <w:rFonts w:cs="Times New Roman"/>
                <w:sz w:val="16"/>
                <w:szCs w:val="16"/>
                <w:lang w:val="en-US"/>
              </w:rPr>
              <w:t>104</w:t>
            </w:r>
          </w:p>
        </w:tc>
        <w:tc>
          <w:tcPr>
            <w:tcW w:w="478" w:type="pct"/>
          </w:tcPr>
          <w:p w:rsidR="00511912" w:rsidRPr="00165E35" w:rsidRDefault="00511912" w:rsidP="00805450">
            <w:pPr>
              <w:keepNext/>
              <w:widowControl w:val="0"/>
              <w:autoSpaceDE w:val="0"/>
              <w:autoSpaceDN w:val="0"/>
              <w:adjustRightInd w:val="0"/>
              <w:spacing w:after="0" w:line="240" w:lineRule="auto"/>
              <w:jc w:val="center"/>
              <w:rPr>
                <w:rFonts w:cs="Times New Roman"/>
                <w:sz w:val="16"/>
                <w:szCs w:val="16"/>
                <w:lang w:val="en-US"/>
              </w:rPr>
            </w:pPr>
            <w:r w:rsidRPr="00165E35">
              <w:rPr>
                <w:rFonts w:cs="Times New Roman"/>
                <w:sz w:val="16"/>
                <w:szCs w:val="16"/>
                <w:lang w:val="en-US"/>
              </w:rPr>
              <w:t>(0.</w:t>
            </w:r>
            <w:r w:rsidR="00805450">
              <w:rPr>
                <w:rFonts w:cs="Times New Roman"/>
                <w:sz w:val="16"/>
                <w:szCs w:val="16"/>
                <w:lang w:val="en-US"/>
              </w:rPr>
              <w:t>70</w:t>
            </w:r>
            <w:r w:rsidRPr="00165E35">
              <w:rPr>
                <w:rFonts w:cs="Times New Roman"/>
                <w:sz w:val="16"/>
                <w:szCs w:val="16"/>
                <w:lang w:val="en-US"/>
              </w:rPr>
              <w:t>)</w:t>
            </w:r>
          </w:p>
        </w:tc>
        <w:tc>
          <w:tcPr>
            <w:tcW w:w="533" w:type="pct"/>
          </w:tcPr>
          <w:p w:rsidR="00511912" w:rsidRPr="00165E35" w:rsidRDefault="00046215" w:rsidP="00605664">
            <w:pPr>
              <w:keepNext/>
              <w:widowControl w:val="0"/>
              <w:autoSpaceDE w:val="0"/>
              <w:autoSpaceDN w:val="0"/>
              <w:adjustRightInd w:val="0"/>
              <w:spacing w:after="0" w:line="240" w:lineRule="auto"/>
              <w:jc w:val="center"/>
              <w:rPr>
                <w:rFonts w:cs="Times New Roman"/>
                <w:sz w:val="16"/>
                <w:szCs w:val="16"/>
                <w:lang w:val="en-US"/>
              </w:rPr>
            </w:pPr>
            <w:r w:rsidRPr="00165E35">
              <w:rPr>
                <w:rFonts w:cs="Times New Roman"/>
                <w:sz w:val="16"/>
                <w:szCs w:val="16"/>
                <w:lang w:val="en-US"/>
              </w:rPr>
              <w:t>-0.100</w:t>
            </w:r>
          </w:p>
        </w:tc>
        <w:tc>
          <w:tcPr>
            <w:tcW w:w="478" w:type="pct"/>
          </w:tcPr>
          <w:p w:rsidR="00511912" w:rsidRPr="00165E35" w:rsidRDefault="00046215" w:rsidP="00605664">
            <w:pPr>
              <w:keepNext/>
              <w:widowControl w:val="0"/>
              <w:autoSpaceDE w:val="0"/>
              <w:autoSpaceDN w:val="0"/>
              <w:adjustRightInd w:val="0"/>
              <w:spacing w:after="0" w:line="240" w:lineRule="auto"/>
              <w:jc w:val="center"/>
              <w:rPr>
                <w:rFonts w:cs="Times New Roman"/>
                <w:sz w:val="16"/>
                <w:szCs w:val="16"/>
                <w:lang w:val="en-US"/>
              </w:rPr>
            </w:pPr>
            <w:r w:rsidRPr="00165E35">
              <w:rPr>
                <w:rFonts w:cs="Times New Roman"/>
                <w:sz w:val="16"/>
                <w:szCs w:val="16"/>
                <w:lang w:val="en-US"/>
              </w:rPr>
              <w:t>(0.78</w:t>
            </w:r>
            <w:r w:rsidR="00511912" w:rsidRPr="00165E35">
              <w:rPr>
                <w:rFonts w:cs="Times New Roman"/>
                <w:sz w:val="16"/>
                <w:szCs w:val="16"/>
                <w:lang w:val="en-US"/>
              </w:rPr>
              <w:t>)</w:t>
            </w:r>
          </w:p>
        </w:tc>
        <w:tc>
          <w:tcPr>
            <w:tcW w:w="533" w:type="pct"/>
          </w:tcPr>
          <w:p w:rsidR="00511912" w:rsidRPr="00165E35" w:rsidRDefault="00046215" w:rsidP="00605664">
            <w:pPr>
              <w:keepNext/>
              <w:widowControl w:val="0"/>
              <w:autoSpaceDE w:val="0"/>
              <w:autoSpaceDN w:val="0"/>
              <w:adjustRightInd w:val="0"/>
              <w:spacing w:after="0" w:line="240" w:lineRule="auto"/>
              <w:jc w:val="center"/>
              <w:rPr>
                <w:rFonts w:cs="Times New Roman"/>
                <w:sz w:val="16"/>
                <w:szCs w:val="16"/>
                <w:lang w:val="en-US"/>
              </w:rPr>
            </w:pPr>
            <w:r w:rsidRPr="00165E35">
              <w:rPr>
                <w:rFonts w:cs="Times New Roman"/>
                <w:sz w:val="16"/>
                <w:szCs w:val="16"/>
                <w:lang w:val="en-US"/>
              </w:rPr>
              <w:t>-0.105</w:t>
            </w:r>
          </w:p>
        </w:tc>
        <w:tc>
          <w:tcPr>
            <w:tcW w:w="478" w:type="pct"/>
          </w:tcPr>
          <w:p w:rsidR="00511912" w:rsidRPr="00165E35" w:rsidRDefault="00046215" w:rsidP="00605664">
            <w:pPr>
              <w:keepNext/>
              <w:widowControl w:val="0"/>
              <w:autoSpaceDE w:val="0"/>
              <w:autoSpaceDN w:val="0"/>
              <w:adjustRightInd w:val="0"/>
              <w:spacing w:after="0" w:line="240" w:lineRule="auto"/>
              <w:jc w:val="center"/>
              <w:rPr>
                <w:rFonts w:cs="Times New Roman"/>
                <w:sz w:val="16"/>
                <w:szCs w:val="16"/>
                <w:lang w:val="en-US"/>
              </w:rPr>
            </w:pPr>
            <w:r w:rsidRPr="00165E35">
              <w:rPr>
                <w:rFonts w:cs="Times New Roman"/>
                <w:sz w:val="16"/>
                <w:szCs w:val="16"/>
                <w:lang w:val="en-US"/>
              </w:rPr>
              <w:t>(0.81</w:t>
            </w:r>
            <w:r w:rsidR="00511912" w:rsidRPr="00165E35">
              <w:rPr>
                <w:rFonts w:cs="Times New Roman"/>
                <w:sz w:val="16"/>
                <w:szCs w:val="16"/>
                <w:lang w:val="en-US"/>
              </w:rPr>
              <w:t>)</w:t>
            </w:r>
          </w:p>
        </w:tc>
      </w:tr>
      <w:tr w:rsidR="00511912" w:rsidRPr="00165E35" w:rsidTr="00511912">
        <w:tc>
          <w:tcPr>
            <w:tcW w:w="1967" w:type="pct"/>
          </w:tcPr>
          <w:p w:rsidR="00511912" w:rsidRPr="00DF59FE" w:rsidRDefault="00511912" w:rsidP="00605664">
            <w:pPr>
              <w:keepNext/>
              <w:widowControl w:val="0"/>
              <w:autoSpaceDE w:val="0"/>
              <w:autoSpaceDN w:val="0"/>
              <w:adjustRightInd w:val="0"/>
              <w:spacing w:after="0" w:line="240" w:lineRule="auto"/>
              <w:rPr>
                <w:rFonts w:cs="Times New Roman"/>
                <w:i/>
                <w:caps/>
                <w:sz w:val="16"/>
                <w:szCs w:val="16"/>
                <w:lang w:val="en-US"/>
              </w:rPr>
            </w:pPr>
            <w:r w:rsidRPr="00DF59FE">
              <w:rPr>
                <w:rFonts w:cs="Times New Roman"/>
                <w:i/>
                <w:caps/>
                <w:sz w:val="16"/>
                <w:szCs w:val="16"/>
                <w:lang w:val="en-US"/>
              </w:rPr>
              <w:t>Derby</w:t>
            </w:r>
          </w:p>
        </w:tc>
        <w:tc>
          <w:tcPr>
            <w:tcW w:w="533" w:type="pct"/>
          </w:tcPr>
          <w:p w:rsidR="00511912" w:rsidRPr="00165E35" w:rsidRDefault="00046215" w:rsidP="00805450">
            <w:pPr>
              <w:keepNext/>
              <w:widowControl w:val="0"/>
              <w:autoSpaceDE w:val="0"/>
              <w:autoSpaceDN w:val="0"/>
              <w:adjustRightInd w:val="0"/>
              <w:spacing w:after="0" w:line="240" w:lineRule="auto"/>
              <w:jc w:val="center"/>
              <w:rPr>
                <w:rFonts w:cs="Times New Roman"/>
                <w:sz w:val="16"/>
                <w:szCs w:val="16"/>
                <w:lang w:val="en-US"/>
              </w:rPr>
            </w:pPr>
            <w:r w:rsidRPr="00165E35">
              <w:rPr>
                <w:rFonts w:cs="Times New Roman"/>
                <w:sz w:val="16"/>
                <w:szCs w:val="16"/>
                <w:lang w:val="en-US"/>
              </w:rPr>
              <w:t>-0.</w:t>
            </w:r>
            <w:r w:rsidR="00805450">
              <w:rPr>
                <w:rFonts w:cs="Times New Roman"/>
                <w:sz w:val="16"/>
                <w:szCs w:val="16"/>
                <w:lang w:val="en-US"/>
              </w:rPr>
              <w:t>010</w:t>
            </w:r>
          </w:p>
        </w:tc>
        <w:tc>
          <w:tcPr>
            <w:tcW w:w="478" w:type="pct"/>
          </w:tcPr>
          <w:p w:rsidR="00511912" w:rsidRPr="00165E35" w:rsidRDefault="00046215" w:rsidP="00805450">
            <w:pPr>
              <w:keepNext/>
              <w:widowControl w:val="0"/>
              <w:autoSpaceDE w:val="0"/>
              <w:autoSpaceDN w:val="0"/>
              <w:adjustRightInd w:val="0"/>
              <w:spacing w:after="0" w:line="240" w:lineRule="auto"/>
              <w:jc w:val="center"/>
              <w:rPr>
                <w:rFonts w:cs="Times New Roman"/>
                <w:sz w:val="16"/>
                <w:szCs w:val="16"/>
                <w:lang w:val="en-US"/>
              </w:rPr>
            </w:pPr>
            <w:r w:rsidRPr="00165E35">
              <w:rPr>
                <w:rFonts w:cs="Times New Roman"/>
                <w:sz w:val="16"/>
                <w:szCs w:val="16"/>
                <w:lang w:val="en-US"/>
              </w:rPr>
              <w:t>(0.</w:t>
            </w:r>
            <w:r w:rsidR="00805450">
              <w:rPr>
                <w:rFonts w:cs="Times New Roman"/>
                <w:sz w:val="16"/>
                <w:szCs w:val="16"/>
                <w:lang w:val="en-US"/>
              </w:rPr>
              <w:t>039</w:t>
            </w:r>
            <w:r w:rsidR="00511912" w:rsidRPr="00165E35">
              <w:rPr>
                <w:rFonts w:cs="Times New Roman"/>
                <w:sz w:val="16"/>
                <w:szCs w:val="16"/>
                <w:lang w:val="en-US"/>
              </w:rPr>
              <w:t>)</w:t>
            </w:r>
          </w:p>
        </w:tc>
        <w:tc>
          <w:tcPr>
            <w:tcW w:w="533" w:type="pct"/>
          </w:tcPr>
          <w:p w:rsidR="00511912" w:rsidRPr="00165E35" w:rsidRDefault="00046215" w:rsidP="00605664">
            <w:pPr>
              <w:keepNext/>
              <w:widowControl w:val="0"/>
              <w:autoSpaceDE w:val="0"/>
              <w:autoSpaceDN w:val="0"/>
              <w:adjustRightInd w:val="0"/>
              <w:spacing w:after="0" w:line="240" w:lineRule="auto"/>
              <w:jc w:val="center"/>
              <w:rPr>
                <w:rFonts w:cs="Times New Roman"/>
                <w:sz w:val="16"/>
                <w:szCs w:val="16"/>
                <w:lang w:val="en-US"/>
              </w:rPr>
            </w:pPr>
            <w:r w:rsidRPr="00165E35">
              <w:rPr>
                <w:rFonts w:cs="Times New Roman"/>
                <w:sz w:val="16"/>
                <w:szCs w:val="16"/>
                <w:lang w:val="en-US"/>
              </w:rPr>
              <w:t>-0.016</w:t>
            </w:r>
          </w:p>
        </w:tc>
        <w:tc>
          <w:tcPr>
            <w:tcW w:w="478" w:type="pct"/>
          </w:tcPr>
          <w:p w:rsidR="00511912" w:rsidRPr="00165E35" w:rsidRDefault="00046215" w:rsidP="00605664">
            <w:pPr>
              <w:keepNext/>
              <w:widowControl w:val="0"/>
              <w:autoSpaceDE w:val="0"/>
              <w:autoSpaceDN w:val="0"/>
              <w:adjustRightInd w:val="0"/>
              <w:spacing w:after="0" w:line="240" w:lineRule="auto"/>
              <w:jc w:val="center"/>
              <w:rPr>
                <w:rFonts w:cs="Times New Roman"/>
                <w:sz w:val="16"/>
                <w:szCs w:val="16"/>
                <w:lang w:val="en-US"/>
              </w:rPr>
            </w:pPr>
            <w:r w:rsidRPr="00165E35">
              <w:rPr>
                <w:rFonts w:cs="Times New Roman"/>
                <w:sz w:val="16"/>
                <w:szCs w:val="16"/>
                <w:lang w:val="en-US"/>
              </w:rPr>
              <w:t>(0.42</w:t>
            </w:r>
            <w:r w:rsidR="00511912" w:rsidRPr="00165E35">
              <w:rPr>
                <w:rFonts w:cs="Times New Roman"/>
                <w:sz w:val="16"/>
                <w:szCs w:val="16"/>
                <w:lang w:val="en-US"/>
              </w:rPr>
              <w:t>)</w:t>
            </w:r>
          </w:p>
        </w:tc>
        <w:tc>
          <w:tcPr>
            <w:tcW w:w="533" w:type="pct"/>
          </w:tcPr>
          <w:p w:rsidR="00511912" w:rsidRPr="00165E35" w:rsidRDefault="00046215" w:rsidP="00605664">
            <w:pPr>
              <w:keepNext/>
              <w:widowControl w:val="0"/>
              <w:autoSpaceDE w:val="0"/>
              <w:autoSpaceDN w:val="0"/>
              <w:adjustRightInd w:val="0"/>
              <w:spacing w:after="0" w:line="240" w:lineRule="auto"/>
              <w:jc w:val="center"/>
              <w:rPr>
                <w:rFonts w:cs="Times New Roman"/>
                <w:sz w:val="16"/>
                <w:szCs w:val="16"/>
                <w:lang w:val="en-US"/>
              </w:rPr>
            </w:pPr>
            <w:r w:rsidRPr="00165E35">
              <w:rPr>
                <w:rFonts w:cs="Times New Roman"/>
                <w:sz w:val="16"/>
                <w:szCs w:val="16"/>
                <w:lang w:val="en-US"/>
              </w:rPr>
              <w:t>-0.022</w:t>
            </w:r>
          </w:p>
        </w:tc>
        <w:tc>
          <w:tcPr>
            <w:tcW w:w="478" w:type="pct"/>
          </w:tcPr>
          <w:p w:rsidR="00511912" w:rsidRPr="00165E35" w:rsidRDefault="00046215" w:rsidP="00605664">
            <w:pPr>
              <w:keepNext/>
              <w:widowControl w:val="0"/>
              <w:autoSpaceDE w:val="0"/>
              <w:autoSpaceDN w:val="0"/>
              <w:adjustRightInd w:val="0"/>
              <w:spacing w:after="0" w:line="240" w:lineRule="auto"/>
              <w:jc w:val="center"/>
              <w:rPr>
                <w:rFonts w:cs="Times New Roman"/>
                <w:sz w:val="16"/>
                <w:szCs w:val="16"/>
                <w:lang w:val="en-US"/>
              </w:rPr>
            </w:pPr>
            <w:r w:rsidRPr="00165E35">
              <w:rPr>
                <w:rFonts w:cs="Times New Roman"/>
                <w:sz w:val="16"/>
                <w:szCs w:val="16"/>
                <w:lang w:val="en-US"/>
              </w:rPr>
              <w:t>(0.58</w:t>
            </w:r>
            <w:r w:rsidR="00511912" w:rsidRPr="00165E35">
              <w:rPr>
                <w:rFonts w:cs="Times New Roman"/>
                <w:sz w:val="16"/>
                <w:szCs w:val="16"/>
                <w:lang w:val="en-US"/>
              </w:rPr>
              <w:t>)</w:t>
            </w:r>
          </w:p>
        </w:tc>
      </w:tr>
      <w:tr w:rsidR="00511912" w:rsidRPr="00165E35" w:rsidTr="00511912">
        <w:tc>
          <w:tcPr>
            <w:tcW w:w="1967" w:type="pct"/>
          </w:tcPr>
          <w:p w:rsidR="00511912" w:rsidRPr="00DF59FE" w:rsidRDefault="00511912" w:rsidP="00605664">
            <w:pPr>
              <w:keepNext/>
              <w:widowControl w:val="0"/>
              <w:autoSpaceDE w:val="0"/>
              <w:autoSpaceDN w:val="0"/>
              <w:adjustRightInd w:val="0"/>
              <w:spacing w:after="0" w:line="240" w:lineRule="auto"/>
              <w:rPr>
                <w:rFonts w:cs="Times New Roman"/>
                <w:i/>
                <w:caps/>
                <w:sz w:val="16"/>
                <w:szCs w:val="16"/>
                <w:lang w:val="en-US"/>
              </w:rPr>
            </w:pPr>
            <w:r w:rsidRPr="00DF59FE">
              <w:rPr>
                <w:rFonts w:cs="Times New Roman"/>
                <w:i/>
                <w:caps/>
                <w:sz w:val="16"/>
                <w:szCs w:val="16"/>
                <w:lang w:val="en-US"/>
              </w:rPr>
              <w:t>Weekday</w:t>
            </w:r>
          </w:p>
        </w:tc>
        <w:tc>
          <w:tcPr>
            <w:tcW w:w="533" w:type="pct"/>
          </w:tcPr>
          <w:p w:rsidR="00511912" w:rsidRPr="00165E35" w:rsidRDefault="00046215" w:rsidP="00805450">
            <w:pPr>
              <w:keepNext/>
              <w:widowControl w:val="0"/>
              <w:autoSpaceDE w:val="0"/>
              <w:autoSpaceDN w:val="0"/>
              <w:adjustRightInd w:val="0"/>
              <w:spacing w:after="0" w:line="240" w:lineRule="auto"/>
              <w:jc w:val="center"/>
              <w:rPr>
                <w:rFonts w:cs="Times New Roman"/>
                <w:sz w:val="16"/>
                <w:szCs w:val="16"/>
                <w:lang w:val="en-US"/>
              </w:rPr>
            </w:pPr>
            <w:r w:rsidRPr="00165E35">
              <w:rPr>
                <w:rFonts w:cs="Times New Roman"/>
                <w:sz w:val="16"/>
                <w:szCs w:val="16"/>
                <w:lang w:val="en-US"/>
              </w:rPr>
              <w:t>-0.</w:t>
            </w:r>
            <w:r w:rsidR="00805450">
              <w:rPr>
                <w:rFonts w:cs="Times New Roman"/>
                <w:sz w:val="16"/>
                <w:szCs w:val="16"/>
                <w:lang w:val="en-US"/>
              </w:rPr>
              <w:t>086</w:t>
            </w:r>
            <w:r w:rsidR="00511912" w:rsidRPr="00165E35">
              <w:rPr>
                <w:rFonts w:cs="Times New Roman"/>
                <w:sz w:val="16"/>
                <w:szCs w:val="16"/>
                <w:lang w:val="en-US"/>
              </w:rPr>
              <w:t>***</w:t>
            </w:r>
          </w:p>
        </w:tc>
        <w:tc>
          <w:tcPr>
            <w:tcW w:w="478" w:type="pct"/>
          </w:tcPr>
          <w:p w:rsidR="00511912" w:rsidRPr="00165E35" w:rsidRDefault="00511912" w:rsidP="00805450">
            <w:pPr>
              <w:keepNext/>
              <w:widowControl w:val="0"/>
              <w:autoSpaceDE w:val="0"/>
              <w:autoSpaceDN w:val="0"/>
              <w:adjustRightInd w:val="0"/>
              <w:spacing w:after="0" w:line="240" w:lineRule="auto"/>
              <w:jc w:val="center"/>
              <w:rPr>
                <w:rFonts w:cs="Times New Roman"/>
                <w:sz w:val="16"/>
                <w:szCs w:val="16"/>
                <w:lang w:val="en-US"/>
              </w:rPr>
            </w:pPr>
            <w:r w:rsidRPr="00165E35">
              <w:rPr>
                <w:rFonts w:cs="Times New Roman"/>
                <w:sz w:val="16"/>
                <w:szCs w:val="16"/>
                <w:lang w:val="en-US"/>
              </w:rPr>
              <w:t>(3</w:t>
            </w:r>
            <w:r w:rsidR="00046215" w:rsidRPr="00165E35">
              <w:rPr>
                <w:rFonts w:cs="Times New Roman"/>
                <w:sz w:val="16"/>
                <w:szCs w:val="16"/>
                <w:lang w:val="en-US"/>
              </w:rPr>
              <w:t>.</w:t>
            </w:r>
            <w:r w:rsidR="00805450">
              <w:rPr>
                <w:rFonts w:cs="Times New Roman"/>
                <w:sz w:val="16"/>
                <w:szCs w:val="16"/>
                <w:lang w:val="en-US"/>
              </w:rPr>
              <w:t>79</w:t>
            </w:r>
            <w:r w:rsidRPr="00165E35">
              <w:rPr>
                <w:rFonts w:cs="Times New Roman"/>
                <w:sz w:val="16"/>
                <w:szCs w:val="16"/>
                <w:lang w:val="en-US"/>
              </w:rPr>
              <w:t>)</w:t>
            </w:r>
          </w:p>
        </w:tc>
        <w:tc>
          <w:tcPr>
            <w:tcW w:w="533" w:type="pct"/>
          </w:tcPr>
          <w:p w:rsidR="00511912" w:rsidRPr="00165E35" w:rsidRDefault="00046215" w:rsidP="00605664">
            <w:pPr>
              <w:keepNext/>
              <w:widowControl w:val="0"/>
              <w:autoSpaceDE w:val="0"/>
              <w:autoSpaceDN w:val="0"/>
              <w:adjustRightInd w:val="0"/>
              <w:spacing w:after="0" w:line="240" w:lineRule="auto"/>
              <w:jc w:val="center"/>
              <w:rPr>
                <w:rFonts w:cs="Times New Roman"/>
                <w:sz w:val="16"/>
                <w:szCs w:val="16"/>
                <w:lang w:val="en-US"/>
              </w:rPr>
            </w:pPr>
            <w:r w:rsidRPr="00165E35">
              <w:rPr>
                <w:rFonts w:cs="Times New Roman"/>
                <w:sz w:val="16"/>
                <w:szCs w:val="16"/>
                <w:lang w:val="en-US"/>
              </w:rPr>
              <w:t>-0.085</w:t>
            </w:r>
            <w:r w:rsidR="00511912" w:rsidRPr="00165E35">
              <w:rPr>
                <w:rFonts w:cs="Times New Roman"/>
                <w:sz w:val="16"/>
                <w:szCs w:val="16"/>
                <w:lang w:val="en-US"/>
              </w:rPr>
              <w:t>***</w:t>
            </w:r>
          </w:p>
        </w:tc>
        <w:tc>
          <w:tcPr>
            <w:tcW w:w="478" w:type="pct"/>
          </w:tcPr>
          <w:p w:rsidR="00511912" w:rsidRPr="00165E35" w:rsidRDefault="00046215" w:rsidP="00605664">
            <w:pPr>
              <w:keepNext/>
              <w:widowControl w:val="0"/>
              <w:autoSpaceDE w:val="0"/>
              <w:autoSpaceDN w:val="0"/>
              <w:adjustRightInd w:val="0"/>
              <w:spacing w:after="0" w:line="240" w:lineRule="auto"/>
              <w:jc w:val="center"/>
              <w:rPr>
                <w:rFonts w:cs="Times New Roman"/>
                <w:sz w:val="16"/>
                <w:szCs w:val="16"/>
                <w:lang w:val="en-US"/>
              </w:rPr>
            </w:pPr>
            <w:r w:rsidRPr="00165E35">
              <w:rPr>
                <w:rFonts w:cs="Times New Roman"/>
                <w:sz w:val="16"/>
                <w:szCs w:val="16"/>
                <w:lang w:val="en-US"/>
              </w:rPr>
              <w:t>(3.78</w:t>
            </w:r>
            <w:r w:rsidR="00511912" w:rsidRPr="00165E35">
              <w:rPr>
                <w:rFonts w:cs="Times New Roman"/>
                <w:sz w:val="16"/>
                <w:szCs w:val="16"/>
                <w:lang w:val="en-US"/>
              </w:rPr>
              <w:t>)</w:t>
            </w:r>
          </w:p>
        </w:tc>
        <w:tc>
          <w:tcPr>
            <w:tcW w:w="533" w:type="pct"/>
          </w:tcPr>
          <w:p w:rsidR="00511912" w:rsidRPr="00165E35" w:rsidRDefault="00046215" w:rsidP="00605664">
            <w:pPr>
              <w:keepNext/>
              <w:widowControl w:val="0"/>
              <w:autoSpaceDE w:val="0"/>
              <w:autoSpaceDN w:val="0"/>
              <w:adjustRightInd w:val="0"/>
              <w:spacing w:after="0" w:line="240" w:lineRule="auto"/>
              <w:jc w:val="center"/>
              <w:rPr>
                <w:rFonts w:cs="Times New Roman"/>
                <w:sz w:val="16"/>
                <w:szCs w:val="16"/>
                <w:lang w:val="en-US"/>
              </w:rPr>
            </w:pPr>
            <w:r w:rsidRPr="00165E35">
              <w:rPr>
                <w:rFonts w:cs="Times New Roman"/>
                <w:sz w:val="16"/>
                <w:szCs w:val="16"/>
                <w:lang w:val="en-US"/>
              </w:rPr>
              <w:t>-0.092</w:t>
            </w:r>
            <w:r w:rsidR="00511912" w:rsidRPr="00165E35">
              <w:rPr>
                <w:rFonts w:cs="Times New Roman"/>
                <w:sz w:val="16"/>
                <w:szCs w:val="16"/>
                <w:lang w:val="en-US"/>
              </w:rPr>
              <w:t>***</w:t>
            </w:r>
          </w:p>
        </w:tc>
        <w:tc>
          <w:tcPr>
            <w:tcW w:w="478" w:type="pct"/>
          </w:tcPr>
          <w:p w:rsidR="00511912" w:rsidRPr="00165E35" w:rsidRDefault="00046215" w:rsidP="00605664">
            <w:pPr>
              <w:keepNext/>
              <w:widowControl w:val="0"/>
              <w:autoSpaceDE w:val="0"/>
              <w:autoSpaceDN w:val="0"/>
              <w:adjustRightInd w:val="0"/>
              <w:spacing w:after="0" w:line="240" w:lineRule="auto"/>
              <w:jc w:val="center"/>
              <w:rPr>
                <w:rFonts w:cs="Times New Roman"/>
                <w:sz w:val="16"/>
                <w:szCs w:val="16"/>
                <w:lang w:val="en-US"/>
              </w:rPr>
            </w:pPr>
            <w:r w:rsidRPr="00165E35">
              <w:rPr>
                <w:rFonts w:cs="Times New Roman"/>
                <w:sz w:val="16"/>
                <w:szCs w:val="16"/>
                <w:lang w:val="en-US"/>
              </w:rPr>
              <w:t>(4.11</w:t>
            </w:r>
            <w:r w:rsidR="00511912" w:rsidRPr="00165E35">
              <w:rPr>
                <w:rFonts w:cs="Times New Roman"/>
                <w:sz w:val="16"/>
                <w:szCs w:val="16"/>
                <w:lang w:val="en-US"/>
              </w:rPr>
              <w:t>)</w:t>
            </w:r>
          </w:p>
        </w:tc>
      </w:tr>
      <w:tr w:rsidR="00511912" w:rsidRPr="00165E35" w:rsidTr="00511912">
        <w:tc>
          <w:tcPr>
            <w:tcW w:w="1967" w:type="pct"/>
          </w:tcPr>
          <w:p w:rsidR="00511912" w:rsidRPr="00DF59FE" w:rsidRDefault="00511912" w:rsidP="00605664">
            <w:pPr>
              <w:keepNext/>
              <w:widowControl w:val="0"/>
              <w:autoSpaceDE w:val="0"/>
              <w:autoSpaceDN w:val="0"/>
              <w:adjustRightInd w:val="0"/>
              <w:spacing w:after="0" w:line="240" w:lineRule="auto"/>
              <w:rPr>
                <w:rFonts w:cs="Times New Roman"/>
                <w:i/>
                <w:caps/>
                <w:sz w:val="16"/>
                <w:szCs w:val="16"/>
                <w:lang w:val="en-US"/>
              </w:rPr>
            </w:pPr>
            <w:r w:rsidRPr="00DF59FE">
              <w:rPr>
                <w:rFonts w:cs="Times New Roman"/>
                <w:i/>
                <w:caps/>
                <w:sz w:val="16"/>
                <w:szCs w:val="16"/>
                <w:lang w:val="en-US"/>
              </w:rPr>
              <w:t>Champion contention</w:t>
            </w:r>
          </w:p>
        </w:tc>
        <w:tc>
          <w:tcPr>
            <w:tcW w:w="533" w:type="pct"/>
          </w:tcPr>
          <w:p w:rsidR="00511912" w:rsidRPr="00165E35" w:rsidRDefault="00046215" w:rsidP="00805450">
            <w:pPr>
              <w:keepNext/>
              <w:widowControl w:val="0"/>
              <w:autoSpaceDE w:val="0"/>
              <w:autoSpaceDN w:val="0"/>
              <w:adjustRightInd w:val="0"/>
              <w:spacing w:after="0" w:line="240" w:lineRule="auto"/>
              <w:jc w:val="center"/>
              <w:rPr>
                <w:rFonts w:cs="Times New Roman"/>
                <w:sz w:val="16"/>
                <w:szCs w:val="16"/>
                <w:lang w:val="en-US"/>
              </w:rPr>
            </w:pPr>
            <w:r w:rsidRPr="00165E35">
              <w:rPr>
                <w:rFonts w:cs="Times New Roman"/>
                <w:sz w:val="16"/>
                <w:szCs w:val="16"/>
                <w:lang w:val="en-US"/>
              </w:rPr>
              <w:t>0.</w:t>
            </w:r>
            <w:r w:rsidR="00805450">
              <w:rPr>
                <w:rFonts w:cs="Times New Roman"/>
                <w:sz w:val="16"/>
                <w:szCs w:val="16"/>
                <w:lang w:val="en-US"/>
              </w:rPr>
              <w:t>012</w:t>
            </w:r>
          </w:p>
        </w:tc>
        <w:tc>
          <w:tcPr>
            <w:tcW w:w="478" w:type="pct"/>
          </w:tcPr>
          <w:p w:rsidR="00511912" w:rsidRPr="00165E35" w:rsidRDefault="00046215" w:rsidP="00805450">
            <w:pPr>
              <w:keepNext/>
              <w:widowControl w:val="0"/>
              <w:autoSpaceDE w:val="0"/>
              <w:autoSpaceDN w:val="0"/>
              <w:adjustRightInd w:val="0"/>
              <w:spacing w:after="0" w:line="240" w:lineRule="auto"/>
              <w:jc w:val="center"/>
              <w:rPr>
                <w:rFonts w:cs="Times New Roman"/>
                <w:sz w:val="16"/>
                <w:szCs w:val="16"/>
                <w:lang w:val="en-US"/>
              </w:rPr>
            </w:pPr>
            <w:r w:rsidRPr="00165E35">
              <w:rPr>
                <w:rFonts w:cs="Times New Roman"/>
                <w:sz w:val="16"/>
                <w:szCs w:val="16"/>
                <w:lang w:val="en-US"/>
              </w:rPr>
              <w:t>(0.</w:t>
            </w:r>
            <w:r w:rsidR="00805450">
              <w:rPr>
                <w:rFonts w:cs="Times New Roman"/>
                <w:sz w:val="16"/>
                <w:szCs w:val="16"/>
                <w:lang w:val="en-US"/>
              </w:rPr>
              <w:t>33</w:t>
            </w:r>
            <w:r w:rsidR="00511912" w:rsidRPr="00165E35">
              <w:rPr>
                <w:rFonts w:cs="Times New Roman"/>
                <w:sz w:val="16"/>
                <w:szCs w:val="16"/>
                <w:lang w:val="en-US"/>
              </w:rPr>
              <w:t>)</w:t>
            </w:r>
          </w:p>
        </w:tc>
        <w:tc>
          <w:tcPr>
            <w:tcW w:w="533" w:type="pct"/>
          </w:tcPr>
          <w:p w:rsidR="00511912" w:rsidRPr="00165E35" w:rsidRDefault="00046215" w:rsidP="00605664">
            <w:pPr>
              <w:keepNext/>
              <w:widowControl w:val="0"/>
              <w:autoSpaceDE w:val="0"/>
              <w:autoSpaceDN w:val="0"/>
              <w:adjustRightInd w:val="0"/>
              <w:spacing w:after="0" w:line="240" w:lineRule="auto"/>
              <w:jc w:val="center"/>
              <w:rPr>
                <w:rFonts w:cs="Times New Roman"/>
                <w:sz w:val="16"/>
                <w:szCs w:val="16"/>
                <w:lang w:val="en-US"/>
              </w:rPr>
            </w:pPr>
            <w:r w:rsidRPr="00165E35">
              <w:rPr>
                <w:rFonts w:cs="Times New Roman"/>
                <w:sz w:val="16"/>
                <w:szCs w:val="16"/>
                <w:lang w:val="en-US"/>
              </w:rPr>
              <w:t>0.014</w:t>
            </w:r>
          </w:p>
        </w:tc>
        <w:tc>
          <w:tcPr>
            <w:tcW w:w="478" w:type="pct"/>
          </w:tcPr>
          <w:p w:rsidR="00511912" w:rsidRPr="00165E35" w:rsidRDefault="00046215" w:rsidP="00605664">
            <w:pPr>
              <w:keepNext/>
              <w:widowControl w:val="0"/>
              <w:autoSpaceDE w:val="0"/>
              <w:autoSpaceDN w:val="0"/>
              <w:adjustRightInd w:val="0"/>
              <w:spacing w:after="0" w:line="240" w:lineRule="auto"/>
              <w:jc w:val="center"/>
              <w:rPr>
                <w:rFonts w:cs="Times New Roman"/>
                <w:sz w:val="16"/>
                <w:szCs w:val="16"/>
                <w:lang w:val="en-US"/>
              </w:rPr>
            </w:pPr>
            <w:r w:rsidRPr="00165E35">
              <w:rPr>
                <w:rFonts w:cs="Times New Roman"/>
                <w:sz w:val="16"/>
                <w:szCs w:val="16"/>
                <w:lang w:val="en-US"/>
              </w:rPr>
              <w:t>(0.3</w:t>
            </w:r>
            <w:r w:rsidR="00511912" w:rsidRPr="00165E35">
              <w:rPr>
                <w:rFonts w:cs="Times New Roman"/>
                <w:sz w:val="16"/>
                <w:szCs w:val="16"/>
                <w:lang w:val="en-US"/>
              </w:rPr>
              <w:t>9)</w:t>
            </w:r>
          </w:p>
        </w:tc>
        <w:tc>
          <w:tcPr>
            <w:tcW w:w="533" w:type="pct"/>
          </w:tcPr>
          <w:p w:rsidR="00511912" w:rsidRPr="00165E35" w:rsidRDefault="00046215" w:rsidP="00605664">
            <w:pPr>
              <w:keepNext/>
              <w:widowControl w:val="0"/>
              <w:autoSpaceDE w:val="0"/>
              <w:autoSpaceDN w:val="0"/>
              <w:adjustRightInd w:val="0"/>
              <w:spacing w:after="0" w:line="240" w:lineRule="auto"/>
              <w:jc w:val="center"/>
              <w:rPr>
                <w:rFonts w:cs="Times New Roman"/>
                <w:sz w:val="16"/>
                <w:szCs w:val="16"/>
                <w:lang w:val="en-US"/>
              </w:rPr>
            </w:pPr>
            <w:r w:rsidRPr="00165E35">
              <w:rPr>
                <w:rFonts w:cs="Times New Roman"/>
                <w:sz w:val="16"/>
                <w:szCs w:val="16"/>
                <w:lang w:val="en-US"/>
              </w:rPr>
              <w:t>0.008</w:t>
            </w:r>
          </w:p>
        </w:tc>
        <w:tc>
          <w:tcPr>
            <w:tcW w:w="478" w:type="pct"/>
          </w:tcPr>
          <w:p w:rsidR="00511912" w:rsidRPr="00165E35" w:rsidRDefault="00046215" w:rsidP="00605664">
            <w:pPr>
              <w:keepNext/>
              <w:widowControl w:val="0"/>
              <w:autoSpaceDE w:val="0"/>
              <w:autoSpaceDN w:val="0"/>
              <w:adjustRightInd w:val="0"/>
              <w:spacing w:after="0" w:line="240" w:lineRule="auto"/>
              <w:jc w:val="center"/>
              <w:rPr>
                <w:rFonts w:cs="Times New Roman"/>
                <w:sz w:val="16"/>
                <w:szCs w:val="16"/>
                <w:lang w:val="en-US"/>
              </w:rPr>
            </w:pPr>
            <w:r w:rsidRPr="00165E35">
              <w:rPr>
                <w:rFonts w:cs="Times New Roman"/>
                <w:sz w:val="16"/>
                <w:szCs w:val="16"/>
                <w:lang w:val="en-US"/>
              </w:rPr>
              <w:t>(0.2</w:t>
            </w:r>
            <w:r w:rsidR="00511912" w:rsidRPr="00165E35">
              <w:rPr>
                <w:rFonts w:cs="Times New Roman"/>
                <w:sz w:val="16"/>
                <w:szCs w:val="16"/>
                <w:lang w:val="en-US"/>
              </w:rPr>
              <w:t>3)</w:t>
            </w:r>
          </w:p>
        </w:tc>
      </w:tr>
      <w:tr w:rsidR="00511912" w:rsidRPr="00165E35" w:rsidTr="00511912">
        <w:tc>
          <w:tcPr>
            <w:tcW w:w="1967" w:type="pct"/>
          </w:tcPr>
          <w:p w:rsidR="00511912" w:rsidRPr="00DF59FE" w:rsidRDefault="00511912" w:rsidP="00605664">
            <w:pPr>
              <w:keepNext/>
              <w:widowControl w:val="0"/>
              <w:autoSpaceDE w:val="0"/>
              <w:autoSpaceDN w:val="0"/>
              <w:adjustRightInd w:val="0"/>
              <w:spacing w:after="0" w:line="240" w:lineRule="auto"/>
              <w:rPr>
                <w:rFonts w:cs="Times New Roman"/>
                <w:i/>
                <w:caps/>
                <w:sz w:val="16"/>
                <w:szCs w:val="16"/>
                <w:lang w:val="en-US"/>
              </w:rPr>
            </w:pPr>
            <w:r w:rsidRPr="00DF59FE">
              <w:rPr>
                <w:rFonts w:cs="Times New Roman"/>
                <w:i/>
                <w:caps/>
                <w:sz w:val="16"/>
                <w:szCs w:val="16"/>
                <w:lang w:val="en-US"/>
              </w:rPr>
              <w:t>Europe contention</w:t>
            </w:r>
          </w:p>
        </w:tc>
        <w:tc>
          <w:tcPr>
            <w:tcW w:w="533" w:type="pct"/>
          </w:tcPr>
          <w:p w:rsidR="00511912" w:rsidRPr="00165E35" w:rsidRDefault="00046215" w:rsidP="00805450">
            <w:pPr>
              <w:keepNext/>
              <w:widowControl w:val="0"/>
              <w:autoSpaceDE w:val="0"/>
              <w:autoSpaceDN w:val="0"/>
              <w:adjustRightInd w:val="0"/>
              <w:spacing w:after="0" w:line="240" w:lineRule="auto"/>
              <w:jc w:val="center"/>
              <w:rPr>
                <w:rFonts w:cs="Times New Roman"/>
                <w:sz w:val="16"/>
                <w:szCs w:val="16"/>
                <w:lang w:val="en-US"/>
              </w:rPr>
            </w:pPr>
            <w:r w:rsidRPr="00165E35">
              <w:rPr>
                <w:rFonts w:cs="Times New Roman"/>
                <w:sz w:val="16"/>
                <w:szCs w:val="16"/>
                <w:lang w:val="en-US"/>
              </w:rPr>
              <w:t>-0.</w:t>
            </w:r>
            <w:r w:rsidR="00805450">
              <w:rPr>
                <w:rFonts w:cs="Times New Roman"/>
                <w:sz w:val="16"/>
                <w:szCs w:val="16"/>
                <w:lang w:val="en-US"/>
              </w:rPr>
              <w:t>035</w:t>
            </w:r>
          </w:p>
        </w:tc>
        <w:tc>
          <w:tcPr>
            <w:tcW w:w="478" w:type="pct"/>
          </w:tcPr>
          <w:p w:rsidR="00511912" w:rsidRPr="00165E35" w:rsidRDefault="00046215" w:rsidP="00805450">
            <w:pPr>
              <w:keepNext/>
              <w:widowControl w:val="0"/>
              <w:autoSpaceDE w:val="0"/>
              <w:autoSpaceDN w:val="0"/>
              <w:adjustRightInd w:val="0"/>
              <w:spacing w:after="0" w:line="240" w:lineRule="auto"/>
              <w:jc w:val="center"/>
              <w:rPr>
                <w:rFonts w:cs="Times New Roman"/>
                <w:sz w:val="16"/>
                <w:szCs w:val="16"/>
                <w:lang w:val="en-US"/>
              </w:rPr>
            </w:pPr>
            <w:r w:rsidRPr="00165E35">
              <w:rPr>
                <w:rFonts w:cs="Times New Roman"/>
                <w:sz w:val="16"/>
                <w:szCs w:val="16"/>
                <w:lang w:val="en-US"/>
              </w:rPr>
              <w:t>(0.</w:t>
            </w:r>
            <w:r w:rsidR="00805450">
              <w:rPr>
                <w:rFonts w:cs="Times New Roman"/>
                <w:sz w:val="16"/>
                <w:szCs w:val="16"/>
                <w:lang w:val="en-US"/>
              </w:rPr>
              <w:t>68</w:t>
            </w:r>
            <w:r w:rsidR="00511912" w:rsidRPr="00165E35">
              <w:rPr>
                <w:rFonts w:cs="Times New Roman"/>
                <w:sz w:val="16"/>
                <w:szCs w:val="16"/>
                <w:lang w:val="en-US"/>
              </w:rPr>
              <w:t>)</w:t>
            </w:r>
          </w:p>
        </w:tc>
        <w:tc>
          <w:tcPr>
            <w:tcW w:w="533" w:type="pct"/>
          </w:tcPr>
          <w:p w:rsidR="00511912" w:rsidRPr="00165E35" w:rsidRDefault="00046215" w:rsidP="00605664">
            <w:pPr>
              <w:keepNext/>
              <w:widowControl w:val="0"/>
              <w:autoSpaceDE w:val="0"/>
              <w:autoSpaceDN w:val="0"/>
              <w:adjustRightInd w:val="0"/>
              <w:spacing w:after="0" w:line="240" w:lineRule="auto"/>
              <w:jc w:val="center"/>
              <w:rPr>
                <w:rFonts w:cs="Times New Roman"/>
                <w:sz w:val="16"/>
                <w:szCs w:val="16"/>
                <w:lang w:val="en-US"/>
              </w:rPr>
            </w:pPr>
            <w:r w:rsidRPr="00165E35">
              <w:rPr>
                <w:rFonts w:cs="Times New Roman"/>
                <w:sz w:val="16"/>
                <w:szCs w:val="16"/>
                <w:lang w:val="en-US"/>
              </w:rPr>
              <w:t>-0.029</w:t>
            </w:r>
          </w:p>
        </w:tc>
        <w:tc>
          <w:tcPr>
            <w:tcW w:w="478" w:type="pct"/>
          </w:tcPr>
          <w:p w:rsidR="00511912" w:rsidRPr="00165E35" w:rsidRDefault="00046215" w:rsidP="00605664">
            <w:pPr>
              <w:keepNext/>
              <w:widowControl w:val="0"/>
              <w:autoSpaceDE w:val="0"/>
              <w:autoSpaceDN w:val="0"/>
              <w:adjustRightInd w:val="0"/>
              <w:spacing w:after="0" w:line="240" w:lineRule="auto"/>
              <w:jc w:val="center"/>
              <w:rPr>
                <w:rFonts w:cs="Times New Roman"/>
                <w:sz w:val="16"/>
                <w:szCs w:val="16"/>
                <w:lang w:val="en-US"/>
              </w:rPr>
            </w:pPr>
            <w:r w:rsidRPr="00165E35">
              <w:rPr>
                <w:rFonts w:cs="Times New Roman"/>
                <w:sz w:val="16"/>
                <w:szCs w:val="16"/>
                <w:lang w:val="en-US"/>
              </w:rPr>
              <w:t>(0.58</w:t>
            </w:r>
            <w:r w:rsidR="00511912" w:rsidRPr="00165E35">
              <w:rPr>
                <w:rFonts w:cs="Times New Roman"/>
                <w:sz w:val="16"/>
                <w:szCs w:val="16"/>
                <w:lang w:val="en-US"/>
              </w:rPr>
              <w:t>)</w:t>
            </w:r>
          </w:p>
        </w:tc>
        <w:tc>
          <w:tcPr>
            <w:tcW w:w="533" w:type="pct"/>
          </w:tcPr>
          <w:p w:rsidR="00511912" w:rsidRPr="00165E35" w:rsidRDefault="00046215" w:rsidP="00605664">
            <w:pPr>
              <w:keepNext/>
              <w:widowControl w:val="0"/>
              <w:autoSpaceDE w:val="0"/>
              <w:autoSpaceDN w:val="0"/>
              <w:adjustRightInd w:val="0"/>
              <w:spacing w:after="0" w:line="240" w:lineRule="auto"/>
              <w:jc w:val="center"/>
              <w:rPr>
                <w:rFonts w:cs="Times New Roman"/>
                <w:sz w:val="16"/>
                <w:szCs w:val="16"/>
                <w:lang w:val="en-US"/>
              </w:rPr>
            </w:pPr>
            <w:r w:rsidRPr="00165E35">
              <w:rPr>
                <w:rFonts w:cs="Times New Roman"/>
                <w:sz w:val="16"/>
                <w:szCs w:val="16"/>
                <w:lang w:val="en-US"/>
              </w:rPr>
              <w:t>-0.036</w:t>
            </w:r>
          </w:p>
        </w:tc>
        <w:tc>
          <w:tcPr>
            <w:tcW w:w="478" w:type="pct"/>
          </w:tcPr>
          <w:p w:rsidR="00511912" w:rsidRPr="00165E35" w:rsidRDefault="00046215" w:rsidP="00605664">
            <w:pPr>
              <w:keepNext/>
              <w:widowControl w:val="0"/>
              <w:autoSpaceDE w:val="0"/>
              <w:autoSpaceDN w:val="0"/>
              <w:adjustRightInd w:val="0"/>
              <w:spacing w:after="0" w:line="240" w:lineRule="auto"/>
              <w:jc w:val="center"/>
              <w:rPr>
                <w:rFonts w:cs="Times New Roman"/>
                <w:sz w:val="16"/>
                <w:szCs w:val="16"/>
                <w:lang w:val="en-US"/>
              </w:rPr>
            </w:pPr>
            <w:r w:rsidRPr="00165E35">
              <w:rPr>
                <w:rFonts w:cs="Times New Roman"/>
                <w:sz w:val="16"/>
                <w:szCs w:val="16"/>
                <w:lang w:val="en-US"/>
              </w:rPr>
              <w:t>(0.71</w:t>
            </w:r>
            <w:r w:rsidR="00511912" w:rsidRPr="00165E35">
              <w:rPr>
                <w:rFonts w:cs="Times New Roman"/>
                <w:sz w:val="16"/>
                <w:szCs w:val="16"/>
                <w:lang w:val="en-US"/>
              </w:rPr>
              <w:t>)</w:t>
            </w:r>
          </w:p>
        </w:tc>
      </w:tr>
      <w:tr w:rsidR="00511912" w:rsidRPr="00165E35" w:rsidTr="00511912">
        <w:tc>
          <w:tcPr>
            <w:tcW w:w="1967" w:type="pct"/>
          </w:tcPr>
          <w:p w:rsidR="00511912" w:rsidRPr="00DF59FE" w:rsidRDefault="00511912" w:rsidP="00605664">
            <w:pPr>
              <w:keepNext/>
              <w:widowControl w:val="0"/>
              <w:autoSpaceDE w:val="0"/>
              <w:autoSpaceDN w:val="0"/>
              <w:adjustRightInd w:val="0"/>
              <w:spacing w:after="0" w:line="240" w:lineRule="auto"/>
              <w:rPr>
                <w:rFonts w:cs="Times New Roman"/>
                <w:i/>
                <w:caps/>
                <w:sz w:val="16"/>
                <w:szCs w:val="16"/>
                <w:lang w:val="en-US"/>
              </w:rPr>
            </w:pPr>
            <w:r w:rsidRPr="00DF59FE">
              <w:rPr>
                <w:rFonts w:cs="Times New Roman"/>
                <w:i/>
                <w:caps/>
                <w:sz w:val="16"/>
                <w:szCs w:val="16"/>
                <w:lang w:val="en-US"/>
              </w:rPr>
              <w:t>Relegation contention</w:t>
            </w:r>
          </w:p>
        </w:tc>
        <w:tc>
          <w:tcPr>
            <w:tcW w:w="533" w:type="pct"/>
          </w:tcPr>
          <w:p w:rsidR="00511912" w:rsidRPr="00165E35" w:rsidRDefault="00046215" w:rsidP="00805450">
            <w:pPr>
              <w:keepNext/>
              <w:widowControl w:val="0"/>
              <w:autoSpaceDE w:val="0"/>
              <w:autoSpaceDN w:val="0"/>
              <w:adjustRightInd w:val="0"/>
              <w:spacing w:after="0" w:line="240" w:lineRule="auto"/>
              <w:jc w:val="center"/>
              <w:rPr>
                <w:rFonts w:cs="Times New Roman"/>
                <w:sz w:val="16"/>
                <w:szCs w:val="16"/>
                <w:lang w:val="en-US"/>
              </w:rPr>
            </w:pPr>
            <w:r w:rsidRPr="00165E35">
              <w:rPr>
                <w:rFonts w:cs="Times New Roman"/>
                <w:sz w:val="16"/>
                <w:szCs w:val="16"/>
                <w:lang w:val="en-US"/>
              </w:rPr>
              <w:t>-0.</w:t>
            </w:r>
            <w:r w:rsidR="00805450">
              <w:rPr>
                <w:rFonts w:cs="Times New Roman"/>
                <w:sz w:val="16"/>
                <w:szCs w:val="16"/>
                <w:lang w:val="en-US"/>
              </w:rPr>
              <w:t>022</w:t>
            </w:r>
          </w:p>
        </w:tc>
        <w:tc>
          <w:tcPr>
            <w:tcW w:w="478" w:type="pct"/>
          </w:tcPr>
          <w:p w:rsidR="00511912" w:rsidRPr="00165E35" w:rsidRDefault="00511912" w:rsidP="00805450">
            <w:pPr>
              <w:keepNext/>
              <w:widowControl w:val="0"/>
              <w:autoSpaceDE w:val="0"/>
              <w:autoSpaceDN w:val="0"/>
              <w:adjustRightInd w:val="0"/>
              <w:spacing w:after="0" w:line="240" w:lineRule="auto"/>
              <w:jc w:val="center"/>
              <w:rPr>
                <w:rFonts w:cs="Times New Roman"/>
                <w:sz w:val="16"/>
                <w:szCs w:val="16"/>
                <w:lang w:val="en-US"/>
              </w:rPr>
            </w:pPr>
            <w:r w:rsidRPr="00165E35">
              <w:rPr>
                <w:rFonts w:cs="Times New Roman"/>
                <w:sz w:val="16"/>
                <w:szCs w:val="16"/>
                <w:lang w:val="en-US"/>
              </w:rPr>
              <w:t>(0.</w:t>
            </w:r>
            <w:r w:rsidR="00805450">
              <w:rPr>
                <w:rFonts w:cs="Times New Roman"/>
                <w:sz w:val="16"/>
                <w:szCs w:val="16"/>
                <w:lang w:val="en-US"/>
              </w:rPr>
              <w:t>54</w:t>
            </w:r>
            <w:r w:rsidRPr="00165E35">
              <w:rPr>
                <w:rFonts w:cs="Times New Roman"/>
                <w:sz w:val="16"/>
                <w:szCs w:val="16"/>
                <w:lang w:val="en-US"/>
              </w:rPr>
              <w:t>)</w:t>
            </w:r>
          </w:p>
        </w:tc>
        <w:tc>
          <w:tcPr>
            <w:tcW w:w="533" w:type="pct"/>
          </w:tcPr>
          <w:p w:rsidR="00511912" w:rsidRPr="00165E35" w:rsidRDefault="00046215" w:rsidP="00605664">
            <w:pPr>
              <w:keepNext/>
              <w:widowControl w:val="0"/>
              <w:autoSpaceDE w:val="0"/>
              <w:autoSpaceDN w:val="0"/>
              <w:adjustRightInd w:val="0"/>
              <w:spacing w:after="0" w:line="240" w:lineRule="auto"/>
              <w:jc w:val="center"/>
              <w:rPr>
                <w:rFonts w:cs="Times New Roman"/>
                <w:sz w:val="16"/>
                <w:szCs w:val="16"/>
                <w:lang w:val="en-US"/>
              </w:rPr>
            </w:pPr>
            <w:r w:rsidRPr="00165E35">
              <w:rPr>
                <w:rFonts w:cs="Times New Roman"/>
                <w:sz w:val="16"/>
                <w:szCs w:val="16"/>
                <w:lang w:val="en-US"/>
              </w:rPr>
              <w:t>-0.019</w:t>
            </w:r>
          </w:p>
        </w:tc>
        <w:tc>
          <w:tcPr>
            <w:tcW w:w="478" w:type="pct"/>
          </w:tcPr>
          <w:p w:rsidR="00511912" w:rsidRPr="00165E35" w:rsidRDefault="00046215" w:rsidP="00605664">
            <w:pPr>
              <w:keepNext/>
              <w:widowControl w:val="0"/>
              <w:autoSpaceDE w:val="0"/>
              <w:autoSpaceDN w:val="0"/>
              <w:adjustRightInd w:val="0"/>
              <w:spacing w:after="0" w:line="240" w:lineRule="auto"/>
              <w:jc w:val="center"/>
              <w:rPr>
                <w:rFonts w:cs="Times New Roman"/>
                <w:sz w:val="16"/>
                <w:szCs w:val="16"/>
                <w:lang w:val="en-US"/>
              </w:rPr>
            </w:pPr>
            <w:r w:rsidRPr="00165E35">
              <w:rPr>
                <w:rFonts w:cs="Times New Roman"/>
                <w:sz w:val="16"/>
                <w:szCs w:val="16"/>
                <w:lang w:val="en-US"/>
              </w:rPr>
              <w:t>(0.47</w:t>
            </w:r>
            <w:r w:rsidR="00511912" w:rsidRPr="00165E35">
              <w:rPr>
                <w:rFonts w:cs="Times New Roman"/>
                <w:sz w:val="16"/>
                <w:szCs w:val="16"/>
                <w:lang w:val="en-US"/>
              </w:rPr>
              <w:t>)</w:t>
            </w:r>
          </w:p>
        </w:tc>
        <w:tc>
          <w:tcPr>
            <w:tcW w:w="533" w:type="pct"/>
          </w:tcPr>
          <w:p w:rsidR="00511912" w:rsidRPr="00165E35" w:rsidRDefault="00046215" w:rsidP="00605664">
            <w:pPr>
              <w:keepNext/>
              <w:widowControl w:val="0"/>
              <w:autoSpaceDE w:val="0"/>
              <w:autoSpaceDN w:val="0"/>
              <w:adjustRightInd w:val="0"/>
              <w:spacing w:after="0" w:line="240" w:lineRule="auto"/>
              <w:jc w:val="center"/>
              <w:rPr>
                <w:rFonts w:cs="Times New Roman"/>
                <w:sz w:val="16"/>
                <w:szCs w:val="16"/>
                <w:lang w:val="en-US"/>
              </w:rPr>
            </w:pPr>
            <w:r w:rsidRPr="00165E35">
              <w:rPr>
                <w:rFonts w:cs="Times New Roman"/>
                <w:sz w:val="16"/>
                <w:szCs w:val="16"/>
                <w:lang w:val="en-US"/>
              </w:rPr>
              <w:t>-0.022</w:t>
            </w:r>
          </w:p>
        </w:tc>
        <w:tc>
          <w:tcPr>
            <w:tcW w:w="478" w:type="pct"/>
          </w:tcPr>
          <w:p w:rsidR="00511912" w:rsidRPr="00165E35" w:rsidRDefault="00046215" w:rsidP="00605664">
            <w:pPr>
              <w:keepNext/>
              <w:widowControl w:val="0"/>
              <w:autoSpaceDE w:val="0"/>
              <w:autoSpaceDN w:val="0"/>
              <w:adjustRightInd w:val="0"/>
              <w:spacing w:after="0" w:line="240" w:lineRule="auto"/>
              <w:jc w:val="center"/>
              <w:rPr>
                <w:rFonts w:cs="Times New Roman"/>
                <w:sz w:val="16"/>
                <w:szCs w:val="16"/>
                <w:lang w:val="en-US"/>
              </w:rPr>
            </w:pPr>
            <w:r w:rsidRPr="00165E35">
              <w:rPr>
                <w:rFonts w:cs="Times New Roman"/>
                <w:sz w:val="16"/>
                <w:szCs w:val="16"/>
                <w:lang w:val="en-US"/>
              </w:rPr>
              <w:t>(0.55</w:t>
            </w:r>
            <w:r w:rsidR="00511912" w:rsidRPr="00165E35">
              <w:rPr>
                <w:rFonts w:cs="Times New Roman"/>
                <w:sz w:val="16"/>
                <w:szCs w:val="16"/>
                <w:lang w:val="en-US"/>
              </w:rPr>
              <w:t>)</w:t>
            </w:r>
          </w:p>
        </w:tc>
      </w:tr>
      <w:tr w:rsidR="00511912" w:rsidRPr="00165E35" w:rsidTr="00511912">
        <w:tc>
          <w:tcPr>
            <w:tcW w:w="1967" w:type="pct"/>
          </w:tcPr>
          <w:p w:rsidR="00511912" w:rsidRPr="00DF59FE" w:rsidRDefault="00511912" w:rsidP="00605664">
            <w:pPr>
              <w:keepNext/>
              <w:widowControl w:val="0"/>
              <w:autoSpaceDE w:val="0"/>
              <w:autoSpaceDN w:val="0"/>
              <w:adjustRightInd w:val="0"/>
              <w:spacing w:after="0" w:line="240" w:lineRule="auto"/>
              <w:rPr>
                <w:rFonts w:cs="Times New Roman"/>
                <w:i/>
                <w:caps/>
                <w:sz w:val="16"/>
                <w:szCs w:val="16"/>
                <w:lang w:val="en-US"/>
              </w:rPr>
            </w:pPr>
            <w:r w:rsidRPr="00DF59FE">
              <w:rPr>
                <w:rFonts w:cs="Times New Roman"/>
                <w:i/>
                <w:caps/>
                <w:sz w:val="16"/>
                <w:szCs w:val="16"/>
                <w:lang w:val="en-US"/>
              </w:rPr>
              <w:t>Setanta</w:t>
            </w:r>
          </w:p>
        </w:tc>
        <w:tc>
          <w:tcPr>
            <w:tcW w:w="533" w:type="pct"/>
          </w:tcPr>
          <w:p w:rsidR="00511912" w:rsidRPr="00165E35" w:rsidRDefault="00046215" w:rsidP="00805450">
            <w:pPr>
              <w:keepNext/>
              <w:widowControl w:val="0"/>
              <w:autoSpaceDE w:val="0"/>
              <w:autoSpaceDN w:val="0"/>
              <w:adjustRightInd w:val="0"/>
              <w:spacing w:after="0" w:line="240" w:lineRule="auto"/>
              <w:jc w:val="center"/>
              <w:rPr>
                <w:rFonts w:cs="Times New Roman"/>
                <w:sz w:val="16"/>
                <w:szCs w:val="16"/>
                <w:lang w:val="en-US"/>
              </w:rPr>
            </w:pPr>
            <w:r w:rsidRPr="00165E35">
              <w:rPr>
                <w:rFonts w:cs="Times New Roman"/>
                <w:sz w:val="16"/>
                <w:szCs w:val="16"/>
                <w:lang w:val="en-US"/>
              </w:rPr>
              <w:t>-0.</w:t>
            </w:r>
            <w:r w:rsidR="00805450">
              <w:rPr>
                <w:rFonts w:cs="Times New Roman"/>
                <w:sz w:val="16"/>
                <w:szCs w:val="16"/>
                <w:lang w:val="en-US"/>
              </w:rPr>
              <w:t>967</w:t>
            </w:r>
            <w:r w:rsidR="00511912" w:rsidRPr="00165E35">
              <w:rPr>
                <w:rFonts w:cs="Times New Roman"/>
                <w:sz w:val="16"/>
                <w:szCs w:val="16"/>
                <w:lang w:val="en-US"/>
              </w:rPr>
              <w:t>***</w:t>
            </w:r>
          </w:p>
        </w:tc>
        <w:tc>
          <w:tcPr>
            <w:tcW w:w="478" w:type="pct"/>
          </w:tcPr>
          <w:p w:rsidR="00511912" w:rsidRPr="00165E35" w:rsidRDefault="00046215" w:rsidP="00805450">
            <w:pPr>
              <w:keepNext/>
              <w:widowControl w:val="0"/>
              <w:autoSpaceDE w:val="0"/>
              <w:autoSpaceDN w:val="0"/>
              <w:adjustRightInd w:val="0"/>
              <w:spacing w:after="0" w:line="240" w:lineRule="auto"/>
              <w:jc w:val="center"/>
              <w:rPr>
                <w:rFonts w:cs="Times New Roman"/>
                <w:sz w:val="16"/>
                <w:szCs w:val="16"/>
                <w:lang w:val="en-US"/>
              </w:rPr>
            </w:pPr>
            <w:r w:rsidRPr="00165E35">
              <w:rPr>
                <w:rFonts w:cs="Times New Roman"/>
                <w:sz w:val="16"/>
                <w:szCs w:val="16"/>
                <w:lang w:val="en-US"/>
              </w:rPr>
              <w:t>(21.</w:t>
            </w:r>
            <w:r w:rsidR="00805450">
              <w:rPr>
                <w:rFonts w:cs="Times New Roman"/>
                <w:sz w:val="16"/>
                <w:szCs w:val="16"/>
                <w:lang w:val="en-US"/>
              </w:rPr>
              <w:t>80</w:t>
            </w:r>
            <w:r w:rsidR="00511912" w:rsidRPr="00165E35">
              <w:rPr>
                <w:rFonts w:cs="Times New Roman"/>
                <w:sz w:val="16"/>
                <w:szCs w:val="16"/>
                <w:lang w:val="en-US"/>
              </w:rPr>
              <w:t>)</w:t>
            </w:r>
          </w:p>
        </w:tc>
        <w:tc>
          <w:tcPr>
            <w:tcW w:w="533" w:type="pct"/>
          </w:tcPr>
          <w:p w:rsidR="00511912" w:rsidRPr="00165E35" w:rsidRDefault="00511912" w:rsidP="00605664">
            <w:pPr>
              <w:keepNext/>
              <w:widowControl w:val="0"/>
              <w:autoSpaceDE w:val="0"/>
              <w:autoSpaceDN w:val="0"/>
              <w:adjustRightInd w:val="0"/>
              <w:spacing w:after="0" w:line="240" w:lineRule="auto"/>
              <w:jc w:val="center"/>
              <w:rPr>
                <w:rFonts w:cs="Times New Roman"/>
                <w:sz w:val="16"/>
                <w:szCs w:val="16"/>
                <w:lang w:val="en-US"/>
              </w:rPr>
            </w:pPr>
            <w:r w:rsidRPr="00165E35">
              <w:rPr>
                <w:rFonts w:cs="Times New Roman"/>
                <w:sz w:val="16"/>
                <w:szCs w:val="16"/>
                <w:lang w:val="en-US"/>
              </w:rPr>
              <w:t>-0.9</w:t>
            </w:r>
            <w:r w:rsidR="00046215" w:rsidRPr="00165E35">
              <w:rPr>
                <w:rFonts w:cs="Times New Roman"/>
                <w:sz w:val="16"/>
                <w:szCs w:val="16"/>
                <w:lang w:val="en-US"/>
              </w:rPr>
              <w:t>82</w:t>
            </w:r>
            <w:r w:rsidRPr="00165E35">
              <w:rPr>
                <w:rFonts w:cs="Times New Roman"/>
                <w:sz w:val="16"/>
                <w:szCs w:val="16"/>
                <w:lang w:val="en-US"/>
              </w:rPr>
              <w:t>***</w:t>
            </w:r>
          </w:p>
        </w:tc>
        <w:tc>
          <w:tcPr>
            <w:tcW w:w="478" w:type="pct"/>
          </w:tcPr>
          <w:p w:rsidR="00511912" w:rsidRPr="00165E35" w:rsidRDefault="00046215" w:rsidP="00605664">
            <w:pPr>
              <w:keepNext/>
              <w:widowControl w:val="0"/>
              <w:autoSpaceDE w:val="0"/>
              <w:autoSpaceDN w:val="0"/>
              <w:adjustRightInd w:val="0"/>
              <w:spacing w:after="0" w:line="240" w:lineRule="auto"/>
              <w:jc w:val="center"/>
              <w:rPr>
                <w:rFonts w:cs="Times New Roman"/>
                <w:sz w:val="16"/>
                <w:szCs w:val="16"/>
                <w:lang w:val="en-US"/>
              </w:rPr>
            </w:pPr>
            <w:r w:rsidRPr="00165E35">
              <w:rPr>
                <w:rFonts w:cs="Times New Roman"/>
                <w:sz w:val="16"/>
                <w:szCs w:val="16"/>
                <w:lang w:val="en-US"/>
              </w:rPr>
              <w:t>(20.70</w:t>
            </w:r>
            <w:r w:rsidR="00511912" w:rsidRPr="00165E35">
              <w:rPr>
                <w:rFonts w:cs="Times New Roman"/>
                <w:sz w:val="16"/>
                <w:szCs w:val="16"/>
                <w:lang w:val="en-US"/>
              </w:rPr>
              <w:t>)</w:t>
            </w:r>
          </w:p>
        </w:tc>
        <w:tc>
          <w:tcPr>
            <w:tcW w:w="533" w:type="pct"/>
          </w:tcPr>
          <w:p w:rsidR="00511912" w:rsidRPr="00165E35" w:rsidRDefault="00046215" w:rsidP="00605664">
            <w:pPr>
              <w:keepNext/>
              <w:widowControl w:val="0"/>
              <w:autoSpaceDE w:val="0"/>
              <w:autoSpaceDN w:val="0"/>
              <w:adjustRightInd w:val="0"/>
              <w:spacing w:after="0" w:line="240" w:lineRule="auto"/>
              <w:jc w:val="center"/>
              <w:rPr>
                <w:rFonts w:cs="Times New Roman"/>
                <w:sz w:val="16"/>
                <w:szCs w:val="16"/>
                <w:lang w:val="en-US"/>
              </w:rPr>
            </w:pPr>
            <w:r w:rsidRPr="00165E35">
              <w:rPr>
                <w:rFonts w:cs="Times New Roman"/>
                <w:sz w:val="16"/>
                <w:szCs w:val="16"/>
                <w:lang w:val="en-US"/>
              </w:rPr>
              <w:t>-0.971</w:t>
            </w:r>
            <w:r w:rsidR="00511912" w:rsidRPr="00165E35">
              <w:rPr>
                <w:rFonts w:cs="Times New Roman"/>
                <w:sz w:val="16"/>
                <w:szCs w:val="16"/>
                <w:lang w:val="en-US"/>
              </w:rPr>
              <w:t>***</w:t>
            </w:r>
          </w:p>
        </w:tc>
        <w:tc>
          <w:tcPr>
            <w:tcW w:w="478" w:type="pct"/>
          </w:tcPr>
          <w:p w:rsidR="00511912" w:rsidRPr="00165E35" w:rsidRDefault="00046215" w:rsidP="00605664">
            <w:pPr>
              <w:keepNext/>
              <w:widowControl w:val="0"/>
              <w:autoSpaceDE w:val="0"/>
              <w:autoSpaceDN w:val="0"/>
              <w:adjustRightInd w:val="0"/>
              <w:spacing w:after="0" w:line="240" w:lineRule="auto"/>
              <w:jc w:val="center"/>
              <w:rPr>
                <w:rFonts w:cs="Times New Roman"/>
                <w:sz w:val="16"/>
                <w:szCs w:val="16"/>
                <w:lang w:val="en-US"/>
              </w:rPr>
            </w:pPr>
            <w:r w:rsidRPr="00165E35">
              <w:rPr>
                <w:rFonts w:cs="Times New Roman"/>
                <w:sz w:val="16"/>
                <w:szCs w:val="16"/>
                <w:lang w:val="en-US"/>
              </w:rPr>
              <w:t>(20.41</w:t>
            </w:r>
            <w:r w:rsidR="00511912" w:rsidRPr="00165E35">
              <w:rPr>
                <w:rFonts w:cs="Times New Roman"/>
                <w:sz w:val="16"/>
                <w:szCs w:val="16"/>
                <w:lang w:val="en-US"/>
              </w:rPr>
              <w:t>)</w:t>
            </w:r>
          </w:p>
        </w:tc>
      </w:tr>
      <w:tr w:rsidR="00511912" w:rsidRPr="00165E35" w:rsidTr="00511912">
        <w:tc>
          <w:tcPr>
            <w:tcW w:w="1967" w:type="pct"/>
          </w:tcPr>
          <w:p w:rsidR="0065339A" w:rsidRPr="00DF59FE" w:rsidRDefault="00511912" w:rsidP="00605664">
            <w:pPr>
              <w:keepNext/>
              <w:widowControl w:val="0"/>
              <w:autoSpaceDE w:val="0"/>
              <w:autoSpaceDN w:val="0"/>
              <w:adjustRightInd w:val="0"/>
              <w:spacing w:after="0" w:line="240" w:lineRule="auto"/>
              <w:rPr>
                <w:rFonts w:cs="Times New Roman"/>
                <w:i/>
                <w:caps/>
                <w:sz w:val="16"/>
                <w:szCs w:val="16"/>
                <w:lang w:val="en-US"/>
              </w:rPr>
            </w:pPr>
            <w:r w:rsidRPr="00DF59FE">
              <w:rPr>
                <w:rFonts w:cs="Times New Roman"/>
                <w:i/>
                <w:caps/>
                <w:sz w:val="16"/>
                <w:szCs w:val="16"/>
                <w:lang w:val="en-US"/>
              </w:rPr>
              <w:t>Outcome Uncertainty</w:t>
            </w:r>
            <w:r w:rsidR="0065339A" w:rsidRPr="00DF59FE">
              <w:rPr>
                <w:rStyle w:val="EndnoteReference"/>
                <w:rFonts w:cs="Times New Roman"/>
                <w:i/>
                <w:caps/>
                <w:sz w:val="16"/>
                <w:szCs w:val="16"/>
                <w:lang w:val="en-US"/>
              </w:rPr>
              <w:endnoteReference w:id="9"/>
            </w:r>
          </w:p>
        </w:tc>
        <w:tc>
          <w:tcPr>
            <w:tcW w:w="533" w:type="pct"/>
          </w:tcPr>
          <w:p w:rsidR="00511912" w:rsidRPr="00165E35" w:rsidRDefault="00046215" w:rsidP="00805450">
            <w:pPr>
              <w:keepNext/>
              <w:widowControl w:val="0"/>
              <w:autoSpaceDE w:val="0"/>
              <w:autoSpaceDN w:val="0"/>
              <w:adjustRightInd w:val="0"/>
              <w:spacing w:after="0" w:line="240" w:lineRule="auto"/>
              <w:jc w:val="center"/>
              <w:rPr>
                <w:rFonts w:cs="Times New Roman"/>
                <w:sz w:val="16"/>
                <w:szCs w:val="16"/>
                <w:lang w:val="en-US"/>
              </w:rPr>
            </w:pPr>
            <w:r w:rsidRPr="00165E35">
              <w:rPr>
                <w:rFonts w:cs="Times New Roman"/>
                <w:sz w:val="16"/>
                <w:szCs w:val="16"/>
                <w:lang w:val="en-US"/>
              </w:rPr>
              <w:t>-0.</w:t>
            </w:r>
            <w:r w:rsidR="00805450">
              <w:rPr>
                <w:rFonts w:cs="Times New Roman"/>
                <w:sz w:val="16"/>
                <w:szCs w:val="16"/>
                <w:lang w:val="en-US"/>
              </w:rPr>
              <w:t>054</w:t>
            </w:r>
          </w:p>
        </w:tc>
        <w:tc>
          <w:tcPr>
            <w:tcW w:w="478" w:type="pct"/>
          </w:tcPr>
          <w:p w:rsidR="00511912" w:rsidRPr="00165E35" w:rsidRDefault="00046215" w:rsidP="00805450">
            <w:pPr>
              <w:keepNext/>
              <w:widowControl w:val="0"/>
              <w:autoSpaceDE w:val="0"/>
              <w:autoSpaceDN w:val="0"/>
              <w:adjustRightInd w:val="0"/>
              <w:spacing w:after="0" w:line="240" w:lineRule="auto"/>
              <w:jc w:val="center"/>
              <w:rPr>
                <w:rFonts w:cs="Times New Roman"/>
                <w:sz w:val="16"/>
                <w:szCs w:val="16"/>
                <w:lang w:val="en-US"/>
              </w:rPr>
            </w:pPr>
            <w:r w:rsidRPr="00165E35">
              <w:rPr>
                <w:rFonts w:cs="Times New Roman"/>
                <w:sz w:val="16"/>
                <w:szCs w:val="16"/>
                <w:lang w:val="en-US"/>
              </w:rPr>
              <w:t>(0.</w:t>
            </w:r>
            <w:r w:rsidR="00805450">
              <w:rPr>
                <w:rFonts w:cs="Times New Roman"/>
                <w:sz w:val="16"/>
                <w:szCs w:val="16"/>
                <w:lang w:val="en-US"/>
              </w:rPr>
              <w:t>76</w:t>
            </w:r>
            <w:r w:rsidR="00511912" w:rsidRPr="00165E35">
              <w:rPr>
                <w:rFonts w:cs="Times New Roman"/>
                <w:sz w:val="16"/>
                <w:szCs w:val="16"/>
                <w:lang w:val="en-US"/>
              </w:rPr>
              <w:t>)</w:t>
            </w:r>
          </w:p>
        </w:tc>
        <w:tc>
          <w:tcPr>
            <w:tcW w:w="533" w:type="pct"/>
          </w:tcPr>
          <w:p w:rsidR="00511912" w:rsidRPr="00165E35" w:rsidRDefault="00511912" w:rsidP="00605664">
            <w:pPr>
              <w:keepNext/>
              <w:widowControl w:val="0"/>
              <w:autoSpaceDE w:val="0"/>
              <w:autoSpaceDN w:val="0"/>
              <w:adjustRightInd w:val="0"/>
              <w:spacing w:after="0" w:line="240" w:lineRule="auto"/>
              <w:jc w:val="center"/>
              <w:rPr>
                <w:rFonts w:cs="Times New Roman"/>
                <w:sz w:val="16"/>
                <w:szCs w:val="16"/>
                <w:lang w:val="en-US"/>
              </w:rPr>
            </w:pPr>
          </w:p>
        </w:tc>
        <w:tc>
          <w:tcPr>
            <w:tcW w:w="478" w:type="pct"/>
          </w:tcPr>
          <w:p w:rsidR="00511912" w:rsidRPr="00165E35" w:rsidRDefault="00511912" w:rsidP="00605664">
            <w:pPr>
              <w:keepNext/>
              <w:widowControl w:val="0"/>
              <w:autoSpaceDE w:val="0"/>
              <w:autoSpaceDN w:val="0"/>
              <w:adjustRightInd w:val="0"/>
              <w:spacing w:after="0" w:line="240" w:lineRule="auto"/>
              <w:jc w:val="center"/>
              <w:rPr>
                <w:rFonts w:cs="Times New Roman"/>
                <w:sz w:val="16"/>
                <w:szCs w:val="16"/>
                <w:lang w:val="en-US"/>
              </w:rPr>
            </w:pPr>
          </w:p>
        </w:tc>
        <w:tc>
          <w:tcPr>
            <w:tcW w:w="533" w:type="pct"/>
          </w:tcPr>
          <w:p w:rsidR="00511912" w:rsidRPr="00165E35" w:rsidRDefault="00511912" w:rsidP="00605664">
            <w:pPr>
              <w:keepNext/>
              <w:widowControl w:val="0"/>
              <w:autoSpaceDE w:val="0"/>
              <w:autoSpaceDN w:val="0"/>
              <w:adjustRightInd w:val="0"/>
              <w:spacing w:after="0" w:line="240" w:lineRule="auto"/>
              <w:jc w:val="center"/>
              <w:rPr>
                <w:rFonts w:cs="Times New Roman"/>
                <w:sz w:val="16"/>
                <w:szCs w:val="16"/>
                <w:lang w:val="en-US"/>
              </w:rPr>
            </w:pPr>
          </w:p>
        </w:tc>
        <w:tc>
          <w:tcPr>
            <w:tcW w:w="478" w:type="pct"/>
          </w:tcPr>
          <w:p w:rsidR="00511912" w:rsidRPr="00165E35" w:rsidRDefault="00511912" w:rsidP="00605664">
            <w:pPr>
              <w:keepNext/>
              <w:widowControl w:val="0"/>
              <w:autoSpaceDE w:val="0"/>
              <w:autoSpaceDN w:val="0"/>
              <w:adjustRightInd w:val="0"/>
              <w:spacing w:after="0" w:line="240" w:lineRule="auto"/>
              <w:jc w:val="center"/>
              <w:rPr>
                <w:rFonts w:cs="Times New Roman"/>
                <w:sz w:val="16"/>
                <w:szCs w:val="16"/>
                <w:lang w:val="en-US"/>
              </w:rPr>
            </w:pPr>
          </w:p>
        </w:tc>
      </w:tr>
      <w:tr w:rsidR="00511912" w:rsidRPr="00165E35" w:rsidTr="00511912">
        <w:tc>
          <w:tcPr>
            <w:tcW w:w="1967" w:type="pct"/>
          </w:tcPr>
          <w:p w:rsidR="00511912" w:rsidRPr="00DF59FE" w:rsidRDefault="00511912" w:rsidP="00605664">
            <w:pPr>
              <w:keepNext/>
              <w:widowControl w:val="0"/>
              <w:autoSpaceDE w:val="0"/>
              <w:autoSpaceDN w:val="0"/>
              <w:adjustRightInd w:val="0"/>
              <w:spacing w:after="0" w:line="240" w:lineRule="auto"/>
              <w:rPr>
                <w:rFonts w:cs="Times New Roman"/>
                <w:i/>
                <w:caps/>
                <w:sz w:val="16"/>
                <w:szCs w:val="16"/>
                <w:lang w:val="en-US"/>
              </w:rPr>
            </w:pPr>
            <w:r w:rsidRPr="00DF59FE">
              <w:rPr>
                <w:rFonts w:cs="Times New Roman"/>
                <w:i/>
                <w:caps/>
                <w:sz w:val="16"/>
                <w:szCs w:val="16"/>
                <w:lang w:val="en-US"/>
              </w:rPr>
              <w:t>Outcome uncertainty</w:t>
            </w:r>
            <w:r w:rsidR="00165E35" w:rsidRPr="00DF59FE">
              <w:rPr>
                <w:rFonts w:cs="Times New Roman"/>
                <w:i/>
                <w:caps/>
                <w:sz w:val="16"/>
                <w:szCs w:val="16"/>
                <w:lang w:val="en-US"/>
              </w:rPr>
              <w:t xml:space="preserve"> × </w:t>
            </w:r>
            <w:r w:rsidRPr="00DF59FE">
              <w:rPr>
                <w:rFonts w:cs="Times New Roman"/>
                <w:i/>
                <w:caps/>
                <w:sz w:val="16"/>
                <w:szCs w:val="16"/>
                <w:lang w:val="en-US"/>
              </w:rPr>
              <w:t>2000-2001</w:t>
            </w:r>
          </w:p>
        </w:tc>
        <w:tc>
          <w:tcPr>
            <w:tcW w:w="533" w:type="pct"/>
          </w:tcPr>
          <w:p w:rsidR="00511912" w:rsidRPr="00165E35" w:rsidRDefault="00511912" w:rsidP="00605664">
            <w:pPr>
              <w:keepNext/>
              <w:widowControl w:val="0"/>
              <w:autoSpaceDE w:val="0"/>
              <w:autoSpaceDN w:val="0"/>
              <w:adjustRightInd w:val="0"/>
              <w:spacing w:after="0" w:line="240" w:lineRule="auto"/>
              <w:jc w:val="center"/>
              <w:rPr>
                <w:rFonts w:cs="Times New Roman"/>
                <w:sz w:val="16"/>
                <w:szCs w:val="16"/>
                <w:lang w:val="en-US"/>
              </w:rPr>
            </w:pPr>
          </w:p>
        </w:tc>
        <w:tc>
          <w:tcPr>
            <w:tcW w:w="478" w:type="pct"/>
          </w:tcPr>
          <w:p w:rsidR="00511912" w:rsidRPr="00165E35" w:rsidRDefault="00511912" w:rsidP="00605664">
            <w:pPr>
              <w:keepNext/>
              <w:widowControl w:val="0"/>
              <w:autoSpaceDE w:val="0"/>
              <w:autoSpaceDN w:val="0"/>
              <w:adjustRightInd w:val="0"/>
              <w:spacing w:after="0" w:line="240" w:lineRule="auto"/>
              <w:jc w:val="center"/>
              <w:rPr>
                <w:rFonts w:cs="Times New Roman"/>
                <w:sz w:val="16"/>
                <w:szCs w:val="16"/>
                <w:lang w:val="en-US"/>
              </w:rPr>
            </w:pPr>
          </w:p>
        </w:tc>
        <w:tc>
          <w:tcPr>
            <w:tcW w:w="533" w:type="pct"/>
          </w:tcPr>
          <w:p w:rsidR="00511912" w:rsidRPr="00165E35" w:rsidRDefault="00046215" w:rsidP="00605664">
            <w:pPr>
              <w:keepNext/>
              <w:widowControl w:val="0"/>
              <w:autoSpaceDE w:val="0"/>
              <w:autoSpaceDN w:val="0"/>
              <w:adjustRightInd w:val="0"/>
              <w:spacing w:after="0" w:line="240" w:lineRule="auto"/>
              <w:jc w:val="center"/>
              <w:rPr>
                <w:rFonts w:cs="Times New Roman"/>
                <w:sz w:val="16"/>
                <w:szCs w:val="16"/>
                <w:lang w:val="en-US"/>
              </w:rPr>
            </w:pPr>
            <w:r w:rsidRPr="00165E35">
              <w:rPr>
                <w:rFonts w:cs="Times New Roman"/>
                <w:sz w:val="16"/>
                <w:szCs w:val="16"/>
                <w:lang w:val="en-US"/>
              </w:rPr>
              <w:t>-0.604</w:t>
            </w:r>
            <w:r w:rsidR="00511912" w:rsidRPr="00165E35">
              <w:rPr>
                <w:rFonts w:cs="Times New Roman"/>
                <w:sz w:val="16"/>
                <w:szCs w:val="16"/>
                <w:lang w:val="en-US"/>
              </w:rPr>
              <w:t>*</w:t>
            </w:r>
          </w:p>
        </w:tc>
        <w:tc>
          <w:tcPr>
            <w:tcW w:w="478" w:type="pct"/>
          </w:tcPr>
          <w:p w:rsidR="00511912" w:rsidRPr="00165E35" w:rsidRDefault="00046215" w:rsidP="00605664">
            <w:pPr>
              <w:keepNext/>
              <w:widowControl w:val="0"/>
              <w:autoSpaceDE w:val="0"/>
              <w:autoSpaceDN w:val="0"/>
              <w:adjustRightInd w:val="0"/>
              <w:spacing w:after="0" w:line="240" w:lineRule="auto"/>
              <w:jc w:val="center"/>
              <w:rPr>
                <w:rFonts w:cs="Times New Roman"/>
                <w:sz w:val="16"/>
                <w:szCs w:val="16"/>
                <w:lang w:val="en-US"/>
              </w:rPr>
            </w:pPr>
            <w:r w:rsidRPr="00165E35">
              <w:rPr>
                <w:rFonts w:cs="Times New Roman"/>
                <w:sz w:val="16"/>
                <w:szCs w:val="16"/>
                <w:lang w:val="en-US"/>
              </w:rPr>
              <w:t>(1.82</w:t>
            </w:r>
            <w:r w:rsidR="00511912" w:rsidRPr="00165E35">
              <w:rPr>
                <w:rFonts w:cs="Times New Roman"/>
                <w:sz w:val="16"/>
                <w:szCs w:val="16"/>
                <w:lang w:val="en-US"/>
              </w:rPr>
              <w:t>)</w:t>
            </w:r>
          </w:p>
        </w:tc>
        <w:tc>
          <w:tcPr>
            <w:tcW w:w="533" w:type="pct"/>
          </w:tcPr>
          <w:p w:rsidR="00511912" w:rsidRPr="00165E35" w:rsidRDefault="00046215" w:rsidP="00605664">
            <w:pPr>
              <w:keepNext/>
              <w:widowControl w:val="0"/>
              <w:autoSpaceDE w:val="0"/>
              <w:autoSpaceDN w:val="0"/>
              <w:adjustRightInd w:val="0"/>
              <w:spacing w:after="0" w:line="240" w:lineRule="auto"/>
              <w:jc w:val="center"/>
              <w:rPr>
                <w:rFonts w:cs="Times New Roman"/>
                <w:sz w:val="16"/>
                <w:szCs w:val="16"/>
                <w:lang w:val="en-US"/>
              </w:rPr>
            </w:pPr>
            <w:r w:rsidRPr="00165E35">
              <w:rPr>
                <w:rFonts w:cs="Times New Roman"/>
                <w:sz w:val="16"/>
                <w:szCs w:val="16"/>
                <w:lang w:val="en-US"/>
              </w:rPr>
              <w:t>-0.584</w:t>
            </w:r>
            <w:r w:rsidR="00511912" w:rsidRPr="00165E35">
              <w:rPr>
                <w:rFonts w:cs="Times New Roman"/>
                <w:sz w:val="16"/>
                <w:szCs w:val="16"/>
                <w:lang w:val="en-US"/>
              </w:rPr>
              <w:t>*</w:t>
            </w:r>
          </w:p>
        </w:tc>
        <w:tc>
          <w:tcPr>
            <w:tcW w:w="478" w:type="pct"/>
          </w:tcPr>
          <w:p w:rsidR="00511912" w:rsidRPr="00165E35" w:rsidRDefault="00046215" w:rsidP="00605664">
            <w:pPr>
              <w:keepNext/>
              <w:widowControl w:val="0"/>
              <w:autoSpaceDE w:val="0"/>
              <w:autoSpaceDN w:val="0"/>
              <w:adjustRightInd w:val="0"/>
              <w:spacing w:after="0" w:line="240" w:lineRule="auto"/>
              <w:jc w:val="center"/>
              <w:rPr>
                <w:rFonts w:cs="Times New Roman"/>
                <w:sz w:val="16"/>
                <w:szCs w:val="16"/>
                <w:lang w:val="en-US"/>
              </w:rPr>
            </w:pPr>
            <w:r w:rsidRPr="00165E35">
              <w:rPr>
                <w:rFonts w:cs="Times New Roman"/>
                <w:sz w:val="16"/>
                <w:szCs w:val="16"/>
                <w:lang w:val="en-US"/>
              </w:rPr>
              <w:t>(1.84</w:t>
            </w:r>
            <w:r w:rsidR="00511912" w:rsidRPr="00165E35">
              <w:rPr>
                <w:rFonts w:cs="Times New Roman"/>
                <w:sz w:val="16"/>
                <w:szCs w:val="16"/>
                <w:lang w:val="en-US"/>
              </w:rPr>
              <w:t>)</w:t>
            </w:r>
          </w:p>
        </w:tc>
      </w:tr>
      <w:tr w:rsidR="00511912" w:rsidRPr="00165E35" w:rsidTr="00511912">
        <w:tc>
          <w:tcPr>
            <w:tcW w:w="1967" w:type="pct"/>
          </w:tcPr>
          <w:p w:rsidR="00511912" w:rsidRPr="00DF59FE" w:rsidRDefault="00511912" w:rsidP="00165E35">
            <w:pPr>
              <w:keepNext/>
              <w:widowControl w:val="0"/>
              <w:autoSpaceDE w:val="0"/>
              <w:autoSpaceDN w:val="0"/>
              <w:adjustRightInd w:val="0"/>
              <w:spacing w:after="0" w:line="240" w:lineRule="auto"/>
              <w:rPr>
                <w:rFonts w:cs="Times New Roman"/>
                <w:i/>
                <w:caps/>
                <w:sz w:val="16"/>
                <w:szCs w:val="16"/>
                <w:lang w:val="en-US"/>
              </w:rPr>
            </w:pPr>
            <w:r w:rsidRPr="00DF59FE">
              <w:rPr>
                <w:rFonts w:cs="Times New Roman"/>
                <w:i/>
                <w:caps/>
                <w:sz w:val="16"/>
                <w:szCs w:val="16"/>
                <w:lang w:val="en-US"/>
              </w:rPr>
              <w:t xml:space="preserve">Outcome uncertainty </w:t>
            </w:r>
            <w:r w:rsidR="00165E35" w:rsidRPr="00DF59FE">
              <w:rPr>
                <w:rFonts w:cs="Times New Roman"/>
                <w:i/>
                <w:caps/>
                <w:sz w:val="16"/>
                <w:szCs w:val="16"/>
                <w:lang w:val="en-US"/>
              </w:rPr>
              <w:t>×</w:t>
            </w:r>
            <w:r w:rsidRPr="00DF59FE">
              <w:rPr>
                <w:rFonts w:cs="Times New Roman"/>
                <w:i/>
                <w:caps/>
                <w:sz w:val="16"/>
                <w:szCs w:val="16"/>
                <w:lang w:val="en-US"/>
              </w:rPr>
              <w:t xml:space="preserve"> 2001-2002</w:t>
            </w:r>
          </w:p>
        </w:tc>
        <w:tc>
          <w:tcPr>
            <w:tcW w:w="533" w:type="pct"/>
          </w:tcPr>
          <w:p w:rsidR="00511912" w:rsidRPr="00165E35" w:rsidRDefault="00511912" w:rsidP="00605664">
            <w:pPr>
              <w:keepNext/>
              <w:widowControl w:val="0"/>
              <w:autoSpaceDE w:val="0"/>
              <w:autoSpaceDN w:val="0"/>
              <w:adjustRightInd w:val="0"/>
              <w:spacing w:after="0" w:line="240" w:lineRule="auto"/>
              <w:jc w:val="center"/>
              <w:rPr>
                <w:rFonts w:cs="Times New Roman"/>
                <w:sz w:val="16"/>
                <w:szCs w:val="16"/>
                <w:lang w:val="en-US"/>
              </w:rPr>
            </w:pPr>
          </w:p>
        </w:tc>
        <w:tc>
          <w:tcPr>
            <w:tcW w:w="478" w:type="pct"/>
          </w:tcPr>
          <w:p w:rsidR="00511912" w:rsidRPr="00165E35" w:rsidRDefault="00511912" w:rsidP="00605664">
            <w:pPr>
              <w:keepNext/>
              <w:widowControl w:val="0"/>
              <w:autoSpaceDE w:val="0"/>
              <w:autoSpaceDN w:val="0"/>
              <w:adjustRightInd w:val="0"/>
              <w:spacing w:after="0" w:line="240" w:lineRule="auto"/>
              <w:jc w:val="center"/>
              <w:rPr>
                <w:rFonts w:cs="Times New Roman"/>
                <w:sz w:val="16"/>
                <w:szCs w:val="16"/>
                <w:lang w:val="en-US"/>
              </w:rPr>
            </w:pPr>
          </w:p>
        </w:tc>
        <w:tc>
          <w:tcPr>
            <w:tcW w:w="533" w:type="pct"/>
          </w:tcPr>
          <w:p w:rsidR="00511912" w:rsidRPr="00165E35" w:rsidRDefault="00046215" w:rsidP="00605664">
            <w:pPr>
              <w:keepNext/>
              <w:widowControl w:val="0"/>
              <w:autoSpaceDE w:val="0"/>
              <w:autoSpaceDN w:val="0"/>
              <w:adjustRightInd w:val="0"/>
              <w:spacing w:after="0" w:line="240" w:lineRule="auto"/>
              <w:jc w:val="center"/>
              <w:rPr>
                <w:rFonts w:cs="Times New Roman"/>
                <w:sz w:val="16"/>
                <w:szCs w:val="16"/>
                <w:lang w:val="en-US"/>
              </w:rPr>
            </w:pPr>
            <w:r w:rsidRPr="00165E35">
              <w:rPr>
                <w:rFonts w:cs="Times New Roman"/>
                <w:sz w:val="16"/>
                <w:szCs w:val="16"/>
                <w:lang w:val="en-US"/>
              </w:rPr>
              <w:t>-0.691</w:t>
            </w:r>
            <w:r w:rsidR="00511912" w:rsidRPr="00165E35">
              <w:rPr>
                <w:rFonts w:cs="Times New Roman"/>
                <w:sz w:val="16"/>
                <w:szCs w:val="16"/>
                <w:lang w:val="en-US"/>
              </w:rPr>
              <w:t>*</w:t>
            </w:r>
          </w:p>
        </w:tc>
        <w:tc>
          <w:tcPr>
            <w:tcW w:w="478" w:type="pct"/>
          </w:tcPr>
          <w:p w:rsidR="00511912" w:rsidRPr="00165E35" w:rsidRDefault="00046215" w:rsidP="00605664">
            <w:pPr>
              <w:keepNext/>
              <w:widowControl w:val="0"/>
              <w:autoSpaceDE w:val="0"/>
              <w:autoSpaceDN w:val="0"/>
              <w:adjustRightInd w:val="0"/>
              <w:spacing w:after="0" w:line="240" w:lineRule="auto"/>
              <w:jc w:val="center"/>
              <w:rPr>
                <w:rFonts w:cs="Times New Roman"/>
                <w:sz w:val="16"/>
                <w:szCs w:val="16"/>
                <w:lang w:val="en-US"/>
              </w:rPr>
            </w:pPr>
            <w:r w:rsidRPr="00165E35">
              <w:rPr>
                <w:rFonts w:cs="Times New Roman"/>
                <w:sz w:val="16"/>
                <w:szCs w:val="16"/>
                <w:lang w:val="en-US"/>
              </w:rPr>
              <w:t>(1.83</w:t>
            </w:r>
            <w:r w:rsidR="00511912" w:rsidRPr="00165E35">
              <w:rPr>
                <w:rFonts w:cs="Times New Roman"/>
                <w:sz w:val="16"/>
                <w:szCs w:val="16"/>
                <w:lang w:val="en-US"/>
              </w:rPr>
              <w:t>)</w:t>
            </w:r>
          </w:p>
        </w:tc>
        <w:tc>
          <w:tcPr>
            <w:tcW w:w="533" w:type="pct"/>
          </w:tcPr>
          <w:p w:rsidR="00511912" w:rsidRPr="00165E35" w:rsidRDefault="00016A31" w:rsidP="00605664">
            <w:pPr>
              <w:keepNext/>
              <w:widowControl w:val="0"/>
              <w:autoSpaceDE w:val="0"/>
              <w:autoSpaceDN w:val="0"/>
              <w:adjustRightInd w:val="0"/>
              <w:spacing w:after="0" w:line="240" w:lineRule="auto"/>
              <w:jc w:val="center"/>
              <w:rPr>
                <w:rFonts w:cs="Times New Roman"/>
                <w:sz w:val="16"/>
                <w:szCs w:val="16"/>
                <w:lang w:val="en-US"/>
              </w:rPr>
            </w:pPr>
            <w:r w:rsidRPr="00165E35">
              <w:rPr>
                <w:rFonts w:cs="Times New Roman"/>
                <w:sz w:val="16"/>
                <w:szCs w:val="16"/>
                <w:lang w:val="en-US"/>
              </w:rPr>
              <w:t>-0.632*</w:t>
            </w:r>
          </w:p>
        </w:tc>
        <w:tc>
          <w:tcPr>
            <w:tcW w:w="478" w:type="pct"/>
          </w:tcPr>
          <w:p w:rsidR="00511912" w:rsidRPr="00165E35" w:rsidRDefault="00016A31" w:rsidP="00605664">
            <w:pPr>
              <w:keepNext/>
              <w:widowControl w:val="0"/>
              <w:autoSpaceDE w:val="0"/>
              <w:autoSpaceDN w:val="0"/>
              <w:adjustRightInd w:val="0"/>
              <w:spacing w:after="0" w:line="240" w:lineRule="auto"/>
              <w:jc w:val="center"/>
              <w:rPr>
                <w:rFonts w:cs="Times New Roman"/>
                <w:sz w:val="16"/>
                <w:szCs w:val="16"/>
                <w:lang w:val="en-US"/>
              </w:rPr>
            </w:pPr>
            <w:r w:rsidRPr="00165E35">
              <w:rPr>
                <w:rFonts w:cs="Times New Roman"/>
                <w:sz w:val="16"/>
                <w:szCs w:val="16"/>
                <w:lang w:val="en-US"/>
              </w:rPr>
              <w:t>(1.65</w:t>
            </w:r>
            <w:r w:rsidR="00511912" w:rsidRPr="00165E35">
              <w:rPr>
                <w:rFonts w:cs="Times New Roman"/>
                <w:sz w:val="16"/>
                <w:szCs w:val="16"/>
                <w:lang w:val="en-US"/>
              </w:rPr>
              <w:t>)</w:t>
            </w:r>
          </w:p>
        </w:tc>
      </w:tr>
      <w:tr w:rsidR="00511912" w:rsidRPr="00165E35" w:rsidTr="00511912">
        <w:tc>
          <w:tcPr>
            <w:tcW w:w="1967" w:type="pct"/>
          </w:tcPr>
          <w:p w:rsidR="00511912" w:rsidRPr="00DF59FE" w:rsidRDefault="00511912" w:rsidP="00605664">
            <w:pPr>
              <w:keepNext/>
              <w:widowControl w:val="0"/>
              <w:autoSpaceDE w:val="0"/>
              <w:autoSpaceDN w:val="0"/>
              <w:adjustRightInd w:val="0"/>
              <w:spacing w:after="0" w:line="240" w:lineRule="auto"/>
              <w:rPr>
                <w:rFonts w:cs="Times New Roman"/>
                <w:i/>
                <w:caps/>
                <w:sz w:val="16"/>
                <w:szCs w:val="16"/>
                <w:lang w:val="en-US"/>
              </w:rPr>
            </w:pPr>
            <w:r w:rsidRPr="00DF59FE">
              <w:rPr>
                <w:rFonts w:cs="Times New Roman"/>
                <w:i/>
                <w:caps/>
                <w:sz w:val="16"/>
                <w:szCs w:val="16"/>
                <w:lang w:val="en-US"/>
              </w:rPr>
              <w:t>Outcome uncertainty</w:t>
            </w:r>
            <w:r w:rsidR="00165E35" w:rsidRPr="00DF59FE">
              <w:rPr>
                <w:rFonts w:cs="Times New Roman"/>
                <w:i/>
                <w:caps/>
                <w:sz w:val="16"/>
                <w:szCs w:val="16"/>
                <w:lang w:val="en-US"/>
              </w:rPr>
              <w:t xml:space="preserve"> × </w:t>
            </w:r>
            <w:r w:rsidRPr="00DF59FE">
              <w:rPr>
                <w:rFonts w:cs="Times New Roman"/>
                <w:i/>
                <w:caps/>
                <w:sz w:val="16"/>
                <w:szCs w:val="16"/>
                <w:lang w:val="en-US"/>
              </w:rPr>
              <w:t>2002-2003</w:t>
            </w:r>
          </w:p>
        </w:tc>
        <w:tc>
          <w:tcPr>
            <w:tcW w:w="533" w:type="pct"/>
          </w:tcPr>
          <w:p w:rsidR="00511912" w:rsidRPr="00165E35" w:rsidRDefault="00511912" w:rsidP="00605664">
            <w:pPr>
              <w:keepNext/>
              <w:widowControl w:val="0"/>
              <w:autoSpaceDE w:val="0"/>
              <w:autoSpaceDN w:val="0"/>
              <w:adjustRightInd w:val="0"/>
              <w:spacing w:after="0" w:line="240" w:lineRule="auto"/>
              <w:jc w:val="center"/>
              <w:rPr>
                <w:rFonts w:cs="Times New Roman"/>
                <w:sz w:val="16"/>
                <w:szCs w:val="16"/>
                <w:lang w:val="en-US"/>
              </w:rPr>
            </w:pPr>
          </w:p>
        </w:tc>
        <w:tc>
          <w:tcPr>
            <w:tcW w:w="478" w:type="pct"/>
          </w:tcPr>
          <w:p w:rsidR="00511912" w:rsidRPr="00165E35" w:rsidRDefault="00511912" w:rsidP="00605664">
            <w:pPr>
              <w:keepNext/>
              <w:widowControl w:val="0"/>
              <w:autoSpaceDE w:val="0"/>
              <w:autoSpaceDN w:val="0"/>
              <w:adjustRightInd w:val="0"/>
              <w:spacing w:after="0" w:line="240" w:lineRule="auto"/>
              <w:jc w:val="center"/>
              <w:rPr>
                <w:rFonts w:cs="Times New Roman"/>
                <w:sz w:val="16"/>
                <w:szCs w:val="16"/>
                <w:lang w:val="en-US"/>
              </w:rPr>
            </w:pPr>
          </w:p>
        </w:tc>
        <w:tc>
          <w:tcPr>
            <w:tcW w:w="533" w:type="pct"/>
          </w:tcPr>
          <w:p w:rsidR="00511912" w:rsidRPr="00165E35" w:rsidRDefault="00046215" w:rsidP="00605664">
            <w:pPr>
              <w:keepNext/>
              <w:widowControl w:val="0"/>
              <w:autoSpaceDE w:val="0"/>
              <w:autoSpaceDN w:val="0"/>
              <w:adjustRightInd w:val="0"/>
              <w:spacing w:after="0" w:line="240" w:lineRule="auto"/>
              <w:jc w:val="center"/>
              <w:rPr>
                <w:rFonts w:cs="Times New Roman"/>
                <w:sz w:val="16"/>
                <w:szCs w:val="16"/>
                <w:lang w:val="en-US"/>
              </w:rPr>
            </w:pPr>
            <w:r w:rsidRPr="00165E35">
              <w:rPr>
                <w:rFonts w:cs="Times New Roman"/>
                <w:sz w:val="16"/>
                <w:szCs w:val="16"/>
                <w:lang w:val="en-US"/>
              </w:rPr>
              <w:t>-0.096</w:t>
            </w:r>
          </w:p>
        </w:tc>
        <w:tc>
          <w:tcPr>
            <w:tcW w:w="478" w:type="pct"/>
          </w:tcPr>
          <w:p w:rsidR="00511912" w:rsidRPr="00165E35" w:rsidRDefault="00046215" w:rsidP="00605664">
            <w:pPr>
              <w:keepNext/>
              <w:widowControl w:val="0"/>
              <w:autoSpaceDE w:val="0"/>
              <w:autoSpaceDN w:val="0"/>
              <w:adjustRightInd w:val="0"/>
              <w:spacing w:after="0" w:line="240" w:lineRule="auto"/>
              <w:jc w:val="center"/>
              <w:rPr>
                <w:rFonts w:cs="Times New Roman"/>
                <w:sz w:val="16"/>
                <w:szCs w:val="16"/>
                <w:lang w:val="en-US"/>
              </w:rPr>
            </w:pPr>
            <w:r w:rsidRPr="00165E35">
              <w:rPr>
                <w:rFonts w:cs="Times New Roman"/>
                <w:sz w:val="16"/>
                <w:szCs w:val="16"/>
                <w:lang w:val="en-US"/>
              </w:rPr>
              <w:t>(0.54</w:t>
            </w:r>
            <w:r w:rsidR="00511912" w:rsidRPr="00165E35">
              <w:rPr>
                <w:rFonts w:cs="Times New Roman"/>
                <w:sz w:val="16"/>
                <w:szCs w:val="16"/>
                <w:lang w:val="en-US"/>
              </w:rPr>
              <w:t>)</w:t>
            </w:r>
          </w:p>
        </w:tc>
        <w:tc>
          <w:tcPr>
            <w:tcW w:w="533" w:type="pct"/>
          </w:tcPr>
          <w:p w:rsidR="00511912" w:rsidRPr="00165E35" w:rsidRDefault="00016A31" w:rsidP="00605664">
            <w:pPr>
              <w:keepNext/>
              <w:widowControl w:val="0"/>
              <w:autoSpaceDE w:val="0"/>
              <w:autoSpaceDN w:val="0"/>
              <w:adjustRightInd w:val="0"/>
              <w:spacing w:after="0" w:line="240" w:lineRule="auto"/>
              <w:jc w:val="center"/>
              <w:rPr>
                <w:rFonts w:cs="Times New Roman"/>
                <w:sz w:val="16"/>
                <w:szCs w:val="16"/>
                <w:lang w:val="en-US"/>
              </w:rPr>
            </w:pPr>
            <w:r w:rsidRPr="00165E35">
              <w:rPr>
                <w:rFonts w:cs="Times New Roman"/>
                <w:sz w:val="16"/>
                <w:szCs w:val="16"/>
                <w:lang w:val="en-US"/>
              </w:rPr>
              <w:t>-0.06</w:t>
            </w:r>
            <w:r w:rsidR="00511912" w:rsidRPr="00165E35">
              <w:rPr>
                <w:rFonts w:cs="Times New Roman"/>
                <w:sz w:val="16"/>
                <w:szCs w:val="16"/>
                <w:lang w:val="en-US"/>
              </w:rPr>
              <w:t>7</w:t>
            </w:r>
          </w:p>
        </w:tc>
        <w:tc>
          <w:tcPr>
            <w:tcW w:w="478" w:type="pct"/>
          </w:tcPr>
          <w:p w:rsidR="00511912" w:rsidRPr="00165E35" w:rsidRDefault="00016A31" w:rsidP="00605664">
            <w:pPr>
              <w:keepNext/>
              <w:widowControl w:val="0"/>
              <w:autoSpaceDE w:val="0"/>
              <w:autoSpaceDN w:val="0"/>
              <w:adjustRightInd w:val="0"/>
              <w:spacing w:after="0" w:line="240" w:lineRule="auto"/>
              <w:jc w:val="center"/>
              <w:rPr>
                <w:rFonts w:cs="Times New Roman"/>
                <w:sz w:val="16"/>
                <w:szCs w:val="16"/>
                <w:lang w:val="en-US"/>
              </w:rPr>
            </w:pPr>
            <w:r w:rsidRPr="00165E35">
              <w:rPr>
                <w:rFonts w:cs="Times New Roman"/>
                <w:sz w:val="16"/>
                <w:szCs w:val="16"/>
                <w:lang w:val="en-US"/>
              </w:rPr>
              <w:t>(0.37</w:t>
            </w:r>
            <w:r w:rsidR="00511912" w:rsidRPr="00165E35">
              <w:rPr>
                <w:rFonts w:cs="Times New Roman"/>
                <w:sz w:val="16"/>
                <w:szCs w:val="16"/>
                <w:lang w:val="en-US"/>
              </w:rPr>
              <w:t>)</w:t>
            </w:r>
          </w:p>
        </w:tc>
      </w:tr>
      <w:tr w:rsidR="00511912" w:rsidRPr="00165E35" w:rsidTr="00511912">
        <w:tc>
          <w:tcPr>
            <w:tcW w:w="1967" w:type="pct"/>
          </w:tcPr>
          <w:p w:rsidR="00511912" w:rsidRPr="00DF59FE" w:rsidRDefault="00511912" w:rsidP="00605664">
            <w:pPr>
              <w:keepNext/>
              <w:widowControl w:val="0"/>
              <w:autoSpaceDE w:val="0"/>
              <w:autoSpaceDN w:val="0"/>
              <w:adjustRightInd w:val="0"/>
              <w:spacing w:after="0" w:line="240" w:lineRule="auto"/>
              <w:rPr>
                <w:rFonts w:cs="Times New Roman"/>
                <w:i/>
                <w:caps/>
                <w:sz w:val="16"/>
                <w:szCs w:val="16"/>
                <w:lang w:val="en-US"/>
              </w:rPr>
            </w:pPr>
            <w:r w:rsidRPr="00DF59FE">
              <w:rPr>
                <w:rFonts w:cs="Times New Roman"/>
                <w:i/>
                <w:caps/>
                <w:sz w:val="16"/>
                <w:szCs w:val="16"/>
                <w:lang w:val="en-US"/>
              </w:rPr>
              <w:t>Outcome uncertainty</w:t>
            </w:r>
            <w:r w:rsidR="00165E35" w:rsidRPr="00DF59FE">
              <w:rPr>
                <w:rFonts w:cs="Times New Roman"/>
                <w:i/>
                <w:caps/>
                <w:sz w:val="16"/>
                <w:szCs w:val="16"/>
                <w:lang w:val="en-US"/>
              </w:rPr>
              <w:t xml:space="preserve"> × </w:t>
            </w:r>
            <w:r w:rsidRPr="00DF59FE">
              <w:rPr>
                <w:rFonts w:cs="Times New Roman"/>
                <w:i/>
                <w:caps/>
                <w:sz w:val="16"/>
                <w:szCs w:val="16"/>
                <w:lang w:val="en-US"/>
              </w:rPr>
              <w:t>2003-2004</w:t>
            </w:r>
          </w:p>
        </w:tc>
        <w:tc>
          <w:tcPr>
            <w:tcW w:w="533" w:type="pct"/>
          </w:tcPr>
          <w:p w:rsidR="00511912" w:rsidRPr="00165E35" w:rsidRDefault="00511912" w:rsidP="00605664">
            <w:pPr>
              <w:keepNext/>
              <w:widowControl w:val="0"/>
              <w:autoSpaceDE w:val="0"/>
              <w:autoSpaceDN w:val="0"/>
              <w:adjustRightInd w:val="0"/>
              <w:spacing w:after="0" w:line="240" w:lineRule="auto"/>
              <w:jc w:val="center"/>
              <w:rPr>
                <w:rFonts w:cs="Times New Roman"/>
                <w:sz w:val="16"/>
                <w:szCs w:val="16"/>
                <w:lang w:val="en-US"/>
              </w:rPr>
            </w:pPr>
          </w:p>
        </w:tc>
        <w:tc>
          <w:tcPr>
            <w:tcW w:w="478" w:type="pct"/>
          </w:tcPr>
          <w:p w:rsidR="00511912" w:rsidRPr="00165E35" w:rsidRDefault="00511912" w:rsidP="00605664">
            <w:pPr>
              <w:keepNext/>
              <w:widowControl w:val="0"/>
              <w:autoSpaceDE w:val="0"/>
              <w:autoSpaceDN w:val="0"/>
              <w:adjustRightInd w:val="0"/>
              <w:spacing w:after="0" w:line="240" w:lineRule="auto"/>
              <w:jc w:val="center"/>
              <w:rPr>
                <w:rFonts w:cs="Times New Roman"/>
                <w:sz w:val="16"/>
                <w:szCs w:val="16"/>
                <w:lang w:val="en-US"/>
              </w:rPr>
            </w:pPr>
          </w:p>
        </w:tc>
        <w:tc>
          <w:tcPr>
            <w:tcW w:w="533" w:type="pct"/>
          </w:tcPr>
          <w:p w:rsidR="00511912" w:rsidRPr="00165E35" w:rsidRDefault="00046215" w:rsidP="00605664">
            <w:pPr>
              <w:keepNext/>
              <w:widowControl w:val="0"/>
              <w:autoSpaceDE w:val="0"/>
              <w:autoSpaceDN w:val="0"/>
              <w:adjustRightInd w:val="0"/>
              <w:spacing w:after="0" w:line="240" w:lineRule="auto"/>
              <w:jc w:val="center"/>
              <w:rPr>
                <w:rFonts w:cs="Times New Roman"/>
                <w:sz w:val="16"/>
                <w:szCs w:val="16"/>
                <w:lang w:val="en-US"/>
              </w:rPr>
            </w:pPr>
            <w:r w:rsidRPr="00165E35">
              <w:rPr>
                <w:rFonts w:cs="Times New Roman"/>
                <w:sz w:val="16"/>
                <w:szCs w:val="16"/>
                <w:lang w:val="en-US"/>
              </w:rPr>
              <w:t>0.176</w:t>
            </w:r>
          </w:p>
        </w:tc>
        <w:tc>
          <w:tcPr>
            <w:tcW w:w="478" w:type="pct"/>
          </w:tcPr>
          <w:p w:rsidR="00511912" w:rsidRPr="00165E35" w:rsidRDefault="00046215" w:rsidP="00605664">
            <w:pPr>
              <w:keepNext/>
              <w:widowControl w:val="0"/>
              <w:autoSpaceDE w:val="0"/>
              <w:autoSpaceDN w:val="0"/>
              <w:adjustRightInd w:val="0"/>
              <w:spacing w:after="0" w:line="240" w:lineRule="auto"/>
              <w:jc w:val="center"/>
              <w:rPr>
                <w:rFonts w:cs="Times New Roman"/>
                <w:sz w:val="16"/>
                <w:szCs w:val="16"/>
                <w:lang w:val="en-US"/>
              </w:rPr>
            </w:pPr>
            <w:r w:rsidRPr="00165E35">
              <w:rPr>
                <w:rFonts w:cs="Times New Roman"/>
                <w:sz w:val="16"/>
                <w:szCs w:val="16"/>
                <w:lang w:val="en-US"/>
              </w:rPr>
              <w:t>(0.82</w:t>
            </w:r>
            <w:r w:rsidR="00511912" w:rsidRPr="00165E35">
              <w:rPr>
                <w:rFonts w:cs="Times New Roman"/>
                <w:sz w:val="16"/>
                <w:szCs w:val="16"/>
                <w:lang w:val="en-US"/>
              </w:rPr>
              <w:t>)</w:t>
            </w:r>
          </w:p>
        </w:tc>
        <w:tc>
          <w:tcPr>
            <w:tcW w:w="533" w:type="pct"/>
          </w:tcPr>
          <w:p w:rsidR="00511912" w:rsidRPr="00165E35" w:rsidRDefault="00016A31" w:rsidP="00605664">
            <w:pPr>
              <w:keepNext/>
              <w:widowControl w:val="0"/>
              <w:autoSpaceDE w:val="0"/>
              <w:autoSpaceDN w:val="0"/>
              <w:adjustRightInd w:val="0"/>
              <w:spacing w:after="0" w:line="240" w:lineRule="auto"/>
              <w:jc w:val="center"/>
              <w:rPr>
                <w:rFonts w:cs="Times New Roman"/>
                <w:sz w:val="16"/>
                <w:szCs w:val="16"/>
                <w:lang w:val="en-US"/>
              </w:rPr>
            </w:pPr>
            <w:r w:rsidRPr="00165E35">
              <w:rPr>
                <w:rFonts w:cs="Times New Roman"/>
                <w:sz w:val="16"/>
                <w:szCs w:val="16"/>
                <w:lang w:val="en-US"/>
              </w:rPr>
              <w:t>0.211</w:t>
            </w:r>
          </w:p>
        </w:tc>
        <w:tc>
          <w:tcPr>
            <w:tcW w:w="478" w:type="pct"/>
          </w:tcPr>
          <w:p w:rsidR="00511912" w:rsidRPr="00165E35" w:rsidRDefault="00016A31" w:rsidP="00605664">
            <w:pPr>
              <w:keepNext/>
              <w:widowControl w:val="0"/>
              <w:autoSpaceDE w:val="0"/>
              <w:autoSpaceDN w:val="0"/>
              <w:adjustRightInd w:val="0"/>
              <w:spacing w:after="0" w:line="240" w:lineRule="auto"/>
              <w:jc w:val="center"/>
              <w:rPr>
                <w:rFonts w:cs="Times New Roman"/>
                <w:sz w:val="16"/>
                <w:szCs w:val="16"/>
                <w:lang w:val="en-US"/>
              </w:rPr>
            </w:pPr>
            <w:r w:rsidRPr="00165E35">
              <w:rPr>
                <w:rFonts w:cs="Times New Roman"/>
                <w:sz w:val="16"/>
                <w:szCs w:val="16"/>
                <w:lang w:val="en-US"/>
              </w:rPr>
              <w:t>(1.07</w:t>
            </w:r>
            <w:r w:rsidR="00511912" w:rsidRPr="00165E35">
              <w:rPr>
                <w:rFonts w:cs="Times New Roman"/>
                <w:sz w:val="16"/>
                <w:szCs w:val="16"/>
                <w:lang w:val="en-US"/>
              </w:rPr>
              <w:t>)</w:t>
            </w:r>
          </w:p>
        </w:tc>
      </w:tr>
      <w:tr w:rsidR="00511912" w:rsidRPr="00165E35" w:rsidTr="00511912">
        <w:tc>
          <w:tcPr>
            <w:tcW w:w="1967" w:type="pct"/>
          </w:tcPr>
          <w:p w:rsidR="00511912" w:rsidRPr="00DF59FE" w:rsidRDefault="00511912" w:rsidP="00605664">
            <w:pPr>
              <w:keepNext/>
              <w:widowControl w:val="0"/>
              <w:autoSpaceDE w:val="0"/>
              <w:autoSpaceDN w:val="0"/>
              <w:adjustRightInd w:val="0"/>
              <w:spacing w:after="0" w:line="240" w:lineRule="auto"/>
              <w:rPr>
                <w:rFonts w:cs="Times New Roman"/>
                <w:i/>
                <w:caps/>
                <w:sz w:val="16"/>
                <w:szCs w:val="16"/>
                <w:lang w:val="en-US"/>
              </w:rPr>
            </w:pPr>
            <w:r w:rsidRPr="00DF59FE">
              <w:rPr>
                <w:rFonts w:cs="Times New Roman"/>
                <w:i/>
                <w:caps/>
                <w:sz w:val="16"/>
                <w:szCs w:val="16"/>
                <w:lang w:val="en-US"/>
              </w:rPr>
              <w:t>Outcome uncertainty</w:t>
            </w:r>
            <w:r w:rsidR="00165E35" w:rsidRPr="00DF59FE">
              <w:rPr>
                <w:rFonts w:cs="Times New Roman"/>
                <w:i/>
                <w:caps/>
                <w:sz w:val="16"/>
                <w:szCs w:val="16"/>
                <w:lang w:val="en-US"/>
              </w:rPr>
              <w:t xml:space="preserve"> × </w:t>
            </w:r>
            <w:r w:rsidRPr="00DF59FE">
              <w:rPr>
                <w:rFonts w:cs="Times New Roman"/>
                <w:i/>
                <w:caps/>
                <w:sz w:val="16"/>
                <w:szCs w:val="16"/>
                <w:lang w:val="en-US"/>
              </w:rPr>
              <w:t>2004-2005</w:t>
            </w:r>
          </w:p>
        </w:tc>
        <w:tc>
          <w:tcPr>
            <w:tcW w:w="533" w:type="pct"/>
          </w:tcPr>
          <w:p w:rsidR="00511912" w:rsidRPr="00165E35" w:rsidRDefault="00511912" w:rsidP="00605664">
            <w:pPr>
              <w:keepNext/>
              <w:widowControl w:val="0"/>
              <w:autoSpaceDE w:val="0"/>
              <w:autoSpaceDN w:val="0"/>
              <w:adjustRightInd w:val="0"/>
              <w:spacing w:after="0" w:line="240" w:lineRule="auto"/>
              <w:jc w:val="center"/>
              <w:rPr>
                <w:rFonts w:cs="Times New Roman"/>
                <w:sz w:val="16"/>
                <w:szCs w:val="16"/>
                <w:lang w:val="en-US"/>
              </w:rPr>
            </w:pPr>
          </w:p>
        </w:tc>
        <w:tc>
          <w:tcPr>
            <w:tcW w:w="478" w:type="pct"/>
          </w:tcPr>
          <w:p w:rsidR="00511912" w:rsidRPr="00165E35" w:rsidRDefault="00511912" w:rsidP="00605664">
            <w:pPr>
              <w:keepNext/>
              <w:widowControl w:val="0"/>
              <w:autoSpaceDE w:val="0"/>
              <w:autoSpaceDN w:val="0"/>
              <w:adjustRightInd w:val="0"/>
              <w:spacing w:after="0" w:line="240" w:lineRule="auto"/>
              <w:jc w:val="center"/>
              <w:rPr>
                <w:rFonts w:cs="Times New Roman"/>
                <w:sz w:val="16"/>
                <w:szCs w:val="16"/>
                <w:lang w:val="en-US"/>
              </w:rPr>
            </w:pPr>
          </w:p>
        </w:tc>
        <w:tc>
          <w:tcPr>
            <w:tcW w:w="533" w:type="pct"/>
          </w:tcPr>
          <w:p w:rsidR="00511912" w:rsidRPr="00165E35" w:rsidRDefault="00046215" w:rsidP="00605664">
            <w:pPr>
              <w:keepNext/>
              <w:widowControl w:val="0"/>
              <w:autoSpaceDE w:val="0"/>
              <w:autoSpaceDN w:val="0"/>
              <w:adjustRightInd w:val="0"/>
              <w:spacing w:after="0" w:line="240" w:lineRule="auto"/>
              <w:jc w:val="center"/>
              <w:rPr>
                <w:rFonts w:cs="Times New Roman"/>
                <w:sz w:val="16"/>
                <w:szCs w:val="16"/>
                <w:lang w:val="en-US"/>
              </w:rPr>
            </w:pPr>
            <w:r w:rsidRPr="00165E35">
              <w:rPr>
                <w:rFonts w:cs="Times New Roman"/>
                <w:sz w:val="16"/>
                <w:szCs w:val="16"/>
                <w:lang w:val="en-US"/>
              </w:rPr>
              <w:t>-0.106</w:t>
            </w:r>
          </w:p>
        </w:tc>
        <w:tc>
          <w:tcPr>
            <w:tcW w:w="478" w:type="pct"/>
          </w:tcPr>
          <w:p w:rsidR="00511912" w:rsidRPr="00165E35" w:rsidRDefault="00046215" w:rsidP="00605664">
            <w:pPr>
              <w:keepNext/>
              <w:widowControl w:val="0"/>
              <w:autoSpaceDE w:val="0"/>
              <w:autoSpaceDN w:val="0"/>
              <w:adjustRightInd w:val="0"/>
              <w:spacing w:after="0" w:line="240" w:lineRule="auto"/>
              <w:jc w:val="center"/>
              <w:rPr>
                <w:rFonts w:cs="Times New Roman"/>
                <w:sz w:val="16"/>
                <w:szCs w:val="16"/>
                <w:lang w:val="en-US"/>
              </w:rPr>
            </w:pPr>
            <w:r w:rsidRPr="00165E35">
              <w:rPr>
                <w:rFonts w:cs="Times New Roman"/>
                <w:sz w:val="16"/>
                <w:szCs w:val="16"/>
                <w:lang w:val="en-US"/>
              </w:rPr>
              <w:t>(0.7</w:t>
            </w:r>
            <w:r w:rsidR="00511912" w:rsidRPr="00165E35">
              <w:rPr>
                <w:rFonts w:cs="Times New Roman"/>
                <w:sz w:val="16"/>
                <w:szCs w:val="16"/>
                <w:lang w:val="en-US"/>
              </w:rPr>
              <w:t>7)</w:t>
            </w:r>
          </w:p>
        </w:tc>
        <w:tc>
          <w:tcPr>
            <w:tcW w:w="533" w:type="pct"/>
          </w:tcPr>
          <w:p w:rsidR="00511912" w:rsidRPr="00165E35" w:rsidRDefault="00016A31" w:rsidP="00605664">
            <w:pPr>
              <w:keepNext/>
              <w:widowControl w:val="0"/>
              <w:autoSpaceDE w:val="0"/>
              <w:autoSpaceDN w:val="0"/>
              <w:adjustRightInd w:val="0"/>
              <w:spacing w:after="0" w:line="240" w:lineRule="auto"/>
              <w:jc w:val="center"/>
              <w:rPr>
                <w:rFonts w:cs="Times New Roman"/>
                <w:sz w:val="16"/>
                <w:szCs w:val="16"/>
                <w:lang w:val="en-US"/>
              </w:rPr>
            </w:pPr>
            <w:r w:rsidRPr="00165E35">
              <w:rPr>
                <w:rFonts w:cs="Times New Roman"/>
                <w:sz w:val="16"/>
                <w:szCs w:val="16"/>
                <w:lang w:val="en-US"/>
              </w:rPr>
              <w:t>-0.1</w:t>
            </w:r>
            <w:r w:rsidR="00511912" w:rsidRPr="00165E35">
              <w:rPr>
                <w:rFonts w:cs="Times New Roman"/>
                <w:sz w:val="16"/>
                <w:szCs w:val="16"/>
                <w:lang w:val="en-US"/>
              </w:rPr>
              <w:t>5</w:t>
            </w:r>
            <w:r w:rsidRPr="00165E35">
              <w:rPr>
                <w:rFonts w:cs="Times New Roman"/>
                <w:sz w:val="16"/>
                <w:szCs w:val="16"/>
                <w:lang w:val="en-US"/>
              </w:rPr>
              <w:t>6</w:t>
            </w:r>
          </w:p>
        </w:tc>
        <w:tc>
          <w:tcPr>
            <w:tcW w:w="478" w:type="pct"/>
          </w:tcPr>
          <w:p w:rsidR="00511912" w:rsidRPr="00165E35" w:rsidRDefault="00016A31" w:rsidP="00605664">
            <w:pPr>
              <w:keepNext/>
              <w:widowControl w:val="0"/>
              <w:autoSpaceDE w:val="0"/>
              <w:autoSpaceDN w:val="0"/>
              <w:adjustRightInd w:val="0"/>
              <w:spacing w:after="0" w:line="240" w:lineRule="auto"/>
              <w:jc w:val="center"/>
              <w:rPr>
                <w:rFonts w:cs="Times New Roman"/>
                <w:sz w:val="16"/>
                <w:szCs w:val="16"/>
                <w:lang w:val="en-US"/>
              </w:rPr>
            </w:pPr>
            <w:r w:rsidRPr="00165E35">
              <w:rPr>
                <w:rFonts w:cs="Times New Roman"/>
                <w:sz w:val="16"/>
                <w:szCs w:val="16"/>
                <w:lang w:val="en-US"/>
              </w:rPr>
              <w:t>(1.07</w:t>
            </w:r>
            <w:r w:rsidR="00511912" w:rsidRPr="00165E35">
              <w:rPr>
                <w:rFonts w:cs="Times New Roman"/>
                <w:sz w:val="16"/>
                <w:szCs w:val="16"/>
                <w:lang w:val="en-US"/>
              </w:rPr>
              <w:t>)</w:t>
            </w:r>
          </w:p>
        </w:tc>
      </w:tr>
      <w:tr w:rsidR="00511912" w:rsidRPr="00165E35" w:rsidTr="00511912">
        <w:tc>
          <w:tcPr>
            <w:tcW w:w="1967" w:type="pct"/>
          </w:tcPr>
          <w:p w:rsidR="00511912" w:rsidRPr="00DF59FE" w:rsidRDefault="00511912" w:rsidP="00605664">
            <w:pPr>
              <w:keepNext/>
              <w:widowControl w:val="0"/>
              <w:autoSpaceDE w:val="0"/>
              <w:autoSpaceDN w:val="0"/>
              <w:adjustRightInd w:val="0"/>
              <w:spacing w:after="0" w:line="240" w:lineRule="auto"/>
              <w:rPr>
                <w:rFonts w:cs="Times New Roman"/>
                <w:i/>
                <w:caps/>
                <w:sz w:val="16"/>
                <w:szCs w:val="16"/>
                <w:lang w:val="en-US"/>
              </w:rPr>
            </w:pPr>
            <w:r w:rsidRPr="00DF59FE">
              <w:rPr>
                <w:rFonts w:cs="Times New Roman"/>
                <w:i/>
                <w:caps/>
                <w:sz w:val="16"/>
                <w:szCs w:val="16"/>
                <w:lang w:val="en-US"/>
              </w:rPr>
              <w:t>Outcome uncertainty</w:t>
            </w:r>
            <w:r w:rsidR="00165E35" w:rsidRPr="00DF59FE">
              <w:rPr>
                <w:rFonts w:cs="Times New Roman"/>
                <w:i/>
                <w:caps/>
                <w:sz w:val="16"/>
                <w:szCs w:val="16"/>
                <w:lang w:val="en-US"/>
              </w:rPr>
              <w:t xml:space="preserve"> × </w:t>
            </w:r>
            <w:r w:rsidRPr="00DF59FE">
              <w:rPr>
                <w:rFonts w:cs="Times New Roman"/>
                <w:i/>
                <w:caps/>
                <w:sz w:val="16"/>
                <w:szCs w:val="16"/>
                <w:lang w:val="en-US"/>
              </w:rPr>
              <w:t>2005-2006</w:t>
            </w:r>
          </w:p>
        </w:tc>
        <w:tc>
          <w:tcPr>
            <w:tcW w:w="533" w:type="pct"/>
          </w:tcPr>
          <w:p w:rsidR="00511912" w:rsidRPr="00165E35" w:rsidRDefault="00511912" w:rsidP="00605664">
            <w:pPr>
              <w:keepNext/>
              <w:widowControl w:val="0"/>
              <w:autoSpaceDE w:val="0"/>
              <w:autoSpaceDN w:val="0"/>
              <w:adjustRightInd w:val="0"/>
              <w:spacing w:after="0" w:line="240" w:lineRule="auto"/>
              <w:jc w:val="center"/>
              <w:rPr>
                <w:rFonts w:cs="Times New Roman"/>
                <w:sz w:val="16"/>
                <w:szCs w:val="16"/>
                <w:lang w:val="en-US"/>
              </w:rPr>
            </w:pPr>
          </w:p>
        </w:tc>
        <w:tc>
          <w:tcPr>
            <w:tcW w:w="478" w:type="pct"/>
          </w:tcPr>
          <w:p w:rsidR="00511912" w:rsidRPr="00165E35" w:rsidRDefault="00511912" w:rsidP="00605664">
            <w:pPr>
              <w:keepNext/>
              <w:widowControl w:val="0"/>
              <w:autoSpaceDE w:val="0"/>
              <w:autoSpaceDN w:val="0"/>
              <w:adjustRightInd w:val="0"/>
              <w:spacing w:after="0" w:line="240" w:lineRule="auto"/>
              <w:jc w:val="center"/>
              <w:rPr>
                <w:rFonts w:cs="Times New Roman"/>
                <w:sz w:val="16"/>
                <w:szCs w:val="16"/>
                <w:lang w:val="en-US"/>
              </w:rPr>
            </w:pPr>
          </w:p>
        </w:tc>
        <w:tc>
          <w:tcPr>
            <w:tcW w:w="533" w:type="pct"/>
          </w:tcPr>
          <w:p w:rsidR="00511912" w:rsidRPr="00165E35" w:rsidRDefault="00046215" w:rsidP="00605664">
            <w:pPr>
              <w:keepNext/>
              <w:widowControl w:val="0"/>
              <w:autoSpaceDE w:val="0"/>
              <w:autoSpaceDN w:val="0"/>
              <w:adjustRightInd w:val="0"/>
              <w:spacing w:after="0" w:line="240" w:lineRule="auto"/>
              <w:jc w:val="center"/>
              <w:rPr>
                <w:rFonts w:cs="Times New Roman"/>
                <w:sz w:val="16"/>
                <w:szCs w:val="16"/>
                <w:lang w:val="en-US"/>
              </w:rPr>
            </w:pPr>
            <w:r w:rsidRPr="00165E35">
              <w:rPr>
                <w:rFonts w:cs="Times New Roman"/>
                <w:sz w:val="16"/>
                <w:szCs w:val="16"/>
                <w:lang w:val="en-US"/>
              </w:rPr>
              <w:t>0.1113</w:t>
            </w:r>
          </w:p>
        </w:tc>
        <w:tc>
          <w:tcPr>
            <w:tcW w:w="478" w:type="pct"/>
          </w:tcPr>
          <w:p w:rsidR="00511912" w:rsidRPr="00165E35" w:rsidRDefault="00046215" w:rsidP="00605664">
            <w:pPr>
              <w:keepNext/>
              <w:widowControl w:val="0"/>
              <w:autoSpaceDE w:val="0"/>
              <w:autoSpaceDN w:val="0"/>
              <w:adjustRightInd w:val="0"/>
              <w:spacing w:after="0" w:line="240" w:lineRule="auto"/>
              <w:jc w:val="center"/>
              <w:rPr>
                <w:rFonts w:cs="Times New Roman"/>
                <w:sz w:val="16"/>
                <w:szCs w:val="16"/>
                <w:lang w:val="en-US"/>
              </w:rPr>
            </w:pPr>
            <w:r w:rsidRPr="00165E35">
              <w:rPr>
                <w:rFonts w:cs="Times New Roman"/>
                <w:sz w:val="16"/>
                <w:szCs w:val="16"/>
                <w:lang w:val="en-US"/>
              </w:rPr>
              <w:t>(0.96</w:t>
            </w:r>
            <w:r w:rsidR="00511912" w:rsidRPr="00165E35">
              <w:rPr>
                <w:rFonts w:cs="Times New Roman"/>
                <w:sz w:val="16"/>
                <w:szCs w:val="16"/>
                <w:lang w:val="en-US"/>
              </w:rPr>
              <w:t>)</w:t>
            </w:r>
          </w:p>
        </w:tc>
        <w:tc>
          <w:tcPr>
            <w:tcW w:w="533" w:type="pct"/>
          </w:tcPr>
          <w:p w:rsidR="00511912" w:rsidRPr="00165E35" w:rsidRDefault="00016A31" w:rsidP="00605664">
            <w:pPr>
              <w:keepNext/>
              <w:widowControl w:val="0"/>
              <w:autoSpaceDE w:val="0"/>
              <w:autoSpaceDN w:val="0"/>
              <w:adjustRightInd w:val="0"/>
              <w:spacing w:after="0" w:line="240" w:lineRule="auto"/>
              <w:jc w:val="center"/>
              <w:rPr>
                <w:rFonts w:cs="Times New Roman"/>
                <w:sz w:val="16"/>
                <w:szCs w:val="16"/>
                <w:lang w:val="en-US"/>
              </w:rPr>
            </w:pPr>
            <w:r w:rsidRPr="00165E35">
              <w:rPr>
                <w:rFonts w:cs="Times New Roman"/>
                <w:sz w:val="16"/>
                <w:szCs w:val="16"/>
                <w:lang w:val="en-US"/>
              </w:rPr>
              <w:t>0.099</w:t>
            </w:r>
          </w:p>
        </w:tc>
        <w:tc>
          <w:tcPr>
            <w:tcW w:w="478" w:type="pct"/>
          </w:tcPr>
          <w:p w:rsidR="00511912" w:rsidRPr="00165E35" w:rsidRDefault="00016A31" w:rsidP="00605664">
            <w:pPr>
              <w:keepNext/>
              <w:widowControl w:val="0"/>
              <w:autoSpaceDE w:val="0"/>
              <w:autoSpaceDN w:val="0"/>
              <w:adjustRightInd w:val="0"/>
              <w:spacing w:after="0" w:line="240" w:lineRule="auto"/>
              <w:jc w:val="center"/>
              <w:rPr>
                <w:rFonts w:cs="Times New Roman"/>
                <w:sz w:val="16"/>
                <w:szCs w:val="16"/>
                <w:lang w:val="en-US"/>
              </w:rPr>
            </w:pPr>
            <w:r w:rsidRPr="00165E35">
              <w:rPr>
                <w:rFonts w:cs="Times New Roman"/>
                <w:sz w:val="16"/>
                <w:szCs w:val="16"/>
                <w:lang w:val="en-US"/>
              </w:rPr>
              <w:t>(0.83</w:t>
            </w:r>
            <w:r w:rsidR="00511912" w:rsidRPr="00165E35">
              <w:rPr>
                <w:rFonts w:cs="Times New Roman"/>
                <w:sz w:val="16"/>
                <w:szCs w:val="16"/>
                <w:lang w:val="en-US"/>
              </w:rPr>
              <w:t>)</w:t>
            </w:r>
          </w:p>
        </w:tc>
      </w:tr>
      <w:tr w:rsidR="00511912" w:rsidRPr="00165E35" w:rsidTr="00511912">
        <w:tc>
          <w:tcPr>
            <w:tcW w:w="1967" w:type="pct"/>
          </w:tcPr>
          <w:p w:rsidR="00511912" w:rsidRPr="00DF59FE" w:rsidRDefault="00511912" w:rsidP="00605664">
            <w:pPr>
              <w:keepNext/>
              <w:widowControl w:val="0"/>
              <w:autoSpaceDE w:val="0"/>
              <w:autoSpaceDN w:val="0"/>
              <w:adjustRightInd w:val="0"/>
              <w:spacing w:after="0" w:line="240" w:lineRule="auto"/>
              <w:rPr>
                <w:rFonts w:cs="Times New Roman"/>
                <w:i/>
                <w:caps/>
                <w:sz w:val="16"/>
                <w:szCs w:val="16"/>
                <w:lang w:val="en-US"/>
              </w:rPr>
            </w:pPr>
            <w:r w:rsidRPr="00DF59FE">
              <w:rPr>
                <w:rFonts w:cs="Times New Roman"/>
                <w:i/>
                <w:caps/>
                <w:sz w:val="16"/>
                <w:szCs w:val="16"/>
                <w:lang w:val="en-US"/>
              </w:rPr>
              <w:t>Outcome uncertainty</w:t>
            </w:r>
            <w:r w:rsidR="00165E35" w:rsidRPr="00DF59FE">
              <w:rPr>
                <w:rFonts w:cs="Times New Roman"/>
                <w:i/>
                <w:caps/>
                <w:sz w:val="16"/>
                <w:szCs w:val="16"/>
                <w:lang w:val="en-US"/>
              </w:rPr>
              <w:t xml:space="preserve"> × </w:t>
            </w:r>
            <w:r w:rsidRPr="00DF59FE">
              <w:rPr>
                <w:rFonts w:cs="Times New Roman"/>
                <w:i/>
                <w:caps/>
                <w:sz w:val="16"/>
                <w:szCs w:val="16"/>
                <w:lang w:val="en-US"/>
              </w:rPr>
              <w:t>2006-2007</w:t>
            </w:r>
          </w:p>
        </w:tc>
        <w:tc>
          <w:tcPr>
            <w:tcW w:w="533" w:type="pct"/>
          </w:tcPr>
          <w:p w:rsidR="00511912" w:rsidRPr="00165E35" w:rsidRDefault="00511912" w:rsidP="00605664">
            <w:pPr>
              <w:keepNext/>
              <w:widowControl w:val="0"/>
              <w:autoSpaceDE w:val="0"/>
              <w:autoSpaceDN w:val="0"/>
              <w:adjustRightInd w:val="0"/>
              <w:spacing w:after="0" w:line="240" w:lineRule="auto"/>
              <w:jc w:val="center"/>
              <w:rPr>
                <w:rFonts w:cs="Times New Roman"/>
                <w:sz w:val="16"/>
                <w:szCs w:val="16"/>
                <w:lang w:val="en-US"/>
              </w:rPr>
            </w:pPr>
          </w:p>
        </w:tc>
        <w:tc>
          <w:tcPr>
            <w:tcW w:w="478" w:type="pct"/>
          </w:tcPr>
          <w:p w:rsidR="00511912" w:rsidRPr="00165E35" w:rsidRDefault="00511912" w:rsidP="00605664">
            <w:pPr>
              <w:keepNext/>
              <w:widowControl w:val="0"/>
              <w:autoSpaceDE w:val="0"/>
              <w:autoSpaceDN w:val="0"/>
              <w:adjustRightInd w:val="0"/>
              <w:spacing w:after="0" w:line="240" w:lineRule="auto"/>
              <w:jc w:val="center"/>
              <w:rPr>
                <w:rFonts w:cs="Times New Roman"/>
                <w:sz w:val="16"/>
                <w:szCs w:val="16"/>
                <w:lang w:val="en-US"/>
              </w:rPr>
            </w:pPr>
          </w:p>
        </w:tc>
        <w:tc>
          <w:tcPr>
            <w:tcW w:w="533" w:type="pct"/>
          </w:tcPr>
          <w:p w:rsidR="00511912" w:rsidRPr="00165E35" w:rsidRDefault="00046215" w:rsidP="00605664">
            <w:pPr>
              <w:keepNext/>
              <w:widowControl w:val="0"/>
              <w:autoSpaceDE w:val="0"/>
              <w:autoSpaceDN w:val="0"/>
              <w:adjustRightInd w:val="0"/>
              <w:spacing w:after="0" w:line="240" w:lineRule="auto"/>
              <w:jc w:val="center"/>
              <w:rPr>
                <w:rFonts w:cs="Times New Roman"/>
                <w:sz w:val="16"/>
                <w:szCs w:val="16"/>
                <w:lang w:val="en-US"/>
              </w:rPr>
            </w:pPr>
            <w:r w:rsidRPr="00165E35">
              <w:rPr>
                <w:rFonts w:cs="Times New Roman"/>
                <w:sz w:val="16"/>
                <w:szCs w:val="16"/>
                <w:lang w:val="en-US"/>
              </w:rPr>
              <w:t>-0.065</w:t>
            </w:r>
          </w:p>
        </w:tc>
        <w:tc>
          <w:tcPr>
            <w:tcW w:w="478" w:type="pct"/>
          </w:tcPr>
          <w:p w:rsidR="00511912" w:rsidRPr="00165E35" w:rsidRDefault="00046215" w:rsidP="00605664">
            <w:pPr>
              <w:keepNext/>
              <w:widowControl w:val="0"/>
              <w:autoSpaceDE w:val="0"/>
              <w:autoSpaceDN w:val="0"/>
              <w:adjustRightInd w:val="0"/>
              <w:spacing w:after="0" w:line="240" w:lineRule="auto"/>
              <w:jc w:val="center"/>
              <w:rPr>
                <w:rFonts w:cs="Times New Roman"/>
                <w:sz w:val="16"/>
                <w:szCs w:val="16"/>
                <w:lang w:val="en-US"/>
              </w:rPr>
            </w:pPr>
            <w:r w:rsidRPr="00165E35">
              <w:rPr>
                <w:rFonts w:cs="Times New Roman"/>
                <w:sz w:val="16"/>
                <w:szCs w:val="16"/>
                <w:lang w:val="en-US"/>
              </w:rPr>
              <w:t>(0.22</w:t>
            </w:r>
            <w:r w:rsidR="00511912" w:rsidRPr="00165E35">
              <w:rPr>
                <w:rFonts w:cs="Times New Roman"/>
                <w:sz w:val="16"/>
                <w:szCs w:val="16"/>
                <w:lang w:val="en-US"/>
              </w:rPr>
              <w:t>)</w:t>
            </w:r>
          </w:p>
        </w:tc>
        <w:tc>
          <w:tcPr>
            <w:tcW w:w="533" w:type="pct"/>
          </w:tcPr>
          <w:p w:rsidR="00511912" w:rsidRPr="00165E35" w:rsidRDefault="00016A31" w:rsidP="00605664">
            <w:pPr>
              <w:keepNext/>
              <w:widowControl w:val="0"/>
              <w:autoSpaceDE w:val="0"/>
              <w:autoSpaceDN w:val="0"/>
              <w:adjustRightInd w:val="0"/>
              <w:spacing w:after="0" w:line="240" w:lineRule="auto"/>
              <w:jc w:val="center"/>
              <w:rPr>
                <w:rFonts w:cs="Times New Roman"/>
                <w:sz w:val="16"/>
                <w:szCs w:val="16"/>
                <w:lang w:val="en-US"/>
              </w:rPr>
            </w:pPr>
            <w:r w:rsidRPr="00165E35">
              <w:rPr>
                <w:rFonts w:cs="Times New Roman"/>
                <w:sz w:val="16"/>
                <w:szCs w:val="16"/>
                <w:lang w:val="en-US"/>
              </w:rPr>
              <w:t>-0.12</w:t>
            </w:r>
            <w:r w:rsidR="00511912" w:rsidRPr="00165E35">
              <w:rPr>
                <w:rFonts w:cs="Times New Roman"/>
                <w:sz w:val="16"/>
                <w:szCs w:val="16"/>
                <w:lang w:val="en-US"/>
              </w:rPr>
              <w:t>4</w:t>
            </w:r>
          </w:p>
        </w:tc>
        <w:tc>
          <w:tcPr>
            <w:tcW w:w="478" w:type="pct"/>
          </w:tcPr>
          <w:p w:rsidR="00511912" w:rsidRPr="00165E35" w:rsidRDefault="00016A31" w:rsidP="00605664">
            <w:pPr>
              <w:keepNext/>
              <w:widowControl w:val="0"/>
              <w:autoSpaceDE w:val="0"/>
              <w:autoSpaceDN w:val="0"/>
              <w:adjustRightInd w:val="0"/>
              <w:spacing w:after="0" w:line="240" w:lineRule="auto"/>
              <w:jc w:val="center"/>
              <w:rPr>
                <w:rFonts w:cs="Times New Roman"/>
                <w:sz w:val="16"/>
                <w:szCs w:val="16"/>
                <w:lang w:val="en-US"/>
              </w:rPr>
            </w:pPr>
            <w:r w:rsidRPr="00165E35">
              <w:rPr>
                <w:rFonts w:cs="Times New Roman"/>
                <w:sz w:val="16"/>
                <w:szCs w:val="16"/>
                <w:lang w:val="en-US"/>
              </w:rPr>
              <w:t>(0.45</w:t>
            </w:r>
            <w:r w:rsidR="00511912" w:rsidRPr="00165E35">
              <w:rPr>
                <w:rFonts w:cs="Times New Roman"/>
                <w:sz w:val="16"/>
                <w:szCs w:val="16"/>
                <w:lang w:val="en-US"/>
              </w:rPr>
              <w:t>)</w:t>
            </w:r>
          </w:p>
        </w:tc>
      </w:tr>
      <w:tr w:rsidR="00511912" w:rsidRPr="00165E35" w:rsidTr="00511912">
        <w:tc>
          <w:tcPr>
            <w:tcW w:w="1967" w:type="pct"/>
          </w:tcPr>
          <w:p w:rsidR="00511912" w:rsidRPr="00DF59FE" w:rsidRDefault="00511912" w:rsidP="00605664">
            <w:pPr>
              <w:keepNext/>
              <w:widowControl w:val="0"/>
              <w:autoSpaceDE w:val="0"/>
              <w:autoSpaceDN w:val="0"/>
              <w:adjustRightInd w:val="0"/>
              <w:spacing w:after="0" w:line="240" w:lineRule="auto"/>
              <w:rPr>
                <w:rFonts w:cs="Times New Roman"/>
                <w:i/>
                <w:caps/>
                <w:sz w:val="16"/>
                <w:szCs w:val="16"/>
                <w:lang w:val="en-US"/>
              </w:rPr>
            </w:pPr>
            <w:r w:rsidRPr="00DF59FE">
              <w:rPr>
                <w:rFonts w:cs="Times New Roman"/>
                <w:i/>
                <w:caps/>
                <w:sz w:val="16"/>
                <w:szCs w:val="16"/>
                <w:lang w:val="en-US"/>
              </w:rPr>
              <w:t>Outcome uncertainty</w:t>
            </w:r>
            <w:r w:rsidR="00165E35" w:rsidRPr="00DF59FE">
              <w:rPr>
                <w:rFonts w:cs="Times New Roman"/>
                <w:i/>
                <w:caps/>
                <w:sz w:val="16"/>
                <w:szCs w:val="16"/>
                <w:lang w:val="en-US"/>
              </w:rPr>
              <w:t xml:space="preserve"> × </w:t>
            </w:r>
            <w:r w:rsidRPr="00DF59FE">
              <w:rPr>
                <w:rFonts w:cs="Times New Roman"/>
                <w:i/>
                <w:caps/>
                <w:sz w:val="16"/>
                <w:szCs w:val="16"/>
                <w:lang w:val="en-US"/>
              </w:rPr>
              <w:t>2007-2008</w:t>
            </w:r>
          </w:p>
        </w:tc>
        <w:tc>
          <w:tcPr>
            <w:tcW w:w="533" w:type="pct"/>
          </w:tcPr>
          <w:p w:rsidR="00511912" w:rsidRPr="00165E35" w:rsidRDefault="00511912" w:rsidP="00605664">
            <w:pPr>
              <w:keepNext/>
              <w:widowControl w:val="0"/>
              <w:autoSpaceDE w:val="0"/>
              <w:autoSpaceDN w:val="0"/>
              <w:adjustRightInd w:val="0"/>
              <w:spacing w:after="0" w:line="240" w:lineRule="auto"/>
              <w:jc w:val="center"/>
              <w:rPr>
                <w:rFonts w:cs="Times New Roman"/>
                <w:sz w:val="16"/>
                <w:szCs w:val="16"/>
                <w:lang w:val="en-US"/>
              </w:rPr>
            </w:pPr>
          </w:p>
        </w:tc>
        <w:tc>
          <w:tcPr>
            <w:tcW w:w="478" w:type="pct"/>
          </w:tcPr>
          <w:p w:rsidR="00511912" w:rsidRPr="00165E35" w:rsidRDefault="00511912" w:rsidP="00605664">
            <w:pPr>
              <w:keepNext/>
              <w:widowControl w:val="0"/>
              <w:autoSpaceDE w:val="0"/>
              <w:autoSpaceDN w:val="0"/>
              <w:adjustRightInd w:val="0"/>
              <w:spacing w:after="0" w:line="240" w:lineRule="auto"/>
              <w:jc w:val="center"/>
              <w:rPr>
                <w:rFonts w:cs="Times New Roman"/>
                <w:sz w:val="16"/>
                <w:szCs w:val="16"/>
                <w:lang w:val="en-US"/>
              </w:rPr>
            </w:pPr>
          </w:p>
        </w:tc>
        <w:tc>
          <w:tcPr>
            <w:tcW w:w="533" w:type="pct"/>
          </w:tcPr>
          <w:p w:rsidR="00511912" w:rsidRPr="00165E35" w:rsidRDefault="00046215" w:rsidP="00605664">
            <w:pPr>
              <w:keepNext/>
              <w:widowControl w:val="0"/>
              <w:autoSpaceDE w:val="0"/>
              <w:autoSpaceDN w:val="0"/>
              <w:adjustRightInd w:val="0"/>
              <w:spacing w:after="0" w:line="240" w:lineRule="auto"/>
              <w:jc w:val="center"/>
              <w:rPr>
                <w:rFonts w:cs="Times New Roman"/>
                <w:sz w:val="16"/>
                <w:szCs w:val="16"/>
                <w:lang w:val="en-US"/>
              </w:rPr>
            </w:pPr>
            <w:r w:rsidRPr="00165E35">
              <w:rPr>
                <w:rFonts w:cs="Times New Roman"/>
                <w:sz w:val="16"/>
                <w:szCs w:val="16"/>
                <w:lang w:val="en-US"/>
              </w:rPr>
              <w:t>0.07</w:t>
            </w:r>
            <w:r w:rsidR="00511912" w:rsidRPr="00165E35">
              <w:rPr>
                <w:rFonts w:cs="Times New Roman"/>
                <w:sz w:val="16"/>
                <w:szCs w:val="16"/>
                <w:lang w:val="en-US"/>
              </w:rPr>
              <w:t>7</w:t>
            </w:r>
          </w:p>
        </w:tc>
        <w:tc>
          <w:tcPr>
            <w:tcW w:w="478" w:type="pct"/>
          </w:tcPr>
          <w:p w:rsidR="00511912" w:rsidRPr="00165E35" w:rsidRDefault="00046215" w:rsidP="00605664">
            <w:pPr>
              <w:keepNext/>
              <w:widowControl w:val="0"/>
              <w:autoSpaceDE w:val="0"/>
              <w:autoSpaceDN w:val="0"/>
              <w:adjustRightInd w:val="0"/>
              <w:spacing w:after="0" w:line="240" w:lineRule="auto"/>
              <w:jc w:val="center"/>
              <w:rPr>
                <w:rFonts w:cs="Times New Roman"/>
                <w:sz w:val="16"/>
                <w:szCs w:val="16"/>
                <w:lang w:val="en-US"/>
              </w:rPr>
            </w:pPr>
            <w:r w:rsidRPr="00165E35">
              <w:rPr>
                <w:rFonts w:cs="Times New Roman"/>
                <w:sz w:val="16"/>
                <w:szCs w:val="16"/>
                <w:lang w:val="en-US"/>
              </w:rPr>
              <w:t>(0.59</w:t>
            </w:r>
            <w:r w:rsidR="00511912" w:rsidRPr="00165E35">
              <w:rPr>
                <w:rFonts w:cs="Times New Roman"/>
                <w:sz w:val="16"/>
                <w:szCs w:val="16"/>
                <w:lang w:val="en-US"/>
              </w:rPr>
              <w:t>)</w:t>
            </w:r>
          </w:p>
        </w:tc>
        <w:tc>
          <w:tcPr>
            <w:tcW w:w="533" w:type="pct"/>
          </w:tcPr>
          <w:p w:rsidR="00511912" w:rsidRPr="00165E35" w:rsidRDefault="00016A31" w:rsidP="00605664">
            <w:pPr>
              <w:keepNext/>
              <w:widowControl w:val="0"/>
              <w:autoSpaceDE w:val="0"/>
              <w:autoSpaceDN w:val="0"/>
              <w:adjustRightInd w:val="0"/>
              <w:spacing w:after="0" w:line="240" w:lineRule="auto"/>
              <w:jc w:val="center"/>
              <w:rPr>
                <w:rFonts w:cs="Times New Roman"/>
                <w:sz w:val="16"/>
                <w:szCs w:val="16"/>
                <w:lang w:val="en-US"/>
              </w:rPr>
            </w:pPr>
            <w:r w:rsidRPr="00165E35">
              <w:rPr>
                <w:rFonts w:cs="Times New Roman"/>
                <w:sz w:val="16"/>
                <w:szCs w:val="16"/>
                <w:lang w:val="en-US"/>
              </w:rPr>
              <w:t>0.033</w:t>
            </w:r>
          </w:p>
        </w:tc>
        <w:tc>
          <w:tcPr>
            <w:tcW w:w="478" w:type="pct"/>
          </w:tcPr>
          <w:p w:rsidR="00511912" w:rsidRPr="00165E35" w:rsidRDefault="00016A31" w:rsidP="00605664">
            <w:pPr>
              <w:keepNext/>
              <w:widowControl w:val="0"/>
              <w:autoSpaceDE w:val="0"/>
              <w:autoSpaceDN w:val="0"/>
              <w:adjustRightInd w:val="0"/>
              <w:spacing w:after="0" w:line="240" w:lineRule="auto"/>
              <w:jc w:val="center"/>
              <w:rPr>
                <w:rFonts w:cs="Times New Roman"/>
                <w:sz w:val="16"/>
                <w:szCs w:val="16"/>
                <w:lang w:val="en-US"/>
              </w:rPr>
            </w:pPr>
            <w:r w:rsidRPr="00165E35">
              <w:rPr>
                <w:rFonts w:cs="Times New Roman"/>
                <w:sz w:val="16"/>
                <w:szCs w:val="16"/>
                <w:lang w:val="en-US"/>
              </w:rPr>
              <w:t>(0.24</w:t>
            </w:r>
            <w:r w:rsidR="00511912" w:rsidRPr="00165E35">
              <w:rPr>
                <w:rFonts w:cs="Times New Roman"/>
                <w:sz w:val="16"/>
                <w:szCs w:val="16"/>
                <w:lang w:val="en-US"/>
              </w:rPr>
              <w:t>)</w:t>
            </w:r>
          </w:p>
        </w:tc>
      </w:tr>
      <w:tr w:rsidR="00511912" w:rsidRPr="00165E35" w:rsidTr="00511912">
        <w:tc>
          <w:tcPr>
            <w:tcW w:w="1967" w:type="pct"/>
          </w:tcPr>
          <w:p w:rsidR="00511912" w:rsidRPr="00DF59FE" w:rsidRDefault="00511912" w:rsidP="00605664">
            <w:pPr>
              <w:keepNext/>
              <w:widowControl w:val="0"/>
              <w:autoSpaceDE w:val="0"/>
              <w:autoSpaceDN w:val="0"/>
              <w:adjustRightInd w:val="0"/>
              <w:spacing w:after="0" w:line="240" w:lineRule="auto"/>
              <w:rPr>
                <w:rFonts w:cs="Times New Roman"/>
                <w:i/>
                <w:caps/>
                <w:sz w:val="16"/>
                <w:szCs w:val="16"/>
                <w:lang w:val="en-US"/>
              </w:rPr>
            </w:pPr>
            <w:r w:rsidRPr="00DF59FE">
              <w:rPr>
                <w:rFonts w:cs="Times New Roman"/>
                <w:i/>
                <w:caps/>
                <w:sz w:val="16"/>
                <w:szCs w:val="16"/>
                <w:lang w:val="en-US"/>
              </w:rPr>
              <w:t>Combined relative wage</w:t>
            </w:r>
            <w:r w:rsidR="00165E35" w:rsidRPr="00DF59FE">
              <w:rPr>
                <w:rFonts w:cs="Times New Roman"/>
                <w:i/>
                <w:caps/>
                <w:sz w:val="16"/>
                <w:szCs w:val="16"/>
                <w:lang w:val="en-US"/>
              </w:rPr>
              <w:t xml:space="preserve"> × </w:t>
            </w:r>
            <w:r w:rsidRPr="00DF59FE">
              <w:rPr>
                <w:rFonts w:cs="Times New Roman"/>
                <w:i/>
                <w:caps/>
                <w:sz w:val="16"/>
                <w:szCs w:val="16"/>
                <w:lang w:val="en-US"/>
              </w:rPr>
              <w:t>2000-2001</w:t>
            </w:r>
          </w:p>
        </w:tc>
        <w:tc>
          <w:tcPr>
            <w:tcW w:w="533" w:type="pct"/>
          </w:tcPr>
          <w:p w:rsidR="00511912" w:rsidRPr="00165E35" w:rsidRDefault="00511912" w:rsidP="00605664">
            <w:pPr>
              <w:keepNext/>
              <w:widowControl w:val="0"/>
              <w:autoSpaceDE w:val="0"/>
              <w:autoSpaceDN w:val="0"/>
              <w:adjustRightInd w:val="0"/>
              <w:spacing w:after="0" w:line="240" w:lineRule="auto"/>
              <w:jc w:val="center"/>
              <w:rPr>
                <w:rFonts w:cs="Times New Roman"/>
                <w:sz w:val="16"/>
                <w:szCs w:val="16"/>
                <w:lang w:val="en-US"/>
              </w:rPr>
            </w:pPr>
          </w:p>
        </w:tc>
        <w:tc>
          <w:tcPr>
            <w:tcW w:w="478" w:type="pct"/>
          </w:tcPr>
          <w:p w:rsidR="00511912" w:rsidRPr="00165E35" w:rsidRDefault="00511912" w:rsidP="00605664">
            <w:pPr>
              <w:keepNext/>
              <w:widowControl w:val="0"/>
              <w:autoSpaceDE w:val="0"/>
              <w:autoSpaceDN w:val="0"/>
              <w:adjustRightInd w:val="0"/>
              <w:spacing w:after="0" w:line="240" w:lineRule="auto"/>
              <w:jc w:val="center"/>
              <w:rPr>
                <w:rFonts w:cs="Times New Roman"/>
                <w:sz w:val="16"/>
                <w:szCs w:val="16"/>
                <w:lang w:val="en-US"/>
              </w:rPr>
            </w:pPr>
          </w:p>
        </w:tc>
        <w:tc>
          <w:tcPr>
            <w:tcW w:w="533" w:type="pct"/>
          </w:tcPr>
          <w:p w:rsidR="00511912" w:rsidRPr="00165E35" w:rsidRDefault="00511912" w:rsidP="00605664">
            <w:pPr>
              <w:keepNext/>
              <w:widowControl w:val="0"/>
              <w:autoSpaceDE w:val="0"/>
              <w:autoSpaceDN w:val="0"/>
              <w:adjustRightInd w:val="0"/>
              <w:spacing w:after="0" w:line="240" w:lineRule="auto"/>
              <w:jc w:val="center"/>
              <w:rPr>
                <w:rFonts w:cs="Times New Roman"/>
                <w:sz w:val="16"/>
                <w:szCs w:val="16"/>
                <w:lang w:val="en-US"/>
              </w:rPr>
            </w:pPr>
          </w:p>
        </w:tc>
        <w:tc>
          <w:tcPr>
            <w:tcW w:w="478" w:type="pct"/>
          </w:tcPr>
          <w:p w:rsidR="00511912" w:rsidRPr="00165E35" w:rsidRDefault="00511912" w:rsidP="00605664">
            <w:pPr>
              <w:keepNext/>
              <w:widowControl w:val="0"/>
              <w:autoSpaceDE w:val="0"/>
              <w:autoSpaceDN w:val="0"/>
              <w:adjustRightInd w:val="0"/>
              <w:spacing w:after="0" w:line="240" w:lineRule="auto"/>
              <w:jc w:val="center"/>
              <w:rPr>
                <w:rFonts w:cs="Times New Roman"/>
                <w:sz w:val="16"/>
                <w:szCs w:val="16"/>
                <w:lang w:val="en-US"/>
              </w:rPr>
            </w:pPr>
          </w:p>
        </w:tc>
        <w:tc>
          <w:tcPr>
            <w:tcW w:w="533" w:type="pct"/>
          </w:tcPr>
          <w:p w:rsidR="00511912" w:rsidRPr="00165E35" w:rsidRDefault="00016A31" w:rsidP="00605664">
            <w:pPr>
              <w:keepNext/>
              <w:widowControl w:val="0"/>
              <w:autoSpaceDE w:val="0"/>
              <w:autoSpaceDN w:val="0"/>
              <w:adjustRightInd w:val="0"/>
              <w:spacing w:after="0" w:line="240" w:lineRule="auto"/>
              <w:jc w:val="center"/>
              <w:rPr>
                <w:rFonts w:cs="Times New Roman"/>
                <w:sz w:val="16"/>
                <w:szCs w:val="16"/>
                <w:lang w:val="en-US"/>
              </w:rPr>
            </w:pPr>
            <w:r w:rsidRPr="00165E35">
              <w:rPr>
                <w:rFonts w:cs="Times New Roman"/>
                <w:sz w:val="16"/>
                <w:szCs w:val="16"/>
                <w:lang w:val="en-US"/>
              </w:rPr>
              <w:t>-0.042</w:t>
            </w:r>
          </w:p>
        </w:tc>
        <w:tc>
          <w:tcPr>
            <w:tcW w:w="478" w:type="pct"/>
          </w:tcPr>
          <w:p w:rsidR="00511912" w:rsidRPr="00165E35" w:rsidRDefault="00016A31" w:rsidP="00605664">
            <w:pPr>
              <w:keepNext/>
              <w:widowControl w:val="0"/>
              <w:autoSpaceDE w:val="0"/>
              <w:autoSpaceDN w:val="0"/>
              <w:adjustRightInd w:val="0"/>
              <w:spacing w:after="0" w:line="240" w:lineRule="auto"/>
              <w:jc w:val="center"/>
              <w:rPr>
                <w:rFonts w:cs="Times New Roman"/>
                <w:sz w:val="16"/>
                <w:szCs w:val="16"/>
                <w:lang w:val="en-US"/>
              </w:rPr>
            </w:pPr>
            <w:r w:rsidRPr="00165E35">
              <w:rPr>
                <w:rFonts w:cs="Times New Roman"/>
                <w:sz w:val="16"/>
                <w:szCs w:val="16"/>
                <w:lang w:val="en-US"/>
              </w:rPr>
              <w:t>(0.58</w:t>
            </w:r>
            <w:r w:rsidR="00511912" w:rsidRPr="00165E35">
              <w:rPr>
                <w:rFonts w:cs="Times New Roman"/>
                <w:sz w:val="16"/>
                <w:szCs w:val="16"/>
                <w:lang w:val="en-US"/>
              </w:rPr>
              <w:t>)</w:t>
            </w:r>
          </w:p>
        </w:tc>
      </w:tr>
      <w:tr w:rsidR="00511912" w:rsidRPr="00165E35" w:rsidTr="00511912">
        <w:tc>
          <w:tcPr>
            <w:tcW w:w="1967" w:type="pct"/>
          </w:tcPr>
          <w:p w:rsidR="00511912" w:rsidRPr="00DF59FE" w:rsidRDefault="00511912" w:rsidP="00605664">
            <w:pPr>
              <w:keepNext/>
              <w:widowControl w:val="0"/>
              <w:autoSpaceDE w:val="0"/>
              <w:autoSpaceDN w:val="0"/>
              <w:adjustRightInd w:val="0"/>
              <w:spacing w:after="0" w:line="240" w:lineRule="auto"/>
              <w:rPr>
                <w:rFonts w:cs="Times New Roman"/>
                <w:i/>
                <w:caps/>
                <w:sz w:val="16"/>
                <w:szCs w:val="16"/>
                <w:lang w:val="en-US"/>
              </w:rPr>
            </w:pPr>
            <w:r w:rsidRPr="00DF59FE">
              <w:rPr>
                <w:rFonts w:cs="Times New Roman"/>
                <w:i/>
                <w:caps/>
                <w:sz w:val="16"/>
                <w:szCs w:val="16"/>
                <w:lang w:val="en-US"/>
              </w:rPr>
              <w:t>Combined relative wage</w:t>
            </w:r>
            <w:r w:rsidR="00165E35" w:rsidRPr="00DF59FE">
              <w:rPr>
                <w:rFonts w:cs="Times New Roman"/>
                <w:i/>
                <w:caps/>
                <w:sz w:val="16"/>
                <w:szCs w:val="16"/>
                <w:lang w:val="en-US"/>
              </w:rPr>
              <w:t xml:space="preserve"> × </w:t>
            </w:r>
            <w:r w:rsidRPr="00DF59FE">
              <w:rPr>
                <w:rFonts w:cs="Times New Roman"/>
                <w:i/>
                <w:caps/>
                <w:sz w:val="16"/>
                <w:szCs w:val="16"/>
                <w:lang w:val="en-US"/>
              </w:rPr>
              <w:t>2001-2002</w:t>
            </w:r>
          </w:p>
        </w:tc>
        <w:tc>
          <w:tcPr>
            <w:tcW w:w="533" w:type="pct"/>
          </w:tcPr>
          <w:p w:rsidR="00511912" w:rsidRPr="00165E35" w:rsidRDefault="00511912" w:rsidP="00605664">
            <w:pPr>
              <w:keepNext/>
              <w:widowControl w:val="0"/>
              <w:autoSpaceDE w:val="0"/>
              <w:autoSpaceDN w:val="0"/>
              <w:adjustRightInd w:val="0"/>
              <w:spacing w:after="0" w:line="240" w:lineRule="auto"/>
              <w:jc w:val="center"/>
              <w:rPr>
                <w:rFonts w:cs="Times New Roman"/>
                <w:sz w:val="16"/>
                <w:szCs w:val="16"/>
                <w:lang w:val="en-US"/>
              </w:rPr>
            </w:pPr>
          </w:p>
        </w:tc>
        <w:tc>
          <w:tcPr>
            <w:tcW w:w="478" w:type="pct"/>
          </w:tcPr>
          <w:p w:rsidR="00511912" w:rsidRPr="00165E35" w:rsidRDefault="00511912" w:rsidP="00605664">
            <w:pPr>
              <w:keepNext/>
              <w:widowControl w:val="0"/>
              <w:autoSpaceDE w:val="0"/>
              <w:autoSpaceDN w:val="0"/>
              <w:adjustRightInd w:val="0"/>
              <w:spacing w:after="0" w:line="240" w:lineRule="auto"/>
              <w:jc w:val="center"/>
              <w:rPr>
                <w:rFonts w:cs="Times New Roman"/>
                <w:sz w:val="16"/>
                <w:szCs w:val="16"/>
                <w:lang w:val="en-US"/>
              </w:rPr>
            </w:pPr>
          </w:p>
        </w:tc>
        <w:tc>
          <w:tcPr>
            <w:tcW w:w="533" w:type="pct"/>
          </w:tcPr>
          <w:p w:rsidR="00511912" w:rsidRPr="00165E35" w:rsidRDefault="00511912" w:rsidP="00605664">
            <w:pPr>
              <w:keepNext/>
              <w:widowControl w:val="0"/>
              <w:autoSpaceDE w:val="0"/>
              <w:autoSpaceDN w:val="0"/>
              <w:adjustRightInd w:val="0"/>
              <w:spacing w:after="0" w:line="240" w:lineRule="auto"/>
              <w:jc w:val="center"/>
              <w:rPr>
                <w:rFonts w:cs="Times New Roman"/>
                <w:sz w:val="16"/>
                <w:szCs w:val="16"/>
                <w:lang w:val="en-US"/>
              </w:rPr>
            </w:pPr>
          </w:p>
        </w:tc>
        <w:tc>
          <w:tcPr>
            <w:tcW w:w="478" w:type="pct"/>
          </w:tcPr>
          <w:p w:rsidR="00511912" w:rsidRPr="00165E35" w:rsidRDefault="00511912" w:rsidP="00605664">
            <w:pPr>
              <w:keepNext/>
              <w:widowControl w:val="0"/>
              <w:autoSpaceDE w:val="0"/>
              <w:autoSpaceDN w:val="0"/>
              <w:adjustRightInd w:val="0"/>
              <w:spacing w:after="0" w:line="240" w:lineRule="auto"/>
              <w:jc w:val="center"/>
              <w:rPr>
                <w:rFonts w:cs="Times New Roman"/>
                <w:sz w:val="16"/>
                <w:szCs w:val="16"/>
                <w:lang w:val="en-US"/>
              </w:rPr>
            </w:pPr>
          </w:p>
        </w:tc>
        <w:tc>
          <w:tcPr>
            <w:tcW w:w="533" w:type="pct"/>
          </w:tcPr>
          <w:p w:rsidR="00511912" w:rsidRPr="00165E35" w:rsidRDefault="00016A31" w:rsidP="00605664">
            <w:pPr>
              <w:keepNext/>
              <w:widowControl w:val="0"/>
              <w:autoSpaceDE w:val="0"/>
              <w:autoSpaceDN w:val="0"/>
              <w:adjustRightInd w:val="0"/>
              <w:spacing w:after="0" w:line="240" w:lineRule="auto"/>
              <w:jc w:val="center"/>
              <w:rPr>
                <w:rFonts w:cs="Times New Roman"/>
                <w:sz w:val="16"/>
                <w:szCs w:val="16"/>
                <w:lang w:val="en-US"/>
              </w:rPr>
            </w:pPr>
            <w:r w:rsidRPr="00165E35">
              <w:rPr>
                <w:rFonts w:cs="Times New Roman"/>
                <w:sz w:val="16"/>
                <w:szCs w:val="16"/>
                <w:lang w:val="en-US"/>
              </w:rPr>
              <w:t>-0.028</w:t>
            </w:r>
          </w:p>
        </w:tc>
        <w:tc>
          <w:tcPr>
            <w:tcW w:w="478" w:type="pct"/>
          </w:tcPr>
          <w:p w:rsidR="00511912" w:rsidRPr="00165E35" w:rsidRDefault="00016A31" w:rsidP="00605664">
            <w:pPr>
              <w:keepNext/>
              <w:widowControl w:val="0"/>
              <w:autoSpaceDE w:val="0"/>
              <w:autoSpaceDN w:val="0"/>
              <w:adjustRightInd w:val="0"/>
              <w:spacing w:after="0" w:line="240" w:lineRule="auto"/>
              <w:jc w:val="center"/>
              <w:rPr>
                <w:rFonts w:cs="Times New Roman"/>
                <w:sz w:val="16"/>
                <w:szCs w:val="16"/>
                <w:lang w:val="en-US"/>
              </w:rPr>
            </w:pPr>
            <w:r w:rsidRPr="00165E35">
              <w:rPr>
                <w:rFonts w:cs="Times New Roman"/>
                <w:sz w:val="16"/>
                <w:szCs w:val="16"/>
                <w:lang w:val="en-US"/>
              </w:rPr>
              <w:t>(0.37</w:t>
            </w:r>
            <w:r w:rsidR="00511912" w:rsidRPr="00165E35">
              <w:rPr>
                <w:rFonts w:cs="Times New Roman"/>
                <w:sz w:val="16"/>
                <w:szCs w:val="16"/>
                <w:lang w:val="en-US"/>
              </w:rPr>
              <w:t>)</w:t>
            </w:r>
          </w:p>
        </w:tc>
      </w:tr>
      <w:tr w:rsidR="00511912" w:rsidRPr="00165E35" w:rsidTr="00511912">
        <w:tc>
          <w:tcPr>
            <w:tcW w:w="1967" w:type="pct"/>
          </w:tcPr>
          <w:p w:rsidR="00511912" w:rsidRPr="00DF59FE" w:rsidRDefault="00511912" w:rsidP="00605664">
            <w:pPr>
              <w:keepNext/>
              <w:widowControl w:val="0"/>
              <w:autoSpaceDE w:val="0"/>
              <w:autoSpaceDN w:val="0"/>
              <w:adjustRightInd w:val="0"/>
              <w:spacing w:after="0" w:line="240" w:lineRule="auto"/>
              <w:rPr>
                <w:rFonts w:cs="Times New Roman"/>
                <w:i/>
                <w:caps/>
                <w:sz w:val="16"/>
                <w:szCs w:val="16"/>
                <w:lang w:val="en-US"/>
              </w:rPr>
            </w:pPr>
            <w:r w:rsidRPr="00DF59FE">
              <w:rPr>
                <w:rFonts w:cs="Times New Roman"/>
                <w:i/>
                <w:caps/>
                <w:sz w:val="16"/>
                <w:szCs w:val="16"/>
                <w:lang w:val="en-US"/>
              </w:rPr>
              <w:t>Combined relative wage</w:t>
            </w:r>
            <w:r w:rsidR="00165E35" w:rsidRPr="00DF59FE">
              <w:rPr>
                <w:rFonts w:cs="Times New Roman"/>
                <w:i/>
                <w:caps/>
                <w:sz w:val="16"/>
                <w:szCs w:val="16"/>
                <w:lang w:val="en-US"/>
              </w:rPr>
              <w:t xml:space="preserve"> × </w:t>
            </w:r>
            <w:r w:rsidRPr="00DF59FE">
              <w:rPr>
                <w:rFonts w:cs="Times New Roman"/>
                <w:i/>
                <w:caps/>
                <w:sz w:val="16"/>
                <w:szCs w:val="16"/>
                <w:lang w:val="en-US"/>
              </w:rPr>
              <w:t>2002-2003</w:t>
            </w:r>
          </w:p>
        </w:tc>
        <w:tc>
          <w:tcPr>
            <w:tcW w:w="533" w:type="pct"/>
          </w:tcPr>
          <w:p w:rsidR="00511912" w:rsidRPr="00165E35" w:rsidRDefault="00511912" w:rsidP="00605664">
            <w:pPr>
              <w:keepNext/>
              <w:widowControl w:val="0"/>
              <w:autoSpaceDE w:val="0"/>
              <w:autoSpaceDN w:val="0"/>
              <w:adjustRightInd w:val="0"/>
              <w:spacing w:after="0" w:line="240" w:lineRule="auto"/>
              <w:jc w:val="center"/>
              <w:rPr>
                <w:rFonts w:cs="Times New Roman"/>
                <w:sz w:val="16"/>
                <w:szCs w:val="16"/>
                <w:lang w:val="en-US"/>
              </w:rPr>
            </w:pPr>
          </w:p>
        </w:tc>
        <w:tc>
          <w:tcPr>
            <w:tcW w:w="478" w:type="pct"/>
          </w:tcPr>
          <w:p w:rsidR="00511912" w:rsidRPr="00165E35" w:rsidRDefault="00511912" w:rsidP="00605664">
            <w:pPr>
              <w:keepNext/>
              <w:widowControl w:val="0"/>
              <w:autoSpaceDE w:val="0"/>
              <w:autoSpaceDN w:val="0"/>
              <w:adjustRightInd w:val="0"/>
              <w:spacing w:after="0" w:line="240" w:lineRule="auto"/>
              <w:jc w:val="center"/>
              <w:rPr>
                <w:rFonts w:cs="Times New Roman"/>
                <w:sz w:val="16"/>
                <w:szCs w:val="16"/>
                <w:lang w:val="en-US"/>
              </w:rPr>
            </w:pPr>
          </w:p>
        </w:tc>
        <w:tc>
          <w:tcPr>
            <w:tcW w:w="533" w:type="pct"/>
          </w:tcPr>
          <w:p w:rsidR="00511912" w:rsidRPr="00165E35" w:rsidRDefault="00511912" w:rsidP="00605664">
            <w:pPr>
              <w:keepNext/>
              <w:widowControl w:val="0"/>
              <w:autoSpaceDE w:val="0"/>
              <w:autoSpaceDN w:val="0"/>
              <w:adjustRightInd w:val="0"/>
              <w:spacing w:after="0" w:line="240" w:lineRule="auto"/>
              <w:jc w:val="center"/>
              <w:rPr>
                <w:rFonts w:cs="Times New Roman"/>
                <w:sz w:val="16"/>
                <w:szCs w:val="16"/>
                <w:lang w:val="en-US"/>
              </w:rPr>
            </w:pPr>
          </w:p>
        </w:tc>
        <w:tc>
          <w:tcPr>
            <w:tcW w:w="478" w:type="pct"/>
          </w:tcPr>
          <w:p w:rsidR="00511912" w:rsidRPr="00165E35" w:rsidRDefault="00511912" w:rsidP="00605664">
            <w:pPr>
              <w:keepNext/>
              <w:widowControl w:val="0"/>
              <w:autoSpaceDE w:val="0"/>
              <w:autoSpaceDN w:val="0"/>
              <w:adjustRightInd w:val="0"/>
              <w:spacing w:after="0" w:line="240" w:lineRule="auto"/>
              <w:jc w:val="center"/>
              <w:rPr>
                <w:rFonts w:cs="Times New Roman"/>
                <w:sz w:val="16"/>
                <w:szCs w:val="16"/>
                <w:lang w:val="en-US"/>
              </w:rPr>
            </w:pPr>
          </w:p>
        </w:tc>
        <w:tc>
          <w:tcPr>
            <w:tcW w:w="533" w:type="pct"/>
          </w:tcPr>
          <w:p w:rsidR="00511912" w:rsidRPr="00165E35" w:rsidRDefault="00016A31" w:rsidP="00605664">
            <w:pPr>
              <w:keepNext/>
              <w:widowControl w:val="0"/>
              <w:autoSpaceDE w:val="0"/>
              <w:autoSpaceDN w:val="0"/>
              <w:adjustRightInd w:val="0"/>
              <w:spacing w:after="0" w:line="240" w:lineRule="auto"/>
              <w:jc w:val="center"/>
              <w:rPr>
                <w:rFonts w:cs="Times New Roman"/>
                <w:sz w:val="16"/>
                <w:szCs w:val="16"/>
                <w:lang w:val="en-US"/>
              </w:rPr>
            </w:pPr>
            <w:r w:rsidRPr="00165E35">
              <w:rPr>
                <w:rFonts w:cs="Times New Roman"/>
                <w:sz w:val="16"/>
                <w:szCs w:val="16"/>
                <w:lang w:val="en-US"/>
              </w:rPr>
              <w:t>-0.019</w:t>
            </w:r>
          </w:p>
        </w:tc>
        <w:tc>
          <w:tcPr>
            <w:tcW w:w="478" w:type="pct"/>
          </w:tcPr>
          <w:p w:rsidR="00511912" w:rsidRPr="00165E35" w:rsidRDefault="00016A31" w:rsidP="00605664">
            <w:pPr>
              <w:keepNext/>
              <w:widowControl w:val="0"/>
              <w:autoSpaceDE w:val="0"/>
              <w:autoSpaceDN w:val="0"/>
              <w:adjustRightInd w:val="0"/>
              <w:spacing w:after="0" w:line="240" w:lineRule="auto"/>
              <w:jc w:val="center"/>
              <w:rPr>
                <w:rFonts w:cs="Times New Roman"/>
                <w:sz w:val="16"/>
                <w:szCs w:val="16"/>
                <w:lang w:val="en-US"/>
              </w:rPr>
            </w:pPr>
            <w:r w:rsidRPr="00165E35">
              <w:rPr>
                <w:rFonts w:cs="Times New Roman"/>
                <w:sz w:val="16"/>
                <w:szCs w:val="16"/>
                <w:lang w:val="en-US"/>
              </w:rPr>
              <w:t>(0.25</w:t>
            </w:r>
            <w:r w:rsidR="00511912" w:rsidRPr="00165E35">
              <w:rPr>
                <w:rFonts w:cs="Times New Roman"/>
                <w:sz w:val="16"/>
                <w:szCs w:val="16"/>
                <w:lang w:val="en-US"/>
              </w:rPr>
              <w:t>)</w:t>
            </w:r>
          </w:p>
        </w:tc>
      </w:tr>
      <w:tr w:rsidR="00511912" w:rsidRPr="00165E35" w:rsidTr="00511912">
        <w:tc>
          <w:tcPr>
            <w:tcW w:w="1967" w:type="pct"/>
          </w:tcPr>
          <w:p w:rsidR="00511912" w:rsidRPr="00DF59FE" w:rsidRDefault="00511912" w:rsidP="00605664">
            <w:pPr>
              <w:keepNext/>
              <w:widowControl w:val="0"/>
              <w:autoSpaceDE w:val="0"/>
              <w:autoSpaceDN w:val="0"/>
              <w:adjustRightInd w:val="0"/>
              <w:spacing w:after="0" w:line="240" w:lineRule="auto"/>
              <w:rPr>
                <w:rFonts w:cs="Times New Roman"/>
                <w:i/>
                <w:caps/>
                <w:sz w:val="16"/>
                <w:szCs w:val="16"/>
                <w:lang w:val="en-US"/>
              </w:rPr>
            </w:pPr>
            <w:r w:rsidRPr="00DF59FE">
              <w:rPr>
                <w:rFonts w:cs="Times New Roman"/>
                <w:i/>
                <w:caps/>
                <w:sz w:val="16"/>
                <w:szCs w:val="16"/>
                <w:lang w:val="en-US"/>
              </w:rPr>
              <w:t>Combined relative wage</w:t>
            </w:r>
            <w:r w:rsidR="00165E35" w:rsidRPr="00DF59FE">
              <w:rPr>
                <w:rFonts w:cs="Times New Roman"/>
                <w:i/>
                <w:caps/>
                <w:sz w:val="16"/>
                <w:szCs w:val="16"/>
                <w:lang w:val="en-US"/>
              </w:rPr>
              <w:t xml:space="preserve"> × </w:t>
            </w:r>
            <w:r w:rsidRPr="00DF59FE">
              <w:rPr>
                <w:rFonts w:cs="Times New Roman"/>
                <w:i/>
                <w:caps/>
                <w:sz w:val="16"/>
                <w:szCs w:val="16"/>
                <w:lang w:val="en-US"/>
              </w:rPr>
              <w:t>2003-2004</w:t>
            </w:r>
          </w:p>
        </w:tc>
        <w:tc>
          <w:tcPr>
            <w:tcW w:w="533" w:type="pct"/>
          </w:tcPr>
          <w:p w:rsidR="00511912" w:rsidRPr="00165E35" w:rsidRDefault="00511912" w:rsidP="00605664">
            <w:pPr>
              <w:keepNext/>
              <w:widowControl w:val="0"/>
              <w:autoSpaceDE w:val="0"/>
              <w:autoSpaceDN w:val="0"/>
              <w:adjustRightInd w:val="0"/>
              <w:spacing w:after="0" w:line="240" w:lineRule="auto"/>
              <w:jc w:val="center"/>
              <w:rPr>
                <w:rFonts w:cs="Times New Roman"/>
                <w:sz w:val="16"/>
                <w:szCs w:val="16"/>
                <w:lang w:val="en-US"/>
              </w:rPr>
            </w:pPr>
          </w:p>
        </w:tc>
        <w:tc>
          <w:tcPr>
            <w:tcW w:w="478" w:type="pct"/>
          </w:tcPr>
          <w:p w:rsidR="00511912" w:rsidRPr="00165E35" w:rsidRDefault="00511912" w:rsidP="00605664">
            <w:pPr>
              <w:keepNext/>
              <w:widowControl w:val="0"/>
              <w:autoSpaceDE w:val="0"/>
              <w:autoSpaceDN w:val="0"/>
              <w:adjustRightInd w:val="0"/>
              <w:spacing w:after="0" w:line="240" w:lineRule="auto"/>
              <w:jc w:val="center"/>
              <w:rPr>
                <w:rFonts w:cs="Times New Roman"/>
                <w:sz w:val="16"/>
                <w:szCs w:val="16"/>
                <w:lang w:val="en-US"/>
              </w:rPr>
            </w:pPr>
          </w:p>
        </w:tc>
        <w:tc>
          <w:tcPr>
            <w:tcW w:w="533" w:type="pct"/>
          </w:tcPr>
          <w:p w:rsidR="00511912" w:rsidRPr="00165E35" w:rsidRDefault="00511912" w:rsidP="00605664">
            <w:pPr>
              <w:keepNext/>
              <w:widowControl w:val="0"/>
              <w:autoSpaceDE w:val="0"/>
              <w:autoSpaceDN w:val="0"/>
              <w:adjustRightInd w:val="0"/>
              <w:spacing w:after="0" w:line="240" w:lineRule="auto"/>
              <w:jc w:val="center"/>
              <w:rPr>
                <w:rFonts w:cs="Times New Roman"/>
                <w:sz w:val="16"/>
                <w:szCs w:val="16"/>
                <w:lang w:val="en-US"/>
              </w:rPr>
            </w:pPr>
          </w:p>
        </w:tc>
        <w:tc>
          <w:tcPr>
            <w:tcW w:w="478" w:type="pct"/>
          </w:tcPr>
          <w:p w:rsidR="00511912" w:rsidRPr="00165E35" w:rsidRDefault="00511912" w:rsidP="00605664">
            <w:pPr>
              <w:keepNext/>
              <w:widowControl w:val="0"/>
              <w:autoSpaceDE w:val="0"/>
              <w:autoSpaceDN w:val="0"/>
              <w:adjustRightInd w:val="0"/>
              <w:spacing w:after="0" w:line="240" w:lineRule="auto"/>
              <w:jc w:val="center"/>
              <w:rPr>
                <w:rFonts w:cs="Times New Roman"/>
                <w:sz w:val="16"/>
                <w:szCs w:val="16"/>
                <w:lang w:val="en-US"/>
              </w:rPr>
            </w:pPr>
          </w:p>
        </w:tc>
        <w:tc>
          <w:tcPr>
            <w:tcW w:w="533" w:type="pct"/>
          </w:tcPr>
          <w:p w:rsidR="00511912" w:rsidRPr="00165E35" w:rsidRDefault="00016A31" w:rsidP="00605664">
            <w:pPr>
              <w:keepNext/>
              <w:widowControl w:val="0"/>
              <w:autoSpaceDE w:val="0"/>
              <w:autoSpaceDN w:val="0"/>
              <w:adjustRightInd w:val="0"/>
              <w:spacing w:after="0" w:line="240" w:lineRule="auto"/>
              <w:jc w:val="center"/>
              <w:rPr>
                <w:rFonts w:cs="Times New Roman"/>
                <w:sz w:val="16"/>
                <w:szCs w:val="16"/>
                <w:lang w:val="en-US"/>
              </w:rPr>
            </w:pPr>
            <w:r w:rsidRPr="00165E35">
              <w:rPr>
                <w:rFonts w:cs="Times New Roman"/>
                <w:sz w:val="16"/>
                <w:szCs w:val="16"/>
                <w:lang w:val="en-US"/>
              </w:rPr>
              <w:t>-0.013</w:t>
            </w:r>
          </w:p>
        </w:tc>
        <w:tc>
          <w:tcPr>
            <w:tcW w:w="478" w:type="pct"/>
          </w:tcPr>
          <w:p w:rsidR="00511912" w:rsidRPr="00165E35" w:rsidRDefault="00016A31" w:rsidP="00605664">
            <w:pPr>
              <w:keepNext/>
              <w:widowControl w:val="0"/>
              <w:autoSpaceDE w:val="0"/>
              <w:autoSpaceDN w:val="0"/>
              <w:adjustRightInd w:val="0"/>
              <w:spacing w:after="0" w:line="240" w:lineRule="auto"/>
              <w:jc w:val="center"/>
              <w:rPr>
                <w:rFonts w:cs="Times New Roman"/>
                <w:sz w:val="16"/>
                <w:szCs w:val="16"/>
                <w:lang w:val="en-US"/>
              </w:rPr>
            </w:pPr>
            <w:r w:rsidRPr="00165E35">
              <w:rPr>
                <w:rFonts w:cs="Times New Roman"/>
                <w:sz w:val="16"/>
                <w:szCs w:val="16"/>
                <w:lang w:val="en-US"/>
              </w:rPr>
              <w:t>(0.23</w:t>
            </w:r>
            <w:r w:rsidR="00511912" w:rsidRPr="00165E35">
              <w:rPr>
                <w:rFonts w:cs="Times New Roman"/>
                <w:sz w:val="16"/>
                <w:szCs w:val="16"/>
                <w:lang w:val="en-US"/>
              </w:rPr>
              <w:t>)</w:t>
            </w:r>
          </w:p>
        </w:tc>
      </w:tr>
      <w:tr w:rsidR="00511912" w:rsidRPr="00165E35" w:rsidTr="00511912">
        <w:tc>
          <w:tcPr>
            <w:tcW w:w="1967" w:type="pct"/>
          </w:tcPr>
          <w:p w:rsidR="00511912" w:rsidRPr="00DF59FE" w:rsidRDefault="00511912" w:rsidP="00605664">
            <w:pPr>
              <w:keepNext/>
              <w:widowControl w:val="0"/>
              <w:autoSpaceDE w:val="0"/>
              <w:autoSpaceDN w:val="0"/>
              <w:adjustRightInd w:val="0"/>
              <w:spacing w:after="0" w:line="240" w:lineRule="auto"/>
              <w:rPr>
                <w:rFonts w:cs="Times New Roman"/>
                <w:i/>
                <w:caps/>
                <w:sz w:val="16"/>
                <w:szCs w:val="16"/>
                <w:lang w:val="en-US"/>
              </w:rPr>
            </w:pPr>
            <w:r w:rsidRPr="00DF59FE">
              <w:rPr>
                <w:rFonts w:cs="Times New Roman"/>
                <w:i/>
                <w:caps/>
                <w:sz w:val="16"/>
                <w:szCs w:val="16"/>
                <w:lang w:val="en-US"/>
              </w:rPr>
              <w:t>Combined relative wage</w:t>
            </w:r>
            <w:r w:rsidR="00165E35" w:rsidRPr="00DF59FE">
              <w:rPr>
                <w:rFonts w:cs="Times New Roman"/>
                <w:i/>
                <w:caps/>
                <w:sz w:val="16"/>
                <w:szCs w:val="16"/>
                <w:lang w:val="en-US"/>
              </w:rPr>
              <w:t xml:space="preserve"> × </w:t>
            </w:r>
            <w:r w:rsidRPr="00DF59FE">
              <w:rPr>
                <w:rFonts w:cs="Times New Roman"/>
                <w:i/>
                <w:caps/>
                <w:sz w:val="16"/>
                <w:szCs w:val="16"/>
                <w:lang w:val="en-US"/>
              </w:rPr>
              <w:t>2004-2005</w:t>
            </w:r>
          </w:p>
        </w:tc>
        <w:tc>
          <w:tcPr>
            <w:tcW w:w="533" w:type="pct"/>
          </w:tcPr>
          <w:p w:rsidR="00511912" w:rsidRPr="00165E35" w:rsidRDefault="00511912" w:rsidP="00605664">
            <w:pPr>
              <w:keepNext/>
              <w:widowControl w:val="0"/>
              <w:autoSpaceDE w:val="0"/>
              <w:autoSpaceDN w:val="0"/>
              <w:adjustRightInd w:val="0"/>
              <w:spacing w:after="0" w:line="240" w:lineRule="auto"/>
              <w:jc w:val="center"/>
              <w:rPr>
                <w:rFonts w:cs="Times New Roman"/>
                <w:sz w:val="16"/>
                <w:szCs w:val="16"/>
                <w:lang w:val="en-US"/>
              </w:rPr>
            </w:pPr>
          </w:p>
        </w:tc>
        <w:tc>
          <w:tcPr>
            <w:tcW w:w="478" w:type="pct"/>
          </w:tcPr>
          <w:p w:rsidR="00511912" w:rsidRPr="00165E35" w:rsidRDefault="00511912" w:rsidP="00605664">
            <w:pPr>
              <w:keepNext/>
              <w:widowControl w:val="0"/>
              <w:autoSpaceDE w:val="0"/>
              <w:autoSpaceDN w:val="0"/>
              <w:adjustRightInd w:val="0"/>
              <w:spacing w:after="0" w:line="240" w:lineRule="auto"/>
              <w:jc w:val="center"/>
              <w:rPr>
                <w:rFonts w:cs="Times New Roman"/>
                <w:sz w:val="16"/>
                <w:szCs w:val="16"/>
                <w:lang w:val="en-US"/>
              </w:rPr>
            </w:pPr>
          </w:p>
        </w:tc>
        <w:tc>
          <w:tcPr>
            <w:tcW w:w="533" w:type="pct"/>
          </w:tcPr>
          <w:p w:rsidR="00511912" w:rsidRPr="00165E35" w:rsidRDefault="00511912" w:rsidP="00605664">
            <w:pPr>
              <w:keepNext/>
              <w:widowControl w:val="0"/>
              <w:autoSpaceDE w:val="0"/>
              <w:autoSpaceDN w:val="0"/>
              <w:adjustRightInd w:val="0"/>
              <w:spacing w:after="0" w:line="240" w:lineRule="auto"/>
              <w:jc w:val="center"/>
              <w:rPr>
                <w:rFonts w:cs="Times New Roman"/>
                <w:sz w:val="16"/>
                <w:szCs w:val="16"/>
                <w:lang w:val="en-US"/>
              </w:rPr>
            </w:pPr>
          </w:p>
        </w:tc>
        <w:tc>
          <w:tcPr>
            <w:tcW w:w="478" w:type="pct"/>
          </w:tcPr>
          <w:p w:rsidR="00511912" w:rsidRPr="00165E35" w:rsidRDefault="00511912" w:rsidP="00605664">
            <w:pPr>
              <w:keepNext/>
              <w:widowControl w:val="0"/>
              <w:autoSpaceDE w:val="0"/>
              <w:autoSpaceDN w:val="0"/>
              <w:adjustRightInd w:val="0"/>
              <w:spacing w:after="0" w:line="240" w:lineRule="auto"/>
              <w:jc w:val="center"/>
              <w:rPr>
                <w:rFonts w:cs="Times New Roman"/>
                <w:sz w:val="16"/>
                <w:szCs w:val="16"/>
                <w:lang w:val="en-US"/>
              </w:rPr>
            </w:pPr>
          </w:p>
        </w:tc>
        <w:tc>
          <w:tcPr>
            <w:tcW w:w="533" w:type="pct"/>
          </w:tcPr>
          <w:p w:rsidR="00511912" w:rsidRPr="00165E35" w:rsidRDefault="00016A31" w:rsidP="00605664">
            <w:pPr>
              <w:keepNext/>
              <w:widowControl w:val="0"/>
              <w:autoSpaceDE w:val="0"/>
              <w:autoSpaceDN w:val="0"/>
              <w:adjustRightInd w:val="0"/>
              <w:spacing w:after="0" w:line="240" w:lineRule="auto"/>
              <w:jc w:val="center"/>
              <w:rPr>
                <w:rFonts w:cs="Times New Roman"/>
                <w:sz w:val="16"/>
                <w:szCs w:val="16"/>
                <w:lang w:val="en-US"/>
              </w:rPr>
            </w:pPr>
            <w:r w:rsidRPr="00165E35">
              <w:rPr>
                <w:rFonts w:cs="Times New Roman"/>
                <w:sz w:val="16"/>
                <w:szCs w:val="16"/>
                <w:lang w:val="en-US"/>
              </w:rPr>
              <w:t>0.105</w:t>
            </w:r>
            <w:r w:rsidR="00511912" w:rsidRPr="00165E35">
              <w:rPr>
                <w:rFonts w:cs="Times New Roman"/>
                <w:sz w:val="16"/>
                <w:szCs w:val="16"/>
                <w:lang w:val="en-US"/>
              </w:rPr>
              <w:t>*</w:t>
            </w:r>
          </w:p>
        </w:tc>
        <w:tc>
          <w:tcPr>
            <w:tcW w:w="478" w:type="pct"/>
          </w:tcPr>
          <w:p w:rsidR="00511912" w:rsidRPr="00165E35" w:rsidRDefault="00016A31" w:rsidP="00605664">
            <w:pPr>
              <w:keepNext/>
              <w:widowControl w:val="0"/>
              <w:autoSpaceDE w:val="0"/>
              <w:autoSpaceDN w:val="0"/>
              <w:adjustRightInd w:val="0"/>
              <w:spacing w:after="0" w:line="240" w:lineRule="auto"/>
              <w:jc w:val="center"/>
              <w:rPr>
                <w:rFonts w:cs="Times New Roman"/>
                <w:sz w:val="16"/>
                <w:szCs w:val="16"/>
                <w:lang w:val="en-US"/>
              </w:rPr>
            </w:pPr>
            <w:r w:rsidRPr="00165E35">
              <w:rPr>
                <w:rFonts w:cs="Times New Roman"/>
                <w:sz w:val="16"/>
                <w:szCs w:val="16"/>
                <w:lang w:val="en-US"/>
              </w:rPr>
              <w:t>(1.7</w:t>
            </w:r>
            <w:r w:rsidR="00511912" w:rsidRPr="00165E35">
              <w:rPr>
                <w:rFonts w:cs="Times New Roman"/>
                <w:sz w:val="16"/>
                <w:szCs w:val="16"/>
                <w:lang w:val="en-US"/>
              </w:rPr>
              <w:t>6)</w:t>
            </w:r>
          </w:p>
        </w:tc>
      </w:tr>
      <w:tr w:rsidR="00511912" w:rsidRPr="00165E35" w:rsidTr="00511912">
        <w:tc>
          <w:tcPr>
            <w:tcW w:w="1967" w:type="pct"/>
          </w:tcPr>
          <w:p w:rsidR="00511912" w:rsidRPr="00DF59FE" w:rsidRDefault="00511912" w:rsidP="00605664">
            <w:pPr>
              <w:keepNext/>
              <w:widowControl w:val="0"/>
              <w:autoSpaceDE w:val="0"/>
              <w:autoSpaceDN w:val="0"/>
              <w:adjustRightInd w:val="0"/>
              <w:spacing w:after="0" w:line="240" w:lineRule="auto"/>
              <w:rPr>
                <w:rFonts w:cs="Times New Roman"/>
                <w:i/>
                <w:caps/>
                <w:sz w:val="16"/>
                <w:szCs w:val="16"/>
                <w:lang w:val="en-US"/>
              </w:rPr>
            </w:pPr>
            <w:r w:rsidRPr="00DF59FE">
              <w:rPr>
                <w:rFonts w:cs="Times New Roman"/>
                <w:i/>
                <w:caps/>
                <w:sz w:val="16"/>
                <w:szCs w:val="16"/>
                <w:lang w:val="en-US"/>
              </w:rPr>
              <w:t>Combined relative wage</w:t>
            </w:r>
            <w:r w:rsidR="00165E35" w:rsidRPr="00DF59FE">
              <w:rPr>
                <w:rFonts w:cs="Times New Roman"/>
                <w:i/>
                <w:caps/>
                <w:sz w:val="16"/>
                <w:szCs w:val="16"/>
                <w:lang w:val="en-US"/>
              </w:rPr>
              <w:t xml:space="preserve"> × </w:t>
            </w:r>
            <w:r w:rsidRPr="00DF59FE">
              <w:rPr>
                <w:rFonts w:cs="Times New Roman"/>
                <w:i/>
                <w:caps/>
                <w:sz w:val="16"/>
                <w:szCs w:val="16"/>
                <w:lang w:val="en-US"/>
              </w:rPr>
              <w:t>2005-2006</w:t>
            </w:r>
          </w:p>
        </w:tc>
        <w:tc>
          <w:tcPr>
            <w:tcW w:w="533" w:type="pct"/>
          </w:tcPr>
          <w:p w:rsidR="00511912" w:rsidRPr="00165E35" w:rsidRDefault="00511912" w:rsidP="00605664">
            <w:pPr>
              <w:keepNext/>
              <w:widowControl w:val="0"/>
              <w:autoSpaceDE w:val="0"/>
              <w:autoSpaceDN w:val="0"/>
              <w:adjustRightInd w:val="0"/>
              <w:spacing w:after="0" w:line="240" w:lineRule="auto"/>
              <w:jc w:val="center"/>
              <w:rPr>
                <w:rFonts w:cs="Times New Roman"/>
                <w:sz w:val="16"/>
                <w:szCs w:val="16"/>
                <w:lang w:val="en-US"/>
              </w:rPr>
            </w:pPr>
          </w:p>
        </w:tc>
        <w:tc>
          <w:tcPr>
            <w:tcW w:w="478" w:type="pct"/>
          </w:tcPr>
          <w:p w:rsidR="00511912" w:rsidRPr="00165E35" w:rsidRDefault="00511912" w:rsidP="00605664">
            <w:pPr>
              <w:keepNext/>
              <w:widowControl w:val="0"/>
              <w:autoSpaceDE w:val="0"/>
              <w:autoSpaceDN w:val="0"/>
              <w:adjustRightInd w:val="0"/>
              <w:spacing w:after="0" w:line="240" w:lineRule="auto"/>
              <w:jc w:val="center"/>
              <w:rPr>
                <w:rFonts w:cs="Times New Roman"/>
                <w:sz w:val="16"/>
                <w:szCs w:val="16"/>
                <w:lang w:val="en-US"/>
              </w:rPr>
            </w:pPr>
          </w:p>
        </w:tc>
        <w:tc>
          <w:tcPr>
            <w:tcW w:w="533" w:type="pct"/>
          </w:tcPr>
          <w:p w:rsidR="00511912" w:rsidRPr="00165E35" w:rsidRDefault="00511912" w:rsidP="00605664">
            <w:pPr>
              <w:keepNext/>
              <w:widowControl w:val="0"/>
              <w:autoSpaceDE w:val="0"/>
              <w:autoSpaceDN w:val="0"/>
              <w:adjustRightInd w:val="0"/>
              <w:spacing w:after="0" w:line="240" w:lineRule="auto"/>
              <w:jc w:val="center"/>
              <w:rPr>
                <w:rFonts w:cs="Times New Roman"/>
                <w:sz w:val="16"/>
                <w:szCs w:val="16"/>
                <w:lang w:val="en-US"/>
              </w:rPr>
            </w:pPr>
          </w:p>
        </w:tc>
        <w:tc>
          <w:tcPr>
            <w:tcW w:w="478" w:type="pct"/>
          </w:tcPr>
          <w:p w:rsidR="00511912" w:rsidRPr="00165E35" w:rsidRDefault="00511912" w:rsidP="00605664">
            <w:pPr>
              <w:keepNext/>
              <w:widowControl w:val="0"/>
              <w:autoSpaceDE w:val="0"/>
              <w:autoSpaceDN w:val="0"/>
              <w:adjustRightInd w:val="0"/>
              <w:spacing w:after="0" w:line="240" w:lineRule="auto"/>
              <w:jc w:val="center"/>
              <w:rPr>
                <w:rFonts w:cs="Times New Roman"/>
                <w:sz w:val="16"/>
                <w:szCs w:val="16"/>
                <w:lang w:val="en-US"/>
              </w:rPr>
            </w:pPr>
          </w:p>
        </w:tc>
        <w:tc>
          <w:tcPr>
            <w:tcW w:w="533" w:type="pct"/>
          </w:tcPr>
          <w:p w:rsidR="00511912" w:rsidRPr="00165E35" w:rsidRDefault="00016A31" w:rsidP="00605664">
            <w:pPr>
              <w:keepNext/>
              <w:widowControl w:val="0"/>
              <w:autoSpaceDE w:val="0"/>
              <w:autoSpaceDN w:val="0"/>
              <w:adjustRightInd w:val="0"/>
              <w:spacing w:after="0" w:line="240" w:lineRule="auto"/>
              <w:jc w:val="center"/>
              <w:rPr>
                <w:rFonts w:cs="Times New Roman"/>
                <w:sz w:val="16"/>
                <w:szCs w:val="16"/>
                <w:lang w:val="en-US"/>
              </w:rPr>
            </w:pPr>
            <w:r w:rsidRPr="00165E35">
              <w:rPr>
                <w:rFonts w:cs="Times New Roman"/>
                <w:sz w:val="16"/>
                <w:szCs w:val="16"/>
                <w:lang w:val="en-US"/>
              </w:rPr>
              <w:t>0.125</w:t>
            </w:r>
            <w:r w:rsidR="00511912" w:rsidRPr="00165E35">
              <w:rPr>
                <w:rFonts w:cs="Times New Roman"/>
                <w:sz w:val="16"/>
                <w:szCs w:val="16"/>
                <w:lang w:val="en-US"/>
              </w:rPr>
              <w:t>**</w:t>
            </w:r>
          </w:p>
        </w:tc>
        <w:tc>
          <w:tcPr>
            <w:tcW w:w="478" w:type="pct"/>
          </w:tcPr>
          <w:p w:rsidR="00511912" w:rsidRPr="00165E35" w:rsidRDefault="00016A31" w:rsidP="00605664">
            <w:pPr>
              <w:keepNext/>
              <w:widowControl w:val="0"/>
              <w:autoSpaceDE w:val="0"/>
              <w:autoSpaceDN w:val="0"/>
              <w:adjustRightInd w:val="0"/>
              <w:spacing w:after="0" w:line="240" w:lineRule="auto"/>
              <w:jc w:val="center"/>
              <w:rPr>
                <w:rFonts w:cs="Times New Roman"/>
                <w:sz w:val="16"/>
                <w:szCs w:val="16"/>
                <w:lang w:val="en-US"/>
              </w:rPr>
            </w:pPr>
            <w:r w:rsidRPr="00165E35">
              <w:rPr>
                <w:rFonts w:cs="Times New Roman"/>
                <w:sz w:val="16"/>
                <w:szCs w:val="16"/>
                <w:lang w:val="en-US"/>
              </w:rPr>
              <w:t>(2.23</w:t>
            </w:r>
            <w:r w:rsidR="00511912" w:rsidRPr="00165E35">
              <w:rPr>
                <w:rFonts w:cs="Times New Roman"/>
                <w:sz w:val="16"/>
                <w:szCs w:val="16"/>
                <w:lang w:val="en-US"/>
              </w:rPr>
              <w:t>)</w:t>
            </w:r>
          </w:p>
        </w:tc>
      </w:tr>
      <w:tr w:rsidR="00511912" w:rsidRPr="00165E35" w:rsidTr="00511912">
        <w:tc>
          <w:tcPr>
            <w:tcW w:w="1967" w:type="pct"/>
          </w:tcPr>
          <w:p w:rsidR="00511912" w:rsidRPr="00DF59FE" w:rsidRDefault="00511912" w:rsidP="00605664">
            <w:pPr>
              <w:keepNext/>
              <w:widowControl w:val="0"/>
              <w:autoSpaceDE w:val="0"/>
              <w:autoSpaceDN w:val="0"/>
              <w:adjustRightInd w:val="0"/>
              <w:spacing w:after="0" w:line="240" w:lineRule="auto"/>
              <w:rPr>
                <w:rFonts w:cs="Times New Roman"/>
                <w:i/>
                <w:caps/>
                <w:sz w:val="16"/>
                <w:szCs w:val="16"/>
                <w:lang w:val="en-US"/>
              </w:rPr>
            </w:pPr>
            <w:r w:rsidRPr="00DF59FE">
              <w:rPr>
                <w:rFonts w:cs="Times New Roman"/>
                <w:i/>
                <w:caps/>
                <w:sz w:val="16"/>
                <w:szCs w:val="16"/>
                <w:lang w:val="en-US"/>
              </w:rPr>
              <w:t>Combined relative wage</w:t>
            </w:r>
            <w:r w:rsidR="00165E35" w:rsidRPr="00DF59FE">
              <w:rPr>
                <w:rFonts w:cs="Times New Roman"/>
                <w:i/>
                <w:caps/>
                <w:sz w:val="16"/>
                <w:szCs w:val="16"/>
                <w:lang w:val="en-US"/>
              </w:rPr>
              <w:t xml:space="preserve"> × </w:t>
            </w:r>
            <w:r w:rsidRPr="00DF59FE">
              <w:rPr>
                <w:rFonts w:cs="Times New Roman"/>
                <w:i/>
                <w:caps/>
                <w:sz w:val="16"/>
                <w:szCs w:val="16"/>
                <w:lang w:val="en-US"/>
              </w:rPr>
              <w:t>2006-2007</w:t>
            </w:r>
          </w:p>
        </w:tc>
        <w:tc>
          <w:tcPr>
            <w:tcW w:w="533" w:type="pct"/>
          </w:tcPr>
          <w:p w:rsidR="00511912" w:rsidRPr="00165E35" w:rsidRDefault="00511912" w:rsidP="00605664">
            <w:pPr>
              <w:keepNext/>
              <w:widowControl w:val="0"/>
              <w:autoSpaceDE w:val="0"/>
              <w:autoSpaceDN w:val="0"/>
              <w:adjustRightInd w:val="0"/>
              <w:spacing w:after="0" w:line="240" w:lineRule="auto"/>
              <w:jc w:val="center"/>
              <w:rPr>
                <w:rFonts w:cs="Times New Roman"/>
                <w:sz w:val="16"/>
                <w:szCs w:val="16"/>
                <w:lang w:val="en-US"/>
              </w:rPr>
            </w:pPr>
          </w:p>
        </w:tc>
        <w:tc>
          <w:tcPr>
            <w:tcW w:w="478" w:type="pct"/>
          </w:tcPr>
          <w:p w:rsidR="00511912" w:rsidRPr="00165E35" w:rsidRDefault="00511912" w:rsidP="00605664">
            <w:pPr>
              <w:keepNext/>
              <w:widowControl w:val="0"/>
              <w:autoSpaceDE w:val="0"/>
              <w:autoSpaceDN w:val="0"/>
              <w:adjustRightInd w:val="0"/>
              <w:spacing w:after="0" w:line="240" w:lineRule="auto"/>
              <w:jc w:val="center"/>
              <w:rPr>
                <w:rFonts w:cs="Times New Roman"/>
                <w:sz w:val="16"/>
                <w:szCs w:val="16"/>
                <w:lang w:val="en-US"/>
              </w:rPr>
            </w:pPr>
          </w:p>
        </w:tc>
        <w:tc>
          <w:tcPr>
            <w:tcW w:w="533" w:type="pct"/>
          </w:tcPr>
          <w:p w:rsidR="00511912" w:rsidRPr="00165E35" w:rsidRDefault="00511912" w:rsidP="00605664">
            <w:pPr>
              <w:keepNext/>
              <w:widowControl w:val="0"/>
              <w:autoSpaceDE w:val="0"/>
              <w:autoSpaceDN w:val="0"/>
              <w:adjustRightInd w:val="0"/>
              <w:spacing w:after="0" w:line="240" w:lineRule="auto"/>
              <w:jc w:val="center"/>
              <w:rPr>
                <w:rFonts w:cs="Times New Roman"/>
                <w:sz w:val="16"/>
                <w:szCs w:val="16"/>
                <w:lang w:val="en-US"/>
              </w:rPr>
            </w:pPr>
          </w:p>
        </w:tc>
        <w:tc>
          <w:tcPr>
            <w:tcW w:w="478" w:type="pct"/>
          </w:tcPr>
          <w:p w:rsidR="00511912" w:rsidRPr="00165E35" w:rsidRDefault="00511912" w:rsidP="00605664">
            <w:pPr>
              <w:keepNext/>
              <w:widowControl w:val="0"/>
              <w:autoSpaceDE w:val="0"/>
              <w:autoSpaceDN w:val="0"/>
              <w:adjustRightInd w:val="0"/>
              <w:spacing w:after="0" w:line="240" w:lineRule="auto"/>
              <w:jc w:val="center"/>
              <w:rPr>
                <w:rFonts w:cs="Times New Roman"/>
                <w:sz w:val="16"/>
                <w:szCs w:val="16"/>
                <w:lang w:val="en-US"/>
              </w:rPr>
            </w:pPr>
          </w:p>
        </w:tc>
        <w:tc>
          <w:tcPr>
            <w:tcW w:w="533" w:type="pct"/>
          </w:tcPr>
          <w:p w:rsidR="00511912" w:rsidRPr="00165E35" w:rsidRDefault="00016A31" w:rsidP="00605664">
            <w:pPr>
              <w:keepNext/>
              <w:widowControl w:val="0"/>
              <w:autoSpaceDE w:val="0"/>
              <w:autoSpaceDN w:val="0"/>
              <w:adjustRightInd w:val="0"/>
              <w:spacing w:after="0" w:line="240" w:lineRule="auto"/>
              <w:jc w:val="center"/>
              <w:rPr>
                <w:rFonts w:cs="Times New Roman"/>
                <w:sz w:val="16"/>
                <w:szCs w:val="16"/>
                <w:lang w:val="en-US"/>
              </w:rPr>
            </w:pPr>
            <w:r w:rsidRPr="00165E35">
              <w:rPr>
                <w:rFonts w:cs="Times New Roman"/>
                <w:sz w:val="16"/>
                <w:szCs w:val="16"/>
                <w:lang w:val="en-US"/>
              </w:rPr>
              <w:t>0.110</w:t>
            </w:r>
            <w:r w:rsidR="00511912" w:rsidRPr="00165E35">
              <w:rPr>
                <w:rFonts w:cs="Times New Roman"/>
                <w:sz w:val="16"/>
                <w:szCs w:val="16"/>
                <w:lang w:val="en-US"/>
              </w:rPr>
              <w:t>**</w:t>
            </w:r>
          </w:p>
        </w:tc>
        <w:tc>
          <w:tcPr>
            <w:tcW w:w="478" w:type="pct"/>
          </w:tcPr>
          <w:p w:rsidR="00511912" w:rsidRPr="00165E35" w:rsidRDefault="00016A31" w:rsidP="00605664">
            <w:pPr>
              <w:keepNext/>
              <w:widowControl w:val="0"/>
              <w:autoSpaceDE w:val="0"/>
              <w:autoSpaceDN w:val="0"/>
              <w:adjustRightInd w:val="0"/>
              <w:spacing w:after="0" w:line="240" w:lineRule="auto"/>
              <w:jc w:val="center"/>
              <w:rPr>
                <w:rFonts w:cs="Times New Roman"/>
                <w:sz w:val="16"/>
                <w:szCs w:val="16"/>
                <w:lang w:val="en-US"/>
              </w:rPr>
            </w:pPr>
            <w:r w:rsidRPr="00165E35">
              <w:rPr>
                <w:rFonts w:cs="Times New Roman"/>
                <w:sz w:val="16"/>
                <w:szCs w:val="16"/>
                <w:lang w:val="en-US"/>
              </w:rPr>
              <w:t>(2.02</w:t>
            </w:r>
            <w:r w:rsidR="00511912" w:rsidRPr="00165E35">
              <w:rPr>
                <w:rFonts w:cs="Times New Roman"/>
                <w:sz w:val="16"/>
                <w:szCs w:val="16"/>
                <w:lang w:val="en-US"/>
              </w:rPr>
              <w:t>)</w:t>
            </w:r>
          </w:p>
        </w:tc>
      </w:tr>
      <w:tr w:rsidR="00511912" w:rsidRPr="00165E35" w:rsidTr="00511912">
        <w:tc>
          <w:tcPr>
            <w:tcW w:w="1967" w:type="pct"/>
          </w:tcPr>
          <w:p w:rsidR="00511912" w:rsidRPr="00DF59FE" w:rsidRDefault="00511912" w:rsidP="00605664">
            <w:pPr>
              <w:keepNext/>
              <w:widowControl w:val="0"/>
              <w:autoSpaceDE w:val="0"/>
              <w:autoSpaceDN w:val="0"/>
              <w:adjustRightInd w:val="0"/>
              <w:spacing w:after="0" w:line="240" w:lineRule="auto"/>
              <w:rPr>
                <w:rFonts w:cs="Times New Roman"/>
                <w:i/>
                <w:caps/>
                <w:sz w:val="16"/>
                <w:szCs w:val="16"/>
                <w:lang w:val="en-US"/>
              </w:rPr>
            </w:pPr>
            <w:r w:rsidRPr="00DF59FE">
              <w:rPr>
                <w:rFonts w:cs="Times New Roman"/>
                <w:i/>
                <w:caps/>
                <w:sz w:val="16"/>
                <w:szCs w:val="16"/>
                <w:lang w:val="en-US"/>
              </w:rPr>
              <w:t>Combined relative wage</w:t>
            </w:r>
            <w:r w:rsidR="00165E35" w:rsidRPr="00DF59FE">
              <w:rPr>
                <w:rFonts w:cs="Times New Roman"/>
                <w:i/>
                <w:caps/>
                <w:sz w:val="16"/>
                <w:szCs w:val="16"/>
                <w:lang w:val="en-US"/>
              </w:rPr>
              <w:t xml:space="preserve"> × </w:t>
            </w:r>
            <w:r w:rsidRPr="00DF59FE">
              <w:rPr>
                <w:rFonts w:cs="Times New Roman"/>
                <w:i/>
                <w:caps/>
                <w:sz w:val="16"/>
                <w:szCs w:val="16"/>
                <w:lang w:val="en-US"/>
              </w:rPr>
              <w:t>2007-2008</w:t>
            </w:r>
          </w:p>
        </w:tc>
        <w:tc>
          <w:tcPr>
            <w:tcW w:w="533" w:type="pct"/>
          </w:tcPr>
          <w:p w:rsidR="00511912" w:rsidRPr="00165E35" w:rsidRDefault="00511912" w:rsidP="00605664">
            <w:pPr>
              <w:keepNext/>
              <w:widowControl w:val="0"/>
              <w:autoSpaceDE w:val="0"/>
              <w:autoSpaceDN w:val="0"/>
              <w:adjustRightInd w:val="0"/>
              <w:spacing w:after="0" w:line="240" w:lineRule="auto"/>
              <w:jc w:val="center"/>
              <w:rPr>
                <w:rFonts w:cs="Times New Roman"/>
                <w:sz w:val="16"/>
                <w:szCs w:val="16"/>
                <w:lang w:val="en-US"/>
              </w:rPr>
            </w:pPr>
          </w:p>
        </w:tc>
        <w:tc>
          <w:tcPr>
            <w:tcW w:w="478" w:type="pct"/>
          </w:tcPr>
          <w:p w:rsidR="00511912" w:rsidRPr="00165E35" w:rsidRDefault="00511912" w:rsidP="00605664">
            <w:pPr>
              <w:keepNext/>
              <w:widowControl w:val="0"/>
              <w:autoSpaceDE w:val="0"/>
              <w:autoSpaceDN w:val="0"/>
              <w:adjustRightInd w:val="0"/>
              <w:spacing w:after="0" w:line="240" w:lineRule="auto"/>
              <w:jc w:val="center"/>
              <w:rPr>
                <w:rFonts w:cs="Times New Roman"/>
                <w:sz w:val="16"/>
                <w:szCs w:val="16"/>
                <w:lang w:val="en-US"/>
              </w:rPr>
            </w:pPr>
          </w:p>
        </w:tc>
        <w:tc>
          <w:tcPr>
            <w:tcW w:w="533" w:type="pct"/>
          </w:tcPr>
          <w:p w:rsidR="00511912" w:rsidRPr="00165E35" w:rsidRDefault="00511912" w:rsidP="00605664">
            <w:pPr>
              <w:keepNext/>
              <w:widowControl w:val="0"/>
              <w:autoSpaceDE w:val="0"/>
              <w:autoSpaceDN w:val="0"/>
              <w:adjustRightInd w:val="0"/>
              <w:spacing w:after="0" w:line="240" w:lineRule="auto"/>
              <w:jc w:val="center"/>
              <w:rPr>
                <w:rFonts w:cs="Times New Roman"/>
                <w:sz w:val="16"/>
                <w:szCs w:val="16"/>
                <w:lang w:val="en-US"/>
              </w:rPr>
            </w:pPr>
          </w:p>
        </w:tc>
        <w:tc>
          <w:tcPr>
            <w:tcW w:w="478" w:type="pct"/>
          </w:tcPr>
          <w:p w:rsidR="00511912" w:rsidRPr="00165E35" w:rsidRDefault="00511912" w:rsidP="00605664">
            <w:pPr>
              <w:keepNext/>
              <w:widowControl w:val="0"/>
              <w:autoSpaceDE w:val="0"/>
              <w:autoSpaceDN w:val="0"/>
              <w:adjustRightInd w:val="0"/>
              <w:spacing w:after="0" w:line="240" w:lineRule="auto"/>
              <w:jc w:val="center"/>
              <w:rPr>
                <w:rFonts w:cs="Times New Roman"/>
                <w:sz w:val="16"/>
                <w:szCs w:val="16"/>
                <w:lang w:val="en-US"/>
              </w:rPr>
            </w:pPr>
          </w:p>
        </w:tc>
        <w:tc>
          <w:tcPr>
            <w:tcW w:w="533" w:type="pct"/>
          </w:tcPr>
          <w:p w:rsidR="00511912" w:rsidRPr="00165E35" w:rsidRDefault="00016A31" w:rsidP="00605664">
            <w:pPr>
              <w:keepNext/>
              <w:widowControl w:val="0"/>
              <w:autoSpaceDE w:val="0"/>
              <w:autoSpaceDN w:val="0"/>
              <w:adjustRightInd w:val="0"/>
              <w:spacing w:after="0" w:line="240" w:lineRule="auto"/>
              <w:jc w:val="center"/>
              <w:rPr>
                <w:rFonts w:cs="Times New Roman"/>
                <w:sz w:val="16"/>
                <w:szCs w:val="16"/>
                <w:lang w:val="en-US"/>
              </w:rPr>
            </w:pPr>
            <w:r w:rsidRPr="00165E35">
              <w:rPr>
                <w:rFonts w:cs="Times New Roman"/>
                <w:sz w:val="16"/>
                <w:szCs w:val="16"/>
                <w:lang w:val="en-US"/>
              </w:rPr>
              <w:t>0.110</w:t>
            </w:r>
            <w:r w:rsidR="00511912" w:rsidRPr="00165E35">
              <w:rPr>
                <w:rFonts w:cs="Times New Roman"/>
                <w:sz w:val="16"/>
                <w:szCs w:val="16"/>
                <w:lang w:val="en-US"/>
              </w:rPr>
              <w:t>**</w:t>
            </w:r>
          </w:p>
        </w:tc>
        <w:tc>
          <w:tcPr>
            <w:tcW w:w="478" w:type="pct"/>
          </w:tcPr>
          <w:p w:rsidR="00511912" w:rsidRPr="00165E35" w:rsidRDefault="00016A31" w:rsidP="00605664">
            <w:pPr>
              <w:keepNext/>
              <w:widowControl w:val="0"/>
              <w:autoSpaceDE w:val="0"/>
              <w:autoSpaceDN w:val="0"/>
              <w:adjustRightInd w:val="0"/>
              <w:spacing w:after="0" w:line="240" w:lineRule="auto"/>
              <w:jc w:val="center"/>
              <w:rPr>
                <w:rFonts w:cs="Times New Roman"/>
                <w:sz w:val="16"/>
                <w:szCs w:val="16"/>
                <w:lang w:val="en-US"/>
              </w:rPr>
            </w:pPr>
            <w:r w:rsidRPr="00165E35">
              <w:rPr>
                <w:rFonts w:cs="Times New Roman"/>
                <w:sz w:val="16"/>
                <w:szCs w:val="16"/>
                <w:lang w:val="en-US"/>
              </w:rPr>
              <w:t>(2.33</w:t>
            </w:r>
            <w:r w:rsidR="00511912" w:rsidRPr="00165E35">
              <w:rPr>
                <w:rFonts w:cs="Times New Roman"/>
                <w:sz w:val="16"/>
                <w:szCs w:val="16"/>
                <w:lang w:val="en-US"/>
              </w:rPr>
              <w:t>)</w:t>
            </w:r>
          </w:p>
        </w:tc>
      </w:tr>
      <w:tr w:rsidR="00511912" w:rsidRPr="00165E35" w:rsidTr="00511912">
        <w:tc>
          <w:tcPr>
            <w:tcW w:w="1967" w:type="pct"/>
          </w:tcPr>
          <w:p w:rsidR="00511912" w:rsidRPr="00DF59FE" w:rsidRDefault="00511912" w:rsidP="00605664">
            <w:pPr>
              <w:keepNext/>
              <w:widowControl w:val="0"/>
              <w:autoSpaceDE w:val="0"/>
              <w:autoSpaceDN w:val="0"/>
              <w:adjustRightInd w:val="0"/>
              <w:spacing w:after="0" w:line="240" w:lineRule="auto"/>
              <w:rPr>
                <w:rFonts w:cs="Times New Roman"/>
                <w:i/>
                <w:caps/>
                <w:sz w:val="16"/>
                <w:szCs w:val="16"/>
                <w:lang w:val="en-US"/>
              </w:rPr>
            </w:pPr>
            <w:r w:rsidRPr="00DF59FE">
              <w:rPr>
                <w:rFonts w:cs="Times New Roman"/>
                <w:i/>
                <w:caps/>
                <w:sz w:val="16"/>
                <w:szCs w:val="16"/>
                <w:lang w:val="en-US"/>
              </w:rPr>
              <w:t>Constant</w:t>
            </w:r>
          </w:p>
        </w:tc>
        <w:tc>
          <w:tcPr>
            <w:tcW w:w="533" w:type="pct"/>
          </w:tcPr>
          <w:p w:rsidR="00511912" w:rsidRPr="00165E35" w:rsidRDefault="00046215" w:rsidP="00805450">
            <w:pPr>
              <w:keepNext/>
              <w:widowControl w:val="0"/>
              <w:autoSpaceDE w:val="0"/>
              <w:autoSpaceDN w:val="0"/>
              <w:adjustRightInd w:val="0"/>
              <w:spacing w:after="0" w:line="240" w:lineRule="auto"/>
              <w:jc w:val="center"/>
              <w:rPr>
                <w:rFonts w:cs="Times New Roman"/>
                <w:sz w:val="16"/>
                <w:szCs w:val="16"/>
                <w:lang w:val="en-US"/>
              </w:rPr>
            </w:pPr>
            <w:r w:rsidRPr="00165E35">
              <w:rPr>
                <w:rFonts w:cs="Times New Roman"/>
                <w:sz w:val="16"/>
                <w:szCs w:val="16"/>
                <w:lang w:val="en-US"/>
              </w:rPr>
              <w:t>13.</w:t>
            </w:r>
            <w:r w:rsidR="00805450">
              <w:rPr>
                <w:rFonts w:cs="Times New Roman"/>
                <w:sz w:val="16"/>
                <w:szCs w:val="16"/>
                <w:lang w:val="en-US"/>
              </w:rPr>
              <w:t>791</w:t>
            </w:r>
            <w:r w:rsidR="00511912" w:rsidRPr="00165E35">
              <w:rPr>
                <w:rFonts w:cs="Times New Roman"/>
                <w:sz w:val="16"/>
                <w:szCs w:val="16"/>
                <w:lang w:val="en-US"/>
              </w:rPr>
              <w:t>***</w:t>
            </w:r>
          </w:p>
        </w:tc>
        <w:tc>
          <w:tcPr>
            <w:tcW w:w="478" w:type="pct"/>
          </w:tcPr>
          <w:p w:rsidR="00511912" w:rsidRPr="00165E35" w:rsidRDefault="00046215" w:rsidP="00805450">
            <w:pPr>
              <w:keepNext/>
              <w:widowControl w:val="0"/>
              <w:autoSpaceDE w:val="0"/>
              <w:autoSpaceDN w:val="0"/>
              <w:adjustRightInd w:val="0"/>
              <w:spacing w:after="0" w:line="240" w:lineRule="auto"/>
              <w:jc w:val="center"/>
              <w:rPr>
                <w:rFonts w:cs="Times New Roman"/>
                <w:sz w:val="16"/>
                <w:szCs w:val="16"/>
                <w:lang w:val="en-US"/>
              </w:rPr>
            </w:pPr>
            <w:r w:rsidRPr="00165E35">
              <w:rPr>
                <w:rFonts w:cs="Times New Roman"/>
                <w:sz w:val="16"/>
                <w:szCs w:val="16"/>
                <w:lang w:val="en-US"/>
              </w:rPr>
              <w:t>(</w:t>
            </w:r>
            <w:r w:rsidR="00805450">
              <w:rPr>
                <w:rFonts w:cs="Times New Roman"/>
                <w:sz w:val="16"/>
                <w:szCs w:val="16"/>
                <w:lang w:val="en-US"/>
              </w:rPr>
              <w:t>75</w:t>
            </w:r>
            <w:r w:rsidRPr="00165E35">
              <w:rPr>
                <w:rFonts w:cs="Times New Roman"/>
                <w:sz w:val="16"/>
                <w:szCs w:val="16"/>
                <w:lang w:val="en-US"/>
              </w:rPr>
              <w:t>.60</w:t>
            </w:r>
            <w:r w:rsidR="00511912" w:rsidRPr="00165E35">
              <w:rPr>
                <w:rFonts w:cs="Times New Roman"/>
                <w:sz w:val="16"/>
                <w:szCs w:val="16"/>
                <w:lang w:val="en-US"/>
              </w:rPr>
              <w:t>)</w:t>
            </w:r>
          </w:p>
        </w:tc>
        <w:tc>
          <w:tcPr>
            <w:tcW w:w="533" w:type="pct"/>
          </w:tcPr>
          <w:p w:rsidR="00511912" w:rsidRPr="00165E35" w:rsidRDefault="00046215" w:rsidP="00605664">
            <w:pPr>
              <w:keepNext/>
              <w:widowControl w:val="0"/>
              <w:autoSpaceDE w:val="0"/>
              <w:autoSpaceDN w:val="0"/>
              <w:adjustRightInd w:val="0"/>
              <w:spacing w:after="0" w:line="240" w:lineRule="auto"/>
              <w:jc w:val="center"/>
              <w:rPr>
                <w:rFonts w:cs="Times New Roman"/>
                <w:sz w:val="16"/>
                <w:szCs w:val="16"/>
                <w:lang w:val="en-US"/>
              </w:rPr>
            </w:pPr>
            <w:r w:rsidRPr="00165E35">
              <w:rPr>
                <w:rFonts w:cs="Times New Roman"/>
                <w:sz w:val="16"/>
                <w:szCs w:val="16"/>
                <w:lang w:val="en-US"/>
              </w:rPr>
              <w:t>14.216</w:t>
            </w:r>
            <w:r w:rsidR="00511912" w:rsidRPr="00165E35">
              <w:rPr>
                <w:rFonts w:cs="Times New Roman"/>
                <w:sz w:val="16"/>
                <w:szCs w:val="16"/>
                <w:lang w:val="en-US"/>
              </w:rPr>
              <w:t>***</w:t>
            </w:r>
          </w:p>
        </w:tc>
        <w:tc>
          <w:tcPr>
            <w:tcW w:w="478" w:type="pct"/>
          </w:tcPr>
          <w:p w:rsidR="00511912" w:rsidRPr="00165E35" w:rsidRDefault="00046215" w:rsidP="00605664">
            <w:pPr>
              <w:keepNext/>
              <w:widowControl w:val="0"/>
              <w:autoSpaceDE w:val="0"/>
              <w:autoSpaceDN w:val="0"/>
              <w:adjustRightInd w:val="0"/>
              <w:spacing w:after="0" w:line="240" w:lineRule="auto"/>
              <w:jc w:val="center"/>
              <w:rPr>
                <w:rFonts w:cs="Times New Roman"/>
                <w:sz w:val="16"/>
                <w:szCs w:val="16"/>
                <w:lang w:val="en-US"/>
              </w:rPr>
            </w:pPr>
            <w:r w:rsidRPr="00165E35">
              <w:rPr>
                <w:rFonts w:cs="Times New Roman"/>
                <w:sz w:val="16"/>
                <w:szCs w:val="16"/>
                <w:lang w:val="en-US"/>
              </w:rPr>
              <w:t>(51.56</w:t>
            </w:r>
            <w:r w:rsidR="00511912" w:rsidRPr="00165E35">
              <w:rPr>
                <w:rFonts w:cs="Times New Roman"/>
                <w:sz w:val="16"/>
                <w:szCs w:val="16"/>
                <w:lang w:val="en-US"/>
              </w:rPr>
              <w:t>)</w:t>
            </w:r>
          </w:p>
        </w:tc>
        <w:tc>
          <w:tcPr>
            <w:tcW w:w="533" w:type="pct"/>
          </w:tcPr>
          <w:p w:rsidR="00511912" w:rsidRPr="00165E35" w:rsidRDefault="00016A31" w:rsidP="00605664">
            <w:pPr>
              <w:keepNext/>
              <w:widowControl w:val="0"/>
              <w:autoSpaceDE w:val="0"/>
              <w:autoSpaceDN w:val="0"/>
              <w:adjustRightInd w:val="0"/>
              <w:spacing w:after="0" w:line="240" w:lineRule="auto"/>
              <w:jc w:val="center"/>
              <w:rPr>
                <w:rFonts w:cs="Times New Roman"/>
                <w:sz w:val="16"/>
                <w:szCs w:val="16"/>
                <w:lang w:val="en-US"/>
              </w:rPr>
            </w:pPr>
            <w:r w:rsidRPr="00165E35">
              <w:rPr>
                <w:rFonts w:cs="Times New Roman"/>
                <w:sz w:val="16"/>
                <w:szCs w:val="16"/>
                <w:lang w:val="en-US"/>
              </w:rPr>
              <w:t>14.399</w:t>
            </w:r>
            <w:r w:rsidR="00511912" w:rsidRPr="00165E35">
              <w:rPr>
                <w:rFonts w:cs="Times New Roman"/>
                <w:sz w:val="16"/>
                <w:szCs w:val="16"/>
                <w:lang w:val="en-US"/>
              </w:rPr>
              <w:t>***</w:t>
            </w:r>
          </w:p>
        </w:tc>
        <w:tc>
          <w:tcPr>
            <w:tcW w:w="478" w:type="pct"/>
          </w:tcPr>
          <w:p w:rsidR="00511912" w:rsidRPr="00165E35" w:rsidRDefault="00016A31" w:rsidP="00605664">
            <w:pPr>
              <w:keepNext/>
              <w:widowControl w:val="0"/>
              <w:autoSpaceDE w:val="0"/>
              <w:autoSpaceDN w:val="0"/>
              <w:adjustRightInd w:val="0"/>
              <w:spacing w:after="0" w:line="240" w:lineRule="auto"/>
              <w:jc w:val="center"/>
              <w:rPr>
                <w:rFonts w:cs="Times New Roman"/>
                <w:sz w:val="16"/>
                <w:szCs w:val="16"/>
                <w:lang w:val="en-US"/>
              </w:rPr>
            </w:pPr>
            <w:r w:rsidRPr="00165E35">
              <w:rPr>
                <w:rFonts w:cs="Times New Roman"/>
                <w:sz w:val="16"/>
                <w:szCs w:val="16"/>
                <w:lang w:val="en-US"/>
              </w:rPr>
              <w:t>(53.32</w:t>
            </w:r>
            <w:r w:rsidR="00511912" w:rsidRPr="00165E35">
              <w:rPr>
                <w:rFonts w:cs="Times New Roman"/>
                <w:sz w:val="16"/>
                <w:szCs w:val="16"/>
                <w:lang w:val="en-US"/>
              </w:rPr>
              <w:t>)</w:t>
            </w:r>
          </w:p>
        </w:tc>
      </w:tr>
      <w:tr w:rsidR="00511912" w:rsidRPr="00165E35" w:rsidTr="00511912">
        <w:tc>
          <w:tcPr>
            <w:tcW w:w="1967" w:type="pct"/>
          </w:tcPr>
          <w:p w:rsidR="00511912" w:rsidRPr="00165E35" w:rsidRDefault="00511912" w:rsidP="00605664">
            <w:pPr>
              <w:keepNext/>
              <w:widowControl w:val="0"/>
              <w:autoSpaceDE w:val="0"/>
              <w:autoSpaceDN w:val="0"/>
              <w:adjustRightInd w:val="0"/>
              <w:spacing w:after="0" w:line="240" w:lineRule="auto"/>
              <w:rPr>
                <w:rFonts w:cs="Times New Roman"/>
                <w:sz w:val="16"/>
                <w:szCs w:val="16"/>
                <w:lang w:val="en-US"/>
              </w:rPr>
            </w:pPr>
            <w:r w:rsidRPr="00165E35">
              <w:rPr>
                <w:rFonts w:cs="Times New Roman"/>
                <w:sz w:val="16"/>
                <w:szCs w:val="16"/>
                <w:lang w:val="en-US"/>
              </w:rPr>
              <w:t xml:space="preserve">Adjusted </w:t>
            </w:r>
            <w:r w:rsidRPr="00165E35">
              <w:rPr>
                <w:rFonts w:cs="Times New Roman"/>
                <w:i/>
                <w:iCs/>
                <w:sz w:val="16"/>
                <w:szCs w:val="16"/>
                <w:lang w:val="en-US"/>
              </w:rPr>
              <w:t>R</w:t>
            </w:r>
            <w:r w:rsidRPr="00165E35">
              <w:rPr>
                <w:rFonts w:cs="Times New Roman"/>
                <w:sz w:val="16"/>
                <w:szCs w:val="16"/>
                <w:vertAlign w:val="superscript"/>
                <w:lang w:val="en-US"/>
              </w:rPr>
              <w:t>2</w:t>
            </w:r>
          </w:p>
        </w:tc>
        <w:tc>
          <w:tcPr>
            <w:tcW w:w="533" w:type="pct"/>
          </w:tcPr>
          <w:p w:rsidR="00511912" w:rsidRPr="00165E35" w:rsidRDefault="00046215" w:rsidP="00605664">
            <w:pPr>
              <w:keepNext/>
              <w:widowControl w:val="0"/>
              <w:autoSpaceDE w:val="0"/>
              <w:autoSpaceDN w:val="0"/>
              <w:adjustRightInd w:val="0"/>
              <w:spacing w:after="0" w:line="240" w:lineRule="auto"/>
              <w:jc w:val="center"/>
              <w:rPr>
                <w:rFonts w:cs="Times New Roman"/>
                <w:sz w:val="16"/>
                <w:szCs w:val="16"/>
                <w:lang w:val="en-US"/>
              </w:rPr>
            </w:pPr>
            <w:r w:rsidRPr="00165E35">
              <w:rPr>
                <w:rFonts w:cs="Times New Roman"/>
                <w:sz w:val="16"/>
                <w:szCs w:val="16"/>
                <w:lang w:val="en-US"/>
              </w:rPr>
              <w:t>0.698</w:t>
            </w:r>
          </w:p>
        </w:tc>
        <w:tc>
          <w:tcPr>
            <w:tcW w:w="478" w:type="pct"/>
          </w:tcPr>
          <w:p w:rsidR="00511912" w:rsidRPr="00165E35" w:rsidRDefault="00511912" w:rsidP="00605664">
            <w:pPr>
              <w:keepNext/>
              <w:widowControl w:val="0"/>
              <w:autoSpaceDE w:val="0"/>
              <w:autoSpaceDN w:val="0"/>
              <w:adjustRightInd w:val="0"/>
              <w:spacing w:after="0" w:line="240" w:lineRule="auto"/>
              <w:jc w:val="center"/>
              <w:rPr>
                <w:rFonts w:cs="Times New Roman"/>
                <w:sz w:val="16"/>
                <w:szCs w:val="16"/>
                <w:lang w:val="en-US"/>
              </w:rPr>
            </w:pPr>
          </w:p>
        </w:tc>
        <w:tc>
          <w:tcPr>
            <w:tcW w:w="533" w:type="pct"/>
          </w:tcPr>
          <w:p w:rsidR="00511912" w:rsidRPr="00165E35" w:rsidRDefault="00046215" w:rsidP="00605664">
            <w:pPr>
              <w:keepNext/>
              <w:widowControl w:val="0"/>
              <w:autoSpaceDE w:val="0"/>
              <w:autoSpaceDN w:val="0"/>
              <w:adjustRightInd w:val="0"/>
              <w:spacing w:after="0" w:line="240" w:lineRule="auto"/>
              <w:jc w:val="center"/>
              <w:rPr>
                <w:rFonts w:cs="Times New Roman"/>
                <w:sz w:val="16"/>
                <w:szCs w:val="16"/>
                <w:lang w:val="en-US"/>
              </w:rPr>
            </w:pPr>
            <w:r w:rsidRPr="00165E35">
              <w:rPr>
                <w:rFonts w:cs="Times New Roman"/>
                <w:sz w:val="16"/>
                <w:szCs w:val="16"/>
                <w:lang w:val="en-US"/>
              </w:rPr>
              <w:t>0.703</w:t>
            </w:r>
          </w:p>
        </w:tc>
        <w:tc>
          <w:tcPr>
            <w:tcW w:w="478" w:type="pct"/>
          </w:tcPr>
          <w:p w:rsidR="00511912" w:rsidRPr="00165E35" w:rsidRDefault="00511912" w:rsidP="00605664">
            <w:pPr>
              <w:keepNext/>
              <w:widowControl w:val="0"/>
              <w:autoSpaceDE w:val="0"/>
              <w:autoSpaceDN w:val="0"/>
              <w:adjustRightInd w:val="0"/>
              <w:spacing w:after="0" w:line="240" w:lineRule="auto"/>
              <w:jc w:val="center"/>
              <w:rPr>
                <w:rFonts w:cs="Times New Roman"/>
                <w:sz w:val="16"/>
                <w:szCs w:val="16"/>
                <w:lang w:val="en-US"/>
              </w:rPr>
            </w:pPr>
          </w:p>
        </w:tc>
        <w:tc>
          <w:tcPr>
            <w:tcW w:w="533" w:type="pct"/>
          </w:tcPr>
          <w:p w:rsidR="00511912" w:rsidRPr="00165E35" w:rsidRDefault="00016A31" w:rsidP="00605664">
            <w:pPr>
              <w:keepNext/>
              <w:widowControl w:val="0"/>
              <w:autoSpaceDE w:val="0"/>
              <w:autoSpaceDN w:val="0"/>
              <w:adjustRightInd w:val="0"/>
              <w:spacing w:after="0" w:line="240" w:lineRule="auto"/>
              <w:jc w:val="center"/>
              <w:rPr>
                <w:rFonts w:cs="Times New Roman"/>
                <w:sz w:val="16"/>
                <w:szCs w:val="16"/>
                <w:lang w:val="en-US"/>
              </w:rPr>
            </w:pPr>
            <w:r w:rsidRPr="00165E35">
              <w:rPr>
                <w:rFonts w:cs="Times New Roman"/>
                <w:sz w:val="16"/>
                <w:szCs w:val="16"/>
                <w:lang w:val="en-US"/>
              </w:rPr>
              <w:t>0.711</w:t>
            </w:r>
          </w:p>
        </w:tc>
        <w:tc>
          <w:tcPr>
            <w:tcW w:w="478" w:type="pct"/>
          </w:tcPr>
          <w:p w:rsidR="00511912" w:rsidRPr="00165E35" w:rsidRDefault="00511912" w:rsidP="00605664">
            <w:pPr>
              <w:keepNext/>
              <w:widowControl w:val="0"/>
              <w:autoSpaceDE w:val="0"/>
              <w:autoSpaceDN w:val="0"/>
              <w:adjustRightInd w:val="0"/>
              <w:spacing w:after="0" w:line="240" w:lineRule="auto"/>
              <w:jc w:val="center"/>
              <w:rPr>
                <w:rFonts w:cs="Times New Roman"/>
                <w:sz w:val="16"/>
                <w:szCs w:val="16"/>
                <w:lang w:val="en-US"/>
              </w:rPr>
            </w:pPr>
          </w:p>
        </w:tc>
      </w:tr>
      <w:tr w:rsidR="00511912" w:rsidRPr="00165E35" w:rsidTr="00511912">
        <w:tc>
          <w:tcPr>
            <w:tcW w:w="1967" w:type="pct"/>
          </w:tcPr>
          <w:p w:rsidR="00511912" w:rsidRPr="00165E35" w:rsidRDefault="00511912" w:rsidP="00605664">
            <w:pPr>
              <w:keepNext/>
              <w:widowControl w:val="0"/>
              <w:autoSpaceDE w:val="0"/>
              <w:autoSpaceDN w:val="0"/>
              <w:adjustRightInd w:val="0"/>
              <w:spacing w:after="0" w:line="240" w:lineRule="auto"/>
              <w:rPr>
                <w:rFonts w:cs="Times New Roman"/>
                <w:sz w:val="16"/>
                <w:szCs w:val="16"/>
                <w:lang w:val="en-US"/>
              </w:rPr>
            </w:pPr>
            <w:r w:rsidRPr="00165E35">
              <w:rPr>
                <w:rFonts w:cs="Times New Roman"/>
                <w:sz w:val="16"/>
                <w:szCs w:val="16"/>
                <w:lang w:val="en-US"/>
              </w:rPr>
              <w:t>Observations</w:t>
            </w:r>
          </w:p>
        </w:tc>
        <w:tc>
          <w:tcPr>
            <w:tcW w:w="533" w:type="pct"/>
          </w:tcPr>
          <w:p w:rsidR="00511912" w:rsidRPr="00165E35" w:rsidRDefault="00511912" w:rsidP="00605664">
            <w:pPr>
              <w:keepNext/>
              <w:widowControl w:val="0"/>
              <w:autoSpaceDE w:val="0"/>
              <w:autoSpaceDN w:val="0"/>
              <w:adjustRightInd w:val="0"/>
              <w:spacing w:after="0" w:line="240" w:lineRule="auto"/>
              <w:jc w:val="center"/>
              <w:rPr>
                <w:rFonts w:cs="Times New Roman"/>
                <w:sz w:val="16"/>
                <w:szCs w:val="16"/>
                <w:lang w:val="en-US"/>
              </w:rPr>
            </w:pPr>
            <w:r w:rsidRPr="00165E35">
              <w:rPr>
                <w:rFonts w:cs="Times New Roman"/>
                <w:sz w:val="16"/>
                <w:szCs w:val="16"/>
                <w:lang w:val="en-US"/>
              </w:rPr>
              <w:t>631</w:t>
            </w:r>
          </w:p>
        </w:tc>
        <w:tc>
          <w:tcPr>
            <w:tcW w:w="478" w:type="pct"/>
          </w:tcPr>
          <w:p w:rsidR="00511912" w:rsidRPr="00165E35" w:rsidRDefault="00511912" w:rsidP="00605664">
            <w:pPr>
              <w:keepNext/>
              <w:widowControl w:val="0"/>
              <w:autoSpaceDE w:val="0"/>
              <w:autoSpaceDN w:val="0"/>
              <w:adjustRightInd w:val="0"/>
              <w:spacing w:after="0" w:line="240" w:lineRule="auto"/>
              <w:jc w:val="center"/>
              <w:rPr>
                <w:rFonts w:cs="Times New Roman"/>
                <w:sz w:val="16"/>
                <w:szCs w:val="16"/>
                <w:lang w:val="en-US"/>
              </w:rPr>
            </w:pPr>
          </w:p>
        </w:tc>
        <w:tc>
          <w:tcPr>
            <w:tcW w:w="533" w:type="pct"/>
          </w:tcPr>
          <w:p w:rsidR="00511912" w:rsidRPr="00165E35" w:rsidRDefault="00511912" w:rsidP="00605664">
            <w:pPr>
              <w:keepNext/>
              <w:widowControl w:val="0"/>
              <w:autoSpaceDE w:val="0"/>
              <w:autoSpaceDN w:val="0"/>
              <w:adjustRightInd w:val="0"/>
              <w:spacing w:after="0" w:line="240" w:lineRule="auto"/>
              <w:jc w:val="center"/>
              <w:rPr>
                <w:rFonts w:cs="Times New Roman"/>
                <w:sz w:val="16"/>
                <w:szCs w:val="16"/>
                <w:lang w:val="en-US"/>
              </w:rPr>
            </w:pPr>
            <w:r w:rsidRPr="00165E35">
              <w:rPr>
                <w:rFonts w:cs="Times New Roman"/>
                <w:sz w:val="16"/>
                <w:szCs w:val="16"/>
                <w:lang w:val="en-US"/>
              </w:rPr>
              <w:t>631</w:t>
            </w:r>
          </w:p>
        </w:tc>
        <w:tc>
          <w:tcPr>
            <w:tcW w:w="478" w:type="pct"/>
          </w:tcPr>
          <w:p w:rsidR="00511912" w:rsidRPr="00165E35" w:rsidRDefault="00511912" w:rsidP="00605664">
            <w:pPr>
              <w:keepNext/>
              <w:widowControl w:val="0"/>
              <w:autoSpaceDE w:val="0"/>
              <w:autoSpaceDN w:val="0"/>
              <w:adjustRightInd w:val="0"/>
              <w:spacing w:after="0" w:line="240" w:lineRule="auto"/>
              <w:jc w:val="center"/>
              <w:rPr>
                <w:rFonts w:cs="Times New Roman"/>
                <w:sz w:val="16"/>
                <w:szCs w:val="16"/>
                <w:lang w:val="en-US"/>
              </w:rPr>
            </w:pPr>
          </w:p>
        </w:tc>
        <w:tc>
          <w:tcPr>
            <w:tcW w:w="533" w:type="pct"/>
          </w:tcPr>
          <w:p w:rsidR="00511912" w:rsidRPr="00165E35" w:rsidRDefault="00511912" w:rsidP="00605664">
            <w:pPr>
              <w:keepNext/>
              <w:widowControl w:val="0"/>
              <w:autoSpaceDE w:val="0"/>
              <w:autoSpaceDN w:val="0"/>
              <w:adjustRightInd w:val="0"/>
              <w:spacing w:after="0" w:line="240" w:lineRule="auto"/>
              <w:jc w:val="center"/>
              <w:rPr>
                <w:rFonts w:cs="Times New Roman"/>
                <w:sz w:val="16"/>
                <w:szCs w:val="16"/>
                <w:lang w:val="en-US"/>
              </w:rPr>
            </w:pPr>
            <w:r w:rsidRPr="00165E35">
              <w:rPr>
                <w:rFonts w:cs="Times New Roman"/>
                <w:sz w:val="16"/>
                <w:szCs w:val="16"/>
                <w:lang w:val="en-US"/>
              </w:rPr>
              <w:t>631</w:t>
            </w:r>
          </w:p>
        </w:tc>
        <w:tc>
          <w:tcPr>
            <w:tcW w:w="478" w:type="pct"/>
          </w:tcPr>
          <w:p w:rsidR="00511912" w:rsidRPr="00165E35" w:rsidRDefault="00511912" w:rsidP="00605664">
            <w:pPr>
              <w:keepNext/>
              <w:widowControl w:val="0"/>
              <w:autoSpaceDE w:val="0"/>
              <w:autoSpaceDN w:val="0"/>
              <w:adjustRightInd w:val="0"/>
              <w:spacing w:after="0" w:line="240" w:lineRule="auto"/>
              <w:jc w:val="center"/>
              <w:rPr>
                <w:rFonts w:cs="Times New Roman"/>
                <w:sz w:val="16"/>
                <w:szCs w:val="16"/>
                <w:lang w:val="en-US"/>
              </w:rPr>
            </w:pPr>
          </w:p>
        </w:tc>
      </w:tr>
    </w:tbl>
    <w:p w:rsidR="007F7EE3" w:rsidRPr="007D0D5D" w:rsidRDefault="007F7EE3" w:rsidP="007F7EE3">
      <w:pPr>
        <w:keepNext/>
        <w:widowControl w:val="0"/>
        <w:autoSpaceDE w:val="0"/>
        <w:autoSpaceDN w:val="0"/>
        <w:adjustRightInd w:val="0"/>
        <w:spacing w:after="0" w:line="240" w:lineRule="auto"/>
        <w:rPr>
          <w:rFonts w:cs="Times New Roman"/>
          <w:sz w:val="16"/>
          <w:szCs w:val="20"/>
        </w:rPr>
      </w:pPr>
      <w:r w:rsidRPr="007D0D5D">
        <w:rPr>
          <w:rFonts w:cs="Times New Roman"/>
          <w:sz w:val="16"/>
          <w:szCs w:val="20"/>
        </w:rPr>
        <w:t>Absolute t statistics in parentheses. Clustered by round of match using robust standard errors. * p &lt; 0.10, ** p &lt; 0.05, *** p &lt; 0.01. Month, season and team effects are significant.</w:t>
      </w:r>
    </w:p>
    <w:p w:rsidR="007D0D5D" w:rsidRDefault="007D0D5D">
      <w:pPr>
        <w:spacing w:after="200" w:line="276" w:lineRule="auto"/>
        <w:rPr>
          <w:rFonts w:ascii="Calibri" w:eastAsiaTheme="majorEastAsia" w:hAnsi="Calibri" w:cstheme="majorBidi"/>
          <w:bCs/>
          <w:iCs/>
        </w:rPr>
      </w:pPr>
      <w:r>
        <w:br w:type="page"/>
      </w:r>
    </w:p>
    <w:p w:rsidR="00243BBF" w:rsidRPr="007D0D5D" w:rsidRDefault="001D1439" w:rsidP="00243BBF">
      <w:r w:rsidRPr="007D0D5D">
        <w:t>Notes</w:t>
      </w:r>
    </w:p>
    <w:sectPr w:rsidR="00243BBF" w:rsidRPr="007D0D5D" w:rsidSect="005D4A7D">
      <w:footerReference w:type="default" r:id="rId10"/>
      <w:endnotePr>
        <w:numFmt w:val="decimal"/>
      </w:endnotePr>
      <w:pgSz w:w="11909" w:h="16834" w:code="9"/>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0FE" w:rsidRDefault="003B30FE" w:rsidP="00156D5E">
      <w:pPr>
        <w:spacing w:after="0" w:line="240" w:lineRule="auto"/>
      </w:pPr>
      <w:r>
        <w:separator/>
      </w:r>
    </w:p>
  </w:endnote>
  <w:endnote w:type="continuationSeparator" w:id="0">
    <w:p w:rsidR="003B30FE" w:rsidRDefault="003B30FE" w:rsidP="00156D5E">
      <w:pPr>
        <w:spacing w:after="0" w:line="240" w:lineRule="auto"/>
      </w:pPr>
      <w:r>
        <w:continuationSeparator/>
      </w:r>
    </w:p>
  </w:endnote>
  <w:endnote w:type="continuationNotice" w:id="1">
    <w:p w:rsidR="003B30FE" w:rsidRDefault="003B30FE">
      <w:pPr>
        <w:spacing w:after="0" w:line="240" w:lineRule="auto"/>
      </w:pPr>
    </w:p>
  </w:endnote>
  <w:endnote w:id="2">
    <w:p w:rsidR="00CE3413" w:rsidRDefault="00CE3413" w:rsidP="00AC7270">
      <w:pPr>
        <w:pStyle w:val="EndnoteText"/>
      </w:pPr>
      <w:r>
        <w:rPr>
          <w:rStyle w:val="EndnoteReference"/>
        </w:rPr>
        <w:endnoteRef/>
      </w:r>
      <w:r>
        <w:t xml:space="preserve"> Interestingly, in the German Bundesliga there is a single broadcaster (Sky) and all games are televised. This suggests some variation in policies towards football broadcasting across the EU.</w:t>
      </w:r>
    </w:p>
  </w:endnote>
  <w:endnote w:id="3">
    <w:p w:rsidR="00CE3413" w:rsidRDefault="00CE3413" w:rsidP="002D548C">
      <w:pPr>
        <w:pStyle w:val="EndnoteText"/>
      </w:pPr>
      <w:r>
        <w:rPr>
          <w:rStyle w:val="EndnoteReference"/>
        </w:rPr>
        <w:endnoteRef/>
      </w:r>
      <w:r>
        <w:t xml:space="preserve"> Whilst minute by minute data would be more insightful in measuring television audience demand, such data are not readily available. As noted above, only one study (Alavy </w:t>
      </w:r>
      <w:r>
        <w:rPr>
          <w:i/>
        </w:rPr>
        <w:t>et al.</w:t>
      </w:r>
      <w:r>
        <w:t>, 2010) has made use of minute by minute measures of audience ratings.</w:t>
      </w:r>
    </w:p>
  </w:endnote>
  <w:endnote w:id="4">
    <w:p w:rsidR="00CE3413" w:rsidRDefault="00CE3413" w:rsidP="00F41DAF">
      <w:pPr>
        <w:pStyle w:val="EndnoteText"/>
      </w:pPr>
      <w:r>
        <w:rPr>
          <w:rStyle w:val="EndnoteReference"/>
        </w:rPr>
        <w:endnoteRef/>
      </w:r>
      <w:r>
        <w:t xml:space="preserve"> The mean gate attendance over this period was 34,474 per match (from Sky Sports Football Yearbook). </w:t>
      </w:r>
    </w:p>
  </w:endnote>
  <w:endnote w:id="5">
    <w:p w:rsidR="00CE3413" w:rsidRDefault="00CE3413">
      <w:pPr>
        <w:pStyle w:val="EndnoteText"/>
      </w:pPr>
      <w:r>
        <w:rPr>
          <w:rStyle w:val="EndnoteReference"/>
        </w:rPr>
        <w:endnoteRef/>
      </w:r>
      <w:r>
        <w:t xml:space="preserve"> In 2000-01 season, the correlation coefficient between performance and wages was 0.675. By the 2007-08 season this had risen to 0.814. The mean correlation coefficient across the eight seasons is 0.795. In recent seasons, this figure has reached 0.888.</w:t>
      </w:r>
    </w:p>
  </w:endnote>
  <w:endnote w:id="6">
    <w:p w:rsidR="00CE3413" w:rsidRDefault="00CE3413">
      <w:pPr>
        <w:pStyle w:val="EndnoteText"/>
      </w:pPr>
      <w:r>
        <w:rPr>
          <w:rStyle w:val="EndnoteReference"/>
        </w:rPr>
        <w:endnoteRef/>
      </w:r>
      <w:r>
        <w:t xml:space="preserve"> The standard errors are clustered by the rounds of matches as the choice of matches to be televised is constrained by the fixture list. For a given set of matches in a given round, the broadcasters must select a proportion of matches for that given weekend. This is a significant constraint as the broadcasters cannot select the best n matches from 380 games. In this sense the round of the fixture list is binding and a proportion of games from those available that weekend must be chosen. This is the condition for which the models are clustered. The standard errors of the models are therefore adjusted to reflect this.</w:t>
      </w:r>
    </w:p>
  </w:endnote>
  <w:endnote w:id="7">
    <w:p w:rsidR="00CE3413" w:rsidRDefault="00CE3413" w:rsidP="00AF6333">
      <w:pPr>
        <w:pStyle w:val="EndnoteText"/>
      </w:pPr>
      <w:r>
        <w:rPr>
          <w:rStyle w:val="EndnoteReference"/>
        </w:rPr>
        <w:endnoteRef/>
      </w:r>
      <w:r>
        <w:t xml:space="preserve"> We also use instrumental variable regression in which we treat </w:t>
      </w:r>
      <w:r w:rsidRPr="00DE0C0D">
        <w:rPr>
          <w:i/>
        </w:rPr>
        <w:t>OUTCOME UNCERTAINTY</w:t>
      </w:r>
      <w:r>
        <w:t xml:space="preserve"> as endogenous. In doing so the variables </w:t>
      </w:r>
      <w:r w:rsidRPr="00DE0C0D">
        <w:rPr>
          <w:i/>
          <w:caps/>
        </w:rPr>
        <w:t>Absolute difference in relative wage</w:t>
      </w:r>
      <w:r>
        <w:t xml:space="preserve"> and </w:t>
      </w:r>
      <w:r w:rsidRPr="00DE0C0D">
        <w:rPr>
          <w:i/>
          <w:caps/>
        </w:rPr>
        <w:t xml:space="preserve">Absolute difference in points per game </w:t>
      </w:r>
      <w:r w:rsidRPr="00DE0C0D">
        <w:rPr>
          <w:i/>
        </w:rPr>
        <w:t>are</w:t>
      </w:r>
      <w:r>
        <w:t xml:space="preserve"> used as instruments. The results were similar to those generated using OLS.</w:t>
      </w:r>
    </w:p>
  </w:endnote>
  <w:endnote w:id="8">
    <w:p w:rsidR="00CE3413" w:rsidRDefault="00CE3413">
      <w:pPr>
        <w:pStyle w:val="EndnoteText"/>
      </w:pPr>
      <w:r>
        <w:rPr>
          <w:rStyle w:val="EndnoteReference"/>
        </w:rPr>
        <w:endnoteRef/>
      </w:r>
      <w:r>
        <w:t xml:space="preserve"> The Ramsey Reset test is used to test the functional form of the models. The results of the test indicate that the models are correctly specified. Furthermore, the null hypothesis that the models have no omitted variables cannot be rejected. With respect to multicollinearity, variance inflation factor is used. The results indicate that multicollinearity does not affect the coefficients.</w:t>
      </w:r>
    </w:p>
  </w:endnote>
  <w:endnote w:id="9">
    <w:p w:rsidR="00CE3413" w:rsidRDefault="00CE3413">
      <w:pPr>
        <w:pStyle w:val="EndnoteText"/>
      </w:pPr>
      <w:r>
        <w:rPr>
          <w:rStyle w:val="EndnoteReference"/>
        </w:rPr>
        <w:endnoteRef/>
      </w:r>
      <w:r>
        <w:t xml:space="preserve"> As an alternative, the Theil measure of outcome uncertainty is also used. The results are qualitatively similar, however, as the absolute difference in home team and away team probabilities is more intuitive, we therefore choose to report this measure instead.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413" w:rsidRDefault="00CE3413" w:rsidP="0099548F">
    <w:pPr>
      <w:jc w:val="center"/>
      <w:rPr>
        <w:lang w:val="en-US"/>
      </w:rPr>
    </w:pPr>
    <w:r>
      <w:rPr>
        <w:lang w:val="en-US"/>
      </w:rPr>
      <w:pgNum/>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413" w:rsidRDefault="00CE3413" w:rsidP="0099548F">
    <w:pPr>
      <w:jc w:val="center"/>
      <w:rPr>
        <w:lang w:val="en-US"/>
      </w:rPr>
    </w:pPr>
    <w:r>
      <w:rPr>
        <w:lang w:val="en-US"/>
      </w:rPr>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0FE" w:rsidRDefault="003B30FE" w:rsidP="00156D5E">
      <w:pPr>
        <w:spacing w:after="0" w:line="240" w:lineRule="auto"/>
      </w:pPr>
      <w:r>
        <w:separator/>
      </w:r>
    </w:p>
  </w:footnote>
  <w:footnote w:type="continuationSeparator" w:id="0">
    <w:p w:rsidR="003B30FE" w:rsidRDefault="003B30FE" w:rsidP="00156D5E">
      <w:pPr>
        <w:spacing w:after="0" w:line="240" w:lineRule="auto"/>
      </w:pPr>
      <w:r>
        <w:continuationSeparator/>
      </w:r>
    </w:p>
  </w:footnote>
  <w:footnote w:type="continuationNotice" w:id="1">
    <w:p w:rsidR="003B30FE" w:rsidRDefault="003B30FE">
      <w:pPr>
        <w:spacing w:after="0" w:line="240" w:lineRule="auto"/>
      </w:pPr>
    </w:p>
  </w:footnote>
  <w:footnote w:id="2">
    <w:p w:rsidR="00CE3413" w:rsidRDefault="00CE3413" w:rsidP="0099548F">
      <w:pPr>
        <w:pStyle w:val="FootnoteText"/>
      </w:pPr>
      <w:r>
        <w:rPr>
          <w:rStyle w:val="FootnoteReference"/>
        </w:rPr>
        <w:footnoteRef/>
      </w:r>
      <w:r>
        <w:t xml:space="preserve"> Corresponding author: Babatunde Buraimo, Management School, University of Liverpool, Chatham Street, Liverpool, L69 7ZH, UK. Telephone: +44(0) 151 795 3536. Email: </w:t>
      </w:r>
      <w:hyperlink r:id="rId1" w:history="1">
        <w:r w:rsidRPr="00CE2B95">
          <w:rPr>
            <w:rStyle w:val="Hyperlink"/>
          </w:rPr>
          <w:t>b.buraimo@liverpool.ac.uk</w:t>
        </w:r>
      </w:hyperlink>
      <w:r>
        <w:rPr>
          <w:rStyle w:val="Hyperlink"/>
        </w:rPr>
        <w:t xml:space="preserve">. </w:t>
      </w:r>
    </w:p>
  </w:footnote>
  <w:footnote w:id="3">
    <w:p w:rsidR="00CE3413" w:rsidRDefault="00CE3413" w:rsidP="0099548F">
      <w:pPr>
        <w:pStyle w:val="FootnoteText"/>
      </w:pPr>
      <w:r>
        <w:rPr>
          <w:rStyle w:val="FootnoteReference"/>
        </w:rPr>
        <w:footnoteRef/>
      </w:r>
      <w:r>
        <w:t xml:space="preserve"> Rob Simmons, Management School, Lancaster University, </w:t>
      </w:r>
      <w:r w:rsidRPr="007D0D5D">
        <w:t>Bailrigg</w:t>
      </w:r>
      <w:r>
        <w:t xml:space="preserve">, Lancaster, LA1 4YX, UK. Telephone: +44(0) 1524 594 234. Email: </w:t>
      </w:r>
      <w:hyperlink r:id="rId2" w:history="1">
        <w:r w:rsidRPr="002F71E4">
          <w:rPr>
            <w:rStyle w:val="Hyperlink"/>
          </w:rPr>
          <w:t>r.simmons@lancaster.ac.uk</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60447"/>
    <w:multiLevelType w:val="hybridMultilevel"/>
    <w:tmpl w:val="75140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1A775F"/>
    <w:multiLevelType w:val="hybridMultilevel"/>
    <w:tmpl w:val="83607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C47A7E"/>
    <w:multiLevelType w:val="hybridMultilevel"/>
    <w:tmpl w:val="2E62D8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F706DEE"/>
    <w:multiLevelType w:val="hybridMultilevel"/>
    <w:tmpl w:val="1FA8EB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1DD10B0"/>
    <w:multiLevelType w:val="hybridMultilevel"/>
    <w:tmpl w:val="BF6AEA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2205BB"/>
    <w:multiLevelType w:val="hybridMultilevel"/>
    <w:tmpl w:val="08840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00685C"/>
    <w:multiLevelType w:val="hybridMultilevel"/>
    <w:tmpl w:val="12B4F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BB23FC3"/>
    <w:multiLevelType w:val="hybridMultilevel"/>
    <w:tmpl w:val="B2505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DBB407B"/>
    <w:multiLevelType w:val="hybridMultilevel"/>
    <w:tmpl w:val="E60AA3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A5239E0"/>
    <w:multiLevelType w:val="hybridMultilevel"/>
    <w:tmpl w:val="8FD8D9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EF817EC"/>
    <w:multiLevelType w:val="hybridMultilevel"/>
    <w:tmpl w:val="DEF60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0291797"/>
    <w:multiLevelType w:val="hybridMultilevel"/>
    <w:tmpl w:val="51D84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4D001E2"/>
    <w:multiLevelType w:val="hybridMultilevel"/>
    <w:tmpl w:val="F22AE2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51668C4"/>
    <w:multiLevelType w:val="hybridMultilevel"/>
    <w:tmpl w:val="D49E5B4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6F17BD7"/>
    <w:multiLevelType w:val="hybridMultilevel"/>
    <w:tmpl w:val="92C89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7CA744A"/>
    <w:multiLevelType w:val="hybridMultilevel"/>
    <w:tmpl w:val="27CC0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1C318DC"/>
    <w:multiLevelType w:val="hybridMultilevel"/>
    <w:tmpl w:val="D49E5B4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2447C91"/>
    <w:multiLevelType w:val="hybridMultilevel"/>
    <w:tmpl w:val="F636FDF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7942376C"/>
    <w:multiLevelType w:val="hybridMultilevel"/>
    <w:tmpl w:val="DE9ECC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7AD05CDD"/>
    <w:multiLevelType w:val="hybridMultilevel"/>
    <w:tmpl w:val="CDC6C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F4435F9"/>
    <w:multiLevelType w:val="hybridMultilevel"/>
    <w:tmpl w:val="9566E5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5"/>
  </w:num>
  <w:num w:numId="4">
    <w:abstractNumId w:val="15"/>
  </w:num>
  <w:num w:numId="5">
    <w:abstractNumId w:val="10"/>
  </w:num>
  <w:num w:numId="6">
    <w:abstractNumId w:val="1"/>
  </w:num>
  <w:num w:numId="7">
    <w:abstractNumId w:val="20"/>
  </w:num>
  <w:num w:numId="8">
    <w:abstractNumId w:val="8"/>
  </w:num>
  <w:num w:numId="9">
    <w:abstractNumId w:val="19"/>
  </w:num>
  <w:num w:numId="10">
    <w:abstractNumId w:val="14"/>
  </w:num>
  <w:num w:numId="11">
    <w:abstractNumId w:val="11"/>
  </w:num>
  <w:num w:numId="12">
    <w:abstractNumId w:val="6"/>
  </w:num>
  <w:num w:numId="13">
    <w:abstractNumId w:val="7"/>
  </w:num>
  <w:num w:numId="14">
    <w:abstractNumId w:val="0"/>
  </w:num>
  <w:num w:numId="15">
    <w:abstractNumId w:val="16"/>
  </w:num>
  <w:num w:numId="16">
    <w:abstractNumId w:val="13"/>
  </w:num>
  <w:num w:numId="17">
    <w:abstractNumId w:val="3"/>
  </w:num>
  <w:num w:numId="18">
    <w:abstractNumId w:val="18"/>
  </w:num>
  <w:num w:numId="19">
    <w:abstractNumId w:val="12"/>
  </w:num>
  <w:num w:numId="20">
    <w:abstractNumId w:val="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numFmt w:val="chicago"/>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0&lt;/Enabled&gt;&lt;ScanUnformatted&gt;1&lt;/ScanUnformatted&gt;&lt;ScanChanges&gt;1&lt;/ScanChanges&gt;&lt;/ENInstantFormat&gt;"/>
  </w:docVars>
  <w:rsids>
    <w:rsidRoot w:val="00156D5E"/>
    <w:rsid w:val="00011A8E"/>
    <w:rsid w:val="00016A31"/>
    <w:rsid w:val="0002168A"/>
    <w:rsid w:val="000224E0"/>
    <w:rsid w:val="00024A44"/>
    <w:rsid w:val="000264BA"/>
    <w:rsid w:val="000337D1"/>
    <w:rsid w:val="0003550F"/>
    <w:rsid w:val="00046215"/>
    <w:rsid w:val="00074189"/>
    <w:rsid w:val="00075DF2"/>
    <w:rsid w:val="00087B7C"/>
    <w:rsid w:val="000C0B3D"/>
    <w:rsid w:val="000C319B"/>
    <w:rsid w:val="000C5582"/>
    <w:rsid w:val="000D1BC0"/>
    <w:rsid w:val="000E167F"/>
    <w:rsid w:val="000E5275"/>
    <w:rsid w:val="000F3E56"/>
    <w:rsid w:val="001256A0"/>
    <w:rsid w:val="00135F1B"/>
    <w:rsid w:val="00156D5E"/>
    <w:rsid w:val="00165E35"/>
    <w:rsid w:val="001858A6"/>
    <w:rsid w:val="00191F71"/>
    <w:rsid w:val="00194DCF"/>
    <w:rsid w:val="001978F2"/>
    <w:rsid w:val="001A2EAC"/>
    <w:rsid w:val="001A40D1"/>
    <w:rsid w:val="001C7330"/>
    <w:rsid w:val="001D1439"/>
    <w:rsid w:val="001E2B97"/>
    <w:rsid w:val="001F0DD2"/>
    <w:rsid w:val="001F21C9"/>
    <w:rsid w:val="001F5DF5"/>
    <w:rsid w:val="0020341F"/>
    <w:rsid w:val="0020721E"/>
    <w:rsid w:val="00212D84"/>
    <w:rsid w:val="002231CB"/>
    <w:rsid w:val="00233F61"/>
    <w:rsid w:val="0023642A"/>
    <w:rsid w:val="00243BBF"/>
    <w:rsid w:val="002476C7"/>
    <w:rsid w:val="00250318"/>
    <w:rsid w:val="00253DC4"/>
    <w:rsid w:val="0026223A"/>
    <w:rsid w:val="0026226F"/>
    <w:rsid w:val="0026549F"/>
    <w:rsid w:val="002703DF"/>
    <w:rsid w:val="002740B2"/>
    <w:rsid w:val="00281246"/>
    <w:rsid w:val="00286585"/>
    <w:rsid w:val="002A608D"/>
    <w:rsid w:val="002B404D"/>
    <w:rsid w:val="002B5F85"/>
    <w:rsid w:val="002D2FBC"/>
    <w:rsid w:val="002D548C"/>
    <w:rsid w:val="002E4B0C"/>
    <w:rsid w:val="002E517A"/>
    <w:rsid w:val="002F6104"/>
    <w:rsid w:val="0032127C"/>
    <w:rsid w:val="00321D80"/>
    <w:rsid w:val="00343250"/>
    <w:rsid w:val="00346EA2"/>
    <w:rsid w:val="00347C75"/>
    <w:rsid w:val="003567DB"/>
    <w:rsid w:val="00363669"/>
    <w:rsid w:val="00363991"/>
    <w:rsid w:val="003647EF"/>
    <w:rsid w:val="00371E9E"/>
    <w:rsid w:val="0037483A"/>
    <w:rsid w:val="00380704"/>
    <w:rsid w:val="003911F3"/>
    <w:rsid w:val="00391224"/>
    <w:rsid w:val="003A0687"/>
    <w:rsid w:val="003A289C"/>
    <w:rsid w:val="003A5B81"/>
    <w:rsid w:val="003B30FE"/>
    <w:rsid w:val="003B7ACB"/>
    <w:rsid w:val="003C262A"/>
    <w:rsid w:val="003D5356"/>
    <w:rsid w:val="003E3CBE"/>
    <w:rsid w:val="003E6AE7"/>
    <w:rsid w:val="003F6BF5"/>
    <w:rsid w:val="00412BD6"/>
    <w:rsid w:val="00412C26"/>
    <w:rsid w:val="0041304D"/>
    <w:rsid w:val="0041374A"/>
    <w:rsid w:val="004157F8"/>
    <w:rsid w:val="004248B7"/>
    <w:rsid w:val="004308B8"/>
    <w:rsid w:val="0043712B"/>
    <w:rsid w:val="00443B08"/>
    <w:rsid w:val="00445A86"/>
    <w:rsid w:val="00447613"/>
    <w:rsid w:val="00451537"/>
    <w:rsid w:val="00457E40"/>
    <w:rsid w:val="00465F83"/>
    <w:rsid w:val="00466D1A"/>
    <w:rsid w:val="00470C93"/>
    <w:rsid w:val="0048026C"/>
    <w:rsid w:val="00480498"/>
    <w:rsid w:val="004820C4"/>
    <w:rsid w:val="004A47EF"/>
    <w:rsid w:val="004A6ED8"/>
    <w:rsid w:val="004C3151"/>
    <w:rsid w:val="004D3A1B"/>
    <w:rsid w:val="004D798E"/>
    <w:rsid w:val="004E209E"/>
    <w:rsid w:val="00511912"/>
    <w:rsid w:val="00513A27"/>
    <w:rsid w:val="0052378D"/>
    <w:rsid w:val="00525006"/>
    <w:rsid w:val="005461EC"/>
    <w:rsid w:val="00552C3C"/>
    <w:rsid w:val="00554420"/>
    <w:rsid w:val="00554961"/>
    <w:rsid w:val="005716BD"/>
    <w:rsid w:val="0057333B"/>
    <w:rsid w:val="00586863"/>
    <w:rsid w:val="005B2900"/>
    <w:rsid w:val="005B38F6"/>
    <w:rsid w:val="005B5F30"/>
    <w:rsid w:val="005C06C0"/>
    <w:rsid w:val="005C6D51"/>
    <w:rsid w:val="005C7B9E"/>
    <w:rsid w:val="005D4A7D"/>
    <w:rsid w:val="005E36E2"/>
    <w:rsid w:val="005E504E"/>
    <w:rsid w:val="005F40B5"/>
    <w:rsid w:val="00602E5F"/>
    <w:rsid w:val="00605664"/>
    <w:rsid w:val="00607DFC"/>
    <w:rsid w:val="00621903"/>
    <w:rsid w:val="00621B13"/>
    <w:rsid w:val="006222AB"/>
    <w:rsid w:val="0063065E"/>
    <w:rsid w:val="006350DA"/>
    <w:rsid w:val="00650F7B"/>
    <w:rsid w:val="0065339A"/>
    <w:rsid w:val="00656C37"/>
    <w:rsid w:val="00660E3B"/>
    <w:rsid w:val="00664E5C"/>
    <w:rsid w:val="006673DB"/>
    <w:rsid w:val="00670EAB"/>
    <w:rsid w:val="00672F8C"/>
    <w:rsid w:val="00674B74"/>
    <w:rsid w:val="00681C82"/>
    <w:rsid w:val="00692FEF"/>
    <w:rsid w:val="00694489"/>
    <w:rsid w:val="0069775B"/>
    <w:rsid w:val="006A79D3"/>
    <w:rsid w:val="006B36F4"/>
    <w:rsid w:val="006C08F3"/>
    <w:rsid w:val="006E052A"/>
    <w:rsid w:val="006E3CF0"/>
    <w:rsid w:val="006F44A3"/>
    <w:rsid w:val="00701771"/>
    <w:rsid w:val="00705BA2"/>
    <w:rsid w:val="00707E28"/>
    <w:rsid w:val="00717557"/>
    <w:rsid w:val="00730081"/>
    <w:rsid w:val="00730DB2"/>
    <w:rsid w:val="00734485"/>
    <w:rsid w:val="00743BA1"/>
    <w:rsid w:val="00745CE8"/>
    <w:rsid w:val="00750FF6"/>
    <w:rsid w:val="00781D98"/>
    <w:rsid w:val="00785C49"/>
    <w:rsid w:val="00790100"/>
    <w:rsid w:val="007A05F9"/>
    <w:rsid w:val="007A2813"/>
    <w:rsid w:val="007A295E"/>
    <w:rsid w:val="007C6785"/>
    <w:rsid w:val="007D0D5D"/>
    <w:rsid w:val="007D4716"/>
    <w:rsid w:val="007D7E71"/>
    <w:rsid w:val="007E4A8C"/>
    <w:rsid w:val="007E57CF"/>
    <w:rsid w:val="007E6EDF"/>
    <w:rsid w:val="007F62A3"/>
    <w:rsid w:val="007F670C"/>
    <w:rsid w:val="007F7EE3"/>
    <w:rsid w:val="00800834"/>
    <w:rsid w:val="00805450"/>
    <w:rsid w:val="00823A38"/>
    <w:rsid w:val="00850F6E"/>
    <w:rsid w:val="00851E3C"/>
    <w:rsid w:val="00853100"/>
    <w:rsid w:val="00856C51"/>
    <w:rsid w:val="0085721D"/>
    <w:rsid w:val="008621E2"/>
    <w:rsid w:val="0087499C"/>
    <w:rsid w:val="008807DD"/>
    <w:rsid w:val="0088691A"/>
    <w:rsid w:val="00893894"/>
    <w:rsid w:val="0089728D"/>
    <w:rsid w:val="008A2538"/>
    <w:rsid w:val="008A2947"/>
    <w:rsid w:val="008A7EC2"/>
    <w:rsid w:val="008B5CE6"/>
    <w:rsid w:val="008C57FB"/>
    <w:rsid w:val="008D00BC"/>
    <w:rsid w:val="008D07DB"/>
    <w:rsid w:val="008D1773"/>
    <w:rsid w:val="008D6981"/>
    <w:rsid w:val="008D7698"/>
    <w:rsid w:val="008D7CBC"/>
    <w:rsid w:val="008E2342"/>
    <w:rsid w:val="008E6CB1"/>
    <w:rsid w:val="008F3AE8"/>
    <w:rsid w:val="009317D6"/>
    <w:rsid w:val="0095019E"/>
    <w:rsid w:val="00952AAC"/>
    <w:rsid w:val="00961BBD"/>
    <w:rsid w:val="0096735E"/>
    <w:rsid w:val="009675B8"/>
    <w:rsid w:val="00990594"/>
    <w:rsid w:val="00995230"/>
    <w:rsid w:val="009953D5"/>
    <w:rsid w:val="0099548F"/>
    <w:rsid w:val="009A0E6B"/>
    <w:rsid w:val="009A4209"/>
    <w:rsid w:val="009A465B"/>
    <w:rsid w:val="009A4A51"/>
    <w:rsid w:val="009C168A"/>
    <w:rsid w:val="009D12EA"/>
    <w:rsid w:val="009E05D6"/>
    <w:rsid w:val="009F44B5"/>
    <w:rsid w:val="009F6D46"/>
    <w:rsid w:val="00A030DC"/>
    <w:rsid w:val="00A152F2"/>
    <w:rsid w:val="00A157AB"/>
    <w:rsid w:val="00A21210"/>
    <w:rsid w:val="00A21A4F"/>
    <w:rsid w:val="00A21F9B"/>
    <w:rsid w:val="00A3312D"/>
    <w:rsid w:val="00A50E07"/>
    <w:rsid w:val="00A61133"/>
    <w:rsid w:val="00A62DDD"/>
    <w:rsid w:val="00A724D5"/>
    <w:rsid w:val="00A8309E"/>
    <w:rsid w:val="00A9682D"/>
    <w:rsid w:val="00AA705F"/>
    <w:rsid w:val="00AB51A0"/>
    <w:rsid w:val="00AC1485"/>
    <w:rsid w:val="00AC7270"/>
    <w:rsid w:val="00AC7EFB"/>
    <w:rsid w:val="00AE4E6F"/>
    <w:rsid w:val="00AF6333"/>
    <w:rsid w:val="00B04E8F"/>
    <w:rsid w:val="00B15B28"/>
    <w:rsid w:val="00B214E9"/>
    <w:rsid w:val="00B2201B"/>
    <w:rsid w:val="00B409A0"/>
    <w:rsid w:val="00B45889"/>
    <w:rsid w:val="00B55E3A"/>
    <w:rsid w:val="00B60244"/>
    <w:rsid w:val="00B613E7"/>
    <w:rsid w:val="00B67080"/>
    <w:rsid w:val="00B671ED"/>
    <w:rsid w:val="00B722BD"/>
    <w:rsid w:val="00B753EA"/>
    <w:rsid w:val="00B768AA"/>
    <w:rsid w:val="00B835A9"/>
    <w:rsid w:val="00B83755"/>
    <w:rsid w:val="00B9077F"/>
    <w:rsid w:val="00B9630D"/>
    <w:rsid w:val="00BA0A3B"/>
    <w:rsid w:val="00BA1420"/>
    <w:rsid w:val="00BA1D27"/>
    <w:rsid w:val="00BA6DAF"/>
    <w:rsid w:val="00BA7C1F"/>
    <w:rsid w:val="00BB6FE3"/>
    <w:rsid w:val="00BC52B5"/>
    <w:rsid w:val="00BC70C4"/>
    <w:rsid w:val="00BD3E24"/>
    <w:rsid w:val="00BD4E3D"/>
    <w:rsid w:val="00BD5BEE"/>
    <w:rsid w:val="00BE460D"/>
    <w:rsid w:val="00BF3A98"/>
    <w:rsid w:val="00C04DEC"/>
    <w:rsid w:val="00C119FF"/>
    <w:rsid w:val="00C45453"/>
    <w:rsid w:val="00C534FE"/>
    <w:rsid w:val="00C556F7"/>
    <w:rsid w:val="00C55FE5"/>
    <w:rsid w:val="00C604EA"/>
    <w:rsid w:val="00C74902"/>
    <w:rsid w:val="00C809E7"/>
    <w:rsid w:val="00C8226B"/>
    <w:rsid w:val="00C844D7"/>
    <w:rsid w:val="00C878A4"/>
    <w:rsid w:val="00CB2897"/>
    <w:rsid w:val="00CC3F6B"/>
    <w:rsid w:val="00CC7E59"/>
    <w:rsid w:val="00CD1F4C"/>
    <w:rsid w:val="00CE25C0"/>
    <w:rsid w:val="00CE3413"/>
    <w:rsid w:val="00CE6AA4"/>
    <w:rsid w:val="00CF1CD2"/>
    <w:rsid w:val="00CF4FDF"/>
    <w:rsid w:val="00CF59C1"/>
    <w:rsid w:val="00D21E5A"/>
    <w:rsid w:val="00D24EFF"/>
    <w:rsid w:val="00D2659F"/>
    <w:rsid w:val="00D33E1D"/>
    <w:rsid w:val="00D60D97"/>
    <w:rsid w:val="00D8703A"/>
    <w:rsid w:val="00D90C63"/>
    <w:rsid w:val="00D92BF6"/>
    <w:rsid w:val="00D93606"/>
    <w:rsid w:val="00D95BF9"/>
    <w:rsid w:val="00DA32B0"/>
    <w:rsid w:val="00DA3576"/>
    <w:rsid w:val="00DB0C3F"/>
    <w:rsid w:val="00DC1D56"/>
    <w:rsid w:val="00DC1D5F"/>
    <w:rsid w:val="00DD214E"/>
    <w:rsid w:val="00DD55AF"/>
    <w:rsid w:val="00DE0C0D"/>
    <w:rsid w:val="00DE1214"/>
    <w:rsid w:val="00DE18DA"/>
    <w:rsid w:val="00DE4E5D"/>
    <w:rsid w:val="00DE6223"/>
    <w:rsid w:val="00DF49C5"/>
    <w:rsid w:val="00DF59FE"/>
    <w:rsid w:val="00DF76A2"/>
    <w:rsid w:val="00E04DCB"/>
    <w:rsid w:val="00E05905"/>
    <w:rsid w:val="00E160DA"/>
    <w:rsid w:val="00E273A8"/>
    <w:rsid w:val="00E34D57"/>
    <w:rsid w:val="00E37AF3"/>
    <w:rsid w:val="00E422C9"/>
    <w:rsid w:val="00E53DFD"/>
    <w:rsid w:val="00E63B3B"/>
    <w:rsid w:val="00E648ED"/>
    <w:rsid w:val="00E650B4"/>
    <w:rsid w:val="00E76C7A"/>
    <w:rsid w:val="00EA0EEC"/>
    <w:rsid w:val="00EA77AB"/>
    <w:rsid w:val="00EB22A2"/>
    <w:rsid w:val="00EB3068"/>
    <w:rsid w:val="00EC365A"/>
    <w:rsid w:val="00ED320D"/>
    <w:rsid w:val="00EE21C8"/>
    <w:rsid w:val="00EE328F"/>
    <w:rsid w:val="00EE3DA5"/>
    <w:rsid w:val="00EF29F7"/>
    <w:rsid w:val="00EF2E40"/>
    <w:rsid w:val="00F10FCC"/>
    <w:rsid w:val="00F11EF8"/>
    <w:rsid w:val="00F17F74"/>
    <w:rsid w:val="00F20221"/>
    <w:rsid w:val="00F230AF"/>
    <w:rsid w:val="00F23F2D"/>
    <w:rsid w:val="00F25F2F"/>
    <w:rsid w:val="00F32915"/>
    <w:rsid w:val="00F416BC"/>
    <w:rsid w:val="00F41DAF"/>
    <w:rsid w:val="00F42C22"/>
    <w:rsid w:val="00F748AC"/>
    <w:rsid w:val="00F80352"/>
    <w:rsid w:val="00F81977"/>
    <w:rsid w:val="00F83AB3"/>
    <w:rsid w:val="00F85D2A"/>
    <w:rsid w:val="00F9565C"/>
    <w:rsid w:val="00FA696D"/>
    <w:rsid w:val="00FA79D9"/>
    <w:rsid w:val="00FC076C"/>
    <w:rsid w:val="00FC3751"/>
    <w:rsid w:val="00FC46FF"/>
    <w:rsid w:val="00FC6545"/>
    <w:rsid w:val="00FD7B1F"/>
    <w:rsid w:val="00FE622D"/>
    <w:rsid w:val="00FE6F12"/>
    <w:rsid w:val="00FF6B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D5D"/>
    <w:pPr>
      <w:spacing w:after="240" w:line="480" w:lineRule="auto"/>
    </w:pPr>
    <w:rPr>
      <w:rFonts w:ascii="Times New Roman" w:eastAsiaTheme="minorEastAsia" w:hAnsi="Times New Roman"/>
      <w:sz w:val="24"/>
      <w:lang w:eastAsia="en-GB"/>
    </w:rPr>
  </w:style>
  <w:style w:type="paragraph" w:styleId="Heading1">
    <w:name w:val="heading 1"/>
    <w:basedOn w:val="Normal"/>
    <w:next w:val="Normal"/>
    <w:link w:val="Heading1Char"/>
    <w:uiPriority w:val="9"/>
    <w:qFormat/>
    <w:rsid w:val="00156D5E"/>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F11EF8"/>
    <w:pPr>
      <w:keepNext/>
      <w:keepLines/>
      <w:spacing w:before="200" w:after="0"/>
      <w:outlineLvl w:val="1"/>
    </w:pPr>
    <w:rPr>
      <w:rFonts w:eastAsiaTheme="majorEastAsia" w:cstheme="majorBidi"/>
      <w:bCs/>
      <w:caps/>
      <w:sz w:val="26"/>
      <w:szCs w:val="26"/>
    </w:rPr>
  </w:style>
  <w:style w:type="paragraph" w:styleId="Heading3">
    <w:name w:val="heading 3"/>
    <w:basedOn w:val="Normal"/>
    <w:next w:val="Normal"/>
    <w:link w:val="Heading3Char"/>
    <w:uiPriority w:val="9"/>
    <w:unhideWhenUsed/>
    <w:qFormat/>
    <w:rsid w:val="00156D5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56D5E"/>
    <w:pPr>
      <w:keepNext/>
      <w:keepLines/>
      <w:spacing w:before="200" w:after="0"/>
      <w:outlineLvl w:val="3"/>
    </w:pPr>
    <w:rPr>
      <w:rFonts w:ascii="Calibri" w:eastAsiaTheme="majorEastAsia" w:hAnsi="Calibri" w:cstheme="majorBid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6D5E"/>
    <w:rPr>
      <w:rFonts w:asciiTheme="majorHAnsi" w:eastAsiaTheme="majorEastAsia" w:hAnsiTheme="majorHAnsi" w:cstheme="majorBidi"/>
      <w:b/>
      <w:bCs/>
      <w:sz w:val="28"/>
      <w:szCs w:val="28"/>
      <w:lang w:eastAsia="en-GB"/>
    </w:rPr>
  </w:style>
  <w:style w:type="character" w:customStyle="1" w:styleId="Heading2Char">
    <w:name w:val="Heading 2 Char"/>
    <w:basedOn w:val="DefaultParagraphFont"/>
    <w:link w:val="Heading2"/>
    <w:uiPriority w:val="9"/>
    <w:rsid w:val="00F11EF8"/>
    <w:rPr>
      <w:rFonts w:ascii="Times New Roman" w:eastAsiaTheme="majorEastAsia" w:hAnsi="Times New Roman" w:cstheme="majorBidi"/>
      <w:bCs/>
      <w:caps/>
      <w:sz w:val="26"/>
      <w:szCs w:val="26"/>
      <w:lang w:eastAsia="en-GB"/>
    </w:rPr>
  </w:style>
  <w:style w:type="character" w:customStyle="1" w:styleId="Heading3Char">
    <w:name w:val="Heading 3 Char"/>
    <w:basedOn w:val="DefaultParagraphFont"/>
    <w:link w:val="Heading3"/>
    <w:uiPriority w:val="9"/>
    <w:rsid w:val="00156D5E"/>
    <w:rPr>
      <w:rFonts w:asciiTheme="majorHAnsi" w:eastAsiaTheme="majorEastAsia" w:hAnsiTheme="majorHAnsi" w:cstheme="majorBidi"/>
      <w:b/>
      <w:bCs/>
      <w:color w:val="4F81BD" w:themeColor="accent1"/>
      <w:lang w:eastAsia="en-GB"/>
    </w:rPr>
  </w:style>
  <w:style w:type="character" w:customStyle="1" w:styleId="Heading4Char">
    <w:name w:val="Heading 4 Char"/>
    <w:basedOn w:val="DefaultParagraphFont"/>
    <w:link w:val="Heading4"/>
    <w:uiPriority w:val="9"/>
    <w:rsid w:val="00156D5E"/>
    <w:rPr>
      <w:rFonts w:ascii="Calibri" w:eastAsiaTheme="majorEastAsia" w:hAnsi="Calibri" w:cstheme="majorBidi"/>
      <w:bCs/>
      <w:iCs/>
      <w:lang w:eastAsia="en-GB"/>
    </w:rPr>
  </w:style>
  <w:style w:type="paragraph" w:styleId="ListParagraph">
    <w:name w:val="List Paragraph"/>
    <w:basedOn w:val="Normal"/>
    <w:uiPriority w:val="34"/>
    <w:qFormat/>
    <w:rsid w:val="00156D5E"/>
    <w:pPr>
      <w:ind w:left="720"/>
      <w:contextualSpacing/>
    </w:pPr>
  </w:style>
  <w:style w:type="table" w:styleId="TableGrid">
    <w:name w:val="Table Grid"/>
    <w:basedOn w:val="TableNormal"/>
    <w:uiPriority w:val="59"/>
    <w:rsid w:val="00156D5E"/>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56D5E"/>
    <w:rPr>
      <w:sz w:val="16"/>
      <w:szCs w:val="16"/>
    </w:rPr>
  </w:style>
  <w:style w:type="paragraph" w:styleId="CommentText">
    <w:name w:val="annotation text"/>
    <w:basedOn w:val="Normal"/>
    <w:link w:val="CommentTextChar"/>
    <w:uiPriority w:val="99"/>
    <w:semiHidden/>
    <w:unhideWhenUsed/>
    <w:rsid w:val="00156D5E"/>
    <w:pPr>
      <w:spacing w:line="240" w:lineRule="auto"/>
    </w:pPr>
    <w:rPr>
      <w:sz w:val="20"/>
      <w:szCs w:val="20"/>
    </w:rPr>
  </w:style>
  <w:style w:type="character" w:customStyle="1" w:styleId="CommentTextChar">
    <w:name w:val="Comment Text Char"/>
    <w:basedOn w:val="DefaultParagraphFont"/>
    <w:link w:val="CommentText"/>
    <w:uiPriority w:val="99"/>
    <w:semiHidden/>
    <w:rsid w:val="00156D5E"/>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156D5E"/>
    <w:rPr>
      <w:b/>
      <w:bCs/>
    </w:rPr>
  </w:style>
  <w:style w:type="character" w:customStyle="1" w:styleId="CommentSubjectChar">
    <w:name w:val="Comment Subject Char"/>
    <w:basedOn w:val="CommentTextChar"/>
    <w:link w:val="CommentSubject"/>
    <w:uiPriority w:val="99"/>
    <w:semiHidden/>
    <w:rsid w:val="00156D5E"/>
    <w:rPr>
      <w:rFonts w:eastAsiaTheme="minorEastAsia"/>
      <w:b/>
      <w:bCs/>
      <w:sz w:val="20"/>
      <w:szCs w:val="20"/>
      <w:lang w:eastAsia="en-GB"/>
    </w:rPr>
  </w:style>
  <w:style w:type="paragraph" w:styleId="BalloonText">
    <w:name w:val="Balloon Text"/>
    <w:basedOn w:val="Normal"/>
    <w:link w:val="BalloonTextChar"/>
    <w:uiPriority w:val="99"/>
    <w:semiHidden/>
    <w:unhideWhenUsed/>
    <w:rsid w:val="00156D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D5E"/>
    <w:rPr>
      <w:rFonts w:ascii="Tahoma" w:eastAsiaTheme="minorEastAsia" w:hAnsi="Tahoma" w:cs="Tahoma"/>
      <w:sz w:val="16"/>
      <w:szCs w:val="16"/>
      <w:lang w:eastAsia="en-GB"/>
    </w:rPr>
  </w:style>
  <w:style w:type="character" w:styleId="PlaceholderText">
    <w:name w:val="Placeholder Text"/>
    <w:basedOn w:val="DefaultParagraphFont"/>
    <w:uiPriority w:val="99"/>
    <w:semiHidden/>
    <w:rsid w:val="00156D5E"/>
    <w:rPr>
      <w:color w:val="808080"/>
    </w:rPr>
  </w:style>
  <w:style w:type="paragraph" w:styleId="Revision">
    <w:name w:val="Revision"/>
    <w:hidden/>
    <w:uiPriority w:val="99"/>
    <w:semiHidden/>
    <w:rsid w:val="00156D5E"/>
    <w:pPr>
      <w:spacing w:after="0" w:line="240" w:lineRule="auto"/>
    </w:pPr>
    <w:rPr>
      <w:rFonts w:eastAsiaTheme="minorEastAsia"/>
      <w:lang w:eastAsia="en-GB"/>
    </w:rPr>
  </w:style>
  <w:style w:type="paragraph" w:styleId="FootnoteText">
    <w:name w:val="footnote text"/>
    <w:basedOn w:val="Normal"/>
    <w:link w:val="FootnoteTextChar"/>
    <w:uiPriority w:val="99"/>
    <w:semiHidden/>
    <w:unhideWhenUsed/>
    <w:rsid w:val="00156D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D5E"/>
    <w:rPr>
      <w:rFonts w:eastAsiaTheme="minorEastAsia"/>
      <w:sz w:val="20"/>
      <w:szCs w:val="20"/>
      <w:lang w:eastAsia="en-GB"/>
    </w:rPr>
  </w:style>
  <w:style w:type="character" w:styleId="FootnoteReference">
    <w:name w:val="footnote reference"/>
    <w:basedOn w:val="DefaultParagraphFont"/>
    <w:uiPriority w:val="99"/>
    <w:semiHidden/>
    <w:unhideWhenUsed/>
    <w:rsid w:val="00156D5E"/>
    <w:rPr>
      <w:vertAlign w:val="superscript"/>
    </w:rPr>
  </w:style>
  <w:style w:type="character" w:styleId="Hyperlink">
    <w:name w:val="Hyperlink"/>
    <w:basedOn w:val="DefaultParagraphFont"/>
    <w:uiPriority w:val="99"/>
    <w:unhideWhenUsed/>
    <w:rsid w:val="00156D5E"/>
    <w:rPr>
      <w:color w:val="0000FF" w:themeColor="hyperlink"/>
      <w:u w:val="single"/>
    </w:rPr>
  </w:style>
  <w:style w:type="paragraph" w:styleId="Header">
    <w:name w:val="header"/>
    <w:basedOn w:val="Normal"/>
    <w:link w:val="HeaderChar"/>
    <w:uiPriority w:val="99"/>
    <w:unhideWhenUsed/>
    <w:rsid w:val="00156D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6D5E"/>
    <w:rPr>
      <w:rFonts w:eastAsiaTheme="minorEastAsia"/>
      <w:lang w:eastAsia="en-GB"/>
    </w:rPr>
  </w:style>
  <w:style w:type="paragraph" w:styleId="Footer">
    <w:name w:val="footer"/>
    <w:basedOn w:val="Normal"/>
    <w:link w:val="FooterChar"/>
    <w:uiPriority w:val="99"/>
    <w:unhideWhenUsed/>
    <w:rsid w:val="00156D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6D5E"/>
    <w:rPr>
      <w:rFonts w:eastAsiaTheme="minorEastAsia"/>
      <w:lang w:eastAsia="en-GB"/>
    </w:rPr>
  </w:style>
  <w:style w:type="character" w:customStyle="1" w:styleId="apple-converted-space">
    <w:name w:val="apple-converted-space"/>
    <w:basedOn w:val="DefaultParagraphFont"/>
    <w:rsid w:val="006673DB"/>
  </w:style>
  <w:style w:type="paragraph" w:styleId="EndnoteText">
    <w:name w:val="endnote text"/>
    <w:basedOn w:val="Normal"/>
    <w:link w:val="EndnoteTextChar"/>
    <w:uiPriority w:val="99"/>
    <w:unhideWhenUsed/>
    <w:rsid w:val="0065339A"/>
    <w:pPr>
      <w:spacing w:after="0" w:line="240" w:lineRule="auto"/>
    </w:pPr>
    <w:rPr>
      <w:sz w:val="20"/>
      <w:szCs w:val="20"/>
    </w:rPr>
  </w:style>
  <w:style w:type="character" w:customStyle="1" w:styleId="EndnoteTextChar">
    <w:name w:val="Endnote Text Char"/>
    <w:basedOn w:val="DefaultParagraphFont"/>
    <w:link w:val="EndnoteText"/>
    <w:uiPriority w:val="99"/>
    <w:rsid w:val="0065339A"/>
    <w:rPr>
      <w:rFonts w:eastAsiaTheme="minorEastAsia"/>
      <w:sz w:val="20"/>
      <w:szCs w:val="20"/>
      <w:lang w:eastAsia="en-GB"/>
    </w:rPr>
  </w:style>
  <w:style w:type="character" w:styleId="EndnoteReference">
    <w:name w:val="endnote reference"/>
    <w:basedOn w:val="DefaultParagraphFont"/>
    <w:uiPriority w:val="99"/>
    <w:semiHidden/>
    <w:unhideWhenUsed/>
    <w:rsid w:val="0065339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D5D"/>
    <w:pPr>
      <w:spacing w:after="240" w:line="480" w:lineRule="auto"/>
    </w:pPr>
    <w:rPr>
      <w:rFonts w:ascii="Times New Roman" w:eastAsiaTheme="minorEastAsia" w:hAnsi="Times New Roman"/>
      <w:sz w:val="24"/>
      <w:lang w:eastAsia="en-GB"/>
    </w:rPr>
  </w:style>
  <w:style w:type="paragraph" w:styleId="Heading1">
    <w:name w:val="heading 1"/>
    <w:basedOn w:val="Normal"/>
    <w:next w:val="Normal"/>
    <w:link w:val="Heading1Char"/>
    <w:uiPriority w:val="9"/>
    <w:qFormat/>
    <w:rsid w:val="00156D5E"/>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F11EF8"/>
    <w:pPr>
      <w:keepNext/>
      <w:keepLines/>
      <w:spacing w:before="200" w:after="0"/>
      <w:outlineLvl w:val="1"/>
    </w:pPr>
    <w:rPr>
      <w:rFonts w:eastAsiaTheme="majorEastAsia" w:cstheme="majorBidi"/>
      <w:bCs/>
      <w:caps/>
      <w:sz w:val="26"/>
      <w:szCs w:val="26"/>
    </w:rPr>
  </w:style>
  <w:style w:type="paragraph" w:styleId="Heading3">
    <w:name w:val="heading 3"/>
    <w:basedOn w:val="Normal"/>
    <w:next w:val="Normal"/>
    <w:link w:val="Heading3Char"/>
    <w:uiPriority w:val="9"/>
    <w:unhideWhenUsed/>
    <w:qFormat/>
    <w:rsid w:val="00156D5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56D5E"/>
    <w:pPr>
      <w:keepNext/>
      <w:keepLines/>
      <w:spacing w:before="200" w:after="0"/>
      <w:outlineLvl w:val="3"/>
    </w:pPr>
    <w:rPr>
      <w:rFonts w:ascii="Calibri" w:eastAsiaTheme="majorEastAsia" w:hAnsi="Calibri" w:cstheme="majorBid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6D5E"/>
    <w:rPr>
      <w:rFonts w:asciiTheme="majorHAnsi" w:eastAsiaTheme="majorEastAsia" w:hAnsiTheme="majorHAnsi" w:cstheme="majorBidi"/>
      <w:b/>
      <w:bCs/>
      <w:sz w:val="28"/>
      <w:szCs w:val="28"/>
      <w:lang w:eastAsia="en-GB"/>
    </w:rPr>
  </w:style>
  <w:style w:type="character" w:customStyle="1" w:styleId="Heading2Char">
    <w:name w:val="Heading 2 Char"/>
    <w:basedOn w:val="DefaultParagraphFont"/>
    <w:link w:val="Heading2"/>
    <w:uiPriority w:val="9"/>
    <w:rsid w:val="00F11EF8"/>
    <w:rPr>
      <w:rFonts w:ascii="Times New Roman" w:eastAsiaTheme="majorEastAsia" w:hAnsi="Times New Roman" w:cstheme="majorBidi"/>
      <w:bCs/>
      <w:caps/>
      <w:sz w:val="26"/>
      <w:szCs w:val="26"/>
      <w:lang w:eastAsia="en-GB"/>
    </w:rPr>
  </w:style>
  <w:style w:type="character" w:customStyle="1" w:styleId="Heading3Char">
    <w:name w:val="Heading 3 Char"/>
    <w:basedOn w:val="DefaultParagraphFont"/>
    <w:link w:val="Heading3"/>
    <w:uiPriority w:val="9"/>
    <w:rsid w:val="00156D5E"/>
    <w:rPr>
      <w:rFonts w:asciiTheme="majorHAnsi" w:eastAsiaTheme="majorEastAsia" w:hAnsiTheme="majorHAnsi" w:cstheme="majorBidi"/>
      <w:b/>
      <w:bCs/>
      <w:color w:val="4F81BD" w:themeColor="accent1"/>
      <w:lang w:eastAsia="en-GB"/>
    </w:rPr>
  </w:style>
  <w:style w:type="character" w:customStyle="1" w:styleId="Heading4Char">
    <w:name w:val="Heading 4 Char"/>
    <w:basedOn w:val="DefaultParagraphFont"/>
    <w:link w:val="Heading4"/>
    <w:uiPriority w:val="9"/>
    <w:rsid w:val="00156D5E"/>
    <w:rPr>
      <w:rFonts w:ascii="Calibri" w:eastAsiaTheme="majorEastAsia" w:hAnsi="Calibri" w:cstheme="majorBidi"/>
      <w:bCs/>
      <w:iCs/>
      <w:lang w:eastAsia="en-GB"/>
    </w:rPr>
  </w:style>
  <w:style w:type="paragraph" w:styleId="ListParagraph">
    <w:name w:val="List Paragraph"/>
    <w:basedOn w:val="Normal"/>
    <w:uiPriority w:val="34"/>
    <w:qFormat/>
    <w:rsid w:val="00156D5E"/>
    <w:pPr>
      <w:ind w:left="720"/>
      <w:contextualSpacing/>
    </w:pPr>
  </w:style>
  <w:style w:type="table" w:styleId="TableGrid">
    <w:name w:val="Table Grid"/>
    <w:basedOn w:val="TableNormal"/>
    <w:uiPriority w:val="59"/>
    <w:rsid w:val="00156D5E"/>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56D5E"/>
    <w:rPr>
      <w:sz w:val="16"/>
      <w:szCs w:val="16"/>
    </w:rPr>
  </w:style>
  <w:style w:type="paragraph" w:styleId="CommentText">
    <w:name w:val="annotation text"/>
    <w:basedOn w:val="Normal"/>
    <w:link w:val="CommentTextChar"/>
    <w:uiPriority w:val="99"/>
    <w:semiHidden/>
    <w:unhideWhenUsed/>
    <w:rsid w:val="00156D5E"/>
    <w:pPr>
      <w:spacing w:line="240" w:lineRule="auto"/>
    </w:pPr>
    <w:rPr>
      <w:sz w:val="20"/>
      <w:szCs w:val="20"/>
    </w:rPr>
  </w:style>
  <w:style w:type="character" w:customStyle="1" w:styleId="CommentTextChar">
    <w:name w:val="Comment Text Char"/>
    <w:basedOn w:val="DefaultParagraphFont"/>
    <w:link w:val="CommentText"/>
    <w:uiPriority w:val="99"/>
    <w:semiHidden/>
    <w:rsid w:val="00156D5E"/>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156D5E"/>
    <w:rPr>
      <w:b/>
      <w:bCs/>
    </w:rPr>
  </w:style>
  <w:style w:type="character" w:customStyle="1" w:styleId="CommentSubjectChar">
    <w:name w:val="Comment Subject Char"/>
    <w:basedOn w:val="CommentTextChar"/>
    <w:link w:val="CommentSubject"/>
    <w:uiPriority w:val="99"/>
    <w:semiHidden/>
    <w:rsid w:val="00156D5E"/>
    <w:rPr>
      <w:rFonts w:eastAsiaTheme="minorEastAsia"/>
      <w:b/>
      <w:bCs/>
      <w:sz w:val="20"/>
      <w:szCs w:val="20"/>
      <w:lang w:eastAsia="en-GB"/>
    </w:rPr>
  </w:style>
  <w:style w:type="paragraph" w:styleId="BalloonText">
    <w:name w:val="Balloon Text"/>
    <w:basedOn w:val="Normal"/>
    <w:link w:val="BalloonTextChar"/>
    <w:uiPriority w:val="99"/>
    <w:semiHidden/>
    <w:unhideWhenUsed/>
    <w:rsid w:val="00156D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D5E"/>
    <w:rPr>
      <w:rFonts w:ascii="Tahoma" w:eastAsiaTheme="minorEastAsia" w:hAnsi="Tahoma" w:cs="Tahoma"/>
      <w:sz w:val="16"/>
      <w:szCs w:val="16"/>
      <w:lang w:eastAsia="en-GB"/>
    </w:rPr>
  </w:style>
  <w:style w:type="character" w:styleId="PlaceholderText">
    <w:name w:val="Placeholder Text"/>
    <w:basedOn w:val="DefaultParagraphFont"/>
    <w:uiPriority w:val="99"/>
    <w:semiHidden/>
    <w:rsid w:val="00156D5E"/>
    <w:rPr>
      <w:color w:val="808080"/>
    </w:rPr>
  </w:style>
  <w:style w:type="paragraph" w:styleId="Revision">
    <w:name w:val="Revision"/>
    <w:hidden/>
    <w:uiPriority w:val="99"/>
    <w:semiHidden/>
    <w:rsid w:val="00156D5E"/>
    <w:pPr>
      <w:spacing w:after="0" w:line="240" w:lineRule="auto"/>
    </w:pPr>
    <w:rPr>
      <w:rFonts w:eastAsiaTheme="minorEastAsia"/>
      <w:lang w:eastAsia="en-GB"/>
    </w:rPr>
  </w:style>
  <w:style w:type="paragraph" w:styleId="FootnoteText">
    <w:name w:val="footnote text"/>
    <w:basedOn w:val="Normal"/>
    <w:link w:val="FootnoteTextChar"/>
    <w:uiPriority w:val="99"/>
    <w:semiHidden/>
    <w:unhideWhenUsed/>
    <w:rsid w:val="00156D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D5E"/>
    <w:rPr>
      <w:rFonts w:eastAsiaTheme="minorEastAsia"/>
      <w:sz w:val="20"/>
      <w:szCs w:val="20"/>
      <w:lang w:eastAsia="en-GB"/>
    </w:rPr>
  </w:style>
  <w:style w:type="character" w:styleId="FootnoteReference">
    <w:name w:val="footnote reference"/>
    <w:basedOn w:val="DefaultParagraphFont"/>
    <w:uiPriority w:val="99"/>
    <w:semiHidden/>
    <w:unhideWhenUsed/>
    <w:rsid w:val="00156D5E"/>
    <w:rPr>
      <w:vertAlign w:val="superscript"/>
    </w:rPr>
  </w:style>
  <w:style w:type="character" w:styleId="Hyperlink">
    <w:name w:val="Hyperlink"/>
    <w:basedOn w:val="DefaultParagraphFont"/>
    <w:uiPriority w:val="99"/>
    <w:unhideWhenUsed/>
    <w:rsid w:val="00156D5E"/>
    <w:rPr>
      <w:color w:val="0000FF" w:themeColor="hyperlink"/>
      <w:u w:val="single"/>
    </w:rPr>
  </w:style>
  <w:style w:type="paragraph" w:styleId="Header">
    <w:name w:val="header"/>
    <w:basedOn w:val="Normal"/>
    <w:link w:val="HeaderChar"/>
    <w:uiPriority w:val="99"/>
    <w:unhideWhenUsed/>
    <w:rsid w:val="00156D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6D5E"/>
    <w:rPr>
      <w:rFonts w:eastAsiaTheme="minorEastAsia"/>
      <w:lang w:eastAsia="en-GB"/>
    </w:rPr>
  </w:style>
  <w:style w:type="paragraph" w:styleId="Footer">
    <w:name w:val="footer"/>
    <w:basedOn w:val="Normal"/>
    <w:link w:val="FooterChar"/>
    <w:uiPriority w:val="99"/>
    <w:unhideWhenUsed/>
    <w:rsid w:val="00156D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6D5E"/>
    <w:rPr>
      <w:rFonts w:eastAsiaTheme="minorEastAsia"/>
      <w:lang w:eastAsia="en-GB"/>
    </w:rPr>
  </w:style>
  <w:style w:type="character" w:customStyle="1" w:styleId="apple-converted-space">
    <w:name w:val="apple-converted-space"/>
    <w:basedOn w:val="DefaultParagraphFont"/>
    <w:rsid w:val="006673DB"/>
  </w:style>
  <w:style w:type="paragraph" w:styleId="EndnoteText">
    <w:name w:val="endnote text"/>
    <w:basedOn w:val="Normal"/>
    <w:link w:val="EndnoteTextChar"/>
    <w:uiPriority w:val="99"/>
    <w:unhideWhenUsed/>
    <w:rsid w:val="0065339A"/>
    <w:pPr>
      <w:spacing w:after="0" w:line="240" w:lineRule="auto"/>
    </w:pPr>
    <w:rPr>
      <w:sz w:val="20"/>
      <w:szCs w:val="20"/>
    </w:rPr>
  </w:style>
  <w:style w:type="character" w:customStyle="1" w:styleId="EndnoteTextChar">
    <w:name w:val="Endnote Text Char"/>
    <w:basedOn w:val="DefaultParagraphFont"/>
    <w:link w:val="EndnoteText"/>
    <w:uiPriority w:val="99"/>
    <w:rsid w:val="0065339A"/>
    <w:rPr>
      <w:rFonts w:eastAsiaTheme="minorEastAsia"/>
      <w:sz w:val="20"/>
      <w:szCs w:val="20"/>
      <w:lang w:eastAsia="en-GB"/>
    </w:rPr>
  </w:style>
  <w:style w:type="character" w:styleId="EndnoteReference">
    <w:name w:val="endnote reference"/>
    <w:basedOn w:val="DefaultParagraphFont"/>
    <w:uiPriority w:val="99"/>
    <w:semiHidden/>
    <w:unhideWhenUsed/>
    <w:rsid w:val="006533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396585">
      <w:bodyDiv w:val="1"/>
      <w:marLeft w:val="0"/>
      <w:marRight w:val="0"/>
      <w:marTop w:val="0"/>
      <w:marBottom w:val="0"/>
      <w:divBdr>
        <w:top w:val="none" w:sz="0" w:space="0" w:color="auto"/>
        <w:left w:val="none" w:sz="0" w:space="0" w:color="auto"/>
        <w:bottom w:val="none" w:sz="0" w:space="0" w:color="auto"/>
        <w:right w:val="none" w:sz="0" w:space="0" w:color="auto"/>
      </w:divBdr>
    </w:div>
    <w:div w:id="1846090203">
      <w:bodyDiv w:val="1"/>
      <w:marLeft w:val="0"/>
      <w:marRight w:val="0"/>
      <w:marTop w:val="0"/>
      <w:marBottom w:val="0"/>
      <w:divBdr>
        <w:top w:val="none" w:sz="0" w:space="0" w:color="auto"/>
        <w:left w:val="none" w:sz="0" w:space="0" w:color="auto"/>
        <w:bottom w:val="none" w:sz="0" w:space="0" w:color="auto"/>
        <w:right w:val="none" w:sz="0" w:space="0" w:color="auto"/>
      </w:divBdr>
    </w:div>
    <w:div w:id="196072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mailto:r.simmons@lancaster.ac.uk" TargetMode="External"/><Relationship Id="rId1" Type="http://schemas.openxmlformats.org/officeDocument/2006/relationships/hyperlink" Target="mailto:b.buraimo@liverpoo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E1D85-ECD3-4C62-A4DB-4B59DE015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9606</Words>
  <Characters>54758</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64236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Buraimo</dc:creator>
  <cp:lastModifiedBy>Buraimo, Babatunde</cp:lastModifiedBy>
  <cp:revision>2</cp:revision>
  <cp:lastPrinted>2014-10-13T16:07:00Z</cp:lastPrinted>
  <dcterms:created xsi:type="dcterms:W3CDTF">2014-12-17T19:54:00Z</dcterms:created>
  <dcterms:modified xsi:type="dcterms:W3CDTF">2014-12-17T19:54:00Z</dcterms:modified>
</cp:coreProperties>
</file>