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62A64" w14:textId="74A8BEA4" w:rsidR="001F4275" w:rsidRDefault="00AC5631" w:rsidP="00B87691">
      <w:pPr>
        <w:pStyle w:val="Heading1"/>
        <w:spacing w:line="240" w:lineRule="auto"/>
      </w:pPr>
      <w:r w:rsidRPr="00AC5631">
        <w:t>Understanding recent internal migration of small cultural groups in England</w:t>
      </w:r>
      <w:bookmarkStart w:id="0" w:name="_GoBack"/>
      <w:bookmarkEnd w:id="0"/>
      <w:r w:rsidRPr="00AC5631">
        <w:t xml:space="preserve"> and Wales</w:t>
      </w:r>
    </w:p>
    <w:p w14:paraId="1CE722CE" w14:textId="26F5962C" w:rsidR="00D83C56" w:rsidRPr="00D83C56" w:rsidRDefault="00D83C56" w:rsidP="00D83C56">
      <w:r>
        <w:t xml:space="preserve">Philip </w:t>
      </w:r>
      <w:proofErr w:type="spellStart"/>
      <w:r>
        <w:t>Sapiro</w:t>
      </w:r>
      <w:proofErr w:type="spellEnd"/>
      <w:r>
        <w:t xml:space="preserve">, </w:t>
      </w:r>
      <w:proofErr w:type="spellStart"/>
      <w:r>
        <w:t>Dept</w:t>
      </w:r>
      <w:proofErr w:type="spellEnd"/>
      <w:r>
        <w:t xml:space="preserve"> of Geography and Planning, University of Liverpool, 2016</w:t>
      </w:r>
    </w:p>
    <w:p w14:paraId="527B5A9C" w14:textId="77777777" w:rsidR="00B87691" w:rsidRPr="00B87691" w:rsidRDefault="00B87691" w:rsidP="00B87691"/>
    <w:p w14:paraId="2BCF2D95" w14:textId="77777777" w:rsidR="00BD1C80" w:rsidRPr="003B7EA9" w:rsidRDefault="00BD1C80" w:rsidP="00BD1C80">
      <w:pPr>
        <w:pStyle w:val="Heading1"/>
      </w:pPr>
      <w:r w:rsidRPr="003B7EA9">
        <w:t>Abstract</w:t>
      </w:r>
    </w:p>
    <w:p w14:paraId="46147EF3" w14:textId="75B22164" w:rsidR="00BD1C80" w:rsidRPr="003B7EA9" w:rsidRDefault="00EF566B" w:rsidP="00BD1C80">
      <w:r w:rsidRPr="003B7EA9">
        <w:t>T</w:t>
      </w:r>
      <w:r w:rsidR="00BD1C80" w:rsidRPr="003B7EA9">
        <w:t>aking advantage of the availability of 2011 England and Wales censu</w:t>
      </w:r>
      <w:r w:rsidRPr="003B7EA9">
        <w:t>s</w:t>
      </w:r>
      <w:r w:rsidR="00BD1C80" w:rsidRPr="003B7EA9">
        <w:t xml:space="preserve"> microdata, and </w:t>
      </w:r>
      <w:r w:rsidRPr="003B7EA9">
        <w:t>recognising</w:t>
      </w:r>
      <w:r w:rsidR="00BD1C80" w:rsidRPr="003B7EA9">
        <w:t xml:space="preserve"> the </w:t>
      </w:r>
      <w:r w:rsidRPr="003B7EA9">
        <w:t>importance</w:t>
      </w:r>
      <w:r w:rsidR="00BD1C80" w:rsidRPr="003B7EA9">
        <w:t xml:space="preserve"> of </w:t>
      </w:r>
      <w:r w:rsidRPr="003B7EA9">
        <w:t>internal</w:t>
      </w:r>
      <w:r w:rsidR="00BD1C80" w:rsidRPr="003B7EA9">
        <w:t xml:space="preserve"> migration in shaping the s</w:t>
      </w:r>
      <w:r w:rsidRPr="003B7EA9">
        <w:t>i</w:t>
      </w:r>
      <w:r w:rsidR="00BD1C80" w:rsidRPr="003B7EA9">
        <w:t xml:space="preserve">ze and nature of communities, this paper seeks to identify and </w:t>
      </w:r>
      <w:r w:rsidRPr="003B7EA9">
        <w:t>quantify</w:t>
      </w:r>
      <w:r w:rsidR="00BD1C80" w:rsidRPr="003B7EA9">
        <w:t xml:space="preserve"> the </w:t>
      </w:r>
      <w:r w:rsidRPr="003B7EA9">
        <w:t>underlying</w:t>
      </w:r>
      <w:r w:rsidR="00BD1C80" w:rsidRPr="003B7EA9">
        <w:t xml:space="preserve"> determinants</w:t>
      </w:r>
      <w:r w:rsidRPr="003B7EA9">
        <w:t xml:space="preserve"> </w:t>
      </w:r>
      <w:r w:rsidR="00BD1C80" w:rsidRPr="003B7EA9">
        <w:t>of intern</w:t>
      </w:r>
      <w:r w:rsidRPr="003B7EA9">
        <w:t>a</w:t>
      </w:r>
      <w:r w:rsidR="00BD1C80" w:rsidRPr="003B7EA9">
        <w:t>l migrat</w:t>
      </w:r>
      <w:r w:rsidRPr="003B7EA9">
        <w:t>i</w:t>
      </w:r>
      <w:r w:rsidR="00BD1C80" w:rsidRPr="003B7EA9">
        <w:t xml:space="preserve">on of </w:t>
      </w:r>
      <w:r w:rsidR="00B77AD1">
        <w:t>small cultural groups</w:t>
      </w:r>
      <w:r w:rsidR="00BD1C80" w:rsidRPr="003B7EA9">
        <w:t>.   The Jewish group is one of the longest</w:t>
      </w:r>
      <w:r w:rsidR="002E1552">
        <w:t xml:space="preserve"> </w:t>
      </w:r>
      <w:r w:rsidR="00BD1C80" w:rsidRPr="003B7EA9">
        <w:t xml:space="preserve">present minority groups in </w:t>
      </w:r>
      <w:r w:rsidRPr="003B7EA9">
        <w:t>Britain</w:t>
      </w:r>
      <w:r w:rsidR="00F575D5">
        <w:t xml:space="preserve">. </w:t>
      </w:r>
      <w:r w:rsidR="00437839">
        <w:t xml:space="preserve"> </w:t>
      </w:r>
      <w:r w:rsidR="00F575D5">
        <w:t>T</w:t>
      </w:r>
      <w:r w:rsidR="00BD1C80" w:rsidRPr="003B7EA9">
        <w:t xml:space="preserve">hree other </w:t>
      </w:r>
      <w:r w:rsidR="00184710">
        <w:t>groups (Arab, Chinese, and Sikh)</w:t>
      </w:r>
      <w:r w:rsidR="00BD1C80" w:rsidRPr="003B7EA9">
        <w:t xml:space="preserve">, </w:t>
      </w:r>
      <w:r w:rsidR="00B77AD1">
        <w:t>which</w:t>
      </w:r>
      <w:r w:rsidR="00BD1C80" w:rsidRPr="003B7EA9">
        <w:t xml:space="preserve"> have been present </w:t>
      </w:r>
      <w:r w:rsidR="00184710">
        <w:t>i</w:t>
      </w:r>
      <w:r w:rsidR="00BD1C80" w:rsidRPr="003B7EA9">
        <w:t>n sign</w:t>
      </w:r>
      <w:r w:rsidRPr="003B7EA9">
        <w:t>i</w:t>
      </w:r>
      <w:r w:rsidR="00BD1C80" w:rsidRPr="003B7EA9">
        <w:t>fi</w:t>
      </w:r>
      <w:r w:rsidRPr="003B7EA9">
        <w:t>can</w:t>
      </w:r>
      <w:r w:rsidR="00BD1C80" w:rsidRPr="003B7EA9">
        <w:t>t numbers for a much shorter period</w:t>
      </w:r>
      <w:r w:rsidR="000405E8" w:rsidRPr="003B7EA9">
        <w:t>,</w:t>
      </w:r>
      <w:r w:rsidR="00BD1C80" w:rsidRPr="003B7EA9">
        <w:t xml:space="preserve"> are also examined</w:t>
      </w:r>
      <w:r w:rsidRPr="003B7EA9">
        <w:t xml:space="preserve">.   Multivariate binary logistic regression has been applied to data extracted from the 2011 safeguarded microdata files, to </w:t>
      </w:r>
      <w:r w:rsidR="000405E8" w:rsidRPr="003B7EA9">
        <w:t xml:space="preserve">understand </w:t>
      </w:r>
      <w:r w:rsidRPr="003B7EA9">
        <w:t xml:space="preserve">whether, having controlled for the variables identified, there remain residual unexplained differences between </w:t>
      </w:r>
      <w:r w:rsidR="00184710">
        <w:t xml:space="preserve">Jewish, other </w:t>
      </w:r>
      <w:r w:rsidRPr="003B7EA9">
        <w:t>smaller group</w:t>
      </w:r>
      <w:r w:rsidR="00184710">
        <w:t>,</w:t>
      </w:r>
      <w:r w:rsidRPr="003B7EA9">
        <w:t xml:space="preserve"> and general migration levels.  </w:t>
      </w:r>
      <w:r w:rsidR="00E511BE" w:rsidRPr="003B7EA9">
        <w:t>The study shows that the initial wide variation in migration propensity between the</w:t>
      </w:r>
      <w:r w:rsidR="00483A30" w:rsidRPr="003B7EA9">
        <w:t>se cultural</w:t>
      </w:r>
      <w:r w:rsidR="00E511BE" w:rsidRPr="003B7EA9">
        <w:t xml:space="preserve"> groups is partly explained by compositional differences between groups, but that </w:t>
      </w:r>
      <w:r w:rsidR="00F575D5">
        <w:t xml:space="preserve">even after controlling for individual-level socio-demographic characteristics, regional </w:t>
      </w:r>
      <w:proofErr w:type="gramStart"/>
      <w:r w:rsidR="00F575D5">
        <w:t>location</w:t>
      </w:r>
      <w:proofErr w:type="gramEnd"/>
      <w:r w:rsidR="00F575D5">
        <w:t xml:space="preserve"> and distance of migration, cultural</w:t>
      </w:r>
      <w:r w:rsidR="00E511BE" w:rsidRPr="003B7EA9">
        <w:t xml:space="preserve"> </w:t>
      </w:r>
      <w:r w:rsidR="00437839">
        <w:t xml:space="preserve">differences </w:t>
      </w:r>
      <w:r w:rsidR="00F575D5">
        <w:t>in migration behaviour</w:t>
      </w:r>
      <w:r w:rsidR="00437839">
        <w:t xml:space="preserve"> remain</w:t>
      </w:r>
      <w:r w:rsidR="00E511BE" w:rsidRPr="003B7EA9">
        <w:t xml:space="preserve">.  Overall, the study shows that there are fewer differences between Jewish and white British migration levels than for the other three groups, for whom a small but </w:t>
      </w:r>
      <w:r w:rsidR="00161A69">
        <w:t>significant</w:t>
      </w:r>
      <w:r w:rsidR="00E511BE" w:rsidRPr="003B7EA9">
        <w:t xml:space="preserve"> ‘cultural group penalty’</w:t>
      </w:r>
      <w:r w:rsidR="00173E5D">
        <w:t>, inhibiting migration propensity,</w:t>
      </w:r>
      <w:r w:rsidR="00E511BE" w:rsidRPr="003B7EA9">
        <w:t xml:space="preserve"> remains.</w:t>
      </w:r>
    </w:p>
    <w:p w14:paraId="4062E39C" w14:textId="77777777" w:rsidR="00182338" w:rsidRDefault="00182338" w:rsidP="00BD1C80">
      <w:pPr>
        <w:ind w:firstLine="0"/>
        <w:rPr>
          <w:i/>
        </w:rPr>
      </w:pPr>
    </w:p>
    <w:p w14:paraId="1B57179B" w14:textId="04154853" w:rsidR="00BD1C80" w:rsidRDefault="001B304D" w:rsidP="00BD1C80">
      <w:pPr>
        <w:ind w:firstLine="0"/>
        <w:rPr>
          <w:i/>
        </w:rPr>
      </w:pPr>
      <w:r w:rsidRPr="001B304D">
        <w:rPr>
          <w:i/>
        </w:rPr>
        <w:t xml:space="preserve">Keywords: </w:t>
      </w:r>
      <w:r>
        <w:rPr>
          <w:i/>
        </w:rPr>
        <w:t xml:space="preserve">internal </w:t>
      </w:r>
      <w:r w:rsidRPr="001B304D">
        <w:rPr>
          <w:i/>
        </w:rPr>
        <w:t xml:space="preserve">migration, census, </w:t>
      </w:r>
      <w:r w:rsidR="00B87691">
        <w:rPr>
          <w:i/>
        </w:rPr>
        <w:t xml:space="preserve">religion, </w:t>
      </w:r>
      <w:r w:rsidRPr="001B304D">
        <w:rPr>
          <w:i/>
        </w:rPr>
        <w:t>ethnic group, England and Wales</w:t>
      </w:r>
    </w:p>
    <w:p w14:paraId="6A5B01D9" w14:textId="77777777" w:rsidR="00182338" w:rsidRPr="001B304D" w:rsidRDefault="00182338" w:rsidP="00BD1C80">
      <w:pPr>
        <w:ind w:firstLine="0"/>
        <w:rPr>
          <w:i/>
        </w:rPr>
      </w:pPr>
    </w:p>
    <w:p w14:paraId="77315B4A" w14:textId="77777777" w:rsidR="00D31A2A" w:rsidRPr="003B7EA9" w:rsidRDefault="00163584" w:rsidP="00413F57">
      <w:pPr>
        <w:pStyle w:val="Heading2"/>
        <w:numPr>
          <w:ilvl w:val="0"/>
          <w:numId w:val="0"/>
        </w:numPr>
        <w:jc w:val="left"/>
      </w:pPr>
      <w:bookmarkStart w:id="1" w:name="_Toc431393352"/>
      <w:r w:rsidRPr="003B7EA9">
        <w:t>Introduction</w:t>
      </w:r>
      <w:bookmarkEnd w:id="1"/>
    </w:p>
    <w:p w14:paraId="3B8818C0" w14:textId="22CD8C1C" w:rsidR="00634B74" w:rsidRPr="003B7EA9" w:rsidRDefault="00634B74" w:rsidP="002746A6">
      <w:r w:rsidRPr="003B7EA9">
        <w:t xml:space="preserve">‘It is a simple fact that in an average year more than 10 times as many people move home in the UK than migrate </w:t>
      </w:r>
      <w:r w:rsidR="008C21B8" w:rsidRPr="003B7EA9">
        <w:t>i</w:t>
      </w:r>
      <w:r w:rsidRPr="003B7EA9">
        <w:t>nto it’</w:t>
      </w:r>
      <w:r w:rsidR="00437839">
        <w:t>; s</w:t>
      </w:r>
      <w:r w:rsidRPr="003B7EA9">
        <w:t>o state Champion and Fielding (2015)</w:t>
      </w:r>
      <w:r w:rsidR="00437839">
        <w:t xml:space="preserve">. </w:t>
      </w:r>
      <w:r w:rsidRPr="003B7EA9">
        <w:t xml:space="preserve"> </w:t>
      </w:r>
      <w:r w:rsidR="008C21B8" w:rsidRPr="003B7EA9">
        <w:t xml:space="preserve">Internal migration, defined as ‘permanent residential relocation that involves a change of usual residence within a country’ </w:t>
      </w:r>
      <w:r w:rsidR="00437839" w:rsidRPr="003B7EA9">
        <w:t>(Smith et al, 2015</w:t>
      </w:r>
      <w:r w:rsidR="008C21B8" w:rsidRPr="003B7EA9">
        <w:t>, p2), is thus an important element i</w:t>
      </w:r>
      <w:r w:rsidR="00374F2A" w:rsidRPr="003B7EA9">
        <w:t>n</w:t>
      </w:r>
      <w:r w:rsidR="008C21B8" w:rsidRPr="003B7EA9">
        <w:t xml:space="preserve"> shaping the population mix and size at a local level.  The</w:t>
      </w:r>
      <w:r w:rsidR="00EF238B" w:rsidRPr="003B7EA9">
        <w:t xml:space="preserve"> release of 2011 England and Wales census microdata has provided an opportunity to uncover and analyse the factors underpinning internal migration using broadly</w:t>
      </w:r>
      <w:r w:rsidR="002E1552">
        <w:t xml:space="preserve"> </w:t>
      </w:r>
      <w:r w:rsidR="00EF238B" w:rsidRPr="003B7EA9">
        <w:t>based up</w:t>
      </w:r>
      <w:r w:rsidR="00C70261" w:rsidRPr="003B7EA9">
        <w:t>-</w:t>
      </w:r>
      <w:r w:rsidR="00EF238B" w:rsidRPr="003B7EA9">
        <w:t>to</w:t>
      </w:r>
      <w:r w:rsidR="00C70261" w:rsidRPr="003B7EA9">
        <w:t>-</w:t>
      </w:r>
      <w:r w:rsidR="00EF238B" w:rsidRPr="003B7EA9">
        <w:t xml:space="preserve">date data on individuals.  </w:t>
      </w:r>
      <w:r w:rsidR="00A77FBE" w:rsidRPr="003B7EA9">
        <w:t>Unless otherwise stated, within this paper ‘migration’ and ‘movers’ refers to the act of</w:t>
      </w:r>
      <w:r w:rsidR="00356248" w:rsidRPr="003B7EA9">
        <w:t>,</w:t>
      </w:r>
      <w:r w:rsidR="00A77FBE" w:rsidRPr="003B7EA9">
        <w:t xml:space="preserve"> or the participants in</w:t>
      </w:r>
      <w:r w:rsidR="00356248" w:rsidRPr="003B7EA9">
        <w:t>,</w:t>
      </w:r>
      <w:r w:rsidR="00A77FBE" w:rsidRPr="003B7EA9">
        <w:t xml:space="preserve"> </w:t>
      </w:r>
      <w:r w:rsidR="00A77FBE" w:rsidRPr="003B7EA9">
        <w:lastRenderedPageBreak/>
        <w:t>ch</w:t>
      </w:r>
      <w:r w:rsidR="00356248" w:rsidRPr="003B7EA9">
        <w:t>anging</w:t>
      </w:r>
      <w:r w:rsidR="00A77FBE" w:rsidRPr="003B7EA9">
        <w:t xml:space="preserve"> resident</w:t>
      </w:r>
      <w:r w:rsidR="00356248" w:rsidRPr="003B7EA9">
        <w:t>ial</w:t>
      </w:r>
      <w:r w:rsidR="00A77FBE" w:rsidRPr="003B7EA9">
        <w:t xml:space="preserve"> location with</w:t>
      </w:r>
      <w:r w:rsidR="00356248" w:rsidRPr="003B7EA9">
        <w:t>i</w:t>
      </w:r>
      <w:r w:rsidR="00A77FBE" w:rsidRPr="003B7EA9">
        <w:t>n England and Wales</w:t>
      </w:r>
      <w:r w:rsidR="00861623" w:rsidRPr="003B7EA9">
        <w:t xml:space="preserve"> and, in the analysis section, specifically</w:t>
      </w:r>
      <w:r w:rsidR="00A77FBE" w:rsidRPr="003B7EA9">
        <w:t xml:space="preserve"> in th</w:t>
      </w:r>
      <w:r w:rsidR="00356248" w:rsidRPr="003B7EA9">
        <w:t>e</w:t>
      </w:r>
      <w:r w:rsidR="00A77FBE" w:rsidRPr="003B7EA9">
        <w:t xml:space="preserve"> twelve months </w:t>
      </w:r>
      <w:r w:rsidR="0025344A" w:rsidRPr="003B7EA9">
        <w:t>prior to</w:t>
      </w:r>
      <w:r w:rsidR="00A77FBE" w:rsidRPr="003B7EA9">
        <w:t xml:space="preserve"> the 2011 England an</w:t>
      </w:r>
      <w:r w:rsidR="00356248" w:rsidRPr="003B7EA9">
        <w:t>d</w:t>
      </w:r>
      <w:r w:rsidR="00A77FBE" w:rsidRPr="003B7EA9">
        <w:t xml:space="preserve"> Wales census.</w:t>
      </w:r>
    </w:p>
    <w:p w14:paraId="762005BB" w14:textId="17BF9416" w:rsidR="00AC5631" w:rsidRDefault="002F3DB7" w:rsidP="006803DA">
      <w:r w:rsidRPr="003B7EA9">
        <w:t>The focus of this paper is in exploring the underlying determinants of internal migration of Anglo-Jewry</w:t>
      </w:r>
      <w:r w:rsidR="00276218" w:rsidRPr="003B7EA9">
        <w:t xml:space="preserve"> a</w:t>
      </w:r>
      <w:r w:rsidRPr="003B7EA9">
        <w:t>nd, to provide context, other similarly sized groups</w:t>
      </w:r>
      <w:r w:rsidR="007D2B5E" w:rsidRPr="003B7EA9">
        <w:t xml:space="preserve"> (0.5% of the population)</w:t>
      </w:r>
      <w:r w:rsidR="00D772FB" w:rsidRPr="003B7EA9">
        <w:t xml:space="preserve"> </w:t>
      </w:r>
      <w:r w:rsidR="002E1552">
        <w:t>–</w:t>
      </w:r>
      <w:r w:rsidR="00D772FB" w:rsidRPr="003B7EA9">
        <w:t xml:space="preserve"> Arabs, Chinese, and Sikhs </w:t>
      </w:r>
      <w:r w:rsidR="002E1552">
        <w:t>–</w:t>
      </w:r>
      <w:r w:rsidR="00D772FB" w:rsidRPr="003B7EA9">
        <w:t xml:space="preserve"> and the white British dominant community</w:t>
      </w:r>
      <w:r w:rsidR="00EF238B" w:rsidRPr="003B7EA9">
        <w:t xml:space="preserve">.   </w:t>
      </w:r>
      <w:r w:rsidR="00AC5631" w:rsidRPr="00AC5631">
        <w:t>Groups of this size are sufficiently large to warrant and be capable of investigation but, to date, have largely fallen below the research radar which has focused on larger minority groups.   This paper thus seeks to broaden the knowledge base regarding small group internal migration.</w:t>
      </w:r>
      <w:r w:rsidR="00AC5631">
        <w:t xml:space="preserve">  </w:t>
      </w:r>
      <w:r w:rsidR="00A77FBE" w:rsidRPr="003B7EA9">
        <w:t>As the groups have been identified through either ethnic grouping or religion, which may be regarded as two important elements of cultural identity (</w:t>
      </w:r>
      <w:r w:rsidR="00B94902">
        <w:t>see, for example, Jacobson, 1997</w:t>
      </w:r>
      <w:r w:rsidR="00A77FBE" w:rsidRPr="003B7EA9">
        <w:t xml:space="preserve">), these sub-populations are referred to in this paper as smaller cultural groups.  </w:t>
      </w:r>
      <w:r w:rsidR="00AC5631" w:rsidRPr="00AC5631">
        <w:t xml:space="preserve">The groups included represent the totality of within-range positively identified and coherent groups (that is, excluding residual ‘other’ and mixed categories) based on religion or ethnic group, except for Buddhists.  Buddhists were originally included in the scope, but were found to fall into two distinct groups (both spatially and culturally) – Asian (hereditary) Buddhists and white (primarily recent convert) Buddhists.  The size of each group fell well below the other groups under examination, and there was a clear overlap between the Asian Buddhist group and the Chinese group, hence the exclusion of a separate Buddhist group from the analysis. </w:t>
      </w:r>
    </w:p>
    <w:p w14:paraId="6F2A42C2" w14:textId="4588DF27" w:rsidR="005361E3" w:rsidRPr="003B7EA9" w:rsidRDefault="00C70261" w:rsidP="006803DA">
      <w:r w:rsidRPr="003B7EA9">
        <w:t>T</w:t>
      </w:r>
      <w:r w:rsidR="007D2B5E" w:rsidRPr="003B7EA9">
        <w:t>he benefit in focusing on the Jewish group, the majority of whose members are fourth or fifth generation UK-born</w:t>
      </w:r>
      <w:r w:rsidRPr="003B7EA9">
        <w:t xml:space="preserve"> (</w:t>
      </w:r>
      <w:r w:rsidR="009B4646">
        <w:t>Alderman</w:t>
      </w:r>
      <w:r w:rsidRPr="003B7EA9">
        <w:t xml:space="preserve">, </w:t>
      </w:r>
      <w:r w:rsidR="009B4646">
        <w:t>1998</w:t>
      </w:r>
      <w:r w:rsidRPr="003B7EA9">
        <w:t>)</w:t>
      </w:r>
      <w:r w:rsidR="007D2B5E" w:rsidRPr="003B7EA9">
        <w:t>, is that it may provide an insight into what might influence migratory behaviour in other</w:t>
      </w:r>
      <w:r w:rsidRPr="003B7EA9">
        <w:t>, more recently arrived</w:t>
      </w:r>
      <w:r w:rsidR="0025344A" w:rsidRPr="003B7EA9">
        <w:t>,</w:t>
      </w:r>
      <w:r w:rsidRPr="003B7EA9">
        <w:t xml:space="preserve"> groups</w:t>
      </w:r>
      <w:r w:rsidR="007D2B5E" w:rsidRPr="003B7EA9">
        <w:t xml:space="preserve"> in future ge</w:t>
      </w:r>
      <w:r w:rsidRPr="003B7EA9">
        <w:t>nerations.</w:t>
      </w:r>
    </w:p>
    <w:p w14:paraId="434FF17B" w14:textId="77777777" w:rsidR="008C21B8" w:rsidRPr="003B7EA9" w:rsidRDefault="008C21B8" w:rsidP="00A77FBE">
      <w:r w:rsidRPr="003B7EA9">
        <w:t xml:space="preserve">The key </w:t>
      </w:r>
      <w:r w:rsidR="00A77FBE" w:rsidRPr="003B7EA9">
        <w:t>questions</w:t>
      </w:r>
      <w:r w:rsidRPr="003B7EA9">
        <w:t xml:space="preserve"> which the pap</w:t>
      </w:r>
      <w:r w:rsidR="00A77FBE" w:rsidRPr="003B7EA9">
        <w:t>er see</w:t>
      </w:r>
      <w:r w:rsidRPr="003B7EA9">
        <w:t>k</w:t>
      </w:r>
      <w:r w:rsidR="00A77FBE" w:rsidRPr="003B7EA9">
        <w:t>s</w:t>
      </w:r>
      <w:r w:rsidRPr="003B7EA9">
        <w:t xml:space="preserve"> to </w:t>
      </w:r>
      <w:r w:rsidR="0094445B" w:rsidRPr="003B7EA9">
        <w:t>address</w:t>
      </w:r>
      <w:r w:rsidR="00A77FBE" w:rsidRPr="003B7EA9">
        <w:t xml:space="preserve"> are as follows:</w:t>
      </w:r>
    </w:p>
    <w:p w14:paraId="6CEFCFD3" w14:textId="77777777" w:rsidR="00356248" w:rsidRPr="003B7EA9" w:rsidRDefault="00685E5C" w:rsidP="0094445B">
      <w:pPr>
        <w:pStyle w:val="ListParagraph"/>
        <w:numPr>
          <w:ilvl w:val="0"/>
          <w:numId w:val="49"/>
        </w:numPr>
      </w:pPr>
      <w:r w:rsidRPr="003B7EA9">
        <w:t>Q1:</w:t>
      </w:r>
      <w:r w:rsidRPr="003B7EA9">
        <w:tab/>
      </w:r>
      <w:r w:rsidR="00A77FBE" w:rsidRPr="003B7EA9">
        <w:t>Does the propensity to</w:t>
      </w:r>
      <w:r w:rsidR="00356248" w:rsidRPr="003B7EA9">
        <w:t xml:space="preserve"> migrate vary between the </w:t>
      </w:r>
      <w:r w:rsidR="000278A1" w:rsidRPr="003B7EA9">
        <w:t>white</w:t>
      </w:r>
      <w:r w:rsidR="00356248" w:rsidRPr="003B7EA9">
        <w:t xml:space="preserve"> </w:t>
      </w:r>
      <w:r w:rsidR="000278A1" w:rsidRPr="003B7EA9">
        <w:t>British</w:t>
      </w:r>
      <w:r w:rsidR="00356248" w:rsidRPr="003B7EA9">
        <w:t xml:space="preserve"> majority/host </w:t>
      </w:r>
      <w:r w:rsidR="000278A1" w:rsidRPr="003B7EA9">
        <w:t>group</w:t>
      </w:r>
      <w:r w:rsidR="00356248" w:rsidRPr="003B7EA9">
        <w:t xml:space="preserve"> and the smaller </w:t>
      </w:r>
      <w:r w:rsidR="000278A1" w:rsidRPr="003B7EA9">
        <w:t>cultural</w:t>
      </w:r>
      <w:r w:rsidR="00356248" w:rsidRPr="003B7EA9">
        <w:t xml:space="preserve"> groups?</w:t>
      </w:r>
    </w:p>
    <w:p w14:paraId="4704D12E" w14:textId="1A0E61CE" w:rsidR="00356248" w:rsidRPr="003B7EA9" w:rsidRDefault="00685E5C" w:rsidP="0094445B">
      <w:pPr>
        <w:pStyle w:val="ListParagraph"/>
        <w:numPr>
          <w:ilvl w:val="0"/>
          <w:numId w:val="49"/>
        </w:numPr>
      </w:pPr>
      <w:r w:rsidRPr="003B7EA9">
        <w:t>Q2:</w:t>
      </w:r>
      <w:r w:rsidRPr="003B7EA9">
        <w:tab/>
      </w:r>
      <w:r w:rsidR="00356248" w:rsidRPr="003B7EA9">
        <w:t xml:space="preserve">Do the </w:t>
      </w:r>
      <w:r w:rsidR="000278A1" w:rsidRPr="003B7EA9">
        <w:t>drivers</w:t>
      </w:r>
      <w:r w:rsidR="00356248" w:rsidRPr="003B7EA9">
        <w:t xml:space="preserve"> of migration vary </w:t>
      </w:r>
      <w:r w:rsidR="000278A1" w:rsidRPr="003B7EA9">
        <w:t>between</w:t>
      </w:r>
      <w:r w:rsidR="00356248" w:rsidRPr="003B7EA9">
        <w:t xml:space="preserve"> the groups?</w:t>
      </w:r>
    </w:p>
    <w:p w14:paraId="1ED9B166" w14:textId="77777777" w:rsidR="00356248" w:rsidRDefault="00685E5C" w:rsidP="0094445B">
      <w:pPr>
        <w:pStyle w:val="ListParagraph"/>
        <w:numPr>
          <w:ilvl w:val="0"/>
          <w:numId w:val="49"/>
        </w:numPr>
      </w:pPr>
      <w:r w:rsidRPr="003B7EA9">
        <w:t>Q3:</w:t>
      </w:r>
      <w:r w:rsidRPr="003B7EA9">
        <w:tab/>
      </w:r>
      <w:r w:rsidR="00356248" w:rsidRPr="003B7EA9">
        <w:t xml:space="preserve">Once </w:t>
      </w:r>
      <w:r w:rsidR="000278A1" w:rsidRPr="003B7EA9">
        <w:t>quantifiable</w:t>
      </w:r>
      <w:r w:rsidR="00356248" w:rsidRPr="003B7EA9">
        <w:t xml:space="preserve"> </w:t>
      </w:r>
      <w:r w:rsidR="000278A1" w:rsidRPr="003B7EA9">
        <w:t>differences</w:t>
      </w:r>
      <w:r w:rsidR="00356248" w:rsidRPr="003B7EA9">
        <w:t xml:space="preserve"> have been accounted </w:t>
      </w:r>
      <w:r w:rsidR="007858F0" w:rsidRPr="003B7EA9">
        <w:t xml:space="preserve">for, </w:t>
      </w:r>
      <w:r w:rsidR="00356248" w:rsidRPr="003B7EA9">
        <w:t xml:space="preserve">is there a </w:t>
      </w:r>
      <w:r w:rsidR="000278A1" w:rsidRPr="003B7EA9">
        <w:t>residual</w:t>
      </w:r>
      <w:r w:rsidR="00356248" w:rsidRPr="003B7EA9">
        <w:t xml:space="preserve"> ‘</w:t>
      </w:r>
      <w:r w:rsidR="000278A1" w:rsidRPr="003B7EA9">
        <w:t>cultural</w:t>
      </w:r>
      <w:r w:rsidR="00356248" w:rsidRPr="003B7EA9">
        <w:t xml:space="preserve"> </w:t>
      </w:r>
      <w:r w:rsidR="000278A1" w:rsidRPr="003B7EA9">
        <w:t>group</w:t>
      </w:r>
      <w:r w:rsidR="00356248" w:rsidRPr="003B7EA9">
        <w:t xml:space="preserve"> factor’ which acts either positively or </w:t>
      </w:r>
      <w:r w:rsidR="000278A1" w:rsidRPr="003B7EA9">
        <w:t>negatively</w:t>
      </w:r>
      <w:r w:rsidR="00356248" w:rsidRPr="003B7EA9">
        <w:t xml:space="preserve"> on migration </w:t>
      </w:r>
      <w:r w:rsidR="000278A1" w:rsidRPr="003B7EA9">
        <w:t>propensity</w:t>
      </w:r>
      <w:r w:rsidR="00356248" w:rsidRPr="003B7EA9">
        <w:t>?</w:t>
      </w:r>
    </w:p>
    <w:p w14:paraId="33417114" w14:textId="17675040" w:rsidR="00FD6725" w:rsidRPr="003B7EA9" w:rsidRDefault="00437839" w:rsidP="0094445B">
      <w:pPr>
        <w:pStyle w:val="ListParagraph"/>
        <w:numPr>
          <w:ilvl w:val="0"/>
          <w:numId w:val="49"/>
        </w:numPr>
      </w:pPr>
      <w:r>
        <w:t>Q4:</w:t>
      </w:r>
      <w:r>
        <w:tab/>
      </w:r>
      <w:r w:rsidR="00FD6725">
        <w:t>Do the answers to the above questions ch</w:t>
      </w:r>
      <w:r>
        <w:t xml:space="preserve">ange when distance of migration </w:t>
      </w:r>
      <w:r w:rsidR="00FD6725">
        <w:t>is taken into account?</w:t>
      </w:r>
    </w:p>
    <w:p w14:paraId="207747CF" w14:textId="1AF4EDFA" w:rsidR="00032F44" w:rsidRPr="003B7EA9" w:rsidRDefault="00FD6725" w:rsidP="0094445B">
      <w:pPr>
        <w:pStyle w:val="ListParagraph"/>
        <w:numPr>
          <w:ilvl w:val="0"/>
          <w:numId w:val="49"/>
        </w:numPr>
      </w:pPr>
      <w:r w:rsidRPr="003B7EA9">
        <w:t>Q</w:t>
      </w:r>
      <w:r>
        <w:t>5</w:t>
      </w:r>
      <w:r w:rsidR="00685E5C" w:rsidRPr="003B7EA9">
        <w:t>:</w:t>
      </w:r>
      <w:r w:rsidR="00685E5C" w:rsidRPr="003B7EA9">
        <w:tab/>
      </w:r>
      <w:r w:rsidR="00356248" w:rsidRPr="003B7EA9">
        <w:t xml:space="preserve">Is there </w:t>
      </w:r>
      <w:r w:rsidR="000278A1" w:rsidRPr="003B7EA9">
        <w:t>evidence</w:t>
      </w:r>
      <w:r w:rsidR="00356248" w:rsidRPr="003B7EA9">
        <w:t xml:space="preserve"> of a </w:t>
      </w:r>
      <w:r w:rsidR="000278A1" w:rsidRPr="003B7EA9">
        <w:t>distinction</w:t>
      </w:r>
      <w:r w:rsidR="00356248" w:rsidRPr="003B7EA9">
        <w:t xml:space="preserve"> in behaviour </w:t>
      </w:r>
      <w:r w:rsidR="000278A1" w:rsidRPr="003B7EA9">
        <w:t>between</w:t>
      </w:r>
      <w:r w:rsidR="00356248" w:rsidRPr="003B7EA9">
        <w:t xml:space="preserve"> the Jewish and other groups which might reflect that group</w:t>
      </w:r>
      <w:r w:rsidR="0094445B" w:rsidRPr="003B7EA9">
        <w:t>’</w:t>
      </w:r>
      <w:r w:rsidR="00356248" w:rsidRPr="003B7EA9">
        <w:t xml:space="preserve">s longer </w:t>
      </w:r>
      <w:r w:rsidR="000278A1" w:rsidRPr="003B7EA9">
        <w:t>established</w:t>
      </w:r>
      <w:r w:rsidR="00356248" w:rsidRPr="003B7EA9">
        <w:t xml:space="preserve"> status?</w:t>
      </w:r>
    </w:p>
    <w:p w14:paraId="1B0A9B0E" w14:textId="717E6FDA" w:rsidR="00F557FC" w:rsidRPr="003B7EA9" w:rsidRDefault="000278A1" w:rsidP="00F557FC">
      <w:r w:rsidRPr="003B7EA9">
        <w:lastRenderedPageBreak/>
        <w:t>The approach adopted in this study has been the development of multivariate logistic regression models</w:t>
      </w:r>
      <w:r w:rsidR="007858F0" w:rsidRPr="003B7EA9">
        <w:t>.   Prior to presenting the analysis</w:t>
      </w:r>
      <w:r w:rsidRPr="003B7EA9">
        <w:t xml:space="preserve">, </w:t>
      </w:r>
      <w:r w:rsidR="007858F0" w:rsidRPr="003B7EA9">
        <w:t>our understanding of</w:t>
      </w:r>
      <w:r w:rsidR="00F557FC" w:rsidRPr="003B7EA9">
        <w:t xml:space="preserve"> </w:t>
      </w:r>
      <w:r w:rsidR="007858F0" w:rsidRPr="003B7EA9">
        <w:t xml:space="preserve">the drivers of </w:t>
      </w:r>
      <w:r w:rsidR="00F557FC" w:rsidRPr="003B7EA9">
        <w:t xml:space="preserve">internal migration is briefly </w:t>
      </w:r>
      <w:r w:rsidR="007858F0" w:rsidRPr="003B7EA9">
        <w:t>summarised</w:t>
      </w:r>
      <w:r w:rsidR="00F557FC" w:rsidRPr="003B7EA9">
        <w:t xml:space="preserve">, noting that no existing quantified analyses of the specific topic of Jewish migration within the UK have been identified.  Availability of suitable data for this specific study is </w:t>
      </w:r>
      <w:r w:rsidR="005361E3" w:rsidRPr="003B7EA9">
        <w:t xml:space="preserve">also </w:t>
      </w:r>
      <w:r w:rsidR="00F557FC" w:rsidRPr="003B7EA9">
        <w:t>addressed.</w:t>
      </w:r>
    </w:p>
    <w:p w14:paraId="00EB2D2D" w14:textId="77777777" w:rsidR="002F3DB7" w:rsidRPr="003B7EA9" w:rsidRDefault="00F557FC" w:rsidP="00413F57">
      <w:pPr>
        <w:pStyle w:val="Heading2"/>
        <w:numPr>
          <w:ilvl w:val="0"/>
          <w:numId w:val="0"/>
        </w:numPr>
        <w:jc w:val="left"/>
      </w:pPr>
      <w:r w:rsidRPr="003B7EA9">
        <w:t>Background</w:t>
      </w:r>
    </w:p>
    <w:p w14:paraId="5930B697" w14:textId="53C9857F" w:rsidR="001A1A81" w:rsidRPr="003B7EA9" w:rsidRDefault="001A1A81" w:rsidP="002A67D4">
      <w:r w:rsidRPr="003B7EA9">
        <w:t>Migration</w:t>
      </w:r>
      <w:r w:rsidR="00D76579" w:rsidRPr="003B7EA9">
        <w:t xml:space="preserve"> </w:t>
      </w:r>
      <w:r w:rsidR="000278A1" w:rsidRPr="003B7EA9">
        <w:t xml:space="preserve">(both internal and international) </w:t>
      </w:r>
      <w:r w:rsidR="00E41F51" w:rsidRPr="003B7EA9">
        <w:t>has a long history of study</w:t>
      </w:r>
      <w:r w:rsidR="008D3B9E" w:rsidRPr="003B7EA9">
        <w:t xml:space="preserve"> (</w:t>
      </w:r>
      <w:r w:rsidR="007858F0" w:rsidRPr="003B7EA9">
        <w:t xml:space="preserve">Boyle et al, 1998; </w:t>
      </w:r>
      <w:r w:rsidR="009B7700" w:rsidRPr="003B7EA9">
        <w:t>Castles and Miller, 2009)</w:t>
      </w:r>
      <w:r w:rsidR="002746A6" w:rsidRPr="003B7EA9">
        <w:t>.</w:t>
      </w:r>
      <w:r w:rsidR="009B7700" w:rsidRPr="003B7EA9">
        <w:t xml:space="preserve">  </w:t>
      </w:r>
      <w:r w:rsidR="008D3B9E" w:rsidRPr="003B7EA9">
        <w:t xml:space="preserve">Such is the range of theories </w:t>
      </w:r>
      <w:r w:rsidR="00513F9C">
        <w:t>that</w:t>
      </w:r>
      <w:r w:rsidR="008D3B9E" w:rsidRPr="003B7EA9">
        <w:t xml:space="preserve"> have evolved, it is clear that </w:t>
      </w:r>
      <w:r w:rsidR="00634B74" w:rsidRPr="003B7EA9">
        <w:t xml:space="preserve">(internal) </w:t>
      </w:r>
      <w:r w:rsidR="008D3B9E" w:rsidRPr="003B7EA9">
        <w:t>migration is ‘a highly important, yet frustratingly complex, phenomenon’</w:t>
      </w:r>
      <w:r w:rsidR="0025344A" w:rsidRPr="003B7EA9">
        <w:t xml:space="preserve"> ODPM (2002, p25)</w:t>
      </w:r>
      <w:r w:rsidR="008D3B9E" w:rsidRPr="003B7EA9">
        <w:t xml:space="preserve">, </w:t>
      </w:r>
      <w:r w:rsidR="00651488" w:rsidRPr="003B7EA9">
        <w:t>a viewpoint mirrored by Smith</w:t>
      </w:r>
      <w:r w:rsidR="006F53EC" w:rsidRPr="003B7EA9">
        <w:t xml:space="preserve"> </w:t>
      </w:r>
      <w:r w:rsidR="00651488" w:rsidRPr="003B7EA9">
        <w:t>et al (2015</w:t>
      </w:r>
      <w:r w:rsidR="00F2488A" w:rsidRPr="003B7EA9">
        <w:t>).</w:t>
      </w:r>
      <w:r w:rsidR="002A67D4" w:rsidRPr="003B7EA9">
        <w:t xml:space="preserve">  </w:t>
      </w:r>
      <w:r w:rsidR="002746A6" w:rsidRPr="003B7EA9">
        <w:t xml:space="preserve">Certainly, there is a significant body of research focusing on </w:t>
      </w:r>
      <w:r w:rsidR="00D843B5" w:rsidRPr="003B7EA9">
        <w:t xml:space="preserve">drivers of </w:t>
      </w:r>
      <w:r w:rsidR="002746A6" w:rsidRPr="003B7EA9">
        <w:t>internal migration on both sides of the Atlantic</w:t>
      </w:r>
      <w:r w:rsidR="00F557FC" w:rsidRPr="003B7EA9">
        <w:t xml:space="preserve"> (see, for example, Greenwood, 1985; Molloy</w:t>
      </w:r>
      <w:r w:rsidR="007C059E" w:rsidRPr="003B7EA9">
        <w:t xml:space="preserve"> et al</w:t>
      </w:r>
      <w:r w:rsidR="00F557FC" w:rsidRPr="003B7EA9">
        <w:t xml:space="preserve">, 2011, for the USA; Champion and Fielding, 1992; </w:t>
      </w:r>
      <w:r w:rsidR="002A67D4" w:rsidRPr="003B7EA9">
        <w:t>Champion et al, 1998; Fielding, 2012; and Smith et al, 2015 for the UK</w:t>
      </w:r>
      <w:r w:rsidR="00F557FC" w:rsidRPr="003B7EA9">
        <w:t>)</w:t>
      </w:r>
      <w:r w:rsidR="004D5B0D" w:rsidRPr="003B7EA9">
        <w:t xml:space="preserve">.  </w:t>
      </w:r>
    </w:p>
    <w:p w14:paraId="070AF088" w14:textId="76FD2C6D" w:rsidR="00673A21" w:rsidRPr="003B7EA9" w:rsidRDefault="00020ADA" w:rsidP="00673A21">
      <w:r w:rsidRPr="003B7EA9">
        <w:t xml:space="preserve">The clearest message </w:t>
      </w:r>
      <w:r w:rsidR="00513F9C">
        <w:t>that</w:t>
      </w:r>
      <w:r w:rsidRPr="003B7EA9">
        <w:t xml:space="preserve"> arises from th</w:t>
      </w:r>
      <w:r w:rsidR="00E000EF" w:rsidRPr="003B7EA9">
        <w:t>is</w:t>
      </w:r>
      <w:r w:rsidRPr="003B7EA9">
        <w:t xml:space="preserve"> body of work is the strong </w:t>
      </w:r>
      <w:r w:rsidR="0094445B" w:rsidRPr="003B7EA9">
        <w:t>relationship</w:t>
      </w:r>
      <w:r w:rsidRPr="003B7EA9">
        <w:t xml:space="preserve"> between age and the prop</w:t>
      </w:r>
      <w:r w:rsidR="0094445B" w:rsidRPr="003B7EA9">
        <w:t>ensity</w:t>
      </w:r>
      <w:r w:rsidRPr="003B7EA9">
        <w:t xml:space="preserve"> to migrate</w:t>
      </w:r>
      <w:r w:rsidR="00374F2A" w:rsidRPr="003B7EA9">
        <w:t>, with rates peaking in young adulthood</w:t>
      </w:r>
      <w:r w:rsidRPr="003B7EA9">
        <w:t>.  Bailey and Livingston (2005, p ii) concluded that ‘</w:t>
      </w:r>
      <w:r w:rsidR="00FC01BD">
        <w:t>a</w:t>
      </w:r>
      <w:r w:rsidRPr="003B7EA9">
        <w:t xml:space="preserve">ge is strongly associated with certain life-course transitions which are in turn associated with moving home’.  </w:t>
      </w:r>
      <w:r w:rsidR="006E2A4E" w:rsidRPr="003B7EA9">
        <w:t>In overall terms,</w:t>
      </w:r>
      <w:r w:rsidR="0025344A" w:rsidRPr="003B7EA9">
        <w:t xml:space="preserve"> migration is </w:t>
      </w:r>
      <w:r w:rsidR="00DB2DDC" w:rsidRPr="003B7EA9">
        <w:t>linked to</w:t>
      </w:r>
      <w:r w:rsidR="00B07A99" w:rsidRPr="003B7EA9">
        <w:t>:</w:t>
      </w:r>
      <w:r w:rsidR="00DB2DDC" w:rsidRPr="003B7EA9">
        <w:t xml:space="preserve"> economics and the labour market – both at a personal/household level (employment opportunities) and the wider state of the national/regional economy (Fielding, 2012)</w:t>
      </w:r>
      <w:r w:rsidR="00B07A99" w:rsidRPr="003B7EA9">
        <w:t>;</w:t>
      </w:r>
      <w:r w:rsidR="00DB2DDC" w:rsidRPr="003B7EA9">
        <w:t xml:space="preserve"> the housing market and aspirations for improved housing tenure or quality (Smith and Finney, 2015)</w:t>
      </w:r>
      <w:r w:rsidR="00B07A99" w:rsidRPr="003B7EA9">
        <w:t>;</w:t>
      </w:r>
      <w:r w:rsidR="00DB2DDC" w:rsidRPr="003B7EA9">
        <w:t xml:space="preserve"> </w:t>
      </w:r>
      <w:r w:rsidR="0025344A" w:rsidRPr="003B7EA9">
        <w:t>t</w:t>
      </w:r>
      <w:r w:rsidR="006E2A4E" w:rsidRPr="003B7EA9">
        <w:t>he distribution of places in education</w:t>
      </w:r>
      <w:r w:rsidR="00DB2DDC" w:rsidRPr="003B7EA9">
        <w:t xml:space="preserve"> (Smith and </w:t>
      </w:r>
      <w:proofErr w:type="spellStart"/>
      <w:r w:rsidR="00DB2DDC" w:rsidRPr="003B7EA9">
        <w:t>Jöns</w:t>
      </w:r>
      <w:proofErr w:type="spellEnd"/>
      <w:r w:rsidR="00DB2DDC" w:rsidRPr="003B7EA9">
        <w:t>, 2015</w:t>
      </w:r>
      <w:r w:rsidR="00B07A99" w:rsidRPr="003B7EA9">
        <w:t>);</w:t>
      </w:r>
      <w:r w:rsidR="0025344A" w:rsidRPr="003B7EA9">
        <w:t xml:space="preserve"> and </w:t>
      </w:r>
      <w:r w:rsidR="00B07A99" w:rsidRPr="003B7EA9">
        <w:t xml:space="preserve">it </w:t>
      </w:r>
      <w:r w:rsidR="0025344A" w:rsidRPr="003B7EA9">
        <w:t xml:space="preserve">also varies by </w:t>
      </w:r>
      <w:r w:rsidR="006E2A4E" w:rsidRPr="003B7EA9">
        <w:t>social and cultural attributes (Champion et al, 1998)</w:t>
      </w:r>
      <w:r w:rsidR="001B5543">
        <w:t xml:space="preserve">, and the </w:t>
      </w:r>
      <w:r w:rsidR="00673A21" w:rsidRPr="003B7EA9">
        <w:t xml:space="preserve">overall </w:t>
      </w:r>
      <w:r w:rsidR="00E979D4" w:rsidRPr="003B7EA9">
        <w:t>level</w:t>
      </w:r>
      <w:r w:rsidR="00673A21" w:rsidRPr="003B7EA9">
        <w:t xml:space="preserve"> of internal migration is on the decline</w:t>
      </w:r>
      <w:r w:rsidR="002C438F" w:rsidRPr="003B7EA9">
        <w:t xml:space="preserve"> (</w:t>
      </w:r>
      <w:r w:rsidR="001F00BD" w:rsidRPr="003B7EA9">
        <w:t xml:space="preserve">Champion and </w:t>
      </w:r>
      <w:proofErr w:type="spellStart"/>
      <w:r w:rsidR="001F00BD" w:rsidRPr="003B7EA9">
        <w:t>Shuttleworth</w:t>
      </w:r>
      <w:proofErr w:type="spellEnd"/>
      <w:r w:rsidR="001F00BD" w:rsidRPr="003B7EA9">
        <w:t>, 2015</w:t>
      </w:r>
      <w:r w:rsidR="006E2A4E" w:rsidRPr="003B7EA9">
        <w:t>; see Molloy et al, 2011, for equivalent USA experience</w:t>
      </w:r>
      <w:r w:rsidR="001F00BD" w:rsidRPr="003B7EA9">
        <w:t>)</w:t>
      </w:r>
      <w:r w:rsidR="00F77E45" w:rsidRPr="003B7EA9">
        <w:t xml:space="preserve">.   </w:t>
      </w:r>
    </w:p>
    <w:p w14:paraId="49BA3F30" w14:textId="3E6DC90F" w:rsidR="00E449B8" w:rsidRPr="003B7EA9" w:rsidRDefault="006E2A4E" w:rsidP="00E449B8">
      <w:r w:rsidRPr="003B7EA9">
        <w:t>M</w:t>
      </w:r>
      <w:r w:rsidR="00E979D4" w:rsidRPr="003B7EA9">
        <w:t xml:space="preserve">uch is already known about </w:t>
      </w:r>
      <w:r w:rsidRPr="003B7EA9">
        <w:t>the</w:t>
      </w:r>
      <w:r w:rsidR="00E979D4" w:rsidRPr="003B7EA9">
        <w:t xml:space="preserve"> underlying personal and household characteristics </w:t>
      </w:r>
      <w:r w:rsidR="00436C01" w:rsidRPr="003B7EA9">
        <w:t>that</w:t>
      </w:r>
      <w:r w:rsidR="00E979D4" w:rsidRPr="003B7EA9">
        <w:t xml:space="preserve"> have most influence on the propensity to migrate.  </w:t>
      </w:r>
      <w:r w:rsidR="00E449B8" w:rsidRPr="003B7EA9">
        <w:t xml:space="preserve">For example, ‘the presence of certain factors appears to act as a tie to an area, reducing migration rates. Such factors include: ownership of a home, rather than renting; having a job, but particularly being self-employed; having children in the household; and having caring responsibilities’ (Bailey and Livingston, 2005, p ii).    </w:t>
      </w:r>
    </w:p>
    <w:p w14:paraId="0916ED9B" w14:textId="762B7A5A" w:rsidR="0094445B" w:rsidRPr="003B7EA9" w:rsidRDefault="00E979D4" w:rsidP="00056836">
      <w:r w:rsidRPr="003B7EA9">
        <w:t>The resulting geographic patterns of migration in Britain have been found to demonstrate two strong</w:t>
      </w:r>
      <w:r w:rsidR="006E2A4E" w:rsidRPr="003B7EA9">
        <w:t>,</w:t>
      </w:r>
      <w:r w:rsidRPr="003B7EA9">
        <w:t xml:space="preserve"> but possibly conflicting, patterns.   Firstly, there is a London and south-east England effect</w:t>
      </w:r>
      <w:r w:rsidR="00436C01" w:rsidRPr="003B7EA9">
        <w:t>;</w:t>
      </w:r>
      <w:r w:rsidRPr="003B7EA9">
        <w:t xml:space="preserve"> the strong economic performance of the region acts as </w:t>
      </w:r>
      <w:r w:rsidR="00B07A99" w:rsidRPr="003B7EA9">
        <w:t xml:space="preserve">an </w:t>
      </w:r>
      <w:r w:rsidRPr="003B7EA9">
        <w:t xml:space="preserve">attractor, particularly for young adults, whereby the region acts as </w:t>
      </w:r>
      <w:r w:rsidR="00C41C47" w:rsidRPr="003B7EA9">
        <w:t xml:space="preserve">a </w:t>
      </w:r>
      <w:r w:rsidRPr="003B7EA9">
        <w:t xml:space="preserve">‘social escalator’, allowing people </w:t>
      </w:r>
      <w:r w:rsidRPr="003B7EA9">
        <w:lastRenderedPageBreak/>
        <w:t>to make socio-economic progress (Fielding, 1992; 2007)</w:t>
      </w:r>
      <w:r w:rsidR="00436C01" w:rsidRPr="003B7EA9">
        <w:t>.</w:t>
      </w:r>
      <w:r w:rsidRPr="003B7EA9">
        <w:t xml:space="preserve"> </w:t>
      </w:r>
      <w:r w:rsidR="00436C01" w:rsidRPr="003B7EA9">
        <w:t xml:space="preserve"> M</w:t>
      </w:r>
      <w:r w:rsidR="006E2A4E" w:rsidRPr="003B7EA9">
        <w:t xml:space="preserve">ore recent work has identified a subsequent ‘regional return’ effect (Champion, 2012).  </w:t>
      </w:r>
      <w:r w:rsidRPr="003B7EA9">
        <w:t xml:space="preserve">The second major trend is counter-urbanisation and the ‘counter-urbanisation cascade’ (Champion and Atkins, 1996) – net migration flows from Inner London to Outer London; from principal metropolitan cities to other cities; and from these areas progressively to smaller urban areas through various </w:t>
      </w:r>
      <w:proofErr w:type="spellStart"/>
      <w:r w:rsidRPr="003B7EA9">
        <w:t>grading</w:t>
      </w:r>
      <w:r w:rsidR="00B07A99" w:rsidRPr="003B7EA9">
        <w:t>s</w:t>
      </w:r>
      <w:proofErr w:type="spellEnd"/>
      <w:r w:rsidRPr="003B7EA9">
        <w:t xml:space="preserve"> to the most remote rural areas.   More</w:t>
      </w:r>
      <w:r w:rsidR="00056836" w:rsidRPr="003B7EA9">
        <w:t xml:space="preserve"> recent research has found a </w:t>
      </w:r>
      <w:r w:rsidRPr="003B7EA9">
        <w:t>continuation</w:t>
      </w:r>
      <w:r w:rsidR="00056836" w:rsidRPr="003B7EA9">
        <w:t xml:space="preserve"> of the process, though </w:t>
      </w:r>
      <w:r w:rsidRPr="003B7EA9">
        <w:t>possibly</w:t>
      </w:r>
      <w:r w:rsidR="00056836" w:rsidRPr="003B7EA9">
        <w:t xml:space="preserve"> with </w:t>
      </w:r>
      <w:r w:rsidRPr="003B7EA9">
        <w:t>reducing</w:t>
      </w:r>
      <w:r w:rsidR="00056836" w:rsidRPr="003B7EA9">
        <w:t xml:space="preserve"> intensity (Champion, 2005; Simpson and Finney, 2009; Lomax et al, 2014).</w:t>
      </w:r>
    </w:p>
    <w:p w14:paraId="4FA60CA1" w14:textId="77777777" w:rsidR="00B613CD" w:rsidRPr="003B7EA9" w:rsidRDefault="0045138B" w:rsidP="00B613CD">
      <w:r w:rsidRPr="003B7EA9">
        <w:t xml:space="preserve"> </w:t>
      </w:r>
      <w:r w:rsidR="00B613CD" w:rsidRPr="003B7EA9">
        <w:t xml:space="preserve">Of most relevance to the current study is work </w:t>
      </w:r>
      <w:r w:rsidR="00436C01" w:rsidRPr="003B7EA9">
        <w:t>that</w:t>
      </w:r>
      <w:r w:rsidR="00B613CD" w:rsidRPr="003B7EA9">
        <w:t xml:space="preserve"> has been carried out in connection with minority group migration in the UK.  Here, attention is given to the understanding of underlying determinants, rather than locational aspects (for example, Stillwell and Hussain, 2008; Simpson and Finney, 2009), or more qualitative issues (see Phillips and Robinson, 2015, for an overview).</w:t>
      </w:r>
    </w:p>
    <w:p w14:paraId="303F549B" w14:textId="77777777" w:rsidR="00FD2F54" w:rsidRPr="003B7EA9" w:rsidRDefault="00FD2F54" w:rsidP="00FD2F54">
      <w:r w:rsidRPr="003B7EA9">
        <w:t>Given that data on migration information grouped by religion has been available from the 2001 census (albeit in the form of specially commissioned tables), it is a little surprising that almost all published research focuses on ethnic groups.   Gale’s (2013) study of Birmingham includes an extensive examin</w:t>
      </w:r>
      <w:r w:rsidR="007858F0" w:rsidRPr="003B7EA9">
        <w:t>ation of</w:t>
      </w:r>
      <w:r w:rsidRPr="003B7EA9">
        <w:t xml:space="preserve"> internal migration of groups by religion in and to/from the city.   Whilst the focus is on the Muslim group, for which he found a ‘net outward movement … from areas of high community concentration’ (p888), all the census-named religions are presented in the analysis.   That work appears to be the only accessible publication making use of these data.</w:t>
      </w:r>
    </w:p>
    <w:p w14:paraId="1EA3D558" w14:textId="7E1AAB0A" w:rsidR="00A12DE6" w:rsidRPr="003B7EA9" w:rsidRDefault="008D3B9E" w:rsidP="00362249">
      <w:r w:rsidRPr="003B7EA9">
        <w:t>Finney and Simpson (2008) examine</w:t>
      </w:r>
      <w:r w:rsidR="00D843B5" w:rsidRPr="003B7EA9">
        <w:t>d</w:t>
      </w:r>
      <w:r w:rsidRPr="003B7EA9">
        <w:t xml:space="preserve"> the impact of some socio-economic characteristics </w:t>
      </w:r>
      <w:r w:rsidR="00FD2F54" w:rsidRPr="003B7EA9">
        <w:t xml:space="preserve">of ethnic groups </w:t>
      </w:r>
      <w:r w:rsidRPr="003B7EA9">
        <w:t xml:space="preserve">concurrently.   Prior to taking </w:t>
      </w:r>
      <w:r w:rsidR="00436C01" w:rsidRPr="003B7EA9">
        <w:t>these</w:t>
      </w:r>
      <w:r w:rsidRPr="003B7EA9">
        <w:t xml:space="preserve"> characteristics into account, the migration propensity for most non-white groups appears higher than for white Britons.   However, once these variables are accounted for, the majority of groups are found to have a lower </w:t>
      </w:r>
      <w:r w:rsidR="00544314" w:rsidRPr="003B7EA9">
        <w:t xml:space="preserve">than or similar </w:t>
      </w:r>
      <w:r w:rsidRPr="003B7EA9">
        <w:t xml:space="preserve">likelihood of moving </w:t>
      </w:r>
      <w:r w:rsidR="00544314" w:rsidRPr="003B7EA9">
        <w:t>as</w:t>
      </w:r>
      <w:r w:rsidRPr="003B7EA9">
        <w:t xml:space="preserve"> the host community.</w:t>
      </w:r>
      <w:r w:rsidR="00FC01BD">
        <w:t xml:space="preserve">  </w:t>
      </w:r>
      <w:r w:rsidR="00FD2F54" w:rsidRPr="003B7EA9">
        <w:t xml:space="preserve">Examining the economic aspects in more detail, </w:t>
      </w:r>
      <w:proofErr w:type="spellStart"/>
      <w:r w:rsidR="008D6C43" w:rsidRPr="003B7EA9">
        <w:t>Catney</w:t>
      </w:r>
      <w:proofErr w:type="spellEnd"/>
      <w:r w:rsidR="008D6C43" w:rsidRPr="003B7EA9">
        <w:t xml:space="preserve"> and Simpson </w:t>
      </w:r>
      <w:r w:rsidR="00321446" w:rsidRPr="003B7EA9">
        <w:t>found</w:t>
      </w:r>
      <w:r w:rsidR="008D6C43" w:rsidRPr="003B7EA9">
        <w:t xml:space="preserve"> a social gradient ‘favouring professional and managerial classes for residential mobility in general, and for longer distance movement across district boundaries and away from districts of past immigration’ (</w:t>
      </w:r>
      <w:r w:rsidR="00436C01" w:rsidRPr="003B7EA9">
        <w:t>2010</w:t>
      </w:r>
      <w:r w:rsidR="008D6C43" w:rsidRPr="003B7EA9">
        <w:t xml:space="preserve">, p582).  The </w:t>
      </w:r>
      <w:r w:rsidR="00321446" w:rsidRPr="003B7EA9">
        <w:t>conclusion</w:t>
      </w:r>
      <w:r w:rsidR="008D6C43" w:rsidRPr="003B7EA9">
        <w:t xml:space="preserve"> did </w:t>
      </w:r>
      <w:r w:rsidR="00321446" w:rsidRPr="003B7EA9">
        <w:t>not</w:t>
      </w:r>
      <w:r w:rsidR="008D6C43" w:rsidRPr="003B7EA9">
        <w:t xml:space="preserve"> apply to the Chinese group, and there </w:t>
      </w:r>
      <w:r w:rsidR="00321446" w:rsidRPr="003B7EA9">
        <w:t>were a</w:t>
      </w:r>
      <w:r w:rsidR="008D6C43" w:rsidRPr="003B7EA9">
        <w:t xml:space="preserve"> number of </w:t>
      </w:r>
      <w:r w:rsidR="00321446" w:rsidRPr="003B7EA9">
        <w:t>variations</w:t>
      </w:r>
      <w:r w:rsidR="008D6C43" w:rsidRPr="003B7EA9">
        <w:t xml:space="preserve"> in </w:t>
      </w:r>
      <w:r w:rsidR="00321446" w:rsidRPr="003B7EA9">
        <w:t>respect</w:t>
      </w:r>
      <w:r w:rsidR="008D6C43" w:rsidRPr="003B7EA9">
        <w:t xml:space="preserve"> of </w:t>
      </w:r>
      <w:r w:rsidR="00303BFE" w:rsidRPr="003B7EA9">
        <w:t>London.</w:t>
      </w:r>
      <w:r w:rsidR="00362249">
        <w:t xml:space="preserve">  </w:t>
      </w:r>
      <w:r w:rsidR="00436C01" w:rsidRPr="003B7EA9">
        <w:t>At an international level</w:t>
      </w:r>
      <w:r w:rsidR="00C41C47" w:rsidRPr="003B7EA9">
        <w:t xml:space="preserve">, Bernard et al (2014) found that </w:t>
      </w:r>
      <w:r w:rsidR="00B10DF9" w:rsidRPr="003B7EA9">
        <w:t>different</w:t>
      </w:r>
      <w:r w:rsidR="00C41C47" w:rsidRPr="003B7EA9">
        <w:t xml:space="preserve"> cultural backgrounds led to a variation in the age at which life-course chan</w:t>
      </w:r>
      <w:r w:rsidR="00B10DF9" w:rsidRPr="003B7EA9">
        <w:t>g</w:t>
      </w:r>
      <w:r w:rsidR="00C41C47" w:rsidRPr="003B7EA9">
        <w:t>es occurred</w:t>
      </w:r>
      <w:r w:rsidR="00B10DF9" w:rsidRPr="003B7EA9">
        <w:t xml:space="preserve"> (and thus the age/migration profile);</w:t>
      </w:r>
      <w:r w:rsidR="00C41C47" w:rsidRPr="003B7EA9">
        <w:t xml:space="preserve"> this might be relevant in examining </w:t>
      </w:r>
      <w:r w:rsidR="00AE585B" w:rsidRPr="003B7EA9">
        <w:t xml:space="preserve">migration differences between </w:t>
      </w:r>
      <w:r w:rsidR="00B10DF9" w:rsidRPr="003B7EA9">
        <w:t>cultural</w:t>
      </w:r>
      <w:r w:rsidR="00C41C47" w:rsidRPr="003B7EA9">
        <w:t xml:space="preserve"> groups </w:t>
      </w:r>
      <w:r w:rsidR="00B10DF9" w:rsidRPr="003B7EA9">
        <w:t>within</w:t>
      </w:r>
      <w:r w:rsidR="00C41C47" w:rsidRPr="003B7EA9">
        <w:t xml:space="preserve"> a single country.</w:t>
      </w:r>
      <w:r w:rsidR="00A12DE6" w:rsidRPr="003B7EA9">
        <w:t xml:space="preserve"> </w:t>
      </w:r>
    </w:p>
    <w:p w14:paraId="0E3C5695" w14:textId="33EFFA8B" w:rsidR="00017F96" w:rsidRPr="003B7EA9" w:rsidRDefault="00274A16" w:rsidP="00A12DE6">
      <w:r w:rsidRPr="003B7EA9">
        <w:lastRenderedPageBreak/>
        <w:t>In addition to a closer examination of these differences, t</w:t>
      </w:r>
      <w:r w:rsidR="00F11C0B" w:rsidRPr="003B7EA9">
        <w:t>here are a number of gaps in the knowledge base which th</w:t>
      </w:r>
      <w:r w:rsidR="00436C01" w:rsidRPr="003B7EA9">
        <w:t>e current</w:t>
      </w:r>
      <w:r w:rsidR="00F11C0B" w:rsidRPr="003B7EA9">
        <w:t xml:space="preserve"> study </w:t>
      </w:r>
      <w:r w:rsidR="00436C01" w:rsidRPr="003B7EA9">
        <w:t>seeks to</w:t>
      </w:r>
      <w:r w:rsidR="00F11C0B" w:rsidRPr="003B7EA9">
        <w:t xml:space="preserve"> fill.   Firstly, </w:t>
      </w:r>
      <w:r w:rsidR="00252AE5" w:rsidRPr="003B7EA9">
        <w:t xml:space="preserve">there might be intrinsic </w:t>
      </w:r>
      <w:r w:rsidRPr="003B7EA9">
        <w:t xml:space="preserve">behavioural </w:t>
      </w:r>
      <w:r w:rsidR="00C72D22" w:rsidRPr="003B7EA9">
        <w:t>differences</w:t>
      </w:r>
      <w:r w:rsidR="00252AE5" w:rsidRPr="003B7EA9">
        <w:t xml:space="preserve"> for religion-based group </w:t>
      </w:r>
      <w:r w:rsidR="00C72D22" w:rsidRPr="003B7EA9">
        <w:t>such</w:t>
      </w:r>
      <w:r w:rsidR="00252AE5" w:rsidRPr="003B7EA9">
        <w:t xml:space="preserve"> as </w:t>
      </w:r>
      <w:r w:rsidR="00C72D22" w:rsidRPr="003B7EA9">
        <w:t>Jews</w:t>
      </w:r>
      <w:r w:rsidR="00473B4A" w:rsidRPr="003B7EA9">
        <w:t>,</w:t>
      </w:r>
      <w:r w:rsidR="00F11C0B" w:rsidRPr="003B7EA9">
        <w:t xml:space="preserve"> who have not previously been investigated in this way</w:t>
      </w:r>
      <w:r w:rsidR="00436C01" w:rsidRPr="003B7EA9">
        <w:t>;</w:t>
      </w:r>
      <w:r w:rsidR="00F11C0B" w:rsidRPr="003B7EA9">
        <w:t xml:space="preserve"> or Sikhs, often considered only as a sub-set of the Indian ethnic group</w:t>
      </w:r>
      <w:r w:rsidR="00436C01" w:rsidRPr="003B7EA9">
        <w:t>;</w:t>
      </w:r>
      <w:r w:rsidR="00473B4A" w:rsidRPr="003B7EA9">
        <w:t xml:space="preserve"> </w:t>
      </w:r>
      <w:r w:rsidR="00F11C0B" w:rsidRPr="003B7EA9">
        <w:t>or for under-studied ethnic groups such as Arabs</w:t>
      </w:r>
      <w:r w:rsidRPr="003B7EA9">
        <w:t xml:space="preserve">.  Secondly, </w:t>
      </w:r>
      <w:r w:rsidR="00EB405A" w:rsidRPr="003B7EA9">
        <w:t>following a more than doubling in its student numbers since the 2001 census, the</w:t>
      </w:r>
      <w:r w:rsidRPr="003B7EA9">
        <w:t xml:space="preserve"> Chinese group’s migration behaviour </w:t>
      </w:r>
      <w:r w:rsidR="00EB405A" w:rsidRPr="003B7EA9">
        <w:t>warrants further examination</w:t>
      </w:r>
      <w:r w:rsidRPr="003B7EA9">
        <w:t>.  Indeed, more generally, this study provides an opportunity to re-visit the relationship between population characteristics and propensity to migrate based on 2011 census microdata, rather than 2001 data utilised in many of the published works</w:t>
      </w:r>
      <w:r w:rsidR="00FC01BD">
        <w:t>,</w:t>
      </w:r>
      <w:r w:rsidR="00BD0682" w:rsidRPr="003B7EA9">
        <w:t xml:space="preserve"> particularly in the light of the apparent downward trend over time in overall migration rates</w:t>
      </w:r>
      <w:r w:rsidRPr="003B7EA9">
        <w:t xml:space="preserve">.  </w:t>
      </w:r>
    </w:p>
    <w:p w14:paraId="3BD23BCA" w14:textId="77777777" w:rsidR="00AB6F9E" w:rsidRPr="003B7EA9" w:rsidRDefault="00DE1D8C" w:rsidP="00DE1D8C">
      <w:r w:rsidRPr="003B7EA9">
        <w:t xml:space="preserve">Finally, </w:t>
      </w:r>
      <w:r w:rsidR="007A6F8D" w:rsidRPr="003B7EA9">
        <w:t>we should not lose sight of</w:t>
      </w:r>
      <w:r w:rsidRPr="003B7EA9">
        <w:t xml:space="preserve"> the view expressed by Everett Lee fifty years ago that ‘the decision to migrate is never completely rational, and for some persons the rational component is much less than the irrational’ (Lee, 1966, p51).  </w:t>
      </w:r>
    </w:p>
    <w:p w14:paraId="0B4C8DED" w14:textId="77777777" w:rsidR="00AB6F9E" w:rsidRPr="003B7EA9" w:rsidRDefault="00AB6F9E" w:rsidP="00413F57">
      <w:pPr>
        <w:pStyle w:val="Heading2"/>
        <w:numPr>
          <w:ilvl w:val="0"/>
          <w:numId w:val="0"/>
        </w:numPr>
        <w:jc w:val="left"/>
      </w:pPr>
      <w:r w:rsidRPr="003B7EA9">
        <w:t>Sources of Data for this Study</w:t>
      </w:r>
    </w:p>
    <w:p w14:paraId="12ED72E6" w14:textId="4A62CD3D" w:rsidR="009F106D" w:rsidRPr="003B7EA9" w:rsidRDefault="00DE1D8C" w:rsidP="009F106D">
      <w:r w:rsidRPr="003B7EA9">
        <w:t>The</w:t>
      </w:r>
      <w:r w:rsidR="009F106D" w:rsidRPr="003B7EA9">
        <w:t xml:space="preserve"> </w:t>
      </w:r>
      <w:r w:rsidR="00762758" w:rsidRPr="003B7EA9">
        <w:t>majority</w:t>
      </w:r>
      <w:r w:rsidR="009F106D" w:rsidRPr="003B7EA9">
        <w:t xml:space="preserve"> of </w:t>
      </w:r>
      <w:r w:rsidR="00762758" w:rsidRPr="003B7EA9">
        <w:t>projects</w:t>
      </w:r>
      <w:r w:rsidR="009F106D" w:rsidRPr="003B7EA9">
        <w:t xml:space="preserve"> researching </w:t>
      </w:r>
      <w:r w:rsidR="00762758" w:rsidRPr="003B7EA9">
        <w:t>internal</w:t>
      </w:r>
      <w:r w:rsidR="009F106D" w:rsidRPr="003B7EA9">
        <w:t xml:space="preserve"> </w:t>
      </w:r>
      <w:r w:rsidR="00762758" w:rsidRPr="003B7EA9">
        <w:t>migration</w:t>
      </w:r>
      <w:r w:rsidR="009F106D" w:rsidRPr="003B7EA9">
        <w:t xml:space="preserve"> in the UK have used either census data or data from the </w:t>
      </w:r>
      <w:r w:rsidR="00815427" w:rsidRPr="003B7EA9">
        <w:t>National Health Service Central Register (</w:t>
      </w:r>
      <w:r w:rsidR="009F106D" w:rsidRPr="003B7EA9">
        <w:t>NHSCR</w:t>
      </w:r>
      <w:r w:rsidR="00815427" w:rsidRPr="003B7EA9">
        <w:t>)</w:t>
      </w:r>
      <w:r w:rsidR="009F106D" w:rsidRPr="003B7EA9">
        <w:t xml:space="preserve">/Patient </w:t>
      </w:r>
      <w:r w:rsidR="00762758" w:rsidRPr="003B7EA9">
        <w:t>survey</w:t>
      </w:r>
      <w:r w:rsidR="009F106D" w:rsidRPr="003B7EA9">
        <w:t xml:space="preserve">.  However, </w:t>
      </w:r>
      <w:r w:rsidR="00E224B2" w:rsidRPr="003B7EA9">
        <w:t>for th</w:t>
      </w:r>
      <w:r w:rsidRPr="003B7EA9">
        <w:t>is study</w:t>
      </w:r>
      <w:r w:rsidR="00E224B2" w:rsidRPr="003B7EA9">
        <w:t>,</w:t>
      </w:r>
      <w:r w:rsidR="009F106D" w:rsidRPr="003B7EA9">
        <w:t xml:space="preserve"> data sources are more limited</w:t>
      </w:r>
      <w:r w:rsidR="00E224B2" w:rsidRPr="003B7EA9">
        <w:t>, as t</w:t>
      </w:r>
      <w:r w:rsidR="00762758" w:rsidRPr="003B7EA9">
        <w:t>he NHSCR does not record religion</w:t>
      </w:r>
      <w:r w:rsidRPr="003B7EA9">
        <w:t xml:space="preserve"> or ethnic group</w:t>
      </w:r>
      <w:r w:rsidR="00762758" w:rsidRPr="003B7EA9">
        <w:t xml:space="preserve">, and this limitation applies to most of the other specialist sources.   </w:t>
      </w:r>
      <w:r w:rsidR="00B07A99" w:rsidRPr="003B7EA9">
        <w:t xml:space="preserve">Some </w:t>
      </w:r>
      <w:r w:rsidR="009F106D" w:rsidRPr="003B7EA9">
        <w:t>sources</w:t>
      </w:r>
      <w:r w:rsidR="00B07A99" w:rsidRPr="003B7EA9">
        <w:t>, such as the British Household Panel Survey</w:t>
      </w:r>
      <w:r w:rsidR="00396F01" w:rsidRPr="003B7EA9">
        <w:t>,</w:t>
      </w:r>
      <w:r w:rsidR="00B07A99" w:rsidRPr="003B7EA9">
        <w:t xml:space="preserve"> </w:t>
      </w:r>
      <w:r w:rsidR="00396F01" w:rsidRPr="003B7EA9">
        <w:t>i</w:t>
      </w:r>
      <w:r w:rsidR="00B07A99" w:rsidRPr="003B7EA9">
        <w:t>ts successor Understanding Society</w:t>
      </w:r>
      <w:r w:rsidR="00396F01" w:rsidRPr="003B7EA9">
        <w:t xml:space="preserve">, and the </w:t>
      </w:r>
      <w:r w:rsidR="00A051CD">
        <w:t>Office for National Statistics (</w:t>
      </w:r>
      <w:r w:rsidR="00396F01" w:rsidRPr="003B7EA9">
        <w:t>ONS</w:t>
      </w:r>
      <w:r w:rsidR="00A051CD">
        <w:t>)</w:t>
      </w:r>
      <w:r w:rsidR="00396F01" w:rsidRPr="003B7EA9">
        <w:t xml:space="preserve"> Longitudinal S</w:t>
      </w:r>
      <w:r w:rsidR="000C5693" w:rsidRPr="003B7EA9">
        <w:t>tudy</w:t>
      </w:r>
      <w:r w:rsidR="00B07A99" w:rsidRPr="003B7EA9">
        <w:t xml:space="preserve"> </w:t>
      </w:r>
      <w:r w:rsidR="009F106D" w:rsidRPr="003B7EA9">
        <w:t xml:space="preserve">do include </w:t>
      </w:r>
      <w:r w:rsidRPr="003B7EA9">
        <w:t>such information,</w:t>
      </w:r>
      <w:r w:rsidR="009F106D" w:rsidRPr="003B7EA9">
        <w:t xml:space="preserve"> but the sample size </w:t>
      </w:r>
      <w:r w:rsidR="00E224B2" w:rsidRPr="003B7EA9">
        <w:t>(for Jews</w:t>
      </w:r>
      <w:r w:rsidRPr="003B7EA9">
        <w:t xml:space="preserve"> and similarly</w:t>
      </w:r>
      <w:r w:rsidR="00A051CD">
        <w:t xml:space="preserve"> </w:t>
      </w:r>
      <w:r w:rsidRPr="003B7EA9">
        <w:t xml:space="preserve">sized </w:t>
      </w:r>
      <w:r w:rsidR="008F6ADD" w:rsidRPr="003B7EA9">
        <w:t xml:space="preserve">minority </w:t>
      </w:r>
      <w:r w:rsidRPr="003B7EA9">
        <w:t>groups</w:t>
      </w:r>
      <w:r w:rsidR="00E224B2" w:rsidRPr="003B7EA9">
        <w:t xml:space="preserve">) </w:t>
      </w:r>
      <w:r w:rsidR="009F106D" w:rsidRPr="003B7EA9">
        <w:t>is too small for use in this study</w:t>
      </w:r>
      <w:r w:rsidR="00396F01" w:rsidRPr="003B7EA9">
        <w:t>.</w:t>
      </w:r>
      <w:r w:rsidR="008423E3" w:rsidRPr="003B7EA9">
        <w:t xml:space="preserve"> </w:t>
      </w:r>
    </w:p>
    <w:p w14:paraId="3A5DA511" w14:textId="70F79113" w:rsidR="00806DCA" w:rsidRPr="003B7EA9" w:rsidRDefault="006A52FE" w:rsidP="00806DCA">
      <w:r w:rsidRPr="003B7EA9">
        <w:t xml:space="preserve">Two 5% </w:t>
      </w:r>
      <w:r w:rsidR="00762758" w:rsidRPr="003B7EA9">
        <w:t>sample</w:t>
      </w:r>
      <w:r w:rsidRPr="003B7EA9">
        <w:t xml:space="preserve"> </w:t>
      </w:r>
      <w:r w:rsidR="00762758" w:rsidRPr="003B7EA9">
        <w:t>individual</w:t>
      </w:r>
      <w:r w:rsidRPr="003B7EA9">
        <w:t xml:space="preserve"> microdata files </w:t>
      </w:r>
      <w:r w:rsidR="00152D0F">
        <w:t xml:space="preserve">(the Local Authority and Regional files) </w:t>
      </w:r>
      <w:r w:rsidRPr="003B7EA9">
        <w:t xml:space="preserve">from the 2011 census have been made </w:t>
      </w:r>
      <w:r w:rsidR="00762758" w:rsidRPr="003B7EA9">
        <w:t>available</w:t>
      </w:r>
      <w:r w:rsidRPr="003B7EA9">
        <w:t xml:space="preserve"> by ONS to approved </w:t>
      </w:r>
      <w:r w:rsidR="00762758" w:rsidRPr="003B7EA9">
        <w:t>researchers</w:t>
      </w:r>
      <w:r w:rsidR="00A5613D" w:rsidRPr="003B7EA9">
        <w:t xml:space="preserve">; they include records for over 26,000 Jews, of whom more than 3,000 moved </w:t>
      </w:r>
      <w:r w:rsidR="00A77E05" w:rsidRPr="003B7EA9">
        <w:t xml:space="preserve">home </w:t>
      </w:r>
      <w:r w:rsidR="00A5613D" w:rsidRPr="003B7EA9">
        <w:t>between 2010 and 2011</w:t>
      </w:r>
      <w:r w:rsidR="006808EC" w:rsidRPr="003B7EA9">
        <w:t xml:space="preserve"> (and similar numbers for the other small groups)</w:t>
      </w:r>
      <w:r w:rsidRPr="003B7EA9">
        <w:t xml:space="preserve">.  Both files provide </w:t>
      </w:r>
      <w:r w:rsidR="00762758" w:rsidRPr="003B7EA9">
        <w:t>access</w:t>
      </w:r>
      <w:r w:rsidRPr="003B7EA9">
        <w:t xml:space="preserve"> to a </w:t>
      </w:r>
      <w:r w:rsidR="00762758" w:rsidRPr="003B7EA9">
        <w:t>wide</w:t>
      </w:r>
      <w:r w:rsidRPr="003B7EA9">
        <w:t xml:space="preserve"> range of </w:t>
      </w:r>
      <w:r w:rsidR="00762758" w:rsidRPr="003B7EA9">
        <w:t>characteristics</w:t>
      </w:r>
      <w:r w:rsidR="008F6ADD" w:rsidRPr="003B7EA9">
        <w:t xml:space="preserve">, </w:t>
      </w:r>
      <w:r w:rsidRPr="003B7EA9">
        <w:t xml:space="preserve">allow </w:t>
      </w:r>
      <w:r w:rsidR="00762758" w:rsidRPr="003B7EA9">
        <w:t>migration</w:t>
      </w:r>
      <w:r w:rsidRPr="003B7EA9">
        <w:t xml:space="preserve"> to be examined in </w:t>
      </w:r>
      <w:r w:rsidR="00141C0E" w:rsidRPr="003B7EA9">
        <w:t>considerable</w:t>
      </w:r>
      <w:r w:rsidRPr="003B7EA9">
        <w:t xml:space="preserve"> detail</w:t>
      </w:r>
      <w:r w:rsidR="00A77E05" w:rsidRPr="003B7EA9">
        <w:t>, and are</w:t>
      </w:r>
      <w:r w:rsidR="00141C0E" w:rsidRPr="003B7EA9">
        <w:t xml:space="preserve"> the primary source used in this study.</w:t>
      </w:r>
      <w:r w:rsidR="00A77E05" w:rsidRPr="003B7EA9">
        <w:t xml:space="preserve">  </w:t>
      </w:r>
      <w:r w:rsidR="00507240" w:rsidRPr="003B7EA9">
        <w:t xml:space="preserve">The population for this study includes all usual residents </w:t>
      </w:r>
      <w:r w:rsidR="00367AF2" w:rsidRPr="003B7EA9">
        <w:t>of England an</w:t>
      </w:r>
      <w:r w:rsidR="003407EA" w:rsidRPr="003B7EA9">
        <w:t>d</w:t>
      </w:r>
      <w:r w:rsidR="00367AF2" w:rsidRPr="003B7EA9">
        <w:t xml:space="preserve"> Wales, </w:t>
      </w:r>
      <w:r w:rsidR="00507240" w:rsidRPr="003B7EA9">
        <w:t>aged over 1 year of age</w:t>
      </w:r>
      <w:r w:rsidR="003407EA" w:rsidRPr="003B7EA9">
        <w:t xml:space="preserve"> (that is, excluding those who did not have a 12 months prior-to-the-census address in England and Wales)</w:t>
      </w:r>
      <w:r w:rsidR="00367AF2" w:rsidRPr="003B7EA9">
        <w:t xml:space="preserve">, </w:t>
      </w:r>
      <w:r w:rsidR="00BB56BA" w:rsidRPr="003B7EA9">
        <w:t>including</w:t>
      </w:r>
      <w:r w:rsidR="00367AF2" w:rsidRPr="003B7EA9">
        <w:t xml:space="preserve"> </w:t>
      </w:r>
      <w:r w:rsidR="003407EA" w:rsidRPr="003B7EA9">
        <w:t>students</w:t>
      </w:r>
      <w:r w:rsidR="00367AF2" w:rsidRPr="003B7EA9">
        <w:t xml:space="preserve"> </w:t>
      </w:r>
      <w:r w:rsidR="003407EA" w:rsidRPr="003B7EA9">
        <w:t>recorded at their</w:t>
      </w:r>
      <w:r w:rsidR="00367AF2" w:rsidRPr="003B7EA9">
        <w:t xml:space="preserve"> term t</w:t>
      </w:r>
      <w:r w:rsidR="003407EA" w:rsidRPr="003B7EA9">
        <w:t>ime</w:t>
      </w:r>
      <w:r w:rsidR="00367AF2" w:rsidRPr="003B7EA9">
        <w:t xml:space="preserve"> address</w:t>
      </w:r>
      <w:r w:rsidR="008F6ADD" w:rsidRPr="003B7EA9">
        <w:t>, captured in either file</w:t>
      </w:r>
      <w:r w:rsidR="00367AF2" w:rsidRPr="003B7EA9">
        <w:t xml:space="preserve"> – 5.46 million </w:t>
      </w:r>
      <w:r w:rsidR="003407EA" w:rsidRPr="003B7EA9">
        <w:t>persons. Of these,</w:t>
      </w:r>
      <w:r w:rsidR="00352727" w:rsidRPr="003B7EA9">
        <w:t xml:space="preserve"> </w:t>
      </w:r>
      <w:r w:rsidR="00AC42E9" w:rsidRPr="003B7EA9">
        <w:t xml:space="preserve">about </w:t>
      </w:r>
      <w:r w:rsidR="00367AF2" w:rsidRPr="003B7EA9">
        <w:t>0.61 million (11%) are ‘movers’ – their address 12 months prior to the census was some</w:t>
      </w:r>
      <w:r w:rsidR="003407EA" w:rsidRPr="003B7EA9">
        <w:t>where</w:t>
      </w:r>
      <w:r w:rsidR="00367AF2" w:rsidRPr="003B7EA9">
        <w:t xml:space="preserve"> </w:t>
      </w:r>
      <w:r w:rsidR="003407EA" w:rsidRPr="003B7EA9">
        <w:t>else</w:t>
      </w:r>
      <w:r w:rsidR="00367AF2" w:rsidRPr="003B7EA9">
        <w:t xml:space="preserve"> wi</w:t>
      </w:r>
      <w:r w:rsidR="003407EA" w:rsidRPr="003B7EA9">
        <w:t>t</w:t>
      </w:r>
      <w:r w:rsidR="00367AF2" w:rsidRPr="003B7EA9">
        <w:t>h</w:t>
      </w:r>
      <w:r w:rsidR="003407EA" w:rsidRPr="003B7EA9">
        <w:t>i</w:t>
      </w:r>
      <w:r w:rsidR="00367AF2" w:rsidRPr="003B7EA9">
        <w:t xml:space="preserve">n England </w:t>
      </w:r>
      <w:r w:rsidR="003407EA" w:rsidRPr="003B7EA9">
        <w:t>and</w:t>
      </w:r>
      <w:r w:rsidR="00367AF2" w:rsidRPr="003B7EA9">
        <w:t xml:space="preserve"> Wales.  </w:t>
      </w:r>
    </w:p>
    <w:p w14:paraId="359249E7" w14:textId="64857000" w:rsidR="00AE585B" w:rsidRPr="003B7EA9" w:rsidRDefault="00AE585B" w:rsidP="00AE585B">
      <w:r w:rsidRPr="003B7EA9">
        <w:lastRenderedPageBreak/>
        <w:t xml:space="preserve">Table </w:t>
      </w:r>
      <w:r w:rsidR="00514946" w:rsidRPr="003B7EA9">
        <w:t>1</w:t>
      </w:r>
      <w:r w:rsidRPr="003B7EA9">
        <w:t xml:space="preserve"> provides a basic summary of information about the relevant groups contained within the overall dataset.   It </w:t>
      </w:r>
      <w:r w:rsidR="00F35EE1" w:rsidRPr="003B7EA9">
        <w:t>should be noted</w:t>
      </w:r>
      <w:r w:rsidRPr="003B7EA9">
        <w:t xml:space="preserve"> that Arabs can only be identified in the regional file (they are grouped with ‘other ethnic groups’ in the local authority file); thus there is only a 5% sample available for Arabs, compared with 10% for the other groups.  </w:t>
      </w:r>
    </w:p>
    <w:p w14:paraId="4829FCC2" w14:textId="3C434005" w:rsidR="00AE585B" w:rsidRPr="003B7EA9" w:rsidRDefault="00396F01" w:rsidP="00AE585B">
      <w:r w:rsidRPr="003B7EA9">
        <w:t>The table</w:t>
      </w:r>
      <w:r w:rsidR="00AE585B" w:rsidRPr="003B7EA9">
        <w:t xml:space="preserve"> summarises the proportions moving home in the 12 months prior to the census, and indicates that more than twice the proportion of Chinese residents of England and Wales moved in the 12 months prior to the census than did the white British group.   Figure 1 presents migration-by-age information, and Figure 2 illustrates the age profile for each group as a whole (not just migrants).   Both figures show a peak for the Chinese group in the 19-24 year age range – suggesting that </w:t>
      </w:r>
      <w:r w:rsidR="00B42947" w:rsidRPr="003B7EA9">
        <w:t>the high overall migration rate for the Chinese group arises from a</w:t>
      </w:r>
      <w:r w:rsidR="00AE585B" w:rsidRPr="003B7EA9">
        <w:t xml:space="preserve"> combination of a high likelihood of those in that age group migrating, with a large proportion of the Chinese population falling into that age group.</w:t>
      </w:r>
      <w:r w:rsidR="000A1CF9">
        <w:t xml:space="preserve">  The Chinese group also has the highest proportion making longer distance moves.</w:t>
      </w:r>
      <w:r w:rsidR="00AE585B" w:rsidRPr="003B7EA9">
        <w:t xml:space="preserve">  </w:t>
      </w:r>
    </w:p>
    <w:p w14:paraId="0DD27027" w14:textId="77777777" w:rsidR="003407EA" w:rsidRPr="003B7EA9" w:rsidRDefault="00062B6A" w:rsidP="003407EA">
      <w:r w:rsidRPr="003B7EA9">
        <w:t>Whilst</w:t>
      </w:r>
      <w:r w:rsidR="000328BB" w:rsidRPr="003B7EA9">
        <w:t xml:space="preserve"> the </w:t>
      </w:r>
      <w:r w:rsidRPr="003B7EA9">
        <w:t>microdata</w:t>
      </w:r>
      <w:r w:rsidR="000328BB" w:rsidRPr="003B7EA9">
        <w:t xml:space="preserve"> provide infor</w:t>
      </w:r>
      <w:r w:rsidRPr="003B7EA9">
        <w:t>mati</w:t>
      </w:r>
      <w:r w:rsidR="000328BB" w:rsidRPr="003B7EA9">
        <w:t xml:space="preserve">on on a wide range of </w:t>
      </w:r>
      <w:r w:rsidRPr="003B7EA9">
        <w:t>characteristics</w:t>
      </w:r>
      <w:r w:rsidR="000328BB" w:rsidRPr="003B7EA9">
        <w:t xml:space="preserve"> it is important to recognise some short-comings in </w:t>
      </w:r>
      <w:r w:rsidRPr="003B7EA9">
        <w:t>relation</w:t>
      </w:r>
      <w:r w:rsidR="000328BB" w:rsidRPr="003B7EA9">
        <w:t xml:space="preserve"> to investi</w:t>
      </w:r>
      <w:r w:rsidRPr="003B7EA9">
        <w:t>gating</w:t>
      </w:r>
      <w:r w:rsidR="000328BB" w:rsidRPr="003B7EA9">
        <w:t xml:space="preserve"> migration</w:t>
      </w:r>
      <w:r w:rsidR="00EC3DE5" w:rsidRPr="003B7EA9">
        <w:t xml:space="preserve"> (Champion et al, 1998; Bail</w:t>
      </w:r>
      <w:r w:rsidR="00352727" w:rsidRPr="003B7EA9">
        <w:t>e</w:t>
      </w:r>
      <w:r w:rsidR="00EC3DE5" w:rsidRPr="003B7EA9">
        <w:t>y and Livingston, 2005)</w:t>
      </w:r>
      <w:r w:rsidR="000328BB" w:rsidRPr="003B7EA9">
        <w:t xml:space="preserve">.  </w:t>
      </w:r>
      <w:r w:rsidR="008423E3" w:rsidRPr="003B7EA9">
        <w:t xml:space="preserve">Most particularly, </w:t>
      </w:r>
      <w:r w:rsidRPr="003B7EA9">
        <w:t xml:space="preserve">socio-economic characteristics </w:t>
      </w:r>
      <w:r w:rsidR="008423E3" w:rsidRPr="003B7EA9">
        <w:t>applying prior to the move (and potentially ‘explaining’ the decision to move) can</w:t>
      </w:r>
      <w:r w:rsidRPr="003B7EA9">
        <w:t>not be ascertained</w:t>
      </w:r>
      <w:r w:rsidR="00BB56BA" w:rsidRPr="003B7EA9">
        <w:rPr>
          <w:rStyle w:val="FootnoteReference"/>
        </w:rPr>
        <w:footnoteReference w:id="2"/>
      </w:r>
      <w:r w:rsidRPr="003B7EA9">
        <w:t xml:space="preserve"> – so, for example, if an unemployed person moved home to take up employment this cannot be ascertained as only the employment status on census day is recorded.</w:t>
      </w:r>
      <w:r w:rsidR="003407EA" w:rsidRPr="003B7EA9">
        <w:t xml:space="preserve">  So, to what extent does this possible weakness impact on </w:t>
      </w:r>
      <w:r w:rsidR="000454FF">
        <w:t xml:space="preserve">use of </w:t>
      </w:r>
      <w:r w:rsidR="008423E3" w:rsidRPr="003B7EA9">
        <w:t>this data source</w:t>
      </w:r>
      <w:r w:rsidR="003407EA" w:rsidRPr="003B7EA9">
        <w:t xml:space="preserve">? </w:t>
      </w:r>
    </w:p>
    <w:p w14:paraId="5D253B31" w14:textId="77777777" w:rsidR="00B10DF9" w:rsidRPr="003B7EA9" w:rsidRDefault="003407EA" w:rsidP="003407EA">
      <w:r w:rsidRPr="003B7EA9">
        <w:t xml:space="preserve">This study is not, of course, the first to use UK census data to examine </w:t>
      </w:r>
      <w:r w:rsidR="008423E3" w:rsidRPr="003B7EA9">
        <w:t xml:space="preserve">drivers of </w:t>
      </w:r>
      <w:r w:rsidRPr="003B7EA9">
        <w:t>migration</w:t>
      </w:r>
      <w:r w:rsidR="006808EC" w:rsidRPr="003B7EA9">
        <w:t xml:space="preserve"> (see, for example, </w:t>
      </w:r>
      <w:r w:rsidRPr="003B7EA9">
        <w:t>Bailey and Livingston</w:t>
      </w:r>
      <w:r w:rsidR="006808EC" w:rsidRPr="003B7EA9">
        <w:t xml:space="preserve">, </w:t>
      </w:r>
      <w:r w:rsidRPr="003B7EA9">
        <w:t>2005</w:t>
      </w:r>
      <w:r w:rsidR="006808EC" w:rsidRPr="003B7EA9">
        <w:t>;</w:t>
      </w:r>
      <w:r w:rsidRPr="003B7EA9">
        <w:t xml:space="preserve"> Finney and Simpson</w:t>
      </w:r>
      <w:r w:rsidR="006808EC" w:rsidRPr="003B7EA9">
        <w:t xml:space="preserve">, </w:t>
      </w:r>
      <w:r w:rsidRPr="003B7EA9">
        <w:t>2008</w:t>
      </w:r>
      <w:r w:rsidR="006808EC" w:rsidRPr="003B7EA9">
        <w:t>;</w:t>
      </w:r>
      <w:r w:rsidRPr="003B7EA9">
        <w:t xml:space="preserve"> and Manley and </w:t>
      </w:r>
      <w:proofErr w:type="spellStart"/>
      <w:r w:rsidRPr="003B7EA9">
        <w:t>Catney</w:t>
      </w:r>
      <w:proofErr w:type="spellEnd"/>
      <w:r w:rsidR="006808EC" w:rsidRPr="003B7EA9">
        <w:t xml:space="preserve">, </w:t>
      </w:r>
      <w:r w:rsidRPr="003B7EA9">
        <w:t>2012</w:t>
      </w:r>
      <w:r w:rsidR="006808EC" w:rsidRPr="003B7EA9">
        <w:t>; none of w</w:t>
      </w:r>
      <w:r w:rsidR="00BA471E" w:rsidRPr="003B7EA9">
        <w:t>hom comment</w:t>
      </w:r>
      <w:r w:rsidR="006808EC" w:rsidRPr="003B7EA9">
        <w:t xml:space="preserve"> on the potential impact of this </w:t>
      </w:r>
      <w:r w:rsidR="00BA471E" w:rsidRPr="003B7EA9">
        <w:t xml:space="preserve">potential drawback </w:t>
      </w:r>
      <w:r w:rsidR="006808EC" w:rsidRPr="003B7EA9">
        <w:t>on the analysis and results presented</w:t>
      </w:r>
      <w:r w:rsidRPr="003B7EA9">
        <w:t>).</w:t>
      </w:r>
      <w:r w:rsidR="000C5693" w:rsidRPr="003B7EA9">
        <w:t xml:space="preserve">  </w:t>
      </w:r>
      <w:r w:rsidRPr="003B7EA9">
        <w:t xml:space="preserve">It is, </w:t>
      </w:r>
      <w:r w:rsidR="00562C74" w:rsidRPr="003B7EA9">
        <w:t>therefore</w:t>
      </w:r>
      <w:r w:rsidRPr="003B7EA9">
        <w:t xml:space="preserve">, worth considering whether there might be other sources of data </w:t>
      </w:r>
      <w:r w:rsidR="00EB405A" w:rsidRPr="003B7EA9">
        <w:t>that</w:t>
      </w:r>
      <w:r w:rsidRPr="003B7EA9">
        <w:t xml:space="preserve"> </w:t>
      </w:r>
      <w:r w:rsidR="00061EB4" w:rsidRPr="003B7EA9">
        <w:t>could</w:t>
      </w:r>
      <w:r w:rsidRPr="003B7EA9">
        <w:t xml:space="preserve"> shed some light on the issue.  </w:t>
      </w:r>
    </w:p>
    <w:p w14:paraId="785CBB63" w14:textId="77777777" w:rsidR="003407EA" w:rsidRPr="003B7EA9" w:rsidRDefault="00BB56BA" w:rsidP="00B10DF9">
      <w:r w:rsidRPr="003B7EA9">
        <w:t>Three major high-quality sources were examined.</w:t>
      </w:r>
      <w:r w:rsidR="00B10DF9" w:rsidRPr="003B7EA9">
        <w:t xml:space="preserve">  The ONS </w:t>
      </w:r>
      <w:r w:rsidR="003407EA" w:rsidRPr="003B7EA9">
        <w:t xml:space="preserve">Longitudinal Study </w:t>
      </w:r>
      <w:r w:rsidR="00B10DF9" w:rsidRPr="003B7EA9">
        <w:t xml:space="preserve">was ruled out as its </w:t>
      </w:r>
      <w:r w:rsidR="003407EA" w:rsidRPr="003B7EA9">
        <w:t>prior-to-move characteristics relate to the previous census</w:t>
      </w:r>
      <w:r w:rsidR="00B10DF9" w:rsidRPr="003B7EA9">
        <w:t>, at l</w:t>
      </w:r>
      <w:r w:rsidR="00F35EE1" w:rsidRPr="003B7EA9">
        <w:t>e</w:t>
      </w:r>
      <w:r w:rsidR="00B10DF9" w:rsidRPr="003B7EA9">
        <w:t xml:space="preserve">ast nine years prior to the move.  </w:t>
      </w:r>
      <w:r w:rsidR="003407EA" w:rsidRPr="003B7EA9">
        <w:t xml:space="preserve">Understanding Society </w:t>
      </w:r>
      <w:r w:rsidR="00B10DF9" w:rsidRPr="003B7EA9">
        <w:t xml:space="preserve">had to be ruled out due to severe attrition of respondents </w:t>
      </w:r>
      <w:r w:rsidR="003407EA" w:rsidRPr="003B7EA9">
        <w:t>becoming untraceable becaus</w:t>
      </w:r>
      <w:r w:rsidRPr="003B7EA9">
        <w:t xml:space="preserve">e they have moved home </w:t>
      </w:r>
      <w:r w:rsidR="003407EA" w:rsidRPr="003B7EA9">
        <w:t>(</w:t>
      </w:r>
      <w:proofErr w:type="spellStart"/>
      <w:r w:rsidR="003407EA" w:rsidRPr="003B7EA9">
        <w:t>Knies</w:t>
      </w:r>
      <w:proofErr w:type="spellEnd"/>
      <w:r w:rsidR="003407EA" w:rsidRPr="003B7EA9">
        <w:t>, 2014</w:t>
      </w:r>
      <w:r w:rsidR="00B10DF9" w:rsidRPr="003B7EA9">
        <w:t>)</w:t>
      </w:r>
      <w:r w:rsidR="007611C4" w:rsidRPr="003B7EA9">
        <w:t>.</w:t>
      </w:r>
      <w:r w:rsidR="00B10DF9" w:rsidRPr="003B7EA9">
        <w:t xml:space="preserve">  </w:t>
      </w:r>
      <w:r w:rsidR="003407EA" w:rsidRPr="003B7EA9">
        <w:t xml:space="preserve">The </w:t>
      </w:r>
      <w:r w:rsidR="00B10DF9" w:rsidRPr="003B7EA9">
        <w:t xml:space="preserve">longitudinal version of the </w:t>
      </w:r>
      <w:r w:rsidR="003407EA" w:rsidRPr="003B7EA9">
        <w:t xml:space="preserve">Labour Force Survey (LFS) </w:t>
      </w:r>
      <w:r w:rsidR="00B10DF9" w:rsidRPr="003B7EA9">
        <w:t>was also ruled out as movers</w:t>
      </w:r>
      <w:r w:rsidR="001D7BF1" w:rsidRPr="003B7EA9">
        <w:t xml:space="preserve"> are </w:t>
      </w:r>
      <w:r w:rsidR="001D7BF1" w:rsidRPr="003B7EA9">
        <w:lastRenderedPageBreak/>
        <w:t>automati</w:t>
      </w:r>
      <w:r w:rsidR="00BA471E" w:rsidRPr="003B7EA9">
        <w:t>call</w:t>
      </w:r>
      <w:r w:rsidR="001D7BF1" w:rsidRPr="003B7EA9">
        <w:t>y replaced by new occupants, making th</w:t>
      </w:r>
      <w:r w:rsidR="00BA471E" w:rsidRPr="003B7EA9">
        <w:t>at</w:t>
      </w:r>
      <w:r w:rsidR="001D7BF1" w:rsidRPr="003B7EA9">
        <w:t xml:space="preserve"> output irrelevant to this study</w:t>
      </w:r>
      <w:r w:rsidR="000857EC" w:rsidRPr="003B7EA9">
        <w:t xml:space="preserve"> (ONS, 2015)</w:t>
      </w:r>
      <w:r w:rsidR="001D7BF1" w:rsidRPr="003B7EA9">
        <w:t xml:space="preserve">.  </w:t>
      </w:r>
    </w:p>
    <w:p w14:paraId="188DB715" w14:textId="48D04C90" w:rsidR="003407EA" w:rsidRPr="003B7EA9" w:rsidRDefault="003407EA" w:rsidP="003407EA">
      <w:r w:rsidRPr="003B7EA9">
        <w:t>The main (non-longitudinal) output from the LFS does include a variable which indicates whether the respondent was living at the same address 12 months previously</w:t>
      </w:r>
      <w:r w:rsidR="0073365C" w:rsidRPr="003B7EA9">
        <w:t xml:space="preserve">, </w:t>
      </w:r>
      <w:r w:rsidRPr="003B7EA9">
        <w:t>so it is possible to identify migrants</w:t>
      </w:r>
      <w:r w:rsidR="00E76410" w:rsidRPr="003B7EA9">
        <w:t xml:space="preserve"> (ONS, 2011)</w:t>
      </w:r>
      <w:r w:rsidRPr="003B7EA9">
        <w:t>.   The April to June 2011 quarterly survey (</w:t>
      </w:r>
      <w:proofErr w:type="spellStart"/>
      <w:r w:rsidRPr="003B7EA9">
        <w:t>ie</w:t>
      </w:r>
      <w:proofErr w:type="spellEnd"/>
      <w:r w:rsidRPr="003B7EA9">
        <w:t xml:space="preserve"> a period close to the 2011 census) includes 9</w:t>
      </w:r>
      <w:r w:rsidR="00061EB4" w:rsidRPr="003B7EA9">
        <w:t>,</w:t>
      </w:r>
      <w:r w:rsidRPr="003B7EA9">
        <w:t>700 individuals who had been at their current address for less than 12 months; 9.7% of the total of 100,200 persons</w:t>
      </w:r>
      <w:r w:rsidR="00B87691" w:rsidRPr="00B87691">
        <w:t xml:space="preserve"> (all of whom live in private households and are aged 16 or more)</w:t>
      </w:r>
      <w:r w:rsidR="00B87691">
        <w:t xml:space="preserve"> </w:t>
      </w:r>
      <w:r w:rsidRPr="003B7EA9">
        <w:t>who responded to the question – a proportion not materially different to the census figure. Specific questions compare employment status 12 months prior to the survey with current employment status</w:t>
      </w:r>
      <w:r w:rsidR="008F6ADD" w:rsidRPr="003B7EA9">
        <w:t>;</w:t>
      </w:r>
      <w:r w:rsidRPr="003B7EA9">
        <w:t xml:space="preserve"> </w:t>
      </w:r>
      <w:r w:rsidR="008F6ADD" w:rsidRPr="003B7EA9">
        <w:t>thus</w:t>
      </w:r>
      <w:r w:rsidRPr="003B7EA9">
        <w:t xml:space="preserve"> it is possible to produce a broad comparison of economic activity status at the time of the survey, and 12 month</w:t>
      </w:r>
      <w:r w:rsidR="005B66AD">
        <w:t>s</w:t>
      </w:r>
      <w:r w:rsidRPr="003B7EA9">
        <w:t xml:space="preserve"> prior, split between those present at their current address for less than 12 months (movers) and those resident for longer (non-movers), for the 66,200 (of the 100,200 individuals mentioned above) who have these data recorded</w:t>
      </w:r>
      <w:r w:rsidR="0073365C" w:rsidRPr="003B7EA9">
        <w:t xml:space="preserve">, </w:t>
      </w:r>
      <w:r w:rsidRPr="003B7EA9">
        <w:t xml:space="preserve">using a data file accessed via the UK Data Service. </w:t>
      </w:r>
    </w:p>
    <w:p w14:paraId="0FB56CAF" w14:textId="53ACA279" w:rsidR="003407EA" w:rsidRPr="003B7EA9" w:rsidRDefault="003407EA" w:rsidP="00DC440B">
      <w:r w:rsidRPr="003B7EA9">
        <w:t xml:space="preserve">Table </w:t>
      </w:r>
      <w:r w:rsidR="000C5693" w:rsidRPr="003B7EA9">
        <w:t>2</w:t>
      </w:r>
      <w:r w:rsidRPr="003B7EA9">
        <w:t xml:space="preserve"> summarises the split between movers and non-movers based on looking back 12 months from the survey date and</w:t>
      </w:r>
      <w:r w:rsidR="00EB405A" w:rsidRPr="003B7EA9">
        <w:t xml:space="preserve">, </w:t>
      </w:r>
      <w:r w:rsidRPr="003B7EA9">
        <w:t>which might be thought to be preferable</w:t>
      </w:r>
      <w:r w:rsidR="00EB405A" w:rsidRPr="003B7EA9">
        <w:t xml:space="preserve">, </w:t>
      </w:r>
      <w:r w:rsidRPr="003B7EA9">
        <w:t xml:space="preserve">looking forward from 12 months prior to the survey date. This table shows very little difference in the propensity to migrate based on economic status after the event, and before the event; indeed, none of the differences is significant at the 5% level.   </w:t>
      </w:r>
      <w:r w:rsidR="00AA2C7A" w:rsidRPr="003B7EA9">
        <w:t>T</w:t>
      </w:r>
      <w:r w:rsidRPr="003B7EA9">
        <w:t>he analysis of the LFS shows that the overall propensity to move is unaffected by measuring economic status</w:t>
      </w:r>
      <w:r w:rsidR="00AA2C7A" w:rsidRPr="003B7EA9">
        <w:rPr>
          <w:rStyle w:val="FootnoteReference"/>
        </w:rPr>
        <w:footnoteReference w:id="3"/>
      </w:r>
      <w:r w:rsidRPr="003B7EA9">
        <w:t xml:space="preserve"> prior to or after the event</w:t>
      </w:r>
      <w:r w:rsidR="00DC440B" w:rsidRPr="003B7EA9">
        <w:t xml:space="preserve">, and thus supports the use of (post-event) census data in the examination of migration. </w:t>
      </w:r>
    </w:p>
    <w:p w14:paraId="3E173710" w14:textId="77777777" w:rsidR="009F698D" w:rsidRPr="003B7EA9" w:rsidRDefault="008A6439" w:rsidP="00413F57">
      <w:pPr>
        <w:pStyle w:val="Heading2"/>
        <w:numPr>
          <w:ilvl w:val="0"/>
          <w:numId w:val="0"/>
        </w:numPr>
        <w:jc w:val="left"/>
      </w:pPr>
      <w:bookmarkStart w:id="2" w:name="_Toc431393361"/>
      <w:r w:rsidRPr="003B7EA9">
        <w:t>Study Approach and Methodology</w:t>
      </w:r>
      <w:bookmarkEnd w:id="2"/>
    </w:p>
    <w:p w14:paraId="1BA83137" w14:textId="0F274B50" w:rsidR="00BE2E52" w:rsidRPr="003B7EA9" w:rsidRDefault="00513F9C" w:rsidP="001D7BF1">
      <w:r>
        <w:t>P</w:t>
      </w:r>
      <w:r w:rsidR="009F698D" w:rsidRPr="003B7EA9">
        <w:t>revious researchers</w:t>
      </w:r>
      <w:r w:rsidR="007225F7" w:rsidRPr="003B7EA9">
        <w:t xml:space="preserve">, for example Bailey and Livingston (2005), Champion (2001), and Simpson and Finney (2009), </w:t>
      </w:r>
      <w:r w:rsidR="009F698D" w:rsidRPr="003B7EA9">
        <w:t xml:space="preserve">have investigated census data in order to identify the primary characteristics which appear to be the determinants of migration, and there is no intention </w:t>
      </w:r>
      <w:r>
        <w:t>to</w:t>
      </w:r>
      <w:r w:rsidR="009F698D" w:rsidRPr="003B7EA9">
        <w:t xml:space="preserve"> ‘reinvent the wheel’ here.   However, identification of key characteristics is undertaken with the intention of determining whether it is differences in the distribution of these characteristics between the minority groups </w:t>
      </w:r>
      <w:r w:rsidR="00EB405A" w:rsidRPr="003B7EA9">
        <w:t>that</w:t>
      </w:r>
      <w:r w:rsidR="009F698D" w:rsidRPr="003B7EA9">
        <w:t xml:space="preserve"> explains overall difference in migration rates for these groups, or whether some unexplained residual ‘cultural group factor’ remains in play.  </w:t>
      </w:r>
    </w:p>
    <w:p w14:paraId="1E74BAA3" w14:textId="20FC6285" w:rsidR="00F76A27" w:rsidRPr="003B7EA9" w:rsidRDefault="00B87691" w:rsidP="008A6439">
      <w:r w:rsidRPr="00B87691">
        <w:lastRenderedPageBreak/>
        <w:t>The variables initially under examination are those listed in column 1 of Table 3 (plus ‘Age of Individual’ and ‘Formal Marital Status’ mentioned in the table footnote).  In addition, a cultural group variable was defined, with ‘white British’ as the reference category, and Arab, Chinese, Jewish, Sikh, and other background as the other categories.  The ‘other background’ category was not used for analysis proposes – it simply represents the residents of England and Wales who did not fall into the white British or smaller cultural group categories, and permitted the same dataset to be used for analysis of ‘All Usual Residents’ and (suitably filtered) for analysis of individual groups of interest.</w:t>
      </w:r>
    </w:p>
    <w:p w14:paraId="7F28C6C5" w14:textId="0D5C4AC8" w:rsidR="00430BC5" w:rsidRPr="003B7EA9" w:rsidRDefault="00505F8C" w:rsidP="001D7BF1">
      <w:r>
        <w:t>P</w:t>
      </w:r>
      <w:r w:rsidR="00BA471E" w:rsidRPr="003B7EA9">
        <w:t xml:space="preserve">revious studies </w:t>
      </w:r>
      <w:r>
        <w:t>have focussed</w:t>
      </w:r>
      <w:r w:rsidR="00037EDE" w:rsidRPr="003B7EA9">
        <w:t xml:space="preserve"> on persons aged 16 </w:t>
      </w:r>
      <w:r w:rsidR="003667BB">
        <w:t xml:space="preserve">and </w:t>
      </w:r>
      <w:proofErr w:type="gramStart"/>
      <w:r w:rsidR="003667BB">
        <w:t>older</w:t>
      </w:r>
      <w:r w:rsidR="00037EDE" w:rsidRPr="003B7EA9">
        <w:t>,</w:t>
      </w:r>
      <w:proofErr w:type="gramEnd"/>
      <w:r w:rsidR="00037EDE" w:rsidRPr="003B7EA9">
        <w:t xml:space="preserve"> or exclude</w:t>
      </w:r>
      <w:r>
        <w:t>d</w:t>
      </w:r>
      <w:r w:rsidR="00037EDE" w:rsidRPr="003B7EA9">
        <w:t xml:space="preserve"> persons not living in households</w:t>
      </w:r>
      <w:r w:rsidR="0006790E" w:rsidRPr="003B7EA9">
        <w:t xml:space="preserve"> (for example, Bailey and Livingston, 2005)</w:t>
      </w:r>
      <w:r w:rsidR="00CD74A6" w:rsidRPr="003B7EA9">
        <w:t xml:space="preserve">.  </w:t>
      </w:r>
      <w:r>
        <w:t>Exclusion of</w:t>
      </w:r>
      <w:r w:rsidR="00CD74A6" w:rsidRPr="003B7EA9">
        <w:t xml:space="preserve"> parts of the population appears to be based on simplicity of data preparation – standard economic activity </w:t>
      </w:r>
      <w:r w:rsidR="006A43C9" w:rsidRPr="003B7EA9">
        <w:t>categories t</w:t>
      </w:r>
      <w:r w:rsidR="00CD74A6" w:rsidRPr="003B7EA9">
        <w:t xml:space="preserve">end to omit </w:t>
      </w:r>
      <w:r w:rsidR="00FD2F54" w:rsidRPr="003B7EA9">
        <w:t>those</w:t>
      </w:r>
      <w:r w:rsidR="00CD74A6" w:rsidRPr="003B7EA9">
        <w:t xml:space="preserve"> aged under 16, and housing tenure categories usually omit communal </w:t>
      </w:r>
      <w:r w:rsidR="00FD2F54" w:rsidRPr="003B7EA9">
        <w:t>institution</w:t>
      </w:r>
      <w:r w:rsidR="00CD74A6" w:rsidRPr="003B7EA9">
        <w:t xml:space="preserve"> </w:t>
      </w:r>
      <w:r w:rsidR="00FD2F54" w:rsidRPr="003B7EA9">
        <w:t>residents</w:t>
      </w:r>
      <w:r w:rsidR="00CD74A6" w:rsidRPr="003B7EA9">
        <w:t xml:space="preserve">.   However, the </w:t>
      </w:r>
      <w:r w:rsidR="00FD2F54" w:rsidRPr="003B7EA9">
        <w:t>range</w:t>
      </w:r>
      <w:r w:rsidR="00CD74A6" w:rsidRPr="003B7EA9">
        <w:t xml:space="preserve"> of these </w:t>
      </w:r>
      <w:r w:rsidR="00FD2F54" w:rsidRPr="003B7EA9">
        <w:t>variables</w:t>
      </w:r>
      <w:r w:rsidR="00CD74A6" w:rsidRPr="003B7EA9">
        <w:t xml:space="preserve"> can be </w:t>
      </w:r>
      <w:r w:rsidR="00FD2F54" w:rsidRPr="003B7EA9">
        <w:t>extended</w:t>
      </w:r>
      <w:r w:rsidR="00CD74A6" w:rsidRPr="003B7EA9">
        <w:t xml:space="preserve"> to cover all residents by </w:t>
      </w:r>
      <w:r w:rsidR="00FD2F54" w:rsidRPr="003B7EA9">
        <w:t>increasing</w:t>
      </w:r>
      <w:r w:rsidR="00CD74A6" w:rsidRPr="003B7EA9">
        <w:t xml:space="preserve"> the number </w:t>
      </w:r>
      <w:r w:rsidR="00FD2F54" w:rsidRPr="003B7EA9">
        <w:t>of</w:t>
      </w:r>
      <w:r w:rsidR="00CD74A6" w:rsidRPr="003B7EA9">
        <w:t xml:space="preserve"> categories</w:t>
      </w:r>
      <w:r w:rsidR="006A43C9" w:rsidRPr="003B7EA9">
        <w:t>.</w:t>
      </w:r>
      <w:r w:rsidR="00CD74A6" w:rsidRPr="003B7EA9">
        <w:t xml:space="preserve">  In addition, th</w:t>
      </w:r>
      <w:r w:rsidR="00513F9C">
        <w:t>e current</w:t>
      </w:r>
      <w:r w:rsidR="00CD74A6" w:rsidRPr="003B7EA9">
        <w:t xml:space="preserve"> study</w:t>
      </w:r>
      <w:r w:rsidR="00FD2F54" w:rsidRPr="003B7EA9">
        <w:t xml:space="preserve"> </w:t>
      </w:r>
      <w:r w:rsidR="00CD74A6" w:rsidRPr="003B7EA9">
        <w:t xml:space="preserve">uses an ‘age of household </w:t>
      </w:r>
      <w:r w:rsidR="00FD2F54" w:rsidRPr="003B7EA9">
        <w:t>reference</w:t>
      </w:r>
      <w:r w:rsidR="00CD74A6" w:rsidRPr="003B7EA9">
        <w:t xml:space="preserve"> person (HRP)’ variable</w:t>
      </w:r>
      <w:r w:rsidR="00B87691">
        <w:rPr>
          <w:rStyle w:val="FootnoteReference"/>
        </w:rPr>
        <w:footnoteReference w:id="4"/>
      </w:r>
      <w:r w:rsidR="00CD74A6" w:rsidRPr="003B7EA9">
        <w:t xml:space="preserve"> in parallel with an ‘age of </w:t>
      </w:r>
      <w:r w:rsidR="00FD2F54" w:rsidRPr="003B7EA9">
        <w:t>individual</w:t>
      </w:r>
      <w:r w:rsidR="00CD74A6" w:rsidRPr="003B7EA9">
        <w:t xml:space="preserve">’ </w:t>
      </w:r>
      <w:r w:rsidR="00FD2F54" w:rsidRPr="003B7EA9">
        <w:t>variable</w:t>
      </w:r>
      <w:r w:rsidR="00CD74A6" w:rsidRPr="003B7EA9">
        <w:t xml:space="preserve"> to </w:t>
      </w:r>
      <w:r w:rsidR="00FD2F54" w:rsidRPr="003B7EA9">
        <w:t xml:space="preserve">overcome any issue of whose decision determines the migration of young children. </w:t>
      </w:r>
      <w:r w:rsidR="00CD74A6" w:rsidRPr="003B7EA9">
        <w:t xml:space="preserve"> </w:t>
      </w:r>
      <w:r w:rsidR="00037EDE" w:rsidRPr="003B7EA9">
        <w:t xml:space="preserve"> </w:t>
      </w:r>
      <w:r w:rsidR="00FD2F54" w:rsidRPr="003B7EA9">
        <w:t>T</w:t>
      </w:r>
      <w:r w:rsidR="00037EDE" w:rsidRPr="003B7EA9">
        <w:t xml:space="preserve">he current analysis </w:t>
      </w:r>
      <w:r w:rsidR="00FD2F54" w:rsidRPr="003B7EA9">
        <w:t xml:space="preserve">is thus more comprehensive than previous studies as it </w:t>
      </w:r>
      <w:r w:rsidR="00037EDE" w:rsidRPr="003B7EA9">
        <w:t>includes all usual residents of England and Wales irrespective of age</w:t>
      </w:r>
      <w:r w:rsidR="00990659" w:rsidRPr="003B7EA9">
        <w:rPr>
          <w:rStyle w:val="FootnoteReference"/>
        </w:rPr>
        <w:footnoteReference w:id="5"/>
      </w:r>
      <w:r w:rsidR="00037EDE" w:rsidRPr="003B7EA9">
        <w:t xml:space="preserve"> or abode</w:t>
      </w:r>
      <w:r w:rsidR="003764B3" w:rsidRPr="003B7EA9">
        <w:t xml:space="preserve">.   </w:t>
      </w:r>
    </w:p>
    <w:p w14:paraId="5A5E5F50" w14:textId="22A5A82F" w:rsidR="00006C39" w:rsidRPr="003B7EA9" w:rsidRDefault="00B32FA3" w:rsidP="001D7BF1">
      <w:r w:rsidRPr="003B7EA9">
        <w:t>Initial modelling examin</w:t>
      </w:r>
      <w:r w:rsidR="00094031" w:rsidRPr="003B7EA9">
        <w:t>e</w:t>
      </w:r>
      <w:r w:rsidRPr="003B7EA9">
        <w:t xml:space="preserve">d </w:t>
      </w:r>
      <w:r w:rsidR="00094031" w:rsidRPr="003B7EA9">
        <w:t>the</w:t>
      </w:r>
      <w:r w:rsidRPr="003B7EA9">
        <w:t xml:space="preserve"> extent to which each variable, acting alone</w:t>
      </w:r>
      <w:r w:rsidR="00094031" w:rsidRPr="003B7EA9">
        <w:t xml:space="preserve">, </w:t>
      </w:r>
      <w:r w:rsidR="00EA3853" w:rsidRPr="003B7EA9">
        <w:t>‘explains’ the propensity to migrate</w:t>
      </w:r>
      <w:r w:rsidR="00094031" w:rsidRPr="003B7EA9">
        <w:t>.  This found that</w:t>
      </w:r>
      <w:r w:rsidR="001530D5" w:rsidRPr="003B7EA9">
        <w:t xml:space="preserve"> three of the variables – tenure, age, and age of HRP – are major determinant</w:t>
      </w:r>
      <w:r w:rsidR="00DF3888" w:rsidRPr="003B7EA9">
        <w:t>s</w:t>
      </w:r>
      <w:r w:rsidR="001530D5" w:rsidRPr="003B7EA9">
        <w:t xml:space="preserve"> of migration; </w:t>
      </w:r>
      <w:r w:rsidR="00006C39" w:rsidRPr="003B7EA9">
        <w:t xml:space="preserve">living arrangement, </w:t>
      </w:r>
      <w:r w:rsidR="001530D5" w:rsidRPr="003B7EA9">
        <w:t xml:space="preserve">marital status, family mix, and economic activity are moderate contributors; </w:t>
      </w:r>
      <w:r w:rsidR="00FA2B92" w:rsidRPr="003B7EA9">
        <w:t>highest qualification</w:t>
      </w:r>
      <w:r w:rsidR="001530D5" w:rsidRPr="003B7EA9">
        <w:t xml:space="preserve"> and year of arrival have a minor impact; and health, care provision and in particular gender, have only a very small impact.</w:t>
      </w:r>
      <w:r w:rsidR="00006C39" w:rsidRPr="003B7EA9">
        <w:t xml:space="preserve"> </w:t>
      </w:r>
      <w:r w:rsidR="00094031" w:rsidRPr="003B7EA9">
        <w:t xml:space="preserve"> I</w:t>
      </w:r>
      <w:r w:rsidR="00EA3853" w:rsidRPr="003B7EA9">
        <w:t>t is</w:t>
      </w:r>
      <w:r w:rsidR="00094031" w:rsidRPr="003B7EA9">
        <w:t>, however,</w:t>
      </w:r>
      <w:r w:rsidR="00EA3853" w:rsidRPr="003B7EA9">
        <w:t xml:space="preserve"> very important to avoid a material level of </w:t>
      </w:r>
      <w:proofErr w:type="spellStart"/>
      <w:r w:rsidR="00EA3853" w:rsidRPr="003B7EA9">
        <w:t>collinearity</w:t>
      </w:r>
      <w:proofErr w:type="spellEnd"/>
      <w:r w:rsidR="00EA3853" w:rsidRPr="003B7EA9">
        <w:t xml:space="preserve"> between variables if a statistically robust regression model is to be produced.   </w:t>
      </w:r>
      <w:r w:rsidR="008F4547" w:rsidRPr="008F4547">
        <w:t xml:space="preserve">Analysis of </w:t>
      </w:r>
      <w:proofErr w:type="spellStart"/>
      <w:r w:rsidR="008F4547" w:rsidRPr="008F4547">
        <w:t>collinearity</w:t>
      </w:r>
      <w:proofErr w:type="spellEnd"/>
      <w:r w:rsidR="008F4547" w:rsidRPr="008F4547">
        <w:t xml:space="preserve"> led to the exclusion of individual age and marital status from the variables being used; age of HRP and living arrangement having been found to produce superior model performance</w:t>
      </w:r>
      <w:r w:rsidR="00094031" w:rsidRPr="003B7EA9">
        <w:t>.</w:t>
      </w:r>
      <w:r w:rsidR="001D7BF1" w:rsidRPr="003B7EA9">
        <w:t xml:space="preserve">  </w:t>
      </w:r>
      <w:r w:rsidR="00AC5631" w:rsidRPr="00AC5631">
        <w:t xml:space="preserve">The regression analysis was carried out using IBM SPSS software (v21 and v22).  In determining </w:t>
      </w:r>
      <w:r w:rsidR="00AC5631" w:rsidRPr="00AC5631">
        <w:lastRenderedPageBreak/>
        <w:t>the variables to include, analysis was carried out making use of automated stepwise analyses but mainly manually selected combinations and sequences of variables.  The final selection of variables was based on a combination of quantitative assessment (</w:t>
      </w:r>
      <w:proofErr w:type="spellStart"/>
      <w:r w:rsidR="00502A2C">
        <w:t>Akaike</w:t>
      </w:r>
      <w:proofErr w:type="spellEnd"/>
      <w:r w:rsidR="00502A2C">
        <w:t xml:space="preserve"> information criterion (</w:t>
      </w:r>
      <w:r w:rsidR="00AC5631" w:rsidRPr="00AC5631">
        <w:t>AIC</w:t>
      </w:r>
      <w:r w:rsidR="00502A2C">
        <w:t>)</w:t>
      </w:r>
      <w:r w:rsidR="00AC5631" w:rsidRPr="00AC5631">
        <w:t xml:space="preserve">, </w:t>
      </w:r>
      <w:r w:rsidR="00502A2C">
        <w:t>minus 2 log likelihood (</w:t>
      </w:r>
      <w:r w:rsidR="00AC5631" w:rsidRPr="00AC5631">
        <w:t>-2LL</w:t>
      </w:r>
      <w:r w:rsidR="00502A2C">
        <w:t>)</w:t>
      </w:r>
      <w:r w:rsidR="00AC5631" w:rsidRPr="00AC5631">
        <w:t xml:space="preserve"> improvement, and R values) and a qualitative consideration of the balance of model complexity and extent of model fit improvement.   </w:t>
      </w:r>
      <w:proofErr w:type="gramStart"/>
      <w:r w:rsidR="00AC5631" w:rsidRPr="00AC5631">
        <w:t>This approach led to the inclusion of age of HRP, tenure, family mix, living arrangement, highest qualification, economic activity, and, because of its significance for some of the cultural groups, year of arrival, in the final model (see</w:t>
      </w:r>
      <w:proofErr w:type="gramEnd"/>
      <w:r w:rsidR="00AC5631" w:rsidRPr="00AC5631">
        <w:t xml:space="preserve"> Table 3).</w:t>
      </w:r>
      <w:r w:rsidR="003407EA" w:rsidRPr="003B7EA9">
        <w:t xml:space="preserve"> </w:t>
      </w:r>
    </w:p>
    <w:p w14:paraId="717B618B" w14:textId="77777777" w:rsidR="00006C39" w:rsidRPr="003B7EA9" w:rsidRDefault="00FA2B92" w:rsidP="00413F57">
      <w:pPr>
        <w:pStyle w:val="Heading2"/>
        <w:numPr>
          <w:ilvl w:val="0"/>
          <w:numId w:val="0"/>
        </w:numPr>
        <w:jc w:val="left"/>
      </w:pPr>
      <w:bookmarkStart w:id="3" w:name="_Toc431393363"/>
      <w:r w:rsidRPr="003B7EA9">
        <w:t>Regression Analysis for All Usual Residents</w:t>
      </w:r>
      <w:bookmarkEnd w:id="3"/>
    </w:p>
    <w:p w14:paraId="2559F767" w14:textId="732CBDEA" w:rsidR="004216DF" w:rsidRPr="003B7EA9" w:rsidRDefault="00D07F2C" w:rsidP="006B055B">
      <w:r w:rsidRPr="003B7EA9">
        <w:t xml:space="preserve">Logistic regression has been carried out to derive a relationship between the seven identified variables and the propensity to migrate in the 12 months preceding the 2011 census for all usual residents of England and Wales.   </w:t>
      </w:r>
      <w:r w:rsidR="00FA2B92" w:rsidRPr="003B7EA9">
        <w:t xml:space="preserve">The analysis has been </w:t>
      </w:r>
      <w:r w:rsidRPr="003B7EA9">
        <w:t>carried</w:t>
      </w:r>
      <w:r w:rsidR="00FA2B92" w:rsidRPr="003B7EA9">
        <w:t xml:space="preserve"> </w:t>
      </w:r>
      <w:r w:rsidRPr="003B7EA9">
        <w:t>out</w:t>
      </w:r>
      <w:r w:rsidR="00FA2B92" w:rsidRPr="003B7EA9">
        <w:t xml:space="preserve"> in three stages.   </w:t>
      </w:r>
      <w:r w:rsidRPr="003B7EA9">
        <w:t xml:space="preserve">In the first stage the two variables (age of HRP and tenure) found to have materially more explanatory power than the other variables are introduced to the model.   A second stage introduces four </w:t>
      </w:r>
      <w:r w:rsidR="0057017C" w:rsidRPr="003B7EA9">
        <w:t>‘middle order’</w:t>
      </w:r>
      <w:r w:rsidRPr="003B7EA9">
        <w:t xml:space="preserve"> variables, and the final stage adds in year of arrival</w:t>
      </w:r>
      <w:r w:rsidR="004216DF" w:rsidRPr="003B7EA9">
        <w:t xml:space="preserve">, due to its minimal role for </w:t>
      </w:r>
      <w:r w:rsidR="000454FF">
        <w:t>some</w:t>
      </w:r>
      <w:r w:rsidR="004216DF" w:rsidRPr="003B7EA9">
        <w:t xml:space="preserve"> groups</w:t>
      </w:r>
      <w:r w:rsidRPr="003B7EA9">
        <w:t>.</w:t>
      </w:r>
      <w:r w:rsidR="006A43C9" w:rsidRPr="003B7EA9">
        <w:t xml:space="preserve">  </w:t>
      </w:r>
      <w:r w:rsidR="00444C9A">
        <w:t>Only</w:t>
      </w:r>
      <w:r w:rsidR="00B202D0" w:rsidRPr="003B7EA9">
        <w:t xml:space="preserve"> the results for the complete model </w:t>
      </w:r>
      <w:r w:rsidR="00784839">
        <w:t>are</w:t>
      </w:r>
      <w:r w:rsidR="00B202D0" w:rsidRPr="003B7EA9">
        <w:t xml:space="preserve"> described here, though it is worth noting that the first stage model (two variables) produces 19% of the 21% improvement in </w:t>
      </w:r>
      <w:r w:rsidR="00502A2C">
        <w:t xml:space="preserve">-2LL </w:t>
      </w:r>
      <w:r w:rsidR="00B202D0" w:rsidRPr="003B7EA9">
        <w:t>goodness of fit</w:t>
      </w:r>
      <w:r w:rsidR="00502A2C">
        <w:t xml:space="preserve"> </w:t>
      </w:r>
      <w:r w:rsidR="00B202D0" w:rsidRPr="003B7EA9">
        <w:t xml:space="preserve">compared with the null (constant only) model.  The results of the analysis are presented in Table </w:t>
      </w:r>
      <w:r w:rsidR="00A4147E" w:rsidRPr="003B7EA9">
        <w:t>4</w:t>
      </w:r>
      <w:r w:rsidR="00B202D0" w:rsidRPr="003B7EA9">
        <w:t xml:space="preserve">.   </w:t>
      </w:r>
      <w:r w:rsidR="00444C9A">
        <w:t>All</w:t>
      </w:r>
      <w:r w:rsidR="00044DC4" w:rsidRPr="003B7EA9">
        <w:t xml:space="preserve"> the coefficient</w:t>
      </w:r>
      <w:r w:rsidR="00444C9A">
        <w:t>s</w:t>
      </w:r>
      <w:r w:rsidR="00044DC4" w:rsidRPr="003B7EA9">
        <w:t xml:space="preserve"> and odds are significant at the </w:t>
      </w:r>
      <w:r w:rsidR="004C13EB" w:rsidRPr="003B7EA9">
        <w:t>1%</w:t>
      </w:r>
      <w:r w:rsidR="00044DC4" w:rsidRPr="003B7EA9">
        <w:t xml:space="preserve"> level (hence the absence of any differentiating annotation within the table).   </w:t>
      </w:r>
      <w:r w:rsidRPr="003B7EA9">
        <w:t xml:space="preserve">   </w:t>
      </w:r>
    </w:p>
    <w:p w14:paraId="0774DF19" w14:textId="6E2691A1" w:rsidR="003B511C" w:rsidRPr="003B7EA9" w:rsidRDefault="001C6853" w:rsidP="006B055B">
      <w:r w:rsidRPr="003B7EA9">
        <w:t>Each of the variables used is, overall, statistically independent of the others (significance levels all below 1</w:t>
      </w:r>
      <w:r w:rsidR="004C13EB" w:rsidRPr="003B7EA9">
        <w:t>%</w:t>
      </w:r>
      <w:r w:rsidRPr="003B7EA9">
        <w:t xml:space="preserve">), and the odds of being a migrant for the reference case (a </w:t>
      </w:r>
      <w:r w:rsidR="003B511C" w:rsidRPr="003B7EA9">
        <w:t xml:space="preserve">full time employee </w:t>
      </w:r>
      <w:r w:rsidR="00DF3E46" w:rsidRPr="003B7EA9">
        <w:t xml:space="preserve">living in a married couple </w:t>
      </w:r>
      <w:r w:rsidR="003B511C" w:rsidRPr="003B7EA9">
        <w:t xml:space="preserve">family, </w:t>
      </w:r>
      <w:r w:rsidRPr="003B7EA9">
        <w:t>w</w:t>
      </w:r>
      <w:r w:rsidR="003B511C" w:rsidRPr="003B7EA9">
        <w:t>hich has</w:t>
      </w:r>
      <w:r w:rsidRPr="003B7EA9">
        <w:t xml:space="preserve"> two or more dependent children, of whom the youngest is aged 0-9, living in </w:t>
      </w:r>
      <w:r w:rsidR="003B511C" w:rsidRPr="003B7EA9">
        <w:t xml:space="preserve">a </w:t>
      </w:r>
      <w:r w:rsidRPr="003B7EA9">
        <w:t>house with mortgage, in which HRP is aged 40-49) is 0.0</w:t>
      </w:r>
      <w:r w:rsidR="003B511C" w:rsidRPr="003B7EA9">
        <w:t>50</w:t>
      </w:r>
      <w:r w:rsidRPr="003B7EA9">
        <w:t xml:space="preserve"> – that is, for every </w:t>
      </w:r>
      <w:r w:rsidR="003B511C" w:rsidRPr="003B7EA9">
        <w:t>50</w:t>
      </w:r>
      <w:r w:rsidRPr="003B7EA9">
        <w:t xml:space="preserve"> reference persons who moved in the 12 months prior to the census there were 1000 who did not.   </w:t>
      </w:r>
    </w:p>
    <w:p w14:paraId="299F69CC" w14:textId="2909E35D" w:rsidR="006B055B" w:rsidRPr="003B7EA9" w:rsidRDefault="00FB6924" w:rsidP="00FB6924">
      <w:r w:rsidRPr="003B7EA9">
        <w:t>The</w:t>
      </w:r>
      <w:r w:rsidR="001C6853" w:rsidRPr="003B7EA9">
        <w:t xml:space="preserve"> odds </w:t>
      </w:r>
      <w:r w:rsidR="00E2152A" w:rsidRPr="003B7EA9">
        <w:t xml:space="preserve">of moving </w:t>
      </w:r>
      <w:r w:rsidR="001C6853" w:rsidRPr="003B7EA9">
        <w:t xml:space="preserve">are three </w:t>
      </w:r>
      <w:r w:rsidR="00E2152A" w:rsidRPr="003B7EA9">
        <w:t xml:space="preserve">to four </w:t>
      </w:r>
      <w:r w:rsidR="001C6853" w:rsidRPr="003B7EA9">
        <w:t>times higher than the reference age</w:t>
      </w:r>
      <w:r w:rsidRPr="003B7EA9">
        <w:t xml:space="preserve"> of HRP</w:t>
      </w:r>
      <w:r w:rsidR="001C6853" w:rsidRPr="003B7EA9">
        <w:t xml:space="preserve"> (40-49) for </w:t>
      </w:r>
      <w:r w:rsidR="00D96672" w:rsidRPr="003B7EA9">
        <w:t xml:space="preserve">those living with an </w:t>
      </w:r>
      <w:r w:rsidR="001C6853" w:rsidRPr="003B7EA9">
        <w:t xml:space="preserve">HRP aged </w:t>
      </w:r>
      <w:proofErr w:type="gramStart"/>
      <w:r w:rsidR="001C6853" w:rsidRPr="003B7EA9">
        <w:t>under</w:t>
      </w:r>
      <w:proofErr w:type="gramEnd"/>
      <w:r w:rsidR="001C6853" w:rsidRPr="003B7EA9">
        <w:t xml:space="preserve"> 24, and only about two-thirds for the oldest HRP group</w:t>
      </w:r>
      <w:r w:rsidR="00E2152A" w:rsidRPr="003B7EA9">
        <w:t>s</w:t>
      </w:r>
      <w:r w:rsidR="001C6853" w:rsidRPr="003B7EA9">
        <w:t xml:space="preserve">, and there is no overlap between the 95% confidence intervals of </w:t>
      </w:r>
      <w:r w:rsidR="006A43C9" w:rsidRPr="003B7EA9">
        <w:t xml:space="preserve">the odds ratios for </w:t>
      </w:r>
      <w:r w:rsidR="001C6853" w:rsidRPr="003B7EA9">
        <w:t xml:space="preserve">any of the age groups.  </w:t>
      </w:r>
      <w:r w:rsidRPr="003B7EA9">
        <w:t>As regards</w:t>
      </w:r>
      <w:r w:rsidR="00A0358A" w:rsidRPr="003B7EA9">
        <w:t xml:space="preserve"> the impact of dependent children, </w:t>
      </w:r>
      <w:r w:rsidR="006A43C9" w:rsidRPr="003B7EA9">
        <w:t>the</w:t>
      </w:r>
      <w:r w:rsidR="00A0358A" w:rsidRPr="003B7EA9">
        <w:t xml:space="preserve"> lowest odds </w:t>
      </w:r>
      <w:r w:rsidR="006A43C9" w:rsidRPr="003B7EA9">
        <w:t xml:space="preserve">are </w:t>
      </w:r>
      <w:r w:rsidR="00A0358A" w:rsidRPr="003B7EA9">
        <w:t>for persons who live in households where the youngest (or sole) dependent child is aged 10-18</w:t>
      </w:r>
      <w:r w:rsidRPr="003B7EA9">
        <w:t xml:space="preserve"> (that is, secondary school children)</w:t>
      </w:r>
      <w:r w:rsidR="00A0358A" w:rsidRPr="003B7EA9">
        <w:t xml:space="preserve">; families without dependent children have higher odds of moving.  </w:t>
      </w:r>
      <w:r w:rsidR="00B2406A" w:rsidRPr="003B7EA9">
        <w:t xml:space="preserve">Other results reflect those </w:t>
      </w:r>
      <w:r w:rsidRPr="003B7EA9">
        <w:t>found in many previous studies</w:t>
      </w:r>
      <w:r w:rsidR="00CF5B6D" w:rsidRPr="003B7EA9">
        <w:t xml:space="preserve"> </w:t>
      </w:r>
      <w:r w:rsidRPr="003B7EA9">
        <w:t>- for example, the odds of moving are four times as much for those who rent from a private landlord</w:t>
      </w:r>
      <w:r w:rsidR="000454FF">
        <w:t xml:space="preserve"> than for home </w:t>
      </w:r>
      <w:r w:rsidR="000454FF">
        <w:lastRenderedPageBreak/>
        <w:t>owners</w:t>
      </w:r>
      <w:r w:rsidRPr="003B7EA9">
        <w:t xml:space="preserve">; </w:t>
      </w:r>
      <w:r w:rsidR="00044DC4" w:rsidRPr="003B7EA9">
        <w:t>those living as cohabiting couples have almost twice the odds of moving as married couples</w:t>
      </w:r>
      <w:r w:rsidRPr="003B7EA9">
        <w:t>; d</w:t>
      </w:r>
      <w:r w:rsidR="00A0358A" w:rsidRPr="003B7EA9">
        <w:t xml:space="preserve">egree holders </w:t>
      </w:r>
      <w:r w:rsidR="00044DC4" w:rsidRPr="003B7EA9">
        <w:t>are</w:t>
      </w:r>
      <w:r w:rsidR="00A0358A" w:rsidRPr="003B7EA9">
        <w:t xml:space="preserve"> </w:t>
      </w:r>
      <w:r w:rsidR="00044DC4" w:rsidRPr="003B7EA9">
        <w:t>the</w:t>
      </w:r>
      <w:r w:rsidR="00A0358A" w:rsidRPr="003B7EA9">
        <w:t xml:space="preserve"> group most </w:t>
      </w:r>
      <w:r w:rsidR="00044DC4" w:rsidRPr="003B7EA9">
        <w:t>likely</w:t>
      </w:r>
      <w:r w:rsidR="00A0358A" w:rsidRPr="003B7EA9">
        <w:t xml:space="preserve"> to migrate, and </w:t>
      </w:r>
      <w:r w:rsidR="00044DC4" w:rsidRPr="003B7EA9">
        <w:t>those</w:t>
      </w:r>
      <w:r w:rsidR="00A0358A" w:rsidRPr="003B7EA9">
        <w:t xml:space="preserve"> with no </w:t>
      </w:r>
      <w:r w:rsidR="00044DC4" w:rsidRPr="003B7EA9">
        <w:t>qualifications</w:t>
      </w:r>
      <w:r w:rsidR="00A0358A" w:rsidRPr="003B7EA9">
        <w:t xml:space="preserve"> least likely</w:t>
      </w:r>
      <w:r w:rsidRPr="003B7EA9">
        <w:t xml:space="preserve">; and </w:t>
      </w:r>
      <w:r w:rsidR="001C6853" w:rsidRPr="003B7EA9">
        <w:t xml:space="preserve">the odds of being a migrant for unemployed persons </w:t>
      </w:r>
      <w:r w:rsidR="00471292" w:rsidRPr="003B7EA9">
        <w:t>are</w:t>
      </w:r>
      <w:r w:rsidR="001C6853" w:rsidRPr="003B7EA9">
        <w:t xml:space="preserve"> </w:t>
      </w:r>
      <w:r w:rsidR="00A0358A" w:rsidRPr="003B7EA9">
        <w:t xml:space="preserve">greater than </w:t>
      </w:r>
      <w:r w:rsidR="00D47385" w:rsidRPr="003B7EA9">
        <w:t>those in work</w:t>
      </w:r>
      <w:r w:rsidR="001C6853" w:rsidRPr="003B7EA9">
        <w:t>.</w:t>
      </w:r>
      <w:r w:rsidR="004D6DED" w:rsidRPr="003B7EA9">
        <w:t xml:space="preserve">  </w:t>
      </w:r>
      <w:r w:rsidR="006A43C9" w:rsidRPr="003B7EA9">
        <w:t>The final section demonstrates</w:t>
      </w:r>
      <w:r w:rsidR="00044DC4" w:rsidRPr="003B7EA9">
        <w:t xml:space="preserve"> that non-UK born individuals who arrived prior to 2001 are less likely to migrate than UK-born persons, whereas more recent arrivals are more likely to have moved within England </w:t>
      </w:r>
      <w:r w:rsidR="001A2D32" w:rsidRPr="003B7EA9">
        <w:t>an</w:t>
      </w:r>
      <w:r w:rsidR="00044DC4" w:rsidRPr="003B7EA9">
        <w:t xml:space="preserve">d Wales in the 12 months prior to the census, having controlled for the other variables.  </w:t>
      </w:r>
    </w:p>
    <w:p w14:paraId="63AA74EC" w14:textId="378C3367" w:rsidR="00471292" w:rsidRPr="003B7EA9" w:rsidRDefault="00044DC4" w:rsidP="006B055B">
      <w:r w:rsidRPr="003B7EA9">
        <w:t>As regards the overall ‘quality’ of the model, each of the included variables ha</w:t>
      </w:r>
      <w:r w:rsidR="001A2D32" w:rsidRPr="003B7EA9">
        <w:t>s</w:t>
      </w:r>
      <w:r w:rsidRPr="003B7EA9">
        <w:t xml:space="preserve"> an impact </w:t>
      </w:r>
      <w:r w:rsidR="00513F9C">
        <w:t>that</w:t>
      </w:r>
      <w:r w:rsidRPr="003B7EA9">
        <w:t xml:space="preserve"> is statistically significant (at the 1% level) and each category in each variable has odds significantly different to the reference category.  </w:t>
      </w:r>
      <w:r w:rsidR="00E765BE" w:rsidRPr="003B7EA9">
        <w:t xml:space="preserve">We can thus conclude that the model meets the aim of determining which variables are statistically significant </w:t>
      </w:r>
      <w:r w:rsidR="008B6E82" w:rsidRPr="003B7EA9">
        <w:t>predictors</w:t>
      </w:r>
      <w:r w:rsidR="00E765BE" w:rsidRPr="003B7EA9">
        <w:t xml:space="preserve">, and how changes in those variables relate to changes in migration propensity.   </w:t>
      </w:r>
      <w:r w:rsidR="004C13EB" w:rsidRPr="003B7EA9">
        <w:t>However</w:t>
      </w:r>
      <w:r w:rsidR="008B6E82" w:rsidRPr="003B7EA9">
        <w:t xml:space="preserve">, as is often the case with logistic regression models in the field of human behaviour, the coefficient of determination </w:t>
      </w:r>
      <w:r w:rsidR="008B6E82" w:rsidRPr="003B7EA9">
        <w:rPr>
          <w:i/>
        </w:rPr>
        <w:t>R</w:t>
      </w:r>
      <w:r w:rsidR="008B6E82" w:rsidRPr="003B7EA9">
        <w:rPr>
          <w:i/>
          <w:vertAlign w:val="superscript"/>
        </w:rPr>
        <w:t>2</w:t>
      </w:r>
      <w:r w:rsidR="008B6E82" w:rsidRPr="003B7EA9">
        <w:t>, is relatively low (</w:t>
      </w:r>
      <w:proofErr w:type="spellStart"/>
      <w:r w:rsidR="008B6E82" w:rsidRPr="003B7EA9">
        <w:t>Nagelkerke</w:t>
      </w:r>
      <w:proofErr w:type="spellEnd"/>
      <w:r w:rsidR="008B6E82" w:rsidRPr="003B7EA9">
        <w:t xml:space="preserve"> </w:t>
      </w:r>
      <w:r w:rsidR="008B6E82" w:rsidRPr="003B7EA9">
        <w:rPr>
          <w:i/>
        </w:rPr>
        <w:t>R</w:t>
      </w:r>
      <w:r w:rsidR="008B6E82" w:rsidRPr="003B7EA9">
        <w:rPr>
          <w:i/>
          <w:vertAlign w:val="superscript"/>
        </w:rPr>
        <w:t>2</w:t>
      </w:r>
      <w:r w:rsidR="008B6E82" w:rsidRPr="003B7EA9">
        <w:t xml:space="preserve"> = 0.27) indicating that</w:t>
      </w:r>
      <w:r w:rsidR="004D6DED" w:rsidRPr="003B7EA9">
        <w:t xml:space="preserve">, </w:t>
      </w:r>
      <w:r w:rsidRPr="003B7EA9">
        <w:t>although</w:t>
      </w:r>
      <w:r w:rsidR="004D6DED" w:rsidRPr="003B7EA9">
        <w:t xml:space="preserve"> the model is good from an </w:t>
      </w:r>
      <w:r w:rsidR="004D6DED" w:rsidRPr="003B7EA9">
        <w:rPr>
          <w:i/>
        </w:rPr>
        <w:t>explanatory</w:t>
      </w:r>
      <w:r w:rsidR="004D6DED" w:rsidRPr="003B7EA9">
        <w:t xml:space="preserve"> perspective, </w:t>
      </w:r>
      <w:r w:rsidR="008B6E82" w:rsidRPr="003B7EA9">
        <w:t xml:space="preserve">caution should be applied in attempting to use this type of model for </w:t>
      </w:r>
      <w:r w:rsidR="008B6E82" w:rsidRPr="003B7EA9">
        <w:rPr>
          <w:i/>
        </w:rPr>
        <w:t>predicting</w:t>
      </w:r>
      <w:r w:rsidR="008B6E82" w:rsidRPr="003B7EA9">
        <w:t xml:space="preserve"> the level of migration. </w:t>
      </w:r>
    </w:p>
    <w:p w14:paraId="1D547C52" w14:textId="77777777" w:rsidR="00F76A27" w:rsidRPr="003B7EA9" w:rsidRDefault="003A3121" w:rsidP="00413F57">
      <w:pPr>
        <w:pStyle w:val="Heading2"/>
        <w:numPr>
          <w:ilvl w:val="0"/>
          <w:numId w:val="0"/>
        </w:numPr>
        <w:jc w:val="left"/>
      </w:pPr>
      <w:bookmarkStart w:id="4" w:name="_Toc431393364"/>
      <w:r w:rsidRPr="003B7EA9">
        <w:t>Cultural</w:t>
      </w:r>
      <w:r w:rsidR="006F2D8D" w:rsidRPr="003B7EA9">
        <w:t xml:space="preserve"> Group Differences</w:t>
      </w:r>
      <w:bookmarkEnd w:id="4"/>
    </w:p>
    <w:p w14:paraId="4D320F8F" w14:textId="4C94F3E3" w:rsidR="00FD763F" w:rsidRPr="003B7EA9" w:rsidRDefault="00FD763F" w:rsidP="00FD763F">
      <w:r w:rsidRPr="003B7EA9">
        <w:t xml:space="preserve">Differences between the overall migration </w:t>
      </w:r>
      <w:r w:rsidR="007B528C" w:rsidRPr="003B7EA9">
        <w:t>propensities</w:t>
      </w:r>
      <w:r w:rsidRPr="003B7EA9">
        <w:t xml:space="preserve"> of the smaller cultural groups have already been summarised in Table</w:t>
      </w:r>
      <w:r w:rsidR="00514946" w:rsidRPr="003B7EA9">
        <w:t xml:space="preserve"> </w:t>
      </w:r>
      <w:r w:rsidR="00A4147E" w:rsidRPr="003B7EA9">
        <w:t>1</w:t>
      </w:r>
      <w:r w:rsidRPr="003B7EA9">
        <w:t xml:space="preserve">.   These differences can be presented in terms of odds relative to the white British group by re-running the logistic regression with </w:t>
      </w:r>
      <w:r w:rsidRPr="003B7EA9">
        <w:rPr>
          <w:i/>
        </w:rPr>
        <w:t>only</w:t>
      </w:r>
      <w:r w:rsidRPr="003B7EA9">
        <w:t xml:space="preserve"> the cultural group variable, giving relative odds of Arab 2.02, Chinese 2.60, Jewish 1.13, and Sikh 0.82; all these odds are significantly different to the white British at the 1% level.   Based on the raw data, therefore, there is (except for the Sikh group) an apparently wide range of </w:t>
      </w:r>
      <w:r w:rsidRPr="003B7EA9">
        <w:rPr>
          <w:i/>
        </w:rPr>
        <w:t>higher</w:t>
      </w:r>
      <w:r w:rsidRPr="003B7EA9">
        <w:t xml:space="preserve"> migration propensity, with odds for Chinese and Arab groups more than twice that for the white British group (see Finney and Simpson, 2008</w:t>
      </w:r>
      <w:r w:rsidR="00C34645" w:rsidRPr="003B7EA9">
        <w:t>,</w:t>
      </w:r>
      <w:r w:rsidRPr="003B7EA9">
        <w:t xml:space="preserve"> for a similar conclusion for the</w:t>
      </w:r>
      <w:r w:rsidR="00DB641D" w:rsidRPr="003B7EA9">
        <w:t xml:space="preserve"> </w:t>
      </w:r>
      <w:r w:rsidR="005E19E4" w:rsidRPr="003B7EA9">
        <w:t xml:space="preserve">Chinese </w:t>
      </w:r>
      <w:r w:rsidR="00DB641D" w:rsidRPr="003B7EA9">
        <w:t>group</w:t>
      </w:r>
      <w:r w:rsidR="00C34645" w:rsidRPr="003B7EA9">
        <w:t>,</w:t>
      </w:r>
      <w:r w:rsidRPr="003B7EA9">
        <w:t xml:space="preserve"> </w:t>
      </w:r>
      <w:r w:rsidR="005E19E4" w:rsidRPr="003B7EA9">
        <w:t xml:space="preserve">the only group common to the two studies, </w:t>
      </w:r>
      <w:r w:rsidRPr="003B7EA9">
        <w:t>based on 2001 data).</w:t>
      </w:r>
    </w:p>
    <w:p w14:paraId="148BBC84" w14:textId="1068A4F0" w:rsidR="00FD763F" w:rsidRPr="003B7EA9" w:rsidRDefault="00FD763F" w:rsidP="00FD763F">
      <w:r w:rsidRPr="003B7EA9">
        <w:t xml:space="preserve">However, if the seven-variable model is re-run with the addition of a cultural group variable, the relative odds (having controlled for the seven variables) become: Arab 0.87, Chinese 0.91, Jewish 1.00, and Sikh 0.91 (in each case the 95% confidence interval is approximately +/- 0.04 around the given odds).   These seven variables have thus accounted for the whole of the apparent difference between white British and Jewish migration propensity, and have left the other groups with small (but statistically significant) </w:t>
      </w:r>
      <w:r w:rsidRPr="003B7EA9">
        <w:rPr>
          <w:i/>
        </w:rPr>
        <w:t>lower</w:t>
      </w:r>
      <w:r w:rsidRPr="003B7EA9">
        <w:t xml:space="preserve"> odds of migration than the host group.</w:t>
      </w:r>
    </w:p>
    <w:p w14:paraId="4FCBC614" w14:textId="77777777" w:rsidR="00C34645" w:rsidRPr="003B7EA9" w:rsidRDefault="00A12A72" w:rsidP="00436194">
      <w:r w:rsidRPr="003B7EA9">
        <w:lastRenderedPageBreak/>
        <w:t xml:space="preserve">This result directly addresses study question Q1 (are there differences in propensity to migrate between various groups); but can additional analysis provide a clearer understanding of those differences (Q2)? </w:t>
      </w:r>
      <w:r w:rsidR="005E6962" w:rsidRPr="003B7EA9">
        <w:t xml:space="preserve">As the majority of the apparent differences between the smaller groups and the dominant white British group can be resolved through controlling for </w:t>
      </w:r>
      <w:r w:rsidR="007B528C" w:rsidRPr="003B7EA9">
        <w:t>certain</w:t>
      </w:r>
      <w:r w:rsidR="005E6962" w:rsidRPr="003B7EA9">
        <w:t xml:space="preserve"> </w:t>
      </w:r>
      <w:r w:rsidR="007B528C" w:rsidRPr="003B7EA9">
        <w:t>individual</w:t>
      </w:r>
      <w:r w:rsidR="005E6962" w:rsidRPr="003B7EA9">
        <w:t xml:space="preserve"> or </w:t>
      </w:r>
      <w:r w:rsidR="007B528C" w:rsidRPr="003B7EA9">
        <w:t>household</w:t>
      </w:r>
      <w:r w:rsidR="005E6962" w:rsidRPr="003B7EA9">
        <w:t xml:space="preserve"> </w:t>
      </w:r>
      <w:r w:rsidR="007B528C" w:rsidRPr="003B7EA9">
        <w:t>characteristics</w:t>
      </w:r>
      <w:r w:rsidR="005E6962" w:rsidRPr="003B7EA9">
        <w:t>, it follows th</w:t>
      </w:r>
      <w:r w:rsidR="007B528C" w:rsidRPr="003B7EA9">
        <w:t>a</w:t>
      </w:r>
      <w:r w:rsidR="005E6962" w:rsidRPr="003B7EA9">
        <w:t xml:space="preserve">t </w:t>
      </w:r>
      <w:r w:rsidR="007B528C" w:rsidRPr="003B7EA9">
        <w:t>these differences</w:t>
      </w:r>
      <w:r w:rsidR="005E6962" w:rsidRPr="003B7EA9">
        <w:t xml:space="preserve"> must consist of differences in</w:t>
      </w:r>
      <w:r w:rsidR="00C34645" w:rsidRPr="003B7EA9">
        <w:t>:</w:t>
      </w:r>
      <w:r w:rsidR="005E6962" w:rsidRPr="003B7EA9">
        <w:t xml:space="preserve"> </w:t>
      </w:r>
    </w:p>
    <w:p w14:paraId="577ADAF6" w14:textId="77777777" w:rsidR="00C34645" w:rsidRPr="003B7EA9" w:rsidRDefault="00C34645" w:rsidP="00C34645">
      <w:pPr>
        <w:pStyle w:val="ListParagraph"/>
        <w:numPr>
          <w:ilvl w:val="0"/>
          <w:numId w:val="50"/>
        </w:numPr>
      </w:pPr>
      <w:r w:rsidRPr="003B7EA9">
        <w:t>the balance of the population falling into different categories, and/or</w:t>
      </w:r>
    </w:p>
    <w:p w14:paraId="1F2EE636" w14:textId="77777777" w:rsidR="00C34645" w:rsidRPr="003B7EA9" w:rsidRDefault="005E6962" w:rsidP="00C34645">
      <w:pPr>
        <w:pStyle w:val="ListParagraph"/>
        <w:numPr>
          <w:ilvl w:val="0"/>
          <w:numId w:val="50"/>
        </w:numPr>
      </w:pPr>
      <w:proofErr w:type="gramStart"/>
      <w:r w:rsidRPr="003B7EA9">
        <w:t>behaviour</w:t>
      </w:r>
      <w:proofErr w:type="gramEnd"/>
      <w:r w:rsidRPr="003B7EA9">
        <w:t xml:space="preserve"> for given combinations of characteristics.</w:t>
      </w:r>
      <w:r w:rsidR="007B528C" w:rsidRPr="003B7EA9">
        <w:t xml:space="preserve">  </w:t>
      </w:r>
      <w:r w:rsidRPr="003B7EA9">
        <w:t xml:space="preserve"> </w:t>
      </w:r>
    </w:p>
    <w:p w14:paraId="65426D19" w14:textId="34729850" w:rsidR="00C34645" w:rsidRPr="003B7EA9" w:rsidRDefault="00C34645" w:rsidP="00C34645">
      <w:r w:rsidRPr="003B7EA9">
        <w:t xml:space="preserve">An indication of the first element can be ascertained by examining the </w:t>
      </w:r>
      <w:r w:rsidR="00342487">
        <w:t>content of the dataset</w:t>
      </w:r>
      <w:r w:rsidRPr="003B7EA9">
        <w:t xml:space="preserve"> and the Stage 3 model relative odd</w:t>
      </w:r>
      <w:r w:rsidR="004C13EB" w:rsidRPr="003B7EA9">
        <w:t xml:space="preserve">s in the final column of Table </w:t>
      </w:r>
      <w:r w:rsidR="00A4147E" w:rsidRPr="003B7EA9">
        <w:t>4</w:t>
      </w:r>
      <w:r w:rsidRPr="003B7EA9">
        <w:t xml:space="preserve">.   Table </w:t>
      </w:r>
      <w:r w:rsidR="00342487">
        <w:t>5</w:t>
      </w:r>
      <w:r w:rsidRPr="003B7EA9">
        <w:t xml:space="preserve"> provides a summary of which groups are over-represented in categories </w:t>
      </w:r>
      <w:r w:rsidR="004C13EB" w:rsidRPr="003B7EA9">
        <w:t>that</w:t>
      </w:r>
      <w:r w:rsidRPr="003B7EA9">
        <w:t xml:space="preserve"> exhibit low odds or under</w:t>
      </w:r>
      <w:r w:rsidR="004C13EB" w:rsidRPr="003B7EA9">
        <w:t>-represented in categories that</w:t>
      </w:r>
      <w:r w:rsidRPr="003B7EA9">
        <w:t xml:space="preserve"> have high migration odds, </w:t>
      </w:r>
      <w:r w:rsidR="00444C9A">
        <w:t>and also the reverse situation</w:t>
      </w:r>
      <w:r w:rsidRPr="003B7EA9">
        <w:t xml:space="preserve">.   The modelling has established that age of HRP and tenure are the two most influential of the explanatory variables (both for all usual residents and each of the cultural groups separately), and these characteristics feature extensively for the Chinese and Arab groups in Table </w:t>
      </w:r>
      <w:r w:rsidR="00342487">
        <w:t>5</w:t>
      </w:r>
      <w:r w:rsidRPr="003B7EA9">
        <w:t xml:space="preserve"> (and see also Figure 2).  Indeed, the Chinese and Arab groups each have eight entries in the top part of the table (and</w:t>
      </w:r>
      <w:r w:rsidR="004C13EB" w:rsidRPr="003B7EA9">
        <w:t xml:space="preserve"> just one in the lower part), indicating</w:t>
      </w:r>
      <w:r w:rsidRPr="003B7EA9">
        <w:t xml:space="preserve"> that the mix of characteristics provides a major element in explaining their high odds of migration in the raw data.</w:t>
      </w:r>
    </w:p>
    <w:p w14:paraId="40603CDC" w14:textId="1F3D8B39" w:rsidR="000440C2" w:rsidRPr="003B7EA9" w:rsidRDefault="00C34645" w:rsidP="00436194">
      <w:r w:rsidRPr="003B7EA9">
        <w:t>To investigate the second element, t</w:t>
      </w:r>
      <w:r w:rsidR="009C69DE" w:rsidRPr="003B7EA9">
        <w:t xml:space="preserve">he logistic regression analysis undertaken </w:t>
      </w:r>
      <w:r w:rsidR="00FD763F" w:rsidRPr="003B7EA9">
        <w:t>for all usual residents</w:t>
      </w:r>
      <w:r w:rsidR="009C69DE" w:rsidRPr="003B7EA9">
        <w:t xml:space="preserve"> </w:t>
      </w:r>
      <w:r w:rsidR="005F528D" w:rsidRPr="003B7EA9">
        <w:t>has</w:t>
      </w:r>
      <w:r w:rsidR="009C69DE" w:rsidRPr="003B7EA9">
        <w:t xml:space="preserve"> been repeated</w:t>
      </w:r>
      <w:r w:rsidR="00FD763F" w:rsidRPr="003B7EA9">
        <w:t xml:space="preserve"> separately for</w:t>
      </w:r>
      <w:r w:rsidR="009C69DE" w:rsidRPr="003B7EA9">
        <w:t xml:space="preserve"> white </w:t>
      </w:r>
      <w:r w:rsidR="005F528D" w:rsidRPr="003B7EA9">
        <w:t>British</w:t>
      </w:r>
      <w:r w:rsidR="009C69DE" w:rsidRPr="003B7EA9">
        <w:t>, Arab, Chinese, Jew</w:t>
      </w:r>
      <w:r w:rsidR="00FD763F" w:rsidRPr="003B7EA9">
        <w:t>ish, and Sikh groups</w:t>
      </w:r>
      <w:r w:rsidR="009C69DE" w:rsidRPr="003B7EA9">
        <w:t xml:space="preserve">.   </w:t>
      </w:r>
      <w:r w:rsidR="005F528D" w:rsidRPr="003B7EA9">
        <w:t>Although the same th</w:t>
      </w:r>
      <w:r w:rsidR="00A84F4E" w:rsidRPr="003B7EA9">
        <w:t>ree stage analysis was carried o</w:t>
      </w:r>
      <w:r w:rsidR="005F528D" w:rsidRPr="003B7EA9">
        <w:t xml:space="preserve">ut, for reasons of space only the results for the models with all seven variables are summarised in Table </w:t>
      </w:r>
      <w:r w:rsidR="00342487">
        <w:t>6</w:t>
      </w:r>
      <w:r w:rsidR="005F528D" w:rsidRPr="003B7EA9">
        <w:t xml:space="preserve">.   </w:t>
      </w:r>
      <w:r w:rsidR="009C69DE" w:rsidRPr="003B7EA9">
        <w:t xml:space="preserve">The purpose of the table is to </w:t>
      </w:r>
      <w:r w:rsidR="005F528D" w:rsidRPr="003B7EA9">
        <w:t>draw</w:t>
      </w:r>
      <w:r w:rsidR="009C69DE" w:rsidRPr="003B7EA9">
        <w:t xml:space="preserve"> </w:t>
      </w:r>
      <w:r w:rsidR="005F528D" w:rsidRPr="003B7EA9">
        <w:t>attention</w:t>
      </w:r>
      <w:r w:rsidR="009C69DE" w:rsidRPr="003B7EA9">
        <w:t xml:space="preserve"> to any </w:t>
      </w:r>
      <w:r w:rsidR="005F528D" w:rsidRPr="003B7EA9">
        <w:t>differences</w:t>
      </w:r>
      <w:r w:rsidR="009C69DE" w:rsidRPr="003B7EA9">
        <w:t xml:space="preserve"> in </w:t>
      </w:r>
      <w:r w:rsidR="005F528D" w:rsidRPr="003B7EA9">
        <w:t>behaviour</w:t>
      </w:r>
      <w:r w:rsidR="009C69DE" w:rsidRPr="003B7EA9">
        <w:t xml:space="preserve"> between the various </w:t>
      </w:r>
      <w:r w:rsidR="005F528D" w:rsidRPr="003B7EA9">
        <w:t>groups</w:t>
      </w:r>
      <w:r w:rsidR="009C69DE" w:rsidRPr="003B7EA9">
        <w:t xml:space="preserve">.   </w:t>
      </w:r>
      <w:r w:rsidR="005F528D" w:rsidRPr="003B7EA9">
        <w:t>The</w:t>
      </w:r>
      <w:r w:rsidR="009C69DE" w:rsidRPr="003B7EA9">
        <w:t xml:space="preserve"> </w:t>
      </w:r>
      <w:r w:rsidR="005F528D" w:rsidRPr="003B7EA9">
        <w:t>relative</w:t>
      </w:r>
      <w:r w:rsidR="009C69DE" w:rsidRPr="003B7EA9">
        <w:t xml:space="preserve"> odds of </w:t>
      </w:r>
      <w:r w:rsidR="005F528D" w:rsidRPr="003B7EA9">
        <w:t>migration</w:t>
      </w:r>
      <w:r w:rsidR="009C69DE" w:rsidRPr="003B7EA9">
        <w:t xml:space="preserve"> of the </w:t>
      </w:r>
      <w:r w:rsidR="005F528D" w:rsidRPr="003B7EA9">
        <w:t>various</w:t>
      </w:r>
      <w:r w:rsidR="009C69DE" w:rsidRPr="003B7EA9">
        <w:t xml:space="preserve"> categories </w:t>
      </w:r>
      <w:r w:rsidR="005F528D" w:rsidRPr="003B7EA9">
        <w:t>within</w:t>
      </w:r>
      <w:r w:rsidR="009C69DE" w:rsidRPr="003B7EA9">
        <w:t xml:space="preserve"> each </w:t>
      </w:r>
      <w:r w:rsidR="005F528D" w:rsidRPr="003B7EA9">
        <w:t>variable</w:t>
      </w:r>
      <w:r w:rsidR="009C69DE" w:rsidRPr="003B7EA9">
        <w:t xml:space="preserve"> are </w:t>
      </w:r>
      <w:r w:rsidR="005F528D" w:rsidRPr="003B7EA9">
        <w:t>shown</w:t>
      </w:r>
      <w:r w:rsidR="009C69DE" w:rsidRPr="003B7EA9">
        <w:t xml:space="preserve"> in the first column for </w:t>
      </w:r>
      <w:r w:rsidR="005F528D" w:rsidRPr="003B7EA9">
        <w:t>the</w:t>
      </w:r>
      <w:r w:rsidR="009C69DE" w:rsidRPr="003B7EA9">
        <w:t xml:space="preserve"> white </w:t>
      </w:r>
      <w:r w:rsidR="005F528D" w:rsidRPr="003B7EA9">
        <w:t>British</w:t>
      </w:r>
      <w:r w:rsidR="009C69DE" w:rsidRPr="003B7EA9">
        <w:t xml:space="preserve"> host/</w:t>
      </w:r>
      <w:r w:rsidR="005F528D" w:rsidRPr="003B7EA9">
        <w:t>dominant</w:t>
      </w:r>
      <w:r w:rsidR="009C69DE" w:rsidRPr="003B7EA9">
        <w:t xml:space="preserve"> group.   The </w:t>
      </w:r>
      <w:r w:rsidR="005F528D" w:rsidRPr="003B7EA9">
        <w:t>odds</w:t>
      </w:r>
      <w:r w:rsidR="009C69DE" w:rsidRPr="003B7EA9">
        <w:t xml:space="preserve"> </w:t>
      </w:r>
      <w:r w:rsidR="005F528D" w:rsidRPr="003B7EA9">
        <w:t>produced</w:t>
      </w:r>
      <w:r w:rsidR="009C69DE" w:rsidRPr="003B7EA9">
        <w:t xml:space="preserve"> by the other models are included in the </w:t>
      </w:r>
      <w:r w:rsidR="005F528D" w:rsidRPr="003B7EA9">
        <w:t>other</w:t>
      </w:r>
      <w:r w:rsidR="009C69DE" w:rsidRPr="003B7EA9">
        <w:t xml:space="preserve"> </w:t>
      </w:r>
      <w:r w:rsidR="005F528D" w:rsidRPr="003B7EA9">
        <w:t>columns</w:t>
      </w:r>
      <w:r w:rsidR="009C69DE" w:rsidRPr="003B7EA9">
        <w:t xml:space="preserve"> of </w:t>
      </w:r>
      <w:r w:rsidR="00B26012" w:rsidRPr="003B7EA9">
        <w:t>the</w:t>
      </w:r>
      <w:r w:rsidR="009C69DE" w:rsidRPr="003B7EA9">
        <w:t xml:space="preserve"> table.  In </w:t>
      </w:r>
      <w:r w:rsidR="005F528D" w:rsidRPr="003B7EA9">
        <w:t>addition</w:t>
      </w:r>
      <w:r w:rsidR="009C69DE" w:rsidRPr="003B7EA9">
        <w:t xml:space="preserve">, </w:t>
      </w:r>
      <w:r w:rsidR="005F528D" w:rsidRPr="003B7EA9">
        <w:t>where</w:t>
      </w:r>
      <w:r w:rsidR="009C69DE" w:rsidRPr="003B7EA9">
        <w:t xml:space="preserve"> the 95% confidence </w:t>
      </w:r>
      <w:r w:rsidR="005F528D" w:rsidRPr="003B7EA9">
        <w:t>interval</w:t>
      </w:r>
      <w:r w:rsidR="009C69DE" w:rsidRPr="003B7EA9">
        <w:t xml:space="preserve"> for the relative odds for any of the other </w:t>
      </w:r>
      <w:r w:rsidR="005F528D" w:rsidRPr="003B7EA9">
        <w:t>groups</w:t>
      </w:r>
      <w:r w:rsidR="009C69DE" w:rsidRPr="003B7EA9">
        <w:t xml:space="preserve"> lies wholly above or </w:t>
      </w:r>
      <w:r w:rsidR="005F528D" w:rsidRPr="003B7EA9">
        <w:t>below</w:t>
      </w:r>
      <w:r w:rsidR="009C69DE" w:rsidRPr="003B7EA9">
        <w:t xml:space="preserve"> the interval for the white British group</w:t>
      </w:r>
      <w:r w:rsidR="004135DC" w:rsidRPr="003B7EA9">
        <w:t xml:space="preserve">, an ‘H’ </w:t>
      </w:r>
      <w:r w:rsidR="00ED50ED" w:rsidRPr="003B7EA9">
        <w:t xml:space="preserve">(higher) </w:t>
      </w:r>
      <w:r w:rsidR="004135DC" w:rsidRPr="003B7EA9">
        <w:t xml:space="preserve">or ‘L’ </w:t>
      </w:r>
      <w:r w:rsidR="00ED50ED" w:rsidRPr="003B7EA9">
        <w:t xml:space="preserve">(lower) </w:t>
      </w:r>
      <w:r w:rsidR="003A3121" w:rsidRPr="003B7EA9">
        <w:t>annotation</w:t>
      </w:r>
      <w:r w:rsidR="004135DC" w:rsidRPr="003B7EA9">
        <w:t xml:space="preserve"> has been added</w:t>
      </w:r>
      <w:r w:rsidR="00582CE9" w:rsidRPr="003B7EA9">
        <w:t>, highlighting differences in behaviour</w:t>
      </w:r>
      <w:r w:rsidR="00B77163" w:rsidRPr="003B7EA9">
        <w:t xml:space="preserve"> from </w:t>
      </w:r>
      <w:r w:rsidR="003A3121" w:rsidRPr="003B7EA9">
        <w:t>equivalent</w:t>
      </w:r>
      <w:r w:rsidR="00B77163" w:rsidRPr="003B7EA9">
        <w:t xml:space="preserve"> </w:t>
      </w:r>
      <w:r w:rsidR="003A3121" w:rsidRPr="003B7EA9">
        <w:t>members</w:t>
      </w:r>
      <w:r w:rsidR="00B77163" w:rsidRPr="003B7EA9">
        <w:t xml:space="preserve"> of other cultural groups.</w:t>
      </w:r>
      <w:r w:rsidR="00AC5631">
        <w:t xml:space="preserve">  </w:t>
      </w:r>
      <w:r w:rsidR="00AC5631" w:rsidRPr="00AC5631">
        <w:t>This is a cautious approach to the interpretation of confidence intervals (se</w:t>
      </w:r>
      <w:r w:rsidR="00AC5631">
        <w:t>e Cumming and Finch, 2005).</w:t>
      </w:r>
      <w:r w:rsidR="004135DC" w:rsidRPr="003B7EA9">
        <w:t xml:space="preserve"> </w:t>
      </w:r>
      <w:r w:rsidR="00D92888" w:rsidRPr="003B7EA9">
        <w:t xml:space="preserve">  </w:t>
      </w:r>
    </w:p>
    <w:p w14:paraId="470BA986" w14:textId="21D2D0D5" w:rsidR="009A55FA" w:rsidRPr="003B7EA9" w:rsidRDefault="009A55FA" w:rsidP="00806DCA">
      <w:r w:rsidRPr="003B7EA9">
        <w:t xml:space="preserve">A number of </w:t>
      </w:r>
      <w:r w:rsidR="00762E79" w:rsidRPr="003B7EA9">
        <w:t>differences</w:t>
      </w:r>
      <w:r w:rsidRPr="003B7EA9">
        <w:t xml:space="preserve"> </w:t>
      </w:r>
      <w:r w:rsidR="00582CE9" w:rsidRPr="003B7EA9">
        <w:t>in</w:t>
      </w:r>
      <w:r w:rsidRPr="003B7EA9">
        <w:t xml:space="preserve"> </w:t>
      </w:r>
      <w:r w:rsidR="00762E79" w:rsidRPr="003B7EA9">
        <w:t>behaviour</w:t>
      </w:r>
      <w:r w:rsidRPr="003B7EA9">
        <w:t xml:space="preserve"> </w:t>
      </w:r>
      <w:r w:rsidR="00582CE9" w:rsidRPr="003B7EA9">
        <w:t xml:space="preserve">for </w:t>
      </w:r>
      <w:r w:rsidRPr="003B7EA9">
        <w:t xml:space="preserve">the small </w:t>
      </w:r>
      <w:r w:rsidR="00762E79" w:rsidRPr="003B7EA9">
        <w:t>cultural</w:t>
      </w:r>
      <w:r w:rsidRPr="003B7EA9">
        <w:t xml:space="preserve"> groups can be ascertained from </w:t>
      </w:r>
      <w:r w:rsidR="00436194" w:rsidRPr="003B7EA9">
        <w:t>T</w:t>
      </w:r>
      <w:r w:rsidRPr="003B7EA9">
        <w:t>able</w:t>
      </w:r>
      <w:r w:rsidR="00436194" w:rsidRPr="003B7EA9">
        <w:t xml:space="preserve"> </w:t>
      </w:r>
      <w:r w:rsidR="00342487">
        <w:t>6</w:t>
      </w:r>
      <w:r w:rsidRPr="003B7EA9">
        <w:t xml:space="preserve">, having </w:t>
      </w:r>
      <w:r w:rsidR="00762E79" w:rsidRPr="003B7EA9">
        <w:t>controlled</w:t>
      </w:r>
      <w:r w:rsidR="00436194" w:rsidRPr="003B7EA9">
        <w:t xml:space="preserve"> for the other </w:t>
      </w:r>
      <w:r w:rsidR="000B2D1F" w:rsidRPr="003B7EA9">
        <w:t>v</w:t>
      </w:r>
      <w:r w:rsidRPr="003B7EA9">
        <w:t>ariables.  These include:</w:t>
      </w:r>
    </w:p>
    <w:p w14:paraId="25735F36" w14:textId="77777777" w:rsidR="009A55FA" w:rsidRPr="003B7EA9" w:rsidRDefault="009A55FA" w:rsidP="002125AA">
      <w:pPr>
        <w:pStyle w:val="ListParagraph"/>
        <w:numPr>
          <w:ilvl w:val="0"/>
          <w:numId w:val="48"/>
        </w:numPr>
      </w:pPr>
      <w:r w:rsidRPr="003B7EA9">
        <w:lastRenderedPageBreak/>
        <w:t>A greater suppression of migratory activity in Jewish households with an HRP aged 50 or more</w:t>
      </w:r>
      <w:r w:rsidR="00436194" w:rsidRPr="003B7EA9">
        <w:t xml:space="preserve">, </w:t>
      </w:r>
      <w:r w:rsidRPr="003B7EA9">
        <w:t xml:space="preserve">than seen in the </w:t>
      </w:r>
      <w:r w:rsidR="002125AA" w:rsidRPr="003B7EA9">
        <w:t>white British group</w:t>
      </w:r>
      <w:r w:rsidR="00436194" w:rsidRPr="003B7EA9">
        <w:t>; and a lower increase in migration in Arab households with an HRP aged 19 to 39 th</w:t>
      </w:r>
      <w:r w:rsidR="00214FB7" w:rsidRPr="003B7EA9">
        <w:t>a</w:t>
      </w:r>
      <w:r w:rsidR="00436194" w:rsidRPr="003B7EA9">
        <w:t>n seen in equivalent white British households.</w:t>
      </w:r>
    </w:p>
    <w:p w14:paraId="561852D0" w14:textId="77777777" w:rsidR="00297347" w:rsidRPr="003B7EA9" w:rsidRDefault="00762E79" w:rsidP="002125AA">
      <w:pPr>
        <w:pStyle w:val="ListParagraph"/>
        <w:numPr>
          <w:ilvl w:val="0"/>
          <w:numId w:val="48"/>
        </w:numPr>
      </w:pPr>
      <w:r w:rsidRPr="003B7EA9">
        <w:t xml:space="preserve">The material increase in migration propensity of individuals living in rented accommodation </w:t>
      </w:r>
      <w:r w:rsidR="00927E92" w:rsidRPr="003B7EA9">
        <w:t xml:space="preserve">(including halls of residence) </w:t>
      </w:r>
      <w:r w:rsidRPr="003B7EA9">
        <w:t>compared with home owners seen in the white British group is much more muted in the Chinese group and</w:t>
      </w:r>
      <w:r w:rsidR="002125AA" w:rsidRPr="003B7EA9">
        <w:t>,</w:t>
      </w:r>
      <w:r w:rsidRPr="003B7EA9">
        <w:t xml:space="preserve"> for the privately rented sector</w:t>
      </w:r>
      <w:r w:rsidR="002125AA" w:rsidRPr="003B7EA9">
        <w:t>,</w:t>
      </w:r>
      <w:r w:rsidRPr="003B7EA9">
        <w:t xml:space="preserve"> for Jews and Sikhs.</w:t>
      </w:r>
      <w:r w:rsidR="00436194" w:rsidRPr="003B7EA9">
        <w:t xml:space="preserve">  </w:t>
      </w:r>
      <w:r w:rsidR="00927E92" w:rsidRPr="003B7EA9">
        <w:t>Indeed, migration propensity for Jews in halls of residence is far below that of home owners, whereas for the white British group it is much higher.</w:t>
      </w:r>
    </w:p>
    <w:p w14:paraId="7E2DD83D" w14:textId="77777777" w:rsidR="00297347" w:rsidRPr="003B7EA9" w:rsidRDefault="00762E79" w:rsidP="002125AA">
      <w:pPr>
        <w:pStyle w:val="ListParagraph"/>
        <w:numPr>
          <w:ilvl w:val="0"/>
          <w:numId w:val="48"/>
        </w:numPr>
      </w:pPr>
      <w:r w:rsidRPr="003B7EA9">
        <w:t>Whilst</w:t>
      </w:r>
      <w:r w:rsidR="00297347" w:rsidRPr="003B7EA9">
        <w:t xml:space="preserve"> the impact of </w:t>
      </w:r>
      <w:r w:rsidRPr="003B7EA9">
        <w:t>different</w:t>
      </w:r>
      <w:r w:rsidR="00297347" w:rsidRPr="003B7EA9">
        <w:t xml:space="preserve"> family types is broadly </w:t>
      </w:r>
      <w:r w:rsidRPr="003B7EA9">
        <w:t>similar</w:t>
      </w:r>
      <w:r w:rsidR="00297347" w:rsidRPr="003B7EA9">
        <w:t xml:space="preserve"> for white </w:t>
      </w:r>
      <w:r w:rsidRPr="003B7EA9">
        <w:t>British</w:t>
      </w:r>
      <w:r w:rsidR="00297347" w:rsidRPr="003B7EA9">
        <w:t xml:space="preserve">, Arab, and Sikh groups, </w:t>
      </w:r>
      <w:r w:rsidRPr="003B7EA9">
        <w:t>there</w:t>
      </w:r>
      <w:r w:rsidR="00297347" w:rsidRPr="003B7EA9">
        <w:t xml:space="preserve"> </w:t>
      </w:r>
      <w:r w:rsidRPr="003B7EA9">
        <w:t>is</w:t>
      </w:r>
      <w:r w:rsidR="00297347" w:rsidRPr="003B7EA9">
        <w:t xml:space="preserve"> </w:t>
      </w:r>
      <w:r w:rsidRPr="003B7EA9">
        <w:t>noticeably</w:t>
      </w:r>
      <w:r w:rsidR="00297347" w:rsidRPr="003B7EA9">
        <w:t xml:space="preserve"> less </w:t>
      </w:r>
      <w:r w:rsidRPr="003B7EA9">
        <w:t>variation</w:t>
      </w:r>
      <w:r w:rsidR="00297347" w:rsidRPr="003B7EA9">
        <w:t xml:space="preserve"> for Chinese families.</w:t>
      </w:r>
    </w:p>
    <w:p w14:paraId="3FCDA4D4" w14:textId="2FA24C27" w:rsidR="00927E92" w:rsidRPr="003B7EA9" w:rsidRDefault="005F528D" w:rsidP="002125AA">
      <w:pPr>
        <w:pStyle w:val="ListParagraph"/>
        <w:numPr>
          <w:ilvl w:val="0"/>
          <w:numId w:val="48"/>
        </w:numPr>
      </w:pPr>
      <w:r w:rsidRPr="003B7EA9">
        <w:t xml:space="preserve">Similarly, there is much less variation between different living arrangements in the minority groups than for white Britons; indeed for the majority of categories and groups the odds are not significantly different to the reference married couple group, whereas for the white British group some categories display twice the odds </w:t>
      </w:r>
      <w:r w:rsidR="000C1369">
        <w:t>of</w:t>
      </w:r>
      <w:r w:rsidRPr="003B7EA9">
        <w:t xml:space="preserve"> the married couple category. </w:t>
      </w:r>
    </w:p>
    <w:p w14:paraId="4F393ED8" w14:textId="77777777" w:rsidR="00F86D82" w:rsidRPr="003B7EA9" w:rsidRDefault="00F86D82" w:rsidP="00F86D82">
      <w:pPr>
        <w:pStyle w:val="ListParagraph"/>
        <w:numPr>
          <w:ilvl w:val="0"/>
          <w:numId w:val="48"/>
        </w:numPr>
      </w:pPr>
      <w:r w:rsidRPr="003B7EA9">
        <w:t xml:space="preserve">White British adults without degree qualifications demonstrate noticeably lower migration rates than degree </w:t>
      </w:r>
      <w:r w:rsidR="005F528D" w:rsidRPr="003B7EA9">
        <w:t>holders;</w:t>
      </w:r>
      <w:r w:rsidRPr="003B7EA9">
        <w:t xml:space="preserve"> however, such reductions are generally absent for non-degree holding Arabs and Chinese.</w:t>
      </w:r>
    </w:p>
    <w:p w14:paraId="622CB889" w14:textId="77777777" w:rsidR="00297347" w:rsidRPr="003B7EA9" w:rsidRDefault="00762E79" w:rsidP="002125AA">
      <w:pPr>
        <w:pStyle w:val="ListParagraph"/>
        <w:numPr>
          <w:ilvl w:val="0"/>
          <w:numId w:val="48"/>
        </w:numPr>
      </w:pPr>
      <w:r w:rsidRPr="003B7EA9">
        <w:t xml:space="preserve">Although the spike in student migration levels is reduced to only a </w:t>
      </w:r>
      <w:r w:rsidR="00F86D82" w:rsidRPr="003B7EA9">
        <w:t>4</w:t>
      </w:r>
      <w:r w:rsidRPr="003B7EA9">
        <w:t xml:space="preserve">0% increase </w:t>
      </w:r>
      <w:r w:rsidR="002125AA" w:rsidRPr="003B7EA9">
        <w:t xml:space="preserve">for the white British group </w:t>
      </w:r>
      <w:r w:rsidRPr="003B7EA9">
        <w:t>when other variables are controlled, no significant increase at all is shown for students in any of the small groups.</w:t>
      </w:r>
    </w:p>
    <w:p w14:paraId="68B05854" w14:textId="77777777" w:rsidR="00075CD9" w:rsidRPr="003B7EA9" w:rsidRDefault="002A0188" w:rsidP="002125AA">
      <w:pPr>
        <w:pStyle w:val="ListParagraph"/>
        <w:numPr>
          <w:ilvl w:val="0"/>
          <w:numId w:val="48"/>
        </w:numPr>
      </w:pPr>
      <w:r w:rsidRPr="003B7EA9">
        <w:t>For tho</w:t>
      </w:r>
      <w:r w:rsidR="005F528D" w:rsidRPr="003B7EA9">
        <w:t>se groups with a material proportion not born in the UK (Arabs, Chinese, and Sikh) there is a consistent pattern of the earliest arrivals demonstrating a lower propensity to migrate than those bo</w:t>
      </w:r>
      <w:r w:rsidR="00C62EC6" w:rsidRPr="003B7EA9">
        <w:t>r</w:t>
      </w:r>
      <w:r w:rsidR="005F528D" w:rsidRPr="003B7EA9">
        <w:t>n in the UK, and the latest arrivals a high</w:t>
      </w:r>
      <w:r w:rsidRPr="003B7EA9">
        <w:t>er</w:t>
      </w:r>
      <w:r w:rsidR="005F528D" w:rsidRPr="003B7EA9">
        <w:t xml:space="preserve"> likelihood of moving; the variation is much less for the white British and Jewish groups whose members are largely UK born.</w:t>
      </w:r>
    </w:p>
    <w:p w14:paraId="50397252" w14:textId="509151FB" w:rsidR="00CD79B8" w:rsidRPr="003B7EA9" w:rsidRDefault="003667BB" w:rsidP="00806DCA">
      <w:r>
        <w:t>Responding to Q3, therefore, t</w:t>
      </w:r>
      <w:r w:rsidR="00CD79B8" w:rsidRPr="003B7EA9">
        <w:t xml:space="preserve">here are </w:t>
      </w:r>
      <w:r w:rsidR="00762E79" w:rsidRPr="003B7EA9">
        <w:t>subtle</w:t>
      </w:r>
      <w:r w:rsidR="00CD79B8" w:rsidRPr="003B7EA9">
        <w:t xml:space="preserve"> </w:t>
      </w:r>
      <w:r w:rsidR="00762E79" w:rsidRPr="003B7EA9">
        <w:t>variations</w:t>
      </w:r>
      <w:r w:rsidR="00CD79B8" w:rsidRPr="003B7EA9">
        <w:t xml:space="preserve"> in </w:t>
      </w:r>
      <w:r w:rsidR="00762E79" w:rsidRPr="003B7EA9">
        <w:t>migration</w:t>
      </w:r>
      <w:r w:rsidR="00CD79B8" w:rsidRPr="003B7EA9">
        <w:t xml:space="preserve"> </w:t>
      </w:r>
      <w:r w:rsidR="00762E79" w:rsidRPr="003B7EA9">
        <w:t>propensity</w:t>
      </w:r>
      <w:r w:rsidR="00CD79B8" w:rsidRPr="003B7EA9">
        <w:t xml:space="preserve"> between many of the cultural </w:t>
      </w:r>
      <w:r w:rsidR="00762E79" w:rsidRPr="003B7EA9">
        <w:t>groups</w:t>
      </w:r>
      <w:r w:rsidR="00CD79B8" w:rsidRPr="003B7EA9">
        <w:t xml:space="preserve"> across a number of the variables, after </w:t>
      </w:r>
      <w:r w:rsidR="00762E79" w:rsidRPr="003B7EA9">
        <w:t>controlling</w:t>
      </w:r>
      <w:r w:rsidR="00CD79B8" w:rsidRPr="003B7EA9">
        <w:t xml:space="preserve"> for the </w:t>
      </w:r>
      <w:r w:rsidR="00762E79" w:rsidRPr="003B7EA9">
        <w:t>other</w:t>
      </w:r>
      <w:r w:rsidR="00CD79B8" w:rsidRPr="003B7EA9">
        <w:t xml:space="preserve"> </w:t>
      </w:r>
      <w:r w:rsidR="00762E79" w:rsidRPr="003B7EA9">
        <w:t>variables</w:t>
      </w:r>
      <w:r>
        <w:t>.</w:t>
      </w:r>
      <w:r w:rsidR="00CD79B8" w:rsidRPr="003B7EA9">
        <w:t xml:space="preserve"> </w:t>
      </w:r>
    </w:p>
    <w:p w14:paraId="46E38B88" w14:textId="77777777" w:rsidR="00C34645" w:rsidRPr="003B7EA9" w:rsidRDefault="00C34645" w:rsidP="00413F57">
      <w:pPr>
        <w:pStyle w:val="Heading2"/>
        <w:numPr>
          <w:ilvl w:val="0"/>
          <w:numId w:val="0"/>
        </w:numPr>
        <w:jc w:val="left"/>
      </w:pPr>
      <w:r w:rsidRPr="003B7EA9">
        <w:t>Contextual</w:t>
      </w:r>
      <w:r w:rsidR="00A4147E" w:rsidRPr="003B7EA9">
        <w:t>/</w:t>
      </w:r>
      <w:r w:rsidRPr="003B7EA9">
        <w:t>Locational Issues</w:t>
      </w:r>
    </w:p>
    <w:p w14:paraId="226CAEC9" w14:textId="6663A5CB" w:rsidR="00C34645" w:rsidRPr="003B7EA9" w:rsidRDefault="00495112" w:rsidP="00C34645">
      <w:r>
        <w:t>Might the</w:t>
      </w:r>
      <w:r w:rsidR="00B362F7" w:rsidRPr="003B7EA9">
        <w:t xml:space="preserve"> </w:t>
      </w:r>
      <w:r w:rsidR="009D76D0" w:rsidRPr="003B7EA9">
        <w:t xml:space="preserve">remaining small </w:t>
      </w:r>
      <w:r>
        <w:t xml:space="preserve">Q3 </w:t>
      </w:r>
      <w:r w:rsidR="009D76D0" w:rsidRPr="003B7EA9">
        <w:t>residual differences</w:t>
      </w:r>
      <w:r w:rsidR="00582CE9" w:rsidRPr="003B7EA9">
        <w:t>,</w:t>
      </w:r>
      <w:r w:rsidR="009D76D0" w:rsidRPr="003B7EA9">
        <w:t xml:space="preserve"> </w:t>
      </w:r>
      <w:r w:rsidR="000B2D1F" w:rsidRPr="003B7EA9">
        <w:t xml:space="preserve">which </w:t>
      </w:r>
      <w:r w:rsidR="009D76D0" w:rsidRPr="003B7EA9">
        <w:t>have not been explained by individual/household information gleaned from the census, relate to contextual issues or some specific (unquantifiable?) factor asso</w:t>
      </w:r>
      <w:r>
        <w:t xml:space="preserve">ciated with the cultural group? </w:t>
      </w:r>
    </w:p>
    <w:p w14:paraId="3E7A0859" w14:textId="5060FEE9" w:rsidR="00DB641D" w:rsidRPr="003B7EA9" w:rsidRDefault="009D76D0" w:rsidP="00806DCA">
      <w:r w:rsidRPr="003B7EA9">
        <w:lastRenderedPageBreak/>
        <w:t xml:space="preserve">Given the nature of the data used in the analysis, the lowest level of residential geography </w:t>
      </w:r>
      <w:r w:rsidR="00582CE9" w:rsidRPr="003B7EA9">
        <w:t>that</w:t>
      </w:r>
      <w:r w:rsidRPr="003B7EA9">
        <w:t xml:space="preserve"> can be applied to the whole dataset is </w:t>
      </w:r>
      <w:r w:rsidR="00F575D5">
        <w:t>regional</w:t>
      </w:r>
      <w:r w:rsidR="008F4547">
        <w:rPr>
          <w:rStyle w:val="FootnoteReference"/>
        </w:rPr>
        <w:footnoteReference w:id="6"/>
      </w:r>
      <w:r w:rsidRPr="003B7EA9">
        <w:t xml:space="preserve">.  Re-running the logistic regression with the addition of a simple categorical region variable, although ‘improving’ the overall model in terms of -2LL goodness of fit by less than 0.1% does, however, bring the relative odds of migration for all the small cultural groups to within 5% or 6% of the white British value (Arab 0.94, Chinese 0.95, Jewish 1.06, Sikh 0.95) – that is, after allowing for the different regional distributions of the minority groups.  </w:t>
      </w:r>
      <w:r w:rsidR="00E45762" w:rsidRPr="003B7EA9">
        <w:t>T</w:t>
      </w:r>
      <w:r w:rsidRPr="003B7EA9">
        <w:t xml:space="preserve">hese values are significantly different to the white British at the 5% level (the 95% confidence intervals </w:t>
      </w:r>
      <w:r w:rsidR="00E45762" w:rsidRPr="003B7EA9">
        <w:t xml:space="preserve">just </w:t>
      </w:r>
      <w:r w:rsidRPr="003B7EA9">
        <w:t>fail to include 1.00 by a margin of 0.004 to 0.02)</w:t>
      </w:r>
      <w:r w:rsidR="000C1369">
        <w:t>;</w:t>
      </w:r>
      <w:r w:rsidRPr="003B7EA9">
        <w:t xml:space="preserve"> the regional variable effectively explains </w:t>
      </w:r>
      <w:r w:rsidR="00E45762" w:rsidRPr="003B7EA9">
        <w:t xml:space="preserve">about half </w:t>
      </w:r>
      <w:r w:rsidRPr="003B7EA9">
        <w:t xml:space="preserve">of the residual differences between the groups.  </w:t>
      </w:r>
      <w:proofErr w:type="gramStart"/>
      <w:r w:rsidRPr="003B7EA9">
        <w:t xml:space="preserve">This simple variable, which indicates that the odds of moving are highest for south west and south east England, and lowest for outer London, does not provide any </w:t>
      </w:r>
      <w:r w:rsidRPr="003B7EA9">
        <w:rPr>
          <w:i/>
        </w:rPr>
        <w:t>explanation</w:t>
      </w:r>
      <w:r w:rsidRPr="003B7EA9">
        <w:t xml:space="preserve"> for the regional differences.</w:t>
      </w:r>
      <w:proofErr w:type="gramEnd"/>
      <w:r w:rsidRPr="003B7EA9">
        <w:t xml:space="preserve">   However, examination of other data sources has allowed regional values of four parameters</w:t>
      </w:r>
      <w:r w:rsidR="00AB4CE6" w:rsidRPr="003B7EA9">
        <w:t>,</w:t>
      </w:r>
      <w:r w:rsidRPr="003B7EA9">
        <w:t xml:space="preserve"> </w:t>
      </w:r>
      <w:r w:rsidR="00AB4CE6" w:rsidRPr="003B7EA9">
        <w:t>relevant to</w:t>
      </w:r>
      <w:r w:rsidRPr="003B7EA9">
        <w:t xml:space="preserve"> migration decisions</w:t>
      </w:r>
      <w:r w:rsidR="00AB4CE6" w:rsidRPr="003B7EA9">
        <w:t>,</w:t>
      </w:r>
      <w:r w:rsidRPr="003B7EA9">
        <w:t xml:space="preserve"> to been calculated</w:t>
      </w:r>
      <w:r w:rsidR="00AB4CE6" w:rsidRPr="003B7EA9">
        <w:t>:</w:t>
      </w:r>
      <w:r w:rsidRPr="003B7EA9">
        <w:t xml:space="preserve"> unemployment levels</w:t>
      </w:r>
      <w:r w:rsidR="00AB4CE6" w:rsidRPr="003B7EA9">
        <w:t>;</w:t>
      </w:r>
      <w:r w:rsidRPr="003B7EA9">
        <w:t xml:space="preserve"> </w:t>
      </w:r>
      <w:r w:rsidR="00AB4CE6" w:rsidRPr="003B7EA9">
        <w:t>disposable income;</w:t>
      </w:r>
      <w:r w:rsidRPr="003B7EA9">
        <w:t xml:space="preserve"> house prices</w:t>
      </w:r>
      <w:r w:rsidR="00AB4CE6" w:rsidRPr="003B7EA9">
        <w:t>;</w:t>
      </w:r>
      <w:r w:rsidRPr="003B7EA9">
        <w:t xml:space="preserve"> and a deprivation indicator</w:t>
      </w:r>
      <w:r w:rsidRPr="003B7EA9">
        <w:rPr>
          <w:rStyle w:val="FootnoteReference"/>
        </w:rPr>
        <w:footnoteReference w:id="7"/>
      </w:r>
      <w:r w:rsidR="006446FD" w:rsidRPr="003B7EA9">
        <w:t xml:space="preserve"> (Fielding, 2012; Boyle et al, 1998</w:t>
      </w:r>
      <w:r w:rsidR="002F14C8" w:rsidRPr="003B7EA9">
        <w:t>; Bailey and Livingston, 2008</w:t>
      </w:r>
      <w:r w:rsidR="004A6FB1" w:rsidRPr="003B7EA9">
        <w:t xml:space="preserve">; </w:t>
      </w:r>
      <w:proofErr w:type="spellStart"/>
      <w:r w:rsidR="004A6FB1" w:rsidRPr="003B7EA9">
        <w:t>Helliwell</w:t>
      </w:r>
      <w:proofErr w:type="spellEnd"/>
      <w:r w:rsidR="004A6FB1" w:rsidRPr="003B7EA9">
        <w:t>, 1996</w:t>
      </w:r>
      <w:r w:rsidR="006446FD" w:rsidRPr="003B7EA9">
        <w:t>)</w:t>
      </w:r>
      <w:r w:rsidRPr="003B7EA9">
        <w:t>.   Further application of the logistic regression model indicates that, when applied together, the</w:t>
      </w:r>
      <w:r w:rsidR="00AB4CE6" w:rsidRPr="003B7EA9">
        <w:t>se parameters</w:t>
      </w:r>
      <w:r w:rsidRPr="003B7EA9">
        <w:t xml:space="preserve"> capture over 90% of the variation revealed by the ‘catch all’ categorical regional variable</w:t>
      </w:r>
      <w:r w:rsidR="00513F9C">
        <w:t>.  W</w:t>
      </w:r>
      <w:r w:rsidRPr="003B7EA9">
        <w:t>hen applied individually</w:t>
      </w:r>
      <w:r w:rsidR="00513F9C">
        <w:t>,</w:t>
      </w:r>
      <w:r w:rsidRPr="003B7EA9">
        <w:t xml:space="preserve"> unemployment levels and general deprivation each account for 50% to 60% of the impact</w:t>
      </w:r>
      <w:r w:rsidR="00F575D5">
        <w:t xml:space="preserve"> </w:t>
      </w:r>
      <w:r w:rsidR="00F575D5" w:rsidRPr="003B7EA9">
        <w:t>(increases in their values leading to a reduction in migration)</w:t>
      </w:r>
      <w:r w:rsidRPr="003B7EA9">
        <w:t xml:space="preserve">, </w:t>
      </w:r>
      <w:r w:rsidR="000C1369">
        <w:t>w</w:t>
      </w:r>
      <w:r w:rsidR="00F575D5">
        <w:t>hilst</w:t>
      </w:r>
      <w:r w:rsidR="000C1369">
        <w:t xml:space="preserve"> </w:t>
      </w:r>
      <w:r w:rsidRPr="003B7EA9">
        <w:t xml:space="preserve">house price and household income </w:t>
      </w:r>
      <w:r w:rsidR="00F575D5">
        <w:t xml:space="preserve">account for </w:t>
      </w:r>
      <w:r w:rsidR="000C1369">
        <w:t>a minimal</w:t>
      </w:r>
      <w:r w:rsidRPr="003B7EA9">
        <w:t xml:space="preserve"> </w:t>
      </w:r>
      <w:r w:rsidR="000C1369" w:rsidRPr="003B7EA9">
        <w:t xml:space="preserve">5% </w:t>
      </w:r>
      <w:r w:rsidR="000C1369">
        <w:t xml:space="preserve">and </w:t>
      </w:r>
      <w:r w:rsidRPr="003B7EA9">
        <w:t>1%</w:t>
      </w:r>
      <w:r w:rsidR="000C1369">
        <w:t>, re</w:t>
      </w:r>
      <w:r w:rsidR="00495112">
        <w:t>s</w:t>
      </w:r>
      <w:r w:rsidR="000C1369">
        <w:t>pectively</w:t>
      </w:r>
      <w:r w:rsidRPr="003B7EA9">
        <w:t>.</w:t>
      </w:r>
    </w:p>
    <w:p w14:paraId="6A9F0211" w14:textId="77777777" w:rsidR="00A4147E" w:rsidRPr="003B7EA9" w:rsidRDefault="00A4147E" w:rsidP="00413F57">
      <w:pPr>
        <w:pStyle w:val="Heading2"/>
        <w:numPr>
          <w:ilvl w:val="0"/>
          <w:numId w:val="0"/>
        </w:numPr>
        <w:jc w:val="left"/>
      </w:pPr>
      <w:r w:rsidRPr="003B7EA9">
        <w:lastRenderedPageBreak/>
        <w:t>Distance of Moves</w:t>
      </w:r>
    </w:p>
    <w:p w14:paraId="711F27CE" w14:textId="6EDA8AAC" w:rsidR="00D025B9" w:rsidRPr="003B7EA9" w:rsidRDefault="000B4B40" w:rsidP="00806DCA">
      <w:r w:rsidRPr="003B7EA9">
        <w:t xml:space="preserve">One final piece of </w:t>
      </w:r>
      <w:r w:rsidR="00D05356" w:rsidRPr="003B7EA9">
        <w:t>analysis</w:t>
      </w:r>
      <w:r w:rsidRPr="003B7EA9">
        <w:t xml:space="preserve"> was carried to understand how these </w:t>
      </w:r>
      <w:r w:rsidR="00D05356" w:rsidRPr="003B7EA9">
        <w:t>differences</w:t>
      </w:r>
      <w:r w:rsidRPr="003B7EA9">
        <w:t xml:space="preserve"> in </w:t>
      </w:r>
      <w:r w:rsidR="00D05356" w:rsidRPr="003B7EA9">
        <w:t>behaviour</w:t>
      </w:r>
      <w:r w:rsidRPr="003B7EA9">
        <w:t xml:space="preserve"> </w:t>
      </w:r>
      <w:r w:rsidR="00D05356" w:rsidRPr="003B7EA9">
        <w:t>patterns</w:t>
      </w:r>
      <w:r w:rsidRPr="003B7EA9">
        <w:t xml:space="preserve"> might be reflected in, or explain, </w:t>
      </w:r>
      <w:r w:rsidR="00D05356" w:rsidRPr="003B7EA9">
        <w:t>differences</w:t>
      </w:r>
      <w:r w:rsidRPr="003B7EA9">
        <w:t xml:space="preserve"> in migration </w:t>
      </w:r>
      <w:r w:rsidR="00D05356" w:rsidRPr="003B7EA9">
        <w:t>distances</w:t>
      </w:r>
      <w:r w:rsidRPr="003B7EA9">
        <w:t xml:space="preserve"> </w:t>
      </w:r>
      <w:r w:rsidR="00D05356" w:rsidRPr="003B7EA9">
        <w:t>between</w:t>
      </w:r>
      <w:r w:rsidRPr="003B7EA9">
        <w:t xml:space="preserve"> the groups</w:t>
      </w:r>
      <w:r w:rsidR="00A4147E" w:rsidRPr="003B7EA9">
        <w:t xml:space="preserve"> </w:t>
      </w:r>
      <w:r w:rsidR="00B362F7">
        <w:t xml:space="preserve">(Q4) </w:t>
      </w:r>
      <w:r w:rsidR="00A4147E" w:rsidRPr="003B7EA9">
        <w:t>– longer distance moves being more likely to be associated with changes in employment, whereas shorter distance moves may have a stronger housing market element</w:t>
      </w:r>
      <w:r w:rsidR="00D025B9" w:rsidRPr="003B7EA9">
        <w:t xml:space="preserve"> (</w:t>
      </w:r>
      <w:proofErr w:type="spellStart"/>
      <w:r w:rsidR="00D025B9" w:rsidRPr="003B7EA9">
        <w:rPr>
          <w:lang w:eastAsia="en-GB"/>
        </w:rPr>
        <w:t>Nivalainen</w:t>
      </w:r>
      <w:proofErr w:type="spellEnd"/>
      <w:r w:rsidR="00D025B9" w:rsidRPr="003B7EA9">
        <w:rPr>
          <w:lang w:eastAsia="en-GB"/>
        </w:rPr>
        <w:t>, 2004)</w:t>
      </w:r>
      <w:r w:rsidRPr="003B7EA9">
        <w:t xml:space="preserve">.  </w:t>
      </w:r>
      <w:r w:rsidR="00D05356" w:rsidRPr="003B7EA9">
        <w:t xml:space="preserve">The microdata were examined, using 20km as a cut-off between shorter and longer distance moves, based on only one person in eight commuting further than that distance (Champion et al, 2009) and to ensure that the longer-distance sample size </w:t>
      </w:r>
      <w:r w:rsidR="004103B1" w:rsidRPr="003B7EA9">
        <w:t>for</w:t>
      </w:r>
      <w:r w:rsidR="00D05356" w:rsidRPr="003B7EA9">
        <w:t xml:space="preserve"> the cultural groups remained robust.   The raw data indicated that 30% of Chinese moves fell into the longer distance bracket, significantly more (at the 5% level) </w:t>
      </w:r>
      <w:r w:rsidR="000C1369">
        <w:t>than</w:t>
      </w:r>
      <w:r w:rsidR="00D05356" w:rsidRPr="003B7EA9">
        <w:t xml:space="preserve"> the 23% to 26% proportion applicable to the white British and other small groups</w:t>
      </w:r>
      <w:r w:rsidR="00495112">
        <w:t xml:space="preserve"> (see Table 1)</w:t>
      </w:r>
      <w:r w:rsidR="00D05356" w:rsidRPr="003B7EA9">
        <w:t xml:space="preserve">.   The logistic regression for all residents was re-run with the records split into shorter and longer distance datasets, and this identified certain characteristics with markedly different odds of migration between the two models.   Characteristics which led to much higher odds of migrating a longer distance were: persons not living in a household in general, and in halls of residence in particular, and being qualified at degree level.   </w:t>
      </w:r>
      <w:r w:rsidR="00AA219C" w:rsidRPr="003B7EA9">
        <w:t xml:space="preserve">Much lower odds of </w:t>
      </w:r>
      <w:r w:rsidR="00D05356" w:rsidRPr="003B7EA9">
        <w:t>making</w:t>
      </w:r>
      <w:r w:rsidR="00AA219C" w:rsidRPr="003B7EA9">
        <w:t xml:space="preserve"> a longer </w:t>
      </w:r>
      <w:r w:rsidR="00D05356" w:rsidRPr="003B7EA9">
        <w:t>distance</w:t>
      </w:r>
      <w:r w:rsidR="00AA219C" w:rsidRPr="003B7EA9">
        <w:t xml:space="preserve"> move applied to: public sector home renters; </w:t>
      </w:r>
      <w:r w:rsidR="00D05356" w:rsidRPr="003B7EA9">
        <w:t>living</w:t>
      </w:r>
      <w:r w:rsidR="00AA219C" w:rsidRPr="003B7EA9">
        <w:t xml:space="preserve"> in </w:t>
      </w:r>
      <w:r w:rsidR="00D05356" w:rsidRPr="003B7EA9">
        <w:t>households</w:t>
      </w:r>
      <w:r w:rsidR="00AA219C" w:rsidRPr="003B7EA9">
        <w:t xml:space="preserve"> with a dependent child or children; </w:t>
      </w:r>
      <w:r w:rsidR="00D05356" w:rsidRPr="003B7EA9">
        <w:t>having</w:t>
      </w:r>
      <w:r w:rsidR="00AA219C" w:rsidRPr="003B7EA9">
        <w:t xml:space="preserve"> no academic </w:t>
      </w:r>
      <w:r w:rsidR="00D05356" w:rsidRPr="003B7EA9">
        <w:t>qualifications</w:t>
      </w:r>
      <w:r w:rsidR="00066978" w:rsidRPr="003B7EA9">
        <w:t>;</w:t>
      </w:r>
      <w:r w:rsidR="009A522C" w:rsidRPr="003B7EA9">
        <w:t xml:space="preserve"> living </w:t>
      </w:r>
      <w:r w:rsidR="00066978" w:rsidRPr="003B7EA9">
        <w:t>in</w:t>
      </w:r>
      <w:r w:rsidR="009A522C" w:rsidRPr="003B7EA9">
        <w:t xml:space="preserve"> </w:t>
      </w:r>
      <w:r w:rsidR="00066978" w:rsidRPr="003B7EA9">
        <w:t>Outer London;</w:t>
      </w:r>
      <w:r w:rsidR="009A522C" w:rsidRPr="003B7EA9">
        <w:t xml:space="preserve"> </w:t>
      </w:r>
      <w:r w:rsidR="00513F9C">
        <w:t>or</w:t>
      </w:r>
      <w:r w:rsidR="009A522C" w:rsidRPr="003B7EA9">
        <w:t xml:space="preserve"> having </w:t>
      </w:r>
      <w:r w:rsidR="00D05356" w:rsidRPr="003B7EA9">
        <w:t>arrived in</w:t>
      </w:r>
      <w:r w:rsidR="009A522C" w:rsidRPr="003B7EA9">
        <w:t xml:space="preserve"> the </w:t>
      </w:r>
      <w:r w:rsidR="00066978" w:rsidRPr="003B7EA9">
        <w:t>U</w:t>
      </w:r>
      <w:r w:rsidR="009A522C" w:rsidRPr="003B7EA9">
        <w:t xml:space="preserve">K since 2007.   </w:t>
      </w:r>
      <w:r w:rsidR="00D05356" w:rsidRPr="003B7EA9">
        <w:t>As with migration levels as a whole, once individual characteristics and regional context are controlled for,</w:t>
      </w:r>
      <w:r w:rsidR="00D025B9" w:rsidRPr="003B7EA9">
        <w:t xml:space="preserve"> </w:t>
      </w:r>
      <w:r w:rsidR="004103B1" w:rsidRPr="003B7EA9">
        <w:t>differences</w:t>
      </w:r>
      <w:r w:rsidR="00D025B9" w:rsidRPr="003B7EA9">
        <w:t xml:space="preserve"> in behaviour found in the raw data are largely accounted for</w:t>
      </w:r>
      <w:r w:rsidR="009B637A">
        <w:t xml:space="preserve"> (see Table </w:t>
      </w:r>
      <w:r w:rsidR="007B03E2">
        <w:t>7</w:t>
      </w:r>
      <w:r w:rsidR="009B637A">
        <w:t>)</w:t>
      </w:r>
      <w:r w:rsidR="00D025B9" w:rsidRPr="003B7EA9">
        <w:t>.  Indeed,</w:t>
      </w:r>
      <w:r w:rsidR="00D05356" w:rsidRPr="003B7EA9">
        <w:t xml:space="preserve"> the odds of making a longer distance move for </w:t>
      </w:r>
      <w:r w:rsidR="00A065C1" w:rsidRPr="003B7EA9">
        <w:t>the</w:t>
      </w:r>
      <w:r w:rsidR="00D05356" w:rsidRPr="003B7EA9">
        <w:t xml:space="preserve"> Chinese group are the lowest of all the groups</w:t>
      </w:r>
      <w:r w:rsidR="001878DB" w:rsidRPr="003B7EA9">
        <w:t xml:space="preserve"> at</w:t>
      </w:r>
      <w:r w:rsidR="004D3899" w:rsidRPr="003B7EA9">
        <w:t xml:space="preserve"> </w:t>
      </w:r>
      <w:r w:rsidR="00D05356" w:rsidRPr="003B7EA9">
        <w:t>only 0.81 of the odds for the white British group</w:t>
      </w:r>
      <w:r w:rsidR="004103B1" w:rsidRPr="003B7EA9">
        <w:t xml:space="preserve"> (the other groups report values of 0.85 to 0.92).  Thus</w:t>
      </w:r>
      <w:r w:rsidR="000C1369">
        <w:t>,</w:t>
      </w:r>
      <w:r w:rsidR="004103B1" w:rsidRPr="003B7EA9">
        <w:t xml:space="preserve"> despite the high proportion of longer distance moves found for the Chinese group, based on the group’s characteristics an even higher proportion would be expected.  </w:t>
      </w:r>
      <w:r w:rsidR="009A522C" w:rsidRPr="003B7EA9">
        <w:t>Conv</w:t>
      </w:r>
      <w:r w:rsidR="004D3899" w:rsidRPr="003B7EA9">
        <w:t>ersely</w:t>
      </w:r>
      <w:r w:rsidR="009A522C" w:rsidRPr="003B7EA9">
        <w:t>, for moves of less than 20km the migration prop</w:t>
      </w:r>
      <w:r w:rsidR="004D3899" w:rsidRPr="003B7EA9">
        <w:t>ensity</w:t>
      </w:r>
      <w:r w:rsidR="009A522C" w:rsidRPr="003B7EA9">
        <w:t xml:space="preserve"> for </w:t>
      </w:r>
      <w:r w:rsidR="004D3899" w:rsidRPr="003B7EA9">
        <w:t>the</w:t>
      </w:r>
      <w:r w:rsidR="009A522C" w:rsidRPr="003B7EA9">
        <w:t xml:space="preserve"> Chines</w:t>
      </w:r>
      <w:r w:rsidR="004D3899" w:rsidRPr="003B7EA9">
        <w:t>e</w:t>
      </w:r>
      <w:r w:rsidR="009A522C" w:rsidRPr="003B7EA9">
        <w:t xml:space="preserve"> and Sikh groups is not </w:t>
      </w:r>
      <w:r w:rsidR="004D3899" w:rsidRPr="003B7EA9">
        <w:t>significantly</w:t>
      </w:r>
      <w:r w:rsidR="009A522C" w:rsidRPr="003B7EA9">
        <w:t xml:space="preserve"> di</w:t>
      </w:r>
      <w:r w:rsidR="004D3899" w:rsidRPr="003B7EA9">
        <w:t>fferent</w:t>
      </w:r>
      <w:r w:rsidR="009A522C" w:rsidRPr="003B7EA9">
        <w:t xml:space="preserve"> to </w:t>
      </w:r>
      <w:r w:rsidR="004D3899" w:rsidRPr="003B7EA9">
        <w:t>the</w:t>
      </w:r>
      <w:r w:rsidR="009A522C" w:rsidRPr="003B7EA9">
        <w:t xml:space="preserve"> white </w:t>
      </w:r>
      <w:r w:rsidR="00D05356" w:rsidRPr="003B7EA9">
        <w:t>British</w:t>
      </w:r>
      <w:r w:rsidR="009A522C" w:rsidRPr="003B7EA9">
        <w:t xml:space="preserve"> group, </w:t>
      </w:r>
      <w:r w:rsidR="004D3899" w:rsidRPr="003B7EA9">
        <w:t>whereas</w:t>
      </w:r>
      <w:r w:rsidR="009A522C" w:rsidRPr="003B7EA9">
        <w:t xml:space="preserve"> the Jewish group has higher odds (1.12) and the Arab group lower odds (0.</w:t>
      </w:r>
      <w:r w:rsidR="00DE7029" w:rsidRPr="003B7EA9">
        <w:t>93) of making such moves.</w:t>
      </w:r>
      <w:r w:rsidR="009A522C" w:rsidRPr="003B7EA9">
        <w:t xml:space="preserve">  </w:t>
      </w:r>
    </w:p>
    <w:p w14:paraId="5346FDAD" w14:textId="77777777" w:rsidR="000B4B40" w:rsidRPr="003B7EA9" w:rsidRDefault="00035C14" w:rsidP="00806DCA">
      <w:r w:rsidRPr="003B7EA9">
        <w:t xml:space="preserve">The important message </w:t>
      </w:r>
      <w:r w:rsidR="000C1369">
        <w:t>from</w:t>
      </w:r>
      <w:r w:rsidRPr="003B7EA9">
        <w:t xml:space="preserve"> this section of the analysis is that, certainly for the Chinese and Sikh groups, the cultural group penalty manifests itself in dampening the level of longer distance moves, with shorter distance moves unaffected, though for the Arab group the effect has both longer and shorter distance elements.   </w:t>
      </w:r>
      <w:r w:rsidR="00D025B9" w:rsidRPr="003B7EA9">
        <w:t xml:space="preserve">One </w:t>
      </w:r>
      <w:r w:rsidRPr="003B7EA9">
        <w:t>explanation</w:t>
      </w:r>
      <w:r w:rsidR="004103B1" w:rsidRPr="003B7EA9">
        <w:t>, particularly for the</w:t>
      </w:r>
      <w:r w:rsidR="00D025B9" w:rsidRPr="003B7EA9">
        <w:t xml:space="preserve"> </w:t>
      </w:r>
      <w:r w:rsidRPr="003B7EA9">
        <w:t>Chinese</w:t>
      </w:r>
      <w:r w:rsidR="004103B1" w:rsidRPr="003B7EA9">
        <w:t xml:space="preserve">, is the group’s </w:t>
      </w:r>
      <w:proofErr w:type="gramStart"/>
      <w:r w:rsidRPr="003B7EA9">
        <w:t>proportion</w:t>
      </w:r>
      <w:r w:rsidR="00AD5957">
        <w:t xml:space="preserve"> </w:t>
      </w:r>
      <w:r w:rsidR="001878DB" w:rsidRPr="003B7EA9">
        <w:t>who are</w:t>
      </w:r>
      <w:proofErr w:type="gramEnd"/>
      <w:r w:rsidR="00D025B9" w:rsidRPr="003B7EA9">
        <w:t xml:space="preserve"> </w:t>
      </w:r>
      <w:r w:rsidRPr="003B7EA9">
        <w:t>international</w:t>
      </w:r>
      <w:r w:rsidR="00D025B9" w:rsidRPr="003B7EA9">
        <w:t xml:space="preserve"> </w:t>
      </w:r>
      <w:r w:rsidRPr="003B7EA9">
        <w:t>students</w:t>
      </w:r>
      <w:r w:rsidR="00D025B9" w:rsidRPr="003B7EA9">
        <w:t xml:space="preserve">.   </w:t>
      </w:r>
      <w:r w:rsidR="001B4059" w:rsidRPr="003B7EA9">
        <w:t xml:space="preserve">The </w:t>
      </w:r>
      <w:r w:rsidRPr="003B7EA9">
        <w:t>microdata</w:t>
      </w:r>
      <w:r w:rsidR="001B4059" w:rsidRPr="003B7EA9">
        <w:t xml:space="preserve"> show that 12% of the Chinese group are students who have arrived in the UK in the 2007-2011 </w:t>
      </w:r>
      <w:proofErr w:type="gramStart"/>
      <w:r w:rsidR="001B4059" w:rsidRPr="003B7EA9">
        <w:t>period</w:t>
      </w:r>
      <w:proofErr w:type="gramEnd"/>
      <w:r w:rsidR="001B4059" w:rsidRPr="003B7EA9">
        <w:t xml:space="preserve"> </w:t>
      </w:r>
      <w:r w:rsidR="001B4059" w:rsidRPr="003B7EA9">
        <w:lastRenderedPageBreak/>
        <w:t xml:space="preserve">(indeed over 40% of 2007-2011 Chinese </w:t>
      </w:r>
      <w:proofErr w:type="spellStart"/>
      <w:r w:rsidR="001B4059" w:rsidRPr="003B7EA9">
        <w:t>arrivers</w:t>
      </w:r>
      <w:proofErr w:type="spellEnd"/>
      <w:r w:rsidR="001B4059" w:rsidRPr="003B7EA9">
        <w:t xml:space="preserve"> are students).   The population for </w:t>
      </w:r>
      <w:r w:rsidRPr="003B7EA9">
        <w:t>this</w:t>
      </w:r>
      <w:r w:rsidR="001B4059" w:rsidRPr="003B7EA9">
        <w:t xml:space="preserve"> study </w:t>
      </w:r>
      <w:r w:rsidR="00AD5957">
        <w:t>is</w:t>
      </w:r>
      <w:r w:rsidR="001B4059" w:rsidRPr="003B7EA9">
        <w:t xml:space="preserve"> individual</w:t>
      </w:r>
      <w:r w:rsidR="004103B1" w:rsidRPr="003B7EA9">
        <w:t>s</w:t>
      </w:r>
      <w:r w:rsidR="001B4059" w:rsidRPr="003B7EA9">
        <w:t xml:space="preserve"> with a residential address in England and Wales both on the date of the 2011 census and also 12 months prior to that date.   Thus the sample excludes the (international) pre-university to university move of overseas</w:t>
      </w:r>
      <w:r w:rsidR="004103B1" w:rsidRPr="003B7EA9">
        <w:t>-</w:t>
      </w:r>
      <w:r w:rsidR="001B4059" w:rsidRPr="003B7EA9">
        <w:t xml:space="preserve">based </w:t>
      </w:r>
      <w:r w:rsidRPr="003B7EA9">
        <w:t>students</w:t>
      </w:r>
      <w:r w:rsidR="001B4059" w:rsidRPr="003B7EA9">
        <w:t xml:space="preserve">, but includes the </w:t>
      </w:r>
      <w:r w:rsidRPr="003B7EA9">
        <w:t>equivalent (mainly</w:t>
      </w:r>
      <w:r w:rsidR="001B4059" w:rsidRPr="003B7EA9">
        <w:t xml:space="preserve"> over 20km) move for UK-based </w:t>
      </w:r>
      <w:r w:rsidRPr="003B7EA9">
        <w:t>students</w:t>
      </w:r>
      <w:r w:rsidR="001B4059" w:rsidRPr="003B7EA9">
        <w:t xml:space="preserve">.  </w:t>
      </w:r>
      <w:r w:rsidRPr="003B7EA9">
        <w:t>This</w:t>
      </w:r>
      <w:r w:rsidR="001B4059" w:rsidRPr="003B7EA9">
        <w:t xml:space="preserve"> is borne out by an </w:t>
      </w:r>
      <w:r w:rsidRPr="003B7EA9">
        <w:t>examination</w:t>
      </w:r>
      <w:r w:rsidR="001B4059" w:rsidRPr="003B7EA9">
        <w:t xml:space="preserve"> of the distance of move of occupants of halls of residence; the proportion making a long-</w:t>
      </w:r>
      <w:r w:rsidRPr="003B7EA9">
        <w:t>distance</w:t>
      </w:r>
      <w:r w:rsidR="001B4059" w:rsidRPr="003B7EA9">
        <w:t xml:space="preserve"> move is 88% for </w:t>
      </w:r>
      <w:r w:rsidRPr="003B7EA9">
        <w:t>white</w:t>
      </w:r>
      <w:r w:rsidR="001B4059" w:rsidRPr="003B7EA9">
        <w:t xml:space="preserve"> Britons and Jews, whereas it is only 56% for Chinese and Arabs.  </w:t>
      </w:r>
      <w:r w:rsidRPr="003B7EA9">
        <w:t xml:space="preserve">This difference is sufficient to explain </w:t>
      </w:r>
      <w:r w:rsidR="001878DB" w:rsidRPr="003B7EA9">
        <w:t>a</w:t>
      </w:r>
      <w:r w:rsidRPr="003B7EA9">
        <w:t xml:space="preserve"> major proportion of the difference in odds for longe</w:t>
      </w:r>
      <w:r w:rsidR="004103B1" w:rsidRPr="003B7EA9">
        <w:t>r</w:t>
      </w:r>
      <w:r w:rsidRPr="003B7EA9">
        <w:t xml:space="preserve"> distance move</w:t>
      </w:r>
      <w:r w:rsidR="004103B1" w:rsidRPr="003B7EA9">
        <w:t>s</w:t>
      </w:r>
      <w:r w:rsidRPr="003B7EA9">
        <w:t xml:space="preserve"> between the Chinese and the white British group</w:t>
      </w:r>
      <w:r w:rsidR="004103B1" w:rsidRPr="003B7EA9">
        <w:t>s</w:t>
      </w:r>
      <w:r w:rsidRPr="003B7EA9">
        <w:t>.</w:t>
      </w:r>
    </w:p>
    <w:p w14:paraId="657EA8A4" w14:textId="77777777" w:rsidR="00867707" w:rsidRPr="003B7EA9" w:rsidRDefault="00E548AF" w:rsidP="00413F57">
      <w:pPr>
        <w:pStyle w:val="Heading2"/>
        <w:numPr>
          <w:ilvl w:val="0"/>
          <w:numId w:val="0"/>
        </w:numPr>
        <w:jc w:val="left"/>
      </w:pPr>
      <w:bookmarkStart w:id="5" w:name="_Toc431393365"/>
      <w:r w:rsidRPr="003B7EA9">
        <w:t>Conclusions</w:t>
      </w:r>
      <w:bookmarkEnd w:id="5"/>
    </w:p>
    <w:p w14:paraId="471890C4" w14:textId="4118B768" w:rsidR="00652842" w:rsidRPr="003B7EA9" w:rsidRDefault="000649D0" w:rsidP="00A60DBA">
      <w:r>
        <w:t xml:space="preserve">This paper has offered two methodological innovations. </w:t>
      </w:r>
      <w:r w:rsidR="00923C19">
        <w:t xml:space="preserve"> </w:t>
      </w:r>
      <w:r>
        <w:t>Analysis has been undertaken using</w:t>
      </w:r>
      <w:r w:rsidR="00D02C62" w:rsidRPr="003B7EA9">
        <w:t xml:space="preserve"> the whole age range of the population, and including individuals not resident in households.</w:t>
      </w:r>
      <w:r w:rsidR="008F598F">
        <w:t xml:space="preserve"> </w:t>
      </w:r>
      <w:r w:rsidR="00D02C62" w:rsidRPr="003B7EA9">
        <w:t xml:space="preserve"> </w:t>
      </w:r>
      <w:r w:rsidR="008F4547" w:rsidRPr="008F4547">
        <w:t>In part this has been possible through the use of an age of HRP variable (represented by age of individual for communal establishment residents), rather than the age of the individual as used in most studies</w:t>
      </w:r>
      <w:r w:rsidR="00D02C62" w:rsidRPr="003B7EA9">
        <w:t>.</w:t>
      </w:r>
      <w:r>
        <w:t xml:space="preserve"> Results from this analysis are in line with those taking a more conventional approach, but more statistically robust due to the retention of the full sample.</w:t>
      </w:r>
      <w:r w:rsidR="00D02C62" w:rsidRPr="003B7EA9">
        <w:t xml:space="preserve">  </w:t>
      </w:r>
      <w:r>
        <w:t>In addition</w:t>
      </w:r>
      <w:r w:rsidR="001878DB" w:rsidRPr="003B7EA9">
        <w:t xml:space="preserve">, </w:t>
      </w:r>
      <w:r>
        <w:t xml:space="preserve">through an analysis of Labour Force Survey data, this study has legitimated the normally implicit assumption that, when studying migration, </w:t>
      </w:r>
      <w:r w:rsidR="001878DB" w:rsidRPr="003B7EA9">
        <w:t xml:space="preserve">(post event) census </w:t>
      </w:r>
      <w:r w:rsidR="008D05C7" w:rsidRPr="003B7EA9">
        <w:t>characteristics</w:t>
      </w:r>
      <w:r>
        <w:t xml:space="preserve"> provide a good proxy for pre-move character</w:t>
      </w:r>
      <w:r w:rsidR="00B362F7">
        <w:t>is</w:t>
      </w:r>
      <w:r>
        <w:t>tics.</w:t>
      </w:r>
      <w:r w:rsidR="001878DB" w:rsidRPr="003B7EA9">
        <w:t xml:space="preserve"> </w:t>
      </w:r>
    </w:p>
    <w:p w14:paraId="14768C58" w14:textId="1ABED986" w:rsidR="00641199" w:rsidRPr="003B7EA9" w:rsidRDefault="00FD6725" w:rsidP="00B75DCC">
      <w:r>
        <w:t xml:space="preserve">In more substantive terms, </w:t>
      </w:r>
      <w:r w:rsidRPr="003B7EA9">
        <w:t xml:space="preserve">this paper set out to answer </w:t>
      </w:r>
      <w:r w:rsidR="00B362F7">
        <w:t>five</w:t>
      </w:r>
      <w:r w:rsidRPr="003B7EA9">
        <w:t xml:space="preserve"> previously unanswered questions regarding the migration behaviour of Jews and other smaller cultural groups.</w:t>
      </w:r>
      <w:r w:rsidR="00923C19">
        <w:t xml:space="preserve">  </w:t>
      </w:r>
      <w:r>
        <w:t>T</w:t>
      </w:r>
      <w:r w:rsidR="00D02C62" w:rsidRPr="003B7EA9">
        <w:t xml:space="preserve">he study has </w:t>
      </w:r>
      <w:r>
        <w:t>confirmed</w:t>
      </w:r>
      <w:r w:rsidRPr="003B7EA9">
        <w:t xml:space="preserve"> </w:t>
      </w:r>
      <w:r w:rsidR="00D02C62" w:rsidRPr="003B7EA9">
        <w:t>that there are differences in the propensity to migrate between the host group and the smaller cultural groups (</w:t>
      </w:r>
      <w:r w:rsidR="00685E5C" w:rsidRPr="003B7EA9">
        <w:t>Q1</w:t>
      </w:r>
      <w:r w:rsidR="00D02C62" w:rsidRPr="003B7EA9">
        <w:t>).  As has been found in</w:t>
      </w:r>
      <w:r w:rsidR="00F96AFA" w:rsidRPr="003B7EA9">
        <w:t xml:space="preserve"> studies</w:t>
      </w:r>
      <w:r w:rsidR="00D02C62" w:rsidRPr="003B7EA9">
        <w:t xml:space="preserve"> of other groups</w:t>
      </w:r>
      <w:r w:rsidR="00F96AFA" w:rsidRPr="003B7EA9">
        <w:t xml:space="preserve"> (for example, Finney and Simpson, 2008), a major proportion of the apparent difference in migration propensity between groups can be explained by materially different age profiles of the groups</w:t>
      </w:r>
      <w:r w:rsidR="00685E5C" w:rsidRPr="003B7EA9">
        <w:t xml:space="preserve">, </w:t>
      </w:r>
      <w:r>
        <w:t>although</w:t>
      </w:r>
      <w:r w:rsidRPr="003B7EA9">
        <w:t xml:space="preserve"> </w:t>
      </w:r>
      <w:r w:rsidR="00685E5C" w:rsidRPr="003B7EA9">
        <w:t>there</w:t>
      </w:r>
      <w:r w:rsidR="005A70A7" w:rsidRPr="003B7EA9">
        <w:t xml:space="preserve"> are a number of </w:t>
      </w:r>
      <w:r w:rsidR="0024320D" w:rsidRPr="003B7EA9">
        <w:t>combinations of</w:t>
      </w:r>
      <w:r w:rsidR="005A70A7" w:rsidRPr="003B7EA9">
        <w:t xml:space="preserve"> </w:t>
      </w:r>
      <w:r w:rsidR="0024320D" w:rsidRPr="003B7EA9">
        <w:t>individual</w:t>
      </w:r>
      <w:r w:rsidR="005A70A7" w:rsidRPr="003B7EA9">
        <w:t xml:space="preserve"> </w:t>
      </w:r>
      <w:r w:rsidR="00F96AFA" w:rsidRPr="003B7EA9">
        <w:t>characteristics</w:t>
      </w:r>
      <w:r w:rsidR="00AD5957">
        <w:t xml:space="preserve"> </w:t>
      </w:r>
      <w:r w:rsidR="0024320D" w:rsidRPr="003B7EA9">
        <w:t>where</w:t>
      </w:r>
      <w:r w:rsidR="005A70A7" w:rsidRPr="003B7EA9">
        <w:t xml:space="preserve"> </w:t>
      </w:r>
      <w:r w:rsidR="00F96AFA" w:rsidRPr="003B7EA9">
        <w:t>migration</w:t>
      </w:r>
      <w:r w:rsidR="005A70A7" w:rsidRPr="003B7EA9">
        <w:t xml:space="preserve"> </w:t>
      </w:r>
      <w:r w:rsidR="00F96AFA" w:rsidRPr="003B7EA9">
        <w:t>propensity</w:t>
      </w:r>
      <w:r w:rsidR="005A70A7" w:rsidRPr="003B7EA9">
        <w:t xml:space="preserve"> varies </w:t>
      </w:r>
      <w:r w:rsidR="00F96AFA" w:rsidRPr="003B7EA9">
        <w:t>noticeably</w:t>
      </w:r>
      <w:r w:rsidR="005A70A7" w:rsidRPr="003B7EA9">
        <w:t xml:space="preserve"> between the groups (</w:t>
      </w:r>
      <w:r w:rsidR="00685E5C" w:rsidRPr="003B7EA9">
        <w:t>Q2</w:t>
      </w:r>
      <w:r w:rsidR="007B0D25" w:rsidRPr="003B7EA9">
        <w:t>)</w:t>
      </w:r>
      <w:r w:rsidR="005A70A7" w:rsidRPr="003B7EA9">
        <w:t>.</w:t>
      </w:r>
      <w:r w:rsidR="00A06ACC" w:rsidRPr="003B7EA9">
        <w:t xml:space="preserve">  </w:t>
      </w:r>
      <w:r w:rsidR="00685E5C" w:rsidRPr="003B7EA9">
        <w:t>However, notwit</w:t>
      </w:r>
      <w:r w:rsidR="00D35073" w:rsidRPr="003B7EA9">
        <w:t>hs</w:t>
      </w:r>
      <w:r w:rsidR="00685E5C" w:rsidRPr="003B7EA9">
        <w:t>t</w:t>
      </w:r>
      <w:r w:rsidR="00D35073" w:rsidRPr="003B7EA9">
        <w:t>anding</w:t>
      </w:r>
      <w:r w:rsidR="00685E5C" w:rsidRPr="003B7EA9">
        <w:t xml:space="preserve"> the</w:t>
      </w:r>
      <w:r w:rsidR="00D35073" w:rsidRPr="003B7EA9">
        <w:t xml:space="preserve"> explanation</w:t>
      </w:r>
      <w:r w:rsidR="00685E5C" w:rsidRPr="003B7EA9">
        <w:t xml:space="preserve"> for </w:t>
      </w:r>
      <w:r w:rsidR="00505092" w:rsidRPr="003B7EA9">
        <w:t>a large element</w:t>
      </w:r>
      <w:r w:rsidR="00685E5C" w:rsidRPr="003B7EA9">
        <w:t xml:space="preserve"> of the variation between groups</w:t>
      </w:r>
      <w:r w:rsidR="00505092" w:rsidRPr="003B7EA9">
        <w:t xml:space="preserve"> through compositional and </w:t>
      </w:r>
      <w:r w:rsidR="008D05C7" w:rsidRPr="003B7EA9">
        <w:t>contextual/</w:t>
      </w:r>
      <w:r w:rsidR="00505092" w:rsidRPr="003B7EA9">
        <w:t>locational factors</w:t>
      </w:r>
      <w:r w:rsidR="008D05C7" w:rsidRPr="003B7EA9">
        <w:t xml:space="preserve"> (regional levels of deprivation and unemployment)</w:t>
      </w:r>
      <w:r w:rsidR="00685E5C" w:rsidRPr="003B7EA9">
        <w:t xml:space="preserve">, there </w:t>
      </w:r>
      <w:r w:rsidR="00505092" w:rsidRPr="003B7EA9">
        <w:t>are differing migration responses between the groups to particular individual characteristics and</w:t>
      </w:r>
      <w:r w:rsidR="00685E5C" w:rsidRPr="003B7EA9">
        <w:t xml:space="preserve"> a</w:t>
      </w:r>
      <w:r w:rsidR="00F96AFA" w:rsidRPr="003B7EA9">
        <w:t xml:space="preserve"> residual </w:t>
      </w:r>
      <w:r w:rsidR="00685E5C" w:rsidRPr="003B7EA9">
        <w:t xml:space="preserve">5% unexplained ‘suppression’ of migration activity found in three of the groups </w:t>
      </w:r>
      <w:r w:rsidR="00D35073" w:rsidRPr="003B7EA9">
        <w:t>that can be regarded as a ‘cultural group factor’ (Q3).  It is the explanation of th</w:t>
      </w:r>
      <w:r w:rsidR="00505092" w:rsidRPr="003B7EA9">
        <w:t>ese</w:t>
      </w:r>
      <w:r w:rsidR="00D35073" w:rsidRPr="003B7EA9">
        <w:t xml:space="preserve"> </w:t>
      </w:r>
      <w:r w:rsidR="00505092" w:rsidRPr="003B7EA9">
        <w:t xml:space="preserve">latter elements </w:t>
      </w:r>
      <w:r w:rsidR="00D35073" w:rsidRPr="003B7EA9">
        <w:t>that lies at the heart of a true understanding of the small cultural group dimension of internal migration</w:t>
      </w:r>
      <w:r w:rsidR="00F96AFA" w:rsidRPr="003B7EA9">
        <w:t>.</w:t>
      </w:r>
      <w:r w:rsidR="00685E5C" w:rsidRPr="003B7EA9">
        <w:t xml:space="preserve"> </w:t>
      </w:r>
    </w:p>
    <w:p w14:paraId="22F2B6FB" w14:textId="77777777" w:rsidR="0094092B" w:rsidRPr="003B7EA9" w:rsidRDefault="00A06ACC" w:rsidP="00806DCA">
      <w:r w:rsidRPr="003B7EA9">
        <w:lastRenderedPageBreak/>
        <w:t xml:space="preserve">Finney, </w:t>
      </w:r>
      <w:proofErr w:type="spellStart"/>
      <w:r w:rsidRPr="003B7EA9">
        <w:t>Catney</w:t>
      </w:r>
      <w:proofErr w:type="spellEnd"/>
      <w:r w:rsidRPr="003B7EA9">
        <w:t xml:space="preserve">, and Phillips suggest that all groups </w:t>
      </w:r>
      <w:r w:rsidR="00F96AFA" w:rsidRPr="003B7EA9">
        <w:t>have</w:t>
      </w:r>
      <w:r w:rsidRPr="003B7EA9">
        <w:t xml:space="preserve"> the same </w:t>
      </w:r>
      <w:r w:rsidR="00F96AFA" w:rsidRPr="003B7EA9">
        <w:t>underl</w:t>
      </w:r>
      <w:r w:rsidR="007B0D25" w:rsidRPr="003B7EA9">
        <w:t>y</w:t>
      </w:r>
      <w:r w:rsidR="00F96AFA" w:rsidRPr="003B7EA9">
        <w:t>ing</w:t>
      </w:r>
      <w:r w:rsidRPr="003B7EA9">
        <w:t xml:space="preserve"> </w:t>
      </w:r>
      <w:r w:rsidR="00F96AFA" w:rsidRPr="003B7EA9">
        <w:t>motivations</w:t>
      </w:r>
      <w:r w:rsidRPr="003B7EA9">
        <w:t xml:space="preserve"> for migration, and similar </w:t>
      </w:r>
      <w:r w:rsidR="00F96AFA" w:rsidRPr="003B7EA9">
        <w:t>overall</w:t>
      </w:r>
      <w:r w:rsidRPr="003B7EA9">
        <w:t xml:space="preserve"> </w:t>
      </w:r>
      <w:r w:rsidR="00F96AFA" w:rsidRPr="003B7EA9">
        <w:t>aspirations</w:t>
      </w:r>
      <w:r w:rsidRPr="003B7EA9">
        <w:t xml:space="preserve">, but ask </w:t>
      </w:r>
      <w:r w:rsidR="00D558A2" w:rsidRPr="003B7EA9">
        <w:t xml:space="preserve">‘what is it </w:t>
      </w:r>
      <w:r w:rsidR="00F96AFA" w:rsidRPr="003B7EA9">
        <w:t>about</w:t>
      </w:r>
      <w:r w:rsidR="00D558A2" w:rsidRPr="003B7EA9">
        <w:t xml:space="preserve"> ethnic identity and experience that may influence migration’ </w:t>
      </w:r>
      <w:r w:rsidRPr="003B7EA9">
        <w:t xml:space="preserve">(2015, </w:t>
      </w:r>
      <w:r w:rsidR="00D558A2" w:rsidRPr="003B7EA9">
        <w:t>p42</w:t>
      </w:r>
      <w:r w:rsidRPr="003B7EA9">
        <w:t xml:space="preserve">).   Indeed, </w:t>
      </w:r>
      <w:r w:rsidR="00F96AFA" w:rsidRPr="003B7EA9">
        <w:t>they</w:t>
      </w:r>
      <w:r w:rsidRPr="003B7EA9">
        <w:t xml:space="preserve"> suggest a number of issues </w:t>
      </w:r>
      <w:r w:rsidR="00F96AFA" w:rsidRPr="003B7EA9">
        <w:t>which</w:t>
      </w:r>
      <w:r w:rsidRPr="003B7EA9">
        <w:t xml:space="preserve"> may come in to play, </w:t>
      </w:r>
      <w:r w:rsidR="00F96AFA" w:rsidRPr="003B7EA9">
        <w:t>including</w:t>
      </w:r>
      <w:r w:rsidRPr="003B7EA9">
        <w:t xml:space="preserve">: </w:t>
      </w:r>
      <w:r w:rsidR="00F96AFA" w:rsidRPr="003B7EA9">
        <w:t>inequalities</w:t>
      </w:r>
      <w:r w:rsidR="007F7B39" w:rsidRPr="003B7EA9">
        <w:t xml:space="preserve"> in h</w:t>
      </w:r>
      <w:r w:rsidRPr="003B7EA9">
        <w:t>o</w:t>
      </w:r>
      <w:r w:rsidR="007F7B39" w:rsidRPr="003B7EA9">
        <w:t xml:space="preserve">using, employment, </w:t>
      </w:r>
      <w:r w:rsidRPr="003B7EA9">
        <w:t xml:space="preserve">and </w:t>
      </w:r>
      <w:r w:rsidR="007F7B39" w:rsidRPr="003B7EA9">
        <w:t>education; discrimination and exclusion</w:t>
      </w:r>
      <w:r w:rsidRPr="003B7EA9">
        <w:t>; and c</w:t>
      </w:r>
      <w:r w:rsidR="007F7B39" w:rsidRPr="003B7EA9">
        <w:t>ommunity cohesion and a sense of belonging</w:t>
      </w:r>
      <w:r w:rsidRPr="003B7EA9">
        <w:t>.</w:t>
      </w:r>
      <w:r w:rsidR="0094092B" w:rsidRPr="003B7EA9">
        <w:t xml:space="preserve">  </w:t>
      </w:r>
      <w:r w:rsidR="00F96AFA" w:rsidRPr="003B7EA9">
        <w:t xml:space="preserve">Life course differences, and more particularly, different home leaving strategies between groups may </w:t>
      </w:r>
      <w:r w:rsidR="00D06BC7" w:rsidRPr="003B7EA9">
        <w:t xml:space="preserve">also </w:t>
      </w:r>
      <w:r w:rsidR="00F96AFA" w:rsidRPr="003B7EA9">
        <w:t>be important (Finney, 2011</w:t>
      </w:r>
      <w:r w:rsidR="00A60DBA" w:rsidRPr="003B7EA9">
        <w:t>; Bernard et al, 2014</w:t>
      </w:r>
      <w:r w:rsidR="00F96AFA" w:rsidRPr="003B7EA9">
        <w:t xml:space="preserve">).   </w:t>
      </w:r>
    </w:p>
    <w:p w14:paraId="546278B3" w14:textId="1B7B0DED" w:rsidR="00C62EC6" w:rsidRPr="003B7EA9" w:rsidRDefault="00F96AFA" w:rsidP="00806DCA">
      <w:r w:rsidRPr="003B7EA9">
        <w:t xml:space="preserve">Some of the differences </w:t>
      </w:r>
      <w:r w:rsidR="00AD5DFF" w:rsidRPr="003B7EA9">
        <w:t xml:space="preserve">already </w:t>
      </w:r>
      <w:r w:rsidRPr="003B7EA9">
        <w:t>noted constitute reduced migratory behaviour for the smaller groups – such as in the Arab group where the HRP is aged less than 40</w:t>
      </w:r>
      <w:r w:rsidR="007B0D25" w:rsidRPr="003B7EA9">
        <w:t>;</w:t>
      </w:r>
      <w:r w:rsidRPr="003B7EA9">
        <w:t xml:space="preserve"> Chinese and Sikhs in rented accommodation; </w:t>
      </w:r>
      <w:r w:rsidR="007B0D25" w:rsidRPr="003B7EA9">
        <w:t xml:space="preserve">and </w:t>
      </w:r>
      <w:r w:rsidRPr="003B7EA9">
        <w:t>student</w:t>
      </w:r>
      <w:r w:rsidR="00A536EE" w:rsidRPr="003B7EA9">
        <w:t>s</w:t>
      </w:r>
      <w:r w:rsidRPr="003B7EA9">
        <w:t xml:space="preserve"> in all smaller groups.   </w:t>
      </w:r>
      <w:r w:rsidR="00C62EC6" w:rsidRPr="003B7EA9">
        <w:t xml:space="preserve">All of </w:t>
      </w:r>
      <w:r w:rsidRPr="003B7EA9">
        <w:t>these</w:t>
      </w:r>
      <w:r w:rsidR="00C62EC6" w:rsidRPr="003B7EA9">
        <w:t xml:space="preserve"> </w:t>
      </w:r>
      <w:r w:rsidRPr="003B7EA9">
        <w:t>variations</w:t>
      </w:r>
      <w:r w:rsidR="00C62EC6" w:rsidRPr="003B7EA9">
        <w:t xml:space="preserve"> may be a </w:t>
      </w:r>
      <w:r w:rsidRPr="003B7EA9">
        <w:t>consequence</w:t>
      </w:r>
      <w:r w:rsidR="00C62EC6" w:rsidRPr="003B7EA9">
        <w:t xml:space="preserve"> of a </w:t>
      </w:r>
      <w:r w:rsidRPr="003B7EA9">
        <w:t>positive</w:t>
      </w:r>
      <w:r w:rsidR="00C62EC6" w:rsidRPr="003B7EA9">
        <w:t xml:space="preserve"> sense of </w:t>
      </w:r>
      <w:r w:rsidRPr="003B7EA9">
        <w:t>belonging</w:t>
      </w:r>
      <w:r w:rsidR="00C62EC6" w:rsidRPr="003B7EA9">
        <w:t xml:space="preserve"> to a </w:t>
      </w:r>
      <w:r w:rsidRPr="003B7EA9">
        <w:t>particular</w:t>
      </w:r>
      <w:r w:rsidR="00C62EC6" w:rsidRPr="003B7EA9">
        <w:t xml:space="preserve"> neighbourhood</w:t>
      </w:r>
      <w:r w:rsidR="005061B6" w:rsidRPr="003B7EA9">
        <w:t xml:space="preserve"> and the presence of culturally</w:t>
      </w:r>
      <w:r w:rsidR="0063249C">
        <w:t xml:space="preserve"> </w:t>
      </w:r>
      <w:r w:rsidR="005061B6" w:rsidRPr="003B7EA9">
        <w:t>important institutions in specific places</w:t>
      </w:r>
      <w:r w:rsidR="00C62EC6" w:rsidRPr="003B7EA9">
        <w:t xml:space="preserve">, or negative </w:t>
      </w:r>
      <w:r w:rsidRPr="003B7EA9">
        <w:t>concerns</w:t>
      </w:r>
      <w:r w:rsidR="00C62EC6" w:rsidRPr="003B7EA9">
        <w:t xml:space="preserve"> (or housing </w:t>
      </w:r>
      <w:r w:rsidRPr="003B7EA9">
        <w:t>market</w:t>
      </w:r>
      <w:r w:rsidR="00C62EC6" w:rsidRPr="003B7EA9">
        <w:t xml:space="preserve"> </w:t>
      </w:r>
      <w:r w:rsidRPr="003B7EA9">
        <w:t>constraints</w:t>
      </w:r>
      <w:r w:rsidR="00C62EC6" w:rsidRPr="003B7EA9">
        <w:t xml:space="preserve">) about </w:t>
      </w:r>
      <w:r w:rsidRPr="003B7EA9">
        <w:t>moving</w:t>
      </w:r>
      <w:r w:rsidR="00C62EC6" w:rsidRPr="003B7EA9">
        <w:t xml:space="preserve"> to another area.  </w:t>
      </w:r>
      <w:r w:rsidR="003C1F69">
        <w:t>This was explored further through consideration of migration distance (Q4). F</w:t>
      </w:r>
      <w:r w:rsidR="006D4DDC" w:rsidRPr="003B7EA9">
        <w:t>or all of the smaller groups, having c</w:t>
      </w:r>
      <w:r w:rsidR="005A183D" w:rsidRPr="003B7EA9">
        <w:t>o</w:t>
      </w:r>
      <w:r w:rsidR="006D4DDC" w:rsidRPr="003B7EA9">
        <w:t>nt</w:t>
      </w:r>
      <w:r w:rsidR="005A183D" w:rsidRPr="003B7EA9">
        <w:t>ro</w:t>
      </w:r>
      <w:r w:rsidR="006D4DDC" w:rsidRPr="003B7EA9">
        <w:t xml:space="preserve">lled for other </w:t>
      </w:r>
      <w:r w:rsidR="005A183D" w:rsidRPr="003B7EA9">
        <w:t>variables</w:t>
      </w:r>
      <w:r w:rsidR="006D4DDC" w:rsidRPr="003B7EA9">
        <w:t xml:space="preserve">, the likelihood </w:t>
      </w:r>
      <w:r w:rsidR="005A183D" w:rsidRPr="003B7EA9">
        <w:t>of a move being more th</w:t>
      </w:r>
      <w:r w:rsidR="006D4DDC" w:rsidRPr="003B7EA9">
        <w:t xml:space="preserve">an 20km in distance is </w:t>
      </w:r>
      <w:r w:rsidR="005A183D" w:rsidRPr="003B7EA9">
        <w:t xml:space="preserve">much </w:t>
      </w:r>
      <w:r w:rsidR="006D4DDC" w:rsidRPr="003B7EA9">
        <w:t xml:space="preserve">below that for the white </w:t>
      </w:r>
      <w:r w:rsidR="005A183D" w:rsidRPr="003B7EA9">
        <w:t>British group, pa</w:t>
      </w:r>
      <w:r w:rsidR="006D4DDC" w:rsidRPr="003B7EA9">
        <w:t>rti</w:t>
      </w:r>
      <w:r w:rsidR="005A183D" w:rsidRPr="003B7EA9">
        <w:t>cularly</w:t>
      </w:r>
      <w:r w:rsidR="006D4DDC" w:rsidRPr="003B7EA9">
        <w:t xml:space="preserve"> so for the Chinese, tho</w:t>
      </w:r>
      <w:r w:rsidR="005A183D" w:rsidRPr="003B7EA9">
        <w:t>u</w:t>
      </w:r>
      <w:r w:rsidR="006D4DDC" w:rsidRPr="003B7EA9">
        <w:t xml:space="preserve">gh </w:t>
      </w:r>
      <w:r w:rsidR="005A183D" w:rsidRPr="003B7EA9">
        <w:t>m</w:t>
      </w:r>
      <w:r w:rsidR="006D4DDC" w:rsidRPr="003B7EA9">
        <w:t xml:space="preserve">uch of that shortfall can be explained by the large number of </w:t>
      </w:r>
      <w:r w:rsidR="005A183D" w:rsidRPr="003B7EA9">
        <w:t>international</w:t>
      </w:r>
      <w:r w:rsidR="006D4DDC" w:rsidRPr="003B7EA9">
        <w:t xml:space="preserve"> stude</w:t>
      </w:r>
      <w:r w:rsidR="005A183D" w:rsidRPr="003B7EA9">
        <w:t>nts</w:t>
      </w:r>
      <w:r w:rsidR="006D4DDC" w:rsidRPr="003B7EA9">
        <w:t xml:space="preserve"> in that </w:t>
      </w:r>
      <w:r w:rsidR="005A183D" w:rsidRPr="003B7EA9">
        <w:t>group.</w:t>
      </w:r>
      <w:r w:rsidR="00C62EC6" w:rsidRPr="003B7EA9">
        <w:t xml:space="preserve"> </w:t>
      </w:r>
      <w:r w:rsidR="005A183D" w:rsidRPr="003B7EA9">
        <w:t xml:space="preserve"> Differences</w:t>
      </w:r>
      <w:r w:rsidRPr="003B7EA9">
        <w:t xml:space="preserve"> may also be a consequence of differing culturally</w:t>
      </w:r>
      <w:r w:rsidR="00A536EE" w:rsidRPr="003B7EA9">
        <w:t>-</w:t>
      </w:r>
      <w:r w:rsidRPr="003B7EA9">
        <w:t>based home-leaving patterns</w:t>
      </w:r>
      <w:r w:rsidR="00EB4D13" w:rsidRPr="003B7EA9">
        <w:t xml:space="preserve">, </w:t>
      </w:r>
      <w:r w:rsidRPr="003B7EA9">
        <w:t>which may involve a longer presence in the parental home, or extended families living together, th</w:t>
      </w:r>
      <w:r w:rsidR="007B0D25" w:rsidRPr="003B7EA9">
        <w:t>a</w:t>
      </w:r>
      <w:r w:rsidRPr="003B7EA9">
        <w:t>n the white British majority demonstrates</w:t>
      </w:r>
      <w:r w:rsidR="00EB4D13" w:rsidRPr="003B7EA9">
        <w:t xml:space="preserve"> (Bernard et al, 2014)</w:t>
      </w:r>
      <w:r w:rsidRPr="003B7EA9">
        <w:t xml:space="preserve">.   </w:t>
      </w:r>
      <w:r w:rsidR="00C62EC6" w:rsidRPr="003B7EA9">
        <w:t xml:space="preserve">This would </w:t>
      </w:r>
      <w:r w:rsidRPr="003B7EA9">
        <w:t>explain</w:t>
      </w:r>
      <w:r w:rsidR="00C62EC6" w:rsidRPr="003B7EA9">
        <w:t xml:space="preserve"> the </w:t>
      </w:r>
      <w:r w:rsidRPr="003B7EA9">
        <w:t>absence</w:t>
      </w:r>
      <w:r w:rsidR="00C62EC6" w:rsidRPr="003B7EA9">
        <w:t xml:space="preserve"> of increased </w:t>
      </w:r>
      <w:r w:rsidRPr="003B7EA9">
        <w:t>migration</w:t>
      </w:r>
      <w:r w:rsidR="00C62EC6" w:rsidRPr="003B7EA9">
        <w:t xml:space="preserve"> </w:t>
      </w:r>
      <w:r w:rsidRPr="003B7EA9">
        <w:t>levels</w:t>
      </w:r>
      <w:r w:rsidR="00C62EC6" w:rsidRPr="003B7EA9">
        <w:t xml:space="preserve"> for </w:t>
      </w:r>
      <w:r w:rsidRPr="003B7EA9">
        <w:t>cultural</w:t>
      </w:r>
      <w:r w:rsidR="00C62EC6" w:rsidRPr="003B7EA9">
        <w:t xml:space="preserve"> </w:t>
      </w:r>
      <w:r w:rsidRPr="003B7EA9">
        <w:t>group</w:t>
      </w:r>
      <w:r w:rsidR="00C62EC6" w:rsidRPr="003B7EA9">
        <w:t xml:space="preserve"> </w:t>
      </w:r>
      <w:r w:rsidRPr="003B7EA9">
        <w:t>students</w:t>
      </w:r>
      <w:r w:rsidR="00C62EC6" w:rsidRPr="003B7EA9">
        <w:t xml:space="preserve">, and a flatter response to </w:t>
      </w:r>
      <w:r w:rsidRPr="003B7EA9">
        <w:t>differing</w:t>
      </w:r>
      <w:r w:rsidR="00C62EC6" w:rsidRPr="003B7EA9">
        <w:t xml:space="preserve"> living </w:t>
      </w:r>
      <w:r w:rsidRPr="003B7EA9">
        <w:t>arrangements</w:t>
      </w:r>
      <w:r w:rsidR="00E94AC3" w:rsidRPr="003B7EA9">
        <w:t xml:space="preserve">, though the former is likely also to reflect educational disadvantage in the achievement of places at ‘elite universities’ (Smith and </w:t>
      </w:r>
      <w:proofErr w:type="spellStart"/>
      <w:r w:rsidR="00E94AC3" w:rsidRPr="003B7EA9">
        <w:t>Jöns</w:t>
      </w:r>
      <w:proofErr w:type="spellEnd"/>
      <w:r w:rsidR="00E94AC3" w:rsidRPr="003B7EA9">
        <w:t>, 2015, p57</w:t>
      </w:r>
      <w:r w:rsidR="00D76C6F" w:rsidRPr="003B7EA9">
        <w:t>; see also Finney, 2012)</w:t>
      </w:r>
      <w:r w:rsidR="003B4DDA" w:rsidRPr="003B7EA9">
        <w:t xml:space="preserve">, </w:t>
      </w:r>
      <w:r w:rsidR="00E94AC3" w:rsidRPr="003B7EA9">
        <w:t>which may have consequences for graduate level migration rates in later life</w:t>
      </w:r>
      <w:r w:rsidR="00C62EC6" w:rsidRPr="003B7EA9">
        <w:t>.</w:t>
      </w:r>
    </w:p>
    <w:p w14:paraId="60BD49BC" w14:textId="77777777" w:rsidR="00C42D26" w:rsidRPr="003B7EA9" w:rsidRDefault="00F96AFA" w:rsidP="00806DCA">
      <w:r w:rsidRPr="003B7EA9">
        <w:t xml:space="preserve">Indeed, there is only one area where there appears to be a higher propensity to migrate amongst the smaller groups than the host community – and that is that non-degree holders have a higher propensity to migrate than equivalent members of the white British group.  </w:t>
      </w:r>
      <w:r w:rsidR="00C42D26" w:rsidRPr="003B7EA9">
        <w:t xml:space="preserve">Or rather, the reduction </w:t>
      </w:r>
      <w:r w:rsidRPr="003B7EA9">
        <w:t>compared</w:t>
      </w:r>
      <w:r w:rsidR="00C42D26" w:rsidRPr="003B7EA9">
        <w:t xml:space="preserve"> with graduate </w:t>
      </w:r>
      <w:r w:rsidRPr="003B7EA9">
        <w:t>migration</w:t>
      </w:r>
      <w:r w:rsidR="00C42D26" w:rsidRPr="003B7EA9">
        <w:t xml:space="preserve"> levels seen in the white </w:t>
      </w:r>
      <w:r w:rsidRPr="003B7EA9">
        <w:t>British</w:t>
      </w:r>
      <w:r w:rsidR="00C42D26" w:rsidRPr="003B7EA9">
        <w:t xml:space="preserve"> </w:t>
      </w:r>
      <w:r w:rsidRPr="003B7EA9">
        <w:t>group</w:t>
      </w:r>
      <w:r w:rsidR="00C42D26" w:rsidRPr="003B7EA9">
        <w:t xml:space="preserve"> is </w:t>
      </w:r>
      <w:r w:rsidRPr="003B7EA9">
        <w:t>largely</w:t>
      </w:r>
      <w:r w:rsidR="00C42D26" w:rsidRPr="003B7EA9">
        <w:t xml:space="preserve"> absent </w:t>
      </w:r>
      <w:r w:rsidRPr="003B7EA9">
        <w:t>from</w:t>
      </w:r>
      <w:r w:rsidR="00C42D26" w:rsidRPr="003B7EA9">
        <w:t xml:space="preserve"> the smaller </w:t>
      </w:r>
      <w:r w:rsidRPr="003B7EA9">
        <w:t>groups</w:t>
      </w:r>
      <w:r w:rsidR="00C42D26" w:rsidRPr="003B7EA9">
        <w:t xml:space="preserve">.  </w:t>
      </w:r>
      <w:r w:rsidRPr="003B7EA9">
        <w:t>An inference</w:t>
      </w:r>
      <w:r w:rsidR="00C42D26" w:rsidRPr="003B7EA9">
        <w:t xml:space="preserve"> of this is that the socio-</w:t>
      </w:r>
      <w:r w:rsidRPr="003B7EA9">
        <w:t>economic</w:t>
      </w:r>
      <w:r w:rsidR="00C42D26" w:rsidRPr="003B7EA9">
        <w:t xml:space="preserve">, </w:t>
      </w:r>
      <w:r w:rsidRPr="003B7EA9">
        <w:t>employment,</w:t>
      </w:r>
      <w:r w:rsidR="00C42D26" w:rsidRPr="003B7EA9">
        <w:t xml:space="preserve"> and </w:t>
      </w:r>
      <w:r w:rsidRPr="003B7EA9">
        <w:t>financial</w:t>
      </w:r>
      <w:r w:rsidR="00C42D26" w:rsidRPr="003B7EA9">
        <w:t xml:space="preserve"> </w:t>
      </w:r>
      <w:r w:rsidRPr="003B7EA9">
        <w:t>benefits</w:t>
      </w:r>
      <w:r w:rsidR="00C42D26" w:rsidRPr="003B7EA9">
        <w:t xml:space="preserve"> of being a degree holder in the </w:t>
      </w:r>
      <w:r w:rsidRPr="003B7EA9">
        <w:t>white</w:t>
      </w:r>
      <w:r w:rsidR="00C42D26" w:rsidRPr="003B7EA9">
        <w:t xml:space="preserve"> </w:t>
      </w:r>
      <w:r w:rsidRPr="003B7EA9">
        <w:t>British</w:t>
      </w:r>
      <w:r w:rsidR="00C42D26" w:rsidRPr="003B7EA9">
        <w:t xml:space="preserve"> community </w:t>
      </w:r>
      <w:r w:rsidRPr="003B7EA9">
        <w:t>are</w:t>
      </w:r>
      <w:r w:rsidR="00C42D26" w:rsidRPr="003B7EA9">
        <w:t xml:space="preserve"> not present as </w:t>
      </w:r>
      <w:r w:rsidRPr="003B7EA9">
        <w:t>extensively</w:t>
      </w:r>
      <w:r w:rsidR="00C42D26" w:rsidRPr="003B7EA9">
        <w:t xml:space="preserve"> elsewhere.</w:t>
      </w:r>
    </w:p>
    <w:p w14:paraId="58C2A1EA" w14:textId="23179DB4" w:rsidR="00F8221B" w:rsidRPr="003B7EA9" w:rsidRDefault="00E92CAD" w:rsidP="008D3B9E">
      <w:r w:rsidRPr="003B7EA9">
        <w:t xml:space="preserve">We can thus conclude that, once the differences in the balance between the distribution of age, housing tenure, </w:t>
      </w:r>
      <w:r w:rsidR="005A183D" w:rsidRPr="003B7EA9">
        <w:t xml:space="preserve">international students, </w:t>
      </w:r>
      <w:r w:rsidRPr="003B7EA9">
        <w:t xml:space="preserve">and other measurable characteristics between the groups are accounted for, </w:t>
      </w:r>
      <w:r w:rsidR="00B9408F" w:rsidRPr="003B7EA9">
        <w:t>together with</w:t>
      </w:r>
      <w:r w:rsidRPr="003B7EA9">
        <w:t xml:space="preserve"> differences in the overall </w:t>
      </w:r>
      <w:r w:rsidRPr="003B7EA9">
        <w:lastRenderedPageBreak/>
        <w:t>levels of unemployment and depr</w:t>
      </w:r>
      <w:r w:rsidR="00B9408F" w:rsidRPr="003B7EA9">
        <w:t>iv</w:t>
      </w:r>
      <w:r w:rsidRPr="003B7EA9">
        <w:t xml:space="preserve">ation in the regions in which the groups are distributed, the differing migration response rates of three of the cultural groups compared with the white British majority result in a statistically measurable ‘cultural group penalty’ of around 5% in the odds of moving.   </w:t>
      </w:r>
      <w:r w:rsidR="005A183D" w:rsidRPr="003B7EA9">
        <w:t xml:space="preserve">Whilst the penalty may appear small, it applies per annum, and thus can be expected to materially affect the number of moves made by members of the three groups over a lifetime.  </w:t>
      </w:r>
      <w:r w:rsidR="004928BF" w:rsidRPr="003B7EA9">
        <w:t>Th</w:t>
      </w:r>
      <w:r w:rsidR="005A183D" w:rsidRPr="003B7EA9">
        <w:t>e</w:t>
      </w:r>
      <w:r w:rsidR="00634B74" w:rsidRPr="003B7EA9">
        <w:t xml:space="preserve"> </w:t>
      </w:r>
      <w:r w:rsidR="00B67447" w:rsidRPr="003B7EA9">
        <w:t xml:space="preserve">penalty is likely to </w:t>
      </w:r>
      <w:r w:rsidR="004928BF" w:rsidRPr="003B7EA9">
        <w:t>arise</w:t>
      </w:r>
      <w:r w:rsidR="00B67447" w:rsidRPr="003B7EA9">
        <w:t xml:space="preserve"> </w:t>
      </w:r>
      <w:r w:rsidR="004928BF" w:rsidRPr="003B7EA9">
        <w:t>from</w:t>
      </w:r>
      <w:r w:rsidR="00B67447" w:rsidRPr="003B7EA9">
        <w:t xml:space="preserve"> a </w:t>
      </w:r>
      <w:r w:rsidRPr="003B7EA9">
        <w:t>qualitative</w:t>
      </w:r>
      <w:r w:rsidR="00FE61FE" w:rsidRPr="003B7EA9">
        <w:t xml:space="preserve"> </w:t>
      </w:r>
      <w:r w:rsidR="00B67447" w:rsidRPr="003B7EA9">
        <w:t xml:space="preserve">combination of </w:t>
      </w:r>
      <w:r w:rsidR="004928BF" w:rsidRPr="003B7EA9">
        <w:t>the</w:t>
      </w:r>
      <w:r w:rsidR="00FA1A0A" w:rsidRPr="003B7EA9">
        <w:t xml:space="preserve"> positive attraction of living in the </w:t>
      </w:r>
      <w:r w:rsidR="004928BF" w:rsidRPr="003B7EA9">
        <w:t>vicinity</w:t>
      </w:r>
      <w:r w:rsidR="00FA1A0A" w:rsidRPr="003B7EA9">
        <w:t xml:space="preserve"> of </w:t>
      </w:r>
      <w:r w:rsidR="004928BF" w:rsidRPr="003B7EA9">
        <w:t>other</w:t>
      </w:r>
      <w:r w:rsidR="00FA1A0A" w:rsidRPr="003B7EA9">
        <w:t xml:space="preserve"> group </w:t>
      </w:r>
      <w:r w:rsidR="004928BF" w:rsidRPr="003B7EA9">
        <w:t>members</w:t>
      </w:r>
      <w:r w:rsidR="00FA1A0A" w:rsidRPr="003B7EA9">
        <w:t xml:space="preserve"> and </w:t>
      </w:r>
      <w:r w:rsidR="004928BF" w:rsidRPr="003B7EA9">
        <w:t>culturally</w:t>
      </w:r>
      <w:r w:rsidR="00FA1A0A" w:rsidRPr="003B7EA9">
        <w:t xml:space="preserve"> </w:t>
      </w:r>
      <w:r w:rsidR="004928BF" w:rsidRPr="003B7EA9">
        <w:t>relevant</w:t>
      </w:r>
      <w:r w:rsidR="00FA1A0A" w:rsidRPr="003B7EA9">
        <w:t xml:space="preserve"> </w:t>
      </w:r>
      <w:r w:rsidR="004928BF" w:rsidRPr="003B7EA9">
        <w:t>facilities</w:t>
      </w:r>
      <w:r w:rsidR="00FA1A0A" w:rsidRPr="003B7EA9">
        <w:t xml:space="preserve">, </w:t>
      </w:r>
      <w:r w:rsidR="004928BF" w:rsidRPr="003B7EA9">
        <w:t>and</w:t>
      </w:r>
      <w:r w:rsidR="00FA1A0A" w:rsidRPr="003B7EA9">
        <w:t xml:space="preserve"> some </w:t>
      </w:r>
      <w:r w:rsidR="004928BF" w:rsidRPr="003B7EA9">
        <w:t>negative</w:t>
      </w:r>
      <w:r w:rsidR="00FA1A0A" w:rsidRPr="003B7EA9">
        <w:t xml:space="preserve"> </w:t>
      </w:r>
      <w:r w:rsidR="00FE61FE" w:rsidRPr="003B7EA9">
        <w:t>(</w:t>
      </w:r>
      <w:r w:rsidRPr="003B7EA9">
        <w:t>discriminatory</w:t>
      </w:r>
      <w:r w:rsidR="00FE61FE" w:rsidRPr="003B7EA9">
        <w:t xml:space="preserve">) </w:t>
      </w:r>
      <w:r w:rsidR="00FA1A0A" w:rsidRPr="003B7EA9">
        <w:t>element</w:t>
      </w:r>
      <w:r w:rsidR="00A536EE" w:rsidRPr="003B7EA9">
        <w:t>s</w:t>
      </w:r>
      <w:r w:rsidR="00FA1A0A" w:rsidRPr="003B7EA9">
        <w:t xml:space="preserve">.  </w:t>
      </w:r>
    </w:p>
    <w:p w14:paraId="3DCA6812" w14:textId="1AC45923" w:rsidR="002645AA" w:rsidRPr="003B7EA9" w:rsidRDefault="00F8221B" w:rsidP="002645AA">
      <w:r w:rsidRPr="003B7EA9">
        <w:t xml:space="preserve">Question </w:t>
      </w:r>
      <w:r w:rsidR="001E6068">
        <w:t>Q</w:t>
      </w:r>
      <w:r w:rsidR="00D27D5E">
        <w:t>5</w:t>
      </w:r>
      <w:r w:rsidRPr="003B7EA9">
        <w:t xml:space="preserve"> asks whether a penalty exists for the Jewish group.   M</w:t>
      </w:r>
      <w:r w:rsidR="00BB5D12" w:rsidRPr="003B7EA9">
        <w:t>igration levels</w:t>
      </w:r>
      <w:r w:rsidR="00E92CAD" w:rsidRPr="003B7EA9">
        <w:t xml:space="preserve"> for Jewish residents of England and Wales </w:t>
      </w:r>
      <w:r w:rsidR="00BB5D12" w:rsidRPr="003B7EA9">
        <w:t>are</w:t>
      </w:r>
      <w:r w:rsidR="00E92CAD" w:rsidRPr="003B7EA9">
        <w:t xml:space="preserve"> (both before and after age distribution is accounted for) much closer to the white British situation – there </w:t>
      </w:r>
      <w:r w:rsidR="00FF4082" w:rsidRPr="003B7EA9">
        <w:t>is</w:t>
      </w:r>
      <w:r w:rsidR="00114009" w:rsidRPr="003B7EA9">
        <w:t xml:space="preserve"> no cultural penalty </w:t>
      </w:r>
      <w:r w:rsidR="00D35073" w:rsidRPr="003B7EA9">
        <w:t xml:space="preserve">for that group, </w:t>
      </w:r>
      <w:r w:rsidR="00E92CAD" w:rsidRPr="003B7EA9">
        <w:t xml:space="preserve">notwithstanding </w:t>
      </w:r>
      <w:r w:rsidR="00FF4082" w:rsidRPr="003B7EA9">
        <w:t>its</w:t>
      </w:r>
      <w:r w:rsidR="00E92CAD" w:rsidRPr="003B7EA9">
        <w:t xml:space="preserve"> observed high levels of congregation in particular areas</w:t>
      </w:r>
      <w:r w:rsidR="00D35073" w:rsidRPr="003B7EA9">
        <w:t xml:space="preserve"> (Newman, 1985)</w:t>
      </w:r>
      <w:r w:rsidR="00E92CAD" w:rsidRPr="003B7EA9">
        <w:t xml:space="preserve">.  </w:t>
      </w:r>
      <w:r w:rsidR="008D05C7" w:rsidRPr="003B7EA9">
        <w:t xml:space="preserve"> </w:t>
      </w:r>
      <w:r w:rsidR="00E92CAD" w:rsidRPr="003B7EA9">
        <w:t xml:space="preserve"> </w:t>
      </w:r>
      <w:r w:rsidR="00AC5631" w:rsidRPr="00AC5631">
        <w:t xml:space="preserve">The inference of this is that, today, Jews are culturally closer to the white British group </w:t>
      </w:r>
      <w:r w:rsidR="00CF1245">
        <w:t>than are</w:t>
      </w:r>
      <w:r w:rsidR="00AC5631" w:rsidRPr="00AC5631">
        <w:t xml:space="preserve"> other groups under study here, but to what extent might this be attributable to the group’s longstanding presence?  Although Christianity and Judaism (and indeed Islam) are Mosaic faiths, in the early decades of significant Jewish presence in Britain, few members of the host (overwhelmingly Christian) community would have considered themselves to have much in common with the visually distinct Jewish community.  Widespread anti-Semitism and barriers to entering ‘the professions’ in the first half of the twentieth century also bear witness to this (Alderman, 1998).  Indeed over time, the Jewish group has, according to Ballard (1996, p7), ‘quite deliberately sought to underemphasise both the existence and the extent of their distinctiveness, most especially in public arenas’.  The passage of </w:t>
      </w:r>
      <w:proofErr w:type="gramStart"/>
      <w:r w:rsidR="00AC5631" w:rsidRPr="00AC5631">
        <w:t>time,</w:t>
      </w:r>
      <w:proofErr w:type="gramEnd"/>
      <w:r w:rsidR="00AC5631" w:rsidRPr="00AC5631">
        <w:t xml:space="preserve"> and the consequent evolution in cultural habits of majority and minority groups, and of inter-group attitudes therefore has a strong bearing on twenty-first century migration patterns. Thus the limited extent of individual </w:t>
      </w:r>
      <w:proofErr w:type="gramStart"/>
      <w:r w:rsidR="00AC5631" w:rsidRPr="00AC5631">
        <w:t>visibility,</w:t>
      </w:r>
      <w:proofErr w:type="gramEnd"/>
      <w:r w:rsidR="00AC5631" w:rsidRPr="00AC5631">
        <w:t xml:space="preserve"> and established connections between centres of Anglo-Jewry facilitating a greater degree of interchange between existing group localities, may explain the absence of a group penalty, and link it to the group’s long-standing status. This group may therefore provide a ‘pointer’ for the future behaviour of more-recently established groups.</w:t>
      </w:r>
      <w:r w:rsidR="002645AA" w:rsidRPr="003B7EA9">
        <w:t xml:space="preserve"> </w:t>
      </w:r>
      <w:r w:rsidR="00247234" w:rsidRPr="003B7EA9">
        <w:t xml:space="preserve">  </w:t>
      </w:r>
    </w:p>
    <w:p w14:paraId="1907611E" w14:textId="05814A81" w:rsidR="00BB5D12" w:rsidRDefault="001E6068" w:rsidP="001E6068">
      <w:pPr>
        <w:pStyle w:val="Heading1"/>
      </w:pPr>
      <w:r>
        <w:t>Acknowledgment</w:t>
      </w:r>
    </w:p>
    <w:p w14:paraId="44261F08" w14:textId="27E95BBD" w:rsidR="001E6068" w:rsidRPr="003B7EA9" w:rsidRDefault="001E6068" w:rsidP="00F532A8">
      <w:r>
        <w:t>The author would like to thank two anonymous reviewers for their helpful suggestions and, particularly, Dr Paul Williamson, for his advice and comments on an early draft of this paper.</w:t>
      </w:r>
      <w:r w:rsidR="00F532A8">
        <w:t xml:space="preserve">  All census data used in this paper are Crown Copyright. The 2011 safeguarded microdata were made available via the UK Data Service and accessed under the terms of its </w:t>
      </w:r>
      <w:r w:rsidR="00F532A8">
        <w:lastRenderedPageBreak/>
        <w:t>End User Licence. Land Registry house price index, ONS Regional Household Income, and ONS Regional Labour Market data are all Crown Copyright.</w:t>
      </w:r>
    </w:p>
    <w:p w14:paraId="3DB23D9E" w14:textId="77777777" w:rsidR="00BE2E42" w:rsidRPr="003B7EA9" w:rsidRDefault="00BE2E42" w:rsidP="00AE5917">
      <w:pPr>
        <w:pStyle w:val="Heading1"/>
        <w:keepNext/>
      </w:pPr>
      <w:bookmarkStart w:id="6" w:name="_Toc431393366"/>
      <w:r w:rsidRPr="003B7EA9">
        <w:t>References</w:t>
      </w:r>
      <w:bookmarkEnd w:id="6"/>
    </w:p>
    <w:p w14:paraId="0AB42255" w14:textId="5475182E" w:rsidR="009B4646" w:rsidRPr="009B4646" w:rsidRDefault="009B4646" w:rsidP="005659A7">
      <w:pPr>
        <w:rPr>
          <w:lang w:eastAsia="en-GB"/>
        </w:rPr>
      </w:pPr>
      <w:proofErr w:type="gramStart"/>
      <w:r w:rsidRPr="009B4646">
        <w:rPr>
          <w:lang w:eastAsia="en-GB"/>
        </w:rPr>
        <w:t>Alderman, G. (1998).</w:t>
      </w:r>
      <w:proofErr w:type="gramEnd"/>
      <w:r w:rsidRPr="009B4646">
        <w:rPr>
          <w:lang w:eastAsia="en-GB"/>
        </w:rPr>
        <w:t xml:space="preserve"> </w:t>
      </w:r>
      <w:proofErr w:type="gramStart"/>
      <w:r w:rsidRPr="009B4646">
        <w:rPr>
          <w:bCs/>
          <w:i/>
          <w:iCs/>
          <w:lang w:eastAsia="en-GB"/>
        </w:rPr>
        <w:t>Modern British Jewry</w:t>
      </w:r>
      <w:r w:rsidR="00F532A8">
        <w:rPr>
          <w:lang w:eastAsia="en-GB"/>
        </w:rPr>
        <w:t>.</w:t>
      </w:r>
      <w:proofErr w:type="gramEnd"/>
      <w:r w:rsidRPr="009B4646">
        <w:rPr>
          <w:lang w:eastAsia="en-GB"/>
        </w:rPr>
        <w:t xml:space="preserve"> </w:t>
      </w:r>
      <w:r w:rsidR="00F532A8">
        <w:rPr>
          <w:lang w:eastAsia="en-GB"/>
        </w:rPr>
        <w:t xml:space="preserve">Oxford: </w:t>
      </w:r>
      <w:r w:rsidRPr="009B4646">
        <w:rPr>
          <w:lang w:eastAsia="en-GB"/>
        </w:rPr>
        <w:t>Oxford University Press.</w:t>
      </w:r>
    </w:p>
    <w:p w14:paraId="7045AFF9" w14:textId="3B95C70F" w:rsidR="002A7930" w:rsidRPr="003B7EA9" w:rsidRDefault="002A7930" w:rsidP="005659A7">
      <w:pPr>
        <w:rPr>
          <w:lang w:eastAsia="en-GB"/>
        </w:rPr>
      </w:pPr>
      <w:proofErr w:type="gramStart"/>
      <w:r w:rsidRPr="003B7EA9">
        <w:rPr>
          <w:lang w:eastAsia="en-GB"/>
        </w:rPr>
        <w:t>Bailey, N., &amp; Livingston, M. (2005).</w:t>
      </w:r>
      <w:proofErr w:type="gramEnd"/>
      <w:r w:rsidRPr="003B7EA9">
        <w:rPr>
          <w:lang w:eastAsia="en-GB"/>
        </w:rPr>
        <w:t xml:space="preserve"> Determinants of individual migration: an analysis of SARs data. </w:t>
      </w:r>
      <w:proofErr w:type="gramStart"/>
      <w:r w:rsidRPr="003B7EA9">
        <w:rPr>
          <w:i/>
          <w:iCs/>
          <w:lang w:eastAsia="en-GB"/>
        </w:rPr>
        <w:t>Scottish Centre for Research on Social Justice, University of Glasgow</w:t>
      </w:r>
      <w:r w:rsidRPr="003B7EA9">
        <w:rPr>
          <w:lang w:eastAsia="en-GB"/>
        </w:rPr>
        <w:t>.</w:t>
      </w:r>
      <w:proofErr w:type="gramEnd"/>
    </w:p>
    <w:p w14:paraId="3C7CDD5E" w14:textId="77777777" w:rsidR="002F14C8" w:rsidRPr="003B7EA9" w:rsidRDefault="002F14C8" w:rsidP="005659A7">
      <w:pPr>
        <w:rPr>
          <w:lang w:eastAsia="en-GB"/>
        </w:rPr>
      </w:pPr>
      <w:proofErr w:type="gramStart"/>
      <w:r w:rsidRPr="003B7EA9">
        <w:rPr>
          <w:lang w:eastAsia="en-GB"/>
        </w:rPr>
        <w:t>Bailey, N., &amp; Livingston, M. (2008).</w:t>
      </w:r>
      <w:proofErr w:type="gramEnd"/>
      <w:r w:rsidRPr="003B7EA9">
        <w:rPr>
          <w:lang w:eastAsia="en-GB"/>
        </w:rPr>
        <w:t xml:space="preserve"> Selective migration and neighbourhood deprivation: evidence from 2001 census migration data for England and Scotland. </w:t>
      </w:r>
      <w:r w:rsidRPr="003B7EA9">
        <w:rPr>
          <w:i/>
          <w:iCs/>
          <w:lang w:eastAsia="en-GB"/>
        </w:rPr>
        <w:t>Urban Studies, 45</w:t>
      </w:r>
      <w:r w:rsidRPr="003B7EA9">
        <w:rPr>
          <w:lang w:eastAsia="en-GB"/>
        </w:rPr>
        <w:t>(4), 943-961.</w:t>
      </w:r>
    </w:p>
    <w:p w14:paraId="1D452702" w14:textId="77777777" w:rsidR="007C059E" w:rsidRPr="003B7EA9" w:rsidRDefault="007C059E" w:rsidP="005659A7">
      <w:pPr>
        <w:rPr>
          <w:lang w:eastAsia="en-GB"/>
        </w:rPr>
      </w:pPr>
      <w:r w:rsidRPr="003B7EA9">
        <w:rPr>
          <w:lang w:eastAsia="en-GB"/>
        </w:rPr>
        <w:t xml:space="preserve">Ballard, R. (1996). Negotiating race and ethnicity: Exploring the implications of the 1991 census 1. </w:t>
      </w:r>
      <w:r w:rsidRPr="003B7EA9">
        <w:rPr>
          <w:i/>
          <w:iCs/>
          <w:lang w:eastAsia="en-GB"/>
        </w:rPr>
        <w:t>Patterns of Prejudice, 30</w:t>
      </w:r>
      <w:r w:rsidRPr="003B7EA9">
        <w:rPr>
          <w:lang w:eastAsia="en-GB"/>
        </w:rPr>
        <w:t>(3), 3-33.</w:t>
      </w:r>
    </w:p>
    <w:p w14:paraId="00F632A0" w14:textId="77777777" w:rsidR="00652054" w:rsidRPr="003B7EA9" w:rsidRDefault="00652054" w:rsidP="005659A7">
      <w:pPr>
        <w:rPr>
          <w:lang w:eastAsia="en-GB"/>
        </w:rPr>
      </w:pPr>
      <w:proofErr w:type="gramStart"/>
      <w:r w:rsidRPr="003B7EA9">
        <w:rPr>
          <w:lang w:eastAsia="en-GB"/>
        </w:rPr>
        <w:t>Bernard, A., Bell, M., &amp; Charles-Edwards, E. (2014).</w:t>
      </w:r>
      <w:proofErr w:type="gramEnd"/>
      <w:r w:rsidRPr="003B7EA9">
        <w:rPr>
          <w:lang w:eastAsia="en-GB"/>
        </w:rPr>
        <w:t xml:space="preserve"> </w:t>
      </w:r>
      <w:proofErr w:type="gramStart"/>
      <w:r w:rsidRPr="003B7EA9">
        <w:rPr>
          <w:lang w:eastAsia="en-GB"/>
        </w:rPr>
        <w:t>Life-Course Transitions and the Age Profile of Internal Migration.</w:t>
      </w:r>
      <w:proofErr w:type="gramEnd"/>
      <w:r w:rsidRPr="003B7EA9">
        <w:rPr>
          <w:lang w:eastAsia="en-GB"/>
        </w:rPr>
        <w:t xml:space="preserve"> </w:t>
      </w:r>
      <w:r w:rsidRPr="003B7EA9">
        <w:rPr>
          <w:i/>
          <w:iCs/>
          <w:lang w:eastAsia="en-GB"/>
        </w:rPr>
        <w:t>Population and Development Review, 40</w:t>
      </w:r>
      <w:r w:rsidRPr="003B7EA9">
        <w:rPr>
          <w:lang w:eastAsia="en-GB"/>
        </w:rPr>
        <w:t>(2), 213-239.</w:t>
      </w:r>
    </w:p>
    <w:p w14:paraId="0000CEC3" w14:textId="77777777" w:rsidR="00496058" w:rsidRPr="003B7EA9" w:rsidRDefault="00496058" w:rsidP="005659A7">
      <w:pPr>
        <w:rPr>
          <w:lang w:eastAsia="en-GB"/>
        </w:rPr>
      </w:pPr>
      <w:proofErr w:type="gramStart"/>
      <w:r w:rsidRPr="003B7EA9">
        <w:rPr>
          <w:lang w:eastAsia="en-GB"/>
        </w:rPr>
        <w:t xml:space="preserve">Boyle, P. J., Robinson, V., &amp; </w:t>
      </w:r>
      <w:proofErr w:type="spellStart"/>
      <w:r w:rsidRPr="003B7EA9">
        <w:rPr>
          <w:lang w:eastAsia="en-GB"/>
        </w:rPr>
        <w:t>Halfacree</w:t>
      </w:r>
      <w:proofErr w:type="spellEnd"/>
      <w:r w:rsidRPr="003B7EA9">
        <w:rPr>
          <w:lang w:eastAsia="en-GB"/>
        </w:rPr>
        <w:t>, K. (1998).</w:t>
      </w:r>
      <w:proofErr w:type="gramEnd"/>
      <w:r w:rsidRPr="003B7EA9">
        <w:rPr>
          <w:lang w:eastAsia="en-GB"/>
        </w:rPr>
        <w:t xml:space="preserve"> </w:t>
      </w:r>
      <w:r w:rsidRPr="003B7EA9">
        <w:rPr>
          <w:i/>
          <w:iCs/>
          <w:lang w:eastAsia="en-GB"/>
        </w:rPr>
        <w:t xml:space="preserve">Exploring contemporary migration / Paul Boyle, Keith </w:t>
      </w:r>
      <w:proofErr w:type="spellStart"/>
      <w:r w:rsidRPr="003B7EA9">
        <w:rPr>
          <w:i/>
          <w:iCs/>
          <w:lang w:eastAsia="en-GB"/>
        </w:rPr>
        <w:t>Halfacree</w:t>
      </w:r>
      <w:proofErr w:type="spellEnd"/>
      <w:r w:rsidRPr="003B7EA9">
        <w:rPr>
          <w:i/>
          <w:iCs/>
          <w:lang w:eastAsia="en-GB"/>
        </w:rPr>
        <w:t xml:space="preserve"> and Vaughan Robinson</w:t>
      </w:r>
      <w:r w:rsidRPr="003B7EA9">
        <w:rPr>
          <w:lang w:eastAsia="en-GB"/>
        </w:rPr>
        <w:t xml:space="preserve">: </w:t>
      </w:r>
      <w:proofErr w:type="gramStart"/>
      <w:r w:rsidRPr="003B7EA9">
        <w:rPr>
          <w:lang w:eastAsia="en-GB"/>
        </w:rPr>
        <w:t>Harlow :</w:t>
      </w:r>
      <w:proofErr w:type="gramEnd"/>
      <w:r w:rsidRPr="003B7EA9">
        <w:rPr>
          <w:lang w:eastAsia="en-GB"/>
        </w:rPr>
        <w:t xml:space="preserve"> Longmans/Pearson Prentice Hall, 1998.</w:t>
      </w:r>
    </w:p>
    <w:p w14:paraId="3A08CFE1" w14:textId="3F0A4586" w:rsidR="00B314E7" w:rsidRPr="003B7EA9" w:rsidRDefault="00B314E7" w:rsidP="005659A7">
      <w:pPr>
        <w:rPr>
          <w:lang w:eastAsia="en-GB"/>
        </w:rPr>
      </w:pPr>
      <w:proofErr w:type="gramStart"/>
      <w:r w:rsidRPr="003B7EA9">
        <w:rPr>
          <w:lang w:eastAsia="en-GB"/>
        </w:rPr>
        <w:t>Castles, S., &amp; Miller, M. J. (2009).</w:t>
      </w:r>
      <w:proofErr w:type="gramEnd"/>
      <w:r w:rsidRPr="003B7EA9">
        <w:rPr>
          <w:lang w:eastAsia="en-GB"/>
        </w:rPr>
        <w:t xml:space="preserve"> </w:t>
      </w:r>
      <w:r w:rsidRPr="003B7EA9">
        <w:rPr>
          <w:i/>
          <w:iCs/>
          <w:lang w:eastAsia="en-GB"/>
        </w:rPr>
        <w:t xml:space="preserve">The age of </w:t>
      </w:r>
      <w:proofErr w:type="gramStart"/>
      <w:r w:rsidRPr="003B7EA9">
        <w:rPr>
          <w:i/>
          <w:iCs/>
          <w:lang w:eastAsia="en-GB"/>
        </w:rPr>
        <w:t>migration :</w:t>
      </w:r>
      <w:proofErr w:type="gramEnd"/>
      <w:r w:rsidRPr="003B7EA9">
        <w:rPr>
          <w:i/>
          <w:iCs/>
          <w:lang w:eastAsia="en-GB"/>
        </w:rPr>
        <w:t xml:space="preserve"> international population movements in the modern world / Stephen Castles, Mark J. Miller</w:t>
      </w:r>
      <w:r w:rsidRPr="003B7EA9">
        <w:rPr>
          <w:lang w:eastAsia="en-GB"/>
        </w:rPr>
        <w:t>: Basingstoke : Palgrave Macmillan.</w:t>
      </w:r>
    </w:p>
    <w:p w14:paraId="7F1BC32F" w14:textId="77777777" w:rsidR="00B476B0" w:rsidRPr="003B7EA9" w:rsidRDefault="00B476B0" w:rsidP="005659A7">
      <w:pPr>
        <w:rPr>
          <w:lang w:eastAsia="en-GB"/>
        </w:rPr>
      </w:pPr>
      <w:proofErr w:type="spellStart"/>
      <w:proofErr w:type="gramStart"/>
      <w:r w:rsidRPr="003B7EA9">
        <w:rPr>
          <w:lang w:eastAsia="en-GB"/>
        </w:rPr>
        <w:t>Catney</w:t>
      </w:r>
      <w:proofErr w:type="spellEnd"/>
      <w:r w:rsidRPr="003B7EA9">
        <w:rPr>
          <w:lang w:eastAsia="en-GB"/>
        </w:rPr>
        <w:t>, G., &amp; Simpson, L. (2010).</w:t>
      </w:r>
      <w:proofErr w:type="gramEnd"/>
      <w:r w:rsidRPr="003B7EA9">
        <w:rPr>
          <w:lang w:eastAsia="en-GB"/>
        </w:rPr>
        <w:t xml:space="preserve"> Settlement area migration in England and Wales: assessing evidence for a social gradient. </w:t>
      </w:r>
      <w:r w:rsidRPr="003B7EA9">
        <w:rPr>
          <w:i/>
          <w:iCs/>
          <w:lang w:eastAsia="en-GB"/>
        </w:rPr>
        <w:t>Transactions of the Institute of British Geographers, 35</w:t>
      </w:r>
      <w:r w:rsidRPr="003B7EA9">
        <w:rPr>
          <w:lang w:eastAsia="en-GB"/>
        </w:rPr>
        <w:t>(4), 571-584.</w:t>
      </w:r>
    </w:p>
    <w:p w14:paraId="671BF11C" w14:textId="77777777" w:rsidR="002A7930" w:rsidRPr="003B7EA9" w:rsidRDefault="002A7930" w:rsidP="005659A7">
      <w:pPr>
        <w:rPr>
          <w:lang w:eastAsia="en-GB"/>
        </w:rPr>
      </w:pPr>
      <w:r w:rsidRPr="003B7EA9">
        <w:rPr>
          <w:lang w:eastAsia="en-GB"/>
        </w:rPr>
        <w:t xml:space="preserve">Champion, A. G. (2001). The continuing urban-rural population movement in Britain: trends, patterns, significance. </w:t>
      </w:r>
      <w:proofErr w:type="spellStart"/>
      <w:proofErr w:type="gramStart"/>
      <w:r w:rsidRPr="003B7EA9">
        <w:rPr>
          <w:i/>
          <w:iCs/>
          <w:lang w:eastAsia="en-GB"/>
        </w:rPr>
        <w:t>Espace</w:t>
      </w:r>
      <w:proofErr w:type="spellEnd"/>
      <w:r w:rsidRPr="003B7EA9">
        <w:rPr>
          <w:i/>
          <w:iCs/>
          <w:lang w:eastAsia="en-GB"/>
        </w:rPr>
        <w:t xml:space="preserve">, populations, </w:t>
      </w:r>
      <w:proofErr w:type="spellStart"/>
      <w:r w:rsidRPr="003B7EA9">
        <w:rPr>
          <w:i/>
          <w:iCs/>
          <w:lang w:eastAsia="en-GB"/>
        </w:rPr>
        <w:t>societes</w:t>
      </w:r>
      <w:proofErr w:type="spellEnd"/>
      <w:r w:rsidRPr="003B7EA9">
        <w:rPr>
          <w:i/>
          <w:iCs/>
          <w:lang w:eastAsia="en-GB"/>
        </w:rPr>
        <w:t>, 19</w:t>
      </w:r>
      <w:r w:rsidRPr="003B7EA9">
        <w:rPr>
          <w:lang w:eastAsia="en-GB"/>
        </w:rPr>
        <w:t>(1-2), 37-51.</w:t>
      </w:r>
      <w:proofErr w:type="gramEnd"/>
    </w:p>
    <w:p w14:paraId="35FDB5EF" w14:textId="5F845824" w:rsidR="00F75264" w:rsidRPr="003B7EA9" w:rsidRDefault="00F75264" w:rsidP="005659A7">
      <w:pPr>
        <w:rPr>
          <w:lang w:eastAsia="en-GB"/>
        </w:rPr>
      </w:pPr>
      <w:r w:rsidRPr="003B7EA9">
        <w:rPr>
          <w:lang w:eastAsia="en-GB"/>
        </w:rPr>
        <w:t xml:space="preserve">Champion, A. G. (2005). </w:t>
      </w:r>
      <w:proofErr w:type="gramStart"/>
      <w:r w:rsidRPr="003B7EA9">
        <w:rPr>
          <w:lang w:eastAsia="en-GB"/>
        </w:rPr>
        <w:t xml:space="preserve">Population movement within the UK </w:t>
      </w:r>
      <w:r w:rsidRPr="003B7EA9">
        <w:rPr>
          <w:i/>
          <w:iCs/>
          <w:lang w:eastAsia="en-GB"/>
        </w:rPr>
        <w:t>Focus on people and migration</w:t>
      </w:r>
      <w:r w:rsidR="00F532A8">
        <w:rPr>
          <w:i/>
          <w:iCs/>
          <w:lang w:eastAsia="en-GB"/>
        </w:rPr>
        <w:t>,</w:t>
      </w:r>
      <w:r w:rsidRPr="003B7EA9">
        <w:rPr>
          <w:lang w:eastAsia="en-GB"/>
        </w:rPr>
        <w:t xml:space="preserve"> </w:t>
      </w:r>
      <w:r w:rsidR="00F532A8" w:rsidRPr="00F532A8">
        <w:rPr>
          <w:lang w:eastAsia="en-GB"/>
        </w:rPr>
        <w:t>edited by R. Chappell, 91–113.</w:t>
      </w:r>
      <w:proofErr w:type="gramEnd"/>
      <w:r w:rsidR="00F532A8" w:rsidRPr="00F532A8">
        <w:rPr>
          <w:lang w:eastAsia="en-GB"/>
        </w:rPr>
        <w:t xml:space="preserve"> Basingstoke: Palgrave Macmillan/ONS</w:t>
      </w:r>
      <w:r w:rsidRPr="003B7EA9">
        <w:rPr>
          <w:lang w:eastAsia="en-GB"/>
        </w:rPr>
        <w:t>.</w:t>
      </w:r>
    </w:p>
    <w:p w14:paraId="613967D7" w14:textId="77777777" w:rsidR="00F75264" w:rsidRPr="003B7EA9" w:rsidRDefault="00F75264" w:rsidP="005659A7">
      <w:pPr>
        <w:rPr>
          <w:lang w:eastAsia="en-GB"/>
        </w:rPr>
      </w:pPr>
      <w:r w:rsidRPr="003B7EA9">
        <w:rPr>
          <w:lang w:eastAsia="en-GB"/>
        </w:rPr>
        <w:t xml:space="preserve">Champion, A. G. (2012). </w:t>
      </w:r>
      <w:proofErr w:type="gramStart"/>
      <w:r w:rsidRPr="003B7EA9">
        <w:rPr>
          <w:lang w:eastAsia="en-GB"/>
        </w:rPr>
        <w:t>Testing the return migration element of the 'escalator region' model: an analysis of migration into and out of south-east England, 1966-2001.</w:t>
      </w:r>
      <w:proofErr w:type="gramEnd"/>
      <w:r w:rsidRPr="003B7EA9">
        <w:rPr>
          <w:lang w:eastAsia="en-GB"/>
        </w:rPr>
        <w:t xml:space="preserve"> </w:t>
      </w:r>
      <w:r w:rsidRPr="003B7EA9">
        <w:rPr>
          <w:i/>
          <w:iCs/>
          <w:lang w:eastAsia="en-GB"/>
        </w:rPr>
        <w:t>Cambridge Journal of Regions, Economy and Society, 5</w:t>
      </w:r>
      <w:r w:rsidRPr="003B7EA9">
        <w:rPr>
          <w:lang w:eastAsia="en-GB"/>
        </w:rPr>
        <w:t>(2), 255-270.</w:t>
      </w:r>
    </w:p>
    <w:p w14:paraId="72519106" w14:textId="40B9E23B" w:rsidR="00805B5B" w:rsidRPr="003B7EA9" w:rsidRDefault="00805B5B" w:rsidP="005659A7">
      <w:pPr>
        <w:rPr>
          <w:lang w:eastAsia="en-GB"/>
        </w:rPr>
      </w:pPr>
      <w:proofErr w:type="gramStart"/>
      <w:r w:rsidRPr="003B7EA9">
        <w:rPr>
          <w:lang w:eastAsia="en-GB"/>
        </w:rPr>
        <w:t>Champion, A. G., &amp; Atkins, D. (1996).</w:t>
      </w:r>
      <w:proofErr w:type="gramEnd"/>
      <w:r w:rsidRPr="003B7EA9">
        <w:rPr>
          <w:lang w:eastAsia="en-GB"/>
        </w:rPr>
        <w:t xml:space="preserve"> </w:t>
      </w:r>
      <w:r w:rsidRPr="003B7EA9">
        <w:rPr>
          <w:i/>
          <w:iCs/>
          <w:lang w:eastAsia="en-GB"/>
        </w:rPr>
        <w:t xml:space="preserve">The </w:t>
      </w:r>
      <w:proofErr w:type="spellStart"/>
      <w:r w:rsidRPr="003B7EA9">
        <w:rPr>
          <w:i/>
          <w:iCs/>
          <w:lang w:eastAsia="en-GB"/>
        </w:rPr>
        <w:t>counterurbanisation</w:t>
      </w:r>
      <w:proofErr w:type="spellEnd"/>
      <w:r w:rsidRPr="003B7EA9">
        <w:rPr>
          <w:i/>
          <w:iCs/>
          <w:lang w:eastAsia="en-GB"/>
        </w:rPr>
        <w:t xml:space="preserve"> cascade: an analysis of the 1991 Census Special Migration Statistics for Great Britai</w:t>
      </w:r>
      <w:r w:rsidR="00F532A8">
        <w:rPr>
          <w:i/>
          <w:iCs/>
          <w:lang w:eastAsia="en-GB"/>
        </w:rPr>
        <w:t xml:space="preserve">n. </w:t>
      </w:r>
      <w:r w:rsidR="00F532A8" w:rsidRPr="00F532A8">
        <w:rPr>
          <w:iCs/>
          <w:lang w:eastAsia="en-GB"/>
        </w:rPr>
        <w:t>Newcastle upon Tyne:</w:t>
      </w:r>
      <w:r w:rsidRPr="003B7EA9">
        <w:rPr>
          <w:lang w:eastAsia="en-GB"/>
        </w:rPr>
        <w:t xml:space="preserve"> Department of Geography University of Newcastle upon Tyne.</w:t>
      </w:r>
    </w:p>
    <w:p w14:paraId="3E357EED" w14:textId="77777777" w:rsidR="003B7EA9" w:rsidRPr="003B7EA9" w:rsidRDefault="003B7EA9" w:rsidP="005659A7">
      <w:pPr>
        <w:rPr>
          <w:lang w:eastAsia="en-GB"/>
        </w:rPr>
      </w:pPr>
      <w:proofErr w:type="gramStart"/>
      <w:r w:rsidRPr="003B7EA9">
        <w:rPr>
          <w:lang w:eastAsia="en-GB"/>
        </w:rPr>
        <w:t>Champion, A. G., Coombes, M., &amp; Brown, D. L. (2009).</w:t>
      </w:r>
      <w:proofErr w:type="gramEnd"/>
      <w:r w:rsidRPr="003B7EA9">
        <w:rPr>
          <w:lang w:eastAsia="en-GB"/>
        </w:rPr>
        <w:t xml:space="preserve"> </w:t>
      </w:r>
      <w:proofErr w:type="gramStart"/>
      <w:r w:rsidRPr="003B7EA9">
        <w:rPr>
          <w:lang w:eastAsia="en-GB"/>
        </w:rPr>
        <w:t>Migration and longer-distance commuting in rural England.</w:t>
      </w:r>
      <w:proofErr w:type="gramEnd"/>
      <w:r w:rsidRPr="003B7EA9">
        <w:rPr>
          <w:lang w:eastAsia="en-GB"/>
        </w:rPr>
        <w:t xml:space="preserve"> </w:t>
      </w:r>
      <w:r w:rsidRPr="003B7EA9">
        <w:rPr>
          <w:i/>
          <w:iCs/>
          <w:lang w:eastAsia="en-GB"/>
        </w:rPr>
        <w:t>Regional Studies, 43</w:t>
      </w:r>
      <w:r w:rsidRPr="003B7EA9">
        <w:rPr>
          <w:lang w:eastAsia="en-GB"/>
        </w:rPr>
        <w:t>(10), 1245-1259.</w:t>
      </w:r>
    </w:p>
    <w:p w14:paraId="25532B95" w14:textId="77777777" w:rsidR="00605B87" w:rsidRPr="003B7EA9" w:rsidRDefault="00605B87" w:rsidP="005659A7">
      <w:pPr>
        <w:rPr>
          <w:lang w:eastAsia="en-GB"/>
        </w:rPr>
      </w:pPr>
      <w:proofErr w:type="gramStart"/>
      <w:r w:rsidRPr="003B7EA9">
        <w:rPr>
          <w:lang w:eastAsia="en-GB"/>
        </w:rPr>
        <w:lastRenderedPageBreak/>
        <w:t>Champion, A. G., &amp; Fielding, A. J. (1992).</w:t>
      </w:r>
      <w:proofErr w:type="gramEnd"/>
      <w:r w:rsidRPr="003B7EA9">
        <w:rPr>
          <w:lang w:eastAsia="en-GB"/>
        </w:rPr>
        <w:t xml:space="preserve"> </w:t>
      </w:r>
      <w:r w:rsidRPr="003B7EA9">
        <w:rPr>
          <w:i/>
          <w:iCs/>
          <w:lang w:eastAsia="en-GB"/>
        </w:rPr>
        <w:t>Migration processes and patterns. Volume 1: research progress and prospects</w:t>
      </w:r>
      <w:r w:rsidRPr="003B7EA9">
        <w:rPr>
          <w:lang w:eastAsia="en-GB"/>
        </w:rPr>
        <w:t>. London: Belhaven Press.</w:t>
      </w:r>
    </w:p>
    <w:p w14:paraId="02BBB2AC" w14:textId="77777777" w:rsidR="00A50DD3" w:rsidRPr="003B7EA9" w:rsidRDefault="00A50DD3" w:rsidP="005659A7">
      <w:pPr>
        <w:rPr>
          <w:lang w:eastAsia="en-GB"/>
        </w:rPr>
      </w:pPr>
      <w:proofErr w:type="gramStart"/>
      <w:r w:rsidRPr="003B7EA9">
        <w:rPr>
          <w:lang w:eastAsia="en-GB"/>
        </w:rPr>
        <w:t>Champion, A. G., &amp; Fielding, A. J. (2015).</w:t>
      </w:r>
      <w:proofErr w:type="gramEnd"/>
      <w:r w:rsidRPr="003B7EA9">
        <w:rPr>
          <w:lang w:eastAsia="en-GB"/>
        </w:rPr>
        <w:t xml:space="preserve"> </w:t>
      </w:r>
      <w:proofErr w:type="gramStart"/>
      <w:r w:rsidRPr="003B7EA9">
        <w:rPr>
          <w:lang w:eastAsia="en-GB"/>
        </w:rPr>
        <w:t>Foreword.</w:t>
      </w:r>
      <w:proofErr w:type="gramEnd"/>
      <w:r w:rsidRPr="003B7EA9">
        <w:rPr>
          <w:lang w:eastAsia="en-GB"/>
        </w:rPr>
        <w:t xml:space="preserve"> In D. P. Smith, N. Finney, K. </w:t>
      </w:r>
      <w:proofErr w:type="spellStart"/>
      <w:r w:rsidRPr="003B7EA9">
        <w:rPr>
          <w:lang w:eastAsia="en-GB"/>
        </w:rPr>
        <w:t>Halfacree</w:t>
      </w:r>
      <w:proofErr w:type="spellEnd"/>
      <w:r w:rsidRPr="003B7EA9">
        <w:rPr>
          <w:lang w:eastAsia="en-GB"/>
        </w:rPr>
        <w:t xml:space="preserve"> &amp; N. </w:t>
      </w:r>
      <w:proofErr w:type="spellStart"/>
      <w:r w:rsidRPr="003B7EA9">
        <w:rPr>
          <w:lang w:eastAsia="en-GB"/>
        </w:rPr>
        <w:t>Walford</w:t>
      </w:r>
      <w:proofErr w:type="spellEnd"/>
      <w:r w:rsidRPr="003B7EA9">
        <w:rPr>
          <w:lang w:eastAsia="en-GB"/>
        </w:rPr>
        <w:t xml:space="preserve"> (Eds.), </w:t>
      </w:r>
      <w:r w:rsidRPr="003B7EA9">
        <w:rPr>
          <w:i/>
          <w:iCs/>
          <w:lang w:eastAsia="en-GB"/>
        </w:rPr>
        <w:t>Internal Migration: Geographical Perspectives and Processes</w:t>
      </w:r>
      <w:r w:rsidRPr="003B7EA9">
        <w:rPr>
          <w:lang w:eastAsia="en-GB"/>
        </w:rPr>
        <w:t xml:space="preserve"> (pp. xiii-xiv). Farnham: </w:t>
      </w:r>
      <w:proofErr w:type="spellStart"/>
      <w:r w:rsidRPr="003B7EA9">
        <w:rPr>
          <w:lang w:eastAsia="en-GB"/>
        </w:rPr>
        <w:t>Ashgate</w:t>
      </w:r>
      <w:proofErr w:type="spellEnd"/>
      <w:r w:rsidRPr="003B7EA9">
        <w:rPr>
          <w:lang w:eastAsia="en-GB"/>
        </w:rPr>
        <w:t>.</w:t>
      </w:r>
    </w:p>
    <w:p w14:paraId="75C22528" w14:textId="77777777" w:rsidR="00B274C2" w:rsidRPr="003B7EA9" w:rsidRDefault="00B274C2" w:rsidP="005659A7">
      <w:pPr>
        <w:rPr>
          <w:lang w:eastAsia="en-GB"/>
        </w:rPr>
      </w:pPr>
      <w:proofErr w:type="gramStart"/>
      <w:r w:rsidRPr="003B7EA9">
        <w:rPr>
          <w:lang w:eastAsia="en-GB"/>
        </w:rPr>
        <w:t xml:space="preserve">Champion, A. G., </w:t>
      </w:r>
      <w:proofErr w:type="spellStart"/>
      <w:r w:rsidRPr="003B7EA9">
        <w:rPr>
          <w:lang w:eastAsia="en-GB"/>
        </w:rPr>
        <w:t>Fotheringham</w:t>
      </w:r>
      <w:proofErr w:type="spellEnd"/>
      <w:r w:rsidRPr="003B7EA9">
        <w:rPr>
          <w:lang w:eastAsia="en-GB"/>
        </w:rPr>
        <w:t>, A., Rees, P., Boyle, P., &amp; Stillwell, J. (1998).</w:t>
      </w:r>
      <w:proofErr w:type="gramEnd"/>
      <w:r w:rsidRPr="003B7EA9">
        <w:rPr>
          <w:lang w:eastAsia="en-GB"/>
        </w:rPr>
        <w:t xml:space="preserve"> </w:t>
      </w:r>
      <w:r w:rsidRPr="003B7EA9">
        <w:rPr>
          <w:i/>
          <w:iCs/>
          <w:lang w:eastAsia="en-GB"/>
        </w:rPr>
        <w:t>The determinants of migration flows in England: a review of existing data and evidence: a report prepared for the Department of the Environment, Transport and the Regions</w:t>
      </w:r>
      <w:r w:rsidRPr="003B7EA9">
        <w:rPr>
          <w:lang w:eastAsia="en-GB"/>
        </w:rPr>
        <w:t>: Department of Geography, University of Newcastle upon Tyne Newcastle upon Tyne.</w:t>
      </w:r>
    </w:p>
    <w:p w14:paraId="341863F9" w14:textId="77777777" w:rsidR="001F00BD" w:rsidRPr="003B7EA9" w:rsidRDefault="001F00BD" w:rsidP="005659A7">
      <w:pPr>
        <w:rPr>
          <w:lang w:eastAsia="en-GB"/>
        </w:rPr>
      </w:pPr>
      <w:proofErr w:type="gramStart"/>
      <w:r w:rsidRPr="003B7EA9">
        <w:rPr>
          <w:lang w:eastAsia="en-GB"/>
        </w:rPr>
        <w:t xml:space="preserve">Champion, A. G., &amp; </w:t>
      </w:r>
      <w:proofErr w:type="spellStart"/>
      <w:r w:rsidRPr="003B7EA9">
        <w:rPr>
          <w:lang w:eastAsia="en-GB"/>
        </w:rPr>
        <w:t>Shuttleworth</w:t>
      </w:r>
      <w:proofErr w:type="spellEnd"/>
      <w:r w:rsidRPr="003B7EA9">
        <w:rPr>
          <w:lang w:eastAsia="en-GB"/>
        </w:rPr>
        <w:t>, I. (2015).</w:t>
      </w:r>
      <w:proofErr w:type="gramEnd"/>
      <w:r w:rsidRPr="003B7EA9">
        <w:rPr>
          <w:lang w:eastAsia="en-GB"/>
        </w:rPr>
        <w:t xml:space="preserve"> </w:t>
      </w:r>
      <w:r w:rsidRPr="003B7EA9">
        <w:rPr>
          <w:i/>
          <w:iCs/>
          <w:lang w:eastAsia="en-GB"/>
        </w:rPr>
        <w:t>Is Internal Migration slowing?  An Analysis of Four Decades of NHSCR Records for England and Wales</w:t>
      </w:r>
      <w:r w:rsidRPr="003B7EA9">
        <w:rPr>
          <w:lang w:eastAsia="en-GB"/>
        </w:rPr>
        <w:t xml:space="preserve">: SERC Discussion Paper 176. </w:t>
      </w:r>
      <w:proofErr w:type="gramStart"/>
      <w:r w:rsidRPr="003B7EA9">
        <w:rPr>
          <w:lang w:eastAsia="en-GB"/>
        </w:rPr>
        <w:t>Spatial Economics Research Centre.</w:t>
      </w:r>
      <w:proofErr w:type="gramEnd"/>
    </w:p>
    <w:p w14:paraId="28E8CF94" w14:textId="3628CDE6" w:rsidR="00AC5631" w:rsidRPr="00AC5631" w:rsidRDefault="00AC5631" w:rsidP="005659A7">
      <w:pPr>
        <w:rPr>
          <w:lang w:eastAsia="en-GB"/>
        </w:rPr>
      </w:pPr>
      <w:r w:rsidRPr="00AC5631">
        <w:rPr>
          <w:lang w:eastAsia="en-GB"/>
        </w:rPr>
        <w:t xml:space="preserve">Cumming, G., &amp; Finch, S. (2005). Inference by eye: confidence intervals and how to read pictures of data. </w:t>
      </w:r>
      <w:r w:rsidRPr="00AC5631">
        <w:rPr>
          <w:i/>
          <w:iCs/>
          <w:lang w:eastAsia="en-GB"/>
        </w:rPr>
        <w:t>American Psychologist, 60</w:t>
      </w:r>
      <w:r w:rsidRPr="00AC5631">
        <w:rPr>
          <w:lang w:eastAsia="en-GB"/>
        </w:rPr>
        <w:t>(2), 170</w:t>
      </w:r>
      <w:r w:rsidR="00F532A8">
        <w:rPr>
          <w:lang w:eastAsia="en-GB"/>
        </w:rPr>
        <w:t>-180</w:t>
      </w:r>
      <w:r w:rsidRPr="00AC5631">
        <w:rPr>
          <w:lang w:eastAsia="en-GB"/>
        </w:rPr>
        <w:t>.</w:t>
      </w:r>
    </w:p>
    <w:p w14:paraId="3306BB14" w14:textId="067024BB" w:rsidR="009B0F65" w:rsidRPr="003B7EA9" w:rsidRDefault="009B0F65" w:rsidP="005659A7">
      <w:pPr>
        <w:rPr>
          <w:lang w:eastAsia="en-GB"/>
        </w:rPr>
      </w:pPr>
      <w:r w:rsidRPr="003B7EA9">
        <w:rPr>
          <w:lang w:eastAsia="en-GB"/>
        </w:rPr>
        <w:t xml:space="preserve">Fielding, A. J. (1992). Migration and social mobility: South East England as an escalator region. </w:t>
      </w:r>
      <w:r w:rsidRPr="003B7EA9">
        <w:rPr>
          <w:i/>
          <w:iCs/>
          <w:lang w:eastAsia="en-GB"/>
        </w:rPr>
        <w:t>Regional Studies, 26</w:t>
      </w:r>
      <w:r w:rsidRPr="003B7EA9">
        <w:rPr>
          <w:lang w:eastAsia="en-GB"/>
        </w:rPr>
        <w:t>(1), 1-15.</w:t>
      </w:r>
    </w:p>
    <w:p w14:paraId="2443ACFC" w14:textId="77777777" w:rsidR="009B0F65" w:rsidRPr="003B7EA9" w:rsidRDefault="009B0F65" w:rsidP="005659A7">
      <w:pPr>
        <w:rPr>
          <w:lang w:eastAsia="en-GB"/>
        </w:rPr>
      </w:pPr>
      <w:r w:rsidRPr="003B7EA9">
        <w:rPr>
          <w:lang w:eastAsia="en-GB"/>
        </w:rPr>
        <w:t xml:space="preserve">Fielding, A. J. (2007). Migration and social mobility in urban systems: national and international trends. In H. S. Geyer (Ed.), </w:t>
      </w:r>
      <w:r w:rsidRPr="003B7EA9">
        <w:rPr>
          <w:i/>
          <w:iCs/>
          <w:lang w:eastAsia="en-GB"/>
        </w:rPr>
        <w:t>International Handbook of Urban Policy: Volume 1 Contentious Global Issues</w:t>
      </w:r>
      <w:r w:rsidRPr="003B7EA9">
        <w:rPr>
          <w:lang w:eastAsia="en-GB"/>
        </w:rPr>
        <w:t xml:space="preserve"> (pp. 107-137). Cheltenham: Edward Elgar.</w:t>
      </w:r>
    </w:p>
    <w:p w14:paraId="534FF44C" w14:textId="183BC74F" w:rsidR="00B314E7" w:rsidRPr="003B7EA9" w:rsidRDefault="00182476" w:rsidP="005659A7">
      <w:pPr>
        <w:rPr>
          <w:lang w:eastAsia="en-GB"/>
        </w:rPr>
      </w:pPr>
      <w:r w:rsidRPr="003B7EA9">
        <w:rPr>
          <w:lang w:eastAsia="en-GB"/>
        </w:rPr>
        <w:t xml:space="preserve">Fielding, A. J. (2012). </w:t>
      </w:r>
      <w:r w:rsidRPr="003B7EA9">
        <w:rPr>
          <w:i/>
          <w:iCs/>
          <w:lang w:eastAsia="en-GB"/>
        </w:rPr>
        <w:t>Migration in Britain: Paradoxes of the present, prospects for the future</w:t>
      </w:r>
      <w:r w:rsidR="00F532A8">
        <w:rPr>
          <w:i/>
          <w:iCs/>
          <w:lang w:eastAsia="en-GB"/>
        </w:rPr>
        <w:t>.</w:t>
      </w:r>
      <w:r w:rsidR="00F532A8" w:rsidRPr="00F532A8">
        <w:rPr>
          <w:iCs/>
          <w:lang w:eastAsia="en-GB"/>
        </w:rPr>
        <w:t xml:space="preserve"> Cheltenham:</w:t>
      </w:r>
      <w:r w:rsidRPr="003B7EA9">
        <w:rPr>
          <w:lang w:eastAsia="en-GB"/>
        </w:rPr>
        <w:t xml:space="preserve"> Edward Elgar Publishing.</w:t>
      </w:r>
    </w:p>
    <w:p w14:paraId="3D5BDCA7" w14:textId="77777777" w:rsidR="00BC7F9B" w:rsidRPr="003B7EA9" w:rsidRDefault="00BC7F9B" w:rsidP="005659A7">
      <w:pPr>
        <w:rPr>
          <w:lang w:eastAsia="en-GB"/>
        </w:rPr>
      </w:pPr>
      <w:r w:rsidRPr="003B7EA9">
        <w:rPr>
          <w:lang w:eastAsia="en-GB"/>
        </w:rPr>
        <w:t xml:space="preserve">Finney, N. (2011). </w:t>
      </w:r>
      <w:proofErr w:type="gramStart"/>
      <w:r w:rsidRPr="003B7EA9">
        <w:rPr>
          <w:lang w:eastAsia="en-GB"/>
        </w:rPr>
        <w:t xml:space="preserve">Understanding ethnic differences in the migration of young adults within Britain from a </w:t>
      </w:r>
      <w:proofErr w:type="spellStart"/>
      <w:r w:rsidRPr="003B7EA9">
        <w:rPr>
          <w:lang w:eastAsia="en-GB"/>
        </w:rPr>
        <w:t>lifecourse</w:t>
      </w:r>
      <w:proofErr w:type="spellEnd"/>
      <w:r w:rsidRPr="003B7EA9">
        <w:rPr>
          <w:lang w:eastAsia="en-GB"/>
        </w:rPr>
        <w:t xml:space="preserve"> perspective.</w:t>
      </w:r>
      <w:proofErr w:type="gramEnd"/>
      <w:r w:rsidRPr="003B7EA9">
        <w:rPr>
          <w:lang w:eastAsia="en-GB"/>
        </w:rPr>
        <w:t xml:space="preserve"> </w:t>
      </w:r>
      <w:r w:rsidRPr="003B7EA9">
        <w:rPr>
          <w:i/>
          <w:iCs/>
          <w:lang w:eastAsia="en-GB"/>
        </w:rPr>
        <w:t>Transactions of the Institute of British Geographers, 36</w:t>
      </w:r>
      <w:r w:rsidRPr="003B7EA9">
        <w:rPr>
          <w:lang w:eastAsia="en-GB"/>
        </w:rPr>
        <w:t>(3), 455-470.</w:t>
      </w:r>
    </w:p>
    <w:p w14:paraId="082CD2BB" w14:textId="77777777" w:rsidR="00075C3F" w:rsidRPr="003B7EA9" w:rsidRDefault="00075C3F" w:rsidP="005659A7">
      <w:pPr>
        <w:rPr>
          <w:lang w:eastAsia="en-GB"/>
        </w:rPr>
      </w:pPr>
      <w:r w:rsidRPr="003B7EA9">
        <w:rPr>
          <w:lang w:eastAsia="en-GB"/>
        </w:rPr>
        <w:t xml:space="preserve">Finney, N. (2012). Ethnic Differences in the </w:t>
      </w:r>
      <w:proofErr w:type="gramStart"/>
      <w:r w:rsidRPr="003B7EA9">
        <w:rPr>
          <w:lang w:eastAsia="en-GB"/>
        </w:rPr>
        <w:t>Internal</w:t>
      </w:r>
      <w:proofErr w:type="gramEnd"/>
      <w:r w:rsidRPr="003B7EA9">
        <w:rPr>
          <w:lang w:eastAsia="en-GB"/>
        </w:rPr>
        <w:t xml:space="preserve"> migration of Higher Education Students in Britain. In N. Finney &amp; G. </w:t>
      </w:r>
      <w:proofErr w:type="spellStart"/>
      <w:r w:rsidRPr="003B7EA9">
        <w:rPr>
          <w:lang w:eastAsia="en-GB"/>
        </w:rPr>
        <w:t>Catney</w:t>
      </w:r>
      <w:proofErr w:type="spellEnd"/>
      <w:r w:rsidRPr="003B7EA9">
        <w:rPr>
          <w:lang w:eastAsia="en-GB"/>
        </w:rPr>
        <w:t xml:space="preserve"> (Eds.), </w:t>
      </w:r>
      <w:r w:rsidRPr="003B7EA9">
        <w:rPr>
          <w:i/>
          <w:iCs/>
          <w:lang w:eastAsia="en-GB"/>
        </w:rPr>
        <w:t>Minority Internal Migration in Europe</w:t>
      </w:r>
      <w:r w:rsidRPr="003B7EA9">
        <w:rPr>
          <w:lang w:eastAsia="en-GB"/>
        </w:rPr>
        <w:t xml:space="preserve"> (pp. 215-238). Farnham </w:t>
      </w:r>
      <w:proofErr w:type="spellStart"/>
      <w:r w:rsidRPr="003B7EA9">
        <w:rPr>
          <w:lang w:eastAsia="en-GB"/>
        </w:rPr>
        <w:t>Ashgate</w:t>
      </w:r>
      <w:proofErr w:type="spellEnd"/>
      <w:r w:rsidRPr="003B7EA9">
        <w:rPr>
          <w:lang w:eastAsia="en-GB"/>
        </w:rPr>
        <w:t>.</w:t>
      </w:r>
    </w:p>
    <w:p w14:paraId="33CF6DDF" w14:textId="77777777" w:rsidR="00552491" w:rsidRPr="003B7EA9" w:rsidRDefault="00552491" w:rsidP="005659A7">
      <w:pPr>
        <w:rPr>
          <w:lang w:eastAsia="en-GB"/>
        </w:rPr>
      </w:pPr>
      <w:proofErr w:type="gramStart"/>
      <w:r w:rsidRPr="003B7EA9">
        <w:rPr>
          <w:lang w:eastAsia="en-GB"/>
        </w:rPr>
        <w:t xml:space="preserve">Finney, N., </w:t>
      </w:r>
      <w:proofErr w:type="spellStart"/>
      <w:r w:rsidRPr="003B7EA9">
        <w:rPr>
          <w:lang w:eastAsia="en-GB"/>
        </w:rPr>
        <w:t>Catney</w:t>
      </w:r>
      <w:proofErr w:type="spellEnd"/>
      <w:r w:rsidRPr="003B7EA9">
        <w:rPr>
          <w:lang w:eastAsia="en-GB"/>
        </w:rPr>
        <w:t>, G., &amp; Phillips, D. (2015).</w:t>
      </w:r>
      <w:proofErr w:type="gramEnd"/>
      <w:r w:rsidRPr="003B7EA9">
        <w:rPr>
          <w:lang w:eastAsia="en-GB"/>
        </w:rPr>
        <w:t xml:space="preserve"> </w:t>
      </w:r>
      <w:proofErr w:type="gramStart"/>
      <w:r w:rsidRPr="003B7EA9">
        <w:rPr>
          <w:lang w:eastAsia="en-GB"/>
        </w:rPr>
        <w:t>Ethnicity and Internal Migration.</w:t>
      </w:r>
      <w:proofErr w:type="gramEnd"/>
      <w:r w:rsidRPr="003B7EA9">
        <w:rPr>
          <w:lang w:eastAsia="en-GB"/>
        </w:rPr>
        <w:t xml:space="preserve"> In D. P. Smith, N. Finney, K. </w:t>
      </w:r>
      <w:proofErr w:type="spellStart"/>
      <w:r w:rsidRPr="003B7EA9">
        <w:rPr>
          <w:lang w:eastAsia="en-GB"/>
        </w:rPr>
        <w:t>Halfacree</w:t>
      </w:r>
      <w:proofErr w:type="spellEnd"/>
      <w:r w:rsidRPr="003B7EA9">
        <w:rPr>
          <w:lang w:eastAsia="en-GB"/>
        </w:rPr>
        <w:t xml:space="preserve"> &amp; N. </w:t>
      </w:r>
      <w:proofErr w:type="spellStart"/>
      <w:r w:rsidRPr="003B7EA9">
        <w:rPr>
          <w:lang w:eastAsia="en-GB"/>
        </w:rPr>
        <w:t>Walford</w:t>
      </w:r>
      <w:proofErr w:type="spellEnd"/>
      <w:r w:rsidRPr="003B7EA9">
        <w:rPr>
          <w:lang w:eastAsia="en-GB"/>
        </w:rPr>
        <w:t xml:space="preserve"> (Eds.), </w:t>
      </w:r>
      <w:r w:rsidRPr="003B7EA9">
        <w:rPr>
          <w:i/>
          <w:iCs/>
          <w:lang w:eastAsia="en-GB"/>
        </w:rPr>
        <w:t>Internal Migration: Geographical Perspectives and Processes</w:t>
      </w:r>
      <w:r w:rsidRPr="003B7EA9">
        <w:rPr>
          <w:lang w:eastAsia="en-GB"/>
        </w:rPr>
        <w:t xml:space="preserve"> (pp. 31-45). Farnham: </w:t>
      </w:r>
      <w:proofErr w:type="spellStart"/>
      <w:r w:rsidRPr="003B7EA9">
        <w:rPr>
          <w:lang w:eastAsia="en-GB"/>
        </w:rPr>
        <w:t>Ashgate</w:t>
      </w:r>
      <w:proofErr w:type="spellEnd"/>
      <w:r w:rsidRPr="003B7EA9">
        <w:rPr>
          <w:lang w:eastAsia="en-GB"/>
        </w:rPr>
        <w:t>.</w:t>
      </w:r>
    </w:p>
    <w:p w14:paraId="37B6CAF8" w14:textId="77777777" w:rsidR="00B476B0" w:rsidRPr="003B7EA9" w:rsidRDefault="00B476B0" w:rsidP="005659A7">
      <w:pPr>
        <w:rPr>
          <w:lang w:eastAsia="en-GB"/>
        </w:rPr>
      </w:pPr>
      <w:proofErr w:type="gramStart"/>
      <w:r w:rsidRPr="003B7EA9">
        <w:rPr>
          <w:lang w:eastAsia="en-GB"/>
        </w:rPr>
        <w:t>Finney, N., &amp; Simpson, L. (2008).</w:t>
      </w:r>
      <w:proofErr w:type="gramEnd"/>
      <w:r w:rsidRPr="003B7EA9">
        <w:rPr>
          <w:lang w:eastAsia="en-GB"/>
        </w:rPr>
        <w:t xml:space="preserve"> Internal migration and ethnic groups: evidence for Britain from the 2001 Census. </w:t>
      </w:r>
      <w:r w:rsidRPr="003B7EA9">
        <w:rPr>
          <w:i/>
          <w:iCs/>
          <w:lang w:eastAsia="en-GB"/>
        </w:rPr>
        <w:t>Population, Space and Place, 14</w:t>
      </w:r>
      <w:r w:rsidRPr="003B7EA9">
        <w:rPr>
          <w:lang w:eastAsia="en-GB"/>
        </w:rPr>
        <w:t>(2), 63-83.</w:t>
      </w:r>
    </w:p>
    <w:p w14:paraId="7A956674" w14:textId="77777777" w:rsidR="00075C3F" w:rsidRPr="003B7EA9" w:rsidRDefault="00075C3F" w:rsidP="005659A7">
      <w:pPr>
        <w:rPr>
          <w:lang w:eastAsia="en-GB"/>
        </w:rPr>
      </w:pPr>
      <w:r w:rsidRPr="003B7EA9">
        <w:rPr>
          <w:lang w:eastAsia="en-GB"/>
        </w:rPr>
        <w:t xml:space="preserve">Gale, R. (2013). Religious residential segregation and internal migration: the British Muslim case. </w:t>
      </w:r>
      <w:proofErr w:type="gramStart"/>
      <w:r w:rsidRPr="003B7EA9">
        <w:rPr>
          <w:i/>
          <w:iCs/>
          <w:lang w:eastAsia="en-GB"/>
        </w:rPr>
        <w:t>Environment and Planning A, 45</w:t>
      </w:r>
      <w:r w:rsidRPr="003B7EA9">
        <w:rPr>
          <w:lang w:eastAsia="en-GB"/>
        </w:rPr>
        <w:t>(4), 872-891.</w:t>
      </w:r>
      <w:proofErr w:type="gramEnd"/>
    </w:p>
    <w:p w14:paraId="50887297" w14:textId="4859D77F" w:rsidR="00805B5B" w:rsidRPr="003B7EA9" w:rsidRDefault="00805B5B" w:rsidP="005659A7">
      <w:pPr>
        <w:rPr>
          <w:lang w:eastAsia="en-GB"/>
        </w:rPr>
      </w:pPr>
      <w:r w:rsidRPr="003B7EA9">
        <w:rPr>
          <w:lang w:eastAsia="en-GB"/>
        </w:rPr>
        <w:lastRenderedPageBreak/>
        <w:t xml:space="preserve">Greenwood, M. J. (1985). Human Migration: Theory, Models, and Empirical Studies. </w:t>
      </w:r>
      <w:r w:rsidRPr="003B7EA9">
        <w:rPr>
          <w:i/>
          <w:iCs/>
          <w:lang w:eastAsia="en-GB"/>
        </w:rPr>
        <w:t>Journal of Regional Science, 25</w:t>
      </w:r>
      <w:r w:rsidRPr="003B7EA9">
        <w:rPr>
          <w:lang w:eastAsia="en-GB"/>
        </w:rPr>
        <w:t>(4), 521</w:t>
      </w:r>
      <w:r w:rsidR="00F532A8">
        <w:rPr>
          <w:lang w:eastAsia="en-GB"/>
        </w:rPr>
        <w:t>-544</w:t>
      </w:r>
      <w:r w:rsidRPr="003B7EA9">
        <w:rPr>
          <w:lang w:eastAsia="en-GB"/>
        </w:rPr>
        <w:t>.</w:t>
      </w:r>
    </w:p>
    <w:p w14:paraId="1DA0EDD7" w14:textId="77777777" w:rsidR="002F14C8" w:rsidRPr="003B7EA9" w:rsidRDefault="002F14C8" w:rsidP="005659A7">
      <w:pPr>
        <w:rPr>
          <w:lang w:eastAsia="en-GB"/>
        </w:rPr>
      </w:pPr>
      <w:proofErr w:type="spellStart"/>
      <w:r w:rsidRPr="003B7EA9">
        <w:rPr>
          <w:lang w:eastAsia="en-GB"/>
        </w:rPr>
        <w:t>Helliwell</w:t>
      </w:r>
      <w:proofErr w:type="spellEnd"/>
      <w:r w:rsidRPr="003B7EA9">
        <w:rPr>
          <w:lang w:eastAsia="en-GB"/>
        </w:rPr>
        <w:t xml:space="preserve">, J. F. (1996). </w:t>
      </w:r>
      <w:proofErr w:type="gramStart"/>
      <w:r w:rsidRPr="003B7EA9">
        <w:rPr>
          <w:lang w:eastAsia="en-GB"/>
        </w:rPr>
        <w:t>Convergence and migration among provinces.</w:t>
      </w:r>
      <w:proofErr w:type="gramEnd"/>
      <w:r w:rsidRPr="003B7EA9">
        <w:rPr>
          <w:lang w:eastAsia="en-GB"/>
        </w:rPr>
        <w:t xml:space="preserve"> </w:t>
      </w:r>
      <w:proofErr w:type="gramStart"/>
      <w:r w:rsidRPr="003B7EA9">
        <w:rPr>
          <w:i/>
          <w:iCs/>
          <w:lang w:eastAsia="en-GB"/>
        </w:rPr>
        <w:t xml:space="preserve">Canadian Journal of Economics, 29 </w:t>
      </w:r>
      <w:r w:rsidRPr="003B7EA9">
        <w:rPr>
          <w:lang w:eastAsia="en-GB"/>
        </w:rPr>
        <w:t>(Special Issue, Part 1), S324-S330.</w:t>
      </w:r>
      <w:proofErr w:type="gramEnd"/>
    </w:p>
    <w:p w14:paraId="2576A734" w14:textId="77777777" w:rsidR="00B94902" w:rsidRPr="00B94902" w:rsidRDefault="00B94902" w:rsidP="005659A7">
      <w:pPr>
        <w:rPr>
          <w:lang w:eastAsia="en-GB"/>
        </w:rPr>
      </w:pPr>
      <w:r w:rsidRPr="00B94902">
        <w:rPr>
          <w:lang w:eastAsia="en-GB"/>
        </w:rPr>
        <w:t xml:space="preserve">Jacobson, J. (1997). Religion and ethnicity: Dual and alternative sources of identity among young British Pakistanis. </w:t>
      </w:r>
      <w:r w:rsidRPr="00B94902">
        <w:rPr>
          <w:i/>
          <w:iCs/>
          <w:lang w:eastAsia="en-GB"/>
        </w:rPr>
        <w:t>Ethnic and Racial Studies, 20</w:t>
      </w:r>
      <w:r w:rsidRPr="00B94902">
        <w:rPr>
          <w:lang w:eastAsia="en-GB"/>
        </w:rPr>
        <w:t>(2), 238-256.</w:t>
      </w:r>
    </w:p>
    <w:p w14:paraId="41D1028F" w14:textId="53F93F05" w:rsidR="00BC7F9B" w:rsidRPr="003B7EA9" w:rsidRDefault="00BC7F9B" w:rsidP="005659A7">
      <w:pPr>
        <w:rPr>
          <w:lang w:eastAsia="en-GB"/>
        </w:rPr>
      </w:pPr>
      <w:proofErr w:type="spellStart"/>
      <w:r w:rsidRPr="003B7EA9">
        <w:rPr>
          <w:lang w:eastAsia="en-GB"/>
        </w:rPr>
        <w:t>Knies</w:t>
      </w:r>
      <w:proofErr w:type="spellEnd"/>
      <w:r w:rsidRPr="003B7EA9">
        <w:rPr>
          <w:lang w:eastAsia="en-GB"/>
        </w:rPr>
        <w:t xml:space="preserve">, G. (2014). </w:t>
      </w:r>
      <w:r w:rsidRPr="003B7EA9">
        <w:rPr>
          <w:i/>
          <w:iCs/>
          <w:lang w:eastAsia="en-GB"/>
        </w:rPr>
        <w:t>Understanding Society: The UK Household Longitudinal Study; Waves 1-4, User Manual</w:t>
      </w:r>
      <w:r w:rsidRPr="003B7EA9">
        <w:rPr>
          <w:lang w:eastAsia="en-GB"/>
        </w:rPr>
        <w:t>: ESRC.</w:t>
      </w:r>
    </w:p>
    <w:p w14:paraId="0A5BFD4C" w14:textId="77777777" w:rsidR="00B274C2" w:rsidRPr="003B7EA9" w:rsidRDefault="00B274C2" w:rsidP="005659A7">
      <w:pPr>
        <w:rPr>
          <w:lang w:eastAsia="en-GB"/>
        </w:rPr>
      </w:pPr>
      <w:r w:rsidRPr="003B7EA9">
        <w:rPr>
          <w:lang w:eastAsia="en-GB"/>
        </w:rPr>
        <w:t xml:space="preserve">Lee, E. S. (1966). </w:t>
      </w:r>
      <w:proofErr w:type="gramStart"/>
      <w:r w:rsidRPr="003B7EA9">
        <w:rPr>
          <w:lang w:eastAsia="en-GB"/>
        </w:rPr>
        <w:t>A theory of migration.</w:t>
      </w:r>
      <w:proofErr w:type="gramEnd"/>
      <w:r w:rsidRPr="003B7EA9">
        <w:rPr>
          <w:lang w:eastAsia="en-GB"/>
        </w:rPr>
        <w:t xml:space="preserve"> </w:t>
      </w:r>
      <w:r w:rsidRPr="003B7EA9">
        <w:rPr>
          <w:i/>
          <w:iCs/>
          <w:lang w:eastAsia="en-GB"/>
        </w:rPr>
        <w:t>Demography, 3</w:t>
      </w:r>
      <w:r w:rsidRPr="003B7EA9">
        <w:rPr>
          <w:lang w:eastAsia="en-GB"/>
        </w:rPr>
        <w:t>(1), 47-57.</w:t>
      </w:r>
    </w:p>
    <w:p w14:paraId="0610FBD1" w14:textId="77777777" w:rsidR="00F75264" w:rsidRPr="003B7EA9" w:rsidRDefault="00F75264" w:rsidP="005659A7">
      <w:pPr>
        <w:rPr>
          <w:lang w:eastAsia="en-GB"/>
        </w:rPr>
      </w:pPr>
      <w:proofErr w:type="gramStart"/>
      <w:r w:rsidRPr="003B7EA9">
        <w:rPr>
          <w:lang w:eastAsia="en-GB"/>
        </w:rPr>
        <w:t>Lomax, N., Stillwell, J., Norman, P., &amp; Rees, P. (2014).</w:t>
      </w:r>
      <w:proofErr w:type="gramEnd"/>
      <w:r w:rsidRPr="003B7EA9">
        <w:rPr>
          <w:lang w:eastAsia="en-GB"/>
        </w:rPr>
        <w:t xml:space="preserve"> Internal Migration in the United Kingdom: Analysis of an Estimated Inter-District Time Series, 2001-2011. </w:t>
      </w:r>
      <w:r w:rsidRPr="003B7EA9">
        <w:rPr>
          <w:i/>
          <w:iCs/>
          <w:lang w:eastAsia="en-GB"/>
        </w:rPr>
        <w:t>Applied Spatial Analysis and Policy, 7</w:t>
      </w:r>
      <w:r w:rsidRPr="003B7EA9">
        <w:rPr>
          <w:lang w:eastAsia="en-GB"/>
        </w:rPr>
        <w:t>(1), 25-45.</w:t>
      </w:r>
    </w:p>
    <w:p w14:paraId="54994509" w14:textId="77777777" w:rsidR="00075C3F" w:rsidRPr="003B7EA9" w:rsidRDefault="00075C3F" w:rsidP="005659A7">
      <w:pPr>
        <w:rPr>
          <w:lang w:eastAsia="en-GB"/>
        </w:rPr>
      </w:pPr>
      <w:proofErr w:type="gramStart"/>
      <w:r w:rsidRPr="003B7EA9">
        <w:rPr>
          <w:lang w:eastAsia="en-GB"/>
        </w:rPr>
        <w:t xml:space="preserve">Manley, D., &amp; </w:t>
      </w:r>
      <w:proofErr w:type="spellStart"/>
      <w:r w:rsidRPr="003B7EA9">
        <w:rPr>
          <w:lang w:eastAsia="en-GB"/>
        </w:rPr>
        <w:t>Catney</w:t>
      </w:r>
      <w:proofErr w:type="spellEnd"/>
      <w:r w:rsidRPr="003B7EA9">
        <w:rPr>
          <w:lang w:eastAsia="en-GB"/>
        </w:rPr>
        <w:t>, G. (2012).</w:t>
      </w:r>
      <w:proofErr w:type="gramEnd"/>
      <w:r w:rsidRPr="003B7EA9">
        <w:rPr>
          <w:lang w:eastAsia="en-GB"/>
        </w:rPr>
        <w:t xml:space="preserve"> </w:t>
      </w:r>
      <w:proofErr w:type="gramStart"/>
      <w:r w:rsidRPr="003B7EA9">
        <w:rPr>
          <w:lang w:eastAsia="en-GB"/>
        </w:rPr>
        <w:t>`One Scotland`?</w:t>
      </w:r>
      <w:proofErr w:type="gramEnd"/>
      <w:r w:rsidRPr="003B7EA9">
        <w:rPr>
          <w:lang w:eastAsia="en-GB"/>
        </w:rPr>
        <w:t xml:space="preserve"> </w:t>
      </w:r>
      <w:proofErr w:type="gramStart"/>
      <w:r w:rsidRPr="003B7EA9">
        <w:rPr>
          <w:lang w:eastAsia="en-GB"/>
        </w:rPr>
        <w:t>Ethnic minority internal migration in a devolved state.</w:t>
      </w:r>
      <w:proofErr w:type="gramEnd"/>
      <w:r w:rsidRPr="003B7EA9">
        <w:rPr>
          <w:lang w:eastAsia="en-GB"/>
        </w:rPr>
        <w:t xml:space="preserve"> In N. Finney &amp; G. </w:t>
      </w:r>
      <w:proofErr w:type="spellStart"/>
      <w:r w:rsidRPr="003B7EA9">
        <w:rPr>
          <w:lang w:eastAsia="en-GB"/>
        </w:rPr>
        <w:t>Catney</w:t>
      </w:r>
      <w:proofErr w:type="spellEnd"/>
      <w:r w:rsidRPr="003B7EA9">
        <w:rPr>
          <w:lang w:eastAsia="en-GB"/>
        </w:rPr>
        <w:t xml:space="preserve"> (Eds.), </w:t>
      </w:r>
      <w:r w:rsidRPr="003B7EA9">
        <w:rPr>
          <w:i/>
          <w:iCs/>
          <w:lang w:eastAsia="en-GB"/>
        </w:rPr>
        <w:t>Minority Internal Migration in Europe</w:t>
      </w:r>
      <w:r w:rsidRPr="003B7EA9">
        <w:rPr>
          <w:lang w:eastAsia="en-GB"/>
        </w:rPr>
        <w:t xml:space="preserve"> (pp. 127-150). Farnham </w:t>
      </w:r>
      <w:proofErr w:type="spellStart"/>
      <w:r w:rsidRPr="003B7EA9">
        <w:rPr>
          <w:lang w:eastAsia="en-GB"/>
        </w:rPr>
        <w:t>Ashgate</w:t>
      </w:r>
      <w:proofErr w:type="spellEnd"/>
      <w:r w:rsidRPr="003B7EA9">
        <w:rPr>
          <w:lang w:eastAsia="en-GB"/>
        </w:rPr>
        <w:t>.</w:t>
      </w:r>
    </w:p>
    <w:p w14:paraId="1AB7907A" w14:textId="3881C127" w:rsidR="00B274C2" w:rsidRPr="003B7EA9" w:rsidRDefault="00B274C2" w:rsidP="00F532A8">
      <w:pPr>
        <w:rPr>
          <w:lang w:eastAsia="en-GB"/>
        </w:rPr>
      </w:pPr>
      <w:proofErr w:type="gramStart"/>
      <w:r w:rsidRPr="003B7EA9">
        <w:rPr>
          <w:lang w:eastAsia="en-GB"/>
        </w:rPr>
        <w:t>Molloy, R., Smith, C. L., &amp; Wozniak, A. K. (2011).</w:t>
      </w:r>
      <w:proofErr w:type="gramEnd"/>
      <w:r w:rsidRPr="003B7EA9">
        <w:rPr>
          <w:lang w:eastAsia="en-GB"/>
        </w:rPr>
        <w:t xml:space="preserve"> </w:t>
      </w:r>
      <w:proofErr w:type="gramStart"/>
      <w:r w:rsidRPr="003B7EA9">
        <w:rPr>
          <w:i/>
          <w:iCs/>
          <w:lang w:eastAsia="en-GB"/>
        </w:rPr>
        <w:t>Internal migration in the United States</w:t>
      </w:r>
      <w:r w:rsidR="00F532A8">
        <w:rPr>
          <w:i/>
          <w:iCs/>
          <w:lang w:eastAsia="en-GB"/>
        </w:rPr>
        <w:t>.</w:t>
      </w:r>
      <w:proofErr w:type="gramEnd"/>
      <w:r w:rsidR="00F532A8">
        <w:rPr>
          <w:i/>
          <w:iCs/>
          <w:lang w:eastAsia="en-GB"/>
        </w:rPr>
        <w:t xml:space="preserve"> </w:t>
      </w:r>
      <w:r w:rsidR="00F532A8">
        <w:rPr>
          <w:lang w:eastAsia="en-GB"/>
        </w:rPr>
        <w:t xml:space="preserve">Bonn: Institute for the Study of </w:t>
      </w:r>
      <w:proofErr w:type="spellStart"/>
      <w:r w:rsidR="00F532A8">
        <w:rPr>
          <w:lang w:eastAsia="en-GB"/>
        </w:rPr>
        <w:t>Labor</w:t>
      </w:r>
      <w:proofErr w:type="spellEnd"/>
      <w:r w:rsidR="00F532A8">
        <w:rPr>
          <w:lang w:eastAsia="en-GB"/>
        </w:rPr>
        <w:t xml:space="preserve"> (IZA) and National Bureau of Economic Research</w:t>
      </w:r>
      <w:r w:rsidRPr="003B7EA9">
        <w:rPr>
          <w:lang w:eastAsia="en-GB"/>
        </w:rPr>
        <w:t>.</w:t>
      </w:r>
    </w:p>
    <w:p w14:paraId="0F2E46A1" w14:textId="77777777" w:rsidR="00805B5B" w:rsidRPr="003B7EA9" w:rsidRDefault="00805B5B" w:rsidP="005659A7">
      <w:pPr>
        <w:rPr>
          <w:lang w:eastAsia="en-GB"/>
        </w:rPr>
      </w:pPr>
      <w:r w:rsidRPr="003B7EA9">
        <w:rPr>
          <w:lang w:eastAsia="en-GB"/>
        </w:rPr>
        <w:t xml:space="preserve">Newman, D. (1985). Integration and Ethnic Spatial Concentration: The Changing Distribution of the Anglo-Jewish Community. </w:t>
      </w:r>
      <w:r w:rsidRPr="003B7EA9">
        <w:rPr>
          <w:i/>
          <w:iCs/>
          <w:lang w:eastAsia="en-GB"/>
        </w:rPr>
        <w:t>Transactions of the Institute of British Geographers, 10</w:t>
      </w:r>
      <w:r w:rsidRPr="003B7EA9">
        <w:rPr>
          <w:lang w:eastAsia="en-GB"/>
        </w:rPr>
        <w:t>(3), 360-376.</w:t>
      </w:r>
    </w:p>
    <w:p w14:paraId="7D584BB4" w14:textId="77777777" w:rsidR="00D025B9" w:rsidRPr="003B7EA9" w:rsidRDefault="00D025B9" w:rsidP="005659A7">
      <w:pPr>
        <w:rPr>
          <w:lang w:eastAsia="en-GB"/>
        </w:rPr>
      </w:pPr>
      <w:proofErr w:type="spellStart"/>
      <w:proofErr w:type="gramStart"/>
      <w:r w:rsidRPr="003B7EA9">
        <w:rPr>
          <w:lang w:eastAsia="en-GB"/>
        </w:rPr>
        <w:t>Nivalainen</w:t>
      </w:r>
      <w:proofErr w:type="spellEnd"/>
      <w:r w:rsidRPr="003B7EA9">
        <w:rPr>
          <w:lang w:eastAsia="en-GB"/>
        </w:rPr>
        <w:t>, S. (2004).</w:t>
      </w:r>
      <w:proofErr w:type="gramEnd"/>
      <w:r w:rsidRPr="003B7EA9">
        <w:rPr>
          <w:lang w:eastAsia="en-GB"/>
        </w:rPr>
        <w:t xml:space="preserve"> Determinants of Family Migration: Short Moves vs. Long Moves. </w:t>
      </w:r>
      <w:r w:rsidRPr="003B7EA9">
        <w:rPr>
          <w:i/>
          <w:iCs/>
          <w:lang w:eastAsia="en-GB"/>
        </w:rPr>
        <w:t>Journal of Population Economics, 17</w:t>
      </w:r>
      <w:r w:rsidRPr="003B7EA9">
        <w:rPr>
          <w:lang w:eastAsia="en-GB"/>
        </w:rPr>
        <w:t>(1), 157-175.</w:t>
      </w:r>
    </w:p>
    <w:p w14:paraId="3F5D2197" w14:textId="77777777" w:rsidR="00B314E7" w:rsidRPr="003B7EA9" w:rsidRDefault="00B314E7" w:rsidP="005659A7">
      <w:pPr>
        <w:rPr>
          <w:lang w:eastAsia="en-GB"/>
        </w:rPr>
      </w:pPr>
      <w:proofErr w:type="gramStart"/>
      <w:r w:rsidRPr="003B7EA9">
        <w:rPr>
          <w:lang w:eastAsia="en-GB"/>
        </w:rPr>
        <w:t>ODPM (2002).</w:t>
      </w:r>
      <w:proofErr w:type="gramEnd"/>
      <w:r w:rsidRPr="003B7EA9">
        <w:rPr>
          <w:lang w:eastAsia="en-GB"/>
        </w:rPr>
        <w:t xml:space="preserve"> </w:t>
      </w:r>
      <w:proofErr w:type="gramStart"/>
      <w:r w:rsidRPr="003B7EA9">
        <w:rPr>
          <w:i/>
          <w:iCs/>
          <w:lang w:eastAsia="en-GB"/>
        </w:rPr>
        <w:t>Development of a Migration Model</w:t>
      </w:r>
      <w:r w:rsidRPr="003B7EA9">
        <w:rPr>
          <w:lang w:eastAsia="en-GB"/>
        </w:rPr>
        <w:t>.</w:t>
      </w:r>
      <w:proofErr w:type="gramEnd"/>
      <w:r w:rsidRPr="003B7EA9">
        <w:rPr>
          <w:lang w:eastAsia="en-GB"/>
        </w:rPr>
        <w:t xml:space="preserve"> London: Office of the Deputy Prime Minister.</w:t>
      </w:r>
    </w:p>
    <w:p w14:paraId="72DE7897" w14:textId="77777777" w:rsidR="00BC7F9B" w:rsidRPr="003B7EA9" w:rsidRDefault="00BC7F9B" w:rsidP="005659A7">
      <w:pPr>
        <w:rPr>
          <w:lang w:eastAsia="en-GB"/>
        </w:rPr>
      </w:pPr>
      <w:proofErr w:type="gramStart"/>
      <w:r w:rsidRPr="003B7EA9">
        <w:rPr>
          <w:lang w:eastAsia="en-GB"/>
        </w:rPr>
        <w:t>ONS (2011).</w:t>
      </w:r>
      <w:proofErr w:type="gramEnd"/>
      <w:r w:rsidRPr="003B7EA9">
        <w:rPr>
          <w:lang w:eastAsia="en-GB"/>
        </w:rPr>
        <w:t xml:space="preserve"> </w:t>
      </w:r>
      <w:r w:rsidRPr="003B7EA9">
        <w:rPr>
          <w:i/>
          <w:iCs/>
          <w:lang w:eastAsia="en-GB"/>
        </w:rPr>
        <w:t>Labour Force Survey User Guide – Volume 1: Background and Methodology</w:t>
      </w:r>
      <w:r w:rsidRPr="003B7EA9">
        <w:rPr>
          <w:lang w:eastAsia="en-GB"/>
        </w:rPr>
        <w:t>. London: ONS.</w:t>
      </w:r>
    </w:p>
    <w:p w14:paraId="5BC537C8" w14:textId="77777777" w:rsidR="00BC7F9B" w:rsidRPr="003B7EA9" w:rsidRDefault="00BC7F9B" w:rsidP="00BC7F9B">
      <w:pPr>
        <w:rPr>
          <w:lang w:eastAsia="en-GB"/>
        </w:rPr>
      </w:pPr>
      <w:proofErr w:type="gramStart"/>
      <w:r w:rsidRPr="003B7EA9">
        <w:rPr>
          <w:lang w:eastAsia="en-GB"/>
        </w:rPr>
        <w:t>ONS (2015).</w:t>
      </w:r>
      <w:proofErr w:type="gramEnd"/>
      <w:r w:rsidRPr="003B7EA9">
        <w:rPr>
          <w:lang w:eastAsia="en-GB"/>
        </w:rPr>
        <w:t xml:space="preserve"> </w:t>
      </w:r>
      <w:r w:rsidRPr="003B7EA9">
        <w:rPr>
          <w:i/>
          <w:lang w:eastAsia="en-GB"/>
        </w:rPr>
        <w:t xml:space="preserve">Labour Force Survey User Guide Volume 11: LFS Two-Quarter </w:t>
      </w:r>
      <w:proofErr w:type="gramStart"/>
      <w:r w:rsidRPr="003B7EA9">
        <w:rPr>
          <w:i/>
          <w:lang w:eastAsia="en-GB"/>
        </w:rPr>
        <w:t>And</w:t>
      </w:r>
      <w:proofErr w:type="gramEnd"/>
      <w:r w:rsidRPr="003B7EA9">
        <w:rPr>
          <w:i/>
          <w:lang w:eastAsia="en-GB"/>
        </w:rPr>
        <w:t xml:space="preserve"> Five-Quarter Longitudinal Datasets</w:t>
      </w:r>
      <w:r w:rsidRPr="003B7EA9">
        <w:rPr>
          <w:lang w:eastAsia="en-GB"/>
        </w:rPr>
        <w:t>. London: ONS.</w:t>
      </w:r>
    </w:p>
    <w:p w14:paraId="37F9E852" w14:textId="77777777" w:rsidR="00A3350C" w:rsidRPr="003B7EA9" w:rsidRDefault="00A3350C" w:rsidP="005659A7">
      <w:pPr>
        <w:rPr>
          <w:lang w:eastAsia="en-GB"/>
        </w:rPr>
      </w:pPr>
      <w:proofErr w:type="gramStart"/>
      <w:r w:rsidRPr="003B7EA9">
        <w:rPr>
          <w:lang w:eastAsia="en-GB"/>
        </w:rPr>
        <w:t>Phillips, D., &amp; Robinson, D. (2015).</w:t>
      </w:r>
      <w:proofErr w:type="gramEnd"/>
      <w:r w:rsidRPr="003B7EA9">
        <w:rPr>
          <w:lang w:eastAsia="en-GB"/>
        </w:rPr>
        <w:t xml:space="preserve"> </w:t>
      </w:r>
      <w:proofErr w:type="gramStart"/>
      <w:r w:rsidRPr="003B7EA9">
        <w:rPr>
          <w:lang w:eastAsia="en-GB"/>
        </w:rPr>
        <w:t>Reflections on Migration, Community, and Place.</w:t>
      </w:r>
      <w:proofErr w:type="gramEnd"/>
      <w:r w:rsidRPr="003B7EA9">
        <w:rPr>
          <w:lang w:eastAsia="en-GB"/>
        </w:rPr>
        <w:t xml:space="preserve"> </w:t>
      </w:r>
      <w:r w:rsidRPr="003B7EA9">
        <w:rPr>
          <w:i/>
          <w:iCs/>
          <w:lang w:eastAsia="en-GB"/>
        </w:rPr>
        <w:t>Population, Space and Place, 21</w:t>
      </w:r>
      <w:r w:rsidRPr="003B7EA9">
        <w:rPr>
          <w:lang w:eastAsia="en-GB"/>
        </w:rPr>
        <w:t>, 409-420.</w:t>
      </w:r>
    </w:p>
    <w:p w14:paraId="09526483" w14:textId="77777777" w:rsidR="002A7930" w:rsidRPr="003B7EA9" w:rsidRDefault="002A7930" w:rsidP="005659A7">
      <w:pPr>
        <w:rPr>
          <w:lang w:eastAsia="en-GB"/>
        </w:rPr>
      </w:pPr>
      <w:proofErr w:type="gramStart"/>
      <w:r w:rsidRPr="003B7EA9">
        <w:rPr>
          <w:lang w:eastAsia="en-GB"/>
        </w:rPr>
        <w:t>Simpson, L., &amp; Finney, N. (2009).</w:t>
      </w:r>
      <w:proofErr w:type="gramEnd"/>
      <w:r w:rsidRPr="003B7EA9">
        <w:rPr>
          <w:lang w:eastAsia="en-GB"/>
        </w:rPr>
        <w:t xml:space="preserve"> Spatial Patterns of Internal Migration: Evidence for Ethnic Groups in Britain. </w:t>
      </w:r>
      <w:r w:rsidRPr="003B7EA9">
        <w:rPr>
          <w:i/>
          <w:iCs/>
          <w:lang w:eastAsia="en-GB"/>
        </w:rPr>
        <w:t>Population Space &amp; Place, 15</w:t>
      </w:r>
      <w:r w:rsidRPr="003B7EA9">
        <w:rPr>
          <w:lang w:eastAsia="en-GB"/>
        </w:rPr>
        <w:t>(1), 37-56.</w:t>
      </w:r>
    </w:p>
    <w:p w14:paraId="38E6BD72" w14:textId="77777777" w:rsidR="003F1813" w:rsidRPr="003B7EA9" w:rsidRDefault="003F1813" w:rsidP="005659A7">
      <w:pPr>
        <w:rPr>
          <w:lang w:eastAsia="en-GB"/>
        </w:rPr>
      </w:pPr>
      <w:r w:rsidRPr="003B7EA9">
        <w:rPr>
          <w:lang w:eastAsia="en-GB"/>
        </w:rPr>
        <w:lastRenderedPageBreak/>
        <w:t xml:space="preserve">Smith, D. P., &amp; Finney, N. (2015). </w:t>
      </w:r>
      <w:proofErr w:type="gramStart"/>
      <w:r w:rsidRPr="003B7EA9">
        <w:rPr>
          <w:lang w:eastAsia="en-GB"/>
        </w:rPr>
        <w:t>Housing and Internal Migration.</w:t>
      </w:r>
      <w:proofErr w:type="gramEnd"/>
      <w:r w:rsidRPr="003B7EA9">
        <w:rPr>
          <w:lang w:eastAsia="en-GB"/>
        </w:rPr>
        <w:t xml:space="preserve"> In D. P. Smith, N. Finney, K. </w:t>
      </w:r>
      <w:proofErr w:type="spellStart"/>
      <w:r w:rsidRPr="003B7EA9">
        <w:rPr>
          <w:lang w:eastAsia="en-GB"/>
        </w:rPr>
        <w:t>Halfacree</w:t>
      </w:r>
      <w:proofErr w:type="spellEnd"/>
      <w:r w:rsidRPr="003B7EA9">
        <w:rPr>
          <w:lang w:eastAsia="en-GB"/>
        </w:rPr>
        <w:t xml:space="preserve"> &amp; N. </w:t>
      </w:r>
      <w:proofErr w:type="spellStart"/>
      <w:r w:rsidRPr="003B7EA9">
        <w:rPr>
          <w:lang w:eastAsia="en-GB"/>
        </w:rPr>
        <w:t>Walford</w:t>
      </w:r>
      <w:proofErr w:type="spellEnd"/>
      <w:r w:rsidRPr="003B7EA9">
        <w:rPr>
          <w:lang w:eastAsia="en-GB"/>
        </w:rPr>
        <w:t xml:space="preserve"> (Eds.), </w:t>
      </w:r>
      <w:r w:rsidRPr="003B7EA9">
        <w:rPr>
          <w:i/>
          <w:iCs/>
          <w:lang w:eastAsia="en-GB"/>
        </w:rPr>
        <w:t>Internal Migration: Geographical Perspectives and Processes</w:t>
      </w:r>
      <w:r w:rsidRPr="003B7EA9">
        <w:rPr>
          <w:lang w:eastAsia="en-GB"/>
        </w:rPr>
        <w:t xml:space="preserve"> (pp. 81-98). Farnham: </w:t>
      </w:r>
      <w:proofErr w:type="spellStart"/>
      <w:r w:rsidRPr="003B7EA9">
        <w:rPr>
          <w:lang w:eastAsia="en-GB"/>
        </w:rPr>
        <w:t>Ashgate</w:t>
      </w:r>
      <w:proofErr w:type="spellEnd"/>
      <w:r w:rsidRPr="003B7EA9">
        <w:rPr>
          <w:lang w:eastAsia="en-GB"/>
        </w:rPr>
        <w:t>.</w:t>
      </w:r>
    </w:p>
    <w:p w14:paraId="06FE9FAD" w14:textId="77777777" w:rsidR="00620E08" w:rsidRPr="003B7EA9" w:rsidRDefault="00620E08" w:rsidP="005659A7">
      <w:pPr>
        <w:rPr>
          <w:lang w:eastAsia="en-GB"/>
        </w:rPr>
      </w:pPr>
      <w:r w:rsidRPr="003B7EA9">
        <w:rPr>
          <w:lang w:eastAsia="en-GB"/>
        </w:rPr>
        <w:t xml:space="preserve">Smith, D. P., Finney, N., </w:t>
      </w:r>
      <w:proofErr w:type="spellStart"/>
      <w:r w:rsidRPr="003B7EA9">
        <w:rPr>
          <w:lang w:eastAsia="en-GB"/>
        </w:rPr>
        <w:t>Halfacree</w:t>
      </w:r>
      <w:proofErr w:type="spellEnd"/>
      <w:r w:rsidRPr="003B7EA9">
        <w:rPr>
          <w:lang w:eastAsia="en-GB"/>
        </w:rPr>
        <w:t xml:space="preserve">, K., &amp; </w:t>
      </w:r>
      <w:proofErr w:type="spellStart"/>
      <w:r w:rsidRPr="003B7EA9">
        <w:rPr>
          <w:lang w:eastAsia="en-GB"/>
        </w:rPr>
        <w:t>Walford</w:t>
      </w:r>
      <w:proofErr w:type="spellEnd"/>
      <w:r w:rsidRPr="003B7EA9">
        <w:rPr>
          <w:lang w:eastAsia="en-GB"/>
        </w:rPr>
        <w:t xml:space="preserve">, N. (2015). </w:t>
      </w:r>
      <w:r w:rsidRPr="003B7EA9">
        <w:rPr>
          <w:i/>
          <w:iCs/>
          <w:lang w:eastAsia="en-GB"/>
        </w:rPr>
        <w:t>Internal Migration: Geographical Perspectives and Processes</w:t>
      </w:r>
      <w:r w:rsidRPr="003B7EA9">
        <w:rPr>
          <w:lang w:eastAsia="en-GB"/>
        </w:rPr>
        <w:t xml:space="preserve">: </w:t>
      </w:r>
      <w:proofErr w:type="spellStart"/>
      <w:r w:rsidRPr="003B7EA9">
        <w:rPr>
          <w:lang w:eastAsia="en-GB"/>
        </w:rPr>
        <w:t>Ashgate</w:t>
      </w:r>
      <w:proofErr w:type="spellEnd"/>
      <w:r w:rsidRPr="003B7EA9">
        <w:rPr>
          <w:lang w:eastAsia="en-GB"/>
        </w:rPr>
        <w:t xml:space="preserve"> Publishing Ltd.</w:t>
      </w:r>
    </w:p>
    <w:p w14:paraId="71405A7B" w14:textId="77777777" w:rsidR="00552491" w:rsidRPr="003B7EA9" w:rsidRDefault="00552491" w:rsidP="005659A7">
      <w:pPr>
        <w:rPr>
          <w:lang w:eastAsia="en-GB"/>
        </w:rPr>
      </w:pPr>
      <w:r w:rsidRPr="003B7EA9">
        <w:rPr>
          <w:lang w:eastAsia="en-GB"/>
        </w:rPr>
        <w:t xml:space="preserve">Smith, D. P., &amp; </w:t>
      </w:r>
      <w:proofErr w:type="spellStart"/>
      <w:r w:rsidRPr="003B7EA9">
        <w:rPr>
          <w:lang w:eastAsia="en-GB"/>
        </w:rPr>
        <w:t>Jöns</w:t>
      </w:r>
      <w:proofErr w:type="spellEnd"/>
      <w:r w:rsidRPr="003B7EA9">
        <w:rPr>
          <w:lang w:eastAsia="en-GB"/>
        </w:rPr>
        <w:t xml:space="preserve">, H. (2015). </w:t>
      </w:r>
      <w:proofErr w:type="gramStart"/>
      <w:r w:rsidRPr="003B7EA9">
        <w:rPr>
          <w:lang w:eastAsia="en-GB"/>
        </w:rPr>
        <w:t>Education and Internal Migration.</w:t>
      </w:r>
      <w:proofErr w:type="gramEnd"/>
      <w:r w:rsidRPr="003B7EA9">
        <w:rPr>
          <w:lang w:eastAsia="en-GB"/>
        </w:rPr>
        <w:t xml:space="preserve"> In D. P. Smith, N. Finney, K. </w:t>
      </w:r>
      <w:proofErr w:type="spellStart"/>
      <w:r w:rsidRPr="003B7EA9">
        <w:rPr>
          <w:lang w:eastAsia="en-GB"/>
        </w:rPr>
        <w:t>Halfacree</w:t>
      </w:r>
      <w:proofErr w:type="spellEnd"/>
      <w:r w:rsidRPr="003B7EA9">
        <w:rPr>
          <w:lang w:eastAsia="en-GB"/>
        </w:rPr>
        <w:t xml:space="preserve"> &amp; N. </w:t>
      </w:r>
      <w:proofErr w:type="spellStart"/>
      <w:r w:rsidRPr="003B7EA9">
        <w:rPr>
          <w:lang w:eastAsia="en-GB"/>
        </w:rPr>
        <w:t>Walford</w:t>
      </w:r>
      <w:proofErr w:type="spellEnd"/>
      <w:r w:rsidRPr="003B7EA9">
        <w:rPr>
          <w:lang w:eastAsia="en-GB"/>
        </w:rPr>
        <w:t xml:space="preserve"> (Eds.), </w:t>
      </w:r>
      <w:r w:rsidRPr="003B7EA9">
        <w:rPr>
          <w:i/>
          <w:iCs/>
          <w:lang w:eastAsia="en-GB"/>
        </w:rPr>
        <w:t>Internal Migration: Geographical Perspectives and Processes</w:t>
      </w:r>
      <w:r w:rsidRPr="003B7EA9">
        <w:rPr>
          <w:lang w:eastAsia="en-GB"/>
        </w:rPr>
        <w:t xml:space="preserve"> (pp. 47-63). Farnham: </w:t>
      </w:r>
      <w:proofErr w:type="spellStart"/>
      <w:r w:rsidRPr="003B7EA9">
        <w:rPr>
          <w:lang w:eastAsia="en-GB"/>
        </w:rPr>
        <w:t>Ashgate</w:t>
      </w:r>
      <w:proofErr w:type="spellEnd"/>
      <w:r w:rsidRPr="003B7EA9">
        <w:rPr>
          <w:lang w:eastAsia="en-GB"/>
        </w:rPr>
        <w:t>.</w:t>
      </w:r>
    </w:p>
    <w:p w14:paraId="4CDC0816" w14:textId="19C4F3D7" w:rsidR="00C56F04" w:rsidRPr="003B7EA9" w:rsidRDefault="00C56F04" w:rsidP="00C56F04">
      <w:pPr>
        <w:rPr>
          <w:lang w:eastAsia="en-GB"/>
        </w:rPr>
      </w:pPr>
      <w:r w:rsidRPr="003B7EA9">
        <w:rPr>
          <w:lang w:eastAsia="en-GB"/>
        </w:rPr>
        <w:t xml:space="preserve">Stillwell, J., &amp; Hussain, S. (2008). </w:t>
      </w:r>
      <w:r w:rsidRPr="003B7EA9">
        <w:rPr>
          <w:i/>
          <w:iCs/>
          <w:lang w:eastAsia="en-GB"/>
        </w:rPr>
        <w:t>Ethnic group migration within Britain during 2000-01: a district level analysis</w:t>
      </w:r>
      <w:r w:rsidR="00F532A8">
        <w:rPr>
          <w:i/>
          <w:iCs/>
          <w:lang w:eastAsia="en-GB"/>
        </w:rPr>
        <w:t xml:space="preserve">. </w:t>
      </w:r>
      <w:r w:rsidR="00F532A8" w:rsidRPr="00F532A8">
        <w:rPr>
          <w:iCs/>
          <w:lang w:eastAsia="en-GB"/>
        </w:rPr>
        <w:t>Leeds:</w:t>
      </w:r>
      <w:r w:rsidRPr="00F532A8">
        <w:rPr>
          <w:lang w:eastAsia="en-GB"/>
        </w:rPr>
        <w:t xml:space="preserve"> </w:t>
      </w:r>
      <w:r w:rsidRPr="003B7EA9">
        <w:rPr>
          <w:lang w:eastAsia="en-GB"/>
        </w:rPr>
        <w:t>Geography Department, University of Leeds.</w:t>
      </w:r>
    </w:p>
    <w:p w14:paraId="302F00F2" w14:textId="77777777" w:rsidR="00CA043B" w:rsidRPr="003B7EA9" w:rsidRDefault="00CA043B" w:rsidP="00CA043B">
      <w:pPr>
        <w:rPr>
          <w:lang w:eastAsia="en-GB"/>
        </w:rPr>
      </w:pPr>
    </w:p>
    <w:p w14:paraId="16440C4C" w14:textId="77777777" w:rsidR="008F28C7" w:rsidRPr="003B7EA9" w:rsidRDefault="008F28C7" w:rsidP="00CA043B">
      <w:pPr>
        <w:rPr>
          <w:lang w:eastAsia="en-GB"/>
        </w:rPr>
        <w:sectPr w:rsidR="008F28C7" w:rsidRPr="003B7EA9" w:rsidSect="00182338">
          <w:headerReference w:type="default" r:id="rId11"/>
          <w:footerReference w:type="default" r:id="rId12"/>
          <w:pgSz w:w="11906" w:h="16838"/>
          <w:pgMar w:top="1247" w:right="1440" w:bottom="1440" w:left="1418" w:header="709" w:footer="709" w:gutter="0"/>
          <w:cols w:space="708"/>
          <w:docGrid w:linePitch="360"/>
        </w:sectPr>
      </w:pPr>
    </w:p>
    <w:p w14:paraId="4B9884EB" w14:textId="77777777" w:rsidR="008F28C7" w:rsidRPr="003B7EA9" w:rsidRDefault="008F28C7" w:rsidP="008F28C7">
      <w:pPr>
        <w:pStyle w:val="Heading1"/>
        <w:rPr>
          <w:lang w:eastAsia="en-GB"/>
        </w:rPr>
      </w:pPr>
      <w:r w:rsidRPr="003B7EA9">
        <w:rPr>
          <w:lang w:eastAsia="en-GB"/>
        </w:rPr>
        <w:lastRenderedPageBreak/>
        <w:t>Tables</w:t>
      </w:r>
    </w:p>
    <w:tbl>
      <w:tblPr>
        <w:tblW w:w="9762" w:type="dxa"/>
        <w:tblInd w:w="93" w:type="dxa"/>
        <w:tblLook w:val="04A0" w:firstRow="1" w:lastRow="0" w:firstColumn="1" w:lastColumn="0" w:noHBand="0" w:noVBand="1"/>
      </w:tblPr>
      <w:tblGrid>
        <w:gridCol w:w="2700"/>
        <w:gridCol w:w="180"/>
        <w:gridCol w:w="960"/>
        <w:gridCol w:w="180"/>
        <w:gridCol w:w="960"/>
        <w:gridCol w:w="180"/>
        <w:gridCol w:w="960"/>
        <w:gridCol w:w="180"/>
        <w:gridCol w:w="960"/>
        <w:gridCol w:w="186"/>
        <w:gridCol w:w="990"/>
        <w:gridCol w:w="186"/>
        <w:gridCol w:w="990"/>
        <w:gridCol w:w="150"/>
      </w:tblGrid>
      <w:tr w:rsidR="00430BC5" w:rsidRPr="003B7EA9" w14:paraId="72882BFB" w14:textId="77777777" w:rsidTr="009B637A">
        <w:trPr>
          <w:gridAfter w:val="1"/>
          <w:wAfter w:w="150" w:type="dxa"/>
          <w:trHeight w:val="300"/>
        </w:trPr>
        <w:tc>
          <w:tcPr>
            <w:tcW w:w="3840" w:type="dxa"/>
            <w:gridSpan w:val="3"/>
            <w:tcBorders>
              <w:top w:val="nil"/>
              <w:left w:val="nil"/>
              <w:right w:val="nil"/>
            </w:tcBorders>
            <w:shd w:val="clear" w:color="auto" w:fill="auto"/>
            <w:noWrap/>
            <w:vAlign w:val="bottom"/>
            <w:hideMark/>
          </w:tcPr>
          <w:p w14:paraId="353005E3" w14:textId="38BBA12B" w:rsidR="00430BC5" w:rsidRPr="003B7EA9" w:rsidRDefault="00430BC5" w:rsidP="00A051CD">
            <w:pPr>
              <w:spacing w:line="240" w:lineRule="auto"/>
              <w:ind w:firstLine="0"/>
              <w:jc w:val="left"/>
              <w:rPr>
                <w:i/>
                <w:iCs/>
                <w:color w:val="000000"/>
                <w:sz w:val="22"/>
                <w:szCs w:val="22"/>
                <w:lang w:eastAsia="en-GB"/>
              </w:rPr>
            </w:pPr>
            <w:r w:rsidRPr="003B7EA9">
              <w:rPr>
                <w:i/>
                <w:iCs/>
                <w:color w:val="000000"/>
                <w:sz w:val="22"/>
                <w:szCs w:val="22"/>
                <w:lang w:eastAsia="en-GB"/>
              </w:rPr>
              <w:t xml:space="preserve">Table 1  Source </w:t>
            </w:r>
            <w:r w:rsidR="00A051CD">
              <w:rPr>
                <w:i/>
                <w:iCs/>
                <w:color w:val="000000"/>
                <w:sz w:val="22"/>
                <w:szCs w:val="22"/>
                <w:lang w:eastAsia="en-GB"/>
              </w:rPr>
              <w:t>d</w:t>
            </w:r>
            <w:r w:rsidRPr="003B7EA9">
              <w:rPr>
                <w:i/>
                <w:iCs/>
                <w:color w:val="000000"/>
                <w:sz w:val="22"/>
                <w:szCs w:val="22"/>
                <w:lang w:eastAsia="en-GB"/>
              </w:rPr>
              <w:t xml:space="preserve">ata </w:t>
            </w:r>
            <w:r w:rsidR="00A051CD">
              <w:rPr>
                <w:i/>
                <w:iCs/>
                <w:color w:val="000000"/>
                <w:sz w:val="22"/>
                <w:szCs w:val="22"/>
                <w:lang w:eastAsia="en-GB"/>
              </w:rPr>
              <w:t>s</w:t>
            </w:r>
            <w:r w:rsidRPr="003B7EA9">
              <w:rPr>
                <w:i/>
                <w:iCs/>
                <w:color w:val="000000"/>
                <w:sz w:val="22"/>
                <w:szCs w:val="22"/>
                <w:lang w:eastAsia="en-GB"/>
              </w:rPr>
              <w:t>ample</w:t>
            </w:r>
            <w:r w:rsidR="00A051CD">
              <w:rPr>
                <w:i/>
                <w:iCs/>
                <w:color w:val="000000"/>
                <w:sz w:val="22"/>
                <w:szCs w:val="22"/>
                <w:lang w:eastAsia="en-GB"/>
              </w:rPr>
              <w:t xml:space="preserve"> s</w:t>
            </w:r>
            <w:r w:rsidRPr="003B7EA9">
              <w:rPr>
                <w:i/>
                <w:iCs/>
                <w:color w:val="000000"/>
                <w:sz w:val="22"/>
                <w:szCs w:val="22"/>
                <w:lang w:eastAsia="en-GB"/>
              </w:rPr>
              <w:t>ize</w:t>
            </w:r>
          </w:p>
        </w:tc>
        <w:tc>
          <w:tcPr>
            <w:tcW w:w="1140" w:type="dxa"/>
            <w:gridSpan w:val="2"/>
            <w:tcBorders>
              <w:top w:val="nil"/>
              <w:left w:val="nil"/>
              <w:right w:val="nil"/>
            </w:tcBorders>
            <w:shd w:val="clear" w:color="auto" w:fill="auto"/>
            <w:noWrap/>
            <w:vAlign w:val="bottom"/>
            <w:hideMark/>
          </w:tcPr>
          <w:p w14:paraId="0E5E9921" w14:textId="77777777" w:rsidR="00430BC5" w:rsidRPr="003B7EA9" w:rsidRDefault="00430BC5" w:rsidP="00430BC5">
            <w:pPr>
              <w:spacing w:line="240" w:lineRule="auto"/>
              <w:ind w:firstLine="0"/>
              <w:jc w:val="left"/>
              <w:rPr>
                <w:color w:val="000000"/>
                <w:sz w:val="22"/>
                <w:szCs w:val="22"/>
                <w:lang w:eastAsia="en-GB"/>
              </w:rPr>
            </w:pPr>
          </w:p>
        </w:tc>
        <w:tc>
          <w:tcPr>
            <w:tcW w:w="1140" w:type="dxa"/>
            <w:gridSpan w:val="2"/>
            <w:tcBorders>
              <w:top w:val="nil"/>
              <w:left w:val="nil"/>
              <w:right w:val="nil"/>
            </w:tcBorders>
            <w:shd w:val="clear" w:color="auto" w:fill="auto"/>
            <w:noWrap/>
            <w:vAlign w:val="bottom"/>
            <w:hideMark/>
          </w:tcPr>
          <w:p w14:paraId="5E253B49" w14:textId="77777777" w:rsidR="00430BC5" w:rsidRPr="003B7EA9" w:rsidRDefault="00430BC5" w:rsidP="00430BC5">
            <w:pPr>
              <w:spacing w:line="240" w:lineRule="auto"/>
              <w:ind w:firstLine="0"/>
              <w:jc w:val="left"/>
              <w:rPr>
                <w:color w:val="000000"/>
                <w:sz w:val="22"/>
                <w:szCs w:val="22"/>
                <w:lang w:eastAsia="en-GB"/>
              </w:rPr>
            </w:pPr>
          </w:p>
        </w:tc>
        <w:tc>
          <w:tcPr>
            <w:tcW w:w="1140" w:type="dxa"/>
            <w:gridSpan w:val="2"/>
            <w:tcBorders>
              <w:top w:val="nil"/>
              <w:left w:val="nil"/>
              <w:right w:val="nil"/>
            </w:tcBorders>
            <w:shd w:val="clear" w:color="auto" w:fill="auto"/>
            <w:noWrap/>
            <w:vAlign w:val="bottom"/>
            <w:hideMark/>
          </w:tcPr>
          <w:p w14:paraId="5560577B" w14:textId="77777777" w:rsidR="00430BC5" w:rsidRPr="003B7EA9" w:rsidRDefault="00430BC5" w:rsidP="00430BC5">
            <w:pPr>
              <w:spacing w:line="240" w:lineRule="auto"/>
              <w:ind w:firstLine="0"/>
              <w:jc w:val="left"/>
              <w:rPr>
                <w:color w:val="000000"/>
                <w:sz w:val="22"/>
                <w:szCs w:val="22"/>
                <w:lang w:eastAsia="en-GB"/>
              </w:rPr>
            </w:pPr>
          </w:p>
        </w:tc>
        <w:tc>
          <w:tcPr>
            <w:tcW w:w="1176" w:type="dxa"/>
            <w:gridSpan w:val="2"/>
            <w:tcBorders>
              <w:top w:val="nil"/>
              <w:left w:val="nil"/>
              <w:right w:val="nil"/>
            </w:tcBorders>
            <w:shd w:val="clear" w:color="auto" w:fill="auto"/>
            <w:noWrap/>
            <w:vAlign w:val="bottom"/>
            <w:hideMark/>
          </w:tcPr>
          <w:p w14:paraId="6C08DC1A" w14:textId="77777777" w:rsidR="00430BC5" w:rsidRPr="003B7EA9" w:rsidRDefault="00430BC5" w:rsidP="00430BC5">
            <w:pPr>
              <w:spacing w:line="240" w:lineRule="auto"/>
              <w:ind w:firstLine="0"/>
              <w:jc w:val="left"/>
              <w:rPr>
                <w:color w:val="000000"/>
                <w:sz w:val="22"/>
                <w:szCs w:val="22"/>
                <w:lang w:eastAsia="en-GB"/>
              </w:rPr>
            </w:pPr>
          </w:p>
        </w:tc>
        <w:tc>
          <w:tcPr>
            <w:tcW w:w="1176" w:type="dxa"/>
            <w:gridSpan w:val="2"/>
            <w:tcBorders>
              <w:top w:val="nil"/>
              <w:left w:val="nil"/>
              <w:right w:val="nil"/>
            </w:tcBorders>
            <w:shd w:val="clear" w:color="auto" w:fill="auto"/>
            <w:noWrap/>
            <w:vAlign w:val="bottom"/>
            <w:hideMark/>
          </w:tcPr>
          <w:p w14:paraId="2AF0CA28" w14:textId="77777777" w:rsidR="00430BC5" w:rsidRPr="003B7EA9" w:rsidRDefault="00430BC5" w:rsidP="00430BC5">
            <w:pPr>
              <w:spacing w:line="240" w:lineRule="auto"/>
              <w:ind w:firstLine="0"/>
              <w:jc w:val="left"/>
              <w:rPr>
                <w:color w:val="000000"/>
                <w:sz w:val="22"/>
                <w:szCs w:val="22"/>
                <w:lang w:eastAsia="en-GB"/>
              </w:rPr>
            </w:pPr>
          </w:p>
        </w:tc>
      </w:tr>
      <w:tr w:rsidR="00430BC5" w:rsidRPr="003B7EA9" w14:paraId="35B88BE5" w14:textId="77777777" w:rsidTr="009B637A">
        <w:trPr>
          <w:gridAfter w:val="1"/>
          <w:wAfter w:w="150" w:type="dxa"/>
          <w:trHeight w:val="600"/>
        </w:trPr>
        <w:tc>
          <w:tcPr>
            <w:tcW w:w="2700" w:type="dxa"/>
            <w:tcBorders>
              <w:top w:val="nil"/>
              <w:left w:val="nil"/>
              <w:bottom w:val="single" w:sz="4" w:space="0" w:color="auto"/>
              <w:right w:val="nil"/>
            </w:tcBorders>
            <w:shd w:val="clear" w:color="auto" w:fill="auto"/>
            <w:vAlign w:val="center"/>
            <w:hideMark/>
          </w:tcPr>
          <w:p w14:paraId="6D0C3903" w14:textId="0819FCFA" w:rsidR="00430BC5" w:rsidRPr="003B7EA9" w:rsidRDefault="00430BC5" w:rsidP="00430BC5">
            <w:pPr>
              <w:spacing w:line="240" w:lineRule="auto"/>
              <w:ind w:firstLine="0"/>
              <w:jc w:val="left"/>
              <w:rPr>
                <w:color w:val="000000"/>
                <w:sz w:val="22"/>
                <w:szCs w:val="22"/>
                <w:lang w:eastAsia="en-GB"/>
              </w:rPr>
            </w:pPr>
          </w:p>
        </w:tc>
        <w:tc>
          <w:tcPr>
            <w:tcW w:w="1140" w:type="dxa"/>
            <w:gridSpan w:val="2"/>
            <w:tcBorders>
              <w:top w:val="nil"/>
              <w:left w:val="nil"/>
              <w:bottom w:val="single" w:sz="4" w:space="0" w:color="auto"/>
              <w:right w:val="nil"/>
            </w:tcBorders>
            <w:shd w:val="clear" w:color="auto" w:fill="auto"/>
            <w:vAlign w:val="center"/>
            <w:hideMark/>
          </w:tcPr>
          <w:p w14:paraId="08F41976" w14:textId="77777777" w:rsidR="00430BC5" w:rsidRPr="003B7EA9" w:rsidRDefault="00430BC5" w:rsidP="00F15562">
            <w:pPr>
              <w:spacing w:line="240" w:lineRule="auto"/>
              <w:ind w:firstLine="0"/>
              <w:jc w:val="right"/>
              <w:rPr>
                <w:color w:val="000000"/>
                <w:sz w:val="22"/>
                <w:szCs w:val="22"/>
                <w:lang w:eastAsia="en-GB"/>
              </w:rPr>
            </w:pPr>
            <w:r w:rsidRPr="003B7EA9">
              <w:rPr>
                <w:color w:val="000000"/>
                <w:sz w:val="22"/>
                <w:szCs w:val="22"/>
                <w:lang w:eastAsia="en-GB"/>
              </w:rPr>
              <w:t>Arab</w:t>
            </w:r>
          </w:p>
        </w:tc>
        <w:tc>
          <w:tcPr>
            <w:tcW w:w="1140" w:type="dxa"/>
            <w:gridSpan w:val="2"/>
            <w:tcBorders>
              <w:top w:val="nil"/>
              <w:left w:val="nil"/>
              <w:bottom w:val="single" w:sz="4" w:space="0" w:color="auto"/>
              <w:right w:val="nil"/>
            </w:tcBorders>
            <w:shd w:val="clear" w:color="auto" w:fill="auto"/>
            <w:vAlign w:val="center"/>
            <w:hideMark/>
          </w:tcPr>
          <w:p w14:paraId="1781709A" w14:textId="77777777" w:rsidR="00430BC5" w:rsidRPr="003B7EA9" w:rsidRDefault="00430BC5" w:rsidP="00F15562">
            <w:pPr>
              <w:spacing w:line="240" w:lineRule="auto"/>
              <w:ind w:firstLine="0"/>
              <w:jc w:val="right"/>
              <w:rPr>
                <w:color w:val="000000"/>
                <w:sz w:val="22"/>
                <w:szCs w:val="22"/>
                <w:lang w:eastAsia="en-GB"/>
              </w:rPr>
            </w:pPr>
            <w:r w:rsidRPr="003B7EA9">
              <w:rPr>
                <w:color w:val="000000"/>
                <w:sz w:val="22"/>
                <w:szCs w:val="22"/>
                <w:lang w:eastAsia="en-GB"/>
              </w:rPr>
              <w:t>Chinese</w:t>
            </w:r>
          </w:p>
        </w:tc>
        <w:tc>
          <w:tcPr>
            <w:tcW w:w="1140" w:type="dxa"/>
            <w:gridSpan w:val="2"/>
            <w:tcBorders>
              <w:top w:val="nil"/>
              <w:left w:val="nil"/>
              <w:bottom w:val="single" w:sz="4" w:space="0" w:color="auto"/>
              <w:right w:val="nil"/>
            </w:tcBorders>
            <w:shd w:val="clear" w:color="auto" w:fill="auto"/>
            <w:vAlign w:val="center"/>
            <w:hideMark/>
          </w:tcPr>
          <w:p w14:paraId="5BC98847" w14:textId="77777777" w:rsidR="00430BC5" w:rsidRPr="003B7EA9" w:rsidRDefault="00430BC5" w:rsidP="00F15562">
            <w:pPr>
              <w:spacing w:line="240" w:lineRule="auto"/>
              <w:ind w:firstLine="0"/>
              <w:jc w:val="right"/>
              <w:rPr>
                <w:color w:val="000000"/>
                <w:sz w:val="22"/>
                <w:szCs w:val="22"/>
                <w:lang w:eastAsia="en-GB"/>
              </w:rPr>
            </w:pPr>
            <w:r w:rsidRPr="003B7EA9">
              <w:rPr>
                <w:color w:val="000000"/>
                <w:sz w:val="22"/>
                <w:szCs w:val="22"/>
                <w:lang w:eastAsia="en-GB"/>
              </w:rPr>
              <w:t>Jewish</w:t>
            </w:r>
          </w:p>
        </w:tc>
        <w:tc>
          <w:tcPr>
            <w:tcW w:w="1140" w:type="dxa"/>
            <w:gridSpan w:val="2"/>
            <w:tcBorders>
              <w:top w:val="nil"/>
              <w:left w:val="nil"/>
              <w:bottom w:val="single" w:sz="4" w:space="0" w:color="auto"/>
              <w:right w:val="nil"/>
            </w:tcBorders>
            <w:shd w:val="clear" w:color="auto" w:fill="auto"/>
            <w:vAlign w:val="center"/>
            <w:hideMark/>
          </w:tcPr>
          <w:p w14:paraId="5D7DFECE" w14:textId="77777777" w:rsidR="00430BC5" w:rsidRPr="003B7EA9" w:rsidRDefault="00430BC5" w:rsidP="00F15562">
            <w:pPr>
              <w:spacing w:line="240" w:lineRule="auto"/>
              <w:ind w:firstLine="0"/>
              <w:jc w:val="right"/>
              <w:rPr>
                <w:color w:val="000000"/>
                <w:sz w:val="22"/>
                <w:szCs w:val="22"/>
                <w:lang w:eastAsia="en-GB"/>
              </w:rPr>
            </w:pPr>
            <w:r w:rsidRPr="003B7EA9">
              <w:rPr>
                <w:color w:val="000000"/>
                <w:sz w:val="22"/>
                <w:szCs w:val="22"/>
                <w:lang w:eastAsia="en-GB"/>
              </w:rPr>
              <w:t>Sikh</w:t>
            </w:r>
          </w:p>
        </w:tc>
        <w:tc>
          <w:tcPr>
            <w:tcW w:w="1176" w:type="dxa"/>
            <w:gridSpan w:val="2"/>
            <w:tcBorders>
              <w:top w:val="nil"/>
              <w:left w:val="nil"/>
              <w:bottom w:val="single" w:sz="4" w:space="0" w:color="auto"/>
              <w:right w:val="nil"/>
            </w:tcBorders>
            <w:shd w:val="clear" w:color="auto" w:fill="auto"/>
            <w:vAlign w:val="center"/>
            <w:hideMark/>
          </w:tcPr>
          <w:p w14:paraId="45A51E12" w14:textId="77777777" w:rsidR="00430BC5" w:rsidRPr="003B7EA9" w:rsidRDefault="00430BC5" w:rsidP="00F15562">
            <w:pPr>
              <w:spacing w:line="240" w:lineRule="auto"/>
              <w:ind w:firstLine="0"/>
              <w:jc w:val="right"/>
              <w:rPr>
                <w:color w:val="000000"/>
                <w:sz w:val="22"/>
                <w:szCs w:val="22"/>
                <w:lang w:eastAsia="en-GB"/>
              </w:rPr>
            </w:pPr>
            <w:r w:rsidRPr="003B7EA9">
              <w:rPr>
                <w:color w:val="000000"/>
                <w:sz w:val="22"/>
                <w:szCs w:val="22"/>
                <w:lang w:eastAsia="en-GB"/>
              </w:rPr>
              <w:t>White British</w:t>
            </w:r>
          </w:p>
        </w:tc>
        <w:tc>
          <w:tcPr>
            <w:tcW w:w="1176" w:type="dxa"/>
            <w:gridSpan w:val="2"/>
            <w:tcBorders>
              <w:top w:val="nil"/>
              <w:left w:val="nil"/>
              <w:bottom w:val="single" w:sz="4" w:space="0" w:color="auto"/>
              <w:right w:val="nil"/>
            </w:tcBorders>
            <w:shd w:val="clear" w:color="auto" w:fill="auto"/>
            <w:vAlign w:val="center"/>
            <w:hideMark/>
          </w:tcPr>
          <w:p w14:paraId="6A7F6E54" w14:textId="77777777" w:rsidR="00430BC5" w:rsidRPr="003B7EA9" w:rsidRDefault="00430BC5" w:rsidP="00F15562">
            <w:pPr>
              <w:spacing w:line="240" w:lineRule="auto"/>
              <w:ind w:firstLine="0"/>
              <w:jc w:val="right"/>
              <w:rPr>
                <w:color w:val="000000"/>
                <w:sz w:val="22"/>
                <w:szCs w:val="22"/>
                <w:lang w:eastAsia="en-GB"/>
              </w:rPr>
            </w:pPr>
            <w:r w:rsidRPr="003B7EA9">
              <w:rPr>
                <w:color w:val="000000"/>
                <w:sz w:val="22"/>
                <w:szCs w:val="22"/>
                <w:lang w:eastAsia="en-GB"/>
              </w:rPr>
              <w:t>All Usual Residents</w:t>
            </w:r>
          </w:p>
        </w:tc>
      </w:tr>
      <w:tr w:rsidR="00430BC5" w:rsidRPr="003B7EA9" w14:paraId="15D0A45F" w14:textId="77777777" w:rsidTr="009B637A">
        <w:trPr>
          <w:gridAfter w:val="1"/>
          <w:wAfter w:w="150" w:type="dxa"/>
          <w:trHeight w:val="615"/>
        </w:trPr>
        <w:tc>
          <w:tcPr>
            <w:tcW w:w="2700" w:type="dxa"/>
            <w:tcBorders>
              <w:top w:val="single" w:sz="4" w:space="0" w:color="auto"/>
              <w:left w:val="nil"/>
              <w:bottom w:val="nil"/>
              <w:right w:val="nil"/>
            </w:tcBorders>
            <w:shd w:val="clear" w:color="auto" w:fill="auto"/>
            <w:vAlign w:val="center"/>
            <w:hideMark/>
          </w:tcPr>
          <w:p w14:paraId="03DBA1F1" w14:textId="77777777" w:rsidR="00430BC5" w:rsidRPr="003B7EA9" w:rsidRDefault="00430BC5" w:rsidP="00430BC5">
            <w:pPr>
              <w:spacing w:line="240" w:lineRule="auto"/>
              <w:ind w:firstLine="0"/>
              <w:jc w:val="left"/>
              <w:rPr>
                <w:color w:val="000000"/>
                <w:sz w:val="22"/>
                <w:szCs w:val="22"/>
                <w:lang w:eastAsia="en-GB"/>
              </w:rPr>
            </w:pPr>
            <w:r w:rsidRPr="003B7EA9">
              <w:rPr>
                <w:color w:val="000000"/>
                <w:sz w:val="22"/>
                <w:szCs w:val="22"/>
                <w:lang w:eastAsia="en-GB"/>
              </w:rPr>
              <w:t>England and Wales (E&amp;W) Usual Residents 2011</w:t>
            </w:r>
          </w:p>
        </w:tc>
        <w:tc>
          <w:tcPr>
            <w:tcW w:w="1140" w:type="dxa"/>
            <w:gridSpan w:val="2"/>
            <w:tcBorders>
              <w:top w:val="single" w:sz="4" w:space="0" w:color="auto"/>
              <w:left w:val="nil"/>
              <w:bottom w:val="nil"/>
              <w:right w:val="nil"/>
            </w:tcBorders>
            <w:shd w:val="clear" w:color="auto" w:fill="auto"/>
            <w:noWrap/>
            <w:vAlign w:val="center"/>
            <w:hideMark/>
          </w:tcPr>
          <w:p w14:paraId="1BE0548C" w14:textId="77777777" w:rsidR="00430BC5" w:rsidRPr="003B7EA9" w:rsidRDefault="00430BC5" w:rsidP="00F15562">
            <w:pPr>
              <w:spacing w:line="240" w:lineRule="auto"/>
              <w:ind w:firstLine="0"/>
              <w:jc w:val="right"/>
              <w:rPr>
                <w:color w:val="000000"/>
                <w:sz w:val="22"/>
                <w:szCs w:val="22"/>
                <w:lang w:eastAsia="en-GB"/>
              </w:rPr>
            </w:pPr>
            <w:r w:rsidRPr="003B7EA9">
              <w:rPr>
                <w:color w:val="000000"/>
                <w:sz w:val="22"/>
                <w:szCs w:val="22"/>
                <w:lang w:eastAsia="en-GB"/>
              </w:rPr>
              <w:t xml:space="preserve"> 10,419 </w:t>
            </w:r>
          </w:p>
        </w:tc>
        <w:tc>
          <w:tcPr>
            <w:tcW w:w="1140" w:type="dxa"/>
            <w:gridSpan w:val="2"/>
            <w:tcBorders>
              <w:top w:val="single" w:sz="4" w:space="0" w:color="auto"/>
              <w:left w:val="nil"/>
              <w:bottom w:val="nil"/>
              <w:right w:val="nil"/>
            </w:tcBorders>
            <w:shd w:val="clear" w:color="auto" w:fill="auto"/>
            <w:noWrap/>
            <w:vAlign w:val="center"/>
            <w:hideMark/>
          </w:tcPr>
          <w:p w14:paraId="081848F8" w14:textId="77777777" w:rsidR="00430BC5" w:rsidRPr="003B7EA9" w:rsidRDefault="00430BC5" w:rsidP="00F15562">
            <w:pPr>
              <w:spacing w:line="240" w:lineRule="auto"/>
              <w:ind w:firstLine="0"/>
              <w:jc w:val="right"/>
              <w:rPr>
                <w:color w:val="000000"/>
                <w:sz w:val="22"/>
                <w:szCs w:val="22"/>
                <w:lang w:eastAsia="en-GB"/>
              </w:rPr>
            </w:pPr>
            <w:r w:rsidRPr="003B7EA9">
              <w:rPr>
                <w:color w:val="000000"/>
                <w:sz w:val="22"/>
                <w:szCs w:val="22"/>
                <w:lang w:eastAsia="en-GB"/>
              </w:rPr>
              <w:t xml:space="preserve"> 34,518 </w:t>
            </w:r>
          </w:p>
        </w:tc>
        <w:tc>
          <w:tcPr>
            <w:tcW w:w="1140" w:type="dxa"/>
            <w:gridSpan w:val="2"/>
            <w:tcBorders>
              <w:top w:val="single" w:sz="4" w:space="0" w:color="auto"/>
              <w:left w:val="nil"/>
              <w:bottom w:val="nil"/>
              <w:right w:val="nil"/>
            </w:tcBorders>
            <w:shd w:val="clear" w:color="auto" w:fill="auto"/>
            <w:noWrap/>
            <w:vAlign w:val="center"/>
            <w:hideMark/>
          </w:tcPr>
          <w:p w14:paraId="26B3F7DC" w14:textId="77777777" w:rsidR="00430BC5" w:rsidRPr="003B7EA9" w:rsidRDefault="00430BC5" w:rsidP="00F15562">
            <w:pPr>
              <w:spacing w:line="240" w:lineRule="auto"/>
              <w:ind w:firstLine="0"/>
              <w:jc w:val="right"/>
              <w:rPr>
                <w:color w:val="000000"/>
                <w:sz w:val="22"/>
                <w:szCs w:val="22"/>
                <w:lang w:eastAsia="en-GB"/>
              </w:rPr>
            </w:pPr>
            <w:r w:rsidRPr="003B7EA9">
              <w:rPr>
                <w:color w:val="000000"/>
                <w:sz w:val="22"/>
                <w:szCs w:val="22"/>
                <w:lang w:eastAsia="en-GB"/>
              </w:rPr>
              <w:t xml:space="preserve"> 25,552 </w:t>
            </w:r>
          </w:p>
        </w:tc>
        <w:tc>
          <w:tcPr>
            <w:tcW w:w="1140" w:type="dxa"/>
            <w:gridSpan w:val="2"/>
            <w:tcBorders>
              <w:top w:val="single" w:sz="4" w:space="0" w:color="auto"/>
              <w:left w:val="nil"/>
              <w:bottom w:val="nil"/>
              <w:right w:val="nil"/>
            </w:tcBorders>
            <w:shd w:val="clear" w:color="auto" w:fill="auto"/>
            <w:noWrap/>
            <w:vAlign w:val="center"/>
            <w:hideMark/>
          </w:tcPr>
          <w:p w14:paraId="61387B60" w14:textId="77777777" w:rsidR="00430BC5" w:rsidRPr="003B7EA9" w:rsidRDefault="00430BC5" w:rsidP="00F15562">
            <w:pPr>
              <w:spacing w:line="240" w:lineRule="auto"/>
              <w:ind w:firstLine="0"/>
              <w:jc w:val="right"/>
              <w:rPr>
                <w:color w:val="000000"/>
                <w:sz w:val="22"/>
                <w:szCs w:val="22"/>
                <w:lang w:eastAsia="en-GB"/>
              </w:rPr>
            </w:pPr>
            <w:r w:rsidRPr="003B7EA9">
              <w:rPr>
                <w:color w:val="000000"/>
                <w:sz w:val="22"/>
                <w:szCs w:val="22"/>
                <w:lang w:eastAsia="en-GB"/>
              </w:rPr>
              <w:t xml:space="preserve"> 40,824 </w:t>
            </w:r>
          </w:p>
        </w:tc>
        <w:tc>
          <w:tcPr>
            <w:tcW w:w="1176" w:type="dxa"/>
            <w:gridSpan w:val="2"/>
            <w:tcBorders>
              <w:top w:val="single" w:sz="4" w:space="0" w:color="auto"/>
              <w:left w:val="nil"/>
              <w:bottom w:val="nil"/>
              <w:right w:val="nil"/>
            </w:tcBorders>
            <w:shd w:val="clear" w:color="auto" w:fill="auto"/>
            <w:noWrap/>
            <w:vAlign w:val="center"/>
            <w:hideMark/>
          </w:tcPr>
          <w:p w14:paraId="4EE20484" w14:textId="77777777" w:rsidR="00430BC5" w:rsidRPr="003B7EA9" w:rsidRDefault="00430BC5" w:rsidP="00396F01">
            <w:pPr>
              <w:spacing w:line="240" w:lineRule="auto"/>
              <w:ind w:firstLine="0"/>
              <w:jc w:val="right"/>
              <w:rPr>
                <w:color w:val="000000"/>
                <w:sz w:val="22"/>
                <w:szCs w:val="22"/>
                <w:lang w:eastAsia="en-GB"/>
              </w:rPr>
            </w:pPr>
            <w:r w:rsidRPr="003B7EA9">
              <w:rPr>
                <w:color w:val="000000"/>
                <w:sz w:val="22"/>
                <w:szCs w:val="22"/>
                <w:lang w:eastAsia="en-GB"/>
              </w:rPr>
              <w:t xml:space="preserve">4,444,115 </w:t>
            </w:r>
          </w:p>
        </w:tc>
        <w:tc>
          <w:tcPr>
            <w:tcW w:w="1176" w:type="dxa"/>
            <w:gridSpan w:val="2"/>
            <w:tcBorders>
              <w:top w:val="single" w:sz="4" w:space="0" w:color="auto"/>
              <w:left w:val="nil"/>
              <w:bottom w:val="nil"/>
              <w:right w:val="nil"/>
            </w:tcBorders>
            <w:shd w:val="clear" w:color="auto" w:fill="auto"/>
            <w:noWrap/>
            <w:vAlign w:val="center"/>
            <w:hideMark/>
          </w:tcPr>
          <w:p w14:paraId="4FD41258" w14:textId="77777777" w:rsidR="00430BC5" w:rsidRPr="003B7EA9" w:rsidRDefault="00430BC5" w:rsidP="00396F01">
            <w:pPr>
              <w:spacing w:line="240" w:lineRule="auto"/>
              <w:ind w:firstLine="0"/>
              <w:jc w:val="right"/>
              <w:rPr>
                <w:color w:val="000000"/>
                <w:sz w:val="22"/>
                <w:szCs w:val="22"/>
                <w:lang w:eastAsia="en-GB"/>
              </w:rPr>
            </w:pPr>
            <w:r w:rsidRPr="003B7EA9">
              <w:rPr>
                <w:color w:val="000000"/>
                <w:sz w:val="22"/>
                <w:szCs w:val="22"/>
                <w:lang w:eastAsia="en-GB"/>
              </w:rPr>
              <w:t xml:space="preserve">5,469,962 </w:t>
            </w:r>
          </w:p>
        </w:tc>
      </w:tr>
      <w:tr w:rsidR="00430BC5" w:rsidRPr="003B7EA9" w14:paraId="11187269" w14:textId="77777777" w:rsidTr="009B637A">
        <w:trPr>
          <w:gridAfter w:val="1"/>
          <w:wAfter w:w="150" w:type="dxa"/>
          <w:trHeight w:val="735"/>
        </w:trPr>
        <w:tc>
          <w:tcPr>
            <w:tcW w:w="2700" w:type="dxa"/>
            <w:tcBorders>
              <w:top w:val="nil"/>
              <w:left w:val="nil"/>
              <w:bottom w:val="nil"/>
              <w:right w:val="nil"/>
            </w:tcBorders>
            <w:shd w:val="clear" w:color="auto" w:fill="auto"/>
            <w:vAlign w:val="center"/>
            <w:hideMark/>
          </w:tcPr>
          <w:p w14:paraId="003E814B" w14:textId="77777777" w:rsidR="00430BC5" w:rsidRPr="003B7EA9" w:rsidRDefault="00430BC5" w:rsidP="00430BC5">
            <w:pPr>
              <w:spacing w:line="240" w:lineRule="auto"/>
              <w:ind w:firstLine="0"/>
              <w:jc w:val="left"/>
              <w:rPr>
                <w:color w:val="000000"/>
                <w:sz w:val="22"/>
                <w:szCs w:val="22"/>
                <w:lang w:eastAsia="en-GB"/>
              </w:rPr>
            </w:pPr>
            <w:r w:rsidRPr="003B7EA9">
              <w:rPr>
                <w:color w:val="000000"/>
                <w:sz w:val="22"/>
                <w:szCs w:val="22"/>
                <w:lang w:eastAsia="en-GB"/>
              </w:rPr>
              <w:t>Of whom, within E&amp;W migrants 2010-2011</w:t>
            </w:r>
          </w:p>
        </w:tc>
        <w:tc>
          <w:tcPr>
            <w:tcW w:w="1140" w:type="dxa"/>
            <w:gridSpan w:val="2"/>
            <w:tcBorders>
              <w:top w:val="nil"/>
              <w:left w:val="nil"/>
              <w:bottom w:val="nil"/>
              <w:right w:val="nil"/>
            </w:tcBorders>
            <w:shd w:val="clear" w:color="auto" w:fill="auto"/>
            <w:noWrap/>
            <w:vAlign w:val="center"/>
            <w:hideMark/>
          </w:tcPr>
          <w:p w14:paraId="78F2D73C" w14:textId="0C6A30DB" w:rsidR="00430BC5" w:rsidRPr="003B7EA9" w:rsidRDefault="005B66AD" w:rsidP="00F15562">
            <w:pPr>
              <w:spacing w:line="240" w:lineRule="auto"/>
              <w:ind w:firstLine="0"/>
              <w:jc w:val="right"/>
              <w:rPr>
                <w:color w:val="000000"/>
                <w:sz w:val="22"/>
                <w:szCs w:val="22"/>
                <w:lang w:eastAsia="en-GB"/>
              </w:rPr>
            </w:pPr>
            <w:r>
              <w:rPr>
                <w:color w:val="000000"/>
                <w:sz w:val="22"/>
                <w:szCs w:val="22"/>
                <w:lang w:eastAsia="en-GB"/>
              </w:rPr>
              <w:t xml:space="preserve"> 1</w:t>
            </w:r>
            <w:r w:rsidR="00430BC5" w:rsidRPr="003B7EA9">
              <w:rPr>
                <w:color w:val="000000"/>
                <w:sz w:val="22"/>
                <w:szCs w:val="22"/>
                <w:lang w:eastAsia="en-GB"/>
              </w:rPr>
              <w:t xml:space="preserve">947 </w:t>
            </w:r>
          </w:p>
        </w:tc>
        <w:tc>
          <w:tcPr>
            <w:tcW w:w="1140" w:type="dxa"/>
            <w:gridSpan w:val="2"/>
            <w:tcBorders>
              <w:top w:val="nil"/>
              <w:left w:val="nil"/>
              <w:bottom w:val="nil"/>
              <w:right w:val="nil"/>
            </w:tcBorders>
            <w:shd w:val="clear" w:color="auto" w:fill="auto"/>
            <w:noWrap/>
            <w:vAlign w:val="center"/>
            <w:hideMark/>
          </w:tcPr>
          <w:p w14:paraId="17381375" w14:textId="34278948" w:rsidR="00430BC5" w:rsidRPr="003B7EA9" w:rsidRDefault="005B66AD" w:rsidP="00F15562">
            <w:pPr>
              <w:spacing w:line="240" w:lineRule="auto"/>
              <w:ind w:firstLine="0"/>
              <w:jc w:val="right"/>
              <w:rPr>
                <w:color w:val="000000"/>
                <w:sz w:val="22"/>
                <w:szCs w:val="22"/>
                <w:lang w:eastAsia="en-GB"/>
              </w:rPr>
            </w:pPr>
            <w:r>
              <w:rPr>
                <w:color w:val="000000"/>
                <w:sz w:val="22"/>
                <w:szCs w:val="22"/>
                <w:lang w:eastAsia="en-GB"/>
              </w:rPr>
              <w:t xml:space="preserve"> 7</w:t>
            </w:r>
            <w:r w:rsidR="00430BC5" w:rsidRPr="003B7EA9">
              <w:rPr>
                <w:color w:val="000000"/>
                <w:sz w:val="22"/>
                <w:szCs w:val="22"/>
                <w:lang w:eastAsia="en-GB"/>
              </w:rPr>
              <w:t xml:space="preserve">902 </w:t>
            </w:r>
          </w:p>
        </w:tc>
        <w:tc>
          <w:tcPr>
            <w:tcW w:w="1140" w:type="dxa"/>
            <w:gridSpan w:val="2"/>
            <w:tcBorders>
              <w:top w:val="nil"/>
              <w:left w:val="nil"/>
              <w:bottom w:val="nil"/>
              <w:right w:val="nil"/>
            </w:tcBorders>
            <w:shd w:val="clear" w:color="auto" w:fill="auto"/>
            <w:noWrap/>
            <w:vAlign w:val="center"/>
            <w:hideMark/>
          </w:tcPr>
          <w:p w14:paraId="5D4F3E8D" w14:textId="5050031E" w:rsidR="00430BC5" w:rsidRPr="003B7EA9" w:rsidRDefault="005B66AD" w:rsidP="00F15562">
            <w:pPr>
              <w:spacing w:line="240" w:lineRule="auto"/>
              <w:ind w:firstLine="0"/>
              <w:jc w:val="right"/>
              <w:rPr>
                <w:color w:val="000000"/>
                <w:sz w:val="22"/>
                <w:szCs w:val="22"/>
                <w:lang w:eastAsia="en-GB"/>
              </w:rPr>
            </w:pPr>
            <w:r>
              <w:rPr>
                <w:color w:val="000000"/>
                <w:sz w:val="22"/>
                <w:szCs w:val="22"/>
                <w:lang w:eastAsia="en-GB"/>
              </w:rPr>
              <w:t xml:space="preserve"> 2</w:t>
            </w:r>
            <w:r w:rsidR="00430BC5" w:rsidRPr="003B7EA9">
              <w:rPr>
                <w:color w:val="000000"/>
                <w:sz w:val="22"/>
                <w:szCs w:val="22"/>
                <w:lang w:eastAsia="en-GB"/>
              </w:rPr>
              <w:t xml:space="preserve">915 </w:t>
            </w:r>
          </w:p>
        </w:tc>
        <w:tc>
          <w:tcPr>
            <w:tcW w:w="1140" w:type="dxa"/>
            <w:gridSpan w:val="2"/>
            <w:tcBorders>
              <w:top w:val="nil"/>
              <w:left w:val="nil"/>
              <w:bottom w:val="nil"/>
              <w:right w:val="nil"/>
            </w:tcBorders>
            <w:shd w:val="clear" w:color="auto" w:fill="auto"/>
            <w:noWrap/>
            <w:vAlign w:val="center"/>
            <w:hideMark/>
          </w:tcPr>
          <w:p w14:paraId="441F9943" w14:textId="61BD7543" w:rsidR="00430BC5" w:rsidRPr="003B7EA9" w:rsidRDefault="005B66AD" w:rsidP="00F15562">
            <w:pPr>
              <w:spacing w:line="240" w:lineRule="auto"/>
              <w:ind w:firstLine="0"/>
              <w:jc w:val="right"/>
              <w:rPr>
                <w:color w:val="000000"/>
                <w:sz w:val="22"/>
                <w:szCs w:val="22"/>
                <w:lang w:eastAsia="en-GB"/>
              </w:rPr>
            </w:pPr>
            <w:r>
              <w:rPr>
                <w:color w:val="000000"/>
                <w:sz w:val="22"/>
                <w:szCs w:val="22"/>
                <w:lang w:eastAsia="en-GB"/>
              </w:rPr>
              <w:t xml:space="preserve"> 3</w:t>
            </w:r>
            <w:r w:rsidR="00430BC5" w:rsidRPr="003B7EA9">
              <w:rPr>
                <w:color w:val="000000"/>
                <w:sz w:val="22"/>
                <w:szCs w:val="22"/>
                <w:lang w:eastAsia="en-GB"/>
              </w:rPr>
              <w:t xml:space="preserve">497 </w:t>
            </w:r>
          </w:p>
        </w:tc>
        <w:tc>
          <w:tcPr>
            <w:tcW w:w="1176" w:type="dxa"/>
            <w:gridSpan w:val="2"/>
            <w:tcBorders>
              <w:top w:val="nil"/>
              <w:left w:val="nil"/>
              <w:bottom w:val="nil"/>
              <w:right w:val="nil"/>
            </w:tcBorders>
            <w:shd w:val="clear" w:color="auto" w:fill="auto"/>
            <w:noWrap/>
            <w:vAlign w:val="center"/>
            <w:hideMark/>
          </w:tcPr>
          <w:p w14:paraId="0B478AB7" w14:textId="77777777" w:rsidR="00430BC5" w:rsidRPr="003B7EA9" w:rsidRDefault="00430BC5" w:rsidP="00F15562">
            <w:pPr>
              <w:spacing w:line="240" w:lineRule="auto"/>
              <w:ind w:firstLine="0"/>
              <w:jc w:val="right"/>
              <w:rPr>
                <w:color w:val="000000"/>
                <w:sz w:val="22"/>
                <w:szCs w:val="22"/>
                <w:lang w:eastAsia="en-GB"/>
              </w:rPr>
            </w:pPr>
            <w:r w:rsidRPr="003B7EA9">
              <w:rPr>
                <w:color w:val="000000"/>
                <w:sz w:val="22"/>
                <w:szCs w:val="22"/>
                <w:lang w:eastAsia="en-GB"/>
              </w:rPr>
              <w:t xml:space="preserve"> 455,408 </w:t>
            </w:r>
          </w:p>
        </w:tc>
        <w:tc>
          <w:tcPr>
            <w:tcW w:w="1176" w:type="dxa"/>
            <w:gridSpan w:val="2"/>
            <w:tcBorders>
              <w:top w:val="nil"/>
              <w:left w:val="nil"/>
              <w:bottom w:val="nil"/>
              <w:right w:val="nil"/>
            </w:tcBorders>
            <w:shd w:val="clear" w:color="auto" w:fill="auto"/>
            <w:noWrap/>
            <w:vAlign w:val="center"/>
            <w:hideMark/>
          </w:tcPr>
          <w:p w14:paraId="52A14D1F" w14:textId="77777777" w:rsidR="00430BC5" w:rsidRPr="003B7EA9" w:rsidRDefault="00430BC5" w:rsidP="00F15562">
            <w:pPr>
              <w:spacing w:line="240" w:lineRule="auto"/>
              <w:ind w:firstLine="0"/>
              <w:jc w:val="right"/>
              <w:rPr>
                <w:color w:val="000000"/>
                <w:sz w:val="22"/>
                <w:szCs w:val="22"/>
                <w:lang w:eastAsia="en-GB"/>
              </w:rPr>
            </w:pPr>
            <w:r w:rsidRPr="003B7EA9">
              <w:rPr>
                <w:color w:val="000000"/>
                <w:sz w:val="22"/>
                <w:szCs w:val="22"/>
                <w:lang w:eastAsia="en-GB"/>
              </w:rPr>
              <w:t xml:space="preserve"> 610,072 </w:t>
            </w:r>
          </w:p>
        </w:tc>
      </w:tr>
      <w:tr w:rsidR="009B637A" w:rsidRPr="003B7EA9" w14:paraId="2D8F5354" w14:textId="77777777" w:rsidTr="009B637A">
        <w:trPr>
          <w:trHeight w:val="300"/>
        </w:trPr>
        <w:tc>
          <w:tcPr>
            <w:tcW w:w="2880" w:type="dxa"/>
            <w:gridSpan w:val="2"/>
            <w:tcBorders>
              <w:top w:val="nil"/>
              <w:left w:val="nil"/>
              <w:bottom w:val="nil"/>
              <w:right w:val="nil"/>
            </w:tcBorders>
            <w:shd w:val="clear" w:color="auto" w:fill="auto"/>
            <w:noWrap/>
            <w:vAlign w:val="center"/>
            <w:hideMark/>
          </w:tcPr>
          <w:p w14:paraId="71E9D8F1" w14:textId="77777777" w:rsidR="009B637A" w:rsidRPr="003B7EA9" w:rsidRDefault="009B637A" w:rsidP="00396F01">
            <w:pPr>
              <w:spacing w:line="240" w:lineRule="auto"/>
              <w:ind w:firstLine="0"/>
              <w:jc w:val="left"/>
              <w:rPr>
                <w:color w:val="000000"/>
                <w:sz w:val="22"/>
                <w:szCs w:val="22"/>
                <w:lang w:eastAsia="en-GB"/>
              </w:rPr>
            </w:pPr>
            <w:r w:rsidRPr="003B7EA9">
              <w:rPr>
                <w:color w:val="000000"/>
                <w:sz w:val="22"/>
                <w:szCs w:val="22"/>
                <w:lang w:eastAsia="en-GB"/>
              </w:rPr>
              <w:t>Migrant proportion</w:t>
            </w:r>
          </w:p>
        </w:tc>
        <w:tc>
          <w:tcPr>
            <w:tcW w:w="1140" w:type="dxa"/>
            <w:gridSpan w:val="2"/>
            <w:tcBorders>
              <w:top w:val="nil"/>
              <w:left w:val="nil"/>
              <w:bottom w:val="nil"/>
              <w:right w:val="nil"/>
            </w:tcBorders>
            <w:shd w:val="clear" w:color="auto" w:fill="auto"/>
            <w:noWrap/>
            <w:vAlign w:val="center"/>
            <w:hideMark/>
          </w:tcPr>
          <w:p w14:paraId="33349B99" w14:textId="2A8F4AB3" w:rsidR="009B637A" w:rsidRPr="003B7EA9" w:rsidRDefault="009B637A" w:rsidP="00A4147E">
            <w:pPr>
              <w:spacing w:line="240" w:lineRule="auto"/>
              <w:ind w:firstLine="0"/>
              <w:jc w:val="center"/>
              <w:rPr>
                <w:color w:val="000000"/>
                <w:sz w:val="22"/>
                <w:szCs w:val="22"/>
                <w:lang w:eastAsia="en-GB"/>
              </w:rPr>
            </w:pPr>
            <w:r>
              <w:rPr>
                <w:color w:val="000000"/>
                <w:sz w:val="22"/>
                <w:szCs w:val="22"/>
                <w:lang w:eastAsia="en-GB"/>
              </w:rPr>
              <w:t>19</w:t>
            </w:r>
            <w:r w:rsidRPr="003B7EA9">
              <w:rPr>
                <w:color w:val="000000"/>
                <w:sz w:val="22"/>
                <w:szCs w:val="22"/>
                <w:lang w:eastAsia="en-GB"/>
              </w:rPr>
              <w:t>%</w:t>
            </w:r>
          </w:p>
        </w:tc>
        <w:tc>
          <w:tcPr>
            <w:tcW w:w="1140" w:type="dxa"/>
            <w:gridSpan w:val="2"/>
            <w:tcBorders>
              <w:top w:val="nil"/>
              <w:left w:val="nil"/>
              <w:bottom w:val="nil"/>
              <w:right w:val="nil"/>
            </w:tcBorders>
            <w:shd w:val="clear" w:color="auto" w:fill="auto"/>
            <w:noWrap/>
            <w:vAlign w:val="center"/>
            <w:hideMark/>
          </w:tcPr>
          <w:p w14:paraId="044214C7" w14:textId="60BAB6AC" w:rsidR="009B637A" w:rsidRPr="003B7EA9" w:rsidRDefault="009B637A" w:rsidP="00267FE5">
            <w:pPr>
              <w:spacing w:line="240" w:lineRule="auto"/>
              <w:ind w:firstLine="0"/>
              <w:jc w:val="center"/>
              <w:rPr>
                <w:color w:val="000000"/>
                <w:sz w:val="22"/>
                <w:szCs w:val="22"/>
                <w:lang w:eastAsia="en-GB"/>
              </w:rPr>
            </w:pPr>
            <w:r w:rsidRPr="003B7EA9">
              <w:rPr>
                <w:color w:val="000000"/>
                <w:sz w:val="22"/>
                <w:szCs w:val="22"/>
                <w:lang w:eastAsia="en-GB"/>
              </w:rPr>
              <w:t>2</w:t>
            </w:r>
            <w:r>
              <w:rPr>
                <w:color w:val="000000"/>
                <w:sz w:val="22"/>
                <w:szCs w:val="22"/>
                <w:lang w:eastAsia="en-GB"/>
              </w:rPr>
              <w:t>3</w:t>
            </w:r>
            <w:r w:rsidRPr="003B7EA9">
              <w:rPr>
                <w:color w:val="000000"/>
                <w:sz w:val="22"/>
                <w:szCs w:val="22"/>
                <w:lang w:eastAsia="en-GB"/>
              </w:rPr>
              <w:t>%</w:t>
            </w:r>
          </w:p>
        </w:tc>
        <w:tc>
          <w:tcPr>
            <w:tcW w:w="1140" w:type="dxa"/>
            <w:gridSpan w:val="2"/>
            <w:tcBorders>
              <w:top w:val="nil"/>
              <w:left w:val="nil"/>
              <w:bottom w:val="nil"/>
              <w:right w:val="nil"/>
            </w:tcBorders>
            <w:shd w:val="clear" w:color="auto" w:fill="auto"/>
            <w:noWrap/>
            <w:vAlign w:val="center"/>
            <w:hideMark/>
          </w:tcPr>
          <w:p w14:paraId="7623C1C0" w14:textId="4A6AB5B8" w:rsidR="009B637A" w:rsidRPr="003B7EA9" w:rsidRDefault="009B637A" w:rsidP="00267FE5">
            <w:pPr>
              <w:spacing w:line="240" w:lineRule="auto"/>
              <w:ind w:firstLine="0"/>
              <w:jc w:val="center"/>
              <w:rPr>
                <w:color w:val="000000"/>
                <w:sz w:val="22"/>
                <w:szCs w:val="22"/>
                <w:lang w:eastAsia="en-GB"/>
              </w:rPr>
            </w:pPr>
            <w:r w:rsidRPr="003B7EA9">
              <w:rPr>
                <w:color w:val="000000"/>
                <w:sz w:val="22"/>
                <w:szCs w:val="22"/>
                <w:lang w:eastAsia="en-GB"/>
              </w:rPr>
              <w:t>11%</w:t>
            </w:r>
          </w:p>
        </w:tc>
        <w:tc>
          <w:tcPr>
            <w:tcW w:w="1146" w:type="dxa"/>
            <w:gridSpan w:val="2"/>
            <w:tcBorders>
              <w:top w:val="nil"/>
              <w:left w:val="nil"/>
              <w:bottom w:val="nil"/>
              <w:right w:val="nil"/>
            </w:tcBorders>
            <w:shd w:val="clear" w:color="auto" w:fill="auto"/>
            <w:noWrap/>
            <w:vAlign w:val="center"/>
            <w:hideMark/>
          </w:tcPr>
          <w:p w14:paraId="54CCCA13" w14:textId="354DB2BF" w:rsidR="009B637A" w:rsidRPr="003B7EA9" w:rsidRDefault="009B637A" w:rsidP="00A4147E">
            <w:pPr>
              <w:spacing w:line="240" w:lineRule="auto"/>
              <w:ind w:firstLine="0"/>
              <w:jc w:val="center"/>
              <w:rPr>
                <w:color w:val="000000"/>
                <w:sz w:val="22"/>
                <w:szCs w:val="22"/>
                <w:lang w:eastAsia="en-GB"/>
              </w:rPr>
            </w:pPr>
            <w:r>
              <w:rPr>
                <w:color w:val="000000"/>
                <w:sz w:val="22"/>
                <w:szCs w:val="22"/>
                <w:lang w:eastAsia="en-GB"/>
              </w:rPr>
              <w:t>9</w:t>
            </w:r>
            <w:r w:rsidRPr="003B7EA9">
              <w:rPr>
                <w:color w:val="000000"/>
                <w:sz w:val="22"/>
                <w:szCs w:val="22"/>
                <w:lang w:eastAsia="en-GB"/>
              </w:rPr>
              <w:t>%</w:t>
            </w:r>
          </w:p>
        </w:tc>
        <w:tc>
          <w:tcPr>
            <w:tcW w:w="1176" w:type="dxa"/>
            <w:gridSpan w:val="2"/>
            <w:tcBorders>
              <w:top w:val="nil"/>
              <w:left w:val="nil"/>
              <w:bottom w:val="nil"/>
              <w:right w:val="nil"/>
            </w:tcBorders>
            <w:shd w:val="clear" w:color="auto" w:fill="auto"/>
            <w:noWrap/>
            <w:vAlign w:val="center"/>
            <w:hideMark/>
          </w:tcPr>
          <w:p w14:paraId="4F712753" w14:textId="25A3F873" w:rsidR="009B637A" w:rsidRPr="003B7EA9" w:rsidRDefault="009B637A" w:rsidP="00267FE5">
            <w:pPr>
              <w:spacing w:line="240" w:lineRule="auto"/>
              <w:ind w:firstLine="0"/>
              <w:jc w:val="center"/>
              <w:rPr>
                <w:color w:val="000000"/>
                <w:sz w:val="22"/>
                <w:szCs w:val="22"/>
                <w:lang w:eastAsia="en-GB"/>
              </w:rPr>
            </w:pPr>
            <w:r w:rsidRPr="003B7EA9">
              <w:rPr>
                <w:color w:val="000000"/>
                <w:sz w:val="22"/>
                <w:szCs w:val="22"/>
                <w:lang w:eastAsia="en-GB"/>
              </w:rPr>
              <w:t>10%</w:t>
            </w:r>
          </w:p>
        </w:tc>
        <w:tc>
          <w:tcPr>
            <w:tcW w:w="1140" w:type="dxa"/>
            <w:gridSpan w:val="2"/>
            <w:tcBorders>
              <w:top w:val="nil"/>
              <w:left w:val="nil"/>
              <w:bottom w:val="nil"/>
              <w:right w:val="nil"/>
            </w:tcBorders>
            <w:shd w:val="clear" w:color="auto" w:fill="auto"/>
            <w:noWrap/>
            <w:vAlign w:val="center"/>
            <w:hideMark/>
          </w:tcPr>
          <w:p w14:paraId="42FE6E9F" w14:textId="0F876944" w:rsidR="009B637A" w:rsidRPr="003B7EA9" w:rsidRDefault="009B637A" w:rsidP="00267FE5">
            <w:pPr>
              <w:spacing w:line="240" w:lineRule="auto"/>
              <w:ind w:firstLine="0"/>
              <w:jc w:val="center"/>
              <w:rPr>
                <w:color w:val="000000"/>
                <w:sz w:val="22"/>
                <w:szCs w:val="22"/>
                <w:lang w:eastAsia="en-GB"/>
              </w:rPr>
            </w:pPr>
            <w:r w:rsidRPr="003B7EA9">
              <w:rPr>
                <w:color w:val="000000"/>
                <w:sz w:val="22"/>
                <w:szCs w:val="22"/>
                <w:lang w:eastAsia="en-GB"/>
              </w:rPr>
              <w:t>11%</w:t>
            </w:r>
          </w:p>
        </w:tc>
      </w:tr>
      <w:tr w:rsidR="009B637A" w:rsidRPr="003B7EA9" w14:paraId="06ACCB63" w14:textId="77777777" w:rsidTr="009B637A">
        <w:trPr>
          <w:trHeight w:val="723"/>
        </w:trPr>
        <w:tc>
          <w:tcPr>
            <w:tcW w:w="2880" w:type="dxa"/>
            <w:gridSpan w:val="2"/>
            <w:tcBorders>
              <w:top w:val="nil"/>
              <w:left w:val="nil"/>
              <w:bottom w:val="single" w:sz="4" w:space="0" w:color="auto"/>
              <w:right w:val="nil"/>
            </w:tcBorders>
            <w:shd w:val="clear" w:color="auto" w:fill="auto"/>
            <w:noWrap/>
            <w:vAlign w:val="center"/>
          </w:tcPr>
          <w:p w14:paraId="2D07B26F" w14:textId="2E033855" w:rsidR="009B637A" w:rsidRPr="003B7EA9" w:rsidRDefault="009B637A" w:rsidP="00396F01">
            <w:pPr>
              <w:spacing w:line="240" w:lineRule="auto"/>
              <w:ind w:firstLine="0"/>
              <w:jc w:val="left"/>
              <w:rPr>
                <w:color w:val="000000"/>
                <w:sz w:val="22"/>
                <w:szCs w:val="22"/>
                <w:lang w:eastAsia="en-GB"/>
              </w:rPr>
            </w:pPr>
            <w:r>
              <w:rPr>
                <w:color w:val="000000"/>
                <w:sz w:val="22"/>
                <w:szCs w:val="22"/>
                <w:lang w:eastAsia="en-GB"/>
              </w:rPr>
              <w:t>Of whom, proportion moving 20km or further</w:t>
            </w:r>
          </w:p>
        </w:tc>
        <w:tc>
          <w:tcPr>
            <w:tcW w:w="1140" w:type="dxa"/>
            <w:gridSpan w:val="2"/>
            <w:tcBorders>
              <w:top w:val="nil"/>
              <w:left w:val="nil"/>
              <w:bottom w:val="single" w:sz="4" w:space="0" w:color="auto"/>
              <w:right w:val="nil"/>
            </w:tcBorders>
            <w:shd w:val="clear" w:color="auto" w:fill="auto"/>
            <w:noWrap/>
            <w:vAlign w:val="center"/>
          </w:tcPr>
          <w:p w14:paraId="1B55136F" w14:textId="58DE0CE3" w:rsidR="009B637A" w:rsidRPr="003B7EA9" w:rsidRDefault="009B637A" w:rsidP="00A4147E">
            <w:pPr>
              <w:spacing w:line="240" w:lineRule="auto"/>
              <w:ind w:firstLine="0"/>
              <w:jc w:val="center"/>
              <w:rPr>
                <w:color w:val="000000"/>
                <w:sz w:val="22"/>
                <w:szCs w:val="22"/>
                <w:lang w:eastAsia="en-GB"/>
              </w:rPr>
            </w:pPr>
            <w:r>
              <w:rPr>
                <w:color w:val="000000"/>
                <w:sz w:val="22"/>
                <w:szCs w:val="22"/>
                <w:lang w:eastAsia="en-GB"/>
              </w:rPr>
              <w:t>23%</w:t>
            </w:r>
          </w:p>
        </w:tc>
        <w:tc>
          <w:tcPr>
            <w:tcW w:w="1140" w:type="dxa"/>
            <w:gridSpan w:val="2"/>
            <w:tcBorders>
              <w:top w:val="nil"/>
              <w:left w:val="nil"/>
              <w:bottom w:val="single" w:sz="4" w:space="0" w:color="auto"/>
              <w:right w:val="nil"/>
            </w:tcBorders>
            <w:shd w:val="clear" w:color="auto" w:fill="auto"/>
            <w:noWrap/>
            <w:vAlign w:val="center"/>
          </w:tcPr>
          <w:p w14:paraId="29D74B43" w14:textId="59A144FB" w:rsidR="009B637A" w:rsidRPr="003B7EA9" w:rsidRDefault="009B637A" w:rsidP="00A4147E">
            <w:pPr>
              <w:spacing w:line="240" w:lineRule="auto"/>
              <w:ind w:firstLine="0"/>
              <w:jc w:val="center"/>
              <w:rPr>
                <w:color w:val="000000"/>
                <w:sz w:val="22"/>
                <w:szCs w:val="22"/>
                <w:lang w:eastAsia="en-GB"/>
              </w:rPr>
            </w:pPr>
            <w:r>
              <w:rPr>
                <w:color w:val="000000"/>
                <w:sz w:val="22"/>
                <w:szCs w:val="22"/>
                <w:lang w:eastAsia="en-GB"/>
              </w:rPr>
              <w:t>30%</w:t>
            </w:r>
          </w:p>
        </w:tc>
        <w:tc>
          <w:tcPr>
            <w:tcW w:w="1140" w:type="dxa"/>
            <w:gridSpan w:val="2"/>
            <w:tcBorders>
              <w:top w:val="nil"/>
              <w:left w:val="nil"/>
              <w:bottom w:val="single" w:sz="4" w:space="0" w:color="auto"/>
              <w:right w:val="nil"/>
            </w:tcBorders>
            <w:shd w:val="clear" w:color="auto" w:fill="auto"/>
            <w:noWrap/>
            <w:vAlign w:val="center"/>
          </w:tcPr>
          <w:p w14:paraId="436F1D2F" w14:textId="1AE0319E" w:rsidR="009B637A" w:rsidRPr="003B7EA9" w:rsidRDefault="009B637A" w:rsidP="00A4147E">
            <w:pPr>
              <w:spacing w:line="240" w:lineRule="auto"/>
              <w:ind w:firstLine="0"/>
              <w:jc w:val="center"/>
              <w:rPr>
                <w:color w:val="000000"/>
                <w:sz w:val="22"/>
                <w:szCs w:val="22"/>
                <w:lang w:eastAsia="en-GB"/>
              </w:rPr>
            </w:pPr>
            <w:r>
              <w:rPr>
                <w:color w:val="000000"/>
                <w:sz w:val="22"/>
                <w:szCs w:val="22"/>
                <w:lang w:eastAsia="en-GB"/>
              </w:rPr>
              <w:t>24%</w:t>
            </w:r>
          </w:p>
        </w:tc>
        <w:tc>
          <w:tcPr>
            <w:tcW w:w="1146" w:type="dxa"/>
            <w:gridSpan w:val="2"/>
            <w:tcBorders>
              <w:top w:val="nil"/>
              <w:left w:val="nil"/>
              <w:bottom w:val="single" w:sz="4" w:space="0" w:color="auto"/>
              <w:right w:val="nil"/>
            </w:tcBorders>
            <w:shd w:val="clear" w:color="auto" w:fill="auto"/>
            <w:noWrap/>
            <w:vAlign w:val="center"/>
          </w:tcPr>
          <w:p w14:paraId="18BF77BB" w14:textId="25DC4B79" w:rsidR="009B637A" w:rsidRPr="003B7EA9" w:rsidRDefault="009B637A" w:rsidP="00A4147E">
            <w:pPr>
              <w:spacing w:line="240" w:lineRule="auto"/>
              <w:ind w:firstLine="0"/>
              <w:jc w:val="center"/>
              <w:rPr>
                <w:color w:val="000000"/>
                <w:sz w:val="22"/>
                <w:szCs w:val="22"/>
                <w:lang w:eastAsia="en-GB"/>
              </w:rPr>
            </w:pPr>
            <w:r>
              <w:rPr>
                <w:color w:val="000000"/>
                <w:sz w:val="22"/>
                <w:szCs w:val="22"/>
                <w:lang w:eastAsia="en-GB"/>
              </w:rPr>
              <w:t>26%</w:t>
            </w:r>
          </w:p>
        </w:tc>
        <w:tc>
          <w:tcPr>
            <w:tcW w:w="1176" w:type="dxa"/>
            <w:gridSpan w:val="2"/>
            <w:tcBorders>
              <w:top w:val="nil"/>
              <w:left w:val="nil"/>
              <w:bottom w:val="single" w:sz="4" w:space="0" w:color="auto"/>
              <w:right w:val="nil"/>
            </w:tcBorders>
            <w:shd w:val="clear" w:color="auto" w:fill="auto"/>
            <w:noWrap/>
            <w:vAlign w:val="center"/>
          </w:tcPr>
          <w:p w14:paraId="04610ABE" w14:textId="0F4828F7" w:rsidR="009B637A" w:rsidRPr="003B7EA9" w:rsidRDefault="009B637A" w:rsidP="00A4147E">
            <w:pPr>
              <w:spacing w:line="240" w:lineRule="auto"/>
              <w:ind w:firstLine="0"/>
              <w:jc w:val="center"/>
              <w:rPr>
                <w:color w:val="000000"/>
                <w:sz w:val="22"/>
                <w:szCs w:val="22"/>
                <w:lang w:eastAsia="en-GB"/>
              </w:rPr>
            </w:pPr>
            <w:r>
              <w:rPr>
                <w:color w:val="000000"/>
                <w:sz w:val="22"/>
                <w:szCs w:val="22"/>
                <w:lang w:eastAsia="en-GB"/>
              </w:rPr>
              <w:t>26%</w:t>
            </w:r>
          </w:p>
        </w:tc>
        <w:tc>
          <w:tcPr>
            <w:tcW w:w="1140" w:type="dxa"/>
            <w:gridSpan w:val="2"/>
            <w:tcBorders>
              <w:top w:val="nil"/>
              <w:left w:val="nil"/>
              <w:bottom w:val="single" w:sz="4" w:space="0" w:color="auto"/>
              <w:right w:val="nil"/>
            </w:tcBorders>
            <w:shd w:val="clear" w:color="auto" w:fill="auto"/>
            <w:noWrap/>
            <w:vAlign w:val="center"/>
          </w:tcPr>
          <w:p w14:paraId="19E5CB48" w14:textId="5E58548F" w:rsidR="009B637A" w:rsidRPr="003B7EA9" w:rsidRDefault="009B637A" w:rsidP="00A4147E">
            <w:pPr>
              <w:spacing w:line="240" w:lineRule="auto"/>
              <w:ind w:firstLine="0"/>
              <w:jc w:val="center"/>
              <w:rPr>
                <w:color w:val="000000"/>
                <w:sz w:val="22"/>
                <w:szCs w:val="22"/>
                <w:lang w:eastAsia="en-GB"/>
              </w:rPr>
            </w:pPr>
            <w:r>
              <w:rPr>
                <w:color w:val="000000"/>
                <w:sz w:val="22"/>
                <w:szCs w:val="22"/>
                <w:lang w:eastAsia="en-GB"/>
              </w:rPr>
              <w:t>25%</w:t>
            </w:r>
          </w:p>
        </w:tc>
      </w:tr>
    </w:tbl>
    <w:p w14:paraId="6E7C81C6" w14:textId="43321E3B" w:rsidR="009E403E" w:rsidRPr="003B7EA9" w:rsidRDefault="00F15562" w:rsidP="00514946">
      <w:pPr>
        <w:ind w:left="-567" w:firstLine="0"/>
        <w:rPr>
          <w:i/>
          <w:sz w:val="22"/>
          <w:szCs w:val="22"/>
          <w:lang w:eastAsia="en-GB"/>
        </w:rPr>
      </w:pPr>
      <w:r w:rsidRPr="003B7EA9">
        <w:rPr>
          <w:i/>
          <w:sz w:val="22"/>
          <w:szCs w:val="22"/>
          <w:lang w:eastAsia="en-GB"/>
        </w:rPr>
        <w:tab/>
        <w:t xml:space="preserve"> Source: </w:t>
      </w:r>
      <w:r w:rsidR="00A10D3E">
        <w:rPr>
          <w:i/>
          <w:sz w:val="22"/>
          <w:szCs w:val="22"/>
          <w:lang w:eastAsia="en-GB"/>
        </w:rPr>
        <w:t xml:space="preserve">Calculated from </w:t>
      </w:r>
      <w:r w:rsidRPr="003B7EA9">
        <w:rPr>
          <w:i/>
          <w:sz w:val="22"/>
          <w:szCs w:val="22"/>
          <w:lang w:eastAsia="en-GB"/>
        </w:rPr>
        <w:t>2011 Census Safeguarded Microdata</w:t>
      </w:r>
    </w:p>
    <w:p w14:paraId="398B74FA" w14:textId="77777777" w:rsidR="00F15562" w:rsidRPr="003B7EA9" w:rsidRDefault="00F15562" w:rsidP="00514946">
      <w:pPr>
        <w:ind w:left="-567" w:firstLine="0"/>
        <w:rPr>
          <w:lang w:eastAsia="en-GB"/>
        </w:rPr>
      </w:pPr>
    </w:p>
    <w:tbl>
      <w:tblPr>
        <w:tblW w:w="7915" w:type="dxa"/>
        <w:tblInd w:w="93" w:type="dxa"/>
        <w:tblLook w:val="04A0" w:firstRow="1" w:lastRow="0" w:firstColumn="1" w:lastColumn="0" w:noHBand="0" w:noVBand="1"/>
      </w:tblPr>
      <w:tblGrid>
        <w:gridCol w:w="1740"/>
        <w:gridCol w:w="1060"/>
        <w:gridCol w:w="1160"/>
        <w:gridCol w:w="1120"/>
        <w:gridCol w:w="1158"/>
        <w:gridCol w:w="1677"/>
      </w:tblGrid>
      <w:tr w:rsidR="00667357" w:rsidRPr="003B7EA9" w14:paraId="263602B3" w14:textId="77777777" w:rsidTr="00437839">
        <w:trPr>
          <w:trHeight w:val="300"/>
        </w:trPr>
        <w:tc>
          <w:tcPr>
            <w:tcW w:w="7915" w:type="dxa"/>
            <w:gridSpan w:val="6"/>
            <w:tcBorders>
              <w:top w:val="nil"/>
              <w:left w:val="nil"/>
              <w:bottom w:val="nil"/>
              <w:right w:val="nil"/>
            </w:tcBorders>
            <w:shd w:val="clear" w:color="auto" w:fill="auto"/>
            <w:noWrap/>
            <w:vAlign w:val="bottom"/>
            <w:hideMark/>
          </w:tcPr>
          <w:p w14:paraId="72D9BD09" w14:textId="77777777" w:rsidR="00667357" w:rsidRPr="003B7EA9" w:rsidRDefault="00667357" w:rsidP="000C5693">
            <w:pPr>
              <w:keepNext/>
              <w:spacing w:line="240" w:lineRule="auto"/>
              <w:ind w:firstLine="0"/>
              <w:jc w:val="left"/>
              <w:rPr>
                <w:i/>
                <w:iCs/>
                <w:color w:val="000000"/>
                <w:sz w:val="22"/>
                <w:szCs w:val="22"/>
                <w:lang w:eastAsia="en-GB"/>
              </w:rPr>
            </w:pPr>
            <w:r w:rsidRPr="003B7EA9">
              <w:rPr>
                <w:i/>
                <w:iCs/>
                <w:color w:val="000000"/>
                <w:sz w:val="22"/>
                <w:szCs w:val="22"/>
                <w:lang w:eastAsia="en-GB"/>
              </w:rPr>
              <w:t>Table 2 Proportion of movers based on timing of status measurement</w:t>
            </w:r>
          </w:p>
        </w:tc>
      </w:tr>
      <w:tr w:rsidR="00667357" w:rsidRPr="003B7EA9" w14:paraId="701E44B3" w14:textId="77777777" w:rsidTr="00437839">
        <w:trPr>
          <w:gridAfter w:val="1"/>
          <w:wAfter w:w="1677" w:type="dxa"/>
          <w:trHeight w:val="660"/>
        </w:trPr>
        <w:tc>
          <w:tcPr>
            <w:tcW w:w="1740" w:type="dxa"/>
            <w:tcBorders>
              <w:top w:val="nil"/>
              <w:left w:val="nil"/>
              <w:bottom w:val="nil"/>
              <w:right w:val="nil"/>
            </w:tcBorders>
            <w:shd w:val="clear" w:color="auto" w:fill="auto"/>
            <w:noWrap/>
            <w:vAlign w:val="bottom"/>
            <w:hideMark/>
          </w:tcPr>
          <w:p w14:paraId="132A7D28" w14:textId="77777777" w:rsidR="00667357" w:rsidRPr="003B7EA9" w:rsidRDefault="00667357" w:rsidP="00F15562">
            <w:pPr>
              <w:keepNext/>
              <w:spacing w:line="240" w:lineRule="auto"/>
              <w:ind w:firstLine="0"/>
              <w:jc w:val="left"/>
              <w:rPr>
                <w:color w:val="000000"/>
                <w:sz w:val="22"/>
                <w:szCs w:val="22"/>
                <w:lang w:eastAsia="en-GB"/>
              </w:rPr>
            </w:pPr>
          </w:p>
        </w:tc>
        <w:tc>
          <w:tcPr>
            <w:tcW w:w="2220" w:type="dxa"/>
            <w:gridSpan w:val="2"/>
            <w:tcBorders>
              <w:top w:val="nil"/>
              <w:left w:val="nil"/>
              <w:bottom w:val="single" w:sz="4" w:space="0" w:color="auto"/>
              <w:right w:val="nil"/>
            </w:tcBorders>
            <w:shd w:val="clear" w:color="auto" w:fill="auto"/>
            <w:vAlign w:val="bottom"/>
            <w:hideMark/>
          </w:tcPr>
          <w:p w14:paraId="60102A97" w14:textId="77777777" w:rsidR="00667357" w:rsidRPr="003B7EA9" w:rsidRDefault="00667357" w:rsidP="00F15562">
            <w:pPr>
              <w:keepNext/>
              <w:spacing w:line="240" w:lineRule="auto"/>
              <w:ind w:firstLine="0"/>
              <w:jc w:val="center"/>
              <w:rPr>
                <w:color w:val="000000"/>
                <w:sz w:val="22"/>
                <w:szCs w:val="22"/>
                <w:lang w:eastAsia="en-GB"/>
              </w:rPr>
            </w:pPr>
            <w:r w:rsidRPr="003B7EA9">
              <w:rPr>
                <w:color w:val="000000"/>
                <w:sz w:val="22"/>
                <w:szCs w:val="22"/>
                <w:lang w:eastAsia="en-GB"/>
              </w:rPr>
              <w:t>Based on survey day economic status</w:t>
            </w:r>
          </w:p>
        </w:tc>
        <w:tc>
          <w:tcPr>
            <w:tcW w:w="2278" w:type="dxa"/>
            <w:gridSpan w:val="2"/>
            <w:tcBorders>
              <w:top w:val="nil"/>
              <w:left w:val="nil"/>
              <w:bottom w:val="single" w:sz="4" w:space="0" w:color="auto"/>
              <w:right w:val="nil"/>
            </w:tcBorders>
            <w:shd w:val="clear" w:color="auto" w:fill="auto"/>
            <w:vAlign w:val="bottom"/>
            <w:hideMark/>
          </w:tcPr>
          <w:p w14:paraId="673ED27F" w14:textId="77777777" w:rsidR="00667357" w:rsidRPr="003B7EA9" w:rsidRDefault="00667357" w:rsidP="00F15562">
            <w:pPr>
              <w:keepNext/>
              <w:spacing w:line="240" w:lineRule="auto"/>
              <w:ind w:firstLine="0"/>
              <w:jc w:val="center"/>
              <w:rPr>
                <w:color w:val="000000"/>
                <w:sz w:val="22"/>
                <w:szCs w:val="22"/>
                <w:lang w:eastAsia="en-GB"/>
              </w:rPr>
            </w:pPr>
            <w:r w:rsidRPr="003B7EA9">
              <w:rPr>
                <w:color w:val="000000"/>
                <w:sz w:val="22"/>
                <w:szCs w:val="22"/>
                <w:lang w:eastAsia="en-GB"/>
              </w:rPr>
              <w:t>Based on 12 months prior economic status</w:t>
            </w:r>
          </w:p>
        </w:tc>
      </w:tr>
      <w:tr w:rsidR="007A57CA" w:rsidRPr="003B7EA9" w14:paraId="354718CC" w14:textId="77777777" w:rsidTr="005C6B29">
        <w:trPr>
          <w:gridAfter w:val="1"/>
          <w:wAfter w:w="1677" w:type="dxa"/>
          <w:trHeight w:val="651"/>
        </w:trPr>
        <w:tc>
          <w:tcPr>
            <w:tcW w:w="1740" w:type="dxa"/>
            <w:tcBorders>
              <w:top w:val="nil"/>
              <w:left w:val="nil"/>
              <w:bottom w:val="single" w:sz="4" w:space="0" w:color="auto"/>
              <w:right w:val="nil"/>
            </w:tcBorders>
            <w:shd w:val="clear" w:color="auto" w:fill="auto"/>
            <w:vAlign w:val="center"/>
            <w:hideMark/>
          </w:tcPr>
          <w:p w14:paraId="453B36E1" w14:textId="75C648CA" w:rsidR="007A57CA" w:rsidRPr="003B7EA9" w:rsidRDefault="005B66AD" w:rsidP="00F15562">
            <w:pPr>
              <w:keepNext/>
              <w:spacing w:line="240" w:lineRule="auto"/>
              <w:ind w:firstLine="0"/>
              <w:jc w:val="left"/>
              <w:rPr>
                <w:color w:val="000000"/>
                <w:sz w:val="22"/>
                <w:szCs w:val="22"/>
                <w:lang w:eastAsia="en-GB"/>
              </w:rPr>
            </w:pPr>
            <w:r>
              <w:rPr>
                <w:color w:val="000000"/>
                <w:sz w:val="22"/>
                <w:szCs w:val="22"/>
                <w:lang w:eastAsia="en-GB"/>
              </w:rPr>
              <w:t>Economic a</w:t>
            </w:r>
            <w:r w:rsidR="007A57CA" w:rsidRPr="003B7EA9">
              <w:rPr>
                <w:color w:val="000000"/>
                <w:sz w:val="22"/>
                <w:szCs w:val="22"/>
                <w:lang w:eastAsia="en-GB"/>
              </w:rPr>
              <w:t>ctivity</w:t>
            </w:r>
          </w:p>
        </w:tc>
        <w:tc>
          <w:tcPr>
            <w:tcW w:w="1060" w:type="dxa"/>
            <w:tcBorders>
              <w:top w:val="nil"/>
              <w:left w:val="nil"/>
              <w:bottom w:val="single" w:sz="4" w:space="0" w:color="auto"/>
              <w:right w:val="nil"/>
            </w:tcBorders>
            <w:shd w:val="clear" w:color="auto" w:fill="auto"/>
            <w:vAlign w:val="center"/>
            <w:hideMark/>
          </w:tcPr>
          <w:p w14:paraId="0BB53B32" w14:textId="7A3D81AB" w:rsidR="007A57CA" w:rsidRPr="003B7EA9" w:rsidRDefault="007A57CA" w:rsidP="005B66AD">
            <w:pPr>
              <w:keepNext/>
              <w:spacing w:line="240" w:lineRule="auto"/>
              <w:ind w:firstLine="0"/>
              <w:jc w:val="center"/>
              <w:rPr>
                <w:color w:val="000000"/>
                <w:sz w:val="22"/>
                <w:szCs w:val="22"/>
                <w:lang w:eastAsia="en-GB"/>
              </w:rPr>
            </w:pPr>
            <w:r w:rsidRPr="003B7EA9">
              <w:rPr>
                <w:color w:val="000000"/>
                <w:sz w:val="22"/>
                <w:szCs w:val="22"/>
                <w:lang w:eastAsia="en-GB"/>
              </w:rPr>
              <w:t xml:space="preserve">Sample </w:t>
            </w:r>
            <w:r w:rsidR="005B66AD">
              <w:rPr>
                <w:color w:val="000000"/>
                <w:sz w:val="22"/>
                <w:szCs w:val="22"/>
                <w:lang w:eastAsia="en-GB"/>
              </w:rPr>
              <w:t>s</w:t>
            </w:r>
            <w:r w:rsidRPr="003B7EA9">
              <w:rPr>
                <w:color w:val="000000"/>
                <w:sz w:val="22"/>
                <w:szCs w:val="22"/>
                <w:lang w:eastAsia="en-GB"/>
              </w:rPr>
              <w:t>ize</w:t>
            </w:r>
          </w:p>
        </w:tc>
        <w:tc>
          <w:tcPr>
            <w:tcW w:w="1160" w:type="dxa"/>
            <w:tcBorders>
              <w:top w:val="nil"/>
              <w:left w:val="nil"/>
              <w:bottom w:val="single" w:sz="4" w:space="0" w:color="auto"/>
              <w:right w:val="nil"/>
            </w:tcBorders>
            <w:shd w:val="clear" w:color="auto" w:fill="auto"/>
            <w:vAlign w:val="center"/>
            <w:hideMark/>
          </w:tcPr>
          <w:p w14:paraId="42AC9E64" w14:textId="55EA0501" w:rsidR="007A57CA" w:rsidRPr="003B7EA9" w:rsidRDefault="007A57CA" w:rsidP="005B66AD">
            <w:pPr>
              <w:keepNext/>
              <w:spacing w:line="240" w:lineRule="auto"/>
              <w:ind w:firstLine="0"/>
              <w:jc w:val="center"/>
              <w:rPr>
                <w:color w:val="000000"/>
                <w:sz w:val="22"/>
                <w:szCs w:val="22"/>
                <w:lang w:eastAsia="en-GB"/>
              </w:rPr>
            </w:pPr>
            <w:r w:rsidRPr="003B7EA9">
              <w:rPr>
                <w:color w:val="000000"/>
                <w:sz w:val="22"/>
                <w:szCs w:val="22"/>
                <w:lang w:eastAsia="en-GB"/>
              </w:rPr>
              <w:t xml:space="preserve">Mover </w:t>
            </w:r>
            <w:r w:rsidR="005B66AD">
              <w:rPr>
                <w:color w:val="000000"/>
                <w:sz w:val="22"/>
                <w:szCs w:val="22"/>
                <w:lang w:eastAsia="en-GB"/>
              </w:rPr>
              <w:t>p</w:t>
            </w:r>
            <w:r w:rsidRPr="003B7EA9">
              <w:rPr>
                <w:color w:val="000000"/>
                <w:sz w:val="22"/>
                <w:szCs w:val="22"/>
                <w:lang w:eastAsia="en-GB"/>
              </w:rPr>
              <w:t>roportion</w:t>
            </w:r>
          </w:p>
        </w:tc>
        <w:tc>
          <w:tcPr>
            <w:tcW w:w="1120" w:type="dxa"/>
            <w:tcBorders>
              <w:top w:val="nil"/>
              <w:left w:val="nil"/>
              <w:bottom w:val="single" w:sz="4" w:space="0" w:color="auto"/>
              <w:right w:val="nil"/>
            </w:tcBorders>
            <w:shd w:val="clear" w:color="auto" w:fill="auto"/>
            <w:vAlign w:val="center"/>
            <w:hideMark/>
          </w:tcPr>
          <w:p w14:paraId="73454920" w14:textId="531F9F58" w:rsidR="007A57CA" w:rsidRPr="003B7EA9" w:rsidRDefault="007A57CA" w:rsidP="005B66AD">
            <w:pPr>
              <w:keepNext/>
              <w:spacing w:line="240" w:lineRule="auto"/>
              <w:ind w:firstLine="0"/>
              <w:jc w:val="center"/>
              <w:rPr>
                <w:color w:val="000000"/>
                <w:sz w:val="22"/>
                <w:szCs w:val="22"/>
                <w:lang w:eastAsia="en-GB"/>
              </w:rPr>
            </w:pPr>
            <w:r w:rsidRPr="003B7EA9">
              <w:rPr>
                <w:color w:val="000000"/>
                <w:sz w:val="22"/>
                <w:szCs w:val="22"/>
                <w:lang w:eastAsia="en-GB"/>
              </w:rPr>
              <w:t xml:space="preserve">Sample </w:t>
            </w:r>
            <w:r w:rsidR="005B66AD">
              <w:rPr>
                <w:color w:val="000000"/>
                <w:sz w:val="22"/>
                <w:szCs w:val="22"/>
                <w:lang w:eastAsia="en-GB"/>
              </w:rPr>
              <w:t>s</w:t>
            </w:r>
            <w:r w:rsidRPr="003B7EA9">
              <w:rPr>
                <w:color w:val="000000"/>
                <w:sz w:val="22"/>
                <w:szCs w:val="22"/>
                <w:lang w:eastAsia="en-GB"/>
              </w:rPr>
              <w:t>ize</w:t>
            </w:r>
          </w:p>
        </w:tc>
        <w:tc>
          <w:tcPr>
            <w:tcW w:w="1158" w:type="dxa"/>
            <w:tcBorders>
              <w:top w:val="nil"/>
              <w:left w:val="nil"/>
              <w:bottom w:val="single" w:sz="4" w:space="0" w:color="auto"/>
              <w:right w:val="nil"/>
            </w:tcBorders>
            <w:shd w:val="clear" w:color="auto" w:fill="auto"/>
            <w:vAlign w:val="center"/>
            <w:hideMark/>
          </w:tcPr>
          <w:p w14:paraId="441358EB" w14:textId="1110B1A3" w:rsidR="007A57CA" w:rsidRPr="003B7EA9" w:rsidRDefault="007A57CA" w:rsidP="005B66AD">
            <w:pPr>
              <w:keepNext/>
              <w:spacing w:line="240" w:lineRule="auto"/>
              <w:ind w:firstLine="0"/>
              <w:jc w:val="center"/>
              <w:rPr>
                <w:color w:val="000000"/>
                <w:sz w:val="22"/>
                <w:szCs w:val="22"/>
                <w:lang w:eastAsia="en-GB"/>
              </w:rPr>
            </w:pPr>
            <w:r w:rsidRPr="003B7EA9">
              <w:rPr>
                <w:color w:val="000000"/>
                <w:sz w:val="22"/>
                <w:szCs w:val="22"/>
                <w:lang w:eastAsia="en-GB"/>
              </w:rPr>
              <w:t xml:space="preserve">Mover </w:t>
            </w:r>
            <w:r w:rsidR="005B66AD">
              <w:rPr>
                <w:color w:val="000000"/>
                <w:sz w:val="22"/>
                <w:szCs w:val="22"/>
                <w:lang w:eastAsia="en-GB"/>
              </w:rPr>
              <w:t>p</w:t>
            </w:r>
            <w:r w:rsidRPr="003B7EA9">
              <w:rPr>
                <w:color w:val="000000"/>
                <w:sz w:val="22"/>
                <w:szCs w:val="22"/>
                <w:lang w:eastAsia="en-GB"/>
              </w:rPr>
              <w:t>roportion</w:t>
            </w:r>
          </w:p>
        </w:tc>
      </w:tr>
      <w:tr w:rsidR="00667357" w:rsidRPr="003B7EA9" w14:paraId="2B3816B9" w14:textId="77777777" w:rsidTr="00437839">
        <w:trPr>
          <w:gridAfter w:val="1"/>
          <w:wAfter w:w="1677" w:type="dxa"/>
          <w:trHeight w:val="20"/>
        </w:trPr>
        <w:tc>
          <w:tcPr>
            <w:tcW w:w="1740" w:type="dxa"/>
            <w:tcBorders>
              <w:top w:val="nil"/>
              <w:left w:val="nil"/>
              <w:right w:val="nil"/>
            </w:tcBorders>
            <w:shd w:val="clear" w:color="auto" w:fill="auto"/>
            <w:noWrap/>
            <w:vAlign w:val="center"/>
            <w:hideMark/>
          </w:tcPr>
          <w:p w14:paraId="500AE737" w14:textId="77777777" w:rsidR="00667357" w:rsidRPr="003B7EA9" w:rsidRDefault="00667357" w:rsidP="005C6B29">
            <w:pPr>
              <w:keepNext/>
              <w:spacing w:line="320" w:lineRule="atLeast"/>
              <w:ind w:firstLine="0"/>
              <w:jc w:val="left"/>
              <w:rPr>
                <w:color w:val="000000"/>
                <w:sz w:val="22"/>
                <w:szCs w:val="22"/>
                <w:lang w:eastAsia="en-GB"/>
              </w:rPr>
            </w:pPr>
            <w:r w:rsidRPr="003B7EA9">
              <w:rPr>
                <w:color w:val="000000"/>
                <w:sz w:val="22"/>
                <w:szCs w:val="22"/>
                <w:lang w:eastAsia="en-GB"/>
              </w:rPr>
              <w:t>Employed</w:t>
            </w:r>
          </w:p>
        </w:tc>
        <w:tc>
          <w:tcPr>
            <w:tcW w:w="1060" w:type="dxa"/>
            <w:tcBorders>
              <w:top w:val="nil"/>
              <w:left w:val="nil"/>
              <w:right w:val="nil"/>
            </w:tcBorders>
            <w:shd w:val="clear" w:color="auto" w:fill="auto"/>
            <w:noWrap/>
            <w:vAlign w:val="center"/>
            <w:hideMark/>
          </w:tcPr>
          <w:p w14:paraId="4D550DAF" w14:textId="487B7C60" w:rsidR="00667357" w:rsidRPr="003B7EA9" w:rsidRDefault="00667357" w:rsidP="005C6B29">
            <w:pPr>
              <w:keepNext/>
              <w:spacing w:line="320" w:lineRule="atLeast"/>
              <w:ind w:firstLine="0"/>
              <w:jc w:val="right"/>
              <w:rPr>
                <w:color w:val="000000"/>
                <w:sz w:val="22"/>
                <w:szCs w:val="22"/>
                <w:lang w:eastAsia="en-GB"/>
              </w:rPr>
            </w:pPr>
            <w:r w:rsidRPr="003B7EA9">
              <w:rPr>
                <w:color w:val="000000"/>
                <w:sz w:val="22"/>
                <w:szCs w:val="22"/>
                <w:lang w:eastAsia="en-GB"/>
              </w:rPr>
              <w:t>38</w:t>
            </w:r>
            <w:r w:rsidR="005B66AD">
              <w:rPr>
                <w:color w:val="000000"/>
                <w:sz w:val="22"/>
                <w:szCs w:val="22"/>
                <w:lang w:eastAsia="en-GB"/>
              </w:rPr>
              <w:t>,</w:t>
            </w:r>
            <w:r w:rsidRPr="003B7EA9">
              <w:rPr>
                <w:color w:val="000000"/>
                <w:sz w:val="22"/>
                <w:szCs w:val="22"/>
                <w:lang w:eastAsia="en-GB"/>
              </w:rPr>
              <w:t>020</w:t>
            </w:r>
          </w:p>
        </w:tc>
        <w:tc>
          <w:tcPr>
            <w:tcW w:w="1160" w:type="dxa"/>
            <w:tcBorders>
              <w:top w:val="nil"/>
              <w:left w:val="nil"/>
              <w:right w:val="nil"/>
            </w:tcBorders>
            <w:shd w:val="clear" w:color="auto" w:fill="auto"/>
            <w:noWrap/>
            <w:vAlign w:val="center"/>
            <w:hideMark/>
          </w:tcPr>
          <w:p w14:paraId="52FAD135" w14:textId="77777777" w:rsidR="00667357" w:rsidRPr="003B7EA9" w:rsidRDefault="00667357" w:rsidP="005C6B29">
            <w:pPr>
              <w:keepNext/>
              <w:spacing w:line="320" w:lineRule="atLeast"/>
              <w:ind w:firstLine="0"/>
              <w:jc w:val="center"/>
              <w:rPr>
                <w:color w:val="000000"/>
                <w:sz w:val="22"/>
                <w:szCs w:val="22"/>
                <w:lang w:eastAsia="en-GB"/>
              </w:rPr>
            </w:pPr>
            <w:r w:rsidRPr="003B7EA9">
              <w:rPr>
                <w:color w:val="000000"/>
                <w:sz w:val="22"/>
                <w:szCs w:val="22"/>
                <w:lang w:eastAsia="en-GB"/>
              </w:rPr>
              <w:t>9%</w:t>
            </w:r>
          </w:p>
        </w:tc>
        <w:tc>
          <w:tcPr>
            <w:tcW w:w="1120" w:type="dxa"/>
            <w:tcBorders>
              <w:top w:val="nil"/>
              <w:left w:val="nil"/>
              <w:right w:val="nil"/>
            </w:tcBorders>
            <w:shd w:val="clear" w:color="auto" w:fill="auto"/>
            <w:noWrap/>
            <w:vAlign w:val="center"/>
            <w:hideMark/>
          </w:tcPr>
          <w:p w14:paraId="7B38C7E6" w14:textId="445F57A0" w:rsidR="00667357" w:rsidRPr="003B7EA9" w:rsidRDefault="00667357" w:rsidP="005C6B29">
            <w:pPr>
              <w:keepNext/>
              <w:spacing w:line="320" w:lineRule="atLeast"/>
              <w:ind w:firstLine="0"/>
              <w:jc w:val="right"/>
              <w:rPr>
                <w:color w:val="000000"/>
                <w:sz w:val="22"/>
                <w:szCs w:val="22"/>
                <w:lang w:eastAsia="en-GB"/>
              </w:rPr>
            </w:pPr>
            <w:r w:rsidRPr="003B7EA9">
              <w:rPr>
                <w:color w:val="000000"/>
                <w:sz w:val="22"/>
                <w:szCs w:val="22"/>
                <w:lang w:eastAsia="en-GB"/>
              </w:rPr>
              <w:t>37</w:t>
            </w:r>
            <w:r w:rsidR="005B66AD">
              <w:rPr>
                <w:color w:val="000000"/>
                <w:sz w:val="22"/>
                <w:szCs w:val="22"/>
                <w:lang w:eastAsia="en-GB"/>
              </w:rPr>
              <w:t>,</w:t>
            </w:r>
            <w:r w:rsidRPr="003B7EA9">
              <w:rPr>
                <w:color w:val="000000"/>
                <w:sz w:val="22"/>
                <w:szCs w:val="22"/>
                <w:lang w:eastAsia="en-GB"/>
              </w:rPr>
              <w:t>455</w:t>
            </w:r>
          </w:p>
        </w:tc>
        <w:tc>
          <w:tcPr>
            <w:tcW w:w="1158" w:type="dxa"/>
            <w:tcBorders>
              <w:top w:val="nil"/>
              <w:left w:val="nil"/>
              <w:right w:val="nil"/>
            </w:tcBorders>
            <w:shd w:val="clear" w:color="auto" w:fill="auto"/>
            <w:noWrap/>
            <w:vAlign w:val="center"/>
            <w:hideMark/>
          </w:tcPr>
          <w:p w14:paraId="4C59C71A" w14:textId="77777777" w:rsidR="00667357" w:rsidRPr="003B7EA9" w:rsidRDefault="00667357" w:rsidP="005C6B29">
            <w:pPr>
              <w:keepNext/>
              <w:spacing w:line="320" w:lineRule="atLeast"/>
              <w:ind w:firstLine="0"/>
              <w:jc w:val="center"/>
              <w:rPr>
                <w:color w:val="000000"/>
                <w:sz w:val="22"/>
                <w:szCs w:val="22"/>
                <w:lang w:eastAsia="en-GB"/>
              </w:rPr>
            </w:pPr>
            <w:r w:rsidRPr="003B7EA9">
              <w:rPr>
                <w:color w:val="000000"/>
                <w:sz w:val="22"/>
                <w:szCs w:val="22"/>
                <w:lang w:eastAsia="en-GB"/>
              </w:rPr>
              <w:t>9%</w:t>
            </w:r>
          </w:p>
        </w:tc>
      </w:tr>
      <w:tr w:rsidR="007A57CA" w:rsidRPr="003B7EA9" w14:paraId="56466B5B" w14:textId="77777777" w:rsidTr="005C6B29">
        <w:trPr>
          <w:gridAfter w:val="1"/>
          <w:wAfter w:w="1677" w:type="dxa"/>
          <w:trHeight w:val="20"/>
        </w:trPr>
        <w:tc>
          <w:tcPr>
            <w:tcW w:w="1740" w:type="dxa"/>
            <w:tcBorders>
              <w:top w:val="nil"/>
              <w:left w:val="nil"/>
              <w:right w:val="nil"/>
            </w:tcBorders>
            <w:shd w:val="clear" w:color="auto" w:fill="auto"/>
            <w:noWrap/>
            <w:vAlign w:val="center"/>
            <w:hideMark/>
          </w:tcPr>
          <w:p w14:paraId="625818D7" w14:textId="77777777" w:rsidR="007A57CA" w:rsidRPr="003B7EA9" w:rsidRDefault="007A57CA" w:rsidP="005C6B29">
            <w:pPr>
              <w:keepNext/>
              <w:spacing w:line="320" w:lineRule="atLeast"/>
              <w:ind w:firstLine="0"/>
              <w:jc w:val="left"/>
              <w:rPr>
                <w:color w:val="000000"/>
                <w:sz w:val="22"/>
                <w:szCs w:val="22"/>
                <w:lang w:eastAsia="en-GB"/>
              </w:rPr>
            </w:pPr>
            <w:r w:rsidRPr="003B7EA9">
              <w:rPr>
                <w:color w:val="000000"/>
                <w:sz w:val="22"/>
                <w:szCs w:val="22"/>
                <w:lang w:eastAsia="en-GB"/>
              </w:rPr>
              <w:t>Unemployed</w:t>
            </w:r>
          </w:p>
        </w:tc>
        <w:tc>
          <w:tcPr>
            <w:tcW w:w="1060" w:type="dxa"/>
            <w:tcBorders>
              <w:top w:val="nil"/>
              <w:left w:val="nil"/>
              <w:right w:val="nil"/>
            </w:tcBorders>
            <w:shd w:val="clear" w:color="auto" w:fill="auto"/>
            <w:noWrap/>
            <w:vAlign w:val="center"/>
            <w:hideMark/>
          </w:tcPr>
          <w:p w14:paraId="68BDD555" w14:textId="77777777" w:rsidR="007A57CA" w:rsidRPr="003B7EA9" w:rsidRDefault="007A57CA" w:rsidP="005C6B29">
            <w:pPr>
              <w:keepNext/>
              <w:spacing w:line="320" w:lineRule="atLeast"/>
              <w:ind w:firstLine="0"/>
              <w:jc w:val="right"/>
              <w:rPr>
                <w:color w:val="000000"/>
                <w:sz w:val="22"/>
                <w:szCs w:val="22"/>
                <w:lang w:eastAsia="en-GB"/>
              </w:rPr>
            </w:pPr>
            <w:r w:rsidRPr="003B7EA9">
              <w:rPr>
                <w:color w:val="000000"/>
                <w:sz w:val="22"/>
                <w:szCs w:val="22"/>
                <w:lang w:eastAsia="en-GB"/>
              </w:rPr>
              <w:t>3010</w:t>
            </w:r>
          </w:p>
        </w:tc>
        <w:tc>
          <w:tcPr>
            <w:tcW w:w="1160" w:type="dxa"/>
            <w:tcBorders>
              <w:top w:val="nil"/>
              <w:left w:val="nil"/>
              <w:right w:val="nil"/>
            </w:tcBorders>
            <w:shd w:val="clear" w:color="auto" w:fill="auto"/>
            <w:noWrap/>
            <w:vAlign w:val="center"/>
            <w:hideMark/>
          </w:tcPr>
          <w:p w14:paraId="55AE06ED" w14:textId="77777777" w:rsidR="007A57CA" w:rsidRPr="003B7EA9" w:rsidRDefault="007A57CA" w:rsidP="005C6B29">
            <w:pPr>
              <w:keepNext/>
              <w:spacing w:line="320" w:lineRule="atLeast"/>
              <w:ind w:firstLine="0"/>
              <w:jc w:val="center"/>
              <w:rPr>
                <w:color w:val="000000"/>
                <w:sz w:val="22"/>
                <w:szCs w:val="22"/>
                <w:lang w:eastAsia="en-GB"/>
              </w:rPr>
            </w:pPr>
            <w:r w:rsidRPr="003B7EA9">
              <w:rPr>
                <w:color w:val="000000"/>
                <w:sz w:val="22"/>
                <w:szCs w:val="22"/>
                <w:lang w:eastAsia="en-GB"/>
              </w:rPr>
              <w:t>16%</w:t>
            </w:r>
          </w:p>
        </w:tc>
        <w:tc>
          <w:tcPr>
            <w:tcW w:w="1120" w:type="dxa"/>
            <w:tcBorders>
              <w:top w:val="nil"/>
              <w:left w:val="nil"/>
              <w:right w:val="nil"/>
            </w:tcBorders>
            <w:shd w:val="clear" w:color="auto" w:fill="auto"/>
            <w:noWrap/>
            <w:vAlign w:val="center"/>
            <w:hideMark/>
          </w:tcPr>
          <w:p w14:paraId="104CA544" w14:textId="77777777" w:rsidR="007A57CA" w:rsidRPr="003B7EA9" w:rsidRDefault="007A57CA" w:rsidP="005C6B29">
            <w:pPr>
              <w:keepNext/>
              <w:spacing w:line="320" w:lineRule="atLeast"/>
              <w:ind w:firstLine="0"/>
              <w:jc w:val="right"/>
              <w:rPr>
                <w:color w:val="000000"/>
                <w:sz w:val="22"/>
                <w:szCs w:val="22"/>
                <w:lang w:eastAsia="en-GB"/>
              </w:rPr>
            </w:pPr>
            <w:r w:rsidRPr="003B7EA9">
              <w:rPr>
                <w:color w:val="000000"/>
                <w:sz w:val="22"/>
                <w:szCs w:val="22"/>
                <w:lang w:eastAsia="en-GB"/>
              </w:rPr>
              <w:t>2169</w:t>
            </w:r>
          </w:p>
        </w:tc>
        <w:tc>
          <w:tcPr>
            <w:tcW w:w="1158" w:type="dxa"/>
            <w:tcBorders>
              <w:top w:val="nil"/>
              <w:left w:val="nil"/>
              <w:right w:val="nil"/>
            </w:tcBorders>
            <w:shd w:val="clear" w:color="auto" w:fill="auto"/>
            <w:noWrap/>
            <w:vAlign w:val="center"/>
            <w:hideMark/>
          </w:tcPr>
          <w:p w14:paraId="676CDC25" w14:textId="77777777" w:rsidR="007A57CA" w:rsidRPr="003B7EA9" w:rsidRDefault="007A57CA" w:rsidP="005C6B29">
            <w:pPr>
              <w:keepNext/>
              <w:spacing w:line="320" w:lineRule="atLeast"/>
              <w:ind w:firstLine="0"/>
              <w:jc w:val="center"/>
              <w:rPr>
                <w:color w:val="000000"/>
                <w:sz w:val="22"/>
                <w:szCs w:val="22"/>
                <w:lang w:eastAsia="en-GB"/>
              </w:rPr>
            </w:pPr>
            <w:r w:rsidRPr="003B7EA9">
              <w:rPr>
                <w:color w:val="000000"/>
                <w:sz w:val="22"/>
                <w:szCs w:val="22"/>
                <w:lang w:eastAsia="en-GB"/>
              </w:rPr>
              <w:t>14%</w:t>
            </w:r>
          </w:p>
        </w:tc>
      </w:tr>
      <w:tr w:rsidR="007A57CA" w:rsidRPr="003B7EA9" w14:paraId="2558AE08" w14:textId="77777777" w:rsidTr="005C6B29">
        <w:trPr>
          <w:gridAfter w:val="1"/>
          <w:wAfter w:w="1677" w:type="dxa"/>
          <w:trHeight w:val="20"/>
        </w:trPr>
        <w:tc>
          <w:tcPr>
            <w:tcW w:w="1740" w:type="dxa"/>
            <w:tcBorders>
              <w:top w:val="nil"/>
              <w:left w:val="nil"/>
              <w:right w:val="nil"/>
            </w:tcBorders>
            <w:shd w:val="clear" w:color="auto" w:fill="auto"/>
            <w:noWrap/>
            <w:vAlign w:val="center"/>
            <w:hideMark/>
          </w:tcPr>
          <w:p w14:paraId="66915BD2" w14:textId="77777777" w:rsidR="007A57CA" w:rsidRPr="003B7EA9" w:rsidRDefault="007A57CA" w:rsidP="005C6B29">
            <w:pPr>
              <w:keepNext/>
              <w:spacing w:line="320" w:lineRule="atLeast"/>
              <w:ind w:firstLine="0"/>
              <w:jc w:val="left"/>
              <w:rPr>
                <w:color w:val="000000"/>
                <w:sz w:val="22"/>
                <w:szCs w:val="22"/>
                <w:lang w:eastAsia="en-GB"/>
              </w:rPr>
            </w:pPr>
            <w:r w:rsidRPr="003B7EA9">
              <w:rPr>
                <w:color w:val="000000"/>
                <w:sz w:val="22"/>
                <w:szCs w:val="22"/>
                <w:lang w:eastAsia="en-GB"/>
              </w:rPr>
              <w:t>Full time student</w:t>
            </w:r>
          </w:p>
        </w:tc>
        <w:tc>
          <w:tcPr>
            <w:tcW w:w="1060" w:type="dxa"/>
            <w:tcBorders>
              <w:top w:val="nil"/>
              <w:left w:val="nil"/>
              <w:right w:val="nil"/>
            </w:tcBorders>
            <w:shd w:val="clear" w:color="auto" w:fill="auto"/>
            <w:noWrap/>
            <w:vAlign w:val="center"/>
            <w:hideMark/>
          </w:tcPr>
          <w:p w14:paraId="717C785A" w14:textId="77777777" w:rsidR="007A57CA" w:rsidRPr="003B7EA9" w:rsidRDefault="007A57CA" w:rsidP="005C6B29">
            <w:pPr>
              <w:keepNext/>
              <w:spacing w:line="320" w:lineRule="atLeast"/>
              <w:ind w:firstLine="0"/>
              <w:jc w:val="right"/>
              <w:rPr>
                <w:color w:val="000000"/>
                <w:sz w:val="22"/>
                <w:szCs w:val="22"/>
                <w:lang w:eastAsia="en-GB"/>
              </w:rPr>
            </w:pPr>
            <w:r w:rsidRPr="003B7EA9">
              <w:rPr>
                <w:color w:val="000000"/>
                <w:sz w:val="22"/>
                <w:szCs w:val="22"/>
                <w:lang w:eastAsia="en-GB"/>
              </w:rPr>
              <w:t>2759</w:t>
            </w:r>
          </w:p>
        </w:tc>
        <w:tc>
          <w:tcPr>
            <w:tcW w:w="1160" w:type="dxa"/>
            <w:tcBorders>
              <w:top w:val="nil"/>
              <w:left w:val="nil"/>
              <w:right w:val="nil"/>
            </w:tcBorders>
            <w:shd w:val="clear" w:color="auto" w:fill="auto"/>
            <w:noWrap/>
            <w:vAlign w:val="center"/>
            <w:hideMark/>
          </w:tcPr>
          <w:p w14:paraId="4F221892" w14:textId="77777777" w:rsidR="007A57CA" w:rsidRPr="003B7EA9" w:rsidRDefault="007A57CA" w:rsidP="005C6B29">
            <w:pPr>
              <w:keepNext/>
              <w:spacing w:line="320" w:lineRule="atLeast"/>
              <w:ind w:firstLine="0"/>
              <w:jc w:val="center"/>
              <w:rPr>
                <w:color w:val="000000"/>
                <w:sz w:val="22"/>
                <w:szCs w:val="22"/>
                <w:lang w:eastAsia="en-GB"/>
              </w:rPr>
            </w:pPr>
            <w:r w:rsidRPr="003B7EA9">
              <w:rPr>
                <w:color w:val="000000"/>
                <w:sz w:val="22"/>
                <w:szCs w:val="22"/>
                <w:lang w:eastAsia="en-GB"/>
              </w:rPr>
              <w:t>17%</w:t>
            </w:r>
          </w:p>
        </w:tc>
        <w:tc>
          <w:tcPr>
            <w:tcW w:w="1120" w:type="dxa"/>
            <w:tcBorders>
              <w:top w:val="nil"/>
              <w:left w:val="nil"/>
              <w:right w:val="nil"/>
            </w:tcBorders>
            <w:shd w:val="clear" w:color="auto" w:fill="auto"/>
            <w:noWrap/>
            <w:vAlign w:val="center"/>
            <w:hideMark/>
          </w:tcPr>
          <w:p w14:paraId="6A1566E3" w14:textId="77777777" w:rsidR="007A57CA" w:rsidRPr="003B7EA9" w:rsidRDefault="007A57CA" w:rsidP="005C6B29">
            <w:pPr>
              <w:keepNext/>
              <w:spacing w:line="320" w:lineRule="atLeast"/>
              <w:ind w:firstLine="0"/>
              <w:jc w:val="right"/>
              <w:rPr>
                <w:color w:val="000000"/>
                <w:sz w:val="22"/>
                <w:szCs w:val="22"/>
                <w:lang w:eastAsia="en-GB"/>
              </w:rPr>
            </w:pPr>
            <w:r w:rsidRPr="003B7EA9">
              <w:rPr>
                <w:color w:val="000000"/>
                <w:sz w:val="22"/>
                <w:szCs w:val="22"/>
                <w:lang w:eastAsia="en-GB"/>
              </w:rPr>
              <w:t>4278</w:t>
            </w:r>
          </w:p>
        </w:tc>
        <w:tc>
          <w:tcPr>
            <w:tcW w:w="1158" w:type="dxa"/>
            <w:tcBorders>
              <w:top w:val="nil"/>
              <w:left w:val="nil"/>
              <w:right w:val="nil"/>
            </w:tcBorders>
            <w:shd w:val="clear" w:color="auto" w:fill="auto"/>
            <w:noWrap/>
            <w:vAlign w:val="center"/>
            <w:hideMark/>
          </w:tcPr>
          <w:p w14:paraId="5219081A" w14:textId="77777777" w:rsidR="007A57CA" w:rsidRPr="003B7EA9" w:rsidRDefault="007A57CA" w:rsidP="005C6B29">
            <w:pPr>
              <w:keepNext/>
              <w:spacing w:line="320" w:lineRule="atLeast"/>
              <w:ind w:firstLine="0"/>
              <w:jc w:val="center"/>
              <w:rPr>
                <w:color w:val="000000"/>
                <w:sz w:val="22"/>
                <w:szCs w:val="22"/>
                <w:lang w:eastAsia="en-GB"/>
              </w:rPr>
            </w:pPr>
            <w:r w:rsidRPr="003B7EA9">
              <w:rPr>
                <w:color w:val="000000"/>
                <w:sz w:val="22"/>
                <w:szCs w:val="22"/>
                <w:lang w:eastAsia="en-GB"/>
              </w:rPr>
              <w:t>16%</w:t>
            </w:r>
          </w:p>
        </w:tc>
      </w:tr>
      <w:tr w:rsidR="00667357" w:rsidRPr="003B7EA9" w14:paraId="52147944" w14:textId="77777777" w:rsidTr="00437839">
        <w:trPr>
          <w:gridAfter w:val="1"/>
          <w:wAfter w:w="1677" w:type="dxa"/>
          <w:trHeight w:val="20"/>
        </w:trPr>
        <w:tc>
          <w:tcPr>
            <w:tcW w:w="1740" w:type="dxa"/>
            <w:tcBorders>
              <w:top w:val="nil"/>
              <w:left w:val="nil"/>
              <w:right w:val="nil"/>
            </w:tcBorders>
            <w:shd w:val="clear" w:color="auto" w:fill="auto"/>
            <w:vAlign w:val="center"/>
            <w:hideMark/>
          </w:tcPr>
          <w:p w14:paraId="2E7CB537" w14:textId="77777777" w:rsidR="00667357" w:rsidRPr="003B7EA9" w:rsidRDefault="00667357" w:rsidP="005C6B29">
            <w:pPr>
              <w:keepNext/>
              <w:spacing w:before="120" w:line="240" w:lineRule="auto"/>
              <w:ind w:firstLine="0"/>
              <w:jc w:val="left"/>
              <w:rPr>
                <w:color w:val="000000"/>
                <w:sz w:val="22"/>
                <w:szCs w:val="22"/>
                <w:lang w:eastAsia="en-GB"/>
              </w:rPr>
            </w:pPr>
            <w:r w:rsidRPr="003B7EA9">
              <w:rPr>
                <w:color w:val="000000"/>
                <w:sz w:val="22"/>
                <w:szCs w:val="22"/>
                <w:lang w:eastAsia="en-GB"/>
              </w:rPr>
              <w:t>Looking after family or home</w:t>
            </w:r>
          </w:p>
        </w:tc>
        <w:tc>
          <w:tcPr>
            <w:tcW w:w="1060" w:type="dxa"/>
            <w:tcBorders>
              <w:top w:val="nil"/>
              <w:left w:val="nil"/>
              <w:right w:val="nil"/>
            </w:tcBorders>
            <w:shd w:val="clear" w:color="auto" w:fill="auto"/>
            <w:noWrap/>
            <w:vAlign w:val="center"/>
            <w:hideMark/>
          </w:tcPr>
          <w:p w14:paraId="0140C9FD" w14:textId="77777777" w:rsidR="00667357" w:rsidRPr="003B7EA9" w:rsidRDefault="00667357" w:rsidP="005C6B29">
            <w:pPr>
              <w:keepNext/>
              <w:spacing w:line="320" w:lineRule="atLeast"/>
              <w:ind w:firstLine="0"/>
              <w:jc w:val="right"/>
              <w:rPr>
                <w:color w:val="000000"/>
                <w:sz w:val="22"/>
                <w:szCs w:val="22"/>
                <w:lang w:eastAsia="en-GB"/>
              </w:rPr>
            </w:pPr>
            <w:r w:rsidRPr="003B7EA9">
              <w:rPr>
                <w:color w:val="000000"/>
                <w:sz w:val="22"/>
                <w:szCs w:val="22"/>
                <w:lang w:eastAsia="en-GB"/>
              </w:rPr>
              <w:t>3286</w:t>
            </w:r>
          </w:p>
        </w:tc>
        <w:tc>
          <w:tcPr>
            <w:tcW w:w="1160" w:type="dxa"/>
            <w:tcBorders>
              <w:top w:val="nil"/>
              <w:left w:val="nil"/>
              <w:right w:val="nil"/>
            </w:tcBorders>
            <w:shd w:val="clear" w:color="auto" w:fill="auto"/>
            <w:noWrap/>
            <w:vAlign w:val="center"/>
            <w:hideMark/>
          </w:tcPr>
          <w:p w14:paraId="2D919B92" w14:textId="77777777" w:rsidR="00667357" w:rsidRPr="003B7EA9" w:rsidRDefault="00667357" w:rsidP="005C6B29">
            <w:pPr>
              <w:keepNext/>
              <w:spacing w:line="320" w:lineRule="atLeast"/>
              <w:ind w:firstLine="0"/>
              <w:jc w:val="center"/>
              <w:rPr>
                <w:color w:val="000000"/>
                <w:sz w:val="22"/>
                <w:szCs w:val="22"/>
                <w:lang w:eastAsia="en-GB"/>
              </w:rPr>
            </w:pPr>
            <w:r w:rsidRPr="003B7EA9">
              <w:rPr>
                <w:color w:val="000000"/>
                <w:sz w:val="22"/>
                <w:szCs w:val="22"/>
                <w:lang w:eastAsia="en-GB"/>
              </w:rPr>
              <w:t>13%</w:t>
            </w:r>
          </w:p>
        </w:tc>
        <w:tc>
          <w:tcPr>
            <w:tcW w:w="1120" w:type="dxa"/>
            <w:tcBorders>
              <w:top w:val="nil"/>
              <w:left w:val="nil"/>
              <w:right w:val="nil"/>
            </w:tcBorders>
            <w:shd w:val="clear" w:color="auto" w:fill="auto"/>
            <w:noWrap/>
            <w:vAlign w:val="center"/>
            <w:hideMark/>
          </w:tcPr>
          <w:p w14:paraId="4609ED68" w14:textId="77777777" w:rsidR="00667357" w:rsidRPr="003B7EA9" w:rsidRDefault="00667357" w:rsidP="005C6B29">
            <w:pPr>
              <w:keepNext/>
              <w:spacing w:line="320" w:lineRule="atLeast"/>
              <w:ind w:firstLine="0"/>
              <w:jc w:val="right"/>
              <w:rPr>
                <w:color w:val="000000"/>
                <w:sz w:val="22"/>
                <w:szCs w:val="22"/>
                <w:lang w:eastAsia="en-GB"/>
              </w:rPr>
            </w:pPr>
            <w:r w:rsidRPr="003B7EA9">
              <w:rPr>
                <w:color w:val="000000"/>
                <w:sz w:val="22"/>
                <w:szCs w:val="22"/>
                <w:lang w:eastAsia="en-GB"/>
              </w:rPr>
              <w:t>4073</w:t>
            </w:r>
          </w:p>
        </w:tc>
        <w:tc>
          <w:tcPr>
            <w:tcW w:w="1158" w:type="dxa"/>
            <w:tcBorders>
              <w:top w:val="nil"/>
              <w:left w:val="nil"/>
              <w:right w:val="nil"/>
            </w:tcBorders>
            <w:shd w:val="clear" w:color="auto" w:fill="auto"/>
            <w:noWrap/>
            <w:vAlign w:val="center"/>
            <w:hideMark/>
          </w:tcPr>
          <w:p w14:paraId="05E58B0F" w14:textId="77777777" w:rsidR="00667357" w:rsidRPr="003B7EA9" w:rsidRDefault="00667357" w:rsidP="005C6B29">
            <w:pPr>
              <w:keepNext/>
              <w:spacing w:line="320" w:lineRule="atLeast"/>
              <w:ind w:firstLine="0"/>
              <w:jc w:val="center"/>
              <w:rPr>
                <w:color w:val="000000"/>
                <w:sz w:val="22"/>
                <w:szCs w:val="22"/>
                <w:lang w:eastAsia="en-GB"/>
              </w:rPr>
            </w:pPr>
            <w:r w:rsidRPr="003B7EA9">
              <w:rPr>
                <w:color w:val="000000"/>
                <w:sz w:val="22"/>
                <w:szCs w:val="22"/>
                <w:lang w:eastAsia="en-GB"/>
              </w:rPr>
              <w:t>11%</w:t>
            </w:r>
          </w:p>
        </w:tc>
      </w:tr>
      <w:tr w:rsidR="00667357" w:rsidRPr="003B7EA9" w14:paraId="04F70285" w14:textId="77777777" w:rsidTr="00A10D3E">
        <w:trPr>
          <w:gridAfter w:val="1"/>
          <w:wAfter w:w="1677" w:type="dxa"/>
          <w:trHeight w:val="20"/>
        </w:trPr>
        <w:tc>
          <w:tcPr>
            <w:tcW w:w="1740" w:type="dxa"/>
            <w:tcBorders>
              <w:top w:val="nil"/>
              <w:left w:val="nil"/>
              <w:right w:val="nil"/>
            </w:tcBorders>
            <w:shd w:val="clear" w:color="auto" w:fill="auto"/>
            <w:noWrap/>
            <w:vAlign w:val="center"/>
            <w:hideMark/>
          </w:tcPr>
          <w:p w14:paraId="5824878E" w14:textId="77777777" w:rsidR="00667357" w:rsidRPr="003B7EA9" w:rsidRDefault="00667357" w:rsidP="005C6B29">
            <w:pPr>
              <w:keepNext/>
              <w:spacing w:line="320" w:lineRule="atLeast"/>
              <w:ind w:firstLine="0"/>
              <w:jc w:val="left"/>
              <w:rPr>
                <w:color w:val="000000"/>
                <w:sz w:val="22"/>
                <w:szCs w:val="22"/>
                <w:lang w:eastAsia="en-GB"/>
              </w:rPr>
            </w:pPr>
            <w:r w:rsidRPr="003B7EA9">
              <w:rPr>
                <w:color w:val="000000"/>
                <w:sz w:val="22"/>
                <w:szCs w:val="22"/>
                <w:lang w:eastAsia="en-GB"/>
              </w:rPr>
              <w:t>Sick</w:t>
            </w:r>
          </w:p>
        </w:tc>
        <w:tc>
          <w:tcPr>
            <w:tcW w:w="1060" w:type="dxa"/>
            <w:tcBorders>
              <w:top w:val="nil"/>
              <w:left w:val="nil"/>
              <w:right w:val="nil"/>
            </w:tcBorders>
            <w:shd w:val="clear" w:color="auto" w:fill="auto"/>
            <w:noWrap/>
            <w:vAlign w:val="center"/>
            <w:hideMark/>
          </w:tcPr>
          <w:p w14:paraId="0C7142C2" w14:textId="77777777" w:rsidR="00667357" w:rsidRPr="003B7EA9" w:rsidRDefault="00667357" w:rsidP="005C6B29">
            <w:pPr>
              <w:keepNext/>
              <w:spacing w:line="320" w:lineRule="atLeast"/>
              <w:ind w:firstLine="0"/>
              <w:jc w:val="right"/>
              <w:rPr>
                <w:color w:val="000000"/>
                <w:sz w:val="22"/>
                <w:szCs w:val="22"/>
                <w:lang w:eastAsia="en-GB"/>
              </w:rPr>
            </w:pPr>
            <w:r w:rsidRPr="003B7EA9">
              <w:rPr>
                <w:color w:val="000000"/>
                <w:sz w:val="22"/>
                <w:szCs w:val="22"/>
                <w:lang w:eastAsia="en-GB"/>
              </w:rPr>
              <w:t>3863</w:t>
            </w:r>
          </w:p>
        </w:tc>
        <w:tc>
          <w:tcPr>
            <w:tcW w:w="1160" w:type="dxa"/>
            <w:tcBorders>
              <w:top w:val="nil"/>
              <w:left w:val="nil"/>
              <w:right w:val="nil"/>
            </w:tcBorders>
            <w:shd w:val="clear" w:color="auto" w:fill="auto"/>
            <w:noWrap/>
            <w:vAlign w:val="center"/>
            <w:hideMark/>
          </w:tcPr>
          <w:p w14:paraId="701ABCBA" w14:textId="77777777" w:rsidR="00667357" w:rsidRPr="003B7EA9" w:rsidRDefault="00667357" w:rsidP="005C6B29">
            <w:pPr>
              <w:keepNext/>
              <w:spacing w:line="320" w:lineRule="atLeast"/>
              <w:ind w:firstLine="0"/>
              <w:jc w:val="center"/>
              <w:rPr>
                <w:color w:val="000000"/>
                <w:sz w:val="22"/>
                <w:szCs w:val="22"/>
                <w:lang w:eastAsia="en-GB"/>
              </w:rPr>
            </w:pPr>
            <w:r w:rsidRPr="003B7EA9">
              <w:rPr>
                <w:color w:val="000000"/>
                <w:sz w:val="22"/>
                <w:szCs w:val="22"/>
                <w:lang w:eastAsia="en-GB"/>
              </w:rPr>
              <w:t>7%</w:t>
            </w:r>
          </w:p>
        </w:tc>
        <w:tc>
          <w:tcPr>
            <w:tcW w:w="1120" w:type="dxa"/>
            <w:tcBorders>
              <w:top w:val="nil"/>
              <w:left w:val="nil"/>
              <w:right w:val="nil"/>
            </w:tcBorders>
            <w:shd w:val="clear" w:color="auto" w:fill="auto"/>
            <w:noWrap/>
            <w:vAlign w:val="center"/>
            <w:hideMark/>
          </w:tcPr>
          <w:p w14:paraId="4CC72ADF" w14:textId="77777777" w:rsidR="00667357" w:rsidRPr="003B7EA9" w:rsidRDefault="00667357" w:rsidP="005C6B29">
            <w:pPr>
              <w:keepNext/>
              <w:spacing w:line="320" w:lineRule="atLeast"/>
              <w:ind w:firstLine="0"/>
              <w:jc w:val="right"/>
              <w:rPr>
                <w:color w:val="000000"/>
                <w:sz w:val="22"/>
                <w:szCs w:val="22"/>
                <w:lang w:eastAsia="en-GB"/>
              </w:rPr>
            </w:pPr>
            <w:r w:rsidRPr="003B7EA9">
              <w:rPr>
                <w:color w:val="000000"/>
                <w:sz w:val="22"/>
                <w:szCs w:val="22"/>
                <w:lang w:eastAsia="en-GB"/>
              </w:rPr>
              <w:t>3836</w:t>
            </w:r>
          </w:p>
        </w:tc>
        <w:tc>
          <w:tcPr>
            <w:tcW w:w="1158" w:type="dxa"/>
            <w:tcBorders>
              <w:top w:val="nil"/>
              <w:left w:val="nil"/>
              <w:right w:val="nil"/>
            </w:tcBorders>
            <w:shd w:val="clear" w:color="auto" w:fill="auto"/>
            <w:noWrap/>
            <w:vAlign w:val="center"/>
            <w:hideMark/>
          </w:tcPr>
          <w:p w14:paraId="0FC49E3B" w14:textId="77777777" w:rsidR="00667357" w:rsidRPr="003B7EA9" w:rsidRDefault="00667357" w:rsidP="00A10D3E">
            <w:pPr>
              <w:keepNext/>
              <w:spacing w:line="320" w:lineRule="atLeast"/>
              <w:ind w:firstLine="0"/>
              <w:jc w:val="center"/>
              <w:rPr>
                <w:color w:val="000000"/>
                <w:sz w:val="22"/>
                <w:szCs w:val="22"/>
                <w:lang w:eastAsia="en-GB"/>
              </w:rPr>
            </w:pPr>
            <w:r w:rsidRPr="003B7EA9">
              <w:rPr>
                <w:color w:val="000000"/>
                <w:sz w:val="22"/>
                <w:szCs w:val="22"/>
                <w:lang w:eastAsia="en-GB"/>
              </w:rPr>
              <w:t>7%</w:t>
            </w:r>
          </w:p>
        </w:tc>
      </w:tr>
      <w:tr w:rsidR="00667357" w:rsidRPr="003B7EA9" w14:paraId="66DCCD91" w14:textId="77777777" w:rsidTr="00437839">
        <w:trPr>
          <w:gridAfter w:val="1"/>
          <w:wAfter w:w="1677" w:type="dxa"/>
          <w:trHeight w:val="20"/>
        </w:trPr>
        <w:tc>
          <w:tcPr>
            <w:tcW w:w="1740" w:type="dxa"/>
            <w:tcBorders>
              <w:top w:val="nil"/>
              <w:left w:val="nil"/>
              <w:right w:val="nil"/>
            </w:tcBorders>
            <w:shd w:val="clear" w:color="auto" w:fill="auto"/>
            <w:noWrap/>
            <w:vAlign w:val="center"/>
            <w:hideMark/>
          </w:tcPr>
          <w:p w14:paraId="642CEEF7" w14:textId="77777777" w:rsidR="00667357" w:rsidRPr="003B7EA9" w:rsidRDefault="00667357" w:rsidP="005C6B29">
            <w:pPr>
              <w:keepNext/>
              <w:spacing w:line="320" w:lineRule="atLeast"/>
              <w:ind w:firstLine="0"/>
              <w:jc w:val="left"/>
              <w:rPr>
                <w:color w:val="000000"/>
                <w:sz w:val="22"/>
                <w:szCs w:val="22"/>
                <w:lang w:eastAsia="en-GB"/>
              </w:rPr>
            </w:pPr>
            <w:r w:rsidRPr="003B7EA9">
              <w:rPr>
                <w:color w:val="000000"/>
                <w:sz w:val="22"/>
                <w:szCs w:val="22"/>
                <w:lang w:eastAsia="en-GB"/>
              </w:rPr>
              <w:t>Retired</w:t>
            </w:r>
          </w:p>
        </w:tc>
        <w:tc>
          <w:tcPr>
            <w:tcW w:w="1060" w:type="dxa"/>
            <w:tcBorders>
              <w:top w:val="nil"/>
              <w:left w:val="nil"/>
              <w:right w:val="nil"/>
            </w:tcBorders>
            <w:shd w:val="clear" w:color="auto" w:fill="auto"/>
            <w:noWrap/>
            <w:vAlign w:val="center"/>
            <w:hideMark/>
          </w:tcPr>
          <w:p w14:paraId="2AD85D3D" w14:textId="69990FCC" w:rsidR="00667357" w:rsidRPr="003B7EA9" w:rsidRDefault="00667357" w:rsidP="005C6B29">
            <w:pPr>
              <w:keepNext/>
              <w:spacing w:line="320" w:lineRule="atLeast"/>
              <w:ind w:firstLine="0"/>
              <w:jc w:val="right"/>
              <w:rPr>
                <w:color w:val="000000"/>
                <w:sz w:val="22"/>
                <w:szCs w:val="22"/>
                <w:lang w:eastAsia="en-GB"/>
              </w:rPr>
            </w:pPr>
            <w:r w:rsidRPr="003B7EA9">
              <w:rPr>
                <w:color w:val="000000"/>
                <w:sz w:val="22"/>
                <w:szCs w:val="22"/>
                <w:lang w:eastAsia="en-GB"/>
              </w:rPr>
              <w:t>14</w:t>
            </w:r>
            <w:r w:rsidR="005B66AD">
              <w:rPr>
                <w:color w:val="000000"/>
                <w:sz w:val="22"/>
                <w:szCs w:val="22"/>
                <w:lang w:eastAsia="en-GB"/>
              </w:rPr>
              <w:t>,</w:t>
            </w:r>
            <w:r w:rsidRPr="003B7EA9">
              <w:rPr>
                <w:color w:val="000000"/>
                <w:sz w:val="22"/>
                <w:szCs w:val="22"/>
                <w:lang w:eastAsia="en-GB"/>
              </w:rPr>
              <w:t>049</w:t>
            </w:r>
          </w:p>
        </w:tc>
        <w:tc>
          <w:tcPr>
            <w:tcW w:w="1160" w:type="dxa"/>
            <w:tcBorders>
              <w:top w:val="nil"/>
              <w:left w:val="nil"/>
              <w:right w:val="nil"/>
            </w:tcBorders>
            <w:shd w:val="clear" w:color="auto" w:fill="auto"/>
            <w:noWrap/>
            <w:vAlign w:val="center"/>
            <w:hideMark/>
          </w:tcPr>
          <w:p w14:paraId="497DA907" w14:textId="77777777" w:rsidR="00667357" w:rsidRPr="003B7EA9" w:rsidRDefault="00667357" w:rsidP="005C6B29">
            <w:pPr>
              <w:keepNext/>
              <w:spacing w:line="320" w:lineRule="atLeast"/>
              <w:ind w:firstLine="0"/>
              <w:jc w:val="center"/>
              <w:rPr>
                <w:color w:val="000000"/>
                <w:sz w:val="22"/>
                <w:szCs w:val="22"/>
                <w:lang w:eastAsia="en-GB"/>
              </w:rPr>
            </w:pPr>
            <w:r w:rsidRPr="003B7EA9">
              <w:rPr>
                <w:color w:val="000000"/>
                <w:sz w:val="22"/>
                <w:szCs w:val="22"/>
                <w:lang w:eastAsia="en-GB"/>
              </w:rPr>
              <w:t>2%</w:t>
            </w:r>
          </w:p>
        </w:tc>
        <w:tc>
          <w:tcPr>
            <w:tcW w:w="1120" w:type="dxa"/>
            <w:tcBorders>
              <w:top w:val="nil"/>
              <w:left w:val="nil"/>
              <w:right w:val="nil"/>
            </w:tcBorders>
            <w:shd w:val="clear" w:color="auto" w:fill="auto"/>
            <w:noWrap/>
            <w:vAlign w:val="center"/>
            <w:hideMark/>
          </w:tcPr>
          <w:p w14:paraId="74CA5066" w14:textId="18B16C6B" w:rsidR="00667357" w:rsidRPr="003B7EA9" w:rsidRDefault="00667357" w:rsidP="005C6B29">
            <w:pPr>
              <w:keepNext/>
              <w:spacing w:line="320" w:lineRule="atLeast"/>
              <w:ind w:firstLine="0"/>
              <w:jc w:val="right"/>
              <w:rPr>
                <w:color w:val="000000"/>
                <w:sz w:val="22"/>
                <w:szCs w:val="22"/>
                <w:lang w:eastAsia="en-GB"/>
              </w:rPr>
            </w:pPr>
            <w:r w:rsidRPr="003B7EA9">
              <w:rPr>
                <w:color w:val="000000"/>
                <w:sz w:val="22"/>
                <w:szCs w:val="22"/>
                <w:lang w:eastAsia="en-GB"/>
              </w:rPr>
              <w:t>13</w:t>
            </w:r>
            <w:r w:rsidR="005B66AD">
              <w:rPr>
                <w:color w:val="000000"/>
                <w:sz w:val="22"/>
                <w:szCs w:val="22"/>
                <w:lang w:eastAsia="en-GB"/>
              </w:rPr>
              <w:t>,</w:t>
            </w:r>
            <w:r w:rsidRPr="003B7EA9">
              <w:rPr>
                <w:color w:val="000000"/>
                <w:sz w:val="22"/>
                <w:szCs w:val="22"/>
                <w:lang w:eastAsia="en-GB"/>
              </w:rPr>
              <w:t>509</w:t>
            </w:r>
          </w:p>
        </w:tc>
        <w:tc>
          <w:tcPr>
            <w:tcW w:w="1158" w:type="dxa"/>
            <w:tcBorders>
              <w:top w:val="nil"/>
              <w:left w:val="nil"/>
              <w:right w:val="nil"/>
            </w:tcBorders>
            <w:shd w:val="clear" w:color="auto" w:fill="auto"/>
            <w:noWrap/>
            <w:vAlign w:val="center"/>
            <w:hideMark/>
          </w:tcPr>
          <w:p w14:paraId="107B579D" w14:textId="77777777" w:rsidR="00667357" w:rsidRPr="003B7EA9" w:rsidRDefault="00667357" w:rsidP="005C6B29">
            <w:pPr>
              <w:keepNext/>
              <w:spacing w:line="320" w:lineRule="atLeast"/>
              <w:ind w:firstLine="0"/>
              <w:jc w:val="center"/>
              <w:rPr>
                <w:color w:val="000000"/>
                <w:sz w:val="22"/>
                <w:szCs w:val="22"/>
                <w:lang w:eastAsia="en-GB"/>
              </w:rPr>
            </w:pPr>
            <w:r w:rsidRPr="003B7EA9">
              <w:rPr>
                <w:color w:val="000000"/>
                <w:sz w:val="22"/>
                <w:szCs w:val="22"/>
                <w:lang w:eastAsia="en-GB"/>
              </w:rPr>
              <w:t>2%</w:t>
            </w:r>
          </w:p>
        </w:tc>
      </w:tr>
      <w:tr w:rsidR="00667357" w:rsidRPr="003B7EA9" w14:paraId="3BFBB521" w14:textId="77777777" w:rsidTr="00437839">
        <w:trPr>
          <w:gridAfter w:val="1"/>
          <w:wAfter w:w="1677" w:type="dxa"/>
          <w:trHeight w:val="20"/>
        </w:trPr>
        <w:tc>
          <w:tcPr>
            <w:tcW w:w="1740" w:type="dxa"/>
            <w:tcBorders>
              <w:top w:val="nil"/>
              <w:left w:val="nil"/>
              <w:right w:val="nil"/>
            </w:tcBorders>
            <w:shd w:val="clear" w:color="auto" w:fill="auto"/>
            <w:noWrap/>
            <w:vAlign w:val="center"/>
            <w:hideMark/>
          </w:tcPr>
          <w:p w14:paraId="5BEE572E" w14:textId="77777777" w:rsidR="00667357" w:rsidRPr="003B7EA9" w:rsidRDefault="00667357" w:rsidP="005C6B29">
            <w:pPr>
              <w:keepNext/>
              <w:spacing w:line="320" w:lineRule="atLeast"/>
              <w:ind w:firstLine="0"/>
              <w:jc w:val="left"/>
              <w:rPr>
                <w:color w:val="000000"/>
                <w:sz w:val="22"/>
                <w:szCs w:val="22"/>
                <w:lang w:eastAsia="en-GB"/>
              </w:rPr>
            </w:pPr>
            <w:r w:rsidRPr="003B7EA9">
              <w:rPr>
                <w:color w:val="000000"/>
                <w:sz w:val="22"/>
                <w:szCs w:val="22"/>
                <w:lang w:eastAsia="en-GB"/>
              </w:rPr>
              <w:t>None of these</w:t>
            </w:r>
          </w:p>
        </w:tc>
        <w:tc>
          <w:tcPr>
            <w:tcW w:w="1060" w:type="dxa"/>
            <w:tcBorders>
              <w:top w:val="nil"/>
              <w:left w:val="nil"/>
              <w:right w:val="nil"/>
            </w:tcBorders>
            <w:shd w:val="clear" w:color="auto" w:fill="auto"/>
            <w:noWrap/>
            <w:vAlign w:val="center"/>
            <w:hideMark/>
          </w:tcPr>
          <w:p w14:paraId="6193750C" w14:textId="77777777" w:rsidR="00667357" w:rsidRPr="003B7EA9" w:rsidRDefault="00667357" w:rsidP="005C6B29">
            <w:pPr>
              <w:keepNext/>
              <w:spacing w:line="320" w:lineRule="atLeast"/>
              <w:ind w:firstLine="0"/>
              <w:jc w:val="right"/>
              <w:rPr>
                <w:color w:val="000000"/>
                <w:sz w:val="22"/>
                <w:szCs w:val="22"/>
                <w:lang w:eastAsia="en-GB"/>
              </w:rPr>
            </w:pPr>
            <w:r w:rsidRPr="003B7EA9">
              <w:rPr>
                <w:color w:val="000000"/>
                <w:sz w:val="22"/>
                <w:szCs w:val="22"/>
                <w:lang w:eastAsia="en-GB"/>
              </w:rPr>
              <w:t>1227</w:t>
            </w:r>
          </w:p>
        </w:tc>
        <w:tc>
          <w:tcPr>
            <w:tcW w:w="1160" w:type="dxa"/>
            <w:tcBorders>
              <w:top w:val="nil"/>
              <w:left w:val="nil"/>
              <w:right w:val="nil"/>
            </w:tcBorders>
            <w:shd w:val="clear" w:color="auto" w:fill="auto"/>
            <w:noWrap/>
            <w:vAlign w:val="center"/>
            <w:hideMark/>
          </w:tcPr>
          <w:p w14:paraId="70FE43E5" w14:textId="77777777" w:rsidR="00667357" w:rsidRPr="003B7EA9" w:rsidRDefault="00667357" w:rsidP="005C6B29">
            <w:pPr>
              <w:keepNext/>
              <w:spacing w:line="320" w:lineRule="atLeast"/>
              <w:ind w:firstLine="0"/>
              <w:jc w:val="center"/>
              <w:rPr>
                <w:color w:val="000000"/>
                <w:sz w:val="22"/>
                <w:szCs w:val="22"/>
                <w:lang w:eastAsia="en-GB"/>
              </w:rPr>
            </w:pPr>
            <w:r w:rsidRPr="003B7EA9">
              <w:rPr>
                <w:color w:val="000000"/>
                <w:sz w:val="22"/>
                <w:szCs w:val="22"/>
                <w:lang w:eastAsia="en-GB"/>
              </w:rPr>
              <w:t>11%</w:t>
            </w:r>
          </w:p>
        </w:tc>
        <w:tc>
          <w:tcPr>
            <w:tcW w:w="1120" w:type="dxa"/>
            <w:tcBorders>
              <w:top w:val="nil"/>
              <w:left w:val="nil"/>
              <w:right w:val="nil"/>
            </w:tcBorders>
            <w:shd w:val="clear" w:color="auto" w:fill="auto"/>
            <w:noWrap/>
            <w:vAlign w:val="center"/>
            <w:hideMark/>
          </w:tcPr>
          <w:p w14:paraId="657F8FAA" w14:textId="77777777" w:rsidR="00667357" w:rsidRPr="003B7EA9" w:rsidRDefault="00667357" w:rsidP="005C6B29">
            <w:pPr>
              <w:keepNext/>
              <w:spacing w:line="320" w:lineRule="atLeast"/>
              <w:ind w:firstLine="0"/>
              <w:jc w:val="right"/>
              <w:rPr>
                <w:color w:val="000000"/>
                <w:sz w:val="22"/>
                <w:szCs w:val="22"/>
                <w:lang w:eastAsia="en-GB"/>
              </w:rPr>
            </w:pPr>
            <w:r w:rsidRPr="003B7EA9">
              <w:rPr>
                <w:color w:val="000000"/>
                <w:sz w:val="22"/>
                <w:szCs w:val="22"/>
                <w:lang w:eastAsia="en-GB"/>
              </w:rPr>
              <w:t>894</w:t>
            </w:r>
          </w:p>
        </w:tc>
        <w:tc>
          <w:tcPr>
            <w:tcW w:w="1158" w:type="dxa"/>
            <w:tcBorders>
              <w:top w:val="nil"/>
              <w:left w:val="nil"/>
              <w:right w:val="nil"/>
            </w:tcBorders>
            <w:shd w:val="clear" w:color="auto" w:fill="auto"/>
            <w:noWrap/>
            <w:vAlign w:val="center"/>
            <w:hideMark/>
          </w:tcPr>
          <w:p w14:paraId="69B7671D" w14:textId="77777777" w:rsidR="00667357" w:rsidRPr="003B7EA9" w:rsidRDefault="00667357" w:rsidP="005C6B29">
            <w:pPr>
              <w:keepNext/>
              <w:spacing w:line="320" w:lineRule="atLeast"/>
              <w:ind w:firstLine="0"/>
              <w:jc w:val="center"/>
              <w:rPr>
                <w:color w:val="000000"/>
                <w:sz w:val="22"/>
                <w:szCs w:val="22"/>
                <w:lang w:eastAsia="en-GB"/>
              </w:rPr>
            </w:pPr>
            <w:r w:rsidRPr="003B7EA9">
              <w:rPr>
                <w:color w:val="000000"/>
                <w:sz w:val="22"/>
                <w:szCs w:val="22"/>
                <w:lang w:eastAsia="en-GB"/>
              </w:rPr>
              <w:t>22%</w:t>
            </w:r>
          </w:p>
        </w:tc>
      </w:tr>
      <w:tr w:rsidR="00667357" w:rsidRPr="003B7EA9" w14:paraId="0DE48D16" w14:textId="77777777" w:rsidTr="00437839">
        <w:trPr>
          <w:gridAfter w:val="1"/>
          <w:wAfter w:w="1677" w:type="dxa"/>
          <w:trHeight w:val="20"/>
        </w:trPr>
        <w:tc>
          <w:tcPr>
            <w:tcW w:w="1740" w:type="dxa"/>
            <w:tcBorders>
              <w:left w:val="nil"/>
              <w:bottom w:val="single" w:sz="4" w:space="0" w:color="auto"/>
              <w:right w:val="nil"/>
            </w:tcBorders>
            <w:shd w:val="clear" w:color="auto" w:fill="auto"/>
            <w:noWrap/>
            <w:vAlign w:val="center"/>
            <w:hideMark/>
          </w:tcPr>
          <w:p w14:paraId="0D6ED67C" w14:textId="77777777" w:rsidR="00667357" w:rsidRPr="003B7EA9" w:rsidRDefault="00667357" w:rsidP="005C6B29">
            <w:pPr>
              <w:keepNext/>
              <w:spacing w:line="320" w:lineRule="atLeast"/>
              <w:ind w:firstLine="0"/>
              <w:jc w:val="left"/>
              <w:rPr>
                <w:color w:val="000000"/>
                <w:sz w:val="22"/>
                <w:szCs w:val="22"/>
                <w:lang w:eastAsia="en-GB"/>
              </w:rPr>
            </w:pPr>
            <w:r w:rsidRPr="003B7EA9">
              <w:rPr>
                <w:color w:val="000000"/>
                <w:sz w:val="22"/>
                <w:szCs w:val="22"/>
                <w:lang w:eastAsia="en-GB"/>
              </w:rPr>
              <w:t>All categories</w:t>
            </w:r>
          </w:p>
        </w:tc>
        <w:tc>
          <w:tcPr>
            <w:tcW w:w="1060" w:type="dxa"/>
            <w:tcBorders>
              <w:left w:val="nil"/>
              <w:bottom w:val="single" w:sz="4" w:space="0" w:color="auto"/>
              <w:right w:val="nil"/>
            </w:tcBorders>
            <w:shd w:val="clear" w:color="auto" w:fill="auto"/>
            <w:noWrap/>
            <w:vAlign w:val="center"/>
            <w:hideMark/>
          </w:tcPr>
          <w:p w14:paraId="70271967" w14:textId="2FFFF787" w:rsidR="00667357" w:rsidRPr="003B7EA9" w:rsidRDefault="00667357" w:rsidP="005C6B29">
            <w:pPr>
              <w:keepNext/>
              <w:spacing w:line="320" w:lineRule="atLeast"/>
              <w:ind w:firstLine="0"/>
              <w:jc w:val="right"/>
              <w:rPr>
                <w:color w:val="000000"/>
                <w:sz w:val="22"/>
                <w:szCs w:val="22"/>
                <w:lang w:eastAsia="en-GB"/>
              </w:rPr>
            </w:pPr>
            <w:r w:rsidRPr="003B7EA9">
              <w:rPr>
                <w:color w:val="000000"/>
                <w:sz w:val="22"/>
                <w:szCs w:val="22"/>
                <w:lang w:eastAsia="en-GB"/>
              </w:rPr>
              <w:t>66</w:t>
            </w:r>
            <w:r w:rsidR="005B66AD">
              <w:rPr>
                <w:color w:val="000000"/>
                <w:sz w:val="22"/>
                <w:szCs w:val="22"/>
                <w:lang w:eastAsia="en-GB"/>
              </w:rPr>
              <w:t>,</w:t>
            </w:r>
            <w:r w:rsidRPr="003B7EA9">
              <w:rPr>
                <w:color w:val="000000"/>
                <w:sz w:val="22"/>
                <w:szCs w:val="22"/>
                <w:lang w:eastAsia="en-GB"/>
              </w:rPr>
              <w:t>214</w:t>
            </w:r>
          </w:p>
        </w:tc>
        <w:tc>
          <w:tcPr>
            <w:tcW w:w="1160" w:type="dxa"/>
            <w:tcBorders>
              <w:left w:val="nil"/>
              <w:bottom w:val="single" w:sz="4" w:space="0" w:color="auto"/>
              <w:right w:val="nil"/>
            </w:tcBorders>
            <w:shd w:val="clear" w:color="auto" w:fill="auto"/>
            <w:noWrap/>
            <w:vAlign w:val="center"/>
            <w:hideMark/>
          </w:tcPr>
          <w:p w14:paraId="270673C3" w14:textId="77777777" w:rsidR="00667357" w:rsidRPr="003B7EA9" w:rsidRDefault="00667357" w:rsidP="005C6B29">
            <w:pPr>
              <w:keepNext/>
              <w:spacing w:line="320" w:lineRule="atLeast"/>
              <w:ind w:firstLine="0"/>
              <w:jc w:val="center"/>
              <w:rPr>
                <w:color w:val="000000"/>
                <w:sz w:val="22"/>
                <w:szCs w:val="22"/>
                <w:lang w:eastAsia="en-GB"/>
              </w:rPr>
            </w:pPr>
            <w:r w:rsidRPr="003B7EA9">
              <w:rPr>
                <w:color w:val="000000"/>
                <w:sz w:val="22"/>
                <w:szCs w:val="22"/>
                <w:lang w:eastAsia="en-GB"/>
              </w:rPr>
              <w:t>8%</w:t>
            </w:r>
          </w:p>
        </w:tc>
        <w:tc>
          <w:tcPr>
            <w:tcW w:w="1120" w:type="dxa"/>
            <w:tcBorders>
              <w:left w:val="nil"/>
              <w:bottom w:val="single" w:sz="4" w:space="0" w:color="auto"/>
              <w:right w:val="nil"/>
            </w:tcBorders>
            <w:shd w:val="clear" w:color="auto" w:fill="auto"/>
            <w:noWrap/>
            <w:vAlign w:val="center"/>
            <w:hideMark/>
          </w:tcPr>
          <w:p w14:paraId="3D93D688" w14:textId="09C7B789" w:rsidR="00667357" w:rsidRPr="003B7EA9" w:rsidRDefault="00667357" w:rsidP="005C6B29">
            <w:pPr>
              <w:keepNext/>
              <w:spacing w:line="320" w:lineRule="atLeast"/>
              <w:ind w:firstLine="0"/>
              <w:jc w:val="right"/>
              <w:rPr>
                <w:color w:val="000000"/>
                <w:sz w:val="22"/>
                <w:szCs w:val="22"/>
                <w:lang w:eastAsia="en-GB"/>
              </w:rPr>
            </w:pPr>
            <w:r w:rsidRPr="003B7EA9">
              <w:rPr>
                <w:color w:val="000000"/>
                <w:sz w:val="22"/>
                <w:szCs w:val="22"/>
                <w:lang w:eastAsia="en-GB"/>
              </w:rPr>
              <w:t>66</w:t>
            </w:r>
            <w:r w:rsidR="005B66AD">
              <w:rPr>
                <w:color w:val="000000"/>
                <w:sz w:val="22"/>
                <w:szCs w:val="22"/>
                <w:lang w:eastAsia="en-GB"/>
              </w:rPr>
              <w:t>,</w:t>
            </w:r>
            <w:r w:rsidRPr="003B7EA9">
              <w:rPr>
                <w:color w:val="000000"/>
                <w:sz w:val="22"/>
                <w:szCs w:val="22"/>
                <w:lang w:eastAsia="en-GB"/>
              </w:rPr>
              <w:t>214</w:t>
            </w:r>
          </w:p>
        </w:tc>
        <w:tc>
          <w:tcPr>
            <w:tcW w:w="1158" w:type="dxa"/>
            <w:tcBorders>
              <w:left w:val="nil"/>
              <w:bottom w:val="single" w:sz="4" w:space="0" w:color="auto"/>
              <w:right w:val="nil"/>
            </w:tcBorders>
            <w:shd w:val="clear" w:color="auto" w:fill="auto"/>
            <w:noWrap/>
            <w:vAlign w:val="center"/>
            <w:hideMark/>
          </w:tcPr>
          <w:p w14:paraId="6B99FF50" w14:textId="77777777" w:rsidR="00667357" w:rsidRPr="003B7EA9" w:rsidRDefault="00667357" w:rsidP="005C6B29">
            <w:pPr>
              <w:keepNext/>
              <w:spacing w:line="320" w:lineRule="atLeast"/>
              <w:ind w:firstLine="0"/>
              <w:jc w:val="center"/>
              <w:rPr>
                <w:color w:val="000000"/>
                <w:sz w:val="22"/>
                <w:szCs w:val="22"/>
                <w:lang w:eastAsia="en-GB"/>
              </w:rPr>
            </w:pPr>
            <w:r w:rsidRPr="003B7EA9">
              <w:rPr>
                <w:color w:val="000000"/>
                <w:sz w:val="22"/>
                <w:szCs w:val="22"/>
                <w:lang w:eastAsia="en-GB"/>
              </w:rPr>
              <w:t>8%</w:t>
            </w:r>
          </w:p>
        </w:tc>
      </w:tr>
    </w:tbl>
    <w:p w14:paraId="2D99C7C5" w14:textId="77777777" w:rsidR="008F28C7" w:rsidRPr="003B7EA9" w:rsidRDefault="00F15562" w:rsidP="008F28C7">
      <w:pPr>
        <w:ind w:left="-709" w:firstLine="0"/>
        <w:rPr>
          <w:i/>
          <w:sz w:val="22"/>
          <w:szCs w:val="22"/>
          <w:lang w:eastAsia="en-GB"/>
        </w:rPr>
      </w:pPr>
      <w:r w:rsidRPr="003B7EA9">
        <w:rPr>
          <w:i/>
          <w:sz w:val="22"/>
          <w:szCs w:val="22"/>
          <w:lang w:eastAsia="en-GB"/>
        </w:rPr>
        <w:tab/>
        <w:t>Source: Calculated from Apr-Jun 2011 Labour Force Survey</w:t>
      </w:r>
    </w:p>
    <w:tbl>
      <w:tblPr>
        <w:tblW w:w="7394" w:type="dxa"/>
        <w:tblInd w:w="93" w:type="dxa"/>
        <w:tblLook w:val="04A0" w:firstRow="1" w:lastRow="0" w:firstColumn="1" w:lastColumn="0" w:noHBand="0" w:noVBand="1"/>
      </w:tblPr>
      <w:tblGrid>
        <w:gridCol w:w="2142"/>
        <w:gridCol w:w="1072"/>
        <w:gridCol w:w="780"/>
        <w:gridCol w:w="758"/>
        <w:gridCol w:w="182"/>
        <w:gridCol w:w="638"/>
        <w:gridCol w:w="182"/>
        <w:gridCol w:w="638"/>
        <w:gridCol w:w="182"/>
        <w:gridCol w:w="638"/>
        <w:gridCol w:w="182"/>
      </w:tblGrid>
      <w:tr w:rsidR="00F15562" w:rsidRPr="003B7EA9" w14:paraId="22032ABF" w14:textId="77777777" w:rsidTr="00C5012C">
        <w:trPr>
          <w:gridAfter w:val="1"/>
          <w:wAfter w:w="182" w:type="dxa"/>
          <w:trHeight w:val="300"/>
        </w:trPr>
        <w:tc>
          <w:tcPr>
            <w:tcW w:w="4752" w:type="dxa"/>
            <w:gridSpan w:val="4"/>
            <w:tcBorders>
              <w:top w:val="nil"/>
              <w:left w:val="nil"/>
              <w:bottom w:val="nil"/>
              <w:right w:val="nil"/>
            </w:tcBorders>
            <w:shd w:val="clear" w:color="auto" w:fill="auto"/>
            <w:noWrap/>
            <w:vAlign w:val="bottom"/>
            <w:hideMark/>
          </w:tcPr>
          <w:p w14:paraId="10CA9A66" w14:textId="264A5ECF" w:rsidR="00F15562" w:rsidRPr="003B7EA9" w:rsidRDefault="00F15562" w:rsidP="00A051CD">
            <w:pPr>
              <w:spacing w:line="240" w:lineRule="auto"/>
              <w:ind w:firstLine="0"/>
              <w:rPr>
                <w:color w:val="000000"/>
                <w:sz w:val="22"/>
                <w:szCs w:val="22"/>
                <w:lang w:eastAsia="en-GB"/>
              </w:rPr>
            </w:pPr>
            <w:r w:rsidRPr="003B7EA9">
              <w:rPr>
                <w:i/>
                <w:iCs/>
                <w:color w:val="000000"/>
                <w:sz w:val="22"/>
                <w:szCs w:val="22"/>
                <w:lang w:eastAsia="en-GB"/>
              </w:rPr>
              <w:t xml:space="preserve">Table </w:t>
            </w:r>
            <w:r w:rsidR="005C6B29" w:rsidRPr="003B7EA9">
              <w:rPr>
                <w:i/>
                <w:iCs/>
                <w:color w:val="000000"/>
                <w:sz w:val="22"/>
                <w:szCs w:val="22"/>
                <w:lang w:eastAsia="en-GB"/>
              </w:rPr>
              <w:t>3</w:t>
            </w:r>
            <w:r w:rsidRPr="003B7EA9">
              <w:rPr>
                <w:i/>
                <w:iCs/>
                <w:color w:val="000000"/>
                <w:sz w:val="22"/>
                <w:szCs w:val="22"/>
                <w:lang w:eastAsia="en-GB"/>
              </w:rPr>
              <w:t xml:space="preserve">   Order of </w:t>
            </w:r>
            <w:r w:rsidR="00A051CD">
              <w:rPr>
                <w:i/>
                <w:iCs/>
                <w:color w:val="000000"/>
                <w:sz w:val="22"/>
                <w:szCs w:val="22"/>
                <w:lang w:eastAsia="en-GB"/>
              </w:rPr>
              <w:t>i</w:t>
            </w:r>
            <w:r w:rsidRPr="003B7EA9">
              <w:rPr>
                <w:i/>
                <w:iCs/>
                <w:color w:val="000000"/>
                <w:sz w:val="22"/>
                <w:szCs w:val="22"/>
                <w:lang w:eastAsia="en-GB"/>
              </w:rPr>
              <w:t xml:space="preserve">nclusion of </w:t>
            </w:r>
            <w:r w:rsidR="00A051CD">
              <w:rPr>
                <w:i/>
                <w:iCs/>
                <w:color w:val="000000"/>
                <w:sz w:val="22"/>
                <w:szCs w:val="22"/>
                <w:lang w:eastAsia="en-GB"/>
              </w:rPr>
              <w:t>v</w:t>
            </w:r>
            <w:r w:rsidRPr="003B7EA9">
              <w:rPr>
                <w:i/>
                <w:iCs/>
                <w:color w:val="000000"/>
                <w:sz w:val="22"/>
                <w:szCs w:val="22"/>
                <w:lang w:eastAsia="en-GB"/>
              </w:rPr>
              <w:t>ariables</w:t>
            </w:r>
          </w:p>
        </w:tc>
        <w:tc>
          <w:tcPr>
            <w:tcW w:w="820" w:type="dxa"/>
            <w:gridSpan w:val="2"/>
            <w:tcBorders>
              <w:top w:val="nil"/>
              <w:left w:val="nil"/>
              <w:bottom w:val="nil"/>
              <w:right w:val="nil"/>
            </w:tcBorders>
            <w:shd w:val="clear" w:color="auto" w:fill="auto"/>
            <w:noWrap/>
            <w:vAlign w:val="bottom"/>
            <w:hideMark/>
          </w:tcPr>
          <w:p w14:paraId="4791F0EE" w14:textId="77777777" w:rsidR="00F15562" w:rsidRPr="003B7EA9" w:rsidRDefault="00F15562" w:rsidP="00F15562">
            <w:pPr>
              <w:spacing w:line="240" w:lineRule="auto"/>
              <w:ind w:firstLine="0"/>
              <w:jc w:val="center"/>
              <w:rPr>
                <w:color w:val="000000"/>
                <w:sz w:val="22"/>
                <w:szCs w:val="22"/>
                <w:lang w:eastAsia="en-GB"/>
              </w:rPr>
            </w:pPr>
          </w:p>
        </w:tc>
        <w:tc>
          <w:tcPr>
            <w:tcW w:w="820" w:type="dxa"/>
            <w:gridSpan w:val="2"/>
            <w:tcBorders>
              <w:top w:val="nil"/>
              <w:left w:val="nil"/>
              <w:bottom w:val="nil"/>
              <w:right w:val="nil"/>
            </w:tcBorders>
            <w:shd w:val="clear" w:color="auto" w:fill="auto"/>
            <w:noWrap/>
            <w:vAlign w:val="bottom"/>
            <w:hideMark/>
          </w:tcPr>
          <w:p w14:paraId="44D4A4F1" w14:textId="77777777" w:rsidR="00F15562" w:rsidRPr="003B7EA9" w:rsidRDefault="00F15562" w:rsidP="00F15562">
            <w:pPr>
              <w:spacing w:line="240" w:lineRule="auto"/>
              <w:ind w:firstLine="0"/>
              <w:jc w:val="center"/>
              <w:rPr>
                <w:color w:val="000000"/>
                <w:sz w:val="22"/>
                <w:szCs w:val="22"/>
                <w:lang w:eastAsia="en-GB"/>
              </w:rPr>
            </w:pPr>
          </w:p>
        </w:tc>
        <w:tc>
          <w:tcPr>
            <w:tcW w:w="820" w:type="dxa"/>
            <w:gridSpan w:val="2"/>
            <w:tcBorders>
              <w:top w:val="nil"/>
              <w:left w:val="nil"/>
              <w:bottom w:val="nil"/>
              <w:right w:val="nil"/>
            </w:tcBorders>
            <w:shd w:val="clear" w:color="auto" w:fill="auto"/>
            <w:noWrap/>
            <w:vAlign w:val="bottom"/>
            <w:hideMark/>
          </w:tcPr>
          <w:p w14:paraId="2CC87A28" w14:textId="77777777" w:rsidR="00F15562" w:rsidRPr="003B7EA9" w:rsidRDefault="00F15562" w:rsidP="00F15562">
            <w:pPr>
              <w:spacing w:line="240" w:lineRule="auto"/>
              <w:ind w:firstLine="0"/>
              <w:jc w:val="center"/>
              <w:rPr>
                <w:color w:val="000000"/>
                <w:sz w:val="22"/>
                <w:szCs w:val="22"/>
                <w:lang w:eastAsia="en-GB"/>
              </w:rPr>
            </w:pPr>
          </w:p>
        </w:tc>
      </w:tr>
      <w:tr w:rsidR="00F15562" w:rsidRPr="003B7EA9" w14:paraId="6A4B26A4" w14:textId="77777777" w:rsidTr="00C5012C">
        <w:trPr>
          <w:trHeight w:val="600"/>
        </w:trPr>
        <w:tc>
          <w:tcPr>
            <w:tcW w:w="2142" w:type="dxa"/>
            <w:tcBorders>
              <w:top w:val="nil"/>
              <w:left w:val="nil"/>
              <w:bottom w:val="single" w:sz="4" w:space="0" w:color="auto"/>
              <w:right w:val="nil"/>
            </w:tcBorders>
            <w:shd w:val="clear" w:color="auto" w:fill="auto"/>
            <w:vAlign w:val="bottom"/>
            <w:hideMark/>
          </w:tcPr>
          <w:p w14:paraId="6E8BAF89" w14:textId="77777777" w:rsidR="00C5012C" w:rsidRPr="003B7EA9" w:rsidRDefault="00F15562" w:rsidP="00C5012C">
            <w:pPr>
              <w:spacing w:line="240" w:lineRule="auto"/>
              <w:ind w:firstLine="0"/>
              <w:jc w:val="right"/>
              <w:rPr>
                <w:color w:val="000000"/>
                <w:sz w:val="22"/>
                <w:szCs w:val="22"/>
                <w:lang w:eastAsia="en-GB"/>
              </w:rPr>
            </w:pPr>
            <w:r w:rsidRPr="003B7EA9">
              <w:rPr>
                <w:color w:val="000000"/>
                <w:sz w:val="22"/>
                <w:szCs w:val="22"/>
                <w:lang w:eastAsia="en-GB"/>
              </w:rPr>
              <w:t xml:space="preserve">Model </w:t>
            </w:r>
          </w:p>
          <w:p w14:paraId="7FDA05EA" w14:textId="77777777" w:rsidR="00F15562" w:rsidRPr="003B7EA9" w:rsidRDefault="00F15562" w:rsidP="00C5012C">
            <w:pPr>
              <w:spacing w:line="240" w:lineRule="auto"/>
              <w:ind w:firstLine="0"/>
              <w:jc w:val="left"/>
              <w:rPr>
                <w:color w:val="000000"/>
                <w:sz w:val="22"/>
                <w:szCs w:val="22"/>
                <w:lang w:eastAsia="en-GB"/>
              </w:rPr>
            </w:pPr>
            <w:r w:rsidRPr="003B7EA9">
              <w:rPr>
                <w:color w:val="000000"/>
                <w:sz w:val="22"/>
                <w:szCs w:val="22"/>
                <w:lang w:eastAsia="en-GB"/>
              </w:rPr>
              <w:t>Variable</w:t>
            </w:r>
          </w:p>
        </w:tc>
        <w:tc>
          <w:tcPr>
            <w:tcW w:w="1072" w:type="dxa"/>
            <w:tcBorders>
              <w:top w:val="nil"/>
              <w:left w:val="nil"/>
              <w:bottom w:val="single" w:sz="4" w:space="0" w:color="auto"/>
              <w:right w:val="nil"/>
            </w:tcBorders>
            <w:shd w:val="clear" w:color="auto" w:fill="auto"/>
            <w:vAlign w:val="bottom"/>
            <w:hideMark/>
          </w:tcPr>
          <w:p w14:paraId="6A21D878"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All Usual Residents</w:t>
            </w:r>
          </w:p>
        </w:tc>
        <w:tc>
          <w:tcPr>
            <w:tcW w:w="780" w:type="dxa"/>
            <w:tcBorders>
              <w:top w:val="nil"/>
              <w:left w:val="nil"/>
              <w:bottom w:val="single" w:sz="4" w:space="0" w:color="auto"/>
              <w:right w:val="nil"/>
            </w:tcBorders>
            <w:shd w:val="clear" w:color="auto" w:fill="auto"/>
            <w:vAlign w:val="bottom"/>
            <w:hideMark/>
          </w:tcPr>
          <w:p w14:paraId="2F7A542D"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Arab</w:t>
            </w:r>
          </w:p>
        </w:tc>
        <w:tc>
          <w:tcPr>
            <w:tcW w:w="940" w:type="dxa"/>
            <w:gridSpan w:val="2"/>
            <w:tcBorders>
              <w:top w:val="nil"/>
              <w:left w:val="nil"/>
              <w:bottom w:val="single" w:sz="4" w:space="0" w:color="auto"/>
              <w:right w:val="nil"/>
            </w:tcBorders>
            <w:shd w:val="clear" w:color="auto" w:fill="auto"/>
            <w:vAlign w:val="bottom"/>
            <w:hideMark/>
          </w:tcPr>
          <w:p w14:paraId="02FC215C"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Chinese</w:t>
            </w:r>
          </w:p>
        </w:tc>
        <w:tc>
          <w:tcPr>
            <w:tcW w:w="820" w:type="dxa"/>
            <w:gridSpan w:val="2"/>
            <w:tcBorders>
              <w:top w:val="nil"/>
              <w:left w:val="nil"/>
              <w:bottom w:val="single" w:sz="4" w:space="0" w:color="auto"/>
              <w:right w:val="nil"/>
            </w:tcBorders>
            <w:shd w:val="clear" w:color="auto" w:fill="auto"/>
            <w:vAlign w:val="bottom"/>
            <w:hideMark/>
          </w:tcPr>
          <w:p w14:paraId="1D988630"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Jewish</w:t>
            </w:r>
          </w:p>
        </w:tc>
        <w:tc>
          <w:tcPr>
            <w:tcW w:w="820" w:type="dxa"/>
            <w:gridSpan w:val="2"/>
            <w:tcBorders>
              <w:top w:val="nil"/>
              <w:left w:val="nil"/>
              <w:bottom w:val="single" w:sz="4" w:space="0" w:color="auto"/>
              <w:right w:val="nil"/>
            </w:tcBorders>
            <w:shd w:val="clear" w:color="auto" w:fill="auto"/>
            <w:vAlign w:val="bottom"/>
            <w:hideMark/>
          </w:tcPr>
          <w:p w14:paraId="7F60A904"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Sikh</w:t>
            </w:r>
          </w:p>
        </w:tc>
        <w:tc>
          <w:tcPr>
            <w:tcW w:w="820" w:type="dxa"/>
            <w:gridSpan w:val="2"/>
            <w:tcBorders>
              <w:top w:val="nil"/>
              <w:left w:val="nil"/>
              <w:bottom w:val="single" w:sz="4" w:space="0" w:color="auto"/>
              <w:right w:val="nil"/>
            </w:tcBorders>
            <w:shd w:val="clear" w:color="auto" w:fill="auto"/>
            <w:vAlign w:val="bottom"/>
            <w:hideMark/>
          </w:tcPr>
          <w:p w14:paraId="3A40FD88"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White British</w:t>
            </w:r>
          </w:p>
        </w:tc>
      </w:tr>
      <w:tr w:rsidR="00F15562" w:rsidRPr="003B7EA9" w14:paraId="74657193" w14:textId="77777777" w:rsidTr="00C5012C">
        <w:trPr>
          <w:trHeight w:val="300"/>
        </w:trPr>
        <w:tc>
          <w:tcPr>
            <w:tcW w:w="2142" w:type="dxa"/>
            <w:tcBorders>
              <w:top w:val="nil"/>
              <w:left w:val="nil"/>
              <w:bottom w:val="nil"/>
              <w:right w:val="nil"/>
            </w:tcBorders>
            <w:shd w:val="clear" w:color="auto" w:fill="auto"/>
            <w:noWrap/>
            <w:vAlign w:val="bottom"/>
            <w:hideMark/>
          </w:tcPr>
          <w:p w14:paraId="6016526B" w14:textId="77777777" w:rsidR="00F15562" w:rsidRPr="003B7EA9" w:rsidRDefault="00F15562" w:rsidP="00F15562">
            <w:pPr>
              <w:spacing w:line="240" w:lineRule="auto"/>
              <w:ind w:firstLine="0"/>
              <w:jc w:val="left"/>
              <w:rPr>
                <w:color w:val="000000"/>
                <w:sz w:val="22"/>
                <w:szCs w:val="22"/>
                <w:lang w:eastAsia="en-GB"/>
              </w:rPr>
            </w:pPr>
          </w:p>
        </w:tc>
        <w:tc>
          <w:tcPr>
            <w:tcW w:w="1072" w:type="dxa"/>
            <w:tcBorders>
              <w:top w:val="nil"/>
              <w:left w:val="nil"/>
              <w:bottom w:val="nil"/>
              <w:right w:val="nil"/>
            </w:tcBorders>
            <w:shd w:val="clear" w:color="auto" w:fill="auto"/>
            <w:noWrap/>
            <w:vAlign w:val="bottom"/>
            <w:hideMark/>
          </w:tcPr>
          <w:p w14:paraId="5364C1D7" w14:textId="77777777" w:rsidR="00F15562" w:rsidRPr="003B7EA9" w:rsidRDefault="00F15562" w:rsidP="00F15562">
            <w:pPr>
              <w:spacing w:line="240" w:lineRule="auto"/>
              <w:ind w:firstLine="0"/>
              <w:jc w:val="center"/>
              <w:rPr>
                <w:color w:val="000000"/>
                <w:sz w:val="22"/>
                <w:szCs w:val="22"/>
                <w:lang w:eastAsia="en-GB"/>
              </w:rPr>
            </w:pPr>
          </w:p>
        </w:tc>
        <w:tc>
          <w:tcPr>
            <w:tcW w:w="780" w:type="dxa"/>
            <w:tcBorders>
              <w:top w:val="nil"/>
              <w:left w:val="nil"/>
              <w:bottom w:val="nil"/>
              <w:right w:val="nil"/>
            </w:tcBorders>
            <w:shd w:val="clear" w:color="auto" w:fill="auto"/>
            <w:noWrap/>
            <w:vAlign w:val="bottom"/>
            <w:hideMark/>
          </w:tcPr>
          <w:p w14:paraId="5B6D2F51" w14:textId="77777777" w:rsidR="00F15562" w:rsidRPr="003B7EA9" w:rsidRDefault="00F15562" w:rsidP="00F15562">
            <w:pPr>
              <w:spacing w:line="240" w:lineRule="auto"/>
              <w:ind w:firstLine="0"/>
              <w:jc w:val="center"/>
              <w:rPr>
                <w:color w:val="000000"/>
                <w:sz w:val="22"/>
                <w:szCs w:val="22"/>
                <w:lang w:eastAsia="en-GB"/>
              </w:rPr>
            </w:pPr>
          </w:p>
        </w:tc>
        <w:tc>
          <w:tcPr>
            <w:tcW w:w="940" w:type="dxa"/>
            <w:gridSpan w:val="2"/>
            <w:tcBorders>
              <w:top w:val="nil"/>
              <w:left w:val="nil"/>
              <w:bottom w:val="nil"/>
              <w:right w:val="nil"/>
            </w:tcBorders>
            <w:shd w:val="clear" w:color="auto" w:fill="auto"/>
            <w:noWrap/>
            <w:vAlign w:val="bottom"/>
            <w:hideMark/>
          </w:tcPr>
          <w:p w14:paraId="06BD2AF1" w14:textId="77777777" w:rsidR="00F15562" w:rsidRPr="003B7EA9" w:rsidRDefault="00F15562" w:rsidP="00F15562">
            <w:pPr>
              <w:spacing w:line="240" w:lineRule="auto"/>
              <w:ind w:firstLine="0"/>
              <w:jc w:val="center"/>
              <w:rPr>
                <w:color w:val="000000"/>
                <w:sz w:val="22"/>
                <w:szCs w:val="22"/>
                <w:lang w:eastAsia="en-GB"/>
              </w:rPr>
            </w:pPr>
          </w:p>
        </w:tc>
        <w:tc>
          <w:tcPr>
            <w:tcW w:w="820" w:type="dxa"/>
            <w:gridSpan w:val="2"/>
            <w:tcBorders>
              <w:top w:val="nil"/>
              <w:left w:val="nil"/>
              <w:bottom w:val="nil"/>
              <w:right w:val="nil"/>
            </w:tcBorders>
            <w:shd w:val="clear" w:color="auto" w:fill="auto"/>
            <w:noWrap/>
            <w:vAlign w:val="bottom"/>
            <w:hideMark/>
          </w:tcPr>
          <w:p w14:paraId="22252456" w14:textId="77777777" w:rsidR="00F15562" w:rsidRPr="003B7EA9" w:rsidRDefault="00F15562" w:rsidP="00F15562">
            <w:pPr>
              <w:spacing w:line="240" w:lineRule="auto"/>
              <w:ind w:firstLine="0"/>
              <w:jc w:val="center"/>
              <w:rPr>
                <w:color w:val="000000"/>
                <w:sz w:val="22"/>
                <w:szCs w:val="22"/>
                <w:lang w:eastAsia="en-GB"/>
              </w:rPr>
            </w:pPr>
          </w:p>
        </w:tc>
        <w:tc>
          <w:tcPr>
            <w:tcW w:w="820" w:type="dxa"/>
            <w:gridSpan w:val="2"/>
            <w:tcBorders>
              <w:top w:val="nil"/>
              <w:left w:val="nil"/>
              <w:bottom w:val="nil"/>
              <w:right w:val="nil"/>
            </w:tcBorders>
            <w:shd w:val="clear" w:color="auto" w:fill="auto"/>
            <w:noWrap/>
            <w:vAlign w:val="bottom"/>
            <w:hideMark/>
          </w:tcPr>
          <w:p w14:paraId="05EFC758" w14:textId="77777777" w:rsidR="00F15562" w:rsidRPr="003B7EA9" w:rsidRDefault="00F15562" w:rsidP="00F15562">
            <w:pPr>
              <w:spacing w:line="240" w:lineRule="auto"/>
              <w:ind w:firstLine="0"/>
              <w:jc w:val="center"/>
              <w:rPr>
                <w:color w:val="000000"/>
                <w:sz w:val="22"/>
                <w:szCs w:val="22"/>
                <w:lang w:eastAsia="en-GB"/>
              </w:rPr>
            </w:pPr>
          </w:p>
        </w:tc>
        <w:tc>
          <w:tcPr>
            <w:tcW w:w="820" w:type="dxa"/>
            <w:gridSpan w:val="2"/>
            <w:tcBorders>
              <w:top w:val="nil"/>
              <w:left w:val="nil"/>
              <w:bottom w:val="nil"/>
              <w:right w:val="nil"/>
            </w:tcBorders>
            <w:shd w:val="clear" w:color="auto" w:fill="auto"/>
            <w:noWrap/>
            <w:vAlign w:val="bottom"/>
            <w:hideMark/>
          </w:tcPr>
          <w:p w14:paraId="5ABF351D" w14:textId="77777777" w:rsidR="00F15562" w:rsidRPr="003B7EA9" w:rsidRDefault="00F15562" w:rsidP="00F15562">
            <w:pPr>
              <w:spacing w:line="240" w:lineRule="auto"/>
              <w:ind w:firstLine="0"/>
              <w:jc w:val="center"/>
              <w:rPr>
                <w:color w:val="000000"/>
                <w:sz w:val="22"/>
                <w:szCs w:val="22"/>
                <w:lang w:eastAsia="en-GB"/>
              </w:rPr>
            </w:pPr>
          </w:p>
        </w:tc>
      </w:tr>
      <w:tr w:rsidR="00F15562" w:rsidRPr="003B7EA9" w14:paraId="65887572" w14:textId="77777777" w:rsidTr="00C5012C">
        <w:trPr>
          <w:trHeight w:val="300"/>
        </w:trPr>
        <w:tc>
          <w:tcPr>
            <w:tcW w:w="2142" w:type="dxa"/>
            <w:tcBorders>
              <w:top w:val="nil"/>
              <w:left w:val="nil"/>
              <w:bottom w:val="nil"/>
              <w:right w:val="nil"/>
            </w:tcBorders>
            <w:shd w:val="clear" w:color="auto" w:fill="auto"/>
            <w:noWrap/>
            <w:vAlign w:val="bottom"/>
            <w:hideMark/>
          </w:tcPr>
          <w:p w14:paraId="72C2FEA6" w14:textId="77777777" w:rsidR="00F15562" w:rsidRPr="003B7EA9" w:rsidRDefault="00F15562" w:rsidP="00F15562">
            <w:pPr>
              <w:spacing w:line="240" w:lineRule="auto"/>
              <w:ind w:firstLine="0"/>
              <w:jc w:val="left"/>
              <w:rPr>
                <w:color w:val="000000"/>
                <w:sz w:val="22"/>
                <w:szCs w:val="22"/>
                <w:lang w:eastAsia="en-GB"/>
              </w:rPr>
            </w:pPr>
            <w:r w:rsidRPr="003B7EA9">
              <w:rPr>
                <w:color w:val="000000"/>
                <w:sz w:val="22"/>
                <w:szCs w:val="22"/>
                <w:lang w:eastAsia="en-GB"/>
              </w:rPr>
              <w:t>Age of HRP</w:t>
            </w:r>
          </w:p>
        </w:tc>
        <w:tc>
          <w:tcPr>
            <w:tcW w:w="1072" w:type="dxa"/>
            <w:tcBorders>
              <w:top w:val="nil"/>
              <w:left w:val="nil"/>
              <w:bottom w:val="nil"/>
              <w:right w:val="nil"/>
            </w:tcBorders>
            <w:shd w:val="clear" w:color="auto" w:fill="auto"/>
            <w:noWrap/>
            <w:vAlign w:val="bottom"/>
            <w:hideMark/>
          </w:tcPr>
          <w:p w14:paraId="3DB015E0"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1</w:t>
            </w:r>
          </w:p>
        </w:tc>
        <w:tc>
          <w:tcPr>
            <w:tcW w:w="780" w:type="dxa"/>
            <w:tcBorders>
              <w:top w:val="nil"/>
              <w:left w:val="nil"/>
              <w:bottom w:val="nil"/>
              <w:right w:val="nil"/>
            </w:tcBorders>
            <w:shd w:val="clear" w:color="auto" w:fill="auto"/>
            <w:noWrap/>
            <w:vAlign w:val="bottom"/>
            <w:hideMark/>
          </w:tcPr>
          <w:p w14:paraId="2743F7AF"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1</w:t>
            </w:r>
          </w:p>
        </w:tc>
        <w:tc>
          <w:tcPr>
            <w:tcW w:w="940" w:type="dxa"/>
            <w:gridSpan w:val="2"/>
            <w:tcBorders>
              <w:top w:val="nil"/>
              <w:left w:val="nil"/>
              <w:bottom w:val="nil"/>
              <w:right w:val="nil"/>
            </w:tcBorders>
            <w:shd w:val="clear" w:color="auto" w:fill="auto"/>
            <w:noWrap/>
            <w:vAlign w:val="bottom"/>
            <w:hideMark/>
          </w:tcPr>
          <w:p w14:paraId="7581CF16"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1</w:t>
            </w:r>
          </w:p>
        </w:tc>
        <w:tc>
          <w:tcPr>
            <w:tcW w:w="820" w:type="dxa"/>
            <w:gridSpan w:val="2"/>
            <w:tcBorders>
              <w:top w:val="nil"/>
              <w:left w:val="nil"/>
              <w:bottom w:val="nil"/>
              <w:right w:val="nil"/>
            </w:tcBorders>
            <w:shd w:val="clear" w:color="auto" w:fill="auto"/>
            <w:noWrap/>
            <w:vAlign w:val="bottom"/>
            <w:hideMark/>
          </w:tcPr>
          <w:p w14:paraId="0FF26905"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1</w:t>
            </w:r>
          </w:p>
        </w:tc>
        <w:tc>
          <w:tcPr>
            <w:tcW w:w="820" w:type="dxa"/>
            <w:gridSpan w:val="2"/>
            <w:tcBorders>
              <w:top w:val="nil"/>
              <w:left w:val="nil"/>
              <w:bottom w:val="nil"/>
              <w:right w:val="nil"/>
            </w:tcBorders>
            <w:shd w:val="clear" w:color="auto" w:fill="auto"/>
            <w:noWrap/>
            <w:vAlign w:val="bottom"/>
            <w:hideMark/>
          </w:tcPr>
          <w:p w14:paraId="61B39931"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2</w:t>
            </w:r>
          </w:p>
        </w:tc>
        <w:tc>
          <w:tcPr>
            <w:tcW w:w="820" w:type="dxa"/>
            <w:gridSpan w:val="2"/>
            <w:tcBorders>
              <w:top w:val="nil"/>
              <w:left w:val="nil"/>
              <w:bottom w:val="nil"/>
              <w:right w:val="nil"/>
            </w:tcBorders>
            <w:shd w:val="clear" w:color="auto" w:fill="auto"/>
            <w:noWrap/>
            <w:vAlign w:val="bottom"/>
            <w:hideMark/>
          </w:tcPr>
          <w:p w14:paraId="4208C55E"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2</w:t>
            </w:r>
          </w:p>
        </w:tc>
      </w:tr>
      <w:tr w:rsidR="00F15562" w:rsidRPr="003B7EA9" w14:paraId="48CEFE8B" w14:textId="77777777" w:rsidTr="00C5012C">
        <w:trPr>
          <w:trHeight w:val="300"/>
        </w:trPr>
        <w:tc>
          <w:tcPr>
            <w:tcW w:w="2142" w:type="dxa"/>
            <w:tcBorders>
              <w:top w:val="nil"/>
              <w:left w:val="nil"/>
              <w:bottom w:val="nil"/>
              <w:right w:val="nil"/>
            </w:tcBorders>
            <w:shd w:val="clear" w:color="auto" w:fill="auto"/>
            <w:noWrap/>
            <w:vAlign w:val="bottom"/>
            <w:hideMark/>
          </w:tcPr>
          <w:p w14:paraId="3F0E8F80" w14:textId="77777777" w:rsidR="00F15562" w:rsidRPr="003B7EA9" w:rsidRDefault="00F15562" w:rsidP="00F15562">
            <w:pPr>
              <w:spacing w:line="240" w:lineRule="auto"/>
              <w:ind w:firstLine="0"/>
              <w:jc w:val="left"/>
              <w:rPr>
                <w:color w:val="000000"/>
                <w:sz w:val="22"/>
                <w:szCs w:val="22"/>
                <w:lang w:eastAsia="en-GB"/>
              </w:rPr>
            </w:pPr>
            <w:r w:rsidRPr="003B7EA9">
              <w:rPr>
                <w:color w:val="000000"/>
                <w:sz w:val="22"/>
                <w:szCs w:val="22"/>
                <w:lang w:eastAsia="en-GB"/>
              </w:rPr>
              <w:t>Tenure</w:t>
            </w:r>
          </w:p>
        </w:tc>
        <w:tc>
          <w:tcPr>
            <w:tcW w:w="1072" w:type="dxa"/>
            <w:tcBorders>
              <w:top w:val="nil"/>
              <w:left w:val="nil"/>
              <w:bottom w:val="nil"/>
              <w:right w:val="nil"/>
            </w:tcBorders>
            <w:shd w:val="clear" w:color="auto" w:fill="auto"/>
            <w:noWrap/>
            <w:vAlign w:val="bottom"/>
            <w:hideMark/>
          </w:tcPr>
          <w:p w14:paraId="2CA3E95C"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2</w:t>
            </w:r>
          </w:p>
        </w:tc>
        <w:tc>
          <w:tcPr>
            <w:tcW w:w="780" w:type="dxa"/>
            <w:tcBorders>
              <w:top w:val="nil"/>
              <w:left w:val="nil"/>
              <w:bottom w:val="nil"/>
              <w:right w:val="nil"/>
            </w:tcBorders>
            <w:shd w:val="clear" w:color="auto" w:fill="auto"/>
            <w:noWrap/>
            <w:vAlign w:val="bottom"/>
            <w:hideMark/>
          </w:tcPr>
          <w:p w14:paraId="273C2951"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2</w:t>
            </w:r>
          </w:p>
        </w:tc>
        <w:tc>
          <w:tcPr>
            <w:tcW w:w="940" w:type="dxa"/>
            <w:gridSpan w:val="2"/>
            <w:tcBorders>
              <w:top w:val="nil"/>
              <w:left w:val="nil"/>
              <w:bottom w:val="nil"/>
              <w:right w:val="nil"/>
            </w:tcBorders>
            <w:shd w:val="clear" w:color="auto" w:fill="auto"/>
            <w:noWrap/>
            <w:vAlign w:val="bottom"/>
            <w:hideMark/>
          </w:tcPr>
          <w:p w14:paraId="4A09D96C"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2</w:t>
            </w:r>
          </w:p>
        </w:tc>
        <w:tc>
          <w:tcPr>
            <w:tcW w:w="820" w:type="dxa"/>
            <w:gridSpan w:val="2"/>
            <w:tcBorders>
              <w:top w:val="nil"/>
              <w:left w:val="nil"/>
              <w:bottom w:val="nil"/>
              <w:right w:val="nil"/>
            </w:tcBorders>
            <w:shd w:val="clear" w:color="auto" w:fill="auto"/>
            <w:noWrap/>
            <w:vAlign w:val="bottom"/>
            <w:hideMark/>
          </w:tcPr>
          <w:p w14:paraId="76E6EBA2"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2</w:t>
            </w:r>
          </w:p>
        </w:tc>
        <w:tc>
          <w:tcPr>
            <w:tcW w:w="820" w:type="dxa"/>
            <w:gridSpan w:val="2"/>
            <w:tcBorders>
              <w:top w:val="nil"/>
              <w:left w:val="nil"/>
              <w:bottom w:val="nil"/>
              <w:right w:val="nil"/>
            </w:tcBorders>
            <w:shd w:val="clear" w:color="auto" w:fill="auto"/>
            <w:noWrap/>
            <w:vAlign w:val="bottom"/>
            <w:hideMark/>
          </w:tcPr>
          <w:p w14:paraId="13EA992B"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1</w:t>
            </w:r>
          </w:p>
        </w:tc>
        <w:tc>
          <w:tcPr>
            <w:tcW w:w="820" w:type="dxa"/>
            <w:gridSpan w:val="2"/>
            <w:tcBorders>
              <w:top w:val="nil"/>
              <w:left w:val="nil"/>
              <w:bottom w:val="nil"/>
              <w:right w:val="nil"/>
            </w:tcBorders>
            <w:shd w:val="clear" w:color="auto" w:fill="auto"/>
            <w:noWrap/>
            <w:vAlign w:val="bottom"/>
            <w:hideMark/>
          </w:tcPr>
          <w:p w14:paraId="2A02CF14"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1</w:t>
            </w:r>
          </w:p>
        </w:tc>
      </w:tr>
      <w:tr w:rsidR="00F15562" w:rsidRPr="003B7EA9" w14:paraId="3519D792" w14:textId="77777777" w:rsidTr="00C5012C">
        <w:trPr>
          <w:trHeight w:val="300"/>
        </w:trPr>
        <w:tc>
          <w:tcPr>
            <w:tcW w:w="2142" w:type="dxa"/>
            <w:tcBorders>
              <w:top w:val="nil"/>
              <w:left w:val="nil"/>
              <w:bottom w:val="nil"/>
              <w:right w:val="nil"/>
            </w:tcBorders>
            <w:shd w:val="clear" w:color="auto" w:fill="auto"/>
            <w:noWrap/>
            <w:vAlign w:val="bottom"/>
            <w:hideMark/>
          </w:tcPr>
          <w:p w14:paraId="4807F0E3" w14:textId="77777777" w:rsidR="00F15562" w:rsidRPr="003B7EA9" w:rsidRDefault="00F15562" w:rsidP="00F15562">
            <w:pPr>
              <w:spacing w:line="240" w:lineRule="auto"/>
              <w:ind w:firstLine="0"/>
              <w:jc w:val="left"/>
              <w:rPr>
                <w:color w:val="000000"/>
                <w:sz w:val="22"/>
                <w:szCs w:val="22"/>
                <w:lang w:eastAsia="en-GB"/>
              </w:rPr>
            </w:pPr>
            <w:r w:rsidRPr="003B7EA9">
              <w:rPr>
                <w:color w:val="000000"/>
                <w:sz w:val="22"/>
                <w:szCs w:val="22"/>
                <w:lang w:eastAsia="en-GB"/>
              </w:rPr>
              <w:t>Family mix</w:t>
            </w:r>
          </w:p>
        </w:tc>
        <w:tc>
          <w:tcPr>
            <w:tcW w:w="1072" w:type="dxa"/>
            <w:tcBorders>
              <w:top w:val="nil"/>
              <w:left w:val="nil"/>
              <w:bottom w:val="nil"/>
              <w:right w:val="nil"/>
            </w:tcBorders>
            <w:shd w:val="clear" w:color="auto" w:fill="auto"/>
            <w:noWrap/>
            <w:vAlign w:val="bottom"/>
            <w:hideMark/>
          </w:tcPr>
          <w:p w14:paraId="73B11EDC"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3</w:t>
            </w:r>
          </w:p>
        </w:tc>
        <w:tc>
          <w:tcPr>
            <w:tcW w:w="780" w:type="dxa"/>
            <w:tcBorders>
              <w:top w:val="nil"/>
              <w:left w:val="nil"/>
              <w:bottom w:val="nil"/>
              <w:right w:val="nil"/>
            </w:tcBorders>
            <w:shd w:val="clear" w:color="auto" w:fill="auto"/>
            <w:noWrap/>
            <w:vAlign w:val="bottom"/>
            <w:hideMark/>
          </w:tcPr>
          <w:p w14:paraId="6CF9DB6D"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3</w:t>
            </w:r>
          </w:p>
        </w:tc>
        <w:tc>
          <w:tcPr>
            <w:tcW w:w="940" w:type="dxa"/>
            <w:gridSpan w:val="2"/>
            <w:tcBorders>
              <w:top w:val="nil"/>
              <w:left w:val="nil"/>
              <w:bottom w:val="nil"/>
              <w:right w:val="nil"/>
            </w:tcBorders>
            <w:shd w:val="clear" w:color="auto" w:fill="auto"/>
            <w:noWrap/>
            <w:vAlign w:val="bottom"/>
            <w:hideMark/>
          </w:tcPr>
          <w:p w14:paraId="4863C807"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4</w:t>
            </w:r>
          </w:p>
        </w:tc>
        <w:tc>
          <w:tcPr>
            <w:tcW w:w="820" w:type="dxa"/>
            <w:gridSpan w:val="2"/>
            <w:tcBorders>
              <w:top w:val="nil"/>
              <w:left w:val="nil"/>
              <w:bottom w:val="nil"/>
              <w:right w:val="nil"/>
            </w:tcBorders>
            <w:shd w:val="clear" w:color="auto" w:fill="auto"/>
            <w:noWrap/>
            <w:vAlign w:val="bottom"/>
            <w:hideMark/>
          </w:tcPr>
          <w:p w14:paraId="36FD8FE2"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3</w:t>
            </w:r>
          </w:p>
        </w:tc>
        <w:tc>
          <w:tcPr>
            <w:tcW w:w="820" w:type="dxa"/>
            <w:gridSpan w:val="2"/>
            <w:tcBorders>
              <w:top w:val="nil"/>
              <w:left w:val="nil"/>
              <w:bottom w:val="nil"/>
              <w:right w:val="nil"/>
            </w:tcBorders>
            <w:shd w:val="clear" w:color="auto" w:fill="auto"/>
            <w:noWrap/>
            <w:vAlign w:val="bottom"/>
            <w:hideMark/>
          </w:tcPr>
          <w:p w14:paraId="388594B0"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5</w:t>
            </w:r>
          </w:p>
        </w:tc>
        <w:tc>
          <w:tcPr>
            <w:tcW w:w="820" w:type="dxa"/>
            <w:gridSpan w:val="2"/>
            <w:tcBorders>
              <w:top w:val="nil"/>
              <w:left w:val="nil"/>
              <w:bottom w:val="nil"/>
              <w:right w:val="nil"/>
            </w:tcBorders>
            <w:shd w:val="clear" w:color="auto" w:fill="auto"/>
            <w:noWrap/>
            <w:vAlign w:val="bottom"/>
            <w:hideMark/>
          </w:tcPr>
          <w:p w14:paraId="77A5F7A1"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5</w:t>
            </w:r>
          </w:p>
        </w:tc>
      </w:tr>
      <w:tr w:rsidR="00F15562" w:rsidRPr="003B7EA9" w14:paraId="383EE7DC" w14:textId="77777777" w:rsidTr="00C5012C">
        <w:trPr>
          <w:trHeight w:val="300"/>
        </w:trPr>
        <w:tc>
          <w:tcPr>
            <w:tcW w:w="2142" w:type="dxa"/>
            <w:tcBorders>
              <w:top w:val="nil"/>
              <w:left w:val="nil"/>
              <w:bottom w:val="nil"/>
              <w:right w:val="nil"/>
            </w:tcBorders>
            <w:shd w:val="clear" w:color="auto" w:fill="auto"/>
            <w:noWrap/>
            <w:vAlign w:val="bottom"/>
            <w:hideMark/>
          </w:tcPr>
          <w:p w14:paraId="3B6FCE16" w14:textId="72A608E6" w:rsidR="00F15562" w:rsidRPr="003B7EA9" w:rsidRDefault="005B66AD" w:rsidP="00F15562">
            <w:pPr>
              <w:spacing w:line="240" w:lineRule="auto"/>
              <w:ind w:firstLine="0"/>
              <w:jc w:val="left"/>
              <w:rPr>
                <w:color w:val="000000"/>
                <w:sz w:val="22"/>
                <w:szCs w:val="22"/>
                <w:lang w:eastAsia="en-GB"/>
              </w:rPr>
            </w:pPr>
            <w:r>
              <w:rPr>
                <w:color w:val="000000"/>
                <w:sz w:val="22"/>
                <w:szCs w:val="22"/>
                <w:lang w:eastAsia="en-GB"/>
              </w:rPr>
              <w:t>Living a</w:t>
            </w:r>
            <w:r w:rsidR="00F15562" w:rsidRPr="003B7EA9">
              <w:rPr>
                <w:color w:val="000000"/>
                <w:sz w:val="22"/>
                <w:szCs w:val="22"/>
                <w:lang w:eastAsia="en-GB"/>
              </w:rPr>
              <w:t>rrangement</w:t>
            </w:r>
          </w:p>
        </w:tc>
        <w:tc>
          <w:tcPr>
            <w:tcW w:w="1072" w:type="dxa"/>
            <w:tcBorders>
              <w:top w:val="nil"/>
              <w:left w:val="nil"/>
              <w:bottom w:val="nil"/>
              <w:right w:val="nil"/>
            </w:tcBorders>
            <w:shd w:val="clear" w:color="auto" w:fill="auto"/>
            <w:noWrap/>
            <w:vAlign w:val="bottom"/>
            <w:hideMark/>
          </w:tcPr>
          <w:p w14:paraId="4B41F7DC"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4</w:t>
            </w:r>
          </w:p>
        </w:tc>
        <w:tc>
          <w:tcPr>
            <w:tcW w:w="780" w:type="dxa"/>
            <w:tcBorders>
              <w:top w:val="nil"/>
              <w:left w:val="nil"/>
              <w:bottom w:val="nil"/>
              <w:right w:val="nil"/>
            </w:tcBorders>
            <w:shd w:val="clear" w:color="auto" w:fill="auto"/>
            <w:noWrap/>
            <w:vAlign w:val="bottom"/>
            <w:hideMark/>
          </w:tcPr>
          <w:p w14:paraId="3CCE92E8"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940" w:type="dxa"/>
            <w:gridSpan w:val="2"/>
            <w:tcBorders>
              <w:top w:val="nil"/>
              <w:left w:val="nil"/>
              <w:bottom w:val="nil"/>
              <w:right w:val="nil"/>
            </w:tcBorders>
            <w:shd w:val="clear" w:color="auto" w:fill="auto"/>
            <w:noWrap/>
            <w:vAlign w:val="bottom"/>
            <w:hideMark/>
          </w:tcPr>
          <w:p w14:paraId="5BE69BE8"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6*</w:t>
            </w:r>
          </w:p>
        </w:tc>
        <w:tc>
          <w:tcPr>
            <w:tcW w:w="820" w:type="dxa"/>
            <w:gridSpan w:val="2"/>
            <w:tcBorders>
              <w:top w:val="nil"/>
              <w:left w:val="nil"/>
              <w:bottom w:val="nil"/>
              <w:right w:val="nil"/>
            </w:tcBorders>
            <w:shd w:val="clear" w:color="auto" w:fill="auto"/>
            <w:noWrap/>
            <w:vAlign w:val="bottom"/>
            <w:hideMark/>
          </w:tcPr>
          <w:p w14:paraId="38F7F404"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6</w:t>
            </w:r>
          </w:p>
        </w:tc>
        <w:tc>
          <w:tcPr>
            <w:tcW w:w="820" w:type="dxa"/>
            <w:gridSpan w:val="2"/>
            <w:tcBorders>
              <w:top w:val="nil"/>
              <w:left w:val="nil"/>
              <w:bottom w:val="nil"/>
              <w:right w:val="nil"/>
            </w:tcBorders>
            <w:shd w:val="clear" w:color="auto" w:fill="auto"/>
            <w:noWrap/>
            <w:vAlign w:val="bottom"/>
            <w:hideMark/>
          </w:tcPr>
          <w:p w14:paraId="1B59040A"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6</w:t>
            </w:r>
          </w:p>
        </w:tc>
        <w:tc>
          <w:tcPr>
            <w:tcW w:w="820" w:type="dxa"/>
            <w:gridSpan w:val="2"/>
            <w:tcBorders>
              <w:top w:val="nil"/>
              <w:left w:val="nil"/>
              <w:bottom w:val="nil"/>
              <w:right w:val="nil"/>
            </w:tcBorders>
            <w:shd w:val="clear" w:color="auto" w:fill="auto"/>
            <w:noWrap/>
            <w:vAlign w:val="bottom"/>
            <w:hideMark/>
          </w:tcPr>
          <w:p w14:paraId="40FCAB28"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3</w:t>
            </w:r>
          </w:p>
        </w:tc>
      </w:tr>
      <w:tr w:rsidR="00F15562" w:rsidRPr="003B7EA9" w14:paraId="3C45AF05" w14:textId="77777777" w:rsidTr="00C5012C">
        <w:trPr>
          <w:trHeight w:val="300"/>
        </w:trPr>
        <w:tc>
          <w:tcPr>
            <w:tcW w:w="2142" w:type="dxa"/>
            <w:tcBorders>
              <w:top w:val="nil"/>
              <w:left w:val="nil"/>
              <w:bottom w:val="nil"/>
              <w:right w:val="nil"/>
            </w:tcBorders>
            <w:shd w:val="clear" w:color="auto" w:fill="auto"/>
            <w:noWrap/>
            <w:vAlign w:val="bottom"/>
            <w:hideMark/>
          </w:tcPr>
          <w:p w14:paraId="6051C3F4" w14:textId="77777777" w:rsidR="00F15562" w:rsidRPr="003B7EA9" w:rsidRDefault="00F15562" w:rsidP="00F15562">
            <w:pPr>
              <w:spacing w:line="240" w:lineRule="auto"/>
              <w:ind w:firstLine="0"/>
              <w:jc w:val="left"/>
              <w:rPr>
                <w:color w:val="000000"/>
                <w:sz w:val="22"/>
                <w:szCs w:val="22"/>
                <w:lang w:eastAsia="en-GB"/>
              </w:rPr>
            </w:pPr>
            <w:r w:rsidRPr="003B7EA9">
              <w:rPr>
                <w:color w:val="000000"/>
                <w:sz w:val="22"/>
                <w:szCs w:val="22"/>
                <w:lang w:eastAsia="en-GB"/>
              </w:rPr>
              <w:t>Qualifications</w:t>
            </w:r>
          </w:p>
        </w:tc>
        <w:tc>
          <w:tcPr>
            <w:tcW w:w="1072" w:type="dxa"/>
            <w:tcBorders>
              <w:top w:val="nil"/>
              <w:left w:val="nil"/>
              <w:bottom w:val="nil"/>
              <w:right w:val="nil"/>
            </w:tcBorders>
            <w:shd w:val="clear" w:color="auto" w:fill="auto"/>
            <w:noWrap/>
            <w:vAlign w:val="bottom"/>
            <w:hideMark/>
          </w:tcPr>
          <w:p w14:paraId="3BD74A19"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5</w:t>
            </w:r>
          </w:p>
        </w:tc>
        <w:tc>
          <w:tcPr>
            <w:tcW w:w="780" w:type="dxa"/>
            <w:tcBorders>
              <w:top w:val="nil"/>
              <w:left w:val="nil"/>
              <w:bottom w:val="nil"/>
              <w:right w:val="nil"/>
            </w:tcBorders>
            <w:shd w:val="clear" w:color="auto" w:fill="auto"/>
            <w:noWrap/>
            <w:vAlign w:val="bottom"/>
            <w:hideMark/>
          </w:tcPr>
          <w:p w14:paraId="4D426E7C"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940" w:type="dxa"/>
            <w:gridSpan w:val="2"/>
            <w:tcBorders>
              <w:top w:val="nil"/>
              <w:left w:val="nil"/>
              <w:bottom w:val="nil"/>
              <w:right w:val="nil"/>
            </w:tcBorders>
            <w:shd w:val="clear" w:color="auto" w:fill="auto"/>
            <w:noWrap/>
            <w:vAlign w:val="bottom"/>
            <w:hideMark/>
          </w:tcPr>
          <w:p w14:paraId="089556E1"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5</w:t>
            </w:r>
          </w:p>
        </w:tc>
        <w:tc>
          <w:tcPr>
            <w:tcW w:w="820" w:type="dxa"/>
            <w:gridSpan w:val="2"/>
            <w:tcBorders>
              <w:top w:val="nil"/>
              <w:left w:val="nil"/>
              <w:bottom w:val="nil"/>
              <w:right w:val="nil"/>
            </w:tcBorders>
            <w:shd w:val="clear" w:color="auto" w:fill="auto"/>
            <w:noWrap/>
            <w:vAlign w:val="bottom"/>
            <w:hideMark/>
          </w:tcPr>
          <w:p w14:paraId="6432A252"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5</w:t>
            </w:r>
          </w:p>
        </w:tc>
        <w:tc>
          <w:tcPr>
            <w:tcW w:w="820" w:type="dxa"/>
            <w:gridSpan w:val="2"/>
            <w:tcBorders>
              <w:top w:val="nil"/>
              <w:left w:val="nil"/>
              <w:bottom w:val="nil"/>
              <w:right w:val="nil"/>
            </w:tcBorders>
            <w:shd w:val="clear" w:color="auto" w:fill="auto"/>
            <w:noWrap/>
            <w:vAlign w:val="bottom"/>
            <w:hideMark/>
          </w:tcPr>
          <w:p w14:paraId="058A008E"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3</w:t>
            </w:r>
          </w:p>
        </w:tc>
        <w:tc>
          <w:tcPr>
            <w:tcW w:w="820" w:type="dxa"/>
            <w:gridSpan w:val="2"/>
            <w:tcBorders>
              <w:top w:val="nil"/>
              <w:left w:val="nil"/>
              <w:bottom w:val="nil"/>
              <w:right w:val="nil"/>
            </w:tcBorders>
            <w:shd w:val="clear" w:color="auto" w:fill="auto"/>
            <w:noWrap/>
            <w:vAlign w:val="bottom"/>
            <w:hideMark/>
          </w:tcPr>
          <w:p w14:paraId="1A43F61E"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4</w:t>
            </w:r>
          </w:p>
        </w:tc>
      </w:tr>
      <w:tr w:rsidR="00F15562" w:rsidRPr="003B7EA9" w14:paraId="4566B41C" w14:textId="77777777" w:rsidTr="00C5012C">
        <w:trPr>
          <w:trHeight w:val="300"/>
        </w:trPr>
        <w:tc>
          <w:tcPr>
            <w:tcW w:w="2142" w:type="dxa"/>
            <w:tcBorders>
              <w:top w:val="nil"/>
              <w:left w:val="nil"/>
              <w:bottom w:val="nil"/>
              <w:right w:val="nil"/>
            </w:tcBorders>
            <w:shd w:val="clear" w:color="auto" w:fill="auto"/>
            <w:noWrap/>
            <w:vAlign w:val="bottom"/>
            <w:hideMark/>
          </w:tcPr>
          <w:p w14:paraId="58582FA7" w14:textId="511379AE" w:rsidR="00F15562" w:rsidRPr="003B7EA9" w:rsidRDefault="005B66AD" w:rsidP="00F15562">
            <w:pPr>
              <w:spacing w:line="240" w:lineRule="auto"/>
              <w:ind w:firstLine="0"/>
              <w:jc w:val="left"/>
              <w:rPr>
                <w:color w:val="000000"/>
                <w:sz w:val="22"/>
                <w:szCs w:val="22"/>
                <w:lang w:eastAsia="en-GB"/>
              </w:rPr>
            </w:pPr>
            <w:r>
              <w:rPr>
                <w:color w:val="000000"/>
                <w:sz w:val="22"/>
                <w:szCs w:val="22"/>
                <w:lang w:eastAsia="en-GB"/>
              </w:rPr>
              <w:t>Economic a</w:t>
            </w:r>
            <w:r w:rsidR="00F15562" w:rsidRPr="003B7EA9">
              <w:rPr>
                <w:color w:val="000000"/>
                <w:sz w:val="22"/>
                <w:szCs w:val="22"/>
                <w:lang w:eastAsia="en-GB"/>
              </w:rPr>
              <w:t>ctivity</w:t>
            </w:r>
          </w:p>
        </w:tc>
        <w:tc>
          <w:tcPr>
            <w:tcW w:w="1072" w:type="dxa"/>
            <w:tcBorders>
              <w:top w:val="nil"/>
              <w:left w:val="nil"/>
              <w:bottom w:val="nil"/>
              <w:right w:val="nil"/>
            </w:tcBorders>
            <w:shd w:val="clear" w:color="auto" w:fill="auto"/>
            <w:noWrap/>
            <w:vAlign w:val="bottom"/>
            <w:hideMark/>
          </w:tcPr>
          <w:p w14:paraId="4A28F588"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6*</w:t>
            </w:r>
          </w:p>
        </w:tc>
        <w:tc>
          <w:tcPr>
            <w:tcW w:w="780" w:type="dxa"/>
            <w:tcBorders>
              <w:top w:val="nil"/>
              <w:left w:val="nil"/>
              <w:bottom w:val="nil"/>
              <w:right w:val="nil"/>
            </w:tcBorders>
            <w:shd w:val="clear" w:color="auto" w:fill="auto"/>
            <w:noWrap/>
            <w:vAlign w:val="bottom"/>
            <w:hideMark/>
          </w:tcPr>
          <w:p w14:paraId="20603069"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5*</w:t>
            </w:r>
          </w:p>
        </w:tc>
        <w:tc>
          <w:tcPr>
            <w:tcW w:w="940" w:type="dxa"/>
            <w:gridSpan w:val="2"/>
            <w:tcBorders>
              <w:top w:val="nil"/>
              <w:left w:val="nil"/>
              <w:bottom w:val="nil"/>
              <w:right w:val="nil"/>
            </w:tcBorders>
            <w:shd w:val="clear" w:color="auto" w:fill="auto"/>
            <w:noWrap/>
            <w:vAlign w:val="bottom"/>
            <w:hideMark/>
          </w:tcPr>
          <w:p w14:paraId="252DE2FE"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7*</w:t>
            </w:r>
          </w:p>
        </w:tc>
        <w:tc>
          <w:tcPr>
            <w:tcW w:w="820" w:type="dxa"/>
            <w:gridSpan w:val="2"/>
            <w:tcBorders>
              <w:top w:val="nil"/>
              <w:left w:val="nil"/>
              <w:bottom w:val="nil"/>
              <w:right w:val="nil"/>
            </w:tcBorders>
            <w:shd w:val="clear" w:color="auto" w:fill="auto"/>
            <w:noWrap/>
            <w:vAlign w:val="bottom"/>
            <w:hideMark/>
          </w:tcPr>
          <w:p w14:paraId="6C6A029D"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4</w:t>
            </w:r>
          </w:p>
        </w:tc>
        <w:tc>
          <w:tcPr>
            <w:tcW w:w="820" w:type="dxa"/>
            <w:gridSpan w:val="2"/>
            <w:tcBorders>
              <w:top w:val="nil"/>
              <w:left w:val="nil"/>
              <w:bottom w:val="nil"/>
              <w:right w:val="nil"/>
            </w:tcBorders>
            <w:shd w:val="clear" w:color="auto" w:fill="auto"/>
            <w:noWrap/>
            <w:vAlign w:val="bottom"/>
            <w:hideMark/>
          </w:tcPr>
          <w:p w14:paraId="39F320CB"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7</w:t>
            </w:r>
          </w:p>
        </w:tc>
        <w:tc>
          <w:tcPr>
            <w:tcW w:w="820" w:type="dxa"/>
            <w:gridSpan w:val="2"/>
            <w:tcBorders>
              <w:top w:val="nil"/>
              <w:left w:val="nil"/>
              <w:bottom w:val="nil"/>
              <w:right w:val="nil"/>
            </w:tcBorders>
            <w:shd w:val="clear" w:color="auto" w:fill="auto"/>
            <w:noWrap/>
            <w:vAlign w:val="bottom"/>
            <w:hideMark/>
          </w:tcPr>
          <w:p w14:paraId="3F3DEAD5"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6*</w:t>
            </w:r>
          </w:p>
        </w:tc>
      </w:tr>
      <w:tr w:rsidR="00F15562" w:rsidRPr="003B7EA9" w14:paraId="11B46846" w14:textId="77777777" w:rsidTr="00C5012C">
        <w:trPr>
          <w:trHeight w:val="300"/>
        </w:trPr>
        <w:tc>
          <w:tcPr>
            <w:tcW w:w="2142" w:type="dxa"/>
            <w:tcBorders>
              <w:top w:val="nil"/>
              <w:left w:val="nil"/>
              <w:bottom w:val="nil"/>
              <w:right w:val="nil"/>
            </w:tcBorders>
            <w:shd w:val="clear" w:color="auto" w:fill="auto"/>
            <w:noWrap/>
            <w:vAlign w:val="bottom"/>
            <w:hideMark/>
          </w:tcPr>
          <w:p w14:paraId="101881FF" w14:textId="0E8CE392" w:rsidR="00F15562" w:rsidRPr="003B7EA9" w:rsidRDefault="00F15562" w:rsidP="005B66AD">
            <w:pPr>
              <w:spacing w:line="240" w:lineRule="auto"/>
              <w:ind w:firstLine="0"/>
              <w:jc w:val="left"/>
              <w:rPr>
                <w:color w:val="000000"/>
                <w:sz w:val="22"/>
                <w:szCs w:val="22"/>
                <w:lang w:eastAsia="en-GB"/>
              </w:rPr>
            </w:pPr>
            <w:r w:rsidRPr="003B7EA9">
              <w:rPr>
                <w:color w:val="000000"/>
                <w:sz w:val="22"/>
                <w:szCs w:val="22"/>
                <w:lang w:eastAsia="en-GB"/>
              </w:rPr>
              <w:t xml:space="preserve">Year of </w:t>
            </w:r>
            <w:r w:rsidR="005B66AD">
              <w:rPr>
                <w:color w:val="000000"/>
                <w:sz w:val="22"/>
                <w:szCs w:val="22"/>
                <w:lang w:eastAsia="en-GB"/>
              </w:rPr>
              <w:t>a</w:t>
            </w:r>
            <w:r w:rsidRPr="003B7EA9">
              <w:rPr>
                <w:color w:val="000000"/>
                <w:sz w:val="22"/>
                <w:szCs w:val="22"/>
                <w:lang w:eastAsia="en-GB"/>
              </w:rPr>
              <w:t>rrival</w:t>
            </w:r>
          </w:p>
        </w:tc>
        <w:tc>
          <w:tcPr>
            <w:tcW w:w="1072" w:type="dxa"/>
            <w:tcBorders>
              <w:top w:val="nil"/>
              <w:left w:val="nil"/>
              <w:bottom w:val="nil"/>
              <w:right w:val="nil"/>
            </w:tcBorders>
            <w:shd w:val="clear" w:color="auto" w:fill="auto"/>
            <w:noWrap/>
            <w:vAlign w:val="bottom"/>
            <w:hideMark/>
          </w:tcPr>
          <w:p w14:paraId="173FD5BA" w14:textId="15FF0C86" w:rsidR="00F15562" w:rsidRPr="003B7EA9" w:rsidRDefault="00A051CD"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780" w:type="dxa"/>
            <w:tcBorders>
              <w:top w:val="nil"/>
              <w:left w:val="nil"/>
              <w:bottom w:val="nil"/>
              <w:right w:val="nil"/>
            </w:tcBorders>
            <w:shd w:val="clear" w:color="auto" w:fill="auto"/>
            <w:noWrap/>
            <w:vAlign w:val="bottom"/>
            <w:hideMark/>
          </w:tcPr>
          <w:p w14:paraId="06F6FBFE"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4</w:t>
            </w:r>
          </w:p>
        </w:tc>
        <w:tc>
          <w:tcPr>
            <w:tcW w:w="940" w:type="dxa"/>
            <w:gridSpan w:val="2"/>
            <w:tcBorders>
              <w:top w:val="nil"/>
              <w:left w:val="nil"/>
              <w:bottom w:val="nil"/>
              <w:right w:val="nil"/>
            </w:tcBorders>
            <w:shd w:val="clear" w:color="auto" w:fill="auto"/>
            <w:noWrap/>
            <w:vAlign w:val="bottom"/>
            <w:hideMark/>
          </w:tcPr>
          <w:p w14:paraId="4C2DF452"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3</w:t>
            </w:r>
          </w:p>
        </w:tc>
        <w:tc>
          <w:tcPr>
            <w:tcW w:w="820" w:type="dxa"/>
            <w:gridSpan w:val="2"/>
            <w:tcBorders>
              <w:top w:val="nil"/>
              <w:left w:val="nil"/>
              <w:bottom w:val="nil"/>
              <w:right w:val="nil"/>
            </w:tcBorders>
            <w:shd w:val="clear" w:color="auto" w:fill="auto"/>
            <w:noWrap/>
            <w:vAlign w:val="bottom"/>
            <w:hideMark/>
          </w:tcPr>
          <w:p w14:paraId="1A02DEB5"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820" w:type="dxa"/>
            <w:gridSpan w:val="2"/>
            <w:tcBorders>
              <w:top w:val="nil"/>
              <w:left w:val="nil"/>
              <w:bottom w:val="nil"/>
              <w:right w:val="nil"/>
            </w:tcBorders>
            <w:shd w:val="clear" w:color="auto" w:fill="auto"/>
            <w:noWrap/>
            <w:vAlign w:val="bottom"/>
            <w:hideMark/>
          </w:tcPr>
          <w:p w14:paraId="7B269553"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4</w:t>
            </w:r>
          </w:p>
        </w:tc>
        <w:tc>
          <w:tcPr>
            <w:tcW w:w="820" w:type="dxa"/>
            <w:gridSpan w:val="2"/>
            <w:tcBorders>
              <w:top w:val="nil"/>
              <w:left w:val="nil"/>
              <w:bottom w:val="nil"/>
              <w:right w:val="nil"/>
            </w:tcBorders>
            <w:shd w:val="clear" w:color="auto" w:fill="auto"/>
            <w:noWrap/>
            <w:vAlign w:val="bottom"/>
            <w:hideMark/>
          </w:tcPr>
          <w:p w14:paraId="123B8D9D"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r>
      <w:tr w:rsidR="00F15562" w:rsidRPr="003B7EA9" w14:paraId="111A4C24" w14:textId="77777777" w:rsidTr="00C5012C">
        <w:trPr>
          <w:trHeight w:val="300"/>
        </w:trPr>
        <w:tc>
          <w:tcPr>
            <w:tcW w:w="2142" w:type="dxa"/>
            <w:tcBorders>
              <w:top w:val="nil"/>
              <w:left w:val="nil"/>
              <w:bottom w:val="nil"/>
              <w:right w:val="nil"/>
            </w:tcBorders>
            <w:shd w:val="clear" w:color="auto" w:fill="auto"/>
            <w:noWrap/>
            <w:vAlign w:val="bottom"/>
            <w:hideMark/>
          </w:tcPr>
          <w:p w14:paraId="51110DA9" w14:textId="77777777" w:rsidR="00F15562" w:rsidRPr="003B7EA9" w:rsidRDefault="00F15562" w:rsidP="00F15562">
            <w:pPr>
              <w:spacing w:line="240" w:lineRule="auto"/>
              <w:ind w:firstLine="0"/>
              <w:jc w:val="left"/>
              <w:rPr>
                <w:color w:val="000000"/>
                <w:sz w:val="22"/>
                <w:szCs w:val="22"/>
                <w:lang w:eastAsia="en-GB"/>
              </w:rPr>
            </w:pPr>
            <w:r w:rsidRPr="003B7EA9">
              <w:rPr>
                <w:color w:val="000000"/>
                <w:sz w:val="22"/>
                <w:szCs w:val="22"/>
                <w:lang w:eastAsia="en-GB"/>
              </w:rPr>
              <w:t>Health</w:t>
            </w:r>
          </w:p>
        </w:tc>
        <w:tc>
          <w:tcPr>
            <w:tcW w:w="1072" w:type="dxa"/>
            <w:tcBorders>
              <w:top w:val="nil"/>
              <w:left w:val="nil"/>
              <w:bottom w:val="nil"/>
              <w:right w:val="nil"/>
            </w:tcBorders>
            <w:shd w:val="clear" w:color="auto" w:fill="auto"/>
            <w:noWrap/>
            <w:vAlign w:val="bottom"/>
            <w:hideMark/>
          </w:tcPr>
          <w:p w14:paraId="1645EA22" w14:textId="5B8264C7" w:rsidR="00F15562" w:rsidRPr="003B7EA9" w:rsidRDefault="00A051CD"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780" w:type="dxa"/>
            <w:tcBorders>
              <w:top w:val="nil"/>
              <w:left w:val="nil"/>
              <w:bottom w:val="nil"/>
              <w:right w:val="nil"/>
            </w:tcBorders>
            <w:shd w:val="clear" w:color="auto" w:fill="auto"/>
            <w:noWrap/>
            <w:vAlign w:val="bottom"/>
            <w:hideMark/>
          </w:tcPr>
          <w:p w14:paraId="1333D6BF"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940" w:type="dxa"/>
            <w:gridSpan w:val="2"/>
            <w:tcBorders>
              <w:top w:val="nil"/>
              <w:left w:val="nil"/>
              <w:bottom w:val="nil"/>
              <w:right w:val="nil"/>
            </w:tcBorders>
            <w:shd w:val="clear" w:color="auto" w:fill="auto"/>
            <w:noWrap/>
            <w:vAlign w:val="bottom"/>
            <w:hideMark/>
          </w:tcPr>
          <w:p w14:paraId="46C2204C"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820" w:type="dxa"/>
            <w:gridSpan w:val="2"/>
            <w:tcBorders>
              <w:top w:val="nil"/>
              <w:left w:val="nil"/>
              <w:bottom w:val="nil"/>
              <w:right w:val="nil"/>
            </w:tcBorders>
            <w:shd w:val="clear" w:color="auto" w:fill="auto"/>
            <w:noWrap/>
            <w:vAlign w:val="bottom"/>
            <w:hideMark/>
          </w:tcPr>
          <w:p w14:paraId="205DE551"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820" w:type="dxa"/>
            <w:gridSpan w:val="2"/>
            <w:tcBorders>
              <w:top w:val="nil"/>
              <w:left w:val="nil"/>
              <w:bottom w:val="nil"/>
              <w:right w:val="nil"/>
            </w:tcBorders>
            <w:shd w:val="clear" w:color="auto" w:fill="auto"/>
            <w:noWrap/>
            <w:vAlign w:val="bottom"/>
            <w:hideMark/>
          </w:tcPr>
          <w:p w14:paraId="4D3328DF"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820" w:type="dxa"/>
            <w:gridSpan w:val="2"/>
            <w:tcBorders>
              <w:top w:val="nil"/>
              <w:left w:val="nil"/>
              <w:bottom w:val="nil"/>
              <w:right w:val="nil"/>
            </w:tcBorders>
            <w:shd w:val="clear" w:color="auto" w:fill="auto"/>
            <w:noWrap/>
            <w:vAlign w:val="bottom"/>
            <w:hideMark/>
          </w:tcPr>
          <w:p w14:paraId="3EB3C1B0"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r>
      <w:tr w:rsidR="00F15562" w:rsidRPr="003B7EA9" w14:paraId="297AC849" w14:textId="77777777" w:rsidTr="00C5012C">
        <w:trPr>
          <w:trHeight w:val="300"/>
        </w:trPr>
        <w:tc>
          <w:tcPr>
            <w:tcW w:w="2142" w:type="dxa"/>
            <w:tcBorders>
              <w:top w:val="nil"/>
              <w:left w:val="nil"/>
              <w:bottom w:val="nil"/>
              <w:right w:val="nil"/>
            </w:tcBorders>
            <w:shd w:val="clear" w:color="auto" w:fill="auto"/>
            <w:noWrap/>
            <w:vAlign w:val="bottom"/>
            <w:hideMark/>
          </w:tcPr>
          <w:p w14:paraId="38E7B454" w14:textId="655D6F8D" w:rsidR="00F15562" w:rsidRPr="003B7EA9" w:rsidRDefault="005B66AD" w:rsidP="00F15562">
            <w:pPr>
              <w:spacing w:line="240" w:lineRule="auto"/>
              <w:ind w:firstLine="0"/>
              <w:jc w:val="left"/>
              <w:rPr>
                <w:color w:val="000000"/>
                <w:sz w:val="22"/>
                <w:szCs w:val="22"/>
                <w:lang w:eastAsia="en-GB"/>
              </w:rPr>
            </w:pPr>
            <w:r>
              <w:rPr>
                <w:color w:val="000000"/>
                <w:sz w:val="22"/>
                <w:szCs w:val="22"/>
                <w:lang w:eastAsia="en-GB"/>
              </w:rPr>
              <w:t>Care p</w:t>
            </w:r>
            <w:r w:rsidR="00F15562" w:rsidRPr="003B7EA9">
              <w:rPr>
                <w:color w:val="000000"/>
                <w:sz w:val="22"/>
                <w:szCs w:val="22"/>
                <w:lang w:eastAsia="en-GB"/>
              </w:rPr>
              <w:t>rovider</w:t>
            </w:r>
          </w:p>
        </w:tc>
        <w:tc>
          <w:tcPr>
            <w:tcW w:w="1072" w:type="dxa"/>
            <w:tcBorders>
              <w:top w:val="nil"/>
              <w:left w:val="nil"/>
              <w:bottom w:val="nil"/>
              <w:right w:val="nil"/>
            </w:tcBorders>
            <w:shd w:val="clear" w:color="auto" w:fill="auto"/>
            <w:noWrap/>
            <w:vAlign w:val="bottom"/>
            <w:hideMark/>
          </w:tcPr>
          <w:p w14:paraId="2BFDDDA6" w14:textId="07A83187" w:rsidR="00F15562" w:rsidRPr="003B7EA9" w:rsidRDefault="00A051CD"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780" w:type="dxa"/>
            <w:tcBorders>
              <w:top w:val="nil"/>
              <w:left w:val="nil"/>
              <w:bottom w:val="nil"/>
              <w:right w:val="nil"/>
            </w:tcBorders>
            <w:shd w:val="clear" w:color="auto" w:fill="auto"/>
            <w:noWrap/>
            <w:vAlign w:val="bottom"/>
            <w:hideMark/>
          </w:tcPr>
          <w:p w14:paraId="452CE8B2"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940" w:type="dxa"/>
            <w:gridSpan w:val="2"/>
            <w:tcBorders>
              <w:top w:val="nil"/>
              <w:left w:val="nil"/>
              <w:bottom w:val="nil"/>
              <w:right w:val="nil"/>
            </w:tcBorders>
            <w:shd w:val="clear" w:color="auto" w:fill="auto"/>
            <w:noWrap/>
            <w:vAlign w:val="bottom"/>
            <w:hideMark/>
          </w:tcPr>
          <w:p w14:paraId="66E7C1C3"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820" w:type="dxa"/>
            <w:gridSpan w:val="2"/>
            <w:tcBorders>
              <w:top w:val="nil"/>
              <w:left w:val="nil"/>
              <w:bottom w:val="nil"/>
              <w:right w:val="nil"/>
            </w:tcBorders>
            <w:shd w:val="clear" w:color="auto" w:fill="auto"/>
            <w:noWrap/>
            <w:vAlign w:val="bottom"/>
            <w:hideMark/>
          </w:tcPr>
          <w:p w14:paraId="64015285"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820" w:type="dxa"/>
            <w:gridSpan w:val="2"/>
            <w:tcBorders>
              <w:top w:val="nil"/>
              <w:left w:val="nil"/>
              <w:bottom w:val="nil"/>
              <w:right w:val="nil"/>
            </w:tcBorders>
            <w:shd w:val="clear" w:color="auto" w:fill="auto"/>
            <w:noWrap/>
            <w:vAlign w:val="bottom"/>
            <w:hideMark/>
          </w:tcPr>
          <w:p w14:paraId="21C79BC0"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820" w:type="dxa"/>
            <w:gridSpan w:val="2"/>
            <w:tcBorders>
              <w:top w:val="nil"/>
              <w:left w:val="nil"/>
              <w:bottom w:val="nil"/>
              <w:right w:val="nil"/>
            </w:tcBorders>
            <w:shd w:val="clear" w:color="auto" w:fill="auto"/>
            <w:noWrap/>
            <w:vAlign w:val="bottom"/>
            <w:hideMark/>
          </w:tcPr>
          <w:p w14:paraId="01AEC9A7"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r>
      <w:tr w:rsidR="00F15562" w:rsidRPr="003B7EA9" w14:paraId="3A892573" w14:textId="77777777" w:rsidTr="00C5012C">
        <w:trPr>
          <w:trHeight w:val="300"/>
        </w:trPr>
        <w:tc>
          <w:tcPr>
            <w:tcW w:w="2142" w:type="dxa"/>
            <w:tcBorders>
              <w:top w:val="nil"/>
              <w:left w:val="nil"/>
              <w:bottom w:val="single" w:sz="4" w:space="0" w:color="auto"/>
              <w:right w:val="nil"/>
            </w:tcBorders>
            <w:shd w:val="clear" w:color="auto" w:fill="auto"/>
            <w:noWrap/>
            <w:vAlign w:val="bottom"/>
            <w:hideMark/>
          </w:tcPr>
          <w:p w14:paraId="66627056" w14:textId="77777777" w:rsidR="00F15562" w:rsidRPr="003B7EA9" w:rsidRDefault="00F15562" w:rsidP="00F15562">
            <w:pPr>
              <w:spacing w:line="240" w:lineRule="auto"/>
              <w:ind w:firstLine="0"/>
              <w:jc w:val="left"/>
              <w:rPr>
                <w:color w:val="000000"/>
                <w:sz w:val="22"/>
                <w:szCs w:val="22"/>
                <w:lang w:eastAsia="en-GB"/>
              </w:rPr>
            </w:pPr>
            <w:r w:rsidRPr="003B7EA9">
              <w:rPr>
                <w:color w:val="000000"/>
                <w:sz w:val="22"/>
                <w:szCs w:val="22"/>
                <w:lang w:eastAsia="en-GB"/>
              </w:rPr>
              <w:t>Gender</w:t>
            </w:r>
          </w:p>
        </w:tc>
        <w:tc>
          <w:tcPr>
            <w:tcW w:w="1072" w:type="dxa"/>
            <w:tcBorders>
              <w:top w:val="nil"/>
              <w:left w:val="nil"/>
              <w:bottom w:val="single" w:sz="4" w:space="0" w:color="auto"/>
              <w:right w:val="nil"/>
            </w:tcBorders>
            <w:shd w:val="clear" w:color="auto" w:fill="auto"/>
            <w:noWrap/>
            <w:vAlign w:val="bottom"/>
            <w:hideMark/>
          </w:tcPr>
          <w:p w14:paraId="697C7F96" w14:textId="18E8A082" w:rsidR="00F15562" w:rsidRPr="003B7EA9" w:rsidRDefault="00A051CD"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780" w:type="dxa"/>
            <w:tcBorders>
              <w:top w:val="nil"/>
              <w:left w:val="nil"/>
              <w:bottom w:val="single" w:sz="4" w:space="0" w:color="auto"/>
              <w:right w:val="nil"/>
            </w:tcBorders>
            <w:shd w:val="clear" w:color="auto" w:fill="auto"/>
            <w:noWrap/>
            <w:vAlign w:val="bottom"/>
            <w:hideMark/>
          </w:tcPr>
          <w:p w14:paraId="6837905B"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940" w:type="dxa"/>
            <w:gridSpan w:val="2"/>
            <w:tcBorders>
              <w:top w:val="nil"/>
              <w:left w:val="nil"/>
              <w:bottom w:val="single" w:sz="4" w:space="0" w:color="auto"/>
              <w:right w:val="nil"/>
            </w:tcBorders>
            <w:shd w:val="clear" w:color="auto" w:fill="auto"/>
            <w:noWrap/>
            <w:vAlign w:val="bottom"/>
            <w:hideMark/>
          </w:tcPr>
          <w:p w14:paraId="36A9DE5B"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820" w:type="dxa"/>
            <w:gridSpan w:val="2"/>
            <w:tcBorders>
              <w:top w:val="nil"/>
              <w:left w:val="nil"/>
              <w:bottom w:val="single" w:sz="4" w:space="0" w:color="auto"/>
              <w:right w:val="nil"/>
            </w:tcBorders>
            <w:shd w:val="clear" w:color="auto" w:fill="auto"/>
            <w:noWrap/>
            <w:vAlign w:val="bottom"/>
            <w:hideMark/>
          </w:tcPr>
          <w:p w14:paraId="2DC42718"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820" w:type="dxa"/>
            <w:gridSpan w:val="2"/>
            <w:tcBorders>
              <w:top w:val="nil"/>
              <w:left w:val="nil"/>
              <w:bottom w:val="single" w:sz="4" w:space="0" w:color="auto"/>
              <w:right w:val="nil"/>
            </w:tcBorders>
            <w:shd w:val="clear" w:color="auto" w:fill="auto"/>
            <w:noWrap/>
            <w:vAlign w:val="bottom"/>
            <w:hideMark/>
          </w:tcPr>
          <w:p w14:paraId="591C9BFC"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c>
          <w:tcPr>
            <w:tcW w:w="820" w:type="dxa"/>
            <w:gridSpan w:val="2"/>
            <w:tcBorders>
              <w:top w:val="nil"/>
              <w:left w:val="nil"/>
              <w:bottom w:val="single" w:sz="4" w:space="0" w:color="auto"/>
              <w:right w:val="nil"/>
            </w:tcBorders>
            <w:shd w:val="clear" w:color="auto" w:fill="auto"/>
            <w:noWrap/>
            <w:vAlign w:val="bottom"/>
            <w:hideMark/>
          </w:tcPr>
          <w:p w14:paraId="3998EB56" w14:textId="77777777" w:rsidR="00F15562" w:rsidRPr="003B7EA9" w:rsidRDefault="00F15562" w:rsidP="00F15562">
            <w:pPr>
              <w:spacing w:line="240" w:lineRule="auto"/>
              <w:ind w:firstLine="0"/>
              <w:jc w:val="center"/>
              <w:rPr>
                <w:color w:val="000000"/>
                <w:sz w:val="22"/>
                <w:szCs w:val="22"/>
                <w:lang w:eastAsia="en-GB"/>
              </w:rPr>
            </w:pPr>
            <w:r w:rsidRPr="003B7EA9">
              <w:rPr>
                <w:color w:val="000000"/>
                <w:sz w:val="22"/>
                <w:szCs w:val="22"/>
                <w:lang w:eastAsia="en-GB"/>
              </w:rPr>
              <w:t>x</w:t>
            </w:r>
          </w:p>
        </w:tc>
      </w:tr>
      <w:tr w:rsidR="00F15562" w:rsidRPr="003B7EA9" w14:paraId="3A43CEB2" w14:textId="77777777" w:rsidTr="00342487">
        <w:trPr>
          <w:gridAfter w:val="1"/>
          <w:wAfter w:w="182" w:type="dxa"/>
          <w:trHeight w:val="57"/>
        </w:trPr>
        <w:tc>
          <w:tcPr>
            <w:tcW w:w="7212" w:type="dxa"/>
            <w:gridSpan w:val="10"/>
            <w:tcBorders>
              <w:top w:val="nil"/>
              <w:left w:val="nil"/>
              <w:bottom w:val="nil"/>
              <w:right w:val="nil"/>
            </w:tcBorders>
            <w:shd w:val="clear" w:color="auto" w:fill="auto"/>
            <w:noWrap/>
            <w:vAlign w:val="bottom"/>
            <w:hideMark/>
          </w:tcPr>
          <w:p w14:paraId="3A6E7323" w14:textId="77777777" w:rsidR="00F15562" w:rsidRPr="003B7EA9" w:rsidRDefault="005C6B29" w:rsidP="00F15562">
            <w:pPr>
              <w:spacing w:line="240" w:lineRule="auto"/>
              <w:ind w:firstLine="0"/>
              <w:jc w:val="left"/>
              <w:rPr>
                <w:color w:val="000000"/>
                <w:sz w:val="20"/>
                <w:szCs w:val="20"/>
                <w:lang w:eastAsia="en-GB"/>
              </w:rPr>
            </w:pPr>
            <w:r w:rsidRPr="003B7EA9">
              <w:rPr>
                <w:color w:val="000000"/>
                <w:sz w:val="20"/>
                <w:szCs w:val="20"/>
                <w:lang w:eastAsia="en-GB"/>
              </w:rPr>
              <w:t>Note: '</w:t>
            </w:r>
            <w:r w:rsidR="00F15562" w:rsidRPr="003B7EA9">
              <w:rPr>
                <w:color w:val="000000"/>
                <w:sz w:val="20"/>
                <w:szCs w:val="20"/>
                <w:lang w:eastAsia="en-GB"/>
              </w:rPr>
              <w:t xml:space="preserve">Age of Individual' and 'Formal Marital Status' removed due to </w:t>
            </w:r>
            <w:proofErr w:type="spellStart"/>
            <w:r w:rsidR="00F15562" w:rsidRPr="003B7EA9">
              <w:rPr>
                <w:color w:val="000000"/>
                <w:sz w:val="20"/>
                <w:szCs w:val="20"/>
                <w:lang w:eastAsia="en-GB"/>
              </w:rPr>
              <w:t>col</w:t>
            </w:r>
            <w:r w:rsidR="00F55F69" w:rsidRPr="003B7EA9">
              <w:rPr>
                <w:color w:val="000000"/>
                <w:sz w:val="20"/>
                <w:szCs w:val="20"/>
                <w:lang w:eastAsia="en-GB"/>
              </w:rPr>
              <w:t>l</w:t>
            </w:r>
            <w:r w:rsidR="00F15562" w:rsidRPr="003B7EA9">
              <w:rPr>
                <w:color w:val="000000"/>
                <w:sz w:val="20"/>
                <w:szCs w:val="20"/>
                <w:lang w:eastAsia="en-GB"/>
              </w:rPr>
              <w:t>inearity</w:t>
            </w:r>
            <w:proofErr w:type="spellEnd"/>
            <w:r w:rsidR="00F15562" w:rsidRPr="003B7EA9">
              <w:rPr>
                <w:color w:val="000000"/>
                <w:sz w:val="20"/>
                <w:szCs w:val="20"/>
                <w:lang w:eastAsia="en-GB"/>
              </w:rPr>
              <w:t xml:space="preserve"> issues</w:t>
            </w:r>
          </w:p>
        </w:tc>
      </w:tr>
      <w:tr w:rsidR="00F15562" w:rsidRPr="003B7EA9" w14:paraId="041F0BC1" w14:textId="77777777" w:rsidTr="00342487">
        <w:trPr>
          <w:gridAfter w:val="1"/>
          <w:wAfter w:w="182" w:type="dxa"/>
          <w:trHeight w:val="57"/>
        </w:trPr>
        <w:tc>
          <w:tcPr>
            <w:tcW w:w="6392" w:type="dxa"/>
            <w:gridSpan w:val="8"/>
            <w:tcBorders>
              <w:top w:val="nil"/>
              <w:left w:val="nil"/>
              <w:bottom w:val="nil"/>
              <w:right w:val="nil"/>
            </w:tcBorders>
            <w:shd w:val="clear" w:color="auto" w:fill="auto"/>
            <w:noWrap/>
            <w:vAlign w:val="bottom"/>
            <w:hideMark/>
          </w:tcPr>
          <w:p w14:paraId="565D595B" w14:textId="77777777" w:rsidR="00F15562" w:rsidRPr="003B7EA9" w:rsidRDefault="00F15562" w:rsidP="00F15562">
            <w:pPr>
              <w:spacing w:line="240" w:lineRule="auto"/>
              <w:ind w:firstLine="0"/>
              <w:jc w:val="left"/>
              <w:rPr>
                <w:color w:val="000000"/>
                <w:sz w:val="20"/>
                <w:szCs w:val="20"/>
                <w:lang w:eastAsia="en-GB"/>
              </w:rPr>
            </w:pPr>
            <w:r w:rsidRPr="003B7EA9">
              <w:rPr>
                <w:color w:val="000000"/>
                <w:sz w:val="20"/>
                <w:szCs w:val="20"/>
                <w:lang w:eastAsia="en-GB"/>
              </w:rPr>
              <w:t xml:space="preserve">*   inclusion of variable improved -2LL by less than 0.25% </w:t>
            </w:r>
            <w:proofErr w:type="spellStart"/>
            <w:r w:rsidRPr="003B7EA9">
              <w:rPr>
                <w:color w:val="000000"/>
                <w:sz w:val="20"/>
                <w:szCs w:val="20"/>
                <w:lang w:eastAsia="en-GB"/>
              </w:rPr>
              <w:t>cf</w:t>
            </w:r>
            <w:proofErr w:type="spellEnd"/>
            <w:r w:rsidRPr="003B7EA9">
              <w:rPr>
                <w:color w:val="000000"/>
                <w:sz w:val="20"/>
                <w:szCs w:val="20"/>
                <w:lang w:eastAsia="en-GB"/>
              </w:rPr>
              <w:t xml:space="preserve"> null model</w:t>
            </w:r>
          </w:p>
        </w:tc>
        <w:tc>
          <w:tcPr>
            <w:tcW w:w="820" w:type="dxa"/>
            <w:gridSpan w:val="2"/>
            <w:tcBorders>
              <w:top w:val="nil"/>
              <w:left w:val="nil"/>
              <w:bottom w:val="nil"/>
              <w:right w:val="nil"/>
            </w:tcBorders>
            <w:shd w:val="clear" w:color="auto" w:fill="auto"/>
            <w:noWrap/>
            <w:vAlign w:val="bottom"/>
            <w:hideMark/>
          </w:tcPr>
          <w:p w14:paraId="5639D7F7" w14:textId="77777777" w:rsidR="00F15562" w:rsidRPr="003B7EA9" w:rsidRDefault="00F15562" w:rsidP="00F15562">
            <w:pPr>
              <w:spacing w:line="240" w:lineRule="auto"/>
              <w:ind w:firstLine="0"/>
              <w:jc w:val="center"/>
              <w:rPr>
                <w:color w:val="000000"/>
                <w:sz w:val="22"/>
                <w:szCs w:val="22"/>
                <w:lang w:eastAsia="en-GB"/>
              </w:rPr>
            </w:pPr>
          </w:p>
        </w:tc>
      </w:tr>
      <w:tr w:rsidR="00C5012C" w:rsidRPr="003B7EA9" w14:paraId="05016585" w14:textId="77777777" w:rsidTr="00342487">
        <w:trPr>
          <w:gridAfter w:val="1"/>
          <w:wAfter w:w="182" w:type="dxa"/>
          <w:trHeight w:val="57"/>
        </w:trPr>
        <w:tc>
          <w:tcPr>
            <w:tcW w:w="7212" w:type="dxa"/>
            <w:gridSpan w:val="10"/>
            <w:tcBorders>
              <w:top w:val="nil"/>
              <w:left w:val="nil"/>
              <w:bottom w:val="nil"/>
              <w:right w:val="nil"/>
            </w:tcBorders>
            <w:shd w:val="clear" w:color="auto" w:fill="auto"/>
            <w:noWrap/>
            <w:vAlign w:val="bottom"/>
            <w:hideMark/>
          </w:tcPr>
          <w:p w14:paraId="3612A99B" w14:textId="77777777" w:rsidR="00C5012C" w:rsidRPr="003B7EA9" w:rsidRDefault="00C5012C" w:rsidP="00C5012C">
            <w:pPr>
              <w:spacing w:line="240" w:lineRule="auto"/>
              <w:ind w:firstLine="0"/>
              <w:rPr>
                <w:color w:val="000000"/>
                <w:sz w:val="22"/>
                <w:szCs w:val="22"/>
                <w:lang w:eastAsia="en-GB"/>
              </w:rPr>
            </w:pPr>
            <w:r w:rsidRPr="003B7EA9">
              <w:rPr>
                <w:color w:val="000000"/>
                <w:sz w:val="20"/>
                <w:szCs w:val="20"/>
                <w:lang w:eastAsia="en-GB"/>
              </w:rPr>
              <w:t>x   inclusion of variable would improve -2LL by less than 0.1%</w:t>
            </w:r>
          </w:p>
        </w:tc>
      </w:tr>
    </w:tbl>
    <w:p w14:paraId="21A05A5D" w14:textId="77777777" w:rsidR="008F28C7" w:rsidRPr="003B7EA9" w:rsidRDefault="008F28C7" w:rsidP="008F28C7">
      <w:pPr>
        <w:ind w:left="-709" w:firstLine="0"/>
      </w:pPr>
    </w:p>
    <w:tbl>
      <w:tblPr>
        <w:tblW w:w="14038" w:type="dxa"/>
        <w:tblInd w:w="93" w:type="dxa"/>
        <w:tblLook w:val="04A0" w:firstRow="1" w:lastRow="0" w:firstColumn="1" w:lastColumn="0" w:noHBand="0" w:noVBand="1"/>
      </w:tblPr>
      <w:tblGrid>
        <w:gridCol w:w="261"/>
        <w:gridCol w:w="3016"/>
        <w:gridCol w:w="1103"/>
        <w:gridCol w:w="886"/>
        <w:gridCol w:w="20"/>
        <w:gridCol w:w="411"/>
        <w:gridCol w:w="414"/>
        <w:gridCol w:w="612"/>
        <w:gridCol w:w="174"/>
        <w:gridCol w:w="317"/>
        <w:gridCol w:w="236"/>
        <w:gridCol w:w="284"/>
        <w:gridCol w:w="270"/>
        <w:gridCol w:w="47"/>
        <w:gridCol w:w="273"/>
        <w:gridCol w:w="26"/>
        <w:gridCol w:w="17"/>
        <w:gridCol w:w="19"/>
        <w:gridCol w:w="42"/>
        <w:gridCol w:w="398"/>
        <w:gridCol w:w="34"/>
        <w:gridCol w:w="150"/>
        <w:gridCol w:w="278"/>
        <w:gridCol w:w="70"/>
        <w:gridCol w:w="58"/>
        <w:gridCol w:w="38"/>
        <w:gridCol w:w="210"/>
        <w:gridCol w:w="183"/>
        <w:gridCol w:w="350"/>
        <w:gridCol w:w="143"/>
        <w:gridCol w:w="184"/>
        <w:gridCol w:w="11"/>
        <w:gridCol w:w="27"/>
        <w:gridCol w:w="8"/>
        <w:gridCol w:w="6"/>
        <w:gridCol w:w="181"/>
        <w:gridCol w:w="49"/>
        <w:gridCol w:w="193"/>
        <w:gridCol w:w="269"/>
        <w:gridCol w:w="332"/>
        <w:gridCol w:w="13"/>
        <w:gridCol w:w="154"/>
        <w:gridCol w:w="55"/>
        <w:gridCol w:w="27"/>
        <w:gridCol w:w="28"/>
        <w:gridCol w:w="87"/>
        <w:gridCol w:w="138"/>
        <w:gridCol w:w="84"/>
        <w:gridCol w:w="273"/>
        <w:gridCol w:w="414"/>
        <w:gridCol w:w="236"/>
        <w:gridCol w:w="87"/>
        <w:gridCol w:w="62"/>
        <w:gridCol w:w="86"/>
        <w:gridCol w:w="88"/>
        <w:gridCol w:w="148"/>
        <w:gridCol w:w="68"/>
        <w:gridCol w:w="154"/>
        <w:gridCol w:w="236"/>
      </w:tblGrid>
      <w:tr w:rsidR="00FC17B1" w:rsidRPr="003B7EA9" w14:paraId="0E66DDC0" w14:textId="77777777" w:rsidTr="00F55F69">
        <w:trPr>
          <w:gridAfter w:val="5"/>
          <w:wAfter w:w="694" w:type="dxa"/>
          <w:trHeight w:val="300"/>
        </w:trPr>
        <w:tc>
          <w:tcPr>
            <w:tcW w:w="9358" w:type="dxa"/>
            <w:gridSpan w:val="24"/>
            <w:tcBorders>
              <w:top w:val="nil"/>
              <w:left w:val="nil"/>
              <w:bottom w:val="nil"/>
              <w:right w:val="nil"/>
            </w:tcBorders>
            <w:shd w:val="clear" w:color="auto" w:fill="auto"/>
            <w:noWrap/>
            <w:vAlign w:val="bottom"/>
            <w:hideMark/>
          </w:tcPr>
          <w:p w14:paraId="1FB75A5C" w14:textId="616B73F4" w:rsidR="00C5012C" w:rsidRPr="003B7EA9" w:rsidRDefault="00C5012C" w:rsidP="004C0B09">
            <w:pPr>
              <w:spacing w:line="240" w:lineRule="auto"/>
              <w:ind w:firstLine="0"/>
              <w:jc w:val="left"/>
              <w:rPr>
                <w:i/>
                <w:iCs/>
                <w:color w:val="000000"/>
                <w:sz w:val="22"/>
                <w:szCs w:val="22"/>
                <w:lang w:eastAsia="en-GB"/>
              </w:rPr>
            </w:pPr>
            <w:r w:rsidRPr="003B7EA9">
              <w:rPr>
                <w:i/>
                <w:iCs/>
                <w:color w:val="000000"/>
                <w:sz w:val="22"/>
                <w:szCs w:val="22"/>
                <w:lang w:eastAsia="en-GB"/>
              </w:rPr>
              <w:lastRenderedPageBreak/>
              <w:t xml:space="preserve">Table </w:t>
            </w:r>
            <w:r w:rsidR="00A4147E" w:rsidRPr="003B7EA9">
              <w:rPr>
                <w:i/>
                <w:iCs/>
                <w:color w:val="000000"/>
                <w:sz w:val="22"/>
                <w:szCs w:val="22"/>
                <w:lang w:eastAsia="en-GB"/>
              </w:rPr>
              <w:t>4</w:t>
            </w:r>
            <w:r w:rsidRPr="003B7EA9">
              <w:rPr>
                <w:i/>
                <w:iCs/>
                <w:color w:val="000000"/>
                <w:sz w:val="22"/>
                <w:szCs w:val="22"/>
                <w:lang w:eastAsia="en-GB"/>
              </w:rPr>
              <w:t xml:space="preserve">  </w:t>
            </w:r>
            <w:r w:rsidR="004C0B09">
              <w:rPr>
                <w:i/>
                <w:iCs/>
                <w:color w:val="000000"/>
                <w:sz w:val="22"/>
                <w:szCs w:val="22"/>
                <w:lang w:eastAsia="en-GB"/>
              </w:rPr>
              <w:t>Migration propensity logistic regression a</w:t>
            </w:r>
            <w:r w:rsidRPr="003B7EA9">
              <w:rPr>
                <w:i/>
                <w:iCs/>
                <w:color w:val="000000"/>
                <w:sz w:val="22"/>
                <w:szCs w:val="22"/>
                <w:lang w:eastAsia="en-GB"/>
              </w:rPr>
              <w:t>nalysis for All Usual Residents</w:t>
            </w:r>
          </w:p>
        </w:tc>
        <w:tc>
          <w:tcPr>
            <w:tcW w:w="1177" w:type="dxa"/>
            <w:gridSpan w:val="8"/>
            <w:tcBorders>
              <w:top w:val="nil"/>
              <w:left w:val="nil"/>
              <w:bottom w:val="nil"/>
              <w:right w:val="nil"/>
            </w:tcBorders>
            <w:shd w:val="clear" w:color="auto" w:fill="auto"/>
            <w:noWrap/>
            <w:vAlign w:val="bottom"/>
            <w:hideMark/>
          </w:tcPr>
          <w:p w14:paraId="58123437" w14:textId="77777777" w:rsidR="00C5012C" w:rsidRPr="003B7EA9" w:rsidRDefault="00C5012C" w:rsidP="00C5012C">
            <w:pPr>
              <w:spacing w:line="240" w:lineRule="auto"/>
              <w:ind w:firstLine="0"/>
              <w:jc w:val="left"/>
              <w:rPr>
                <w:color w:val="000000"/>
                <w:sz w:val="22"/>
                <w:szCs w:val="22"/>
                <w:lang w:eastAsia="en-GB"/>
              </w:rPr>
            </w:pPr>
          </w:p>
        </w:tc>
        <w:tc>
          <w:tcPr>
            <w:tcW w:w="222" w:type="dxa"/>
            <w:gridSpan w:val="4"/>
            <w:tcBorders>
              <w:top w:val="nil"/>
              <w:left w:val="nil"/>
              <w:bottom w:val="nil"/>
              <w:right w:val="nil"/>
            </w:tcBorders>
            <w:shd w:val="clear" w:color="auto" w:fill="auto"/>
            <w:noWrap/>
            <w:vAlign w:val="bottom"/>
            <w:hideMark/>
          </w:tcPr>
          <w:p w14:paraId="4D6A160B" w14:textId="77777777" w:rsidR="00C5012C" w:rsidRPr="003B7EA9" w:rsidRDefault="00C5012C" w:rsidP="00C5012C">
            <w:pPr>
              <w:spacing w:line="240" w:lineRule="auto"/>
              <w:ind w:firstLine="0"/>
              <w:jc w:val="left"/>
              <w:rPr>
                <w:color w:val="000000"/>
                <w:sz w:val="22"/>
                <w:szCs w:val="22"/>
                <w:lang w:eastAsia="en-GB"/>
              </w:rPr>
            </w:pPr>
          </w:p>
        </w:tc>
        <w:tc>
          <w:tcPr>
            <w:tcW w:w="1120" w:type="dxa"/>
            <w:gridSpan w:val="9"/>
            <w:tcBorders>
              <w:top w:val="nil"/>
              <w:left w:val="nil"/>
              <w:bottom w:val="nil"/>
              <w:right w:val="nil"/>
            </w:tcBorders>
            <w:shd w:val="clear" w:color="auto" w:fill="auto"/>
            <w:noWrap/>
            <w:vAlign w:val="bottom"/>
            <w:hideMark/>
          </w:tcPr>
          <w:p w14:paraId="79DC8BB2" w14:textId="77777777" w:rsidR="00C5012C" w:rsidRPr="003B7EA9" w:rsidRDefault="00C5012C" w:rsidP="00C5012C">
            <w:pPr>
              <w:spacing w:line="240" w:lineRule="auto"/>
              <w:ind w:firstLine="0"/>
              <w:jc w:val="left"/>
              <w:rPr>
                <w:color w:val="000000"/>
                <w:sz w:val="22"/>
                <w:szCs w:val="22"/>
                <w:lang w:eastAsia="en-GB"/>
              </w:rPr>
            </w:pPr>
          </w:p>
        </w:tc>
        <w:tc>
          <w:tcPr>
            <w:tcW w:w="1467" w:type="dxa"/>
            <w:gridSpan w:val="9"/>
            <w:tcBorders>
              <w:top w:val="nil"/>
              <w:left w:val="nil"/>
              <w:bottom w:val="nil"/>
              <w:right w:val="nil"/>
            </w:tcBorders>
            <w:shd w:val="clear" w:color="auto" w:fill="auto"/>
            <w:noWrap/>
            <w:vAlign w:val="bottom"/>
            <w:hideMark/>
          </w:tcPr>
          <w:p w14:paraId="1CE8147E" w14:textId="77777777" w:rsidR="00C5012C" w:rsidRPr="003B7EA9" w:rsidRDefault="00C5012C" w:rsidP="00C5012C">
            <w:pPr>
              <w:spacing w:line="240" w:lineRule="auto"/>
              <w:ind w:firstLine="0"/>
              <w:jc w:val="left"/>
              <w:rPr>
                <w:color w:val="000000"/>
                <w:sz w:val="22"/>
                <w:szCs w:val="22"/>
                <w:lang w:eastAsia="en-GB"/>
              </w:rPr>
            </w:pPr>
          </w:p>
        </w:tc>
      </w:tr>
      <w:tr w:rsidR="00FC17B1" w:rsidRPr="003B7EA9" w14:paraId="189D520E" w14:textId="77777777" w:rsidTr="00F55F69">
        <w:trPr>
          <w:trHeight w:val="300"/>
        </w:trPr>
        <w:tc>
          <w:tcPr>
            <w:tcW w:w="3277" w:type="dxa"/>
            <w:gridSpan w:val="2"/>
            <w:vMerge w:val="restart"/>
            <w:tcBorders>
              <w:top w:val="nil"/>
              <w:left w:val="nil"/>
              <w:bottom w:val="single" w:sz="4" w:space="0" w:color="000000"/>
              <w:right w:val="nil"/>
            </w:tcBorders>
            <w:shd w:val="clear" w:color="auto" w:fill="auto"/>
            <w:noWrap/>
            <w:vAlign w:val="center"/>
            <w:hideMark/>
          </w:tcPr>
          <w:p w14:paraId="1B55B62A" w14:textId="0E4911D4" w:rsidR="00C5012C" w:rsidRPr="003B7EA9" w:rsidRDefault="00C5012C" w:rsidP="00502A2C">
            <w:pPr>
              <w:spacing w:line="240" w:lineRule="auto"/>
              <w:ind w:firstLine="0"/>
              <w:jc w:val="center"/>
              <w:rPr>
                <w:color w:val="000000"/>
                <w:sz w:val="18"/>
                <w:szCs w:val="18"/>
                <w:lang w:eastAsia="en-GB"/>
              </w:rPr>
            </w:pPr>
            <w:r w:rsidRPr="003B7EA9">
              <w:rPr>
                <w:color w:val="000000"/>
                <w:sz w:val="18"/>
                <w:szCs w:val="18"/>
                <w:lang w:eastAsia="en-GB"/>
              </w:rPr>
              <w:t xml:space="preserve">Variable / </w:t>
            </w:r>
            <w:r w:rsidR="00502A2C">
              <w:rPr>
                <w:color w:val="000000"/>
                <w:sz w:val="18"/>
                <w:szCs w:val="18"/>
                <w:lang w:eastAsia="en-GB"/>
              </w:rPr>
              <w:t>c</w:t>
            </w:r>
            <w:r w:rsidRPr="003B7EA9">
              <w:rPr>
                <w:color w:val="000000"/>
                <w:sz w:val="18"/>
                <w:szCs w:val="18"/>
                <w:lang w:eastAsia="en-GB"/>
              </w:rPr>
              <w:t>ategory</w:t>
            </w:r>
          </w:p>
        </w:tc>
        <w:tc>
          <w:tcPr>
            <w:tcW w:w="1103" w:type="dxa"/>
            <w:vMerge w:val="restart"/>
            <w:tcBorders>
              <w:top w:val="nil"/>
              <w:left w:val="nil"/>
              <w:bottom w:val="single" w:sz="4" w:space="0" w:color="000000"/>
              <w:right w:val="nil"/>
            </w:tcBorders>
            <w:shd w:val="clear" w:color="auto" w:fill="auto"/>
            <w:vAlign w:val="center"/>
            <w:hideMark/>
          </w:tcPr>
          <w:p w14:paraId="423A3190" w14:textId="6D7E135F" w:rsidR="00C5012C" w:rsidRPr="003B7EA9" w:rsidRDefault="00C5012C" w:rsidP="00502A2C">
            <w:pPr>
              <w:spacing w:line="240" w:lineRule="auto"/>
              <w:ind w:firstLine="0"/>
              <w:jc w:val="center"/>
              <w:rPr>
                <w:color w:val="000000"/>
                <w:sz w:val="18"/>
                <w:szCs w:val="18"/>
                <w:lang w:eastAsia="en-GB"/>
              </w:rPr>
            </w:pPr>
            <w:r w:rsidRPr="003B7EA9">
              <w:rPr>
                <w:color w:val="000000"/>
                <w:sz w:val="18"/>
                <w:szCs w:val="18"/>
                <w:lang w:eastAsia="en-GB"/>
              </w:rPr>
              <w:t xml:space="preserve">Regression </w:t>
            </w:r>
            <w:r w:rsidR="00502A2C">
              <w:rPr>
                <w:color w:val="000000"/>
                <w:sz w:val="18"/>
                <w:szCs w:val="18"/>
                <w:lang w:eastAsia="en-GB"/>
              </w:rPr>
              <w:t>c</w:t>
            </w:r>
            <w:r w:rsidRPr="003B7EA9">
              <w:rPr>
                <w:color w:val="000000"/>
                <w:sz w:val="18"/>
                <w:szCs w:val="18"/>
                <w:lang w:eastAsia="en-GB"/>
              </w:rPr>
              <w:t>oefficient</w:t>
            </w:r>
          </w:p>
        </w:tc>
        <w:tc>
          <w:tcPr>
            <w:tcW w:w="886" w:type="dxa"/>
            <w:vMerge w:val="restart"/>
            <w:tcBorders>
              <w:top w:val="nil"/>
              <w:left w:val="nil"/>
              <w:bottom w:val="single" w:sz="4" w:space="0" w:color="000000"/>
              <w:right w:val="nil"/>
            </w:tcBorders>
            <w:shd w:val="clear" w:color="auto" w:fill="auto"/>
            <w:vAlign w:val="center"/>
            <w:hideMark/>
          </w:tcPr>
          <w:p w14:paraId="4D8C4604"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Odds relative to reference category</w:t>
            </w:r>
          </w:p>
        </w:tc>
        <w:tc>
          <w:tcPr>
            <w:tcW w:w="431" w:type="dxa"/>
            <w:gridSpan w:val="2"/>
            <w:tcBorders>
              <w:top w:val="nil"/>
              <w:left w:val="nil"/>
              <w:bottom w:val="nil"/>
              <w:right w:val="nil"/>
            </w:tcBorders>
            <w:shd w:val="clear" w:color="auto" w:fill="auto"/>
            <w:noWrap/>
            <w:vAlign w:val="bottom"/>
            <w:hideMark/>
          </w:tcPr>
          <w:p w14:paraId="1966E617" w14:textId="77777777" w:rsidR="00C5012C" w:rsidRPr="003B7EA9" w:rsidRDefault="00C5012C" w:rsidP="00C5012C">
            <w:pPr>
              <w:spacing w:line="240" w:lineRule="auto"/>
              <w:ind w:firstLine="0"/>
              <w:jc w:val="left"/>
              <w:rPr>
                <w:color w:val="000000"/>
                <w:sz w:val="18"/>
                <w:szCs w:val="18"/>
                <w:lang w:eastAsia="en-GB"/>
              </w:rPr>
            </w:pPr>
          </w:p>
        </w:tc>
        <w:tc>
          <w:tcPr>
            <w:tcW w:w="1026" w:type="dxa"/>
            <w:gridSpan w:val="2"/>
            <w:vMerge w:val="restart"/>
            <w:tcBorders>
              <w:top w:val="nil"/>
              <w:left w:val="nil"/>
              <w:bottom w:val="single" w:sz="4" w:space="0" w:color="000000"/>
              <w:right w:val="nil"/>
            </w:tcBorders>
            <w:shd w:val="clear" w:color="auto" w:fill="auto"/>
            <w:vAlign w:val="center"/>
            <w:hideMark/>
          </w:tcPr>
          <w:p w14:paraId="1B95C3A5" w14:textId="36DF41E7" w:rsidR="00C5012C" w:rsidRPr="003B7EA9" w:rsidRDefault="00C5012C" w:rsidP="00502A2C">
            <w:pPr>
              <w:spacing w:line="240" w:lineRule="auto"/>
              <w:ind w:firstLine="0"/>
              <w:jc w:val="center"/>
              <w:rPr>
                <w:color w:val="000000"/>
                <w:sz w:val="18"/>
                <w:szCs w:val="18"/>
                <w:lang w:eastAsia="en-GB"/>
              </w:rPr>
            </w:pPr>
            <w:r w:rsidRPr="003B7EA9">
              <w:rPr>
                <w:color w:val="000000"/>
                <w:sz w:val="18"/>
                <w:szCs w:val="18"/>
                <w:lang w:eastAsia="en-GB"/>
              </w:rPr>
              <w:t xml:space="preserve">Regression </w:t>
            </w:r>
            <w:r w:rsidR="00502A2C">
              <w:rPr>
                <w:color w:val="000000"/>
                <w:sz w:val="18"/>
                <w:szCs w:val="18"/>
                <w:lang w:eastAsia="en-GB"/>
              </w:rPr>
              <w:t>c</w:t>
            </w:r>
            <w:r w:rsidRPr="003B7EA9">
              <w:rPr>
                <w:color w:val="000000"/>
                <w:sz w:val="18"/>
                <w:szCs w:val="18"/>
                <w:lang w:eastAsia="en-GB"/>
              </w:rPr>
              <w:t>oefficient</w:t>
            </w:r>
          </w:p>
        </w:tc>
        <w:tc>
          <w:tcPr>
            <w:tcW w:w="1281" w:type="dxa"/>
            <w:gridSpan w:val="5"/>
            <w:vMerge w:val="restart"/>
            <w:tcBorders>
              <w:top w:val="nil"/>
              <w:left w:val="nil"/>
              <w:bottom w:val="single" w:sz="4" w:space="0" w:color="000000"/>
              <w:right w:val="nil"/>
            </w:tcBorders>
            <w:shd w:val="clear" w:color="auto" w:fill="auto"/>
            <w:vAlign w:val="center"/>
            <w:hideMark/>
          </w:tcPr>
          <w:p w14:paraId="5B7F48C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Odds relative to reference category</w:t>
            </w:r>
          </w:p>
        </w:tc>
        <w:tc>
          <w:tcPr>
            <w:tcW w:w="424" w:type="dxa"/>
            <w:gridSpan w:val="6"/>
            <w:tcBorders>
              <w:top w:val="nil"/>
              <w:left w:val="nil"/>
              <w:bottom w:val="nil"/>
              <w:right w:val="nil"/>
            </w:tcBorders>
            <w:shd w:val="clear" w:color="auto" w:fill="auto"/>
            <w:noWrap/>
            <w:vAlign w:val="bottom"/>
            <w:hideMark/>
          </w:tcPr>
          <w:p w14:paraId="3D17470B" w14:textId="77777777" w:rsidR="00C5012C" w:rsidRPr="003B7EA9" w:rsidRDefault="00C5012C" w:rsidP="00C5012C">
            <w:pPr>
              <w:spacing w:line="240" w:lineRule="auto"/>
              <w:ind w:firstLine="0"/>
              <w:jc w:val="left"/>
              <w:rPr>
                <w:color w:val="000000"/>
                <w:sz w:val="18"/>
                <w:szCs w:val="18"/>
                <w:lang w:eastAsia="en-GB"/>
              </w:rPr>
            </w:pPr>
          </w:p>
        </w:tc>
        <w:tc>
          <w:tcPr>
            <w:tcW w:w="1026" w:type="dxa"/>
            <w:gridSpan w:val="7"/>
            <w:vMerge w:val="restart"/>
            <w:tcBorders>
              <w:top w:val="nil"/>
              <w:left w:val="nil"/>
              <w:bottom w:val="single" w:sz="4" w:space="0" w:color="000000"/>
              <w:right w:val="nil"/>
            </w:tcBorders>
            <w:shd w:val="clear" w:color="auto" w:fill="auto"/>
            <w:vAlign w:val="center"/>
            <w:hideMark/>
          </w:tcPr>
          <w:p w14:paraId="410D418B" w14:textId="6C9B9C31" w:rsidR="00C5012C" w:rsidRPr="003B7EA9" w:rsidRDefault="00C5012C" w:rsidP="00502A2C">
            <w:pPr>
              <w:spacing w:line="240" w:lineRule="auto"/>
              <w:ind w:firstLine="0"/>
              <w:jc w:val="center"/>
              <w:rPr>
                <w:color w:val="000000"/>
                <w:sz w:val="18"/>
                <w:szCs w:val="18"/>
                <w:lang w:eastAsia="en-GB"/>
              </w:rPr>
            </w:pPr>
            <w:r w:rsidRPr="003B7EA9">
              <w:rPr>
                <w:color w:val="000000"/>
                <w:sz w:val="18"/>
                <w:szCs w:val="18"/>
                <w:lang w:eastAsia="en-GB"/>
              </w:rPr>
              <w:t xml:space="preserve">Regression </w:t>
            </w:r>
            <w:r w:rsidR="00502A2C">
              <w:rPr>
                <w:color w:val="000000"/>
                <w:sz w:val="18"/>
                <w:szCs w:val="18"/>
                <w:lang w:eastAsia="en-GB"/>
              </w:rPr>
              <w:t>c</w:t>
            </w:r>
            <w:r w:rsidRPr="003B7EA9">
              <w:rPr>
                <w:color w:val="000000"/>
                <w:sz w:val="18"/>
                <w:szCs w:val="18"/>
                <w:lang w:eastAsia="en-GB"/>
              </w:rPr>
              <w:t>oefficient</w:t>
            </w:r>
          </w:p>
        </w:tc>
        <w:tc>
          <w:tcPr>
            <w:tcW w:w="886" w:type="dxa"/>
            <w:gridSpan w:val="4"/>
            <w:vMerge w:val="restart"/>
            <w:tcBorders>
              <w:top w:val="nil"/>
              <w:left w:val="nil"/>
              <w:bottom w:val="single" w:sz="4" w:space="0" w:color="000000"/>
              <w:right w:val="nil"/>
            </w:tcBorders>
            <w:shd w:val="clear" w:color="auto" w:fill="auto"/>
            <w:vAlign w:val="center"/>
            <w:hideMark/>
          </w:tcPr>
          <w:p w14:paraId="34985574"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Odds relative to reference category</w:t>
            </w:r>
          </w:p>
        </w:tc>
        <w:tc>
          <w:tcPr>
            <w:tcW w:w="236" w:type="dxa"/>
            <w:gridSpan w:val="5"/>
            <w:vAlign w:val="center"/>
            <w:hideMark/>
          </w:tcPr>
          <w:p w14:paraId="53130274"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1B5208A4"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35222FA7"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7B8AFCB8"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1E0E23FE"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1F879893"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2FF4F5F4"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638C4E1B" w14:textId="77777777" w:rsidR="00C5012C" w:rsidRPr="003B7EA9" w:rsidRDefault="00C5012C" w:rsidP="00C5012C">
            <w:pPr>
              <w:spacing w:line="240" w:lineRule="auto"/>
              <w:ind w:firstLine="0"/>
              <w:jc w:val="left"/>
              <w:rPr>
                <w:sz w:val="20"/>
                <w:szCs w:val="20"/>
                <w:lang w:eastAsia="en-GB"/>
              </w:rPr>
            </w:pPr>
          </w:p>
        </w:tc>
      </w:tr>
      <w:tr w:rsidR="00FC17B1" w:rsidRPr="003B7EA9" w14:paraId="5E1800E6" w14:textId="77777777" w:rsidTr="00F55F69">
        <w:trPr>
          <w:trHeight w:val="795"/>
        </w:trPr>
        <w:tc>
          <w:tcPr>
            <w:tcW w:w="3277" w:type="dxa"/>
            <w:gridSpan w:val="2"/>
            <w:vMerge/>
            <w:tcBorders>
              <w:top w:val="nil"/>
              <w:left w:val="nil"/>
              <w:bottom w:val="single" w:sz="4" w:space="0" w:color="000000"/>
              <w:right w:val="nil"/>
            </w:tcBorders>
            <w:vAlign w:val="center"/>
            <w:hideMark/>
          </w:tcPr>
          <w:p w14:paraId="66619A4E" w14:textId="77777777" w:rsidR="00C5012C" w:rsidRPr="003B7EA9" w:rsidRDefault="00C5012C" w:rsidP="00C5012C">
            <w:pPr>
              <w:spacing w:line="240" w:lineRule="auto"/>
              <w:ind w:firstLine="0"/>
              <w:jc w:val="left"/>
              <w:rPr>
                <w:color w:val="000000"/>
                <w:sz w:val="18"/>
                <w:szCs w:val="18"/>
                <w:lang w:eastAsia="en-GB"/>
              </w:rPr>
            </w:pPr>
          </w:p>
        </w:tc>
        <w:tc>
          <w:tcPr>
            <w:tcW w:w="1103" w:type="dxa"/>
            <w:vMerge/>
            <w:tcBorders>
              <w:top w:val="nil"/>
              <w:left w:val="nil"/>
              <w:bottom w:val="single" w:sz="4" w:space="0" w:color="000000"/>
              <w:right w:val="nil"/>
            </w:tcBorders>
            <w:vAlign w:val="center"/>
            <w:hideMark/>
          </w:tcPr>
          <w:p w14:paraId="49699D85" w14:textId="77777777" w:rsidR="00C5012C" w:rsidRPr="003B7EA9" w:rsidRDefault="00C5012C" w:rsidP="00C5012C">
            <w:pPr>
              <w:spacing w:line="240" w:lineRule="auto"/>
              <w:ind w:firstLine="0"/>
              <w:jc w:val="left"/>
              <w:rPr>
                <w:color w:val="000000"/>
                <w:sz w:val="18"/>
                <w:szCs w:val="18"/>
                <w:lang w:eastAsia="en-GB"/>
              </w:rPr>
            </w:pPr>
          </w:p>
        </w:tc>
        <w:tc>
          <w:tcPr>
            <w:tcW w:w="886" w:type="dxa"/>
            <w:vMerge/>
            <w:tcBorders>
              <w:top w:val="nil"/>
              <w:left w:val="nil"/>
              <w:bottom w:val="single" w:sz="4" w:space="0" w:color="000000"/>
              <w:right w:val="nil"/>
            </w:tcBorders>
            <w:vAlign w:val="center"/>
            <w:hideMark/>
          </w:tcPr>
          <w:p w14:paraId="73CCC277" w14:textId="77777777" w:rsidR="00C5012C" w:rsidRPr="003B7EA9" w:rsidRDefault="00C5012C" w:rsidP="00C5012C">
            <w:pPr>
              <w:spacing w:line="240" w:lineRule="auto"/>
              <w:ind w:firstLine="0"/>
              <w:jc w:val="left"/>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114D568E" w14:textId="77777777" w:rsidR="00C5012C" w:rsidRPr="003B7EA9" w:rsidRDefault="00C5012C" w:rsidP="00C5012C">
            <w:pPr>
              <w:spacing w:line="240" w:lineRule="auto"/>
              <w:ind w:firstLine="0"/>
              <w:jc w:val="left"/>
              <w:rPr>
                <w:color w:val="000000"/>
                <w:sz w:val="18"/>
                <w:szCs w:val="18"/>
                <w:lang w:eastAsia="en-GB"/>
              </w:rPr>
            </w:pPr>
          </w:p>
        </w:tc>
        <w:tc>
          <w:tcPr>
            <w:tcW w:w="1026" w:type="dxa"/>
            <w:gridSpan w:val="2"/>
            <w:vMerge/>
            <w:tcBorders>
              <w:top w:val="nil"/>
              <w:left w:val="nil"/>
              <w:bottom w:val="single" w:sz="4" w:space="0" w:color="000000"/>
              <w:right w:val="nil"/>
            </w:tcBorders>
            <w:vAlign w:val="center"/>
            <w:hideMark/>
          </w:tcPr>
          <w:p w14:paraId="5EFE3AB5" w14:textId="77777777" w:rsidR="00C5012C" w:rsidRPr="003B7EA9" w:rsidRDefault="00C5012C" w:rsidP="00C5012C">
            <w:pPr>
              <w:spacing w:line="240" w:lineRule="auto"/>
              <w:ind w:firstLine="0"/>
              <w:jc w:val="left"/>
              <w:rPr>
                <w:color w:val="000000"/>
                <w:sz w:val="18"/>
                <w:szCs w:val="18"/>
                <w:lang w:eastAsia="en-GB"/>
              </w:rPr>
            </w:pPr>
          </w:p>
        </w:tc>
        <w:tc>
          <w:tcPr>
            <w:tcW w:w="1281" w:type="dxa"/>
            <w:gridSpan w:val="5"/>
            <w:vMerge/>
            <w:tcBorders>
              <w:top w:val="nil"/>
              <w:left w:val="nil"/>
              <w:bottom w:val="single" w:sz="4" w:space="0" w:color="000000"/>
              <w:right w:val="nil"/>
            </w:tcBorders>
            <w:vAlign w:val="center"/>
            <w:hideMark/>
          </w:tcPr>
          <w:p w14:paraId="5A1F29A3" w14:textId="77777777" w:rsidR="00C5012C" w:rsidRPr="003B7EA9" w:rsidRDefault="00C5012C" w:rsidP="00C5012C">
            <w:pPr>
              <w:spacing w:line="240" w:lineRule="auto"/>
              <w:ind w:firstLine="0"/>
              <w:jc w:val="left"/>
              <w:rPr>
                <w:color w:val="000000"/>
                <w:sz w:val="18"/>
                <w:szCs w:val="18"/>
                <w:lang w:eastAsia="en-GB"/>
              </w:rPr>
            </w:pPr>
          </w:p>
        </w:tc>
        <w:tc>
          <w:tcPr>
            <w:tcW w:w="424" w:type="dxa"/>
            <w:gridSpan w:val="6"/>
            <w:tcBorders>
              <w:top w:val="nil"/>
              <w:left w:val="nil"/>
              <w:bottom w:val="nil"/>
              <w:right w:val="nil"/>
            </w:tcBorders>
            <w:shd w:val="clear" w:color="auto" w:fill="auto"/>
            <w:noWrap/>
            <w:vAlign w:val="bottom"/>
            <w:hideMark/>
          </w:tcPr>
          <w:p w14:paraId="788D4407" w14:textId="77777777" w:rsidR="00C5012C" w:rsidRPr="003B7EA9" w:rsidRDefault="00C5012C" w:rsidP="00C5012C">
            <w:pPr>
              <w:spacing w:line="240" w:lineRule="auto"/>
              <w:ind w:firstLine="0"/>
              <w:jc w:val="left"/>
              <w:rPr>
                <w:color w:val="000000"/>
                <w:sz w:val="18"/>
                <w:szCs w:val="18"/>
                <w:lang w:eastAsia="en-GB"/>
              </w:rPr>
            </w:pPr>
          </w:p>
        </w:tc>
        <w:tc>
          <w:tcPr>
            <w:tcW w:w="1026" w:type="dxa"/>
            <w:gridSpan w:val="7"/>
            <w:vMerge/>
            <w:tcBorders>
              <w:top w:val="nil"/>
              <w:left w:val="nil"/>
              <w:bottom w:val="single" w:sz="4" w:space="0" w:color="000000"/>
              <w:right w:val="nil"/>
            </w:tcBorders>
            <w:vAlign w:val="center"/>
            <w:hideMark/>
          </w:tcPr>
          <w:p w14:paraId="5E77BD5F" w14:textId="77777777" w:rsidR="00C5012C" w:rsidRPr="003B7EA9" w:rsidRDefault="00C5012C" w:rsidP="00C5012C">
            <w:pPr>
              <w:spacing w:line="240" w:lineRule="auto"/>
              <w:ind w:firstLine="0"/>
              <w:jc w:val="left"/>
              <w:rPr>
                <w:color w:val="000000"/>
                <w:sz w:val="18"/>
                <w:szCs w:val="18"/>
                <w:lang w:eastAsia="en-GB"/>
              </w:rPr>
            </w:pPr>
          </w:p>
        </w:tc>
        <w:tc>
          <w:tcPr>
            <w:tcW w:w="886" w:type="dxa"/>
            <w:gridSpan w:val="4"/>
            <w:vMerge/>
            <w:tcBorders>
              <w:top w:val="nil"/>
              <w:left w:val="nil"/>
              <w:bottom w:val="single" w:sz="4" w:space="0" w:color="000000"/>
              <w:right w:val="nil"/>
            </w:tcBorders>
            <w:vAlign w:val="center"/>
            <w:hideMark/>
          </w:tcPr>
          <w:p w14:paraId="32A8D6E1" w14:textId="77777777" w:rsidR="00C5012C" w:rsidRPr="003B7EA9" w:rsidRDefault="00C5012C" w:rsidP="00C5012C">
            <w:pPr>
              <w:spacing w:line="240" w:lineRule="auto"/>
              <w:ind w:firstLine="0"/>
              <w:jc w:val="left"/>
              <w:rPr>
                <w:color w:val="000000"/>
                <w:sz w:val="18"/>
                <w:szCs w:val="18"/>
                <w:lang w:eastAsia="en-GB"/>
              </w:rPr>
            </w:pPr>
          </w:p>
        </w:tc>
        <w:tc>
          <w:tcPr>
            <w:tcW w:w="236" w:type="dxa"/>
            <w:gridSpan w:val="5"/>
            <w:vAlign w:val="center"/>
            <w:hideMark/>
          </w:tcPr>
          <w:p w14:paraId="124848C3"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7A1C1E34"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23BFA807"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0A9DE70B"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66B543F2"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52FC8889"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3D0EBFA5"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79DAE88A" w14:textId="77777777" w:rsidR="00C5012C" w:rsidRPr="003B7EA9" w:rsidRDefault="00C5012C" w:rsidP="00C5012C">
            <w:pPr>
              <w:spacing w:line="240" w:lineRule="auto"/>
              <w:ind w:firstLine="0"/>
              <w:jc w:val="left"/>
              <w:rPr>
                <w:sz w:val="20"/>
                <w:szCs w:val="20"/>
                <w:lang w:eastAsia="en-GB"/>
              </w:rPr>
            </w:pPr>
          </w:p>
        </w:tc>
      </w:tr>
      <w:tr w:rsidR="00BF413E" w:rsidRPr="003B7EA9" w14:paraId="12A97985" w14:textId="77777777" w:rsidTr="00F55F69">
        <w:trPr>
          <w:gridAfter w:val="15"/>
          <w:wAfter w:w="2189" w:type="dxa"/>
          <w:trHeight w:val="20"/>
        </w:trPr>
        <w:tc>
          <w:tcPr>
            <w:tcW w:w="261" w:type="dxa"/>
            <w:tcBorders>
              <w:top w:val="nil"/>
              <w:left w:val="nil"/>
              <w:bottom w:val="nil"/>
              <w:right w:val="nil"/>
            </w:tcBorders>
            <w:shd w:val="clear" w:color="auto" w:fill="auto"/>
            <w:vAlign w:val="center"/>
            <w:hideMark/>
          </w:tcPr>
          <w:p w14:paraId="59E760AE" w14:textId="77777777" w:rsidR="00BF413E" w:rsidRPr="003B7EA9" w:rsidRDefault="00BF413E" w:rsidP="00C5012C">
            <w:pPr>
              <w:spacing w:line="240" w:lineRule="auto"/>
              <w:ind w:firstLine="0"/>
              <w:jc w:val="center"/>
              <w:rPr>
                <w:color w:val="000000"/>
                <w:sz w:val="18"/>
                <w:szCs w:val="18"/>
                <w:lang w:eastAsia="en-GB"/>
              </w:rPr>
            </w:pPr>
          </w:p>
        </w:tc>
        <w:tc>
          <w:tcPr>
            <w:tcW w:w="3016" w:type="dxa"/>
            <w:tcBorders>
              <w:top w:val="nil"/>
              <w:left w:val="nil"/>
              <w:bottom w:val="nil"/>
              <w:right w:val="nil"/>
            </w:tcBorders>
            <w:shd w:val="clear" w:color="auto" w:fill="auto"/>
            <w:vAlign w:val="center"/>
            <w:hideMark/>
          </w:tcPr>
          <w:p w14:paraId="1C74C6FC" w14:textId="77777777" w:rsidR="00BF413E" w:rsidRPr="003B7EA9" w:rsidRDefault="00BF413E" w:rsidP="00C5012C">
            <w:pPr>
              <w:spacing w:line="240" w:lineRule="auto"/>
              <w:ind w:firstLine="0"/>
              <w:jc w:val="left"/>
              <w:rPr>
                <w:color w:val="000000"/>
                <w:sz w:val="18"/>
                <w:szCs w:val="18"/>
                <w:lang w:eastAsia="en-GB"/>
              </w:rPr>
            </w:pPr>
          </w:p>
        </w:tc>
        <w:tc>
          <w:tcPr>
            <w:tcW w:w="2009" w:type="dxa"/>
            <w:gridSpan w:val="3"/>
            <w:tcBorders>
              <w:top w:val="single" w:sz="4" w:space="0" w:color="auto"/>
              <w:left w:val="nil"/>
              <w:bottom w:val="single" w:sz="4" w:space="0" w:color="auto"/>
              <w:right w:val="nil"/>
            </w:tcBorders>
            <w:shd w:val="clear" w:color="auto" w:fill="auto"/>
            <w:vAlign w:val="center"/>
            <w:hideMark/>
          </w:tcPr>
          <w:p w14:paraId="470267DF" w14:textId="16EB5918" w:rsidR="00BF413E" w:rsidRPr="003B7EA9" w:rsidRDefault="00BF413E" w:rsidP="00502A2C">
            <w:pPr>
              <w:spacing w:line="240" w:lineRule="auto"/>
              <w:ind w:firstLine="0"/>
              <w:jc w:val="center"/>
              <w:rPr>
                <w:color w:val="000000"/>
                <w:sz w:val="18"/>
                <w:szCs w:val="18"/>
                <w:lang w:eastAsia="en-GB"/>
              </w:rPr>
            </w:pPr>
            <w:r w:rsidRPr="003B7EA9">
              <w:rPr>
                <w:color w:val="000000"/>
                <w:sz w:val="18"/>
                <w:szCs w:val="18"/>
                <w:lang w:eastAsia="en-GB"/>
              </w:rPr>
              <w:t xml:space="preserve">Stage 1 </w:t>
            </w:r>
            <w:r w:rsidR="00502A2C">
              <w:rPr>
                <w:color w:val="000000"/>
                <w:sz w:val="18"/>
                <w:szCs w:val="18"/>
                <w:lang w:eastAsia="en-GB"/>
              </w:rPr>
              <w:t>m</w:t>
            </w:r>
            <w:r w:rsidRPr="003B7EA9">
              <w:rPr>
                <w:color w:val="000000"/>
                <w:sz w:val="18"/>
                <w:szCs w:val="18"/>
                <w:lang w:eastAsia="en-GB"/>
              </w:rPr>
              <w:t>odel</w:t>
            </w:r>
          </w:p>
        </w:tc>
        <w:tc>
          <w:tcPr>
            <w:tcW w:w="2448" w:type="dxa"/>
            <w:gridSpan w:val="7"/>
            <w:tcBorders>
              <w:top w:val="single" w:sz="4" w:space="0" w:color="auto"/>
              <w:left w:val="nil"/>
              <w:bottom w:val="single" w:sz="4" w:space="0" w:color="auto"/>
              <w:right w:val="nil"/>
            </w:tcBorders>
            <w:shd w:val="clear" w:color="auto" w:fill="auto"/>
            <w:vAlign w:val="center"/>
            <w:hideMark/>
          </w:tcPr>
          <w:p w14:paraId="4257A3F0" w14:textId="02B4621B" w:rsidR="00BF413E" w:rsidRPr="003B7EA9" w:rsidRDefault="00BF413E" w:rsidP="00502A2C">
            <w:pPr>
              <w:spacing w:line="240" w:lineRule="auto"/>
              <w:ind w:firstLine="575"/>
              <w:jc w:val="center"/>
              <w:rPr>
                <w:color w:val="000000"/>
                <w:sz w:val="18"/>
                <w:szCs w:val="18"/>
                <w:lang w:eastAsia="en-GB"/>
              </w:rPr>
            </w:pPr>
            <w:r w:rsidRPr="003B7EA9">
              <w:rPr>
                <w:color w:val="000000"/>
                <w:sz w:val="18"/>
                <w:szCs w:val="18"/>
                <w:lang w:eastAsia="en-GB"/>
              </w:rPr>
              <w:t xml:space="preserve">Stage 2 </w:t>
            </w:r>
            <w:r w:rsidR="00502A2C">
              <w:rPr>
                <w:color w:val="000000"/>
                <w:sz w:val="18"/>
                <w:szCs w:val="18"/>
                <w:lang w:eastAsia="en-GB"/>
              </w:rPr>
              <w:t>m</w:t>
            </w:r>
            <w:r w:rsidRPr="003B7EA9">
              <w:rPr>
                <w:color w:val="000000"/>
                <w:sz w:val="18"/>
                <w:szCs w:val="18"/>
                <w:lang w:eastAsia="en-GB"/>
              </w:rPr>
              <w:t>odel</w:t>
            </w:r>
          </w:p>
        </w:tc>
        <w:tc>
          <w:tcPr>
            <w:tcW w:w="317" w:type="dxa"/>
            <w:gridSpan w:val="2"/>
            <w:vAlign w:val="center"/>
            <w:hideMark/>
          </w:tcPr>
          <w:p w14:paraId="3739046E" w14:textId="77777777" w:rsidR="00BF413E" w:rsidRPr="003B7EA9" w:rsidRDefault="00BF413E" w:rsidP="00C5012C">
            <w:pPr>
              <w:spacing w:line="240" w:lineRule="auto"/>
              <w:ind w:firstLine="0"/>
              <w:jc w:val="left"/>
              <w:rPr>
                <w:sz w:val="20"/>
                <w:szCs w:val="20"/>
                <w:lang w:eastAsia="en-GB"/>
              </w:rPr>
            </w:pPr>
          </w:p>
        </w:tc>
        <w:tc>
          <w:tcPr>
            <w:tcW w:w="299" w:type="dxa"/>
            <w:gridSpan w:val="2"/>
            <w:vAlign w:val="center"/>
            <w:hideMark/>
          </w:tcPr>
          <w:p w14:paraId="216BCC6D" w14:textId="77777777" w:rsidR="00BF413E" w:rsidRPr="003B7EA9" w:rsidRDefault="00BF413E" w:rsidP="00C5012C">
            <w:pPr>
              <w:spacing w:line="240" w:lineRule="auto"/>
              <w:ind w:firstLine="0"/>
              <w:jc w:val="left"/>
              <w:rPr>
                <w:sz w:val="20"/>
                <w:szCs w:val="20"/>
                <w:lang w:eastAsia="en-GB"/>
              </w:rPr>
            </w:pPr>
          </w:p>
        </w:tc>
        <w:tc>
          <w:tcPr>
            <w:tcW w:w="1990" w:type="dxa"/>
            <w:gridSpan w:val="14"/>
            <w:tcBorders>
              <w:bottom w:val="single" w:sz="4" w:space="0" w:color="auto"/>
            </w:tcBorders>
            <w:vAlign w:val="center"/>
            <w:hideMark/>
          </w:tcPr>
          <w:p w14:paraId="3F8E2A9E" w14:textId="56EC7268" w:rsidR="00BF413E" w:rsidRPr="003B7EA9" w:rsidRDefault="00BF413E" w:rsidP="00502A2C">
            <w:pPr>
              <w:spacing w:line="240" w:lineRule="auto"/>
              <w:ind w:firstLine="488"/>
              <w:jc w:val="left"/>
              <w:rPr>
                <w:sz w:val="20"/>
                <w:szCs w:val="20"/>
                <w:lang w:eastAsia="en-GB"/>
              </w:rPr>
            </w:pPr>
            <w:r w:rsidRPr="003B7EA9">
              <w:rPr>
                <w:color w:val="000000"/>
                <w:sz w:val="18"/>
                <w:szCs w:val="18"/>
                <w:lang w:eastAsia="en-GB"/>
              </w:rPr>
              <w:t xml:space="preserve">Stage 3 </w:t>
            </w:r>
            <w:r w:rsidR="00502A2C">
              <w:rPr>
                <w:color w:val="000000"/>
                <w:sz w:val="18"/>
                <w:szCs w:val="18"/>
                <w:lang w:eastAsia="en-GB"/>
              </w:rPr>
              <w:t>m</w:t>
            </w:r>
            <w:r w:rsidRPr="003B7EA9">
              <w:rPr>
                <w:color w:val="000000"/>
                <w:sz w:val="18"/>
                <w:szCs w:val="18"/>
                <w:lang w:eastAsia="en-GB"/>
              </w:rPr>
              <w:t>odel</w:t>
            </w:r>
          </w:p>
        </w:tc>
        <w:tc>
          <w:tcPr>
            <w:tcW w:w="222" w:type="dxa"/>
            <w:gridSpan w:val="3"/>
            <w:vAlign w:val="center"/>
            <w:hideMark/>
          </w:tcPr>
          <w:p w14:paraId="4C05D201" w14:textId="77777777" w:rsidR="00BF413E" w:rsidRPr="003B7EA9" w:rsidRDefault="00BF413E" w:rsidP="00C5012C">
            <w:pPr>
              <w:spacing w:line="240" w:lineRule="auto"/>
              <w:ind w:firstLine="0"/>
              <w:jc w:val="left"/>
              <w:rPr>
                <w:sz w:val="20"/>
                <w:szCs w:val="20"/>
                <w:lang w:eastAsia="en-GB"/>
              </w:rPr>
            </w:pPr>
          </w:p>
        </w:tc>
        <w:tc>
          <w:tcPr>
            <w:tcW w:w="1051" w:type="dxa"/>
            <w:gridSpan w:val="8"/>
            <w:vAlign w:val="center"/>
            <w:hideMark/>
          </w:tcPr>
          <w:p w14:paraId="16564BB4" w14:textId="77777777" w:rsidR="00BF413E" w:rsidRPr="003B7EA9" w:rsidRDefault="00BF413E" w:rsidP="00C5012C">
            <w:pPr>
              <w:spacing w:line="240" w:lineRule="auto"/>
              <w:ind w:firstLine="0"/>
              <w:jc w:val="left"/>
              <w:rPr>
                <w:sz w:val="20"/>
                <w:szCs w:val="20"/>
                <w:lang w:eastAsia="en-GB"/>
              </w:rPr>
            </w:pPr>
          </w:p>
        </w:tc>
        <w:tc>
          <w:tcPr>
            <w:tcW w:w="236" w:type="dxa"/>
            <w:gridSpan w:val="3"/>
            <w:vAlign w:val="center"/>
            <w:hideMark/>
          </w:tcPr>
          <w:p w14:paraId="07A2FBFB" w14:textId="77777777" w:rsidR="00BF413E" w:rsidRPr="003B7EA9" w:rsidRDefault="00BF413E" w:rsidP="00C5012C">
            <w:pPr>
              <w:spacing w:line="240" w:lineRule="auto"/>
              <w:ind w:firstLine="0"/>
              <w:jc w:val="left"/>
              <w:rPr>
                <w:sz w:val="20"/>
                <w:szCs w:val="20"/>
                <w:lang w:eastAsia="en-GB"/>
              </w:rPr>
            </w:pPr>
          </w:p>
        </w:tc>
      </w:tr>
      <w:tr w:rsidR="00FC17B1" w:rsidRPr="003B7EA9" w14:paraId="22217A9A" w14:textId="77777777" w:rsidTr="00F55F69">
        <w:trPr>
          <w:trHeight w:val="20"/>
        </w:trPr>
        <w:tc>
          <w:tcPr>
            <w:tcW w:w="3277" w:type="dxa"/>
            <w:gridSpan w:val="2"/>
            <w:tcBorders>
              <w:top w:val="nil"/>
              <w:left w:val="nil"/>
              <w:bottom w:val="nil"/>
              <w:right w:val="nil"/>
            </w:tcBorders>
            <w:shd w:val="clear" w:color="auto" w:fill="auto"/>
            <w:noWrap/>
            <w:vAlign w:val="bottom"/>
            <w:hideMark/>
          </w:tcPr>
          <w:p w14:paraId="0AA792AD"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Age of HRP (reference: 40-49)</w:t>
            </w:r>
          </w:p>
        </w:tc>
        <w:tc>
          <w:tcPr>
            <w:tcW w:w="1103" w:type="dxa"/>
            <w:tcBorders>
              <w:top w:val="nil"/>
              <w:left w:val="nil"/>
              <w:bottom w:val="nil"/>
              <w:right w:val="nil"/>
            </w:tcBorders>
            <w:shd w:val="clear" w:color="auto" w:fill="auto"/>
            <w:noWrap/>
            <w:vAlign w:val="bottom"/>
            <w:hideMark/>
          </w:tcPr>
          <w:p w14:paraId="59B2A288" w14:textId="77777777" w:rsidR="00C5012C" w:rsidRPr="003B7EA9" w:rsidRDefault="00C5012C" w:rsidP="00C5012C">
            <w:pPr>
              <w:spacing w:line="240" w:lineRule="auto"/>
              <w:ind w:firstLine="0"/>
              <w:jc w:val="left"/>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35121146" w14:textId="77777777" w:rsidR="00C5012C" w:rsidRPr="003B7EA9" w:rsidRDefault="00C5012C" w:rsidP="00C5012C">
            <w:pPr>
              <w:spacing w:line="240" w:lineRule="auto"/>
              <w:ind w:firstLine="0"/>
              <w:jc w:val="left"/>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112D8A6A" w14:textId="77777777" w:rsidR="00C5012C" w:rsidRPr="003B7EA9" w:rsidRDefault="00C5012C" w:rsidP="00C5012C">
            <w:pPr>
              <w:spacing w:line="240" w:lineRule="auto"/>
              <w:ind w:firstLine="0"/>
              <w:jc w:val="left"/>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1B23D223" w14:textId="77777777" w:rsidR="00C5012C" w:rsidRPr="003B7EA9" w:rsidRDefault="00C5012C" w:rsidP="00C5012C">
            <w:pPr>
              <w:spacing w:line="240" w:lineRule="auto"/>
              <w:ind w:firstLine="0"/>
              <w:jc w:val="left"/>
              <w:rPr>
                <w:color w:val="000000"/>
                <w:sz w:val="18"/>
                <w:szCs w:val="18"/>
                <w:lang w:eastAsia="en-GB"/>
              </w:rPr>
            </w:pPr>
          </w:p>
        </w:tc>
        <w:tc>
          <w:tcPr>
            <w:tcW w:w="1281" w:type="dxa"/>
            <w:gridSpan w:val="5"/>
            <w:tcBorders>
              <w:top w:val="nil"/>
              <w:left w:val="nil"/>
              <w:bottom w:val="nil"/>
              <w:right w:val="nil"/>
            </w:tcBorders>
            <w:shd w:val="clear" w:color="auto" w:fill="auto"/>
            <w:noWrap/>
            <w:vAlign w:val="bottom"/>
            <w:hideMark/>
          </w:tcPr>
          <w:p w14:paraId="48414315" w14:textId="77777777" w:rsidR="00C5012C" w:rsidRPr="003B7EA9" w:rsidRDefault="00C5012C" w:rsidP="00C5012C">
            <w:pPr>
              <w:spacing w:line="240" w:lineRule="auto"/>
              <w:ind w:firstLine="0"/>
              <w:jc w:val="left"/>
              <w:rPr>
                <w:color w:val="000000"/>
                <w:sz w:val="18"/>
                <w:szCs w:val="18"/>
                <w:lang w:eastAsia="en-GB"/>
              </w:rPr>
            </w:pPr>
          </w:p>
        </w:tc>
        <w:tc>
          <w:tcPr>
            <w:tcW w:w="424" w:type="dxa"/>
            <w:gridSpan w:val="6"/>
            <w:tcBorders>
              <w:top w:val="nil"/>
              <w:left w:val="nil"/>
              <w:bottom w:val="nil"/>
              <w:right w:val="nil"/>
            </w:tcBorders>
            <w:shd w:val="clear" w:color="auto" w:fill="auto"/>
            <w:noWrap/>
            <w:vAlign w:val="bottom"/>
            <w:hideMark/>
          </w:tcPr>
          <w:p w14:paraId="0AB76994" w14:textId="77777777" w:rsidR="00C5012C" w:rsidRPr="003B7EA9" w:rsidRDefault="00C5012C" w:rsidP="00C5012C">
            <w:pPr>
              <w:spacing w:line="240" w:lineRule="auto"/>
              <w:ind w:firstLine="0"/>
              <w:jc w:val="left"/>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395A0A4A" w14:textId="77777777" w:rsidR="00C5012C" w:rsidRPr="003B7EA9" w:rsidRDefault="00C5012C" w:rsidP="00C5012C">
            <w:pPr>
              <w:spacing w:line="240" w:lineRule="auto"/>
              <w:ind w:firstLine="0"/>
              <w:jc w:val="left"/>
              <w:rPr>
                <w:color w:val="000000"/>
                <w:sz w:val="18"/>
                <w:szCs w:val="18"/>
                <w:lang w:eastAsia="en-GB"/>
              </w:rPr>
            </w:pPr>
          </w:p>
        </w:tc>
        <w:tc>
          <w:tcPr>
            <w:tcW w:w="886" w:type="dxa"/>
            <w:gridSpan w:val="4"/>
            <w:tcBorders>
              <w:top w:val="nil"/>
              <w:left w:val="nil"/>
              <w:bottom w:val="nil"/>
              <w:right w:val="nil"/>
            </w:tcBorders>
            <w:shd w:val="clear" w:color="auto" w:fill="auto"/>
            <w:noWrap/>
            <w:vAlign w:val="bottom"/>
            <w:hideMark/>
          </w:tcPr>
          <w:p w14:paraId="4E498336" w14:textId="77777777" w:rsidR="00C5012C" w:rsidRPr="003B7EA9" w:rsidRDefault="00C5012C" w:rsidP="00C5012C">
            <w:pPr>
              <w:spacing w:line="240" w:lineRule="auto"/>
              <w:ind w:firstLine="0"/>
              <w:jc w:val="left"/>
              <w:rPr>
                <w:color w:val="000000"/>
                <w:sz w:val="18"/>
                <w:szCs w:val="18"/>
                <w:lang w:eastAsia="en-GB"/>
              </w:rPr>
            </w:pPr>
          </w:p>
        </w:tc>
        <w:tc>
          <w:tcPr>
            <w:tcW w:w="236" w:type="dxa"/>
            <w:gridSpan w:val="5"/>
            <w:vAlign w:val="center"/>
            <w:hideMark/>
          </w:tcPr>
          <w:p w14:paraId="753B8FA5"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0902B5C4"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4803C73E"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53FF615A"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07468CA5"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388E4C57"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46137A80"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744F529E" w14:textId="77777777" w:rsidR="00C5012C" w:rsidRPr="003B7EA9" w:rsidRDefault="00C5012C" w:rsidP="00C5012C">
            <w:pPr>
              <w:spacing w:line="240" w:lineRule="auto"/>
              <w:ind w:firstLine="0"/>
              <w:jc w:val="left"/>
              <w:rPr>
                <w:sz w:val="20"/>
                <w:szCs w:val="20"/>
                <w:lang w:eastAsia="en-GB"/>
              </w:rPr>
            </w:pPr>
          </w:p>
        </w:tc>
      </w:tr>
      <w:tr w:rsidR="00FC17B1" w:rsidRPr="003B7EA9" w14:paraId="5DF68EF8" w14:textId="77777777" w:rsidTr="00F55F69">
        <w:trPr>
          <w:trHeight w:val="20"/>
        </w:trPr>
        <w:tc>
          <w:tcPr>
            <w:tcW w:w="261" w:type="dxa"/>
            <w:tcBorders>
              <w:top w:val="nil"/>
              <w:left w:val="nil"/>
              <w:bottom w:val="nil"/>
              <w:right w:val="nil"/>
            </w:tcBorders>
            <w:shd w:val="clear" w:color="auto" w:fill="auto"/>
            <w:noWrap/>
            <w:vAlign w:val="bottom"/>
            <w:hideMark/>
          </w:tcPr>
          <w:p w14:paraId="79691B84"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50519249"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18 or below</w:t>
            </w:r>
          </w:p>
        </w:tc>
        <w:tc>
          <w:tcPr>
            <w:tcW w:w="1103" w:type="dxa"/>
            <w:tcBorders>
              <w:top w:val="nil"/>
              <w:left w:val="nil"/>
              <w:bottom w:val="nil"/>
              <w:right w:val="nil"/>
            </w:tcBorders>
            <w:shd w:val="clear" w:color="auto" w:fill="auto"/>
            <w:noWrap/>
            <w:vAlign w:val="bottom"/>
            <w:hideMark/>
          </w:tcPr>
          <w:p w14:paraId="6465D39B"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1.62</w:t>
            </w:r>
          </w:p>
        </w:tc>
        <w:tc>
          <w:tcPr>
            <w:tcW w:w="886" w:type="dxa"/>
            <w:tcBorders>
              <w:top w:val="nil"/>
              <w:left w:val="nil"/>
              <w:bottom w:val="nil"/>
              <w:right w:val="nil"/>
            </w:tcBorders>
            <w:shd w:val="clear" w:color="auto" w:fill="auto"/>
            <w:noWrap/>
            <w:vAlign w:val="bottom"/>
            <w:hideMark/>
          </w:tcPr>
          <w:p w14:paraId="3173E06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5.06</w:t>
            </w:r>
          </w:p>
        </w:tc>
        <w:tc>
          <w:tcPr>
            <w:tcW w:w="431" w:type="dxa"/>
            <w:gridSpan w:val="2"/>
            <w:tcBorders>
              <w:top w:val="nil"/>
              <w:left w:val="nil"/>
              <w:bottom w:val="nil"/>
              <w:right w:val="nil"/>
            </w:tcBorders>
            <w:shd w:val="clear" w:color="auto" w:fill="auto"/>
            <w:noWrap/>
            <w:vAlign w:val="bottom"/>
            <w:hideMark/>
          </w:tcPr>
          <w:p w14:paraId="45741234"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10EB1F5F"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1.28</w:t>
            </w:r>
          </w:p>
        </w:tc>
        <w:tc>
          <w:tcPr>
            <w:tcW w:w="1281" w:type="dxa"/>
            <w:gridSpan w:val="5"/>
            <w:tcBorders>
              <w:top w:val="nil"/>
              <w:left w:val="nil"/>
              <w:bottom w:val="nil"/>
              <w:right w:val="nil"/>
            </w:tcBorders>
            <w:shd w:val="clear" w:color="auto" w:fill="auto"/>
            <w:noWrap/>
            <w:vAlign w:val="bottom"/>
            <w:hideMark/>
          </w:tcPr>
          <w:p w14:paraId="271F481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3.58</w:t>
            </w:r>
          </w:p>
        </w:tc>
        <w:tc>
          <w:tcPr>
            <w:tcW w:w="424" w:type="dxa"/>
            <w:gridSpan w:val="6"/>
            <w:tcBorders>
              <w:top w:val="nil"/>
              <w:left w:val="nil"/>
              <w:bottom w:val="nil"/>
              <w:right w:val="nil"/>
            </w:tcBorders>
            <w:shd w:val="clear" w:color="auto" w:fill="auto"/>
            <w:noWrap/>
            <w:vAlign w:val="bottom"/>
            <w:hideMark/>
          </w:tcPr>
          <w:p w14:paraId="761E811C"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0B4C03B0"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1.28</w:t>
            </w:r>
          </w:p>
        </w:tc>
        <w:tc>
          <w:tcPr>
            <w:tcW w:w="886" w:type="dxa"/>
            <w:gridSpan w:val="4"/>
            <w:tcBorders>
              <w:top w:val="nil"/>
              <w:left w:val="nil"/>
              <w:bottom w:val="nil"/>
              <w:right w:val="nil"/>
            </w:tcBorders>
            <w:shd w:val="clear" w:color="auto" w:fill="auto"/>
            <w:noWrap/>
            <w:vAlign w:val="bottom"/>
            <w:hideMark/>
          </w:tcPr>
          <w:p w14:paraId="7E363BCB"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3.59</w:t>
            </w:r>
          </w:p>
        </w:tc>
        <w:tc>
          <w:tcPr>
            <w:tcW w:w="236" w:type="dxa"/>
            <w:gridSpan w:val="5"/>
            <w:vAlign w:val="center"/>
            <w:hideMark/>
          </w:tcPr>
          <w:p w14:paraId="01A0D82E"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129212BD"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08E58EB8"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69A0CE58"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5918EF94"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2CABEEB0"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5AF09B52"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5B837A45" w14:textId="77777777" w:rsidR="00C5012C" w:rsidRPr="003B7EA9" w:rsidRDefault="00C5012C" w:rsidP="00C5012C">
            <w:pPr>
              <w:spacing w:line="240" w:lineRule="auto"/>
              <w:ind w:firstLine="0"/>
              <w:jc w:val="left"/>
              <w:rPr>
                <w:sz w:val="20"/>
                <w:szCs w:val="20"/>
                <w:lang w:eastAsia="en-GB"/>
              </w:rPr>
            </w:pPr>
          </w:p>
        </w:tc>
      </w:tr>
      <w:tr w:rsidR="00FC17B1" w:rsidRPr="003B7EA9" w14:paraId="73395346" w14:textId="77777777" w:rsidTr="00F55F69">
        <w:trPr>
          <w:trHeight w:val="20"/>
        </w:trPr>
        <w:tc>
          <w:tcPr>
            <w:tcW w:w="261" w:type="dxa"/>
            <w:tcBorders>
              <w:top w:val="nil"/>
              <w:left w:val="nil"/>
              <w:bottom w:val="nil"/>
              <w:right w:val="nil"/>
            </w:tcBorders>
            <w:shd w:val="clear" w:color="auto" w:fill="auto"/>
            <w:noWrap/>
            <w:vAlign w:val="bottom"/>
            <w:hideMark/>
          </w:tcPr>
          <w:p w14:paraId="56D79B21"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2867356E"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19 to 24</w:t>
            </w:r>
          </w:p>
        </w:tc>
        <w:tc>
          <w:tcPr>
            <w:tcW w:w="1103" w:type="dxa"/>
            <w:tcBorders>
              <w:top w:val="nil"/>
              <w:left w:val="nil"/>
              <w:bottom w:val="nil"/>
              <w:right w:val="nil"/>
            </w:tcBorders>
            <w:shd w:val="clear" w:color="auto" w:fill="auto"/>
            <w:noWrap/>
            <w:vAlign w:val="bottom"/>
            <w:hideMark/>
          </w:tcPr>
          <w:p w14:paraId="1A797AC8"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1.89</w:t>
            </w:r>
          </w:p>
        </w:tc>
        <w:tc>
          <w:tcPr>
            <w:tcW w:w="886" w:type="dxa"/>
            <w:tcBorders>
              <w:top w:val="nil"/>
              <w:left w:val="nil"/>
              <w:bottom w:val="nil"/>
              <w:right w:val="nil"/>
            </w:tcBorders>
            <w:shd w:val="clear" w:color="auto" w:fill="auto"/>
            <w:noWrap/>
            <w:vAlign w:val="bottom"/>
            <w:hideMark/>
          </w:tcPr>
          <w:p w14:paraId="4167F88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6.61</w:t>
            </w:r>
          </w:p>
        </w:tc>
        <w:tc>
          <w:tcPr>
            <w:tcW w:w="431" w:type="dxa"/>
            <w:gridSpan w:val="2"/>
            <w:tcBorders>
              <w:top w:val="nil"/>
              <w:left w:val="nil"/>
              <w:bottom w:val="nil"/>
              <w:right w:val="nil"/>
            </w:tcBorders>
            <w:shd w:val="clear" w:color="auto" w:fill="auto"/>
            <w:noWrap/>
            <w:vAlign w:val="bottom"/>
            <w:hideMark/>
          </w:tcPr>
          <w:p w14:paraId="4CB599B9"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6DD729C4"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1.43</w:t>
            </w:r>
          </w:p>
        </w:tc>
        <w:tc>
          <w:tcPr>
            <w:tcW w:w="1281" w:type="dxa"/>
            <w:gridSpan w:val="5"/>
            <w:tcBorders>
              <w:top w:val="nil"/>
              <w:left w:val="nil"/>
              <w:bottom w:val="nil"/>
              <w:right w:val="nil"/>
            </w:tcBorders>
            <w:shd w:val="clear" w:color="auto" w:fill="auto"/>
            <w:noWrap/>
            <w:vAlign w:val="bottom"/>
            <w:hideMark/>
          </w:tcPr>
          <w:p w14:paraId="726A430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4.16</w:t>
            </w:r>
          </w:p>
        </w:tc>
        <w:tc>
          <w:tcPr>
            <w:tcW w:w="424" w:type="dxa"/>
            <w:gridSpan w:val="6"/>
            <w:tcBorders>
              <w:top w:val="nil"/>
              <w:left w:val="nil"/>
              <w:bottom w:val="nil"/>
              <w:right w:val="nil"/>
            </w:tcBorders>
            <w:shd w:val="clear" w:color="auto" w:fill="auto"/>
            <w:noWrap/>
            <w:vAlign w:val="bottom"/>
            <w:hideMark/>
          </w:tcPr>
          <w:p w14:paraId="719B5DDA"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706C7871"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1.42</w:t>
            </w:r>
          </w:p>
        </w:tc>
        <w:tc>
          <w:tcPr>
            <w:tcW w:w="886" w:type="dxa"/>
            <w:gridSpan w:val="4"/>
            <w:tcBorders>
              <w:top w:val="nil"/>
              <w:left w:val="nil"/>
              <w:bottom w:val="nil"/>
              <w:right w:val="nil"/>
            </w:tcBorders>
            <w:shd w:val="clear" w:color="auto" w:fill="auto"/>
            <w:noWrap/>
            <w:vAlign w:val="bottom"/>
            <w:hideMark/>
          </w:tcPr>
          <w:p w14:paraId="0C5577D2"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4.16</w:t>
            </w:r>
          </w:p>
        </w:tc>
        <w:tc>
          <w:tcPr>
            <w:tcW w:w="236" w:type="dxa"/>
            <w:gridSpan w:val="5"/>
            <w:vAlign w:val="center"/>
            <w:hideMark/>
          </w:tcPr>
          <w:p w14:paraId="45E27500"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1BAF664E"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32F487FE"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6A11E3F4"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4B62E8D2"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2C8AB0AF"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5FA8EEBB"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6EDB6EDF" w14:textId="77777777" w:rsidR="00C5012C" w:rsidRPr="003B7EA9" w:rsidRDefault="00C5012C" w:rsidP="00C5012C">
            <w:pPr>
              <w:spacing w:line="240" w:lineRule="auto"/>
              <w:ind w:firstLine="0"/>
              <w:jc w:val="left"/>
              <w:rPr>
                <w:sz w:val="20"/>
                <w:szCs w:val="20"/>
                <w:lang w:eastAsia="en-GB"/>
              </w:rPr>
            </w:pPr>
          </w:p>
        </w:tc>
      </w:tr>
      <w:tr w:rsidR="00FC17B1" w:rsidRPr="003B7EA9" w14:paraId="3E2390DF" w14:textId="77777777" w:rsidTr="00F55F69">
        <w:trPr>
          <w:trHeight w:val="20"/>
        </w:trPr>
        <w:tc>
          <w:tcPr>
            <w:tcW w:w="261" w:type="dxa"/>
            <w:tcBorders>
              <w:top w:val="nil"/>
              <w:left w:val="nil"/>
              <w:bottom w:val="nil"/>
              <w:right w:val="nil"/>
            </w:tcBorders>
            <w:shd w:val="clear" w:color="auto" w:fill="auto"/>
            <w:noWrap/>
            <w:vAlign w:val="bottom"/>
            <w:hideMark/>
          </w:tcPr>
          <w:p w14:paraId="793CA4C7"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268A6C57"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25 to 29</w:t>
            </w:r>
          </w:p>
        </w:tc>
        <w:tc>
          <w:tcPr>
            <w:tcW w:w="1103" w:type="dxa"/>
            <w:tcBorders>
              <w:top w:val="nil"/>
              <w:left w:val="nil"/>
              <w:bottom w:val="nil"/>
              <w:right w:val="nil"/>
            </w:tcBorders>
            <w:shd w:val="clear" w:color="auto" w:fill="auto"/>
            <w:noWrap/>
            <w:vAlign w:val="bottom"/>
            <w:hideMark/>
          </w:tcPr>
          <w:p w14:paraId="276B1DCC"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1.07</w:t>
            </w:r>
          </w:p>
        </w:tc>
        <w:tc>
          <w:tcPr>
            <w:tcW w:w="886" w:type="dxa"/>
            <w:tcBorders>
              <w:top w:val="nil"/>
              <w:left w:val="nil"/>
              <w:bottom w:val="nil"/>
              <w:right w:val="nil"/>
            </w:tcBorders>
            <w:shd w:val="clear" w:color="auto" w:fill="auto"/>
            <w:noWrap/>
            <w:vAlign w:val="bottom"/>
            <w:hideMark/>
          </w:tcPr>
          <w:p w14:paraId="5362ECE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2.90</w:t>
            </w:r>
          </w:p>
        </w:tc>
        <w:tc>
          <w:tcPr>
            <w:tcW w:w="431" w:type="dxa"/>
            <w:gridSpan w:val="2"/>
            <w:tcBorders>
              <w:top w:val="nil"/>
              <w:left w:val="nil"/>
              <w:bottom w:val="nil"/>
              <w:right w:val="nil"/>
            </w:tcBorders>
            <w:shd w:val="clear" w:color="auto" w:fill="auto"/>
            <w:noWrap/>
            <w:vAlign w:val="bottom"/>
            <w:hideMark/>
          </w:tcPr>
          <w:p w14:paraId="15284DCA"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463D045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0.75</w:t>
            </w:r>
          </w:p>
        </w:tc>
        <w:tc>
          <w:tcPr>
            <w:tcW w:w="1281" w:type="dxa"/>
            <w:gridSpan w:val="5"/>
            <w:tcBorders>
              <w:top w:val="nil"/>
              <w:left w:val="nil"/>
              <w:bottom w:val="nil"/>
              <w:right w:val="nil"/>
            </w:tcBorders>
            <w:shd w:val="clear" w:color="auto" w:fill="auto"/>
            <w:noWrap/>
            <w:vAlign w:val="bottom"/>
            <w:hideMark/>
          </w:tcPr>
          <w:p w14:paraId="2DDD56A7"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2.11</w:t>
            </w:r>
          </w:p>
        </w:tc>
        <w:tc>
          <w:tcPr>
            <w:tcW w:w="424" w:type="dxa"/>
            <w:gridSpan w:val="6"/>
            <w:tcBorders>
              <w:top w:val="nil"/>
              <w:left w:val="nil"/>
              <w:bottom w:val="nil"/>
              <w:right w:val="nil"/>
            </w:tcBorders>
            <w:shd w:val="clear" w:color="auto" w:fill="auto"/>
            <w:noWrap/>
            <w:vAlign w:val="bottom"/>
            <w:hideMark/>
          </w:tcPr>
          <w:p w14:paraId="1F52099B"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294736FB"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0.74</w:t>
            </w:r>
          </w:p>
        </w:tc>
        <w:tc>
          <w:tcPr>
            <w:tcW w:w="886" w:type="dxa"/>
            <w:gridSpan w:val="4"/>
            <w:tcBorders>
              <w:top w:val="nil"/>
              <w:left w:val="nil"/>
              <w:bottom w:val="nil"/>
              <w:right w:val="nil"/>
            </w:tcBorders>
            <w:shd w:val="clear" w:color="auto" w:fill="auto"/>
            <w:noWrap/>
            <w:vAlign w:val="bottom"/>
            <w:hideMark/>
          </w:tcPr>
          <w:p w14:paraId="2C15137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2.09</w:t>
            </w:r>
          </w:p>
        </w:tc>
        <w:tc>
          <w:tcPr>
            <w:tcW w:w="236" w:type="dxa"/>
            <w:gridSpan w:val="5"/>
            <w:vAlign w:val="center"/>
            <w:hideMark/>
          </w:tcPr>
          <w:p w14:paraId="3F97FB91"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449ACCE2"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01B2C077"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418E37D9"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08015688"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36614997"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4D5109CF"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38F22FE1" w14:textId="77777777" w:rsidR="00C5012C" w:rsidRPr="003B7EA9" w:rsidRDefault="00C5012C" w:rsidP="00C5012C">
            <w:pPr>
              <w:spacing w:line="240" w:lineRule="auto"/>
              <w:ind w:firstLine="0"/>
              <w:jc w:val="left"/>
              <w:rPr>
                <w:sz w:val="20"/>
                <w:szCs w:val="20"/>
                <w:lang w:eastAsia="en-GB"/>
              </w:rPr>
            </w:pPr>
          </w:p>
        </w:tc>
      </w:tr>
      <w:tr w:rsidR="00FC17B1" w:rsidRPr="003B7EA9" w14:paraId="1EFAFB74" w14:textId="77777777" w:rsidTr="00F55F69">
        <w:trPr>
          <w:trHeight w:val="20"/>
        </w:trPr>
        <w:tc>
          <w:tcPr>
            <w:tcW w:w="261" w:type="dxa"/>
            <w:tcBorders>
              <w:top w:val="nil"/>
              <w:left w:val="nil"/>
              <w:bottom w:val="nil"/>
              <w:right w:val="nil"/>
            </w:tcBorders>
            <w:shd w:val="clear" w:color="auto" w:fill="auto"/>
            <w:noWrap/>
            <w:vAlign w:val="bottom"/>
            <w:hideMark/>
          </w:tcPr>
          <w:p w14:paraId="75799572"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54673FD5"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30 to 39</w:t>
            </w:r>
          </w:p>
        </w:tc>
        <w:tc>
          <w:tcPr>
            <w:tcW w:w="1103" w:type="dxa"/>
            <w:tcBorders>
              <w:top w:val="nil"/>
              <w:left w:val="nil"/>
              <w:bottom w:val="nil"/>
              <w:right w:val="nil"/>
            </w:tcBorders>
            <w:shd w:val="clear" w:color="auto" w:fill="auto"/>
            <w:noWrap/>
            <w:vAlign w:val="bottom"/>
            <w:hideMark/>
          </w:tcPr>
          <w:p w14:paraId="1808AD2A"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0.50</w:t>
            </w:r>
          </w:p>
        </w:tc>
        <w:tc>
          <w:tcPr>
            <w:tcW w:w="886" w:type="dxa"/>
            <w:tcBorders>
              <w:top w:val="nil"/>
              <w:left w:val="nil"/>
              <w:bottom w:val="nil"/>
              <w:right w:val="nil"/>
            </w:tcBorders>
            <w:shd w:val="clear" w:color="auto" w:fill="auto"/>
            <w:noWrap/>
            <w:vAlign w:val="bottom"/>
            <w:hideMark/>
          </w:tcPr>
          <w:p w14:paraId="1FE7F57B"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1.64</w:t>
            </w:r>
          </w:p>
        </w:tc>
        <w:tc>
          <w:tcPr>
            <w:tcW w:w="431" w:type="dxa"/>
            <w:gridSpan w:val="2"/>
            <w:tcBorders>
              <w:top w:val="nil"/>
              <w:left w:val="nil"/>
              <w:bottom w:val="nil"/>
              <w:right w:val="nil"/>
            </w:tcBorders>
            <w:shd w:val="clear" w:color="auto" w:fill="auto"/>
            <w:noWrap/>
            <w:vAlign w:val="bottom"/>
            <w:hideMark/>
          </w:tcPr>
          <w:p w14:paraId="20C145A1"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3198F214"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0.38</w:t>
            </w:r>
          </w:p>
        </w:tc>
        <w:tc>
          <w:tcPr>
            <w:tcW w:w="1281" w:type="dxa"/>
            <w:gridSpan w:val="5"/>
            <w:tcBorders>
              <w:top w:val="nil"/>
              <w:left w:val="nil"/>
              <w:bottom w:val="nil"/>
              <w:right w:val="nil"/>
            </w:tcBorders>
            <w:shd w:val="clear" w:color="auto" w:fill="auto"/>
            <w:noWrap/>
            <w:vAlign w:val="bottom"/>
            <w:hideMark/>
          </w:tcPr>
          <w:p w14:paraId="538BB2C5"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1.47</w:t>
            </w:r>
          </w:p>
        </w:tc>
        <w:tc>
          <w:tcPr>
            <w:tcW w:w="424" w:type="dxa"/>
            <w:gridSpan w:val="6"/>
            <w:tcBorders>
              <w:top w:val="nil"/>
              <w:left w:val="nil"/>
              <w:bottom w:val="nil"/>
              <w:right w:val="nil"/>
            </w:tcBorders>
            <w:shd w:val="clear" w:color="auto" w:fill="auto"/>
            <w:noWrap/>
            <w:vAlign w:val="bottom"/>
            <w:hideMark/>
          </w:tcPr>
          <w:p w14:paraId="315610AD"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4DCA7FE8"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0.37</w:t>
            </w:r>
          </w:p>
        </w:tc>
        <w:tc>
          <w:tcPr>
            <w:tcW w:w="886" w:type="dxa"/>
            <w:gridSpan w:val="4"/>
            <w:tcBorders>
              <w:top w:val="nil"/>
              <w:left w:val="nil"/>
              <w:bottom w:val="nil"/>
              <w:right w:val="nil"/>
            </w:tcBorders>
            <w:shd w:val="clear" w:color="auto" w:fill="auto"/>
            <w:noWrap/>
            <w:vAlign w:val="bottom"/>
            <w:hideMark/>
          </w:tcPr>
          <w:p w14:paraId="6C99D6EC"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1.45</w:t>
            </w:r>
          </w:p>
        </w:tc>
        <w:tc>
          <w:tcPr>
            <w:tcW w:w="236" w:type="dxa"/>
            <w:gridSpan w:val="5"/>
            <w:vAlign w:val="center"/>
            <w:hideMark/>
          </w:tcPr>
          <w:p w14:paraId="64D70E4C"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294C6F79"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745D4414"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3909AC47"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4322E0C2"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2C153876"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4523D35E"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0A70A873" w14:textId="77777777" w:rsidR="00C5012C" w:rsidRPr="003B7EA9" w:rsidRDefault="00C5012C" w:rsidP="00C5012C">
            <w:pPr>
              <w:spacing w:line="240" w:lineRule="auto"/>
              <w:ind w:firstLine="0"/>
              <w:jc w:val="left"/>
              <w:rPr>
                <w:sz w:val="20"/>
                <w:szCs w:val="20"/>
                <w:lang w:eastAsia="en-GB"/>
              </w:rPr>
            </w:pPr>
          </w:p>
        </w:tc>
      </w:tr>
      <w:tr w:rsidR="00FC17B1" w:rsidRPr="003B7EA9" w14:paraId="777DA191" w14:textId="77777777" w:rsidTr="00F55F69">
        <w:trPr>
          <w:trHeight w:val="20"/>
        </w:trPr>
        <w:tc>
          <w:tcPr>
            <w:tcW w:w="261" w:type="dxa"/>
            <w:tcBorders>
              <w:top w:val="nil"/>
              <w:left w:val="nil"/>
              <w:bottom w:val="nil"/>
              <w:right w:val="nil"/>
            </w:tcBorders>
            <w:shd w:val="clear" w:color="auto" w:fill="auto"/>
            <w:noWrap/>
            <w:vAlign w:val="bottom"/>
            <w:hideMark/>
          </w:tcPr>
          <w:p w14:paraId="1D8D430C"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4F51D5C9"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50 to 59</w:t>
            </w:r>
          </w:p>
        </w:tc>
        <w:tc>
          <w:tcPr>
            <w:tcW w:w="1103" w:type="dxa"/>
            <w:tcBorders>
              <w:top w:val="nil"/>
              <w:left w:val="nil"/>
              <w:bottom w:val="nil"/>
              <w:right w:val="nil"/>
            </w:tcBorders>
            <w:shd w:val="clear" w:color="auto" w:fill="auto"/>
            <w:noWrap/>
            <w:vAlign w:val="bottom"/>
            <w:hideMark/>
          </w:tcPr>
          <w:p w14:paraId="1183633A"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-0.17</w:t>
            </w:r>
          </w:p>
        </w:tc>
        <w:tc>
          <w:tcPr>
            <w:tcW w:w="886" w:type="dxa"/>
            <w:tcBorders>
              <w:top w:val="nil"/>
              <w:left w:val="nil"/>
              <w:bottom w:val="nil"/>
              <w:right w:val="nil"/>
            </w:tcBorders>
            <w:shd w:val="clear" w:color="auto" w:fill="auto"/>
            <w:noWrap/>
            <w:vAlign w:val="bottom"/>
            <w:hideMark/>
          </w:tcPr>
          <w:p w14:paraId="78826E6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0.85</w:t>
            </w:r>
          </w:p>
        </w:tc>
        <w:tc>
          <w:tcPr>
            <w:tcW w:w="431" w:type="dxa"/>
            <w:gridSpan w:val="2"/>
            <w:tcBorders>
              <w:top w:val="nil"/>
              <w:left w:val="nil"/>
              <w:bottom w:val="nil"/>
              <w:right w:val="nil"/>
            </w:tcBorders>
            <w:shd w:val="clear" w:color="auto" w:fill="auto"/>
            <w:noWrap/>
            <w:vAlign w:val="bottom"/>
            <w:hideMark/>
          </w:tcPr>
          <w:p w14:paraId="3ED33AF1"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4889063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-0.27</w:t>
            </w:r>
          </w:p>
        </w:tc>
        <w:tc>
          <w:tcPr>
            <w:tcW w:w="1281" w:type="dxa"/>
            <w:gridSpan w:val="5"/>
            <w:tcBorders>
              <w:top w:val="nil"/>
              <w:left w:val="nil"/>
              <w:bottom w:val="nil"/>
              <w:right w:val="nil"/>
            </w:tcBorders>
            <w:shd w:val="clear" w:color="auto" w:fill="auto"/>
            <w:noWrap/>
            <w:vAlign w:val="bottom"/>
            <w:hideMark/>
          </w:tcPr>
          <w:p w14:paraId="4BC1586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0.77</w:t>
            </w:r>
          </w:p>
        </w:tc>
        <w:tc>
          <w:tcPr>
            <w:tcW w:w="424" w:type="dxa"/>
            <w:gridSpan w:val="6"/>
            <w:tcBorders>
              <w:top w:val="nil"/>
              <w:left w:val="nil"/>
              <w:bottom w:val="nil"/>
              <w:right w:val="nil"/>
            </w:tcBorders>
            <w:shd w:val="clear" w:color="auto" w:fill="auto"/>
            <w:noWrap/>
            <w:vAlign w:val="bottom"/>
            <w:hideMark/>
          </w:tcPr>
          <w:p w14:paraId="536A60FB"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3317620A"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-0.26</w:t>
            </w:r>
          </w:p>
        </w:tc>
        <w:tc>
          <w:tcPr>
            <w:tcW w:w="886" w:type="dxa"/>
            <w:gridSpan w:val="4"/>
            <w:tcBorders>
              <w:top w:val="nil"/>
              <w:left w:val="nil"/>
              <w:bottom w:val="nil"/>
              <w:right w:val="nil"/>
            </w:tcBorders>
            <w:shd w:val="clear" w:color="auto" w:fill="auto"/>
            <w:noWrap/>
            <w:vAlign w:val="bottom"/>
            <w:hideMark/>
          </w:tcPr>
          <w:p w14:paraId="2318DFD8"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0.77</w:t>
            </w:r>
          </w:p>
        </w:tc>
        <w:tc>
          <w:tcPr>
            <w:tcW w:w="236" w:type="dxa"/>
            <w:gridSpan w:val="5"/>
            <w:vAlign w:val="center"/>
            <w:hideMark/>
          </w:tcPr>
          <w:p w14:paraId="0C501C84"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7862AC85"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7C816FD6"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0CAC58CF"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4AD7BE9C"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51B85677"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27D9ED5F"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6E741CB1" w14:textId="77777777" w:rsidR="00C5012C" w:rsidRPr="003B7EA9" w:rsidRDefault="00C5012C" w:rsidP="00C5012C">
            <w:pPr>
              <w:spacing w:line="240" w:lineRule="auto"/>
              <w:ind w:firstLine="0"/>
              <w:jc w:val="left"/>
              <w:rPr>
                <w:sz w:val="20"/>
                <w:szCs w:val="20"/>
                <w:lang w:eastAsia="en-GB"/>
              </w:rPr>
            </w:pPr>
          </w:p>
        </w:tc>
      </w:tr>
      <w:tr w:rsidR="00FC17B1" w:rsidRPr="003B7EA9" w14:paraId="4F68C423" w14:textId="77777777" w:rsidTr="00F55F69">
        <w:trPr>
          <w:trHeight w:val="20"/>
        </w:trPr>
        <w:tc>
          <w:tcPr>
            <w:tcW w:w="261" w:type="dxa"/>
            <w:tcBorders>
              <w:top w:val="nil"/>
              <w:left w:val="nil"/>
              <w:bottom w:val="nil"/>
              <w:right w:val="nil"/>
            </w:tcBorders>
            <w:shd w:val="clear" w:color="auto" w:fill="auto"/>
            <w:noWrap/>
            <w:vAlign w:val="bottom"/>
            <w:hideMark/>
          </w:tcPr>
          <w:p w14:paraId="29AC2DD7"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4D6755D0"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60 to 74</w:t>
            </w:r>
          </w:p>
        </w:tc>
        <w:tc>
          <w:tcPr>
            <w:tcW w:w="1103" w:type="dxa"/>
            <w:tcBorders>
              <w:top w:val="nil"/>
              <w:left w:val="nil"/>
              <w:bottom w:val="nil"/>
              <w:right w:val="nil"/>
            </w:tcBorders>
            <w:shd w:val="clear" w:color="auto" w:fill="auto"/>
            <w:noWrap/>
            <w:vAlign w:val="bottom"/>
            <w:hideMark/>
          </w:tcPr>
          <w:p w14:paraId="1053FC0F"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-0.49</w:t>
            </w:r>
          </w:p>
        </w:tc>
        <w:tc>
          <w:tcPr>
            <w:tcW w:w="886" w:type="dxa"/>
            <w:tcBorders>
              <w:top w:val="nil"/>
              <w:left w:val="nil"/>
              <w:bottom w:val="nil"/>
              <w:right w:val="nil"/>
            </w:tcBorders>
            <w:shd w:val="clear" w:color="auto" w:fill="auto"/>
            <w:noWrap/>
            <w:vAlign w:val="bottom"/>
            <w:hideMark/>
          </w:tcPr>
          <w:p w14:paraId="00F989B8"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0.61</w:t>
            </w:r>
          </w:p>
        </w:tc>
        <w:tc>
          <w:tcPr>
            <w:tcW w:w="431" w:type="dxa"/>
            <w:gridSpan w:val="2"/>
            <w:tcBorders>
              <w:top w:val="nil"/>
              <w:left w:val="nil"/>
              <w:bottom w:val="nil"/>
              <w:right w:val="nil"/>
            </w:tcBorders>
            <w:shd w:val="clear" w:color="auto" w:fill="auto"/>
            <w:noWrap/>
            <w:vAlign w:val="bottom"/>
            <w:hideMark/>
          </w:tcPr>
          <w:p w14:paraId="00250927"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27DCBE37"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-0.42</w:t>
            </w:r>
          </w:p>
        </w:tc>
        <w:tc>
          <w:tcPr>
            <w:tcW w:w="1281" w:type="dxa"/>
            <w:gridSpan w:val="5"/>
            <w:tcBorders>
              <w:top w:val="nil"/>
              <w:left w:val="nil"/>
              <w:bottom w:val="nil"/>
              <w:right w:val="nil"/>
            </w:tcBorders>
            <w:shd w:val="clear" w:color="auto" w:fill="auto"/>
            <w:noWrap/>
            <w:vAlign w:val="bottom"/>
            <w:hideMark/>
          </w:tcPr>
          <w:p w14:paraId="5A7A06E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0.65</w:t>
            </w:r>
          </w:p>
        </w:tc>
        <w:tc>
          <w:tcPr>
            <w:tcW w:w="424" w:type="dxa"/>
            <w:gridSpan w:val="6"/>
            <w:tcBorders>
              <w:top w:val="nil"/>
              <w:left w:val="nil"/>
              <w:bottom w:val="nil"/>
              <w:right w:val="nil"/>
            </w:tcBorders>
            <w:shd w:val="clear" w:color="auto" w:fill="auto"/>
            <w:noWrap/>
            <w:vAlign w:val="bottom"/>
            <w:hideMark/>
          </w:tcPr>
          <w:p w14:paraId="1668965B"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455CD5E2"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-0.41</w:t>
            </w:r>
          </w:p>
        </w:tc>
        <w:tc>
          <w:tcPr>
            <w:tcW w:w="886" w:type="dxa"/>
            <w:gridSpan w:val="4"/>
            <w:tcBorders>
              <w:top w:val="nil"/>
              <w:left w:val="nil"/>
              <w:bottom w:val="nil"/>
              <w:right w:val="nil"/>
            </w:tcBorders>
            <w:shd w:val="clear" w:color="auto" w:fill="auto"/>
            <w:noWrap/>
            <w:vAlign w:val="bottom"/>
            <w:hideMark/>
          </w:tcPr>
          <w:p w14:paraId="15861B1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0.66</w:t>
            </w:r>
          </w:p>
        </w:tc>
        <w:tc>
          <w:tcPr>
            <w:tcW w:w="236" w:type="dxa"/>
            <w:gridSpan w:val="5"/>
            <w:vAlign w:val="center"/>
            <w:hideMark/>
          </w:tcPr>
          <w:p w14:paraId="54CB0379"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0B510DEE"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3F901630"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15B00828"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1D359C68"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2CBE0C43"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11E92EF3"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39BAD421" w14:textId="77777777" w:rsidR="00C5012C" w:rsidRPr="003B7EA9" w:rsidRDefault="00C5012C" w:rsidP="00C5012C">
            <w:pPr>
              <w:spacing w:line="240" w:lineRule="auto"/>
              <w:ind w:firstLine="0"/>
              <w:jc w:val="left"/>
              <w:rPr>
                <w:sz w:val="20"/>
                <w:szCs w:val="20"/>
                <w:lang w:eastAsia="en-GB"/>
              </w:rPr>
            </w:pPr>
          </w:p>
        </w:tc>
      </w:tr>
      <w:tr w:rsidR="00FC17B1" w:rsidRPr="003B7EA9" w14:paraId="3AA46C02" w14:textId="77777777" w:rsidTr="00F55F69">
        <w:trPr>
          <w:trHeight w:val="20"/>
        </w:trPr>
        <w:tc>
          <w:tcPr>
            <w:tcW w:w="261" w:type="dxa"/>
            <w:tcBorders>
              <w:top w:val="nil"/>
              <w:left w:val="nil"/>
              <w:bottom w:val="single" w:sz="4" w:space="0" w:color="auto"/>
              <w:right w:val="nil"/>
            </w:tcBorders>
            <w:shd w:val="clear" w:color="auto" w:fill="auto"/>
            <w:noWrap/>
            <w:vAlign w:val="bottom"/>
            <w:hideMark/>
          </w:tcPr>
          <w:p w14:paraId="01395DDE"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 </w:t>
            </w:r>
          </w:p>
        </w:tc>
        <w:tc>
          <w:tcPr>
            <w:tcW w:w="3016" w:type="dxa"/>
            <w:tcBorders>
              <w:top w:val="nil"/>
              <w:left w:val="nil"/>
              <w:bottom w:val="single" w:sz="4" w:space="0" w:color="auto"/>
              <w:right w:val="nil"/>
            </w:tcBorders>
            <w:shd w:val="clear" w:color="auto" w:fill="auto"/>
            <w:noWrap/>
            <w:vAlign w:val="bottom"/>
            <w:hideMark/>
          </w:tcPr>
          <w:p w14:paraId="10D2B763"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75 and over</w:t>
            </w:r>
          </w:p>
        </w:tc>
        <w:tc>
          <w:tcPr>
            <w:tcW w:w="1103" w:type="dxa"/>
            <w:tcBorders>
              <w:top w:val="nil"/>
              <w:left w:val="nil"/>
              <w:bottom w:val="single" w:sz="4" w:space="0" w:color="auto"/>
              <w:right w:val="nil"/>
            </w:tcBorders>
            <w:shd w:val="clear" w:color="auto" w:fill="auto"/>
            <w:noWrap/>
            <w:vAlign w:val="bottom"/>
            <w:hideMark/>
          </w:tcPr>
          <w:p w14:paraId="7ED20B1B"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-0.80</w:t>
            </w:r>
          </w:p>
        </w:tc>
        <w:tc>
          <w:tcPr>
            <w:tcW w:w="886" w:type="dxa"/>
            <w:tcBorders>
              <w:top w:val="nil"/>
              <w:left w:val="nil"/>
              <w:bottom w:val="single" w:sz="4" w:space="0" w:color="auto"/>
              <w:right w:val="nil"/>
            </w:tcBorders>
            <w:shd w:val="clear" w:color="auto" w:fill="auto"/>
            <w:noWrap/>
            <w:vAlign w:val="bottom"/>
            <w:hideMark/>
          </w:tcPr>
          <w:p w14:paraId="5B0114B6"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0.45</w:t>
            </w:r>
          </w:p>
        </w:tc>
        <w:tc>
          <w:tcPr>
            <w:tcW w:w="431" w:type="dxa"/>
            <w:gridSpan w:val="2"/>
            <w:tcBorders>
              <w:top w:val="nil"/>
              <w:left w:val="nil"/>
              <w:bottom w:val="nil"/>
              <w:right w:val="nil"/>
            </w:tcBorders>
            <w:shd w:val="clear" w:color="auto" w:fill="auto"/>
            <w:noWrap/>
            <w:vAlign w:val="bottom"/>
            <w:hideMark/>
          </w:tcPr>
          <w:p w14:paraId="538482FA"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single" w:sz="4" w:space="0" w:color="auto"/>
              <w:right w:val="nil"/>
            </w:tcBorders>
            <w:shd w:val="clear" w:color="auto" w:fill="auto"/>
            <w:noWrap/>
            <w:vAlign w:val="bottom"/>
            <w:hideMark/>
          </w:tcPr>
          <w:p w14:paraId="1DA18A2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-0.55</w:t>
            </w:r>
          </w:p>
        </w:tc>
        <w:tc>
          <w:tcPr>
            <w:tcW w:w="1281" w:type="dxa"/>
            <w:gridSpan w:val="5"/>
            <w:tcBorders>
              <w:top w:val="nil"/>
              <w:left w:val="nil"/>
              <w:bottom w:val="single" w:sz="4" w:space="0" w:color="auto"/>
              <w:right w:val="nil"/>
            </w:tcBorders>
            <w:shd w:val="clear" w:color="auto" w:fill="auto"/>
            <w:noWrap/>
            <w:vAlign w:val="bottom"/>
            <w:hideMark/>
          </w:tcPr>
          <w:p w14:paraId="593D27F8"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0.58</w:t>
            </w:r>
          </w:p>
        </w:tc>
        <w:tc>
          <w:tcPr>
            <w:tcW w:w="424" w:type="dxa"/>
            <w:gridSpan w:val="6"/>
            <w:tcBorders>
              <w:top w:val="nil"/>
              <w:left w:val="nil"/>
              <w:bottom w:val="nil"/>
              <w:right w:val="nil"/>
            </w:tcBorders>
            <w:shd w:val="clear" w:color="auto" w:fill="auto"/>
            <w:noWrap/>
            <w:vAlign w:val="bottom"/>
            <w:hideMark/>
          </w:tcPr>
          <w:p w14:paraId="1A334B55"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single" w:sz="4" w:space="0" w:color="auto"/>
              <w:right w:val="nil"/>
            </w:tcBorders>
            <w:shd w:val="clear" w:color="auto" w:fill="auto"/>
            <w:noWrap/>
            <w:vAlign w:val="bottom"/>
            <w:hideMark/>
          </w:tcPr>
          <w:p w14:paraId="3CDDC77B"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-0.54</w:t>
            </w:r>
          </w:p>
        </w:tc>
        <w:tc>
          <w:tcPr>
            <w:tcW w:w="886" w:type="dxa"/>
            <w:gridSpan w:val="4"/>
            <w:tcBorders>
              <w:top w:val="nil"/>
              <w:left w:val="nil"/>
              <w:bottom w:val="single" w:sz="4" w:space="0" w:color="auto"/>
              <w:right w:val="nil"/>
            </w:tcBorders>
            <w:shd w:val="clear" w:color="auto" w:fill="auto"/>
            <w:noWrap/>
            <w:vAlign w:val="bottom"/>
            <w:hideMark/>
          </w:tcPr>
          <w:p w14:paraId="233A9E17"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0.58</w:t>
            </w:r>
          </w:p>
        </w:tc>
        <w:tc>
          <w:tcPr>
            <w:tcW w:w="236" w:type="dxa"/>
            <w:gridSpan w:val="5"/>
            <w:vAlign w:val="center"/>
            <w:hideMark/>
          </w:tcPr>
          <w:p w14:paraId="1ACF9B1F"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297EA1AC"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7A0CF9CE"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5ED84820"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2A53C9DE"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6B74261C"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61E6DF8E"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711B2D44" w14:textId="77777777" w:rsidR="00C5012C" w:rsidRPr="003B7EA9" w:rsidRDefault="00C5012C" w:rsidP="00C5012C">
            <w:pPr>
              <w:spacing w:line="240" w:lineRule="auto"/>
              <w:ind w:firstLine="0"/>
              <w:jc w:val="left"/>
              <w:rPr>
                <w:sz w:val="20"/>
                <w:szCs w:val="20"/>
                <w:lang w:eastAsia="en-GB"/>
              </w:rPr>
            </w:pPr>
          </w:p>
        </w:tc>
      </w:tr>
      <w:tr w:rsidR="00FC17B1" w:rsidRPr="003B7EA9" w14:paraId="6547FD53" w14:textId="77777777" w:rsidTr="00F55F69">
        <w:trPr>
          <w:trHeight w:val="20"/>
        </w:trPr>
        <w:tc>
          <w:tcPr>
            <w:tcW w:w="4380" w:type="dxa"/>
            <w:gridSpan w:val="3"/>
            <w:tcBorders>
              <w:top w:val="nil"/>
              <w:left w:val="nil"/>
              <w:bottom w:val="nil"/>
              <w:right w:val="nil"/>
            </w:tcBorders>
            <w:shd w:val="clear" w:color="auto" w:fill="auto"/>
            <w:noWrap/>
            <w:vAlign w:val="bottom"/>
            <w:hideMark/>
          </w:tcPr>
          <w:p w14:paraId="50D06E8E"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Tenure (reference: owned with mortgage)</w:t>
            </w:r>
          </w:p>
        </w:tc>
        <w:tc>
          <w:tcPr>
            <w:tcW w:w="886" w:type="dxa"/>
            <w:tcBorders>
              <w:top w:val="nil"/>
              <w:left w:val="nil"/>
              <w:bottom w:val="nil"/>
              <w:right w:val="nil"/>
            </w:tcBorders>
            <w:shd w:val="clear" w:color="auto" w:fill="auto"/>
            <w:noWrap/>
            <w:vAlign w:val="bottom"/>
            <w:hideMark/>
          </w:tcPr>
          <w:p w14:paraId="672E11A7"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6D682C3A"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507590E0" w14:textId="77777777" w:rsidR="00C5012C" w:rsidRPr="003B7EA9" w:rsidRDefault="00C5012C" w:rsidP="00C5012C">
            <w:pPr>
              <w:spacing w:line="240" w:lineRule="auto"/>
              <w:ind w:firstLine="0"/>
              <w:jc w:val="center"/>
              <w:rPr>
                <w:color w:val="000000"/>
                <w:sz w:val="18"/>
                <w:szCs w:val="18"/>
                <w:lang w:eastAsia="en-GB"/>
              </w:rPr>
            </w:pPr>
          </w:p>
        </w:tc>
        <w:tc>
          <w:tcPr>
            <w:tcW w:w="1281" w:type="dxa"/>
            <w:gridSpan w:val="5"/>
            <w:tcBorders>
              <w:top w:val="nil"/>
              <w:left w:val="nil"/>
              <w:bottom w:val="nil"/>
              <w:right w:val="nil"/>
            </w:tcBorders>
            <w:shd w:val="clear" w:color="auto" w:fill="auto"/>
            <w:noWrap/>
            <w:vAlign w:val="bottom"/>
            <w:hideMark/>
          </w:tcPr>
          <w:p w14:paraId="4943B91E" w14:textId="77777777" w:rsidR="00C5012C" w:rsidRPr="003B7EA9" w:rsidRDefault="00C5012C" w:rsidP="00C5012C">
            <w:pPr>
              <w:spacing w:line="240" w:lineRule="auto"/>
              <w:ind w:firstLine="0"/>
              <w:jc w:val="center"/>
              <w:rPr>
                <w:color w:val="000000"/>
                <w:sz w:val="18"/>
                <w:szCs w:val="18"/>
                <w:lang w:eastAsia="en-GB"/>
              </w:rPr>
            </w:pPr>
          </w:p>
        </w:tc>
        <w:tc>
          <w:tcPr>
            <w:tcW w:w="424" w:type="dxa"/>
            <w:gridSpan w:val="6"/>
            <w:tcBorders>
              <w:top w:val="nil"/>
              <w:left w:val="nil"/>
              <w:bottom w:val="nil"/>
              <w:right w:val="nil"/>
            </w:tcBorders>
            <w:shd w:val="clear" w:color="auto" w:fill="auto"/>
            <w:noWrap/>
            <w:vAlign w:val="bottom"/>
            <w:hideMark/>
          </w:tcPr>
          <w:p w14:paraId="46218246"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0E8F911F" w14:textId="77777777" w:rsidR="00C5012C" w:rsidRPr="003B7EA9" w:rsidRDefault="00C5012C" w:rsidP="00C5012C">
            <w:pPr>
              <w:spacing w:line="240" w:lineRule="auto"/>
              <w:ind w:firstLine="0"/>
              <w:jc w:val="center"/>
              <w:rPr>
                <w:color w:val="000000"/>
                <w:sz w:val="18"/>
                <w:szCs w:val="18"/>
                <w:lang w:eastAsia="en-GB"/>
              </w:rPr>
            </w:pPr>
          </w:p>
        </w:tc>
        <w:tc>
          <w:tcPr>
            <w:tcW w:w="886" w:type="dxa"/>
            <w:gridSpan w:val="4"/>
            <w:tcBorders>
              <w:top w:val="nil"/>
              <w:left w:val="nil"/>
              <w:bottom w:val="nil"/>
              <w:right w:val="nil"/>
            </w:tcBorders>
            <w:shd w:val="clear" w:color="auto" w:fill="auto"/>
            <w:noWrap/>
            <w:vAlign w:val="bottom"/>
            <w:hideMark/>
          </w:tcPr>
          <w:p w14:paraId="34BF15FF" w14:textId="77777777" w:rsidR="00C5012C" w:rsidRPr="003B7EA9" w:rsidRDefault="00C5012C" w:rsidP="00C5012C">
            <w:pPr>
              <w:spacing w:line="240" w:lineRule="auto"/>
              <w:ind w:firstLine="0"/>
              <w:jc w:val="center"/>
              <w:rPr>
                <w:color w:val="000000"/>
                <w:sz w:val="18"/>
                <w:szCs w:val="18"/>
                <w:lang w:eastAsia="en-GB"/>
              </w:rPr>
            </w:pPr>
          </w:p>
        </w:tc>
        <w:tc>
          <w:tcPr>
            <w:tcW w:w="236" w:type="dxa"/>
            <w:gridSpan w:val="5"/>
            <w:vAlign w:val="center"/>
            <w:hideMark/>
          </w:tcPr>
          <w:p w14:paraId="21BBB945"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39BF598B"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7CDAFC4A"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780D9811"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3C8FC7AD"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72EC094B"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642D6D18"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3DBF0C4F" w14:textId="77777777" w:rsidR="00C5012C" w:rsidRPr="003B7EA9" w:rsidRDefault="00C5012C" w:rsidP="00C5012C">
            <w:pPr>
              <w:spacing w:line="240" w:lineRule="auto"/>
              <w:ind w:firstLine="0"/>
              <w:jc w:val="left"/>
              <w:rPr>
                <w:sz w:val="20"/>
                <w:szCs w:val="20"/>
                <w:lang w:eastAsia="en-GB"/>
              </w:rPr>
            </w:pPr>
          </w:p>
        </w:tc>
      </w:tr>
      <w:tr w:rsidR="00FC17B1" w:rsidRPr="003B7EA9" w14:paraId="3AE97A5E" w14:textId="77777777" w:rsidTr="00F55F69">
        <w:trPr>
          <w:trHeight w:val="20"/>
        </w:trPr>
        <w:tc>
          <w:tcPr>
            <w:tcW w:w="261" w:type="dxa"/>
            <w:tcBorders>
              <w:top w:val="nil"/>
              <w:left w:val="nil"/>
              <w:bottom w:val="nil"/>
              <w:right w:val="nil"/>
            </w:tcBorders>
            <w:shd w:val="clear" w:color="auto" w:fill="auto"/>
            <w:noWrap/>
            <w:vAlign w:val="bottom"/>
            <w:hideMark/>
          </w:tcPr>
          <w:p w14:paraId="15CE5610"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27C84F6C"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owned outright</w:t>
            </w:r>
          </w:p>
        </w:tc>
        <w:tc>
          <w:tcPr>
            <w:tcW w:w="1103" w:type="dxa"/>
            <w:tcBorders>
              <w:top w:val="nil"/>
              <w:left w:val="nil"/>
              <w:bottom w:val="nil"/>
              <w:right w:val="nil"/>
            </w:tcBorders>
            <w:shd w:val="clear" w:color="auto" w:fill="auto"/>
            <w:noWrap/>
            <w:vAlign w:val="bottom"/>
            <w:hideMark/>
          </w:tcPr>
          <w:p w14:paraId="4A9BB122"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-0.04</w:t>
            </w:r>
          </w:p>
        </w:tc>
        <w:tc>
          <w:tcPr>
            <w:tcW w:w="886" w:type="dxa"/>
            <w:tcBorders>
              <w:top w:val="nil"/>
              <w:left w:val="nil"/>
              <w:bottom w:val="nil"/>
              <w:right w:val="nil"/>
            </w:tcBorders>
            <w:shd w:val="clear" w:color="auto" w:fill="auto"/>
            <w:noWrap/>
            <w:vAlign w:val="bottom"/>
            <w:hideMark/>
          </w:tcPr>
          <w:p w14:paraId="51E74974"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0.96</w:t>
            </w:r>
          </w:p>
        </w:tc>
        <w:tc>
          <w:tcPr>
            <w:tcW w:w="431" w:type="dxa"/>
            <w:gridSpan w:val="2"/>
            <w:tcBorders>
              <w:top w:val="nil"/>
              <w:left w:val="nil"/>
              <w:bottom w:val="nil"/>
              <w:right w:val="nil"/>
            </w:tcBorders>
            <w:shd w:val="clear" w:color="auto" w:fill="auto"/>
            <w:noWrap/>
            <w:vAlign w:val="bottom"/>
            <w:hideMark/>
          </w:tcPr>
          <w:p w14:paraId="30F9DAC2"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7C4A025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-0.02</w:t>
            </w:r>
          </w:p>
        </w:tc>
        <w:tc>
          <w:tcPr>
            <w:tcW w:w="1281" w:type="dxa"/>
            <w:gridSpan w:val="5"/>
            <w:tcBorders>
              <w:top w:val="nil"/>
              <w:left w:val="nil"/>
              <w:bottom w:val="nil"/>
              <w:right w:val="nil"/>
            </w:tcBorders>
            <w:shd w:val="clear" w:color="auto" w:fill="auto"/>
            <w:noWrap/>
            <w:vAlign w:val="bottom"/>
            <w:hideMark/>
          </w:tcPr>
          <w:p w14:paraId="3E49AB56"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0.99</w:t>
            </w:r>
          </w:p>
        </w:tc>
        <w:tc>
          <w:tcPr>
            <w:tcW w:w="424" w:type="dxa"/>
            <w:gridSpan w:val="6"/>
            <w:tcBorders>
              <w:top w:val="nil"/>
              <w:left w:val="nil"/>
              <w:bottom w:val="nil"/>
              <w:right w:val="nil"/>
            </w:tcBorders>
            <w:shd w:val="clear" w:color="auto" w:fill="auto"/>
            <w:noWrap/>
            <w:vAlign w:val="bottom"/>
            <w:hideMark/>
          </w:tcPr>
          <w:p w14:paraId="2B3EDE55"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25E41F6C"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-0.02</w:t>
            </w:r>
          </w:p>
        </w:tc>
        <w:tc>
          <w:tcPr>
            <w:tcW w:w="886" w:type="dxa"/>
            <w:gridSpan w:val="4"/>
            <w:tcBorders>
              <w:top w:val="nil"/>
              <w:left w:val="nil"/>
              <w:bottom w:val="nil"/>
              <w:right w:val="nil"/>
            </w:tcBorders>
            <w:shd w:val="clear" w:color="auto" w:fill="auto"/>
            <w:noWrap/>
            <w:vAlign w:val="bottom"/>
            <w:hideMark/>
          </w:tcPr>
          <w:p w14:paraId="3B964315"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0.98</w:t>
            </w:r>
          </w:p>
        </w:tc>
        <w:tc>
          <w:tcPr>
            <w:tcW w:w="236" w:type="dxa"/>
            <w:gridSpan w:val="5"/>
            <w:vAlign w:val="center"/>
            <w:hideMark/>
          </w:tcPr>
          <w:p w14:paraId="0E985619"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052BABEB"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776EF7A3"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771F1AED"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7F58F9E5"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1377B384"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722E8307"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7D658698" w14:textId="77777777" w:rsidR="00C5012C" w:rsidRPr="003B7EA9" w:rsidRDefault="00C5012C" w:rsidP="00C5012C">
            <w:pPr>
              <w:spacing w:line="240" w:lineRule="auto"/>
              <w:ind w:firstLine="0"/>
              <w:jc w:val="left"/>
              <w:rPr>
                <w:sz w:val="20"/>
                <w:szCs w:val="20"/>
                <w:lang w:eastAsia="en-GB"/>
              </w:rPr>
            </w:pPr>
          </w:p>
        </w:tc>
      </w:tr>
      <w:tr w:rsidR="00FC17B1" w:rsidRPr="003B7EA9" w14:paraId="06A1ECF1" w14:textId="77777777" w:rsidTr="00F55F69">
        <w:trPr>
          <w:trHeight w:val="20"/>
        </w:trPr>
        <w:tc>
          <w:tcPr>
            <w:tcW w:w="261" w:type="dxa"/>
            <w:tcBorders>
              <w:top w:val="nil"/>
              <w:left w:val="nil"/>
              <w:bottom w:val="nil"/>
              <w:right w:val="nil"/>
            </w:tcBorders>
            <w:shd w:val="clear" w:color="auto" w:fill="auto"/>
            <w:noWrap/>
            <w:vAlign w:val="bottom"/>
            <w:hideMark/>
          </w:tcPr>
          <w:p w14:paraId="2A083973"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1890A754"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council tenant</w:t>
            </w:r>
          </w:p>
        </w:tc>
        <w:tc>
          <w:tcPr>
            <w:tcW w:w="1103" w:type="dxa"/>
            <w:tcBorders>
              <w:top w:val="nil"/>
              <w:left w:val="nil"/>
              <w:bottom w:val="nil"/>
              <w:right w:val="nil"/>
            </w:tcBorders>
            <w:shd w:val="clear" w:color="auto" w:fill="auto"/>
            <w:noWrap/>
            <w:vAlign w:val="bottom"/>
            <w:hideMark/>
          </w:tcPr>
          <w:p w14:paraId="006FFDF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0.31</w:t>
            </w:r>
          </w:p>
        </w:tc>
        <w:tc>
          <w:tcPr>
            <w:tcW w:w="886" w:type="dxa"/>
            <w:tcBorders>
              <w:top w:val="nil"/>
              <w:left w:val="nil"/>
              <w:bottom w:val="nil"/>
              <w:right w:val="nil"/>
            </w:tcBorders>
            <w:shd w:val="clear" w:color="auto" w:fill="auto"/>
            <w:noWrap/>
            <w:vAlign w:val="bottom"/>
            <w:hideMark/>
          </w:tcPr>
          <w:p w14:paraId="636F766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1.37</w:t>
            </w:r>
          </w:p>
        </w:tc>
        <w:tc>
          <w:tcPr>
            <w:tcW w:w="431" w:type="dxa"/>
            <w:gridSpan w:val="2"/>
            <w:tcBorders>
              <w:top w:val="nil"/>
              <w:left w:val="nil"/>
              <w:bottom w:val="nil"/>
              <w:right w:val="nil"/>
            </w:tcBorders>
            <w:shd w:val="clear" w:color="auto" w:fill="auto"/>
            <w:noWrap/>
            <w:vAlign w:val="bottom"/>
            <w:hideMark/>
          </w:tcPr>
          <w:p w14:paraId="461F112F"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30E3185C"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0.42</w:t>
            </w:r>
          </w:p>
        </w:tc>
        <w:tc>
          <w:tcPr>
            <w:tcW w:w="1281" w:type="dxa"/>
            <w:gridSpan w:val="5"/>
            <w:tcBorders>
              <w:top w:val="nil"/>
              <w:left w:val="nil"/>
              <w:bottom w:val="nil"/>
              <w:right w:val="nil"/>
            </w:tcBorders>
            <w:shd w:val="clear" w:color="auto" w:fill="auto"/>
            <w:noWrap/>
            <w:vAlign w:val="bottom"/>
            <w:hideMark/>
          </w:tcPr>
          <w:p w14:paraId="132A4490"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1.53</w:t>
            </w:r>
          </w:p>
        </w:tc>
        <w:tc>
          <w:tcPr>
            <w:tcW w:w="424" w:type="dxa"/>
            <w:gridSpan w:val="6"/>
            <w:tcBorders>
              <w:top w:val="nil"/>
              <w:left w:val="nil"/>
              <w:bottom w:val="nil"/>
              <w:right w:val="nil"/>
            </w:tcBorders>
            <w:shd w:val="clear" w:color="auto" w:fill="auto"/>
            <w:noWrap/>
            <w:vAlign w:val="bottom"/>
            <w:hideMark/>
          </w:tcPr>
          <w:p w14:paraId="5794F232"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081C569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0.42</w:t>
            </w:r>
          </w:p>
        </w:tc>
        <w:tc>
          <w:tcPr>
            <w:tcW w:w="886" w:type="dxa"/>
            <w:gridSpan w:val="4"/>
            <w:tcBorders>
              <w:top w:val="nil"/>
              <w:left w:val="nil"/>
              <w:bottom w:val="nil"/>
              <w:right w:val="nil"/>
            </w:tcBorders>
            <w:shd w:val="clear" w:color="auto" w:fill="auto"/>
            <w:noWrap/>
            <w:vAlign w:val="bottom"/>
            <w:hideMark/>
          </w:tcPr>
          <w:p w14:paraId="42336E78"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1.53</w:t>
            </w:r>
          </w:p>
        </w:tc>
        <w:tc>
          <w:tcPr>
            <w:tcW w:w="236" w:type="dxa"/>
            <w:gridSpan w:val="5"/>
            <w:vAlign w:val="center"/>
            <w:hideMark/>
          </w:tcPr>
          <w:p w14:paraId="4A21DC97"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10187562"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155BF2FE"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0385AB35"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3A05B4D2"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07F6A858"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1CA4F975"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0002CDE8" w14:textId="77777777" w:rsidR="00C5012C" w:rsidRPr="003B7EA9" w:rsidRDefault="00C5012C" w:rsidP="00C5012C">
            <w:pPr>
              <w:spacing w:line="240" w:lineRule="auto"/>
              <w:ind w:firstLine="0"/>
              <w:jc w:val="left"/>
              <w:rPr>
                <w:sz w:val="20"/>
                <w:szCs w:val="20"/>
                <w:lang w:eastAsia="en-GB"/>
              </w:rPr>
            </w:pPr>
          </w:p>
        </w:tc>
      </w:tr>
      <w:tr w:rsidR="00FC17B1" w:rsidRPr="003B7EA9" w14:paraId="4189777D" w14:textId="77777777" w:rsidTr="00F55F69">
        <w:trPr>
          <w:trHeight w:val="20"/>
        </w:trPr>
        <w:tc>
          <w:tcPr>
            <w:tcW w:w="261" w:type="dxa"/>
            <w:tcBorders>
              <w:top w:val="nil"/>
              <w:left w:val="nil"/>
              <w:bottom w:val="nil"/>
              <w:right w:val="nil"/>
            </w:tcBorders>
            <w:shd w:val="clear" w:color="auto" w:fill="auto"/>
            <w:noWrap/>
            <w:vAlign w:val="bottom"/>
            <w:hideMark/>
          </w:tcPr>
          <w:p w14:paraId="0D0B7AC0"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0C70C49C"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RSL, shared ownership, or free</w:t>
            </w:r>
          </w:p>
        </w:tc>
        <w:tc>
          <w:tcPr>
            <w:tcW w:w="1103" w:type="dxa"/>
            <w:tcBorders>
              <w:top w:val="nil"/>
              <w:left w:val="nil"/>
              <w:bottom w:val="nil"/>
              <w:right w:val="nil"/>
            </w:tcBorders>
            <w:shd w:val="clear" w:color="auto" w:fill="auto"/>
            <w:noWrap/>
            <w:vAlign w:val="bottom"/>
            <w:hideMark/>
          </w:tcPr>
          <w:p w14:paraId="5D33392B"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0.55</w:t>
            </w:r>
          </w:p>
        </w:tc>
        <w:tc>
          <w:tcPr>
            <w:tcW w:w="886" w:type="dxa"/>
            <w:tcBorders>
              <w:top w:val="nil"/>
              <w:left w:val="nil"/>
              <w:bottom w:val="nil"/>
              <w:right w:val="nil"/>
            </w:tcBorders>
            <w:shd w:val="clear" w:color="auto" w:fill="auto"/>
            <w:noWrap/>
            <w:vAlign w:val="bottom"/>
            <w:hideMark/>
          </w:tcPr>
          <w:p w14:paraId="11252154"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1.73</w:t>
            </w:r>
          </w:p>
        </w:tc>
        <w:tc>
          <w:tcPr>
            <w:tcW w:w="431" w:type="dxa"/>
            <w:gridSpan w:val="2"/>
            <w:tcBorders>
              <w:top w:val="nil"/>
              <w:left w:val="nil"/>
              <w:bottom w:val="nil"/>
              <w:right w:val="nil"/>
            </w:tcBorders>
            <w:shd w:val="clear" w:color="auto" w:fill="auto"/>
            <w:noWrap/>
            <w:vAlign w:val="bottom"/>
            <w:hideMark/>
          </w:tcPr>
          <w:p w14:paraId="587C53CE"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34A7D9D5"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0.59</w:t>
            </w:r>
          </w:p>
        </w:tc>
        <w:tc>
          <w:tcPr>
            <w:tcW w:w="1281" w:type="dxa"/>
            <w:gridSpan w:val="5"/>
            <w:tcBorders>
              <w:top w:val="nil"/>
              <w:left w:val="nil"/>
              <w:bottom w:val="nil"/>
              <w:right w:val="nil"/>
            </w:tcBorders>
            <w:shd w:val="clear" w:color="auto" w:fill="auto"/>
            <w:noWrap/>
            <w:vAlign w:val="bottom"/>
            <w:hideMark/>
          </w:tcPr>
          <w:p w14:paraId="265C8B9C"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1.81</w:t>
            </w:r>
          </w:p>
        </w:tc>
        <w:tc>
          <w:tcPr>
            <w:tcW w:w="424" w:type="dxa"/>
            <w:gridSpan w:val="6"/>
            <w:tcBorders>
              <w:top w:val="nil"/>
              <w:left w:val="nil"/>
              <w:bottom w:val="nil"/>
              <w:right w:val="nil"/>
            </w:tcBorders>
            <w:shd w:val="clear" w:color="auto" w:fill="auto"/>
            <w:noWrap/>
            <w:vAlign w:val="bottom"/>
            <w:hideMark/>
          </w:tcPr>
          <w:p w14:paraId="4764A13C"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7A8A5229"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0.59</w:t>
            </w:r>
          </w:p>
        </w:tc>
        <w:tc>
          <w:tcPr>
            <w:tcW w:w="886" w:type="dxa"/>
            <w:gridSpan w:val="4"/>
            <w:tcBorders>
              <w:top w:val="nil"/>
              <w:left w:val="nil"/>
              <w:bottom w:val="nil"/>
              <w:right w:val="nil"/>
            </w:tcBorders>
            <w:shd w:val="clear" w:color="auto" w:fill="auto"/>
            <w:noWrap/>
            <w:vAlign w:val="bottom"/>
            <w:hideMark/>
          </w:tcPr>
          <w:p w14:paraId="277EE728"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1.80</w:t>
            </w:r>
          </w:p>
        </w:tc>
        <w:tc>
          <w:tcPr>
            <w:tcW w:w="236" w:type="dxa"/>
            <w:gridSpan w:val="5"/>
            <w:vAlign w:val="center"/>
            <w:hideMark/>
          </w:tcPr>
          <w:p w14:paraId="4A76B189"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4685C3F7"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14BBA37D"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7D7BB432"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0DBCCE70"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1F48644C"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373C87A2"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282C2B65" w14:textId="77777777" w:rsidR="00C5012C" w:rsidRPr="003B7EA9" w:rsidRDefault="00C5012C" w:rsidP="00C5012C">
            <w:pPr>
              <w:spacing w:line="240" w:lineRule="auto"/>
              <w:ind w:firstLine="0"/>
              <w:jc w:val="left"/>
              <w:rPr>
                <w:sz w:val="20"/>
                <w:szCs w:val="20"/>
                <w:lang w:eastAsia="en-GB"/>
              </w:rPr>
            </w:pPr>
          </w:p>
        </w:tc>
      </w:tr>
      <w:tr w:rsidR="00FC17B1" w:rsidRPr="003B7EA9" w14:paraId="43EE0A70" w14:textId="77777777" w:rsidTr="00F55F69">
        <w:trPr>
          <w:trHeight w:val="20"/>
        </w:trPr>
        <w:tc>
          <w:tcPr>
            <w:tcW w:w="261" w:type="dxa"/>
            <w:tcBorders>
              <w:top w:val="nil"/>
              <w:left w:val="nil"/>
              <w:bottom w:val="nil"/>
              <w:right w:val="nil"/>
            </w:tcBorders>
            <w:shd w:val="clear" w:color="auto" w:fill="auto"/>
            <w:noWrap/>
            <w:vAlign w:val="bottom"/>
            <w:hideMark/>
          </w:tcPr>
          <w:p w14:paraId="51B9E048"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62DE1D3F"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private landlord</w:t>
            </w:r>
          </w:p>
        </w:tc>
        <w:tc>
          <w:tcPr>
            <w:tcW w:w="1103" w:type="dxa"/>
            <w:tcBorders>
              <w:top w:val="nil"/>
              <w:left w:val="nil"/>
              <w:bottom w:val="nil"/>
              <w:right w:val="nil"/>
            </w:tcBorders>
            <w:shd w:val="clear" w:color="auto" w:fill="auto"/>
            <w:noWrap/>
            <w:vAlign w:val="bottom"/>
            <w:hideMark/>
          </w:tcPr>
          <w:p w14:paraId="7E14D3B9"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1.61</w:t>
            </w:r>
          </w:p>
        </w:tc>
        <w:tc>
          <w:tcPr>
            <w:tcW w:w="886" w:type="dxa"/>
            <w:tcBorders>
              <w:top w:val="nil"/>
              <w:left w:val="nil"/>
              <w:bottom w:val="nil"/>
              <w:right w:val="nil"/>
            </w:tcBorders>
            <w:shd w:val="clear" w:color="auto" w:fill="auto"/>
            <w:noWrap/>
            <w:vAlign w:val="bottom"/>
            <w:hideMark/>
          </w:tcPr>
          <w:p w14:paraId="000B583F"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5.01</w:t>
            </w:r>
          </w:p>
        </w:tc>
        <w:tc>
          <w:tcPr>
            <w:tcW w:w="431" w:type="dxa"/>
            <w:gridSpan w:val="2"/>
            <w:tcBorders>
              <w:top w:val="nil"/>
              <w:left w:val="nil"/>
              <w:bottom w:val="nil"/>
              <w:right w:val="nil"/>
            </w:tcBorders>
            <w:shd w:val="clear" w:color="auto" w:fill="auto"/>
            <w:noWrap/>
            <w:vAlign w:val="bottom"/>
            <w:hideMark/>
          </w:tcPr>
          <w:p w14:paraId="4E451BEA"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4C4CAE3C"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1.49</w:t>
            </w:r>
          </w:p>
        </w:tc>
        <w:tc>
          <w:tcPr>
            <w:tcW w:w="1281" w:type="dxa"/>
            <w:gridSpan w:val="5"/>
            <w:tcBorders>
              <w:top w:val="nil"/>
              <w:left w:val="nil"/>
              <w:bottom w:val="nil"/>
              <w:right w:val="nil"/>
            </w:tcBorders>
            <w:shd w:val="clear" w:color="auto" w:fill="auto"/>
            <w:noWrap/>
            <w:vAlign w:val="bottom"/>
            <w:hideMark/>
          </w:tcPr>
          <w:p w14:paraId="34C50D30"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4.45</w:t>
            </w:r>
          </w:p>
        </w:tc>
        <w:tc>
          <w:tcPr>
            <w:tcW w:w="424" w:type="dxa"/>
            <w:gridSpan w:val="6"/>
            <w:tcBorders>
              <w:top w:val="nil"/>
              <w:left w:val="nil"/>
              <w:bottom w:val="nil"/>
              <w:right w:val="nil"/>
            </w:tcBorders>
            <w:shd w:val="clear" w:color="auto" w:fill="auto"/>
            <w:noWrap/>
            <w:vAlign w:val="bottom"/>
            <w:hideMark/>
          </w:tcPr>
          <w:p w14:paraId="0697B8AB"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05941D84"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1.47</w:t>
            </w:r>
          </w:p>
        </w:tc>
        <w:tc>
          <w:tcPr>
            <w:tcW w:w="886" w:type="dxa"/>
            <w:gridSpan w:val="4"/>
            <w:tcBorders>
              <w:top w:val="nil"/>
              <w:left w:val="nil"/>
              <w:bottom w:val="nil"/>
              <w:right w:val="nil"/>
            </w:tcBorders>
            <w:shd w:val="clear" w:color="auto" w:fill="auto"/>
            <w:noWrap/>
            <w:vAlign w:val="bottom"/>
            <w:hideMark/>
          </w:tcPr>
          <w:p w14:paraId="1E3CF692"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4.35</w:t>
            </w:r>
          </w:p>
        </w:tc>
        <w:tc>
          <w:tcPr>
            <w:tcW w:w="236" w:type="dxa"/>
            <w:gridSpan w:val="5"/>
            <w:vAlign w:val="center"/>
            <w:hideMark/>
          </w:tcPr>
          <w:p w14:paraId="23CBF98F"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6331B777"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05584C3E"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27718B3D"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49F77D26"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3688FA6A"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3FFB85A8"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2F434D02" w14:textId="77777777" w:rsidR="00C5012C" w:rsidRPr="003B7EA9" w:rsidRDefault="00C5012C" w:rsidP="00C5012C">
            <w:pPr>
              <w:spacing w:line="240" w:lineRule="auto"/>
              <w:ind w:firstLine="0"/>
              <w:jc w:val="left"/>
              <w:rPr>
                <w:sz w:val="20"/>
                <w:szCs w:val="20"/>
                <w:lang w:eastAsia="en-GB"/>
              </w:rPr>
            </w:pPr>
          </w:p>
        </w:tc>
      </w:tr>
      <w:tr w:rsidR="00FC17B1" w:rsidRPr="003B7EA9" w14:paraId="0DCED290" w14:textId="77777777" w:rsidTr="00F55F69">
        <w:trPr>
          <w:trHeight w:val="20"/>
        </w:trPr>
        <w:tc>
          <w:tcPr>
            <w:tcW w:w="261" w:type="dxa"/>
            <w:tcBorders>
              <w:top w:val="nil"/>
              <w:left w:val="nil"/>
              <w:bottom w:val="nil"/>
              <w:right w:val="nil"/>
            </w:tcBorders>
            <w:shd w:val="clear" w:color="auto" w:fill="auto"/>
            <w:noWrap/>
            <w:vAlign w:val="bottom"/>
            <w:hideMark/>
          </w:tcPr>
          <w:p w14:paraId="1E1333D2"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61B7BD8E"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other household tenures</w:t>
            </w:r>
          </w:p>
        </w:tc>
        <w:tc>
          <w:tcPr>
            <w:tcW w:w="1103" w:type="dxa"/>
            <w:tcBorders>
              <w:top w:val="nil"/>
              <w:left w:val="nil"/>
              <w:bottom w:val="nil"/>
              <w:right w:val="nil"/>
            </w:tcBorders>
            <w:shd w:val="clear" w:color="auto" w:fill="auto"/>
            <w:noWrap/>
            <w:vAlign w:val="bottom"/>
            <w:hideMark/>
          </w:tcPr>
          <w:p w14:paraId="60EFC840"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1.21</w:t>
            </w:r>
          </w:p>
        </w:tc>
        <w:tc>
          <w:tcPr>
            <w:tcW w:w="886" w:type="dxa"/>
            <w:tcBorders>
              <w:top w:val="nil"/>
              <w:left w:val="nil"/>
              <w:bottom w:val="nil"/>
              <w:right w:val="nil"/>
            </w:tcBorders>
            <w:shd w:val="clear" w:color="auto" w:fill="auto"/>
            <w:noWrap/>
            <w:vAlign w:val="bottom"/>
            <w:hideMark/>
          </w:tcPr>
          <w:p w14:paraId="69E22D05"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3.36</w:t>
            </w:r>
          </w:p>
        </w:tc>
        <w:tc>
          <w:tcPr>
            <w:tcW w:w="431" w:type="dxa"/>
            <w:gridSpan w:val="2"/>
            <w:tcBorders>
              <w:top w:val="nil"/>
              <w:left w:val="nil"/>
              <w:bottom w:val="nil"/>
              <w:right w:val="nil"/>
            </w:tcBorders>
            <w:shd w:val="clear" w:color="auto" w:fill="auto"/>
            <w:noWrap/>
            <w:vAlign w:val="bottom"/>
            <w:hideMark/>
          </w:tcPr>
          <w:p w14:paraId="24E5F6A1"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253341DA"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1.13</w:t>
            </w:r>
          </w:p>
        </w:tc>
        <w:tc>
          <w:tcPr>
            <w:tcW w:w="1281" w:type="dxa"/>
            <w:gridSpan w:val="5"/>
            <w:tcBorders>
              <w:top w:val="nil"/>
              <w:left w:val="nil"/>
              <w:bottom w:val="nil"/>
              <w:right w:val="nil"/>
            </w:tcBorders>
            <w:shd w:val="clear" w:color="auto" w:fill="auto"/>
            <w:noWrap/>
            <w:vAlign w:val="bottom"/>
            <w:hideMark/>
          </w:tcPr>
          <w:p w14:paraId="3A7206FC"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3.08</w:t>
            </w:r>
          </w:p>
        </w:tc>
        <w:tc>
          <w:tcPr>
            <w:tcW w:w="424" w:type="dxa"/>
            <w:gridSpan w:val="6"/>
            <w:tcBorders>
              <w:top w:val="nil"/>
              <w:left w:val="nil"/>
              <w:bottom w:val="nil"/>
              <w:right w:val="nil"/>
            </w:tcBorders>
            <w:shd w:val="clear" w:color="auto" w:fill="auto"/>
            <w:noWrap/>
            <w:vAlign w:val="bottom"/>
            <w:hideMark/>
          </w:tcPr>
          <w:p w14:paraId="4382D3A1"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0CFD986A"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1.11</w:t>
            </w:r>
          </w:p>
        </w:tc>
        <w:tc>
          <w:tcPr>
            <w:tcW w:w="886" w:type="dxa"/>
            <w:gridSpan w:val="4"/>
            <w:tcBorders>
              <w:top w:val="nil"/>
              <w:left w:val="nil"/>
              <w:bottom w:val="nil"/>
              <w:right w:val="nil"/>
            </w:tcBorders>
            <w:shd w:val="clear" w:color="auto" w:fill="auto"/>
            <w:noWrap/>
            <w:vAlign w:val="bottom"/>
            <w:hideMark/>
          </w:tcPr>
          <w:p w14:paraId="77CCD49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3.05</w:t>
            </w:r>
          </w:p>
        </w:tc>
        <w:tc>
          <w:tcPr>
            <w:tcW w:w="236" w:type="dxa"/>
            <w:gridSpan w:val="5"/>
            <w:vAlign w:val="center"/>
            <w:hideMark/>
          </w:tcPr>
          <w:p w14:paraId="080402D7"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1CEDBA1D"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6709B35D"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7A32E5E7"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0DAAB712"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693DF372"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08B14851"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142FEE1F" w14:textId="77777777" w:rsidR="00C5012C" w:rsidRPr="003B7EA9" w:rsidRDefault="00C5012C" w:rsidP="00C5012C">
            <w:pPr>
              <w:spacing w:line="240" w:lineRule="auto"/>
              <w:ind w:firstLine="0"/>
              <w:jc w:val="left"/>
              <w:rPr>
                <w:sz w:val="20"/>
                <w:szCs w:val="20"/>
                <w:lang w:eastAsia="en-GB"/>
              </w:rPr>
            </w:pPr>
          </w:p>
        </w:tc>
      </w:tr>
      <w:tr w:rsidR="00FC17B1" w:rsidRPr="003B7EA9" w14:paraId="7C233270" w14:textId="77777777" w:rsidTr="00F55F69">
        <w:trPr>
          <w:trHeight w:val="20"/>
        </w:trPr>
        <w:tc>
          <w:tcPr>
            <w:tcW w:w="261" w:type="dxa"/>
            <w:tcBorders>
              <w:top w:val="nil"/>
              <w:left w:val="nil"/>
              <w:bottom w:val="nil"/>
              <w:right w:val="nil"/>
            </w:tcBorders>
            <w:shd w:val="clear" w:color="auto" w:fill="auto"/>
            <w:noWrap/>
            <w:vAlign w:val="bottom"/>
            <w:hideMark/>
          </w:tcPr>
          <w:p w14:paraId="527093BC"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43E080B1"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hall of residence</w:t>
            </w:r>
          </w:p>
        </w:tc>
        <w:tc>
          <w:tcPr>
            <w:tcW w:w="1103" w:type="dxa"/>
            <w:tcBorders>
              <w:top w:val="nil"/>
              <w:left w:val="nil"/>
              <w:bottom w:val="nil"/>
              <w:right w:val="nil"/>
            </w:tcBorders>
            <w:shd w:val="clear" w:color="auto" w:fill="auto"/>
            <w:noWrap/>
            <w:vAlign w:val="bottom"/>
            <w:hideMark/>
          </w:tcPr>
          <w:p w14:paraId="16B5E7A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1.99</w:t>
            </w:r>
          </w:p>
        </w:tc>
        <w:tc>
          <w:tcPr>
            <w:tcW w:w="886" w:type="dxa"/>
            <w:tcBorders>
              <w:top w:val="nil"/>
              <w:left w:val="nil"/>
              <w:bottom w:val="nil"/>
              <w:right w:val="nil"/>
            </w:tcBorders>
            <w:shd w:val="clear" w:color="auto" w:fill="auto"/>
            <w:noWrap/>
            <w:vAlign w:val="bottom"/>
            <w:hideMark/>
          </w:tcPr>
          <w:p w14:paraId="5B8409D1"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7.32</w:t>
            </w:r>
          </w:p>
        </w:tc>
        <w:tc>
          <w:tcPr>
            <w:tcW w:w="431" w:type="dxa"/>
            <w:gridSpan w:val="2"/>
            <w:tcBorders>
              <w:top w:val="nil"/>
              <w:left w:val="nil"/>
              <w:bottom w:val="nil"/>
              <w:right w:val="nil"/>
            </w:tcBorders>
            <w:shd w:val="clear" w:color="auto" w:fill="auto"/>
            <w:noWrap/>
            <w:vAlign w:val="bottom"/>
            <w:hideMark/>
          </w:tcPr>
          <w:p w14:paraId="73797A34"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16521095"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1.23</w:t>
            </w:r>
          </w:p>
        </w:tc>
        <w:tc>
          <w:tcPr>
            <w:tcW w:w="1281" w:type="dxa"/>
            <w:gridSpan w:val="5"/>
            <w:tcBorders>
              <w:top w:val="nil"/>
              <w:left w:val="nil"/>
              <w:bottom w:val="nil"/>
              <w:right w:val="nil"/>
            </w:tcBorders>
            <w:shd w:val="clear" w:color="auto" w:fill="auto"/>
            <w:noWrap/>
            <w:vAlign w:val="bottom"/>
            <w:hideMark/>
          </w:tcPr>
          <w:p w14:paraId="6552E8FC"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3.42</w:t>
            </w:r>
          </w:p>
        </w:tc>
        <w:tc>
          <w:tcPr>
            <w:tcW w:w="424" w:type="dxa"/>
            <w:gridSpan w:val="6"/>
            <w:tcBorders>
              <w:top w:val="nil"/>
              <w:left w:val="nil"/>
              <w:bottom w:val="nil"/>
              <w:right w:val="nil"/>
            </w:tcBorders>
            <w:shd w:val="clear" w:color="auto" w:fill="auto"/>
            <w:noWrap/>
            <w:vAlign w:val="bottom"/>
            <w:hideMark/>
          </w:tcPr>
          <w:p w14:paraId="38C108FA"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60823B35"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1.23</w:t>
            </w:r>
          </w:p>
        </w:tc>
        <w:tc>
          <w:tcPr>
            <w:tcW w:w="886" w:type="dxa"/>
            <w:gridSpan w:val="4"/>
            <w:tcBorders>
              <w:top w:val="nil"/>
              <w:left w:val="nil"/>
              <w:bottom w:val="nil"/>
              <w:right w:val="nil"/>
            </w:tcBorders>
            <w:shd w:val="clear" w:color="auto" w:fill="auto"/>
            <w:noWrap/>
            <w:vAlign w:val="bottom"/>
            <w:hideMark/>
          </w:tcPr>
          <w:p w14:paraId="7F2638AA"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3.42</w:t>
            </w:r>
          </w:p>
        </w:tc>
        <w:tc>
          <w:tcPr>
            <w:tcW w:w="236" w:type="dxa"/>
            <w:gridSpan w:val="5"/>
            <w:vAlign w:val="center"/>
            <w:hideMark/>
          </w:tcPr>
          <w:p w14:paraId="7858DED8"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046A05E0"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72700A29"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4F42B20B"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4CB52018"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5B9D193A"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34DD9E1D"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3507826C" w14:textId="77777777" w:rsidR="00C5012C" w:rsidRPr="003B7EA9" w:rsidRDefault="00C5012C" w:rsidP="00C5012C">
            <w:pPr>
              <w:spacing w:line="240" w:lineRule="auto"/>
              <w:ind w:firstLine="0"/>
              <w:jc w:val="left"/>
              <w:rPr>
                <w:sz w:val="20"/>
                <w:szCs w:val="20"/>
                <w:lang w:eastAsia="en-GB"/>
              </w:rPr>
            </w:pPr>
          </w:p>
        </w:tc>
      </w:tr>
      <w:tr w:rsidR="00FC17B1" w:rsidRPr="003B7EA9" w14:paraId="70145954" w14:textId="77777777" w:rsidTr="00F55F69">
        <w:trPr>
          <w:trHeight w:val="20"/>
        </w:trPr>
        <w:tc>
          <w:tcPr>
            <w:tcW w:w="261" w:type="dxa"/>
            <w:tcBorders>
              <w:top w:val="nil"/>
              <w:left w:val="nil"/>
              <w:bottom w:val="single" w:sz="4" w:space="0" w:color="auto"/>
              <w:right w:val="nil"/>
            </w:tcBorders>
            <w:shd w:val="clear" w:color="auto" w:fill="auto"/>
            <w:noWrap/>
            <w:vAlign w:val="bottom"/>
            <w:hideMark/>
          </w:tcPr>
          <w:p w14:paraId="6D52DE48"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 </w:t>
            </w:r>
          </w:p>
        </w:tc>
        <w:tc>
          <w:tcPr>
            <w:tcW w:w="3016" w:type="dxa"/>
            <w:tcBorders>
              <w:top w:val="nil"/>
              <w:left w:val="nil"/>
              <w:bottom w:val="single" w:sz="4" w:space="0" w:color="auto"/>
              <w:right w:val="nil"/>
            </w:tcBorders>
            <w:shd w:val="clear" w:color="auto" w:fill="auto"/>
            <w:noWrap/>
            <w:vAlign w:val="bottom"/>
            <w:hideMark/>
          </w:tcPr>
          <w:p w14:paraId="1F266A11"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other communal establishment</w:t>
            </w:r>
          </w:p>
        </w:tc>
        <w:tc>
          <w:tcPr>
            <w:tcW w:w="1103" w:type="dxa"/>
            <w:tcBorders>
              <w:top w:val="nil"/>
              <w:left w:val="nil"/>
              <w:bottom w:val="single" w:sz="4" w:space="0" w:color="auto"/>
              <w:right w:val="nil"/>
            </w:tcBorders>
            <w:shd w:val="clear" w:color="auto" w:fill="auto"/>
            <w:noWrap/>
            <w:vAlign w:val="bottom"/>
            <w:hideMark/>
          </w:tcPr>
          <w:p w14:paraId="1FBFD609"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2.01</w:t>
            </w:r>
          </w:p>
        </w:tc>
        <w:tc>
          <w:tcPr>
            <w:tcW w:w="886" w:type="dxa"/>
            <w:tcBorders>
              <w:top w:val="nil"/>
              <w:left w:val="nil"/>
              <w:bottom w:val="single" w:sz="4" w:space="0" w:color="auto"/>
              <w:right w:val="nil"/>
            </w:tcBorders>
            <w:shd w:val="clear" w:color="auto" w:fill="auto"/>
            <w:noWrap/>
            <w:vAlign w:val="bottom"/>
            <w:hideMark/>
          </w:tcPr>
          <w:p w14:paraId="1D82D22A"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7.45</w:t>
            </w:r>
          </w:p>
        </w:tc>
        <w:tc>
          <w:tcPr>
            <w:tcW w:w="431" w:type="dxa"/>
            <w:gridSpan w:val="2"/>
            <w:tcBorders>
              <w:top w:val="nil"/>
              <w:left w:val="nil"/>
              <w:bottom w:val="nil"/>
              <w:right w:val="nil"/>
            </w:tcBorders>
            <w:shd w:val="clear" w:color="auto" w:fill="auto"/>
            <w:noWrap/>
            <w:vAlign w:val="bottom"/>
            <w:hideMark/>
          </w:tcPr>
          <w:p w14:paraId="3EC56641"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single" w:sz="4" w:space="0" w:color="auto"/>
              <w:right w:val="nil"/>
            </w:tcBorders>
            <w:shd w:val="clear" w:color="auto" w:fill="auto"/>
            <w:noWrap/>
            <w:vAlign w:val="bottom"/>
            <w:hideMark/>
          </w:tcPr>
          <w:p w14:paraId="35F0B304"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1.45</w:t>
            </w:r>
          </w:p>
        </w:tc>
        <w:tc>
          <w:tcPr>
            <w:tcW w:w="1281" w:type="dxa"/>
            <w:gridSpan w:val="5"/>
            <w:tcBorders>
              <w:top w:val="nil"/>
              <w:left w:val="nil"/>
              <w:bottom w:val="single" w:sz="4" w:space="0" w:color="auto"/>
              <w:right w:val="nil"/>
            </w:tcBorders>
            <w:shd w:val="clear" w:color="auto" w:fill="auto"/>
            <w:noWrap/>
            <w:vAlign w:val="bottom"/>
            <w:hideMark/>
          </w:tcPr>
          <w:p w14:paraId="6E106D67"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4.25</w:t>
            </w:r>
          </w:p>
        </w:tc>
        <w:tc>
          <w:tcPr>
            <w:tcW w:w="424" w:type="dxa"/>
            <w:gridSpan w:val="6"/>
            <w:tcBorders>
              <w:top w:val="nil"/>
              <w:left w:val="nil"/>
              <w:bottom w:val="nil"/>
              <w:right w:val="nil"/>
            </w:tcBorders>
            <w:shd w:val="clear" w:color="auto" w:fill="auto"/>
            <w:noWrap/>
            <w:vAlign w:val="bottom"/>
            <w:hideMark/>
          </w:tcPr>
          <w:p w14:paraId="0741F72A"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single" w:sz="4" w:space="0" w:color="auto"/>
              <w:right w:val="nil"/>
            </w:tcBorders>
            <w:shd w:val="clear" w:color="auto" w:fill="auto"/>
            <w:noWrap/>
            <w:vAlign w:val="bottom"/>
            <w:hideMark/>
          </w:tcPr>
          <w:p w14:paraId="08B3CB92"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1.45</w:t>
            </w:r>
          </w:p>
        </w:tc>
        <w:tc>
          <w:tcPr>
            <w:tcW w:w="886" w:type="dxa"/>
            <w:gridSpan w:val="4"/>
            <w:tcBorders>
              <w:top w:val="nil"/>
              <w:left w:val="nil"/>
              <w:bottom w:val="single" w:sz="4" w:space="0" w:color="auto"/>
              <w:right w:val="nil"/>
            </w:tcBorders>
            <w:shd w:val="clear" w:color="auto" w:fill="auto"/>
            <w:noWrap/>
            <w:vAlign w:val="bottom"/>
            <w:hideMark/>
          </w:tcPr>
          <w:p w14:paraId="74955430"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4.28</w:t>
            </w:r>
          </w:p>
        </w:tc>
        <w:tc>
          <w:tcPr>
            <w:tcW w:w="236" w:type="dxa"/>
            <w:gridSpan w:val="5"/>
            <w:vAlign w:val="center"/>
            <w:hideMark/>
          </w:tcPr>
          <w:p w14:paraId="1FCB9F77"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61B14C9B"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69D4AEDF"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1F4595AD"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4B8BE091"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503308E5"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50E91A73"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19A87EC7" w14:textId="77777777" w:rsidR="00C5012C" w:rsidRPr="003B7EA9" w:rsidRDefault="00C5012C" w:rsidP="00C5012C">
            <w:pPr>
              <w:spacing w:line="240" w:lineRule="auto"/>
              <w:ind w:firstLine="0"/>
              <w:jc w:val="left"/>
              <w:rPr>
                <w:sz w:val="20"/>
                <w:szCs w:val="20"/>
                <w:lang w:eastAsia="en-GB"/>
              </w:rPr>
            </w:pPr>
          </w:p>
        </w:tc>
      </w:tr>
      <w:tr w:rsidR="00FC17B1" w:rsidRPr="003B7EA9" w14:paraId="0CB29658" w14:textId="77777777" w:rsidTr="00F55F69">
        <w:trPr>
          <w:gridAfter w:val="8"/>
          <w:wAfter w:w="929" w:type="dxa"/>
          <w:trHeight w:val="20"/>
        </w:trPr>
        <w:tc>
          <w:tcPr>
            <w:tcW w:w="8367" w:type="dxa"/>
            <w:gridSpan w:val="17"/>
            <w:tcBorders>
              <w:top w:val="nil"/>
              <w:left w:val="nil"/>
              <w:bottom w:val="nil"/>
              <w:right w:val="nil"/>
            </w:tcBorders>
            <w:shd w:val="clear" w:color="auto" w:fill="auto"/>
            <w:noWrap/>
            <w:vAlign w:val="bottom"/>
            <w:hideMark/>
          </w:tcPr>
          <w:p w14:paraId="57B3DED4" w14:textId="5F8CE8E2" w:rsidR="00C5012C" w:rsidRPr="003B7EA9" w:rsidRDefault="00502A2C" w:rsidP="00C5012C">
            <w:pPr>
              <w:spacing w:line="240" w:lineRule="auto"/>
              <w:ind w:firstLine="0"/>
              <w:jc w:val="left"/>
              <w:rPr>
                <w:color w:val="000000"/>
                <w:sz w:val="18"/>
                <w:szCs w:val="18"/>
                <w:lang w:eastAsia="en-GB"/>
              </w:rPr>
            </w:pPr>
            <w:r>
              <w:rPr>
                <w:color w:val="000000"/>
                <w:sz w:val="18"/>
                <w:szCs w:val="18"/>
                <w:lang w:eastAsia="en-GB"/>
              </w:rPr>
              <w:t>Family m</w:t>
            </w:r>
            <w:r w:rsidR="00C5012C" w:rsidRPr="003B7EA9">
              <w:rPr>
                <w:color w:val="000000"/>
                <w:sz w:val="18"/>
                <w:szCs w:val="18"/>
                <w:lang w:eastAsia="en-GB"/>
              </w:rPr>
              <w:t>ix (reference: 2+ dependent children, youngest aged 0-9)</w:t>
            </w:r>
          </w:p>
        </w:tc>
        <w:tc>
          <w:tcPr>
            <w:tcW w:w="643" w:type="dxa"/>
            <w:gridSpan w:val="5"/>
            <w:tcBorders>
              <w:top w:val="nil"/>
              <w:left w:val="nil"/>
              <w:bottom w:val="nil"/>
              <w:right w:val="nil"/>
            </w:tcBorders>
            <w:shd w:val="clear" w:color="auto" w:fill="auto"/>
            <w:noWrap/>
            <w:vAlign w:val="bottom"/>
            <w:hideMark/>
          </w:tcPr>
          <w:p w14:paraId="2A7859D6" w14:textId="77777777" w:rsidR="00C5012C" w:rsidRPr="003B7EA9" w:rsidRDefault="00C5012C" w:rsidP="00C5012C">
            <w:pPr>
              <w:spacing w:line="240" w:lineRule="auto"/>
              <w:ind w:firstLine="0"/>
              <w:jc w:val="center"/>
              <w:rPr>
                <w:rFonts w:ascii="Calibri" w:hAnsi="Calibri"/>
                <w:color w:val="000000"/>
                <w:sz w:val="22"/>
                <w:szCs w:val="22"/>
                <w:lang w:eastAsia="en-GB"/>
              </w:rPr>
            </w:pPr>
          </w:p>
        </w:tc>
        <w:tc>
          <w:tcPr>
            <w:tcW w:w="278" w:type="dxa"/>
            <w:tcBorders>
              <w:top w:val="nil"/>
              <w:left w:val="nil"/>
              <w:bottom w:val="nil"/>
              <w:right w:val="nil"/>
            </w:tcBorders>
            <w:shd w:val="clear" w:color="auto" w:fill="auto"/>
            <w:noWrap/>
            <w:vAlign w:val="bottom"/>
            <w:hideMark/>
          </w:tcPr>
          <w:p w14:paraId="661B3304" w14:textId="77777777" w:rsidR="00C5012C" w:rsidRPr="003B7EA9" w:rsidRDefault="00C5012C" w:rsidP="00C5012C">
            <w:pPr>
              <w:spacing w:line="240" w:lineRule="auto"/>
              <w:ind w:firstLine="0"/>
              <w:jc w:val="center"/>
              <w:rPr>
                <w:rFonts w:ascii="Calibri" w:hAnsi="Calibri"/>
                <w:color w:val="000000"/>
                <w:sz w:val="22"/>
                <w:szCs w:val="22"/>
                <w:lang w:eastAsia="en-GB"/>
              </w:rPr>
            </w:pPr>
          </w:p>
        </w:tc>
        <w:tc>
          <w:tcPr>
            <w:tcW w:w="376" w:type="dxa"/>
            <w:gridSpan w:val="4"/>
            <w:tcBorders>
              <w:top w:val="nil"/>
              <w:left w:val="nil"/>
              <w:bottom w:val="nil"/>
              <w:right w:val="nil"/>
            </w:tcBorders>
            <w:shd w:val="clear" w:color="auto" w:fill="auto"/>
            <w:noWrap/>
            <w:vAlign w:val="bottom"/>
            <w:hideMark/>
          </w:tcPr>
          <w:p w14:paraId="3C811D36" w14:textId="77777777" w:rsidR="00C5012C" w:rsidRPr="003B7EA9" w:rsidRDefault="00C5012C" w:rsidP="00C5012C">
            <w:pPr>
              <w:spacing w:line="240" w:lineRule="auto"/>
              <w:ind w:firstLine="0"/>
              <w:jc w:val="center"/>
              <w:rPr>
                <w:rFonts w:ascii="Calibri" w:hAnsi="Calibri"/>
                <w:color w:val="000000"/>
                <w:sz w:val="22"/>
                <w:szCs w:val="22"/>
                <w:lang w:eastAsia="en-GB"/>
              </w:rPr>
            </w:pPr>
          </w:p>
        </w:tc>
        <w:tc>
          <w:tcPr>
            <w:tcW w:w="1936" w:type="dxa"/>
            <w:gridSpan w:val="13"/>
            <w:tcBorders>
              <w:top w:val="nil"/>
              <w:left w:val="nil"/>
              <w:bottom w:val="nil"/>
              <w:right w:val="nil"/>
            </w:tcBorders>
            <w:shd w:val="clear" w:color="auto" w:fill="auto"/>
            <w:noWrap/>
            <w:vAlign w:val="bottom"/>
            <w:hideMark/>
          </w:tcPr>
          <w:p w14:paraId="404A64A7" w14:textId="77777777" w:rsidR="00C5012C" w:rsidRPr="003B7EA9" w:rsidRDefault="00C5012C" w:rsidP="00C5012C">
            <w:pPr>
              <w:spacing w:line="240" w:lineRule="auto"/>
              <w:ind w:firstLine="0"/>
              <w:jc w:val="center"/>
              <w:rPr>
                <w:rFonts w:ascii="Calibri" w:hAnsi="Calibri"/>
                <w:color w:val="000000"/>
                <w:sz w:val="22"/>
                <w:szCs w:val="22"/>
                <w:lang w:eastAsia="en-GB"/>
              </w:rPr>
            </w:pPr>
          </w:p>
        </w:tc>
        <w:tc>
          <w:tcPr>
            <w:tcW w:w="222" w:type="dxa"/>
            <w:gridSpan w:val="3"/>
            <w:tcBorders>
              <w:top w:val="nil"/>
              <w:left w:val="nil"/>
              <w:bottom w:val="nil"/>
              <w:right w:val="nil"/>
            </w:tcBorders>
            <w:shd w:val="clear" w:color="auto" w:fill="auto"/>
            <w:noWrap/>
            <w:vAlign w:val="bottom"/>
            <w:hideMark/>
          </w:tcPr>
          <w:p w14:paraId="010431D0" w14:textId="77777777" w:rsidR="00C5012C" w:rsidRPr="003B7EA9" w:rsidRDefault="00C5012C" w:rsidP="00C5012C">
            <w:pPr>
              <w:spacing w:line="240" w:lineRule="auto"/>
              <w:ind w:firstLine="0"/>
              <w:jc w:val="center"/>
              <w:rPr>
                <w:rFonts w:ascii="Calibri" w:hAnsi="Calibri"/>
                <w:color w:val="000000"/>
                <w:sz w:val="22"/>
                <w:szCs w:val="22"/>
                <w:lang w:eastAsia="en-GB"/>
              </w:rPr>
            </w:pPr>
          </w:p>
        </w:tc>
        <w:tc>
          <w:tcPr>
            <w:tcW w:w="1051" w:type="dxa"/>
            <w:gridSpan w:val="7"/>
            <w:vAlign w:val="center"/>
            <w:hideMark/>
          </w:tcPr>
          <w:p w14:paraId="18F7B58F"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71FCDCE1" w14:textId="77777777" w:rsidR="00C5012C" w:rsidRPr="003B7EA9" w:rsidRDefault="00C5012C" w:rsidP="00C5012C">
            <w:pPr>
              <w:spacing w:line="240" w:lineRule="auto"/>
              <w:ind w:firstLine="0"/>
              <w:jc w:val="left"/>
              <w:rPr>
                <w:sz w:val="20"/>
                <w:szCs w:val="20"/>
                <w:lang w:eastAsia="en-GB"/>
              </w:rPr>
            </w:pPr>
          </w:p>
        </w:tc>
      </w:tr>
      <w:tr w:rsidR="00FC17B1" w:rsidRPr="003B7EA9" w14:paraId="37579C9A" w14:textId="77777777" w:rsidTr="00F55F69">
        <w:trPr>
          <w:trHeight w:val="20"/>
        </w:trPr>
        <w:tc>
          <w:tcPr>
            <w:tcW w:w="261" w:type="dxa"/>
            <w:tcBorders>
              <w:top w:val="nil"/>
              <w:left w:val="nil"/>
              <w:bottom w:val="nil"/>
              <w:right w:val="nil"/>
            </w:tcBorders>
            <w:shd w:val="clear" w:color="auto" w:fill="auto"/>
            <w:noWrap/>
            <w:vAlign w:val="bottom"/>
            <w:hideMark/>
          </w:tcPr>
          <w:p w14:paraId="3A3E6DBC"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08048EE1"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no dependent children</w:t>
            </w:r>
          </w:p>
        </w:tc>
        <w:tc>
          <w:tcPr>
            <w:tcW w:w="1103" w:type="dxa"/>
            <w:tcBorders>
              <w:top w:val="nil"/>
              <w:left w:val="nil"/>
              <w:bottom w:val="nil"/>
              <w:right w:val="nil"/>
            </w:tcBorders>
            <w:shd w:val="clear" w:color="auto" w:fill="auto"/>
            <w:noWrap/>
            <w:vAlign w:val="bottom"/>
            <w:hideMark/>
          </w:tcPr>
          <w:p w14:paraId="31EA0F74"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7B5F9414"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1CC0B349"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27AAC047"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0.33</w:t>
            </w:r>
          </w:p>
        </w:tc>
        <w:tc>
          <w:tcPr>
            <w:tcW w:w="1281" w:type="dxa"/>
            <w:gridSpan w:val="5"/>
            <w:tcBorders>
              <w:top w:val="nil"/>
              <w:left w:val="nil"/>
              <w:bottom w:val="nil"/>
              <w:right w:val="nil"/>
            </w:tcBorders>
            <w:shd w:val="clear" w:color="auto" w:fill="auto"/>
            <w:noWrap/>
            <w:vAlign w:val="bottom"/>
            <w:hideMark/>
          </w:tcPr>
          <w:p w14:paraId="5C9F2594"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1.38</w:t>
            </w:r>
          </w:p>
        </w:tc>
        <w:tc>
          <w:tcPr>
            <w:tcW w:w="424" w:type="dxa"/>
            <w:gridSpan w:val="6"/>
            <w:tcBorders>
              <w:top w:val="nil"/>
              <w:left w:val="nil"/>
              <w:bottom w:val="nil"/>
              <w:right w:val="nil"/>
            </w:tcBorders>
            <w:shd w:val="clear" w:color="auto" w:fill="auto"/>
            <w:noWrap/>
            <w:vAlign w:val="bottom"/>
            <w:hideMark/>
          </w:tcPr>
          <w:p w14:paraId="60718B09"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7EEFC42A"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0.32</w:t>
            </w:r>
          </w:p>
        </w:tc>
        <w:tc>
          <w:tcPr>
            <w:tcW w:w="886" w:type="dxa"/>
            <w:gridSpan w:val="4"/>
            <w:tcBorders>
              <w:top w:val="nil"/>
              <w:left w:val="nil"/>
              <w:bottom w:val="nil"/>
              <w:right w:val="nil"/>
            </w:tcBorders>
            <w:shd w:val="clear" w:color="auto" w:fill="auto"/>
            <w:noWrap/>
            <w:vAlign w:val="bottom"/>
            <w:hideMark/>
          </w:tcPr>
          <w:p w14:paraId="4F456EA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1.37</w:t>
            </w:r>
          </w:p>
        </w:tc>
        <w:tc>
          <w:tcPr>
            <w:tcW w:w="236" w:type="dxa"/>
            <w:gridSpan w:val="5"/>
            <w:vAlign w:val="center"/>
            <w:hideMark/>
          </w:tcPr>
          <w:p w14:paraId="35B3C095"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4BEFF6E2"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4FDF2560"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3EA9B595"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0FA7E994"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37B87B14"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3B567D77"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001817D9" w14:textId="77777777" w:rsidR="00C5012C" w:rsidRPr="003B7EA9" w:rsidRDefault="00C5012C" w:rsidP="00C5012C">
            <w:pPr>
              <w:spacing w:line="240" w:lineRule="auto"/>
              <w:ind w:firstLine="0"/>
              <w:jc w:val="left"/>
              <w:rPr>
                <w:sz w:val="20"/>
                <w:szCs w:val="20"/>
                <w:lang w:eastAsia="en-GB"/>
              </w:rPr>
            </w:pPr>
          </w:p>
        </w:tc>
      </w:tr>
      <w:tr w:rsidR="00FC17B1" w:rsidRPr="003B7EA9" w14:paraId="37136E4D" w14:textId="77777777" w:rsidTr="00F55F69">
        <w:trPr>
          <w:trHeight w:val="20"/>
        </w:trPr>
        <w:tc>
          <w:tcPr>
            <w:tcW w:w="261" w:type="dxa"/>
            <w:tcBorders>
              <w:top w:val="nil"/>
              <w:left w:val="nil"/>
              <w:bottom w:val="nil"/>
              <w:right w:val="nil"/>
            </w:tcBorders>
            <w:shd w:val="clear" w:color="auto" w:fill="auto"/>
            <w:noWrap/>
            <w:vAlign w:val="bottom"/>
            <w:hideMark/>
          </w:tcPr>
          <w:p w14:paraId="371F7F56"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4E64E0FB"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1 dependent child age 0-9</w:t>
            </w:r>
          </w:p>
        </w:tc>
        <w:tc>
          <w:tcPr>
            <w:tcW w:w="1103" w:type="dxa"/>
            <w:tcBorders>
              <w:top w:val="nil"/>
              <w:left w:val="nil"/>
              <w:bottom w:val="nil"/>
              <w:right w:val="nil"/>
            </w:tcBorders>
            <w:shd w:val="clear" w:color="auto" w:fill="auto"/>
            <w:noWrap/>
            <w:vAlign w:val="bottom"/>
            <w:hideMark/>
          </w:tcPr>
          <w:p w14:paraId="0F17D5C1"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206FF50D"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0218C673"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0B81CB46"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0.29</w:t>
            </w:r>
          </w:p>
        </w:tc>
        <w:tc>
          <w:tcPr>
            <w:tcW w:w="1281" w:type="dxa"/>
            <w:gridSpan w:val="5"/>
            <w:tcBorders>
              <w:top w:val="nil"/>
              <w:left w:val="nil"/>
              <w:bottom w:val="nil"/>
              <w:right w:val="nil"/>
            </w:tcBorders>
            <w:shd w:val="clear" w:color="auto" w:fill="auto"/>
            <w:noWrap/>
            <w:vAlign w:val="bottom"/>
            <w:hideMark/>
          </w:tcPr>
          <w:p w14:paraId="0D5FF754"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1.33</w:t>
            </w:r>
          </w:p>
        </w:tc>
        <w:tc>
          <w:tcPr>
            <w:tcW w:w="424" w:type="dxa"/>
            <w:gridSpan w:val="6"/>
            <w:tcBorders>
              <w:top w:val="nil"/>
              <w:left w:val="nil"/>
              <w:bottom w:val="nil"/>
              <w:right w:val="nil"/>
            </w:tcBorders>
            <w:shd w:val="clear" w:color="auto" w:fill="auto"/>
            <w:noWrap/>
            <w:vAlign w:val="bottom"/>
            <w:hideMark/>
          </w:tcPr>
          <w:p w14:paraId="35A01325"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590B4187"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0.28</w:t>
            </w:r>
          </w:p>
        </w:tc>
        <w:tc>
          <w:tcPr>
            <w:tcW w:w="886" w:type="dxa"/>
            <w:gridSpan w:val="4"/>
            <w:tcBorders>
              <w:top w:val="nil"/>
              <w:left w:val="nil"/>
              <w:bottom w:val="nil"/>
              <w:right w:val="nil"/>
            </w:tcBorders>
            <w:shd w:val="clear" w:color="auto" w:fill="auto"/>
            <w:noWrap/>
            <w:vAlign w:val="bottom"/>
            <w:hideMark/>
          </w:tcPr>
          <w:p w14:paraId="1FDDBA6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1.33</w:t>
            </w:r>
          </w:p>
        </w:tc>
        <w:tc>
          <w:tcPr>
            <w:tcW w:w="236" w:type="dxa"/>
            <w:gridSpan w:val="5"/>
            <w:vAlign w:val="center"/>
            <w:hideMark/>
          </w:tcPr>
          <w:p w14:paraId="1845AE08"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443238DB"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55BBFC21"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27C45E46"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33616691"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3AA898ED"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70FF842D"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157EA883" w14:textId="77777777" w:rsidR="00C5012C" w:rsidRPr="003B7EA9" w:rsidRDefault="00C5012C" w:rsidP="00C5012C">
            <w:pPr>
              <w:spacing w:line="240" w:lineRule="auto"/>
              <w:ind w:firstLine="0"/>
              <w:jc w:val="left"/>
              <w:rPr>
                <w:sz w:val="20"/>
                <w:szCs w:val="20"/>
                <w:lang w:eastAsia="en-GB"/>
              </w:rPr>
            </w:pPr>
          </w:p>
        </w:tc>
      </w:tr>
      <w:tr w:rsidR="00FC17B1" w:rsidRPr="003B7EA9" w14:paraId="156AD5BE" w14:textId="77777777" w:rsidTr="00F55F69">
        <w:trPr>
          <w:trHeight w:val="20"/>
        </w:trPr>
        <w:tc>
          <w:tcPr>
            <w:tcW w:w="261" w:type="dxa"/>
            <w:tcBorders>
              <w:top w:val="nil"/>
              <w:left w:val="nil"/>
              <w:bottom w:val="nil"/>
              <w:right w:val="nil"/>
            </w:tcBorders>
            <w:shd w:val="clear" w:color="auto" w:fill="auto"/>
            <w:noWrap/>
            <w:vAlign w:val="bottom"/>
            <w:hideMark/>
          </w:tcPr>
          <w:p w14:paraId="7F7B4919"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37B04F13"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1 dependent child age 10-18</w:t>
            </w:r>
          </w:p>
        </w:tc>
        <w:tc>
          <w:tcPr>
            <w:tcW w:w="1103" w:type="dxa"/>
            <w:tcBorders>
              <w:top w:val="nil"/>
              <w:left w:val="nil"/>
              <w:bottom w:val="nil"/>
              <w:right w:val="nil"/>
            </w:tcBorders>
            <w:shd w:val="clear" w:color="auto" w:fill="auto"/>
            <w:noWrap/>
            <w:vAlign w:val="bottom"/>
            <w:hideMark/>
          </w:tcPr>
          <w:p w14:paraId="01D663A6"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18B97F52"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1F56201F"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461AF9A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-0.08</w:t>
            </w:r>
          </w:p>
        </w:tc>
        <w:tc>
          <w:tcPr>
            <w:tcW w:w="1281" w:type="dxa"/>
            <w:gridSpan w:val="5"/>
            <w:tcBorders>
              <w:top w:val="nil"/>
              <w:left w:val="nil"/>
              <w:bottom w:val="nil"/>
              <w:right w:val="nil"/>
            </w:tcBorders>
            <w:shd w:val="clear" w:color="auto" w:fill="auto"/>
            <w:noWrap/>
            <w:vAlign w:val="bottom"/>
            <w:hideMark/>
          </w:tcPr>
          <w:p w14:paraId="13E7BAC8"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0.93</w:t>
            </w:r>
          </w:p>
        </w:tc>
        <w:tc>
          <w:tcPr>
            <w:tcW w:w="424" w:type="dxa"/>
            <w:gridSpan w:val="6"/>
            <w:tcBorders>
              <w:top w:val="nil"/>
              <w:left w:val="nil"/>
              <w:bottom w:val="nil"/>
              <w:right w:val="nil"/>
            </w:tcBorders>
            <w:shd w:val="clear" w:color="auto" w:fill="auto"/>
            <w:noWrap/>
            <w:vAlign w:val="bottom"/>
            <w:hideMark/>
          </w:tcPr>
          <w:p w14:paraId="3BF558F5"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4E6281B9"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-0.08</w:t>
            </w:r>
          </w:p>
        </w:tc>
        <w:tc>
          <w:tcPr>
            <w:tcW w:w="886" w:type="dxa"/>
            <w:gridSpan w:val="4"/>
            <w:tcBorders>
              <w:top w:val="nil"/>
              <w:left w:val="nil"/>
              <w:bottom w:val="nil"/>
              <w:right w:val="nil"/>
            </w:tcBorders>
            <w:shd w:val="clear" w:color="auto" w:fill="auto"/>
            <w:noWrap/>
            <w:vAlign w:val="bottom"/>
            <w:hideMark/>
          </w:tcPr>
          <w:p w14:paraId="3417846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0.93</w:t>
            </w:r>
          </w:p>
        </w:tc>
        <w:tc>
          <w:tcPr>
            <w:tcW w:w="236" w:type="dxa"/>
            <w:gridSpan w:val="5"/>
            <w:vAlign w:val="center"/>
            <w:hideMark/>
          </w:tcPr>
          <w:p w14:paraId="05402ADC"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09B8E48F"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152502FD"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47F070DD"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6E2696AA"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596EE36E"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0E17CD8D"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423564DA" w14:textId="77777777" w:rsidR="00C5012C" w:rsidRPr="003B7EA9" w:rsidRDefault="00C5012C" w:rsidP="00C5012C">
            <w:pPr>
              <w:spacing w:line="240" w:lineRule="auto"/>
              <w:ind w:firstLine="0"/>
              <w:jc w:val="left"/>
              <w:rPr>
                <w:sz w:val="20"/>
                <w:szCs w:val="20"/>
                <w:lang w:eastAsia="en-GB"/>
              </w:rPr>
            </w:pPr>
          </w:p>
        </w:tc>
      </w:tr>
      <w:tr w:rsidR="00FC17B1" w:rsidRPr="003B7EA9" w14:paraId="09F9EF30" w14:textId="77777777" w:rsidTr="00F55F69">
        <w:trPr>
          <w:trHeight w:val="20"/>
        </w:trPr>
        <w:tc>
          <w:tcPr>
            <w:tcW w:w="261" w:type="dxa"/>
            <w:tcBorders>
              <w:top w:val="nil"/>
              <w:left w:val="nil"/>
              <w:bottom w:val="nil"/>
              <w:right w:val="nil"/>
            </w:tcBorders>
            <w:shd w:val="clear" w:color="auto" w:fill="auto"/>
            <w:noWrap/>
            <w:vAlign w:val="bottom"/>
            <w:hideMark/>
          </w:tcPr>
          <w:p w14:paraId="3E9685A2"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2F9166C1"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 xml:space="preserve">2+ </w:t>
            </w:r>
            <w:proofErr w:type="spellStart"/>
            <w:r w:rsidRPr="003B7EA9">
              <w:rPr>
                <w:color w:val="000000"/>
                <w:sz w:val="18"/>
                <w:szCs w:val="18"/>
                <w:lang w:eastAsia="en-GB"/>
              </w:rPr>
              <w:t>dep</w:t>
            </w:r>
            <w:proofErr w:type="spellEnd"/>
            <w:r w:rsidRPr="003B7EA9">
              <w:rPr>
                <w:color w:val="000000"/>
                <w:sz w:val="18"/>
                <w:szCs w:val="18"/>
                <w:lang w:eastAsia="en-GB"/>
              </w:rPr>
              <w:t xml:space="preserve"> children youngest 10-18</w:t>
            </w:r>
          </w:p>
        </w:tc>
        <w:tc>
          <w:tcPr>
            <w:tcW w:w="1103" w:type="dxa"/>
            <w:tcBorders>
              <w:top w:val="nil"/>
              <w:left w:val="nil"/>
              <w:bottom w:val="nil"/>
              <w:right w:val="nil"/>
            </w:tcBorders>
            <w:shd w:val="clear" w:color="auto" w:fill="auto"/>
            <w:noWrap/>
            <w:vAlign w:val="bottom"/>
            <w:hideMark/>
          </w:tcPr>
          <w:p w14:paraId="781FB7DA"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73DD19CF"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0433FE88"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59B86346"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-0.28</w:t>
            </w:r>
          </w:p>
        </w:tc>
        <w:tc>
          <w:tcPr>
            <w:tcW w:w="1281" w:type="dxa"/>
            <w:gridSpan w:val="5"/>
            <w:tcBorders>
              <w:top w:val="nil"/>
              <w:left w:val="nil"/>
              <w:bottom w:val="nil"/>
              <w:right w:val="nil"/>
            </w:tcBorders>
            <w:shd w:val="clear" w:color="auto" w:fill="auto"/>
            <w:noWrap/>
            <w:vAlign w:val="bottom"/>
            <w:hideMark/>
          </w:tcPr>
          <w:p w14:paraId="11C5534B"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0.76</w:t>
            </w:r>
          </w:p>
        </w:tc>
        <w:tc>
          <w:tcPr>
            <w:tcW w:w="424" w:type="dxa"/>
            <w:gridSpan w:val="6"/>
            <w:tcBorders>
              <w:top w:val="nil"/>
              <w:left w:val="nil"/>
              <w:bottom w:val="nil"/>
              <w:right w:val="nil"/>
            </w:tcBorders>
            <w:shd w:val="clear" w:color="auto" w:fill="auto"/>
            <w:noWrap/>
            <w:vAlign w:val="bottom"/>
            <w:hideMark/>
          </w:tcPr>
          <w:p w14:paraId="5A191612"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0F70A8BA"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-0.28</w:t>
            </w:r>
          </w:p>
        </w:tc>
        <w:tc>
          <w:tcPr>
            <w:tcW w:w="886" w:type="dxa"/>
            <w:gridSpan w:val="4"/>
            <w:tcBorders>
              <w:top w:val="nil"/>
              <w:left w:val="nil"/>
              <w:bottom w:val="nil"/>
              <w:right w:val="nil"/>
            </w:tcBorders>
            <w:shd w:val="clear" w:color="auto" w:fill="auto"/>
            <w:noWrap/>
            <w:vAlign w:val="bottom"/>
            <w:hideMark/>
          </w:tcPr>
          <w:p w14:paraId="7005A888"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0.76</w:t>
            </w:r>
          </w:p>
        </w:tc>
        <w:tc>
          <w:tcPr>
            <w:tcW w:w="236" w:type="dxa"/>
            <w:gridSpan w:val="5"/>
            <w:vAlign w:val="center"/>
            <w:hideMark/>
          </w:tcPr>
          <w:p w14:paraId="241F55C1"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6129999D"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13F70756"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06E125EB"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06785A47"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522C0838"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7E442F8C"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18E0FA95" w14:textId="77777777" w:rsidR="00C5012C" w:rsidRPr="003B7EA9" w:rsidRDefault="00C5012C" w:rsidP="00C5012C">
            <w:pPr>
              <w:spacing w:line="240" w:lineRule="auto"/>
              <w:ind w:firstLine="0"/>
              <w:jc w:val="left"/>
              <w:rPr>
                <w:sz w:val="20"/>
                <w:szCs w:val="20"/>
                <w:lang w:eastAsia="en-GB"/>
              </w:rPr>
            </w:pPr>
          </w:p>
        </w:tc>
      </w:tr>
      <w:tr w:rsidR="00FC17B1" w:rsidRPr="003B7EA9" w14:paraId="302C1AF1" w14:textId="77777777" w:rsidTr="00F55F69">
        <w:trPr>
          <w:trHeight w:val="20"/>
        </w:trPr>
        <w:tc>
          <w:tcPr>
            <w:tcW w:w="261" w:type="dxa"/>
            <w:tcBorders>
              <w:top w:val="nil"/>
              <w:left w:val="nil"/>
              <w:bottom w:val="nil"/>
              <w:right w:val="nil"/>
            </w:tcBorders>
            <w:shd w:val="clear" w:color="auto" w:fill="auto"/>
            <w:noWrap/>
            <w:vAlign w:val="bottom"/>
            <w:hideMark/>
          </w:tcPr>
          <w:p w14:paraId="5459BBBC"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1183F716"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not living in a family</w:t>
            </w:r>
          </w:p>
        </w:tc>
        <w:tc>
          <w:tcPr>
            <w:tcW w:w="1103" w:type="dxa"/>
            <w:tcBorders>
              <w:top w:val="nil"/>
              <w:left w:val="nil"/>
              <w:bottom w:val="nil"/>
              <w:right w:val="nil"/>
            </w:tcBorders>
            <w:shd w:val="clear" w:color="auto" w:fill="auto"/>
            <w:noWrap/>
            <w:vAlign w:val="bottom"/>
            <w:hideMark/>
          </w:tcPr>
          <w:p w14:paraId="0EAACE07"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49AE9D83"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4ADD828E"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2EE664D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0.60</w:t>
            </w:r>
          </w:p>
        </w:tc>
        <w:tc>
          <w:tcPr>
            <w:tcW w:w="1281" w:type="dxa"/>
            <w:gridSpan w:val="5"/>
            <w:tcBorders>
              <w:top w:val="nil"/>
              <w:left w:val="nil"/>
              <w:bottom w:val="nil"/>
              <w:right w:val="nil"/>
            </w:tcBorders>
            <w:shd w:val="clear" w:color="auto" w:fill="auto"/>
            <w:noWrap/>
            <w:vAlign w:val="bottom"/>
            <w:hideMark/>
          </w:tcPr>
          <w:p w14:paraId="57B865F9"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1.82</w:t>
            </w:r>
          </w:p>
        </w:tc>
        <w:tc>
          <w:tcPr>
            <w:tcW w:w="424" w:type="dxa"/>
            <w:gridSpan w:val="6"/>
            <w:tcBorders>
              <w:top w:val="nil"/>
              <w:left w:val="nil"/>
              <w:bottom w:val="nil"/>
              <w:right w:val="nil"/>
            </w:tcBorders>
            <w:shd w:val="clear" w:color="auto" w:fill="auto"/>
            <w:noWrap/>
            <w:vAlign w:val="bottom"/>
            <w:hideMark/>
          </w:tcPr>
          <w:p w14:paraId="582CECAE"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4E80A647"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0.59</w:t>
            </w:r>
          </w:p>
        </w:tc>
        <w:tc>
          <w:tcPr>
            <w:tcW w:w="886" w:type="dxa"/>
            <w:gridSpan w:val="4"/>
            <w:tcBorders>
              <w:top w:val="nil"/>
              <w:left w:val="nil"/>
              <w:bottom w:val="nil"/>
              <w:right w:val="nil"/>
            </w:tcBorders>
            <w:shd w:val="clear" w:color="auto" w:fill="auto"/>
            <w:noWrap/>
            <w:vAlign w:val="bottom"/>
            <w:hideMark/>
          </w:tcPr>
          <w:p w14:paraId="3877CE2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1.80</w:t>
            </w:r>
          </w:p>
        </w:tc>
        <w:tc>
          <w:tcPr>
            <w:tcW w:w="236" w:type="dxa"/>
            <w:gridSpan w:val="5"/>
            <w:vAlign w:val="center"/>
            <w:hideMark/>
          </w:tcPr>
          <w:p w14:paraId="672D9320"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5A72195A"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66436CA8"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43AC5680"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457F54CD"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40E51051"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2EAFD715"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2ADB0A6F" w14:textId="77777777" w:rsidR="00C5012C" w:rsidRPr="003B7EA9" w:rsidRDefault="00C5012C" w:rsidP="00C5012C">
            <w:pPr>
              <w:spacing w:line="240" w:lineRule="auto"/>
              <w:ind w:firstLine="0"/>
              <w:jc w:val="left"/>
              <w:rPr>
                <w:sz w:val="20"/>
                <w:szCs w:val="20"/>
                <w:lang w:eastAsia="en-GB"/>
              </w:rPr>
            </w:pPr>
          </w:p>
        </w:tc>
      </w:tr>
      <w:tr w:rsidR="00FC17B1" w:rsidRPr="003B7EA9" w14:paraId="6D484C85" w14:textId="77777777" w:rsidTr="00F55F69">
        <w:trPr>
          <w:trHeight w:val="20"/>
        </w:trPr>
        <w:tc>
          <w:tcPr>
            <w:tcW w:w="261" w:type="dxa"/>
            <w:tcBorders>
              <w:top w:val="nil"/>
              <w:left w:val="nil"/>
              <w:bottom w:val="single" w:sz="4" w:space="0" w:color="auto"/>
              <w:right w:val="nil"/>
            </w:tcBorders>
            <w:shd w:val="clear" w:color="auto" w:fill="auto"/>
            <w:noWrap/>
            <w:vAlign w:val="bottom"/>
            <w:hideMark/>
          </w:tcPr>
          <w:p w14:paraId="2712687E"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 </w:t>
            </w:r>
          </w:p>
        </w:tc>
        <w:tc>
          <w:tcPr>
            <w:tcW w:w="3016" w:type="dxa"/>
            <w:tcBorders>
              <w:top w:val="nil"/>
              <w:left w:val="nil"/>
              <w:bottom w:val="single" w:sz="4" w:space="0" w:color="auto"/>
              <w:right w:val="nil"/>
            </w:tcBorders>
            <w:shd w:val="clear" w:color="auto" w:fill="auto"/>
            <w:noWrap/>
            <w:vAlign w:val="bottom"/>
            <w:hideMark/>
          </w:tcPr>
          <w:p w14:paraId="083F748E"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not living in a household</w:t>
            </w:r>
          </w:p>
        </w:tc>
        <w:tc>
          <w:tcPr>
            <w:tcW w:w="1103" w:type="dxa"/>
            <w:tcBorders>
              <w:top w:val="nil"/>
              <w:left w:val="nil"/>
              <w:bottom w:val="single" w:sz="4" w:space="0" w:color="auto"/>
              <w:right w:val="nil"/>
            </w:tcBorders>
            <w:shd w:val="clear" w:color="auto" w:fill="auto"/>
            <w:noWrap/>
            <w:vAlign w:val="bottom"/>
            <w:hideMark/>
          </w:tcPr>
          <w:p w14:paraId="056729B5"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 </w:t>
            </w:r>
          </w:p>
        </w:tc>
        <w:tc>
          <w:tcPr>
            <w:tcW w:w="886" w:type="dxa"/>
            <w:tcBorders>
              <w:top w:val="nil"/>
              <w:left w:val="nil"/>
              <w:bottom w:val="single" w:sz="4" w:space="0" w:color="auto"/>
              <w:right w:val="nil"/>
            </w:tcBorders>
            <w:shd w:val="clear" w:color="auto" w:fill="auto"/>
            <w:noWrap/>
            <w:vAlign w:val="bottom"/>
            <w:hideMark/>
          </w:tcPr>
          <w:p w14:paraId="61B7A81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 </w:t>
            </w:r>
          </w:p>
        </w:tc>
        <w:tc>
          <w:tcPr>
            <w:tcW w:w="431" w:type="dxa"/>
            <w:gridSpan w:val="2"/>
            <w:tcBorders>
              <w:top w:val="nil"/>
              <w:left w:val="nil"/>
              <w:bottom w:val="nil"/>
              <w:right w:val="nil"/>
            </w:tcBorders>
            <w:shd w:val="clear" w:color="auto" w:fill="auto"/>
            <w:noWrap/>
            <w:vAlign w:val="bottom"/>
            <w:hideMark/>
          </w:tcPr>
          <w:p w14:paraId="5DB97CE9"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single" w:sz="4" w:space="0" w:color="auto"/>
              <w:right w:val="nil"/>
            </w:tcBorders>
            <w:shd w:val="clear" w:color="auto" w:fill="auto"/>
            <w:noWrap/>
            <w:vAlign w:val="bottom"/>
            <w:hideMark/>
          </w:tcPr>
          <w:p w14:paraId="2FF9D3B5"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1.19</w:t>
            </w:r>
          </w:p>
        </w:tc>
        <w:tc>
          <w:tcPr>
            <w:tcW w:w="1281" w:type="dxa"/>
            <w:gridSpan w:val="5"/>
            <w:tcBorders>
              <w:top w:val="nil"/>
              <w:left w:val="nil"/>
              <w:bottom w:val="single" w:sz="4" w:space="0" w:color="auto"/>
              <w:right w:val="nil"/>
            </w:tcBorders>
            <w:shd w:val="clear" w:color="auto" w:fill="auto"/>
            <w:noWrap/>
            <w:vAlign w:val="bottom"/>
            <w:hideMark/>
          </w:tcPr>
          <w:p w14:paraId="1E3B9129"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3.28</w:t>
            </w:r>
          </w:p>
        </w:tc>
        <w:tc>
          <w:tcPr>
            <w:tcW w:w="424" w:type="dxa"/>
            <w:gridSpan w:val="6"/>
            <w:tcBorders>
              <w:top w:val="nil"/>
              <w:left w:val="nil"/>
              <w:bottom w:val="nil"/>
              <w:right w:val="nil"/>
            </w:tcBorders>
            <w:shd w:val="clear" w:color="auto" w:fill="auto"/>
            <w:noWrap/>
            <w:vAlign w:val="bottom"/>
            <w:hideMark/>
          </w:tcPr>
          <w:p w14:paraId="6E3C9387"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single" w:sz="4" w:space="0" w:color="auto"/>
              <w:right w:val="nil"/>
            </w:tcBorders>
            <w:shd w:val="clear" w:color="auto" w:fill="auto"/>
            <w:noWrap/>
            <w:vAlign w:val="bottom"/>
            <w:hideMark/>
          </w:tcPr>
          <w:p w14:paraId="24F4A6B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1.17</w:t>
            </w:r>
          </w:p>
        </w:tc>
        <w:tc>
          <w:tcPr>
            <w:tcW w:w="886" w:type="dxa"/>
            <w:gridSpan w:val="4"/>
            <w:tcBorders>
              <w:top w:val="nil"/>
              <w:left w:val="nil"/>
              <w:bottom w:val="single" w:sz="4" w:space="0" w:color="auto"/>
              <w:right w:val="nil"/>
            </w:tcBorders>
            <w:shd w:val="clear" w:color="auto" w:fill="auto"/>
            <w:noWrap/>
            <w:vAlign w:val="bottom"/>
            <w:hideMark/>
          </w:tcPr>
          <w:p w14:paraId="58AD94DF"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3.23</w:t>
            </w:r>
          </w:p>
        </w:tc>
        <w:tc>
          <w:tcPr>
            <w:tcW w:w="236" w:type="dxa"/>
            <w:gridSpan w:val="5"/>
            <w:vAlign w:val="center"/>
            <w:hideMark/>
          </w:tcPr>
          <w:p w14:paraId="163524A7"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0FCBD4E4"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19B2E77A"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7F66F315"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2B885C93"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2954351E"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1E867ED7"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28BCC7C3" w14:textId="77777777" w:rsidR="00C5012C" w:rsidRPr="003B7EA9" w:rsidRDefault="00C5012C" w:rsidP="00C5012C">
            <w:pPr>
              <w:spacing w:line="240" w:lineRule="auto"/>
              <w:ind w:firstLine="0"/>
              <w:jc w:val="left"/>
              <w:rPr>
                <w:sz w:val="20"/>
                <w:szCs w:val="20"/>
                <w:lang w:eastAsia="en-GB"/>
              </w:rPr>
            </w:pPr>
          </w:p>
        </w:tc>
      </w:tr>
      <w:tr w:rsidR="00FC17B1" w:rsidRPr="003B7EA9" w14:paraId="7D766C26" w14:textId="77777777" w:rsidTr="00F55F69">
        <w:trPr>
          <w:gridAfter w:val="4"/>
          <w:wAfter w:w="606" w:type="dxa"/>
          <w:trHeight w:val="20"/>
        </w:trPr>
        <w:tc>
          <w:tcPr>
            <w:tcW w:w="6897" w:type="dxa"/>
            <w:gridSpan w:val="9"/>
            <w:tcBorders>
              <w:top w:val="nil"/>
              <w:left w:val="nil"/>
              <w:bottom w:val="nil"/>
              <w:right w:val="nil"/>
            </w:tcBorders>
            <w:shd w:val="clear" w:color="auto" w:fill="auto"/>
            <w:noWrap/>
            <w:vAlign w:val="bottom"/>
            <w:hideMark/>
          </w:tcPr>
          <w:p w14:paraId="09AC6B81" w14:textId="3743D874" w:rsidR="00C5012C" w:rsidRPr="003B7EA9" w:rsidRDefault="00502A2C" w:rsidP="00C5012C">
            <w:pPr>
              <w:spacing w:line="240" w:lineRule="auto"/>
              <w:ind w:firstLine="0"/>
              <w:jc w:val="left"/>
              <w:rPr>
                <w:color w:val="000000"/>
                <w:sz w:val="18"/>
                <w:szCs w:val="18"/>
                <w:lang w:eastAsia="en-GB"/>
              </w:rPr>
            </w:pPr>
            <w:r>
              <w:rPr>
                <w:color w:val="000000"/>
                <w:sz w:val="18"/>
                <w:szCs w:val="18"/>
                <w:lang w:eastAsia="en-GB"/>
              </w:rPr>
              <w:t>Living a</w:t>
            </w:r>
            <w:r w:rsidR="00C5012C" w:rsidRPr="003B7EA9">
              <w:rPr>
                <w:color w:val="000000"/>
                <w:sz w:val="18"/>
                <w:szCs w:val="18"/>
                <w:lang w:eastAsia="en-GB"/>
              </w:rPr>
              <w:t>rrangement (reference: in couple: married)</w:t>
            </w:r>
          </w:p>
        </w:tc>
        <w:tc>
          <w:tcPr>
            <w:tcW w:w="317" w:type="dxa"/>
            <w:tcBorders>
              <w:top w:val="nil"/>
              <w:left w:val="nil"/>
              <w:bottom w:val="nil"/>
              <w:right w:val="nil"/>
            </w:tcBorders>
            <w:shd w:val="clear" w:color="auto" w:fill="auto"/>
            <w:noWrap/>
            <w:vAlign w:val="bottom"/>
            <w:hideMark/>
          </w:tcPr>
          <w:p w14:paraId="36A4D79B" w14:textId="77777777" w:rsidR="00C5012C" w:rsidRPr="003B7EA9" w:rsidRDefault="00C5012C" w:rsidP="00C5012C">
            <w:pPr>
              <w:spacing w:line="240" w:lineRule="auto"/>
              <w:ind w:firstLine="0"/>
              <w:jc w:val="center"/>
              <w:rPr>
                <w:color w:val="000000"/>
                <w:sz w:val="18"/>
                <w:szCs w:val="18"/>
                <w:lang w:eastAsia="en-GB"/>
              </w:rPr>
            </w:pPr>
          </w:p>
        </w:tc>
        <w:tc>
          <w:tcPr>
            <w:tcW w:w="1110" w:type="dxa"/>
            <w:gridSpan w:val="5"/>
            <w:tcBorders>
              <w:top w:val="nil"/>
              <w:left w:val="nil"/>
              <w:bottom w:val="nil"/>
              <w:right w:val="nil"/>
            </w:tcBorders>
            <w:shd w:val="clear" w:color="auto" w:fill="auto"/>
            <w:noWrap/>
            <w:vAlign w:val="bottom"/>
            <w:hideMark/>
          </w:tcPr>
          <w:p w14:paraId="6CF0216F" w14:textId="77777777" w:rsidR="00C5012C" w:rsidRPr="003B7EA9" w:rsidRDefault="00C5012C" w:rsidP="00C5012C">
            <w:pPr>
              <w:spacing w:line="240" w:lineRule="auto"/>
              <w:ind w:firstLine="0"/>
              <w:jc w:val="center"/>
              <w:rPr>
                <w:color w:val="000000"/>
                <w:sz w:val="18"/>
                <w:szCs w:val="18"/>
                <w:lang w:eastAsia="en-GB"/>
              </w:rPr>
            </w:pPr>
          </w:p>
        </w:tc>
        <w:tc>
          <w:tcPr>
            <w:tcW w:w="502" w:type="dxa"/>
            <w:gridSpan w:val="5"/>
            <w:tcBorders>
              <w:top w:val="nil"/>
              <w:left w:val="nil"/>
              <w:bottom w:val="nil"/>
              <w:right w:val="nil"/>
            </w:tcBorders>
            <w:shd w:val="clear" w:color="auto" w:fill="auto"/>
            <w:noWrap/>
            <w:vAlign w:val="bottom"/>
            <w:hideMark/>
          </w:tcPr>
          <w:p w14:paraId="533F8E24" w14:textId="77777777" w:rsidR="00C5012C" w:rsidRPr="003B7EA9" w:rsidRDefault="00C5012C" w:rsidP="00C5012C">
            <w:pPr>
              <w:spacing w:line="240" w:lineRule="auto"/>
              <w:ind w:firstLine="0"/>
              <w:jc w:val="center"/>
              <w:rPr>
                <w:rFonts w:ascii="Calibri" w:hAnsi="Calibri"/>
                <w:color w:val="000000"/>
                <w:sz w:val="22"/>
                <w:szCs w:val="22"/>
                <w:lang w:eastAsia="en-GB"/>
              </w:rPr>
            </w:pPr>
          </w:p>
        </w:tc>
        <w:tc>
          <w:tcPr>
            <w:tcW w:w="590" w:type="dxa"/>
            <w:gridSpan w:val="5"/>
            <w:tcBorders>
              <w:top w:val="nil"/>
              <w:left w:val="nil"/>
              <w:bottom w:val="nil"/>
              <w:right w:val="nil"/>
            </w:tcBorders>
            <w:shd w:val="clear" w:color="auto" w:fill="auto"/>
            <w:noWrap/>
            <w:vAlign w:val="bottom"/>
            <w:hideMark/>
          </w:tcPr>
          <w:p w14:paraId="483CEDCB" w14:textId="77777777" w:rsidR="00C5012C" w:rsidRPr="003B7EA9" w:rsidRDefault="00C5012C" w:rsidP="00C5012C">
            <w:pPr>
              <w:spacing w:line="240" w:lineRule="auto"/>
              <w:ind w:firstLine="0"/>
              <w:jc w:val="center"/>
              <w:rPr>
                <w:rFonts w:ascii="Calibri" w:hAnsi="Calibri"/>
                <w:color w:val="000000"/>
                <w:sz w:val="22"/>
                <w:szCs w:val="22"/>
                <w:lang w:eastAsia="en-GB"/>
              </w:rPr>
            </w:pPr>
          </w:p>
        </w:tc>
        <w:tc>
          <w:tcPr>
            <w:tcW w:w="781" w:type="dxa"/>
            <w:gridSpan w:val="4"/>
            <w:tcBorders>
              <w:top w:val="nil"/>
              <w:left w:val="nil"/>
              <w:bottom w:val="nil"/>
              <w:right w:val="nil"/>
            </w:tcBorders>
            <w:shd w:val="clear" w:color="auto" w:fill="auto"/>
            <w:noWrap/>
            <w:vAlign w:val="bottom"/>
            <w:hideMark/>
          </w:tcPr>
          <w:p w14:paraId="647B621B" w14:textId="77777777" w:rsidR="00C5012C" w:rsidRPr="003B7EA9" w:rsidRDefault="00C5012C" w:rsidP="00C5012C">
            <w:pPr>
              <w:spacing w:line="240" w:lineRule="auto"/>
              <w:ind w:firstLine="0"/>
              <w:jc w:val="center"/>
              <w:rPr>
                <w:rFonts w:ascii="Calibri" w:hAnsi="Calibri"/>
                <w:color w:val="000000"/>
                <w:sz w:val="22"/>
                <w:szCs w:val="22"/>
                <w:lang w:eastAsia="en-GB"/>
              </w:rPr>
            </w:pPr>
          </w:p>
        </w:tc>
        <w:tc>
          <w:tcPr>
            <w:tcW w:w="327" w:type="dxa"/>
            <w:gridSpan w:val="2"/>
            <w:tcBorders>
              <w:top w:val="nil"/>
              <w:left w:val="nil"/>
              <w:bottom w:val="nil"/>
              <w:right w:val="nil"/>
            </w:tcBorders>
            <w:shd w:val="clear" w:color="auto" w:fill="auto"/>
            <w:noWrap/>
            <w:vAlign w:val="bottom"/>
            <w:hideMark/>
          </w:tcPr>
          <w:p w14:paraId="6C6F8C15" w14:textId="77777777" w:rsidR="00C5012C" w:rsidRPr="003B7EA9" w:rsidRDefault="00C5012C" w:rsidP="00C5012C">
            <w:pPr>
              <w:spacing w:line="240" w:lineRule="auto"/>
              <w:ind w:firstLine="0"/>
              <w:jc w:val="center"/>
              <w:rPr>
                <w:rFonts w:ascii="Calibri" w:hAnsi="Calibri"/>
                <w:color w:val="000000"/>
                <w:sz w:val="22"/>
                <w:szCs w:val="22"/>
                <w:lang w:eastAsia="en-GB"/>
              </w:rPr>
            </w:pPr>
          </w:p>
        </w:tc>
        <w:tc>
          <w:tcPr>
            <w:tcW w:w="1440" w:type="dxa"/>
            <w:gridSpan w:val="15"/>
            <w:vAlign w:val="center"/>
            <w:hideMark/>
          </w:tcPr>
          <w:p w14:paraId="0E5DFF83"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471FFE0F" w14:textId="77777777" w:rsidR="00C5012C" w:rsidRPr="003B7EA9" w:rsidRDefault="00C5012C" w:rsidP="00C5012C">
            <w:pPr>
              <w:spacing w:line="240" w:lineRule="auto"/>
              <w:ind w:firstLine="0"/>
              <w:jc w:val="left"/>
              <w:rPr>
                <w:sz w:val="20"/>
                <w:szCs w:val="20"/>
                <w:lang w:eastAsia="en-GB"/>
              </w:rPr>
            </w:pPr>
          </w:p>
        </w:tc>
        <w:tc>
          <w:tcPr>
            <w:tcW w:w="1010" w:type="dxa"/>
            <w:gridSpan w:val="4"/>
            <w:vAlign w:val="center"/>
            <w:hideMark/>
          </w:tcPr>
          <w:p w14:paraId="31626B81" w14:textId="77777777" w:rsidR="00C5012C" w:rsidRPr="003B7EA9" w:rsidRDefault="00C5012C" w:rsidP="00C5012C">
            <w:pPr>
              <w:spacing w:line="240" w:lineRule="auto"/>
              <w:ind w:firstLine="0"/>
              <w:jc w:val="left"/>
              <w:rPr>
                <w:sz w:val="20"/>
                <w:szCs w:val="20"/>
                <w:lang w:eastAsia="en-GB"/>
              </w:rPr>
            </w:pPr>
          </w:p>
        </w:tc>
        <w:tc>
          <w:tcPr>
            <w:tcW w:w="236" w:type="dxa"/>
            <w:gridSpan w:val="3"/>
            <w:vAlign w:val="center"/>
            <w:hideMark/>
          </w:tcPr>
          <w:p w14:paraId="27C2F67A" w14:textId="77777777" w:rsidR="00C5012C" w:rsidRPr="003B7EA9" w:rsidRDefault="00C5012C" w:rsidP="00C5012C">
            <w:pPr>
              <w:spacing w:line="240" w:lineRule="auto"/>
              <w:ind w:firstLine="0"/>
              <w:jc w:val="left"/>
              <w:rPr>
                <w:sz w:val="20"/>
                <w:szCs w:val="20"/>
                <w:lang w:eastAsia="en-GB"/>
              </w:rPr>
            </w:pPr>
          </w:p>
        </w:tc>
      </w:tr>
      <w:tr w:rsidR="00FC17B1" w:rsidRPr="003B7EA9" w14:paraId="7E16B16B" w14:textId="77777777" w:rsidTr="00F55F69">
        <w:trPr>
          <w:trHeight w:val="20"/>
        </w:trPr>
        <w:tc>
          <w:tcPr>
            <w:tcW w:w="261" w:type="dxa"/>
            <w:tcBorders>
              <w:top w:val="nil"/>
              <w:left w:val="nil"/>
              <w:bottom w:val="nil"/>
              <w:right w:val="nil"/>
            </w:tcBorders>
            <w:shd w:val="clear" w:color="auto" w:fill="auto"/>
            <w:noWrap/>
            <w:vAlign w:val="bottom"/>
            <w:hideMark/>
          </w:tcPr>
          <w:p w14:paraId="431FF919"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3CA40155"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in couple: cohabiting</w:t>
            </w:r>
          </w:p>
        </w:tc>
        <w:tc>
          <w:tcPr>
            <w:tcW w:w="1103" w:type="dxa"/>
            <w:tcBorders>
              <w:top w:val="nil"/>
              <w:left w:val="nil"/>
              <w:bottom w:val="nil"/>
              <w:right w:val="nil"/>
            </w:tcBorders>
            <w:shd w:val="clear" w:color="auto" w:fill="auto"/>
            <w:noWrap/>
            <w:vAlign w:val="bottom"/>
            <w:hideMark/>
          </w:tcPr>
          <w:p w14:paraId="7AD3FE21"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31C9398A"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0FB13F39"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1DD32A40"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0.68</w:t>
            </w:r>
          </w:p>
        </w:tc>
        <w:tc>
          <w:tcPr>
            <w:tcW w:w="1281" w:type="dxa"/>
            <w:gridSpan w:val="5"/>
            <w:tcBorders>
              <w:top w:val="nil"/>
              <w:left w:val="nil"/>
              <w:bottom w:val="nil"/>
              <w:right w:val="nil"/>
            </w:tcBorders>
            <w:shd w:val="clear" w:color="auto" w:fill="auto"/>
            <w:noWrap/>
            <w:vAlign w:val="bottom"/>
            <w:hideMark/>
          </w:tcPr>
          <w:p w14:paraId="4908AA19"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1.97</w:t>
            </w:r>
          </w:p>
        </w:tc>
        <w:tc>
          <w:tcPr>
            <w:tcW w:w="424" w:type="dxa"/>
            <w:gridSpan w:val="6"/>
            <w:tcBorders>
              <w:top w:val="nil"/>
              <w:left w:val="nil"/>
              <w:bottom w:val="nil"/>
              <w:right w:val="nil"/>
            </w:tcBorders>
            <w:shd w:val="clear" w:color="auto" w:fill="auto"/>
            <w:noWrap/>
            <w:vAlign w:val="bottom"/>
            <w:hideMark/>
          </w:tcPr>
          <w:p w14:paraId="6C725A8B"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7A08820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0.68</w:t>
            </w:r>
          </w:p>
        </w:tc>
        <w:tc>
          <w:tcPr>
            <w:tcW w:w="886" w:type="dxa"/>
            <w:gridSpan w:val="4"/>
            <w:tcBorders>
              <w:top w:val="nil"/>
              <w:left w:val="nil"/>
              <w:bottom w:val="nil"/>
              <w:right w:val="nil"/>
            </w:tcBorders>
            <w:shd w:val="clear" w:color="auto" w:fill="auto"/>
            <w:noWrap/>
            <w:vAlign w:val="bottom"/>
            <w:hideMark/>
          </w:tcPr>
          <w:p w14:paraId="33721ACB"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1.98</w:t>
            </w:r>
          </w:p>
        </w:tc>
        <w:tc>
          <w:tcPr>
            <w:tcW w:w="236" w:type="dxa"/>
            <w:gridSpan w:val="5"/>
            <w:vAlign w:val="center"/>
            <w:hideMark/>
          </w:tcPr>
          <w:p w14:paraId="3B7AB124"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6CEA9249"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7DFADD0C"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1BFF102B"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231C105F"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06ACE2AF"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318102B5"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3D5196E5" w14:textId="77777777" w:rsidR="00C5012C" w:rsidRPr="003B7EA9" w:rsidRDefault="00C5012C" w:rsidP="00C5012C">
            <w:pPr>
              <w:spacing w:line="240" w:lineRule="auto"/>
              <w:ind w:firstLine="0"/>
              <w:jc w:val="left"/>
              <w:rPr>
                <w:sz w:val="20"/>
                <w:szCs w:val="20"/>
                <w:lang w:eastAsia="en-GB"/>
              </w:rPr>
            </w:pPr>
          </w:p>
        </w:tc>
      </w:tr>
      <w:tr w:rsidR="00FC17B1" w:rsidRPr="003B7EA9" w14:paraId="105020F5" w14:textId="77777777" w:rsidTr="00F55F69">
        <w:trPr>
          <w:trHeight w:val="20"/>
        </w:trPr>
        <w:tc>
          <w:tcPr>
            <w:tcW w:w="261" w:type="dxa"/>
            <w:tcBorders>
              <w:top w:val="nil"/>
              <w:left w:val="nil"/>
              <w:bottom w:val="nil"/>
              <w:right w:val="nil"/>
            </w:tcBorders>
            <w:shd w:val="clear" w:color="auto" w:fill="auto"/>
            <w:noWrap/>
            <w:vAlign w:val="bottom"/>
            <w:hideMark/>
          </w:tcPr>
          <w:p w14:paraId="47A15B18"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14307FEA"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not in couple: single</w:t>
            </w:r>
          </w:p>
        </w:tc>
        <w:tc>
          <w:tcPr>
            <w:tcW w:w="1103" w:type="dxa"/>
            <w:tcBorders>
              <w:top w:val="nil"/>
              <w:left w:val="nil"/>
              <w:bottom w:val="nil"/>
              <w:right w:val="nil"/>
            </w:tcBorders>
            <w:shd w:val="clear" w:color="auto" w:fill="auto"/>
            <w:noWrap/>
            <w:vAlign w:val="bottom"/>
            <w:hideMark/>
          </w:tcPr>
          <w:p w14:paraId="23A7DF78"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7A34BF8E"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54A596EE"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6F9C1B5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0.26</w:t>
            </w:r>
          </w:p>
        </w:tc>
        <w:tc>
          <w:tcPr>
            <w:tcW w:w="1281" w:type="dxa"/>
            <w:gridSpan w:val="5"/>
            <w:tcBorders>
              <w:top w:val="nil"/>
              <w:left w:val="nil"/>
              <w:bottom w:val="nil"/>
              <w:right w:val="nil"/>
            </w:tcBorders>
            <w:shd w:val="clear" w:color="auto" w:fill="auto"/>
            <w:noWrap/>
            <w:vAlign w:val="bottom"/>
            <w:hideMark/>
          </w:tcPr>
          <w:p w14:paraId="52D12A7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1.30</w:t>
            </w:r>
          </w:p>
        </w:tc>
        <w:tc>
          <w:tcPr>
            <w:tcW w:w="424" w:type="dxa"/>
            <w:gridSpan w:val="6"/>
            <w:tcBorders>
              <w:top w:val="nil"/>
              <w:left w:val="nil"/>
              <w:bottom w:val="nil"/>
              <w:right w:val="nil"/>
            </w:tcBorders>
            <w:shd w:val="clear" w:color="auto" w:fill="auto"/>
            <w:noWrap/>
            <w:vAlign w:val="bottom"/>
            <w:hideMark/>
          </w:tcPr>
          <w:p w14:paraId="3D565BD0"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350D12D4"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0.27</w:t>
            </w:r>
          </w:p>
        </w:tc>
        <w:tc>
          <w:tcPr>
            <w:tcW w:w="886" w:type="dxa"/>
            <w:gridSpan w:val="4"/>
            <w:tcBorders>
              <w:top w:val="nil"/>
              <w:left w:val="nil"/>
              <w:bottom w:val="nil"/>
              <w:right w:val="nil"/>
            </w:tcBorders>
            <w:shd w:val="clear" w:color="auto" w:fill="auto"/>
            <w:noWrap/>
            <w:vAlign w:val="bottom"/>
            <w:hideMark/>
          </w:tcPr>
          <w:p w14:paraId="519827C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1.30</w:t>
            </w:r>
          </w:p>
        </w:tc>
        <w:tc>
          <w:tcPr>
            <w:tcW w:w="236" w:type="dxa"/>
            <w:gridSpan w:val="5"/>
            <w:vAlign w:val="center"/>
            <w:hideMark/>
          </w:tcPr>
          <w:p w14:paraId="553BED0A"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7701855A"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1065BD0B"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2A11FF54"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0F7CF310"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47857378"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65ABA772"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0543ACFD" w14:textId="77777777" w:rsidR="00C5012C" w:rsidRPr="003B7EA9" w:rsidRDefault="00C5012C" w:rsidP="00C5012C">
            <w:pPr>
              <w:spacing w:line="240" w:lineRule="auto"/>
              <w:ind w:firstLine="0"/>
              <w:jc w:val="left"/>
              <w:rPr>
                <w:sz w:val="20"/>
                <w:szCs w:val="20"/>
                <w:lang w:eastAsia="en-GB"/>
              </w:rPr>
            </w:pPr>
          </w:p>
        </w:tc>
      </w:tr>
      <w:tr w:rsidR="00FC17B1" w:rsidRPr="003B7EA9" w14:paraId="333B9D95" w14:textId="77777777" w:rsidTr="00F55F69">
        <w:trPr>
          <w:trHeight w:val="20"/>
        </w:trPr>
        <w:tc>
          <w:tcPr>
            <w:tcW w:w="261" w:type="dxa"/>
            <w:tcBorders>
              <w:top w:val="nil"/>
              <w:left w:val="nil"/>
              <w:bottom w:val="nil"/>
              <w:right w:val="nil"/>
            </w:tcBorders>
            <w:shd w:val="clear" w:color="auto" w:fill="auto"/>
            <w:noWrap/>
            <w:vAlign w:val="bottom"/>
            <w:hideMark/>
          </w:tcPr>
          <w:p w14:paraId="6D0D0F93"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291B5990"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not in couple: married</w:t>
            </w:r>
          </w:p>
        </w:tc>
        <w:tc>
          <w:tcPr>
            <w:tcW w:w="1103" w:type="dxa"/>
            <w:tcBorders>
              <w:top w:val="nil"/>
              <w:left w:val="nil"/>
              <w:bottom w:val="nil"/>
              <w:right w:val="nil"/>
            </w:tcBorders>
            <w:shd w:val="clear" w:color="auto" w:fill="auto"/>
            <w:noWrap/>
            <w:vAlign w:val="bottom"/>
            <w:hideMark/>
          </w:tcPr>
          <w:p w14:paraId="1947B704"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6F44D5CA"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3ECA8F35"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7BE4C296"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0.42</w:t>
            </w:r>
          </w:p>
        </w:tc>
        <w:tc>
          <w:tcPr>
            <w:tcW w:w="1281" w:type="dxa"/>
            <w:gridSpan w:val="5"/>
            <w:tcBorders>
              <w:top w:val="nil"/>
              <w:left w:val="nil"/>
              <w:bottom w:val="nil"/>
              <w:right w:val="nil"/>
            </w:tcBorders>
            <w:shd w:val="clear" w:color="auto" w:fill="auto"/>
            <w:noWrap/>
            <w:vAlign w:val="bottom"/>
            <w:hideMark/>
          </w:tcPr>
          <w:p w14:paraId="1209E8A2"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1.52</w:t>
            </w:r>
          </w:p>
        </w:tc>
        <w:tc>
          <w:tcPr>
            <w:tcW w:w="424" w:type="dxa"/>
            <w:gridSpan w:val="6"/>
            <w:tcBorders>
              <w:top w:val="nil"/>
              <w:left w:val="nil"/>
              <w:bottom w:val="nil"/>
              <w:right w:val="nil"/>
            </w:tcBorders>
            <w:shd w:val="clear" w:color="auto" w:fill="auto"/>
            <w:noWrap/>
            <w:vAlign w:val="bottom"/>
            <w:hideMark/>
          </w:tcPr>
          <w:p w14:paraId="212E5729"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09D27E3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0.41</w:t>
            </w:r>
          </w:p>
        </w:tc>
        <w:tc>
          <w:tcPr>
            <w:tcW w:w="886" w:type="dxa"/>
            <w:gridSpan w:val="4"/>
            <w:tcBorders>
              <w:top w:val="nil"/>
              <w:left w:val="nil"/>
              <w:bottom w:val="nil"/>
              <w:right w:val="nil"/>
            </w:tcBorders>
            <w:shd w:val="clear" w:color="auto" w:fill="auto"/>
            <w:noWrap/>
            <w:vAlign w:val="bottom"/>
            <w:hideMark/>
          </w:tcPr>
          <w:p w14:paraId="6B41A26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1.50</w:t>
            </w:r>
          </w:p>
        </w:tc>
        <w:tc>
          <w:tcPr>
            <w:tcW w:w="236" w:type="dxa"/>
            <w:gridSpan w:val="5"/>
            <w:vAlign w:val="center"/>
            <w:hideMark/>
          </w:tcPr>
          <w:p w14:paraId="50013F9C"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5AF221DB"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1609B4C3"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0D686D64"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7A3952EA"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042EE70E"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1662A3EF"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6137C2DE" w14:textId="77777777" w:rsidR="00C5012C" w:rsidRPr="003B7EA9" w:rsidRDefault="00C5012C" w:rsidP="00C5012C">
            <w:pPr>
              <w:spacing w:line="240" w:lineRule="auto"/>
              <w:ind w:firstLine="0"/>
              <w:jc w:val="left"/>
              <w:rPr>
                <w:sz w:val="20"/>
                <w:szCs w:val="20"/>
                <w:lang w:eastAsia="en-GB"/>
              </w:rPr>
            </w:pPr>
          </w:p>
        </w:tc>
      </w:tr>
      <w:tr w:rsidR="00FC17B1" w:rsidRPr="003B7EA9" w14:paraId="278EE155" w14:textId="77777777" w:rsidTr="00F55F69">
        <w:trPr>
          <w:trHeight w:val="20"/>
        </w:trPr>
        <w:tc>
          <w:tcPr>
            <w:tcW w:w="261" w:type="dxa"/>
            <w:tcBorders>
              <w:top w:val="nil"/>
              <w:left w:val="nil"/>
              <w:bottom w:val="nil"/>
              <w:right w:val="nil"/>
            </w:tcBorders>
            <w:shd w:val="clear" w:color="auto" w:fill="auto"/>
            <w:noWrap/>
            <w:vAlign w:val="bottom"/>
            <w:hideMark/>
          </w:tcPr>
          <w:p w14:paraId="11193C4B"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102AB096"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not in couple: separated</w:t>
            </w:r>
          </w:p>
        </w:tc>
        <w:tc>
          <w:tcPr>
            <w:tcW w:w="1103" w:type="dxa"/>
            <w:tcBorders>
              <w:top w:val="nil"/>
              <w:left w:val="nil"/>
              <w:bottom w:val="nil"/>
              <w:right w:val="nil"/>
            </w:tcBorders>
            <w:shd w:val="clear" w:color="auto" w:fill="auto"/>
            <w:noWrap/>
            <w:vAlign w:val="bottom"/>
            <w:hideMark/>
          </w:tcPr>
          <w:p w14:paraId="50C52BD4"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372F4CD7"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2CA3B25E"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1EFE86F5"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0.75</w:t>
            </w:r>
          </w:p>
        </w:tc>
        <w:tc>
          <w:tcPr>
            <w:tcW w:w="1281" w:type="dxa"/>
            <w:gridSpan w:val="5"/>
            <w:tcBorders>
              <w:top w:val="nil"/>
              <w:left w:val="nil"/>
              <w:bottom w:val="nil"/>
              <w:right w:val="nil"/>
            </w:tcBorders>
            <w:shd w:val="clear" w:color="auto" w:fill="auto"/>
            <w:noWrap/>
            <w:vAlign w:val="bottom"/>
            <w:hideMark/>
          </w:tcPr>
          <w:p w14:paraId="258C316F"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2.12</w:t>
            </w:r>
          </w:p>
        </w:tc>
        <w:tc>
          <w:tcPr>
            <w:tcW w:w="424" w:type="dxa"/>
            <w:gridSpan w:val="6"/>
            <w:tcBorders>
              <w:top w:val="nil"/>
              <w:left w:val="nil"/>
              <w:bottom w:val="nil"/>
              <w:right w:val="nil"/>
            </w:tcBorders>
            <w:shd w:val="clear" w:color="auto" w:fill="auto"/>
            <w:noWrap/>
            <w:vAlign w:val="bottom"/>
            <w:hideMark/>
          </w:tcPr>
          <w:p w14:paraId="0E512D4B"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5B43520A"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0.77</w:t>
            </w:r>
          </w:p>
        </w:tc>
        <w:tc>
          <w:tcPr>
            <w:tcW w:w="886" w:type="dxa"/>
            <w:gridSpan w:val="4"/>
            <w:tcBorders>
              <w:top w:val="nil"/>
              <w:left w:val="nil"/>
              <w:bottom w:val="nil"/>
              <w:right w:val="nil"/>
            </w:tcBorders>
            <w:shd w:val="clear" w:color="auto" w:fill="auto"/>
            <w:noWrap/>
            <w:vAlign w:val="bottom"/>
            <w:hideMark/>
          </w:tcPr>
          <w:p w14:paraId="40AF2186"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2.16</w:t>
            </w:r>
          </w:p>
        </w:tc>
        <w:tc>
          <w:tcPr>
            <w:tcW w:w="236" w:type="dxa"/>
            <w:gridSpan w:val="5"/>
            <w:vAlign w:val="center"/>
            <w:hideMark/>
          </w:tcPr>
          <w:p w14:paraId="19A5EDFE"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0DA7FAB9"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004A4FB2"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3DE013E4"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5867DC75"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2381596F"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3450C480"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198F3FCA" w14:textId="77777777" w:rsidR="00C5012C" w:rsidRPr="003B7EA9" w:rsidRDefault="00C5012C" w:rsidP="00C5012C">
            <w:pPr>
              <w:spacing w:line="240" w:lineRule="auto"/>
              <w:ind w:firstLine="0"/>
              <w:jc w:val="left"/>
              <w:rPr>
                <w:sz w:val="20"/>
                <w:szCs w:val="20"/>
                <w:lang w:eastAsia="en-GB"/>
              </w:rPr>
            </w:pPr>
          </w:p>
        </w:tc>
      </w:tr>
      <w:tr w:rsidR="00FC17B1" w:rsidRPr="003B7EA9" w14:paraId="35A1C244" w14:textId="77777777" w:rsidTr="00F55F69">
        <w:trPr>
          <w:trHeight w:val="20"/>
        </w:trPr>
        <w:tc>
          <w:tcPr>
            <w:tcW w:w="261" w:type="dxa"/>
            <w:tcBorders>
              <w:top w:val="nil"/>
              <w:left w:val="nil"/>
              <w:bottom w:val="nil"/>
              <w:right w:val="nil"/>
            </w:tcBorders>
            <w:shd w:val="clear" w:color="auto" w:fill="auto"/>
            <w:noWrap/>
            <w:vAlign w:val="bottom"/>
            <w:hideMark/>
          </w:tcPr>
          <w:p w14:paraId="2F672F27"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2488CAA1"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not in couple: divorced</w:t>
            </w:r>
          </w:p>
        </w:tc>
        <w:tc>
          <w:tcPr>
            <w:tcW w:w="1103" w:type="dxa"/>
            <w:tcBorders>
              <w:top w:val="nil"/>
              <w:left w:val="nil"/>
              <w:bottom w:val="nil"/>
              <w:right w:val="nil"/>
            </w:tcBorders>
            <w:shd w:val="clear" w:color="auto" w:fill="auto"/>
            <w:noWrap/>
            <w:vAlign w:val="bottom"/>
            <w:hideMark/>
          </w:tcPr>
          <w:p w14:paraId="2ED245B3"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53C8BB3E"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56C423D8"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3DA00C01"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0.14</w:t>
            </w:r>
          </w:p>
        </w:tc>
        <w:tc>
          <w:tcPr>
            <w:tcW w:w="1281" w:type="dxa"/>
            <w:gridSpan w:val="5"/>
            <w:tcBorders>
              <w:top w:val="nil"/>
              <w:left w:val="nil"/>
              <w:bottom w:val="nil"/>
              <w:right w:val="nil"/>
            </w:tcBorders>
            <w:shd w:val="clear" w:color="auto" w:fill="auto"/>
            <w:noWrap/>
            <w:vAlign w:val="bottom"/>
            <w:hideMark/>
          </w:tcPr>
          <w:p w14:paraId="3FF969D7"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1.15</w:t>
            </w:r>
          </w:p>
        </w:tc>
        <w:tc>
          <w:tcPr>
            <w:tcW w:w="424" w:type="dxa"/>
            <w:gridSpan w:val="6"/>
            <w:tcBorders>
              <w:top w:val="nil"/>
              <w:left w:val="nil"/>
              <w:bottom w:val="nil"/>
              <w:right w:val="nil"/>
            </w:tcBorders>
            <w:shd w:val="clear" w:color="auto" w:fill="auto"/>
            <w:noWrap/>
            <w:vAlign w:val="bottom"/>
            <w:hideMark/>
          </w:tcPr>
          <w:p w14:paraId="5E5E3106"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5E8B9DC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0.16</w:t>
            </w:r>
          </w:p>
        </w:tc>
        <w:tc>
          <w:tcPr>
            <w:tcW w:w="886" w:type="dxa"/>
            <w:gridSpan w:val="4"/>
            <w:tcBorders>
              <w:top w:val="nil"/>
              <w:left w:val="nil"/>
              <w:bottom w:val="nil"/>
              <w:right w:val="nil"/>
            </w:tcBorders>
            <w:shd w:val="clear" w:color="auto" w:fill="auto"/>
            <w:noWrap/>
            <w:vAlign w:val="bottom"/>
            <w:hideMark/>
          </w:tcPr>
          <w:p w14:paraId="2D31AD85"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1.17</w:t>
            </w:r>
          </w:p>
        </w:tc>
        <w:tc>
          <w:tcPr>
            <w:tcW w:w="236" w:type="dxa"/>
            <w:gridSpan w:val="5"/>
            <w:vAlign w:val="center"/>
            <w:hideMark/>
          </w:tcPr>
          <w:p w14:paraId="65DA9E4E"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0EF8121F"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5DDBE56F"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57FDB9AD"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3BC90055"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291E9898"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15D0BF49"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0447129D" w14:textId="77777777" w:rsidR="00C5012C" w:rsidRPr="003B7EA9" w:rsidRDefault="00C5012C" w:rsidP="00C5012C">
            <w:pPr>
              <w:spacing w:line="240" w:lineRule="auto"/>
              <w:ind w:firstLine="0"/>
              <w:jc w:val="left"/>
              <w:rPr>
                <w:sz w:val="20"/>
                <w:szCs w:val="20"/>
                <w:lang w:eastAsia="en-GB"/>
              </w:rPr>
            </w:pPr>
          </w:p>
        </w:tc>
      </w:tr>
      <w:tr w:rsidR="00FC17B1" w:rsidRPr="003B7EA9" w14:paraId="365C3403" w14:textId="77777777" w:rsidTr="00F55F69">
        <w:trPr>
          <w:trHeight w:val="20"/>
        </w:trPr>
        <w:tc>
          <w:tcPr>
            <w:tcW w:w="261" w:type="dxa"/>
            <w:tcBorders>
              <w:top w:val="nil"/>
              <w:left w:val="nil"/>
              <w:bottom w:val="single" w:sz="4" w:space="0" w:color="auto"/>
              <w:right w:val="nil"/>
            </w:tcBorders>
            <w:shd w:val="clear" w:color="auto" w:fill="auto"/>
            <w:noWrap/>
            <w:vAlign w:val="bottom"/>
            <w:hideMark/>
          </w:tcPr>
          <w:p w14:paraId="19A66B25"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 </w:t>
            </w:r>
          </w:p>
        </w:tc>
        <w:tc>
          <w:tcPr>
            <w:tcW w:w="3016" w:type="dxa"/>
            <w:tcBorders>
              <w:top w:val="nil"/>
              <w:left w:val="nil"/>
              <w:bottom w:val="single" w:sz="4" w:space="0" w:color="auto"/>
              <w:right w:val="nil"/>
            </w:tcBorders>
            <w:shd w:val="clear" w:color="auto" w:fill="auto"/>
            <w:noWrap/>
            <w:vAlign w:val="bottom"/>
            <w:hideMark/>
          </w:tcPr>
          <w:p w14:paraId="20692603"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not in couple; widowed</w:t>
            </w:r>
          </w:p>
        </w:tc>
        <w:tc>
          <w:tcPr>
            <w:tcW w:w="1103" w:type="dxa"/>
            <w:tcBorders>
              <w:top w:val="nil"/>
              <w:left w:val="nil"/>
              <w:bottom w:val="single" w:sz="4" w:space="0" w:color="auto"/>
              <w:right w:val="nil"/>
            </w:tcBorders>
            <w:shd w:val="clear" w:color="auto" w:fill="auto"/>
            <w:noWrap/>
            <w:vAlign w:val="bottom"/>
            <w:hideMark/>
          </w:tcPr>
          <w:p w14:paraId="7CE4041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 </w:t>
            </w:r>
          </w:p>
        </w:tc>
        <w:tc>
          <w:tcPr>
            <w:tcW w:w="886" w:type="dxa"/>
            <w:tcBorders>
              <w:top w:val="nil"/>
              <w:left w:val="nil"/>
              <w:bottom w:val="single" w:sz="4" w:space="0" w:color="auto"/>
              <w:right w:val="nil"/>
            </w:tcBorders>
            <w:shd w:val="clear" w:color="auto" w:fill="auto"/>
            <w:noWrap/>
            <w:vAlign w:val="bottom"/>
            <w:hideMark/>
          </w:tcPr>
          <w:p w14:paraId="527D3594"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 </w:t>
            </w:r>
          </w:p>
        </w:tc>
        <w:tc>
          <w:tcPr>
            <w:tcW w:w="431" w:type="dxa"/>
            <w:gridSpan w:val="2"/>
            <w:tcBorders>
              <w:top w:val="nil"/>
              <w:left w:val="nil"/>
              <w:bottom w:val="nil"/>
              <w:right w:val="nil"/>
            </w:tcBorders>
            <w:shd w:val="clear" w:color="auto" w:fill="auto"/>
            <w:noWrap/>
            <w:vAlign w:val="bottom"/>
            <w:hideMark/>
          </w:tcPr>
          <w:p w14:paraId="287D3F2A"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single" w:sz="4" w:space="0" w:color="auto"/>
              <w:right w:val="nil"/>
            </w:tcBorders>
            <w:shd w:val="clear" w:color="auto" w:fill="auto"/>
            <w:noWrap/>
            <w:vAlign w:val="bottom"/>
            <w:hideMark/>
          </w:tcPr>
          <w:p w14:paraId="67ED0446"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-0.16</w:t>
            </w:r>
          </w:p>
        </w:tc>
        <w:tc>
          <w:tcPr>
            <w:tcW w:w="1281" w:type="dxa"/>
            <w:gridSpan w:val="5"/>
            <w:tcBorders>
              <w:top w:val="nil"/>
              <w:left w:val="nil"/>
              <w:bottom w:val="single" w:sz="4" w:space="0" w:color="auto"/>
              <w:right w:val="nil"/>
            </w:tcBorders>
            <w:shd w:val="clear" w:color="auto" w:fill="auto"/>
            <w:noWrap/>
            <w:vAlign w:val="bottom"/>
            <w:hideMark/>
          </w:tcPr>
          <w:p w14:paraId="0AC9DF5A"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0.85</w:t>
            </w:r>
          </w:p>
        </w:tc>
        <w:tc>
          <w:tcPr>
            <w:tcW w:w="424" w:type="dxa"/>
            <w:gridSpan w:val="6"/>
            <w:tcBorders>
              <w:top w:val="nil"/>
              <w:left w:val="nil"/>
              <w:bottom w:val="nil"/>
              <w:right w:val="nil"/>
            </w:tcBorders>
            <w:shd w:val="clear" w:color="auto" w:fill="auto"/>
            <w:noWrap/>
            <w:vAlign w:val="bottom"/>
            <w:hideMark/>
          </w:tcPr>
          <w:p w14:paraId="7D8A4513"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single" w:sz="4" w:space="0" w:color="auto"/>
              <w:right w:val="nil"/>
            </w:tcBorders>
            <w:shd w:val="clear" w:color="auto" w:fill="auto"/>
            <w:noWrap/>
            <w:vAlign w:val="bottom"/>
            <w:hideMark/>
          </w:tcPr>
          <w:p w14:paraId="3C88F1BF"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-0.15</w:t>
            </w:r>
          </w:p>
        </w:tc>
        <w:tc>
          <w:tcPr>
            <w:tcW w:w="886" w:type="dxa"/>
            <w:gridSpan w:val="4"/>
            <w:tcBorders>
              <w:top w:val="nil"/>
              <w:left w:val="nil"/>
              <w:bottom w:val="single" w:sz="4" w:space="0" w:color="auto"/>
              <w:right w:val="nil"/>
            </w:tcBorders>
            <w:shd w:val="clear" w:color="auto" w:fill="auto"/>
            <w:noWrap/>
            <w:vAlign w:val="bottom"/>
            <w:hideMark/>
          </w:tcPr>
          <w:p w14:paraId="6CAF125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0.86</w:t>
            </w:r>
          </w:p>
        </w:tc>
        <w:tc>
          <w:tcPr>
            <w:tcW w:w="236" w:type="dxa"/>
            <w:gridSpan w:val="5"/>
            <w:vAlign w:val="center"/>
            <w:hideMark/>
          </w:tcPr>
          <w:p w14:paraId="13605BCB"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72AE44B3"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228E6B95"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4CC203D4"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4A19A78B"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553D5CEE"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2E2303B5"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10520A27" w14:textId="77777777" w:rsidR="00C5012C" w:rsidRPr="003B7EA9" w:rsidRDefault="00C5012C" w:rsidP="00C5012C">
            <w:pPr>
              <w:spacing w:line="240" w:lineRule="auto"/>
              <w:ind w:firstLine="0"/>
              <w:jc w:val="left"/>
              <w:rPr>
                <w:sz w:val="20"/>
                <w:szCs w:val="20"/>
                <w:lang w:eastAsia="en-GB"/>
              </w:rPr>
            </w:pPr>
          </w:p>
        </w:tc>
      </w:tr>
      <w:tr w:rsidR="00FC17B1" w:rsidRPr="003B7EA9" w14:paraId="5173BE8D" w14:textId="77777777" w:rsidTr="00F55F69">
        <w:trPr>
          <w:gridAfter w:val="4"/>
          <w:wAfter w:w="606" w:type="dxa"/>
          <w:trHeight w:val="20"/>
        </w:trPr>
        <w:tc>
          <w:tcPr>
            <w:tcW w:w="6897" w:type="dxa"/>
            <w:gridSpan w:val="9"/>
            <w:tcBorders>
              <w:top w:val="nil"/>
              <w:left w:val="nil"/>
              <w:bottom w:val="nil"/>
              <w:right w:val="nil"/>
            </w:tcBorders>
            <w:shd w:val="clear" w:color="auto" w:fill="auto"/>
            <w:noWrap/>
            <w:vAlign w:val="bottom"/>
            <w:hideMark/>
          </w:tcPr>
          <w:p w14:paraId="0A4439A0" w14:textId="22D8375C" w:rsidR="00C5012C" w:rsidRPr="003B7EA9" w:rsidRDefault="00C5012C" w:rsidP="00502A2C">
            <w:pPr>
              <w:spacing w:line="240" w:lineRule="auto"/>
              <w:ind w:firstLine="0"/>
              <w:jc w:val="left"/>
              <w:rPr>
                <w:color w:val="000000"/>
                <w:sz w:val="18"/>
                <w:szCs w:val="18"/>
                <w:lang w:eastAsia="en-GB"/>
              </w:rPr>
            </w:pPr>
            <w:r w:rsidRPr="003B7EA9">
              <w:rPr>
                <w:color w:val="000000"/>
                <w:sz w:val="18"/>
                <w:szCs w:val="18"/>
                <w:lang w:eastAsia="en-GB"/>
              </w:rPr>
              <w:t xml:space="preserve">Highest </w:t>
            </w:r>
            <w:r w:rsidR="00502A2C">
              <w:rPr>
                <w:color w:val="000000"/>
                <w:sz w:val="18"/>
                <w:szCs w:val="18"/>
                <w:lang w:eastAsia="en-GB"/>
              </w:rPr>
              <w:t>q</w:t>
            </w:r>
            <w:r w:rsidR="00122E70">
              <w:rPr>
                <w:color w:val="000000"/>
                <w:sz w:val="18"/>
                <w:szCs w:val="18"/>
                <w:lang w:eastAsia="en-GB"/>
              </w:rPr>
              <w:t>ualification (reference: l</w:t>
            </w:r>
            <w:r w:rsidRPr="003B7EA9">
              <w:rPr>
                <w:color w:val="000000"/>
                <w:sz w:val="18"/>
                <w:szCs w:val="18"/>
                <w:lang w:eastAsia="en-GB"/>
              </w:rPr>
              <w:t>evel 4 degree)</w:t>
            </w:r>
          </w:p>
        </w:tc>
        <w:tc>
          <w:tcPr>
            <w:tcW w:w="317" w:type="dxa"/>
            <w:tcBorders>
              <w:top w:val="nil"/>
              <w:left w:val="nil"/>
              <w:bottom w:val="nil"/>
              <w:right w:val="nil"/>
            </w:tcBorders>
            <w:shd w:val="clear" w:color="auto" w:fill="auto"/>
            <w:noWrap/>
            <w:vAlign w:val="bottom"/>
            <w:hideMark/>
          </w:tcPr>
          <w:p w14:paraId="76635D21" w14:textId="77777777" w:rsidR="00C5012C" w:rsidRPr="003B7EA9" w:rsidRDefault="00C5012C" w:rsidP="00C5012C">
            <w:pPr>
              <w:spacing w:line="240" w:lineRule="auto"/>
              <w:ind w:firstLine="0"/>
              <w:jc w:val="center"/>
              <w:rPr>
                <w:color w:val="000000"/>
                <w:sz w:val="18"/>
                <w:szCs w:val="18"/>
                <w:lang w:eastAsia="en-GB"/>
              </w:rPr>
            </w:pPr>
          </w:p>
        </w:tc>
        <w:tc>
          <w:tcPr>
            <w:tcW w:w="1110" w:type="dxa"/>
            <w:gridSpan w:val="5"/>
            <w:tcBorders>
              <w:top w:val="nil"/>
              <w:left w:val="nil"/>
              <w:bottom w:val="nil"/>
              <w:right w:val="nil"/>
            </w:tcBorders>
            <w:shd w:val="clear" w:color="auto" w:fill="auto"/>
            <w:noWrap/>
            <w:vAlign w:val="bottom"/>
            <w:hideMark/>
          </w:tcPr>
          <w:p w14:paraId="5CF8A90E" w14:textId="77777777" w:rsidR="00C5012C" w:rsidRPr="003B7EA9" w:rsidRDefault="00C5012C" w:rsidP="00C5012C">
            <w:pPr>
              <w:spacing w:line="240" w:lineRule="auto"/>
              <w:ind w:firstLine="0"/>
              <w:jc w:val="center"/>
              <w:rPr>
                <w:color w:val="000000"/>
                <w:sz w:val="18"/>
                <w:szCs w:val="18"/>
                <w:lang w:eastAsia="en-GB"/>
              </w:rPr>
            </w:pPr>
          </w:p>
        </w:tc>
        <w:tc>
          <w:tcPr>
            <w:tcW w:w="502" w:type="dxa"/>
            <w:gridSpan w:val="5"/>
            <w:tcBorders>
              <w:top w:val="nil"/>
              <w:left w:val="nil"/>
              <w:bottom w:val="nil"/>
              <w:right w:val="nil"/>
            </w:tcBorders>
            <w:shd w:val="clear" w:color="auto" w:fill="auto"/>
            <w:noWrap/>
            <w:vAlign w:val="bottom"/>
            <w:hideMark/>
          </w:tcPr>
          <w:p w14:paraId="4A7A77D8" w14:textId="77777777" w:rsidR="00C5012C" w:rsidRPr="003B7EA9" w:rsidRDefault="00C5012C" w:rsidP="00C5012C">
            <w:pPr>
              <w:spacing w:line="240" w:lineRule="auto"/>
              <w:ind w:firstLine="0"/>
              <w:jc w:val="center"/>
              <w:rPr>
                <w:rFonts w:ascii="Calibri" w:hAnsi="Calibri"/>
                <w:color w:val="000000"/>
                <w:sz w:val="22"/>
                <w:szCs w:val="22"/>
                <w:lang w:eastAsia="en-GB"/>
              </w:rPr>
            </w:pPr>
          </w:p>
        </w:tc>
        <w:tc>
          <w:tcPr>
            <w:tcW w:w="590" w:type="dxa"/>
            <w:gridSpan w:val="5"/>
            <w:tcBorders>
              <w:top w:val="nil"/>
              <w:left w:val="nil"/>
              <w:bottom w:val="nil"/>
              <w:right w:val="nil"/>
            </w:tcBorders>
            <w:shd w:val="clear" w:color="auto" w:fill="auto"/>
            <w:noWrap/>
            <w:vAlign w:val="bottom"/>
            <w:hideMark/>
          </w:tcPr>
          <w:p w14:paraId="575479AD" w14:textId="77777777" w:rsidR="00C5012C" w:rsidRPr="003B7EA9" w:rsidRDefault="00C5012C" w:rsidP="00C5012C">
            <w:pPr>
              <w:spacing w:line="240" w:lineRule="auto"/>
              <w:ind w:firstLine="0"/>
              <w:jc w:val="center"/>
              <w:rPr>
                <w:rFonts w:ascii="Calibri" w:hAnsi="Calibri"/>
                <w:color w:val="000000"/>
                <w:sz w:val="22"/>
                <w:szCs w:val="22"/>
                <w:lang w:eastAsia="en-GB"/>
              </w:rPr>
            </w:pPr>
          </w:p>
        </w:tc>
        <w:tc>
          <w:tcPr>
            <w:tcW w:w="781" w:type="dxa"/>
            <w:gridSpan w:val="4"/>
            <w:tcBorders>
              <w:top w:val="nil"/>
              <w:left w:val="nil"/>
              <w:bottom w:val="nil"/>
              <w:right w:val="nil"/>
            </w:tcBorders>
            <w:shd w:val="clear" w:color="auto" w:fill="auto"/>
            <w:noWrap/>
            <w:vAlign w:val="bottom"/>
            <w:hideMark/>
          </w:tcPr>
          <w:p w14:paraId="5ECCC460" w14:textId="77777777" w:rsidR="00C5012C" w:rsidRPr="003B7EA9" w:rsidRDefault="00C5012C" w:rsidP="00C5012C">
            <w:pPr>
              <w:spacing w:line="240" w:lineRule="auto"/>
              <w:ind w:firstLine="0"/>
              <w:jc w:val="center"/>
              <w:rPr>
                <w:rFonts w:ascii="Calibri" w:hAnsi="Calibri"/>
                <w:color w:val="000000"/>
                <w:sz w:val="22"/>
                <w:szCs w:val="22"/>
                <w:lang w:eastAsia="en-GB"/>
              </w:rPr>
            </w:pPr>
          </w:p>
        </w:tc>
        <w:tc>
          <w:tcPr>
            <w:tcW w:w="327" w:type="dxa"/>
            <w:gridSpan w:val="2"/>
            <w:tcBorders>
              <w:top w:val="nil"/>
              <w:left w:val="nil"/>
              <w:bottom w:val="nil"/>
              <w:right w:val="nil"/>
            </w:tcBorders>
            <w:shd w:val="clear" w:color="auto" w:fill="auto"/>
            <w:noWrap/>
            <w:vAlign w:val="bottom"/>
            <w:hideMark/>
          </w:tcPr>
          <w:p w14:paraId="7096919B" w14:textId="77777777" w:rsidR="00C5012C" w:rsidRPr="003B7EA9" w:rsidRDefault="00C5012C" w:rsidP="00C5012C">
            <w:pPr>
              <w:spacing w:line="240" w:lineRule="auto"/>
              <w:ind w:firstLine="0"/>
              <w:jc w:val="center"/>
              <w:rPr>
                <w:rFonts w:ascii="Calibri" w:hAnsi="Calibri"/>
                <w:color w:val="000000"/>
                <w:sz w:val="22"/>
                <w:szCs w:val="22"/>
                <w:lang w:eastAsia="en-GB"/>
              </w:rPr>
            </w:pPr>
          </w:p>
        </w:tc>
        <w:tc>
          <w:tcPr>
            <w:tcW w:w="1440" w:type="dxa"/>
            <w:gridSpan w:val="15"/>
            <w:vAlign w:val="center"/>
            <w:hideMark/>
          </w:tcPr>
          <w:p w14:paraId="5B5CD560"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1372BDA3" w14:textId="77777777" w:rsidR="00C5012C" w:rsidRPr="003B7EA9" w:rsidRDefault="00C5012C" w:rsidP="00C5012C">
            <w:pPr>
              <w:spacing w:line="240" w:lineRule="auto"/>
              <w:ind w:firstLine="0"/>
              <w:jc w:val="left"/>
              <w:rPr>
                <w:sz w:val="20"/>
                <w:szCs w:val="20"/>
                <w:lang w:eastAsia="en-GB"/>
              </w:rPr>
            </w:pPr>
          </w:p>
        </w:tc>
        <w:tc>
          <w:tcPr>
            <w:tcW w:w="1010" w:type="dxa"/>
            <w:gridSpan w:val="4"/>
            <w:vAlign w:val="center"/>
            <w:hideMark/>
          </w:tcPr>
          <w:p w14:paraId="33E1D010" w14:textId="77777777" w:rsidR="00C5012C" w:rsidRPr="003B7EA9" w:rsidRDefault="00C5012C" w:rsidP="00C5012C">
            <w:pPr>
              <w:spacing w:line="240" w:lineRule="auto"/>
              <w:ind w:firstLine="0"/>
              <w:jc w:val="left"/>
              <w:rPr>
                <w:sz w:val="20"/>
                <w:szCs w:val="20"/>
                <w:lang w:eastAsia="en-GB"/>
              </w:rPr>
            </w:pPr>
          </w:p>
        </w:tc>
        <w:tc>
          <w:tcPr>
            <w:tcW w:w="236" w:type="dxa"/>
            <w:gridSpan w:val="3"/>
            <w:vAlign w:val="center"/>
            <w:hideMark/>
          </w:tcPr>
          <w:p w14:paraId="78F7B1FA" w14:textId="77777777" w:rsidR="00C5012C" w:rsidRPr="003B7EA9" w:rsidRDefault="00C5012C" w:rsidP="00C5012C">
            <w:pPr>
              <w:spacing w:line="240" w:lineRule="auto"/>
              <w:ind w:firstLine="0"/>
              <w:jc w:val="left"/>
              <w:rPr>
                <w:sz w:val="20"/>
                <w:szCs w:val="20"/>
                <w:lang w:eastAsia="en-GB"/>
              </w:rPr>
            </w:pPr>
          </w:p>
        </w:tc>
      </w:tr>
      <w:tr w:rsidR="00FC17B1" w:rsidRPr="003B7EA9" w14:paraId="523144C7" w14:textId="77777777" w:rsidTr="00F55F69">
        <w:trPr>
          <w:trHeight w:val="20"/>
        </w:trPr>
        <w:tc>
          <w:tcPr>
            <w:tcW w:w="261" w:type="dxa"/>
            <w:tcBorders>
              <w:top w:val="nil"/>
              <w:left w:val="nil"/>
              <w:bottom w:val="nil"/>
              <w:right w:val="nil"/>
            </w:tcBorders>
            <w:shd w:val="clear" w:color="auto" w:fill="auto"/>
            <w:noWrap/>
            <w:vAlign w:val="bottom"/>
            <w:hideMark/>
          </w:tcPr>
          <w:p w14:paraId="6062154A"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2DD7B191"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pre-school age</w:t>
            </w:r>
          </w:p>
        </w:tc>
        <w:tc>
          <w:tcPr>
            <w:tcW w:w="1103" w:type="dxa"/>
            <w:tcBorders>
              <w:top w:val="nil"/>
              <w:left w:val="nil"/>
              <w:bottom w:val="nil"/>
              <w:right w:val="nil"/>
            </w:tcBorders>
            <w:shd w:val="clear" w:color="auto" w:fill="auto"/>
            <w:noWrap/>
            <w:vAlign w:val="bottom"/>
            <w:hideMark/>
          </w:tcPr>
          <w:p w14:paraId="46C3E0EA"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639857A8"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6667C263"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3599418F"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-0.14</w:t>
            </w:r>
          </w:p>
        </w:tc>
        <w:tc>
          <w:tcPr>
            <w:tcW w:w="1281" w:type="dxa"/>
            <w:gridSpan w:val="5"/>
            <w:tcBorders>
              <w:top w:val="nil"/>
              <w:left w:val="nil"/>
              <w:bottom w:val="nil"/>
              <w:right w:val="nil"/>
            </w:tcBorders>
            <w:shd w:val="clear" w:color="auto" w:fill="auto"/>
            <w:noWrap/>
            <w:vAlign w:val="bottom"/>
            <w:hideMark/>
          </w:tcPr>
          <w:p w14:paraId="5374CC8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0.87</w:t>
            </w:r>
          </w:p>
        </w:tc>
        <w:tc>
          <w:tcPr>
            <w:tcW w:w="424" w:type="dxa"/>
            <w:gridSpan w:val="6"/>
            <w:tcBorders>
              <w:top w:val="nil"/>
              <w:left w:val="nil"/>
              <w:bottom w:val="nil"/>
              <w:right w:val="nil"/>
            </w:tcBorders>
            <w:shd w:val="clear" w:color="auto" w:fill="auto"/>
            <w:noWrap/>
            <w:vAlign w:val="bottom"/>
            <w:hideMark/>
          </w:tcPr>
          <w:p w14:paraId="42D694F5"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3D1D4CE7"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-0.14</w:t>
            </w:r>
          </w:p>
        </w:tc>
        <w:tc>
          <w:tcPr>
            <w:tcW w:w="886" w:type="dxa"/>
            <w:gridSpan w:val="4"/>
            <w:tcBorders>
              <w:top w:val="nil"/>
              <w:left w:val="nil"/>
              <w:bottom w:val="nil"/>
              <w:right w:val="nil"/>
            </w:tcBorders>
            <w:shd w:val="clear" w:color="auto" w:fill="auto"/>
            <w:noWrap/>
            <w:vAlign w:val="bottom"/>
            <w:hideMark/>
          </w:tcPr>
          <w:p w14:paraId="281C01DA"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0.87</w:t>
            </w:r>
          </w:p>
        </w:tc>
        <w:tc>
          <w:tcPr>
            <w:tcW w:w="236" w:type="dxa"/>
            <w:gridSpan w:val="5"/>
            <w:vAlign w:val="center"/>
            <w:hideMark/>
          </w:tcPr>
          <w:p w14:paraId="557FCA0E"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22776E54"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5AD04DED"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044A6CE5"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364040F8"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5A093146"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2DB439B3"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761657C0" w14:textId="77777777" w:rsidR="00C5012C" w:rsidRPr="003B7EA9" w:rsidRDefault="00C5012C" w:rsidP="00C5012C">
            <w:pPr>
              <w:spacing w:line="240" w:lineRule="auto"/>
              <w:ind w:firstLine="0"/>
              <w:jc w:val="left"/>
              <w:rPr>
                <w:sz w:val="20"/>
                <w:szCs w:val="20"/>
                <w:lang w:eastAsia="en-GB"/>
              </w:rPr>
            </w:pPr>
          </w:p>
        </w:tc>
      </w:tr>
      <w:tr w:rsidR="00FC17B1" w:rsidRPr="003B7EA9" w14:paraId="2BBE7B12" w14:textId="77777777" w:rsidTr="00F55F69">
        <w:trPr>
          <w:trHeight w:val="20"/>
        </w:trPr>
        <w:tc>
          <w:tcPr>
            <w:tcW w:w="261" w:type="dxa"/>
            <w:tcBorders>
              <w:top w:val="nil"/>
              <w:left w:val="nil"/>
              <w:bottom w:val="nil"/>
              <w:right w:val="nil"/>
            </w:tcBorders>
            <w:shd w:val="clear" w:color="auto" w:fill="auto"/>
            <w:noWrap/>
            <w:vAlign w:val="bottom"/>
            <w:hideMark/>
          </w:tcPr>
          <w:p w14:paraId="47287304"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75D1296E"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primary school age</w:t>
            </w:r>
          </w:p>
        </w:tc>
        <w:tc>
          <w:tcPr>
            <w:tcW w:w="1103" w:type="dxa"/>
            <w:tcBorders>
              <w:top w:val="nil"/>
              <w:left w:val="nil"/>
              <w:bottom w:val="nil"/>
              <w:right w:val="nil"/>
            </w:tcBorders>
            <w:shd w:val="clear" w:color="auto" w:fill="auto"/>
            <w:noWrap/>
            <w:vAlign w:val="bottom"/>
            <w:hideMark/>
          </w:tcPr>
          <w:p w14:paraId="742F5E03"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58369F6F"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428F5963"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106512AB"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-0.21</w:t>
            </w:r>
          </w:p>
        </w:tc>
        <w:tc>
          <w:tcPr>
            <w:tcW w:w="1281" w:type="dxa"/>
            <w:gridSpan w:val="5"/>
            <w:tcBorders>
              <w:top w:val="nil"/>
              <w:left w:val="nil"/>
              <w:bottom w:val="nil"/>
              <w:right w:val="nil"/>
            </w:tcBorders>
            <w:shd w:val="clear" w:color="auto" w:fill="auto"/>
            <w:noWrap/>
            <w:vAlign w:val="bottom"/>
            <w:hideMark/>
          </w:tcPr>
          <w:p w14:paraId="1089EC96"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0.81</w:t>
            </w:r>
          </w:p>
        </w:tc>
        <w:tc>
          <w:tcPr>
            <w:tcW w:w="424" w:type="dxa"/>
            <w:gridSpan w:val="6"/>
            <w:tcBorders>
              <w:top w:val="nil"/>
              <w:left w:val="nil"/>
              <w:bottom w:val="nil"/>
              <w:right w:val="nil"/>
            </w:tcBorders>
            <w:shd w:val="clear" w:color="auto" w:fill="auto"/>
            <w:noWrap/>
            <w:vAlign w:val="bottom"/>
            <w:hideMark/>
          </w:tcPr>
          <w:p w14:paraId="1645EE64"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13D7392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-0.22</w:t>
            </w:r>
          </w:p>
        </w:tc>
        <w:tc>
          <w:tcPr>
            <w:tcW w:w="886" w:type="dxa"/>
            <w:gridSpan w:val="4"/>
            <w:tcBorders>
              <w:top w:val="nil"/>
              <w:left w:val="nil"/>
              <w:bottom w:val="nil"/>
              <w:right w:val="nil"/>
            </w:tcBorders>
            <w:shd w:val="clear" w:color="auto" w:fill="auto"/>
            <w:noWrap/>
            <w:vAlign w:val="bottom"/>
            <w:hideMark/>
          </w:tcPr>
          <w:p w14:paraId="42B7C024"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0.81</w:t>
            </w:r>
          </w:p>
        </w:tc>
        <w:tc>
          <w:tcPr>
            <w:tcW w:w="236" w:type="dxa"/>
            <w:gridSpan w:val="5"/>
            <w:vAlign w:val="center"/>
            <w:hideMark/>
          </w:tcPr>
          <w:p w14:paraId="1E530969"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729CBCEF"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02091B15"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3260AAA7"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417FA116"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5853A05B"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1B3BBB52"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5D8E00B8" w14:textId="77777777" w:rsidR="00C5012C" w:rsidRPr="003B7EA9" w:rsidRDefault="00C5012C" w:rsidP="00C5012C">
            <w:pPr>
              <w:spacing w:line="240" w:lineRule="auto"/>
              <w:ind w:firstLine="0"/>
              <w:jc w:val="left"/>
              <w:rPr>
                <w:sz w:val="20"/>
                <w:szCs w:val="20"/>
                <w:lang w:eastAsia="en-GB"/>
              </w:rPr>
            </w:pPr>
          </w:p>
        </w:tc>
      </w:tr>
      <w:tr w:rsidR="00FC17B1" w:rsidRPr="003B7EA9" w14:paraId="33F32F28" w14:textId="77777777" w:rsidTr="00F55F69">
        <w:trPr>
          <w:trHeight w:val="20"/>
        </w:trPr>
        <w:tc>
          <w:tcPr>
            <w:tcW w:w="261" w:type="dxa"/>
            <w:tcBorders>
              <w:top w:val="nil"/>
              <w:left w:val="nil"/>
              <w:bottom w:val="nil"/>
              <w:right w:val="nil"/>
            </w:tcBorders>
            <w:shd w:val="clear" w:color="auto" w:fill="auto"/>
            <w:noWrap/>
            <w:vAlign w:val="bottom"/>
            <w:hideMark/>
          </w:tcPr>
          <w:p w14:paraId="45842E6A"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7AF58048"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secondary school age</w:t>
            </w:r>
          </w:p>
        </w:tc>
        <w:tc>
          <w:tcPr>
            <w:tcW w:w="1103" w:type="dxa"/>
            <w:tcBorders>
              <w:top w:val="nil"/>
              <w:left w:val="nil"/>
              <w:bottom w:val="nil"/>
              <w:right w:val="nil"/>
            </w:tcBorders>
            <w:shd w:val="clear" w:color="auto" w:fill="auto"/>
            <w:noWrap/>
            <w:vAlign w:val="bottom"/>
            <w:hideMark/>
          </w:tcPr>
          <w:p w14:paraId="374739F3"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4286F96B"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4F1B450D"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6434F2F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-0.13</w:t>
            </w:r>
          </w:p>
        </w:tc>
        <w:tc>
          <w:tcPr>
            <w:tcW w:w="1281" w:type="dxa"/>
            <w:gridSpan w:val="5"/>
            <w:tcBorders>
              <w:top w:val="nil"/>
              <w:left w:val="nil"/>
              <w:bottom w:val="nil"/>
              <w:right w:val="nil"/>
            </w:tcBorders>
            <w:shd w:val="clear" w:color="auto" w:fill="auto"/>
            <w:noWrap/>
            <w:vAlign w:val="bottom"/>
            <w:hideMark/>
          </w:tcPr>
          <w:p w14:paraId="5E5AC9FF"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0.88</w:t>
            </w:r>
          </w:p>
        </w:tc>
        <w:tc>
          <w:tcPr>
            <w:tcW w:w="424" w:type="dxa"/>
            <w:gridSpan w:val="6"/>
            <w:tcBorders>
              <w:top w:val="nil"/>
              <w:left w:val="nil"/>
              <w:bottom w:val="nil"/>
              <w:right w:val="nil"/>
            </w:tcBorders>
            <w:shd w:val="clear" w:color="auto" w:fill="auto"/>
            <w:noWrap/>
            <w:vAlign w:val="bottom"/>
            <w:hideMark/>
          </w:tcPr>
          <w:p w14:paraId="5C041FAA"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253FA968"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-0.14</w:t>
            </w:r>
          </w:p>
        </w:tc>
        <w:tc>
          <w:tcPr>
            <w:tcW w:w="886" w:type="dxa"/>
            <w:gridSpan w:val="4"/>
            <w:tcBorders>
              <w:top w:val="nil"/>
              <w:left w:val="nil"/>
              <w:bottom w:val="nil"/>
              <w:right w:val="nil"/>
            </w:tcBorders>
            <w:shd w:val="clear" w:color="auto" w:fill="auto"/>
            <w:noWrap/>
            <w:vAlign w:val="bottom"/>
            <w:hideMark/>
          </w:tcPr>
          <w:p w14:paraId="1652BCCC"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0.87</w:t>
            </w:r>
          </w:p>
        </w:tc>
        <w:tc>
          <w:tcPr>
            <w:tcW w:w="236" w:type="dxa"/>
            <w:gridSpan w:val="5"/>
            <w:vAlign w:val="center"/>
            <w:hideMark/>
          </w:tcPr>
          <w:p w14:paraId="7F21928E"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4600577C"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1628FA4E"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3D173609"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3E80DDD9"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70CB9ADB"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4E00B945"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0CD073B2" w14:textId="77777777" w:rsidR="00C5012C" w:rsidRPr="003B7EA9" w:rsidRDefault="00C5012C" w:rsidP="00C5012C">
            <w:pPr>
              <w:spacing w:line="240" w:lineRule="auto"/>
              <w:ind w:firstLine="0"/>
              <w:jc w:val="left"/>
              <w:rPr>
                <w:sz w:val="20"/>
                <w:szCs w:val="20"/>
                <w:lang w:eastAsia="en-GB"/>
              </w:rPr>
            </w:pPr>
          </w:p>
        </w:tc>
      </w:tr>
      <w:tr w:rsidR="00FC17B1" w:rsidRPr="003B7EA9" w14:paraId="11451E4D" w14:textId="77777777" w:rsidTr="00F55F69">
        <w:trPr>
          <w:trHeight w:val="20"/>
        </w:trPr>
        <w:tc>
          <w:tcPr>
            <w:tcW w:w="261" w:type="dxa"/>
            <w:tcBorders>
              <w:top w:val="nil"/>
              <w:left w:val="nil"/>
              <w:bottom w:val="nil"/>
              <w:right w:val="nil"/>
            </w:tcBorders>
            <w:shd w:val="clear" w:color="auto" w:fill="auto"/>
            <w:noWrap/>
            <w:vAlign w:val="bottom"/>
            <w:hideMark/>
          </w:tcPr>
          <w:p w14:paraId="1364F3EA"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22EE1E71"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no qualifications</w:t>
            </w:r>
          </w:p>
        </w:tc>
        <w:tc>
          <w:tcPr>
            <w:tcW w:w="1103" w:type="dxa"/>
            <w:tcBorders>
              <w:top w:val="nil"/>
              <w:left w:val="nil"/>
              <w:bottom w:val="nil"/>
              <w:right w:val="nil"/>
            </w:tcBorders>
            <w:shd w:val="clear" w:color="auto" w:fill="auto"/>
            <w:noWrap/>
            <w:vAlign w:val="bottom"/>
            <w:hideMark/>
          </w:tcPr>
          <w:p w14:paraId="2412A500"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7A50C391"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076B9853"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45BF6B5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-0.47</w:t>
            </w:r>
          </w:p>
        </w:tc>
        <w:tc>
          <w:tcPr>
            <w:tcW w:w="1281" w:type="dxa"/>
            <w:gridSpan w:val="5"/>
            <w:tcBorders>
              <w:top w:val="nil"/>
              <w:left w:val="nil"/>
              <w:bottom w:val="nil"/>
              <w:right w:val="nil"/>
            </w:tcBorders>
            <w:shd w:val="clear" w:color="auto" w:fill="auto"/>
            <w:noWrap/>
            <w:vAlign w:val="bottom"/>
            <w:hideMark/>
          </w:tcPr>
          <w:p w14:paraId="5B86A600"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0.63</w:t>
            </w:r>
          </w:p>
        </w:tc>
        <w:tc>
          <w:tcPr>
            <w:tcW w:w="424" w:type="dxa"/>
            <w:gridSpan w:val="6"/>
            <w:tcBorders>
              <w:top w:val="nil"/>
              <w:left w:val="nil"/>
              <w:bottom w:val="nil"/>
              <w:right w:val="nil"/>
            </w:tcBorders>
            <w:shd w:val="clear" w:color="auto" w:fill="auto"/>
            <w:noWrap/>
            <w:vAlign w:val="bottom"/>
            <w:hideMark/>
          </w:tcPr>
          <w:p w14:paraId="579B3852"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78CC985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-0.47</w:t>
            </w:r>
          </w:p>
        </w:tc>
        <w:tc>
          <w:tcPr>
            <w:tcW w:w="886" w:type="dxa"/>
            <w:gridSpan w:val="4"/>
            <w:tcBorders>
              <w:top w:val="nil"/>
              <w:left w:val="nil"/>
              <w:bottom w:val="nil"/>
              <w:right w:val="nil"/>
            </w:tcBorders>
            <w:shd w:val="clear" w:color="auto" w:fill="auto"/>
            <w:noWrap/>
            <w:vAlign w:val="bottom"/>
            <w:hideMark/>
          </w:tcPr>
          <w:p w14:paraId="5BFC8FA0"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0.63</w:t>
            </w:r>
          </w:p>
        </w:tc>
        <w:tc>
          <w:tcPr>
            <w:tcW w:w="236" w:type="dxa"/>
            <w:gridSpan w:val="5"/>
            <w:vAlign w:val="center"/>
            <w:hideMark/>
          </w:tcPr>
          <w:p w14:paraId="031EE77D"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53A34B46"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3A8BA45C"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1A2D256E"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5101B5CA"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49A7F580"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4B8217A6"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58D22793" w14:textId="77777777" w:rsidR="00C5012C" w:rsidRPr="003B7EA9" w:rsidRDefault="00C5012C" w:rsidP="00C5012C">
            <w:pPr>
              <w:spacing w:line="240" w:lineRule="auto"/>
              <w:ind w:firstLine="0"/>
              <w:jc w:val="left"/>
              <w:rPr>
                <w:sz w:val="20"/>
                <w:szCs w:val="20"/>
                <w:lang w:eastAsia="en-GB"/>
              </w:rPr>
            </w:pPr>
          </w:p>
        </w:tc>
      </w:tr>
      <w:tr w:rsidR="00FC17B1" w:rsidRPr="003B7EA9" w14:paraId="1937081B" w14:textId="77777777" w:rsidTr="00F55F69">
        <w:trPr>
          <w:trHeight w:val="20"/>
        </w:trPr>
        <w:tc>
          <w:tcPr>
            <w:tcW w:w="261" w:type="dxa"/>
            <w:tcBorders>
              <w:top w:val="nil"/>
              <w:left w:val="nil"/>
              <w:bottom w:val="nil"/>
              <w:right w:val="nil"/>
            </w:tcBorders>
            <w:shd w:val="clear" w:color="auto" w:fill="auto"/>
            <w:noWrap/>
            <w:vAlign w:val="bottom"/>
            <w:hideMark/>
          </w:tcPr>
          <w:p w14:paraId="23A83908"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07A09F35" w14:textId="6813F79A" w:rsidR="00C5012C" w:rsidRPr="003B7EA9" w:rsidRDefault="00122E70" w:rsidP="00C5012C">
            <w:pPr>
              <w:spacing w:line="240" w:lineRule="auto"/>
              <w:ind w:firstLine="0"/>
              <w:jc w:val="left"/>
              <w:rPr>
                <w:color w:val="000000"/>
                <w:sz w:val="18"/>
                <w:szCs w:val="18"/>
                <w:lang w:eastAsia="en-GB"/>
              </w:rPr>
            </w:pPr>
            <w:r>
              <w:rPr>
                <w:color w:val="000000"/>
                <w:sz w:val="18"/>
                <w:szCs w:val="18"/>
                <w:lang w:eastAsia="en-GB"/>
              </w:rPr>
              <w:t>l</w:t>
            </w:r>
            <w:r w:rsidR="00C5012C" w:rsidRPr="003B7EA9">
              <w:rPr>
                <w:color w:val="000000"/>
                <w:sz w:val="18"/>
                <w:szCs w:val="18"/>
                <w:lang w:eastAsia="en-GB"/>
              </w:rPr>
              <w:t>evel 1, 2 , apprentice, other</w:t>
            </w:r>
          </w:p>
        </w:tc>
        <w:tc>
          <w:tcPr>
            <w:tcW w:w="1103" w:type="dxa"/>
            <w:tcBorders>
              <w:top w:val="nil"/>
              <w:left w:val="nil"/>
              <w:bottom w:val="nil"/>
              <w:right w:val="nil"/>
            </w:tcBorders>
            <w:shd w:val="clear" w:color="auto" w:fill="auto"/>
            <w:noWrap/>
            <w:vAlign w:val="bottom"/>
            <w:hideMark/>
          </w:tcPr>
          <w:p w14:paraId="380869AE"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35CAFF3E"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47AECEDB"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18427F87"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-0.32</w:t>
            </w:r>
          </w:p>
        </w:tc>
        <w:tc>
          <w:tcPr>
            <w:tcW w:w="1281" w:type="dxa"/>
            <w:gridSpan w:val="5"/>
            <w:tcBorders>
              <w:top w:val="nil"/>
              <w:left w:val="nil"/>
              <w:bottom w:val="nil"/>
              <w:right w:val="nil"/>
            </w:tcBorders>
            <w:shd w:val="clear" w:color="auto" w:fill="auto"/>
            <w:noWrap/>
            <w:vAlign w:val="bottom"/>
            <w:hideMark/>
          </w:tcPr>
          <w:p w14:paraId="4A231AF6"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0.73</w:t>
            </w:r>
          </w:p>
        </w:tc>
        <w:tc>
          <w:tcPr>
            <w:tcW w:w="424" w:type="dxa"/>
            <w:gridSpan w:val="6"/>
            <w:tcBorders>
              <w:top w:val="nil"/>
              <w:left w:val="nil"/>
              <w:bottom w:val="nil"/>
              <w:right w:val="nil"/>
            </w:tcBorders>
            <w:shd w:val="clear" w:color="auto" w:fill="auto"/>
            <w:noWrap/>
            <w:vAlign w:val="bottom"/>
            <w:hideMark/>
          </w:tcPr>
          <w:p w14:paraId="3FCE1CB2"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612F9D85"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-0.32</w:t>
            </w:r>
          </w:p>
        </w:tc>
        <w:tc>
          <w:tcPr>
            <w:tcW w:w="886" w:type="dxa"/>
            <w:gridSpan w:val="4"/>
            <w:tcBorders>
              <w:top w:val="nil"/>
              <w:left w:val="nil"/>
              <w:bottom w:val="nil"/>
              <w:right w:val="nil"/>
            </w:tcBorders>
            <w:shd w:val="clear" w:color="auto" w:fill="auto"/>
            <w:noWrap/>
            <w:vAlign w:val="bottom"/>
            <w:hideMark/>
          </w:tcPr>
          <w:p w14:paraId="7ABAF4B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0.72</w:t>
            </w:r>
          </w:p>
        </w:tc>
        <w:tc>
          <w:tcPr>
            <w:tcW w:w="236" w:type="dxa"/>
            <w:gridSpan w:val="5"/>
            <w:vAlign w:val="center"/>
            <w:hideMark/>
          </w:tcPr>
          <w:p w14:paraId="714C1FC5"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106BC76C"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11CE41A5"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30B90E64"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4669D5B0"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6537A617"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22EBA270"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44C3739C" w14:textId="77777777" w:rsidR="00C5012C" w:rsidRPr="003B7EA9" w:rsidRDefault="00C5012C" w:rsidP="00C5012C">
            <w:pPr>
              <w:spacing w:line="240" w:lineRule="auto"/>
              <w:ind w:firstLine="0"/>
              <w:jc w:val="left"/>
              <w:rPr>
                <w:sz w:val="20"/>
                <w:szCs w:val="20"/>
                <w:lang w:eastAsia="en-GB"/>
              </w:rPr>
            </w:pPr>
          </w:p>
        </w:tc>
      </w:tr>
      <w:tr w:rsidR="00FC17B1" w:rsidRPr="003B7EA9" w14:paraId="56028EBD" w14:textId="77777777" w:rsidTr="00F55F69">
        <w:trPr>
          <w:trHeight w:val="20"/>
        </w:trPr>
        <w:tc>
          <w:tcPr>
            <w:tcW w:w="261" w:type="dxa"/>
            <w:tcBorders>
              <w:top w:val="nil"/>
              <w:left w:val="nil"/>
              <w:bottom w:val="single" w:sz="4" w:space="0" w:color="auto"/>
              <w:right w:val="nil"/>
            </w:tcBorders>
            <w:shd w:val="clear" w:color="auto" w:fill="auto"/>
            <w:noWrap/>
            <w:vAlign w:val="bottom"/>
            <w:hideMark/>
          </w:tcPr>
          <w:p w14:paraId="6F3EC4E1"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 </w:t>
            </w:r>
          </w:p>
        </w:tc>
        <w:tc>
          <w:tcPr>
            <w:tcW w:w="3016" w:type="dxa"/>
            <w:tcBorders>
              <w:top w:val="nil"/>
              <w:left w:val="nil"/>
              <w:bottom w:val="single" w:sz="4" w:space="0" w:color="auto"/>
              <w:right w:val="nil"/>
            </w:tcBorders>
            <w:shd w:val="clear" w:color="auto" w:fill="auto"/>
            <w:noWrap/>
            <w:vAlign w:val="bottom"/>
            <w:hideMark/>
          </w:tcPr>
          <w:p w14:paraId="5613DA1B" w14:textId="0C2E6485" w:rsidR="00C5012C" w:rsidRPr="003B7EA9" w:rsidRDefault="00122E70" w:rsidP="00C5012C">
            <w:pPr>
              <w:spacing w:line="240" w:lineRule="auto"/>
              <w:ind w:firstLine="0"/>
              <w:jc w:val="left"/>
              <w:rPr>
                <w:color w:val="000000"/>
                <w:sz w:val="18"/>
                <w:szCs w:val="18"/>
                <w:lang w:eastAsia="en-GB"/>
              </w:rPr>
            </w:pPr>
            <w:r>
              <w:rPr>
                <w:color w:val="000000"/>
                <w:sz w:val="18"/>
                <w:szCs w:val="18"/>
                <w:lang w:eastAsia="en-GB"/>
              </w:rPr>
              <w:t>l</w:t>
            </w:r>
            <w:r w:rsidR="00C5012C" w:rsidRPr="003B7EA9">
              <w:rPr>
                <w:color w:val="000000"/>
                <w:sz w:val="18"/>
                <w:szCs w:val="18"/>
                <w:lang w:eastAsia="en-GB"/>
              </w:rPr>
              <w:t>evel 3 A levels</w:t>
            </w:r>
          </w:p>
        </w:tc>
        <w:tc>
          <w:tcPr>
            <w:tcW w:w="1103" w:type="dxa"/>
            <w:tcBorders>
              <w:top w:val="nil"/>
              <w:left w:val="nil"/>
              <w:bottom w:val="single" w:sz="4" w:space="0" w:color="auto"/>
              <w:right w:val="nil"/>
            </w:tcBorders>
            <w:shd w:val="clear" w:color="auto" w:fill="auto"/>
            <w:noWrap/>
            <w:vAlign w:val="bottom"/>
            <w:hideMark/>
          </w:tcPr>
          <w:p w14:paraId="52A32D14"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 </w:t>
            </w:r>
          </w:p>
        </w:tc>
        <w:tc>
          <w:tcPr>
            <w:tcW w:w="886" w:type="dxa"/>
            <w:tcBorders>
              <w:top w:val="nil"/>
              <w:left w:val="nil"/>
              <w:bottom w:val="single" w:sz="4" w:space="0" w:color="auto"/>
              <w:right w:val="nil"/>
            </w:tcBorders>
            <w:shd w:val="clear" w:color="auto" w:fill="auto"/>
            <w:noWrap/>
            <w:vAlign w:val="bottom"/>
            <w:hideMark/>
          </w:tcPr>
          <w:p w14:paraId="590527F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 </w:t>
            </w:r>
          </w:p>
        </w:tc>
        <w:tc>
          <w:tcPr>
            <w:tcW w:w="431" w:type="dxa"/>
            <w:gridSpan w:val="2"/>
            <w:tcBorders>
              <w:top w:val="nil"/>
              <w:left w:val="nil"/>
              <w:bottom w:val="nil"/>
              <w:right w:val="nil"/>
            </w:tcBorders>
            <w:shd w:val="clear" w:color="auto" w:fill="auto"/>
            <w:noWrap/>
            <w:vAlign w:val="bottom"/>
            <w:hideMark/>
          </w:tcPr>
          <w:p w14:paraId="35DBF8F1"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single" w:sz="4" w:space="0" w:color="auto"/>
              <w:right w:val="nil"/>
            </w:tcBorders>
            <w:shd w:val="clear" w:color="auto" w:fill="auto"/>
            <w:noWrap/>
            <w:vAlign w:val="bottom"/>
            <w:hideMark/>
          </w:tcPr>
          <w:p w14:paraId="52E9FBD5"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-0.04</w:t>
            </w:r>
          </w:p>
        </w:tc>
        <w:tc>
          <w:tcPr>
            <w:tcW w:w="1281" w:type="dxa"/>
            <w:gridSpan w:val="5"/>
            <w:tcBorders>
              <w:top w:val="nil"/>
              <w:left w:val="nil"/>
              <w:bottom w:val="single" w:sz="4" w:space="0" w:color="auto"/>
              <w:right w:val="nil"/>
            </w:tcBorders>
            <w:shd w:val="clear" w:color="auto" w:fill="auto"/>
            <w:noWrap/>
            <w:vAlign w:val="bottom"/>
            <w:hideMark/>
          </w:tcPr>
          <w:p w14:paraId="756F02C0"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0.96</w:t>
            </w:r>
          </w:p>
        </w:tc>
        <w:tc>
          <w:tcPr>
            <w:tcW w:w="424" w:type="dxa"/>
            <w:gridSpan w:val="6"/>
            <w:tcBorders>
              <w:top w:val="nil"/>
              <w:left w:val="nil"/>
              <w:bottom w:val="nil"/>
              <w:right w:val="nil"/>
            </w:tcBorders>
            <w:shd w:val="clear" w:color="auto" w:fill="auto"/>
            <w:noWrap/>
            <w:vAlign w:val="bottom"/>
            <w:hideMark/>
          </w:tcPr>
          <w:p w14:paraId="3EC980ED"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single" w:sz="4" w:space="0" w:color="auto"/>
              <w:right w:val="nil"/>
            </w:tcBorders>
            <w:shd w:val="clear" w:color="auto" w:fill="auto"/>
            <w:noWrap/>
            <w:vAlign w:val="bottom"/>
            <w:hideMark/>
          </w:tcPr>
          <w:p w14:paraId="5363E3A1"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-0.03</w:t>
            </w:r>
          </w:p>
        </w:tc>
        <w:tc>
          <w:tcPr>
            <w:tcW w:w="886" w:type="dxa"/>
            <w:gridSpan w:val="4"/>
            <w:tcBorders>
              <w:top w:val="nil"/>
              <w:left w:val="nil"/>
              <w:bottom w:val="single" w:sz="4" w:space="0" w:color="auto"/>
              <w:right w:val="nil"/>
            </w:tcBorders>
            <w:shd w:val="clear" w:color="auto" w:fill="auto"/>
            <w:noWrap/>
            <w:vAlign w:val="bottom"/>
            <w:hideMark/>
          </w:tcPr>
          <w:p w14:paraId="3A208808"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0.97</w:t>
            </w:r>
          </w:p>
        </w:tc>
        <w:tc>
          <w:tcPr>
            <w:tcW w:w="236" w:type="dxa"/>
            <w:gridSpan w:val="5"/>
            <w:vAlign w:val="center"/>
            <w:hideMark/>
          </w:tcPr>
          <w:p w14:paraId="0D0F6E01"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23FBE0B3"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10E7FFAF"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2F488915"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0CBFC06D"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3345C840"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17201100"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4438E6FF" w14:textId="77777777" w:rsidR="00C5012C" w:rsidRPr="003B7EA9" w:rsidRDefault="00C5012C" w:rsidP="00C5012C">
            <w:pPr>
              <w:spacing w:line="240" w:lineRule="auto"/>
              <w:ind w:firstLine="0"/>
              <w:jc w:val="left"/>
              <w:rPr>
                <w:sz w:val="20"/>
                <w:szCs w:val="20"/>
                <w:lang w:eastAsia="en-GB"/>
              </w:rPr>
            </w:pPr>
          </w:p>
        </w:tc>
      </w:tr>
      <w:tr w:rsidR="00FC17B1" w:rsidRPr="003B7EA9" w14:paraId="25FC8170" w14:textId="77777777" w:rsidTr="00F55F69">
        <w:trPr>
          <w:gridAfter w:val="4"/>
          <w:wAfter w:w="606" w:type="dxa"/>
          <w:trHeight w:val="20"/>
        </w:trPr>
        <w:tc>
          <w:tcPr>
            <w:tcW w:w="6897" w:type="dxa"/>
            <w:gridSpan w:val="9"/>
            <w:tcBorders>
              <w:top w:val="nil"/>
              <w:left w:val="nil"/>
              <w:bottom w:val="nil"/>
              <w:right w:val="nil"/>
            </w:tcBorders>
            <w:shd w:val="clear" w:color="auto" w:fill="auto"/>
            <w:noWrap/>
            <w:vAlign w:val="bottom"/>
            <w:hideMark/>
          </w:tcPr>
          <w:p w14:paraId="3B2ADB27" w14:textId="394719E6" w:rsidR="00C5012C" w:rsidRPr="003B7EA9" w:rsidRDefault="00C5012C" w:rsidP="00502A2C">
            <w:pPr>
              <w:spacing w:line="240" w:lineRule="auto"/>
              <w:ind w:firstLine="0"/>
              <w:jc w:val="left"/>
              <w:rPr>
                <w:color w:val="000000"/>
                <w:sz w:val="18"/>
                <w:szCs w:val="18"/>
                <w:lang w:eastAsia="en-GB"/>
              </w:rPr>
            </w:pPr>
            <w:r w:rsidRPr="003B7EA9">
              <w:rPr>
                <w:color w:val="000000"/>
                <w:sz w:val="18"/>
                <w:szCs w:val="18"/>
                <w:lang w:eastAsia="en-GB"/>
              </w:rPr>
              <w:t xml:space="preserve">Economic </w:t>
            </w:r>
            <w:r w:rsidR="00502A2C">
              <w:rPr>
                <w:color w:val="000000"/>
                <w:sz w:val="18"/>
                <w:szCs w:val="18"/>
                <w:lang w:eastAsia="en-GB"/>
              </w:rPr>
              <w:t>a</w:t>
            </w:r>
            <w:r w:rsidRPr="003B7EA9">
              <w:rPr>
                <w:color w:val="000000"/>
                <w:sz w:val="18"/>
                <w:szCs w:val="18"/>
                <w:lang w:eastAsia="en-GB"/>
              </w:rPr>
              <w:t>ctivity (reference: full time employee)</w:t>
            </w:r>
          </w:p>
        </w:tc>
        <w:tc>
          <w:tcPr>
            <w:tcW w:w="317" w:type="dxa"/>
            <w:tcBorders>
              <w:top w:val="nil"/>
              <w:left w:val="nil"/>
              <w:bottom w:val="nil"/>
              <w:right w:val="nil"/>
            </w:tcBorders>
            <w:shd w:val="clear" w:color="auto" w:fill="auto"/>
            <w:noWrap/>
            <w:vAlign w:val="bottom"/>
            <w:hideMark/>
          </w:tcPr>
          <w:p w14:paraId="76262F9F" w14:textId="77777777" w:rsidR="00C5012C" w:rsidRPr="003B7EA9" w:rsidRDefault="00C5012C" w:rsidP="00C5012C">
            <w:pPr>
              <w:spacing w:line="240" w:lineRule="auto"/>
              <w:ind w:firstLine="0"/>
              <w:jc w:val="center"/>
              <w:rPr>
                <w:color w:val="000000"/>
                <w:sz w:val="18"/>
                <w:szCs w:val="18"/>
                <w:lang w:eastAsia="en-GB"/>
              </w:rPr>
            </w:pPr>
          </w:p>
        </w:tc>
        <w:tc>
          <w:tcPr>
            <w:tcW w:w="1110" w:type="dxa"/>
            <w:gridSpan w:val="5"/>
            <w:tcBorders>
              <w:top w:val="nil"/>
              <w:left w:val="nil"/>
              <w:bottom w:val="nil"/>
              <w:right w:val="nil"/>
            </w:tcBorders>
            <w:shd w:val="clear" w:color="auto" w:fill="auto"/>
            <w:noWrap/>
            <w:vAlign w:val="bottom"/>
            <w:hideMark/>
          </w:tcPr>
          <w:p w14:paraId="31FDD967" w14:textId="77777777" w:rsidR="00C5012C" w:rsidRPr="003B7EA9" w:rsidRDefault="00C5012C" w:rsidP="00C5012C">
            <w:pPr>
              <w:spacing w:line="240" w:lineRule="auto"/>
              <w:ind w:firstLine="0"/>
              <w:jc w:val="center"/>
              <w:rPr>
                <w:color w:val="000000"/>
                <w:sz w:val="18"/>
                <w:szCs w:val="18"/>
                <w:lang w:eastAsia="en-GB"/>
              </w:rPr>
            </w:pPr>
          </w:p>
        </w:tc>
        <w:tc>
          <w:tcPr>
            <w:tcW w:w="502" w:type="dxa"/>
            <w:gridSpan w:val="5"/>
            <w:tcBorders>
              <w:top w:val="nil"/>
              <w:left w:val="nil"/>
              <w:bottom w:val="nil"/>
              <w:right w:val="nil"/>
            </w:tcBorders>
            <w:shd w:val="clear" w:color="auto" w:fill="auto"/>
            <w:noWrap/>
            <w:vAlign w:val="bottom"/>
            <w:hideMark/>
          </w:tcPr>
          <w:p w14:paraId="728A1ACF" w14:textId="77777777" w:rsidR="00C5012C" w:rsidRPr="003B7EA9" w:rsidRDefault="00C5012C" w:rsidP="00C5012C">
            <w:pPr>
              <w:spacing w:line="240" w:lineRule="auto"/>
              <w:ind w:firstLine="0"/>
              <w:jc w:val="center"/>
              <w:rPr>
                <w:rFonts w:ascii="Calibri" w:hAnsi="Calibri"/>
                <w:color w:val="000000"/>
                <w:sz w:val="22"/>
                <w:szCs w:val="22"/>
                <w:lang w:eastAsia="en-GB"/>
              </w:rPr>
            </w:pPr>
          </w:p>
        </w:tc>
        <w:tc>
          <w:tcPr>
            <w:tcW w:w="590" w:type="dxa"/>
            <w:gridSpan w:val="5"/>
            <w:tcBorders>
              <w:top w:val="nil"/>
              <w:left w:val="nil"/>
              <w:bottom w:val="nil"/>
              <w:right w:val="nil"/>
            </w:tcBorders>
            <w:shd w:val="clear" w:color="auto" w:fill="auto"/>
            <w:noWrap/>
            <w:vAlign w:val="bottom"/>
            <w:hideMark/>
          </w:tcPr>
          <w:p w14:paraId="37336199" w14:textId="77777777" w:rsidR="00C5012C" w:rsidRPr="003B7EA9" w:rsidRDefault="00C5012C" w:rsidP="00C5012C">
            <w:pPr>
              <w:spacing w:line="240" w:lineRule="auto"/>
              <w:ind w:firstLine="0"/>
              <w:jc w:val="center"/>
              <w:rPr>
                <w:rFonts w:ascii="Calibri" w:hAnsi="Calibri"/>
                <w:color w:val="000000"/>
                <w:sz w:val="22"/>
                <w:szCs w:val="22"/>
                <w:lang w:eastAsia="en-GB"/>
              </w:rPr>
            </w:pPr>
          </w:p>
        </w:tc>
        <w:tc>
          <w:tcPr>
            <w:tcW w:w="781" w:type="dxa"/>
            <w:gridSpan w:val="4"/>
            <w:tcBorders>
              <w:top w:val="nil"/>
              <w:left w:val="nil"/>
              <w:bottom w:val="nil"/>
              <w:right w:val="nil"/>
            </w:tcBorders>
            <w:shd w:val="clear" w:color="auto" w:fill="auto"/>
            <w:noWrap/>
            <w:vAlign w:val="bottom"/>
            <w:hideMark/>
          </w:tcPr>
          <w:p w14:paraId="493401B9" w14:textId="77777777" w:rsidR="00C5012C" w:rsidRPr="003B7EA9" w:rsidRDefault="00C5012C" w:rsidP="00C5012C">
            <w:pPr>
              <w:spacing w:line="240" w:lineRule="auto"/>
              <w:ind w:firstLine="0"/>
              <w:jc w:val="center"/>
              <w:rPr>
                <w:rFonts w:ascii="Calibri" w:hAnsi="Calibri"/>
                <w:color w:val="000000"/>
                <w:sz w:val="22"/>
                <w:szCs w:val="22"/>
                <w:lang w:eastAsia="en-GB"/>
              </w:rPr>
            </w:pPr>
          </w:p>
        </w:tc>
        <w:tc>
          <w:tcPr>
            <w:tcW w:w="327" w:type="dxa"/>
            <w:gridSpan w:val="2"/>
            <w:tcBorders>
              <w:top w:val="nil"/>
              <w:left w:val="nil"/>
              <w:bottom w:val="nil"/>
              <w:right w:val="nil"/>
            </w:tcBorders>
            <w:shd w:val="clear" w:color="auto" w:fill="auto"/>
            <w:noWrap/>
            <w:vAlign w:val="bottom"/>
            <w:hideMark/>
          </w:tcPr>
          <w:p w14:paraId="6B32F98F" w14:textId="77777777" w:rsidR="00C5012C" w:rsidRPr="003B7EA9" w:rsidRDefault="00C5012C" w:rsidP="00C5012C">
            <w:pPr>
              <w:spacing w:line="240" w:lineRule="auto"/>
              <w:ind w:firstLine="0"/>
              <w:jc w:val="center"/>
              <w:rPr>
                <w:rFonts w:ascii="Calibri" w:hAnsi="Calibri"/>
                <w:color w:val="000000"/>
                <w:sz w:val="22"/>
                <w:szCs w:val="22"/>
                <w:lang w:eastAsia="en-GB"/>
              </w:rPr>
            </w:pPr>
          </w:p>
        </w:tc>
        <w:tc>
          <w:tcPr>
            <w:tcW w:w="1440" w:type="dxa"/>
            <w:gridSpan w:val="15"/>
            <w:vAlign w:val="center"/>
            <w:hideMark/>
          </w:tcPr>
          <w:p w14:paraId="1D9CDD9C"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25EE6A7D" w14:textId="77777777" w:rsidR="00C5012C" w:rsidRPr="003B7EA9" w:rsidRDefault="00C5012C" w:rsidP="00C5012C">
            <w:pPr>
              <w:spacing w:line="240" w:lineRule="auto"/>
              <w:ind w:firstLine="0"/>
              <w:jc w:val="left"/>
              <w:rPr>
                <w:sz w:val="20"/>
                <w:szCs w:val="20"/>
                <w:lang w:eastAsia="en-GB"/>
              </w:rPr>
            </w:pPr>
          </w:p>
        </w:tc>
        <w:tc>
          <w:tcPr>
            <w:tcW w:w="1010" w:type="dxa"/>
            <w:gridSpan w:val="4"/>
            <w:vAlign w:val="center"/>
            <w:hideMark/>
          </w:tcPr>
          <w:p w14:paraId="4677F575" w14:textId="77777777" w:rsidR="00C5012C" w:rsidRPr="003B7EA9" w:rsidRDefault="00C5012C" w:rsidP="00C5012C">
            <w:pPr>
              <w:spacing w:line="240" w:lineRule="auto"/>
              <w:ind w:firstLine="0"/>
              <w:jc w:val="left"/>
              <w:rPr>
                <w:sz w:val="20"/>
                <w:szCs w:val="20"/>
                <w:lang w:eastAsia="en-GB"/>
              </w:rPr>
            </w:pPr>
          </w:p>
        </w:tc>
        <w:tc>
          <w:tcPr>
            <w:tcW w:w="236" w:type="dxa"/>
            <w:gridSpan w:val="3"/>
            <w:vAlign w:val="center"/>
            <w:hideMark/>
          </w:tcPr>
          <w:p w14:paraId="03105E40" w14:textId="77777777" w:rsidR="00C5012C" w:rsidRPr="003B7EA9" w:rsidRDefault="00C5012C" w:rsidP="00C5012C">
            <w:pPr>
              <w:spacing w:line="240" w:lineRule="auto"/>
              <w:ind w:firstLine="0"/>
              <w:jc w:val="left"/>
              <w:rPr>
                <w:sz w:val="20"/>
                <w:szCs w:val="20"/>
                <w:lang w:eastAsia="en-GB"/>
              </w:rPr>
            </w:pPr>
          </w:p>
        </w:tc>
      </w:tr>
      <w:tr w:rsidR="00FC17B1" w:rsidRPr="003B7EA9" w14:paraId="03669E3E" w14:textId="77777777" w:rsidTr="00F55F69">
        <w:trPr>
          <w:trHeight w:val="20"/>
        </w:trPr>
        <w:tc>
          <w:tcPr>
            <w:tcW w:w="261" w:type="dxa"/>
            <w:tcBorders>
              <w:top w:val="nil"/>
              <w:left w:val="nil"/>
              <w:bottom w:val="nil"/>
              <w:right w:val="nil"/>
            </w:tcBorders>
            <w:shd w:val="clear" w:color="auto" w:fill="auto"/>
            <w:noWrap/>
            <w:vAlign w:val="bottom"/>
            <w:hideMark/>
          </w:tcPr>
          <w:p w14:paraId="62FE6467"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545EB588"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part time employee</w:t>
            </w:r>
          </w:p>
        </w:tc>
        <w:tc>
          <w:tcPr>
            <w:tcW w:w="1103" w:type="dxa"/>
            <w:tcBorders>
              <w:top w:val="nil"/>
              <w:left w:val="nil"/>
              <w:bottom w:val="nil"/>
              <w:right w:val="nil"/>
            </w:tcBorders>
            <w:shd w:val="clear" w:color="auto" w:fill="auto"/>
            <w:noWrap/>
            <w:vAlign w:val="bottom"/>
            <w:hideMark/>
          </w:tcPr>
          <w:p w14:paraId="506714BF"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1D93C445"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48DD5F96"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6FA8D322"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-0.17</w:t>
            </w:r>
          </w:p>
        </w:tc>
        <w:tc>
          <w:tcPr>
            <w:tcW w:w="1281" w:type="dxa"/>
            <w:gridSpan w:val="5"/>
            <w:tcBorders>
              <w:top w:val="nil"/>
              <w:left w:val="nil"/>
              <w:bottom w:val="nil"/>
              <w:right w:val="nil"/>
            </w:tcBorders>
            <w:shd w:val="clear" w:color="auto" w:fill="auto"/>
            <w:noWrap/>
            <w:vAlign w:val="bottom"/>
            <w:hideMark/>
          </w:tcPr>
          <w:p w14:paraId="3AB8B0CB"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0.84</w:t>
            </w:r>
          </w:p>
        </w:tc>
        <w:tc>
          <w:tcPr>
            <w:tcW w:w="424" w:type="dxa"/>
            <w:gridSpan w:val="6"/>
            <w:tcBorders>
              <w:top w:val="nil"/>
              <w:left w:val="nil"/>
              <w:bottom w:val="nil"/>
              <w:right w:val="nil"/>
            </w:tcBorders>
            <w:shd w:val="clear" w:color="auto" w:fill="auto"/>
            <w:noWrap/>
            <w:vAlign w:val="bottom"/>
            <w:hideMark/>
          </w:tcPr>
          <w:p w14:paraId="5A6335BC"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2B114CE8"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-0.17</w:t>
            </w:r>
          </w:p>
        </w:tc>
        <w:tc>
          <w:tcPr>
            <w:tcW w:w="886" w:type="dxa"/>
            <w:gridSpan w:val="4"/>
            <w:tcBorders>
              <w:top w:val="nil"/>
              <w:left w:val="nil"/>
              <w:bottom w:val="nil"/>
              <w:right w:val="nil"/>
            </w:tcBorders>
            <w:shd w:val="clear" w:color="auto" w:fill="auto"/>
            <w:noWrap/>
            <w:vAlign w:val="bottom"/>
            <w:hideMark/>
          </w:tcPr>
          <w:p w14:paraId="51C0316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0.85</w:t>
            </w:r>
          </w:p>
        </w:tc>
        <w:tc>
          <w:tcPr>
            <w:tcW w:w="236" w:type="dxa"/>
            <w:gridSpan w:val="5"/>
            <w:vAlign w:val="center"/>
            <w:hideMark/>
          </w:tcPr>
          <w:p w14:paraId="553517EF"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70E416E5"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794F3EAE"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7024A433"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48BC36A2"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7788B34C"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525371A1"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663B1377" w14:textId="77777777" w:rsidR="00C5012C" w:rsidRPr="003B7EA9" w:rsidRDefault="00C5012C" w:rsidP="00C5012C">
            <w:pPr>
              <w:spacing w:line="240" w:lineRule="auto"/>
              <w:ind w:firstLine="0"/>
              <w:jc w:val="left"/>
              <w:rPr>
                <w:sz w:val="20"/>
                <w:szCs w:val="20"/>
                <w:lang w:eastAsia="en-GB"/>
              </w:rPr>
            </w:pPr>
          </w:p>
        </w:tc>
      </w:tr>
      <w:tr w:rsidR="00FC17B1" w:rsidRPr="003B7EA9" w14:paraId="5C53361D" w14:textId="77777777" w:rsidTr="00F55F69">
        <w:trPr>
          <w:trHeight w:val="20"/>
        </w:trPr>
        <w:tc>
          <w:tcPr>
            <w:tcW w:w="261" w:type="dxa"/>
            <w:tcBorders>
              <w:top w:val="nil"/>
              <w:left w:val="nil"/>
              <w:bottom w:val="nil"/>
              <w:right w:val="nil"/>
            </w:tcBorders>
            <w:shd w:val="clear" w:color="auto" w:fill="auto"/>
            <w:noWrap/>
            <w:vAlign w:val="bottom"/>
            <w:hideMark/>
          </w:tcPr>
          <w:p w14:paraId="12D1541E"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0394C118"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self employed</w:t>
            </w:r>
          </w:p>
        </w:tc>
        <w:tc>
          <w:tcPr>
            <w:tcW w:w="1103" w:type="dxa"/>
            <w:tcBorders>
              <w:top w:val="nil"/>
              <w:left w:val="nil"/>
              <w:bottom w:val="nil"/>
              <w:right w:val="nil"/>
            </w:tcBorders>
            <w:shd w:val="clear" w:color="auto" w:fill="auto"/>
            <w:noWrap/>
            <w:vAlign w:val="bottom"/>
            <w:hideMark/>
          </w:tcPr>
          <w:p w14:paraId="7CC0600D"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7B31C49C"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3F509879"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11F620EB"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-0.10</w:t>
            </w:r>
          </w:p>
        </w:tc>
        <w:tc>
          <w:tcPr>
            <w:tcW w:w="1281" w:type="dxa"/>
            <w:gridSpan w:val="5"/>
            <w:tcBorders>
              <w:top w:val="nil"/>
              <w:left w:val="nil"/>
              <w:bottom w:val="nil"/>
              <w:right w:val="nil"/>
            </w:tcBorders>
            <w:shd w:val="clear" w:color="auto" w:fill="auto"/>
            <w:noWrap/>
            <w:vAlign w:val="bottom"/>
            <w:hideMark/>
          </w:tcPr>
          <w:p w14:paraId="2A598B5F"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0.91</w:t>
            </w:r>
          </w:p>
        </w:tc>
        <w:tc>
          <w:tcPr>
            <w:tcW w:w="424" w:type="dxa"/>
            <w:gridSpan w:val="6"/>
            <w:tcBorders>
              <w:top w:val="nil"/>
              <w:left w:val="nil"/>
              <w:bottom w:val="nil"/>
              <w:right w:val="nil"/>
            </w:tcBorders>
            <w:shd w:val="clear" w:color="auto" w:fill="auto"/>
            <w:noWrap/>
            <w:vAlign w:val="bottom"/>
            <w:hideMark/>
          </w:tcPr>
          <w:p w14:paraId="48449799"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0A78AB7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-0.09</w:t>
            </w:r>
          </w:p>
        </w:tc>
        <w:tc>
          <w:tcPr>
            <w:tcW w:w="886" w:type="dxa"/>
            <w:gridSpan w:val="4"/>
            <w:tcBorders>
              <w:top w:val="nil"/>
              <w:left w:val="nil"/>
              <w:bottom w:val="nil"/>
              <w:right w:val="nil"/>
            </w:tcBorders>
            <w:shd w:val="clear" w:color="auto" w:fill="auto"/>
            <w:noWrap/>
            <w:vAlign w:val="bottom"/>
            <w:hideMark/>
          </w:tcPr>
          <w:p w14:paraId="5257AB42"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0.91</w:t>
            </w:r>
          </w:p>
        </w:tc>
        <w:tc>
          <w:tcPr>
            <w:tcW w:w="236" w:type="dxa"/>
            <w:gridSpan w:val="5"/>
            <w:vAlign w:val="center"/>
            <w:hideMark/>
          </w:tcPr>
          <w:p w14:paraId="0851DC72"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4782B03E"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7BB02884"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300F42AB"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547D778E"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6C606FD4"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4AAF11C6"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3949B937" w14:textId="77777777" w:rsidR="00C5012C" w:rsidRPr="003B7EA9" w:rsidRDefault="00C5012C" w:rsidP="00C5012C">
            <w:pPr>
              <w:spacing w:line="240" w:lineRule="auto"/>
              <w:ind w:firstLine="0"/>
              <w:jc w:val="left"/>
              <w:rPr>
                <w:sz w:val="20"/>
                <w:szCs w:val="20"/>
                <w:lang w:eastAsia="en-GB"/>
              </w:rPr>
            </w:pPr>
          </w:p>
        </w:tc>
      </w:tr>
      <w:tr w:rsidR="00FC17B1" w:rsidRPr="003B7EA9" w14:paraId="659DACF4" w14:textId="77777777" w:rsidTr="00F55F69">
        <w:trPr>
          <w:trHeight w:val="20"/>
        </w:trPr>
        <w:tc>
          <w:tcPr>
            <w:tcW w:w="261" w:type="dxa"/>
            <w:tcBorders>
              <w:top w:val="nil"/>
              <w:left w:val="nil"/>
              <w:bottom w:val="nil"/>
              <w:right w:val="nil"/>
            </w:tcBorders>
            <w:shd w:val="clear" w:color="auto" w:fill="auto"/>
            <w:noWrap/>
            <w:vAlign w:val="bottom"/>
            <w:hideMark/>
          </w:tcPr>
          <w:p w14:paraId="7F4FED25"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384992E3" w14:textId="1ECDC00A" w:rsidR="00C5012C" w:rsidRPr="003B7EA9" w:rsidRDefault="00502A2C" w:rsidP="00C5012C">
            <w:pPr>
              <w:spacing w:line="240" w:lineRule="auto"/>
              <w:ind w:firstLine="0"/>
              <w:jc w:val="left"/>
              <w:rPr>
                <w:color w:val="000000"/>
                <w:sz w:val="18"/>
                <w:szCs w:val="18"/>
                <w:lang w:eastAsia="en-GB"/>
              </w:rPr>
            </w:pPr>
            <w:r>
              <w:rPr>
                <w:color w:val="000000"/>
                <w:sz w:val="18"/>
                <w:szCs w:val="18"/>
                <w:lang w:eastAsia="en-GB"/>
              </w:rPr>
              <w:t>u</w:t>
            </w:r>
            <w:r w:rsidR="00C5012C" w:rsidRPr="003B7EA9">
              <w:rPr>
                <w:color w:val="000000"/>
                <w:sz w:val="18"/>
                <w:szCs w:val="18"/>
                <w:lang w:eastAsia="en-GB"/>
              </w:rPr>
              <w:t>nemployed</w:t>
            </w:r>
          </w:p>
        </w:tc>
        <w:tc>
          <w:tcPr>
            <w:tcW w:w="1103" w:type="dxa"/>
            <w:tcBorders>
              <w:top w:val="nil"/>
              <w:left w:val="nil"/>
              <w:bottom w:val="nil"/>
              <w:right w:val="nil"/>
            </w:tcBorders>
            <w:shd w:val="clear" w:color="auto" w:fill="auto"/>
            <w:noWrap/>
            <w:vAlign w:val="bottom"/>
            <w:hideMark/>
          </w:tcPr>
          <w:p w14:paraId="7994DE43"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5F1F9B56"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5A971AC4"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71EAB9F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0.16</w:t>
            </w:r>
          </w:p>
        </w:tc>
        <w:tc>
          <w:tcPr>
            <w:tcW w:w="1281" w:type="dxa"/>
            <w:gridSpan w:val="5"/>
            <w:tcBorders>
              <w:top w:val="nil"/>
              <w:left w:val="nil"/>
              <w:bottom w:val="nil"/>
              <w:right w:val="nil"/>
            </w:tcBorders>
            <w:shd w:val="clear" w:color="auto" w:fill="auto"/>
            <w:noWrap/>
            <w:vAlign w:val="bottom"/>
            <w:hideMark/>
          </w:tcPr>
          <w:p w14:paraId="54EC9CE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1.18</w:t>
            </w:r>
          </w:p>
        </w:tc>
        <w:tc>
          <w:tcPr>
            <w:tcW w:w="424" w:type="dxa"/>
            <w:gridSpan w:val="6"/>
            <w:tcBorders>
              <w:top w:val="nil"/>
              <w:left w:val="nil"/>
              <w:bottom w:val="nil"/>
              <w:right w:val="nil"/>
            </w:tcBorders>
            <w:shd w:val="clear" w:color="auto" w:fill="auto"/>
            <w:noWrap/>
            <w:vAlign w:val="bottom"/>
            <w:hideMark/>
          </w:tcPr>
          <w:p w14:paraId="144D47D5"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73C96309"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0.17</w:t>
            </w:r>
          </w:p>
        </w:tc>
        <w:tc>
          <w:tcPr>
            <w:tcW w:w="886" w:type="dxa"/>
            <w:gridSpan w:val="4"/>
            <w:tcBorders>
              <w:top w:val="nil"/>
              <w:left w:val="nil"/>
              <w:bottom w:val="nil"/>
              <w:right w:val="nil"/>
            </w:tcBorders>
            <w:shd w:val="clear" w:color="auto" w:fill="auto"/>
            <w:noWrap/>
            <w:vAlign w:val="bottom"/>
            <w:hideMark/>
          </w:tcPr>
          <w:p w14:paraId="0FE93401"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1.18</w:t>
            </w:r>
          </w:p>
        </w:tc>
        <w:tc>
          <w:tcPr>
            <w:tcW w:w="236" w:type="dxa"/>
            <w:gridSpan w:val="5"/>
            <w:vAlign w:val="center"/>
            <w:hideMark/>
          </w:tcPr>
          <w:p w14:paraId="007CB4DA"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4B32C24C"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7554B2CD"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4D5C5BEE"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6B3FA43B"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038C656C"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3C1B889F"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075511EF" w14:textId="77777777" w:rsidR="00C5012C" w:rsidRPr="003B7EA9" w:rsidRDefault="00C5012C" w:rsidP="00C5012C">
            <w:pPr>
              <w:spacing w:line="240" w:lineRule="auto"/>
              <w:ind w:firstLine="0"/>
              <w:jc w:val="left"/>
              <w:rPr>
                <w:sz w:val="20"/>
                <w:szCs w:val="20"/>
                <w:lang w:eastAsia="en-GB"/>
              </w:rPr>
            </w:pPr>
          </w:p>
        </w:tc>
      </w:tr>
      <w:tr w:rsidR="00FC17B1" w:rsidRPr="003B7EA9" w14:paraId="5699CC4E" w14:textId="77777777" w:rsidTr="00F55F69">
        <w:trPr>
          <w:trHeight w:val="20"/>
        </w:trPr>
        <w:tc>
          <w:tcPr>
            <w:tcW w:w="261" w:type="dxa"/>
            <w:tcBorders>
              <w:top w:val="nil"/>
              <w:left w:val="nil"/>
              <w:bottom w:val="nil"/>
              <w:right w:val="nil"/>
            </w:tcBorders>
            <w:shd w:val="clear" w:color="auto" w:fill="auto"/>
            <w:noWrap/>
            <w:vAlign w:val="bottom"/>
            <w:hideMark/>
          </w:tcPr>
          <w:p w14:paraId="6D00F025"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58099DAC" w14:textId="6167C739" w:rsidR="00C5012C" w:rsidRPr="003B7EA9" w:rsidRDefault="00502A2C" w:rsidP="00C5012C">
            <w:pPr>
              <w:spacing w:line="240" w:lineRule="auto"/>
              <w:ind w:firstLine="0"/>
              <w:jc w:val="left"/>
              <w:rPr>
                <w:color w:val="000000"/>
                <w:sz w:val="18"/>
                <w:szCs w:val="18"/>
                <w:lang w:eastAsia="en-GB"/>
              </w:rPr>
            </w:pPr>
            <w:r>
              <w:rPr>
                <w:color w:val="000000"/>
                <w:sz w:val="18"/>
                <w:szCs w:val="18"/>
                <w:lang w:eastAsia="en-GB"/>
              </w:rPr>
              <w:t>r</w:t>
            </w:r>
            <w:r w:rsidR="00C5012C" w:rsidRPr="003B7EA9">
              <w:rPr>
                <w:color w:val="000000"/>
                <w:sz w:val="18"/>
                <w:szCs w:val="18"/>
                <w:lang w:eastAsia="en-GB"/>
              </w:rPr>
              <w:t>etired</w:t>
            </w:r>
          </w:p>
        </w:tc>
        <w:tc>
          <w:tcPr>
            <w:tcW w:w="1103" w:type="dxa"/>
            <w:tcBorders>
              <w:top w:val="nil"/>
              <w:left w:val="nil"/>
              <w:bottom w:val="nil"/>
              <w:right w:val="nil"/>
            </w:tcBorders>
            <w:shd w:val="clear" w:color="auto" w:fill="auto"/>
            <w:noWrap/>
            <w:vAlign w:val="bottom"/>
            <w:hideMark/>
          </w:tcPr>
          <w:p w14:paraId="03F2AE6C"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101A1E09"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54FEE69B"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51E1B002"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-0.37</w:t>
            </w:r>
          </w:p>
        </w:tc>
        <w:tc>
          <w:tcPr>
            <w:tcW w:w="1281" w:type="dxa"/>
            <w:gridSpan w:val="5"/>
            <w:tcBorders>
              <w:top w:val="nil"/>
              <w:left w:val="nil"/>
              <w:bottom w:val="nil"/>
              <w:right w:val="nil"/>
            </w:tcBorders>
            <w:shd w:val="clear" w:color="auto" w:fill="auto"/>
            <w:noWrap/>
            <w:vAlign w:val="bottom"/>
            <w:hideMark/>
          </w:tcPr>
          <w:p w14:paraId="5A2A258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0.69</w:t>
            </w:r>
          </w:p>
        </w:tc>
        <w:tc>
          <w:tcPr>
            <w:tcW w:w="424" w:type="dxa"/>
            <w:gridSpan w:val="6"/>
            <w:tcBorders>
              <w:top w:val="nil"/>
              <w:left w:val="nil"/>
              <w:bottom w:val="nil"/>
              <w:right w:val="nil"/>
            </w:tcBorders>
            <w:shd w:val="clear" w:color="auto" w:fill="auto"/>
            <w:noWrap/>
            <w:vAlign w:val="bottom"/>
            <w:hideMark/>
          </w:tcPr>
          <w:p w14:paraId="1DEF707C"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05BB0BDC"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-0.36</w:t>
            </w:r>
          </w:p>
        </w:tc>
        <w:tc>
          <w:tcPr>
            <w:tcW w:w="886" w:type="dxa"/>
            <w:gridSpan w:val="4"/>
            <w:tcBorders>
              <w:top w:val="nil"/>
              <w:left w:val="nil"/>
              <w:bottom w:val="nil"/>
              <w:right w:val="nil"/>
            </w:tcBorders>
            <w:shd w:val="clear" w:color="auto" w:fill="auto"/>
            <w:noWrap/>
            <w:vAlign w:val="bottom"/>
            <w:hideMark/>
          </w:tcPr>
          <w:p w14:paraId="73C29CFC"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0.70</w:t>
            </w:r>
          </w:p>
        </w:tc>
        <w:tc>
          <w:tcPr>
            <w:tcW w:w="236" w:type="dxa"/>
            <w:gridSpan w:val="5"/>
            <w:vAlign w:val="center"/>
            <w:hideMark/>
          </w:tcPr>
          <w:p w14:paraId="0C0D53E1"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76579A9A"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19D30B2C"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506048D0"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18D62563"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6A6507ED"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40EDFB72"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04D410EB" w14:textId="77777777" w:rsidR="00C5012C" w:rsidRPr="003B7EA9" w:rsidRDefault="00C5012C" w:rsidP="00C5012C">
            <w:pPr>
              <w:spacing w:line="240" w:lineRule="auto"/>
              <w:ind w:firstLine="0"/>
              <w:jc w:val="left"/>
              <w:rPr>
                <w:sz w:val="20"/>
                <w:szCs w:val="20"/>
                <w:lang w:eastAsia="en-GB"/>
              </w:rPr>
            </w:pPr>
          </w:p>
        </w:tc>
      </w:tr>
      <w:tr w:rsidR="00FC17B1" w:rsidRPr="003B7EA9" w14:paraId="1D995CF1" w14:textId="77777777" w:rsidTr="00F55F69">
        <w:trPr>
          <w:trHeight w:val="20"/>
        </w:trPr>
        <w:tc>
          <w:tcPr>
            <w:tcW w:w="261" w:type="dxa"/>
            <w:tcBorders>
              <w:top w:val="nil"/>
              <w:left w:val="nil"/>
              <w:bottom w:val="nil"/>
              <w:right w:val="nil"/>
            </w:tcBorders>
            <w:shd w:val="clear" w:color="auto" w:fill="auto"/>
            <w:noWrap/>
            <w:vAlign w:val="bottom"/>
            <w:hideMark/>
          </w:tcPr>
          <w:p w14:paraId="653FAA5E"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5677D6C7"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student post 16</w:t>
            </w:r>
          </w:p>
        </w:tc>
        <w:tc>
          <w:tcPr>
            <w:tcW w:w="1103" w:type="dxa"/>
            <w:tcBorders>
              <w:top w:val="nil"/>
              <w:left w:val="nil"/>
              <w:bottom w:val="nil"/>
              <w:right w:val="nil"/>
            </w:tcBorders>
            <w:shd w:val="clear" w:color="auto" w:fill="auto"/>
            <w:noWrap/>
            <w:vAlign w:val="bottom"/>
            <w:hideMark/>
          </w:tcPr>
          <w:p w14:paraId="4E776915"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56072DD5"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6C763119"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0D467B6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0.25</w:t>
            </w:r>
          </w:p>
        </w:tc>
        <w:tc>
          <w:tcPr>
            <w:tcW w:w="1281" w:type="dxa"/>
            <w:gridSpan w:val="5"/>
            <w:tcBorders>
              <w:top w:val="nil"/>
              <w:left w:val="nil"/>
              <w:bottom w:val="nil"/>
              <w:right w:val="nil"/>
            </w:tcBorders>
            <w:shd w:val="clear" w:color="auto" w:fill="auto"/>
            <w:noWrap/>
            <w:vAlign w:val="bottom"/>
            <w:hideMark/>
          </w:tcPr>
          <w:p w14:paraId="63F9DB4A"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1.29</w:t>
            </w:r>
          </w:p>
        </w:tc>
        <w:tc>
          <w:tcPr>
            <w:tcW w:w="424" w:type="dxa"/>
            <w:gridSpan w:val="6"/>
            <w:tcBorders>
              <w:top w:val="nil"/>
              <w:left w:val="nil"/>
              <w:bottom w:val="nil"/>
              <w:right w:val="nil"/>
            </w:tcBorders>
            <w:shd w:val="clear" w:color="auto" w:fill="auto"/>
            <w:noWrap/>
            <w:vAlign w:val="bottom"/>
            <w:hideMark/>
          </w:tcPr>
          <w:p w14:paraId="035E85CC"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5C3F8367"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0.23</w:t>
            </w:r>
          </w:p>
        </w:tc>
        <w:tc>
          <w:tcPr>
            <w:tcW w:w="886" w:type="dxa"/>
            <w:gridSpan w:val="4"/>
            <w:tcBorders>
              <w:top w:val="nil"/>
              <w:left w:val="nil"/>
              <w:bottom w:val="nil"/>
              <w:right w:val="nil"/>
            </w:tcBorders>
            <w:shd w:val="clear" w:color="auto" w:fill="auto"/>
            <w:noWrap/>
            <w:vAlign w:val="bottom"/>
            <w:hideMark/>
          </w:tcPr>
          <w:p w14:paraId="0BA0EB46"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1.26</w:t>
            </w:r>
          </w:p>
        </w:tc>
        <w:tc>
          <w:tcPr>
            <w:tcW w:w="236" w:type="dxa"/>
            <w:gridSpan w:val="5"/>
            <w:vAlign w:val="center"/>
            <w:hideMark/>
          </w:tcPr>
          <w:p w14:paraId="376EA2A3"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2A6228A0"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12BD3AB3"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00819DD4"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0790755B"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4BF2E566"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40574805"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6F72AE65" w14:textId="77777777" w:rsidR="00C5012C" w:rsidRPr="003B7EA9" w:rsidRDefault="00C5012C" w:rsidP="00C5012C">
            <w:pPr>
              <w:spacing w:line="240" w:lineRule="auto"/>
              <w:ind w:firstLine="0"/>
              <w:jc w:val="left"/>
              <w:rPr>
                <w:sz w:val="20"/>
                <w:szCs w:val="20"/>
                <w:lang w:eastAsia="en-GB"/>
              </w:rPr>
            </w:pPr>
          </w:p>
        </w:tc>
      </w:tr>
      <w:tr w:rsidR="00FC17B1" w:rsidRPr="003B7EA9" w14:paraId="60DEF94A" w14:textId="77777777" w:rsidTr="00F55F69">
        <w:trPr>
          <w:trHeight w:val="20"/>
        </w:trPr>
        <w:tc>
          <w:tcPr>
            <w:tcW w:w="261" w:type="dxa"/>
            <w:tcBorders>
              <w:top w:val="nil"/>
              <w:left w:val="nil"/>
              <w:bottom w:val="nil"/>
              <w:right w:val="nil"/>
            </w:tcBorders>
            <w:shd w:val="clear" w:color="auto" w:fill="auto"/>
            <w:noWrap/>
            <w:vAlign w:val="bottom"/>
            <w:hideMark/>
          </w:tcPr>
          <w:p w14:paraId="1F8F53F5" w14:textId="77777777" w:rsidR="00C5012C" w:rsidRPr="003B7EA9" w:rsidRDefault="00C5012C" w:rsidP="00C5012C">
            <w:pPr>
              <w:spacing w:line="240" w:lineRule="auto"/>
              <w:ind w:firstLine="0"/>
              <w:jc w:val="left"/>
              <w:rPr>
                <w:color w:val="000000"/>
                <w:sz w:val="18"/>
                <w:szCs w:val="18"/>
                <w:lang w:eastAsia="en-GB"/>
              </w:rPr>
            </w:pPr>
          </w:p>
        </w:tc>
        <w:tc>
          <w:tcPr>
            <w:tcW w:w="4119" w:type="dxa"/>
            <w:gridSpan w:val="2"/>
            <w:tcBorders>
              <w:top w:val="nil"/>
              <w:left w:val="nil"/>
              <w:bottom w:val="nil"/>
              <w:right w:val="nil"/>
            </w:tcBorders>
            <w:shd w:val="clear" w:color="auto" w:fill="auto"/>
            <w:noWrap/>
            <w:vAlign w:val="bottom"/>
            <w:hideMark/>
          </w:tcPr>
          <w:p w14:paraId="58949FA4"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looking after home / other inactive</w:t>
            </w:r>
          </w:p>
        </w:tc>
        <w:tc>
          <w:tcPr>
            <w:tcW w:w="886" w:type="dxa"/>
            <w:tcBorders>
              <w:top w:val="nil"/>
              <w:left w:val="nil"/>
              <w:bottom w:val="nil"/>
              <w:right w:val="nil"/>
            </w:tcBorders>
            <w:shd w:val="clear" w:color="auto" w:fill="auto"/>
            <w:noWrap/>
            <w:vAlign w:val="bottom"/>
            <w:hideMark/>
          </w:tcPr>
          <w:p w14:paraId="58BD34E9"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6DA3C2C8"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3E74615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0.07</w:t>
            </w:r>
          </w:p>
        </w:tc>
        <w:tc>
          <w:tcPr>
            <w:tcW w:w="1281" w:type="dxa"/>
            <w:gridSpan w:val="5"/>
            <w:tcBorders>
              <w:top w:val="nil"/>
              <w:left w:val="nil"/>
              <w:bottom w:val="nil"/>
              <w:right w:val="nil"/>
            </w:tcBorders>
            <w:shd w:val="clear" w:color="auto" w:fill="auto"/>
            <w:noWrap/>
            <w:vAlign w:val="bottom"/>
            <w:hideMark/>
          </w:tcPr>
          <w:p w14:paraId="11C691EF"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1.07</w:t>
            </w:r>
          </w:p>
        </w:tc>
        <w:tc>
          <w:tcPr>
            <w:tcW w:w="424" w:type="dxa"/>
            <w:gridSpan w:val="6"/>
            <w:tcBorders>
              <w:top w:val="nil"/>
              <w:left w:val="nil"/>
              <w:bottom w:val="nil"/>
              <w:right w:val="nil"/>
            </w:tcBorders>
            <w:shd w:val="clear" w:color="auto" w:fill="auto"/>
            <w:noWrap/>
            <w:vAlign w:val="bottom"/>
            <w:hideMark/>
          </w:tcPr>
          <w:p w14:paraId="09D93D11"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6E087456"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0.07</w:t>
            </w:r>
          </w:p>
        </w:tc>
        <w:tc>
          <w:tcPr>
            <w:tcW w:w="886" w:type="dxa"/>
            <w:gridSpan w:val="4"/>
            <w:tcBorders>
              <w:top w:val="nil"/>
              <w:left w:val="nil"/>
              <w:bottom w:val="nil"/>
              <w:right w:val="nil"/>
            </w:tcBorders>
            <w:shd w:val="clear" w:color="auto" w:fill="auto"/>
            <w:noWrap/>
            <w:vAlign w:val="bottom"/>
            <w:hideMark/>
          </w:tcPr>
          <w:p w14:paraId="55640C2A"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1.07</w:t>
            </w:r>
          </w:p>
        </w:tc>
        <w:tc>
          <w:tcPr>
            <w:tcW w:w="236" w:type="dxa"/>
            <w:gridSpan w:val="5"/>
            <w:vAlign w:val="center"/>
            <w:hideMark/>
          </w:tcPr>
          <w:p w14:paraId="7A3389EF"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263F9E7F"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71B02D99"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0ED24105"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331508A7"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48F9AC1C"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2D4C85EA"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6BBA3061" w14:textId="77777777" w:rsidR="00C5012C" w:rsidRPr="003B7EA9" w:rsidRDefault="00C5012C" w:rsidP="00C5012C">
            <w:pPr>
              <w:spacing w:line="240" w:lineRule="auto"/>
              <w:ind w:firstLine="0"/>
              <w:jc w:val="left"/>
              <w:rPr>
                <w:sz w:val="20"/>
                <w:szCs w:val="20"/>
                <w:lang w:eastAsia="en-GB"/>
              </w:rPr>
            </w:pPr>
          </w:p>
        </w:tc>
      </w:tr>
      <w:tr w:rsidR="00FC17B1" w:rsidRPr="003B7EA9" w14:paraId="6B49CCD7" w14:textId="77777777" w:rsidTr="00F55F69">
        <w:trPr>
          <w:trHeight w:val="20"/>
        </w:trPr>
        <w:tc>
          <w:tcPr>
            <w:tcW w:w="261" w:type="dxa"/>
            <w:tcBorders>
              <w:top w:val="nil"/>
              <w:left w:val="nil"/>
              <w:bottom w:val="nil"/>
              <w:right w:val="nil"/>
            </w:tcBorders>
            <w:shd w:val="clear" w:color="auto" w:fill="auto"/>
            <w:noWrap/>
            <w:vAlign w:val="bottom"/>
            <w:hideMark/>
          </w:tcPr>
          <w:p w14:paraId="650E760E"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76D3DFAF"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permanently sick</w:t>
            </w:r>
          </w:p>
        </w:tc>
        <w:tc>
          <w:tcPr>
            <w:tcW w:w="1103" w:type="dxa"/>
            <w:tcBorders>
              <w:top w:val="nil"/>
              <w:left w:val="nil"/>
              <w:bottom w:val="nil"/>
              <w:right w:val="nil"/>
            </w:tcBorders>
            <w:shd w:val="clear" w:color="auto" w:fill="auto"/>
            <w:noWrap/>
            <w:vAlign w:val="bottom"/>
            <w:hideMark/>
          </w:tcPr>
          <w:p w14:paraId="39392C4B"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61650C7D"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7C9D100B"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307D60C5"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-0.24</w:t>
            </w:r>
          </w:p>
        </w:tc>
        <w:tc>
          <w:tcPr>
            <w:tcW w:w="1281" w:type="dxa"/>
            <w:gridSpan w:val="5"/>
            <w:tcBorders>
              <w:top w:val="nil"/>
              <w:left w:val="nil"/>
              <w:bottom w:val="nil"/>
              <w:right w:val="nil"/>
            </w:tcBorders>
            <w:shd w:val="clear" w:color="auto" w:fill="auto"/>
            <w:noWrap/>
            <w:vAlign w:val="bottom"/>
            <w:hideMark/>
          </w:tcPr>
          <w:p w14:paraId="54F6394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0.79</w:t>
            </w:r>
          </w:p>
        </w:tc>
        <w:tc>
          <w:tcPr>
            <w:tcW w:w="424" w:type="dxa"/>
            <w:gridSpan w:val="6"/>
            <w:tcBorders>
              <w:top w:val="nil"/>
              <w:left w:val="nil"/>
              <w:bottom w:val="nil"/>
              <w:right w:val="nil"/>
            </w:tcBorders>
            <w:shd w:val="clear" w:color="auto" w:fill="auto"/>
            <w:noWrap/>
            <w:vAlign w:val="bottom"/>
            <w:hideMark/>
          </w:tcPr>
          <w:p w14:paraId="04FF9510"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5C06327F"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-0.23</w:t>
            </w:r>
          </w:p>
        </w:tc>
        <w:tc>
          <w:tcPr>
            <w:tcW w:w="886" w:type="dxa"/>
            <w:gridSpan w:val="4"/>
            <w:tcBorders>
              <w:top w:val="nil"/>
              <w:left w:val="nil"/>
              <w:bottom w:val="nil"/>
              <w:right w:val="nil"/>
            </w:tcBorders>
            <w:shd w:val="clear" w:color="auto" w:fill="auto"/>
            <w:noWrap/>
            <w:vAlign w:val="bottom"/>
            <w:hideMark/>
          </w:tcPr>
          <w:p w14:paraId="74CC0800"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0.80</w:t>
            </w:r>
          </w:p>
        </w:tc>
        <w:tc>
          <w:tcPr>
            <w:tcW w:w="236" w:type="dxa"/>
            <w:gridSpan w:val="5"/>
            <w:vAlign w:val="center"/>
            <w:hideMark/>
          </w:tcPr>
          <w:p w14:paraId="525BEE58"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2BD39A09"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6FC90C9B"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0EF57F23"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7B1B19AF"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59B542B6"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19CD2ECA"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6F88B9B8" w14:textId="77777777" w:rsidR="00C5012C" w:rsidRPr="003B7EA9" w:rsidRDefault="00C5012C" w:rsidP="00C5012C">
            <w:pPr>
              <w:spacing w:line="240" w:lineRule="auto"/>
              <w:ind w:firstLine="0"/>
              <w:jc w:val="left"/>
              <w:rPr>
                <w:sz w:val="20"/>
                <w:szCs w:val="20"/>
                <w:lang w:eastAsia="en-GB"/>
              </w:rPr>
            </w:pPr>
          </w:p>
        </w:tc>
      </w:tr>
      <w:tr w:rsidR="00FC17B1" w:rsidRPr="003B7EA9" w14:paraId="7AEE7E5D" w14:textId="77777777" w:rsidTr="00F55F69">
        <w:trPr>
          <w:trHeight w:val="20"/>
        </w:trPr>
        <w:tc>
          <w:tcPr>
            <w:tcW w:w="261" w:type="dxa"/>
            <w:tcBorders>
              <w:top w:val="nil"/>
              <w:left w:val="nil"/>
              <w:bottom w:val="single" w:sz="4" w:space="0" w:color="auto"/>
              <w:right w:val="nil"/>
            </w:tcBorders>
            <w:shd w:val="clear" w:color="auto" w:fill="auto"/>
            <w:noWrap/>
            <w:vAlign w:val="bottom"/>
            <w:hideMark/>
          </w:tcPr>
          <w:p w14:paraId="09443DD5"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 </w:t>
            </w:r>
          </w:p>
        </w:tc>
        <w:tc>
          <w:tcPr>
            <w:tcW w:w="3016" w:type="dxa"/>
            <w:tcBorders>
              <w:top w:val="nil"/>
              <w:left w:val="nil"/>
              <w:bottom w:val="single" w:sz="4" w:space="0" w:color="auto"/>
              <w:right w:val="nil"/>
            </w:tcBorders>
            <w:shd w:val="clear" w:color="auto" w:fill="auto"/>
            <w:noWrap/>
            <w:vAlign w:val="bottom"/>
            <w:hideMark/>
          </w:tcPr>
          <w:p w14:paraId="1A04D33F"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child at school</w:t>
            </w:r>
          </w:p>
        </w:tc>
        <w:tc>
          <w:tcPr>
            <w:tcW w:w="1103" w:type="dxa"/>
            <w:tcBorders>
              <w:top w:val="nil"/>
              <w:left w:val="nil"/>
              <w:bottom w:val="single" w:sz="4" w:space="0" w:color="auto"/>
              <w:right w:val="nil"/>
            </w:tcBorders>
            <w:shd w:val="clear" w:color="auto" w:fill="auto"/>
            <w:noWrap/>
            <w:vAlign w:val="bottom"/>
            <w:hideMark/>
          </w:tcPr>
          <w:p w14:paraId="4628DA9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 </w:t>
            </w:r>
          </w:p>
        </w:tc>
        <w:tc>
          <w:tcPr>
            <w:tcW w:w="886" w:type="dxa"/>
            <w:tcBorders>
              <w:top w:val="nil"/>
              <w:left w:val="nil"/>
              <w:bottom w:val="single" w:sz="4" w:space="0" w:color="auto"/>
              <w:right w:val="nil"/>
            </w:tcBorders>
            <w:shd w:val="clear" w:color="auto" w:fill="auto"/>
            <w:noWrap/>
            <w:vAlign w:val="bottom"/>
            <w:hideMark/>
          </w:tcPr>
          <w:p w14:paraId="28560635"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 </w:t>
            </w:r>
          </w:p>
        </w:tc>
        <w:tc>
          <w:tcPr>
            <w:tcW w:w="431" w:type="dxa"/>
            <w:gridSpan w:val="2"/>
            <w:tcBorders>
              <w:top w:val="nil"/>
              <w:left w:val="nil"/>
              <w:bottom w:val="nil"/>
              <w:right w:val="nil"/>
            </w:tcBorders>
            <w:shd w:val="clear" w:color="auto" w:fill="auto"/>
            <w:noWrap/>
            <w:vAlign w:val="bottom"/>
            <w:hideMark/>
          </w:tcPr>
          <w:p w14:paraId="0738D9B4"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single" w:sz="4" w:space="0" w:color="auto"/>
              <w:right w:val="nil"/>
            </w:tcBorders>
            <w:shd w:val="clear" w:color="auto" w:fill="auto"/>
            <w:noWrap/>
            <w:vAlign w:val="bottom"/>
            <w:hideMark/>
          </w:tcPr>
          <w:p w14:paraId="2B047594"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-0.20</w:t>
            </w:r>
          </w:p>
        </w:tc>
        <w:tc>
          <w:tcPr>
            <w:tcW w:w="1281" w:type="dxa"/>
            <w:gridSpan w:val="5"/>
            <w:tcBorders>
              <w:top w:val="nil"/>
              <w:left w:val="nil"/>
              <w:bottom w:val="single" w:sz="4" w:space="0" w:color="auto"/>
              <w:right w:val="nil"/>
            </w:tcBorders>
            <w:shd w:val="clear" w:color="auto" w:fill="auto"/>
            <w:noWrap/>
            <w:vAlign w:val="bottom"/>
            <w:hideMark/>
          </w:tcPr>
          <w:p w14:paraId="651F8887"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0.82</w:t>
            </w:r>
          </w:p>
        </w:tc>
        <w:tc>
          <w:tcPr>
            <w:tcW w:w="424" w:type="dxa"/>
            <w:gridSpan w:val="6"/>
            <w:tcBorders>
              <w:top w:val="nil"/>
              <w:left w:val="nil"/>
              <w:bottom w:val="nil"/>
              <w:right w:val="nil"/>
            </w:tcBorders>
            <w:shd w:val="clear" w:color="auto" w:fill="auto"/>
            <w:noWrap/>
            <w:vAlign w:val="bottom"/>
            <w:hideMark/>
          </w:tcPr>
          <w:p w14:paraId="05C5941D"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single" w:sz="4" w:space="0" w:color="auto"/>
              <w:right w:val="nil"/>
            </w:tcBorders>
            <w:shd w:val="clear" w:color="auto" w:fill="auto"/>
            <w:noWrap/>
            <w:vAlign w:val="bottom"/>
            <w:hideMark/>
          </w:tcPr>
          <w:p w14:paraId="07CFD3B0"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-0.20</w:t>
            </w:r>
          </w:p>
        </w:tc>
        <w:tc>
          <w:tcPr>
            <w:tcW w:w="886" w:type="dxa"/>
            <w:gridSpan w:val="4"/>
            <w:tcBorders>
              <w:top w:val="nil"/>
              <w:left w:val="nil"/>
              <w:bottom w:val="single" w:sz="4" w:space="0" w:color="auto"/>
              <w:right w:val="nil"/>
            </w:tcBorders>
            <w:shd w:val="clear" w:color="auto" w:fill="auto"/>
            <w:noWrap/>
            <w:vAlign w:val="bottom"/>
            <w:hideMark/>
          </w:tcPr>
          <w:p w14:paraId="4AF8AE6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0.82</w:t>
            </w:r>
          </w:p>
        </w:tc>
        <w:tc>
          <w:tcPr>
            <w:tcW w:w="236" w:type="dxa"/>
            <w:gridSpan w:val="5"/>
            <w:vAlign w:val="center"/>
            <w:hideMark/>
          </w:tcPr>
          <w:p w14:paraId="41485ADF"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0FD2FD99"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2C578F3B"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361E8A33"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4CA8901B"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79AD43E1"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07121A69"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5C8BD16F" w14:textId="77777777" w:rsidR="00C5012C" w:rsidRPr="003B7EA9" w:rsidRDefault="00C5012C" w:rsidP="00C5012C">
            <w:pPr>
              <w:spacing w:line="240" w:lineRule="auto"/>
              <w:ind w:firstLine="0"/>
              <w:jc w:val="left"/>
              <w:rPr>
                <w:sz w:val="20"/>
                <w:szCs w:val="20"/>
                <w:lang w:eastAsia="en-GB"/>
              </w:rPr>
            </w:pPr>
          </w:p>
        </w:tc>
      </w:tr>
      <w:tr w:rsidR="00FC17B1" w:rsidRPr="003B7EA9" w14:paraId="7B3F98C4" w14:textId="77777777" w:rsidTr="00F55F69">
        <w:trPr>
          <w:trHeight w:val="20"/>
        </w:trPr>
        <w:tc>
          <w:tcPr>
            <w:tcW w:w="3277" w:type="dxa"/>
            <w:gridSpan w:val="2"/>
            <w:tcBorders>
              <w:top w:val="nil"/>
              <w:left w:val="nil"/>
              <w:bottom w:val="nil"/>
              <w:right w:val="nil"/>
            </w:tcBorders>
            <w:shd w:val="clear" w:color="auto" w:fill="auto"/>
            <w:noWrap/>
            <w:vAlign w:val="bottom"/>
            <w:hideMark/>
          </w:tcPr>
          <w:p w14:paraId="2A72BD55"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Year of Arrival (reference: UK born)</w:t>
            </w:r>
          </w:p>
        </w:tc>
        <w:tc>
          <w:tcPr>
            <w:tcW w:w="1103" w:type="dxa"/>
            <w:tcBorders>
              <w:top w:val="nil"/>
              <w:left w:val="nil"/>
              <w:bottom w:val="nil"/>
              <w:right w:val="nil"/>
            </w:tcBorders>
            <w:shd w:val="clear" w:color="auto" w:fill="auto"/>
            <w:noWrap/>
            <w:vAlign w:val="bottom"/>
            <w:hideMark/>
          </w:tcPr>
          <w:p w14:paraId="0ED62FFC"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49FBA2AC"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559C8F4D"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72326F9C" w14:textId="77777777" w:rsidR="00C5012C" w:rsidRPr="003B7EA9" w:rsidRDefault="00C5012C" w:rsidP="00C5012C">
            <w:pPr>
              <w:spacing w:line="240" w:lineRule="auto"/>
              <w:ind w:firstLine="0"/>
              <w:jc w:val="center"/>
              <w:rPr>
                <w:color w:val="000000"/>
                <w:sz w:val="18"/>
                <w:szCs w:val="18"/>
                <w:lang w:eastAsia="en-GB"/>
              </w:rPr>
            </w:pPr>
          </w:p>
        </w:tc>
        <w:tc>
          <w:tcPr>
            <w:tcW w:w="1281" w:type="dxa"/>
            <w:gridSpan w:val="5"/>
            <w:tcBorders>
              <w:top w:val="nil"/>
              <w:left w:val="nil"/>
              <w:bottom w:val="nil"/>
              <w:right w:val="nil"/>
            </w:tcBorders>
            <w:shd w:val="clear" w:color="auto" w:fill="auto"/>
            <w:noWrap/>
            <w:vAlign w:val="bottom"/>
            <w:hideMark/>
          </w:tcPr>
          <w:p w14:paraId="13F0B06E" w14:textId="77777777" w:rsidR="00C5012C" w:rsidRPr="003B7EA9" w:rsidRDefault="00C5012C" w:rsidP="00C5012C">
            <w:pPr>
              <w:spacing w:line="240" w:lineRule="auto"/>
              <w:ind w:firstLine="0"/>
              <w:jc w:val="center"/>
              <w:rPr>
                <w:color w:val="000000"/>
                <w:sz w:val="18"/>
                <w:szCs w:val="18"/>
                <w:lang w:eastAsia="en-GB"/>
              </w:rPr>
            </w:pPr>
          </w:p>
        </w:tc>
        <w:tc>
          <w:tcPr>
            <w:tcW w:w="424" w:type="dxa"/>
            <w:gridSpan w:val="6"/>
            <w:tcBorders>
              <w:top w:val="nil"/>
              <w:left w:val="nil"/>
              <w:bottom w:val="nil"/>
              <w:right w:val="nil"/>
            </w:tcBorders>
            <w:shd w:val="clear" w:color="auto" w:fill="auto"/>
            <w:noWrap/>
            <w:vAlign w:val="bottom"/>
            <w:hideMark/>
          </w:tcPr>
          <w:p w14:paraId="13AD3013"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761A00A5" w14:textId="77777777" w:rsidR="00C5012C" w:rsidRPr="003B7EA9" w:rsidRDefault="00C5012C" w:rsidP="00C5012C">
            <w:pPr>
              <w:spacing w:line="240" w:lineRule="auto"/>
              <w:ind w:firstLine="0"/>
              <w:jc w:val="center"/>
              <w:rPr>
                <w:color w:val="000000"/>
                <w:sz w:val="18"/>
                <w:szCs w:val="18"/>
                <w:lang w:eastAsia="en-GB"/>
              </w:rPr>
            </w:pPr>
          </w:p>
        </w:tc>
        <w:tc>
          <w:tcPr>
            <w:tcW w:w="886" w:type="dxa"/>
            <w:gridSpan w:val="4"/>
            <w:tcBorders>
              <w:top w:val="nil"/>
              <w:left w:val="nil"/>
              <w:bottom w:val="nil"/>
              <w:right w:val="nil"/>
            </w:tcBorders>
            <w:shd w:val="clear" w:color="auto" w:fill="auto"/>
            <w:noWrap/>
            <w:vAlign w:val="bottom"/>
            <w:hideMark/>
          </w:tcPr>
          <w:p w14:paraId="5E97BF89" w14:textId="77777777" w:rsidR="00C5012C" w:rsidRPr="003B7EA9" w:rsidRDefault="00C5012C" w:rsidP="00C5012C">
            <w:pPr>
              <w:spacing w:line="240" w:lineRule="auto"/>
              <w:ind w:firstLine="0"/>
              <w:jc w:val="center"/>
              <w:rPr>
                <w:color w:val="000000"/>
                <w:sz w:val="18"/>
                <w:szCs w:val="18"/>
                <w:lang w:eastAsia="en-GB"/>
              </w:rPr>
            </w:pPr>
          </w:p>
        </w:tc>
        <w:tc>
          <w:tcPr>
            <w:tcW w:w="236" w:type="dxa"/>
            <w:gridSpan w:val="5"/>
            <w:vAlign w:val="center"/>
            <w:hideMark/>
          </w:tcPr>
          <w:p w14:paraId="7E9BE5E0"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3DCEACEC"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3CCCBED0"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15C10CAE"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2A101DE5"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475793E3"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05D14010"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47935C0F" w14:textId="77777777" w:rsidR="00C5012C" w:rsidRPr="003B7EA9" w:rsidRDefault="00C5012C" w:rsidP="00C5012C">
            <w:pPr>
              <w:spacing w:line="240" w:lineRule="auto"/>
              <w:ind w:firstLine="0"/>
              <w:jc w:val="left"/>
              <w:rPr>
                <w:sz w:val="20"/>
                <w:szCs w:val="20"/>
                <w:lang w:eastAsia="en-GB"/>
              </w:rPr>
            </w:pPr>
          </w:p>
        </w:tc>
      </w:tr>
      <w:tr w:rsidR="00FC17B1" w:rsidRPr="003B7EA9" w14:paraId="4185C80D" w14:textId="77777777" w:rsidTr="00F55F69">
        <w:trPr>
          <w:trHeight w:val="20"/>
        </w:trPr>
        <w:tc>
          <w:tcPr>
            <w:tcW w:w="261" w:type="dxa"/>
            <w:tcBorders>
              <w:top w:val="nil"/>
              <w:left w:val="nil"/>
              <w:bottom w:val="nil"/>
              <w:right w:val="nil"/>
            </w:tcBorders>
            <w:shd w:val="clear" w:color="auto" w:fill="auto"/>
            <w:noWrap/>
            <w:vAlign w:val="bottom"/>
            <w:hideMark/>
          </w:tcPr>
          <w:p w14:paraId="51D497EE"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63D5618C"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arrived before 1991</w:t>
            </w:r>
          </w:p>
        </w:tc>
        <w:tc>
          <w:tcPr>
            <w:tcW w:w="1103" w:type="dxa"/>
            <w:tcBorders>
              <w:top w:val="nil"/>
              <w:left w:val="nil"/>
              <w:bottom w:val="nil"/>
              <w:right w:val="nil"/>
            </w:tcBorders>
            <w:shd w:val="clear" w:color="auto" w:fill="auto"/>
            <w:noWrap/>
            <w:vAlign w:val="bottom"/>
            <w:hideMark/>
          </w:tcPr>
          <w:p w14:paraId="0C0C1AC5"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476BA20D"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0734A631"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09D854A2" w14:textId="77777777" w:rsidR="00C5012C" w:rsidRPr="003B7EA9" w:rsidRDefault="00C5012C" w:rsidP="00C5012C">
            <w:pPr>
              <w:spacing w:line="240" w:lineRule="auto"/>
              <w:ind w:firstLine="0"/>
              <w:jc w:val="center"/>
              <w:rPr>
                <w:color w:val="000000"/>
                <w:sz w:val="18"/>
                <w:szCs w:val="18"/>
                <w:lang w:eastAsia="en-GB"/>
              </w:rPr>
            </w:pPr>
          </w:p>
        </w:tc>
        <w:tc>
          <w:tcPr>
            <w:tcW w:w="1281" w:type="dxa"/>
            <w:gridSpan w:val="5"/>
            <w:tcBorders>
              <w:top w:val="nil"/>
              <w:left w:val="nil"/>
              <w:bottom w:val="nil"/>
              <w:right w:val="nil"/>
            </w:tcBorders>
            <w:shd w:val="clear" w:color="auto" w:fill="auto"/>
            <w:noWrap/>
            <w:vAlign w:val="bottom"/>
            <w:hideMark/>
          </w:tcPr>
          <w:p w14:paraId="4B33927C" w14:textId="77777777" w:rsidR="00C5012C" w:rsidRPr="003B7EA9" w:rsidRDefault="00C5012C" w:rsidP="00C5012C">
            <w:pPr>
              <w:spacing w:line="240" w:lineRule="auto"/>
              <w:ind w:firstLine="0"/>
              <w:jc w:val="center"/>
              <w:rPr>
                <w:color w:val="000000"/>
                <w:sz w:val="18"/>
                <w:szCs w:val="18"/>
                <w:lang w:eastAsia="en-GB"/>
              </w:rPr>
            </w:pPr>
          </w:p>
        </w:tc>
        <w:tc>
          <w:tcPr>
            <w:tcW w:w="424" w:type="dxa"/>
            <w:gridSpan w:val="6"/>
            <w:tcBorders>
              <w:top w:val="nil"/>
              <w:left w:val="nil"/>
              <w:bottom w:val="nil"/>
              <w:right w:val="nil"/>
            </w:tcBorders>
            <w:shd w:val="clear" w:color="auto" w:fill="auto"/>
            <w:noWrap/>
            <w:vAlign w:val="bottom"/>
            <w:hideMark/>
          </w:tcPr>
          <w:p w14:paraId="14876B67"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2A30056B"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-0.24</w:t>
            </w:r>
          </w:p>
        </w:tc>
        <w:tc>
          <w:tcPr>
            <w:tcW w:w="886" w:type="dxa"/>
            <w:gridSpan w:val="4"/>
            <w:tcBorders>
              <w:top w:val="nil"/>
              <w:left w:val="nil"/>
              <w:bottom w:val="nil"/>
              <w:right w:val="nil"/>
            </w:tcBorders>
            <w:shd w:val="clear" w:color="auto" w:fill="auto"/>
            <w:noWrap/>
            <w:vAlign w:val="bottom"/>
            <w:hideMark/>
          </w:tcPr>
          <w:p w14:paraId="0F4C99CA"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0.78</w:t>
            </w:r>
          </w:p>
        </w:tc>
        <w:tc>
          <w:tcPr>
            <w:tcW w:w="236" w:type="dxa"/>
            <w:gridSpan w:val="5"/>
            <w:vAlign w:val="center"/>
            <w:hideMark/>
          </w:tcPr>
          <w:p w14:paraId="08B48B8A"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1159E69B"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40F087FF"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669E2A9C"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5CD58EDE"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07D6BF95"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54805DF1"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5BA0C3D6" w14:textId="77777777" w:rsidR="00C5012C" w:rsidRPr="003B7EA9" w:rsidRDefault="00C5012C" w:rsidP="00C5012C">
            <w:pPr>
              <w:spacing w:line="240" w:lineRule="auto"/>
              <w:ind w:firstLine="0"/>
              <w:jc w:val="left"/>
              <w:rPr>
                <w:sz w:val="20"/>
                <w:szCs w:val="20"/>
                <w:lang w:eastAsia="en-GB"/>
              </w:rPr>
            </w:pPr>
          </w:p>
        </w:tc>
      </w:tr>
      <w:tr w:rsidR="00FC17B1" w:rsidRPr="003B7EA9" w14:paraId="2CF2E89F" w14:textId="77777777" w:rsidTr="00F55F69">
        <w:trPr>
          <w:trHeight w:val="20"/>
        </w:trPr>
        <w:tc>
          <w:tcPr>
            <w:tcW w:w="261" w:type="dxa"/>
            <w:tcBorders>
              <w:top w:val="nil"/>
              <w:left w:val="nil"/>
              <w:bottom w:val="nil"/>
              <w:right w:val="nil"/>
            </w:tcBorders>
            <w:shd w:val="clear" w:color="auto" w:fill="auto"/>
            <w:noWrap/>
            <w:vAlign w:val="bottom"/>
            <w:hideMark/>
          </w:tcPr>
          <w:p w14:paraId="4458765C"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10C186E2"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arrived 1991-2000</w:t>
            </w:r>
          </w:p>
        </w:tc>
        <w:tc>
          <w:tcPr>
            <w:tcW w:w="1103" w:type="dxa"/>
            <w:tcBorders>
              <w:top w:val="nil"/>
              <w:left w:val="nil"/>
              <w:bottom w:val="nil"/>
              <w:right w:val="nil"/>
            </w:tcBorders>
            <w:shd w:val="clear" w:color="auto" w:fill="auto"/>
            <w:noWrap/>
            <w:vAlign w:val="bottom"/>
            <w:hideMark/>
          </w:tcPr>
          <w:p w14:paraId="6B604F4F"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68CF8747"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7C85991D"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2C4FE413" w14:textId="77777777" w:rsidR="00C5012C" w:rsidRPr="003B7EA9" w:rsidRDefault="00C5012C" w:rsidP="00C5012C">
            <w:pPr>
              <w:spacing w:line="240" w:lineRule="auto"/>
              <w:ind w:firstLine="0"/>
              <w:jc w:val="center"/>
              <w:rPr>
                <w:color w:val="000000"/>
                <w:sz w:val="18"/>
                <w:szCs w:val="18"/>
                <w:lang w:eastAsia="en-GB"/>
              </w:rPr>
            </w:pPr>
          </w:p>
        </w:tc>
        <w:tc>
          <w:tcPr>
            <w:tcW w:w="1281" w:type="dxa"/>
            <w:gridSpan w:val="5"/>
            <w:tcBorders>
              <w:top w:val="nil"/>
              <w:left w:val="nil"/>
              <w:bottom w:val="nil"/>
              <w:right w:val="nil"/>
            </w:tcBorders>
            <w:shd w:val="clear" w:color="auto" w:fill="auto"/>
            <w:noWrap/>
            <w:vAlign w:val="bottom"/>
            <w:hideMark/>
          </w:tcPr>
          <w:p w14:paraId="0FED6E05" w14:textId="77777777" w:rsidR="00C5012C" w:rsidRPr="003B7EA9" w:rsidRDefault="00C5012C" w:rsidP="00C5012C">
            <w:pPr>
              <w:spacing w:line="240" w:lineRule="auto"/>
              <w:ind w:firstLine="0"/>
              <w:jc w:val="center"/>
              <w:rPr>
                <w:color w:val="000000"/>
                <w:sz w:val="18"/>
                <w:szCs w:val="18"/>
                <w:lang w:eastAsia="en-GB"/>
              </w:rPr>
            </w:pPr>
          </w:p>
        </w:tc>
        <w:tc>
          <w:tcPr>
            <w:tcW w:w="424" w:type="dxa"/>
            <w:gridSpan w:val="6"/>
            <w:tcBorders>
              <w:top w:val="nil"/>
              <w:left w:val="nil"/>
              <w:bottom w:val="nil"/>
              <w:right w:val="nil"/>
            </w:tcBorders>
            <w:shd w:val="clear" w:color="auto" w:fill="auto"/>
            <w:noWrap/>
            <w:vAlign w:val="bottom"/>
            <w:hideMark/>
          </w:tcPr>
          <w:p w14:paraId="22A26360"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4ACB1E22"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-0.08</w:t>
            </w:r>
          </w:p>
        </w:tc>
        <w:tc>
          <w:tcPr>
            <w:tcW w:w="886" w:type="dxa"/>
            <w:gridSpan w:val="4"/>
            <w:tcBorders>
              <w:top w:val="nil"/>
              <w:left w:val="nil"/>
              <w:bottom w:val="nil"/>
              <w:right w:val="nil"/>
            </w:tcBorders>
            <w:shd w:val="clear" w:color="auto" w:fill="auto"/>
            <w:noWrap/>
            <w:vAlign w:val="bottom"/>
            <w:hideMark/>
          </w:tcPr>
          <w:p w14:paraId="6D4FEA65"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0.92</w:t>
            </w:r>
          </w:p>
        </w:tc>
        <w:tc>
          <w:tcPr>
            <w:tcW w:w="236" w:type="dxa"/>
            <w:gridSpan w:val="5"/>
            <w:vAlign w:val="center"/>
            <w:hideMark/>
          </w:tcPr>
          <w:p w14:paraId="2DE0220C"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0A86FBDB"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7778BDB2"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6E125E41"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51B6E8E9"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711211E0"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5D44B968"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3089AE5D" w14:textId="77777777" w:rsidR="00C5012C" w:rsidRPr="003B7EA9" w:rsidRDefault="00C5012C" w:rsidP="00C5012C">
            <w:pPr>
              <w:spacing w:line="240" w:lineRule="auto"/>
              <w:ind w:firstLine="0"/>
              <w:jc w:val="left"/>
              <w:rPr>
                <w:sz w:val="20"/>
                <w:szCs w:val="20"/>
                <w:lang w:eastAsia="en-GB"/>
              </w:rPr>
            </w:pPr>
          </w:p>
        </w:tc>
      </w:tr>
      <w:tr w:rsidR="00FC17B1" w:rsidRPr="003B7EA9" w14:paraId="5B0799D6" w14:textId="77777777" w:rsidTr="00F55F69">
        <w:trPr>
          <w:trHeight w:val="20"/>
        </w:trPr>
        <w:tc>
          <w:tcPr>
            <w:tcW w:w="261" w:type="dxa"/>
            <w:tcBorders>
              <w:top w:val="nil"/>
              <w:left w:val="nil"/>
              <w:bottom w:val="nil"/>
              <w:right w:val="nil"/>
            </w:tcBorders>
            <w:shd w:val="clear" w:color="auto" w:fill="auto"/>
            <w:noWrap/>
            <w:vAlign w:val="bottom"/>
            <w:hideMark/>
          </w:tcPr>
          <w:p w14:paraId="7DD2F67F"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21476511"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arrived 2001-2006</w:t>
            </w:r>
          </w:p>
        </w:tc>
        <w:tc>
          <w:tcPr>
            <w:tcW w:w="1103" w:type="dxa"/>
            <w:tcBorders>
              <w:top w:val="nil"/>
              <w:left w:val="nil"/>
              <w:bottom w:val="nil"/>
              <w:right w:val="nil"/>
            </w:tcBorders>
            <w:shd w:val="clear" w:color="auto" w:fill="auto"/>
            <w:noWrap/>
            <w:vAlign w:val="bottom"/>
            <w:hideMark/>
          </w:tcPr>
          <w:p w14:paraId="4AFD0B7A" w14:textId="77777777" w:rsidR="00C5012C" w:rsidRPr="003B7EA9" w:rsidRDefault="00C5012C" w:rsidP="00C5012C">
            <w:pPr>
              <w:spacing w:line="240" w:lineRule="auto"/>
              <w:ind w:firstLine="0"/>
              <w:jc w:val="center"/>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68AE1A0A"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7A29DFD9"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337D8F74" w14:textId="77777777" w:rsidR="00C5012C" w:rsidRPr="003B7EA9" w:rsidRDefault="00C5012C" w:rsidP="00C5012C">
            <w:pPr>
              <w:spacing w:line="240" w:lineRule="auto"/>
              <w:ind w:firstLine="0"/>
              <w:jc w:val="center"/>
              <w:rPr>
                <w:color w:val="000000"/>
                <w:sz w:val="18"/>
                <w:szCs w:val="18"/>
                <w:lang w:eastAsia="en-GB"/>
              </w:rPr>
            </w:pPr>
          </w:p>
        </w:tc>
        <w:tc>
          <w:tcPr>
            <w:tcW w:w="1281" w:type="dxa"/>
            <w:gridSpan w:val="5"/>
            <w:tcBorders>
              <w:top w:val="nil"/>
              <w:left w:val="nil"/>
              <w:bottom w:val="nil"/>
              <w:right w:val="nil"/>
            </w:tcBorders>
            <w:shd w:val="clear" w:color="auto" w:fill="auto"/>
            <w:noWrap/>
            <w:vAlign w:val="bottom"/>
            <w:hideMark/>
          </w:tcPr>
          <w:p w14:paraId="72F52623" w14:textId="77777777" w:rsidR="00C5012C" w:rsidRPr="003B7EA9" w:rsidRDefault="00C5012C" w:rsidP="00C5012C">
            <w:pPr>
              <w:spacing w:line="240" w:lineRule="auto"/>
              <w:ind w:firstLine="0"/>
              <w:jc w:val="center"/>
              <w:rPr>
                <w:color w:val="000000"/>
                <w:sz w:val="18"/>
                <w:szCs w:val="18"/>
                <w:lang w:eastAsia="en-GB"/>
              </w:rPr>
            </w:pPr>
          </w:p>
        </w:tc>
        <w:tc>
          <w:tcPr>
            <w:tcW w:w="424" w:type="dxa"/>
            <w:gridSpan w:val="6"/>
            <w:tcBorders>
              <w:top w:val="nil"/>
              <w:left w:val="nil"/>
              <w:bottom w:val="nil"/>
              <w:right w:val="nil"/>
            </w:tcBorders>
            <w:shd w:val="clear" w:color="auto" w:fill="auto"/>
            <w:noWrap/>
            <w:vAlign w:val="bottom"/>
            <w:hideMark/>
          </w:tcPr>
          <w:p w14:paraId="41C4F41E"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3BD5EFDA"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0.04</w:t>
            </w:r>
          </w:p>
        </w:tc>
        <w:tc>
          <w:tcPr>
            <w:tcW w:w="886" w:type="dxa"/>
            <w:gridSpan w:val="4"/>
            <w:tcBorders>
              <w:top w:val="nil"/>
              <w:left w:val="nil"/>
              <w:bottom w:val="nil"/>
              <w:right w:val="nil"/>
            </w:tcBorders>
            <w:shd w:val="clear" w:color="auto" w:fill="auto"/>
            <w:noWrap/>
            <w:vAlign w:val="bottom"/>
            <w:hideMark/>
          </w:tcPr>
          <w:p w14:paraId="195F4694"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1.04</w:t>
            </w:r>
          </w:p>
        </w:tc>
        <w:tc>
          <w:tcPr>
            <w:tcW w:w="236" w:type="dxa"/>
            <w:gridSpan w:val="5"/>
            <w:vAlign w:val="center"/>
            <w:hideMark/>
          </w:tcPr>
          <w:p w14:paraId="77236112"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234FF06B"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4CC6FC88"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08D2C813"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19522C23"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00740D24"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7F28CA0F"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5ADC9331" w14:textId="77777777" w:rsidR="00C5012C" w:rsidRPr="003B7EA9" w:rsidRDefault="00C5012C" w:rsidP="00C5012C">
            <w:pPr>
              <w:spacing w:line="240" w:lineRule="auto"/>
              <w:ind w:firstLine="0"/>
              <w:jc w:val="left"/>
              <w:rPr>
                <w:sz w:val="20"/>
                <w:szCs w:val="20"/>
                <w:lang w:eastAsia="en-GB"/>
              </w:rPr>
            </w:pPr>
          </w:p>
        </w:tc>
      </w:tr>
      <w:tr w:rsidR="00FC17B1" w:rsidRPr="003B7EA9" w14:paraId="14FD4EAE" w14:textId="77777777" w:rsidTr="00F55F69">
        <w:trPr>
          <w:trHeight w:val="20"/>
        </w:trPr>
        <w:tc>
          <w:tcPr>
            <w:tcW w:w="261" w:type="dxa"/>
            <w:tcBorders>
              <w:top w:val="nil"/>
              <w:left w:val="nil"/>
              <w:bottom w:val="single" w:sz="4" w:space="0" w:color="auto"/>
              <w:right w:val="nil"/>
            </w:tcBorders>
            <w:shd w:val="clear" w:color="auto" w:fill="auto"/>
            <w:noWrap/>
            <w:vAlign w:val="bottom"/>
            <w:hideMark/>
          </w:tcPr>
          <w:p w14:paraId="4DA59B2E"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 </w:t>
            </w:r>
          </w:p>
        </w:tc>
        <w:tc>
          <w:tcPr>
            <w:tcW w:w="3016" w:type="dxa"/>
            <w:tcBorders>
              <w:top w:val="nil"/>
              <w:left w:val="nil"/>
              <w:bottom w:val="single" w:sz="4" w:space="0" w:color="auto"/>
              <w:right w:val="nil"/>
            </w:tcBorders>
            <w:shd w:val="clear" w:color="auto" w:fill="auto"/>
            <w:noWrap/>
            <w:vAlign w:val="bottom"/>
            <w:hideMark/>
          </w:tcPr>
          <w:p w14:paraId="653F17E3"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arrived 2007-2011</w:t>
            </w:r>
          </w:p>
        </w:tc>
        <w:tc>
          <w:tcPr>
            <w:tcW w:w="1103" w:type="dxa"/>
            <w:tcBorders>
              <w:top w:val="nil"/>
              <w:left w:val="nil"/>
              <w:bottom w:val="single" w:sz="4" w:space="0" w:color="auto"/>
              <w:right w:val="nil"/>
            </w:tcBorders>
            <w:shd w:val="clear" w:color="auto" w:fill="auto"/>
            <w:noWrap/>
            <w:vAlign w:val="bottom"/>
            <w:hideMark/>
          </w:tcPr>
          <w:p w14:paraId="40845A0C"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 </w:t>
            </w:r>
          </w:p>
        </w:tc>
        <w:tc>
          <w:tcPr>
            <w:tcW w:w="886" w:type="dxa"/>
            <w:tcBorders>
              <w:top w:val="nil"/>
              <w:left w:val="nil"/>
              <w:bottom w:val="single" w:sz="4" w:space="0" w:color="auto"/>
              <w:right w:val="nil"/>
            </w:tcBorders>
            <w:shd w:val="clear" w:color="auto" w:fill="auto"/>
            <w:noWrap/>
            <w:vAlign w:val="bottom"/>
            <w:hideMark/>
          </w:tcPr>
          <w:p w14:paraId="307F5E7E"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 </w:t>
            </w:r>
          </w:p>
        </w:tc>
        <w:tc>
          <w:tcPr>
            <w:tcW w:w="431" w:type="dxa"/>
            <w:gridSpan w:val="2"/>
            <w:tcBorders>
              <w:top w:val="nil"/>
              <w:left w:val="nil"/>
              <w:bottom w:val="nil"/>
              <w:right w:val="nil"/>
            </w:tcBorders>
            <w:shd w:val="clear" w:color="auto" w:fill="auto"/>
            <w:noWrap/>
            <w:vAlign w:val="bottom"/>
            <w:hideMark/>
          </w:tcPr>
          <w:p w14:paraId="2158E357"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single" w:sz="4" w:space="0" w:color="auto"/>
              <w:right w:val="nil"/>
            </w:tcBorders>
            <w:shd w:val="clear" w:color="auto" w:fill="auto"/>
            <w:noWrap/>
            <w:vAlign w:val="bottom"/>
            <w:hideMark/>
          </w:tcPr>
          <w:p w14:paraId="6A1632BB"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 </w:t>
            </w:r>
          </w:p>
        </w:tc>
        <w:tc>
          <w:tcPr>
            <w:tcW w:w="1281" w:type="dxa"/>
            <w:gridSpan w:val="5"/>
            <w:tcBorders>
              <w:top w:val="nil"/>
              <w:left w:val="nil"/>
              <w:bottom w:val="single" w:sz="4" w:space="0" w:color="auto"/>
              <w:right w:val="nil"/>
            </w:tcBorders>
            <w:shd w:val="clear" w:color="auto" w:fill="auto"/>
            <w:noWrap/>
            <w:vAlign w:val="bottom"/>
            <w:hideMark/>
          </w:tcPr>
          <w:p w14:paraId="70A51DA0"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 </w:t>
            </w:r>
          </w:p>
        </w:tc>
        <w:tc>
          <w:tcPr>
            <w:tcW w:w="424" w:type="dxa"/>
            <w:gridSpan w:val="6"/>
            <w:tcBorders>
              <w:top w:val="nil"/>
              <w:left w:val="nil"/>
              <w:bottom w:val="nil"/>
              <w:right w:val="nil"/>
            </w:tcBorders>
            <w:shd w:val="clear" w:color="auto" w:fill="auto"/>
            <w:noWrap/>
            <w:vAlign w:val="bottom"/>
            <w:hideMark/>
          </w:tcPr>
          <w:p w14:paraId="096E8055"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single" w:sz="4" w:space="0" w:color="auto"/>
              <w:right w:val="nil"/>
            </w:tcBorders>
            <w:shd w:val="clear" w:color="auto" w:fill="auto"/>
            <w:noWrap/>
            <w:vAlign w:val="bottom"/>
            <w:hideMark/>
          </w:tcPr>
          <w:p w14:paraId="6F3E046F"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0.19</w:t>
            </w:r>
          </w:p>
        </w:tc>
        <w:tc>
          <w:tcPr>
            <w:tcW w:w="886" w:type="dxa"/>
            <w:gridSpan w:val="4"/>
            <w:tcBorders>
              <w:top w:val="nil"/>
              <w:left w:val="nil"/>
              <w:bottom w:val="single" w:sz="4" w:space="0" w:color="auto"/>
              <w:right w:val="nil"/>
            </w:tcBorders>
            <w:shd w:val="clear" w:color="auto" w:fill="auto"/>
            <w:noWrap/>
            <w:vAlign w:val="bottom"/>
            <w:hideMark/>
          </w:tcPr>
          <w:p w14:paraId="393D0212"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1.21</w:t>
            </w:r>
          </w:p>
        </w:tc>
        <w:tc>
          <w:tcPr>
            <w:tcW w:w="236" w:type="dxa"/>
            <w:gridSpan w:val="5"/>
            <w:vAlign w:val="center"/>
            <w:hideMark/>
          </w:tcPr>
          <w:p w14:paraId="74854E05"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390EFBB8"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0EDB9CE3"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1A1E582E"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19299A88"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6C1A0143"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3CAF4779"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2B55C899" w14:textId="77777777" w:rsidR="00C5012C" w:rsidRPr="003B7EA9" w:rsidRDefault="00C5012C" w:rsidP="00C5012C">
            <w:pPr>
              <w:spacing w:line="240" w:lineRule="auto"/>
              <w:ind w:firstLine="0"/>
              <w:jc w:val="left"/>
              <w:rPr>
                <w:sz w:val="20"/>
                <w:szCs w:val="20"/>
                <w:lang w:eastAsia="en-GB"/>
              </w:rPr>
            </w:pPr>
          </w:p>
        </w:tc>
      </w:tr>
      <w:tr w:rsidR="00FC17B1" w:rsidRPr="003B7EA9" w14:paraId="6A4304E0" w14:textId="77777777" w:rsidTr="00F55F69">
        <w:trPr>
          <w:trHeight w:val="20"/>
        </w:trPr>
        <w:tc>
          <w:tcPr>
            <w:tcW w:w="3277" w:type="dxa"/>
            <w:gridSpan w:val="2"/>
            <w:tcBorders>
              <w:top w:val="single" w:sz="4" w:space="0" w:color="auto"/>
              <w:left w:val="nil"/>
              <w:bottom w:val="single" w:sz="4" w:space="0" w:color="auto"/>
              <w:right w:val="nil"/>
            </w:tcBorders>
            <w:shd w:val="clear" w:color="auto" w:fill="auto"/>
            <w:noWrap/>
            <w:vAlign w:val="bottom"/>
            <w:hideMark/>
          </w:tcPr>
          <w:p w14:paraId="54C02C6C"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Constant / Reference Case Odds</w:t>
            </w:r>
          </w:p>
        </w:tc>
        <w:tc>
          <w:tcPr>
            <w:tcW w:w="1103" w:type="dxa"/>
            <w:tcBorders>
              <w:top w:val="nil"/>
              <w:left w:val="nil"/>
              <w:bottom w:val="single" w:sz="4" w:space="0" w:color="auto"/>
              <w:right w:val="nil"/>
            </w:tcBorders>
            <w:shd w:val="clear" w:color="auto" w:fill="auto"/>
            <w:noWrap/>
            <w:vAlign w:val="bottom"/>
            <w:hideMark/>
          </w:tcPr>
          <w:p w14:paraId="6B75027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-2.89</w:t>
            </w:r>
          </w:p>
        </w:tc>
        <w:tc>
          <w:tcPr>
            <w:tcW w:w="886" w:type="dxa"/>
            <w:tcBorders>
              <w:top w:val="nil"/>
              <w:left w:val="nil"/>
              <w:bottom w:val="single" w:sz="4" w:space="0" w:color="auto"/>
              <w:right w:val="nil"/>
            </w:tcBorders>
            <w:shd w:val="clear" w:color="auto" w:fill="auto"/>
            <w:noWrap/>
            <w:vAlign w:val="bottom"/>
            <w:hideMark/>
          </w:tcPr>
          <w:p w14:paraId="02EBE01B"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0.055</w:t>
            </w:r>
          </w:p>
        </w:tc>
        <w:tc>
          <w:tcPr>
            <w:tcW w:w="431" w:type="dxa"/>
            <w:gridSpan w:val="2"/>
            <w:tcBorders>
              <w:top w:val="nil"/>
              <w:left w:val="nil"/>
              <w:bottom w:val="nil"/>
              <w:right w:val="nil"/>
            </w:tcBorders>
            <w:shd w:val="clear" w:color="auto" w:fill="auto"/>
            <w:noWrap/>
            <w:vAlign w:val="bottom"/>
            <w:hideMark/>
          </w:tcPr>
          <w:p w14:paraId="2E0115B2"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single" w:sz="4" w:space="0" w:color="auto"/>
              <w:right w:val="nil"/>
            </w:tcBorders>
            <w:shd w:val="clear" w:color="auto" w:fill="auto"/>
            <w:noWrap/>
            <w:vAlign w:val="bottom"/>
            <w:hideMark/>
          </w:tcPr>
          <w:p w14:paraId="7AAA15BF"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-3.00</w:t>
            </w:r>
          </w:p>
        </w:tc>
        <w:tc>
          <w:tcPr>
            <w:tcW w:w="1281" w:type="dxa"/>
            <w:gridSpan w:val="5"/>
            <w:tcBorders>
              <w:top w:val="nil"/>
              <w:left w:val="nil"/>
              <w:bottom w:val="single" w:sz="4" w:space="0" w:color="auto"/>
              <w:right w:val="nil"/>
            </w:tcBorders>
            <w:shd w:val="clear" w:color="auto" w:fill="auto"/>
            <w:noWrap/>
            <w:vAlign w:val="bottom"/>
            <w:hideMark/>
          </w:tcPr>
          <w:p w14:paraId="6A112730"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0.050</w:t>
            </w:r>
          </w:p>
        </w:tc>
        <w:tc>
          <w:tcPr>
            <w:tcW w:w="424" w:type="dxa"/>
            <w:gridSpan w:val="6"/>
            <w:tcBorders>
              <w:top w:val="nil"/>
              <w:left w:val="nil"/>
              <w:bottom w:val="nil"/>
              <w:right w:val="nil"/>
            </w:tcBorders>
            <w:shd w:val="clear" w:color="auto" w:fill="auto"/>
            <w:noWrap/>
            <w:vAlign w:val="bottom"/>
            <w:hideMark/>
          </w:tcPr>
          <w:p w14:paraId="2F193E5F"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single" w:sz="4" w:space="0" w:color="auto"/>
              <w:right w:val="nil"/>
            </w:tcBorders>
            <w:shd w:val="clear" w:color="auto" w:fill="auto"/>
            <w:noWrap/>
            <w:vAlign w:val="bottom"/>
            <w:hideMark/>
          </w:tcPr>
          <w:p w14:paraId="767A857F"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-2.99</w:t>
            </w:r>
          </w:p>
        </w:tc>
        <w:tc>
          <w:tcPr>
            <w:tcW w:w="886" w:type="dxa"/>
            <w:gridSpan w:val="4"/>
            <w:tcBorders>
              <w:top w:val="nil"/>
              <w:left w:val="nil"/>
              <w:bottom w:val="single" w:sz="4" w:space="0" w:color="auto"/>
              <w:right w:val="nil"/>
            </w:tcBorders>
            <w:shd w:val="clear" w:color="auto" w:fill="auto"/>
            <w:noWrap/>
            <w:vAlign w:val="bottom"/>
            <w:hideMark/>
          </w:tcPr>
          <w:p w14:paraId="556041D0"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0.050</w:t>
            </w:r>
          </w:p>
        </w:tc>
        <w:tc>
          <w:tcPr>
            <w:tcW w:w="236" w:type="dxa"/>
            <w:gridSpan w:val="5"/>
            <w:vAlign w:val="center"/>
            <w:hideMark/>
          </w:tcPr>
          <w:p w14:paraId="68C998F5"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18FDEB63"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603BFC85"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7853660F"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327F554C"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59F80439"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1AC6E0B7"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5AA7966F" w14:textId="77777777" w:rsidR="00C5012C" w:rsidRPr="003B7EA9" w:rsidRDefault="00C5012C" w:rsidP="00C5012C">
            <w:pPr>
              <w:spacing w:line="240" w:lineRule="auto"/>
              <w:ind w:firstLine="0"/>
              <w:jc w:val="left"/>
              <w:rPr>
                <w:sz w:val="20"/>
                <w:szCs w:val="20"/>
                <w:lang w:eastAsia="en-GB"/>
              </w:rPr>
            </w:pPr>
          </w:p>
        </w:tc>
      </w:tr>
      <w:tr w:rsidR="00FC17B1" w:rsidRPr="003B7EA9" w14:paraId="4148B12B" w14:textId="77777777" w:rsidTr="00F55F69">
        <w:trPr>
          <w:trHeight w:val="20"/>
        </w:trPr>
        <w:tc>
          <w:tcPr>
            <w:tcW w:w="261" w:type="dxa"/>
            <w:tcBorders>
              <w:top w:val="nil"/>
              <w:left w:val="nil"/>
              <w:bottom w:val="nil"/>
              <w:right w:val="nil"/>
            </w:tcBorders>
            <w:shd w:val="clear" w:color="auto" w:fill="auto"/>
            <w:noWrap/>
            <w:vAlign w:val="bottom"/>
            <w:hideMark/>
          </w:tcPr>
          <w:p w14:paraId="281EFC70" w14:textId="77777777" w:rsidR="00C5012C" w:rsidRPr="003B7EA9" w:rsidRDefault="00C5012C" w:rsidP="00C5012C">
            <w:pPr>
              <w:spacing w:line="240" w:lineRule="auto"/>
              <w:ind w:firstLine="0"/>
              <w:jc w:val="left"/>
              <w:rPr>
                <w:color w:val="000000"/>
                <w:sz w:val="18"/>
                <w:szCs w:val="18"/>
                <w:lang w:eastAsia="en-GB"/>
              </w:rPr>
            </w:pPr>
          </w:p>
        </w:tc>
        <w:tc>
          <w:tcPr>
            <w:tcW w:w="3016" w:type="dxa"/>
            <w:tcBorders>
              <w:top w:val="nil"/>
              <w:left w:val="nil"/>
              <w:bottom w:val="nil"/>
              <w:right w:val="nil"/>
            </w:tcBorders>
            <w:shd w:val="clear" w:color="auto" w:fill="auto"/>
            <w:noWrap/>
            <w:vAlign w:val="bottom"/>
            <w:hideMark/>
          </w:tcPr>
          <w:p w14:paraId="47C72037" w14:textId="77777777" w:rsidR="00C5012C" w:rsidRPr="003B7EA9" w:rsidRDefault="00C5012C" w:rsidP="00C5012C">
            <w:pPr>
              <w:spacing w:line="240" w:lineRule="auto"/>
              <w:ind w:firstLine="0"/>
              <w:jc w:val="left"/>
              <w:rPr>
                <w:color w:val="000000"/>
                <w:sz w:val="18"/>
                <w:szCs w:val="18"/>
                <w:lang w:eastAsia="en-GB"/>
              </w:rPr>
            </w:pPr>
          </w:p>
        </w:tc>
        <w:tc>
          <w:tcPr>
            <w:tcW w:w="1103" w:type="dxa"/>
            <w:tcBorders>
              <w:top w:val="nil"/>
              <w:left w:val="nil"/>
              <w:bottom w:val="nil"/>
              <w:right w:val="nil"/>
            </w:tcBorders>
            <w:shd w:val="clear" w:color="auto" w:fill="auto"/>
            <w:noWrap/>
            <w:vAlign w:val="bottom"/>
            <w:hideMark/>
          </w:tcPr>
          <w:p w14:paraId="3D2BBB6B" w14:textId="77777777" w:rsidR="00C5012C" w:rsidRPr="003B7EA9" w:rsidRDefault="00C5012C" w:rsidP="00C5012C">
            <w:pPr>
              <w:spacing w:line="240" w:lineRule="auto"/>
              <w:ind w:firstLine="0"/>
              <w:jc w:val="left"/>
              <w:rPr>
                <w:color w:val="000000"/>
                <w:sz w:val="18"/>
                <w:szCs w:val="18"/>
                <w:lang w:eastAsia="en-GB"/>
              </w:rPr>
            </w:pPr>
          </w:p>
        </w:tc>
        <w:tc>
          <w:tcPr>
            <w:tcW w:w="886" w:type="dxa"/>
            <w:tcBorders>
              <w:top w:val="nil"/>
              <w:left w:val="nil"/>
              <w:bottom w:val="nil"/>
              <w:right w:val="nil"/>
            </w:tcBorders>
            <w:shd w:val="clear" w:color="auto" w:fill="auto"/>
            <w:noWrap/>
            <w:vAlign w:val="bottom"/>
            <w:hideMark/>
          </w:tcPr>
          <w:p w14:paraId="51C1BEC1" w14:textId="77777777" w:rsidR="00C5012C" w:rsidRPr="003B7EA9" w:rsidRDefault="00C5012C" w:rsidP="00C5012C">
            <w:pPr>
              <w:spacing w:line="240" w:lineRule="auto"/>
              <w:ind w:firstLine="0"/>
              <w:jc w:val="left"/>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10BFC583" w14:textId="77777777" w:rsidR="00C5012C" w:rsidRPr="003B7EA9" w:rsidRDefault="00C5012C" w:rsidP="00C5012C">
            <w:pPr>
              <w:spacing w:line="240" w:lineRule="auto"/>
              <w:ind w:firstLine="0"/>
              <w:jc w:val="left"/>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2808EC70" w14:textId="77777777" w:rsidR="00C5012C" w:rsidRPr="003B7EA9" w:rsidRDefault="00C5012C" w:rsidP="00C5012C">
            <w:pPr>
              <w:spacing w:line="240" w:lineRule="auto"/>
              <w:ind w:firstLine="0"/>
              <w:jc w:val="left"/>
              <w:rPr>
                <w:color w:val="000000"/>
                <w:sz w:val="18"/>
                <w:szCs w:val="18"/>
                <w:lang w:eastAsia="en-GB"/>
              </w:rPr>
            </w:pPr>
          </w:p>
        </w:tc>
        <w:tc>
          <w:tcPr>
            <w:tcW w:w="1281" w:type="dxa"/>
            <w:gridSpan w:val="5"/>
            <w:tcBorders>
              <w:top w:val="nil"/>
              <w:left w:val="nil"/>
              <w:bottom w:val="nil"/>
              <w:right w:val="nil"/>
            </w:tcBorders>
            <w:shd w:val="clear" w:color="auto" w:fill="auto"/>
            <w:noWrap/>
            <w:vAlign w:val="bottom"/>
            <w:hideMark/>
          </w:tcPr>
          <w:p w14:paraId="796340DA" w14:textId="77777777" w:rsidR="00C5012C" w:rsidRPr="003B7EA9" w:rsidRDefault="00C5012C" w:rsidP="00C5012C">
            <w:pPr>
              <w:spacing w:line="240" w:lineRule="auto"/>
              <w:ind w:firstLine="0"/>
              <w:jc w:val="left"/>
              <w:rPr>
                <w:color w:val="000000"/>
                <w:sz w:val="18"/>
                <w:szCs w:val="18"/>
                <w:lang w:eastAsia="en-GB"/>
              </w:rPr>
            </w:pPr>
          </w:p>
        </w:tc>
        <w:tc>
          <w:tcPr>
            <w:tcW w:w="424" w:type="dxa"/>
            <w:gridSpan w:val="6"/>
            <w:tcBorders>
              <w:top w:val="nil"/>
              <w:left w:val="nil"/>
              <w:bottom w:val="nil"/>
              <w:right w:val="nil"/>
            </w:tcBorders>
            <w:shd w:val="clear" w:color="auto" w:fill="auto"/>
            <w:noWrap/>
            <w:vAlign w:val="bottom"/>
            <w:hideMark/>
          </w:tcPr>
          <w:p w14:paraId="6FBBE5ED" w14:textId="77777777" w:rsidR="00C5012C" w:rsidRPr="003B7EA9" w:rsidRDefault="00C5012C" w:rsidP="00C5012C">
            <w:pPr>
              <w:spacing w:line="240" w:lineRule="auto"/>
              <w:ind w:firstLine="0"/>
              <w:jc w:val="left"/>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1670A32C" w14:textId="77777777" w:rsidR="00C5012C" w:rsidRPr="003B7EA9" w:rsidRDefault="00C5012C" w:rsidP="00C5012C">
            <w:pPr>
              <w:spacing w:line="240" w:lineRule="auto"/>
              <w:ind w:firstLine="0"/>
              <w:jc w:val="left"/>
              <w:rPr>
                <w:color w:val="000000"/>
                <w:sz w:val="18"/>
                <w:szCs w:val="18"/>
                <w:lang w:eastAsia="en-GB"/>
              </w:rPr>
            </w:pPr>
          </w:p>
        </w:tc>
        <w:tc>
          <w:tcPr>
            <w:tcW w:w="886" w:type="dxa"/>
            <w:gridSpan w:val="4"/>
            <w:tcBorders>
              <w:top w:val="nil"/>
              <w:left w:val="nil"/>
              <w:bottom w:val="nil"/>
              <w:right w:val="nil"/>
            </w:tcBorders>
            <w:shd w:val="clear" w:color="auto" w:fill="auto"/>
            <w:noWrap/>
            <w:vAlign w:val="bottom"/>
            <w:hideMark/>
          </w:tcPr>
          <w:p w14:paraId="7A307C03" w14:textId="77777777" w:rsidR="00C5012C" w:rsidRPr="003B7EA9" w:rsidRDefault="00C5012C" w:rsidP="00C5012C">
            <w:pPr>
              <w:spacing w:line="240" w:lineRule="auto"/>
              <w:ind w:firstLine="0"/>
              <w:jc w:val="left"/>
              <w:rPr>
                <w:color w:val="000000"/>
                <w:sz w:val="18"/>
                <w:szCs w:val="18"/>
                <w:lang w:eastAsia="en-GB"/>
              </w:rPr>
            </w:pPr>
          </w:p>
        </w:tc>
        <w:tc>
          <w:tcPr>
            <w:tcW w:w="236" w:type="dxa"/>
            <w:gridSpan w:val="5"/>
            <w:vAlign w:val="center"/>
            <w:hideMark/>
          </w:tcPr>
          <w:p w14:paraId="311285AA"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2E9E86ED"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12AB0678"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4623F14D"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6BECEA4A"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7AE5187C"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41E933C6"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2A740DF8" w14:textId="77777777" w:rsidR="00C5012C" w:rsidRPr="003B7EA9" w:rsidRDefault="00C5012C" w:rsidP="00C5012C">
            <w:pPr>
              <w:spacing w:line="240" w:lineRule="auto"/>
              <w:ind w:firstLine="0"/>
              <w:jc w:val="left"/>
              <w:rPr>
                <w:sz w:val="20"/>
                <w:szCs w:val="20"/>
                <w:lang w:eastAsia="en-GB"/>
              </w:rPr>
            </w:pPr>
          </w:p>
        </w:tc>
      </w:tr>
      <w:tr w:rsidR="00FC17B1" w:rsidRPr="003B7EA9" w14:paraId="23AD02F2" w14:textId="77777777" w:rsidTr="00F55F69">
        <w:trPr>
          <w:trHeight w:val="20"/>
        </w:trPr>
        <w:tc>
          <w:tcPr>
            <w:tcW w:w="3277" w:type="dxa"/>
            <w:gridSpan w:val="2"/>
            <w:tcBorders>
              <w:top w:val="nil"/>
              <w:left w:val="nil"/>
              <w:bottom w:val="nil"/>
              <w:right w:val="nil"/>
            </w:tcBorders>
            <w:shd w:val="clear" w:color="auto" w:fill="auto"/>
            <w:noWrap/>
            <w:vAlign w:val="bottom"/>
            <w:hideMark/>
          </w:tcPr>
          <w:p w14:paraId="1CC1A2CD"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Null Model -2LL</w:t>
            </w:r>
          </w:p>
        </w:tc>
        <w:tc>
          <w:tcPr>
            <w:tcW w:w="1103" w:type="dxa"/>
            <w:tcBorders>
              <w:top w:val="nil"/>
              <w:left w:val="nil"/>
              <w:bottom w:val="nil"/>
              <w:right w:val="nil"/>
            </w:tcBorders>
            <w:shd w:val="clear" w:color="auto" w:fill="auto"/>
            <w:noWrap/>
            <w:vAlign w:val="bottom"/>
            <w:hideMark/>
          </w:tcPr>
          <w:p w14:paraId="4B8F66B1" w14:textId="77777777" w:rsidR="00C5012C" w:rsidRPr="003B7EA9" w:rsidRDefault="00C5012C" w:rsidP="00C5012C">
            <w:pPr>
              <w:spacing w:line="240" w:lineRule="auto"/>
              <w:ind w:firstLine="0"/>
              <w:jc w:val="right"/>
              <w:rPr>
                <w:color w:val="000000"/>
                <w:sz w:val="18"/>
                <w:szCs w:val="18"/>
                <w:lang w:eastAsia="en-GB"/>
              </w:rPr>
            </w:pPr>
            <w:r w:rsidRPr="003B7EA9">
              <w:rPr>
                <w:color w:val="000000"/>
                <w:sz w:val="18"/>
                <w:szCs w:val="18"/>
                <w:lang w:eastAsia="en-GB"/>
              </w:rPr>
              <w:t xml:space="preserve">   3,825,746 </w:t>
            </w:r>
          </w:p>
        </w:tc>
        <w:tc>
          <w:tcPr>
            <w:tcW w:w="886" w:type="dxa"/>
            <w:tcBorders>
              <w:top w:val="nil"/>
              <w:left w:val="nil"/>
              <w:bottom w:val="nil"/>
              <w:right w:val="nil"/>
            </w:tcBorders>
            <w:shd w:val="clear" w:color="auto" w:fill="auto"/>
            <w:noWrap/>
            <w:vAlign w:val="bottom"/>
            <w:hideMark/>
          </w:tcPr>
          <w:p w14:paraId="5763746F" w14:textId="77777777" w:rsidR="00C5012C" w:rsidRPr="003B7EA9" w:rsidRDefault="00C5012C" w:rsidP="00C5012C">
            <w:pPr>
              <w:spacing w:line="240" w:lineRule="auto"/>
              <w:ind w:firstLine="0"/>
              <w:jc w:val="left"/>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1D76A1E4" w14:textId="77777777" w:rsidR="00C5012C" w:rsidRPr="003B7EA9" w:rsidRDefault="00C5012C" w:rsidP="00C5012C">
            <w:pPr>
              <w:spacing w:line="240" w:lineRule="auto"/>
              <w:ind w:firstLine="0"/>
              <w:jc w:val="left"/>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6B2D59F4" w14:textId="77777777" w:rsidR="00C5012C" w:rsidRPr="003B7EA9" w:rsidRDefault="00C5012C" w:rsidP="00C5012C">
            <w:pPr>
              <w:spacing w:line="240" w:lineRule="auto"/>
              <w:ind w:firstLine="0"/>
              <w:jc w:val="right"/>
              <w:rPr>
                <w:color w:val="000000"/>
                <w:sz w:val="18"/>
                <w:szCs w:val="18"/>
                <w:lang w:eastAsia="en-GB"/>
              </w:rPr>
            </w:pPr>
            <w:r w:rsidRPr="003B7EA9">
              <w:rPr>
                <w:color w:val="000000"/>
                <w:sz w:val="18"/>
                <w:szCs w:val="18"/>
                <w:lang w:eastAsia="en-GB"/>
              </w:rPr>
              <w:t xml:space="preserve">3,825,746 </w:t>
            </w:r>
          </w:p>
        </w:tc>
        <w:tc>
          <w:tcPr>
            <w:tcW w:w="1281" w:type="dxa"/>
            <w:gridSpan w:val="5"/>
            <w:tcBorders>
              <w:top w:val="nil"/>
              <w:left w:val="nil"/>
              <w:bottom w:val="nil"/>
              <w:right w:val="nil"/>
            </w:tcBorders>
            <w:shd w:val="clear" w:color="auto" w:fill="auto"/>
            <w:noWrap/>
            <w:vAlign w:val="bottom"/>
            <w:hideMark/>
          </w:tcPr>
          <w:p w14:paraId="45E0D356" w14:textId="77777777" w:rsidR="00C5012C" w:rsidRPr="003B7EA9" w:rsidRDefault="00C5012C" w:rsidP="00C5012C">
            <w:pPr>
              <w:spacing w:line="240" w:lineRule="auto"/>
              <w:ind w:firstLine="0"/>
              <w:jc w:val="left"/>
              <w:rPr>
                <w:color w:val="000000"/>
                <w:sz w:val="18"/>
                <w:szCs w:val="18"/>
                <w:lang w:eastAsia="en-GB"/>
              </w:rPr>
            </w:pPr>
          </w:p>
        </w:tc>
        <w:tc>
          <w:tcPr>
            <w:tcW w:w="424" w:type="dxa"/>
            <w:gridSpan w:val="6"/>
            <w:tcBorders>
              <w:top w:val="nil"/>
              <w:left w:val="nil"/>
              <w:bottom w:val="nil"/>
              <w:right w:val="nil"/>
            </w:tcBorders>
            <w:shd w:val="clear" w:color="auto" w:fill="auto"/>
            <w:noWrap/>
            <w:vAlign w:val="bottom"/>
            <w:hideMark/>
          </w:tcPr>
          <w:p w14:paraId="5D186115" w14:textId="77777777" w:rsidR="00C5012C" w:rsidRPr="003B7EA9" w:rsidRDefault="00C5012C" w:rsidP="00C5012C">
            <w:pPr>
              <w:spacing w:line="240" w:lineRule="auto"/>
              <w:ind w:firstLine="0"/>
              <w:jc w:val="left"/>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0B51507A" w14:textId="77777777" w:rsidR="00C5012C" w:rsidRPr="003B7EA9" w:rsidRDefault="00BF413E" w:rsidP="00C5012C">
            <w:pPr>
              <w:spacing w:line="240" w:lineRule="auto"/>
              <w:ind w:firstLine="0"/>
              <w:jc w:val="right"/>
              <w:rPr>
                <w:color w:val="000000"/>
                <w:sz w:val="18"/>
                <w:szCs w:val="18"/>
                <w:lang w:eastAsia="en-GB"/>
              </w:rPr>
            </w:pPr>
            <w:r w:rsidRPr="003B7EA9">
              <w:rPr>
                <w:color w:val="000000"/>
                <w:sz w:val="18"/>
                <w:szCs w:val="18"/>
                <w:lang w:eastAsia="en-GB"/>
              </w:rPr>
              <w:t xml:space="preserve"> </w:t>
            </w:r>
            <w:r w:rsidR="00C5012C" w:rsidRPr="003B7EA9">
              <w:rPr>
                <w:color w:val="000000"/>
                <w:sz w:val="18"/>
                <w:szCs w:val="18"/>
                <w:lang w:eastAsia="en-GB"/>
              </w:rPr>
              <w:t xml:space="preserve">3,825,746 </w:t>
            </w:r>
          </w:p>
        </w:tc>
        <w:tc>
          <w:tcPr>
            <w:tcW w:w="886" w:type="dxa"/>
            <w:gridSpan w:val="4"/>
            <w:tcBorders>
              <w:top w:val="nil"/>
              <w:left w:val="nil"/>
              <w:bottom w:val="nil"/>
              <w:right w:val="nil"/>
            </w:tcBorders>
            <w:shd w:val="clear" w:color="auto" w:fill="auto"/>
            <w:noWrap/>
            <w:vAlign w:val="bottom"/>
            <w:hideMark/>
          </w:tcPr>
          <w:p w14:paraId="498916BC" w14:textId="77777777" w:rsidR="00C5012C" w:rsidRPr="003B7EA9" w:rsidRDefault="00C5012C" w:rsidP="00C5012C">
            <w:pPr>
              <w:spacing w:line="240" w:lineRule="auto"/>
              <w:ind w:firstLine="0"/>
              <w:jc w:val="left"/>
              <w:rPr>
                <w:color w:val="000000"/>
                <w:sz w:val="18"/>
                <w:szCs w:val="18"/>
                <w:lang w:eastAsia="en-GB"/>
              </w:rPr>
            </w:pPr>
          </w:p>
        </w:tc>
        <w:tc>
          <w:tcPr>
            <w:tcW w:w="236" w:type="dxa"/>
            <w:gridSpan w:val="5"/>
            <w:vAlign w:val="center"/>
            <w:hideMark/>
          </w:tcPr>
          <w:p w14:paraId="2B3A0FE7"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6D80D014"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01BB9431"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1430D81F"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30DFD935"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169C9CB9"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11353037"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40875AA3" w14:textId="77777777" w:rsidR="00C5012C" w:rsidRPr="003B7EA9" w:rsidRDefault="00C5012C" w:rsidP="00C5012C">
            <w:pPr>
              <w:spacing w:line="240" w:lineRule="auto"/>
              <w:ind w:firstLine="0"/>
              <w:jc w:val="left"/>
              <w:rPr>
                <w:sz w:val="20"/>
                <w:szCs w:val="20"/>
                <w:lang w:eastAsia="en-GB"/>
              </w:rPr>
            </w:pPr>
          </w:p>
        </w:tc>
      </w:tr>
      <w:tr w:rsidR="00FC17B1" w:rsidRPr="003B7EA9" w14:paraId="2E6B59EE" w14:textId="77777777" w:rsidTr="00F55F69">
        <w:trPr>
          <w:trHeight w:val="20"/>
        </w:trPr>
        <w:tc>
          <w:tcPr>
            <w:tcW w:w="3277" w:type="dxa"/>
            <w:gridSpan w:val="2"/>
            <w:tcBorders>
              <w:top w:val="nil"/>
              <w:left w:val="nil"/>
              <w:bottom w:val="nil"/>
              <w:right w:val="nil"/>
            </w:tcBorders>
            <w:shd w:val="clear" w:color="auto" w:fill="auto"/>
            <w:noWrap/>
            <w:vAlign w:val="bottom"/>
            <w:hideMark/>
          </w:tcPr>
          <w:p w14:paraId="3F56CEB0"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Stage Model -2LL</w:t>
            </w:r>
          </w:p>
        </w:tc>
        <w:tc>
          <w:tcPr>
            <w:tcW w:w="1103" w:type="dxa"/>
            <w:tcBorders>
              <w:top w:val="nil"/>
              <w:left w:val="nil"/>
              <w:bottom w:val="nil"/>
              <w:right w:val="nil"/>
            </w:tcBorders>
            <w:shd w:val="clear" w:color="auto" w:fill="auto"/>
            <w:noWrap/>
            <w:vAlign w:val="bottom"/>
            <w:hideMark/>
          </w:tcPr>
          <w:p w14:paraId="00440870" w14:textId="77777777" w:rsidR="00C5012C" w:rsidRPr="003B7EA9" w:rsidRDefault="00C5012C" w:rsidP="00C5012C">
            <w:pPr>
              <w:spacing w:line="240" w:lineRule="auto"/>
              <w:ind w:firstLine="0"/>
              <w:jc w:val="right"/>
              <w:rPr>
                <w:color w:val="000000"/>
                <w:sz w:val="18"/>
                <w:szCs w:val="18"/>
                <w:lang w:eastAsia="en-GB"/>
              </w:rPr>
            </w:pPr>
            <w:r w:rsidRPr="003B7EA9">
              <w:rPr>
                <w:color w:val="000000"/>
                <w:sz w:val="18"/>
                <w:szCs w:val="18"/>
                <w:lang w:eastAsia="en-GB"/>
              </w:rPr>
              <w:t xml:space="preserve">   3,113,209 </w:t>
            </w:r>
          </w:p>
        </w:tc>
        <w:tc>
          <w:tcPr>
            <w:tcW w:w="886" w:type="dxa"/>
            <w:tcBorders>
              <w:top w:val="nil"/>
              <w:left w:val="nil"/>
              <w:bottom w:val="nil"/>
              <w:right w:val="nil"/>
            </w:tcBorders>
            <w:shd w:val="clear" w:color="auto" w:fill="auto"/>
            <w:noWrap/>
            <w:vAlign w:val="bottom"/>
            <w:hideMark/>
          </w:tcPr>
          <w:p w14:paraId="4D0463A3" w14:textId="77777777" w:rsidR="00C5012C" w:rsidRPr="003B7EA9" w:rsidRDefault="00C5012C" w:rsidP="00C5012C">
            <w:pPr>
              <w:spacing w:line="240" w:lineRule="auto"/>
              <w:ind w:firstLine="0"/>
              <w:jc w:val="left"/>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3C6F51D6" w14:textId="77777777" w:rsidR="00C5012C" w:rsidRPr="003B7EA9" w:rsidRDefault="00C5012C" w:rsidP="00C5012C">
            <w:pPr>
              <w:spacing w:line="240" w:lineRule="auto"/>
              <w:ind w:firstLine="0"/>
              <w:jc w:val="left"/>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15A35D01" w14:textId="77777777" w:rsidR="00C5012C" w:rsidRPr="003B7EA9" w:rsidRDefault="00FC17B1" w:rsidP="00FC17B1">
            <w:pPr>
              <w:spacing w:line="240" w:lineRule="auto"/>
              <w:ind w:firstLine="0"/>
              <w:rPr>
                <w:color w:val="000000"/>
                <w:sz w:val="18"/>
                <w:szCs w:val="18"/>
                <w:lang w:eastAsia="en-GB"/>
              </w:rPr>
            </w:pPr>
            <w:r w:rsidRPr="003B7EA9">
              <w:rPr>
                <w:color w:val="000000"/>
                <w:sz w:val="18"/>
                <w:szCs w:val="18"/>
                <w:lang w:eastAsia="en-GB"/>
              </w:rPr>
              <w:t xml:space="preserve">  </w:t>
            </w:r>
            <w:r w:rsidR="00C5012C" w:rsidRPr="003B7EA9">
              <w:rPr>
                <w:color w:val="000000"/>
                <w:sz w:val="18"/>
                <w:szCs w:val="18"/>
                <w:lang w:eastAsia="en-GB"/>
              </w:rPr>
              <w:t xml:space="preserve">3,040,873 </w:t>
            </w:r>
          </w:p>
        </w:tc>
        <w:tc>
          <w:tcPr>
            <w:tcW w:w="1281" w:type="dxa"/>
            <w:gridSpan w:val="5"/>
            <w:tcBorders>
              <w:top w:val="nil"/>
              <w:left w:val="nil"/>
              <w:bottom w:val="nil"/>
              <w:right w:val="nil"/>
            </w:tcBorders>
            <w:shd w:val="clear" w:color="auto" w:fill="auto"/>
            <w:noWrap/>
            <w:vAlign w:val="bottom"/>
            <w:hideMark/>
          </w:tcPr>
          <w:p w14:paraId="3733B62C" w14:textId="77777777" w:rsidR="00C5012C" w:rsidRPr="003B7EA9" w:rsidRDefault="00C5012C" w:rsidP="00C5012C">
            <w:pPr>
              <w:spacing w:line="240" w:lineRule="auto"/>
              <w:ind w:firstLine="0"/>
              <w:jc w:val="left"/>
              <w:rPr>
                <w:color w:val="000000"/>
                <w:sz w:val="18"/>
                <w:szCs w:val="18"/>
                <w:lang w:eastAsia="en-GB"/>
              </w:rPr>
            </w:pPr>
          </w:p>
        </w:tc>
        <w:tc>
          <w:tcPr>
            <w:tcW w:w="424" w:type="dxa"/>
            <w:gridSpan w:val="6"/>
            <w:tcBorders>
              <w:top w:val="nil"/>
              <w:left w:val="nil"/>
              <w:bottom w:val="nil"/>
              <w:right w:val="nil"/>
            </w:tcBorders>
            <w:shd w:val="clear" w:color="auto" w:fill="auto"/>
            <w:noWrap/>
            <w:vAlign w:val="bottom"/>
            <w:hideMark/>
          </w:tcPr>
          <w:p w14:paraId="55E08269" w14:textId="77777777" w:rsidR="00C5012C" w:rsidRPr="003B7EA9" w:rsidRDefault="00C5012C" w:rsidP="00C5012C">
            <w:pPr>
              <w:spacing w:line="240" w:lineRule="auto"/>
              <w:ind w:firstLine="0"/>
              <w:jc w:val="left"/>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20F7DA7A" w14:textId="77777777" w:rsidR="00C5012C" w:rsidRPr="003B7EA9" w:rsidRDefault="00C5012C" w:rsidP="00C5012C">
            <w:pPr>
              <w:spacing w:line="240" w:lineRule="auto"/>
              <w:ind w:firstLine="0"/>
              <w:jc w:val="right"/>
              <w:rPr>
                <w:color w:val="000000"/>
                <w:sz w:val="18"/>
                <w:szCs w:val="18"/>
                <w:lang w:eastAsia="en-GB"/>
              </w:rPr>
            </w:pPr>
            <w:r w:rsidRPr="003B7EA9">
              <w:rPr>
                <w:color w:val="000000"/>
                <w:sz w:val="18"/>
                <w:szCs w:val="18"/>
                <w:lang w:eastAsia="en-GB"/>
              </w:rPr>
              <w:t xml:space="preserve">3,039,211 </w:t>
            </w:r>
          </w:p>
        </w:tc>
        <w:tc>
          <w:tcPr>
            <w:tcW w:w="886" w:type="dxa"/>
            <w:gridSpan w:val="4"/>
            <w:tcBorders>
              <w:top w:val="nil"/>
              <w:left w:val="nil"/>
              <w:bottom w:val="nil"/>
              <w:right w:val="nil"/>
            </w:tcBorders>
            <w:shd w:val="clear" w:color="auto" w:fill="auto"/>
            <w:noWrap/>
            <w:vAlign w:val="bottom"/>
            <w:hideMark/>
          </w:tcPr>
          <w:p w14:paraId="5F85361D" w14:textId="77777777" w:rsidR="00C5012C" w:rsidRPr="003B7EA9" w:rsidRDefault="00C5012C" w:rsidP="00C5012C">
            <w:pPr>
              <w:spacing w:line="240" w:lineRule="auto"/>
              <w:ind w:firstLine="0"/>
              <w:jc w:val="left"/>
              <w:rPr>
                <w:color w:val="000000"/>
                <w:sz w:val="18"/>
                <w:szCs w:val="18"/>
                <w:lang w:eastAsia="en-GB"/>
              </w:rPr>
            </w:pPr>
          </w:p>
        </w:tc>
        <w:tc>
          <w:tcPr>
            <w:tcW w:w="236" w:type="dxa"/>
            <w:gridSpan w:val="5"/>
            <w:vAlign w:val="center"/>
            <w:hideMark/>
          </w:tcPr>
          <w:p w14:paraId="1479CE6E"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1FF107E9"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7CC94717"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50B92834"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6A482D7A"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6E05924F"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66CADD9A"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0FA4555C" w14:textId="77777777" w:rsidR="00C5012C" w:rsidRPr="003B7EA9" w:rsidRDefault="00C5012C" w:rsidP="00C5012C">
            <w:pPr>
              <w:spacing w:line="240" w:lineRule="auto"/>
              <w:ind w:firstLine="0"/>
              <w:jc w:val="left"/>
              <w:rPr>
                <w:sz w:val="20"/>
                <w:szCs w:val="20"/>
                <w:lang w:eastAsia="en-GB"/>
              </w:rPr>
            </w:pPr>
          </w:p>
        </w:tc>
      </w:tr>
      <w:tr w:rsidR="00FC17B1" w:rsidRPr="003B7EA9" w14:paraId="014D640E" w14:textId="77777777" w:rsidTr="00F55F69">
        <w:trPr>
          <w:trHeight w:val="20"/>
        </w:trPr>
        <w:tc>
          <w:tcPr>
            <w:tcW w:w="3277" w:type="dxa"/>
            <w:gridSpan w:val="2"/>
            <w:tcBorders>
              <w:top w:val="nil"/>
              <w:left w:val="nil"/>
              <w:bottom w:val="nil"/>
              <w:right w:val="nil"/>
            </w:tcBorders>
            <w:shd w:val="clear" w:color="auto" w:fill="auto"/>
            <w:noWrap/>
            <w:vAlign w:val="bottom"/>
            <w:hideMark/>
          </w:tcPr>
          <w:p w14:paraId="6765B914"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Stage Improvement</w:t>
            </w:r>
          </w:p>
        </w:tc>
        <w:tc>
          <w:tcPr>
            <w:tcW w:w="1103" w:type="dxa"/>
            <w:tcBorders>
              <w:top w:val="nil"/>
              <w:left w:val="nil"/>
              <w:bottom w:val="nil"/>
              <w:right w:val="nil"/>
            </w:tcBorders>
            <w:shd w:val="clear" w:color="auto" w:fill="auto"/>
            <w:noWrap/>
            <w:vAlign w:val="bottom"/>
            <w:hideMark/>
          </w:tcPr>
          <w:p w14:paraId="447A2841" w14:textId="77777777" w:rsidR="00C5012C" w:rsidRPr="003B7EA9" w:rsidRDefault="00C5012C" w:rsidP="00C5012C">
            <w:pPr>
              <w:spacing w:line="240" w:lineRule="auto"/>
              <w:ind w:firstLine="0"/>
              <w:jc w:val="right"/>
              <w:rPr>
                <w:color w:val="000000"/>
                <w:sz w:val="18"/>
                <w:szCs w:val="18"/>
                <w:lang w:eastAsia="en-GB"/>
              </w:rPr>
            </w:pPr>
            <w:r w:rsidRPr="003B7EA9">
              <w:rPr>
                <w:color w:val="000000"/>
                <w:sz w:val="18"/>
                <w:szCs w:val="18"/>
                <w:lang w:eastAsia="en-GB"/>
              </w:rPr>
              <w:t xml:space="preserve">712,537 </w:t>
            </w:r>
          </w:p>
        </w:tc>
        <w:tc>
          <w:tcPr>
            <w:tcW w:w="886" w:type="dxa"/>
            <w:tcBorders>
              <w:top w:val="nil"/>
              <w:left w:val="nil"/>
              <w:bottom w:val="nil"/>
              <w:right w:val="nil"/>
            </w:tcBorders>
            <w:shd w:val="clear" w:color="auto" w:fill="auto"/>
            <w:noWrap/>
            <w:vAlign w:val="bottom"/>
            <w:hideMark/>
          </w:tcPr>
          <w:p w14:paraId="1D672659" w14:textId="77777777" w:rsidR="00C5012C" w:rsidRPr="003B7EA9" w:rsidRDefault="00C5012C" w:rsidP="00C5012C">
            <w:pPr>
              <w:spacing w:line="240" w:lineRule="auto"/>
              <w:ind w:firstLine="0"/>
              <w:jc w:val="left"/>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1936EAEB" w14:textId="77777777" w:rsidR="00C5012C" w:rsidRPr="003B7EA9" w:rsidRDefault="00C5012C" w:rsidP="00C5012C">
            <w:pPr>
              <w:spacing w:line="240" w:lineRule="auto"/>
              <w:ind w:firstLine="0"/>
              <w:jc w:val="left"/>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6ADEF0E4" w14:textId="77777777" w:rsidR="00C5012C" w:rsidRPr="003B7EA9" w:rsidRDefault="00C5012C" w:rsidP="00C5012C">
            <w:pPr>
              <w:spacing w:line="240" w:lineRule="auto"/>
              <w:ind w:firstLine="0"/>
              <w:jc w:val="right"/>
              <w:rPr>
                <w:color w:val="000000"/>
                <w:sz w:val="18"/>
                <w:szCs w:val="18"/>
                <w:lang w:eastAsia="en-GB"/>
              </w:rPr>
            </w:pPr>
            <w:r w:rsidRPr="003B7EA9">
              <w:rPr>
                <w:color w:val="000000"/>
                <w:sz w:val="18"/>
                <w:szCs w:val="18"/>
                <w:lang w:eastAsia="en-GB"/>
              </w:rPr>
              <w:t xml:space="preserve">72,336 </w:t>
            </w:r>
          </w:p>
        </w:tc>
        <w:tc>
          <w:tcPr>
            <w:tcW w:w="1281" w:type="dxa"/>
            <w:gridSpan w:val="5"/>
            <w:tcBorders>
              <w:top w:val="nil"/>
              <w:left w:val="nil"/>
              <w:bottom w:val="nil"/>
              <w:right w:val="nil"/>
            </w:tcBorders>
            <w:shd w:val="clear" w:color="auto" w:fill="auto"/>
            <w:noWrap/>
            <w:vAlign w:val="bottom"/>
            <w:hideMark/>
          </w:tcPr>
          <w:p w14:paraId="05CC4B86" w14:textId="77777777" w:rsidR="00C5012C" w:rsidRPr="003B7EA9" w:rsidRDefault="00C5012C" w:rsidP="00C5012C">
            <w:pPr>
              <w:spacing w:line="240" w:lineRule="auto"/>
              <w:ind w:firstLine="0"/>
              <w:jc w:val="left"/>
              <w:rPr>
                <w:color w:val="000000"/>
                <w:sz w:val="18"/>
                <w:szCs w:val="18"/>
                <w:lang w:eastAsia="en-GB"/>
              </w:rPr>
            </w:pPr>
          </w:p>
        </w:tc>
        <w:tc>
          <w:tcPr>
            <w:tcW w:w="424" w:type="dxa"/>
            <w:gridSpan w:val="6"/>
            <w:tcBorders>
              <w:top w:val="nil"/>
              <w:left w:val="nil"/>
              <w:bottom w:val="nil"/>
              <w:right w:val="nil"/>
            </w:tcBorders>
            <w:shd w:val="clear" w:color="auto" w:fill="auto"/>
            <w:noWrap/>
            <w:vAlign w:val="bottom"/>
            <w:hideMark/>
          </w:tcPr>
          <w:p w14:paraId="097A0E5A" w14:textId="77777777" w:rsidR="00C5012C" w:rsidRPr="003B7EA9" w:rsidRDefault="00C5012C" w:rsidP="00C5012C">
            <w:pPr>
              <w:spacing w:line="240" w:lineRule="auto"/>
              <w:ind w:firstLine="0"/>
              <w:jc w:val="left"/>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2A854ECA" w14:textId="77777777" w:rsidR="00C5012C" w:rsidRPr="003B7EA9" w:rsidRDefault="00C5012C" w:rsidP="00C5012C">
            <w:pPr>
              <w:spacing w:line="240" w:lineRule="auto"/>
              <w:ind w:firstLine="0"/>
              <w:jc w:val="right"/>
              <w:rPr>
                <w:color w:val="000000"/>
                <w:sz w:val="18"/>
                <w:szCs w:val="18"/>
                <w:lang w:eastAsia="en-GB"/>
              </w:rPr>
            </w:pPr>
            <w:r w:rsidRPr="003B7EA9">
              <w:rPr>
                <w:color w:val="000000"/>
                <w:sz w:val="18"/>
                <w:szCs w:val="18"/>
                <w:lang w:eastAsia="en-GB"/>
              </w:rPr>
              <w:t xml:space="preserve">1,662 </w:t>
            </w:r>
          </w:p>
        </w:tc>
        <w:tc>
          <w:tcPr>
            <w:tcW w:w="886" w:type="dxa"/>
            <w:gridSpan w:val="4"/>
            <w:tcBorders>
              <w:top w:val="nil"/>
              <w:left w:val="nil"/>
              <w:bottom w:val="nil"/>
              <w:right w:val="nil"/>
            </w:tcBorders>
            <w:shd w:val="clear" w:color="auto" w:fill="auto"/>
            <w:noWrap/>
            <w:vAlign w:val="bottom"/>
            <w:hideMark/>
          </w:tcPr>
          <w:p w14:paraId="572C68C8" w14:textId="77777777" w:rsidR="00C5012C" w:rsidRPr="003B7EA9" w:rsidRDefault="00C5012C" w:rsidP="00C5012C">
            <w:pPr>
              <w:spacing w:line="240" w:lineRule="auto"/>
              <w:ind w:firstLine="0"/>
              <w:jc w:val="left"/>
              <w:rPr>
                <w:color w:val="000000"/>
                <w:sz w:val="18"/>
                <w:szCs w:val="18"/>
                <w:lang w:eastAsia="en-GB"/>
              </w:rPr>
            </w:pPr>
          </w:p>
        </w:tc>
        <w:tc>
          <w:tcPr>
            <w:tcW w:w="236" w:type="dxa"/>
            <w:gridSpan w:val="5"/>
            <w:vAlign w:val="center"/>
            <w:hideMark/>
          </w:tcPr>
          <w:p w14:paraId="5DBCB2D8"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2B2601C7"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6C1F0C0D"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7E1E49FA"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6B08F461"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5194111E"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38618AAF"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11122CCD" w14:textId="77777777" w:rsidR="00C5012C" w:rsidRPr="003B7EA9" w:rsidRDefault="00C5012C" w:rsidP="00C5012C">
            <w:pPr>
              <w:spacing w:line="240" w:lineRule="auto"/>
              <w:ind w:firstLine="0"/>
              <w:jc w:val="left"/>
              <w:rPr>
                <w:sz w:val="20"/>
                <w:szCs w:val="20"/>
                <w:lang w:eastAsia="en-GB"/>
              </w:rPr>
            </w:pPr>
          </w:p>
        </w:tc>
      </w:tr>
      <w:tr w:rsidR="00FC17B1" w:rsidRPr="003B7EA9" w14:paraId="38A75D0E" w14:textId="77777777" w:rsidTr="00F55F69">
        <w:trPr>
          <w:trHeight w:val="20"/>
        </w:trPr>
        <w:tc>
          <w:tcPr>
            <w:tcW w:w="3277" w:type="dxa"/>
            <w:gridSpan w:val="2"/>
            <w:tcBorders>
              <w:top w:val="nil"/>
              <w:left w:val="nil"/>
              <w:bottom w:val="nil"/>
              <w:right w:val="nil"/>
            </w:tcBorders>
            <w:shd w:val="clear" w:color="auto" w:fill="auto"/>
            <w:noWrap/>
            <w:vAlign w:val="bottom"/>
            <w:hideMark/>
          </w:tcPr>
          <w:p w14:paraId="11042DAD"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Stage improvement (</w:t>
            </w:r>
            <w:proofErr w:type="spellStart"/>
            <w:r w:rsidRPr="003B7EA9">
              <w:rPr>
                <w:color w:val="000000"/>
                <w:sz w:val="18"/>
                <w:szCs w:val="18"/>
                <w:lang w:eastAsia="en-GB"/>
              </w:rPr>
              <w:t>cf</w:t>
            </w:r>
            <w:proofErr w:type="spellEnd"/>
            <w:r w:rsidRPr="003B7EA9">
              <w:rPr>
                <w:color w:val="000000"/>
                <w:sz w:val="18"/>
                <w:szCs w:val="18"/>
                <w:lang w:eastAsia="en-GB"/>
              </w:rPr>
              <w:t xml:space="preserve"> Null -2LL)</w:t>
            </w:r>
          </w:p>
        </w:tc>
        <w:tc>
          <w:tcPr>
            <w:tcW w:w="1103" w:type="dxa"/>
            <w:tcBorders>
              <w:top w:val="nil"/>
              <w:left w:val="nil"/>
              <w:bottom w:val="nil"/>
              <w:right w:val="nil"/>
            </w:tcBorders>
            <w:shd w:val="clear" w:color="auto" w:fill="auto"/>
            <w:noWrap/>
            <w:vAlign w:val="bottom"/>
            <w:hideMark/>
          </w:tcPr>
          <w:p w14:paraId="68590F5A"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19%</w:t>
            </w:r>
          </w:p>
        </w:tc>
        <w:tc>
          <w:tcPr>
            <w:tcW w:w="886" w:type="dxa"/>
            <w:tcBorders>
              <w:top w:val="nil"/>
              <w:left w:val="nil"/>
              <w:bottom w:val="nil"/>
              <w:right w:val="nil"/>
            </w:tcBorders>
            <w:shd w:val="clear" w:color="auto" w:fill="auto"/>
            <w:noWrap/>
            <w:vAlign w:val="bottom"/>
            <w:hideMark/>
          </w:tcPr>
          <w:p w14:paraId="3BAEDC4E"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3E466E15"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2EF9FBFD"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2%</w:t>
            </w:r>
          </w:p>
        </w:tc>
        <w:tc>
          <w:tcPr>
            <w:tcW w:w="1281" w:type="dxa"/>
            <w:gridSpan w:val="5"/>
            <w:tcBorders>
              <w:top w:val="nil"/>
              <w:left w:val="nil"/>
              <w:bottom w:val="nil"/>
              <w:right w:val="nil"/>
            </w:tcBorders>
            <w:shd w:val="clear" w:color="auto" w:fill="auto"/>
            <w:noWrap/>
            <w:vAlign w:val="bottom"/>
            <w:hideMark/>
          </w:tcPr>
          <w:p w14:paraId="4744E304" w14:textId="77777777" w:rsidR="00C5012C" w:rsidRPr="003B7EA9" w:rsidRDefault="00C5012C" w:rsidP="00C5012C">
            <w:pPr>
              <w:spacing w:line="240" w:lineRule="auto"/>
              <w:ind w:firstLine="0"/>
              <w:jc w:val="center"/>
              <w:rPr>
                <w:color w:val="000000"/>
                <w:sz w:val="18"/>
                <w:szCs w:val="18"/>
                <w:lang w:eastAsia="en-GB"/>
              </w:rPr>
            </w:pPr>
          </w:p>
        </w:tc>
        <w:tc>
          <w:tcPr>
            <w:tcW w:w="424" w:type="dxa"/>
            <w:gridSpan w:val="6"/>
            <w:tcBorders>
              <w:top w:val="nil"/>
              <w:left w:val="nil"/>
              <w:bottom w:val="nil"/>
              <w:right w:val="nil"/>
            </w:tcBorders>
            <w:shd w:val="clear" w:color="auto" w:fill="auto"/>
            <w:noWrap/>
            <w:vAlign w:val="bottom"/>
            <w:hideMark/>
          </w:tcPr>
          <w:p w14:paraId="38C5DC95"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19AC0896"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w:t>
            </w:r>
          </w:p>
        </w:tc>
        <w:tc>
          <w:tcPr>
            <w:tcW w:w="886" w:type="dxa"/>
            <w:gridSpan w:val="4"/>
            <w:tcBorders>
              <w:top w:val="nil"/>
              <w:left w:val="nil"/>
              <w:bottom w:val="nil"/>
              <w:right w:val="nil"/>
            </w:tcBorders>
            <w:shd w:val="clear" w:color="auto" w:fill="auto"/>
            <w:noWrap/>
            <w:vAlign w:val="bottom"/>
            <w:hideMark/>
          </w:tcPr>
          <w:p w14:paraId="77D22EC4" w14:textId="77777777" w:rsidR="00C5012C" w:rsidRPr="003B7EA9" w:rsidRDefault="00C5012C" w:rsidP="00C5012C">
            <w:pPr>
              <w:spacing w:line="240" w:lineRule="auto"/>
              <w:ind w:firstLine="0"/>
              <w:jc w:val="left"/>
              <w:rPr>
                <w:color w:val="000000"/>
                <w:sz w:val="18"/>
                <w:szCs w:val="18"/>
                <w:lang w:eastAsia="en-GB"/>
              </w:rPr>
            </w:pPr>
          </w:p>
        </w:tc>
        <w:tc>
          <w:tcPr>
            <w:tcW w:w="236" w:type="dxa"/>
            <w:gridSpan w:val="5"/>
            <w:vAlign w:val="center"/>
            <w:hideMark/>
          </w:tcPr>
          <w:p w14:paraId="555911F5"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5512CE7A"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4D87FC6E"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74EBE731"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19113DD6"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457DF7F5"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0C9E5B35"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321DB4A1" w14:textId="77777777" w:rsidR="00C5012C" w:rsidRPr="003B7EA9" w:rsidRDefault="00C5012C" w:rsidP="00C5012C">
            <w:pPr>
              <w:spacing w:line="240" w:lineRule="auto"/>
              <w:ind w:firstLine="0"/>
              <w:jc w:val="left"/>
              <w:rPr>
                <w:sz w:val="20"/>
                <w:szCs w:val="20"/>
                <w:lang w:eastAsia="en-GB"/>
              </w:rPr>
            </w:pPr>
          </w:p>
        </w:tc>
      </w:tr>
      <w:tr w:rsidR="00FC17B1" w:rsidRPr="003B7EA9" w14:paraId="7EDDF8FE" w14:textId="77777777" w:rsidTr="00F55F69">
        <w:trPr>
          <w:trHeight w:val="20"/>
        </w:trPr>
        <w:tc>
          <w:tcPr>
            <w:tcW w:w="3277" w:type="dxa"/>
            <w:gridSpan w:val="2"/>
            <w:tcBorders>
              <w:top w:val="nil"/>
              <w:left w:val="nil"/>
              <w:bottom w:val="nil"/>
              <w:right w:val="nil"/>
            </w:tcBorders>
            <w:shd w:val="clear" w:color="auto" w:fill="auto"/>
            <w:noWrap/>
            <w:vAlign w:val="bottom"/>
            <w:hideMark/>
          </w:tcPr>
          <w:p w14:paraId="07A9B064"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Cox &amp; Snell R</w:t>
            </w:r>
            <w:r w:rsidRPr="003B7EA9">
              <w:rPr>
                <w:color w:val="000000"/>
                <w:sz w:val="18"/>
                <w:szCs w:val="18"/>
                <w:vertAlign w:val="superscript"/>
                <w:lang w:eastAsia="en-GB"/>
              </w:rPr>
              <w:t>2</w:t>
            </w:r>
          </w:p>
        </w:tc>
        <w:tc>
          <w:tcPr>
            <w:tcW w:w="1103" w:type="dxa"/>
            <w:tcBorders>
              <w:top w:val="nil"/>
              <w:left w:val="nil"/>
              <w:bottom w:val="nil"/>
              <w:right w:val="nil"/>
            </w:tcBorders>
            <w:shd w:val="clear" w:color="auto" w:fill="auto"/>
            <w:noWrap/>
            <w:vAlign w:val="bottom"/>
            <w:hideMark/>
          </w:tcPr>
          <w:p w14:paraId="13E098B0"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0.12</w:t>
            </w:r>
          </w:p>
        </w:tc>
        <w:tc>
          <w:tcPr>
            <w:tcW w:w="886" w:type="dxa"/>
            <w:tcBorders>
              <w:top w:val="nil"/>
              <w:left w:val="nil"/>
              <w:bottom w:val="nil"/>
              <w:right w:val="nil"/>
            </w:tcBorders>
            <w:shd w:val="clear" w:color="auto" w:fill="auto"/>
            <w:noWrap/>
            <w:vAlign w:val="bottom"/>
            <w:hideMark/>
          </w:tcPr>
          <w:p w14:paraId="2A4E5FCC" w14:textId="77777777" w:rsidR="00C5012C" w:rsidRPr="003B7EA9" w:rsidRDefault="00C5012C" w:rsidP="00C5012C">
            <w:pPr>
              <w:spacing w:line="240" w:lineRule="auto"/>
              <w:ind w:firstLine="0"/>
              <w:jc w:val="center"/>
              <w:rPr>
                <w:color w:val="000000"/>
                <w:sz w:val="18"/>
                <w:szCs w:val="18"/>
                <w:lang w:eastAsia="en-GB"/>
              </w:rPr>
            </w:pPr>
          </w:p>
        </w:tc>
        <w:tc>
          <w:tcPr>
            <w:tcW w:w="431" w:type="dxa"/>
            <w:gridSpan w:val="2"/>
            <w:tcBorders>
              <w:top w:val="nil"/>
              <w:left w:val="nil"/>
              <w:bottom w:val="nil"/>
              <w:right w:val="nil"/>
            </w:tcBorders>
            <w:shd w:val="clear" w:color="auto" w:fill="auto"/>
            <w:noWrap/>
            <w:vAlign w:val="bottom"/>
            <w:hideMark/>
          </w:tcPr>
          <w:p w14:paraId="1BBDD001"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nil"/>
              <w:right w:val="nil"/>
            </w:tcBorders>
            <w:shd w:val="clear" w:color="auto" w:fill="auto"/>
            <w:noWrap/>
            <w:vAlign w:val="bottom"/>
            <w:hideMark/>
          </w:tcPr>
          <w:p w14:paraId="5BE1875C"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0.13</w:t>
            </w:r>
          </w:p>
        </w:tc>
        <w:tc>
          <w:tcPr>
            <w:tcW w:w="1281" w:type="dxa"/>
            <w:gridSpan w:val="5"/>
            <w:tcBorders>
              <w:top w:val="nil"/>
              <w:left w:val="nil"/>
              <w:bottom w:val="nil"/>
              <w:right w:val="nil"/>
            </w:tcBorders>
            <w:shd w:val="clear" w:color="auto" w:fill="auto"/>
            <w:noWrap/>
            <w:vAlign w:val="bottom"/>
            <w:hideMark/>
          </w:tcPr>
          <w:p w14:paraId="7612BBD2" w14:textId="77777777" w:rsidR="00C5012C" w:rsidRPr="003B7EA9" w:rsidRDefault="00C5012C" w:rsidP="00C5012C">
            <w:pPr>
              <w:spacing w:line="240" w:lineRule="auto"/>
              <w:ind w:firstLine="0"/>
              <w:jc w:val="center"/>
              <w:rPr>
                <w:color w:val="000000"/>
                <w:sz w:val="18"/>
                <w:szCs w:val="18"/>
                <w:lang w:eastAsia="en-GB"/>
              </w:rPr>
            </w:pPr>
          </w:p>
        </w:tc>
        <w:tc>
          <w:tcPr>
            <w:tcW w:w="424" w:type="dxa"/>
            <w:gridSpan w:val="6"/>
            <w:tcBorders>
              <w:top w:val="nil"/>
              <w:left w:val="nil"/>
              <w:bottom w:val="nil"/>
              <w:right w:val="nil"/>
            </w:tcBorders>
            <w:shd w:val="clear" w:color="auto" w:fill="auto"/>
            <w:noWrap/>
            <w:vAlign w:val="bottom"/>
            <w:hideMark/>
          </w:tcPr>
          <w:p w14:paraId="47BC5A9B"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nil"/>
              <w:right w:val="nil"/>
            </w:tcBorders>
            <w:shd w:val="clear" w:color="auto" w:fill="auto"/>
            <w:noWrap/>
            <w:vAlign w:val="bottom"/>
            <w:hideMark/>
          </w:tcPr>
          <w:p w14:paraId="1FECB4C4"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0.13</w:t>
            </w:r>
          </w:p>
        </w:tc>
        <w:tc>
          <w:tcPr>
            <w:tcW w:w="886" w:type="dxa"/>
            <w:gridSpan w:val="4"/>
            <w:tcBorders>
              <w:top w:val="nil"/>
              <w:left w:val="nil"/>
              <w:bottom w:val="nil"/>
              <w:right w:val="nil"/>
            </w:tcBorders>
            <w:shd w:val="clear" w:color="auto" w:fill="auto"/>
            <w:noWrap/>
            <w:vAlign w:val="bottom"/>
            <w:hideMark/>
          </w:tcPr>
          <w:p w14:paraId="56DF8F7B" w14:textId="77777777" w:rsidR="00C5012C" w:rsidRPr="003B7EA9" w:rsidRDefault="00C5012C" w:rsidP="00C5012C">
            <w:pPr>
              <w:spacing w:line="240" w:lineRule="auto"/>
              <w:ind w:firstLine="0"/>
              <w:jc w:val="left"/>
              <w:rPr>
                <w:color w:val="000000"/>
                <w:sz w:val="18"/>
                <w:szCs w:val="18"/>
                <w:lang w:eastAsia="en-GB"/>
              </w:rPr>
            </w:pPr>
          </w:p>
        </w:tc>
        <w:tc>
          <w:tcPr>
            <w:tcW w:w="236" w:type="dxa"/>
            <w:gridSpan w:val="5"/>
            <w:vAlign w:val="center"/>
            <w:hideMark/>
          </w:tcPr>
          <w:p w14:paraId="59903813"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0CC41B4E"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5A58301D"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043AABE5"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59E11E1F"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2C4D725D"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3229313A"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715256EF" w14:textId="77777777" w:rsidR="00C5012C" w:rsidRPr="003B7EA9" w:rsidRDefault="00C5012C" w:rsidP="00C5012C">
            <w:pPr>
              <w:spacing w:line="240" w:lineRule="auto"/>
              <w:ind w:firstLine="0"/>
              <w:jc w:val="left"/>
              <w:rPr>
                <w:sz w:val="20"/>
                <w:szCs w:val="20"/>
                <w:lang w:eastAsia="en-GB"/>
              </w:rPr>
            </w:pPr>
          </w:p>
        </w:tc>
      </w:tr>
      <w:tr w:rsidR="00FC17B1" w:rsidRPr="003B7EA9" w14:paraId="6EA39662" w14:textId="77777777" w:rsidTr="00F55F69">
        <w:trPr>
          <w:trHeight w:val="20"/>
        </w:trPr>
        <w:tc>
          <w:tcPr>
            <w:tcW w:w="3277" w:type="dxa"/>
            <w:gridSpan w:val="2"/>
            <w:tcBorders>
              <w:top w:val="nil"/>
              <w:left w:val="nil"/>
              <w:bottom w:val="single" w:sz="4" w:space="0" w:color="auto"/>
              <w:right w:val="nil"/>
            </w:tcBorders>
            <w:shd w:val="clear" w:color="auto" w:fill="auto"/>
            <w:noWrap/>
            <w:vAlign w:val="bottom"/>
            <w:hideMark/>
          </w:tcPr>
          <w:p w14:paraId="24A63750" w14:textId="77777777" w:rsidR="00C5012C" w:rsidRPr="003B7EA9" w:rsidRDefault="00C5012C" w:rsidP="00C5012C">
            <w:pPr>
              <w:spacing w:line="240" w:lineRule="auto"/>
              <w:ind w:firstLine="0"/>
              <w:jc w:val="left"/>
              <w:rPr>
                <w:color w:val="000000"/>
                <w:sz w:val="18"/>
                <w:szCs w:val="18"/>
                <w:lang w:eastAsia="en-GB"/>
              </w:rPr>
            </w:pPr>
            <w:proofErr w:type="spellStart"/>
            <w:r w:rsidRPr="003B7EA9">
              <w:rPr>
                <w:color w:val="000000"/>
                <w:sz w:val="18"/>
                <w:szCs w:val="18"/>
                <w:lang w:eastAsia="en-GB"/>
              </w:rPr>
              <w:t>Nagelkerke</w:t>
            </w:r>
            <w:proofErr w:type="spellEnd"/>
            <w:r w:rsidRPr="003B7EA9">
              <w:rPr>
                <w:color w:val="000000"/>
                <w:sz w:val="18"/>
                <w:szCs w:val="18"/>
                <w:lang w:eastAsia="en-GB"/>
              </w:rPr>
              <w:t xml:space="preserve"> R</w:t>
            </w:r>
            <w:r w:rsidRPr="003B7EA9">
              <w:rPr>
                <w:color w:val="000000"/>
                <w:sz w:val="18"/>
                <w:szCs w:val="18"/>
                <w:vertAlign w:val="superscript"/>
                <w:lang w:eastAsia="en-GB"/>
              </w:rPr>
              <w:t>2</w:t>
            </w:r>
          </w:p>
        </w:tc>
        <w:tc>
          <w:tcPr>
            <w:tcW w:w="1103" w:type="dxa"/>
            <w:tcBorders>
              <w:top w:val="nil"/>
              <w:left w:val="nil"/>
              <w:bottom w:val="single" w:sz="4" w:space="0" w:color="auto"/>
              <w:right w:val="nil"/>
            </w:tcBorders>
            <w:shd w:val="clear" w:color="auto" w:fill="auto"/>
            <w:noWrap/>
            <w:vAlign w:val="bottom"/>
            <w:hideMark/>
          </w:tcPr>
          <w:p w14:paraId="17A4C877"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0.24</w:t>
            </w:r>
          </w:p>
        </w:tc>
        <w:tc>
          <w:tcPr>
            <w:tcW w:w="886" w:type="dxa"/>
            <w:tcBorders>
              <w:top w:val="nil"/>
              <w:left w:val="nil"/>
              <w:bottom w:val="single" w:sz="4" w:space="0" w:color="auto"/>
              <w:right w:val="nil"/>
            </w:tcBorders>
            <w:shd w:val="clear" w:color="auto" w:fill="auto"/>
            <w:noWrap/>
            <w:vAlign w:val="bottom"/>
            <w:hideMark/>
          </w:tcPr>
          <w:p w14:paraId="27AB2CE3"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 </w:t>
            </w:r>
          </w:p>
        </w:tc>
        <w:tc>
          <w:tcPr>
            <w:tcW w:w="431" w:type="dxa"/>
            <w:gridSpan w:val="2"/>
            <w:tcBorders>
              <w:top w:val="nil"/>
              <w:left w:val="nil"/>
              <w:bottom w:val="nil"/>
              <w:right w:val="nil"/>
            </w:tcBorders>
            <w:shd w:val="clear" w:color="auto" w:fill="auto"/>
            <w:noWrap/>
            <w:vAlign w:val="bottom"/>
            <w:hideMark/>
          </w:tcPr>
          <w:p w14:paraId="6CE5C805"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2"/>
            <w:tcBorders>
              <w:top w:val="nil"/>
              <w:left w:val="nil"/>
              <w:bottom w:val="single" w:sz="4" w:space="0" w:color="auto"/>
              <w:right w:val="nil"/>
            </w:tcBorders>
            <w:shd w:val="clear" w:color="auto" w:fill="auto"/>
            <w:noWrap/>
            <w:vAlign w:val="bottom"/>
            <w:hideMark/>
          </w:tcPr>
          <w:p w14:paraId="46375390"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0.27</w:t>
            </w:r>
          </w:p>
        </w:tc>
        <w:tc>
          <w:tcPr>
            <w:tcW w:w="1281" w:type="dxa"/>
            <w:gridSpan w:val="5"/>
            <w:tcBorders>
              <w:top w:val="nil"/>
              <w:left w:val="nil"/>
              <w:bottom w:val="single" w:sz="4" w:space="0" w:color="auto"/>
              <w:right w:val="nil"/>
            </w:tcBorders>
            <w:shd w:val="clear" w:color="auto" w:fill="auto"/>
            <w:noWrap/>
            <w:vAlign w:val="bottom"/>
            <w:hideMark/>
          </w:tcPr>
          <w:p w14:paraId="538D9CCB"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 </w:t>
            </w:r>
          </w:p>
        </w:tc>
        <w:tc>
          <w:tcPr>
            <w:tcW w:w="424" w:type="dxa"/>
            <w:gridSpan w:val="6"/>
            <w:tcBorders>
              <w:top w:val="nil"/>
              <w:left w:val="nil"/>
              <w:bottom w:val="nil"/>
              <w:right w:val="nil"/>
            </w:tcBorders>
            <w:shd w:val="clear" w:color="auto" w:fill="auto"/>
            <w:noWrap/>
            <w:vAlign w:val="bottom"/>
            <w:hideMark/>
          </w:tcPr>
          <w:p w14:paraId="7AC4FDA5" w14:textId="77777777" w:rsidR="00C5012C" w:rsidRPr="003B7EA9" w:rsidRDefault="00C5012C" w:rsidP="00C5012C">
            <w:pPr>
              <w:spacing w:line="240" w:lineRule="auto"/>
              <w:ind w:firstLine="0"/>
              <w:jc w:val="center"/>
              <w:rPr>
                <w:color w:val="000000"/>
                <w:sz w:val="18"/>
                <w:szCs w:val="18"/>
                <w:lang w:eastAsia="en-GB"/>
              </w:rPr>
            </w:pPr>
          </w:p>
        </w:tc>
        <w:tc>
          <w:tcPr>
            <w:tcW w:w="1026" w:type="dxa"/>
            <w:gridSpan w:val="7"/>
            <w:tcBorders>
              <w:top w:val="nil"/>
              <w:left w:val="nil"/>
              <w:bottom w:val="single" w:sz="4" w:space="0" w:color="auto"/>
              <w:right w:val="nil"/>
            </w:tcBorders>
            <w:shd w:val="clear" w:color="auto" w:fill="auto"/>
            <w:noWrap/>
            <w:vAlign w:val="bottom"/>
            <w:hideMark/>
          </w:tcPr>
          <w:p w14:paraId="7243A457" w14:textId="77777777" w:rsidR="00C5012C" w:rsidRPr="003B7EA9" w:rsidRDefault="00C5012C" w:rsidP="00C5012C">
            <w:pPr>
              <w:spacing w:line="240" w:lineRule="auto"/>
              <w:ind w:firstLine="0"/>
              <w:jc w:val="center"/>
              <w:rPr>
                <w:color w:val="000000"/>
                <w:sz w:val="18"/>
                <w:szCs w:val="18"/>
                <w:lang w:eastAsia="en-GB"/>
              </w:rPr>
            </w:pPr>
            <w:r w:rsidRPr="003B7EA9">
              <w:rPr>
                <w:color w:val="000000"/>
                <w:sz w:val="18"/>
                <w:szCs w:val="18"/>
                <w:lang w:eastAsia="en-GB"/>
              </w:rPr>
              <w:t>0.27</w:t>
            </w:r>
          </w:p>
        </w:tc>
        <w:tc>
          <w:tcPr>
            <w:tcW w:w="886" w:type="dxa"/>
            <w:gridSpan w:val="4"/>
            <w:tcBorders>
              <w:top w:val="nil"/>
              <w:left w:val="nil"/>
              <w:bottom w:val="single" w:sz="4" w:space="0" w:color="auto"/>
              <w:right w:val="nil"/>
            </w:tcBorders>
            <w:shd w:val="clear" w:color="auto" w:fill="auto"/>
            <w:noWrap/>
            <w:vAlign w:val="bottom"/>
            <w:hideMark/>
          </w:tcPr>
          <w:p w14:paraId="2804921F"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 </w:t>
            </w:r>
          </w:p>
        </w:tc>
        <w:tc>
          <w:tcPr>
            <w:tcW w:w="236" w:type="dxa"/>
            <w:gridSpan w:val="5"/>
            <w:vAlign w:val="center"/>
            <w:hideMark/>
          </w:tcPr>
          <w:p w14:paraId="5266741F" w14:textId="77777777" w:rsidR="00C5012C" w:rsidRPr="003B7EA9" w:rsidRDefault="00C5012C" w:rsidP="00C5012C">
            <w:pPr>
              <w:spacing w:line="240" w:lineRule="auto"/>
              <w:ind w:firstLine="0"/>
              <w:jc w:val="left"/>
              <w:rPr>
                <w:sz w:val="20"/>
                <w:szCs w:val="20"/>
                <w:lang w:eastAsia="en-GB"/>
              </w:rPr>
            </w:pPr>
          </w:p>
        </w:tc>
        <w:tc>
          <w:tcPr>
            <w:tcW w:w="230" w:type="dxa"/>
            <w:gridSpan w:val="2"/>
            <w:vAlign w:val="center"/>
            <w:hideMark/>
          </w:tcPr>
          <w:p w14:paraId="3F81A054" w14:textId="77777777" w:rsidR="00C5012C" w:rsidRPr="003B7EA9" w:rsidRDefault="00C5012C" w:rsidP="00C5012C">
            <w:pPr>
              <w:spacing w:line="240" w:lineRule="auto"/>
              <w:ind w:firstLine="0"/>
              <w:jc w:val="left"/>
              <w:rPr>
                <w:sz w:val="20"/>
                <w:szCs w:val="20"/>
                <w:lang w:eastAsia="en-GB"/>
              </w:rPr>
            </w:pPr>
          </w:p>
        </w:tc>
        <w:tc>
          <w:tcPr>
            <w:tcW w:w="1071" w:type="dxa"/>
            <w:gridSpan w:val="8"/>
            <w:vAlign w:val="center"/>
            <w:hideMark/>
          </w:tcPr>
          <w:p w14:paraId="6AF092E6" w14:textId="77777777" w:rsidR="00C5012C" w:rsidRPr="003B7EA9" w:rsidRDefault="00C5012C" w:rsidP="00C5012C">
            <w:pPr>
              <w:spacing w:line="240" w:lineRule="auto"/>
              <w:ind w:firstLine="0"/>
              <w:jc w:val="left"/>
              <w:rPr>
                <w:sz w:val="20"/>
                <w:szCs w:val="20"/>
                <w:lang w:eastAsia="en-GB"/>
              </w:rPr>
            </w:pPr>
          </w:p>
        </w:tc>
        <w:tc>
          <w:tcPr>
            <w:tcW w:w="225" w:type="dxa"/>
            <w:gridSpan w:val="2"/>
            <w:vAlign w:val="center"/>
            <w:hideMark/>
          </w:tcPr>
          <w:p w14:paraId="2A408056" w14:textId="77777777" w:rsidR="00C5012C" w:rsidRPr="003B7EA9" w:rsidRDefault="00C5012C" w:rsidP="00C5012C">
            <w:pPr>
              <w:spacing w:line="240" w:lineRule="auto"/>
              <w:ind w:firstLine="0"/>
              <w:jc w:val="left"/>
              <w:rPr>
                <w:sz w:val="20"/>
                <w:szCs w:val="20"/>
                <w:lang w:eastAsia="en-GB"/>
              </w:rPr>
            </w:pPr>
          </w:p>
        </w:tc>
        <w:tc>
          <w:tcPr>
            <w:tcW w:w="1242" w:type="dxa"/>
            <w:gridSpan w:val="7"/>
            <w:vAlign w:val="center"/>
            <w:hideMark/>
          </w:tcPr>
          <w:p w14:paraId="0788239C" w14:textId="77777777" w:rsidR="00C5012C" w:rsidRPr="003B7EA9" w:rsidRDefault="00C5012C" w:rsidP="00C5012C">
            <w:pPr>
              <w:spacing w:line="240" w:lineRule="auto"/>
              <w:ind w:firstLine="0"/>
              <w:jc w:val="left"/>
              <w:rPr>
                <w:sz w:val="20"/>
                <w:szCs w:val="20"/>
                <w:lang w:eastAsia="en-GB"/>
              </w:rPr>
            </w:pPr>
          </w:p>
        </w:tc>
        <w:tc>
          <w:tcPr>
            <w:tcW w:w="236" w:type="dxa"/>
            <w:gridSpan w:val="2"/>
            <w:vAlign w:val="center"/>
            <w:hideMark/>
          </w:tcPr>
          <w:p w14:paraId="0CCACC46" w14:textId="77777777" w:rsidR="00C5012C" w:rsidRPr="003B7EA9" w:rsidRDefault="00C5012C" w:rsidP="00C5012C">
            <w:pPr>
              <w:spacing w:line="240" w:lineRule="auto"/>
              <w:ind w:firstLine="0"/>
              <w:jc w:val="left"/>
              <w:rPr>
                <w:sz w:val="20"/>
                <w:szCs w:val="20"/>
                <w:lang w:eastAsia="en-GB"/>
              </w:rPr>
            </w:pPr>
          </w:p>
        </w:tc>
        <w:tc>
          <w:tcPr>
            <w:tcW w:w="222" w:type="dxa"/>
            <w:gridSpan w:val="2"/>
            <w:vAlign w:val="center"/>
            <w:hideMark/>
          </w:tcPr>
          <w:p w14:paraId="5B0B6089" w14:textId="77777777" w:rsidR="00C5012C" w:rsidRPr="003B7EA9" w:rsidRDefault="00C5012C" w:rsidP="00C5012C">
            <w:pPr>
              <w:spacing w:line="240" w:lineRule="auto"/>
              <w:ind w:firstLine="0"/>
              <w:jc w:val="left"/>
              <w:rPr>
                <w:sz w:val="20"/>
                <w:szCs w:val="20"/>
                <w:lang w:eastAsia="en-GB"/>
              </w:rPr>
            </w:pPr>
          </w:p>
        </w:tc>
        <w:tc>
          <w:tcPr>
            <w:tcW w:w="236" w:type="dxa"/>
            <w:vAlign w:val="center"/>
            <w:hideMark/>
          </w:tcPr>
          <w:p w14:paraId="5E835011" w14:textId="77777777" w:rsidR="00C5012C" w:rsidRPr="003B7EA9" w:rsidRDefault="00C5012C" w:rsidP="00C5012C">
            <w:pPr>
              <w:spacing w:line="240" w:lineRule="auto"/>
              <w:ind w:firstLine="0"/>
              <w:jc w:val="left"/>
              <w:rPr>
                <w:sz w:val="20"/>
                <w:szCs w:val="20"/>
                <w:lang w:eastAsia="en-GB"/>
              </w:rPr>
            </w:pPr>
          </w:p>
        </w:tc>
      </w:tr>
      <w:tr w:rsidR="00FC17B1" w:rsidRPr="003B7EA9" w14:paraId="442A26FD" w14:textId="77777777" w:rsidTr="00F55F69">
        <w:trPr>
          <w:gridAfter w:val="10"/>
          <w:wAfter w:w="1579" w:type="dxa"/>
          <w:trHeight w:val="300"/>
        </w:trPr>
        <w:tc>
          <w:tcPr>
            <w:tcW w:w="261" w:type="dxa"/>
            <w:tcBorders>
              <w:top w:val="nil"/>
              <w:left w:val="nil"/>
              <w:bottom w:val="nil"/>
              <w:right w:val="nil"/>
            </w:tcBorders>
            <w:shd w:val="clear" w:color="auto" w:fill="auto"/>
            <w:noWrap/>
            <w:vAlign w:val="bottom"/>
            <w:hideMark/>
          </w:tcPr>
          <w:p w14:paraId="14CD1142" w14:textId="77777777" w:rsidR="00C5012C" w:rsidRPr="003B7EA9" w:rsidRDefault="00C5012C" w:rsidP="00C5012C">
            <w:pPr>
              <w:spacing w:line="240" w:lineRule="auto"/>
              <w:ind w:firstLine="0"/>
              <w:jc w:val="left"/>
              <w:rPr>
                <w:color w:val="000000"/>
                <w:sz w:val="18"/>
                <w:szCs w:val="18"/>
                <w:lang w:eastAsia="en-GB"/>
              </w:rPr>
            </w:pPr>
          </w:p>
        </w:tc>
        <w:tc>
          <w:tcPr>
            <w:tcW w:w="5436" w:type="dxa"/>
            <w:gridSpan w:val="5"/>
            <w:tcBorders>
              <w:top w:val="nil"/>
              <w:left w:val="nil"/>
              <w:bottom w:val="nil"/>
              <w:right w:val="nil"/>
            </w:tcBorders>
            <w:shd w:val="clear" w:color="auto" w:fill="auto"/>
            <w:noWrap/>
            <w:vAlign w:val="bottom"/>
            <w:hideMark/>
          </w:tcPr>
          <w:p w14:paraId="1A1BDAC9" w14:textId="34298B4C" w:rsidR="00C5012C" w:rsidRPr="003B7EA9" w:rsidRDefault="00C5012C" w:rsidP="00122E70">
            <w:pPr>
              <w:spacing w:line="240" w:lineRule="auto"/>
              <w:ind w:firstLine="0"/>
              <w:jc w:val="left"/>
              <w:rPr>
                <w:color w:val="000000"/>
                <w:sz w:val="18"/>
                <w:szCs w:val="18"/>
                <w:lang w:eastAsia="en-GB"/>
              </w:rPr>
            </w:pPr>
            <w:r w:rsidRPr="003B7EA9">
              <w:rPr>
                <w:color w:val="000000"/>
                <w:sz w:val="18"/>
                <w:szCs w:val="18"/>
                <w:lang w:eastAsia="en-GB"/>
              </w:rPr>
              <w:t>Note</w:t>
            </w:r>
            <w:r w:rsidR="00F55F69" w:rsidRPr="003B7EA9">
              <w:rPr>
                <w:color w:val="000000"/>
                <w:sz w:val="18"/>
                <w:szCs w:val="18"/>
                <w:lang w:eastAsia="en-GB"/>
              </w:rPr>
              <w:t xml:space="preserve">: </w:t>
            </w:r>
            <w:r w:rsidRPr="003B7EA9">
              <w:rPr>
                <w:b/>
                <w:bCs/>
                <w:color w:val="000000"/>
                <w:sz w:val="18"/>
                <w:szCs w:val="18"/>
                <w:lang w:eastAsia="en-GB"/>
              </w:rPr>
              <w:t>ALL</w:t>
            </w:r>
            <w:r w:rsidRPr="003B7EA9">
              <w:rPr>
                <w:color w:val="000000"/>
                <w:sz w:val="18"/>
                <w:szCs w:val="18"/>
                <w:lang w:eastAsia="en-GB"/>
              </w:rPr>
              <w:t xml:space="preserve"> </w:t>
            </w:r>
            <w:r w:rsidR="00122E70">
              <w:rPr>
                <w:color w:val="000000"/>
                <w:sz w:val="18"/>
                <w:szCs w:val="18"/>
                <w:lang w:eastAsia="en-GB"/>
              </w:rPr>
              <w:t>r</w:t>
            </w:r>
            <w:r w:rsidRPr="003B7EA9">
              <w:rPr>
                <w:color w:val="000000"/>
                <w:sz w:val="18"/>
                <w:szCs w:val="18"/>
                <w:lang w:eastAsia="en-GB"/>
              </w:rPr>
              <w:t xml:space="preserve">elative </w:t>
            </w:r>
            <w:r w:rsidR="00122E70">
              <w:rPr>
                <w:color w:val="000000"/>
                <w:sz w:val="18"/>
                <w:szCs w:val="18"/>
                <w:lang w:eastAsia="en-GB"/>
              </w:rPr>
              <w:t>o</w:t>
            </w:r>
            <w:r w:rsidRPr="003B7EA9">
              <w:rPr>
                <w:color w:val="000000"/>
                <w:sz w:val="18"/>
                <w:szCs w:val="18"/>
                <w:lang w:eastAsia="en-GB"/>
              </w:rPr>
              <w:t>dds are significant at the 0.01 level</w:t>
            </w:r>
          </w:p>
        </w:tc>
        <w:tc>
          <w:tcPr>
            <w:tcW w:w="1517" w:type="dxa"/>
            <w:gridSpan w:val="4"/>
            <w:tcBorders>
              <w:top w:val="nil"/>
              <w:left w:val="nil"/>
              <w:bottom w:val="nil"/>
              <w:right w:val="nil"/>
            </w:tcBorders>
            <w:shd w:val="clear" w:color="auto" w:fill="auto"/>
            <w:noWrap/>
            <w:vAlign w:val="bottom"/>
            <w:hideMark/>
          </w:tcPr>
          <w:p w14:paraId="39A50146"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Population (N)</w:t>
            </w:r>
          </w:p>
        </w:tc>
        <w:tc>
          <w:tcPr>
            <w:tcW w:w="236" w:type="dxa"/>
            <w:tcBorders>
              <w:top w:val="nil"/>
              <w:left w:val="nil"/>
              <w:bottom w:val="nil"/>
              <w:right w:val="nil"/>
            </w:tcBorders>
            <w:shd w:val="clear" w:color="auto" w:fill="auto"/>
            <w:noWrap/>
            <w:vAlign w:val="bottom"/>
            <w:hideMark/>
          </w:tcPr>
          <w:p w14:paraId="0A2EB360" w14:textId="77777777" w:rsidR="00C5012C" w:rsidRPr="003B7EA9" w:rsidRDefault="00C5012C" w:rsidP="00C5012C">
            <w:pPr>
              <w:spacing w:line="240" w:lineRule="auto"/>
              <w:ind w:firstLine="0"/>
              <w:jc w:val="left"/>
              <w:rPr>
                <w:color w:val="000000"/>
                <w:sz w:val="18"/>
                <w:szCs w:val="18"/>
                <w:lang w:eastAsia="en-GB"/>
              </w:rPr>
            </w:pPr>
          </w:p>
        </w:tc>
        <w:tc>
          <w:tcPr>
            <w:tcW w:w="936" w:type="dxa"/>
            <w:gridSpan w:val="7"/>
            <w:tcBorders>
              <w:top w:val="nil"/>
              <w:left w:val="nil"/>
              <w:bottom w:val="nil"/>
              <w:right w:val="nil"/>
            </w:tcBorders>
            <w:shd w:val="clear" w:color="auto" w:fill="auto"/>
            <w:noWrap/>
            <w:vAlign w:val="bottom"/>
            <w:hideMark/>
          </w:tcPr>
          <w:p w14:paraId="3CA40E4A" w14:textId="77777777" w:rsidR="00C5012C" w:rsidRPr="003B7EA9" w:rsidRDefault="00C5012C" w:rsidP="00C5012C">
            <w:pPr>
              <w:spacing w:line="240" w:lineRule="auto"/>
              <w:ind w:firstLine="0"/>
              <w:jc w:val="left"/>
              <w:rPr>
                <w:color w:val="000000"/>
                <w:sz w:val="18"/>
                <w:szCs w:val="18"/>
                <w:lang w:eastAsia="en-GB"/>
              </w:rPr>
            </w:pPr>
            <w:r w:rsidRPr="003B7EA9">
              <w:rPr>
                <w:color w:val="000000"/>
                <w:sz w:val="18"/>
                <w:szCs w:val="18"/>
                <w:lang w:eastAsia="en-GB"/>
              </w:rPr>
              <w:t xml:space="preserve">5,469,962 </w:t>
            </w:r>
          </w:p>
        </w:tc>
        <w:tc>
          <w:tcPr>
            <w:tcW w:w="474" w:type="dxa"/>
            <w:gridSpan w:val="3"/>
            <w:tcBorders>
              <w:top w:val="nil"/>
              <w:left w:val="nil"/>
              <w:bottom w:val="nil"/>
              <w:right w:val="nil"/>
            </w:tcBorders>
            <w:shd w:val="clear" w:color="auto" w:fill="auto"/>
            <w:noWrap/>
            <w:vAlign w:val="bottom"/>
            <w:hideMark/>
          </w:tcPr>
          <w:p w14:paraId="7CC5115C" w14:textId="77777777" w:rsidR="00C5012C" w:rsidRPr="003B7EA9" w:rsidRDefault="00C5012C" w:rsidP="00C5012C">
            <w:pPr>
              <w:spacing w:line="240" w:lineRule="auto"/>
              <w:ind w:firstLine="0"/>
              <w:jc w:val="left"/>
              <w:rPr>
                <w:color w:val="000000"/>
                <w:sz w:val="18"/>
                <w:szCs w:val="18"/>
                <w:lang w:eastAsia="en-GB"/>
              </w:rPr>
            </w:pPr>
          </w:p>
        </w:tc>
        <w:tc>
          <w:tcPr>
            <w:tcW w:w="594" w:type="dxa"/>
            <w:gridSpan w:val="5"/>
            <w:vAlign w:val="center"/>
            <w:hideMark/>
          </w:tcPr>
          <w:p w14:paraId="2F37E684" w14:textId="77777777" w:rsidR="00C5012C" w:rsidRPr="003B7EA9" w:rsidRDefault="00C5012C" w:rsidP="00C5012C">
            <w:pPr>
              <w:spacing w:line="240" w:lineRule="auto"/>
              <w:ind w:firstLine="0"/>
              <w:jc w:val="left"/>
              <w:rPr>
                <w:sz w:val="18"/>
                <w:szCs w:val="18"/>
                <w:lang w:eastAsia="en-GB"/>
              </w:rPr>
            </w:pPr>
          </w:p>
        </w:tc>
        <w:tc>
          <w:tcPr>
            <w:tcW w:w="393" w:type="dxa"/>
            <w:gridSpan w:val="2"/>
            <w:vAlign w:val="center"/>
            <w:hideMark/>
          </w:tcPr>
          <w:p w14:paraId="0E93259B" w14:textId="77777777" w:rsidR="00C5012C" w:rsidRPr="003B7EA9" w:rsidRDefault="00C5012C" w:rsidP="00C5012C">
            <w:pPr>
              <w:spacing w:line="240" w:lineRule="auto"/>
              <w:ind w:firstLine="0"/>
              <w:jc w:val="left"/>
              <w:rPr>
                <w:sz w:val="18"/>
                <w:szCs w:val="18"/>
                <w:lang w:eastAsia="en-GB"/>
              </w:rPr>
            </w:pPr>
          </w:p>
        </w:tc>
        <w:tc>
          <w:tcPr>
            <w:tcW w:w="1152" w:type="dxa"/>
            <w:gridSpan w:val="10"/>
            <w:vAlign w:val="center"/>
            <w:hideMark/>
          </w:tcPr>
          <w:p w14:paraId="3E166202" w14:textId="77777777" w:rsidR="00C5012C" w:rsidRPr="003B7EA9" w:rsidRDefault="00C5012C" w:rsidP="00C5012C">
            <w:pPr>
              <w:spacing w:line="240" w:lineRule="auto"/>
              <w:ind w:firstLine="0"/>
              <w:jc w:val="left"/>
              <w:rPr>
                <w:sz w:val="18"/>
                <w:szCs w:val="18"/>
                <w:lang w:eastAsia="en-GB"/>
              </w:rPr>
            </w:pPr>
          </w:p>
        </w:tc>
        <w:tc>
          <w:tcPr>
            <w:tcW w:w="1460" w:type="dxa"/>
            <w:gridSpan w:val="11"/>
            <w:vAlign w:val="center"/>
            <w:hideMark/>
          </w:tcPr>
          <w:p w14:paraId="7BBAB121" w14:textId="77777777" w:rsidR="00C5012C" w:rsidRPr="003B7EA9" w:rsidRDefault="00C5012C" w:rsidP="00C5012C">
            <w:pPr>
              <w:spacing w:line="240" w:lineRule="auto"/>
              <w:ind w:firstLine="0"/>
              <w:jc w:val="left"/>
              <w:rPr>
                <w:sz w:val="18"/>
                <w:szCs w:val="18"/>
                <w:lang w:eastAsia="en-GB"/>
              </w:rPr>
            </w:pPr>
          </w:p>
        </w:tc>
      </w:tr>
      <w:tr w:rsidR="00FC17B1" w:rsidRPr="003B7EA9" w14:paraId="0A075370" w14:textId="77777777" w:rsidTr="00F55F69">
        <w:trPr>
          <w:trHeight w:val="20"/>
        </w:trPr>
        <w:tc>
          <w:tcPr>
            <w:tcW w:w="6111" w:type="dxa"/>
            <w:gridSpan w:val="7"/>
            <w:tcBorders>
              <w:top w:val="nil"/>
              <w:left w:val="nil"/>
              <w:bottom w:val="nil"/>
              <w:right w:val="nil"/>
            </w:tcBorders>
            <w:shd w:val="clear" w:color="auto" w:fill="auto"/>
            <w:noWrap/>
            <w:vAlign w:val="bottom"/>
          </w:tcPr>
          <w:p w14:paraId="2026963F" w14:textId="77777777" w:rsidR="00FC17B1" w:rsidRPr="003B7EA9" w:rsidRDefault="00FC17B1" w:rsidP="00FC17B1">
            <w:pPr>
              <w:spacing w:line="240" w:lineRule="auto"/>
              <w:ind w:firstLine="0"/>
              <w:jc w:val="left"/>
              <w:rPr>
                <w:i/>
                <w:iCs/>
                <w:color w:val="000000"/>
                <w:sz w:val="18"/>
                <w:szCs w:val="18"/>
                <w:lang w:eastAsia="en-GB"/>
              </w:rPr>
            </w:pPr>
          </w:p>
        </w:tc>
        <w:tc>
          <w:tcPr>
            <w:tcW w:w="4459" w:type="dxa"/>
            <w:gridSpan w:val="27"/>
            <w:tcBorders>
              <w:top w:val="nil"/>
              <w:left w:val="nil"/>
              <w:bottom w:val="nil"/>
              <w:right w:val="nil"/>
            </w:tcBorders>
            <w:shd w:val="clear" w:color="auto" w:fill="auto"/>
            <w:noWrap/>
            <w:vAlign w:val="bottom"/>
          </w:tcPr>
          <w:p w14:paraId="035EBCAB" w14:textId="77777777" w:rsidR="00FC17B1" w:rsidRPr="003B7EA9" w:rsidRDefault="00FC17B1" w:rsidP="00FC17B1">
            <w:pPr>
              <w:spacing w:line="240" w:lineRule="auto"/>
              <w:ind w:firstLine="0"/>
              <w:jc w:val="left"/>
              <w:rPr>
                <w:color w:val="000000"/>
                <w:sz w:val="18"/>
                <w:szCs w:val="18"/>
                <w:lang w:eastAsia="en-GB"/>
              </w:rPr>
            </w:pPr>
          </w:p>
        </w:tc>
        <w:tc>
          <w:tcPr>
            <w:tcW w:w="698" w:type="dxa"/>
            <w:gridSpan w:val="5"/>
            <w:tcBorders>
              <w:top w:val="nil"/>
              <w:left w:val="nil"/>
              <w:bottom w:val="nil"/>
              <w:right w:val="nil"/>
            </w:tcBorders>
            <w:shd w:val="clear" w:color="auto" w:fill="auto"/>
            <w:noWrap/>
            <w:vAlign w:val="bottom"/>
          </w:tcPr>
          <w:p w14:paraId="64788E10" w14:textId="77777777" w:rsidR="00FC17B1" w:rsidRPr="003B7EA9" w:rsidRDefault="00FC17B1" w:rsidP="00FC17B1">
            <w:pPr>
              <w:spacing w:line="240" w:lineRule="auto"/>
              <w:ind w:firstLine="0"/>
              <w:jc w:val="left"/>
              <w:rPr>
                <w:color w:val="000000"/>
                <w:sz w:val="18"/>
                <w:szCs w:val="18"/>
                <w:lang w:eastAsia="en-GB"/>
              </w:rPr>
            </w:pPr>
          </w:p>
        </w:tc>
        <w:tc>
          <w:tcPr>
            <w:tcW w:w="499" w:type="dxa"/>
            <w:gridSpan w:val="3"/>
            <w:tcBorders>
              <w:top w:val="nil"/>
              <w:left w:val="nil"/>
              <w:bottom w:val="nil"/>
              <w:right w:val="nil"/>
            </w:tcBorders>
            <w:shd w:val="clear" w:color="auto" w:fill="auto"/>
            <w:noWrap/>
            <w:vAlign w:val="bottom"/>
          </w:tcPr>
          <w:p w14:paraId="7FEEE083" w14:textId="77777777" w:rsidR="00FC17B1" w:rsidRPr="003B7EA9" w:rsidRDefault="00FC17B1" w:rsidP="00FC17B1">
            <w:pPr>
              <w:spacing w:line="240" w:lineRule="auto"/>
              <w:ind w:firstLine="0"/>
              <w:jc w:val="left"/>
              <w:rPr>
                <w:color w:val="000000"/>
                <w:sz w:val="18"/>
                <w:szCs w:val="18"/>
                <w:lang w:eastAsia="en-GB"/>
              </w:rPr>
            </w:pPr>
          </w:p>
        </w:tc>
        <w:tc>
          <w:tcPr>
            <w:tcW w:w="1491" w:type="dxa"/>
            <w:gridSpan w:val="11"/>
            <w:tcBorders>
              <w:top w:val="nil"/>
              <w:left w:val="nil"/>
              <w:bottom w:val="nil"/>
              <w:right w:val="nil"/>
            </w:tcBorders>
            <w:shd w:val="clear" w:color="auto" w:fill="auto"/>
            <w:noWrap/>
            <w:vAlign w:val="bottom"/>
          </w:tcPr>
          <w:p w14:paraId="0A280697" w14:textId="77777777" w:rsidR="00FC17B1" w:rsidRPr="003B7EA9" w:rsidRDefault="00FC17B1" w:rsidP="00FC17B1">
            <w:pPr>
              <w:spacing w:line="240" w:lineRule="auto"/>
              <w:ind w:firstLine="0"/>
              <w:jc w:val="left"/>
              <w:rPr>
                <w:color w:val="000000"/>
                <w:sz w:val="18"/>
                <w:szCs w:val="18"/>
                <w:lang w:eastAsia="en-GB"/>
              </w:rPr>
            </w:pPr>
          </w:p>
        </w:tc>
        <w:tc>
          <w:tcPr>
            <w:tcW w:w="390" w:type="dxa"/>
            <w:gridSpan w:val="4"/>
            <w:tcBorders>
              <w:top w:val="nil"/>
              <w:left w:val="nil"/>
              <w:bottom w:val="nil"/>
              <w:right w:val="nil"/>
            </w:tcBorders>
            <w:shd w:val="clear" w:color="auto" w:fill="auto"/>
            <w:noWrap/>
            <w:vAlign w:val="bottom"/>
          </w:tcPr>
          <w:p w14:paraId="3C919237" w14:textId="77777777" w:rsidR="00FC17B1" w:rsidRPr="003B7EA9" w:rsidRDefault="00FC17B1" w:rsidP="00FC17B1">
            <w:pPr>
              <w:spacing w:line="240" w:lineRule="auto"/>
              <w:ind w:firstLine="0"/>
              <w:jc w:val="left"/>
              <w:rPr>
                <w:color w:val="000000"/>
                <w:sz w:val="18"/>
                <w:szCs w:val="18"/>
                <w:lang w:eastAsia="en-GB"/>
              </w:rPr>
            </w:pPr>
          </w:p>
        </w:tc>
        <w:tc>
          <w:tcPr>
            <w:tcW w:w="390" w:type="dxa"/>
            <w:gridSpan w:val="2"/>
            <w:tcBorders>
              <w:top w:val="nil"/>
              <w:left w:val="nil"/>
              <w:bottom w:val="nil"/>
              <w:right w:val="nil"/>
            </w:tcBorders>
            <w:shd w:val="clear" w:color="auto" w:fill="auto"/>
            <w:noWrap/>
            <w:vAlign w:val="bottom"/>
          </w:tcPr>
          <w:p w14:paraId="37A32D22" w14:textId="77777777" w:rsidR="00FC17B1" w:rsidRPr="003B7EA9" w:rsidRDefault="00FC17B1" w:rsidP="00FC17B1">
            <w:pPr>
              <w:spacing w:line="240" w:lineRule="auto"/>
              <w:ind w:firstLine="0"/>
              <w:jc w:val="left"/>
              <w:rPr>
                <w:color w:val="000000"/>
                <w:sz w:val="18"/>
                <w:szCs w:val="18"/>
                <w:lang w:eastAsia="en-GB"/>
              </w:rPr>
            </w:pPr>
          </w:p>
        </w:tc>
      </w:tr>
    </w:tbl>
    <w:p w14:paraId="56189A3F" w14:textId="77777777" w:rsidR="00E130E3" w:rsidRPr="003B7EA9" w:rsidRDefault="00E130E3" w:rsidP="008F28C7">
      <w:pPr>
        <w:ind w:left="-709" w:firstLine="0"/>
        <w:rPr>
          <w:lang w:eastAsia="en-GB"/>
        </w:rPr>
      </w:pPr>
    </w:p>
    <w:tbl>
      <w:tblPr>
        <w:tblW w:w="10363" w:type="dxa"/>
        <w:tblInd w:w="93" w:type="dxa"/>
        <w:tblLook w:val="04A0" w:firstRow="1" w:lastRow="0" w:firstColumn="1" w:lastColumn="0" w:noHBand="0" w:noVBand="1"/>
      </w:tblPr>
      <w:tblGrid>
        <w:gridCol w:w="1716"/>
        <w:gridCol w:w="2410"/>
        <w:gridCol w:w="274"/>
        <w:gridCol w:w="1896"/>
        <w:gridCol w:w="1844"/>
        <w:gridCol w:w="2100"/>
        <w:gridCol w:w="123"/>
      </w:tblGrid>
      <w:tr w:rsidR="00667357" w:rsidRPr="003B7EA9" w14:paraId="235B5508" w14:textId="77777777" w:rsidTr="00437839">
        <w:trPr>
          <w:trHeight w:val="20"/>
        </w:trPr>
        <w:tc>
          <w:tcPr>
            <w:tcW w:w="4400" w:type="dxa"/>
            <w:gridSpan w:val="3"/>
            <w:tcBorders>
              <w:top w:val="nil"/>
              <w:left w:val="nil"/>
              <w:bottom w:val="nil"/>
              <w:right w:val="nil"/>
            </w:tcBorders>
            <w:shd w:val="clear" w:color="auto" w:fill="auto"/>
            <w:noWrap/>
            <w:vAlign w:val="bottom"/>
            <w:hideMark/>
          </w:tcPr>
          <w:p w14:paraId="422C8CA2" w14:textId="77777777" w:rsidR="00667357" w:rsidRPr="003B7EA9" w:rsidRDefault="00667357" w:rsidP="004C0B09">
            <w:pPr>
              <w:spacing w:line="240" w:lineRule="auto"/>
              <w:ind w:firstLine="0"/>
              <w:jc w:val="left"/>
              <w:rPr>
                <w:i/>
                <w:iCs/>
                <w:color w:val="000000"/>
                <w:sz w:val="22"/>
                <w:szCs w:val="22"/>
                <w:lang w:eastAsia="en-GB"/>
              </w:rPr>
            </w:pPr>
            <w:r w:rsidRPr="003B7EA9">
              <w:rPr>
                <w:i/>
                <w:iCs/>
                <w:color w:val="000000"/>
                <w:sz w:val="22"/>
                <w:szCs w:val="22"/>
                <w:lang w:eastAsia="en-GB"/>
              </w:rPr>
              <w:lastRenderedPageBreak/>
              <w:t xml:space="preserve">Table </w:t>
            </w:r>
            <w:r>
              <w:rPr>
                <w:i/>
                <w:iCs/>
                <w:color w:val="000000"/>
                <w:sz w:val="22"/>
                <w:szCs w:val="22"/>
                <w:lang w:eastAsia="en-GB"/>
              </w:rPr>
              <w:t>5</w:t>
            </w:r>
            <w:r w:rsidRPr="003B7EA9">
              <w:rPr>
                <w:i/>
                <w:iCs/>
                <w:color w:val="000000"/>
                <w:sz w:val="22"/>
                <w:szCs w:val="22"/>
                <w:lang w:eastAsia="en-GB"/>
              </w:rPr>
              <w:t xml:space="preserve">  Bias in </w:t>
            </w:r>
            <w:r>
              <w:rPr>
                <w:i/>
                <w:iCs/>
                <w:color w:val="000000"/>
                <w:sz w:val="22"/>
                <w:szCs w:val="22"/>
                <w:lang w:eastAsia="en-GB"/>
              </w:rPr>
              <w:t>composition</w:t>
            </w:r>
            <w:r w:rsidRPr="003B7EA9">
              <w:rPr>
                <w:i/>
                <w:iCs/>
                <w:color w:val="000000"/>
                <w:sz w:val="22"/>
                <w:szCs w:val="22"/>
                <w:lang w:eastAsia="en-GB"/>
              </w:rPr>
              <w:t xml:space="preserve"> of population</w:t>
            </w:r>
          </w:p>
        </w:tc>
        <w:tc>
          <w:tcPr>
            <w:tcW w:w="1800" w:type="dxa"/>
            <w:tcBorders>
              <w:top w:val="nil"/>
              <w:left w:val="nil"/>
              <w:bottom w:val="nil"/>
              <w:right w:val="nil"/>
            </w:tcBorders>
            <w:shd w:val="clear" w:color="auto" w:fill="auto"/>
            <w:vAlign w:val="bottom"/>
            <w:hideMark/>
          </w:tcPr>
          <w:p w14:paraId="421BEBAF" w14:textId="77777777" w:rsidR="00667357" w:rsidRPr="003B7EA9" w:rsidRDefault="00667357" w:rsidP="00E130E3">
            <w:pPr>
              <w:spacing w:line="240" w:lineRule="auto"/>
              <w:ind w:firstLine="0"/>
              <w:jc w:val="left"/>
              <w:rPr>
                <w:color w:val="000000"/>
                <w:sz w:val="22"/>
                <w:szCs w:val="22"/>
                <w:lang w:eastAsia="en-GB"/>
              </w:rPr>
            </w:pPr>
          </w:p>
        </w:tc>
        <w:tc>
          <w:tcPr>
            <w:tcW w:w="1880" w:type="dxa"/>
            <w:tcBorders>
              <w:top w:val="nil"/>
              <w:left w:val="nil"/>
              <w:bottom w:val="nil"/>
              <w:right w:val="nil"/>
            </w:tcBorders>
            <w:shd w:val="clear" w:color="auto" w:fill="auto"/>
            <w:vAlign w:val="bottom"/>
            <w:hideMark/>
          </w:tcPr>
          <w:p w14:paraId="442D6154" w14:textId="77777777" w:rsidR="00667357" w:rsidRPr="003B7EA9" w:rsidRDefault="00667357" w:rsidP="00E130E3">
            <w:pPr>
              <w:spacing w:line="240" w:lineRule="auto"/>
              <w:ind w:firstLine="0"/>
              <w:jc w:val="left"/>
              <w:rPr>
                <w:color w:val="000000"/>
                <w:sz w:val="22"/>
                <w:szCs w:val="22"/>
                <w:lang w:eastAsia="en-GB"/>
              </w:rPr>
            </w:pPr>
          </w:p>
        </w:tc>
        <w:tc>
          <w:tcPr>
            <w:tcW w:w="1740" w:type="dxa"/>
            <w:gridSpan w:val="2"/>
            <w:tcBorders>
              <w:top w:val="nil"/>
              <w:left w:val="nil"/>
              <w:bottom w:val="nil"/>
              <w:right w:val="nil"/>
            </w:tcBorders>
            <w:shd w:val="clear" w:color="auto" w:fill="auto"/>
            <w:vAlign w:val="bottom"/>
            <w:hideMark/>
          </w:tcPr>
          <w:p w14:paraId="1BFBBBAB" w14:textId="77777777" w:rsidR="00667357" w:rsidRPr="003B7EA9" w:rsidRDefault="00667357" w:rsidP="00E130E3">
            <w:pPr>
              <w:spacing w:line="240" w:lineRule="auto"/>
              <w:ind w:firstLine="0"/>
              <w:jc w:val="left"/>
              <w:rPr>
                <w:color w:val="000000"/>
                <w:sz w:val="22"/>
                <w:szCs w:val="22"/>
                <w:lang w:eastAsia="en-GB"/>
              </w:rPr>
            </w:pPr>
          </w:p>
        </w:tc>
      </w:tr>
      <w:tr w:rsidR="00E130E3" w:rsidRPr="003B7EA9" w14:paraId="787F707A" w14:textId="77777777" w:rsidTr="00E130E3">
        <w:trPr>
          <w:gridAfter w:val="1"/>
          <w:wAfter w:w="128" w:type="dxa"/>
          <w:trHeight w:val="20"/>
        </w:trPr>
        <w:tc>
          <w:tcPr>
            <w:tcW w:w="1716" w:type="dxa"/>
            <w:tcBorders>
              <w:top w:val="nil"/>
              <w:left w:val="nil"/>
              <w:bottom w:val="single" w:sz="4" w:space="0" w:color="auto"/>
              <w:right w:val="nil"/>
            </w:tcBorders>
            <w:shd w:val="clear" w:color="auto" w:fill="auto"/>
            <w:vAlign w:val="bottom"/>
            <w:hideMark/>
          </w:tcPr>
          <w:p w14:paraId="0D402EDC"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 </w:t>
            </w:r>
          </w:p>
        </w:tc>
        <w:tc>
          <w:tcPr>
            <w:tcW w:w="2410" w:type="dxa"/>
            <w:tcBorders>
              <w:top w:val="nil"/>
              <w:left w:val="nil"/>
              <w:bottom w:val="single" w:sz="4" w:space="0" w:color="auto"/>
              <w:right w:val="nil"/>
            </w:tcBorders>
            <w:shd w:val="clear" w:color="auto" w:fill="auto"/>
            <w:vAlign w:val="bottom"/>
            <w:hideMark/>
          </w:tcPr>
          <w:p w14:paraId="72527434"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Arab</w:t>
            </w:r>
          </w:p>
        </w:tc>
        <w:tc>
          <w:tcPr>
            <w:tcW w:w="2216" w:type="dxa"/>
            <w:gridSpan w:val="2"/>
            <w:tcBorders>
              <w:top w:val="nil"/>
              <w:left w:val="nil"/>
              <w:bottom w:val="single" w:sz="4" w:space="0" w:color="auto"/>
              <w:right w:val="nil"/>
            </w:tcBorders>
            <w:shd w:val="clear" w:color="auto" w:fill="auto"/>
            <w:vAlign w:val="bottom"/>
            <w:hideMark/>
          </w:tcPr>
          <w:p w14:paraId="6040D744"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Chinese</w:t>
            </w:r>
          </w:p>
        </w:tc>
        <w:tc>
          <w:tcPr>
            <w:tcW w:w="1880" w:type="dxa"/>
            <w:tcBorders>
              <w:top w:val="nil"/>
              <w:left w:val="nil"/>
              <w:bottom w:val="single" w:sz="4" w:space="0" w:color="auto"/>
              <w:right w:val="nil"/>
            </w:tcBorders>
            <w:shd w:val="clear" w:color="auto" w:fill="auto"/>
            <w:vAlign w:val="bottom"/>
            <w:hideMark/>
          </w:tcPr>
          <w:p w14:paraId="328F2698"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Jewish</w:t>
            </w:r>
          </w:p>
        </w:tc>
        <w:tc>
          <w:tcPr>
            <w:tcW w:w="2141" w:type="dxa"/>
            <w:tcBorders>
              <w:top w:val="nil"/>
              <w:left w:val="nil"/>
              <w:bottom w:val="single" w:sz="4" w:space="0" w:color="auto"/>
              <w:right w:val="nil"/>
            </w:tcBorders>
            <w:shd w:val="clear" w:color="auto" w:fill="auto"/>
            <w:vAlign w:val="bottom"/>
            <w:hideMark/>
          </w:tcPr>
          <w:p w14:paraId="38C8555C"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Sikh</w:t>
            </w:r>
          </w:p>
        </w:tc>
      </w:tr>
      <w:tr w:rsidR="00E130E3" w:rsidRPr="003B7EA9" w14:paraId="39263A03" w14:textId="77777777" w:rsidTr="00E130E3">
        <w:trPr>
          <w:gridAfter w:val="1"/>
          <w:wAfter w:w="128" w:type="dxa"/>
          <w:trHeight w:val="20"/>
        </w:trPr>
        <w:tc>
          <w:tcPr>
            <w:tcW w:w="1716" w:type="dxa"/>
            <w:vMerge w:val="restart"/>
            <w:tcBorders>
              <w:top w:val="nil"/>
              <w:left w:val="nil"/>
              <w:bottom w:val="dotted" w:sz="4" w:space="0" w:color="000000"/>
              <w:right w:val="nil"/>
            </w:tcBorders>
            <w:shd w:val="clear" w:color="auto" w:fill="auto"/>
            <w:vAlign w:val="center"/>
            <w:hideMark/>
          </w:tcPr>
          <w:p w14:paraId="4C0AF227"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under-representation in low-odds categories</w:t>
            </w:r>
          </w:p>
        </w:tc>
        <w:tc>
          <w:tcPr>
            <w:tcW w:w="2410" w:type="dxa"/>
            <w:tcBorders>
              <w:top w:val="nil"/>
              <w:left w:val="nil"/>
              <w:bottom w:val="nil"/>
              <w:right w:val="nil"/>
            </w:tcBorders>
            <w:shd w:val="clear" w:color="auto" w:fill="auto"/>
            <w:hideMark/>
          </w:tcPr>
          <w:p w14:paraId="5AF8A958"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HRP aged 60 or more</w:t>
            </w:r>
          </w:p>
        </w:tc>
        <w:tc>
          <w:tcPr>
            <w:tcW w:w="2216" w:type="dxa"/>
            <w:gridSpan w:val="2"/>
            <w:tcBorders>
              <w:top w:val="nil"/>
              <w:left w:val="nil"/>
              <w:bottom w:val="nil"/>
              <w:right w:val="nil"/>
            </w:tcBorders>
            <w:shd w:val="clear" w:color="auto" w:fill="auto"/>
            <w:hideMark/>
          </w:tcPr>
          <w:p w14:paraId="10857362"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HRP aged 60 or more</w:t>
            </w:r>
          </w:p>
        </w:tc>
        <w:tc>
          <w:tcPr>
            <w:tcW w:w="1880" w:type="dxa"/>
            <w:tcBorders>
              <w:top w:val="nil"/>
              <w:left w:val="nil"/>
              <w:bottom w:val="nil"/>
              <w:right w:val="nil"/>
            </w:tcBorders>
            <w:shd w:val="clear" w:color="auto" w:fill="auto"/>
            <w:hideMark/>
          </w:tcPr>
          <w:p w14:paraId="6AA824FB"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 </w:t>
            </w:r>
          </w:p>
        </w:tc>
        <w:tc>
          <w:tcPr>
            <w:tcW w:w="2141" w:type="dxa"/>
            <w:tcBorders>
              <w:top w:val="nil"/>
              <w:left w:val="nil"/>
              <w:bottom w:val="nil"/>
              <w:right w:val="nil"/>
            </w:tcBorders>
            <w:shd w:val="clear" w:color="auto" w:fill="auto"/>
            <w:hideMark/>
          </w:tcPr>
          <w:p w14:paraId="4F9F9BBB"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HRP aged 75 or more</w:t>
            </w:r>
          </w:p>
        </w:tc>
      </w:tr>
      <w:tr w:rsidR="00E130E3" w:rsidRPr="003B7EA9" w14:paraId="799510BF" w14:textId="77777777" w:rsidTr="00E130E3">
        <w:trPr>
          <w:gridAfter w:val="1"/>
          <w:wAfter w:w="128" w:type="dxa"/>
          <w:trHeight w:val="20"/>
        </w:trPr>
        <w:tc>
          <w:tcPr>
            <w:tcW w:w="1716" w:type="dxa"/>
            <w:vMerge/>
            <w:tcBorders>
              <w:top w:val="nil"/>
              <w:left w:val="nil"/>
              <w:bottom w:val="dotted" w:sz="4" w:space="0" w:color="000000"/>
              <w:right w:val="nil"/>
            </w:tcBorders>
            <w:vAlign w:val="center"/>
            <w:hideMark/>
          </w:tcPr>
          <w:p w14:paraId="0A8C6035" w14:textId="77777777" w:rsidR="00E130E3" w:rsidRPr="003B7EA9" w:rsidRDefault="00E130E3" w:rsidP="00E130E3">
            <w:pPr>
              <w:spacing w:line="240" w:lineRule="auto"/>
              <w:ind w:firstLine="0"/>
              <w:jc w:val="left"/>
              <w:rPr>
                <w:color w:val="000000"/>
                <w:sz w:val="22"/>
                <w:szCs w:val="22"/>
                <w:lang w:eastAsia="en-GB"/>
              </w:rPr>
            </w:pPr>
          </w:p>
        </w:tc>
        <w:tc>
          <w:tcPr>
            <w:tcW w:w="2410" w:type="dxa"/>
            <w:tcBorders>
              <w:top w:val="nil"/>
              <w:left w:val="nil"/>
              <w:bottom w:val="nil"/>
              <w:right w:val="nil"/>
            </w:tcBorders>
            <w:shd w:val="clear" w:color="auto" w:fill="auto"/>
            <w:hideMark/>
          </w:tcPr>
          <w:p w14:paraId="46537FEF"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owned tenure</w:t>
            </w:r>
          </w:p>
        </w:tc>
        <w:tc>
          <w:tcPr>
            <w:tcW w:w="2216" w:type="dxa"/>
            <w:gridSpan w:val="2"/>
            <w:tcBorders>
              <w:top w:val="nil"/>
              <w:left w:val="nil"/>
              <w:bottom w:val="nil"/>
              <w:right w:val="nil"/>
            </w:tcBorders>
            <w:shd w:val="clear" w:color="auto" w:fill="auto"/>
            <w:hideMark/>
          </w:tcPr>
          <w:p w14:paraId="0C5FD3E3" w14:textId="77777777" w:rsidR="00E130E3" w:rsidRPr="003B7EA9" w:rsidRDefault="00E130E3" w:rsidP="00E130E3">
            <w:pPr>
              <w:spacing w:line="240" w:lineRule="auto"/>
              <w:ind w:firstLine="0"/>
              <w:jc w:val="left"/>
              <w:rPr>
                <w:color w:val="000000"/>
                <w:sz w:val="22"/>
                <w:szCs w:val="22"/>
                <w:lang w:eastAsia="en-GB"/>
              </w:rPr>
            </w:pPr>
          </w:p>
        </w:tc>
        <w:tc>
          <w:tcPr>
            <w:tcW w:w="1880" w:type="dxa"/>
            <w:tcBorders>
              <w:top w:val="nil"/>
              <w:left w:val="nil"/>
              <w:bottom w:val="nil"/>
              <w:right w:val="nil"/>
            </w:tcBorders>
            <w:shd w:val="clear" w:color="auto" w:fill="auto"/>
            <w:hideMark/>
          </w:tcPr>
          <w:p w14:paraId="535059B2" w14:textId="77777777" w:rsidR="00E130E3" w:rsidRPr="003B7EA9" w:rsidRDefault="00E130E3" w:rsidP="00E130E3">
            <w:pPr>
              <w:spacing w:line="240" w:lineRule="auto"/>
              <w:ind w:firstLine="0"/>
              <w:jc w:val="left"/>
              <w:rPr>
                <w:color w:val="000000"/>
                <w:sz w:val="22"/>
                <w:szCs w:val="22"/>
                <w:lang w:eastAsia="en-GB"/>
              </w:rPr>
            </w:pPr>
          </w:p>
        </w:tc>
        <w:tc>
          <w:tcPr>
            <w:tcW w:w="2141" w:type="dxa"/>
            <w:tcBorders>
              <w:top w:val="nil"/>
              <w:left w:val="nil"/>
              <w:bottom w:val="nil"/>
              <w:right w:val="nil"/>
            </w:tcBorders>
            <w:shd w:val="clear" w:color="auto" w:fill="auto"/>
            <w:hideMark/>
          </w:tcPr>
          <w:p w14:paraId="4C8DDE46" w14:textId="77777777" w:rsidR="00E130E3" w:rsidRPr="003B7EA9" w:rsidRDefault="00E130E3" w:rsidP="00E130E3">
            <w:pPr>
              <w:spacing w:line="240" w:lineRule="auto"/>
              <w:ind w:firstLine="0"/>
              <w:jc w:val="left"/>
              <w:rPr>
                <w:color w:val="000000"/>
                <w:sz w:val="22"/>
                <w:szCs w:val="22"/>
                <w:lang w:eastAsia="en-GB"/>
              </w:rPr>
            </w:pPr>
          </w:p>
        </w:tc>
      </w:tr>
      <w:tr w:rsidR="00E130E3" w:rsidRPr="003B7EA9" w14:paraId="2B16DC04" w14:textId="77777777" w:rsidTr="00E130E3">
        <w:trPr>
          <w:gridAfter w:val="1"/>
          <w:wAfter w:w="128" w:type="dxa"/>
          <w:trHeight w:val="20"/>
        </w:trPr>
        <w:tc>
          <w:tcPr>
            <w:tcW w:w="1716" w:type="dxa"/>
            <w:vMerge/>
            <w:tcBorders>
              <w:top w:val="nil"/>
              <w:left w:val="nil"/>
              <w:bottom w:val="dotted" w:sz="4" w:space="0" w:color="000000"/>
              <w:right w:val="nil"/>
            </w:tcBorders>
            <w:vAlign w:val="center"/>
            <w:hideMark/>
          </w:tcPr>
          <w:p w14:paraId="66B0701D" w14:textId="77777777" w:rsidR="00E130E3" w:rsidRPr="003B7EA9" w:rsidRDefault="00E130E3" w:rsidP="00E130E3">
            <w:pPr>
              <w:spacing w:line="240" w:lineRule="auto"/>
              <w:ind w:firstLine="0"/>
              <w:jc w:val="left"/>
              <w:rPr>
                <w:color w:val="000000"/>
                <w:sz w:val="22"/>
                <w:szCs w:val="22"/>
                <w:lang w:eastAsia="en-GB"/>
              </w:rPr>
            </w:pPr>
          </w:p>
        </w:tc>
        <w:tc>
          <w:tcPr>
            <w:tcW w:w="2410" w:type="dxa"/>
            <w:tcBorders>
              <w:top w:val="nil"/>
              <w:left w:val="nil"/>
              <w:bottom w:val="nil"/>
              <w:right w:val="nil"/>
            </w:tcBorders>
            <w:shd w:val="clear" w:color="auto" w:fill="auto"/>
            <w:hideMark/>
          </w:tcPr>
          <w:p w14:paraId="19C9E4A0"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no qualifications</w:t>
            </w:r>
          </w:p>
        </w:tc>
        <w:tc>
          <w:tcPr>
            <w:tcW w:w="2216" w:type="dxa"/>
            <w:gridSpan w:val="2"/>
            <w:tcBorders>
              <w:top w:val="nil"/>
              <w:left w:val="nil"/>
              <w:bottom w:val="nil"/>
              <w:right w:val="nil"/>
            </w:tcBorders>
            <w:shd w:val="clear" w:color="auto" w:fill="auto"/>
            <w:hideMark/>
          </w:tcPr>
          <w:p w14:paraId="71548AAA" w14:textId="77777777" w:rsidR="00E130E3" w:rsidRPr="003B7EA9" w:rsidRDefault="00E130E3" w:rsidP="00E130E3">
            <w:pPr>
              <w:spacing w:line="240" w:lineRule="auto"/>
              <w:ind w:firstLine="0"/>
              <w:jc w:val="left"/>
              <w:rPr>
                <w:color w:val="000000"/>
                <w:sz w:val="22"/>
                <w:szCs w:val="22"/>
                <w:lang w:eastAsia="en-GB"/>
              </w:rPr>
            </w:pPr>
          </w:p>
        </w:tc>
        <w:tc>
          <w:tcPr>
            <w:tcW w:w="1880" w:type="dxa"/>
            <w:tcBorders>
              <w:top w:val="nil"/>
              <w:left w:val="nil"/>
              <w:bottom w:val="nil"/>
              <w:right w:val="nil"/>
            </w:tcBorders>
            <w:shd w:val="clear" w:color="auto" w:fill="auto"/>
            <w:hideMark/>
          </w:tcPr>
          <w:p w14:paraId="535892F8" w14:textId="77777777" w:rsidR="00E130E3" w:rsidRPr="003B7EA9" w:rsidRDefault="00E130E3" w:rsidP="00E130E3">
            <w:pPr>
              <w:spacing w:line="240" w:lineRule="auto"/>
              <w:ind w:firstLine="0"/>
              <w:jc w:val="left"/>
              <w:rPr>
                <w:color w:val="000000"/>
                <w:sz w:val="22"/>
                <w:szCs w:val="22"/>
                <w:lang w:eastAsia="en-GB"/>
              </w:rPr>
            </w:pPr>
          </w:p>
        </w:tc>
        <w:tc>
          <w:tcPr>
            <w:tcW w:w="2141" w:type="dxa"/>
            <w:tcBorders>
              <w:top w:val="nil"/>
              <w:left w:val="nil"/>
              <w:bottom w:val="nil"/>
              <w:right w:val="nil"/>
            </w:tcBorders>
            <w:shd w:val="clear" w:color="auto" w:fill="auto"/>
            <w:hideMark/>
          </w:tcPr>
          <w:p w14:paraId="080B0DA3" w14:textId="77777777" w:rsidR="00E130E3" w:rsidRPr="003B7EA9" w:rsidRDefault="00E130E3" w:rsidP="00E130E3">
            <w:pPr>
              <w:spacing w:line="240" w:lineRule="auto"/>
              <w:ind w:firstLine="0"/>
              <w:jc w:val="left"/>
              <w:rPr>
                <w:color w:val="000000"/>
                <w:sz w:val="22"/>
                <w:szCs w:val="22"/>
                <w:lang w:eastAsia="en-GB"/>
              </w:rPr>
            </w:pPr>
          </w:p>
        </w:tc>
      </w:tr>
      <w:tr w:rsidR="00E130E3" w:rsidRPr="003B7EA9" w14:paraId="7E665F64" w14:textId="77777777" w:rsidTr="00E130E3">
        <w:trPr>
          <w:gridAfter w:val="1"/>
          <w:wAfter w:w="128" w:type="dxa"/>
          <w:trHeight w:val="20"/>
        </w:trPr>
        <w:tc>
          <w:tcPr>
            <w:tcW w:w="1716" w:type="dxa"/>
            <w:vMerge/>
            <w:tcBorders>
              <w:top w:val="nil"/>
              <w:left w:val="nil"/>
              <w:bottom w:val="dotted" w:sz="4" w:space="0" w:color="000000"/>
              <w:right w:val="nil"/>
            </w:tcBorders>
            <w:vAlign w:val="center"/>
            <w:hideMark/>
          </w:tcPr>
          <w:p w14:paraId="270348F7" w14:textId="77777777" w:rsidR="00E130E3" w:rsidRPr="003B7EA9" w:rsidRDefault="00E130E3" w:rsidP="00E130E3">
            <w:pPr>
              <w:spacing w:line="240" w:lineRule="auto"/>
              <w:ind w:firstLine="0"/>
              <w:jc w:val="left"/>
              <w:rPr>
                <w:color w:val="000000"/>
                <w:sz w:val="22"/>
                <w:szCs w:val="22"/>
                <w:lang w:eastAsia="en-GB"/>
              </w:rPr>
            </w:pPr>
          </w:p>
        </w:tc>
        <w:tc>
          <w:tcPr>
            <w:tcW w:w="2410" w:type="dxa"/>
            <w:tcBorders>
              <w:top w:val="nil"/>
              <w:left w:val="nil"/>
              <w:bottom w:val="dotted" w:sz="4" w:space="0" w:color="auto"/>
              <w:right w:val="nil"/>
            </w:tcBorders>
            <w:shd w:val="clear" w:color="auto" w:fill="auto"/>
            <w:hideMark/>
          </w:tcPr>
          <w:p w14:paraId="4412F875" w14:textId="5F7F8D3C" w:rsidR="00E130E3" w:rsidRPr="003B7EA9" w:rsidRDefault="00122E70" w:rsidP="00E130E3">
            <w:pPr>
              <w:spacing w:line="240" w:lineRule="auto"/>
              <w:ind w:firstLine="0"/>
              <w:jc w:val="left"/>
              <w:rPr>
                <w:color w:val="000000"/>
                <w:sz w:val="22"/>
                <w:szCs w:val="22"/>
                <w:lang w:eastAsia="en-GB"/>
              </w:rPr>
            </w:pPr>
            <w:r>
              <w:rPr>
                <w:color w:val="000000"/>
                <w:sz w:val="22"/>
                <w:szCs w:val="22"/>
                <w:lang w:eastAsia="en-GB"/>
              </w:rPr>
              <w:t>r</w:t>
            </w:r>
            <w:r w:rsidR="00E130E3" w:rsidRPr="003B7EA9">
              <w:rPr>
                <w:color w:val="000000"/>
                <w:sz w:val="22"/>
                <w:szCs w:val="22"/>
                <w:lang w:eastAsia="en-GB"/>
              </w:rPr>
              <w:t>etired</w:t>
            </w:r>
          </w:p>
        </w:tc>
        <w:tc>
          <w:tcPr>
            <w:tcW w:w="2216" w:type="dxa"/>
            <w:gridSpan w:val="2"/>
            <w:tcBorders>
              <w:top w:val="nil"/>
              <w:left w:val="nil"/>
              <w:bottom w:val="dotted" w:sz="4" w:space="0" w:color="auto"/>
              <w:right w:val="nil"/>
            </w:tcBorders>
            <w:shd w:val="clear" w:color="auto" w:fill="auto"/>
            <w:hideMark/>
          </w:tcPr>
          <w:p w14:paraId="26D27A58"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retired</w:t>
            </w:r>
          </w:p>
        </w:tc>
        <w:tc>
          <w:tcPr>
            <w:tcW w:w="1880" w:type="dxa"/>
            <w:tcBorders>
              <w:top w:val="nil"/>
              <w:left w:val="nil"/>
              <w:bottom w:val="dotted" w:sz="4" w:space="0" w:color="auto"/>
              <w:right w:val="nil"/>
            </w:tcBorders>
            <w:shd w:val="clear" w:color="auto" w:fill="auto"/>
            <w:hideMark/>
          </w:tcPr>
          <w:p w14:paraId="73AC53A3"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 </w:t>
            </w:r>
          </w:p>
        </w:tc>
        <w:tc>
          <w:tcPr>
            <w:tcW w:w="2141" w:type="dxa"/>
            <w:tcBorders>
              <w:top w:val="nil"/>
              <w:left w:val="nil"/>
              <w:bottom w:val="dotted" w:sz="4" w:space="0" w:color="auto"/>
              <w:right w:val="nil"/>
            </w:tcBorders>
            <w:shd w:val="clear" w:color="auto" w:fill="auto"/>
            <w:hideMark/>
          </w:tcPr>
          <w:p w14:paraId="351193F8"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retired</w:t>
            </w:r>
          </w:p>
        </w:tc>
      </w:tr>
      <w:tr w:rsidR="00E130E3" w:rsidRPr="003B7EA9" w14:paraId="326511CD" w14:textId="77777777" w:rsidTr="00E130E3">
        <w:trPr>
          <w:gridAfter w:val="1"/>
          <w:wAfter w:w="128" w:type="dxa"/>
          <w:trHeight w:val="20"/>
        </w:trPr>
        <w:tc>
          <w:tcPr>
            <w:tcW w:w="1716" w:type="dxa"/>
            <w:vMerge w:val="restart"/>
            <w:tcBorders>
              <w:top w:val="nil"/>
              <w:left w:val="nil"/>
              <w:bottom w:val="single" w:sz="4" w:space="0" w:color="000000"/>
              <w:right w:val="nil"/>
            </w:tcBorders>
            <w:shd w:val="clear" w:color="auto" w:fill="auto"/>
            <w:vAlign w:val="center"/>
            <w:hideMark/>
          </w:tcPr>
          <w:p w14:paraId="3866786A"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over-representation in  high-odds categories</w:t>
            </w:r>
          </w:p>
        </w:tc>
        <w:tc>
          <w:tcPr>
            <w:tcW w:w="2410" w:type="dxa"/>
            <w:tcBorders>
              <w:top w:val="nil"/>
              <w:left w:val="nil"/>
              <w:bottom w:val="nil"/>
              <w:right w:val="nil"/>
            </w:tcBorders>
            <w:shd w:val="clear" w:color="auto" w:fill="auto"/>
            <w:hideMark/>
          </w:tcPr>
          <w:p w14:paraId="4E26425D"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HRP aged 25 to 39</w:t>
            </w:r>
          </w:p>
        </w:tc>
        <w:tc>
          <w:tcPr>
            <w:tcW w:w="2216" w:type="dxa"/>
            <w:gridSpan w:val="2"/>
            <w:tcBorders>
              <w:top w:val="nil"/>
              <w:left w:val="nil"/>
              <w:bottom w:val="nil"/>
              <w:right w:val="nil"/>
            </w:tcBorders>
            <w:shd w:val="clear" w:color="auto" w:fill="auto"/>
            <w:hideMark/>
          </w:tcPr>
          <w:p w14:paraId="2CCCCB0B"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HRP aged 19 to 29</w:t>
            </w:r>
          </w:p>
        </w:tc>
        <w:tc>
          <w:tcPr>
            <w:tcW w:w="1880" w:type="dxa"/>
            <w:tcBorders>
              <w:top w:val="nil"/>
              <w:left w:val="nil"/>
              <w:bottom w:val="nil"/>
              <w:right w:val="nil"/>
            </w:tcBorders>
            <w:shd w:val="clear" w:color="auto" w:fill="auto"/>
            <w:hideMark/>
          </w:tcPr>
          <w:p w14:paraId="479635FE"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 </w:t>
            </w:r>
          </w:p>
        </w:tc>
        <w:tc>
          <w:tcPr>
            <w:tcW w:w="2141" w:type="dxa"/>
            <w:tcBorders>
              <w:top w:val="nil"/>
              <w:left w:val="nil"/>
              <w:bottom w:val="nil"/>
              <w:right w:val="nil"/>
            </w:tcBorders>
            <w:shd w:val="clear" w:color="auto" w:fill="auto"/>
            <w:hideMark/>
          </w:tcPr>
          <w:p w14:paraId="68A238AC"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 </w:t>
            </w:r>
          </w:p>
        </w:tc>
      </w:tr>
      <w:tr w:rsidR="00E130E3" w:rsidRPr="003B7EA9" w14:paraId="4020ECDE" w14:textId="77777777" w:rsidTr="00E130E3">
        <w:trPr>
          <w:gridAfter w:val="1"/>
          <w:wAfter w:w="128" w:type="dxa"/>
          <w:trHeight w:val="20"/>
        </w:trPr>
        <w:tc>
          <w:tcPr>
            <w:tcW w:w="1716" w:type="dxa"/>
            <w:vMerge/>
            <w:tcBorders>
              <w:top w:val="nil"/>
              <w:left w:val="nil"/>
              <w:bottom w:val="single" w:sz="4" w:space="0" w:color="000000"/>
              <w:right w:val="nil"/>
            </w:tcBorders>
            <w:vAlign w:val="center"/>
            <w:hideMark/>
          </w:tcPr>
          <w:p w14:paraId="6A68ADDA" w14:textId="77777777" w:rsidR="00E130E3" w:rsidRPr="003B7EA9" w:rsidRDefault="00E130E3" w:rsidP="00E130E3">
            <w:pPr>
              <w:spacing w:line="240" w:lineRule="auto"/>
              <w:ind w:firstLine="0"/>
              <w:jc w:val="left"/>
              <w:rPr>
                <w:color w:val="000000"/>
                <w:sz w:val="22"/>
                <w:szCs w:val="22"/>
                <w:lang w:eastAsia="en-GB"/>
              </w:rPr>
            </w:pPr>
          </w:p>
        </w:tc>
        <w:tc>
          <w:tcPr>
            <w:tcW w:w="2410" w:type="dxa"/>
            <w:tcBorders>
              <w:top w:val="nil"/>
              <w:left w:val="nil"/>
              <w:bottom w:val="nil"/>
              <w:right w:val="nil"/>
            </w:tcBorders>
            <w:shd w:val="clear" w:color="auto" w:fill="auto"/>
            <w:hideMark/>
          </w:tcPr>
          <w:p w14:paraId="4CE26FDE"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private renting</w:t>
            </w:r>
          </w:p>
        </w:tc>
        <w:tc>
          <w:tcPr>
            <w:tcW w:w="2216" w:type="dxa"/>
            <w:gridSpan w:val="2"/>
            <w:tcBorders>
              <w:top w:val="nil"/>
              <w:left w:val="nil"/>
              <w:bottom w:val="nil"/>
              <w:right w:val="nil"/>
            </w:tcBorders>
            <w:shd w:val="clear" w:color="auto" w:fill="auto"/>
            <w:hideMark/>
          </w:tcPr>
          <w:p w14:paraId="25EA722A"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private renting</w:t>
            </w:r>
          </w:p>
        </w:tc>
        <w:tc>
          <w:tcPr>
            <w:tcW w:w="1880" w:type="dxa"/>
            <w:tcBorders>
              <w:top w:val="nil"/>
              <w:left w:val="nil"/>
              <w:bottom w:val="nil"/>
              <w:right w:val="nil"/>
            </w:tcBorders>
            <w:shd w:val="clear" w:color="auto" w:fill="auto"/>
            <w:hideMark/>
          </w:tcPr>
          <w:p w14:paraId="2E2A78EB" w14:textId="77777777" w:rsidR="00E130E3" w:rsidRPr="003B7EA9" w:rsidRDefault="00E130E3" w:rsidP="00E130E3">
            <w:pPr>
              <w:spacing w:line="240" w:lineRule="auto"/>
              <w:ind w:firstLine="0"/>
              <w:jc w:val="left"/>
              <w:rPr>
                <w:color w:val="000000"/>
                <w:sz w:val="22"/>
                <w:szCs w:val="22"/>
                <w:lang w:eastAsia="en-GB"/>
              </w:rPr>
            </w:pPr>
          </w:p>
        </w:tc>
        <w:tc>
          <w:tcPr>
            <w:tcW w:w="2141" w:type="dxa"/>
            <w:tcBorders>
              <w:top w:val="nil"/>
              <w:left w:val="nil"/>
              <w:bottom w:val="nil"/>
              <w:right w:val="nil"/>
            </w:tcBorders>
            <w:shd w:val="clear" w:color="auto" w:fill="auto"/>
            <w:hideMark/>
          </w:tcPr>
          <w:p w14:paraId="2E6DAA09" w14:textId="77777777" w:rsidR="00E130E3" w:rsidRPr="003B7EA9" w:rsidRDefault="00E130E3" w:rsidP="00E130E3">
            <w:pPr>
              <w:spacing w:line="240" w:lineRule="auto"/>
              <w:ind w:firstLine="0"/>
              <w:jc w:val="left"/>
              <w:rPr>
                <w:color w:val="000000"/>
                <w:sz w:val="22"/>
                <w:szCs w:val="22"/>
                <w:lang w:eastAsia="en-GB"/>
              </w:rPr>
            </w:pPr>
          </w:p>
        </w:tc>
      </w:tr>
      <w:tr w:rsidR="00E130E3" w:rsidRPr="003B7EA9" w14:paraId="7AD326FD" w14:textId="77777777" w:rsidTr="00E130E3">
        <w:trPr>
          <w:gridAfter w:val="1"/>
          <w:wAfter w:w="128" w:type="dxa"/>
          <w:trHeight w:val="20"/>
        </w:trPr>
        <w:tc>
          <w:tcPr>
            <w:tcW w:w="1716" w:type="dxa"/>
            <w:vMerge/>
            <w:tcBorders>
              <w:top w:val="nil"/>
              <w:left w:val="nil"/>
              <w:bottom w:val="single" w:sz="4" w:space="0" w:color="000000"/>
              <w:right w:val="nil"/>
            </w:tcBorders>
            <w:vAlign w:val="center"/>
            <w:hideMark/>
          </w:tcPr>
          <w:p w14:paraId="4A2BD312" w14:textId="77777777" w:rsidR="00E130E3" w:rsidRPr="003B7EA9" w:rsidRDefault="00E130E3" w:rsidP="00E130E3">
            <w:pPr>
              <w:spacing w:line="240" w:lineRule="auto"/>
              <w:ind w:firstLine="0"/>
              <w:jc w:val="left"/>
              <w:rPr>
                <w:color w:val="000000"/>
                <w:sz w:val="22"/>
                <w:szCs w:val="22"/>
                <w:lang w:eastAsia="en-GB"/>
              </w:rPr>
            </w:pPr>
          </w:p>
        </w:tc>
        <w:tc>
          <w:tcPr>
            <w:tcW w:w="2410" w:type="dxa"/>
            <w:tcBorders>
              <w:top w:val="nil"/>
              <w:left w:val="nil"/>
              <w:bottom w:val="nil"/>
              <w:right w:val="nil"/>
            </w:tcBorders>
            <w:shd w:val="clear" w:color="auto" w:fill="auto"/>
            <w:hideMark/>
          </w:tcPr>
          <w:p w14:paraId="0E4D2BE3" w14:textId="77777777" w:rsidR="00E130E3" w:rsidRPr="003B7EA9" w:rsidRDefault="00E130E3" w:rsidP="00E130E3">
            <w:pPr>
              <w:spacing w:line="240" w:lineRule="auto"/>
              <w:ind w:firstLine="0"/>
              <w:jc w:val="left"/>
              <w:rPr>
                <w:color w:val="000000"/>
                <w:sz w:val="22"/>
                <w:szCs w:val="22"/>
                <w:lang w:eastAsia="en-GB"/>
              </w:rPr>
            </w:pPr>
          </w:p>
        </w:tc>
        <w:tc>
          <w:tcPr>
            <w:tcW w:w="2216" w:type="dxa"/>
            <w:gridSpan w:val="2"/>
            <w:tcBorders>
              <w:top w:val="nil"/>
              <w:left w:val="nil"/>
              <w:bottom w:val="nil"/>
              <w:right w:val="nil"/>
            </w:tcBorders>
            <w:shd w:val="clear" w:color="auto" w:fill="auto"/>
            <w:hideMark/>
          </w:tcPr>
          <w:p w14:paraId="41996ED8"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not in a family or household</w:t>
            </w:r>
          </w:p>
        </w:tc>
        <w:tc>
          <w:tcPr>
            <w:tcW w:w="1880" w:type="dxa"/>
            <w:tcBorders>
              <w:top w:val="nil"/>
              <w:left w:val="nil"/>
              <w:bottom w:val="nil"/>
              <w:right w:val="nil"/>
            </w:tcBorders>
            <w:shd w:val="clear" w:color="auto" w:fill="auto"/>
            <w:hideMark/>
          </w:tcPr>
          <w:p w14:paraId="363E23F8" w14:textId="77777777" w:rsidR="00E130E3" w:rsidRPr="003B7EA9" w:rsidRDefault="00E130E3" w:rsidP="00E130E3">
            <w:pPr>
              <w:spacing w:line="240" w:lineRule="auto"/>
              <w:ind w:firstLine="0"/>
              <w:jc w:val="left"/>
              <w:rPr>
                <w:color w:val="000000"/>
                <w:sz w:val="22"/>
                <w:szCs w:val="22"/>
                <w:lang w:eastAsia="en-GB"/>
              </w:rPr>
            </w:pPr>
          </w:p>
        </w:tc>
        <w:tc>
          <w:tcPr>
            <w:tcW w:w="2141" w:type="dxa"/>
            <w:tcBorders>
              <w:top w:val="nil"/>
              <w:left w:val="nil"/>
              <w:bottom w:val="nil"/>
              <w:right w:val="nil"/>
            </w:tcBorders>
            <w:shd w:val="clear" w:color="auto" w:fill="auto"/>
            <w:hideMark/>
          </w:tcPr>
          <w:p w14:paraId="08F6B039" w14:textId="77777777" w:rsidR="00E130E3" w:rsidRPr="003B7EA9" w:rsidRDefault="00E130E3" w:rsidP="00E130E3">
            <w:pPr>
              <w:spacing w:line="240" w:lineRule="auto"/>
              <w:ind w:firstLine="0"/>
              <w:jc w:val="left"/>
              <w:rPr>
                <w:color w:val="000000"/>
                <w:sz w:val="22"/>
                <w:szCs w:val="22"/>
                <w:lang w:eastAsia="en-GB"/>
              </w:rPr>
            </w:pPr>
          </w:p>
        </w:tc>
      </w:tr>
      <w:tr w:rsidR="00E130E3" w:rsidRPr="003B7EA9" w14:paraId="0A9BAC03" w14:textId="77777777" w:rsidTr="00E130E3">
        <w:trPr>
          <w:gridAfter w:val="1"/>
          <w:wAfter w:w="128" w:type="dxa"/>
          <w:trHeight w:val="20"/>
        </w:trPr>
        <w:tc>
          <w:tcPr>
            <w:tcW w:w="1716" w:type="dxa"/>
            <w:vMerge/>
            <w:tcBorders>
              <w:top w:val="nil"/>
              <w:left w:val="nil"/>
              <w:bottom w:val="single" w:sz="4" w:space="0" w:color="000000"/>
              <w:right w:val="nil"/>
            </w:tcBorders>
            <w:vAlign w:val="center"/>
            <w:hideMark/>
          </w:tcPr>
          <w:p w14:paraId="118B9F2A" w14:textId="77777777" w:rsidR="00E130E3" w:rsidRPr="003B7EA9" w:rsidRDefault="00E130E3" w:rsidP="00E130E3">
            <w:pPr>
              <w:spacing w:line="240" w:lineRule="auto"/>
              <w:ind w:firstLine="0"/>
              <w:jc w:val="left"/>
              <w:rPr>
                <w:color w:val="000000"/>
                <w:sz w:val="22"/>
                <w:szCs w:val="22"/>
                <w:lang w:eastAsia="en-GB"/>
              </w:rPr>
            </w:pPr>
          </w:p>
        </w:tc>
        <w:tc>
          <w:tcPr>
            <w:tcW w:w="2410" w:type="dxa"/>
            <w:tcBorders>
              <w:top w:val="nil"/>
              <w:left w:val="nil"/>
              <w:bottom w:val="nil"/>
              <w:right w:val="nil"/>
            </w:tcBorders>
            <w:shd w:val="clear" w:color="auto" w:fill="auto"/>
            <w:hideMark/>
          </w:tcPr>
          <w:p w14:paraId="3465CD46" w14:textId="77777777" w:rsidR="00E130E3" w:rsidRPr="003B7EA9" w:rsidRDefault="00E130E3" w:rsidP="00E130E3">
            <w:pPr>
              <w:spacing w:line="240" w:lineRule="auto"/>
              <w:ind w:firstLine="0"/>
              <w:jc w:val="left"/>
              <w:rPr>
                <w:color w:val="000000"/>
                <w:sz w:val="22"/>
                <w:szCs w:val="22"/>
                <w:lang w:eastAsia="en-GB"/>
              </w:rPr>
            </w:pPr>
          </w:p>
        </w:tc>
        <w:tc>
          <w:tcPr>
            <w:tcW w:w="2216" w:type="dxa"/>
            <w:gridSpan w:val="2"/>
            <w:tcBorders>
              <w:top w:val="nil"/>
              <w:left w:val="nil"/>
              <w:bottom w:val="nil"/>
              <w:right w:val="nil"/>
            </w:tcBorders>
            <w:shd w:val="clear" w:color="auto" w:fill="auto"/>
            <w:hideMark/>
          </w:tcPr>
          <w:p w14:paraId="4080C70E"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degree qualified</w:t>
            </w:r>
          </w:p>
        </w:tc>
        <w:tc>
          <w:tcPr>
            <w:tcW w:w="1880" w:type="dxa"/>
            <w:tcBorders>
              <w:top w:val="nil"/>
              <w:left w:val="nil"/>
              <w:bottom w:val="nil"/>
              <w:right w:val="nil"/>
            </w:tcBorders>
            <w:shd w:val="clear" w:color="auto" w:fill="auto"/>
            <w:hideMark/>
          </w:tcPr>
          <w:p w14:paraId="276128A6"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degree qualified</w:t>
            </w:r>
          </w:p>
        </w:tc>
        <w:tc>
          <w:tcPr>
            <w:tcW w:w="2141" w:type="dxa"/>
            <w:tcBorders>
              <w:top w:val="nil"/>
              <w:left w:val="nil"/>
              <w:bottom w:val="nil"/>
              <w:right w:val="nil"/>
            </w:tcBorders>
            <w:shd w:val="clear" w:color="auto" w:fill="auto"/>
            <w:hideMark/>
          </w:tcPr>
          <w:p w14:paraId="5561237F" w14:textId="77777777" w:rsidR="00E130E3" w:rsidRPr="003B7EA9" w:rsidRDefault="00E130E3" w:rsidP="00E130E3">
            <w:pPr>
              <w:spacing w:line="240" w:lineRule="auto"/>
              <w:ind w:firstLine="0"/>
              <w:jc w:val="left"/>
              <w:rPr>
                <w:color w:val="000000"/>
                <w:sz w:val="22"/>
                <w:szCs w:val="22"/>
                <w:lang w:eastAsia="en-GB"/>
              </w:rPr>
            </w:pPr>
          </w:p>
        </w:tc>
      </w:tr>
      <w:tr w:rsidR="00E130E3" w:rsidRPr="003B7EA9" w14:paraId="71C8BFE4" w14:textId="77777777" w:rsidTr="00E130E3">
        <w:trPr>
          <w:gridAfter w:val="1"/>
          <w:wAfter w:w="128" w:type="dxa"/>
          <w:trHeight w:val="20"/>
        </w:trPr>
        <w:tc>
          <w:tcPr>
            <w:tcW w:w="1716" w:type="dxa"/>
            <w:vMerge/>
            <w:tcBorders>
              <w:top w:val="nil"/>
              <w:left w:val="nil"/>
              <w:bottom w:val="single" w:sz="4" w:space="0" w:color="000000"/>
              <w:right w:val="nil"/>
            </w:tcBorders>
            <w:vAlign w:val="center"/>
            <w:hideMark/>
          </w:tcPr>
          <w:p w14:paraId="11229FA6" w14:textId="77777777" w:rsidR="00E130E3" w:rsidRPr="003B7EA9" w:rsidRDefault="00E130E3" w:rsidP="00E130E3">
            <w:pPr>
              <w:spacing w:line="240" w:lineRule="auto"/>
              <w:ind w:firstLine="0"/>
              <w:jc w:val="left"/>
              <w:rPr>
                <w:color w:val="000000"/>
                <w:sz w:val="22"/>
                <w:szCs w:val="22"/>
                <w:lang w:eastAsia="en-GB"/>
              </w:rPr>
            </w:pPr>
          </w:p>
        </w:tc>
        <w:tc>
          <w:tcPr>
            <w:tcW w:w="2410" w:type="dxa"/>
            <w:tcBorders>
              <w:top w:val="nil"/>
              <w:left w:val="nil"/>
              <w:bottom w:val="nil"/>
              <w:right w:val="nil"/>
            </w:tcBorders>
            <w:shd w:val="clear" w:color="auto" w:fill="auto"/>
            <w:hideMark/>
          </w:tcPr>
          <w:p w14:paraId="78534B63" w14:textId="0BACD2D4" w:rsidR="00E130E3" w:rsidRPr="003B7EA9" w:rsidRDefault="00122E70" w:rsidP="00E130E3">
            <w:pPr>
              <w:spacing w:line="240" w:lineRule="auto"/>
              <w:ind w:firstLine="0"/>
              <w:jc w:val="left"/>
              <w:rPr>
                <w:color w:val="000000"/>
                <w:sz w:val="22"/>
                <w:szCs w:val="22"/>
                <w:lang w:eastAsia="en-GB"/>
              </w:rPr>
            </w:pPr>
            <w:r>
              <w:rPr>
                <w:color w:val="000000"/>
                <w:sz w:val="22"/>
                <w:szCs w:val="22"/>
                <w:lang w:eastAsia="en-GB"/>
              </w:rPr>
              <w:t>s</w:t>
            </w:r>
            <w:r w:rsidR="00E130E3" w:rsidRPr="003B7EA9">
              <w:rPr>
                <w:color w:val="000000"/>
                <w:sz w:val="22"/>
                <w:szCs w:val="22"/>
                <w:lang w:eastAsia="en-GB"/>
              </w:rPr>
              <w:t>tudent</w:t>
            </w:r>
          </w:p>
        </w:tc>
        <w:tc>
          <w:tcPr>
            <w:tcW w:w="2216" w:type="dxa"/>
            <w:gridSpan w:val="2"/>
            <w:tcBorders>
              <w:top w:val="nil"/>
              <w:left w:val="nil"/>
              <w:bottom w:val="nil"/>
              <w:right w:val="nil"/>
            </w:tcBorders>
            <w:shd w:val="clear" w:color="auto" w:fill="auto"/>
            <w:hideMark/>
          </w:tcPr>
          <w:p w14:paraId="2E801BFD"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student</w:t>
            </w:r>
          </w:p>
        </w:tc>
        <w:tc>
          <w:tcPr>
            <w:tcW w:w="1880" w:type="dxa"/>
            <w:tcBorders>
              <w:top w:val="nil"/>
              <w:left w:val="nil"/>
              <w:bottom w:val="nil"/>
              <w:right w:val="nil"/>
            </w:tcBorders>
            <w:shd w:val="clear" w:color="auto" w:fill="auto"/>
            <w:hideMark/>
          </w:tcPr>
          <w:p w14:paraId="03BE7887" w14:textId="77777777" w:rsidR="00E130E3" w:rsidRPr="003B7EA9" w:rsidRDefault="00E130E3" w:rsidP="00E130E3">
            <w:pPr>
              <w:spacing w:line="240" w:lineRule="auto"/>
              <w:ind w:firstLine="0"/>
              <w:jc w:val="left"/>
              <w:rPr>
                <w:color w:val="000000"/>
                <w:sz w:val="22"/>
                <w:szCs w:val="22"/>
                <w:lang w:eastAsia="en-GB"/>
              </w:rPr>
            </w:pPr>
          </w:p>
        </w:tc>
        <w:tc>
          <w:tcPr>
            <w:tcW w:w="2141" w:type="dxa"/>
            <w:tcBorders>
              <w:top w:val="nil"/>
              <w:left w:val="nil"/>
              <w:bottom w:val="nil"/>
              <w:right w:val="nil"/>
            </w:tcBorders>
            <w:shd w:val="clear" w:color="auto" w:fill="auto"/>
            <w:hideMark/>
          </w:tcPr>
          <w:p w14:paraId="3D228EB0" w14:textId="77777777" w:rsidR="00E130E3" w:rsidRPr="003B7EA9" w:rsidRDefault="00E130E3" w:rsidP="00E130E3">
            <w:pPr>
              <w:spacing w:line="240" w:lineRule="auto"/>
              <w:ind w:firstLine="0"/>
              <w:jc w:val="left"/>
              <w:rPr>
                <w:color w:val="000000"/>
                <w:sz w:val="22"/>
                <w:szCs w:val="22"/>
                <w:lang w:eastAsia="en-GB"/>
              </w:rPr>
            </w:pPr>
          </w:p>
        </w:tc>
      </w:tr>
      <w:tr w:rsidR="00E130E3" w:rsidRPr="003B7EA9" w14:paraId="0A74E1F0" w14:textId="77777777" w:rsidTr="00E130E3">
        <w:trPr>
          <w:gridAfter w:val="1"/>
          <w:wAfter w:w="128" w:type="dxa"/>
          <w:trHeight w:val="20"/>
        </w:trPr>
        <w:tc>
          <w:tcPr>
            <w:tcW w:w="1716" w:type="dxa"/>
            <w:vMerge/>
            <w:tcBorders>
              <w:top w:val="nil"/>
              <w:left w:val="nil"/>
              <w:bottom w:val="single" w:sz="4" w:space="0" w:color="000000"/>
              <w:right w:val="nil"/>
            </w:tcBorders>
            <w:vAlign w:val="center"/>
            <w:hideMark/>
          </w:tcPr>
          <w:p w14:paraId="3D767262" w14:textId="77777777" w:rsidR="00E130E3" w:rsidRPr="003B7EA9" w:rsidRDefault="00E130E3" w:rsidP="00E130E3">
            <w:pPr>
              <w:spacing w:line="240" w:lineRule="auto"/>
              <w:ind w:firstLine="0"/>
              <w:jc w:val="left"/>
              <w:rPr>
                <w:color w:val="000000"/>
                <w:sz w:val="22"/>
                <w:szCs w:val="22"/>
                <w:lang w:eastAsia="en-GB"/>
              </w:rPr>
            </w:pPr>
          </w:p>
        </w:tc>
        <w:tc>
          <w:tcPr>
            <w:tcW w:w="2410" w:type="dxa"/>
            <w:tcBorders>
              <w:top w:val="nil"/>
              <w:left w:val="nil"/>
              <w:bottom w:val="single" w:sz="4" w:space="0" w:color="auto"/>
              <w:right w:val="nil"/>
            </w:tcBorders>
            <w:shd w:val="clear" w:color="auto" w:fill="auto"/>
            <w:hideMark/>
          </w:tcPr>
          <w:p w14:paraId="040EEA4E"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arrived 2001-11</w:t>
            </w:r>
          </w:p>
        </w:tc>
        <w:tc>
          <w:tcPr>
            <w:tcW w:w="2216" w:type="dxa"/>
            <w:gridSpan w:val="2"/>
            <w:tcBorders>
              <w:top w:val="nil"/>
              <w:left w:val="nil"/>
              <w:bottom w:val="single" w:sz="4" w:space="0" w:color="auto"/>
              <w:right w:val="nil"/>
            </w:tcBorders>
            <w:shd w:val="clear" w:color="auto" w:fill="auto"/>
            <w:hideMark/>
          </w:tcPr>
          <w:p w14:paraId="4B3F5780"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arrived 2001-11</w:t>
            </w:r>
          </w:p>
        </w:tc>
        <w:tc>
          <w:tcPr>
            <w:tcW w:w="1880" w:type="dxa"/>
            <w:tcBorders>
              <w:top w:val="nil"/>
              <w:left w:val="nil"/>
              <w:bottom w:val="single" w:sz="4" w:space="0" w:color="auto"/>
              <w:right w:val="nil"/>
            </w:tcBorders>
            <w:shd w:val="clear" w:color="auto" w:fill="auto"/>
            <w:hideMark/>
          </w:tcPr>
          <w:p w14:paraId="580CA6EF"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 </w:t>
            </w:r>
          </w:p>
        </w:tc>
        <w:tc>
          <w:tcPr>
            <w:tcW w:w="2141" w:type="dxa"/>
            <w:tcBorders>
              <w:top w:val="nil"/>
              <w:left w:val="nil"/>
              <w:bottom w:val="single" w:sz="4" w:space="0" w:color="auto"/>
              <w:right w:val="nil"/>
            </w:tcBorders>
            <w:shd w:val="clear" w:color="auto" w:fill="auto"/>
            <w:hideMark/>
          </w:tcPr>
          <w:p w14:paraId="786D0C11"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 </w:t>
            </w:r>
          </w:p>
        </w:tc>
      </w:tr>
      <w:tr w:rsidR="00E130E3" w:rsidRPr="003B7EA9" w14:paraId="23DF3F58" w14:textId="77777777" w:rsidTr="00E130E3">
        <w:trPr>
          <w:gridAfter w:val="1"/>
          <w:wAfter w:w="128" w:type="dxa"/>
          <w:trHeight w:val="20"/>
        </w:trPr>
        <w:tc>
          <w:tcPr>
            <w:tcW w:w="1716" w:type="dxa"/>
            <w:vMerge w:val="restart"/>
            <w:tcBorders>
              <w:top w:val="nil"/>
              <w:left w:val="nil"/>
              <w:bottom w:val="dotted" w:sz="4" w:space="0" w:color="000000"/>
              <w:right w:val="nil"/>
            </w:tcBorders>
            <w:shd w:val="clear" w:color="auto" w:fill="auto"/>
            <w:vAlign w:val="center"/>
            <w:hideMark/>
          </w:tcPr>
          <w:p w14:paraId="410C6E1B"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over-representation in low-odds categories</w:t>
            </w:r>
          </w:p>
        </w:tc>
        <w:tc>
          <w:tcPr>
            <w:tcW w:w="2410" w:type="dxa"/>
            <w:tcBorders>
              <w:top w:val="nil"/>
              <w:left w:val="nil"/>
              <w:bottom w:val="nil"/>
              <w:right w:val="nil"/>
            </w:tcBorders>
            <w:shd w:val="clear" w:color="auto" w:fill="auto"/>
            <w:hideMark/>
          </w:tcPr>
          <w:p w14:paraId="14E8EB50"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 </w:t>
            </w:r>
          </w:p>
        </w:tc>
        <w:tc>
          <w:tcPr>
            <w:tcW w:w="2216" w:type="dxa"/>
            <w:gridSpan w:val="2"/>
            <w:tcBorders>
              <w:top w:val="nil"/>
              <w:left w:val="nil"/>
              <w:bottom w:val="nil"/>
              <w:right w:val="nil"/>
            </w:tcBorders>
            <w:shd w:val="clear" w:color="auto" w:fill="auto"/>
            <w:hideMark/>
          </w:tcPr>
          <w:p w14:paraId="469805F3"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 </w:t>
            </w:r>
          </w:p>
        </w:tc>
        <w:tc>
          <w:tcPr>
            <w:tcW w:w="1880" w:type="dxa"/>
            <w:tcBorders>
              <w:top w:val="nil"/>
              <w:left w:val="nil"/>
              <w:bottom w:val="nil"/>
              <w:right w:val="nil"/>
            </w:tcBorders>
            <w:shd w:val="clear" w:color="auto" w:fill="auto"/>
            <w:hideMark/>
          </w:tcPr>
          <w:p w14:paraId="5129035C"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married couple</w:t>
            </w:r>
          </w:p>
        </w:tc>
        <w:tc>
          <w:tcPr>
            <w:tcW w:w="2141" w:type="dxa"/>
            <w:tcBorders>
              <w:top w:val="nil"/>
              <w:left w:val="nil"/>
              <w:bottom w:val="nil"/>
              <w:right w:val="nil"/>
            </w:tcBorders>
            <w:shd w:val="clear" w:color="auto" w:fill="auto"/>
            <w:hideMark/>
          </w:tcPr>
          <w:p w14:paraId="2D72B039"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married couple</w:t>
            </w:r>
          </w:p>
        </w:tc>
      </w:tr>
      <w:tr w:rsidR="00E130E3" w:rsidRPr="003B7EA9" w14:paraId="0E1F9E36" w14:textId="77777777" w:rsidTr="00E130E3">
        <w:trPr>
          <w:gridAfter w:val="1"/>
          <w:wAfter w:w="128" w:type="dxa"/>
          <w:trHeight w:val="20"/>
        </w:trPr>
        <w:tc>
          <w:tcPr>
            <w:tcW w:w="1716" w:type="dxa"/>
            <w:vMerge/>
            <w:tcBorders>
              <w:top w:val="nil"/>
              <w:left w:val="nil"/>
              <w:bottom w:val="dotted" w:sz="4" w:space="0" w:color="000000"/>
              <w:right w:val="nil"/>
            </w:tcBorders>
            <w:vAlign w:val="center"/>
            <w:hideMark/>
          </w:tcPr>
          <w:p w14:paraId="468DD521" w14:textId="77777777" w:rsidR="00E130E3" w:rsidRPr="003B7EA9" w:rsidRDefault="00E130E3" w:rsidP="00E130E3">
            <w:pPr>
              <w:spacing w:line="240" w:lineRule="auto"/>
              <w:ind w:firstLine="0"/>
              <w:jc w:val="left"/>
              <w:rPr>
                <w:color w:val="000000"/>
                <w:sz w:val="22"/>
                <w:szCs w:val="22"/>
                <w:lang w:eastAsia="en-GB"/>
              </w:rPr>
            </w:pPr>
          </w:p>
        </w:tc>
        <w:tc>
          <w:tcPr>
            <w:tcW w:w="2410" w:type="dxa"/>
            <w:tcBorders>
              <w:top w:val="nil"/>
              <w:left w:val="nil"/>
              <w:bottom w:val="dotted" w:sz="4" w:space="0" w:color="auto"/>
              <w:right w:val="nil"/>
            </w:tcBorders>
            <w:shd w:val="clear" w:color="auto" w:fill="auto"/>
            <w:hideMark/>
          </w:tcPr>
          <w:p w14:paraId="4A363BBD"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 </w:t>
            </w:r>
          </w:p>
        </w:tc>
        <w:tc>
          <w:tcPr>
            <w:tcW w:w="2216" w:type="dxa"/>
            <w:gridSpan w:val="2"/>
            <w:tcBorders>
              <w:top w:val="nil"/>
              <w:left w:val="nil"/>
              <w:bottom w:val="dotted" w:sz="4" w:space="0" w:color="auto"/>
              <w:right w:val="nil"/>
            </w:tcBorders>
            <w:shd w:val="clear" w:color="auto" w:fill="auto"/>
            <w:hideMark/>
          </w:tcPr>
          <w:p w14:paraId="1D9E98F4"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arrived before 1991</w:t>
            </w:r>
          </w:p>
        </w:tc>
        <w:tc>
          <w:tcPr>
            <w:tcW w:w="1880" w:type="dxa"/>
            <w:tcBorders>
              <w:top w:val="nil"/>
              <w:left w:val="nil"/>
              <w:bottom w:val="dotted" w:sz="4" w:space="0" w:color="auto"/>
              <w:right w:val="nil"/>
            </w:tcBorders>
            <w:shd w:val="clear" w:color="auto" w:fill="auto"/>
            <w:hideMark/>
          </w:tcPr>
          <w:p w14:paraId="685E9391"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 </w:t>
            </w:r>
          </w:p>
        </w:tc>
        <w:tc>
          <w:tcPr>
            <w:tcW w:w="2141" w:type="dxa"/>
            <w:tcBorders>
              <w:top w:val="nil"/>
              <w:left w:val="nil"/>
              <w:bottom w:val="dotted" w:sz="4" w:space="0" w:color="auto"/>
              <w:right w:val="nil"/>
            </w:tcBorders>
            <w:shd w:val="clear" w:color="auto" w:fill="auto"/>
            <w:hideMark/>
          </w:tcPr>
          <w:p w14:paraId="0F501418"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arrived before 1991</w:t>
            </w:r>
          </w:p>
        </w:tc>
      </w:tr>
      <w:tr w:rsidR="00E130E3" w:rsidRPr="003B7EA9" w14:paraId="2F79D722" w14:textId="77777777" w:rsidTr="00E130E3">
        <w:trPr>
          <w:gridAfter w:val="1"/>
          <w:wAfter w:w="128" w:type="dxa"/>
          <w:trHeight w:val="20"/>
        </w:trPr>
        <w:tc>
          <w:tcPr>
            <w:tcW w:w="1716" w:type="dxa"/>
            <w:tcBorders>
              <w:top w:val="nil"/>
              <w:left w:val="nil"/>
              <w:bottom w:val="single" w:sz="4" w:space="0" w:color="auto"/>
              <w:right w:val="nil"/>
            </w:tcBorders>
            <w:shd w:val="clear" w:color="auto" w:fill="auto"/>
            <w:vAlign w:val="bottom"/>
            <w:hideMark/>
          </w:tcPr>
          <w:p w14:paraId="6E0527A6"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under-representation in high odds categories</w:t>
            </w:r>
          </w:p>
        </w:tc>
        <w:tc>
          <w:tcPr>
            <w:tcW w:w="2410" w:type="dxa"/>
            <w:tcBorders>
              <w:top w:val="nil"/>
              <w:left w:val="nil"/>
              <w:bottom w:val="single" w:sz="4" w:space="0" w:color="auto"/>
              <w:right w:val="nil"/>
            </w:tcBorders>
            <w:shd w:val="clear" w:color="auto" w:fill="auto"/>
            <w:hideMark/>
          </w:tcPr>
          <w:p w14:paraId="56CF07AF"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no dependent children</w:t>
            </w:r>
          </w:p>
        </w:tc>
        <w:tc>
          <w:tcPr>
            <w:tcW w:w="2216" w:type="dxa"/>
            <w:gridSpan w:val="2"/>
            <w:tcBorders>
              <w:top w:val="nil"/>
              <w:left w:val="nil"/>
              <w:bottom w:val="single" w:sz="4" w:space="0" w:color="auto"/>
              <w:right w:val="nil"/>
            </w:tcBorders>
            <w:shd w:val="clear" w:color="auto" w:fill="auto"/>
            <w:hideMark/>
          </w:tcPr>
          <w:p w14:paraId="5F66B27E"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 </w:t>
            </w:r>
          </w:p>
        </w:tc>
        <w:tc>
          <w:tcPr>
            <w:tcW w:w="1880" w:type="dxa"/>
            <w:tcBorders>
              <w:top w:val="nil"/>
              <w:left w:val="nil"/>
              <w:bottom w:val="single" w:sz="4" w:space="0" w:color="auto"/>
              <w:right w:val="nil"/>
            </w:tcBorders>
            <w:shd w:val="clear" w:color="auto" w:fill="auto"/>
            <w:hideMark/>
          </w:tcPr>
          <w:p w14:paraId="01DA7786"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 </w:t>
            </w:r>
          </w:p>
        </w:tc>
        <w:tc>
          <w:tcPr>
            <w:tcW w:w="2141" w:type="dxa"/>
            <w:tcBorders>
              <w:top w:val="nil"/>
              <w:left w:val="nil"/>
              <w:bottom w:val="single" w:sz="4" w:space="0" w:color="auto"/>
              <w:right w:val="nil"/>
            </w:tcBorders>
            <w:shd w:val="clear" w:color="auto" w:fill="auto"/>
            <w:hideMark/>
          </w:tcPr>
          <w:p w14:paraId="35280ACD" w14:textId="77777777" w:rsidR="00E130E3" w:rsidRPr="003B7EA9" w:rsidRDefault="00E130E3" w:rsidP="00E130E3">
            <w:pPr>
              <w:spacing w:line="240" w:lineRule="auto"/>
              <w:ind w:firstLine="0"/>
              <w:jc w:val="left"/>
              <w:rPr>
                <w:color w:val="000000"/>
                <w:sz w:val="22"/>
                <w:szCs w:val="22"/>
                <w:lang w:eastAsia="en-GB"/>
              </w:rPr>
            </w:pPr>
          </w:p>
          <w:p w14:paraId="5C331A03" w14:textId="77777777" w:rsidR="00E130E3" w:rsidRPr="003B7EA9" w:rsidRDefault="00E130E3" w:rsidP="00E130E3">
            <w:pPr>
              <w:spacing w:line="240" w:lineRule="auto"/>
              <w:ind w:firstLine="0"/>
              <w:jc w:val="left"/>
              <w:rPr>
                <w:color w:val="000000"/>
                <w:sz w:val="22"/>
                <w:szCs w:val="22"/>
                <w:lang w:eastAsia="en-GB"/>
              </w:rPr>
            </w:pPr>
            <w:r w:rsidRPr="003B7EA9">
              <w:rPr>
                <w:color w:val="000000"/>
                <w:sz w:val="22"/>
                <w:szCs w:val="22"/>
                <w:lang w:eastAsia="en-GB"/>
              </w:rPr>
              <w:t>cohabiting couple</w:t>
            </w:r>
          </w:p>
        </w:tc>
      </w:tr>
    </w:tbl>
    <w:p w14:paraId="703EF85C" w14:textId="77777777" w:rsidR="00E130E3" w:rsidRPr="003B7EA9" w:rsidRDefault="00E130E3" w:rsidP="008F28C7">
      <w:pPr>
        <w:ind w:left="-709" w:firstLine="0"/>
        <w:rPr>
          <w:sz w:val="22"/>
          <w:szCs w:val="22"/>
          <w:lang w:eastAsia="en-GB"/>
        </w:rPr>
      </w:pPr>
    </w:p>
    <w:p w14:paraId="3ACAC66D" w14:textId="77777777" w:rsidR="00BA3808" w:rsidRPr="003B7EA9" w:rsidRDefault="00BA3808" w:rsidP="008F28C7">
      <w:pPr>
        <w:ind w:left="-709" w:firstLine="0"/>
        <w:rPr>
          <w:lang w:eastAsia="en-GB"/>
        </w:rPr>
      </w:pPr>
    </w:p>
    <w:tbl>
      <w:tblPr>
        <w:tblStyle w:val="TableGrid"/>
        <w:tblW w:w="1057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3015"/>
        <w:gridCol w:w="700"/>
        <w:gridCol w:w="575"/>
        <w:gridCol w:w="262"/>
        <w:gridCol w:w="1104"/>
        <w:gridCol w:w="549"/>
        <w:gridCol w:w="22"/>
        <w:gridCol w:w="720"/>
        <w:gridCol w:w="49"/>
        <w:gridCol w:w="31"/>
        <w:gridCol w:w="271"/>
        <w:gridCol w:w="275"/>
        <w:gridCol w:w="292"/>
        <w:gridCol w:w="130"/>
        <w:gridCol w:w="8"/>
        <w:gridCol w:w="115"/>
        <w:gridCol w:w="277"/>
        <w:gridCol w:w="271"/>
        <w:gridCol w:w="277"/>
        <w:gridCol w:w="437"/>
        <w:gridCol w:w="385"/>
        <w:gridCol w:w="164"/>
        <w:gridCol w:w="305"/>
        <w:gridCol w:w="80"/>
      </w:tblGrid>
      <w:tr w:rsidR="00B13F3E" w:rsidRPr="003B7EA9" w14:paraId="48FADC72" w14:textId="77777777" w:rsidTr="003E0A2F">
        <w:trPr>
          <w:gridAfter w:val="1"/>
          <w:wAfter w:w="80" w:type="dxa"/>
          <w:trHeight w:val="20"/>
        </w:trPr>
        <w:tc>
          <w:tcPr>
            <w:tcW w:w="10498" w:type="dxa"/>
            <w:gridSpan w:val="24"/>
            <w:noWrap/>
            <w:hideMark/>
          </w:tcPr>
          <w:p w14:paraId="102B17BF" w14:textId="01D9D972" w:rsidR="00B13F3E" w:rsidRPr="003B7EA9" w:rsidRDefault="00B13F3E" w:rsidP="004C0B09">
            <w:pPr>
              <w:keepNext/>
              <w:spacing w:line="240" w:lineRule="auto"/>
              <w:ind w:firstLine="0"/>
              <w:jc w:val="left"/>
              <w:rPr>
                <w:i/>
                <w:iCs/>
                <w:color w:val="000000"/>
                <w:sz w:val="22"/>
                <w:szCs w:val="22"/>
                <w:lang w:eastAsia="en-GB"/>
              </w:rPr>
            </w:pPr>
            <w:r w:rsidRPr="003B7EA9">
              <w:rPr>
                <w:i/>
                <w:iCs/>
                <w:color w:val="000000"/>
                <w:sz w:val="22"/>
                <w:szCs w:val="22"/>
                <w:lang w:eastAsia="en-GB"/>
              </w:rPr>
              <w:lastRenderedPageBreak/>
              <w:t xml:space="preserve">Table </w:t>
            </w:r>
            <w:r>
              <w:rPr>
                <w:i/>
                <w:iCs/>
                <w:color w:val="000000"/>
                <w:sz w:val="22"/>
                <w:szCs w:val="22"/>
                <w:lang w:eastAsia="en-GB"/>
              </w:rPr>
              <w:t>6</w:t>
            </w:r>
            <w:r w:rsidRPr="003B7EA9">
              <w:rPr>
                <w:i/>
                <w:iCs/>
                <w:color w:val="000000"/>
                <w:sz w:val="22"/>
                <w:szCs w:val="22"/>
                <w:lang w:eastAsia="en-GB"/>
              </w:rPr>
              <w:t xml:space="preserve">  </w:t>
            </w:r>
            <w:r>
              <w:rPr>
                <w:i/>
                <w:iCs/>
                <w:color w:val="000000"/>
                <w:sz w:val="22"/>
                <w:szCs w:val="22"/>
                <w:lang w:eastAsia="en-GB"/>
              </w:rPr>
              <w:t>Migration propensity l</w:t>
            </w:r>
            <w:r w:rsidRPr="003B7EA9">
              <w:rPr>
                <w:i/>
                <w:iCs/>
                <w:color w:val="000000"/>
                <w:sz w:val="22"/>
                <w:szCs w:val="22"/>
                <w:lang w:eastAsia="en-GB"/>
              </w:rPr>
              <w:t xml:space="preserve">ogistic </w:t>
            </w:r>
            <w:r>
              <w:rPr>
                <w:i/>
                <w:iCs/>
                <w:color w:val="000000"/>
                <w:sz w:val="22"/>
                <w:szCs w:val="22"/>
                <w:lang w:eastAsia="en-GB"/>
              </w:rPr>
              <w:t>r</w:t>
            </w:r>
            <w:r w:rsidRPr="003B7EA9">
              <w:rPr>
                <w:i/>
                <w:iCs/>
                <w:color w:val="000000"/>
                <w:sz w:val="22"/>
                <w:szCs w:val="22"/>
                <w:lang w:eastAsia="en-GB"/>
              </w:rPr>
              <w:t xml:space="preserve">egression </w:t>
            </w:r>
            <w:r>
              <w:rPr>
                <w:i/>
                <w:iCs/>
                <w:color w:val="000000"/>
                <w:sz w:val="22"/>
                <w:szCs w:val="22"/>
                <w:lang w:eastAsia="en-GB"/>
              </w:rPr>
              <w:t>a</w:t>
            </w:r>
            <w:r w:rsidRPr="003B7EA9">
              <w:rPr>
                <w:i/>
                <w:iCs/>
                <w:color w:val="000000"/>
                <w:sz w:val="22"/>
                <w:szCs w:val="22"/>
                <w:lang w:eastAsia="en-GB"/>
              </w:rPr>
              <w:t>nalysis for Cultural Groups</w:t>
            </w:r>
          </w:p>
        </w:tc>
      </w:tr>
      <w:tr w:rsidR="002D697D" w:rsidRPr="003B7EA9" w14:paraId="61C7E1B3" w14:textId="77777777" w:rsidTr="003E0A2F">
        <w:trPr>
          <w:gridAfter w:val="1"/>
          <w:wAfter w:w="80" w:type="dxa"/>
          <w:trHeight w:val="20"/>
        </w:trPr>
        <w:tc>
          <w:tcPr>
            <w:tcW w:w="264" w:type="dxa"/>
            <w:noWrap/>
            <w:hideMark/>
          </w:tcPr>
          <w:p w14:paraId="20CE79F8" w14:textId="77777777" w:rsidR="002D697D" w:rsidRPr="003B7EA9" w:rsidRDefault="002D697D" w:rsidP="00023BDF">
            <w:pPr>
              <w:keepNext/>
              <w:spacing w:line="240" w:lineRule="auto"/>
              <w:ind w:firstLine="0"/>
              <w:jc w:val="left"/>
              <w:rPr>
                <w:i/>
                <w:iCs/>
                <w:color w:val="000000"/>
                <w:sz w:val="18"/>
                <w:szCs w:val="18"/>
                <w:lang w:eastAsia="en-GB"/>
              </w:rPr>
            </w:pPr>
          </w:p>
        </w:tc>
        <w:tc>
          <w:tcPr>
            <w:tcW w:w="3015" w:type="dxa"/>
            <w:noWrap/>
            <w:hideMark/>
          </w:tcPr>
          <w:p w14:paraId="2C29D75E" w14:textId="77777777" w:rsidR="002D697D" w:rsidRPr="003B7EA9" w:rsidRDefault="002D697D" w:rsidP="00023BDF">
            <w:pPr>
              <w:keepNext/>
              <w:spacing w:line="240" w:lineRule="auto"/>
              <w:ind w:firstLine="0"/>
              <w:jc w:val="left"/>
              <w:rPr>
                <w:color w:val="000000"/>
                <w:sz w:val="18"/>
                <w:szCs w:val="18"/>
                <w:lang w:eastAsia="en-GB"/>
              </w:rPr>
            </w:pPr>
          </w:p>
        </w:tc>
        <w:tc>
          <w:tcPr>
            <w:tcW w:w="1275" w:type="dxa"/>
            <w:gridSpan w:val="2"/>
            <w:hideMark/>
          </w:tcPr>
          <w:p w14:paraId="5C37F46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White British</w:t>
            </w:r>
          </w:p>
        </w:tc>
        <w:tc>
          <w:tcPr>
            <w:tcW w:w="262" w:type="dxa"/>
            <w:hideMark/>
          </w:tcPr>
          <w:p w14:paraId="69A92482" w14:textId="77777777" w:rsidR="002D697D" w:rsidRPr="003B7EA9" w:rsidRDefault="002D697D" w:rsidP="00023BDF">
            <w:pPr>
              <w:keepNext/>
              <w:spacing w:line="240" w:lineRule="auto"/>
              <w:ind w:firstLine="0"/>
              <w:jc w:val="center"/>
              <w:rPr>
                <w:color w:val="000000"/>
                <w:sz w:val="18"/>
                <w:szCs w:val="18"/>
                <w:lang w:eastAsia="en-GB"/>
              </w:rPr>
            </w:pPr>
          </w:p>
        </w:tc>
        <w:tc>
          <w:tcPr>
            <w:tcW w:w="1653" w:type="dxa"/>
            <w:gridSpan w:val="2"/>
            <w:noWrap/>
            <w:hideMark/>
          </w:tcPr>
          <w:p w14:paraId="18EA756E" w14:textId="77777777" w:rsidR="002D697D" w:rsidRPr="003B7EA9" w:rsidRDefault="002D697D" w:rsidP="00023BDF">
            <w:pPr>
              <w:keepNext/>
              <w:spacing w:line="240" w:lineRule="auto"/>
              <w:ind w:firstLine="0"/>
              <w:jc w:val="center"/>
              <w:rPr>
                <w:color w:val="000000"/>
                <w:sz w:val="18"/>
                <w:szCs w:val="18"/>
                <w:lang w:eastAsia="en-GB"/>
              </w:rPr>
            </w:pPr>
            <w:r>
              <w:rPr>
                <w:color w:val="000000"/>
                <w:sz w:val="18"/>
                <w:szCs w:val="18"/>
                <w:lang w:eastAsia="en-GB"/>
              </w:rPr>
              <w:t xml:space="preserve">  </w:t>
            </w:r>
            <w:r w:rsidRPr="003B7EA9">
              <w:rPr>
                <w:color w:val="000000"/>
                <w:sz w:val="18"/>
                <w:szCs w:val="18"/>
                <w:lang w:eastAsia="en-GB"/>
              </w:rPr>
              <w:t>Arab</w:t>
            </w:r>
          </w:p>
        </w:tc>
        <w:tc>
          <w:tcPr>
            <w:tcW w:w="1368" w:type="dxa"/>
            <w:gridSpan w:val="6"/>
            <w:noWrap/>
            <w:hideMark/>
          </w:tcPr>
          <w:p w14:paraId="75A7CD82" w14:textId="77777777" w:rsidR="002D697D" w:rsidRPr="003B7EA9" w:rsidRDefault="002D697D" w:rsidP="004C0B09">
            <w:pPr>
              <w:keepNext/>
              <w:spacing w:line="240" w:lineRule="auto"/>
              <w:ind w:firstLine="0"/>
              <w:jc w:val="center"/>
              <w:rPr>
                <w:color w:val="000000"/>
                <w:sz w:val="18"/>
                <w:szCs w:val="18"/>
                <w:lang w:eastAsia="en-GB"/>
              </w:rPr>
            </w:pPr>
            <w:r w:rsidRPr="003B7EA9">
              <w:rPr>
                <w:color w:val="000000"/>
                <w:sz w:val="18"/>
                <w:szCs w:val="18"/>
                <w:lang w:eastAsia="en-GB"/>
              </w:rPr>
              <w:t>Chinese</w:t>
            </w:r>
          </w:p>
        </w:tc>
        <w:tc>
          <w:tcPr>
            <w:tcW w:w="1370" w:type="dxa"/>
            <w:gridSpan w:val="7"/>
          </w:tcPr>
          <w:p w14:paraId="4183D82E" w14:textId="77777777" w:rsidR="002D697D" w:rsidRPr="003B7EA9" w:rsidRDefault="002D697D" w:rsidP="00F575D5">
            <w:pPr>
              <w:keepNext/>
              <w:spacing w:line="240" w:lineRule="auto"/>
              <w:ind w:firstLine="0"/>
              <w:jc w:val="center"/>
              <w:rPr>
                <w:color w:val="000000"/>
                <w:sz w:val="18"/>
                <w:szCs w:val="18"/>
                <w:lang w:eastAsia="en-GB"/>
              </w:rPr>
            </w:pPr>
            <w:r>
              <w:rPr>
                <w:color w:val="000000"/>
                <w:sz w:val="18"/>
                <w:szCs w:val="18"/>
                <w:lang w:eastAsia="en-GB"/>
              </w:rPr>
              <w:t xml:space="preserve">            </w:t>
            </w:r>
            <w:r w:rsidRPr="003B7EA9">
              <w:rPr>
                <w:color w:val="000000"/>
                <w:sz w:val="18"/>
                <w:szCs w:val="18"/>
                <w:lang w:eastAsia="en-GB"/>
              </w:rPr>
              <w:t>Jewish</w:t>
            </w:r>
          </w:p>
        </w:tc>
        <w:tc>
          <w:tcPr>
            <w:tcW w:w="1291" w:type="dxa"/>
            <w:gridSpan w:val="4"/>
            <w:noWrap/>
            <w:hideMark/>
          </w:tcPr>
          <w:p w14:paraId="7A094263" w14:textId="77777777" w:rsidR="002D697D" w:rsidRPr="003B7EA9" w:rsidRDefault="002D697D" w:rsidP="004C0B09">
            <w:pPr>
              <w:spacing w:line="240" w:lineRule="auto"/>
              <w:ind w:firstLine="0"/>
              <w:jc w:val="center"/>
              <w:rPr>
                <w:sz w:val="20"/>
                <w:szCs w:val="20"/>
                <w:lang w:eastAsia="en-GB"/>
              </w:rPr>
            </w:pPr>
            <w:r w:rsidRPr="003B7EA9">
              <w:rPr>
                <w:color w:val="000000"/>
                <w:sz w:val="18"/>
                <w:szCs w:val="18"/>
                <w:lang w:eastAsia="en-GB"/>
              </w:rPr>
              <w:t>Sikh</w:t>
            </w:r>
          </w:p>
        </w:tc>
      </w:tr>
      <w:tr w:rsidR="002D697D" w:rsidRPr="003B7EA9" w14:paraId="7199F82F" w14:textId="77777777" w:rsidTr="003E0A2F">
        <w:trPr>
          <w:trHeight w:val="20"/>
        </w:trPr>
        <w:tc>
          <w:tcPr>
            <w:tcW w:w="264" w:type="dxa"/>
            <w:noWrap/>
            <w:hideMark/>
          </w:tcPr>
          <w:p w14:paraId="38A521E4"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3211F89A" w14:textId="77777777" w:rsidR="002D697D" w:rsidRPr="003B7EA9" w:rsidRDefault="002D697D" w:rsidP="00023BDF">
            <w:pPr>
              <w:keepNext/>
              <w:spacing w:line="240" w:lineRule="auto"/>
              <w:ind w:firstLine="0"/>
              <w:jc w:val="left"/>
              <w:rPr>
                <w:color w:val="000000"/>
                <w:sz w:val="18"/>
                <w:szCs w:val="18"/>
                <w:lang w:eastAsia="en-GB"/>
              </w:rPr>
            </w:pPr>
          </w:p>
        </w:tc>
        <w:tc>
          <w:tcPr>
            <w:tcW w:w="1275" w:type="dxa"/>
            <w:gridSpan w:val="2"/>
            <w:vMerge w:val="restart"/>
            <w:hideMark/>
          </w:tcPr>
          <w:p w14:paraId="767AFE7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Relative odds</w:t>
            </w:r>
          </w:p>
        </w:tc>
        <w:tc>
          <w:tcPr>
            <w:tcW w:w="262" w:type="dxa"/>
            <w:vMerge w:val="restart"/>
            <w:hideMark/>
          </w:tcPr>
          <w:p w14:paraId="67800E5D"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vMerge w:val="restart"/>
            <w:hideMark/>
          </w:tcPr>
          <w:p w14:paraId="36B3F368"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Relative odds</w:t>
            </w:r>
          </w:p>
        </w:tc>
        <w:tc>
          <w:tcPr>
            <w:tcW w:w="549" w:type="dxa"/>
            <w:vMerge w:val="restart"/>
            <w:hideMark/>
          </w:tcPr>
          <w:p w14:paraId="308DACA8"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xml:space="preserve">95% CI </w:t>
            </w:r>
          </w:p>
        </w:tc>
        <w:tc>
          <w:tcPr>
            <w:tcW w:w="822" w:type="dxa"/>
            <w:gridSpan w:val="4"/>
            <w:vMerge w:val="restart"/>
            <w:hideMark/>
          </w:tcPr>
          <w:p w14:paraId="462574A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Relative odds</w:t>
            </w:r>
          </w:p>
        </w:tc>
        <w:tc>
          <w:tcPr>
            <w:tcW w:w="546" w:type="dxa"/>
            <w:gridSpan w:val="2"/>
            <w:vMerge w:val="restart"/>
            <w:hideMark/>
          </w:tcPr>
          <w:p w14:paraId="25F84F4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xml:space="preserve">95% CI </w:t>
            </w:r>
          </w:p>
        </w:tc>
        <w:tc>
          <w:tcPr>
            <w:tcW w:w="822" w:type="dxa"/>
            <w:gridSpan w:val="5"/>
            <w:vMerge w:val="restart"/>
            <w:hideMark/>
          </w:tcPr>
          <w:p w14:paraId="420559BD"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Relative odds</w:t>
            </w:r>
          </w:p>
        </w:tc>
        <w:tc>
          <w:tcPr>
            <w:tcW w:w="548" w:type="dxa"/>
            <w:gridSpan w:val="2"/>
            <w:vMerge w:val="restart"/>
            <w:hideMark/>
          </w:tcPr>
          <w:p w14:paraId="62507B6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xml:space="preserve">95% CI </w:t>
            </w:r>
          </w:p>
        </w:tc>
        <w:tc>
          <w:tcPr>
            <w:tcW w:w="822" w:type="dxa"/>
            <w:gridSpan w:val="2"/>
            <w:vMerge w:val="restart"/>
            <w:hideMark/>
          </w:tcPr>
          <w:p w14:paraId="449C07A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Relative odds</w:t>
            </w:r>
          </w:p>
        </w:tc>
        <w:tc>
          <w:tcPr>
            <w:tcW w:w="549" w:type="dxa"/>
            <w:gridSpan w:val="3"/>
            <w:vMerge w:val="restart"/>
            <w:hideMark/>
          </w:tcPr>
          <w:p w14:paraId="30DE393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xml:space="preserve">95% CI </w:t>
            </w:r>
          </w:p>
        </w:tc>
      </w:tr>
      <w:tr w:rsidR="002D697D" w:rsidRPr="003B7EA9" w14:paraId="6753DDBC" w14:textId="77777777" w:rsidTr="003E0A2F">
        <w:trPr>
          <w:trHeight w:val="20"/>
        </w:trPr>
        <w:tc>
          <w:tcPr>
            <w:tcW w:w="264" w:type="dxa"/>
            <w:tcBorders>
              <w:bottom w:val="single" w:sz="4" w:space="0" w:color="auto"/>
            </w:tcBorders>
            <w:noWrap/>
            <w:hideMark/>
          </w:tcPr>
          <w:p w14:paraId="3AD304C8"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 </w:t>
            </w:r>
          </w:p>
        </w:tc>
        <w:tc>
          <w:tcPr>
            <w:tcW w:w="3015" w:type="dxa"/>
            <w:tcBorders>
              <w:bottom w:val="single" w:sz="4" w:space="0" w:color="auto"/>
            </w:tcBorders>
            <w:noWrap/>
            <w:hideMark/>
          </w:tcPr>
          <w:p w14:paraId="4C6B411A"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 </w:t>
            </w:r>
          </w:p>
        </w:tc>
        <w:tc>
          <w:tcPr>
            <w:tcW w:w="1275" w:type="dxa"/>
            <w:gridSpan w:val="2"/>
            <w:vMerge/>
            <w:tcBorders>
              <w:bottom w:val="single" w:sz="4" w:space="0" w:color="auto"/>
            </w:tcBorders>
            <w:hideMark/>
          </w:tcPr>
          <w:p w14:paraId="49AD511F" w14:textId="77777777" w:rsidR="002D697D" w:rsidRPr="003B7EA9" w:rsidRDefault="002D697D" w:rsidP="00023BDF">
            <w:pPr>
              <w:keepNext/>
              <w:spacing w:line="240" w:lineRule="auto"/>
              <w:ind w:firstLine="0"/>
              <w:jc w:val="left"/>
              <w:rPr>
                <w:color w:val="000000"/>
                <w:sz w:val="18"/>
                <w:szCs w:val="18"/>
                <w:lang w:eastAsia="en-GB"/>
              </w:rPr>
            </w:pPr>
          </w:p>
        </w:tc>
        <w:tc>
          <w:tcPr>
            <w:tcW w:w="262" w:type="dxa"/>
            <w:vMerge/>
            <w:tcBorders>
              <w:bottom w:val="single" w:sz="4" w:space="0" w:color="auto"/>
            </w:tcBorders>
            <w:hideMark/>
          </w:tcPr>
          <w:p w14:paraId="190DE177" w14:textId="77777777" w:rsidR="002D697D" w:rsidRPr="003B7EA9" w:rsidRDefault="002D697D" w:rsidP="00023BDF">
            <w:pPr>
              <w:keepNext/>
              <w:spacing w:line="240" w:lineRule="auto"/>
              <w:ind w:firstLine="0"/>
              <w:jc w:val="left"/>
              <w:rPr>
                <w:color w:val="000000"/>
                <w:sz w:val="18"/>
                <w:szCs w:val="18"/>
                <w:lang w:eastAsia="en-GB"/>
              </w:rPr>
            </w:pPr>
          </w:p>
        </w:tc>
        <w:tc>
          <w:tcPr>
            <w:tcW w:w="1104" w:type="dxa"/>
            <w:vMerge/>
            <w:tcBorders>
              <w:bottom w:val="single" w:sz="4" w:space="0" w:color="auto"/>
            </w:tcBorders>
            <w:hideMark/>
          </w:tcPr>
          <w:p w14:paraId="448F457B" w14:textId="77777777" w:rsidR="002D697D" w:rsidRPr="003B7EA9" w:rsidRDefault="002D697D" w:rsidP="00023BDF">
            <w:pPr>
              <w:keepNext/>
              <w:spacing w:line="240" w:lineRule="auto"/>
              <w:ind w:firstLine="0"/>
              <w:jc w:val="left"/>
              <w:rPr>
                <w:color w:val="000000"/>
                <w:sz w:val="18"/>
                <w:szCs w:val="18"/>
                <w:lang w:eastAsia="en-GB"/>
              </w:rPr>
            </w:pPr>
          </w:p>
        </w:tc>
        <w:tc>
          <w:tcPr>
            <w:tcW w:w="549" w:type="dxa"/>
            <w:vMerge/>
            <w:tcBorders>
              <w:bottom w:val="single" w:sz="4" w:space="0" w:color="auto"/>
            </w:tcBorders>
            <w:hideMark/>
          </w:tcPr>
          <w:p w14:paraId="476962D0" w14:textId="77777777" w:rsidR="002D697D" w:rsidRPr="003B7EA9" w:rsidRDefault="002D697D" w:rsidP="00023BDF">
            <w:pPr>
              <w:keepNext/>
              <w:spacing w:line="240" w:lineRule="auto"/>
              <w:ind w:firstLine="0"/>
              <w:jc w:val="left"/>
              <w:rPr>
                <w:color w:val="000000"/>
                <w:sz w:val="18"/>
                <w:szCs w:val="18"/>
                <w:lang w:eastAsia="en-GB"/>
              </w:rPr>
            </w:pPr>
          </w:p>
        </w:tc>
        <w:tc>
          <w:tcPr>
            <w:tcW w:w="822" w:type="dxa"/>
            <w:gridSpan w:val="4"/>
            <w:vMerge/>
            <w:tcBorders>
              <w:bottom w:val="single" w:sz="4" w:space="0" w:color="auto"/>
            </w:tcBorders>
            <w:hideMark/>
          </w:tcPr>
          <w:p w14:paraId="3100AB51" w14:textId="77777777" w:rsidR="002D697D" w:rsidRPr="003B7EA9" w:rsidRDefault="002D697D" w:rsidP="00023BDF">
            <w:pPr>
              <w:keepNext/>
              <w:spacing w:line="240" w:lineRule="auto"/>
              <w:ind w:firstLine="0"/>
              <w:jc w:val="left"/>
              <w:rPr>
                <w:color w:val="000000"/>
                <w:sz w:val="18"/>
                <w:szCs w:val="18"/>
                <w:lang w:eastAsia="en-GB"/>
              </w:rPr>
            </w:pPr>
          </w:p>
        </w:tc>
        <w:tc>
          <w:tcPr>
            <w:tcW w:w="546" w:type="dxa"/>
            <w:gridSpan w:val="2"/>
            <w:vMerge/>
            <w:tcBorders>
              <w:bottom w:val="single" w:sz="4" w:space="0" w:color="auto"/>
            </w:tcBorders>
            <w:hideMark/>
          </w:tcPr>
          <w:p w14:paraId="01B90F88" w14:textId="77777777" w:rsidR="002D697D" w:rsidRPr="003B7EA9" w:rsidRDefault="002D697D" w:rsidP="00023BDF">
            <w:pPr>
              <w:keepNext/>
              <w:spacing w:line="240" w:lineRule="auto"/>
              <w:ind w:firstLine="0"/>
              <w:jc w:val="left"/>
              <w:rPr>
                <w:color w:val="000000"/>
                <w:sz w:val="18"/>
                <w:szCs w:val="18"/>
                <w:lang w:eastAsia="en-GB"/>
              </w:rPr>
            </w:pPr>
          </w:p>
        </w:tc>
        <w:tc>
          <w:tcPr>
            <w:tcW w:w="822" w:type="dxa"/>
            <w:gridSpan w:val="5"/>
            <w:vMerge/>
            <w:tcBorders>
              <w:bottom w:val="single" w:sz="4" w:space="0" w:color="auto"/>
            </w:tcBorders>
            <w:hideMark/>
          </w:tcPr>
          <w:p w14:paraId="3395845D" w14:textId="77777777" w:rsidR="002D697D" w:rsidRPr="003B7EA9" w:rsidRDefault="002D697D" w:rsidP="00023BDF">
            <w:pPr>
              <w:keepNext/>
              <w:spacing w:line="240" w:lineRule="auto"/>
              <w:ind w:firstLine="0"/>
              <w:jc w:val="left"/>
              <w:rPr>
                <w:color w:val="000000"/>
                <w:sz w:val="18"/>
                <w:szCs w:val="18"/>
                <w:lang w:eastAsia="en-GB"/>
              </w:rPr>
            </w:pPr>
          </w:p>
        </w:tc>
        <w:tc>
          <w:tcPr>
            <w:tcW w:w="548" w:type="dxa"/>
            <w:gridSpan w:val="2"/>
            <w:vMerge/>
            <w:tcBorders>
              <w:bottom w:val="single" w:sz="4" w:space="0" w:color="auto"/>
            </w:tcBorders>
            <w:hideMark/>
          </w:tcPr>
          <w:p w14:paraId="0A03A0DC" w14:textId="77777777" w:rsidR="002D697D" w:rsidRPr="003B7EA9" w:rsidRDefault="002D697D" w:rsidP="00023BDF">
            <w:pPr>
              <w:keepNext/>
              <w:spacing w:line="240" w:lineRule="auto"/>
              <w:ind w:firstLine="0"/>
              <w:jc w:val="left"/>
              <w:rPr>
                <w:color w:val="000000"/>
                <w:sz w:val="18"/>
                <w:szCs w:val="18"/>
                <w:lang w:eastAsia="en-GB"/>
              </w:rPr>
            </w:pPr>
          </w:p>
        </w:tc>
        <w:tc>
          <w:tcPr>
            <w:tcW w:w="822" w:type="dxa"/>
            <w:gridSpan w:val="2"/>
            <w:vMerge/>
            <w:tcBorders>
              <w:bottom w:val="single" w:sz="4" w:space="0" w:color="auto"/>
            </w:tcBorders>
            <w:hideMark/>
          </w:tcPr>
          <w:p w14:paraId="483EBD76" w14:textId="77777777" w:rsidR="002D697D" w:rsidRPr="003B7EA9" w:rsidRDefault="002D697D" w:rsidP="00023BDF">
            <w:pPr>
              <w:keepNext/>
              <w:spacing w:line="240" w:lineRule="auto"/>
              <w:ind w:firstLine="0"/>
              <w:jc w:val="left"/>
              <w:rPr>
                <w:color w:val="000000"/>
                <w:sz w:val="18"/>
                <w:szCs w:val="18"/>
                <w:lang w:eastAsia="en-GB"/>
              </w:rPr>
            </w:pPr>
          </w:p>
        </w:tc>
        <w:tc>
          <w:tcPr>
            <w:tcW w:w="549" w:type="dxa"/>
            <w:gridSpan w:val="3"/>
            <w:vMerge/>
            <w:tcBorders>
              <w:bottom w:val="single" w:sz="4" w:space="0" w:color="auto"/>
            </w:tcBorders>
            <w:hideMark/>
          </w:tcPr>
          <w:p w14:paraId="29F731C8" w14:textId="77777777" w:rsidR="002D697D" w:rsidRPr="003B7EA9" w:rsidRDefault="002D697D" w:rsidP="00023BDF">
            <w:pPr>
              <w:keepNext/>
              <w:spacing w:line="240" w:lineRule="auto"/>
              <w:ind w:firstLine="0"/>
              <w:jc w:val="left"/>
              <w:rPr>
                <w:color w:val="000000"/>
                <w:sz w:val="18"/>
                <w:szCs w:val="18"/>
                <w:lang w:eastAsia="en-GB"/>
              </w:rPr>
            </w:pPr>
          </w:p>
        </w:tc>
      </w:tr>
      <w:tr w:rsidR="002D697D" w:rsidRPr="003B7EA9" w14:paraId="52E2F58D" w14:textId="77777777" w:rsidTr="003E0A2F">
        <w:trPr>
          <w:trHeight w:val="20"/>
        </w:trPr>
        <w:tc>
          <w:tcPr>
            <w:tcW w:w="3279" w:type="dxa"/>
            <w:gridSpan w:val="2"/>
            <w:tcBorders>
              <w:top w:val="single" w:sz="4" w:space="0" w:color="auto"/>
            </w:tcBorders>
            <w:noWrap/>
            <w:hideMark/>
          </w:tcPr>
          <w:p w14:paraId="176E67B7"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Age of HRP (reference: 40-49)</w:t>
            </w:r>
          </w:p>
        </w:tc>
        <w:tc>
          <w:tcPr>
            <w:tcW w:w="1275" w:type="dxa"/>
            <w:gridSpan w:val="2"/>
            <w:tcBorders>
              <w:top w:val="single" w:sz="4" w:space="0" w:color="auto"/>
            </w:tcBorders>
            <w:noWrap/>
            <w:hideMark/>
          </w:tcPr>
          <w:p w14:paraId="018DA75C" w14:textId="77777777" w:rsidR="002D697D" w:rsidRPr="003B7EA9" w:rsidRDefault="002D697D" w:rsidP="00023BDF">
            <w:pPr>
              <w:keepNext/>
              <w:spacing w:line="240" w:lineRule="auto"/>
              <w:ind w:firstLine="0"/>
              <w:jc w:val="center"/>
              <w:rPr>
                <w:color w:val="000000"/>
                <w:sz w:val="18"/>
                <w:szCs w:val="18"/>
                <w:lang w:eastAsia="en-GB"/>
              </w:rPr>
            </w:pPr>
          </w:p>
        </w:tc>
        <w:tc>
          <w:tcPr>
            <w:tcW w:w="262" w:type="dxa"/>
            <w:tcBorders>
              <w:top w:val="single" w:sz="4" w:space="0" w:color="auto"/>
            </w:tcBorders>
            <w:noWrap/>
            <w:hideMark/>
          </w:tcPr>
          <w:p w14:paraId="325A19AA"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tcBorders>
              <w:top w:val="single" w:sz="4" w:space="0" w:color="auto"/>
            </w:tcBorders>
            <w:noWrap/>
            <w:hideMark/>
          </w:tcPr>
          <w:p w14:paraId="45974CCD" w14:textId="77777777" w:rsidR="002D697D" w:rsidRPr="003B7EA9" w:rsidRDefault="002D697D" w:rsidP="00023BDF">
            <w:pPr>
              <w:keepNext/>
              <w:spacing w:line="240" w:lineRule="auto"/>
              <w:ind w:firstLine="0"/>
              <w:jc w:val="center"/>
              <w:rPr>
                <w:color w:val="000000"/>
                <w:sz w:val="18"/>
                <w:szCs w:val="18"/>
                <w:lang w:eastAsia="en-GB"/>
              </w:rPr>
            </w:pPr>
          </w:p>
        </w:tc>
        <w:tc>
          <w:tcPr>
            <w:tcW w:w="549" w:type="dxa"/>
            <w:tcBorders>
              <w:top w:val="single" w:sz="4" w:space="0" w:color="auto"/>
            </w:tcBorders>
            <w:noWrap/>
            <w:hideMark/>
          </w:tcPr>
          <w:p w14:paraId="586A22BC"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4"/>
            <w:tcBorders>
              <w:top w:val="single" w:sz="4" w:space="0" w:color="auto"/>
            </w:tcBorders>
            <w:noWrap/>
            <w:hideMark/>
          </w:tcPr>
          <w:p w14:paraId="7AC368C0" w14:textId="77777777" w:rsidR="002D697D" w:rsidRPr="003B7EA9" w:rsidRDefault="002D697D" w:rsidP="00023BDF">
            <w:pPr>
              <w:keepNext/>
              <w:spacing w:line="240" w:lineRule="auto"/>
              <w:ind w:firstLine="0"/>
              <w:jc w:val="center"/>
              <w:rPr>
                <w:color w:val="000000"/>
                <w:sz w:val="18"/>
                <w:szCs w:val="18"/>
                <w:lang w:eastAsia="en-GB"/>
              </w:rPr>
            </w:pPr>
          </w:p>
        </w:tc>
        <w:tc>
          <w:tcPr>
            <w:tcW w:w="546" w:type="dxa"/>
            <w:gridSpan w:val="2"/>
            <w:tcBorders>
              <w:top w:val="single" w:sz="4" w:space="0" w:color="auto"/>
            </w:tcBorders>
            <w:noWrap/>
            <w:hideMark/>
          </w:tcPr>
          <w:p w14:paraId="35968184"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tcBorders>
              <w:top w:val="single" w:sz="4" w:space="0" w:color="auto"/>
            </w:tcBorders>
            <w:noWrap/>
            <w:hideMark/>
          </w:tcPr>
          <w:p w14:paraId="69F370DA" w14:textId="77777777" w:rsidR="002D697D" w:rsidRPr="003B7EA9" w:rsidRDefault="002D697D" w:rsidP="00023BDF">
            <w:pPr>
              <w:keepNext/>
              <w:spacing w:line="240" w:lineRule="auto"/>
              <w:ind w:firstLine="0"/>
              <w:jc w:val="center"/>
              <w:rPr>
                <w:color w:val="000000"/>
                <w:sz w:val="18"/>
                <w:szCs w:val="18"/>
                <w:lang w:eastAsia="en-GB"/>
              </w:rPr>
            </w:pPr>
          </w:p>
        </w:tc>
        <w:tc>
          <w:tcPr>
            <w:tcW w:w="548" w:type="dxa"/>
            <w:gridSpan w:val="2"/>
            <w:tcBorders>
              <w:top w:val="single" w:sz="4" w:space="0" w:color="auto"/>
            </w:tcBorders>
            <w:noWrap/>
            <w:hideMark/>
          </w:tcPr>
          <w:p w14:paraId="3B3D5B79"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tcBorders>
              <w:top w:val="single" w:sz="4" w:space="0" w:color="auto"/>
            </w:tcBorders>
            <w:noWrap/>
            <w:hideMark/>
          </w:tcPr>
          <w:p w14:paraId="3BEB0999" w14:textId="77777777" w:rsidR="002D697D" w:rsidRPr="003B7EA9" w:rsidRDefault="002D697D" w:rsidP="00023BDF">
            <w:pPr>
              <w:keepNext/>
              <w:spacing w:line="240" w:lineRule="auto"/>
              <w:ind w:firstLine="0"/>
              <w:jc w:val="center"/>
              <w:rPr>
                <w:color w:val="000000"/>
                <w:sz w:val="18"/>
                <w:szCs w:val="18"/>
                <w:lang w:eastAsia="en-GB"/>
              </w:rPr>
            </w:pPr>
          </w:p>
        </w:tc>
        <w:tc>
          <w:tcPr>
            <w:tcW w:w="549" w:type="dxa"/>
            <w:gridSpan w:val="3"/>
            <w:tcBorders>
              <w:top w:val="single" w:sz="4" w:space="0" w:color="auto"/>
            </w:tcBorders>
            <w:noWrap/>
            <w:hideMark/>
          </w:tcPr>
          <w:p w14:paraId="42DC07DA"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7F6AEBC9" w14:textId="77777777" w:rsidTr="003E0A2F">
        <w:trPr>
          <w:trHeight w:val="20"/>
        </w:trPr>
        <w:tc>
          <w:tcPr>
            <w:tcW w:w="264" w:type="dxa"/>
            <w:noWrap/>
            <w:hideMark/>
          </w:tcPr>
          <w:p w14:paraId="67F305CD"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713272AB"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18 or below</w:t>
            </w:r>
          </w:p>
        </w:tc>
        <w:tc>
          <w:tcPr>
            <w:tcW w:w="1275" w:type="dxa"/>
            <w:gridSpan w:val="2"/>
            <w:noWrap/>
            <w:hideMark/>
          </w:tcPr>
          <w:p w14:paraId="37660B3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3.87</w:t>
            </w:r>
          </w:p>
        </w:tc>
        <w:tc>
          <w:tcPr>
            <w:tcW w:w="262" w:type="dxa"/>
            <w:noWrap/>
            <w:hideMark/>
          </w:tcPr>
          <w:p w14:paraId="60C96258"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28CEC59A"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2.75</w:t>
            </w:r>
          </w:p>
        </w:tc>
        <w:tc>
          <w:tcPr>
            <w:tcW w:w="549" w:type="dxa"/>
            <w:noWrap/>
            <w:hideMark/>
          </w:tcPr>
          <w:p w14:paraId="1F7F738C"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4"/>
            <w:noWrap/>
            <w:hideMark/>
          </w:tcPr>
          <w:p w14:paraId="77808A1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1.05</w:t>
            </w:r>
          </w:p>
        </w:tc>
        <w:tc>
          <w:tcPr>
            <w:tcW w:w="546" w:type="dxa"/>
            <w:gridSpan w:val="2"/>
            <w:noWrap/>
            <w:hideMark/>
          </w:tcPr>
          <w:p w14:paraId="193E7218"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noWrap/>
            <w:hideMark/>
          </w:tcPr>
          <w:p w14:paraId="0BABBF3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3.51</w:t>
            </w:r>
          </w:p>
        </w:tc>
        <w:tc>
          <w:tcPr>
            <w:tcW w:w="548" w:type="dxa"/>
            <w:gridSpan w:val="2"/>
            <w:noWrap/>
            <w:hideMark/>
          </w:tcPr>
          <w:p w14:paraId="56D25E51"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5F79270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8.02</w:t>
            </w:r>
          </w:p>
        </w:tc>
        <w:tc>
          <w:tcPr>
            <w:tcW w:w="549" w:type="dxa"/>
            <w:gridSpan w:val="3"/>
            <w:noWrap/>
            <w:hideMark/>
          </w:tcPr>
          <w:p w14:paraId="45DA72E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H</w:t>
            </w:r>
          </w:p>
        </w:tc>
      </w:tr>
      <w:tr w:rsidR="002D697D" w:rsidRPr="003B7EA9" w14:paraId="329FEC99" w14:textId="77777777" w:rsidTr="003E0A2F">
        <w:trPr>
          <w:trHeight w:val="20"/>
        </w:trPr>
        <w:tc>
          <w:tcPr>
            <w:tcW w:w="264" w:type="dxa"/>
            <w:noWrap/>
            <w:hideMark/>
          </w:tcPr>
          <w:p w14:paraId="43E46D83"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2D4A1F38"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19 to 24</w:t>
            </w:r>
          </w:p>
        </w:tc>
        <w:tc>
          <w:tcPr>
            <w:tcW w:w="1275" w:type="dxa"/>
            <w:gridSpan w:val="2"/>
            <w:noWrap/>
            <w:hideMark/>
          </w:tcPr>
          <w:p w14:paraId="0F9C7F0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4.27</w:t>
            </w:r>
          </w:p>
        </w:tc>
        <w:tc>
          <w:tcPr>
            <w:tcW w:w="262" w:type="dxa"/>
            <w:noWrap/>
            <w:hideMark/>
          </w:tcPr>
          <w:p w14:paraId="01C15D80"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722CAEF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2.33</w:t>
            </w:r>
          </w:p>
        </w:tc>
        <w:tc>
          <w:tcPr>
            <w:tcW w:w="549" w:type="dxa"/>
            <w:noWrap/>
            <w:hideMark/>
          </w:tcPr>
          <w:p w14:paraId="374063A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4"/>
            <w:noWrap/>
            <w:hideMark/>
          </w:tcPr>
          <w:p w14:paraId="3C3B605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3.89</w:t>
            </w:r>
          </w:p>
        </w:tc>
        <w:tc>
          <w:tcPr>
            <w:tcW w:w="546" w:type="dxa"/>
            <w:gridSpan w:val="2"/>
            <w:noWrap/>
            <w:hideMark/>
          </w:tcPr>
          <w:p w14:paraId="4CECF587"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noWrap/>
            <w:hideMark/>
          </w:tcPr>
          <w:p w14:paraId="39940DCA"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5.10</w:t>
            </w:r>
          </w:p>
        </w:tc>
        <w:tc>
          <w:tcPr>
            <w:tcW w:w="548" w:type="dxa"/>
            <w:gridSpan w:val="2"/>
            <w:noWrap/>
            <w:hideMark/>
          </w:tcPr>
          <w:p w14:paraId="7FE1DEBD"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172AE921"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4.34</w:t>
            </w:r>
          </w:p>
        </w:tc>
        <w:tc>
          <w:tcPr>
            <w:tcW w:w="549" w:type="dxa"/>
            <w:gridSpan w:val="3"/>
            <w:noWrap/>
            <w:hideMark/>
          </w:tcPr>
          <w:p w14:paraId="643E6330"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5653D9B4" w14:textId="77777777" w:rsidTr="003E0A2F">
        <w:trPr>
          <w:trHeight w:val="20"/>
        </w:trPr>
        <w:tc>
          <w:tcPr>
            <w:tcW w:w="264" w:type="dxa"/>
            <w:noWrap/>
            <w:hideMark/>
          </w:tcPr>
          <w:p w14:paraId="3C447FAD"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2AE2DE60"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25 to 29</w:t>
            </w:r>
          </w:p>
        </w:tc>
        <w:tc>
          <w:tcPr>
            <w:tcW w:w="1275" w:type="dxa"/>
            <w:gridSpan w:val="2"/>
            <w:noWrap/>
            <w:hideMark/>
          </w:tcPr>
          <w:p w14:paraId="5C79CA2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2.18</w:t>
            </w:r>
          </w:p>
        </w:tc>
        <w:tc>
          <w:tcPr>
            <w:tcW w:w="262" w:type="dxa"/>
            <w:noWrap/>
            <w:hideMark/>
          </w:tcPr>
          <w:p w14:paraId="474C8292"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5D39FD6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1.54</w:t>
            </w:r>
          </w:p>
        </w:tc>
        <w:tc>
          <w:tcPr>
            <w:tcW w:w="549" w:type="dxa"/>
            <w:noWrap/>
            <w:hideMark/>
          </w:tcPr>
          <w:p w14:paraId="14BBDEAC"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4"/>
            <w:noWrap/>
            <w:hideMark/>
          </w:tcPr>
          <w:p w14:paraId="065A161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2.38</w:t>
            </w:r>
          </w:p>
        </w:tc>
        <w:tc>
          <w:tcPr>
            <w:tcW w:w="546" w:type="dxa"/>
            <w:gridSpan w:val="2"/>
            <w:noWrap/>
            <w:hideMark/>
          </w:tcPr>
          <w:p w14:paraId="490D831C"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noWrap/>
            <w:hideMark/>
          </w:tcPr>
          <w:p w14:paraId="266BA97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2.46</w:t>
            </w:r>
          </w:p>
        </w:tc>
        <w:tc>
          <w:tcPr>
            <w:tcW w:w="548" w:type="dxa"/>
            <w:gridSpan w:val="2"/>
            <w:noWrap/>
            <w:hideMark/>
          </w:tcPr>
          <w:p w14:paraId="0B50B0A5"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319553D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2.44</w:t>
            </w:r>
          </w:p>
        </w:tc>
        <w:tc>
          <w:tcPr>
            <w:tcW w:w="549" w:type="dxa"/>
            <w:gridSpan w:val="3"/>
            <w:noWrap/>
            <w:hideMark/>
          </w:tcPr>
          <w:p w14:paraId="48BDB419"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07E80D5A" w14:textId="77777777" w:rsidTr="003E0A2F">
        <w:trPr>
          <w:trHeight w:val="20"/>
        </w:trPr>
        <w:tc>
          <w:tcPr>
            <w:tcW w:w="264" w:type="dxa"/>
            <w:noWrap/>
            <w:hideMark/>
          </w:tcPr>
          <w:p w14:paraId="69D3B856"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7A53B54C"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30 to 39</w:t>
            </w:r>
          </w:p>
        </w:tc>
        <w:tc>
          <w:tcPr>
            <w:tcW w:w="1275" w:type="dxa"/>
            <w:gridSpan w:val="2"/>
            <w:noWrap/>
            <w:hideMark/>
          </w:tcPr>
          <w:p w14:paraId="785F20B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1.48</w:t>
            </w:r>
          </w:p>
        </w:tc>
        <w:tc>
          <w:tcPr>
            <w:tcW w:w="262" w:type="dxa"/>
            <w:noWrap/>
            <w:hideMark/>
          </w:tcPr>
          <w:p w14:paraId="7475F858"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6CC5444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1.14</w:t>
            </w:r>
          </w:p>
        </w:tc>
        <w:tc>
          <w:tcPr>
            <w:tcW w:w="549" w:type="dxa"/>
            <w:noWrap/>
            <w:hideMark/>
          </w:tcPr>
          <w:p w14:paraId="66D9187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4"/>
            <w:noWrap/>
            <w:hideMark/>
          </w:tcPr>
          <w:p w14:paraId="318C110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1.48</w:t>
            </w:r>
          </w:p>
        </w:tc>
        <w:tc>
          <w:tcPr>
            <w:tcW w:w="546" w:type="dxa"/>
            <w:gridSpan w:val="2"/>
            <w:noWrap/>
            <w:hideMark/>
          </w:tcPr>
          <w:p w14:paraId="657703AD"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noWrap/>
            <w:hideMark/>
          </w:tcPr>
          <w:p w14:paraId="21D4E987"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1.52</w:t>
            </w:r>
          </w:p>
        </w:tc>
        <w:tc>
          <w:tcPr>
            <w:tcW w:w="548" w:type="dxa"/>
            <w:gridSpan w:val="2"/>
            <w:noWrap/>
            <w:hideMark/>
          </w:tcPr>
          <w:p w14:paraId="000FA62E"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7366E6C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1.59</w:t>
            </w:r>
          </w:p>
        </w:tc>
        <w:tc>
          <w:tcPr>
            <w:tcW w:w="549" w:type="dxa"/>
            <w:gridSpan w:val="3"/>
            <w:noWrap/>
            <w:hideMark/>
          </w:tcPr>
          <w:p w14:paraId="4DB09013"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607C4600" w14:textId="77777777" w:rsidTr="003E0A2F">
        <w:trPr>
          <w:trHeight w:val="20"/>
        </w:trPr>
        <w:tc>
          <w:tcPr>
            <w:tcW w:w="264" w:type="dxa"/>
            <w:noWrap/>
            <w:hideMark/>
          </w:tcPr>
          <w:p w14:paraId="6C54E905"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107C4EEB"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50 to 59</w:t>
            </w:r>
          </w:p>
        </w:tc>
        <w:tc>
          <w:tcPr>
            <w:tcW w:w="1275" w:type="dxa"/>
            <w:gridSpan w:val="2"/>
            <w:noWrap/>
            <w:hideMark/>
          </w:tcPr>
          <w:p w14:paraId="0BEC48A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0.78</w:t>
            </w:r>
          </w:p>
        </w:tc>
        <w:tc>
          <w:tcPr>
            <w:tcW w:w="262" w:type="dxa"/>
            <w:noWrap/>
            <w:hideMark/>
          </w:tcPr>
          <w:p w14:paraId="02AB890F"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09B5B0E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0.80</w:t>
            </w:r>
          </w:p>
        </w:tc>
        <w:tc>
          <w:tcPr>
            <w:tcW w:w="549" w:type="dxa"/>
            <w:noWrap/>
            <w:hideMark/>
          </w:tcPr>
          <w:p w14:paraId="1A4F9CEE"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4"/>
            <w:noWrap/>
            <w:hideMark/>
          </w:tcPr>
          <w:p w14:paraId="7B44243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0.73</w:t>
            </w:r>
          </w:p>
        </w:tc>
        <w:tc>
          <w:tcPr>
            <w:tcW w:w="546" w:type="dxa"/>
            <w:gridSpan w:val="2"/>
            <w:noWrap/>
            <w:hideMark/>
          </w:tcPr>
          <w:p w14:paraId="002EA47F"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noWrap/>
            <w:hideMark/>
          </w:tcPr>
          <w:p w14:paraId="186948B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0.66</w:t>
            </w:r>
          </w:p>
        </w:tc>
        <w:tc>
          <w:tcPr>
            <w:tcW w:w="548" w:type="dxa"/>
            <w:gridSpan w:val="2"/>
            <w:noWrap/>
            <w:hideMark/>
          </w:tcPr>
          <w:p w14:paraId="1A17979C"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161FF89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0.86</w:t>
            </w:r>
          </w:p>
        </w:tc>
        <w:tc>
          <w:tcPr>
            <w:tcW w:w="549" w:type="dxa"/>
            <w:gridSpan w:val="3"/>
            <w:noWrap/>
            <w:hideMark/>
          </w:tcPr>
          <w:p w14:paraId="638FCE36"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69B013BA" w14:textId="77777777" w:rsidTr="003E0A2F">
        <w:trPr>
          <w:trHeight w:val="20"/>
        </w:trPr>
        <w:tc>
          <w:tcPr>
            <w:tcW w:w="264" w:type="dxa"/>
            <w:noWrap/>
            <w:hideMark/>
          </w:tcPr>
          <w:p w14:paraId="1A965973"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14F25664"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60 to 74</w:t>
            </w:r>
          </w:p>
        </w:tc>
        <w:tc>
          <w:tcPr>
            <w:tcW w:w="1275" w:type="dxa"/>
            <w:gridSpan w:val="2"/>
            <w:noWrap/>
            <w:hideMark/>
          </w:tcPr>
          <w:p w14:paraId="2FE8E3FD"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0.66</w:t>
            </w:r>
          </w:p>
        </w:tc>
        <w:tc>
          <w:tcPr>
            <w:tcW w:w="262" w:type="dxa"/>
            <w:noWrap/>
            <w:hideMark/>
          </w:tcPr>
          <w:p w14:paraId="147F3A74"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6FF229F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0.55</w:t>
            </w:r>
          </w:p>
        </w:tc>
        <w:tc>
          <w:tcPr>
            <w:tcW w:w="549" w:type="dxa"/>
            <w:noWrap/>
            <w:hideMark/>
          </w:tcPr>
          <w:p w14:paraId="383FC610"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4"/>
            <w:noWrap/>
            <w:hideMark/>
          </w:tcPr>
          <w:p w14:paraId="019E209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0.67</w:t>
            </w:r>
          </w:p>
        </w:tc>
        <w:tc>
          <w:tcPr>
            <w:tcW w:w="546" w:type="dxa"/>
            <w:gridSpan w:val="2"/>
            <w:noWrap/>
            <w:hideMark/>
          </w:tcPr>
          <w:p w14:paraId="2A5607D8"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noWrap/>
            <w:hideMark/>
          </w:tcPr>
          <w:p w14:paraId="4177B70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0.54</w:t>
            </w:r>
          </w:p>
        </w:tc>
        <w:tc>
          <w:tcPr>
            <w:tcW w:w="548" w:type="dxa"/>
            <w:gridSpan w:val="2"/>
            <w:noWrap/>
            <w:hideMark/>
          </w:tcPr>
          <w:p w14:paraId="28B52015"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479C9F0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0.80</w:t>
            </w:r>
          </w:p>
        </w:tc>
        <w:tc>
          <w:tcPr>
            <w:tcW w:w="549" w:type="dxa"/>
            <w:gridSpan w:val="3"/>
            <w:noWrap/>
            <w:hideMark/>
          </w:tcPr>
          <w:p w14:paraId="5E8D510A"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449F0316" w14:textId="77777777" w:rsidTr="003E0A2F">
        <w:trPr>
          <w:trHeight w:val="20"/>
        </w:trPr>
        <w:tc>
          <w:tcPr>
            <w:tcW w:w="264" w:type="dxa"/>
            <w:tcBorders>
              <w:bottom w:val="single" w:sz="4" w:space="0" w:color="auto"/>
            </w:tcBorders>
            <w:noWrap/>
            <w:hideMark/>
          </w:tcPr>
          <w:p w14:paraId="22F1A37C"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 </w:t>
            </w:r>
          </w:p>
        </w:tc>
        <w:tc>
          <w:tcPr>
            <w:tcW w:w="3015" w:type="dxa"/>
            <w:tcBorders>
              <w:bottom w:val="single" w:sz="4" w:space="0" w:color="auto"/>
            </w:tcBorders>
            <w:noWrap/>
            <w:hideMark/>
          </w:tcPr>
          <w:p w14:paraId="2B198884"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75 and over</w:t>
            </w:r>
          </w:p>
        </w:tc>
        <w:tc>
          <w:tcPr>
            <w:tcW w:w="1275" w:type="dxa"/>
            <w:gridSpan w:val="2"/>
            <w:tcBorders>
              <w:bottom w:val="single" w:sz="4" w:space="0" w:color="auto"/>
            </w:tcBorders>
            <w:noWrap/>
            <w:hideMark/>
          </w:tcPr>
          <w:p w14:paraId="0D96F9D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0.57</w:t>
            </w:r>
          </w:p>
        </w:tc>
        <w:tc>
          <w:tcPr>
            <w:tcW w:w="262" w:type="dxa"/>
            <w:tcBorders>
              <w:bottom w:val="single" w:sz="4" w:space="0" w:color="auto"/>
            </w:tcBorders>
            <w:noWrap/>
            <w:hideMark/>
          </w:tcPr>
          <w:p w14:paraId="73FB3DF6"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tcBorders>
              <w:bottom w:val="single" w:sz="4" w:space="0" w:color="auto"/>
            </w:tcBorders>
            <w:noWrap/>
            <w:hideMark/>
          </w:tcPr>
          <w:p w14:paraId="0885018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0.80</w:t>
            </w:r>
          </w:p>
        </w:tc>
        <w:tc>
          <w:tcPr>
            <w:tcW w:w="549" w:type="dxa"/>
            <w:tcBorders>
              <w:bottom w:val="single" w:sz="4" w:space="0" w:color="auto"/>
            </w:tcBorders>
            <w:noWrap/>
            <w:hideMark/>
          </w:tcPr>
          <w:p w14:paraId="7199495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c>
          <w:tcPr>
            <w:tcW w:w="822" w:type="dxa"/>
            <w:gridSpan w:val="4"/>
            <w:tcBorders>
              <w:bottom w:val="single" w:sz="4" w:space="0" w:color="auto"/>
            </w:tcBorders>
            <w:noWrap/>
            <w:hideMark/>
          </w:tcPr>
          <w:p w14:paraId="20A0C8D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0.65</w:t>
            </w:r>
          </w:p>
        </w:tc>
        <w:tc>
          <w:tcPr>
            <w:tcW w:w="546" w:type="dxa"/>
            <w:gridSpan w:val="2"/>
            <w:tcBorders>
              <w:bottom w:val="single" w:sz="4" w:space="0" w:color="auto"/>
            </w:tcBorders>
            <w:noWrap/>
            <w:hideMark/>
          </w:tcPr>
          <w:p w14:paraId="53456ED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c>
          <w:tcPr>
            <w:tcW w:w="822" w:type="dxa"/>
            <w:gridSpan w:val="5"/>
            <w:tcBorders>
              <w:bottom w:val="single" w:sz="4" w:space="0" w:color="auto"/>
            </w:tcBorders>
            <w:noWrap/>
            <w:hideMark/>
          </w:tcPr>
          <w:p w14:paraId="29BB0C2C"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0.36</w:t>
            </w:r>
          </w:p>
        </w:tc>
        <w:tc>
          <w:tcPr>
            <w:tcW w:w="548" w:type="dxa"/>
            <w:gridSpan w:val="2"/>
            <w:tcBorders>
              <w:bottom w:val="single" w:sz="4" w:space="0" w:color="auto"/>
            </w:tcBorders>
            <w:noWrap/>
            <w:hideMark/>
          </w:tcPr>
          <w:p w14:paraId="07CEBF71"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2"/>
            <w:tcBorders>
              <w:bottom w:val="single" w:sz="4" w:space="0" w:color="auto"/>
            </w:tcBorders>
            <w:noWrap/>
            <w:hideMark/>
          </w:tcPr>
          <w:p w14:paraId="21930228"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0.58</w:t>
            </w:r>
          </w:p>
        </w:tc>
        <w:tc>
          <w:tcPr>
            <w:tcW w:w="549" w:type="dxa"/>
            <w:gridSpan w:val="3"/>
            <w:tcBorders>
              <w:bottom w:val="single" w:sz="4" w:space="0" w:color="auto"/>
            </w:tcBorders>
            <w:noWrap/>
            <w:hideMark/>
          </w:tcPr>
          <w:p w14:paraId="1FC6838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r>
      <w:tr w:rsidR="002D697D" w:rsidRPr="003B7EA9" w14:paraId="6FF74AFF" w14:textId="77777777" w:rsidTr="003E0A2F">
        <w:trPr>
          <w:trHeight w:val="20"/>
        </w:trPr>
        <w:tc>
          <w:tcPr>
            <w:tcW w:w="3279" w:type="dxa"/>
            <w:gridSpan w:val="2"/>
            <w:tcBorders>
              <w:top w:val="single" w:sz="4" w:space="0" w:color="auto"/>
            </w:tcBorders>
            <w:noWrap/>
            <w:hideMark/>
          </w:tcPr>
          <w:p w14:paraId="23462B60"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Tenure (reference: owned with mortgage)</w:t>
            </w:r>
          </w:p>
        </w:tc>
        <w:tc>
          <w:tcPr>
            <w:tcW w:w="1275" w:type="dxa"/>
            <w:gridSpan w:val="2"/>
            <w:tcBorders>
              <w:top w:val="single" w:sz="4" w:space="0" w:color="auto"/>
            </w:tcBorders>
            <w:noWrap/>
            <w:hideMark/>
          </w:tcPr>
          <w:p w14:paraId="55FAC72F" w14:textId="77777777" w:rsidR="002D697D" w:rsidRPr="003B7EA9" w:rsidRDefault="002D697D" w:rsidP="00023BDF">
            <w:pPr>
              <w:keepNext/>
              <w:spacing w:line="240" w:lineRule="auto"/>
              <w:ind w:firstLine="0"/>
              <w:jc w:val="center"/>
              <w:rPr>
                <w:color w:val="000000"/>
                <w:sz w:val="18"/>
                <w:szCs w:val="18"/>
                <w:lang w:eastAsia="en-GB"/>
              </w:rPr>
            </w:pPr>
          </w:p>
        </w:tc>
        <w:tc>
          <w:tcPr>
            <w:tcW w:w="262" w:type="dxa"/>
            <w:tcBorders>
              <w:top w:val="single" w:sz="4" w:space="0" w:color="auto"/>
            </w:tcBorders>
            <w:noWrap/>
            <w:hideMark/>
          </w:tcPr>
          <w:p w14:paraId="10B83097"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tcBorders>
              <w:top w:val="single" w:sz="4" w:space="0" w:color="auto"/>
            </w:tcBorders>
            <w:noWrap/>
            <w:hideMark/>
          </w:tcPr>
          <w:p w14:paraId="052CD485" w14:textId="77777777" w:rsidR="002D697D" w:rsidRPr="003B7EA9" w:rsidRDefault="002D697D" w:rsidP="00023BDF">
            <w:pPr>
              <w:keepNext/>
              <w:spacing w:line="240" w:lineRule="auto"/>
              <w:ind w:firstLine="0"/>
              <w:jc w:val="center"/>
              <w:rPr>
                <w:color w:val="000000"/>
                <w:sz w:val="18"/>
                <w:szCs w:val="18"/>
                <w:lang w:eastAsia="en-GB"/>
              </w:rPr>
            </w:pPr>
          </w:p>
        </w:tc>
        <w:tc>
          <w:tcPr>
            <w:tcW w:w="549" w:type="dxa"/>
            <w:tcBorders>
              <w:top w:val="single" w:sz="4" w:space="0" w:color="auto"/>
            </w:tcBorders>
            <w:noWrap/>
            <w:hideMark/>
          </w:tcPr>
          <w:p w14:paraId="23E1A69E"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4"/>
            <w:tcBorders>
              <w:top w:val="single" w:sz="4" w:space="0" w:color="auto"/>
            </w:tcBorders>
            <w:noWrap/>
            <w:hideMark/>
          </w:tcPr>
          <w:p w14:paraId="22C1CCFF" w14:textId="77777777" w:rsidR="002D697D" w:rsidRPr="003B7EA9" w:rsidRDefault="002D697D" w:rsidP="00023BDF">
            <w:pPr>
              <w:keepNext/>
              <w:spacing w:line="240" w:lineRule="auto"/>
              <w:ind w:firstLine="0"/>
              <w:jc w:val="center"/>
              <w:rPr>
                <w:color w:val="000000"/>
                <w:sz w:val="18"/>
                <w:szCs w:val="18"/>
                <w:lang w:eastAsia="en-GB"/>
              </w:rPr>
            </w:pPr>
          </w:p>
        </w:tc>
        <w:tc>
          <w:tcPr>
            <w:tcW w:w="546" w:type="dxa"/>
            <w:gridSpan w:val="2"/>
            <w:tcBorders>
              <w:top w:val="single" w:sz="4" w:space="0" w:color="auto"/>
            </w:tcBorders>
            <w:noWrap/>
            <w:hideMark/>
          </w:tcPr>
          <w:p w14:paraId="7FE2250E"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tcBorders>
              <w:top w:val="single" w:sz="4" w:space="0" w:color="auto"/>
            </w:tcBorders>
            <w:noWrap/>
            <w:hideMark/>
          </w:tcPr>
          <w:p w14:paraId="21B482CC" w14:textId="77777777" w:rsidR="002D697D" w:rsidRPr="003B7EA9" w:rsidRDefault="002D697D" w:rsidP="00023BDF">
            <w:pPr>
              <w:keepNext/>
              <w:spacing w:line="240" w:lineRule="auto"/>
              <w:ind w:firstLine="0"/>
              <w:jc w:val="center"/>
              <w:rPr>
                <w:color w:val="000000"/>
                <w:sz w:val="18"/>
                <w:szCs w:val="18"/>
                <w:lang w:eastAsia="en-GB"/>
              </w:rPr>
            </w:pPr>
          </w:p>
        </w:tc>
        <w:tc>
          <w:tcPr>
            <w:tcW w:w="548" w:type="dxa"/>
            <w:gridSpan w:val="2"/>
            <w:tcBorders>
              <w:top w:val="single" w:sz="4" w:space="0" w:color="auto"/>
            </w:tcBorders>
            <w:noWrap/>
            <w:hideMark/>
          </w:tcPr>
          <w:p w14:paraId="250A9790"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tcBorders>
              <w:top w:val="single" w:sz="4" w:space="0" w:color="auto"/>
            </w:tcBorders>
            <w:noWrap/>
            <w:hideMark/>
          </w:tcPr>
          <w:p w14:paraId="226545C8" w14:textId="77777777" w:rsidR="002D697D" w:rsidRPr="003B7EA9" w:rsidRDefault="002D697D" w:rsidP="00023BDF">
            <w:pPr>
              <w:keepNext/>
              <w:spacing w:line="240" w:lineRule="auto"/>
              <w:ind w:firstLine="0"/>
              <w:jc w:val="center"/>
              <w:rPr>
                <w:color w:val="000000"/>
                <w:sz w:val="18"/>
                <w:szCs w:val="18"/>
                <w:lang w:eastAsia="en-GB"/>
              </w:rPr>
            </w:pPr>
          </w:p>
        </w:tc>
        <w:tc>
          <w:tcPr>
            <w:tcW w:w="549" w:type="dxa"/>
            <w:gridSpan w:val="3"/>
            <w:tcBorders>
              <w:top w:val="single" w:sz="4" w:space="0" w:color="auto"/>
            </w:tcBorders>
            <w:noWrap/>
            <w:hideMark/>
          </w:tcPr>
          <w:p w14:paraId="2232D4A9"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416E95FE" w14:textId="77777777" w:rsidTr="003E0A2F">
        <w:trPr>
          <w:trHeight w:val="20"/>
        </w:trPr>
        <w:tc>
          <w:tcPr>
            <w:tcW w:w="264" w:type="dxa"/>
            <w:noWrap/>
            <w:hideMark/>
          </w:tcPr>
          <w:p w14:paraId="7D04FF96"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43CE0D5C"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owned outright</w:t>
            </w:r>
          </w:p>
        </w:tc>
        <w:tc>
          <w:tcPr>
            <w:tcW w:w="1275" w:type="dxa"/>
            <w:gridSpan w:val="2"/>
            <w:noWrap/>
            <w:hideMark/>
          </w:tcPr>
          <w:p w14:paraId="52E3639A"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1.02</w:t>
            </w:r>
          </w:p>
        </w:tc>
        <w:tc>
          <w:tcPr>
            <w:tcW w:w="262" w:type="dxa"/>
            <w:noWrap/>
            <w:hideMark/>
          </w:tcPr>
          <w:p w14:paraId="7870FB56"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2166FDC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0.96</w:t>
            </w:r>
          </w:p>
        </w:tc>
        <w:tc>
          <w:tcPr>
            <w:tcW w:w="549" w:type="dxa"/>
            <w:noWrap/>
            <w:hideMark/>
          </w:tcPr>
          <w:p w14:paraId="072214DC"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4"/>
            <w:noWrap/>
            <w:hideMark/>
          </w:tcPr>
          <w:p w14:paraId="4186E86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0.76</w:t>
            </w:r>
          </w:p>
        </w:tc>
        <w:tc>
          <w:tcPr>
            <w:tcW w:w="546" w:type="dxa"/>
            <w:gridSpan w:val="2"/>
            <w:noWrap/>
            <w:hideMark/>
          </w:tcPr>
          <w:p w14:paraId="6F8F99C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noWrap/>
            <w:hideMark/>
          </w:tcPr>
          <w:p w14:paraId="730A5A2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0.92</w:t>
            </w:r>
          </w:p>
        </w:tc>
        <w:tc>
          <w:tcPr>
            <w:tcW w:w="548" w:type="dxa"/>
            <w:gridSpan w:val="2"/>
            <w:noWrap/>
            <w:hideMark/>
          </w:tcPr>
          <w:p w14:paraId="6F3075BC"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31218DB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0.67</w:t>
            </w:r>
          </w:p>
        </w:tc>
        <w:tc>
          <w:tcPr>
            <w:tcW w:w="549" w:type="dxa"/>
            <w:gridSpan w:val="3"/>
            <w:noWrap/>
            <w:hideMark/>
          </w:tcPr>
          <w:p w14:paraId="6F47101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r>
      <w:tr w:rsidR="002D697D" w:rsidRPr="003B7EA9" w14:paraId="3D09C571" w14:textId="77777777" w:rsidTr="003E0A2F">
        <w:trPr>
          <w:trHeight w:val="20"/>
        </w:trPr>
        <w:tc>
          <w:tcPr>
            <w:tcW w:w="264" w:type="dxa"/>
            <w:noWrap/>
            <w:hideMark/>
          </w:tcPr>
          <w:p w14:paraId="4A7D0112"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389EFA8A"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council tenant</w:t>
            </w:r>
          </w:p>
        </w:tc>
        <w:tc>
          <w:tcPr>
            <w:tcW w:w="1275" w:type="dxa"/>
            <w:gridSpan w:val="2"/>
            <w:noWrap/>
            <w:hideMark/>
          </w:tcPr>
          <w:p w14:paraId="45FE424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1.50</w:t>
            </w:r>
          </w:p>
        </w:tc>
        <w:tc>
          <w:tcPr>
            <w:tcW w:w="262" w:type="dxa"/>
            <w:noWrap/>
            <w:hideMark/>
          </w:tcPr>
          <w:p w14:paraId="46421FFF"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71D250ED"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1.32</w:t>
            </w:r>
          </w:p>
        </w:tc>
        <w:tc>
          <w:tcPr>
            <w:tcW w:w="549" w:type="dxa"/>
            <w:noWrap/>
            <w:hideMark/>
          </w:tcPr>
          <w:p w14:paraId="2C778564"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4"/>
            <w:noWrap/>
            <w:hideMark/>
          </w:tcPr>
          <w:p w14:paraId="0045196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1.25</w:t>
            </w:r>
          </w:p>
        </w:tc>
        <w:tc>
          <w:tcPr>
            <w:tcW w:w="546" w:type="dxa"/>
            <w:gridSpan w:val="2"/>
            <w:noWrap/>
            <w:hideMark/>
          </w:tcPr>
          <w:p w14:paraId="75EB861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noWrap/>
            <w:hideMark/>
          </w:tcPr>
          <w:p w14:paraId="6783F0C1"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1.17</w:t>
            </w:r>
          </w:p>
        </w:tc>
        <w:tc>
          <w:tcPr>
            <w:tcW w:w="548" w:type="dxa"/>
            <w:gridSpan w:val="2"/>
            <w:noWrap/>
            <w:hideMark/>
          </w:tcPr>
          <w:p w14:paraId="4BB80071"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6CF5D13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1.65</w:t>
            </w:r>
          </w:p>
        </w:tc>
        <w:tc>
          <w:tcPr>
            <w:tcW w:w="549" w:type="dxa"/>
            <w:gridSpan w:val="3"/>
            <w:noWrap/>
            <w:hideMark/>
          </w:tcPr>
          <w:p w14:paraId="2D67B625"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3F07A5C7" w14:textId="77777777" w:rsidTr="003E0A2F">
        <w:trPr>
          <w:trHeight w:val="20"/>
        </w:trPr>
        <w:tc>
          <w:tcPr>
            <w:tcW w:w="264" w:type="dxa"/>
            <w:noWrap/>
            <w:hideMark/>
          </w:tcPr>
          <w:p w14:paraId="3AE84FB3"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7D466316"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RSL, shared ownership, or free</w:t>
            </w:r>
          </w:p>
        </w:tc>
        <w:tc>
          <w:tcPr>
            <w:tcW w:w="1275" w:type="dxa"/>
            <w:gridSpan w:val="2"/>
            <w:noWrap/>
            <w:hideMark/>
          </w:tcPr>
          <w:p w14:paraId="105433C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1.83</w:t>
            </w:r>
          </w:p>
        </w:tc>
        <w:tc>
          <w:tcPr>
            <w:tcW w:w="262" w:type="dxa"/>
            <w:noWrap/>
            <w:hideMark/>
          </w:tcPr>
          <w:p w14:paraId="0952818E"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3D40E387"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1.53</w:t>
            </w:r>
          </w:p>
        </w:tc>
        <w:tc>
          <w:tcPr>
            <w:tcW w:w="549" w:type="dxa"/>
            <w:noWrap/>
            <w:hideMark/>
          </w:tcPr>
          <w:p w14:paraId="7D657BB2"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4"/>
            <w:noWrap/>
            <w:hideMark/>
          </w:tcPr>
          <w:p w14:paraId="39474AB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1.34</w:t>
            </w:r>
          </w:p>
        </w:tc>
        <w:tc>
          <w:tcPr>
            <w:tcW w:w="546" w:type="dxa"/>
            <w:gridSpan w:val="2"/>
            <w:noWrap/>
            <w:hideMark/>
          </w:tcPr>
          <w:p w14:paraId="7F09E2E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noWrap/>
            <w:hideMark/>
          </w:tcPr>
          <w:p w14:paraId="3953DB38"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1.95</w:t>
            </w:r>
          </w:p>
        </w:tc>
        <w:tc>
          <w:tcPr>
            <w:tcW w:w="548" w:type="dxa"/>
            <w:gridSpan w:val="2"/>
            <w:noWrap/>
            <w:hideMark/>
          </w:tcPr>
          <w:p w14:paraId="610DB880"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666BF97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1.80</w:t>
            </w:r>
          </w:p>
        </w:tc>
        <w:tc>
          <w:tcPr>
            <w:tcW w:w="549" w:type="dxa"/>
            <w:gridSpan w:val="3"/>
            <w:noWrap/>
            <w:hideMark/>
          </w:tcPr>
          <w:p w14:paraId="574D2FF4"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3FD3FD1F" w14:textId="77777777" w:rsidTr="003E0A2F">
        <w:trPr>
          <w:trHeight w:val="20"/>
        </w:trPr>
        <w:tc>
          <w:tcPr>
            <w:tcW w:w="264" w:type="dxa"/>
            <w:noWrap/>
            <w:hideMark/>
          </w:tcPr>
          <w:p w14:paraId="236F9C16"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0BC3B4D6"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private landlord</w:t>
            </w:r>
          </w:p>
        </w:tc>
        <w:tc>
          <w:tcPr>
            <w:tcW w:w="1275" w:type="dxa"/>
            <w:gridSpan w:val="2"/>
            <w:noWrap/>
            <w:hideMark/>
          </w:tcPr>
          <w:p w14:paraId="6DFD3C1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4.88</w:t>
            </w:r>
          </w:p>
        </w:tc>
        <w:tc>
          <w:tcPr>
            <w:tcW w:w="262" w:type="dxa"/>
            <w:noWrap/>
            <w:hideMark/>
          </w:tcPr>
          <w:p w14:paraId="26F77A6D"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7F207E4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2.59</w:t>
            </w:r>
          </w:p>
        </w:tc>
        <w:tc>
          <w:tcPr>
            <w:tcW w:w="549" w:type="dxa"/>
            <w:noWrap/>
            <w:hideMark/>
          </w:tcPr>
          <w:p w14:paraId="1C99BCC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4"/>
            <w:noWrap/>
            <w:hideMark/>
          </w:tcPr>
          <w:p w14:paraId="50EC7E67"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1.90</w:t>
            </w:r>
          </w:p>
        </w:tc>
        <w:tc>
          <w:tcPr>
            <w:tcW w:w="546" w:type="dxa"/>
            <w:gridSpan w:val="2"/>
            <w:noWrap/>
            <w:hideMark/>
          </w:tcPr>
          <w:p w14:paraId="1BBA1A4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noWrap/>
            <w:hideMark/>
          </w:tcPr>
          <w:p w14:paraId="4D8EB5A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3.29</w:t>
            </w:r>
          </w:p>
        </w:tc>
        <w:tc>
          <w:tcPr>
            <w:tcW w:w="548" w:type="dxa"/>
            <w:gridSpan w:val="2"/>
            <w:noWrap/>
            <w:hideMark/>
          </w:tcPr>
          <w:p w14:paraId="76DB0F9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2"/>
            <w:noWrap/>
            <w:hideMark/>
          </w:tcPr>
          <w:p w14:paraId="4CF325B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3.64</w:t>
            </w:r>
          </w:p>
        </w:tc>
        <w:tc>
          <w:tcPr>
            <w:tcW w:w="549" w:type="dxa"/>
            <w:gridSpan w:val="3"/>
            <w:noWrap/>
            <w:hideMark/>
          </w:tcPr>
          <w:p w14:paraId="26F9FCE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r>
      <w:tr w:rsidR="002D697D" w:rsidRPr="003B7EA9" w14:paraId="01851FFA" w14:textId="77777777" w:rsidTr="003E0A2F">
        <w:trPr>
          <w:trHeight w:val="20"/>
        </w:trPr>
        <w:tc>
          <w:tcPr>
            <w:tcW w:w="264" w:type="dxa"/>
            <w:noWrap/>
            <w:hideMark/>
          </w:tcPr>
          <w:p w14:paraId="42A27583"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6D8307F7"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other household tenures</w:t>
            </w:r>
          </w:p>
        </w:tc>
        <w:tc>
          <w:tcPr>
            <w:tcW w:w="1275" w:type="dxa"/>
            <w:gridSpan w:val="2"/>
            <w:noWrap/>
            <w:hideMark/>
          </w:tcPr>
          <w:p w14:paraId="56D585B7"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3.25</w:t>
            </w:r>
          </w:p>
        </w:tc>
        <w:tc>
          <w:tcPr>
            <w:tcW w:w="262" w:type="dxa"/>
            <w:noWrap/>
            <w:hideMark/>
          </w:tcPr>
          <w:p w14:paraId="5877A867"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018458F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2.21</w:t>
            </w:r>
          </w:p>
        </w:tc>
        <w:tc>
          <w:tcPr>
            <w:tcW w:w="549" w:type="dxa"/>
            <w:noWrap/>
            <w:hideMark/>
          </w:tcPr>
          <w:p w14:paraId="4D563554"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4"/>
            <w:noWrap/>
            <w:hideMark/>
          </w:tcPr>
          <w:p w14:paraId="7F48AE6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1.33</w:t>
            </w:r>
          </w:p>
        </w:tc>
        <w:tc>
          <w:tcPr>
            <w:tcW w:w="546" w:type="dxa"/>
            <w:gridSpan w:val="2"/>
            <w:noWrap/>
            <w:hideMark/>
          </w:tcPr>
          <w:p w14:paraId="2258B23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noWrap/>
            <w:hideMark/>
          </w:tcPr>
          <w:p w14:paraId="3FBAA6CD"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2.31</w:t>
            </w:r>
          </w:p>
        </w:tc>
        <w:tc>
          <w:tcPr>
            <w:tcW w:w="548" w:type="dxa"/>
            <w:gridSpan w:val="2"/>
            <w:noWrap/>
            <w:hideMark/>
          </w:tcPr>
          <w:p w14:paraId="769DDBBD"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2"/>
            <w:noWrap/>
            <w:hideMark/>
          </w:tcPr>
          <w:p w14:paraId="2103D6A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2.07</w:t>
            </w:r>
          </w:p>
        </w:tc>
        <w:tc>
          <w:tcPr>
            <w:tcW w:w="549" w:type="dxa"/>
            <w:gridSpan w:val="3"/>
            <w:noWrap/>
            <w:hideMark/>
          </w:tcPr>
          <w:p w14:paraId="2B4D806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r>
      <w:tr w:rsidR="002D697D" w:rsidRPr="003B7EA9" w14:paraId="7C98FC33" w14:textId="77777777" w:rsidTr="003E0A2F">
        <w:trPr>
          <w:trHeight w:val="20"/>
        </w:trPr>
        <w:tc>
          <w:tcPr>
            <w:tcW w:w="264" w:type="dxa"/>
            <w:noWrap/>
            <w:hideMark/>
          </w:tcPr>
          <w:p w14:paraId="6B285850"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05D0F27F"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hall of residence</w:t>
            </w:r>
          </w:p>
        </w:tc>
        <w:tc>
          <w:tcPr>
            <w:tcW w:w="1275" w:type="dxa"/>
            <w:gridSpan w:val="2"/>
            <w:noWrap/>
            <w:hideMark/>
          </w:tcPr>
          <w:p w14:paraId="3BF3B3B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3.63</w:t>
            </w:r>
          </w:p>
        </w:tc>
        <w:tc>
          <w:tcPr>
            <w:tcW w:w="262" w:type="dxa"/>
            <w:noWrap/>
            <w:hideMark/>
          </w:tcPr>
          <w:p w14:paraId="0F41B166"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663F419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not</w:t>
            </w:r>
          </w:p>
        </w:tc>
        <w:tc>
          <w:tcPr>
            <w:tcW w:w="549" w:type="dxa"/>
            <w:noWrap/>
            <w:hideMark/>
          </w:tcPr>
          <w:p w14:paraId="23C405CA"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4"/>
            <w:noWrap/>
            <w:hideMark/>
          </w:tcPr>
          <w:p w14:paraId="321ED83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1.22</w:t>
            </w:r>
          </w:p>
        </w:tc>
        <w:tc>
          <w:tcPr>
            <w:tcW w:w="546" w:type="dxa"/>
            <w:gridSpan w:val="2"/>
            <w:noWrap/>
            <w:hideMark/>
          </w:tcPr>
          <w:p w14:paraId="645AB5C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noWrap/>
            <w:hideMark/>
          </w:tcPr>
          <w:p w14:paraId="06FBE19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0.42</w:t>
            </w:r>
          </w:p>
        </w:tc>
        <w:tc>
          <w:tcPr>
            <w:tcW w:w="548" w:type="dxa"/>
            <w:gridSpan w:val="2"/>
            <w:noWrap/>
            <w:hideMark/>
          </w:tcPr>
          <w:p w14:paraId="080B33D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2"/>
            <w:noWrap/>
            <w:hideMark/>
          </w:tcPr>
          <w:p w14:paraId="30D02628"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2.55</w:t>
            </w:r>
          </w:p>
        </w:tc>
        <w:tc>
          <w:tcPr>
            <w:tcW w:w="549" w:type="dxa"/>
            <w:gridSpan w:val="3"/>
            <w:noWrap/>
            <w:hideMark/>
          </w:tcPr>
          <w:p w14:paraId="3C5493B7"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133A21A5" w14:textId="77777777" w:rsidTr="003E0A2F">
        <w:trPr>
          <w:trHeight w:val="20"/>
        </w:trPr>
        <w:tc>
          <w:tcPr>
            <w:tcW w:w="264" w:type="dxa"/>
            <w:tcBorders>
              <w:bottom w:val="single" w:sz="4" w:space="0" w:color="auto"/>
            </w:tcBorders>
            <w:noWrap/>
            <w:hideMark/>
          </w:tcPr>
          <w:p w14:paraId="141021AC"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 </w:t>
            </w:r>
          </w:p>
        </w:tc>
        <w:tc>
          <w:tcPr>
            <w:tcW w:w="3015" w:type="dxa"/>
            <w:tcBorders>
              <w:bottom w:val="single" w:sz="4" w:space="0" w:color="auto"/>
            </w:tcBorders>
            <w:noWrap/>
            <w:hideMark/>
          </w:tcPr>
          <w:p w14:paraId="49E8819A"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other communal establishment</w:t>
            </w:r>
          </w:p>
        </w:tc>
        <w:tc>
          <w:tcPr>
            <w:tcW w:w="1275" w:type="dxa"/>
            <w:gridSpan w:val="2"/>
            <w:tcBorders>
              <w:bottom w:val="single" w:sz="4" w:space="0" w:color="auto"/>
            </w:tcBorders>
            <w:noWrap/>
            <w:hideMark/>
          </w:tcPr>
          <w:p w14:paraId="77C0BAAC"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4.12</w:t>
            </w:r>
          </w:p>
        </w:tc>
        <w:tc>
          <w:tcPr>
            <w:tcW w:w="262" w:type="dxa"/>
            <w:tcBorders>
              <w:bottom w:val="single" w:sz="4" w:space="0" w:color="auto"/>
            </w:tcBorders>
            <w:noWrap/>
            <w:hideMark/>
          </w:tcPr>
          <w:p w14:paraId="37C64E7F"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tcBorders>
              <w:bottom w:val="single" w:sz="4" w:space="0" w:color="auto"/>
            </w:tcBorders>
            <w:noWrap/>
            <w:hideMark/>
          </w:tcPr>
          <w:p w14:paraId="4DBE3B4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calculated</w:t>
            </w:r>
          </w:p>
        </w:tc>
        <w:tc>
          <w:tcPr>
            <w:tcW w:w="549" w:type="dxa"/>
            <w:tcBorders>
              <w:bottom w:val="single" w:sz="4" w:space="0" w:color="auto"/>
            </w:tcBorders>
            <w:noWrap/>
            <w:hideMark/>
          </w:tcPr>
          <w:p w14:paraId="15F4BDC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c>
          <w:tcPr>
            <w:tcW w:w="822" w:type="dxa"/>
            <w:gridSpan w:val="4"/>
            <w:tcBorders>
              <w:bottom w:val="single" w:sz="4" w:space="0" w:color="auto"/>
            </w:tcBorders>
            <w:noWrap/>
            <w:hideMark/>
          </w:tcPr>
          <w:p w14:paraId="6922455A"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2.15</w:t>
            </w:r>
          </w:p>
        </w:tc>
        <w:tc>
          <w:tcPr>
            <w:tcW w:w="546" w:type="dxa"/>
            <w:gridSpan w:val="2"/>
            <w:tcBorders>
              <w:bottom w:val="single" w:sz="4" w:space="0" w:color="auto"/>
            </w:tcBorders>
            <w:noWrap/>
            <w:hideMark/>
          </w:tcPr>
          <w:p w14:paraId="62CB6C67"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c>
          <w:tcPr>
            <w:tcW w:w="822" w:type="dxa"/>
            <w:gridSpan w:val="5"/>
            <w:tcBorders>
              <w:bottom w:val="single" w:sz="4" w:space="0" w:color="auto"/>
            </w:tcBorders>
            <w:noWrap/>
            <w:hideMark/>
          </w:tcPr>
          <w:p w14:paraId="310A9C0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1.03</w:t>
            </w:r>
          </w:p>
        </w:tc>
        <w:tc>
          <w:tcPr>
            <w:tcW w:w="548" w:type="dxa"/>
            <w:gridSpan w:val="2"/>
            <w:tcBorders>
              <w:bottom w:val="single" w:sz="4" w:space="0" w:color="auto"/>
            </w:tcBorders>
            <w:noWrap/>
            <w:hideMark/>
          </w:tcPr>
          <w:p w14:paraId="7F10DF5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c>
          <w:tcPr>
            <w:tcW w:w="822" w:type="dxa"/>
            <w:gridSpan w:val="2"/>
            <w:tcBorders>
              <w:bottom w:val="single" w:sz="4" w:space="0" w:color="auto"/>
            </w:tcBorders>
            <w:noWrap/>
            <w:hideMark/>
          </w:tcPr>
          <w:p w14:paraId="4554A67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2.51</w:t>
            </w:r>
          </w:p>
        </w:tc>
        <w:tc>
          <w:tcPr>
            <w:tcW w:w="549" w:type="dxa"/>
            <w:gridSpan w:val="3"/>
            <w:tcBorders>
              <w:bottom w:val="single" w:sz="4" w:space="0" w:color="auto"/>
            </w:tcBorders>
            <w:noWrap/>
            <w:hideMark/>
          </w:tcPr>
          <w:p w14:paraId="5B82A39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r>
      <w:tr w:rsidR="002D697D" w:rsidRPr="003B7EA9" w14:paraId="26940BAD" w14:textId="77777777" w:rsidTr="003E0A2F">
        <w:trPr>
          <w:gridAfter w:val="9"/>
          <w:wAfter w:w="2311" w:type="dxa"/>
          <w:trHeight w:val="20"/>
        </w:trPr>
        <w:tc>
          <w:tcPr>
            <w:tcW w:w="8267" w:type="dxa"/>
            <w:gridSpan w:val="16"/>
            <w:noWrap/>
            <w:hideMark/>
          </w:tcPr>
          <w:p w14:paraId="4F858C13" w14:textId="7AD0C06E" w:rsidR="002D697D" w:rsidRPr="003B7EA9" w:rsidRDefault="002D697D" w:rsidP="000B0BE0">
            <w:pPr>
              <w:keepNext/>
              <w:spacing w:line="240" w:lineRule="auto"/>
              <w:ind w:firstLine="0"/>
              <w:jc w:val="left"/>
              <w:rPr>
                <w:sz w:val="20"/>
                <w:szCs w:val="20"/>
                <w:lang w:eastAsia="en-GB"/>
              </w:rPr>
            </w:pPr>
            <w:r w:rsidRPr="003B7EA9">
              <w:rPr>
                <w:color w:val="000000"/>
                <w:sz w:val="18"/>
                <w:szCs w:val="18"/>
                <w:lang w:eastAsia="en-GB"/>
              </w:rPr>
              <w:t xml:space="preserve">Family </w:t>
            </w:r>
            <w:r w:rsidR="000B0BE0">
              <w:rPr>
                <w:color w:val="000000"/>
                <w:sz w:val="18"/>
                <w:szCs w:val="18"/>
                <w:lang w:eastAsia="en-GB"/>
              </w:rPr>
              <w:t>m</w:t>
            </w:r>
            <w:r w:rsidRPr="003B7EA9">
              <w:rPr>
                <w:color w:val="000000"/>
                <w:sz w:val="18"/>
                <w:szCs w:val="18"/>
                <w:lang w:eastAsia="en-GB"/>
              </w:rPr>
              <w:t>ix (reference: 2+ dependent children, youngest aged 0-9)</w:t>
            </w:r>
          </w:p>
        </w:tc>
      </w:tr>
      <w:tr w:rsidR="002D697D" w:rsidRPr="003B7EA9" w14:paraId="6E8D8FB0" w14:textId="77777777" w:rsidTr="003E0A2F">
        <w:trPr>
          <w:trHeight w:val="20"/>
        </w:trPr>
        <w:tc>
          <w:tcPr>
            <w:tcW w:w="264" w:type="dxa"/>
            <w:noWrap/>
            <w:hideMark/>
          </w:tcPr>
          <w:p w14:paraId="1890B4AE"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02703FF8"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no dependent children</w:t>
            </w:r>
          </w:p>
        </w:tc>
        <w:tc>
          <w:tcPr>
            <w:tcW w:w="1275" w:type="dxa"/>
            <w:gridSpan w:val="2"/>
            <w:noWrap/>
            <w:hideMark/>
          </w:tcPr>
          <w:p w14:paraId="2752CEE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1.45</w:t>
            </w:r>
          </w:p>
        </w:tc>
        <w:tc>
          <w:tcPr>
            <w:tcW w:w="262" w:type="dxa"/>
            <w:noWrap/>
            <w:hideMark/>
          </w:tcPr>
          <w:p w14:paraId="2ED77A03"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1B70A1A1"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1.34</w:t>
            </w:r>
          </w:p>
        </w:tc>
        <w:tc>
          <w:tcPr>
            <w:tcW w:w="571" w:type="dxa"/>
            <w:gridSpan w:val="2"/>
            <w:noWrap/>
            <w:hideMark/>
          </w:tcPr>
          <w:p w14:paraId="4AF55D7A" w14:textId="77777777" w:rsidR="002D697D" w:rsidRPr="003B7EA9" w:rsidRDefault="002D697D" w:rsidP="00023BDF">
            <w:pPr>
              <w:keepNext/>
              <w:spacing w:line="240" w:lineRule="auto"/>
              <w:ind w:firstLine="0"/>
              <w:jc w:val="center"/>
              <w:rPr>
                <w:color w:val="000000"/>
                <w:sz w:val="18"/>
                <w:szCs w:val="18"/>
                <w:lang w:eastAsia="en-GB"/>
              </w:rPr>
            </w:pPr>
          </w:p>
        </w:tc>
        <w:tc>
          <w:tcPr>
            <w:tcW w:w="769" w:type="dxa"/>
            <w:gridSpan w:val="2"/>
            <w:noWrap/>
            <w:hideMark/>
          </w:tcPr>
          <w:p w14:paraId="420FEFC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1.08</w:t>
            </w:r>
          </w:p>
        </w:tc>
        <w:tc>
          <w:tcPr>
            <w:tcW w:w="577" w:type="dxa"/>
            <w:gridSpan w:val="3"/>
            <w:noWrap/>
            <w:hideMark/>
          </w:tcPr>
          <w:p w14:paraId="786F8D8C"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noWrap/>
            <w:hideMark/>
          </w:tcPr>
          <w:p w14:paraId="6A961A4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1.68</w:t>
            </w:r>
          </w:p>
        </w:tc>
        <w:tc>
          <w:tcPr>
            <w:tcW w:w="548" w:type="dxa"/>
            <w:gridSpan w:val="2"/>
            <w:noWrap/>
            <w:hideMark/>
          </w:tcPr>
          <w:p w14:paraId="1B7B480D"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6387D2E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1.50</w:t>
            </w:r>
          </w:p>
        </w:tc>
        <w:tc>
          <w:tcPr>
            <w:tcW w:w="549" w:type="dxa"/>
            <w:gridSpan w:val="3"/>
            <w:noWrap/>
            <w:hideMark/>
          </w:tcPr>
          <w:p w14:paraId="6CB3640D"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6A34E862" w14:textId="77777777" w:rsidTr="003E0A2F">
        <w:trPr>
          <w:trHeight w:val="20"/>
        </w:trPr>
        <w:tc>
          <w:tcPr>
            <w:tcW w:w="264" w:type="dxa"/>
            <w:noWrap/>
            <w:hideMark/>
          </w:tcPr>
          <w:p w14:paraId="47CE3E29"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4E338209"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1 dependent child age 0-9</w:t>
            </w:r>
          </w:p>
        </w:tc>
        <w:tc>
          <w:tcPr>
            <w:tcW w:w="1275" w:type="dxa"/>
            <w:gridSpan w:val="2"/>
            <w:noWrap/>
            <w:hideMark/>
          </w:tcPr>
          <w:p w14:paraId="291076A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1.33</w:t>
            </w:r>
          </w:p>
        </w:tc>
        <w:tc>
          <w:tcPr>
            <w:tcW w:w="262" w:type="dxa"/>
            <w:noWrap/>
            <w:hideMark/>
          </w:tcPr>
          <w:p w14:paraId="77A3AC6B"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5D1A6BF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1.40</w:t>
            </w:r>
          </w:p>
        </w:tc>
        <w:tc>
          <w:tcPr>
            <w:tcW w:w="571" w:type="dxa"/>
            <w:gridSpan w:val="2"/>
            <w:noWrap/>
            <w:hideMark/>
          </w:tcPr>
          <w:p w14:paraId="59AD06E6" w14:textId="77777777" w:rsidR="002D697D" w:rsidRPr="003B7EA9" w:rsidRDefault="002D697D" w:rsidP="00023BDF">
            <w:pPr>
              <w:keepNext/>
              <w:spacing w:line="240" w:lineRule="auto"/>
              <w:ind w:firstLine="0"/>
              <w:jc w:val="center"/>
              <w:rPr>
                <w:color w:val="000000"/>
                <w:sz w:val="18"/>
                <w:szCs w:val="18"/>
                <w:lang w:eastAsia="en-GB"/>
              </w:rPr>
            </w:pPr>
          </w:p>
        </w:tc>
        <w:tc>
          <w:tcPr>
            <w:tcW w:w="769" w:type="dxa"/>
            <w:gridSpan w:val="2"/>
            <w:noWrap/>
            <w:hideMark/>
          </w:tcPr>
          <w:p w14:paraId="5DEE7E6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1.10</w:t>
            </w:r>
          </w:p>
        </w:tc>
        <w:tc>
          <w:tcPr>
            <w:tcW w:w="577" w:type="dxa"/>
            <w:gridSpan w:val="3"/>
            <w:noWrap/>
            <w:hideMark/>
          </w:tcPr>
          <w:p w14:paraId="2174B90C"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noWrap/>
            <w:hideMark/>
          </w:tcPr>
          <w:p w14:paraId="15EBC39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1.52</w:t>
            </w:r>
          </w:p>
        </w:tc>
        <w:tc>
          <w:tcPr>
            <w:tcW w:w="548" w:type="dxa"/>
            <w:gridSpan w:val="2"/>
            <w:noWrap/>
            <w:hideMark/>
          </w:tcPr>
          <w:p w14:paraId="10BB8DF1"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0641035D"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1.34</w:t>
            </w:r>
          </w:p>
        </w:tc>
        <w:tc>
          <w:tcPr>
            <w:tcW w:w="549" w:type="dxa"/>
            <w:gridSpan w:val="3"/>
            <w:noWrap/>
            <w:hideMark/>
          </w:tcPr>
          <w:p w14:paraId="072AABBB"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6FB99F7A" w14:textId="77777777" w:rsidTr="003E0A2F">
        <w:trPr>
          <w:trHeight w:val="20"/>
        </w:trPr>
        <w:tc>
          <w:tcPr>
            <w:tcW w:w="264" w:type="dxa"/>
            <w:noWrap/>
            <w:hideMark/>
          </w:tcPr>
          <w:p w14:paraId="0AC3F88F"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1B232A38"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1 dependent child age 10-18</w:t>
            </w:r>
          </w:p>
        </w:tc>
        <w:tc>
          <w:tcPr>
            <w:tcW w:w="1275" w:type="dxa"/>
            <w:gridSpan w:val="2"/>
            <w:noWrap/>
            <w:hideMark/>
          </w:tcPr>
          <w:p w14:paraId="2F17568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0.93</w:t>
            </w:r>
          </w:p>
        </w:tc>
        <w:tc>
          <w:tcPr>
            <w:tcW w:w="262" w:type="dxa"/>
            <w:noWrap/>
            <w:hideMark/>
          </w:tcPr>
          <w:p w14:paraId="2D5F24A7"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360DE99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0.85</w:t>
            </w:r>
          </w:p>
        </w:tc>
        <w:tc>
          <w:tcPr>
            <w:tcW w:w="571" w:type="dxa"/>
            <w:gridSpan w:val="2"/>
            <w:noWrap/>
            <w:hideMark/>
          </w:tcPr>
          <w:p w14:paraId="4EC643C8" w14:textId="77777777" w:rsidR="002D697D" w:rsidRPr="003B7EA9" w:rsidRDefault="002D697D" w:rsidP="00023BDF">
            <w:pPr>
              <w:keepNext/>
              <w:spacing w:line="240" w:lineRule="auto"/>
              <w:ind w:firstLine="0"/>
              <w:jc w:val="center"/>
              <w:rPr>
                <w:color w:val="000000"/>
                <w:sz w:val="18"/>
                <w:szCs w:val="18"/>
                <w:lang w:eastAsia="en-GB"/>
              </w:rPr>
            </w:pPr>
          </w:p>
        </w:tc>
        <w:tc>
          <w:tcPr>
            <w:tcW w:w="769" w:type="dxa"/>
            <w:gridSpan w:val="2"/>
            <w:noWrap/>
            <w:hideMark/>
          </w:tcPr>
          <w:p w14:paraId="27231CE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0.82</w:t>
            </w:r>
          </w:p>
        </w:tc>
        <w:tc>
          <w:tcPr>
            <w:tcW w:w="577" w:type="dxa"/>
            <w:gridSpan w:val="3"/>
            <w:noWrap/>
            <w:hideMark/>
          </w:tcPr>
          <w:p w14:paraId="0918D48A"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noWrap/>
            <w:hideMark/>
          </w:tcPr>
          <w:p w14:paraId="189E66F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1.22</w:t>
            </w:r>
          </w:p>
        </w:tc>
        <w:tc>
          <w:tcPr>
            <w:tcW w:w="548" w:type="dxa"/>
            <w:gridSpan w:val="2"/>
            <w:noWrap/>
            <w:hideMark/>
          </w:tcPr>
          <w:p w14:paraId="0FE0A105"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378DF26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0.99</w:t>
            </w:r>
          </w:p>
        </w:tc>
        <w:tc>
          <w:tcPr>
            <w:tcW w:w="549" w:type="dxa"/>
            <w:gridSpan w:val="3"/>
            <w:noWrap/>
            <w:hideMark/>
          </w:tcPr>
          <w:p w14:paraId="5B98BB4C"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1F65DD0A" w14:textId="77777777" w:rsidTr="003E0A2F">
        <w:trPr>
          <w:trHeight w:val="20"/>
        </w:trPr>
        <w:tc>
          <w:tcPr>
            <w:tcW w:w="264" w:type="dxa"/>
            <w:noWrap/>
            <w:hideMark/>
          </w:tcPr>
          <w:p w14:paraId="3F2802FB"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7D07342B"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 xml:space="preserve">2+ </w:t>
            </w:r>
            <w:proofErr w:type="spellStart"/>
            <w:r w:rsidRPr="003B7EA9">
              <w:rPr>
                <w:color w:val="000000"/>
                <w:sz w:val="18"/>
                <w:szCs w:val="18"/>
                <w:lang w:eastAsia="en-GB"/>
              </w:rPr>
              <w:t>dep</w:t>
            </w:r>
            <w:proofErr w:type="spellEnd"/>
            <w:r w:rsidRPr="003B7EA9">
              <w:rPr>
                <w:color w:val="000000"/>
                <w:sz w:val="18"/>
                <w:szCs w:val="18"/>
                <w:lang w:eastAsia="en-GB"/>
              </w:rPr>
              <w:t xml:space="preserve"> children youngest 10-18</w:t>
            </w:r>
          </w:p>
        </w:tc>
        <w:tc>
          <w:tcPr>
            <w:tcW w:w="1275" w:type="dxa"/>
            <w:gridSpan w:val="2"/>
            <w:noWrap/>
            <w:hideMark/>
          </w:tcPr>
          <w:p w14:paraId="18693F6C"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0.75</w:t>
            </w:r>
          </w:p>
        </w:tc>
        <w:tc>
          <w:tcPr>
            <w:tcW w:w="262" w:type="dxa"/>
            <w:noWrap/>
            <w:hideMark/>
          </w:tcPr>
          <w:p w14:paraId="18B2D7FF"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2015093C"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0.78</w:t>
            </w:r>
          </w:p>
        </w:tc>
        <w:tc>
          <w:tcPr>
            <w:tcW w:w="571" w:type="dxa"/>
            <w:gridSpan w:val="2"/>
            <w:noWrap/>
            <w:hideMark/>
          </w:tcPr>
          <w:p w14:paraId="62101418" w14:textId="77777777" w:rsidR="002D697D" w:rsidRPr="003B7EA9" w:rsidRDefault="002D697D" w:rsidP="00023BDF">
            <w:pPr>
              <w:keepNext/>
              <w:spacing w:line="240" w:lineRule="auto"/>
              <w:ind w:firstLine="0"/>
              <w:jc w:val="center"/>
              <w:rPr>
                <w:color w:val="000000"/>
                <w:sz w:val="18"/>
                <w:szCs w:val="18"/>
                <w:lang w:eastAsia="en-GB"/>
              </w:rPr>
            </w:pPr>
          </w:p>
        </w:tc>
        <w:tc>
          <w:tcPr>
            <w:tcW w:w="769" w:type="dxa"/>
            <w:gridSpan w:val="2"/>
            <w:noWrap/>
            <w:hideMark/>
          </w:tcPr>
          <w:p w14:paraId="1DDFB9A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0.65</w:t>
            </w:r>
          </w:p>
        </w:tc>
        <w:tc>
          <w:tcPr>
            <w:tcW w:w="577" w:type="dxa"/>
            <w:gridSpan w:val="3"/>
            <w:noWrap/>
            <w:hideMark/>
          </w:tcPr>
          <w:p w14:paraId="2AE13852"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noWrap/>
            <w:hideMark/>
          </w:tcPr>
          <w:p w14:paraId="1D3A6BAC"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1.04</w:t>
            </w:r>
          </w:p>
        </w:tc>
        <w:tc>
          <w:tcPr>
            <w:tcW w:w="548" w:type="dxa"/>
            <w:gridSpan w:val="2"/>
            <w:noWrap/>
            <w:hideMark/>
          </w:tcPr>
          <w:p w14:paraId="65415CB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H</w:t>
            </w:r>
          </w:p>
        </w:tc>
        <w:tc>
          <w:tcPr>
            <w:tcW w:w="822" w:type="dxa"/>
            <w:gridSpan w:val="2"/>
            <w:noWrap/>
            <w:hideMark/>
          </w:tcPr>
          <w:p w14:paraId="178E609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0.77</w:t>
            </w:r>
          </w:p>
        </w:tc>
        <w:tc>
          <w:tcPr>
            <w:tcW w:w="549" w:type="dxa"/>
            <w:gridSpan w:val="3"/>
            <w:noWrap/>
            <w:hideMark/>
          </w:tcPr>
          <w:p w14:paraId="4C1BB28E"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72A325A1" w14:textId="77777777" w:rsidTr="003E0A2F">
        <w:trPr>
          <w:trHeight w:val="20"/>
        </w:trPr>
        <w:tc>
          <w:tcPr>
            <w:tcW w:w="264" w:type="dxa"/>
            <w:noWrap/>
            <w:hideMark/>
          </w:tcPr>
          <w:p w14:paraId="21DD8C38"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4B59140A"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not living in a family</w:t>
            </w:r>
          </w:p>
        </w:tc>
        <w:tc>
          <w:tcPr>
            <w:tcW w:w="1275" w:type="dxa"/>
            <w:gridSpan w:val="2"/>
            <w:noWrap/>
            <w:hideMark/>
          </w:tcPr>
          <w:p w14:paraId="3362995A"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1.84</w:t>
            </w:r>
          </w:p>
        </w:tc>
        <w:tc>
          <w:tcPr>
            <w:tcW w:w="262" w:type="dxa"/>
            <w:noWrap/>
            <w:hideMark/>
          </w:tcPr>
          <w:p w14:paraId="68A1E3BD"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25AAC5E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2.17</w:t>
            </w:r>
          </w:p>
        </w:tc>
        <w:tc>
          <w:tcPr>
            <w:tcW w:w="571" w:type="dxa"/>
            <w:gridSpan w:val="2"/>
            <w:noWrap/>
            <w:hideMark/>
          </w:tcPr>
          <w:p w14:paraId="23769BD0" w14:textId="77777777" w:rsidR="002D697D" w:rsidRPr="003B7EA9" w:rsidRDefault="002D697D" w:rsidP="00023BDF">
            <w:pPr>
              <w:keepNext/>
              <w:spacing w:line="240" w:lineRule="auto"/>
              <w:ind w:firstLine="0"/>
              <w:jc w:val="center"/>
              <w:rPr>
                <w:color w:val="000000"/>
                <w:sz w:val="18"/>
                <w:szCs w:val="18"/>
                <w:lang w:eastAsia="en-GB"/>
              </w:rPr>
            </w:pPr>
          </w:p>
        </w:tc>
        <w:tc>
          <w:tcPr>
            <w:tcW w:w="769" w:type="dxa"/>
            <w:gridSpan w:val="2"/>
            <w:noWrap/>
            <w:hideMark/>
          </w:tcPr>
          <w:p w14:paraId="18444831"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1.57</w:t>
            </w:r>
          </w:p>
        </w:tc>
        <w:tc>
          <w:tcPr>
            <w:tcW w:w="577" w:type="dxa"/>
            <w:gridSpan w:val="3"/>
            <w:noWrap/>
            <w:hideMark/>
          </w:tcPr>
          <w:p w14:paraId="0E923A2C"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noWrap/>
            <w:hideMark/>
          </w:tcPr>
          <w:p w14:paraId="1ACE709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1.96</w:t>
            </w:r>
          </w:p>
        </w:tc>
        <w:tc>
          <w:tcPr>
            <w:tcW w:w="548" w:type="dxa"/>
            <w:gridSpan w:val="2"/>
            <w:noWrap/>
            <w:hideMark/>
          </w:tcPr>
          <w:p w14:paraId="7CC1488F"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1E0986A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2.01</w:t>
            </w:r>
          </w:p>
        </w:tc>
        <w:tc>
          <w:tcPr>
            <w:tcW w:w="549" w:type="dxa"/>
            <w:gridSpan w:val="3"/>
            <w:noWrap/>
            <w:hideMark/>
          </w:tcPr>
          <w:p w14:paraId="6E7F229C"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4E80B7B4" w14:textId="77777777" w:rsidTr="003E0A2F">
        <w:trPr>
          <w:trHeight w:val="20"/>
        </w:trPr>
        <w:tc>
          <w:tcPr>
            <w:tcW w:w="264" w:type="dxa"/>
            <w:tcBorders>
              <w:bottom w:val="single" w:sz="4" w:space="0" w:color="auto"/>
            </w:tcBorders>
            <w:noWrap/>
            <w:hideMark/>
          </w:tcPr>
          <w:p w14:paraId="77E77810"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 </w:t>
            </w:r>
          </w:p>
        </w:tc>
        <w:tc>
          <w:tcPr>
            <w:tcW w:w="3015" w:type="dxa"/>
            <w:tcBorders>
              <w:bottom w:val="single" w:sz="4" w:space="0" w:color="auto"/>
            </w:tcBorders>
            <w:noWrap/>
            <w:hideMark/>
          </w:tcPr>
          <w:p w14:paraId="05F5F148"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not living in a household</w:t>
            </w:r>
          </w:p>
        </w:tc>
        <w:tc>
          <w:tcPr>
            <w:tcW w:w="1275" w:type="dxa"/>
            <w:gridSpan w:val="2"/>
            <w:tcBorders>
              <w:bottom w:val="single" w:sz="4" w:space="0" w:color="auto"/>
            </w:tcBorders>
            <w:noWrap/>
            <w:hideMark/>
          </w:tcPr>
          <w:p w14:paraId="4736072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4.13</w:t>
            </w:r>
          </w:p>
        </w:tc>
        <w:tc>
          <w:tcPr>
            <w:tcW w:w="1366" w:type="dxa"/>
            <w:gridSpan w:val="2"/>
            <w:tcBorders>
              <w:bottom w:val="single" w:sz="4" w:space="0" w:color="auto"/>
            </w:tcBorders>
            <w:noWrap/>
            <w:hideMark/>
          </w:tcPr>
          <w:p w14:paraId="7EBE8078" w14:textId="77777777" w:rsidR="002D697D" w:rsidRPr="003B7EA9" w:rsidRDefault="002D697D" w:rsidP="003E0A2F">
            <w:pPr>
              <w:keepNext/>
              <w:spacing w:line="240" w:lineRule="auto"/>
              <w:ind w:firstLine="0"/>
              <w:jc w:val="right"/>
              <w:rPr>
                <w:color w:val="000000"/>
                <w:sz w:val="18"/>
                <w:szCs w:val="18"/>
                <w:lang w:eastAsia="en-GB"/>
              </w:rPr>
            </w:pPr>
            <w:r w:rsidRPr="003B7EA9">
              <w:rPr>
                <w:color w:val="000000"/>
                <w:sz w:val="18"/>
                <w:szCs w:val="18"/>
                <w:lang w:eastAsia="en-GB"/>
              </w:rPr>
              <w:t>not calculated</w:t>
            </w:r>
          </w:p>
        </w:tc>
        <w:tc>
          <w:tcPr>
            <w:tcW w:w="571" w:type="dxa"/>
            <w:gridSpan w:val="2"/>
            <w:tcBorders>
              <w:bottom w:val="single" w:sz="4" w:space="0" w:color="auto"/>
            </w:tcBorders>
            <w:noWrap/>
            <w:hideMark/>
          </w:tcPr>
          <w:p w14:paraId="36599783" w14:textId="63B50CE6" w:rsidR="002D697D" w:rsidRPr="003B7EA9" w:rsidRDefault="002D697D" w:rsidP="00B87F0E">
            <w:pPr>
              <w:keepNext/>
              <w:spacing w:line="240" w:lineRule="auto"/>
              <w:ind w:firstLine="0"/>
              <w:jc w:val="left"/>
              <w:rPr>
                <w:color w:val="000000"/>
                <w:sz w:val="18"/>
                <w:szCs w:val="18"/>
                <w:lang w:eastAsia="en-GB"/>
              </w:rPr>
            </w:pPr>
          </w:p>
        </w:tc>
        <w:tc>
          <w:tcPr>
            <w:tcW w:w="769" w:type="dxa"/>
            <w:gridSpan w:val="2"/>
            <w:tcBorders>
              <w:bottom w:val="single" w:sz="4" w:space="0" w:color="auto"/>
            </w:tcBorders>
            <w:noWrap/>
            <w:hideMark/>
          </w:tcPr>
          <w:p w14:paraId="261657EE" w14:textId="77777777" w:rsidR="002D697D" w:rsidRPr="003B7EA9" w:rsidRDefault="002D697D" w:rsidP="002D45AF">
            <w:pPr>
              <w:spacing w:line="240" w:lineRule="auto"/>
              <w:ind w:firstLine="0"/>
              <w:jc w:val="center"/>
              <w:rPr>
                <w:color w:val="000000"/>
                <w:sz w:val="18"/>
                <w:szCs w:val="18"/>
                <w:lang w:eastAsia="en-GB"/>
              </w:rPr>
            </w:pPr>
            <w:r w:rsidRPr="003B7EA9">
              <w:rPr>
                <w:color w:val="000000"/>
                <w:sz w:val="18"/>
                <w:szCs w:val="18"/>
                <w:lang w:eastAsia="en-GB"/>
              </w:rPr>
              <w:t>1.49</w:t>
            </w:r>
          </w:p>
        </w:tc>
        <w:tc>
          <w:tcPr>
            <w:tcW w:w="577" w:type="dxa"/>
            <w:gridSpan w:val="3"/>
            <w:tcBorders>
              <w:bottom w:val="single" w:sz="4" w:space="0" w:color="auto"/>
            </w:tcBorders>
            <w:noWrap/>
            <w:hideMark/>
          </w:tcPr>
          <w:p w14:paraId="4238090C" w14:textId="77777777" w:rsidR="002D697D" w:rsidRPr="003B7EA9" w:rsidRDefault="002D697D" w:rsidP="002D45AF">
            <w:pPr>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tcBorders>
              <w:bottom w:val="single" w:sz="4" w:space="0" w:color="auto"/>
            </w:tcBorders>
            <w:noWrap/>
            <w:hideMark/>
          </w:tcPr>
          <w:p w14:paraId="7ABFE50D" w14:textId="77777777" w:rsidR="002D697D" w:rsidRPr="003B7EA9" w:rsidRDefault="002D697D" w:rsidP="002D45AF">
            <w:pPr>
              <w:spacing w:line="240" w:lineRule="auto"/>
              <w:ind w:firstLine="0"/>
              <w:jc w:val="center"/>
              <w:rPr>
                <w:color w:val="000000"/>
                <w:sz w:val="18"/>
                <w:szCs w:val="18"/>
                <w:lang w:eastAsia="en-GB"/>
              </w:rPr>
            </w:pPr>
            <w:r w:rsidRPr="003B7EA9">
              <w:rPr>
                <w:color w:val="000000"/>
                <w:sz w:val="18"/>
                <w:szCs w:val="18"/>
                <w:lang w:eastAsia="en-GB"/>
              </w:rPr>
              <w:t>13.28</w:t>
            </w:r>
          </w:p>
        </w:tc>
        <w:tc>
          <w:tcPr>
            <w:tcW w:w="548" w:type="dxa"/>
            <w:gridSpan w:val="2"/>
            <w:tcBorders>
              <w:bottom w:val="single" w:sz="4" w:space="0" w:color="auto"/>
            </w:tcBorders>
            <w:noWrap/>
            <w:hideMark/>
          </w:tcPr>
          <w:p w14:paraId="2EC31FCE" w14:textId="77777777" w:rsidR="002D697D" w:rsidRPr="003B7EA9" w:rsidRDefault="002D697D" w:rsidP="002D45AF">
            <w:pPr>
              <w:spacing w:line="240" w:lineRule="auto"/>
              <w:ind w:firstLine="0"/>
              <w:jc w:val="center"/>
              <w:rPr>
                <w:color w:val="000000"/>
                <w:sz w:val="18"/>
                <w:szCs w:val="18"/>
                <w:lang w:eastAsia="en-GB"/>
              </w:rPr>
            </w:pPr>
            <w:r w:rsidRPr="003B7EA9">
              <w:rPr>
                <w:color w:val="000000"/>
                <w:sz w:val="18"/>
                <w:szCs w:val="18"/>
                <w:lang w:eastAsia="en-GB"/>
              </w:rPr>
              <w:t> </w:t>
            </w:r>
          </w:p>
        </w:tc>
        <w:tc>
          <w:tcPr>
            <w:tcW w:w="822" w:type="dxa"/>
            <w:gridSpan w:val="2"/>
            <w:tcBorders>
              <w:bottom w:val="single" w:sz="4" w:space="0" w:color="auto"/>
            </w:tcBorders>
            <w:noWrap/>
            <w:hideMark/>
          </w:tcPr>
          <w:p w14:paraId="0EA7F3E3" w14:textId="77777777" w:rsidR="002D697D" w:rsidRPr="003B7EA9" w:rsidRDefault="002D697D" w:rsidP="002D45AF">
            <w:pPr>
              <w:spacing w:line="240" w:lineRule="auto"/>
              <w:ind w:firstLine="0"/>
              <w:jc w:val="center"/>
              <w:rPr>
                <w:color w:val="000000"/>
                <w:sz w:val="18"/>
                <w:szCs w:val="18"/>
                <w:lang w:eastAsia="en-GB"/>
              </w:rPr>
            </w:pPr>
            <w:r w:rsidRPr="003B7EA9">
              <w:rPr>
                <w:color w:val="000000"/>
                <w:sz w:val="18"/>
                <w:szCs w:val="18"/>
                <w:lang w:eastAsia="en-GB"/>
              </w:rPr>
              <w:t>3.39</w:t>
            </w:r>
          </w:p>
        </w:tc>
        <w:tc>
          <w:tcPr>
            <w:tcW w:w="549" w:type="dxa"/>
            <w:gridSpan w:val="3"/>
            <w:tcBorders>
              <w:bottom w:val="single" w:sz="4" w:space="0" w:color="auto"/>
            </w:tcBorders>
            <w:noWrap/>
            <w:hideMark/>
          </w:tcPr>
          <w:p w14:paraId="5C43FAF8" w14:textId="77777777" w:rsidR="002D697D" w:rsidRPr="003B7EA9" w:rsidRDefault="002D697D" w:rsidP="002D45AF">
            <w:pPr>
              <w:spacing w:line="240" w:lineRule="auto"/>
              <w:ind w:firstLine="0"/>
              <w:jc w:val="center"/>
              <w:rPr>
                <w:color w:val="000000"/>
                <w:sz w:val="18"/>
                <w:szCs w:val="18"/>
                <w:lang w:eastAsia="en-GB"/>
              </w:rPr>
            </w:pPr>
            <w:r w:rsidRPr="003B7EA9">
              <w:rPr>
                <w:color w:val="000000"/>
                <w:sz w:val="18"/>
                <w:szCs w:val="18"/>
                <w:lang w:eastAsia="en-GB"/>
              </w:rPr>
              <w:t> </w:t>
            </w:r>
          </w:p>
        </w:tc>
      </w:tr>
      <w:tr w:rsidR="002D697D" w:rsidRPr="003B7EA9" w14:paraId="176E4390" w14:textId="77777777" w:rsidTr="003E0A2F">
        <w:trPr>
          <w:gridAfter w:val="10"/>
          <w:wAfter w:w="2319" w:type="dxa"/>
          <w:trHeight w:val="20"/>
        </w:trPr>
        <w:tc>
          <w:tcPr>
            <w:tcW w:w="8259" w:type="dxa"/>
            <w:gridSpan w:val="15"/>
            <w:noWrap/>
            <w:hideMark/>
          </w:tcPr>
          <w:p w14:paraId="08A578D9" w14:textId="4CC2A6ED" w:rsidR="002D697D" w:rsidRPr="003B7EA9" w:rsidRDefault="002D697D" w:rsidP="000B0BE0">
            <w:pPr>
              <w:keepNext/>
              <w:spacing w:line="240" w:lineRule="auto"/>
              <w:ind w:firstLine="0"/>
              <w:jc w:val="left"/>
              <w:rPr>
                <w:sz w:val="20"/>
                <w:szCs w:val="20"/>
                <w:lang w:eastAsia="en-GB"/>
              </w:rPr>
            </w:pPr>
            <w:r w:rsidRPr="003B7EA9">
              <w:rPr>
                <w:color w:val="000000"/>
                <w:sz w:val="18"/>
                <w:szCs w:val="18"/>
                <w:lang w:eastAsia="en-GB"/>
              </w:rPr>
              <w:t xml:space="preserve">Living </w:t>
            </w:r>
            <w:r w:rsidR="000B0BE0">
              <w:rPr>
                <w:color w:val="000000"/>
                <w:sz w:val="18"/>
                <w:szCs w:val="18"/>
                <w:lang w:eastAsia="en-GB"/>
              </w:rPr>
              <w:t>a</w:t>
            </w:r>
            <w:r w:rsidRPr="003B7EA9">
              <w:rPr>
                <w:color w:val="000000"/>
                <w:sz w:val="18"/>
                <w:szCs w:val="18"/>
                <w:lang w:eastAsia="en-GB"/>
              </w:rPr>
              <w:t>rrangement (reference: in couple: married)</w:t>
            </w:r>
          </w:p>
        </w:tc>
      </w:tr>
      <w:tr w:rsidR="002D697D" w:rsidRPr="003B7EA9" w14:paraId="0782B966" w14:textId="77777777" w:rsidTr="003E0A2F">
        <w:trPr>
          <w:trHeight w:val="20"/>
        </w:trPr>
        <w:tc>
          <w:tcPr>
            <w:tcW w:w="264" w:type="dxa"/>
            <w:noWrap/>
            <w:hideMark/>
          </w:tcPr>
          <w:p w14:paraId="7C22A2E8"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57D095F1"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in couple: cohabiting</w:t>
            </w:r>
          </w:p>
        </w:tc>
        <w:tc>
          <w:tcPr>
            <w:tcW w:w="1275" w:type="dxa"/>
            <w:gridSpan w:val="2"/>
            <w:noWrap/>
            <w:hideMark/>
          </w:tcPr>
          <w:p w14:paraId="78151B8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2.16</w:t>
            </w:r>
          </w:p>
        </w:tc>
        <w:tc>
          <w:tcPr>
            <w:tcW w:w="262" w:type="dxa"/>
            <w:noWrap/>
            <w:hideMark/>
          </w:tcPr>
          <w:p w14:paraId="5CCE4091"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6F8FE6C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1.31</w:t>
            </w:r>
          </w:p>
        </w:tc>
        <w:tc>
          <w:tcPr>
            <w:tcW w:w="549" w:type="dxa"/>
            <w:noWrap/>
            <w:hideMark/>
          </w:tcPr>
          <w:p w14:paraId="7E95FE11"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791" w:type="dxa"/>
            <w:gridSpan w:val="3"/>
            <w:noWrap/>
            <w:hideMark/>
          </w:tcPr>
          <w:p w14:paraId="5B40C9D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1.50</w:t>
            </w:r>
          </w:p>
        </w:tc>
        <w:tc>
          <w:tcPr>
            <w:tcW w:w="577" w:type="dxa"/>
            <w:gridSpan w:val="3"/>
            <w:noWrap/>
            <w:hideMark/>
          </w:tcPr>
          <w:p w14:paraId="5F8BF3BA"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noWrap/>
            <w:hideMark/>
          </w:tcPr>
          <w:p w14:paraId="1712105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1.84</w:t>
            </w:r>
          </w:p>
        </w:tc>
        <w:tc>
          <w:tcPr>
            <w:tcW w:w="548" w:type="dxa"/>
            <w:gridSpan w:val="2"/>
            <w:noWrap/>
            <w:hideMark/>
          </w:tcPr>
          <w:p w14:paraId="2B0AD246"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59317F0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1.18</w:t>
            </w:r>
          </w:p>
        </w:tc>
        <w:tc>
          <w:tcPr>
            <w:tcW w:w="549" w:type="dxa"/>
            <w:gridSpan w:val="3"/>
            <w:noWrap/>
            <w:hideMark/>
          </w:tcPr>
          <w:p w14:paraId="5AE300D7"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r>
      <w:tr w:rsidR="002D697D" w:rsidRPr="003B7EA9" w14:paraId="1F46D45C" w14:textId="77777777" w:rsidTr="003E0A2F">
        <w:trPr>
          <w:trHeight w:val="20"/>
        </w:trPr>
        <w:tc>
          <w:tcPr>
            <w:tcW w:w="264" w:type="dxa"/>
            <w:noWrap/>
            <w:hideMark/>
          </w:tcPr>
          <w:p w14:paraId="3D0F29F7"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09C9AD25"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not in couple: single</w:t>
            </w:r>
          </w:p>
        </w:tc>
        <w:tc>
          <w:tcPr>
            <w:tcW w:w="1275" w:type="dxa"/>
            <w:gridSpan w:val="2"/>
            <w:noWrap/>
            <w:hideMark/>
          </w:tcPr>
          <w:p w14:paraId="190411B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1.45</w:t>
            </w:r>
          </w:p>
        </w:tc>
        <w:tc>
          <w:tcPr>
            <w:tcW w:w="262" w:type="dxa"/>
            <w:noWrap/>
            <w:hideMark/>
          </w:tcPr>
          <w:p w14:paraId="4C27CEC7"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2E347E7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0.89</w:t>
            </w:r>
          </w:p>
        </w:tc>
        <w:tc>
          <w:tcPr>
            <w:tcW w:w="549" w:type="dxa"/>
            <w:noWrap/>
            <w:hideMark/>
          </w:tcPr>
          <w:p w14:paraId="2EE44A5D"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791" w:type="dxa"/>
            <w:gridSpan w:val="3"/>
            <w:noWrap/>
            <w:hideMark/>
          </w:tcPr>
          <w:p w14:paraId="07058EE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1.07</w:t>
            </w:r>
          </w:p>
        </w:tc>
        <w:tc>
          <w:tcPr>
            <w:tcW w:w="577" w:type="dxa"/>
            <w:gridSpan w:val="3"/>
            <w:noWrap/>
            <w:hideMark/>
          </w:tcPr>
          <w:p w14:paraId="7B48FC5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noWrap/>
            <w:hideMark/>
          </w:tcPr>
          <w:p w14:paraId="3A05016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1.33</w:t>
            </w:r>
          </w:p>
        </w:tc>
        <w:tc>
          <w:tcPr>
            <w:tcW w:w="548" w:type="dxa"/>
            <w:gridSpan w:val="2"/>
            <w:noWrap/>
            <w:hideMark/>
          </w:tcPr>
          <w:p w14:paraId="6D129810"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7D6095F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0.69</w:t>
            </w:r>
          </w:p>
        </w:tc>
        <w:tc>
          <w:tcPr>
            <w:tcW w:w="549" w:type="dxa"/>
            <w:gridSpan w:val="3"/>
            <w:noWrap/>
            <w:hideMark/>
          </w:tcPr>
          <w:p w14:paraId="7D673EF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r>
      <w:tr w:rsidR="002D697D" w:rsidRPr="003B7EA9" w14:paraId="7884DBF4" w14:textId="77777777" w:rsidTr="003E0A2F">
        <w:trPr>
          <w:trHeight w:val="20"/>
        </w:trPr>
        <w:tc>
          <w:tcPr>
            <w:tcW w:w="264" w:type="dxa"/>
            <w:noWrap/>
            <w:hideMark/>
          </w:tcPr>
          <w:p w14:paraId="7B4D94FA"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6A592691"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not in couple: married</w:t>
            </w:r>
          </w:p>
        </w:tc>
        <w:tc>
          <w:tcPr>
            <w:tcW w:w="1275" w:type="dxa"/>
            <w:gridSpan w:val="2"/>
            <w:noWrap/>
            <w:hideMark/>
          </w:tcPr>
          <w:p w14:paraId="79296A28"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2.23</w:t>
            </w:r>
          </w:p>
        </w:tc>
        <w:tc>
          <w:tcPr>
            <w:tcW w:w="262" w:type="dxa"/>
            <w:noWrap/>
            <w:hideMark/>
          </w:tcPr>
          <w:p w14:paraId="44DA666F"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09988B5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0.82</w:t>
            </w:r>
          </w:p>
        </w:tc>
        <w:tc>
          <w:tcPr>
            <w:tcW w:w="549" w:type="dxa"/>
            <w:noWrap/>
            <w:hideMark/>
          </w:tcPr>
          <w:p w14:paraId="3C273CDC"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791" w:type="dxa"/>
            <w:gridSpan w:val="3"/>
            <w:noWrap/>
            <w:hideMark/>
          </w:tcPr>
          <w:p w14:paraId="4856A81A"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0.96</w:t>
            </w:r>
          </w:p>
        </w:tc>
        <w:tc>
          <w:tcPr>
            <w:tcW w:w="577" w:type="dxa"/>
            <w:gridSpan w:val="3"/>
            <w:noWrap/>
            <w:hideMark/>
          </w:tcPr>
          <w:p w14:paraId="3F7BC1AA"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noWrap/>
            <w:hideMark/>
          </w:tcPr>
          <w:p w14:paraId="09C176E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1.11</w:t>
            </w:r>
          </w:p>
        </w:tc>
        <w:tc>
          <w:tcPr>
            <w:tcW w:w="548" w:type="dxa"/>
            <w:gridSpan w:val="2"/>
            <w:noWrap/>
            <w:hideMark/>
          </w:tcPr>
          <w:p w14:paraId="5DFAE46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2"/>
            <w:noWrap/>
            <w:hideMark/>
          </w:tcPr>
          <w:p w14:paraId="7D18A8D1"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0.84</w:t>
            </w:r>
          </w:p>
        </w:tc>
        <w:tc>
          <w:tcPr>
            <w:tcW w:w="549" w:type="dxa"/>
            <w:gridSpan w:val="3"/>
            <w:noWrap/>
            <w:hideMark/>
          </w:tcPr>
          <w:p w14:paraId="3611479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r>
      <w:tr w:rsidR="002D697D" w:rsidRPr="003B7EA9" w14:paraId="70C28241" w14:textId="77777777" w:rsidTr="003E0A2F">
        <w:trPr>
          <w:trHeight w:val="20"/>
        </w:trPr>
        <w:tc>
          <w:tcPr>
            <w:tcW w:w="264" w:type="dxa"/>
            <w:noWrap/>
            <w:hideMark/>
          </w:tcPr>
          <w:p w14:paraId="1BF71C06"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71FAD9BC"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not in couple: separated</w:t>
            </w:r>
          </w:p>
        </w:tc>
        <w:tc>
          <w:tcPr>
            <w:tcW w:w="1275" w:type="dxa"/>
            <w:gridSpan w:val="2"/>
            <w:noWrap/>
            <w:hideMark/>
          </w:tcPr>
          <w:p w14:paraId="3F7FED0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2.58</w:t>
            </w:r>
          </w:p>
        </w:tc>
        <w:tc>
          <w:tcPr>
            <w:tcW w:w="262" w:type="dxa"/>
            <w:noWrap/>
            <w:hideMark/>
          </w:tcPr>
          <w:p w14:paraId="29B5A07B"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37DA4E3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1.09</w:t>
            </w:r>
          </w:p>
        </w:tc>
        <w:tc>
          <w:tcPr>
            <w:tcW w:w="549" w:type="dxa"/>
            <w:noWrap/>
            <w:hideMark/>
          </w:tcPr>
          <w:p w14:paraId="4CF7BBB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791" w:type="dxa"/>
            <w:gridSpan w:val="3"/>
            <w:noWrap/>
            <w:hideMark/>
          </w:tcPr>
          <w:p w14:paraId="56EA5C7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1.25</w:t>
            </w:r>
          </w:p>
        </w:tc>
        <w:tc>
          <w:tcPr>
            <w:tcW w:w="577" w:type="dxa"/>
            <w:gridSpan w:val="3"/>
            <w:noWrap/>
            <w:hideMark/>
          </w:tcPr>
          <w:p w14:paraId="77E9FF0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noWrap/>
            <w:hideMark/>
          </w:tcPr>
          <w:p w14:paraId="66EA439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2.10</w:t>
            </w:r>
          </w:p>
        </w:tc>
        <w:tc>
          <w:tcPr>
            <w:tcW w:w="548" w:type="dxa"/>
            <w:gridSpan w:val="2"/>
            <w:noWrap/>
            <w:hideMark/>
          </w:tcPr>
          <w:p w14:paraId="442F64E6"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693EA71D"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1.68</w:t>
            </w:r>
          </w:p>
        </w:tc>
        <w:tc>
          <w:tcPr>
            <w:tcW w:w="549" w:type="dxa"/>
            <w:gridSpan w:val="3"/>
            <w:noWrap/>
            <w:hideMark/>
          </w:tcPr>
          <w:p w14:paraId="239E026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r>
      <w:tr w:rsidR="002D697D" w:rsidRPr="003B7EA9" w14:paraId="25B85DE5" w14:textId="77777777" w:rsidTr="003E0A2F">
        <w:trPr>
          <w:trHeight w:val="20"/>
        </w:trPr>
        <w:tc>
          <w:tcPr>
            <w:tcW w:w="264" w:type="dxa"/>
            <w:noWrap/>
            <w:hideMark/>
          </w:tcPr>
          <w:p w14:paraId="710BDCD7"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6F240D3A"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not in couple: divorced</w:t>
            </w:r>
          </w:p>
        </w:tc>
        <w:tc>
          <w:tcPr>
            <w:tcW w:w="1275" w:type="dxa"/>
            <w:gridSpan w:val="2"/>
            <w:noWrap/>
            <w:hideMark/>
          </w:tcPr>
          <w:p w14:paraId="551C6447"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1.26</w:t>
            </w:r>
          </w:p>
        </w:tc>
        <w:tc>
          <w:tcPr>
            <w:tcW w:w="262" w:type="dxa"/>
            <w:noWrap/>
            <w:hideMark/>
          </w:tcPr>
          <w:p w14:paraId="3D3FDB86"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55D5747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0.81</w:t>
            </w:r>
          </w:p>
        </w:tc>
        <w:tc>
          <w:tcPr>
            <w:tcW w:w="549" w:type="dxa"/>
            <w:noWrap/>
            <w:hideMark/>
          </w:tcPr>
          <w:p w14:paraId="78E158A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791" w:type="dxa"/>
            <w:gridSpan w:val="3"/>
            <w:noWrap/>
            <w:hideMark/>
          </w:tcPr>
          <w:p w14:paraId="78123E87"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0.87</w:t>
            </w:r>
          </w:p>
        </w:tc>
        <w:tc>
          <w:tcPr>
            <w:tcW w:w="577" w:type="dxa"/>
            <w:gridSpan w:val="3"/>
            <w:noWrap/>
            <w:hideMark/>
          </w:tcPr>
          <w:p w14:paraId="6EF5AEA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noWrap/>
            <w:hideMark/>
          </w:tcPr>
          <w:p w14:paraId="623A7FB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1.18</w:t>
            </w:r>
          </w:p>
        </w:tc>
        <w:tc>
          <w:tcPr>
            <w:tcW w:w="548" w:type="dxa"/>
            <w:gridSpan w:val="2"/>
            <w:noWrap/>
            <w:hideMark/>
          </w:tcPr>
          <w:p w14:paraId="79421566"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773BD14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1.03</w:t>
            </w:r>
          </w:p>
        </w:tc>
        <w:tc>
          <w:tcPr>
            <w:tcW w:w="549" w:type="dxa"/>
            <w:gridSpan w:val="3"/>
            <w:noWrap/>
            <w:hideMark/>
          </w:tcPr>
          <w:p w14:paraId="4CD982B7"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513D1610" w14:textId="77777777" w:rsidTr="003E0A2F">
        <w:trPr>
          <w:trHeight w:val="20"/>
        </w:trPr>
        <w:tc>
          <w:tcPr>
            <w:tcW w:w="264" w:type="dxa"/>
            <w:tcBorders>
              <w:bottom w:val="single" w:sz="4" w:space="0" w:color="auto"/>
            </w:tcBorders>
            <w:noWrap/>
            <w:hideMark/>
          </w:tcPr>
          <w:p w14:paraId="2CF6E5B8"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 </w:t>
            </w:r>
          </w:p>
        </w:tc>
        <w:tc>
          <w:tcPr>
            <w:tcW w:w="3015" w:type="dxa"/>
            <w:tcBorders>
              <w:bottom w:val="single" w:sz="4" w:space="0" w:color="auto"/>
            </w:tcBorders>
            <w:noWrap/>
            <w:hideMark/>
          </w:tcPr>
          <w:p w14:paraId="16D7A148"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not in couple; widowed</w:t>
            </w:r>
          </w:p>
        </w:tc>
        <w:tc>
          <w:tcPr>
            <w:tcW w:w="1275" w:type="dxa"/>
            <w:gridSpan w:val="2"/>
            <w:tcBorders>
              <w:bottom w:val="single" w:sz="4" w:space="0" w:color="auto"/>
            </w:tcBorders>
            <w:noWrap/>
            <w:hideMark/>
          </w:tcPr>
          <w:p w14:paraId="69530E0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0.92</w:t>
            </w:r>
          </w:p>
        </w:tc>
        <w:tc>
          <w:tcPr>
            <w:tcW w:w="262" w:type="dxa"/>
            <w:tcBorders>
              <w:bottom w:val="single" w:sz="4" w:space="0" w:color="auto"/>
            </w:tcBorders>
            <w:noWrap/>
            <w:hideMark/>
          </w:tcPr>
          <w:p w14:paraId="324E6907"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tcBorders>
              <w:bottom w:val="single" w:sz="4" w:space="0" w:color="auto"/>
            </w:tcBorders>
            <w:noWrap/>
            <w:hideMark/>
          </w:tcPr>
          <w:p w14:paraId="052011C1"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1.01</w:t>
            </w:r>
          </w:p>
        </w:tc>
        <w:tc>
          <w:tcPr>
            <w:tcW w:w="549" w:type="dxa"/>
            <w:tcBorders>
              <w:bottom w:val="single" w:sz="4" w:space="0" w:color="auto"/>
            </w:tcBorders>
            <w:noWrap/>
            <w:hideMark/>
          </w:tcPr>
          <w:p w14:paraId="3A55D548"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c>
          <w:tcPr>
            <w:tcW w:w="791" w:type="dxa"/>
            <w:gridSpan w:val="3"/>
            <w:tcBorders>
              <w:bottom w:val="single" w:sz="4" w:space="0" w:color="auto"/>
            </w:tcBorders>
            <w:noWrap/>
            <w:hideMark/>
          </w:tcPr>
          <w:p w14:paraId="09E3FF87"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0.55</w:t>
            </w:r>
          </w:p>
        </w:tc>
        <w:tc>
          <w:tcPr>
            <w:tcW w:w="577" w:type="dxa"/>
            <w:gridSpan w:val="3"/>
            <w:tcBorders>
              <w:bottom w:val="single" w:sz="4" w:space="0" w:color="auto"/>
            </w:tcBorders>
            <w:noWrap/>
            <w:hideMark/>
          </w:tcPr>
          <w:p w14:paraId="0ACEA5C1"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tcBorders>
              <w:bottom w:val="single" w:sz="4" w:space="0" w:color="auto"/>
            </w:tcBorders>
            <w:noWrap/>
            <w:hideMark/>
          </w:tcPr>
          <w:p w14:paraId="34B98A1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1.07</w:t>
            </w:r>
          </w:p>
        </w:tc>
        <w:tc>
          <w:tcPr>
            <w:tcW w:w="548" w:type="dxa"/>
            <w:gridSpan w:val="2"/>
            <w:tcBorders>
              <w:bottom w:val="single" w:sz="4" w:space="0" w:color="auto"/>
            </w:tcBorders>
            <w:noWrap/>
            <w:hideMark/>
          </w:tcPr>
          <w:p w14:paraId="4CF2ADC7"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c>
          <w:tcPr>
            <w:tcW w:w="822" w:type="dxa"/>
            <w:gridSpan w:val="2"/>
            <w:tcBorders>
              <w:bottom w:val="single" w:sz="4" w:space="0" w:color="auto"/>
            </w:tcBorders>
            <w:noWrap/>
            <w:hideMark/>
          </w:tcPr>
          <w:p w14:paraId="150191F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0.69</w:t>
            </w:r>
          </w:p>
        </w:tc>
        <w:tc>
          <w:tcPr>
            <w:tcW w:w="549" w:type="dxa"/>
            <w:gridSpan w:val="3"/>
            <w:tcBorders>
              <w:bottom w:val="single" w:sz="4" w:space="0" w:color="auto"/>
            </w:tcBorders>
            <w:noWrap/>
            <w:hideMark/>
          </w:tcPr>
          <w:p w14:paraId="7848C4E8"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r>
      <w:tr w:rsidR="002D697D" w:rsidRPr="003B7EA9" w14:paraId="02B079A4" w14:textId="77777777" w:rsidTr="003E0A2F">
        <w:trPr>
          <w:gridAfter w:val="11"/>
          <w:wAfter w:w="2449" w:type="dxa"/>
          <w:trHeight w:val="20"/>
        </w:trPr>
        <w:tc>
          <w:tcPr>
            <w:tcW w:w="3979" w:type="dxa"/>
            <w:gridSpan w:val="3"/>
            <w:noWrap/>
            <w:hideMark/>
          </w:tcPr>
          <w:p w14:paraId="69A3531B" w14:textId="2143F4FB" w:rsidR="002D697D" w:rsidRPr="003B7EA9" w:rsidRDefault="002D697D" w:rsidP="000B0BE0">
            <w:pPr>
              <w:keepNext/>
              <w:spacing w:line="240" w:lineRule="auto"/>
              <w:ind w:firstLine="0"/>
              <w:jc w:val="left"/>
              <w:rPr>
                <w:sz w:val="20"/>
                <w:szCs w:val="20"/>
                <w:lang w:eastAsia="en-GB"/>
              </w:rPr>
            </w:pPr>
            <w:r w:rsidRPr="003B7EA9">
              <w:rPr>
                <w:color w:val="000000"/>
                <w:sz w:val="18"/>
                <w:szCs w:val="18"/>
                <w:lang w:eastAsia="en-GB"/>
              </w:rPr>
              <w:t xml:space="preserve">Highest </w:t>
            </w:r>
            <w:r w:rsidR="000B0BE0">
              <w:rPr>
                <w:color w:val="000000"/>
                <w:sz w:val="18"/>
                <w:szCs w:val="18"/>
                <w:lang w:eastAsia="en-GB"/>
              </w:rPr>
              <w:t>q</w:t>
            </w:r>
            <w:r w:rsidRPr="003B7EA9">
              <w:rPr>
                <w:color w:val="000000"/>
                <w:sz w:val="18"/>
                <w:szCs w:val="18"/>
                <w:lang w:eastAsia="en-GB"/>
              </w:rPr>
              <w:t>ualification (reference: Level 4 degree)</w:t>
            </w:r>
          </w:p>
        </w:tc>
        <w:tc>
          <w:tcPr>
            <w:tcW w:w="4150" w:type="dxa"/>
            <w:gridSpan w:val="11"/>
          </w:tcPr>
          <w:p w14:paraId="1514D1E9" w14:textId="4B327445" w:rsidR="002D697D" w:rsidRPr="003B7EA9" w:rsidRDefault="002D697D" w:rsidP="00023BDF">
            <w:pPr>
              <w:keepNext/>
              <w:spacing w:line="240" w:lineRule="auto"/>
              <w:ind w:firstLine="0"/>
              <w:jc w:val="left"/>
              <w:rPr>
                <w:sz w:val="20"/>
                <w:szCs w:val="20"/>
                <w:lang w:eastAsia="en-GB"/>
              </w:rPr>
            </w:pPr>
          </w:p>
        </w:tc>
      </w:tr>
      <w:tr w:rsidR="002D697D" w:rsidRPr="003B7EA9" w14:paraId="3A59008E" w14:textId="77777777" w:rsidTr="003E0A2F">
        <w:trPr>
          <w:trHeight w:val="20"/>
        </w:trPr>
        <w:tc>
          <w:tcPr>
            <w:tcW w:w="264" w:type="dxa"/>
            <w:noWrap/>
            <w:hideMark/>
          </w:tcPr>
          <w:p w14:paraId="47373C6E"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2D16161D"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pre-school age</w:t>
            </w:r>
          </w:p>
        </w:tc>
        <w:tc>
          <w:tcPr>
            <w:tcW w:w="1275" w:type="dxa"/>
            <w:gridSpan w:val="2"/>
            <w:noWrap/>
            <w:hideMark/>
          </w:tcPr>
          <w:p w14:paraId="435B325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0.86</w:t>
            </w:r>
          </w:p>
        </w:tc>
        <w:tc>
          <w:tcPr>
            <w:tcW w:w="262" w:type="dxa"/>
            <w:noWrap/>
            <w:hideMark/>
          </w:tcPr>
          <w:p w14:paraId="1CA66130"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35EB2968"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0.95</w:t>
            </w:r>
          </w:p>
        </w:tc>
        <w:tc>
          <w:tcPr>
            <w:tcW w:w="549" w:type="dxa"/>
            <w:noWrap/>
            <w:hideMark/>
          </w:tcPr>
          <w:p w14:paraId="19A052C0" w14:textId="77777777" w:rsidR="002D697D" w:rsidRPr="003B7EA9" w:rsidRDefault="002D697D" w:rsidP="00023BDF">
            <w:pPr>
              <w:keepNext/>
              <w:spacing w:line="240" w:lineRule="auto"/>
              <w:ind w:firstLine="0"/>
              <w:jc w:val="center"/>
              <w:rPr>
                <w:color w:val="000000"/>
                <w:sz w:val="18"/>
                <w:szCs w:val="18"/>
                <w:lang w:eastAsia="en-GB"/>
              </w:rPr>
            </w:pPr>
          </w:p>
        </w:tc>
        <w:tc>
          <w:tcPr>
            <w:tcW w:w="791" w:type="dxa"/>
            <w:gridSpan w:val="3"/>
            <w:noWrap/>
            <w:hideMark/>
          </w:tcPr>
          <w:p w14:paraId="36934CA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1.22</w:t>
            </w:r>
          </w:p>
        </w:tc>
        <w:tc>
          <w:tcPr>
            <w:tcW w:w="577" w:type="dxa"/>
            <w:gridSpan w:val="3"/>
            <w:noWrap/>
            <w:hideMark/>
          </w:tcPr>
          <w:p w14:paraId="4BF1097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H</w:t>
            </w:r>
          </w:p>
        </w:tc>
        <w:tc>
          <w:tcPr>
            <w:tcW w:w="822" w:type="dxa"/>
            <w:gridSpan w:val="5"/>
            <w:noWrap/>
            <w:hideMark/>
          </w:tcPr>
          <w:p w14:paraId="790445A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0.66</w:t>
            </w:r>
          </w:p>
        </w:tc>
        <w:tc>
          <w:tcPr>
            <w:tcW w:w="548" w:type="dxa"/>
            <w:gridSpan w:val="2"/>
            <w:noWrap/>
            <w:hideMark/>
          </w:tcPr>
          <w:p w14:paraId="33F05548"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2604878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1.14</w:t>
            </w:r>
          </w:p>
        </w:tc>
        <w:tc>
          <w:tcPr>
            <w:tcW w:w="549" w:type="dxa"/>
            <w:gridSpan w:val="3"/>
            <w:noWrap/>
            <w:hideMark/>
          </w:tcPr>
          <w:p w14:paraId="16D0B7EA"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H</w:t>
            </w:r>
          </w:p>
        </w:tc>
      </w:tr>
      <w:tr w:rsidR="002D697D" w:rsidRPr="003B7EA9" w14:paraId="5BC1ACC3" w14:textId="77777777" w:rsidTr="003E0A2F">
        <w:trPr>
          <w:trHeight w:val="20"/>
        </w:trPr>
        <w:tc>
          <w:tcPr>
            <w:tcW w:w="264" w:type="dxa"/>
            <w:noWrap/>
            <w:hideMark/>
          </w:tcPr>
          <w:p w14:paraId="03771AC3"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0B4A4FC8"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primary school age</w:t>
            </w:r>
          </w:p>
        </w:tc>
        <w:tc>
          <w:tcPr>
            <w:tcW w:w="1275" w:type="dxa"/>
            <w:gridSpan w:val="2"/>
            <w:noWrap/>
            <w:hideMark/>
          </w:tcPr>
          <w:p w14:paraId="3CE3743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0.83</w:t>
            </w:r>
          </w:p>
        </w:tc>
        <w:tc>
          <w:tcPr>
            <w:tcW w:w="262" w:type="dxa"/>
            <w:noWrap/>
            <w:hideMark/>
          </w:tcPr>
          <w:p w14:paraId="7CED28AE"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313E93D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0.83</w:t>
            </w:r>
          </w:p>
        </w:tc>
        <w:tc>
          <w:tcPr>
            <w:tcW w:w="549" w:type="dxa"/>
            <w:noWrap/>
            <w:hideMark/>
          </w:tcPr>
          <w:p w14:paraId="48BAB03E" w14:textId="77777777" w:rsidR="002D697D" w:rsidRPr="003B7EA9" w:rsidRDefault="002D697D" w:rsidP="00023BDF">
            <w:pPr>
              <w:keepNext/>
              <w:spacing w:line="240" w:lineRule="auto"/>
              <w:ind w:firstLine="0"/>
              <w:jc w:val="center"/>
              <w:rPr>
                <w:color w:val="000000"/>
                <w:sz w:val="18"/>
                <w:szCs w:val="18"/>
                <w:lang w:eastAsia="en-GB"/>
              </w:rPr>
            </w:pPr>
          </w:p>
        </w:tc>
        <w:tc>
          <w:tcPr>
            <w:tcW w:w="791" w:type="dxa"/>
            <w:gridSpan w:val="3"/>
            <w:noWrap/>
            <w:hideMark/>
          </w:tcPr>
          <w:p w14:paraId="3D080E2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0.96</w:t>
            </w:r>
          </w:p>
        </w:tc>
        <w:tc>
          <w:tcPr>
            <w:tcW w:w="577" w:type="dxa"/>
            <w:gridSpan w:val="3"/>
            <w:noWrap/>
            <w:hideMark/>
          </w:tcPr>
          <w:p w14:paraId="79137030"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noWrap/>
            <w:hideMark/>
          </w:tcPr>
          <w:p w14:paraId="79C3DDF7"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0.60</w:t>
            </w:r>
          </w:p>
        </w:tc>
        <w:tc>
          <w:tcPr>
            <w:tcW w:w="548" w:type="dxa"/>
            <w:gridSpan w:val="2"/>
            <w:noWrap/>
            <w:hideMark/>
          </w:tcPr>
          <w:p w14:paraId="6A274896"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0018861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0.97</w:t>
            </w:r>
          </w:p>
        </w:tc>
        <w:tc>
          <w:tcPr>
            <w:tcW w:w="549" w:type="dxa"/>
            <w:gridSpan w:val="3"/>
            <w:noWrap/>
            <w:hideMark/>
          </w:tcPr>
          <w:p w14:paraId="47DC49BD"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383102E9" w14:textId="77777777" w:rsidTr="003E0A2F">
        <w:trPr>
          <w:trHeight w:val="20"/>
        </w:trPr>
        <w:tc>
          <w:tcPr>
            <w:tcW w:w="264" w:type="dxa"/>
            <w:noWrap/>
            <w:hideMark/>
          </w:tcPr>
          <w:p w14:paraId="300D9A38"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14E226F8"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secondary school age</w:t>
            </w:r>
          </w:p>
        </w:tc>
        <w:tc>
          <w:tcPr>
            <w:tcW w:w="1275" w:type="dxa"/>
            <w:gridSpan w:val="2"/>
            <w:noWrap/>
            <w:hideMark/>
          </w:tcPr>
          <w:p w14:paraId="42FDBCA7"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0.90</w:t>
            </w:r>
          </w:p>
        </w:tc>
        <w:tc>
          <w:tcPr>
            <w:tcW w:w="262" w:type="dxa"/>
            <w:noWrap/>
            <w:hideMark/>
          </w:tcPr>
          <w:p w14:paraId="1B3B343A"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494F5B9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0.76</w:t>
            </w:r>
          </w:p>
        </w:tc>
        <w:tc>
          <w:tcPr>
            <w:tcW w:w="549" w:type="dxa"/>
            <w:noWrap/>
            <w:hideMark/>
          </w:tcPr>
          <w:p w14:paraId="047913B0" w14:textId="77777777" w:rsidR="002D697D" w:rsidRPr="003B7EA9" w:rsidRDefault="002D697D" w:rsidP="00023BDF">
            <w:pPr>
              <w:keepNext/>
              <w:spacing w:line="240" w:lineRule="auto"/>
              <w:ind w:firstLine="0"/>
              <w:jc w:val="center"/>
              <w:rPr>
                <w:color w:val="000000"/>
                <w:sz w:val="18"/>
                <w:szCs w:val="18"/>
                <w:lang w:eastAsia="en-GB"/>
              </w:rPr>
            </w:pPr>
          </w:p>
        </w:tc>
        <w:tc>
          <w:tcPr>
            <w:tcW w:w="791" w:type="dxa"/>
            <w:gridSpan w:val="3"/>
            <w:noWrap/>
            <w:hideMark/>
          </w:tcPr>
          <w:p w14:paraId="33F4EF0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1.02</w:t>
            </w:r>
          </w:p>
        </w:tc>
        <w:tc>
          <w:tcPr>
            <w:tcW w:w="577" w:type="dxa"/>
            <w:gridSpan w:val="3"/>
            <w:noWrap/>
            <w:hideMark/>
          </w:tcPr>
          <w:p w14:paraId="568299D6"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noWrap/>
            <w:hideMark/>
          </w:tcPr>
          <w:p w14:paraId="6B548CB8"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0.58</w:t>
            </w:r>
          </w:p>
        </w:tc>
        <w:tc>
          <w:tcPr>
            <w:tcW w:w="548" w:type="dxa"/>
            <w:gridSpan w:val="2"/>
            <w:noWrap/>
            <w:hideMark/>
          </w:tcPr>
          <w:p w14:paraId="25A750DA"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1ED58527"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1.02</w:t>
            </w:r>
          </w:p>
        </w:tc>
        <w:tc>
          <w:tcPr>
            <w:tcW w:w="549" w:type="dxa"/>
            <w:gridSpan w:val="3"/>
            <w:noWrap/>
            <w:hideMark/>
          </w:tcPr>
          <w:p w14:paraId="0061E75D"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67024F13" w14:textId="77777777" w:rsidTr="003E0A2F">
        <w:trPr>
          <w:trHeight w:val="20"/>
        </w:trPr>
        <w:tc>
          <w:tcPr>
            <w:tcW w:w="264" w:type="dxa"/>
            <w:noWrap/>
            <w:hideMark/>
          </w:tcPr>
          <w:p w14:paraId="4B496D8D"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5AFC89F2"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no qualifications</w:t>
            </w:r>
          </w:p>
        </w:tc>
        <w:tc>
          <w:tcPr>
            <w:tcW w:w="1275" w:type="dxa"/>
            <w:gridSpan w:val="2"/>
            <w:noWrap/>
            <w:hideMark/>
          </w:tcPr>
          <w:p w14:paraId="2544ECF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0.59</w:t>
            </w:r>
          </w:p>
        </w:tc>
        <w:tc>
          <w:tcPr>
            <w:tcW w:w="262" w:type="dxa"/>
            <w:noWrap/>
            <w:hideMark/>
          </w:tcPr>
          <w:p w14:paraId="6042C632"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7CBA548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0.96</w:t>
            </w:r>
          </w:p>
        </w:tc>
        <w:tc>
          <w:tcPr>
            <w:tcW w:w="549" w:type="dxa"/>
            <w:noWrap/>
            <w:hideMark/>
          </w:tcPr>
          <w:p w14:paraId="134A0CF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H</w:t>
            </w:r>
          </w:p>
        </w:tc>
        <w:tc>
          <w:tcPr>
            <w:tcW w:w="791" w:type="dxa"/>
            <w:gridSpan w:val="3"/>
            <w:noWrap/>
            <w:hideMark/>
          </w:tcPr>
          <w:p w14:paraId="1ADF7F7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0.88</w:t>
            </w:r>
          </w:p>
        </w:tc>
        <w:tc>
          <w:tcPr>
            <w:tcW w:w="577" w:type="dxa"/>
            <w:gridSpan w:val="3"/>
            <w:noWrap/>
            <w:hideMark/>
          </w:tcPr>
          <w:p w14:paraId="0B2928F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H</w:t>
            </w:r>
          </w:p>
        </w:tc>
        <w:tc>
          <w:tcPr>
            <w:tcW w:w="822" w:type="dxa"/>
            <w:gridSpan w:val="5"/>
            <w:noWrap/>
            <w:hideMark/>
          </w:tcPr>
          <w:p w14:paraId="4515121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0.64</w:t>
            </w:r>
          </w:p>
        </w:tc>
        <w:tc>
          <w:tcPr>
            <w:tcW w:w="548" w:type="dxa"/>
            <w:gridSpan w:val="2"/>
            <w:noWrap/>
            <w:hideMark/>
          </w:tcPr>
          <w:p w14:paraId="546433C7"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23234C4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0.62</w:t>
            </w:r>
          </w:p>
        </w:tc>
        <w:tc>
          <w:tcPr>
            <w:tcW w:w="549" w:type="dxa"/>
            <w:gridSpan w:val="3"/>
            <w:noWrap/>
            <w:hideMark/>
          </w:tcPr>
          <w:p w14:paraId="1C334593"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6DC02956" w14:textId="77777777" w:rsidTr="003E0A2F">
        <w:trPr>
          <w:trHeight w:val="20"/>
        </w:trPr>
        <w:tc>
          <w:tcPr>
            <w:tcW w:w="264" w:type="dxa"/>
            <w:noWrap/>
            <w:hideMark/>
          </w:tcPr>
          <w:p w14:paraId="5EA06F55"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4BDBEB24" w14:textId="5BE3C655" w:rsidR="002D697D" w:rsidRPr="003B7EA9" w:rsidRDefault="000B0BE0" w:rsidP="00023BDF">
            <w:pPr>
              <w:keepNext/>
              <w:spacing w:line="240" w:lineRule="auto"/>
              <w:ind w:firstLine="0"/>
              <w:jc w:val="left"/>
              <w:rPr>
                <w:color w:val="000000"/>
                <w:sz w:val="18"/>
                <w:szCs w:val="18"/>
                <w:lang w:eastAsia="en-GB"/>
              </w:rPr>
            </w:pPr>
            <w:r>
              <w:rPr>
                <w:color w:val="000000"/>
                <w:sz w:val="18"/>
                <w:szCs w:val="18"/>
                <w:lang w:eastAsia="en-GB"/>
              </w:rPr>
              <w:t>l</w:t>
            </w:r>
            <w:r w:rsidR="002D697D" w:rsidRPr="003B7EA9">
              <w:rPr>
                <w:color w:val="000000"/>
                <w:sz w:val="18"/>
                <w:szCs w:val="18"/>
                <w:lang w:eastAsia="en-GB"/>
              </w:rPr>
              <w:t>evel 1, 2 , apprentice, other</w:t>
            </w:r>
          </w:p>
        </w:tc>
        <w:tc>
          <w:tcPr>
            <w:tcW w:w="1275" w:type="dxa"/>
            <w:gridSpan w:val="2"/>
            <w:noWrap/>
            <w:hideMark/>
          </w:tcPr>
          <w:p w14:paraId="4ED8A70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0.70</w:t>
            </w:r>
          </w:p>
        </w:tc>
        <w:tc>
          <w:tcPr>
            <w:tcW w:w="262" w:type="dxa"/>
            <w:noWrap/>
            <w:hideMark/>
          </w:tcPr>
          <w:p w14:paraId="688DC243"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2162800C"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0.93</w:t>
            </w:r>
          </w:p>
        </w:tc>
        <w:tc>
          <w:tcPr>
            <w:tcW w:w="549" w:type="dxa"/>
            <w:noWrap/>
            <w:hideMark/>
          </w:tcPr>
          <w:p w14:paraId="5AD721ED"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H</w:t>
            </w:r>
          </w:p>
        </w:tc>
        <w:tc>
          <w:tcPr>
            <w:tcW w:w="791" w:type="dxa"/>
            <w:gridSpan w:val="3"/>
            <w:noWrap/>
            <w:hideMark/>
          </w:tcPr>
          <w:p w14:paraId="0A3D6B9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0.85</w:t>
            </w:r>
          </w:p>
        </w:tc>
        <w:tc>
          <w:tcPr>
            <w:tcW w:w="577" w:type="dxa"/>
            <w:gridSpan w:val="3"/>
            <w:noWrap/>
            <w:hideMark/>
          </w:tcPr>
          <w:p w14:paraId="71549E2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H</w:t>
            </w:r>
          </w:p>
        </w:tc>
        <w:tc>
          <w:tcPr>
            <w:tcW w:w="822" w:type="dxa"/>
            <w:gridSpan w:val="5"/>
            <w:noWrap/>
            <w:hideMark/>
          </w:tcPr>
          <w:p w14:paraId="5643F70A"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0.69</w:t>
            </w:r>
          </w:p>
        </w:tc>
        <w:tc>
          <w:tcPr>
            <w:tcW w:w="548" w:type="dxa"/>
            <w:gridSpan w:val="2"/>
            <w:noWrap/>
            <w:hideMark/>
          </w:tcPr>
          <w:p w14:paraId="08690F61"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417FC06C"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0.67</w:t>
            </w:r>
          </w:p>
        </w:tc>
        <w:tc>
          <w:tcPr>
            <w:tcW w:w="549" w:type="dxa"/>
            <w:gridSpan w:val="3"/>
            <w:noWrap/>
            <w:hideMark/>
          </w:tcPr>
          <w:p w14:paraId="5D05D450"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502160B6" w14:textId="77777777" w:rsidTr="003E0A2F">
        <w:trPr>
          <w:trHeight w:val="20"/>
        </w:trPr>
        <w:tc>
          <w:tcPr>
            <w:tcW w:w="264" w:type="dxa"/>
            <w:tcBorders>
              <w:bottom w:val="single" w:sz="4" w:space="0" w:color="auto"/>
            </w:tcBorders>
            <w:noWrap/>
            <w:hideMark/>
          </w:tcPr>
          <w:p w14:paraId="7FFEA79F"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 </w:t>
            </w:r>
          </w:p>
        </w:tc>
        <w:tc>
          <w:tcPr>
            <w:tcW w:w="3015" w:type="dxa"/>
            <w:tcBorders>
              <w:bottom w:val="single" w:sz="4" w:space="0" w:color="auto"/>
            </w:tcBorders>
            <w:noWrap/>
            <w:hideMark/>
          </w:tcPr>
          <w:p w14:paraId="677187CE" w14:textId="48FB95AC" w:rsidR="002D697D" w:rsidRPr="003B7EA9" w:rsidRDefault="000B0BE0" w:rsidP="00023BDF">
            <w:pPr>
              <w:keepNext/>
              <w:spacing w:line="240" w:lineRule="auto"/>
              <w:ind w:firstLine="0"/>
              <w:jc w:val="left"/>
              <w:rPr>
                <w:color w:val="000000"/>
                <w:sz w:val="18"/>
                <w:szCs w:val="18"/>
                <w:lang w:eastAsia="en-GB"/>
              </w:rPr>
            </w:pPr>
            <w:r>
              <w:rPr>
                <w:color w:val="000000"/>
                <w:sz w:val="18"/>
                <w:szCs w:val="18"/>
                <w:lang w:eastAsia="en-GB"/>
              </w:rPr>
              <w:t>l</w:t>
            </w:r>
            <w:r w:rsidR="002D697D" w:rsidRPr="003B7EA9">
              <w:rPr>
                <w:color w:val="000000"/>
                <w:sz w:val="18"/>
                <w:szCs w:val="18"/>
                <w:lang w:eastAsia="en-GB"/>
              </w:rPr>
              <w:t>evel 3 A levels</w:t>
            </w:r>
          </w:p>
        </w:tc>
        <w:tc>
          <w:tcPr>
            <w:tcW w:w="1275" w:type="dxa"/>
            <w:gridSpan w:val="2"/>
            <w:tcBorders>
              <w:bottom w:val="single" w:sz="4" w:space="0" w:color="auto"/>
            </w:tcBorders>
            <w:noWrap/>
            <w:hideMark/>
          </w:tcPr>
          <w:p w14:paraId="0973CC38"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0.91</w:t>
            </w:r>
          </w:p>
        </w:tc>
        <w:tc>
          <w:tcPr>
            <w:tcW w:w="262" w:type="dxa"/>
            <w:tcBorders>
              <w:bottom w:val="single" w:sz="4" w:space="0" w:color="auto"/>
            </w:tcBorders>
            <w:noWrap/>
            <w:hideMark/>
          </w:tcPr>
          <w:p w14:paraId="3A6E46C7"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tcBorders>
              <w:bottom w:val="single" w:sz="4" w:space="0" w:color="auto"/>
            </w:tcBorders>
            <w:noWrap/>
            <w:hideMark/>
          </w:tcPr>
          <w:p w14:paraId="339E103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1.12</w:t>
            </w:r>
          </w:p>
        </w:tc>
        <w:tc>
          <w:tcPr>
            <w:tcW w:w="549" w:type="dxa"/>
            <w:tcBorders>
              <w:bottom w:val="single" w:sz="4" w:space="0" w:color="auto"/>
            </w:tcBorders>
            <w:noWrap/>
            <w:hideMark/>
          </w:tcPr>
          <w:p w14:paraId="51E1ED18"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c>
          <w:tcPr>
            <w:tcW w:w="791" w:type="dxa"/>
            <w:gridSpan w:val="3"/>
            <w:tcBorders>
              <w:bottom w:val="single" w:sz="4" w:space="0" w:color="auto"/>
            </w:tcBorders>
            <w:noWrap/>
            <w:hideMark/>
          </w:tcPr>
          <w:p w14:paraId="6351920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1.27</w:t>
            </w:r>
          </w:p>
        </w:tc>
        <w:tc>
          <w:tcPr>
            <w:tcW w:w="577" w:type="dxa"/>
            <w:gridSpan w:val="3"/>
            <w:tcBorders>
              <w:bottom w:val="single" w:sz="4" w:space="0" w:color="auto"/>
            </w:tcBorders>
            <w:noWrap/>
            <w:hideMark/>
          </w:tcPr>
          <w:p w14:paraId="4B5AF38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H</w:t>
            </w:r>
          </w:p>
        </w:tc>
        <w:tc>
          <w:tcPr>
            <w:tcW w:w="822" w:type="dxa"/>
            <w:gridSpan w:val="5"/>
            <w:tcBorders>
              <w:bottom w:val="single" w:sz="4" w:space="0" w:color="auto"/>
            </w:tcBorders>
            <w:noWrap/>
            <w:hideMark/>
          </w:tcPr>
          <w:p w14:paraId="7B3C45B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1.11</w:t>
            </w:r>
          </w:p>
        </w:tc>
        <w:tc>
          <w:tcPr>
            <w:tcW w:w="548" w:type="dxa"/>
            <w:gridSpan w:val="2"/>
            <w:tcBorders>
              <w:bottom w:val="single" w:sz="4" w:space="0" w:color="auto"/>
            </w:tcBorders>
            <w:noWrap/>
            <w:hideMark/>
          </w:tcPr>
          <w:p w14:paraId="524C9ED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H</w:t>
            </w:r>
          </w:p>
        </w:tc>
        <w:tc>
          <w:tcPr>
            <w:tcW w:w="822" w:type="dxa"/>
            <w:gridSpan w:val="2"/>
            <w:tcBorders>
              <w:bottom w:val="single" w:sz="4" w:space="0" w:color="auto"/>
            </w:tcBorders>
            <w:noWrap/>
            <w:hideMark/>
          </w:tcPr>
          <w:p w14:paraId="6076212D"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0.97</w:t>
            </w:r>
          </w:p>
        </w:tc>
        <w:tc>
          <w:tcPr>
            <w:tcW w:w="549" w:type="dxa"/>
            <w:gridSpan w:val="3"/>
            <w:tcBorders>
              <w:bottom w:val="single" w:sz="4" w:space="0" w:color="auto"/>
            </w:tcBorders>
            <w:noWrap/>
            <w:hideMark/>
          </w:tcPr>
          <w:p w14:paraId="2EE3A65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r>
      <w:tr w:rsidR="002D697D" w:rsidRPr="003B7EA9" w14:paraId="1ABE13D3" w14:textId="77777777" w:rsidTr="003E0A2F">
        <w:trPr>
          <w:gridAfter w:val="11"/>
          <w:wAfter w:w="2449" w:type="dxa"/>
          <w:trHeight w:val="20"/>
        </w:trPr>
        <w:tc>
          <w:tcPr>
            <w:tcW w:w="8129" w:type="dxa"/>
            <w:gridSpan w:val="14"/>
            <w:noWrap/>
            <w:hideMark/>
          </w:tcPr>
          <w:p w14:paraId="2458CF32" w14:textId="0F34B4D0" w:rsidR="002D697D" w:rsidRPr="003B7EA9" w:rsidRDefault="002D697D" w:rsidP="000B0BE0">
            <w:pPr>
              <w:keepNext/>
              <w:spacing w:line="240" w:lineRule="auto"/>
              <w:ind w:firstLine="0"/>
              <w:jc w:val="left"/>
              <w:rPr>
                <w:sz w:val="20"/>
                <w:szCs w:val="20"/>
                <w:lang w:eastAsia="en-GB"/>
              </w:rPr>
            </w:pPr>
            <w:r w:rsidRPr="003B7EA9">
              <w:rPr>
                <w:color w:val="000000"/>
                <w:sz w:val="18"/>
                <w:szCs w:val="18"/>
                <w:lang w:eastAsia="en-GB"/>
              </w:rPr>
              <w:t xml:space="preserve">Economic </w:t>
            </w:r>
            <w:r w:rsidR="000B0BE0">
              <w:rPr>
                <w:color w:val="000000"/>
                <w:sz w:val="18"/>
                <w:szCs w:val="18"/>
                <w:lang w:eastAsia="en-GB"/>
              </w:rPr>
              <w:t>a</w:t>
            </w:r>
            <w:r w:rsidRPr="003B7EA9">
              <w:rPr>
                <w:color w:val="000000"/>
                <w:sz w:val="18"/>
                <w:szCs w:val="18"/>
                <w:lang w:eastAsia="en-GB"/>
              </w:rPr>
              <w:t>ctivity (reference: full time employee)</w:t>
            </w:r>
          </w:p>
        </w:tc>
      </w:tr>
      <w:tr w:rsidR="002D697D" w:rsidRPr="003B7EA9" w14:paraId="1F6648DB" w14:textId="77777777" w:rsidTr="003E0A2F">
        <w:trPr>
          <w:trHeight w:val="20"/>
        </w:trPr>
        <w:tc>
          <w:tcPr>
            <w:tcW w:w="264" w:type="dxa"/>
            <w:noWrap/>
            <w:hideMark/>
          </w:tcPr>
          <w:p w14:paraId="090B5621"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12F3E69D"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part time employee</w:t>
            </w:r>
          </w:p>
        </w:tc>
        <w:tc>
          <w:tcPr>
            <w:tcW w:w="1275" w:type="dxa"/>
            <w:gridSpan w:val="2"/>
            <w:noWrap/>
            <w:hideMark/>
          </w:tcPr>
          <w:p w14:paraId="31E2D87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0.85</w:t>
            </w:r>
          </w:p>
        </w:tc>
        <w:tc>
          <w:tcPr>
            <w:tcW w:w="262" w:type="dxa"/>
            <w:noWrap/>
            <w:hideMark/>
          </w:tcPr>
          <w:p w14:paraId="66975FB7"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583FCD7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0.83</w:t>
            </w:r>
          </w:p>
        </w:tc>
        <w:tc>
          <w:tcPr>
            <w:tcW w:w="549" w:type="dxa"/>
            <w:noWrap/>
            <w:hideMark/>
          </w:tcPr>
          <w:p w14:paraId="22B9395A" w14:textId="77777777" w:rsidR="002D697D" w:rsidRPr="003B7EA9" w:rsidRDefault="002D697D" w:rsidP="00023BDF">
            <w:pPr>
              <w:keepNext/>
              <w:spacing w:line="240" w:lineRule="auto"/>
              <w:ind w:firstLine="0"/>
              <w:jc w:val="center"/>
              <w:rPr>
                <w:color w:val="000000"/>
                <w:sz w:val="18"/>
                <w:szCs w:val="18"/>
                <w:lang w:eastAsia="en-GB"/>
              </w:rPr>
            </w:pPr>
          </w:p>
        </w:tc>
        <w:tc>
          <w:tcPr>
            <w:tcW w:w="791" w:type="dxa"/>
            <w:gridSpan w:val="3"/>
            <w:noWrap/>
            <w:hideMark/>
          </w:tcPr>
          <w:p w14:paraId="36D9E83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0.84</w:t>
            </w:r>
          </w:p>
        </w:tc>
        <w:tc>
          <w:tcPr>
            <w:tcW w:w="577" w:type="dxa"/>
            <w:gridSpan w:val="3"/>
            <w:noWrap/>
            <w:hideMark/>
          </w:tcPr>
          <w:p w14:paraId="60AF755A"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noWrap/>
            <w:hideMark/>
          </w:tcPr>
          <w:p w14:paraId="4635EDF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0.70</w:t>
            </w:r>
          </w:p>
        </w:tc>
        <w:tc>
          <w:tcPr>
            <w:tcW w:w="548" w:type="dxa"/>
            <w:gridSpan w:val="2"/>
            <w:noWrap/>
            <w:hideMark/>
          </w:tcPr>
          <w:p w14:paraId="1DF5EDC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2"/>
            <w:noWrap/>
            <w:hideMark/>
          </w:tcPr>
          <w:p w14:paraId="7EAF99B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0.83</w:t>
            </w:r>
          </w:p>
        </w:tc>
        <w:tc>
          <w:tcPr>
            <w:tcW w:w="549" w:type="dxa"/>
            <w:gridSpan w:val="3"/>
            <w:noWrap/>
            <w:hideMark/>
          </w:tcPr>
          <w:p w14:paraId="31AA25E7"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53EC0525" w14:textId="77777777" w:rsidTr="003E0A2F">
        <w:trPr>
          <w:trHeight w:val="20"/>
        </w:trPr>
        <w:tc>
          <w:tcPr>
            <w:tcW w:w="264" w:type="dxa"/>
            <w:noWrap/>
            <w:hideMark/>
          </w:tcPr>
          <w:p w14:paraId="3205BA99"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20D44C89"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self employed</w:t>
            </w:r>
          </w:p>
        </w:tc>
        <w:tc>
          <w:tcPr>
            <w:tcW w:w="1275" w:type="dxa"/>
            <w:gridSpan w:val="2"/>
            <w:noWrap/>
            <w:hideMark/>
          </w:tcPr>
          <w:p w14:paraId="0B88EC27"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0.92</w:t>
            </w:r>
          </w:p>
        </w:tc>
        <w:tc>
          <w:tcPr>
            <w:tcW w:w="262" w:type="dxa"/>
            <w:noWrap/>
            <w:hideMark/>
          </w:tcPr>
          <w:p w14:paraId="1ED8597B"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6CED77D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1.00</w:t>
            </w:r>
          </w:p>
        </w:tc>
        <w:tc>
          <w:tcPr>
            <w:tcW w:w="549" w:type="dxa"/>
            <w:noWrap/>
            <w:hideMark/>
          </w:tcPr>
          <w:p w14:paraId="6D1B1066" w14:textId="77777777" w:rsidR="002D697D" w:rsidRPr="003B7EA9" w:rsidRDefault="002D697D" w:rsidP="00023BDF">
            <w:pPr>
              <w:keepNext/>
              <w:spacing w:line="240" w:lineRule="auto"/>
              <w:ind w:firstLine="0"/>
              <w:jc w:val="center"/>
              <w:rPr>
                <w:color w:val="000000"/>
                <w:sz w:val="18"/>
                <w:szCs w:val="18"/>
                <w:lang w:eastAsia="en-GB"/>
              </w:rPr>
            </w:pPr>
          </w:p>
        </w:tc>
        <w:tc>
          <w:tcPr>
            <w:tcW w:w="791" w:type="dxa"/>
            <w:gridSpan w:val="3"/>
            <w:noWrap/>
            <w:hideMark/>
          </w:tcPr>
          <w:p w14:paraId="42511A28"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0.84</w:t>
            </w:r>
          </w:p>
        </w:tc>
        <w:tc>
          <w:tcPr>
            <w:tcW w:w="577" w:type="dxa"/>
            <w:gridSpan w:val="3"/>
            <w:noWrap/>
            <w:hideMark/>
          </w:tcPr>
          <w:p w14:paraId="3C65492C"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noWrap/>
            <w:hideMark/>
          </w:tcPr>
          <w:p w14:paraId="14B4F241"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0.84</w:t>
            </w:r>
          </w:p>
        </w:tc>
        <w:tc>
          <w:tcPr>
            <w:tcW w:w="548" w:type="dxa"/>
            <w:gridSpan w:val="2"/>
            <w:noWrap/>
            <w:hideMark/>
          </w:tcPr>
          <w:p w14:paraId="7CBE7636"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31C9E43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0.88</w:t>
            </w:r>
          </w:p>
        </w:tc>
        <w:tc>
          <w:tcPr>
            <w:tcW w:w="549" w:type="dxa"/>
            <w:gridSpan w:val="3"/>
            <w:noWrap/>
            <w:hideMark/>
          </w:tcPr>
          <w:p w14:paraId="2944C95B"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5AD64842" w14:textId="77777777" w:rsidTr="003E0A2F">
        <w:trPr>
          <w:trHeight w:val="20"/>
        </w:trPr>
        <w:tc>
          <w:tcPr>
            <w:tcW w:w="264" w:type="dxa"/>
            <w:noWrap/>
            <w:hideMark/>
          </w:tcPr>
          <w:p w14:paraId="208E51A2"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0EDE6AA1"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unemployed</w:t>
            </w:r>
          </w:p>
        </w:tc>
        <w:tc>
          <w:tcPr>
            <w:tcW w:w="1275" w:type="dxa"/>
            <w:gridSpan w:val="2"/>
            <w:noWrap/>
            <w:hideMark/>
          </w:tcPr>
          <w:p w14:paraId="05AD4D8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1.22</w:t>
            </w:r>
          </w:p>
        </w:tc>
        <w:tc>
          <w:tcPr>
            <w:tcW w:w="262" w:type="dxa"/>
            <w:noWrap/>
            <w:hideMark/>
          </w:tcPr>
          <w:p w14:paraId="6482E504"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0C98A92A"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0.86</w:t>
            </w:r>
          </w:p>
        </w:tc>
        <w:tc>
          <w:tcPr>
            <w:tcW w:w="549" w:type="dxa"/>
            <w:noWrap/>
            <w:hideMark/>
          </w:tcPr>
          <w:p w14:paraId="579E7A8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791" w:type="dxa"/>
            <w:gridSpan w:val="3"/>
            <w:noWrap/>
            <w:hideMark/>
          </w:tcPr>
          <w:p w14:paraId="75CECDA7"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1.16</w:t>
            </w:r>
          </w:p>
        </w:tc>
        <w:tc>
          <w:tcPr>
            <w:tcW w:w="577" w:type="dxa"/>
            <w:gridSpan w:val="3"/>
            <w:noWrap/>
            <w:hideMark/>
          </w:tcPr>
          <w:p w14:paraId="19B4663F"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noWrap/>
            <w:hideMark/>
          </w:tcPr>
          <w:p w14:paraId="38C34BFD"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0.93</w:t>
            </w:r>
          </w:p>
        </w:tc>
        <w:tc>
          <w:tcPr>
            <w:tcW w:w="548" w:type="dxa"/>
            <w:gridSpan w:val="2"/>
            <w:noWrap/>
            <w:hideMark/>
          </w:tcPr>
          <w:p w14:paraId="3746FF3A"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39BA378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0.82</w:t>
            </w:r>
          </w:p>
        </w:tc>
        <w:tc>
          <w:tcPr>
            <w:tcW w:w="549" w:type="dxa"/>
            <w:gridSpan w:val="3"/>
            <w:noWrap/>
            <w:hideMark/>
          </w:tcPr>
          <w:p w14:paraId="37F004C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r>
      <w:tr w:rsidR="002D697D" w:rsidRPr="003B7EA9" w14:paraId="49BCAECF" w14:textId="77777777" w:rsidTr="003E0A2F">
        <w:trPr>
          <w:trHeight w:val="20"/>
        </w:trPr>
        <w:tc>
          <w:tcPr>
            <w:tcW w:w="264" w:type="dxa"/>
            <w:noWrap/>
            <w:hideMark/>
          </w:tcPr>
          <w:p w14:paraId="699EF564"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1238DDB0" w14:textId="674277A7" w:rsidR="002D697D" w:rsidRPr="003B7EA9" w:rsidRDefault="000B0BE0" w:rsidP="00023BDF">
            <w:pPr>
              <w:keepNext/>
              <w:spacing w:line="240" w:lineRule="auto"/>
              <w:ind w:firstLine="0"/>
              <w:jc w:val="left"/>
              <w:rPr>
                <w:color w:val="000000"/>
                <w:sz w:val="18"/>
                <w:szCs w:val="18"/>
                <w:lang w:eastAsia="en-GB"/>
              </w:rPr>
            </w:pPr>
            <w:r>
              <w:rPr>
                <w:color w:val="000000"/>
                <w:sz w:val="18"/>
                <w:szCs w:val="18"/>
                <w:lang w:eastAsia="en-GB"/>
              </w:rPr>
              <w:t>r</w:t>
            </w:r>
            <w:r w:rsidR="002D697D" w:rsidRPr="003B7EA9">
              <w:rPr>
                <w:color w:val="000000"/>
                <w:sz w:val="18"/>
                <w:szCs w:val="18"/>
                <w:lang w:eastAsia="en-GB"/>
              </w:rPr>
              <w:t>etired</w:t>
            </w:r>
          </w:p>
        </w:tc>
        <w:tc>
          <w:tcPr>
            <w:tcW w:w="1275" w:type="dxa"/>
            <w:gridSpan w:val="2"/>
            <w:noWrap/>
            <w:hideMark/>
          </w:tcPr>
          <w:p w14:paraId="2A9D730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0.73</w:t>
            </w:r>
          </w:p>
        </w:tc>
        <w:tc>
          <w:tcPr>
            <w:tcW w:w="262" w:type="dxa"/>
            <w:noWrap/>
            <w:hideMark/>
          </w:tcPr>
          <w:p w14:paraId="7553391F"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14C3491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0.46</w:t>
            </w:r>
          </w:p>
        </w:tc>
        <w:tc>
          <w:tcPr>
            <w:tcW w:w="549" w:type="dxa"/>
            <w:noWrap/>
            <w:hideMark/>
          </w:tcPr>
          <w:p w14:paraId="22D776FC" w14:textId="77777777" w:rsidR="002D697D" w:rsidRPr="003B7EA9" w:rsidRDefault="002D697D" w:rsidP="00023BDF">
            <w:pPr>
              <w:keepNext/>
              <w:spacing w:line="240" w:lineRule="auto"/>
              <w:ind w:firstLine="0"/>
              <w:jc w:val="center"/>
              <w:rPr>
                <w:color w:val="000000"/>
                <w:sz w:val="18"/>
                <w:szCs w:val="18"/>
                <w:lang w:eastAsia="en-GB"/>
              </w:rPr>
            </w:pPr>
          </w:p>
        </w:tc>
        <w:tc>
          <w:tcPr>
            <w:tcW w:w="791" w:type="dxa"/>
            <w:gridSpan w:val="3"/>
            <w:noWrap/>
            <w:hideMark/>
          </w:tcPr>
          <w:p w14:paraId="3EFC588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0.61</w:t>
            </w:r>
          </w:p>
        </w:tc>
        <w:tc>
          <w:tcPr>
            <w:tcW w:w="577" w:type="dxa"/>
            <w:gridSpan w:val="3"/>
            <w:noWrap/>
            <w:hideMark/>
          </w:tcPr>
          <w:p w14:paraId="71DDB2C5"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noWrap/>
            <w:hideMark/>
          </w:tcPr>
          <w:p w14:paraId="61202D7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0.84</w:t>
            </w:r>
          </w:p>
        </w:tc>
        <w:tc>
          <w:tcPr>
            <w:tcW w:w="548" w:type="dxa"/>
            <w:gridSpan w:val="2"/>
            <w:noWrap/>
            <w:hideMark/>
          </w:tcPr>
          <w:p w14:paraId="2A7C4E40"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7DD2ACF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0.74</w:t>
            </w:r>
          </w:p>
        </w:tc>
        <w:tc>
          <w:tcPr>
            <w:tcW w:w="549" w:type="dxa"/>
            <w:gridSpan w:val="3"/>
            <w:noWrap/>
            <w:hideMark/>
          </w:tcPr>
          <w:p w14:paraId="16415C2A"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7A5B4DDC" w14:textId="77777777" w:rsidTr="003E0A2F">
        <w:trPr>
          <w:trHeight w:val="20"/>
        </w:trPr>
        <w:tc>
          <w:tcPr>
            <w:tcW w:w="264" w:type="dxa"/>
            <w:noWrap/>
            <w:hideMark/>
          </w:tcPr>
          <w:p w14:paraId="668B048D"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7E3A8EC1"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student post 16</w:t>
            </w:r>
          </w:p>
        </w:tc>
        <w:tc>
          <w:tcPr>
            <w:tcW w:w="1275" w:type="dxa"/>
            <w:gridSpan w:val="2"/>
            <w:noWrap/>
            <w:hideMark/>
          </w:tcPr>
          <w:p w14:paraId="278373C8"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1.44</w:t>
            </w:r>
          </w:p>
        </w:tc>
        <w:tc>
          <w:tcPr>
            <w:tcW w:w="262" w:type="dxa"/>
            <w:noWrap/>
            <w:hideMark/>
          </w:tcPr>
          <w:p w14:paraId="78FD8842"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31614C8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0.91</w:t>
            </w:r>
          </w:p>
        </w:tc>
        <w:tc>
          <w:tcPr>
            <w:tcW w:w="549" w:type="dxa"/>
            <w:noWrap/>
            <w:hideMark/>
          </w:tcPr>
          <w:p w14:paraId="7CC2B1BC"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791" w:type="dxa"/>
            <w:gridSpan w:val="3"/>
            <w:noWrap/>
            <w:hideMark/>
          </w:tcPr>
          <w:p w14:paraId="5429647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0.96</w:t>
            </w:r>
          </w:p>
        </w:tc>
        <w:tc>
          <w:tcPr>
            <w:tcW w:w="577" w:type="dxa"/>
            <w:gridSpan w:val="3"/>
            <w:noWrap/>
            <w:hideMark/>
          </w:tcPr>
          <w:p w14:paraId="52FF398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noWrap/>
            <w:hideMark/>
          </w:tcPr>
          <w:p w14:paraId="244E371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1.03</w:t>
            </w:r>
          </w:p>
        </w:tc>
        <w:tc>
          <w:tcPr>
            <w:tcW w:w="548" w:type="dxa"/>
            <w:gridSpan w:val="2"/>
            <w:noWrap/>
            <w:hideMark/>
          </w:tcPr>
          <w:p w14:paraId="67A4921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2"/>
            <w:noWrap/>
            <w:hideMark/>
          </w:tcPr>
          <w:p w14:paraId="2F86998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1.10</w:t>
            </w:r>
          </w:p>
        </w:tc>
        <w:tc>
          <w:tcPr>
            <w:tcW w:w="549" w:type="dxa"/>
            <w:gridSpan w:val="3"/>
            <w:noWrap/>
            <w:hideMark/>
          </w:tcPr>
          <w:p w14:paraId="59BBFFC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r>
      <w:tr w:rsidR="002D697D" w:rsidRPr="003B7EA9" w14:paraId="5620C6D0" w14:textId="77777777" w:rsidTr="003E0A2F">
        <w:trPr>
          <w:trHeight w:val="20"/>
        </w:trPr>
        <w:tc>
          <w:tcPr>
            <w:tcW w:w="264" w:type="dxa"/>
            <w:noWrap/>
            <w:hideMark/>
          </w:tcPr>
          <w:p w14:paraId="1BC6DFF8"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378AE7EA"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looking after home / other inactive</w:t>
            </w:r>
          </w:p>
        </w:tc>
        <w:tc>
          <w:tcPr>
            <w:tcW w:w="1275" w:type="dxa"/>
            <w:gridSpan w:val="2"/>
            <w:noWrap/>
            <w:hideMark/>
          </w:tcPr>
          <w:p w14:paraId="66EFC60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1.09</w:t>
            </w:r>
          </w:p>
        </w:tc>
        <w:tc>
          <w:tcPr>
            <w:tcW w:w="262" w:type="dxa"/>
            <w:noWrap/>
            <w:hideMark/>
          </w:tcPr>
          <w:p w14:paraId="178D32CB"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1EE2625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0.74</w:t>
            </w:r>
          </w:p>
        </w:tc>
        <w:tc>
          <w:tcPr>
            <w:tcW w:w="549" w:type="dxa"/>
            <w:noWrap/>
            <w:hideMark/>
          </w:tcPr>
          <w:p w14:paraId="6DE2D60D"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791" w:type="dxa"/>
            <w:gridSpan w:val="3"/>
            <w:noWrap/>
            <w:hideMark/>
          </w:tcPr>
          <w:p w14:paraId="323AB10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0.95</w:t>
            </w:r>
          </w:p>
        </w:tc>
        <w:tc>
          <w:tcPr>
            <w:tcW w:w="577" w:type="dxa"/>
            <w:gridSpan w:val="3"/>
            <w:noWrap/>
            <w:hideMark/>
          </w:tcPr>
          <w:p w14:paraId="10A525A5"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noWrap/>
            <w:hideMark/>
          </w:tcPr>
          <w:p w14:paraId="2AA1D9D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0.77</w:t>
            </w:r>
          </w:p>
        </w:tc>
        <w:tc>
          <w:tcPr>
            <w:tcW w:w="548" w:type="dxa"/>
            <w:gridSpan w:val="2"/>
            <w:noWrap/>
            <w:hideMark/>
          </w:tcPr>
          <w:p w14:paraId="1E2F286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2"/>
            <w:noWrap/>
            <w:hideMark/>
          </w:tcPr>
          <w:p w14:paraId="122EF28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0.88</w:t>
            </w:r>
          </w:p>
        </w:tc>
        <w:tc>
          <w:tcPr>
            <w:tcW w:w="549" w:type="dxa"/>
            <w:gridSpan w:val="3"/>
            <w:noWrap/>
            <w:hideMark/>
          </w:tcPr>
          <w:p w14:paraId="2E1C0F5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r>
      <w:tr w:rsidR="002D697D" w:rsidRPr="003B7EA9" w14:paraId="664A7C3A" w14:textId="77777777" w:rsidTr="003E0A2F">
        <w:trPr>
          <w:trHeight w:val="20"/>
        </w:trPr>
        <w:tc>
          <w:tcPr>
            <w:tcW w:w="264" w:type="dxa"/>
            <w:noWrap/>
            <w:hideMark/>
          </w:tcPr>
          <w:p w14:paraId="4277ECCF"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0DC49379"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permanently sick</w:t>
            </w:r>
          </w:p>
        </w:tc>
        <w:tc>
          <w:tcPr>
            <w:tcW w:w="1275" w:type="dxa"/>
            <w:gridSpan w:val="2"/>
            <w:noWrap/>
            <w:hideMark/>
          </w:tcPr>
          <w:p w14:paraId="495A4D5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0.81</w:t>
            </w:r>
          </w:p>
        </w:tc>
        <w:tc>
          <w:tcPr>
            <w:tcW w:w="262" w:type="dxa"/>
            <w:noWrap/>
            <w:hideMark/>
          </w:tcPr>
          <w:p w14:paraId="2856E2C5"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28466E51"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0.86</w:t>
            </w:r>
          </w:p>
        </w:tc>
        <w:tc>
          <w:tcPr>
            <w:tcW w:w="549" w:type="dxa"/>
            <w:noWrap/>
            <w:hideMark/>
          </w:tcPr>
          <w:p w14:paraId="3102EF98" w14:textId="77777777" w:rsidR="002D697D" w:rsidRPr="003B7EA9" w:rsidRDefault="002D697D" w:rsidP="00023BDF">
            <w:pPr>
              <w:keepNext/>
              <w:spacing w:line="240" w:lineRule="auto"/>
              <w:ind w:firstLine="0"/>
              <w:jc w:val="center"/>
              <w:rPr>
                <w:color w:val="000000"/>
                <w:sz w:val="18"/>
                <w:szCs w:val="18"/>
                <w:lang w:eastAsia="en-GB"/>
              </w:rPr>
            </w:pPr>
          </w:p>
        </w:tc>
        <w:tc>
          <w:tcPr>
            <w:tcW w:w="791" w:type="dxa"/>
            <w:gridSpan w:val="3"/>
            <w:noWrap/>
            <w:hideMark/>
          </w:tcPr>
          <w:p w14:paraId="58AE6FB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0.46</w:t>
            </w:r>
          </w:p>
        </w:tc>
        <w:tc>
          <w:tcPr>
            <w:tcW w:w="577" w:type="dxa"/>
            <w:gridSpan w:val="3"/>
            <w:noWrap/>
            <w:hideMark/>
          </w:tcPr>
          <w:p w14:paraId="37007C9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noWrap/>
            <w:hideMark/>
          </w:tcPr>
          <w:p w14:paraId="28B9C1F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0.37</w:t>
            </w:r>
          </w:p>
        </w:tc>
        <w:tc>
          <w:tcPr>
            <w:tcW w:w="548" w:type="dxa"/>
            <w:gridSpan w:val="2"/>
            <w:noWrap/>
            <w:hideMark/>
          </w:tcPr>
          <w:p w14:paraId="79540C21"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2"/>
            <w:noWrap/>
            <w:hideMark/>
          </w:tcPr>
          <w:p w14:paraId="28624C8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0.69</w:t>
            </w:r>
          </w:p>
        </w:tc>
        <w:tc>
          <w:tcPr>
            <w:tcW w:w="549" w:type="dxa"/>
            <w:gridSpan w:val="3"/>
            <w:noWrap/>
            <w:hideMark/>
          </w:tcPr>
          <w:p w14:paraId="5E1F4264"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02FE231B" w14:textId="77777777" w:rsidTr="003E0A2F">
        <w:trPr>
          <w:trHeight w:val="20"/>
        </w:trPr>
        <w:tc>
          <w:tcPr>
            <w:tcW w:w="264" w:type="dxa"/>
            <w:tcBorders>
              <w:bottom w:val="single" w:sz="4" w:space="0" w:color="auto"/>
            </w:tcBorders>
            <w:noWrap/>
            <w:hideMark/>
          </w:tcPr>
          <w:p w14:paraId="528CA5BF"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 </w:t>
            </w:r>
          </w:p>
        </w:tc>
        <w:tc>
          <w:tcPr>
            <w:tcW w:w="3015" w:type="dxa"/>
            <w:tcBorders>
              <w:bottom w:val="single" w:sz="4" w:space="0" w:color="auto"/>
            </w:tcBorders>
            <w:noWrap/>
            <w:hideMark/>
          </w:tcPr>
          <w:p w14:paraId="78BF60B5"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child at school</w:t>
            </w:r>
          </w:p>
        </w:tc>
        <w:tc>
          <w:tcPr>
            <w:tcW w:w="1275" w:type="dxa"/>
            <w:gridSpan w:val="2"/>
            <w:tcBorders>
              <w:bottom w:val="single" w:sz="4" w:space="0" w:color="auto"/>
            </w:tcBorders>
            <w:noWrap/>
            <w:hideMark/>
          </w:tcPr>
          <w:p w14:paraId="60EDF52A"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0.79</w:t>
            </w:r>
          </w:p>
        </w:tc>
        <w:tc>
          <w:tcPr>
            <w:tcW w:w="262" w:type="dxa"/>
            <w:tcBorders>
              <w:bottom w:val="single" w:sz="4" w:space="0" w:color="auto"/>
            </w:tcBorders>
            <w:noWrap/>
            <w:hideMark/>
          </w:tcPr>
          <w:p w14:paraId="23E33E60"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tcBorders>
              <w:bottom w:val="single" w:sz="4" w:space="0" w:color="auto"/>
            </w:tcBorders>
            <w:noWrap/>
            <w:hideMark/>
          </w:tcPr>
          <w:p w14:paraId="5FDCB4DA"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0.92</w:t>
            </w:r>
          </w:p>
        </w:tc>
        <w:tc>
          <w:tcPr>
            <w:tcW w:w="549" w:type="dxa"/>
            <w:tcBorders>
              <w:bottom w:val="single" w:sz="4" w:space="0" w:color="auto"/>
            </w:tcBorders>
            <w:noWrap/>
            <w:hideMark/>
          </w:tcPr>
          <w:p w14:paraId="3112F01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c>
          <w:tcPr>
            <w:tcW w:w="791" w:type="dxa"/>
            <w:gridSpan w:val="3"/>
            <w:tcBorders>
              <w:bottom w:val="single" w:sz="4" w:space="0" w:color="auto"/>
            </w:tcBorders>
            <w:noWrap/>
            <w:hideMark/>
          </w:tcPr>
          <w:p w14:paraId="3E9103C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0.67</w:t>
            </w:r>
          </w:p>
        </w:tc>
        <w:tc>
          <w:tcPr>
            <w:tcW w:w="577" w:type="dxa"/>
            <w:gridSpan w:val="3"/>
            <w:tcBorders>
              <w:bottom w:val="single" w:sz="4" w:space="0" w:color="auto"/>
            </w:tcBorders>
            <w:noWrap/>
            <w:hideMark/>
          </w:tcPr>
          <w:p w14:paraId="5C4B0BA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c>
          <w:tcPr>
            <w:tcW w:w="822" w:type="dxa"/>
            <w:gridSpan w:val="5"/>
            <w:tcBorders>
              <w:bottom w:val="single" w:sz="4" w:space="0" w:color="auto"/>
            </w:tcBorders>
            <w:noWrap/>
            <w:hideMark/>
          </w:tcPr>
          <w:p w14:paraId="460B43D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0.80</w:t>
            </w:r>
          </w:p>
        </w:tc>
        <w:tc>
          <w:tcPr>
            <w:tcW w:w="548" w:type="dxa"/>
            <w:gridSpan w:val="2"/>
            <w:tcBorders>
              <w:bottom w:val="single" w:sz="4" w:space="0" w:color="auto"/>
            </w:tcBorders>
            <w:noWrap/>
            <w:hideMark/>
          </w:tcPr>
          <w:p w14:paraId="393642B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c>
          <w:tcPr>
            <w:tcW w:w="822" w:type="dxa"/>
            <w:gridSpan w:val="2"/>
            <w:tcBorders>
              <w:bottom w:val="single" w:sz="4" w:space="0" w:color="auto"/>
            </w:tcBorders>
            <w:noWrap/>
            <w:hideMark/>
          </w:tcPr>
          <w:p w14:paraId="71AADF8A"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0.79</w:t>
            </w:r>
          </w:p>
        </w:tc>
        <w:tc>
          <w:tcPr>
            <w:tcW w:w="549" w:type="dxa"/>
            <w:gridSpan w:val="3"/>
            <w:tcBorders>
              <w:bottom w:val="single" w:sz="4" w:space="0" w:color="auto"/>
            </w:tcBorders>
            <w:noWrap/>
            <w:hideMark/>
          </w:tcPr>
          <w:p w14:paraId="434EA8A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r>
      <w:tr w:rsidR="002D697D" w:rsidRPr="003B7EA9" w14:paraId="6DED6D0C" w14:textId="77777777" w:rsidTr="003E0A2F">
        <w:trPr>
          <w:gridAfter w:val="2"/>
          <w:wAfter w:w="385" w:type="dxa"/>
          <w:trHeight w:val="20"/>
        </w:trPr>
        <w:tc>
          <w:tcPr>
            <w:tcW w:w="3279" w:type="dxa"/>
            <w:gridSpan w:val="2"/>
            <w:noWrap/>
            <w:hideMark/>
          </w:tcPr>
          <w:p w14:paraId="6A95741C" w14:textId="08B3B34B" w:rsidR="002D697D" w:rsidRPr="003B7EA9" w:rsidRDefault="002D697D" w:rsidP="000B0BE0">
            <w:pPr>
              <w:keepNext/>
              <w:spacing w:line="240" w:lineRule="auto"/>
              <w:ind w:firstLine="0"/>
              <w:jc w:val="left"/>
              <w:rPr>
                <w:color w:val="000000"/>
                <w:sz w:val="18"/>
                <w:szCs w:val="18"/>
                <w:lang w:eastAsia="en-GB"/>
              </w:rPr>
            </w:pPr>
            <w:r w:rsidRPr="003B7EA9">
              <w:rPr>
                <w:color w:val="000000"/>
                <w:sz w:val="18"/>
                <w:szCs w:val="18"/>
                <w:lang w:eastAsia="en-GB"/>
              </w:rPr>
              <w:t xml:space="preserve">Year of </w:t>
            </w:r>
            <w:r w:rsidR="000B0BE0">
              <w:rPr>
                <w:color w:val="000000"/>
                <w:sz w:val="18"/>
                <w:szCs w:val="18"/>
                <w:lang w:eastAsia="en-GB"/>
              </w:rPr>
              <w:t>a</w:t>
            </w:r>
            <w:r w:rsidRPr="003B7EA9">
              <w:rPr>
                <w:color w:val="000000"/>
                <w:sz w:val="18"/>
                <w:szCs w:val="18"/>
                <w:lang w:eastAsia="en-GB"/>
              </w:rPr>
              <w:t>rrival (reference: UK born)</w:t>
            </w:r>
          </w:p>
        </w:tc>
        <w:tc>
          <w:tcPr>
            <w:tcW w:w="1275" w:type="dxa"/>
            <w:gridSpan w:val="2"/>
            <w:noWrap/>
            <w:hideMark/>
          </w:tcPr>
          <w:p w14:paraId="029443F3" w14:textId="77777777" w:rsidR="002D697D" w:rsidRPr="003B7EA9" w:rsidRDefault="002D697D" w:rsidP="00023BDF">
            <w:pPr>
              <w:keepNext/>
              <w:spacing w:line="240" w:lineRule="auto"/>
              <w:ind w:firstLine="0"/>
              <w:jc w:val="center"/>
              <w:rPr>
                <w:color w:val="000000"/>
                <w:sz w:val="18"/>
                <w:szCs w:val="18"/>
                <w:lang w:eastAsia="en-GB"/>
              </w:rPr>
            </w:pPr>
          </w:p>
        </w:tc>
        <w:tc>
          <w:tcPr>
            <w:tcW w:w="262" w:type="dxa"/>
            <w:noWrap/>
            <w:hideMark/>
          </w:tcPr>
          <w:p w14:paraId="0CFF695E"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3D79F572" w14:textId="77777777" w:rsidR="002D697D" w:rsidRPr="003B7EA9" w:rsidRDefault="002D697D" w:rsidP="00023BDF">
            <w:pPr>
              <w:keepNext/>
              <w:spacing w:line="240" w:lineRule="auto"/>
              <w:ind w:firstLine="0"/>
              <w:jc w:val="center"/>
              <w:rPr>
                <w:color w:val="000000"/>
                <w:sz w:val="18"/>
                <w:szCs w:val="18"/>
                <w:lang w:eastAsia="en-GB"/>
              </w:rPr>
            </w:pPr>
          </w:p>
        </w:tc>
        <w:tc>
          <w:tcPr>
            <w:tcW w:w="549" w:type="dxa"/>
            <w:noWrap/>
            <w:hideMark/>
          </w:tcPr>
          <w:p w14:paraId="0AC9ED06" w14:textId="77777777" w:rsidR="002D697D" w:rsidRPr="003B7EA9" w:rsidRDefault="002D697D" w:rsidP="00023BDF">
            <w:pPr>
              <w:keepNext/>
              <w:spacing w:line="240" w:lineRule="auto"/>
              <w:ind w:firstLine="0"/>
              <w:jc w:val="center"/>
              <w:rPr>
                <w:color w:val="000000"/>
                <w:sz w:val="18"/>
                <w:szCs w:val="18"/>
                <w:lang w:eastAsia="en-GB"/>
              </w:rPr>
            </w:pPr>
          </w:p>
        </w:tc>
        <w:tc>
          <w:tcPr>
            <w:tcW w:w="742" w:type="dxa"/>
            <w:gridSpan w:val="2"/>
            <w:noWrap/>
            <w:hideMark/>
          </w:tcPr>
          <w:p w14:paraId="7F96C8D5" w14:textId="77777777" w:rsidR="002D697D" w:rsidRPr="003B7EA9" w:rsidRDefault="002D697D" w:rsidP="00023BDF">
            <w:pPr>
              <w:keepNext/>
              <w:spacing w:line="240" w:lineRule="auto"/>
              <w:ind w:firstLine="0"/>
              <w:jc w:val="center"/>
              <w:rPr>
                <w:color w:val="000000"/>
                <w:sz w:val="18"/>
                <w:szCs w:val="18"/>
                <w:lang w:eastAsia="en-GB"/>
              </w:rPr>
            </w:pPr>
          </w:p>
        </w:tc>
        <w:tc>
          <w:tcPr>
            <w:tcW w:w="351" w:type="dxa"/>
            <w:gridSpan w:val="3"/>
            <w:noWrap/>
            <w:hideMark/>
          </w:tcPr>
          <w:p w14:paraId="56A3826C" w14:textId="77777777" w:rsidR="002D697D" w:rsidRPr="003B7EA9" w:rsidRDefault="002D697D" w:rsidP="00023BDF">
            <w:pPr>
              <w:keepNext/>
              <w:spacing w:line="240" w:lineRule="auto"/>
              <w:ind w:firstLine="0"/>
              <w:jc w:val="center"/>
              <w:rPr>
                <w:color w:val="000000"/>
                <w:sz w:val="18"/>
                <w:szCs w:val="18"/>
                <w:lang w:eastAsia="en-GB"/>
              </w:rPr>
            </w:pPr>
          </w:p>
        </w:tc>
        <w:tc>
          <w:tcPr>
            <w:tcW w:w="820" w:type="dxa"/>
            <w:gridSpan w:val="5"/>
            <w:noWrap/>
            <w:hideMark/>
          </w:tcPr>
          <w:p w14:paraId="59CF4A6A" w14:textId="77777777" w:rsidR="002D697D" w:rsidRPr="003B7EA9" w:rsidRDefault="002D697D" w:rsidP="00023BDF">
            <w:pPr>
              <w:keepNext/>
              <w:spacing w:line="240" w:lineRule="auto"/>
              <w:ind w:firstLine="0"/>
              <w:jc w:val="center"/>
              <w:rPr>
                <w:color w:val="000000"/>
                <w:sz w:val="18"/>
                <w:szCs w:val="18"/>
                <w:lang w:eastAsia="en-GB"/>
              </w:rPr>
            </w:pPr>
          </w:p>
        </w:tc>
        <w:tc>
          <w:tcPr>
            <w:tcW w:w="548" w:type="dxa"/>
            <w:gridSpan w:val="2"/>
            <w:noWrap/>
            <w:hideMark/>
          </w:tcPr>
          <w:p w14:paraId="0066B4E8" w14:textId="77777777" w:rsidR="002D697D" w:rsidRPr="003B7EA9" w:rsidRDefault="002D697D" w:rsidP="00023BDF">
            <w:pPr>
              <w:keepNext/>
              <w:spacing w:line="240" w:lineRule="auto"/>
              <w:ind w:firstLine="0"/>
              <w:jc w:val="center"/>
              <w:rPr>
                <w:color w:val="000000"/>
                <w:sz w:val="18"/>
                <w:szCs w:val="18"/>
                <w:lang w:eastAsia="en-GB"/>
              </w:rPr>
            </w:pPr>
          </w:p>
        </w:tc>
        <w:tc>
          <w:tcPr>
            <w:tcW w:w="714" w:type="dxa"/>
            <w:gridSpan w:val="2"/>
            <w:noWrap/>
            <w:hideMark/>
          </w:tcPr>
          <w:p w14:paraId="7F36C713" w14:textId="77777777" w:rsidR="002D697D" w:rsidRPr="003B7EA9" w:rsidRDefault="002D697D" w:rsidP="00023BDF">
            <w:pPr>
              <w:keepNext/>
              <w:spacing w:line="240" w:lineRule="auto"/>
              <w:ind w:firstLine="0"/>
              <w:jc w:val="center"/>
              <w:rPr>
                <w:color w:val="000000"/>
                <w:sz w:val="18"/>
                <w:szCs w:val="18"/>
                <w:lang w:eastAsia="en-GB"/>
              </w:rPr>
            </w:pPr>
          </w:p>
        </w:tc>
        <w:tc>
          <w:tcPr>
            <w:tcW w:w="549" w:type="dxa"/>
            <w:gridSpan w:val="2"/>
            <w:noWrap/>
            <w:hideMark/>
          </w:tcPr>
          <w:p w14:paraId="738016D7"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0B090662" w14:textId="77777777" w:rsidTr="003E0A2F">
        <w:trPr>
          <w:trHeight w:val="20"/>
        </w:trPr>
        <w:tc>
          <w:tcPr>
            <w:tcW w:w="264" w:type="dxa"/>
            <w:noWrap/>
            <w:hideMark/>
          </w:tcPr>
          <w:p w14:paraId="487D5574"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0B4412CB"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arrived before 1991</w:t>
            </w:r>
          </w:p>
        </w:tc>
        <w:tc>
          <w:tcPr>
            <w:tcW w:w="1275" w:type="dxa"/>
            <w:gridSpan w:val="2"/>
            <w:noWrap/>
            <w:hideMark/>
          </w:tcPr>
          <w:p w14:paraId="4D91AC71"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1.02</w:t>
            </w:r>
          </w:p>
        </w:tc>
        <w:tc>
          <w:tcPr>
            <w:tcW w:w="262" w:type="dxa"/>
            <w:noWrap/>
            <w:hideMark/>
          </w:tcPr>
          <w:p w14:paraId="68915BD1"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2B7C48E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0.59</w:t>
            </w:r>
          </w:p>
        </w:tc>
        <w:tc>
          <w:tcPr>
            <w:tcW w:w="549" w:type="dxa"/>
            <w:noWrap/>
            <w:hideMark/>
          </w:tcPr>
          <w:p w14:paraId="5A068A6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791" w:type="dxa"/>
            <w:gridSpan w:val="3"/>
            <w:noWrap/>
            <w:hideMark/>
          </w:tcPr>
          <w:p w14:paraId="47F9921A"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0.67</w:t>
            </w:r>
          </w:p>
        </w:tc>
        <w:tc>
          <w:tcPr>
            <w:tcW w:w="577" w:type="dxa"/>
            <w:gridSpan w:val="3"/>
            <w:noWrap/>
            <w:hideMark/>
          </w:tcPr>
          <w:p w14:paraId="4C66B7C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5"/>
            <w:noWrap/>
            <w:hideMark/>
          </w:tcPr>
          <w:p w14:paraId="1BA4257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0.69</w:t>
            </w:r>
          </w:p>
        </w:tc>
        <w:tc>
          <w:tcPr>
            <w:tcW w:w="548" w:type="dxa"/>
            <w:gridSpan w:val="2"/>
            <w:noWrap/>
            <w:hideMark/>
          </w:tcPr>
          <w:p w14:paraId="033DB1C7"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2"/>
            <w:noWrap/>
            <w:hideMark/>
          </w:tcPr>
          <w:p w14:paraId="70D9E29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0.45</w:t>
            </w:r>
          </w:p>
        </w:tc>
        <w:tc>
          <w:tcPr>
            <w:tcW w:w="549" w:type="dxa"/>
            <w:gridSpan w:val="3"/>
            <w:noWrap/>
            <w:hideMark/>
          </w:tcPr>
          <w:p w14:paraId="71D625F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r>
      <w:tr w:rsidR="002D697D" w:rsidRPr="003B7EA9" w14:paraId="70DA653D" w14:textId="77777777" w:rsidTr="003E0A2F">
        <w:trPr>
          <w:trHeight w:val="20"/>
        </w:trPr>
        <w:tc>
          <w:tcPr>
            <w:tcW w:w="264" w:type="dxa"/>
            <w:noWrap/>
            <w:hideMark/>
          </w:tcPr>
          <w:p w14:paraId="74469B1D"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53B9AC9B"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arrived 1991-2000</w:t>
            </w:r>
          </w:p>
        </w:tc>
        <w:tc>
          <w:tcPr>
            <w:tcW w:w="1275" w:type="dxa"/>
            <w:gridSpan w:val="2"/>
            <w:noWrap/>
            <w:hideMark/>
          </w:tcPr>
          <w:p w14:paraId="151FA6E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1.09</w:t>
            </w:r>
          </w:p>
        </w:tc>
        <w:tc>
          <w:tcPr>
            <w:tcW w:w="262" w:type="dxa"/>
            <w:noWrap/>
            <w:hideMark/>
          </w:tcPr>
          <w:p w14:paraId="7A53AC29"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77008778"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0.84</w:t>
            </w:r>
          </w:p>
        </w:tc>
        <w:tc>
          <w:tcPr>
            <w:tcW w:w="549" w:type="dxa"/>
            <w:noWrap/>
            <w:hideMark/>
          </w:tcPr>
          <w:p w14:paraId="6A59FA0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791" w:type="dxa"/>
            <w:gridSpan w:val="3"/>
            <w:noWrap/>
            <w:hideMark/>
          </w:tcPr>
          <w:p w14:paraId="18DAE7D8"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1.03</w:t>
            </w:r>
          </w:p>
        </w:tc>
        <w:tc>
          <w:tcPr>
            <w:tcW w:w="577" w:type="dxa"/>
            <w:gridSpan w:val="3"/>
            <w:noWrap/>
            <w:hideMark/>
          </w:tcPr>
          <w:p w14:paraId="20FD0D82"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noWrap/>
            <w:hideMark/>
          </w:tcPr>
          <w:p w14:paraId="26FBE50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0.93</w:t>
            </w:r>
          </w:p>
        </w:tc>
        <w:tc>
          <w:tcPr>
            <w:tcW w:w="548" w:type="dxa"/>
            <w:gridSpan w:val="2"/>
            <w:noWrap/>
            <w:hideMark/>
          </w:tcPr>
          <w:p w14:paraId="288D3AB8"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4D12792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0.89</w:t>
            </w:r>
          </w:p>
        </w:tc>
        <w:tc>
          <w:tcPr>
            <w:tcW w:w="549" w:type="dxa"/>
            <w:gridSpan w:val="3"/>
            <w:noWrap/>
            <w:hideMark/>
          </w:tcPr>
          <w:p w14:paraId="58BE1AD1"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6F545840" w14:textId="77777777" w:rsidTr="003E0A2F">
        <w:trPr>
          <w:trHeight w:val="20"/>
        </w:trPr>
        <w:tc>
          <w:tcPr>
            <w:tcW w:w="264" w:type="dxa"/>
            <w:noWrap/>
            <w:hideMark/>
          </w:tcPr>
          <w:p w14:paraId="056ABE70" w14:textId="77777777" w:rsidR="002D697D" w:rsidRPr="003B7EA9" w:rsidRDefault="002D697D" w:rsidP="00023BDF">
            <w:pPr>
              <w:keepNext/>
              <w:spacing w:line="240" w:lineRule="auto"/>
              <w:ind w:firstLine="0"/>
              <w:jc w:val="left"/>
              <w:rPr>
                <w:color w:val="000000"/>
                <w:sz w:val="18"/>
                <w:szCs w:val="18"/>
                <w:lang w:eastAsia="en-GB"/>
              </w:rPr>
            </w:pPr>
          </w:p>
        </w:tc>
        <w:tc>
          <w:tcPr>
            <w:tcW w:w="3015" w:type="dxa"/>
            <w:noWrap/>
            <w:hideMark/>
          </w:tcPr>
          <w:p w14:paraId="6B188A1A"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arrived 2001-2006</w:t>
            </w:r>
          </w:p>
        </w:tc>
        <w:tc>
          <w:tcPr>
            <w:tcW w:w="1275" w:type="dxa"/>
            <w:gridSpan w:val="2"/>
            <w:noWrap/>
            <w:hideMark/>
          </w:tcPr>
          <w:p w14:paraId="2777093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1.02</w:t>
            </w:r>
          </w:p>
        </w:tc>
        <w:tc>
          <w:tcPr>
            <w:tcW w:w="262" w:type="dxa"/>
            <w:noWrap/>
            <w:hideMark/>
          </w:tcPr>
          <w:p w14:paraId="1CA99A43"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318FCBEA"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1.10</w:t>
            </w:r>
          </w:p>
        </w:tc>
        <w:tc>
          <w:tcPr>
            <w:tcW w:w="549" w:type="dxa"/>
            <w:noWrap/>
            <w:hideMark/>
          </w:tcPr>
          <w:p w14:paraId="748EA619" w14:textId="77777777" w:rsidR="002D697D" w:rsidRPr="003B7EA9" w:rsidRDefault="002D697D" w:rsidP="00023BDF">
            <w:pPr>
              <w:keepNext/>
              <w:spacing w:line="240" w:lineRule="auto"/>
              <w:ind w:firstLine="0"/>
              <w:jc w:val="center"/>
              <w:rPr>
                <w:color w:val="000000"/>
                <w:sz w:val="18"/>
                <w:szCs w:val="18"/>
                <w:lang w:eastAsia="en-GB"/>
              </w:rPr>
            </w:pPr>
          </w:p>
        </w:tc>
        <w:tc>
          <w:tcPr>
            <w:tcW w:w="791" w:type="dxa"/>
            <w:gridSpan w:val="3"/>
            <w:noWrap/>
            <w:hideMark/>
          </w:tcPr>
          <w:p w14:paraId="1F8701F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1.37</w:t>
            </w:r>
          </w:p>
        </w:tc>
        <w:tc>
          <w:tcPr>
            <w:tcW w:w="577" w:type="dxa"/>
            <w:gridSpan w:val="3"/>
            <w:noWrap/>
            <w:hideMark/>
          </w:tcPr>
          <w:p w14:paraId="19636EB9"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H</w:t>
            </w:r>
          </w:p>
        </w:tc>
        <w:tc>
          <w:tcPr>
            <w:tcW w:w="822" w:type="dxa"/>
            <w:gridSpan w:val="5"/>
            <w:noWrap/>
            <w:hideMark/>
          </w:tcPr>
          <w:p w14:paraId="169B6AB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0.99</w:t>
            </w:r>
          </w:p>
        </w:tc>
        <w:tc>
          <w:tcPr>
            <w:tcW w:w="548" w:type="dxa"/>
            <w:gridSpan w:val="2"/>
            <w:noWrap/>
            <w:hideMark/>
          </w:tcPr>
          <w:p w14:paraId="63593768"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70AF7D93"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1.12</w:t>
            </w:r>
          </w:p>
        </w:tc>
        <w:tc>
          <w:tcPr>
            <w:tcW w:w="549" w:type="dxa"/>
            <w:gridSpan w:val="3"/>
            <w:noWrap/>
            <w:hideMark/>
          </w:tcPr>
          <w:p w14:paraId="177166B8"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20019BC9" w14:textId="77777777" w:rsidTr="003E0A2F">
        <w:trPr>
          <w:trHeight w:val="20"/>
        </w:trPr>
        <w:tc>
          <w:tcPr>
            <w:tcW w:w="264" w:type="dxa"/>
            <w:tcBorders>
              <w:bottom w:val="single" w:sz="4" w:space="0" w:color="auto"/>
            </w:tcBorders>
            <w:noWrap/>
            <w:hideMark/>
          </w:tcPr>
          <w:p w14:paraId="11CA711C"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 </w:t>
            </w:r>
          </w:p>
        </w:tc>
        <w:tc>
          <w:tcPr>
            <w:tcW w:w="3015" w:type="dxa"/>
            <w:tcBorders>
              <w:bottom w:val="single" w:sz="4" w:space="0" w:color="auto"/>
            </w:tcBorders>
            <w:noWrap/>
            <w:hideMark/>
          </w:tcPr>
          <w:p w14:paraId="1E61FB31"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arrived 2007-2011</w:t>
            </w:r>
          </w:p>
        </w:tc>
        <w:tc>
          <w:tcPr>
            <w:tcW w:w="1275" w:type="dxa"/>
            <w:gridSpan w:val="2"/>
            <w:tcBorders>
              <w:bottom w:val="single" w:sz="4" w:space="0" w:color="auto"/>
            </w:tcBorders>
            <w:noWrap/>
            <w:hideMark/>
          </w:tcPr>
          <w:p w14:paraId="2FEE4D3C"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1.31</w:t>
            </w:r>
          </w:p>
        </w:tc>
        <w:tc>
          <w:tcPr>
            <w:tcW w:w="262" w:type="dxa"/>
            <w:tcBorders>
              <w:bottom w:val="single" w:sz="4" w:space="0" w:color="auto"/>
            </w:tcBorders>
            <w:noWrap/>
            <w:hideMark/>
          </w:tcPr>
          <w:p w14:paraId="6415C6BE"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c>
          <w:tcPr>
            <w:tcW w:w="1104" w:type="dxa"/>
            <w:tcBorders>
              <w:bottom w:val="single" w:sz="4" w:space="0" w:color="auto"/>
            </w:tcBorders>
            <w:noWrap/>
            <w:hideMark/>
          </w:tcPr>
          <w:p w14:paraId="32765FF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1.58</w:t>
            </w:r>
          </w:p>
        </w:tc>
        <w:tc>
          <w:tcPr>
            <w:tcW w:w="549" w:type="dxa"/>
            <w:tcBorders>
              <w:bottom w:val="single" w:sz="4" w:space="0" w:color="auto"/>
            </w:tcBorders>
            <w:noWrap/>
            <w:hideMark/>
          </w:tcPr>
          <w:p w14:paraId="024C1A4A"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c>
          <w:tcPr>
            <w:tcW w:w="791" w:type="dxa"/>
            <w:gridSpan w:val="3"/>
            <w:tcBorders>
              <w:bottom w:val="single" w:sz="4" w:space="0" w:color="auto"/>
            </w:tcBorders>
            <w:noWrap/>
            <w:hideMark/>
          </w:tcPr>
          <w:p w14:paraId="3C994C0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1.62</w:t>
            </w:r>
          </w:p>
        </w:tc>
        <w:tc>
          <w:tcPr>
            <w:tcW w:w="577" w:type="dxa"/>
            <w:gridSpan w:val="3"/>
            <w:tcBorders>
              <w:bottom w:val="single" w:sz="4" w:space="0" w:color="auto"/>
            </w:tcBorders>
            <w:noWrap/>
            <w:hideMark/>
          </w:tcPr>
          <w:p w14:paraId="60062C11"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H</w:t>
            </w:r>
          </w:p>
        </w:tc>
        <w:tc>
          <w:tcPr>
            <w:tcW w:w="822" w:type="dxa"/>
            <w:gridSpan w:val="5"/>
            <w:tcBorders>
              <w:bottom w:val="single" w:sz="4" w:space="0" w:color="auto"/>
            </w:tcBorders>
            <w:noWrap/>
            <w:hideMark/>
          </w:tcPr>
          <w:p w14:paraId="67D5674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0.86</w:t>
            </w:r>
          </w:p>
        </w:tc>
        <w:tc>
          <w:tcPr>
            <w:tcW w:w="548" w:type="dxa"/>
            <w:gridSpan w:val="2"/>
            <w:tcBorders>
              <w:bottom w:val="single" w:sz="4" w:space="0" w:color="auto"/>
            </w:tcBorders>
            <w:noWrap/>
            <w:hideMark/>
          </w:tcPr>
          <w:p w14:paraId="00E73C1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L</w:t>
            </w:r>
          </w:p>
        </w:tc>
        <w:tc>
          <w:tcPr>
            <w:tcW w:w="822" w:type="dxa"/>
            <w:gridSpan w:val="2"/>
            <w:tcBorders>
              <w:bottom w:val="single" w:sz="4" w:space="0" w:color="auto"/>
            </w:tcBorders>
            <w:noWrap/>
            <w:hideMark/>
          </w:tcPr>
          <w:p w14:paraId="41F86A5C"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1.18</w:t>
            </w:r>
          </w:p>
        </w:tc>
        <w:tc>
          <w:tcPr>
            <w:tcW w:w="549" w:type="dxa"/>
            <w:gridSpan w:val="3"/>
            <w:tcBorders>
              <w:bottom w:val="single" w:sz="4" w:space="0" w:color="auto"/>
            </w:tcBorders>
            <w:noWrap/>
            <w:hideMark/>
          </w:tcPr>
          <w:p w14:paraId="721533D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 </w:t>
            </w:r>
          </w:p>
        </w:tc>
      </w:tr>
      <w:tr w:rsidR="002D697D" w:rsidRPr="003B7EA9" w14:paraId="02316E9B" w14:textId="77777777" w:rsidTr="003E0A2F">
        <w:trPr>
          <w:trHeight w:val="20"/>
        </w:trPr>
        <w:tc>
          <w:tcPr>
            <w:tcW w:w="3279" w:type="dxa"/>
            <w:gridSpan w:val="2"/>
            <w:tcBorders>
              <w:top w:val="single" w:sz="4" w:space="0" w:color="auto"/>
            </w:tcBorders>
            <w:noWrap/>
            <w:hideMark/>
          </w:tcPr>
          <w:p w14:paraId="78C23FC3"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Constant / Reference Case Odds</w:t>
            </w:r>
          </w:p>
        </w:tc>
        <w:tc>
          <w:tcPr>
            <w:tcW w:w="1275" w:type="dxa"/>
            <w:gridSpan w:val="2"/>
            <w:tcBorders>
              <w:top w:val="single" w:sz="4" w:space="0" w:color="auto"/>
            </w:tcBorders>
            <w:noWrap/>
            <w:hideMark/>
          </w:tcPr>
          <w:p w14:paraId="4F15228F"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0.04</w:t>
            </w:r>
          </w:p>
        </w:tc>
        <w:tc>
          <w:tcPr>
            <w:tcW w:w="262" w:type="dxa"/>
            <w:tcBorders>
              <w:top w:val="single" w:sz="4" w:space="0" w:color="auto"/>
            </w:tcBorders>
            <w:noWrap/>
            <w:hideMark/>
          </w:tcPr>
          <w:p w14:paraId="78DBB86A"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tcBorders>
              <w:top w:val="single" w:sz="4" w:space="0" w:color="auto"/>
            </w:tcBorders>
            <w:noWrap/>
            <w:hideMark/>
          </w:tcPr>
          <w:p w14:paraId="203EAD00"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0.10</w:t>
            </w:r>
          </w:p>
        </w:tc>
        <w:tc>
          <w:tcPr>
            <w:tcW w:w="549" w:type="dxa"/>
            <w:tcBorders>
              <w:top w:val="single" w:sz="4" w:space="0" w:color="auto"/>
            </w:tcBorders>
            <w:noWrap/>
            <w:hideMark/>
          </w:tcPr>
          <w:p w14:paraId="1F7FA175" w14:textId="77777777" w:rsidR="002D697D" w:rsidRPr="003B7EA9" w:rsidRDefault="002D697D" w:rsidP="00023BDF">
            <w:pPr>
              <w:keepNext/>
              <w:spacing w:line="240" w:lineRule="auto"/>
              <w:ind w:firstLine="0"/>
              <w:jc w:val="center"/>
              <w:rPr>
                <w:color w:val="000000"/>
                <w:sz w:val="18"/>
                <w:szCs w:val="18"/>
                <w:lang w:eastAsia="en-GB"/>
              </w:rPr>
            </w:pPr>
          </w:p>
        </w:tc>
        <w:tc>
          <w:tcPr>
            <w:tcW w:w="791" w:type="dxa"/>
            <w:gridSpan w:val="3"/>
            <w:tcBorders>
              <w:top w:val="single" w:sz="4" w:space="0" w:color="auto"/>
            </w:tcBorders>
            <w:noWrap/>
            <w:hideMark/>
          </w:tcPr>
          <w:p w14:paraId="7E61D1C7"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0.12</w:t>
            </w:r>
          </w:p>
        </w:tc>
        <w:tc>
          <w:tcPr>
            <w:tcW w:w="577" w:type="dxa"/>
            <w:gridSpan w:val="3"/>
            <w:tcBorders>
              <w:top w:val="single" w:sz="4" w:space="0" w:color="auto"/>
            </w:tcBorders>
            <w:noWrap/>
            <w:hideMark/>
          </w:tcPr>
          <w:p w14:paraId="09B9BC0D"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tcBorders>
              <w:top w:val="single" w:sz="4" w:space="0" w:color="auto"/>
            </w:tcBorders>
            <w:noWrap/>
            <w:hideMark/>
          </w:tcPr>
          <w:p w14:paraId="357002D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0.07</w:t>
            </w:r>
          </w:p>
        </w:tc>
        <w:tc>
          <w:tcPr>
            <w:tcW w:w="548" w:type="dxa"/>
            <w:gridSpan w:val="2"/>
            <w:tcBorders>
              <w:top w:val="single" w:sz="4" w:space="0" w:color="auto"/>
            </w:tcBorders>
            <w:noWrap/>
            <w:hideMark/>
          </w:tcPr>
          <w:p w14:paraId="2529837E"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tcBorders>
              <w:top w:val="single" w:sz="4" w:space="0" w:color="auto"/>
            </w:tcBorders>
            <w:noWrap/>
            <w:hideMark/>
          </w:tcPr>
          <w:p w14:paraId="44A631A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0.08</w:t>
            </w:r>
          </w:p>
        </w:tc>
        <w:tc>
          <w:tcPr>
            <w:tcW w:w="549" w:type="dxa"/>
            <w:gridSpan w:val="3"/>
            <w:tcBorders>
              <w:top w:val="single" w:sz="4" w:space="0" w:color="auto"/>
            </w:tcBorders>
            <w:noWrap/>
            <w:hideMark/>
          </w:tcPr>
          <w:p w14:paraId="36CB5B9C"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6FF6DA96" w14:textId="77777777" w:rsidTr="003E0A2F">
        <w:trPr>
          <w:trHeight w:val="20"/>
        </w:trPr>
        <w:tc>
          <w:tcPr>
            <w:tcW w:w="3279" w:type="dxa"/>
            <w:gridSpan w:val="2"/>
            <w:noWrap/>
            <w:hideMark/>
          </w:tcPr>
          <w:p w14:paraId="3D6CCFEE"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Population (N)</w:t>
            </w:r>
          </w:p>
        </w:tc>
        <w:tc>
          <w:tcPr>
            <w:tcW w:w="1275" w:type="dxa"/>
            <w:gridSpan w:val="2"/>
            <w:noWrap/>
            <w:hideMark/>
          </w:tcPr>
          <w:p w14:paraId="1271A9F8" w14:textId="2DB0A4D2" w:rsidR="002D697D" w:rsidRPr="003B7EA9" w:rsidRDefault="002D697D" w:rsidP="003E0A2F">
            <w:pPr>
              <w:keepNext/>
              <w:spacing w:line="240" w:lineRule="auto"/>
              <w:ind w:firstLine="0"/>
              <w:jc w:val="center"/>
              <w:rPr>
                <w:color w:val="000000"/>
                <w:sz w:val="18"/>
                <w:szCs w:val="18"/>
                <w:lang w:eastAsia="en-GB"/>
              </w:rPr>
            </w:pPr>
            <w:r w:rsidRPr="003B7EA9">
              <w:rPr>
                <w:color w:val="000000"/>
                <w:sz w:val="18"/>
                <w:szCs w:val="18"/>
                <w:lang w:eastAsia="en-GB"/>
              </w:rPr>
              <w:t>4,423,727</w:t>
            </w:r>
          </w:p>
        </w:tc>
        <w:tc>
          <w:tcPr>
            <w:tcW w:w="262" w:type="dxa"/>
            <w:noWrap/>
            <w:hideMark/>
          </w:tcPr>
          <w:p w14:paraId="2D9244AB" w14:textId="77777777" w:rsidR="002D697D" w:rsidRPr="003B7EA9" w:rsidRDefault="002D697D" w:rsidP="003E0A2F">
            <w:pPr>
              <w:keepNext/>
              <w:spacing w:line="240" w:lineRule="auto"/>
              <w:ind w:firstLine="0"/>
              <w:jc w:val="center"/>
              <w:rPr>
                <w:color w:val="000000"/>
                <w:sz w:val="18"/>
                <w:szCs w:val="18"/>
                <w:lang w:eastAsia="en-GB"/>
              </w:rPr>
            </w:pPr>
          </w:p>
        </w:tc>
        <w:tc>
          <w:tcPr>
            <w:tcW w:w="1104" w:type="dxa"/>
            <w:noWrap/>
            <w:hideMark/>
          </w:tcPr>
          <w:p w14:paraId="5F612917" w14:textId="2ED802CE" w:rsidR="002D697D" w:rsidRPr="003B7EA9" w:rsidRDefault="002D697D" w:rsidP="003E0A2F">
            <w:pPr>
              <w:keepNext/>
              <w:spacing w:line="240" w:lineRule="auto"/>
              <w:ind w:firstLine="0"/>
              <w:jc w:val="center"/>
              <w:rPr>
                <w:color w:val="000000"/>
                <w:sz w:val="18"/>
                <w:szCs w:val="18"/>
                <w:lang w:eastAsia="en-GB"/>
              </w:rPr>
            </w:pPr>
            <w:r w:rsidRPr="003B7EA9">
              <w:rPr>
                <w:color w:val="000000"/>
                <w:sz w:val="18"/>
                <w:szCs w:val="18"/>
                <w:lang w:eastAsia="en-GB"/>
              </w:rPr>
              <w:t>10,217</w:t>
            </w:r>
          </w:p>
        </w:tc>
        <w:tc>
          <w:tcPr>
            <w:tcW w:w="549" w:type="dxa"/>
            <w:noWrap/>
            <w:hideMark/>
          </w:tcPr>
          <w:p w14:paraId="2D723072" w14:textId="77777777" w:rsidR="002D697D" w:rsidRPr="003B7EA9" w:rsidRDefault="002D697D" w:rsidP="003E0A2F">
            <w:pPr>
              <w:keepNext/>
              <w:spacing w:line="240" w:lineRule="auto"/>
              <w:ind w:firstLine="0"/>
              <w:jc w:val="center"/>
              <w:rPr>
                <w:color w:val="000000"/>
                <w:sz w:val="18"/>
                <w:szCs w:val="18"/>
                <w:lang w:eastAsia="en-GB"/>
              </w:rPr>
            </w:pPr>
          </w:p>
        </w:tc>
        <w:tc>
          <w:tcPr>
            <w:tcW w:w="791" w:type="dxa"/>
            <w:gridSpan w:val="3"/>
            <w:noWrap/>
            <w:hideMark/>
          </w:tcPr>
          <w:p w14:paraId="10B95E22" w14:textId="2FF06B55" w:rsidR="002D697D" w:rsidRPr="003B7EA9" w:rsidRDefault="002D697D" w:rsidP="003E0A2F">
            <w:pPr>
              <w:keepNext/>
              <w:spacing w:line="240" w:lineRule="auto"/>
              <w:ind w:firstLine="0"/>
              <w:jc w:val="center"/>
              <w:rPr>
                <w:color w:val="000000"/>
                <w:sz w:val="18"/>
                <w:szCs w:val="18"/>
                <w:lang w:eastAsia="en-GB"/>
              </w:rPr>
            </w:pPr>
            <w:r w:rsidRPr="003B7EA9">
              <w:rPr>
                <w:color w:val="000000"/>
                <w:sz w:val="18"/>
                <w:szCs w:val="18"/>
                <w:lang w:eastAsia="en-GB"/>
              </w:rPr>
              <w:t>34,403</w:t>
            </w:r>
          </w:p>
        </w:tc>
        <w:tc>
          <w:tcPr>
            <w:tcW w:w="577" w:type="dxa"/>
            <w:gridSpan w:val="3"/>
            <w:noWrap/>
            <w:hideMark/>
          </w:tcPr>
          <w:p w14:paraId="325CF43A" w14:textId="77777777" w:rsidR="002D697D" w:rsidRPr="003B7EA9" w:rsidRDefault="002D697D" w:rsidP="003E0A2F">
            <w:pPr>
              <w:keepNext/>
              <w:spacing w:line="240" w:lineRule="auto"/>
              <w:ind w:firstLine="0"/>
              <w:jc w:val="center"/>
              <w:rPr>
                <w:color w:val="000000"/>
                <w:sz w:val="18"/>
                <w:szCs w:val="18"/>
                <w:lang w:eastAsia="en-GB"/>
              </w:rPr>
            </w:pPr>
          </w:p>
        </w:tc>
        <w:tc>
          <w:tcPr>
            <w:tcW w:w="822" w:type="dxa"/>
            <w:gridSpan w:val="5"/>
            <w:noWrap/>
            <w:hideMark/>
          </w:tcPr>
          <w:p w14:paraId="33121F8D" w14:textId="3766C66C" w:rsidR="002D697D" w:rsidRPr="003B7EA9" w:rsidRDefault="002D697D" w:rsidP="003E0A2F">
            <w:pPr>
              <w:keepNext/>
              <w:spacing w:line="240" w:lineRule="auto"/>
              <w:ind w:firstLine="0"/>
              <w:jc w:val="center"/>
              <w:rPr>
                <w:color w:val="000000"/>
                <w:sz w:val="18"/>
                <w:szCs w:val="18"/>
                <w:lang w:eastAsia="en-GB"/>
              </w:rPr>
            </w:pPr>
            <w:r w:rsidRPr="003B7EA9">
              <w:rPr>
                <w:color w:val="000000"/>
                <w:sz w:val="18"/>
                <w:szCs w:val="18"/>
                <w:lang w:eastAsia="en-GB"/>
              </w:rPr>
              <w:t>25,552</w:t>
            </w:r>
          </w:p>
        </w:tc>
        <w:tc>
          <w:tcPr>
            <w:tcW w:w="548" w:type="dxa"/>
            <w:gridSpan w:val="2"/>
            <w:noWrap/>
            <w:hideMark/>
          </w:tcPr>
          <w:p w14:paraId="59512CD4" w14:textId="77777777" w:rsidR="002D697D" w:rsidRPr="003B7EA9" w:rsidRDefault="002D697D" w:rsidP="003E0A2F">
            <w:pPr>
              <w:keepNext/>
              <w:spacing w:line="240" w:lineRule="auto"/>
              <w:ind w:firstLine="0"/>
              <w:jc w:val="center"/>
              <w:rPr>
                <w:color w:val="000000"/>
                <w:sz w:val="18"/>
                <w:szCs w:val="18"/>
                <w:lang w:eastAsia="en-GB"/>
              </w:rPr>
            </w:pPr>
          </w:p>
        </w:tc>
        <w:tc>
          <w:tcPr>
            <w:tcW w:w="822" w:type="dxa"/>
            <w:gridSpan w:val="2"/>
            <w:noWrap/>
            <w:hideMark/>
          </w:tcPr>
          <w:p w14:paraId="1A319B3B" w14:textId="7CD6ED1B" w:rsidR="002D697D" w:rsidRPr="003B7EA9" w:rsidRDefault="002D697D" w:rsidP="003E0A2F">
            <w:pPr>
              <w:keepNext/>
              <w:spacing w:line="240" w:lineRule="auto"/>
              <w:ind w:firstLine="0"/>
              <w:jc w:val="center"/>
              <w:rPr>
                <w:color w:val="000000"/>
                <w:sz w:val="18"/>
                <w:szCs w:val="18"/>
                <w:lang w:eastAsia="en-GB"/>
              </w:rPr>
            </w:pPr>
            <w:r w:rsidRPr="003B7EA9">
              <w:rPr>
                <w:color w:val="000000"/>
                <w:sz w:val="18"/>
                <w:szCs w:val="18"/>
                <w:lang w:eastAsia="en-GB"/>
              </w:rPr>
              <w:t>40,824</w:t>
            </w:r>
          </w:p>
        </w:tc>
        <w:tc>
          <w:tcPr>
            <w:tcW w:w="549" w:type="dxa"/>
            <w:gridSpan w:val="3"/>
            <w:noWrap/>
            <w:hideMark/>
          </w:tcPr>
          <w:p w14:paraId="7C1CF495"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4A52BC09" w14:textId="77777777" w:rsidTr="003E0A2F">
        <w:trPr>
          <w:trHeight w:val="20"/>
        </w:trPr>
        <w:tc>
          <w:tcPr>
            <w:tcW w:w="3279" w:type="dxa"/>
            <w:gridSpan w:val="2"/>
            <w:noWrap/>
            <w:hideMark/>
          </w:tcPr>
          <w:p w14:paraId="6C2C923D"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Null Model -2LL</w:t>
            </w:r>
          </w:p>
        </w:tc>
        <w:tc>
          <w:tcPr>
            <w:tcW w:w="1275" w:type="dxa"/>
            <w:gridSpan w:val="2"/>
            <w:noWrap/>
            <w:hideMark/>
          </w:tcPr>
          <w:p w14:paraId="04F310B2" w14:textId="7A9D8E68" w:rsidR="002D697D" w:rsidRPr="003B7EA9" w:rsidRDefault="002D697D" w:rsidP="003E0A2F">
            <w:pPr>
              <w:keepNext/>
              <w:spacing w:line="240" w:lineRule="auto"/>
              <w:ind w:firstLine="0"/>
              <w:jc w:val="center"/>
              <w:rPr>
                <w:color w:val="000000"/>
                <w:sz w:val="18"/>
                <w:szCs w:val="18"/>
                <w:lang w:eastAsia="en-GB"/>
              </w:rPr>
            </w:pPr>
            <w:r w:rsidRPr="003B7EA9">
              <w:rPr>
                <w:color w:val="000000"/>
                <w:sz w:val="18"/>
                <w:szCs w:val="18"/>
                <w:lang w:eastAsia="en-GB"/>
              </w:rPr>
              <w:t>2,923,384</w:t>
            </w:r>
          </w:p>
        </w:tc>
        <w:tc>
          <w:tcPr>
            <w:tcW w:w="262" w:type="dxa"/>
            <w:noWrap/>
            <w:hideMark/>
          </w:tcPr>
          <w:p w14:paraId="7BD42ABE" w14:textId="77777777" w:rsidR="002D697D" w:rsidRPr="003B7EA9" w:rsidRDefault="002D697D" w:rsidP="003E0A2F">
            <w:pPr>
              <w:keepNext/>
              <w:spacing w:line="240" w:lineRule="auto"/>
              <w:ind w:firstLine="0"/>
              <w:jc w:val="center"/>
              <w:rPr>
                <w:color w:val="000000"/>
                <w:sz w:val="18"/>
                <w:szCs w:val="18"/>
                <w:lang w:eastAsia="en-GB"/>
              </w:rPr>
            </w:pPr>
          </w:p>
        </w:tc>
        <w:tc>
          <w:tcPr>
            <w:tcW w:w="1104" w:type="dxa"/>
            <w:noWrap/>
            <w:hideMark/>
          </w:tcPr>
          <w:p w14:paraId="1578B010" w14:textId="39D33006" w:rsidR="002D697D" w:rsidRPr="003B7EA9" w:rsidRDefault="002D697D" w:rsidP="003E0A2F">
            <w:pPr>
              <w:keepNext/>
              <w:spacing w:line="240" w:lineRule="auto"/>
              <w:ind w:firstLine="0"/>
              <w:jc w:val="center"/>
              <w:rPr>
                <w:color w:val="000000"/>
                <w:sz w:val="18"/>
                <w:szCs w:val="18"/>
                <w:lang w:eastAsia="en-GB"/>
              </w:rPr>
            </w:pPr>
            <w:r w:rsidRPr="003B7EA9">
              <w:rPr>
                <w:color w:val="000000"/>
                <w:sz w:val="18"/>
                <w:szCs w:val="18"/>
                <w:lang w:eastAsia="en-GB"/>
              </w:rPr>
              <w:t>9,702</w:t>
            </w:r>
          </w:p>
        </w:tc>
        <w:tc>
          <w:tcPr>
            <w:tcW w:w="549" w:type="dxa"/>
            <w:noWrap/>
            <w:hideMark/>
          </w:tcPr>
          <w:p w14:paraId="52072503" w14:textId="77777777" w:rsidR="002D697D" w:rsidRPr="003B7EA9" w:rsidRDefault="002D697D" w:rsidP="003E0A2F">
            <w:pPr>
              <w:keepNext/>
              <w:spacing w:line="240" w:lineRule="auto"/>
              <w:ind w:firstLine="0"/>
              <w:jc w:val="center"/>
              <w:rPr>
                <w:color w:val="000000"/>
                <w:sz w:val="18"/>
                <w:szCs w:val="18"/>
                <w:lang w:eastAsia="en-GB"/>
              </w:rPr>
            </w:pPr>
          </w:p>
        </w:tc>
        <w:tc>
          <w:tcPr>
            <w:tcW w:w="791" w:type="dxa"/>
            <w:gridSpan w:val="3"/>
            <w:noWrap/>
            <w:hideMark/>
          </w:tcPr>
          <w:p w14:paraId="7723BDB3" w14:textId="75E6333D" w:rsidR="002D697D" w:rsidRPr="003B7EA9" w:rsidRDefault="002D697D" w:rsidP="003E0A2F">
            <w:pPr>
              <w:keepNext/>
              <w:spacing w:line="240" w:lineRule="auto"/>
              <w:ind w:firstLine="0"/>
              <w:jc w:val="center"/>
              <w:rPr>
                <w:color w:val="000000"/>
                <w:sz w:val="18"/>
                <w:szCs w:val="18"/>
                <w:lang w:eastAsia="en-GB"/>
              </w:rPr>
            </w:pPr>
            <w:r w:rsidRPr="003B7EA9">
              <w:rPr>
                <w:color w:val="000000"/>
                <w:sz w:val="18"/>
                <w:szCs w:val="18"/>
                <w:lang w:eastAsia="en-GB"/>
              </w:rPr>
              <w:t>37,021</w:t>
            </w:r>
          </w:p>
        </w:tc>
        <w:tc>
          <w:tcPr>
            <w:tcW w:w="577" w:type="dxa"/>
            <w:gridSpan w:val="3"/>
            <w:noWrap/>
            <w:hideMark/>
          </w:tcPr>
          <w:p w14:paraId="31318586" w14:textId="77777777" w:rsidR="002D697D" w:rsidRPr="003B7EA9" w:rsidRDefault="002D697D" w:rsidP="003E0A2F">
            <w:pPr>
              <w:keepNext/>
              <w:spacing w:line="240" w:lineRule="auto"/>
              <w:ind w:firstLine="0"/>
              <w:jc w:val="center"/>
              <w:rPr>
                <w:color w:val="000000"/>
                <w:sz w:val="18"/>
                <w:szCs w:val="18"/>
                <w:lang w:eastAsia="en-GB"/>
              </w:rPr>
            </w:pPr>
          </w:p>
        </w:tc>
        <w:tc>
          <w:tcPr>
            <w:tcW w:w="822" w:type="dxa"/>
            <w:gridSpan w:val="5"/>
            <w:noWrap/>
            <w:hideMark/>
          </w:tcPr>
          <w:p w14:paraId="53DC2525" w14:textId="4B92BB2C" w:rsidR="002D697D" w:rsidRPr="003B7EA9" w:rsidRDefault="002D697D" w:rsidP="003E0A2F">
            <w:pPr>
              <w:keepNext/>
              <w:spacing w:line="240" w:lineRule="auto"/>
              <w:ind w:firstLine="0"/>
              <w:jc w:val="center"/>
              <w:rPr>
                <w:color w:val="000000"/>
                <w:sz w:val="18"/>
                <w:szCs w:val="18"/>
                <w:lang w:eastAsia="en-GB"/>
              </w:rPr>
            </w:pPr>
            <w:r w:rsidRPr="003B7EA9">
              <w:rPr>
                <w:color w:val="000000"/>
                <w:sz w:val="18"/>
                <w:szCs w:val="18"/>
                <w:lang w:eastAsia="en-GB"/>
              </w:rPr>
              <w:t>18,140</w:t>
            </w:r>
          </w:p>
        </w:tc>
        <w:tc>
          <w:tcPr>
            <w:tcW w:w="548" w:type="dxa"/>
            <w:gridSpan w:val="2"/>
            <w:noWrap/>
            <w:hideMark/>
          </w:tcPr>
          <w:p w14:paraId="3F89D083" w14:textId="77777777" w:rsidR="002D697D" w:rsidRPr="003B7EA9" w:rsidRDefault="002D697D" w:rsidP="003E0A2F">
            <w:pPr>
              <w:keepNext/>
              <w:spacing w:line="240" w:lineRule="auto"/>
              <w:ind w:firstLine="0"/>
              <w:jc w:val="center"/>
              <w:rPr>
                <w:color w:val="000000"/>
                <w:sz w:val="18"/>
                <w:szCs w:val="18"/>
                <w:lang w:eastAsia="en-GB"/>
              </w:rPr>
            </w:pPr>
          </w:p>
        </w:tc>
        <w:tc>
          <w:tcPr>
            <w:tcW w:w="822" w:type="dxa"/>
            <w:gridSpan w:val="2"/>
            <w:noWrap/>
            <w:hideMark/>
          </w:tcPr>
          <w:p w14:paraId="251103CA" w14:textId="57236C49" w:rsidR="002D697D" w:rsidRPr="003B7EA9" w:rsidRDefault="002D697D" w:rsidP="003E0A2F">
            <w:pPr>
              <w:keepNext/>
              <w:spacing w:line="240" w:lineRule="auto"/>
              <w:ind w:firstLine="0"/>
              <w:jc w:val="center"/>
              <w:rPr>
                <w:color w:val="000000"/>
                <w:sz w:val="18"/>
                <w:szCs w:val="18"/>
                <w:lang w:eastAsia="en-GB"/>
              </w:rPr>
            </w:pPr>
            <w:r w:rsidRPr="003B7EA9">
              <w:rPr>
                <w:color w:val="000000"/>
                <w:sz w:val="18"/>
                <w:szCs w:val="18"/>
                <w:lang w:eastAsia="en-GB"/>
              </w:rPr>
              <w:t>23,872</w:t>
            </w:r>
          </w:p>
        </w:tc>
        <w:tc>
          <w:tcPr>
            <w:tcW w:w="549" w:type="dxa"/>
            <w:gridSpan w:val="3"/>
            <w:noWrap/>
            <w:hideMark/>
          </w:tcPr>
          <w:p w14:paraId="18CB19D4"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7084DA52" w14:textId="77777777" w:rsidTr="003E0A2F">
        <w:trPr>
          <w:trHeight w:val="20"/>
        </w:trPr>
        <w:tc>
          <w:tcPr>
            <w:tcW w:w="3279" w:type="dxa"/>
            <w:gridSpan w:val="2"/>
            <w:noWrap/>
            <w:hideMark/>
          </w:tcPr>
          <w:p w14:paraId="63048361"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Final Model -2LL</w:t>
            </w:r>
          </w:p>
        </w:tc>
        <w:tc>
          <w:tcPr>
            <w:tcW w:w="1275" w:type="dxa"/>
            <w:gridSpan w:val="2"/>
            <w:noWrap/>
            <w:hideMark/>
          </w:tcPr>
          <w:p w14:paraId="3F30FF79" w14:textId="2399A2D1" w:rsidR="002D697D" w:rsidRPr="003B7EA9" w:rsidRDefault="002D697D" w:rsidP="003E0A2F">
            <w:pPr>
              <w:keepNext/>
              <w:spacing w:line="240" w:lineRule="auto"/>
              <w:ind w:firstLine="0"/>
              <w:jc w:val="center"/>
              <w:rPr>
                <w:color w:val="000000"/>
                <w:sz w:val="18"/>
                <w:szCs w:val="18"/>
                <w:lang w:eastAsia="en-GB"/>
              </w:rPr>
            </w:pPr>
            <w:r w:rsidRPr="003B7EA9">
              <w:rPr>
                <w:color w:val="000000"/>
                <w:sz w:val="18"/>
                <w:szCs w:val="18"/>
                <w:lang w:eastAsia="en-GB"/>
              </w:rPr>
              <w:t>2,282,711</w:t>
            </w:r>
          </w:p>
        </w:tc>
        <w:tc>
          <w:tcPr>
            <w:tcW w:w="262" w:type="dxa"/>
            <w:noWrap/>
            <w:hideMark/>
          </w:tcPr>
          <w:p w14:paraId="55C599A0" w14:textId="77777777" w:rsidR="002D697D" w:rsidRPr="003B7EA9" w:rsidRDefault="002D697D" w:rsidP="003E0A2F">
            <w:pPr>
              <w:keepNext/>
              <w:spacing w:line="240" w:lineRule="auto"/>
              <w:ind w:firstLine="0"/>
              <w:jc w:val="center"/>
              <w:rPr>
                <w:color w:val="000000"/>
                <w:sz w:val="18"/>
                <w:szCs w:val="18"/>
                <w:lang w:eastAsia="en-GB"/>
              </w:rPr>
            </w:pPr>
          </w:p>
        </w:tc>
        <w:tc>
          <w:tcPr>
            <w:tcW w:w="1104" w:type="dxa"/>
            <w:noWrap/>
            <w:hideMark/>
          </w:tcPr>
          <w:p w14:paraId="18A372B5" w14:textId="422BF76B" w:rsidR="002D697D" w:rsidRPr="003B7EA9" w:rsidRDefault="002D697D" w:rsidP="003E0A2F">
            <w:pPr>
              <w:keepNext/>
              <w:spacing w:line="240" w:lineRule="auto"/>
              <w:ind w:firstLine="0"/>
              <w:jc w:val="center"/>
              <w:rPr>
                <w:color w:val="000000"/>
                <w:sz w:val="18"/>
                <w:szCs w:val="18"/>
                <w:lang w:eastAsia="en-GB"/>
              </w:rPr>
            </w:pPr>
            <w:r w:rsidRPr="003B7EA9">
              <w:rPr>
                <w:color w:val="000000"/>
                <w:sz w:val="18"/>
                <w:szCs w:val="18"/>
                <w:lang w:eastAsia="en-GB"/>
              </w:rPr>
              <w:t>8,484</w:t>
            </w:r>
          </w:p>
        </w:tc>
        <w:tc>
          <w:tcPr>
            <w:tcW w:w="549" w:type="dxa"/>
            <w:noWrap/>
            <w:hideMark/>
          </w:tcPr>
          <w:p w14:paraId="51744C97" w14:textId="77777777" w:rsidR="002D697D" w:rsidRPr="003B7EA9" w:rsidRDefault="002D697D" w:rsidP="003E0A2F">
            <w:pPr>
              <w:keepNext/>
              <w:spacing w:line="240" w:lineRule="auto"/>
              <w:ind w:firstLine="0"/>
              <w:jc w:val="center"/>
              <w:rPr>
                <w:color w:val="000000"/>
                <w:sz w:val="18"/>
                <w:szCs w:val="18"/>
                <w:lang w:eastAsia="en-GB"/>
              </w:rPr>
            </w:pPr>
          </w:p>
        </w:tc>
        <w:tc>
          <w:tcPr>
            <w:tcW w:w="791" w:type="dxa"/>
            <w:gridSpan w:val="3"/>
            <w:noWrap/>
            <w:hideMark/>
          </w:tcPr>
          <w:p w14:paraId="75AB1797" w14:textId="2BBF8908" w:rsidR="002D697D" w:rsidRPr="003B7EA9" w:rsidRDefault="002D697D" w:rsidP="003E0A2F">
            <w:pPr>
              <w:keepNext/>
              <w:spacing w:line="240" w:lineRule="auto"/>
              <w:ind w:firstLine="0"/>
              <w:jc w:val="center"/>
              <w:rPr>
                <w:color w:val="000000"/>
                <w:sz w:val="18"/>
                <w:szCs w:val="18"/>
                <w:lang w:eastAsia="en-GB"/>
              </w:rPr>
            </w:pPr>
            <w:r w:rsidRPr="003B7EA9">
              <w:rPr>
                <w:color w:val="000000"/>
                <w:sz w:val="18"/>
                <w:szCs w:val="18"/>
                <w:lang w:eastAsia="en-GB"/>
              </w:rPr>
              <w:t>29,162</w:t>
            </w:r>
          </w:p>
        </w:tc>
        <w:tc>
          <w:tcPr>
            <w:tcW w:w="577" w:type="dxa"/>
            <w:gridSpan w:val="3"/>
            <w:noWrap/>
            <w:hideMark/>
          </w:tcPr>
          <w:p w14:paraId="3FB4FAC9" w14:textId="77777777" w:rsidR="002D697D" w:rsidRPr="003B7EA9" w:rsidRDefault="002D697D" w:rsidP="003E0A2F">
            <w:pPr>
              <w:keepNext/>
              <w:spacing w:line="240" w:lineRule="auto"/>
              <w:ind w:firstLine="0"/>
              <w:jc w:val="center"/>
              <w:rPr>
                <w:color w:val="000000"/>
                <w:sz w:val="18"/>
                <w:szCs w:val="18"/>
                <w:lang w:eastAsia="en-GB"/>
              </w:rPr>
            </w:pPr>
          </w:p>
        </w:tc>
        <w:tc>
          <w:tcPr>
            <w:tcW w:w="822" w:type="dxa"/>
            <w:gridSpan w:val="5"/>
            <w:noWrap/>
            <w:hideMark/>
          </w:tcPr>
          <w:p w14:paraId="1D05BF52" w14:textId="7B9694F2" w:rsidR="002D697D" w:rsidRPr="003B7EA9" w:rsidRDefault="002D697D" w:rsidP="003E0A2F">
            <w:pPr>
              <w:keepNext/>
              <w:spacing w:line="240" w:lineRule="auto"/>
              <w:ind w:firstLine="0"/>
              <w:jc w:val="center"/>
              <w:rPr>
                <w:color w:val="000000"/>
                <w:sz w:val="18"/>
                <w:szCs w:val="18"/>
                <w:lang w:eastAsia="en-GB"/>
              </w:rPr>
            </w:pPr>
            <w:r w:rsidRPr="003B7EA9">
              <w:rPr>
                <w:color w:val="000000"/>
                <w:sz w:val="18"/>
                <w:szCs w:val="18"/>
                <w:lang w:eastAsia="en-GB"/>
              </w:rPr>
              <w:t>14,298</w:t>
            </w:r>
          </w:p>
        </w:tc>
        <w:tc>
          <w:tcPr>
            <w:tcW w:w="548" w:type="dxa"/>
            <w:gridSpan w:val="2"/>
            <w:noWrap/>
            <w:hideMark/>
          </w:tcPr>
          <w:p w14:paraId="00897F84" w14:textId="77777777" w:rsidR="002D697D" w:rsidRPr="003B7EA9" w:rsidRDefault="002D697D" w:rsidP="003E0A2F">
            <w:pPr>
              <w:keepNext/>
              <w:spacing w:line="240" w:lineRule="auto"/>
              <w:ind w:firstLine="0"/>
              <w:jc w:val="center"/>
              <w:rPr>
                <w:color w:val="000000"/>
                <w:sz w:val="18"/>
                <w:szCs w:val="18"/>
                <w:lang w:eastAsia="en-GB"/>
              </w:rPr>
            </w:pPr>
          </w:p>
        </w:tc>
        <w:tc>
          <w:tcPr>
            <w:tcW w:w="822" w:type="dxa"/>
            <w:gridSpan w:val="2"/>
            <w:noWrap/>
            <w:hideMark/>
          </w:tcPr>
          <w:p w14:paraId="35ED8C72" w14:textId="5ADD0844" w:rsidR="002D697D" w:rsidRPr="003B7EA9" w:rsidRDefault="002D697D" w:rsidP="003E0A2F">
            <w:pPr>
              <w:keepNext/>
              <w:spacing w:line="240" w:lineRule="auto"/>
              <w:ind w:firstLine="0"/>
              <w:jc w:val="center"/>
              <w:rPr>
                <w:color w:val="000000"/>
                <w:sz w:val="18"/>
                <w:szCs w:val="18"/>
                <w:lang w:eastAsia="en-GB"/>
              </w:rPr>
            </w:pPr>
            <w:r w:rsidRPr="003B7EA9">
              <w:rPr>
                <w:color w:val="000000"/>
                <w:sz w:val="18"/>
                <w:szCs w:val="18"/>
                <w:lang w:eastAsia="en-GB"/>
              </w:rPr>
              <w:t>19,249</w:t>
            </w:r>
          </w:p>
        </w:tc>
        <w:tc>
          <w:tcPr>
            <w:tcW w:w="549" w:type="dxa"/>
            <w:gridSpan w:val="3"/>
            <w:noWrap/>
            <w:hideMark/>
          </w:tcPr>
          <w:p w14:paraId="7531D2AB"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5AE1F71B" w14:textId="77777777" w:rsidTr="003E0A2F">
        <w:trPr>
          <w:trHeight w:val="20"/>
        </w:trPr>
        <w:tc>
          <w:tcPr>
            <w:tcW w:w="3279" w:type="dxa"/>
            <w:gridSpan w:val="2"/>
            <w:noWrap/>
            <w:hideMark/>
          </w:tcPr>
          <w:p w14:paraId="48F8AF9A"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Improvement (</w:t>
            </w:r>
            <w:proofErr w:type="spellStart"/>
            <w:r w:rsidRPr="003B7EA9">
              <w:rPr>
                <w:color w:val="000000"/>
                <w:sz w:val="18"/>
                <w:szCs w:val="18"/>
                <w:lang w:eastAsia="en-GB"/>
              </w:rPr>
              <w:t>cf</w:t>
            </w:r>
            <w:proofErr w:type="spellEnd"/>
            <w:r w:rsidRPr="003B7EA9">
              <w:rPr>
                <w:color w:val="000000"/>
                <w:sz w:val="18"/>
                <w:szCs w:val="18"/>
                <w:lang w:eastAsia="en-GB"/>
              </w:rPr>
              <w:t xml:space="preserve"> Null -2LL)</w:t>
            </w:r>
          </w:p>
        </w:tc>
        <w:tc>
          <w:tcPr>
            <w:tcW w:w="1275" w:type="dxa"/>
            <w:gridSpan w:val="2"/>
            <w:noWrap/>
            <w:hideMark/>
          </w:tcPr>
          <w:p w14:paraId="0775768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22%</w:t>
            </w:r>
          </w:p>
        </w:tc>
        <w:tc>
          <w:tcPr>
            <w:tcW w:w="262" w:type="dxa"/>
            <w:noWrap/>
            <w:hideMark/>
          </w:tcPr>
          <w:p w14:paraId="4050A269"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707364AB"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13%</w:t>
            </w:r>
          </w:p>
        </w:tc>
        <w:tc>
          <w:tcPr>
            <w:tcW w:w="549" w:type="dxa"/>
            <w:noWrap/>
            <w:hideMark/>
          </w:tcPr>
          <w:p w14:paraId="15E9DBC0" w14:textId="77777777" w:rsidR="002D697D" w:rsidRPr="003B7EA9" w:rsidRDefault="002D697D" w:rsidP="00023BDF">
            <w:pPr>
              <w:keepNext/>
              <w:spacing w:line="240" w:lineRule="auto"/>
              <w:ind w:firstLine="0"/>
              <w:jc w:val="center"/>
              <w:rPr>
                <w:color w:val="000000"/>
                <w:sz w:val="18"/>
                <w:szCs w:val="18"/>
                <w:lang w:eastAsia="en-GB"/>
              </w:rPr>
            </w:pPr>
          </w:p>
        </w:tc>
        <w:tc>
          <w:tcPr>
            <w:tcW w:w="791" w:type="dxa"/>
            <w:gridSpan w:val="3"/>
            <w:noWrap/>
            <w:hideMark/>
          </w:tcPr>
          <w:p w14:paraId="47A01051"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21%</w:t>
            </w:r>
          </w:p>
        </w:tc>
        <w:tc>
          <w:tcPr>
            <w:tcW w:w="577" w:type="dxa"/>
            <w:gridSpan w:val="3"/>
            <w:noWrap/>
            <w:hideMark/>
          </w:tcPr>
          <w:p w14:paraId="629EDCC6"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noWrap/>
            <w:hideMark/>
          </w:tcPr>
          <w:p w14:paraId="0388809C"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21%</w:t>
            </w:r>
          </w:p>
        </w:tc>
        <w:tc>
          <w:tcPr>
            <w:tcW w:w="548" w:type="dxa"/>
            <w:gridSpan w:val="2"/>
            <w:noWrap/>
            <w:hideMark/>
          </w:tcPr>
          <w:p w14:paraId="26BA8AA2"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5D6537E6"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19%</w:t>
            </w:r>
          </w:p>
        </w:tc>
        <w:tc>
          <w:tcPr>
            <w:tcW w:w="549" w:type="dxa"/>
            <w:gridSpan w:val="3"/>
            <w:noWrap/>
            <w:hideMark/>
          </w:tcPr>
          <w:p w14:paraId="0F1E6499"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6239B149" w14:textId="77777777" w:rsidTr="003E0A2F">
        <w:trPr>
          <w:trHeight w:val="20"/>
        </w:trPr>
        <w:tc>
          <w:tcPr>
            <w:tcW w:w="3279" w:type="dxa"/>
            <w:gridSpan w:val="2"/>
            <w:noWrap/>
            <w:hideMark/>
          </w:tcPr>
          <w:p w14:paraId="29D1B58E" w14:textId="77777777" w:rsidR="002D697D" w:rsidRPr="003B7EA9" w:rsidRDefault="002D697D" w:rsidP="00023BDF">
            <w:pPr>
              <w:keepNext/>
              <w:spacing w:line="240" w:lineRule="auto"/>
              <w:ind w:firstLine="0"/>
              <w:jc w:val="left"/>
              <w:rPr>
                <w:color w:val="000000"/>
                <w:sz w:val="18"/>
                <w:szCs w:val="18"/>
                <w:lang w:eastAsia="en-GB"/>
              </w:rPr>
            </w:pPr>
            <w:r w:rsidRPr="003B7EA9">
              <w:rPr>
                <w:color w:val="000000"/>
                <w:sz w:val="18"/>
                <w:szCs w:val="18"/>
                <w:lang w:eastAsia="en-GB"/>
              </w:rPr>
              <w:t>Cox &amp; Snell R</w:t>
            </w:r>
            <w:r w:rsidRPr="003B7EA9">
              <w:rPr>
                <w:color w:val="000000"/>
                <w:sz w:val="18"/>
                <w:szCs w:val="18"/>
                <w:vertAlign w:val="superscript"/>
                <w:lang w:eastAsia="en-GB"/>
              </w:rPr>
              <w:t>2</w:t>
            </w:r>
          </w:p>
        </w:tc>
        <w:tc>
          <w:tcPr>
            <w:tcW w:w="1275" w:type="dxa"/>
            <w:gridSpan w:val="2"/>
            <w:noWrap/>
            <w:hideMark/>
          </w:tcPr>
          <w:p w14:paraId="6D2ECDE4"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0.14</w:t>
            </w:r>
          </w:p>
        </w:tc>
        <w:tc>
          <w:tcPr>
            <w:tcW w:w="262" w:type="dxa"/>
            <w:noWrap/>
            <w:hideMark/>
          </w:tcPr>
          <w:p w14:paraId="379DA4B5" w14:textId="77777777" w:rsidR="002D697D" w:rsidRPr="003B7EA9" w:rsidRDefault="002D697D" w:rsidP="00023BDF">
            <w:pPr>
              <w:keepNext/>
              <w:spacing w:line="240" w:lineRule="auto"/>
              <w:ind w:firstLine="0"/>
              <w:jc w:val="center"/>
              <w:rPr>
                <w:color w:val="000000"/>
                <w:sz w:val="18"/>
                <w:szCs w:val="18"/>
                <w:lang w:eastAsia="en-GB"/>
              </w:rPr>
            </w:pPr>
          </w:p>
        </w:tc>
        <w:tc>
          <w:tcPr>
            <w:tcW w:w="1104" w:type="dxa"/>
            <w:noWrap/>
            <w:hideMark/>
          </w:tcPr>
          <w:p w14:paraId="35C4776A"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0.11</w:t>
            </w:r>
          </w:p>
        </w:tc>
        <w:tc>
          <w:tcPr>
            <w:tcW w:w="549" w:type="dxa"/>
            <w:noWrap/>
            <w:hideMark/>
          </w:tcPr>
          <w:p w14:paraId="4D25F82C" w14:textId="77777777" w:rsidR="002D697D" w:rsidRPr="003B7EA9" w:rsidRDefault="002D697D" w:rsidP="00023BDF">
            <w:pPr>
              <w:keepNext/>
              <w:spacing w:line="240" w:lineRule="auto"/>
              <w:ind w:firstLine="0"/>
              <w:jc w:val="center"/>
              <w:rPr>
                <w:color w:val="000000"/>
                <w:sz w:val="18"/>
                <w:szCs w:val="18"/>
                <w:lang w:eastAsia="en-GB"/>
              </w:rPr>
            </w:pPr>
          </w:p>
        </w:tc>
        <w:tc>
          <w:tcPr>
            <w:tcW w:w="791" w:type="dxa"/>
            <w:gridSpan w:val="3"/>
            <w:noWrap/>
            <w:hideMark/>
          </w:tcPr>
          <w:p w14:paraId="44AE8195"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0.20</w:t>
            </w:r>
          </w:p>
        </w:tc>
        <w:tc>
          <w:tcPr>
            <w:tcW w:w="577" w:type="dxa"/>
            <w:gridSpan w:val="3"/>
            <w:noWrap/>
            <w:hideMark/>
          </w:tcPr>
          <w:p w14:paraId="75AE038C"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5"/>
            <w:noWrap/>
            <w:hideMark/>
          </w:tcPr>
          <w:p w14:paraId="2FCB0A92"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0.14</w:t>
            </w:r>
          </w:p>
        </w:tc>
        <w:tc>
          <w:tcPr>
            <w:tcW w:w="548" w:type="dxa"/>
            <w:gridSpan w:val="2"/>
            <w:noWrap/>
            <w:hideMark/>
          </w:tcPr>
          <w:p w14:paraId="1B614E7F" w14:textId="77777777" w:rsidR="002D697D" w:rsidRPr="003B7EA9" w:rsidRDefault="002D697D" w:rsidP="00023BDF">
            <w:pPr>
              <w:keepNext/>
              <w:spacing w:line="240" w:lineRule="auto"/>
              <w:ind w:firstLine="0"/>
              <w:jc w:val="center"/>
              <w:rPr>
                <w:color w:val="000000"/>
                <w:sz w:val="18"/>
                <w:szCs w:val="18"/>
                <w:lang w:eastAsia="en-GB"/>
              </w:rPr>
            </w:pPr>
          </w:p>
        </w:tc>
        <w:tc>
          <w:tcPr>
            <w:tcW w:w="822" w:type="dxa"/>
            <w:gridSpan w:val="2"/>
            <w:noWrap/>
            <w:hideMark/>
          </w:tcPr>
          <w:p w14:paraId="7F0D0E3D" w14:textId="77777777" w:rsidR="002D697D" w:rsidRPr="003B7EA9" w:rsidRDefault="002D697D" w:rsidP="00023BDF">
            <w:pPr>
              <w:keepNext/>
              <w:spacing w:line="240" w:lineRule="auto"/>
              <w:ind w:firstLine="0"/>
              <w:jc w:val="center"/>
              <w:rPr>
                <w:color w:val="000000"/>
                <w:sz w:val="18"/>
                <w:szCs w:val="18"/>
                <w:lang w:eastAsia="en-GB"/>
              </w:rPr>
            </w:pPr>
            <w:r w:rsidRPr="003B7EA9">
              <w:rPr>
                <w:color w:val="000000"/>
                <w:sz w:val="18"/>
                <w:szCs w:val="18"/>
                <w:lang w:eastAsia="en-GB"/>
              </w:rPr>
              <w:t>0.11</w:t>
            </w:r>
          </w:p>
        </w:tc>
        <w:tc>
          <w:tcPr>
            <w:tcW w:w="549" w:type="dxa"/>
            <w:gridSpan w:val="3"/>
            <w:noWrap/>
            <w:hideMark/>
          </w:tcPr>
          <w:p w14:paraId="32E82B87" w14:textId="77777777" w:rsidR="002D697D" w:rsidRPr="003B7EA9" w:rsidRDefault="002D697D" w:rsidP="00023BDF">
            <w:pPr>
              <w:keepNext/>
              <w:spacing w:line="240" w:lineRule="auto"/>
              <w:ind w:firstLine="0"/>
              <w:jc w:val="center"/>
              <w:rPr>
                <w:color w:val="000000"/>
                <w:sz w:val="18"/>
                <w:szCs w:val="18"/>
                <w:lang w:eastAsia="en-GB"/>
              </w:rPr>
            </w:pPr>
          </w:p>
        </w:tc>
      </w:tr>
      <w:tr w:rsidR="002D697D" w:rsidRPr="003B7EA9" w14:paraId="31FE2259" w14:textId="77777777" w:rsidTr="003E0A2F">
        <w:trPr>
          <w:trHeight w:val="240"/>
        </w:trPr>
        <w:tc>
          <w:tcPr>
            <w:tcW w:w="3279" w:type="dxa"/>
            <w:gridSpan w:val="2"/>
            <w:tcBorders>
              <w:bottom w:val="single" w:sz="4" w:space="0" w:color="auto"/>
            </w:tcBorders>
            <w:noWrap/>
            <w:hideMark/>
          </w:tcPr>
          <w:p w14:paraId="5A531A94" w14:textId="77777777" w:rsidR="002D697D" w:rsidRPr="003B7EA9" w:rsidRDefault="002D697D" w:rsidP="002D45AF">
            <w:pPr>
              <w:spacing w:line="240" w:lineRule="auto"/>
              <w:ind w:firstLine="0"/>
              <w:jc w:val="left"/>
              <w:rPr>
                <w:color w:val="000000"/>
                <w:sz w:val="18"/>
                <w:szCs w:val="18"/>
                <w:lang w:eastAsia="en-GB"/>
              </w:rPr>
            </w:pPr>
            <w:proofErr w:type="spellStart"/>
            <w:r w:rsidRPr="003B7EA9">
              <w:rPr>
                <w:color w:val="000000"/>
                <w:sz w:val="18"/>
                <w:szCs w:val="18"/>
                <w:lang w:eastAsia="en-GB"/>
              </w:rPr>
              <w:t>Nagelkerke</w:t>
            </w:r>
            <w:proofErr w:type="spellEnd"/>
            <w:r w:rsidRPr="003B7EA9">
              <w:rPr>
                <w:color w:val="000000"/>
                <w:sz w:val="18"/>
                <w:szCs w:val="18"/>
                <w:lang w:eastAsia="en-GB"/>
              </w:rPr>
              <w:t xml:space="preserve"> R</w:t>
            </w:r>
            <w:r w:rsidRPr="003B7EA9">
              <w:rPr>
                <w:color w:val="000000"/>
                <w:sz w:val="18"/>
                <w:szCs w:val="18"/>
                <w:vertAlign w:val="superscript"/>
                <w:lang w:eastAsia="en-GB"/>
              </w:rPr>
              <w:t>2</w:t>
            </w:r>
          </w:p>
        </w:tc>
        <w:tc>
          <w:tcPr>
            <w:tcW w:w="1275" w:type="dxa"/>
            <w:gridSpan w:val="2"/>
            <w:tcBorders>
              <w:bottom w:val="single" w:sz="4" w:space="0" w:color="auto"/>
            </w:tcBorders>
            <w:noWrap/>
            <w:hideMark/>
          </w:tcPr>
          <w:p w14:paraId="412F9088" w14:textId="77777777" w:rsidR="002D697D" w:rsidRPr="003B7EA9" w:rsidRDefault="002D697D" w:rsidP="002D45AF">
            <w:pPr>
              <w:spacing w:line="240" w:lineRule="auto"/>
              <w:ind w:firstLine="0"/>
              <w:jc w:val="center"/>
              <w:rPr>
                <w:color w:val="000000"/>
                <w:sz w:val="18"/>
                <w:szCs w:val="18"/>
                <w:lang w:eastAsia="en-GB"/>
              </w:rPr>
            </w:pPr>
            <w:r w:rsidRPr="003B7EA9">
              <w:rPr>
                <w:color w:val="000000"/>
                <w:sz w:val="18"/>
                <w:szCs w:val="18"/>
                <w:lang w:eastAsia="en-GB"/>
              </w:rPr>
              <w:t>0.28</w:t>
            </w:r>
          </w:p>
        </w:tc>
        <w:tc>
          <w:tcPr>
            <w:tcW w:w="262" w:type="dxa"/>
            <w:tcBorders>
              <w:bottom w:val="single" w:sz="4" w:space="0" w:color="auto"/>
            </w:tcBorders>
            <w:noWrap/>
            <w:hideMark/>
          </w:tcPr>
          <w:p w14:paraId="58C89968" w14:textId="77777777" w:rsidR="002D697D" w:rsidRPr="003B7EA9" w:rsidRDefault="002D697D" w:rsidP="002D45AF">
            <w:pPr>
              <w:spacing w:line="240" w:lineRule="auto"/>
              <w:ind w:firstLine="0"/>
              <w:jc w:val="center"/>
              <w:rPr>
                <w:color w:val="000000"/>
                <w:sz w:val="18"/>
                <w:szCs w:val="18"/>
                <w:lang w:eastAsia="en-GB"/>
              </w:rPr>
            </w:pPr>
          </w:p>
        </w:tc>
        <w:tc>
          <w:tcPr>
            <w:tcW w:w="1104" w:type="dxa"/>
            <w:tcBorders>
              <w:bottom w:val="single" w:sz="4" w:space="0" w:color="auto"/>
            </w:tcBorders>
            <w:noWrap/>
            <w:hideMark/>
          </w:tcPr>
          <w:p w14:paraId="22B2091E" w14:textId="77777777" w:rsidR="002D697D" w:rsidRPr="003B7EA9" w:rsidRDefault="002D697D" w:rsidP="002D45AF">
            <w:pPr>
              <w:spacing w:line="240" w:lineRule="auto"/>
              <w:ind w:firstLine="0"/>
              <w:jc w:val="center"/>
              <w:rPr>
                <w:color w:val="000000"/>
                <w:sz w:val="18"/>
                <w:szCs w:val="18"/>
                <w:lang w:eastAsia="en-GB"/>
              </w:rPr>
            </w:pPr>
            <w:r w:rsidRPr="003B7EA9">
              <w:rPr>
                <w:color w:val="000000"/>
                <w:sz w:val="18"/>
                <w:szCs w:val="18"/>
                <w:lang w:eastAsia="en-GB"/>
              </w:rPr>
              <w:t>0.18</w:t>
            </w:r>
          </w:p>
        </w:tc>
        <w:tc>
          <w:tcPr>
            <w:tcW w:w="549" w:type="dxa"/>
            <w:tcBorders>
              <w:bottom w:val="single" w:sz="4" w:space="0" w:color="auto"/>
            </w:tcBorders>
            <w:noWrap/>
            <w:hideMark/>
          </w:tcPr>
          <w:p w14:paraId="231491AD" w14:textId="77777777" w:rsidR="002D697D" w:rsidRPr="003B7EA9" w:rsidRDefault="002D697D" w:rsidP="002D45AF">
            <w:pPr>
              <w:spacing w:line="240" w:lineRule="auto"/>
              <w:ind w:firstLine="0"/>
              <w:jc w:val="center"/>
              <w:rPr>
                <w:color w:val="000000"/>
                <w:sz w:val="18"/>
                <w:szCs w:val="18"/>
                <w:lang w:eastAsia="en-GB"/>
              </w:rPr>
            </w:pPr>
            <w:r w:rsidRPr="003B7EA9">
              <w:rPr>
                <w:color w:val="000000"/>
                <w:sz w:val="18"/>
                <w:szCs w:val="18"/>
                <w:lang w:eastAsia="en-GB"/>
              </w:rPr>
              <w:t> </w:t>
            </w:r>
          </w:p>
        </w:tc>
        <w:tc>
          <w:tcPr>
            <w:tcW w:w="791" w:type="dxa"/>
            <w:gridSpan w:val="3"/>
            <w:tcBorders>
              <w:bottom w:val="single" w:sz="4" w:space="0" w:color="auto"/>
            </w:tcBorders>
            <w:noWrap/>
            <w:hideMark/>
          </w:tcPr>
          <w:p w14:paraId="67256227" w14:textId="77777777" w:rsidR="002D697D" w:rsidRPr="003B7EA9" w:rsidRDefault="002D697D" w:rsidP="002D45AF">
            <w:pPr>
              <w:spacing w:line="240" w:lineRule="auto"/>
              <w:ind w:firstLine="0"/>
              <w:jc w:val="center"/>
              <w:rPr>
                <w:color w:val="000000"/>
                <w:sz w:val="18"/>
                <w:szCs w:val="18"/>
                <w:lang w:eastAsia="en-GB"/>
              </w:rPr>
            </w:pPr>
            <w:r w:rsidRPr="003B7EA9">
              <w:rPr>
                <w:color w:val="000000"/>
                <w:sz w:val="18"/>
                <w:szCs w:val="18"/>
                <w:lang w:eastAsia="en-GB"/>
              </w:rPr>
              <w:t>0.31</w:t>
            </w:r>
          </w:p>
        </w:tc>
        <w:tc>
          <w:tcPr>
            <w:tcW w:w="577" w:type="dxa"/>
            <w:gridSpan w:val="3"/>
            <w:tcBorders>
              <w:bottom w:val="single" w:sz="4" w:space="0" w:color="auto"/>
            </w:tcBorders>
            <w:noWrap/>
            <w:hideMark/>
          </w:tcPr>
          <w:p w14:paraId="203356E0" w14:textId="77777777" w:rsidR="002D697D" w:rsidRPr="003B7EA9" w:rsidRDefault="002D697D" w:rsidP="002D45AF">
            <w:pPr>
              <w:spacing w:line="240" w:lineRule="auto"/>
              <w:ind w:firstLine="0"/>
              <w:jc w:val="center"/>
              <w:rPr>
                <w:color w:val="000000"/>
                <w:sz w:val="18"/>
                <w:szCs w:val="18"/>
                <w:lang w:eastAsia="en-GB"/>
              </w:rPr>
            </w:pPr>
            <w:r w:rsidRPr="003B7EA9">
              <w:rPr>
                <w:color w:val="000000"/>
                <w:sz w:val="18"/>
                <w:szCs w:val="18"/>
                <w:lang w:eastAsia="en-GB"/>
              </w:rPr>
              <w:t> </w:t>
            </w:r>
          </w:p>
        </w:tc>
        <w:tc>
          <w:tcPr>
            <w:tcW w:w="822" w:type="dxa"/>
            <w:gridSpan w:val="5"/>
            <w:tcBorders>
              <w:bottom w:val="single" w:sz="4" w:space="0" w:color="auto"/>
            </w:tcBorders>
            <w:noWrap/>
            <w:hideMark/>
          </w:tcPr>
          <w:p w14:paraId="6C9887A5" w14:textId="77777777" w:rsidR="002D697D" w:rsidRPr="003B7EA9" w:rsidRDefault="002D697D" w:rsidP="002D45AF">
            <w:pPr>
              <w:spacing w:line="240" w:lineRule="auto"/>
              <w:ind w:firstLine="0"/>
              <w:jc w:val="center"/>
              <w:rPr>
                <w:color w:val="000000"/>
                <w:sz w:val="18"/>
                <w:szCs w:val="18"/>
                <w:lang w:eastAsia="en-GB"/>
              </w:rPr>
            </w:pPr>
            <w:r w:rsidRPr="003B7EA9">
              <w:rPr>
                <w:color w:val="000000"/>
                <w:sz w:val="18"/>
                <w:szCs w:val="18"/>
                <w:lang w:eastAsia="en-GB"/>
              </w:rPr>
              <w:t>0.28</w:t>
            </w:r>
          </w:p>
        </w:tc>
        <w:tc>
          <w:tcPr>
            <w:tcW w:w="548" w:type="dxa"/>
            <w:gridSpan w:val="2"/>
            <w:tcBorders>
              <w:bottom w:val="single" w:sz="4" w:space="0" w:color="auto"/>
            </w:tcBorders>
            <w:noWrap/>
            <w:hideMark/>
          </w:tcPr>
          <w:p w14:paraId="3298AE97" w14:textId="77777777" w:rsidR="002D697D" w:rsidRPr="003B7EA9" w:rsidRDefault="002D697D" w:rsidP="002D45AF">
            <w:pPr>
              <w:spacing w:line="240" w:lineRule="auto"/>
              <w:ind w:firstLine="0"/>
              <w:jc w:val="center"/>
              <w:rPr>
                <w:color w:val="000000"/>
                <w:sz w:val="18"/>
                <w:szCs w:val="18"/>
                <w:lang w:eastAsia="en-GB"/>
              </w:rPr>
            </w:pPr>
            <w:r w:rsidRPr="003B7EA9">
              <w:rPr>
                <w:color w:val="000000"/>
                <w:sz w:val="18"/>
                <w:szCs w:val="18"/>
                <w:lang w:eastAsia="en-GB"/>
              </w:rPr>
              <w:t> </w:t>
            </w:r>
          </w:p>
        </w:tc>
        <w:tc>
          <w:tcPr>
            <w:tcW w:w="822" w:type="dxa"/>
            <w:gridSpan w:val="2"/>
            <w:tcBorders>
              <w:bottom w:val="single" w:sz="4" w:space="0" w:color="auto"/>
            </w:tcBorders>
            <w:noWrap/>
            <w:hideMark/>
          </w:tcPr>
          <w:p w14:paraId="266EB50B" w14:textId="77777777" w:rsidR="002D697D" w:rsidRPr="003B7EA9" w:rsidRDefault="002D697D" w:rsidP="002D45AF">
            <w:pPr>
              <w:spacing w:line="240" w:lineRule="auto"/>
              <w:ind w:firstLine="0"/>
              <w:jc w:val="center"/>
              <w:rPr>
                <w:color w:val="000000"/>
                <w:sz w:val="18"/>
                <w:szCs w:val="18"/>
                <w:lang w:eastAsia="en-GB"/>
              </w:rPr>
            </w:pPr>
            <w:r w:rsidRPr="003B7EA9">
              <w:rPr>
                <w:color w:val="000000"/>
                <w:sz w:val="18"/>
                <w:szCs w:val="18"/>
                <w:lang w:eastAsia="en-GB"/>
              </w:rPr>
              <w:t>0.24</w:t>
            </w:r>
          </w:p>
        </w:tc>
        <w:tc>
          <w:tcPr>
            <w:tcW w:w="549" w:type="dxa"/>
            <w:gridSpan w:val="3"/>
            <w:tcBorders>
              <w:bottom w:val="single" w:sz="4" w:space="0" w:color="auto"/>
            </w:tcBorders>
            <w:noWrap/>
            <w:hideMark/>
          </w:tcPr>
          <w:p w14:paraId="002426D7" w14:textId="77777777" w:rsidR="002D697D" w:rsidRPr="003B7EA9" w:rsidRDefault="002D697D" w:rsidP="002D45AF">
            <w:pPr>
              <w:spacing w:line="240" w:lineRule="auto"/>
              <w:ind w:firstLine="0"/>
              <w:jc w:val="center"/>
              <w:rPr>
                <w:color w:val="000000"/>
                <w:sz w:val="18"/>
                <w:szCs w:val="18"/>
                <w:lang w:eastAsia="en-GB"/>
              </w:rPr>
            </w:pPr>
            <w:r w:rsidRPr="003B7EA9">
              <w:rPr>
                <w:color w:val="000000"/>
                <w:sz w:val="18"/>
                <w:szCs w:val="18"/>
                <w:lang w:eastAsia="en-GB"/>
              </w:rPr>
              <w:t> </w:t>
            </w:r>
          </w:p>
        </w:tc>
      </w:tr>
    </w:tbl>
    <w:p w14:paraId="7D788080" w14:textId="77777777" w:rsidR="002D45AF" w:rsidRPr="003B7EA9" w:rsidRDefault="002D45AF" w:rsidP="008F28C7">
      <w:pPr>
        <w:ind w:left="-709" w:firstLine="0"/>
        <w:rPr>
          <w:lang w:eastAsia="en-GB"/>
        </w:rPr>
      </w:pPr>
    </w:p>
    <w:p w14:paraId="12E6BC58" w14:textId="77777777" w:rsidR="002D45AF" w:rsidRPr="003B7EA9" w:rsidRDefault="002D45AF">
      <w:pPr>
        <w:spacing w:line="240" w:lineRule="auto"/>
        <w:ind w:firstLine="0"/>
        <w:jc w:val="left"/>
        <w:rPr>
          <w:lang w:eastAsia="en-GB"/>
        </w:rPr>
      </w:pPr>
    </w:p>
    <w:tbl>
      <w:tblPr>
        <w:tblW w:w="9612" w:type="dxa"/>
        <w:tblInd w:w="93" w:type="dxa"/>
        <w:tblLook w:val="04A0" w:firstRow="1" w:lastRow="0" w:firstColumn="1" w:lastColumn="0" w:noHBand="0" w:noVBand="1"/>
      </w:tblPr>
      <w:tblGrid>
        <w:gridCol w:w="2700"/>
        <w:gridCol w:w="1140"/>
        <w:gridCol w:w="1140"/>
        <w:gridCol w:w="1140"/>
        <w:gridCol w:w="1140"/>
        <w:gridCol w:w="2352"/>
      </w:tblGrid>
      <w:tr w:rsidR="009B637A" w:rsidRPr="003B7EA9" w14:paraId="2BBBE401" w14:textId="77777777" w:rsidTr="009B637A">
        <w:trPr>
          <w:trHeight w:val="300"/>
        </w:trPr>
        <w:tc>
          <w:tcPr>
            <w:tcW w:w="9612" w:type="dxa"/>
            <w:gridSpan w:val="6"/>
            <w:tcBorders>
              <w:top w:val="nil"/>
              <w:left w:val="nil"/>
              <w:right w:val="nil"/>
            </w:tcBorders>
            <w:shd w:val="clear" w:color="auto" w:fill="auto"/>
            <w:noWrap/>
            <w:vAlign w:val="bottom"/>
            <w:hideMark/>
          </w:tcPr>
          <w:p w14:paraId="63A428BE" w14:textId="5CAB6B03" w:rsidR="009B637A" w:rsidRPr="003B7EA9" w:rsidRDefault="009B637A" w:rsidP="00B87F0E">
            <w:pPr>
              <w:keepNext/>
              <w:keepLines/>
              <w:spacing w:line="240" w:lineRule="auto"/>
              <w:ind w:firstLine="0"/>
              <w:jc w:val="left"/>
              <w:rPr>
                <w:color w:val="000000"/>
                <w:sz w:val="22"/>
                <w:szCs w:val="22"/>
                <w:lang w:eastAsia="en-GB"/>
              </w:rPr>
            </w:pPr>
            <w:r w:rsidRPr="003B7EA9">
              <w:rPr>
                <w:i/>
                <w:iCs/>
                <w:color w:val="000000"/>
                <w:sz w:val="22"/>
                <w:szCs w:val="22"/>
                <w:lang w:eastAsia="en-GB"/>
              </w:rPr>
              <w:lastRenderedPageBreak/>
              <w:t xml:space="preserve">Table </w:t>
            </w:r>
            <w:r>
              <w:rPr>
                <w:i/>
                <w:iCs/>
                <w:color w:val="000000"/>
                <w:sz w:val="22"/>
                <w:szCs w:val="22"/>
                <w:lang w:eastAsia="en-GB"/>
              </w:rPr>
              <w:t xml:space="preserve">7 </w:t>
            </w:r>
            <w:r w:rsidRPr="003B7EA9">
              <w:rPr>
                <w:i/>
                <w:iCs/>
                <w:color w:val="000000"/>
                <w:sz w:val="22"/>
                <w:szCs w:val="22"/>
                <w:lang w:eastAsia="en-GB"/>
              </w:rPr>
              <w:t xml:space="preserve">  </w:t>
            </w:r>
            <w:r w:rsidR="00A051CD">
              <w:rPr>
                <w:i/>
                <w:iCs/>
                <w:color w:val="000000"/>
                <w:sz w:val="22"/>
                <w:szCs w:val="22"/>
                <w:lang w:eastAsia="en-GB"/>
              </w:rPr>
              <w:t>Summary of odds of m</w:t>
            </w:r>
            <w:r>
              <w:rPr>
                <w:i/>
                <w:iCs/>
                <w:color w:val="000000"/>
                <w:sz w:val="22"/>
                <w:szCs w:val="22"/>
                <w:lang w:eastAsia="en-GB"/>
              </w:rPr>
              <w:t>igration relative to the white British group</w:t>
            </w:r>
          </w:p>
        </w:tc>
      </w:tr>
      <w:tr w:rsidR="009B637A" w:rsidRPr="003B7EA9" w14:paraId="65F464BF" w14:textId="77777777" w:rsidTr="009B637A">
        <w:trPr>
          <w:gridAfter w:val="1"/>
          <w:wAfter w:w="2352" w:type="dxa"/>
          <w:trHeight w:val="600"/>
        </w:trPr>
        <w:tc>
          <w:tcPr>
            <w:tcW w:w="2700" w:type="dxa"/>
            <w:tcBorders>
              <w:top w:val="nil"/>
              <w:left w:val="nil"/>
              <w:bottom w:val="single" w:sz="4" w:space="0" w:color="auto"/>
              <w:right w:val="nil"/>
            </w:tcBorders>
            <w:shd w:val="clear" w:color="auto" w:fill="auto"/>
            <w:vAlign w:val="center"/>
            <w:hideMark/>
          </w:tcPr>
          <w:p w14:paraId="6226D22D" w14:textId="77777777" w:rsidR="009B637A" w:rsidRPr="003B7EA9" w:rsidRDefault="009B637A" w:rsidP="00B87F0E">
            <w:pPr>
              <w:keepNext/>
              <w:keepLines/>
              <w:spacing w:line="240" w:lineRule="auto"/>
              <w:ind w:firstLine="0"/>
              <w:jc w:val="left"/>
              <w:rPr>
                <w:color w:val="000000"/>
                <w:sz w:val="22"/>
                <w:szCs w:val="22"/>
                <w:lang w:eastAsia="en-GB"/>
              </w:rPr>
            </w:pPr>
          </w:p>
        </w:tc>
        <w:tc>
          <w:tcPr>
            <w:tcW w:w="1140" w:type="dxa"/>
            <w:tcBorders>
              <w:top w:val="nil"/>
              <w:left w:val="nil"/>
              <w:bottom w:val="single" w:sz="4" w:space="0" w:color="auto"/>
              <w:right w:val="nil"/>
            </w:tcBorders>
            <w:shd w:val="clear" w:color="auto" w:fill="auto"/>
            <w:vAlign w:val="center"/>
            <w:hideMark/>
          </w:tcPr>
          <w:p w14:paraId="065A040F" w14:textId="77777777" w:rsidR="009B637A" w:rsidRPr="003B7EA9" w:rsidRDefault="009B637A" w:rsidP="00B87F0E">
            <w:pPr>
              <w:keepNext/>
              <w:keepLines/>
              <w:spacing w:line="240" w:lineRule="auto"/>
              <w:ind w:firstLine="0"/>
              <w:jc w:val="right"/>
              <w:rPr>
                <w:color w:val="000000"/>
                <w:sz w:val="22"/>
                <w:szCs w:val="22"/>
                <w:lang w:eastAsia="en-GB"/>
              </w:rPr>
            </w:pPr>
            <w:r w:rsidRPr="003B7EA9">
              <w:rPr>
                <w:color w:val="000000"/>
                <w:sz w:val="22"/>
                <w:szCs w:val="22"/>
                <w:lang w:eastAsia="en-GB"/>
              </w:rPr>
              <w:t>Arab</w:t>
            </w:r>
          </w:p>
        </w:tc>
        <w:tc>
          <w:tcPr>
            <w:tcW w:w="1140" w:type="dxa"/>
            <w:tcBorders>
              <w:top w:val="nil"/>
              <w:left w:val="nil"/>
              <w:bottom w:val="single" w:sz="4" w:space="0" w:color="auto"/>
              <w:right w:val="nil"/>
            </w:tcBorders>
            <w:shd w:val="clear" w:color="auto" w:fill="auto"/>
            <w:vAlign w:val="center"/>
            <w:hideMark/>
          </w:tcPr>
          <w:p w14:paraId="465A62A7" w14:textId="77777777" w:rsidR="009B637A" w:rsidRPr="003B7EA9" w:rsidRDefault="009B637A" w:rsidP="00B87F0E">
            <w:pPr>
              <w:keepNext/>
              <w:keepLines/>
              <w:spacing w:line="240" w:lineRule="auto"/>
              <w:ind w:firstLine="0"/>
              <w:jc w:val="right"/>
              <w:rPr>
                <w:color w:val="000000"/>
                <w:sz w:val="22"/>
                <w:szCs w:val="22"/>
                <w:lang w:eastAsia="en-GB"/>
              </w:rPr>
            </w:pPr>
            <w:r w:rsidRPr="003B7EA9">
              <w:rPr>
                <w:color w:val="000000"/>
                <w:sz w:val="22"/>
                <w:szCs w:val="22"/>
                <w:lang w:eastAsia="en-GB"/>
              </w:rPr>
              <w:t>Chinese</w:t>
            </w:r>
          </w:p>
        </w:tc>
        <w:tc>
          <w:tcPr>
            <w:tcW w:w="1140" w:type="dxa"/>
            <w:tcBorders>
              <w:top w:val="nil"/>
              <w:left w:val="nil"/>
              <w:bottom w:val="single" w:sz="4" w:space="0" w:color="auto"/>
              <w:right w:val="nil"/>
            </w:tcBorders>
            <w:shd w:val="clear" w:color="auto" w:fill="auto"/>
            <w:vAlign w:val="center"/>
            <w:hideMark/>
          </w:tcPr>
          <w:p w14:paraId="14878B25" w14:textId="77777777" w:rsidR="009B637A" w:rsidRPr="003B7EA9" w:rsidRDefault="009B637A" w:rsidP="00B87F0E">
            <w:pPr>
              <w:keepNext/>
              <w:keepLines/>
              <w:spacing w:line="240" w:lineRule="auto"/>
              <w:ind w:firstLine="0"/>
              <w:jc w:val="right"/>
              <w:rPr>
                <w:color w:val="000000"/>
                <w:sz w:val="22"/>
                <w:szCs w:val="22"/>
                <w:lang w:eastAsia="en-GB"/>
              </w:rPr>
            </w:pPr>
            <w:r w:rsidRPr="003B7EA9">
              <w:rPr>
                <w:color w:val="000000"/>
                <w:sz w:val="22"/>
                <w:szCs w:val="22"/>
                <w:lang w:eastAsia="en-GB"/>
              </w:rPr>
              <w:t>Jewish</w:t>
            </w:r>
          </w:p>
        </w:tc>
        <w:tc>
          <w:tcPr>
            <w:tcW w:w="1140" w:type="dxa"/>
            <w:tcBorders>
              <w:top w:val="nil"/>
              <w:left w:val="nil"/>
              <w:bottom w:val="single" w:sz="4" w:space="0" w:color="auto"/>
              <w:right w:val="nil"/>
            </w:tcBorders>
            <w:shd w:val="clear" w:color="auto" w:fill="auto"/>
            <w:vAlign w:val="center"/>
            <w:hideMark/>
          </w:tcPr>
          <w:p w14:paraId="2EF1C230" w14:textId="77777777" w:rsidR="009B637A" w:rsidRPr="003B7EA9" w:rsidRDefault="009B637A" w:rsidP="00B87F0E">
            <w:pPr>
              <w:keepNext/>
              <w:keepLines/>
              <w:spacing w:line="240" w:lineRule="auto"/>
              <w:ind w:firstLine="0"/>
              <w:jc w:val="right"/>
              <w:rPr>
                <w:color w:val="000000"/>
                <w:sz w:val="22"/>
                <w:szCs w:val="22"/>
                <w:lang w:eastAsia="en-GB"/>
              </w:rPr>
            </w:pPr>
            <w:r w:rsidRPr="003B7EA9">
              <w:rPr>
                <w:color w:val="000000"/>
                <w:sz w:val="22"/>
                <w:szCs w:val="22"/>
                <w:lang w:eastAsia="en-GB"/>
              </w:rPr>
              <w:t>Sikh</w:t>
            </w:r>
          </w:p>
        </w:tc>
      </w:tr>
      <w:tr w:rsidR="009B637A" w:rsidRPr="003B7EA9" w14:paraId="1442D1E5" w14:textId="77777777" w:rsidTr="009B637A">
        <w:trPr>
          <w:gridAfter w:val="1"/>
          <w:wAfter w:w="2352" w:type="dxa"/>
          <w:trHeight w:val="615"/>
        </w:trPr>
        <w:tc>
          <w:tcPr>
            <w:tcW w:w="2700" w:type="dxa"/>
            <w:tcBorders>
              <w:top w:val="single" w:sz="4" w:space="0" w:color="auto"/>
              <w:left w:val="nil"/>
              <w:bottom w:val="nil"/>
              <w:right w:val="nil"/>
            </w:tcBorders>
            <w:shd w:val="clear" w:color="auto" w:fill="auto"/>
            <w:vAlign w:val="center"/>
            <w:hideMark/>
          </w:tcPr>
          <w:p w14:paraId="6BC9DC96" w14:textId="7D2BE291" w:rsidR="009B637A" w:rsidRPr="003B7EA9" w:rsidRDefault="006E209C" w:rsidP="00B87F0E">
            <w:pPr>
              <w:keepNext/>
              <w:keepLines/>
              <w:spacing w:line="240" w:lineRule="auto"/>
              <w:ind w:firstLine="0"/>
              <w:jc w:val="left"/>
              <w:rPr>
                <w:color w:val="000000"/>
                <w:sz w:val="22"/>
                <w:szCs w:val="22"/>
                <w:lang w:eastAsia="en-GB"/>
              </w:rPr>
            </w:pPr>
            <w:r>
              <w:rPr>
                <w:color w:val="000000"/>
                <w:sz w:val="22"/>
                <w:szCs w:val="22"/>
                <w:lang w:eastAsia="en-GB"/>
              </w:rPr>
              <w:t>Raw d</w:t>
            </w:r>
            <w:r w:rsidR="00A26998">
              <w:rPr>
                <w:color w:val="000000"/>
                <w:sz w:val="22"/>
                <w:szCs w:val="22"/>
                <w:lang w:eastAsia="en-GB"/>
              </w:rPr>
              <w:t>ata</w:t>
            </w:r>
          </w:p>
        </w:tc>
        <w:tc>
          <w:tcPr>
            <w:tcW w:w="1140" w:type="dxa"/>
            <w:tcBorders>
              <w:top w:val="single" w:sz="4" w:space="0" w:color="auto"/>
              <w:left w:val="nil"/>
              <w:bottom w:val="nil"/>
              <w:right w:val="nil"/>
            </w:tcBorders>
            <w:shd w:val="clear" w:color="auto" w:fill="auto"/>
            <w:noWrap/>
            <w:vAlign w:val="center"/>
            <w:hideMark/>
          </w:tcPr>
          <w:p w14:paraId="3A20583C" w14:textId="5C55F80F" w:rsidR="009B637A" w:rsidRPr="003B7EA9" w:rsidRDefault="009B637A" w:rsidP="00B87F0E">
            <w:pPr>
              <w:keepNext/>
              <w:keepLines/>
              <w:spacing w:line="240" w:lineRule="auto"/>
              <w:ind w:firstLine="0"/>
              <w:jc w:val="right"/>
              <w:rPr>
                <w:color w:val="000000"/>
                <w:sz w:val="22"/>
                <w:szCs w:val="22"/>
                <w:lang w:eastAsia="en-GB"/>
              </w:rPr>
            </w:pPr>
            <w:r w:rsidRPr="003B7EA9">
              <w:rPr>
                <w:color w:val="000000"/>
                <w:sz w:val="22"/>
                <w:szCs w:val="22"/>
                <w:lang w:eastAsia="en-GB"/>
              </w:rPr>
              <w:t xml:space="preserve"> </w:t>
            </w:r>
            <w:r w:rsidR="00A26998">
              <w:rPr>
                <w:color w:val="000000"/>
                <w:sz w:val="22"/>
                <w:szCs w:val="22"/>
                <w:lang w:eastAsia="en-GB"/>
              </w:rPr>
              <w:t>2.02</w:t>
            </w:r>
          </w:p>
        </w:tc>
        <w:tc>
          <w:tcPr>
            <w:tcW w:w="1140" w:type="dxa"/>
            <w:tcBorders>
              <w:top w:val="single" w:sz="4" w:space="0" w:color="auto"/>
              <w:left w:val="nil"/>
              <w:bottom w:val="nil"/>
              <w:right w:val="nil"/>
            </w:tcBorders>
            <w:shd w:val="clear" w:color="auto" w:fill="auto"/>
            <w:noWrap/>
            <w:vAlign w:val="center"/>
            <w:hideMark/>
          </w:tcPr>
          <w:p w14:paraId="05E5C54D" w14:textId="2669DD3D" w:rsidR="009B637A" w:rsidRPr="003B7EA9" w:rsidRDefault="00A26998" w:rsidP="00B87F0E">
            <w:pPr>
              <w:keepNext/>
              <w:keepLines/>
              <w:spacing w:line="240" w:lineRule="auto"/>
              <w:ind w:firstLine="0"/>
              <w:jc w:val="right"/>
              <w:rPr>
                <w:color w:val="000000"/>
                <w:sz w:val="22"/>
                <w:szCs w:val="22"/>
                <w:lang w:eastAsia="en-GB"/>
              </w:rPr>
            </w:pPr>
            <w:r>
              <w:rPr>
                <w:color w:val="000000"/>
                <w:sz w:val="22"/>
                <w:szCs w:val="22"/>
                <w:lang w:eastAsia="en-GB"/>
              </w:rPr>
              <w:t>2.60</w:t>
            </w:r>
          </w:p>
        </w:tc>
        <w:tc>
          <w:tcPr>
            <w:tcW w:w="1140" w:type="dxa"/>
            <w:tcBorders>
              <w:top w:val="single" w:sz="4" w:space="0" w:color="auto"/>
              <w:left w:val="nil"/>
              <w:bottom w:val="nil"/>
              <w:right w:val="nil"/>
            </w:tcBorders>
            <w:shd w:val="clear" w:color="auto" w:fill="auto"/>
            <w:noWrap/>
            <w:vAlign w:val="center"/>
            <w:hideMark/>
          </w:tcPr>
          <w:p w14:paraId="5ACEC3BB" w14:textId="3751BF14" w:rsidR="009B637A" w:rsidRPr="003B7EA9" w:rsidRDefault="00A26998" w:rsidP="00B87F0E">
            <w:pPr>
              <w:keepNext/>
              <w:keepLines/>
              <w:spacing w:line="240" w:lineRule="auto"/>
              <w:ind w:firstLine="0"/>
              <w:jc w:val="right"/>
              <w:rPr>
                <w:color w:val="000000"/>
                <w:sz w:val="22"/>
                <w:szCs w:val="22"/>
                <w:lang w:eastAsia="en-GB"/>
              </w:rPr>
            </w:pPr>
            <w:r>
              <w:rPr>
                <w:color w:val="000000"/>
                <w:sz w:val="22"/>
                <w:szCs w:val="22"/>
                <w:lang w:eastAsia="en-GB"/>
              </w:rPr>
              <w:t>1.13</w:t>
            </w:r>
          </w:p>
        </w:tc>
        <w:tc>
          <w:tcPr>
            <w:tcW w:w="1140" w:type="dxa"/>
            <w:tcBorders>
              <w:top w:val="single" w:sz="4" w:space="0" w:color="auto"/>
              <w:left w:val="nil"/>
              <w:bottom w:val="nil"/>
              <w:right w:val="nil"/>
            </w:tcBorders>
            <w:shd w:val="clear" w:color="auto" w:fill="auto"/>
            <w:noWrap/>
            <w:vAlign w:val="center"/>
            <w:hideMark/>
          </w:tcPr>
          <w:p w14:paraId="4937D5F1" w14:textId="33C1D009" w:rsidR="009B637A" w:rsidRPr="003B7EA9" w:rsidRDefault="00A26998" w:rsidP="00B87F0E">
            <w:pPr>
              <w:keepNext/>
              <w:keepLines/>
              <w:spacing w:line="240" w:lineRule="auto"/>
              <w:ind w:firstLine="0"/>
              <w:jc w:val="right"/>
              <w:rPr>
                <w:color w:val="000000"/>
                <w:sz w:val="22"/>
                <w:szCs w:val="22"/>
                <w:lang w:eastAsia="en-GB"/>
              </w:rPr>
            </w:pPr>
            <w:r>
              <w:rPr>
                <w:color w:val="000000"/>
                <w:sz w:val="22"/>
                <w:szCs w:val="22"/>
                <w:lang w:eastAsia="en-GB"/>
              </w:rPr>
              <w:t>0.82</w:t>
            </w:r>
          </w:p>
        </w:tc>
      </w:tr>
      <w:tr w:rsidR="009B637A" w:rsidRPr="003B7EA9" w14:paraId="35C199C0" w14:textId="77777777" w:rsidTr="009B637A">
        <w:trPr>
          <w:gridAfter w:val="1"/>
          <w:wAfter w:w="2352" w:type="dxa"/>
          <w:trHeight w:val="735"/>
        </w:trPr>
        <w:tc>
          <w:tcPr>
            <w:tcW w:w="2700" w:type="dxa"/>
            <w:tcBorders>
              <w:top w:val="nil"/>
              <w:left w:val="nil"/>
              <w:bottom w:val="nil"/>
              <w:right w:val="nil"/>
            </w:tcBorders>
            <w:shd w:val="clear" w:color="auto" w:fill="auto"/>
            <w:vAlign w:val="center"/>
            <w:hideMark/>
          </w:tcPr>
          <w:p w14:paraId="627B09B8" w14:textId="1F0F38CE" w:rsidR="009B637A" w:rsidRPr="003B7EA9" w:rsidRDefault="00A26998" w:rsidP="00B87F0E">
            <w:pPr>
              <w:keepNext/>
              <w:keepLines/>
              <w:spacing w:line="240" w:lineRule="auto"/>
              <w:ind w:firstLine="0"/>
              <w:jc w:val="left"/>
              <w:rPr>
                <w:color w:val="000000"/>
                <w:sz w:val="22"/>
                <w:szCs w:val="22"/>
                <w:lang w:eastAsia="en-GB"/>
              </w:rPr>
            </w:pPr>
            <w:r>
              <w:rPr>
                <w:color w:val="000000"/>
                <w:sz w:val="22"/>
                <w:szCs w:val="22"/>
                <w:lang w:eastAsia="en-GB"/>
              </w:rPr>
              <w:t>After controlling for seven characteristics</w:t>
            </w:r>
          </w:p>
        </w:tc>
        <w:tc>
          <w:tcPr>
            <w:tcW w:w="1140" w:type="dxa"/>
            <w:tcBorders>
              <w:top w:val="nil"/>
              <w:left w:val="nil"/>
              <w:bottom w:val="nil"/>
              <w:right w:val="nil"/>
            </w:tcBorders>
            <w:shd w:val="clear" w:color="auto" w:fill="auto"/>
            <w:noWrap/>
            <w:vAlign w:val="center"/>
            <w:hideMark/>
          </w:tcPr>
          <w:p w14:paraId="2530B548" w14:textId="444BCC2C" w:rsidR="009B637A" w:rsidRPr="003B7EA9" w:rsidRDefault="009B637A" w:rsidP="00B87F0E">
            <w:pPr>
              <w:keepNext/>
              <w:keepLines/>
              <w:spacing w:line="240" w:lineRule="auto"/>
              <w:ind w:firstLine="0"/>
              <w:jc w:val="right"/>
              <w:rPr>
                <w:color w:val="000000"/>
                <w:sz w:val="22"/>
                <w:szCs w:val="22"/>
                <w:lang w:eastAsia="en-GB"/>
              </w:rPr>
            </w:pPr>
            <w:r w:rsidRPr="003B7EA9">
              <w:rPr>
                <w:color w:val="000000"/>
                <w:sz w:val="22"/>
                <w:szCs w:val="22"/>
                <w:lang w:eastAsia="en-GB"/>
              </w:rPr>
              <w:t xml:space="preserve"> </w:t>
            </w:r>
            <w:r w:rsidR="00A26998">
              <w:rPr>
                <w:color w:val="000000"/>
                <w:sz w:val="22"/>
                <w:szCs w:val="22"/>
                <w:lang w:eastAsia="en-GB"/>
              </w:rPr>
              <w:t>0.87</w:t>
            </w:r>
            <w:r w:rsidRPr="003B7EA9">
              <w:rPr>
                <w:color w:val="000000"/>
                <w:sz w:val="22"/>
                <w:szCs w:val="22"/>
                <w:lang w:eastAsia="en-GB"/>
              </w:rPr>
              <w:t xml:space="preserve"> </w:t>
            </w:r>
          </w:p>
        </w:tc>
        <w:tc>
          <w:tcPr>
            <w:tcW w:w="1140" w:type="dxa"/>
            <w:tcBorders>
              <w:top w:val="nil"/>
              <w:left w:val="nil"/>
              <w:bottom w:val="nil"/>
              <w:right w:val="nil"/>
            </w:tcBorders>
            <w:shd w:val="clear" w:color="auto" w:fill="auto"/>
            <w:noWrap/>
            <w:vAlign w:val="center"/>
            <w:hideMark/>
          </w:tcPr>
          <w:p w14:paraId="58A7520A" w14:textId="68C19051" w:rsidR="009B637A" w:rsidRPr="003B7EA9" w:rsidRDefault="00A26998" w:rsidP="00B87F0E">
            <w:pPr>
              <w:keepNext/>
              <w:keepLines/>
              <w:spacing w:line="240" w:lineRule="auto"/>
              <w:ind w:firstLine="0"/>
              <w:jc w:val="right"/>
              <w:rPr>
                <w:color w:val="000000"/>
                <w:sz w:val="22"/>
                <w:szCs w:val="22"/>
                <w:lang w:eastAsia="en-GB"/>
              </w:rPr>
            </w:pPr>
            <w:r>
              <w:rPr>
                <w:color w:val="000000"/>
                <w:sz w:val="22"/>
                <w:szCs w:val="22"/>
                <w:lang w:eastAsia="en-GB"/>
              </w:rPr>
              <w:t>0.91</w:t>
            </w:r>
          </w:p>
        </w:tc>
        <w:tc>
          <w:tcPr>
            <w:tcW w:w="1140" w:type="dxa"/>
            <w:tcBorders>
              <w:top w:val="nil"/>
              <w:left w:val="nil"/>
              <w:bottom w:val="nil"/>
              <w:right w:val="nil"/>
            </w:tcBorders>
            <w:shd w:val="clear" w:color="auto" w:fill="auto"/>
            <w:noWrap/>
            <w:vAlign w:val="center"/>
            <w:hideMark/>
          </w:tcPr>
          <w:p w14:paraId="26031D08" w14:textId="66A0EF42" w:rsidR="009B637A" w:rsidRPr="003B7EA9" w:rsidRDefault="00A26998" w:rsidP="00B87F0E">
            <w:pPr>
              <w:keepNext/>
              <w:keepLines/>
              <w:spacing w:line="240" w:lineRule="auto"/>
              <w:ind w:firstLine="0"/>
              <w:jc w:val="right"/>
              <w:rPr>
                <w:color w:val="000000"/>
                <w:sz w:val="22"/>
                <w:szCs w:val="22"/>
                <w:lang w:eastAsia="en-GB"/>
              </w:rPr>
            </w:pPr>
            <w:r>
              <w:rPr>
                <w:color w:val="000000"/>
                <w:sz w:val="22"/>
                <w:szCs w:val="22"/>
                <w:lang w:eastAsia="en-GB"/>
              </w:rPr>
              <w:t>1.00</w:t>
            </w:r>
            <w:r w:rsidRPr="00A26998">
              <w:rPr>
                <w:color w:val="000000"/>
                <w:sz w:val="22"/>
                <w:szCs w:val="22"/>
                <w:vertAlign w:val="superscript"/>
                <w:lang w:eastAsia="en-GB"/>
              </w:rPr>
              <w:t>n</w:t>
            </w:r>
          </w:p>
        </w:tc>
        <w:tc>
          <w:tcPr>
            <w:tcW w:w="1140" w:type="dxa"/>
            <w:tcBorders>
              <w:top w:val="nil"/>
              <w:left w:val="nil"/>
              <w:bottom w:val="nil"/>
              <w:right w:val="nil"/>
            </w:tcBorders>
            <w:shd w:val="clear" w:color="auto" w:fill="auto"/>
            <w:noWrap/>
            <w:vAlign w:val="center"/>
            <w:hideMark/>
          </w:tcPr>
          <w:p w14:paraId="607D75C0" w14:textId="1D13E399" w:rsidR="009B637A" w:rsidRPr="003B7EA9" w:rsidRDefault="00A26998" w:rsidP="00B87F0E">
            <w:pPr>
              <w:keepNext/>
              <w:keepLines/>
              <w:spacing w:line="240" w:lineRule="auto"/>
              <w:ind w:firstLine="0"/>
              <w:jc w:val="right"/>
              <w:rPr>
                <w:color w:val="000000"/>
                <w:sz w:val="22"/>
                <w:szCs w:val="22"/>
                <w:lang w:eastAsia="en-GB"/>
              </w:rPr>
            </w:pPr>
            <w:r>
              <w:rPr>
                <w:color w:val="000000"/>
                <w:sz w:val="22"/>
                <w:szCs w:val="22"/>
                <w:lang w:eastAsia="en-GB"/>
              </w:rPr>
              <w:t>0.91</w:t>
            </w:r>
          </w:p>
        </w:tc>
      </w:tr>
      <w:tr w:rsidR="00A26998" w:rsidRPr="003B7EA9" w14:paraId="1A1CAC71" w14:textId="77777777" w:rsidTr="00A26998">
        <w:trPr>
          <w:gridAfter w:val="1"/>
          <w:wAfter w:w="2352" w:type="dxa"/>
          <w:trHeight w:val="735"/>
        </w:trPr>
        <w:tc>
          <w:tcPr>
            <w:tcW w:w="2700" w:type="dxa"/>
            <w:tcBorders>
              <w:top w:val="nil"/>
              <w:left w:val="nil"/>
              <w:right w:val="nil"/>
            </w:tcBorders>
            <w:shd w:val="clear" w:color="auto" w:fill="auto"/>
            <w:vAlign w:val="center"/>
            <w:hideMark/>
          </w:tcPr>
          <w:p w14:paraId="389930F6" w14:textId="173FC27F" w:rsidR="00A26998" w:rsidRPr="003B7EA9" w:rsidRDefault="00A26998" w:rsidP="00B87F0E">
            <w:pPr>
              <w:keepNext/>
              <w:keepLines/>
              <w:spacing w:line="240" w:lineRule="auto"/>
              <w:ind w:firstLine="0"/>
              <w:jc w:val="left"/>
              <w:rPr>
                <w:color w:val="000000"/>
                <w:sz w:val="22"/>
                <w:szCs w:val="22"/>
                <w:lang w:eastAsia="en-GB"/>
              </w:rPr>
            </w:pPr>
            <w:r>
              <w:rPr>
                <w:color w:val="000000"/>
                <w:sz w:val="22"/>
                <w:szCs w:val="22"/>
                <w:lang w:eastAsia="en-GB"/>
              </w:rPr>
              <w:t>And (additionally) a regional variable</w:t>
            </w:r>
          </w:p>
        </w:tc>
        <w:tc>
          <w:tcPr>
            <w:tcW w:w="1140" w:type="dxa"/>
            <w:tcBorders>
              <w:top w:val="nil"/>
              <w:left w:val="nil"/>
              <w:right w:val="nil"/>
            </w:tcBorders>
            <w:shd w:val="clear" w:color="auto" w:fill="auto"/>
            <w:noWrap/>
            <w:vAlign w:val="center"/>
            <w:hideMark/>
          </w:tcPr>
          <w:p w14:paraId="67F82DCC" w14:textId="7BA57A34" w:rsidR="00A26998" w:rsidRPr="003B7EA9" w:rsidRDefault="00A26998" w:rsidP="00B87F0E">
            <w:pPr>
              <w:keepNext/>
              <w:keepLines/>
              <w:spacing w:line="240" w:lineRule="auto"/>
              <w:ind w:firstLine="0"/>
              <w:jc w:val="right"/>
              <w:rPr>
                <w:color w:val="000000"/>
                <w:sz w:val="22"/>
                <w:szCs w:val="22"/>
                <w:lang w:eastAsia="en-GB"/>
              </w:rPr>
            </w:pPr>
            <w:r w:rsidRPr="003B7EA9">
              <w:rPr>
                <w:color w:val="000000"/>
                <w:sz w:val="22"/>
                <w:szCs w:val="22"/>
                <w:lang w:eastAsia="en-GB"/>
              </w:rPr>
              <w:t xml:space="preserve"> </w:t>
            </w:r>
            <w:r>
              <w:rPr>
                <w:color w:val="000000"/>
                <w:sz w:val="22"/>
                <w:szCs w:val="22"/>
                <w:lang w:eastAsia="en-GB"/>
              </w:rPr>
              <w:t>0.94</w:t>
            </w:r>
            <w:r w:rsidRPr="003B7EA9">
              <w:rPr>
                <w:color w:val="000000"/>
                <w:sz w:val="22"/>
                <w:szCs w:val="22"/>
                <w:lang w:eastAsia="en-GB"/>
              </w:rPr>
              <w:t xml:space="preserve"> </w:t>
            </w:r>
          </w:p>
        </w:tc>
        <w:tc>
          <w:tcPr>
            <w:tcW w:w="1140" w:type="dxa"/>
            <w:tcBorders>
              <w:top w:val="nil"/>
              <w:left w:val="nil"/>
              <w:right w:val="nil"/>
            </w:tcBorders>
            <w:shd w:val="clear" w:color="auto" w:fill="auto"/>
            <w:noWrap/>
            <w:vAlign w:val="center"/>
            <w:hideMark/>
          </w:tcPr>
          <w:p w14:paraId="3701E28C" w14:textId="55DEFB1B" w:rsidR="00A26998" w:rsidRPr="003B7EA9" w:rsidRDefault="00A26998" w:rsidP="00B87F0E">
            <w:pPr>
              <w:keepNext/>
              <w:keepLines/>
              <w:spacing w:line="240" w:lineRule="auto"/>
              <w:ind w:firstLine="0"/>
              <w:jc w:val="right"/>
              <w:rPr>
                <w:color w:val="000000"/>
                <w:sz w:val="22"/>
                <w:szCs w:val="22"/>
                <w:lang w:eastAsia="en-GB"/>
              </w:rPr>
            </w:pPr>
            <w:r>
              <w:rPr>
                <w:color w:val="000000"/>
                <w:sz w:val="22"/>
                <w:szCs w:val="22"/>
                <w:lang w:eastAsia="en-GB"/>
              </w:rPr>
              <w:t>0.95</w:t>
            </w:r>
          </w:p>
        </w:tc>
        <w:tc>
          <w:tcPr>
            <w:tcW w:w="1140" w:type="dxa"/>
            <w:tcBorders>
              <w:top w:val="nil"/>
              <w:left w:val="nil"/>
              <w:right w:val="nil"/>
            </w:tcBorders>
            <w:shd w:val="clear" w:color="auto" w:fill="auto"/>
            <w:noWrap/>
            <w:vAlign w:val="center"/>
            <w:hideMark/>
          </w:tcPr>
          <w:p w14:paraId="5E5CDCDD" w14:textId="1F3DCBD7" w:rsidR="00A26998" w:rsidRPr="003B7EA9" w:rsidRDefault="00A26998" w:rsidP="00B87F0E">
            <w:pPr>
              <w:keepNext/>
              <w:keepLines/>
              <w:spacing w:line="240" w:lineRule="auto"/>
              <w:ind w:firstLine="0"/>
              <w:jc w:val="right"/>
              <w:rPr>
                <w:color w:val="000000"/>
                <w:sz w:val="22"/>
                <w:szCs w:val="22"/>
                <w:lang w:eastAsia="en-GB"/>
              </w:rPr>
            </w:pPr>
            <w:r>
              <w:rPr>
                <w:color w:val="000000"/>
                <w:sz w:val="22"/>
                <w:szCs w:val="22"/>
                <w:lang w:eastAsia="en-GB"/>
              </w:rPr>
              <w:t>1.06</w:t>
            </w:r>
          </w:p>
        </w:tc>
        <w:tc>
          <w:tcPr>
            <w:tcW w:w="1140" w:type="dxa"/>
            <w:tcBorders>
              <w:top w:val="nil"/>
              <w:left w:val="nil"/>
              <w:right w:val="nil"/>
            </w:tcBorders>
            <w:shd w:val="clear" w:color="auto" w:fill="auto"/>
            <w:noWrap/>
            <w:vAlign w:val="center"/>
            <w:hideMark/>
          </w:tcPr>
          <w:p w14:paraId="2B91F97B" w14:textId="5E041828" w:rsidR="00A26998" w:rsidRPr="003B7EA9" w:rsidRDefault="00A26998" w:rsidP="00B87F0E">
            <w:pPr>
              <w:keepNext/>
              <w:keepLines/>
              <w:spacing w:line="240" w:lineRule="auto"/>
              <w:ind w:firstLine="0"/>
              <w:jc w:val="right"/>
              <w:rPr>
                <w:color w:val="000000"/>
                <w:sz w:val="22"/>
                <w:szCs w:val="22"/>
                <w:lang w:eastAsia="en-GB"/>
              </w:rPr>
            </w:pPr>
            <w:r>
              <w:rPr>
                <w:color w:val="000000"/>
                <w:sz w:val="22"/>
                <w:szCs w:val="22"/>
                <w:lang w:eastAsia="en-GB"/>
              </w:rPr>
              <w:t>0.95</w:t>
            </w:r>
          </w:p>
        </w:tc>
      </w:tr>
      <w:tr w:rsidR="00A26998" w:rsidRPr="003B7EA9" w14:paraId="6D28E3E5" w14:textId="77777777" w:rsidTr="00A26998">
        <w:trPr>
          <w:gridAfter w:val="1"/>
          <w:wAfter w:w="2352" w:type="dxa"/>
          <w:trHeight w:val="735"/>
        </w:trPr>
        <w:tc>
          <w:tcPr>
            <w:tcW w:w="2700" w:type="dxa"/>
            <w:tcBorders>
              <w:top w:val="nil"/>
              <w:left w:val="nil"/>
              <w:right w:val="nil"/>
            </w:tcBorders>
            <w:shd w:val="clear" w:color="auto" w:fill="auto"/>
            <w:vAlign w:val="center"/>
            <w:hideMark/>
          </w:tcPr>
          <w:p w14:paraId="65869A28" w14:textId="77777777" w:rsidR="00A26998" w:rsidRPr="003B7EA9" w:rsidRDefault="00A26998" w:rsidP="00B87F0E">
            <w:pPr>
              <w:keepNext/>
              <w:keepLines/>
              <w:spacing w:line="240" w:lineRule="auto"/>
              <w:ind w:firstLine="0"/>
              <w:jc w:val="left"/>
              <w:rPr>
                <w:color w:val="000000"/>
                <w:sz w:val="22"/>
                <w:szCs w:val="22"/>
                <w:lang w:eastAsia="en-GB"/>
              </w:rPr>
            </w:pPr>
            <w:r>
              <w:rPr>
                <w:color w:val="000000"/>
                <w:sz w:val="22"/>
                <w:szCs w:val="22"/>
                <w:lang w:eastAsia="en-GB"/>
              </w:rPr>
              <w:t>In respect of moves of less than 20km</w:t>
            </w:r>
          </w:p>
        </w:tc>
        <w:tc>
          <w:tcPr>
            <w:tcW w:w="1140" w:type="dxa"/>
            <w:tcBorders>
              <w:top w:val="nil"/>
              <w:left w:val="nil"/>
              <w:right w:val="nil"/>
            </w:tcBorders>
            <w:shd w:val="clear" w:color="auto" w:fill="auto"/>
            <w:noWrap/>
            <w:vAlign w:val="center"/>
            <w:hideMark/>
          </w:tcPr>
          <w:p w14:paraId="77D4CBB7" w14:textId="77777777" w:rsidR="00A26998" w:rsidRPr="003B7EA9" w:rsidRDefault="00A26998" w:rsidP="00B87F0E">
            <w:pPr>
              <w:keepNext/>
              <w:keepLines/>
              <w:spacing w:line="240" w:lineRule="auto"/>
              <w:ind w:firstLine="0"/>
              <w:jc w:val="right"/>
              <w:rPr>
                <w:color w:val="000000"/>
                <w:sz w:val="22"/>
                <w:szCs w:val="22"/>
                <w:lang w:eastAsia="en-GB"/>
              </w:rPr>
            </w:pPr>
            <w:r w:rsidRPr="003B7EA9">
              <w:rPr>
                <w:color w:val="000000"/>
                <w:sz w:val="22"/>
                <w:szCs w:val="22"/>
                <w:lang w:eastAsia="en-GB"/>
              </w:rPr>
              <w:t xml:space="preserve"> </w:t>
            </w:r>
            <w:r>
              <w:rPr>
                <w:color w:val="000000"/>
                <w:sz w:val="22"/>
                <w:szCs w:val="22"/>
                <w:lang w:eastAsia="en-GB"/>
              </w:rPr>
              <w:t>0.93</w:t>
            </w:r>
            <w:r w:rsidRPr="003B7EA9">
              <w:rPr>
                <w:color w:val="000000"/>
                <w:sz w:val="22"/>
                <w:szCs w:val="22"/>
                <w:lang w:eastAsia="en-GB"/>
              </w:rPr>
              <w:t xml:space="preserve"> </w:t>
            </w:r>
          </w:p>
        </w:tc>
        <w:tc>
          <w:tcPr>
            <w:tcW w:w="1140" w:type="dxa"/>
            <w:tcBorders>
              <w:top w:val="nil"/>
              <w:left w:val="nil"/>
              <w:right w:val="nil"/>
            </w:tcBorders>
            <w:shd w:val="clear" w:color="auto" w:fill="auto"/>
            <w:noWrap/>
            <w:vAlign w:val="center"/>
            <w:hideMark/>
          </w:tcPr>
          <w:p w14:paraId="39982DDB" w14:textId="77777777" w:rsidR="00A26998" w:rsidRPr="003B7EA9" w:rsidRDefault="00A26998" w:rsidP="00B87F0E">
            <w:pPr>
              <w:keepNext/>
              <w:keepLines/>
              <w:spacing w:line="240" w:lineRule="auto"/>
              <w:ind w:firstLine="0"/>
              <w:jc w:val="right"/>
              <w:rPr>
                <w:color w:val="000000"/>
                <w:sz w:val="22"/>
                <w:szCs w:val="22"/>
                <w:lang w:eastAsia="en-GB"/>
              </w:rPr>
            </w:pPr>
            <w:r>
              <w:rPr>
                <w:color w:val="000000"/>
                <w:sz w:val="22"/>
                <w:szCs w:val="22"/>
                <w:lang w:eastAsia="en-GB"/>
              </w:rPr>
              <w:t>1.02</w:t>
            </w:r>
            <w:r w:rsidRPr="00A26998">
              <w:rPr>
                <w:color w:val="000000"/>
                <w:sz w:val="22"/>
                <w:szCs w:val="22"/>
                <w:vertAlign w:val="superscript"/>
                <w:lang w:eastAsia="en-GB"/>
              </w:rPr>
              <w:t>n</w:t>
            </w:r>
          </w:p>
        </w:tc>
        <w:tc>
          <w:tcPr>
            <w:tcW w:w="1140" w:type="dxa"/>
            <w:tcBorders>
              <w:top w:val="nil"/>
              <w:left w:val="nil"/>
              <w:right w:val="nil"/>
            </w:tcBorders>
            <w:shd w:val="clear" w:color="auto" w:fill="auto"/>
            <w:noWrap/>
            <w:vAlign w:val="center"/>
            <w:hideMark/>
          </w:tcPr>
          <w:p w14:paraId="1E24067F" w14:textId="77777777" w:rsidR="00A26998" w:rsidRPr="003B7EA9" w:rsidRDefault="00A26998" w:rsidP="00B87F0E">
            <w:pPr>
              <w:keepNext/>
              <w:keepLines/>
              <w:spacing w:line="240" w:lineRule="auto"/>
              <w:ind w:firstLine="0"/>
              <w:jc w:val="right"/>
              <w:rPr>
                <w:color w:val="000000"/>
                <w:sz w:val="22"/>
                <w:szCs w:val="22"/>
                <w:lang w:eastAsia="en-GB"/>
              </w:rPr>
            </w:pPr>
            <w:r>
              <w:rPr>
                <w:color w:val="000000"/>
                <w:sz w:val="22"/>
                <w:szCs w:val="22"/>
                <w:lang w:eastAsia="en-GB"/>
              </w:rPr>
              <w:t>1.12</w:t>
            </w:r>
          </w:p>
        </w:tc>
        <w:tc>
          <w:tcPr>
            <w:tcW w:w="1140" w:type="dxa"/>
            <w:tcBorders>
              <w:top w:val="nil"/>
              <w:left w:val="nil"/>
              <w:right w:val="nil"/>
            </w:tcBorders>
            <w:shd w:val="clear" w:color="auto" w:fill="auto"/>
            <w:noWrap/>
            <w:vAlign w:val="center"/>
            <w:hideMark/>
          </w:tcPr>
          <w:p w14:paraId="671A0B1A" w14:textId="77777777" w:rsidR="00A26998" w:rsidRPr="003B7EA9" w:rsidRDefault="00A26998" w:rsidP="00B87F0E">
            <w:pPr>
              <w:keepNext/>
              <w:keepLines/>
              <w:spacing w:line="240" w:lineRule="auto"/>
              <w:ind w:firstLine="0"/>
              <w:jc w:val="right"/>
              <w:rPr>
                <w:color w:val="000000"/>
                <w:sz w:val="22"/>
                <w:szCs w:val="22"/>
                <w:lang w:eastAsia="en-GB"/>
              </w:rPr>
            </w:pPr>
            <w:r>
              <w:rPr>
                <w:color w:val="000000"/>
                <w:sz w:val="22"/>
                <w:szCs w:val="22"/>
                <w:lang w:eastAsia="en-GB"/>
              </w:rPr>
              <w:t>0.97</w:t>
            </w:r>
            <w:r w:rsidRPr="00A26998">
              <w:rPr>
                <w:color w:val="000000"/>
                <w:sz w:val="22"/>
                <w:szCs w:val="22"/>
                <w:vertAlign w:val="superscript"/>
                <w:lang w:eastAsia="en-GB"/>
              </w:rPr>
              <w:t>n</w:t>
            </w:r>
          </w:p>
        </w:tc>
      </w:tr>
      <w:tr w:rsidR="00A26998" w:rsidRPr="003B7EA9" w14:paraId="32C1471E" w14:textId="77777777" w:rsidTr="00A26998">
        <w:trPr>
          <w:gridAfter w:val="1"/>
          <w:wAfter w:w="2352" w:type="dxa"/>
          <w:trHeight w:val="735"/>
        </w:trPr>
        <w:tc>
          <w:tcPr>
            <w:tcW w:w="2700" w:type="dxa"/>
            <w:tcBorders>
              <w:left w:val="nil"/>
              <w:bottom w:val="single" w:sz="4" w:space="0" w:color="auto"/>
              <w:right w:val="nil"/>
            </w:tcBorders>
            <w:shd w:val="clear" w:color="auto" w:fill="auto"/>
            <w:vAlign w:val="center"/>
            <w:hideMark/>
          </w:tcPr>
          <w:p w14:paraId="59102CD6" w14:textId="067240D2" w:rsidR="00A26998" w:rsidRPr="003B7EA9" w:rsidRDefault="00A26998" w:rsidP="00B87F0E">
            <w:pPr>
              <w:keepNext/>
              <w:keepLines/>
              <w:spacing w:line="240" w:lineRule="auto"/>
              <w:ind w:firstLine="0"/>
              <w:jc w:val="left"/>
              <w:rPr>
                <w:color w:val="000000"/>
                <w:sz w:val="22"/>
                <w:szCs w:val="22"/>
                <w:lang w:eastAsia="en-GB"/>
              </w:rPr>
            </w:pPr>
            <w:r>
              <w:rPr>
                <w:color w:val="000000"/>
                <w:sz w:val="22"/>
                <w:szCs w:val="22"/>
                <w:lang w:eastAsia="en-GB"/>
              </w:rPr>
              <w:t>In respect of moves of 20km or more</w:t>
            </w:r>
          </w:p>
        </w:tc>
        <w:tc>
          <w:tcPr>
            <w:tcW w:w="1140" w:type="dxa"/>
            <w:tcBorders>
              <w:left w:val="nil"/>
              <w:bottom w:val="single" w:sz="4" w:space="0" w:color="auto"/>
              <w:right w:val="nil"/>
            </w:tcBorders>
            <w:shd w:val="clear" w:color="auto" w:fill="auto"/>
            <w:noWrap/>
            <w:vAlign w:val="center"/>
            <w:hideMark/>
          </w:tcPr>
          <w:p w14:paraId="5C94FA03" w14:textId="415B1579" w:rsidR="00A26998" w:rsidRPr="003B7EA9" w:rsidRDefault="00A26998" w:rsidP="00B87F0E">
            <w:pPr>
              <w:keepNext/>
              <w:keepLines/>
              <w:spacing w:line="240" w:lineRule="auto"/>
              <w:ind w:firstLine="0"/>
              <w:jc w:val="right"/>
              <w:rPr>
                <w:color w:val="000000"/>
                <w:sz w:val="22"/>
                <w:szCs w:val="22"/>
                <w:lang w:eastAsia="en-GB"/>
              </w:rPr>
            </w:pPr>
            <w:r w:rsidRPr="003B7EA9">
              <w:rPr>
                <w:color w:val="000000"/>
                <w:sz w:val="22"/>
                <w:szCs w:val="22"/>
                <w:lang w:eastAsia="en-GB"/>
              </w:rPr>
              <w:t xml:space="preserve"> </w:t>
            </w:r>
            <w:r>
              <w:rPr>
                <w:color w:val="000000"/>
                <w:sz w:val="22"/>
                <w:szCs w:val="22"/>
                <w:lang w:eastAsia="en-GB"/>
              </w:rPr>
              <w:t>0.9</w:t>
            </w:r>
            <w:r w:rsidR="007B03E2">
              <w:rPr>
                <w:color w:val="000000"/>
                <w:sz w:val="22"/>
                <w:szCs w:val="22"/>
                <w:lang w:eastAsia="en-GB"/>
              </w:rPr>
              <w:t>2</w:t>
            </w:r>
            <w:r w:rsidRPr="003B7EA9">
              <w:rPr>
                <w:color w:val="000000"/>
                <w:sz w:val="22"/>
                <w:szCs w:val="22"/>
                <w:lang w:eastAsia="en-GB"/>
              </w:rPr>
              <w:t xml:space="preserve"> </w:t>
            </w:r>
          </w:p>
        </w:tc>
        <w:tc>
          <w:tcPr>
            <w:tcW w:w="1140" w:type="dxa"/>
            <w:tcBorders>
              <w:left w:val="nil"/>
              <w:bottom w:val="single" w:sz="4" w:space="0" w:color="auto"/>
              <w:right w:val="nil"/>
            </w:tcBorders>
            <w:shd w:val="clear" w:color="auto" w:fill="auto"/>
            <w:noWrap/>
            <w:vAlign w:val="center"/>
            <w:hideMark/>
          </w:tcPr>
          <w:p w14:paraId="5A4830FC" w14:textId="21E48CFB" w:rsidR="00A26998" w:rsidRPr="003B7EA9" w:rsidRDefault="00A26998" w:rsidP="00B87F0E">
            <w:pPr>
              <w:keepNext/>
              <w:keepLines/>
              <w:spacing w:line="240" w:lineRule="auto"/>
              <w:ind w:firstLine="0"/>
              <w:jc w:val="right"/>
              <w:rPr>
                <w:color w:val="000000"/>
                <w:sz w:val="22"/>
                <w:szCs w:val="22"/>
                <w:lang w:eastAsia="en-GB"/>
              </w:rPr>
            </w:pPr>
            <w:r>
              <w:rPr>
                <w:color w:val="000000"/>
                <w:sz w:val="22"/>
                <w:szCs w:val="22"/>
                <w:lang w:eastAsia="en-GB"/>
              </w:rPr>
              <w:t>0.81</w:t>
            </w:r>
          </w:p>
        </w:tc>
        <w:tc>
          <w:tcPr>
            <w:tcW w:w="1140" w:type="dxa"/>
            <w:tcBorders>
              <w:left w:val="nil"/>
              <w:bottom w:val="single" w:sz="4" w:space="0" w:color="auto"/>
              <w:right w:val="nil"/>
            </w:tcBorders>
            <w:shd w:val="clear" w:color="auto" w:fill="auto"/>
            <w:noWrap/>
            <w:vAlign w:val="center"/>
            <w:hideMark/>
          </w:tcPr>
          <w:p w14:paraId="1E8C22F8" w14:textId="77FFE75C" w:rsidR="00A26998" w:rsidRPr="003B7EA9" w:rsidRDefault="007B03E2" w:rsidP="00B87F0E">
            <w:pPr>
              <w:keepNext/>
              <w:keepLines/>
              <w:spacing w:line="240" w:lineRule="auto"/>
              <w:ind w:firstLine="0"/>
              <w:jc w:val="right"/>
              <w:rPr>
                <w:color w:val="000000"/>
                <w:sz w:val="22"/>
                <w:szCs w:val="22"/>
                <w:lang w:eastAsia="en-GB"/>
              </w:rPr>
            </w:pPr>
            <w:r>
              <w:rPr>
                <w:color w:val="000000"/>
                <w:sz w:val="22"/>
                <w:szCs w:val="22"/>
                <w:lang w:eastAsia="en-GB"/>
              </w:rPr>
              <w:t>0.86</w:t>
            </w:r>
          </w:p>
        </w:tc>
        <w:tc>
          <w:tcPr>
            <w:tcW w:w="1140" w:type="dxa"/>
            <w:tcBorders>
              <w:left w:val="nil"/>
              <w:bottom w:val="single" w:sz="4" w:space="0" w:color="auto"/>
              <w:right w:val="nil"/>
            </w:tcBorders>
            <w:shd w:val="clear" w:color="auto" w:fill="auto"/>
            <w:noWrap/>
            <w:vAlign w:val="center"/>
            <w:hideMark/>
          </w:tcPr>
          <w:p w14:paraId="01263B65" w14:textId="1BD44047" w:rsidR="00A26998" w:rsidRPr="003B7EA9" w:rsidRDefault="00A26998" w:rsidP="00B87F0E">
            <w:pPr>
              <w:keepNext/>
              <w:keepLines/>
              <w:spacing w:line="240" w:lineRule="auto"/>
              <w:ind w:firstLine="0"/>
              <w:jc w:val="right"/>
              <w:rPr>
                <w:color w:val="000000"/>
                <w:sz w:val="22"/>
                <w:szCs w:val="22"/>
                <w:lang w:eastAsia="en-GB"/>
              </w:rPr>
            </w:pPr>
            <w:r>
              <w:rPr>
                <w:color w:val="000000"/>
                <w:sz w:val="22"/>
                <w:szCs w:val="22"/>
                <w:lang w:eastAsia="en-GB"/>
              </w:rPr>
              <w:t>0.</w:t>
            </w:r>
            <w:r w:rsidR="007B03E2">
              <w:rPr>
                <w:color w:val="000000"/>
                <w:sz w:val="22"/>
                <w:szCs w:val="22"/>
                <w:lang w:eastAsia="en-GB"/>
              </w:rPr>
              <w:t>85</w:t>
            </w:r>
          </w:p>
        </w:tc>
      </w:tr>
    </w:tbl>
    <w:p w14:paraId="65495DD0" w14:textId="1E45D673" w:rsidR="007B03E2" w:rsidRPr="007B03E2" w:rsidRDefault="007B03E2" w:rsidP="007B03E2">
      <w:pPr>
        <w:ind w:left="-709" w:firstLine="0"/>
        <w:rPr>
          <w:sz w:val="20"/>
          <w:szCs w:val="20"/>
          <w:lang w:eastAsia="en-GB"/>
        </w:rPr>
      </w:pPr>
      <w:r w:rsidRPr="007B03E2">
        <w:rPr>
          <w:sz w:val="20"/>
          <w:szCs w:val="20"/>
          <w:lang w:eastAsia="en-GB"/>
        </w:rPr>
        <w:tab/>
        <w:t xml:space="preserve">Except for those marked </w:t>
      </w:r>
      <w:r w:rsidRPr="007B03E2">
        <w:rPr>
          <w:sz w:val="20"/>
          <w:szCs w:val="20"/>
          <w:vertAlign w:val="superscript"/>
          <w:lang w:eastAsia="en-GB"/>
        </w:rPr>
        <w:t>n</w:t>
      </w:r>
      <w:r w:rsidRPr="007B03E2">
        <w:rPr>
          <w:sz w:val="20"/>
          <w:szCs w:val="20"/>
          <w:lang w:eastAsia="en-GB"/>
        </w:rPr>
        <w:t xml:space="preserve"> all odds are significantly different to the white British group at the 5% level</w:t>
      </w:r>
    </w:p>
    <w:p w14:paraId="46B9FCFD" w14:textId="77777777" w:rsidR="00B87F0E" w:rsidRDefault="00B87F0E">
      <w:pPr>
        <w:spacing w:line="240" w:lineRule="auto"/>
        <w:ind w:firstLine="0"/>
        <w:jc w:val="left"/>
        <w:rPr>
          <w:rFonts w:cs="Arial"/>
          <w:b/>
          <w:bCs/>
          <w:szCs w:val="32"/>
        </w:rPr>
      </w:pPr>
      <w:r>
        <w:br w:type="page"/>
      </w:r>
    </w:p>
    <w:p w14:paraId="3E4CC42C" w14:textId="0C84338A" w:rsidR="00587BC0" w:rsidRPr="003B7EA9" w:rsidRDefault="00587BC0" w:rsidP="00587BC0">
      <w:pPr>
        <w:pStyle w:val="Heading1"/>
      </w:pPr>
      <w:r w:rsidRPr="003B7EA9">
        <w:lastRenderedPageBreak/>
        <w:t>Figures</w:t>
      </w:r>
    </w:p>
    <w:p w14:paraId="220EB3E9" w14:textId="33DE7086" w:rsidR="00587BC0" w:rsidRPr="003B7EA9" w:rsidRDefault="00BF2F48" w:rsidP="00F43B2A">
      <w:pPr>
        <w:ind w:hanging="851"/>
      </w:pPr>
      <w:r>
        <w:rPr>
          <w:noProof/>
          <w:lang w:eastAsia="en-GB"/>
        </w:rPr>
        <w:drawing>
          <wp:inline distT="0" distB="0" distL="0" distR="0" wp14:anchorId="778FA688" wp14:editId="245AA1C4">
            <wp:extent cx="5745480" cy="291401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ration Fig1.tif"/>
                    <pic:cNvPicPr/>
                  </pic:nvPicPr>
                  <pic:blipFill>
                    <a:blip r:embed="rId13">
                      <a:extLst>
                        <a:ext uri="{28A0092B-C50C-407E-A947-70E740481C1C}">
                          <a14:useLocalDpi xmlns:a14="http://schemas.microsoft.com/office/drawing/2010/main" val="0"/>
                        </a:ext>
                      </a:extLst>
                    </a:blip>
                    <a:stretch>
                      <a:fillRect/>
                    </a:stretch>
                  </pic:blipFill>
                  <pic:spPr>
                    <a:xfrm>
                      <a:off x="0" y="0"/>
                      <a:ext cx="5745480" cy="2914015"/>
                    </a:xfrm>
                    <a:prstGeom prst="rect">
                      <a:avLst/>
                    </a:prstGeom>
                  </pic:spPr>
                </pic:pic>
              </a:graphicData>
            </a:graphic>
          </wp:inline>
        </w:drawing>
      </w:r>
    </w:p>
    <w:p w14:paraId="2918C903" w14:textId="6A4C6257" w:rsidR="00587BC0" w:rsidRPr="003B7EA9" w:rsidRDefault="00A051CD" w:rsidP="00587BC0">
      <w:pPr>
        <w:ind w:hanging="709"/>
        <w:rPr>
          <w:i/>
        </w:rPr>
      </w:pPr>
      <w:r>
        <w:rPr>
          <w:i/>
        </w:rPr>
        <w:t xml:space="preserve">Figure </w:t>
      </w:r>
      <w:proofErr w:type="gramStart"/>
      <w:r>
        <w:rPr>
          <w:i/>
        </w:rPr>
        <w:t>1  Proportion</w:t>
      </w:r>
      <w:proofErr w:type="gramEnd"/>
      <w:r>
        <w:rPr>
          <w:i/>
        </w:rPr>
        <w:t xml:space="preserve"> of each age who m</w:t>
      </w:r>
      <w:r w:rsidR="00587BC0" w:rsidRPr="003B7EA9">
        <w:rPr>
          <w:i/>
        </w:rPr>
        <w:t>igrate</w:t>
      </w:r>
    </w:p>
    <w:p w14:paraId="36E449FD" w14:textId="77777777" w:rsidR="00587BC0" w:rsidRPr="003B7EA9" w:rsidRDefault="00587BC0" w:rsidP="00587BC0">
      <w:pPr>
        <w:ind w:hanging="709"/>
        <w:rPr>
          <w:i/>
        </w:rPr>
      </w:pPr>
    </w:p>
    <w:p w14:paraId="6EF736D7" w14:textId="4F2BA953" w:rsidR="00587BC0" w:rsidRPr="003B7EA9" w:rsidRDefault="00BF2F48" w:rsidP="00F43B2A">
      <w:pPr>
        <w:ind w:hanging="851"/>
      </w:pPr>
      <w:r>
        <w:rPr>
          <w:noProof/>
          <w:lang w:eastAsia="en-GB"/>
        </w:rPr>
        <w:drawing>
          <wp:inline distT="0" distB="0" distL="0" distR="0" wp14:anchorId="590BBB21" wp14:editId="6DC2D768">
            <wp:extent cx="5745480" cy="2893695"/>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ration Fig2.tif"/>
                    <pic:cNvPicPr/>
                  </pic:nvPicPr>
                  <pic:blipFill>
                    <a:blip r:embed="rId14">
                      <a:extLst>
                        <a:ext uri="{28A0092B-C50C-407E-A947-70E740481C1C}">
                          <a14:useLocalDpi xmlns:a14="http://schemas.microsoft.com/office/drawing/2010/main" val="0"/>
                        </a:ext>
                      </a:extLst>
                    </a:blip>
                    <a:stretch>
                      <a:fillRect/>
                    </a:stretch>
                  </pic:blipFill>
                  <pic:spPr>
                    <a:xfrm>
                      <a:off x="0" y="0"/>
                      <a:ext cx="5745480" cy="2893695"/>
                    </a:xfrm>
                    <a:prstGeom prst="rect">
                      <a:avLst/>
                    </a:prstGeom>
                  </pic:spPr>
                </pic:pic>
              </a:graphicData>
            </a:graphic>
          </wp:inline>
        </w:drawing>
      </w:r>
    </w:p>
    <w:p w14:paraId="1CFFBE55" w14:textId="46078276" w:rsidR="00587BC0" w:rsidRPr="003B7EA9" w:rsidRDefault="00587BC0" w:rsidP="00587BC0">
      <w:pPr>
        <w:ind w:hanging="709"/>
        <w:rPr>
          <w:i/>
        </w:rPr>
      </w:pPr>
      <w:r w:rsidRPr="003B7EA9">
        <w:rPr>
          <w:i/>
        </w:rPr>
        <w:t xml:space="preserve">Figure </w:t>
      </w:r>
      <w:proofErr w:type="gramStart"/>
      <w:r w:rsidRPr="003B7EA9">
        <w:rPr>
          <w:i/>
        </w:rPr>
        <w:t>2  Proportion</w:t>
      </w:r>
      <w:proofErr w:type="gramEnd"/>
      <w:r w:rsidRPr="003B7EA9">
        <w:rPr>
          <w:i/>
        </w:rPr>
        <w:t xml:space="preserve"> of </w:t>
      </w:r>
      <w:r w:rsidR="00A051CD">
        <w:rPr>
          <w:i/>
        </w:rPr>
        <w:t>p</w:t>
      </w:r>
      <w:r w:rsidRPr="003B7EA9">
        <w:rPr>
          <w:i/>
        </w:rPr>
        <w:t xml:space="preserve">opulation falling into each </w:t>
      </w:r>
      <w:r w:rsidR="00A051CD">
        <w:rPr>
          <w:i/>
        </w:rPr>
        <w:t>y</w:t>
      </w:r>
      <w:r w:rsidRPr="003B7EA9">
        <w:rPr>
          <w:i/>
        </w:rPr>
        <w:t xml:space="preserve">ear of </w:t>
      </w:r>
      <w:r w:rsidR="00A051CD">
        <w:rPr>
          <w:i/>
        </w:rPr>
        <w:t>a</w:t>
      </w:r>
      <w:r w:rsidRPr="003B7EA9">
        <w:rPr>
          <w:i/>
        </w:rPr>
        <w:t>ge</w:t>
      </w:r>
    </w:p>
    <w:sectPr w:rsidR="00587BC0" w:rsidRPr="003B7EA9" w:rsidSect="002D697D">
      <w:pgSz w:w="11906" w:h="16838"/>
      <w:pgMar w:top="992" w:right="1440"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A2068" w14:textId="77777777" w:rsidR="00DC2172" w:rsidRDefault="00DC2172">
      <w:r>
        <w:separator/>
      </w:r>
    </w:p>
  </w:endnote>
  <w:endnote w:type="continuationSeparator" w:id="0">
    <w:p w14:paraId="0D78B7FE" w14:textId="77777777" w:rsidR="00DC2172" w:rsidRDefault="00DC2172">
      <w:r>
        <w:continuationSeparator/>
      </w:r>
    </w:p>
  </w:endnote>
  <w:endnote w:type="continuationNotice" w:id="1">
    <w:p w14:paraId="4294503B" w14:textId="77777777" w:rsidR="00DC2172" w:rsidRDefault="00DC21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A822C" w14:textId="77777777" w:rsidR="002E1552" w:rsidRDefault="002E1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CD8BD" w14:textId="77777777" w:rsidR="00DC2172" w:rsidRDefault="00DC2172">
      <w:r>
        <w:separator/>
      </w:r>
    </w:p>
  </w:footnote>
  <w:footnote w:type="continuationSeparator" w:id="0">
    <w:p w14:paraId="06D886CB" w14:textId="77777777" w:rsidR="00DC2172" w:rsidRDefault="00DC2172">
      <w:r>
        <w:continuationSeparator/>
      </w:r>
    </w:p>
  </w:footnote>
  <w:footnote w:type="continuationNotice" w:id="1">
    <w:p w14:paraId="1337ED2E" w14:textId="77777777" w:rsidR="00DC2172" w:rsidRDefault="00DC2172">
      <w:pPr>
        <w:spacing w:line="240" w:lineRule="auto"/>
      </w:pPr>
    </w:p>
  </w:footnote>
  <w:footnote w:id="2">
    <w:p w14:paraId="1A358FD5" w14:textId="3BE56C0B" w:rsidR="002E1552" w:rsidRDefault="002E1552" w:rsidP="00BB56BA">
      <w:pPr>
        <w:pStyle w:val="FootnoteText"/>
      </w:pPr>
      <w:r>
        <w:rPr>
          <w:rStyle w:val="FootnoteReference"/>
        </w:rPr>
        <w:footnoteRef/>
      </w:r>
      <w:r>
        <w:t xml:space="preserve">   Though for some types of move, the post-event characteristics are more pertinent – for example, although the intention to become a student might be known well in advance of a person moving from the parental home to study elsewhere, the change in personal characteristic relating to the move – becoming a student – only occurs as or after the move takes place, and is only recorded then.</w:t>
      </w:r>
    </w:p>
  </w:footnote>
  <w:footnote w:id="3">
    <w:p w14:paraId="13DBA6C3" w14:textId="55334A1E" w:rsidR="002E1552" w:rsidRDefault="002E1552" w:rsidP="00057143">
      <w:pPr>
        <w:pStyle w:val="FootnoteText"/>
      </w:pPr>
      <w:r>
        <w:rPr>
          <w:rStyle w:val="FootnoteReference"/>
        </w:rPr>
        <w:footnoteRef/>
      </w:r>
      <w:r>
        <w:t xml:space="preserve">  Neither the LFS nor any other data source examined permitted a 12-months prior comparison to be made for any other characteristics found to be relevant in this study.</w:t>
      </w:r>
    </w:p>
    <w:p w14:paraId="6C994C25" w14:textId="77777777" w:rsidR="002E1552" w:rsidRDefault="002E1552">
      <w:pPr>
        <w:pStyle w:val="FootnoteText"/>
      </w:pPr>
    </w:p>
  </w:footnote>
  <w:footnote w:id="4">
    <w:p w14:paraId="28AD928E" w14:textId="4BE169C6" w:rsidR="002E1552" w:rsidRDefault="002E1552">
      <w:pPr>
        <w:pStyle w:val="FootnoteText"/>
      </w:pPr>
      <w:r>
        <w:rPr>
          <w:rStyle w:val="FootnoteReference"/>
        </w:rPr>
        <w:footnoteRef/>
      </w:r>
      <w:r>
        <w:t xml:space="preserve">      </w:t>
      </w:r>
      <w:proofErr w:type="gramStart"/>
      <w:r>
        <w:t>R</w:t>
      </w:r>
      <w:r w:rsidRPr="008F4547">
        <w:t>epresented by the age of the individual for those living in communal establishments</w:t>
      </w:r>
      <w:r>
        <w:t>.</w:t>
      </w:r>
      <w:proofErr w:type="gramEnd"/>
    </w:p>
    <w:p w14:paraId="21A39F88" w14:textId="77777777" w:rsidR="002E1552" w:rsidRDefault="002E1552">
      <w:pPr>
        <w:pStyle w:val="FootnoteText"/>
      </w:pPr>
    </w:p>
  </w:footnote>
  <w:footnote w:id="5">
    <w:p w14:paraId="500B2851" w14:textId="74BA3A62" w:rsidR="002E1552" w:rsidRDefault="002E1552">
      <w:pPr>
        <w:pStyle w:val="FootnoteText"/>
      </w:pPr>
      <w:r>
        <w:rPr>
          <w:rStyle w:val="FootnoteReference"/>
        </w:rPr>
        <w:footnoteRef/>
      </w:r>
      <w:r>
        <w:t xml:space="preserve">    The analysis has additionally been carried out with persons under the age of 16 excluded, to determine whether there is a material penalty involved in including the full age range in the model.  All trends and conclusions described in this document would also apply to an adult only model.  As omitting 20% of the population from the analysis would provide only a marginal improvement in model fit (</w:t>
      </w:r>
      <w:proofErr w:type="spellStart"/>
      <w:r>
        <w:t>Nagelkerke</w:t>
      </w:r>
      <w:proofErr w:type="spellEnd"/>
      <w:r>
        <w:t xml:space="preserve"> </w:t>
      </w:r>
      <w:r w:rsidRPr="003E78F4">
        <w:rPr>
          <w:i/>
        </w:rPr>
        <w:t>R</w:t>
      </w:r>
      <w:r w:rsidRPr="003E78F4">
        <w:rPr>
          <w:vertAlign w:val="superscript"/>
        </w:rPr>
        <w:t>2</w:t>
      </w:r>
      <w:r>
        <w:t xml:space="preserve"> increases from 0.27 only to 0.29), the full age range has been retained in the modelling.   </w:t>
      </w:r>
    </w:p>
  </w:footnote>
  <w:footnote w:id="6">
    <w:p w14:paraId="342021F0" w14:textId="45852C5D" w:rsidR="002E1552" w:rsidRDefault="002E1552">
      <w:pPr>
        <w:pStyle w:val="FootnoteText"/>
      </w:pPr>
      <w:r>
        <w:rPr>
          <w:rStyle w:val="FootnoteReference"/>
        </w:rPr>
        <w:footnoteRef/>
      </w:r>
      <w:r>
        <w:t xml:space="preserve">     </w:t>
      </w:r>
      <w:r w:rsidRPr="008F4547">
        <w:t xml:space="preserve">That is, the </w:t>
      </w:r>
      <w:r w:rsidR="0063249C">
        <w:t>nine</w:t>
      </w:r>
      <w:r w:rsidRPr="008F4547">
        <w:t xml:space="preserve"> formal NUTS level 1/former government office regions in England, plus Wales.   Additionally, as the small cultural groups have a strong London focus to their spatial distribution, and there are recognised socio-economic differences between inner and outer London, the London Region has been split into inner and outer parts (as defined by ONS) to spatially disaggregate their area of highest concentration</w:t>
      </w:r>
      <w:r>
        <w:t>.</w:t>
      </w:r>
    </w:p>
    <w:p w14:paraId="2A82E580" w14:textId="77777777" w:rsidR="002E1552" w:rsidRDefault="002E1552">
      <w:pPr>
        <w:pStyle w:val="FootnoteText"/>
      </w:pPr>
    </w:p>
  </w:footnote>
  <w:footnote w:id="7">
    <w:p w14:paraId="57169573" w14:textId="77777777" w:rsidR="002E1552" w:rsidRDefault="002E1552" w:rsidP="009D76D0">
      <w:pPr>
        <w:pStyle w:val="FootnoteText"/>
      </w:pPr>
      <w:r>
        <w:rPr>
          <w:rStyle w:val="FootnoteReference"/>
        </w:rPr>
        <w:footnoteRef/>
      </w:r>
      <w:r>
        <w:t xml:space="preserve">    Unemployment figures are the rate for those aged 16-64 for the September to November quarter of 2010 sourced from the Labour Force Survey </w:t>
      </w:r>
      <w:r w:rsidRPr="00B00F11">
        <w:t>Regional Labour Market: HI00 - Headline LFS Indicators for All Regions, May 2013 (</w:t>
      </w:r>
      <w:r w:rsidRPr="008B397D">
        <w:t>http://www.ons.gov.uk/ons/publications/re-reference-tables.html?edition=tcm%3A77-265428</w:t>
      </w:r>
      <w:r w:rsidRPr="00B00F11">
        <w:t>)</w:t>
      </w:r>
      <w:r>
        <w:t xml:space="preserve">.  Income figures used are gross disposable household income per head for 2010, sourced from </w:t>
      </w:r>
      <w:r w:rsidRPr="008B397D">
        <w:t xml:space="preserve">ONS Regional Household Income, </w:t>
      </w:r>
      <w:proofErr w:type="gramStart"/>
      <w:r w:rsidRPr="008B397D">
        <w:t>Spring</w:t>
      </w:r>
      <w:proofErr w:type="gramEnd"/>
      <w:r w:rsidRPr="008B397D">
        <w:t xml:space="preserve"> 2013</w:t>
      </w:r>
      <w:r>
        <w:t xml:space="preserve"> Table 1.1 (</w:t>
      </w:r>
      <w:r w:rsidRPr="008B397D">
        <w:t>http://www.ons.gov.uk/ons/publications/re-reference-tables.html?edition=tcm%3A77-298694</w:t>
      </w:r>
      <w:r>
        <w:t>). The house price index was obtained by averaging the monthly index values from April 2010 to March 2011 from the Land Registry website (</w:t>
      </w:r>
      <w:r w:rsidRPr="008B397D">
        <w:t>https://www.gov.uk/government/organisations/land-registry</w:t>
      </w:r>
      <w:r>
        <w:t xml:space="preserve">).   Due to incompatibilities between the official English and Welsh indices of multiple deprivation, regional averages were calculated from the ‘deprivation indicators of a household’ variable already included in the census microdata files; it includes education, health, employment, and housing deprivation markers.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03771" w14:textId="77777777" w:rsidR="002E1552" w:rsidRDefault="002E1552" w:rsidP="001318AB">
    <w:pPr>
      <w:pStyle w:val="Header"/>
      <w:tabs>
        <w:tab w:val="clear" w:pos="8928"/>
        <w:tab w:val="left" w:pos="4680"/>
        <w:tab w:val="right" w:pos="9000"/>
      </w:tabs>
      <w:jc w:val="center"/>
    </w:pPr>
    <w:r>
      <w:rPr>
        <w:rStyle w:val="PageNumber"/>
      </w:rPr>
      <w:fldChar w:fldCharType="begin"/>
    </w:r>
    <w:r>
      <w:rPr>
        <w:rStyle w:val="PageNumber"/>
      </w:rPr>
      <w:instrText xml:space="preserve"> PAGE </w:instrText>
    </w:r>
    <w:r>
      <w:rPr>
        <w:rStyle w:val="PageNumber"/>
      </w:rPr>
      <w:fldChar w:fldCharType="separate"/>
    </w:r>
    <w:r w:rsidR="00D83C56">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395"/>
    <w:multiLevelType w:val="multilevel"/>
    <w:tmpl w:val="F8CC5754"/>
    <w:lvl w:ilvl="0">
      <w:start w:val="1"/>
      <w:numFmt w:val="decimal"/>
      <w:suff w:val="space"/>
      <w:lvlText w:val="Chapter %1"/>
      <w:lvlJc w:val="left"/>
      <w:pPr>
        <w:ind w:left="0" w:firstLine="0"/>
      </w:pPr>
      <w:rPr>
        <w:rFonts w:hint="default"/>
      </w:rPr>
    </w:lvl>
    <w:lvl w:ilvl="1">
      <w:start w:val="1"/>
      <w:numFmt w:val="none"/>
      <w:suff w:val="space"/>
      <w:lvlText w:val=""/>
      <w:lvlJc w:val="left"/>
      <w:pPr>
        <w:ind w:left="0" w:firstLine="0"/>
      </w:pPr>
      <w:rPr>
        <w:rFonts w:hint="default"/>
        <w:i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792"/>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
    <w:nsid w:val="0AEE7E7E"/>
    <w:multiLevelType w:val="hybridMultilevel"/>
    <w:tmpl w:val="F088184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B5C7C1B"/>
    <w:multiLevelType w:val="multilevel"/>
    <w:tmpl w:val="AEFC9AF6"/>
    <w:lvl w:ilvl="0">
      <w:start w:val="1"/>
      <w:numFmt w:val="decimal"/>
      <w:suff w:val="space"/>
      <w:lvlText w:val="Chapter %1"/>
      <w:lvlJc w:val="left"/>
      <w:pPr>
        <w:ind w:left="0" w:firstLine="0"/>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792"/>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
    <w:nsid w:val="0DDC71C3"/>
    <w:multiLevelType w:val="hybridMultilevel"/>
    <w:tmpl w:val="7632CC0A"/>
    <w:lvl w:ilvl="0" w:tplc="1BF01B2A">
      <w:start w:val="1"/>
      <w:numFmt w:val="bullet"/>
      <w:pStyle w:val="Bullet4"/>
      <w:lvlText w:val=""/>
      <w:lvlJc w:val="left"/>
      <w:pPr>
        <w:tabs>
          <w:tab w:val="num" w:pos="1440"/>
        </w:tabs>
        <w:ind w:left="1080" w:firstLine="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1414000C"/>
    <w:multiLevelType w:val="hybridMultilevel"/>
    <w:tmpl w:val="E74848B2"/>
    <w:lvl w:ilvl="0" w:tplc="08090001">
      <w:start w:val="1"/>
      <w:numFmt w:val="bullet"/>
      <w:lvlText w:val=""/>
      <w:lvlJc w:val="left"/>
      <w:pPr>
        <w:ind w:left="2160" w:hanging="144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6A578F6"/>
    <w:multiLevelType w:val="hybridMultilevel"/>
    <w:tmpl w:val="7BBE9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2F3235"/>
    <w:multiLevelType w:val="multilevel"/>
    <w:tmpl w:val="310C283E"/>
    <w:lvl w:ilvl="0">
      <w:start w:val="1"/>
      <w:numFmt w:val="decimal"/>
      <w:suff w:val="space"/>
      <w:lvlText w:val="Chapter %1"/>
      <w:lvlJc w:val="left"/>
      <w:pPr>
        <w:ind w:left="0" w:firstLine="0"/>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B2E64B7"/>
    <w:multiLevelType w:val="hybridMultilevel"/>
    <w:tmpl w:val="0B2C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E6C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4861DA"/>
    <w:multiLevelType w:val="hybridMultilevel"/>
    <w:tmpl w:val="7D20D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ACF10A5"/>
    <w:multiLevelType w:val="hybridMultilevel"/>
    <w:tmpl w:val="8DFC7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AD84CCA"/>
    <w:multiLevelType w:val="hybridMultilevel"/>
    <w:tmpl w:val="F198F948"/>
    <w:lvl w:ilvl="0" w:tplc="AA0AD47A">
      <w:start w:val="2"/>
      <w:numFmt w:val="bullet"/>
      <w:pStyle w:val="Bullet2"/>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DE06C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95829A2"/>
    <w:multiLevelType w:val="hybridMultilevel"/>
    <w:tmpl w:val="7C8EE4F6"/>
    <w:lvl w:ilvl="0" w:tplc="DFE8895E">
      <w:start w:val="2"/>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773E6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BC000D6"/>
    <w:multiLevelType w:val="hybridMultilevel"/>
    <w:tmpl w:val="9ED6EB9C"/>
    <w:lvl w:ilvl="0" w:tplc="2A264014">
      <w:start w:val="2"/>
      <w:numFmt w:val="bullet"/>
      <w:pStyle w:val="Bullet3"/>
      <w:lvlText w:val="o"/>
      <w:lvlJc w:val="left"/>
      <w:pPr>
        <w:tabs>
          <w:tab w:val="num" w:pos="1080"/>
        </w:tabs>
        <w:ind w:left="1080" w:hanging="360"/>
      </w:pPr>
      <w:rPr>
        <w:rFonts w:ascii="Courier New" w:hAnsi="Courier New"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8590A9B"/>
    <w:multiLevelType w:val="multilevel"/>
    <w:tmpl w:val="55AAECBC"/>
    <w:lvl w:ilvl="0">
      <w:start w:val="1"/>
      <w:numFmt w:val="decimal"/>
      <w:suff w:val="space"/>
      <w:lvlText w:val="Chapter %1"/>
      <w:lvlJc w:val="left"/>
      <w:pPr>
        <w:ind w:left="0" w:firstLine="0"/>
      </w:pPr>
      <w:rPr>
        <w:rFonts w:hint="default"/>
      </w:rPr>
    </w:lvl>
    <w:lvl w:ilvl="1">
      <w:start w:val="1"/>
      <w:numFmt w:val="none"/>
      <w:suff w:val="space"/>
      <w:lvlText w:val=""/>
      <w:lvlJc w:val="left"/>
      <w:pPr>
        <w:ind w:left="0" w:firstLine="0"/>
      </w:pPr>
      <w:rPr>
        <w:rFonts w:hint="default"/>
        <w:i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72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nsid w:val="58E47A63"/>
    <w:multiLevelType w:val="multilevel"/>
    <w:tmpl w:val="DC60FA10"/>
    <w:lvl w:ilvl="0">
      <w:start w:val="1"/>
      <w:numFmt w:val="none"/>
      <w:suff w:val="space"/>
      <w:lvlText w:val=""/>
      <w:lvlJc w:val="left"/>
      <w:pPr>
        <w:ind w:left="0" w:firstLine="0"/>
      </w:pPr>
      <w:rPr>
        <w:rFonts w:hint="default"/>
      </w:rPr>
    </w:lvl>
    <w:lvl w:ilvl="1">
      <w:start w:val="1"/>
      <w:numFmt w:val="decimal"/>
      <w:suff w:val="space"/>
      <w:lvlText w:val="%1Chapter %2"/>
      <w:lvlJc w:val="left"/>
      <w:pPr>
        <w:ind w:left="0" w:firstLine="0"/>
      </w:pPr>
      <w:rPr>
        <w:rFonts w:hint="default"/>
        <w:i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2.%3.%4.%5.%6"/>
      <w:lvlJc w:val="left"/>
      <w:pPr>
        <w:ind w:left="0" w:firstLine="72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nsid w:val="5D5D7624"/>
    <w:multiLevelType w:val="hybridMultilevel"/>
    <w:tmpl w:val="18B8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9E7F4D"/>
    <w:multiLevelType w:val="multilevel"/>
    <w:tmpl w:val="0809001D"/>
    <w:name w:val="Thesi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C82AFE"/>
    <w:multiLevelType w:val="multilevel"/>
    <w:tmpl w:val="146A659E"/>
    <w:lvl w:ilvl="0">
      <w:start w:val="1"/>
      <w:numFmt w:val="none"/>
      <w:suff w:val="space"/>
      <w:lvlText w:val=""/>
      <w:lvlJc w:val="left"/>
      <w:pPr>
        <w:ind w:left="0" w:firstLine="0"/>
      </w:pPr>
      <w:rPr>
        <w:rFonts w:hint="default"/>
      </w:rPr>
    </w:lvl>
    <w:lvl w:ilvl="1">
      <w:start w:val="1"/>
      <w:numFmt w:val="decimal"/>
      <w:suff w:val="space"/>
      <w:lvlText w:val="%1Chapter %2."/>
      <w:lvlJc w:val="left"/>
      <w:pPr>
        <w:ind w:left="0" w:firstLine="0"/>
      </w:pPr>
      <w:rPr>
        <w:rFonts w:hint="default"/>
        <w:i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2.%3.%4.%5.%6"/>
      <w:lvlJc w:val="left"/>
      <w:pPr>
        <w:ind w:left="0" w:firstLine="72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nsid w:val="64393B7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4BF3B7A"/>
    <w:multiLevelType w:val="hybridMultilevel"/>
    <w:tmpl w:val="E2243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5A0B3F"/>
    <w:multiLevelType w:val="multilevel"/>
    <w:tmpl w:val="44886EA4"/>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7BB4456"/>
    <w:multiLevelType w:val="hybridMultilevel"/>
    <w:tmpl w:val="91E69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F3F2002"/>
    <w:multiLevelType w:val="hybridMultilevel"/>
    <w:tmpl w:val="26529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1A3568F"/>
    <w:multiLevelType w:val="hybridMultilevel"/>
    <w:tmpl w:val="0BEE1A86"/>
    <w:lvl w:ilvl="0" w:tplc="76D2EF5A">
      <w:start w:val="2"/>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B4177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556345"/>
    <w:multiLevelType w:val="multilevel"/>
    <w:tmpl w:val="AAAE73BC"/>
    <w:name w:val="Thesis"/>
    <w:lvl w:ilvl="0">
      <w:start w:val="1"/>
      <w:numFmt w:val="none"/>
      <w:pStyle w:val="Heading1"/>
      <w:suff w:val="space"/>
      <w:lvlText w:val=""/>
      <w:lvlJc w:val="left"/>
      <w:pPr>
        <w:ind w:left="0" w:firstLine="0"/>
      </w:pPr>
      <w:rPr>
        <w:rFonts w:hint="default"/>
      </w:rPr>
    </w:lvl>
    <w:lvl w:ilvl="1">
      <w:start w:val="1"/>
      <w:numFmt w:val="decimal"/>
      <w:pStyle w:val="Heading2"/>
      <w:suff w:val="space"/>
      <w:lvlText w:val="%1%2."/>
      <w:lvlJc w:val="left"/>
      <w:pPr>
        <w:ind w:left="0" w:firstLine="0"/>
      </w:pPr>
      <w:rPr>
        <w:rFonts w:hint="default"/>
        <w:i w:val="0"/>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Appendix %6"/>
      <w:lvlJc w:val="left"/>
      <w:pPr>
        <w:ind w:left="0" w:firstLine="0"/>
      </w:pPr>
      <w:rPr>
        <w:rFonts w:hint="default"/>
      </w:rPr>
    </w:lvl>
    <w:lvl w:ilvl="6">
      <w:start w:val="1"/>
      <w:numFmt w:val="decimal"/>
      <w:pStyle w:val="Heading7"/>
      <w:suff w:val="space"/>
      <w:lvlText w:val="%6.%7"/>
      <w:lvlJc w:val="left"/>
      <w:pPr>
        <w:ind w:left="0" w:firstLine="0"/>
      </w:pPr>
      <w:rPr>
        <w:rFonts w:hint="default"/>
      </w:rPr>
    </w:lvl>
    <w:lvl w:ilvl="7">
      <w:start w:val="1"/>
      <w:numFmt w:val="none"/>
      <w:pStyle w:val="Heading8"/>
      <w:suff w:val="space"/>
      <w:lvlText w:val=""/>
      <w:lvlJc w:val="left"/>
      <w:pPr>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29">
    <w:nsid w:val="7DA86B2E"/>
    <w:multiLevelType w:val="hybridMultilevel"/>
    <w:tmpl w:val="1BE6A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11"/>
  </w:num>
  <w:num w:numId="3">
    <w:abstractNumId w:val="26"/>
  </w:num>
  <w:num w:numId="4">
    <w:abstractNumId w:val="11"/>
  </w:num>
  <w:num w:numId="5">
    <w:abstractNumId w:val="13"/>
  </w:num>
  <w:num w:numId="6">
    <w:abstractNumId w:val="13"/>
  </w:num>
  <w:num w:numId="7">
    <w:abstractNumId w:val="13"/>
  </w:num>
  <w:num w:numId="8">
    <w:abstractNumId w:val="11"/>
  </w:num>
  <w:num w:numId="9">
    <w:abstractNumId w:val="13"/>
  </w:num>
  <w:num w:numId="10">
    <w:abstractNumId w:val="11"/>
  </w:num>
  <w:num w:numId="11">
    <w:abstractNumId w:val="13"/>
  </w:num>
  <w:num w:numId="12">
    <w:abstractNumId w:val="11"/>
  </w:num>
  <w:num w:numId="13">
    <w:abstractNumId w:val="15"/>
  </w:num>
  <w:num w:numId="14">
    <w:abstractNumId w:val="15"/>
  </w:num>
  <w:num w:numId="15">
    <w:abstractNumId w:val="11"/>
  </w:num>
  <w:num w:numId="16">
    <w:abstractNumId w:val="11"/>
  </w:num>
  <w:num w:numId="17">
    <w:abstractNumId w:val="13"/>
  </w:num>
  <w:num w:numId="18">
    <w:abstractNumId w:val="11"/>
  </w:num>
  <w:num w:numId="19">
    <w:abstractNumId w:val="15"/>
  </w:num>
  <w:num w:numId="20">
    <w:abstractNumId w:val="3"/>
  </w:num>
  <w:num w:numId="21">
    <w:abstractNumId w:val="11"/>
  </w:num>
  <w:num w:numId="22">
    <w:abstractNumId w:val="13"/>
  </w:num>
  <w:num w:numId="23">
    <w:abstractNumId w:val="15"/>
  </w:num>
  <w:num w:numId="24">
    <w:abstractNumId w:val="3"/>
  </w:num>
  <w:num w:numId="25">
    <w:abstractNumId w:val="13"/>
  </w:num>
  <w:num w:numId="26">
    <w:abstractNumId w:val="14"/>
  </w:num>
  <w:num w:numId="27">
    <w:abstractNumId w:val="27"/>
  </w:num>
  <w:num w:numId="28">
    <w:abstractNumId w:val="12"/>
  </w:num>
  <w:num w:numId="29">
    <w:abstractNumId w:val="8"/>
  </w:num>
  <w:num w:numId="30">
    <w:abstractNumId w:val="21"/>
  </w:num>
  <w:num w:numId="31">
    <w:abstractNumId w:val="28"/>
  </w:num>
  <w:num w:numId="32">
    <w:abstractNumId w:val="23"/>
  </w:num>
  <w:num w:numId="33">
    <w:abstractNumId w:val="6"/>
  </w:num>
  <w:num w:numId="34">
    <w:abstractNumId w:val="2"/>
  </w:num>
  <w:num w:numId="35">
    <w:abstractNumId w:val="0"/>
  </w:num>
  <w:num w:numId="36">
    <w:abstractNumId w:val="16"/>
  </w:num>
  <w:num w:numId="37">
    <w:abstractNumId w:val="19"/>
  </w:num>
  <w:num w:numId="38">
    <w:abstractNumId w:val="17"/>
  </w:num>
  <w:num w:numId="39">
    <w:abstractNumId w:val="20"/>
  </w:num>
  <w:num w:numId="40">
    <w:abstractNumId w:val="9"/>
  </w:num>
  <w:num w:numId="41">
    <w:abstractNumId w:val="10"/>
  </w:num>
  <w:num w:numId="42">
    <w:abstractNumId w:val="18"/>
  </w:num>
  <w:num w:numId="43">
    <w:abstractNumId w:val="29"/>
  </w:num>
  <w:num w:numId="44">
    <w:abstractNumId w:val="24"/>
  </w:num>
  <w:num w:numId="45">
    <w:abstractNumId w:val="22"/>
  </w:num>
  <w:num w:numId="46">
    <w:abstractNumId w:val="4"/>
  </w:num>
  <w:num w:numId="47">
    <w:abstractNumId w:val="1"/>
  </w:num>
  <w:num w:numId="48">
    <w:abstractNumId w:val="5"/>
  </w:num>
  <w:num w:numId="49">
    <w:abstractNumId w:val="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8"/>
  <w:drawingGridVerticalSpacing w:val="58"/>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18"/>
    <w:rsid w:val="00000F8B"/>
    <w:rsid w:val="00001A45"/>
    <w:rsid w:val="0000366E"/>
    <w:rsid w:val="000039BB"/>
    <w:rsid w:val="00004DB1"/>
    <w:rsid w:val="00005435"/>
    <w:rsid w:val="00005F90"/>
    <w:rsid w:val="00006C39"/>
    <w:rsid w:val="00006D1E"/>
    <w:rsid w:val="0001184F"/>
    <w:rsid w:val="00011973"/>
    <w:rsid w:val="00012530"/>
    <w:rsid w:val="00012972"/>
    <w:rsid w:val="000131B1"/>
    <w:rsid w:val="000137D8"/>
    <w:rsid w:val="0001464F"/>
    <w:rsid w:val="00014F8F"/>
    <w:rsid w:val="000155A1"/>
    <w:rsid w:val="00015776"/>
    <w:rsid w:val="00015AF2"/>
    <w:rsid w:val="000168D2"/>
    <w:rsid w:val="000179F7"/>
    <w:rsid w:val="00017F96"/>
    <w:rsid w:val="00020505"/>
    <w:rsid w:val="00020ADA"/>
    <w:rsid w:val="000216EE"/>
    <w:rsid w:val="00021DC3"/>
    <w:rsid w:val="00023BDF"/>
    <w:rsid w:val="00025A64"/>
    <w:rsid w:val="00025BDF"/>
    <w:rsid w:val="000278A1"/>
    <w:rsid w:val="00027ABD"/>
    <w:rsid w:val="00030236"/>
    <w:rsid w:val="00030815"/>
    <w:rsid w:val="00031613"/>
    <w:rsid w:val="000328BB"/>
    <w:rsid w:val="00032F44"/>
    <w:rsid w:val="000333EF"/>
    <w:rsid w:val="00035A6C"/>
    <w:rsid w:val="00035C14"/>
    <w:rsid w:val="00035C18"/>
    <w:rsid w:val="00035E2E"/>
    <w:rsid w:val="00037265"/>
    <w:rsid w:val="00037EDE"/>
    <w:rsid w:val="000405E8"/>
    <w:rsid w:val="0004076E"/>
    <w:rsid w:val="000407DF"/>
    <w:rsid w:val="00040A2A"/>
    <w:rsid w:val="00040EB6"/>
    <w:rsid w:val="000435AB"/>
    <w:rsid w:val="000439DB"/>
    <w:rsid w:val="000440C2"/>
    <w:rsid w:val="00044679"/>
    <w:rsid w:val="00044DC4"/>
    <w:rsid w:val="00044E80"/>
    <w:rsid w:val="000454FF"/>
    <w:rsid w:val="0005060A"/>
    <w:rsid w:val="00052237"/>
    <w:rsid w:val="000522B9"/>
    <w:rsid w:val="00054AA4"/>
    <w:rsid w:val="00056836"/>
    <w:rsid w:val="00057143"/>
    <w:rsid w:val="00057EF0"/>
    <w:rsid w:val="00060C87"/>
    <w:rsid w:val="00061DFC"/>
    <w:rsid w:val="00061EB4"/>
    <w:rsid w:val="00062B6A"/>
    <w:rsid w:val="000632B4"/>
    <w:rsid w:val="00063341"/>
    <w:rsid w:val="00064661"/>
    <w:rsid w:val="000649D0"/>
    <w:rsid w:val="00065869"/>
    <w:rsid w:val="00066978"/>
    <w:rsid w:val="0006790E"/>
    <w:rsid w:val="000727E1"/>
    <w:rsid w:val="000742DA"/>
    <w:rsid w:val="00074F8C"/>
    <w:rsid w:val="00075171"/>
    <w:rsid w:val="00075209"/>
    <w:rsid w:val="00075C3F"/>
    <w:rsid w:val="00075C57"/>
    <w:rsid w:val="00075CD9"/>
    <w:rsid w:val="00077A57"/>
    <w:rsid w:val="00077D9D"/>
    <w:rsid w:val="000814F0"/>
    <w:rsid w:val="0008239E"/>
    <w:rsid w:val="00082A45"/>
    <w:rsid w:val="00082EF8"/>
    <w:rsid w:val="00084DFB"/>
    <w:rsid w:val="0008528A"/>
    <w:rsid w:val="00085798"/>
    <w:rsid w:val="000857EC"/>
    <w:rsid w:val="000875E4"/>
    <w:rsid w:val="00087C97"/>
    <w:rsid w:val="000905CB"/>
    <w:rsid w:val="000916E7"/>
    <w:rsid w:val="00091E25"/>
    <w:rsid w:val="00093AA3"/>
    <w:rsid w:val="00094031"/>
    <w:rsid w:val="00095A2A"/>
    <w:rsid w:val="000964BD"/>
    <w:rsid w:val="00097E00"/>
    <w:rsid w:val="000A0D26"/>
    <w:rsid w:val="000A10D1"/>
    <w:rsid w:val="000A1196"/>
    <w:rsid w:val="000A1824"/>
    <w:rsid w:val="000A1AE4"/>
    <w:rsid w:val="000A1CF9"/>
    <w:rsid w:val="000A2675"/>
    <w:rsid w:val="000A2906"/>
    <w:rsid w:val="000A32A8"/>
    <w:rsid w:val="000A3D43"/>
    <w:rsid w:val="000A4B6B"/>
    <w:rsid w:val="000A5851"/>
    <w:rsid w:val="000A5954"/>
    <w:rsid w:val="000A67D9"/>
    <w:rsid w:val="000A72F7"/>
    <w:rsid w:val="000B0B80"/>
    <w:rsid w:val="000B0BE0"/>
    <w:rsid w:val="000B28AD"/>
    <w:rsid w:val="000B2D1F"/>
    <w:rsid w:val="000B4152"/>
    <w:rsid w:val="000B4B40"/>
    <w:rsid w:val="000B6BE5"/>
    <w:rsid w:val="000B7A55"/>
    <w:rsid w:val="000B7BFF"/>
    <w:rsid w:val="000C1369"/>
    <w:rsid w:val="000C4589"/>
    <w:rsid w:val="000C5693"/>
    <w:rsid w:val="000C61CA"/>
    <w:rsid w:val="000C7406"/>
    <w:rsid w:val="000C78E3"/>
    <w:rsid w:val="000D1284"/>
    <w:rsid w:val="000D32F8"/>
    <w:rsid w:val="000D4DB1"/>
    <w:rsid w:val="000D6D49"/>
    <w:rsid w:val="000D6D9F"/>
    <w:rsid w:val="000E0E71"/>
    <w:rsid w:val="000E1643"/>
    <w:rsid w:val="000E16AD"/>
    <w:rsid w:val="000E3347"/>
    <w:rsid w:val="000E6072"/>
    <w:rsid w:val="000E7D27"/>
    <w:rsid w:val="000F099D"/>
    <w:rsid w:val="000F7E70"/>
    <w:rsid w:val="00104947"/>
    <w:rsid w:val="00105A88"/>
    <w:rsid w:val="00105F4F"/>
    <w:rsid w:val="00107179"/>
    <w:rsid w:val="00107A8E"/>
    <w:rsid w:val="00110E63"/>
    <w:rsid w:val="001118A8"/>
    <w:rsid w:val="001123BE"/>
    <w:rsid w:val="001132BE"/>
    <w:rsid w:val="00113D22"/>
    <w:rsid w:val="00114009"/>
    <w:rsid w:val="00115F3B"/>
    <w:rsid w:val="00116273"/>
    <w:rsid w:val="0012285D"/>
    <w:rsid w:val="00122E70"/>
    <w:rsid w:val="00123FA3"/>
    <w:rsid w:val="001240B4"/>
    <w:rsid w:val="00125C27"/>
    <w:rsid w:val="00126D45"/>
    <w:rsid w:val="00130E1F"/>
    <w:rsid w:val="001318AB"/>
    <w:rsid w:val="001323A9"/>
    <w:rsid w:val="00133391"/>
    <w:rsid w:val="00133C1F"/>
    <w:rsid w:val="00136ACD"/>
    <w:rsid w:val="00136E6E"/>
    <w:rsid w:val="001370F9"/>
    <w:rsid w:val="00141C0E"/>
    <w:rsid w:val="00144933"/>
    <w:rsid w:val="001460B3"/>
    <w:rsid w:val="00146673"/>
    <w:rsid w:val="00147318"/>
    <w:rsid w:val="00150339"/>
    <w:rsid w:val="00152D0F"/>
    <w:rsid w:val="001530D5"/>
    <w:rsid w:val="001545B0"/>
    <w:rsid w:val="00154CBB"/>
    <w:rsid w:val="00154ED4"/>
    <w:rsid w:val="001553A3"/>
    <w:rsid w:val="00155595"/>
    <w:rsid w:val="00157523"/>
    <w:rsid w:val="00157E4A"/>
    <w:rsid w:val="00161613"/>
    <w:rsid w:val="00161A5F"/>
    <w:rsid w:val="00161A69"/>
    <w:rsid w:val="00162C49"/>
    <w:rsid w:val="00163584"/>
    <w:rsid w:val="00163A08"/>
    <w:rsid w:val="00164729"/>
    <w:rsid w:val="00164A65"/>
    <w:rsid w:val="00164DFA"/>
    <w:rsid w:val="00167122"/>
    <w:rsid w:val="00167777"/>
    <w:rsid w:val="00173E5D"/>
    <w:rsid w:val="00174E74"/>
    <w:rsid w:val="001805C9"/>
    <w:rsid w:val="0018083A"/>
    <w:rsid w:val="001818A5"/>
    <w:rsid w:val="00181B48"/>
    <w:rsid w:val="00181D03"/>
    <w:rsid w:val="00182338"/>
    <w:rsid w:val="00182476"/>
    <w:rsid w:val="00183D3D"/>
    <w:rsid w:val="001841AA"/>
    <w:rsid w:val="0018454D"/>
    <w:rsid w:val="00184710"/>
    <w:rsid w:val="00184F57"/>
    <w:rsid w:val="001878DB"/>
    <w:rsid w:val="00190687"/>
    <w:rsid w:val="00191128"/>
    <w:rsid w:val="001929D3"/>
    <w:rsid w:val="0019426F"/>
    <w:rsid w:val="001958A9"/>
    <w:rsid w:val="00196FCF"/>
    <w:rsid w:val="001A0C09"/>
    <w:rsid w:val="001A1639"/>
    <w:rsid w:val="001A1A81"/>
    <w:rsid w:val="001A2D32"/>
    <w:rsid w:val="001A3619"/>
    <w:rsid w:val="001A3775"/>
    <w:rsid w:val="001A4CAE"/>
    <w:rsid w:val="001A5120"/>
    <w:rsid w:val="001A592A"/>
    <w:rsid w:val="001A670E"/>
    <w:rsid w:val="001B0683"/>
    <w:rsid w:val="001B0B74"/>
    <w:rsid w:val="001B304D"/>
    <w:rsid w:val="001B4059"/>
    <w:rsid w:val="001B5543"/>
    <w:rsid w:val="001B60A7"/>
    <w:rsid w:val="001B793A"/>
    <w:rsid w:val="001C0FEB"/>
    <w:rsid w:val="001C1AA0"/>
    <w:rsid w:val="001C29AB"/>
    <w:rsid w:val="001C2A1F"/>
    <w:rsid w:val="001C3ABD"/>
    <w:rsid w:val="001C3C34"/>
    <w:rsid w:val="001C48DD"/>
    <w:rsid w:val="001C4BC9"/>
    <w:rsid w:val="001C672E"/>
    <w:rsid w:val="001C6853"/>
    <w:rsid w:val="001D6715"/>
    <w:rsid w:val="001D6EA4"/>
    <w:rsid w:val="001D78C6"/>
    <w:rsid w:val="001D7BF1"/>
    <w:rsid w:val="001E0182"/>
    <w:rsid w:val="001E040E"/>
    <w:rsid w:val="001E2C5A"/>
    <w:rsid w:val="001E3179"/>
    <w:rsid w:val="001E6068"/>
    <w:rsid w:val="001E6D11"/>
    <w:rsid w:val="001F00BD"/>
    <w:rsid w:val="001F0169"/>
    <w:rsid w:val="001F0A62"/>
    <w:rsid w:val="001F0AB7"/>
    <w:rsid w:val="001F0DE4"/>
    <w:rsid w:val="001F1F1A"/>
    <w:rsid w:val="001F28FF"/>
    <w:rsid w:val="001F4275"/>
    <w:rsid w:val="001F5098"/>
    <w:rsid w:val="001F5558"/>
    <w:rsid w:val="001F5946"/>
    <w:rsid w:val="001F702F"/>
    <w:rsid w:val="001F7131"/>
    <w:rsid w:val="001F7A67"/>
    <w:rsid w:val="00200E95"/>
    <w:rsid w:val="00201878"/>
    <w:rsid w:val="00201FB2"/>
    <w:rsid w:val="00203D02"/>
    <w:rsid w:val="00203FF9"/>
    <w:rsid w:val="00204D24"/>
    <w:rsid w:val="00207EB6"/>
    <w:rsid w:val="00210654"/>
    <w:rsid w:val="0021231C"/>
    <w:rsid w:val="002125AA"/>
    <w:rsid w:val="00214FB7"/>
    <w:rsid w:val="00216E6E"/>
    <w:rsid w:val="00221ACB"/>
    <w:rsid w:val="00222964"/>
    <w:rsid w:val="00223367"/>
    <w:rsid w:val="00224D3C"/>
    <w:rsid w:val="002264F0"/>
    <w:rsid w:val="00227314"/>
    <w:rsid w:val="002307C9"/>
    <w:rsid w:val="002317A1"/>
    <w:rsid w:val="00232480"/>
    <w:rsid w:val="0024320D"/>
    <w:rsid w:val="0024579B"/>
    <w:rsid w:val="002459EC"/>
    <w:rsid w:val="00246839"/>
    <w:rsid w:val="00247234"/>
    <w:rsid w:val="00252AE5"/>
    <w:rsid w:val="00252E2B"/>
    <w:rsid w:val="0025344A"/>
    <w:rsid w:val="00253C6A"/>
    <w:rsid w:val="00253EAE"/>
    <w:rsid w:val="002559E7"/>
    <w:rsid w:val="00257963"/>
    <w:rsid w:val="002606EC"/>
    <w:rsid w:val="002633CB"/>
    <w:rsid w:val="002645AA"/>
    <w:rsid w:val="00264699"/>
    <w:rsid w:val="0026547D"/>
    <w:rsid w:val="00265558"/>
    <w:rsid w:val="00267FE5"/>
    <w:rsid w:val="002700E2"/>
    <w:rsid w:val="00272B36"/>
    <w:rsid w:val="00273E15"/>
    <w:rsid w:val="002741B1"/>
    <w:rsid w:val="002741D0"/>
    <w:rsid w:val="00274526"/>
    <w:rsid w:val="002746A6"/>
    <w:rsid w:val="0027476C"/>
    <w:rsid w:val="00274A16"/>
    <w:rsid w:val="00275CF5"/>
    <w:rsid w:val="00276218"/>
    <w:rsid w:val="0027637A"/>
    <w:rsid w:val="00277446"/>
    <w:rsid w:val="002802F9"/>
    <w:rsid w:val="00280B70"/>
    <w:rsid w:val="00280DC8"/>
    <w:rsid w:val="00281825"/>
    <w:rsid w:val="00281C75"/>
    <w:rsid w:val="00285E59"/>
    <w:rsid w:val="00287C71"/>
    <w:rsid w:val="0029088D"/>
    <w:rsid w:val="00290C67"/>
    <w:rsid w:val="00292C7C"/>
    <w:rsid w:val="0029316C"/>
    <w:rsid w:val="0029390C"/>
    <w:rsid w:val="00293B7E"/>
    <w:rsid w:val="002943F5"/>
    <w:rsid w:val="00296093"/>
    <w:rsid w:val="00297347"/>
    <w:rsid w:val="002A0188"/>
    <w:rsid w:val="002A0771"/>
    <w:rsid w:val="002A3069"/>
    <w:rsid w:val="002A342F"/>
    <w:rsid w:val="002A3AFC"/>
    <w:rsid w:val="002A4D48"/>
    <w:rsid w:val="002A67D4"/>
    <w:rsid w:val="002A7930"/>
    <w:rsid w:val="002A7AB6"/>
    <w:rsid w:val="002B0710"/>
    <w:rsid w:val="002B5F85"/>
    <w:rsid w:val="002B649B"/>
    <w:rsid w:val="002B703C"/>
    <w:rsid w:val="002C17CD"/>
    <w:rsid w:val="002C438F"/>
    <w:rsid w:val="002D1191"/>
    <w:rsid w:val="002D2671"/>
    <w:rsid w:val="002D2A3D"/>
    <w:rsid w:val="002D33B6"/>
    <w:rsid w:val="002D45AF"/>
    <w:rsid w:val="002D52EC"/>
    <w:rsid w:val="002D59AA"/>
    <w:rsid w:val="002D697D"/>
    <w:rsid w:val="002D6C60"/>
    <w:rsid w:val="002D7C65"/>
    <w:rsid w:val="002E029D"/>
    <w:rsid w:val="002E0432"/>
    <w:rsid w:val="002E1188"/>
    <w:rsid w:val="002E1217"/>
    <w:rsid w:val="002E1552"/>
    <w:rsid w:val="002E2530"/>
    <w:rsid w:val="002E3786"/>
    <w:rsid w:val="002E3A2E"/>
    <w:rsid w:val="002E495B"/>
    <w:rsid w:val="002F01FA"/>
    <w:rsid w:val="002F0DBC"/>
    <w:rsid w:val="002F14C8"/>
    <w:rsid w:val="002F2A2C"/>
    <w:rsid w:val="002F3DB7"/>
    <w:rsid w:val="002F530B"/>
    <w:rsid w:val="002F5541"/>
    <w:rsid w:val="002F6AC5"/>
    <w:rsid w:val="00303528"/>
    <w:rsid w:val="0030390F"/>
    <w:rsid w:val="00303BFE"/>
    <w:rsid w:val="00304409"/>
    <w:rsid w:val="0030466C"/>
    <w:rsid w:val="003055BD"/>
    <w:rsid w:val="00306E62"/>
    <w:rsid w:val="0030791A"/>
    <w:rsid w:val="003139DD"/>
    <w:rsid w:val="00313B9B"/>
    <w:rsid w:val="00313CE0"/>
    <w:rsid w:val="00314C57"/>
    <w:rsid w:val="00315F15"/>
    <w:rsid w:val="00316FFC"/>
    <w:rsid w:val="00321446"/>
    <w:rsid w:val="00323DA8"/>
    <w:rsid w:val="0032423E"/>
    <w:rsid w:val="00325535"/>
    <w:rsid w:val="00327C41"/>
    <w:rsid w:val="003315EE"/>
    <w:rsid w:val="00331776"/>
    <w:rsid w:val="003321F5"/>
    <w:rsid w:val="00334EEC"/>
    <w:rsid w:val="00335752"/>
    <w:rsid w:val="003365B8"/>
    <w:rsid w:val="00337CBB"/>
    <w:rsid w:val="00340602"/>
    <w:rsid w:val="003407EA"/>
    <w:rsid w:val="00340AE0"/>
    <w:rsid w:val="00341A07"/>
    <w:rsid w:val="0034236E"/>
    <w:rsid w:val="00342487"/>
    <w:rsid w:val="00343356"/>
    <w:rsid w:val="00343443"/>
    <w:rsid w:val="00347497"/>
    <w:rsid w:val="00350260"/>
    <w:rsid w:val="00352727"/>
    <w:rsid w:val="00352C52"/>
    <w:rsid w:val="00353B17"/>
    <w:rsid w:val="00356248"/>
    <w:rsid w:val="003562A5"/>
    <w:rsid w:val="00357259"/>
    <w:rsid w:val="00357587"/>
    <w:rsid w:val="003619C1"/>
    <w:rsid w:val="00362249"/>
    <w:rsid w:val="00362AEE"/>
    <w:rsid w:val="0036556A"/>
    <w:rsid w:val="00366367"/>
    <w:rsid w:val="003667BB"/>
    <w:rsid w:val="00367341"/>
    <w:rsid w:val="00367487"/>
    <w:rsid w:val="00367741"/>
    <w:rsid w:val="00367AF2"/>
    <w:rsid w:val="003717F5"/>
    <w:rsid w:val="003724E5"/>
    <w:rsid w:val="00372510"/>
    <w:rsid w:val="00372ABF"/>
    <w:rsid w:val="0037457F"/>
    <w:rsid w:val="003747AF"/>
    <w:rsid w:val="00374E92"/>
    <w:rsid w:val="00374F2A"/>
    <w:rsid w:val="003756CF"/>
    <w:rsid w:val="00375CD7"/>
    <w:rsid w:val="003764B3"/>
    <w:rsid w:val="00376544"/>
    <w:rsid w:val="00376E44"/>
    <w:rsid w:val="003774AE"/>
    <w:rsid w:val="00382A1E"/>
    <w:rsid w:val="00384F7A"/>
    <w:rsid w:val="003864CA"/>
    <w:rsid w:val="0038744A"/>
    <w:rsid w:val="00387F43"/>
    <w:rsid w:val="003907ED"/>
    <w:rsid w:val="0039217B"/>
    <w:rsid w:val="003924FE"/>
    <w:rsid w:val="00392619"/>
    <w:rsid w:val="003938C3"/>
    <w:rsid w:val="00394DB6"/>
    <w:rsid w:val="003958AB"/>
    <w:rsid w:val="00396194"/>
    <w:rsid w:val="00396F01"/>
    <w:rsid w:val="003A3121"/>
    <w:rsid w:val="003A4DA5"/>
    <w:rsid w:val="003A559F"/>
    <w:rsid w:val="003A5983"/>
    <w:rsid w:val="003A607A"/>
    <w:rsid w:val="003A7E0E"/>
    <w:rsid w:val="003B227F"/>
    <w:rsid w:val="003B3EF3"/>
    <w:rsid w:val="003B4DDA"/>
    <w:rsid w:val="003B511C"/>
    <w:rsid w:val="003B7EA9"/>
    <w:rsid w:val="003C0987"/>
    <w:rsid w:val="003C16B2"/>
    <w:rsid w:val="003C1F69"/>
    <w:rsid w:val="003C3963"/>
    <w:rsid w:val="003C4B97"/>
    <w:rsid w:val="003C70FE"/>
    <w:rsid w:val="003D1517"/>
    <w:rsid w:val="003D211E"/>
    <w:rsid w:val="003D2212"/>
    <w:rsid w:val="003D445E"/>
    <w:rsid w:val="003D5ED5"/>
    <w:rsid w:val="003D7B50"/>
    <w:rsid w:val="003E0017"/>
    <w:rsid w:val="003E0A2F"/>
    <w:rsid w:val="003E1CE6"/>
    <w:rsid w:val="003E486C"/>
    <w:rsid w:val="003E519B"/>
    <w:rsid w:val="003E5213"/>
    <w:rsid w:val="003E558D"/>
    <w:rsid w:val="003E6249"/>
    <w:rsid w:val="003E6574"/>
    <w:rsid w:val="003E78F4"/>
    <w:rsid w:val="003F15C0"/>
    <w:rsid w:val="003F1813"/>
    <w:rsid w:val="003F2BCC"/>
    <w:rsid w:val="003F3A9C"/>
    <w:rsid w:val="003F3F7A"/>
    <w:rsid w:val="003F4B37"/>
    <w:rsid w:val="003F6332"/>
    <w:rsid w:val="003F6A64"/>
    <w:rsid w:val="0040430E"/>
    <w:rsid w:val="004061AC"/>
    <w:rsid w:val="00407F73"/>
    <w:rsid w:val="004103B1"/>
    <w:rsid w:val="00411729"/>
    <w:rsid w:val="004135DC"/>
    <w:rsid w:val="00413F57"/>
    <w:rsid w:val="004143BE"/>
    <w:rsid w:val="0041575B"/>
    <w:rsid w:val="004216DF"/>
    <w:rsid w:val="00422671"/>
    <w:rsid w:val="00422C83"/>
    <w:rsid w:val="00423B32"/>
    <w:rsid w:val="00426735"/>
    <w:rsid w:val="00430476"/>
    <w:rsid w:val="004309D6"/>
    <w:rsid w:val="00430BC5"/>
    <w:rsid w:val="00430EE8"/>
    <w:rsid w:val="004316E0"/>
    <w:rsid w:val="004326DB"/>
    <w:rsid w:val="0043309D"/>
    <w:rsid w:val="00434BF6"/>
    <w:rsid w:val="004350B9"/>
    <w:rsid w:val="00436194"/>
    <w:rsid w:val="00436C01"/>
    <w:rsid w:val="004372B9"/>
    <w:rsid w:val="0043778E"/>
    <w:rsid w:val="00437839"/>
    <w:rsid w:val="00443B5F"/>
    <w:rsid w:val="00443F73"/>
    <w:rsid w:val="00444C9A"/>
    <w:rsid w:val="00445AB7"/>
    <w:rsid w:val="00445B9D"/>
    <w:rsid w:val="00445C9F"/>
    <w:rsid w:val="00446612"/>
    <w:rsid w:val="00446D6E"/>
    <w:rsid w:val="00446DBA"/>
    <w:rsid w:val="0045138B"/>
    <w:rsid w:val="0045148D"/>
    <w:rsid w:val="004515E2"/>
    <w:rsid w:val="0045379D"/>
    <w:rsid w:val="00453DD6"/>
    <w:rsid w:val="00453F7C"/>
    <w:rsid w:val="0045466D"/>
    <w:rsid w:val="0045762A"/>
    <w:rsid w:val="004609F2"/>
    <w:rsid w:val="00460EBD"/>
    <w:rsid w:val="0046131D"/>
    <w:rsid w:val="004614E7"/>
    <w:rsid w:val="00463312"/>
    <w:rsid w:val="00463541"/>
    <w:rsid w:val="004648F6"/>
    <w:rsid w:val="0046535C"/>
    <w:rsid w:val="00466ADC"/>
    <w:rsid w:val="00466C86"/>
    <w:rsid w:val="00467627"/>
    <w:rsid w:val="00470206"/>
    <w:rsid w:val="00471292"/>
    <w:rsid w:val="004719D8"/>
    <w:rsid w:val="00471D54"/>
    <w:rsid w:val="004721DD"/>
    <w:rsid w:val="004729B7"/>
    <w:rsid w:val="0047335A"/>
    <w:rsid w:val="00473B4A"/>
    <w:rsid w:val="00474E1A"/>
    <w:rsid w:val="00475185"/>
    <w:rsid w:val="00476D0B"/>
    <w:rsid w:val="00481B87"/>
    <w:rsid w:val="00482C9A"/>
    <w:rsid w:val="004833F2"/>
    <w:rsid w:val="00483A30"/>
    <w:rsid w:val="004851B2"/>
    <w:rsid w:val="004918FF"/>
    <w:rsid w:val="004920BE"/>
    <w:rsid w:val="004928BF"/>
    <w:rsid w:val="00493061"/>
    <w:rsid w:val="00495112"/>
    <w:rsid w:val="00496058"/>
    <w:rsid w:val="004977AF"/>
    <w:rsid w:val="00497F9B"/>
    <w:rsid w:val="004A016A"/>
    <w:rsid w:val="004A02C4"/>
    <w:rsid w:val="004A3319"/>
    <w:rsid w:val="004A577C"/>
    <w:rsid w:val="004A5ABA"/>
    <w:rsid w:val="004A6FB1"/>
    <w:rsid w:val="004A772E"/>
    <w:rsid w:val="004B0128"/>
    <w:rsid w:val="004B0DB1"/>
    <w:rsid w:val="004B5B7F"/>
    <w:rsid w:val="004B6D3B"/>
    <w:rsid w:val="004B7511"/>
    <w:rsid w:val="004C06B5"/>
    <w:rsid w:val="004C0B09"/>
    <w:rsid w:val="004C13EB"/>
    <w:rsid w:val="004C305F"/>
    <w:rsid w:val="004C5855"/>
    <w:rsid w:val="004C6124"/>
    <w:rsid w:val="004C70EB"/>
    <w:rsid w:val="004C799D"/>
    <w:rsid w:val="004C7B5B"/>
    <w:rsid w:val="004D0061"/>
    <w:rsid w:val="004D324C"/>
    <w:rsid w:val="004D3899"/>
    <w:rsid w:val="004D3EE6"/>
    <w:rsid w:val="004D4F6E"/>
    <w:rsid w:val="004D501C"/>
    <w:rsid w:val="004D5B0D"/>
    <w:rsid w:val="004D610E"/>
    <w:rsid w:val="004D69DA"/>
    <w:rsid w:val="004D6DED"/>
    <w:rsid w:val="004D7C28"/>
    <w:rsid w:val="004E0325"/>
    <w:rsid w:val="004E0881"/>
    <w:rsid w:val="004E20B2"/>
    <w:rsid w:val="004E2913"/>
    <w:rsid w:val="004E4572"/>
    <w:rsid w:val="004E5E34"/>
    <w:rsid w:val="004E615F"/>
    <w:rsid w:val="004E681F"/>
    <w:rsid w:val="004F0033"/>
    <w:rsid w:val="004F0098"/>
    <w:rsid w:val="004F221B"/>
    <w:rsid w:val="004F48C5"/>
    <w:rsid w:val="004F618C"/>
    <w:rsid w:val="004F7348"/>
    <w:rsid w:val="004F75BA"/>
    <w:rsid w:val="005013A3"/>
    <w:rsid w:val="00501BE1"/>
    <w:rsid w:val="00501CDE"/>
    <w:rsid w:val="00502A2C"/>
    <w:rsid w:val="00502E89"/>
    <w:rsid w:val="00504FE8"/>
    <w:rsid w:val="00505092"/>
    <w:rsid w:val="0050521F"/>
    <w:rsid w:val="0050581B"/>
    <w:rsid w:val="00505F1D"/>
    <w:rsid w:val="00505F8C"/>
    <w:rsid w:val="005061B6"/>
    <w:rsid w:val="00507240"/>
    <w:rsid w:val="00510B06"/>
    <w:rsid w:val="00510D38"/>
    <w:rsid w:val="005110FB"/>
    <w:rsid w:val="005123AF"/>
    <w:rsid w:val="005128E8"/>
    <w:rsid w:val="00512A21"/>
    <w:rsid w:val="00512F7A"/>
    <w:rsid w:val="0051321C"/>
    <w:rsid w:val="00513893"/>
    <w:rsid w:val="00513D1D"/>
    <w:rsid w:val="00513F9C"/>
    <w:rsid w:val="00514946"/>
    <w:rsid w:val="00514D2C"/>
    <w:rsid w:val="00514DA5"/>
    <w:rsid w:val="00515AFA"/>
    <w:rsid w:val="00516F44"/>
    <w:rsid w:val="00517F03"/>
    <w:rsid w:val="00520C88"/>
    <w:rsid w:val="00520ECC"/>
    <w:rsid w:val="00521131"/>
    <w:rsid w:val="00521A9E"/>
    <w:rsid w:val="00522FFE"/>
    <w:rsid w:val="00523566"/>
    <w:rsid w:val="005240D7"/>
    <w:rsid w:val="005257FF"/>
    <w:rsid w:val="00526F24"/>
    <w:rsid w:val="00527983"/>
    <w:rsid w:val="00527A46"/>
    <w:rsid w:val="005301FC"/>
    <w:rsid w:val="00532908"/>
    <w:rsid w:val="00532975"/>
    <w:rsid w:val="00534639"/>
    <w:rsid w:val="005361E3"/>
    <w:rsid w:val="00537736"/>
    <w:rsid w:val="00537D95"/>
    <w:rsid w:val="00540737"/>
    <w:rsid w:val="005412F9"/>
    <w:rsid w:val="005431E0"/>
    <w:rsid w:val="005434A8"/>
    <w:rsid w:val="005441D6"/>
    <w:rsid w:val="00544314"/>
    <w:rsid w:val="005451AC"/>
    <w:rsid w:val="0054570B"/>
    <w:rsid w:val="00546B72"/>
    <w:rsid w:val="005476B6"/>
    <w:rsid w:val="0055171A"/>
    <w:rsid w:val="00551B43"/>
    <w:rsid w:val="00552491"/>
    <w:rsid w:val="00552588"/>
    <w:rsid w:val="00553516"/>
    <w:rsid w:val="005540A7"/>
    <w:rsid w:val="00554A4D"/>
    <w:rsid w:val="0055781E"/>
    <w:rsid w:val="00562C74"/>
    <w:rsid w:val="00564E5A"/>
    <w:rsid w:val="00565954"/>
    <w:rsid w:val="005659A7"/>
    <w:rsid w:val="00566FA6"/>
    <w:rsid w:val="00567D6B"/>
    <w:rsid w:val="0057017C"/>
    <w:rsid w:val="00570E67"/>
    <w:rsid w:val="00575BB5"/>
    <w:rsid w:val="00580A8C"/>
    <w:rsid w:val="0058176C"/>
    <w:rsid w:val="00581973"/>
    <w:rsid w:val="005829B2"/>
    <w:rsid w:val="00582CE9"/>
    <w:rsid w:val="005847F2"/>
    <w:rsid w:val="00585F0A"/>
    <w:rsid w:val="0058776D"/>
    <w:rsid w:val="00587B36"/>
    <w:rsid w:val="00587BC0"/>
    <w:rsid w:val="00590DCC"/>
    <w:rsid w:val="0059312C"/>
    <w:rsid w:val="00593E5B"/>
    <w:rsid w:val="00595E43"/>
    <w:rsid w:val="00596F63"/>
    <w:rsid w:val="00596FC6"/>
    <w:rsid w:val="005975AE"/>
    <w:rsid w:val="00597712"/>
    <w:rsid w:val="005977BB"/>
    <w:rsid w:val="005A03DE"/>
    <w:rsid w:val="005A183D"/>
    <w:rsid w:val="005A1863"/>
    <w:rsid w:val="005A26BE"/>
    <w:rsid w:val="005A2830"/>
    <w:rsid w:val="005A3444"/>
    <w:rsid w:val="005A5E78"/>
    <w:rsid w:val="005A6787"/>
    <w:rsid w:val="005A70A7"/>
    <w:rsid w:val="005B0A03"/>
    <w:rsid w:val="005B0BA0"/>
    <w:rsid w:val="005B38A1"/>
    <w:rsid w:val="005B66AD"/>
    <w:rsid w:val="005B741E"/>
    <w:rsid w:val="005C06D0"/>
    <w:rsid w:val="005C1295"/>
    <w:rsid w:val="005C3AA3"/>
    <w:rsid w:val="005C6660"/>
    <w:rsid w:val="005C6B29"/>
    <w:rsid w:val="005C6BD1"/>
    <w:rsid w:val="005C748E"/>
    <w:rsid w:val="005D0462"/>
    <w:rsid w:val="005D1189"/>
    <w:rsid w:val="005D21C4"/>
    <w:rsid w:val="005D3853"/>
    <w:rsid w:val="005D5E2F"/>
    <w:rsid w:val="005D674B"/>
    <w:rsid w:val="005D7BF1"/>
    <w:rsid w:val="005E07F4"/>
    <w:rsid w:val="005E19E4"/>
    <w:rsid w:val="005E25DC"/>
    <w:rsid w:val="005E316D"/>
    <w:rsid w:val="005E4813"/>
    <w:rsid w:val="005E5563"/>
    <w:rsid w:val="005E55CF"/>
    <w:rsid w:val="005E6962"/>
    <w:rsid w:val="005E7705"/>
    <w:rsid w:val="005F0C2B"/>
    <w:rsid w:val="005F2EDF"/>
    <w:rsid w:val="005F3692"/>
    <w:rsid w:val="005F3C45"/>
    <w:rsid w:val="005F43E2"/>
    <w:rsid w:val="005F528D"/>
    <w:rsid w:val="005F6161"/>
    <w:rsid w:val="005F7C45"/>
    <w:rsid w:val="006004E9"/>
    <w:rsid w:val="00603CA9"/>
    <w:rsid w:val="006050AD"/>
    <w:rsid w:val="00605B87"/>
    <w:rsid w:val="006066F5"/>
    <w:rsid w:val="00606769"/>
    <w:rsid w:val="00607AFF"/>
    <w:rsid w:val="006100BB"/>
    <w:rsid w:val="0061041A"/>
    <w:rsid w:val="0061102C"/>
    <w:rsid w:val="00612BB1"/>
    <w:rsid w:val="0061384E"/>
    <w:rsid w:val="00613A63"/>
    <w:rsid w:val="00614E32"/>
    <w:rsid w:val="006163BF"/>
    <w:rsid w:val="00617B63"/>
    <w:rsid w:val="006201F2"/>
    <w:rsid w:val="00620E08"/>
    <w:rsid w:val="0062262C"/>
    <w:rsid w:val="0062277C"/>
    <w:rsid w:val="006254E6"/>
    <w:rsid w:val="006267C6"/>
    <w:rsid w:val="00626B24"/>
    <w:rsid w:val="006306AC"/>
    <w:rsid w:val="00630AB7"/>
    <w:rsid w:val="0063249C"/>
    <w:rsid w:val="00634B74"/>
    <w:rsid w:val="00635290"/>
    <w:rsid w:val="0063657F"/>
    <w:rsid w:val="00636957"/>
    <w:rsid w:val="00637510"/>
    <w:rsid w:val="00640163"/>
    <w:rsid w:val="0064054C"/>
    <w:rsid w:val="0064068C"/>
    <w:rsid w:val="00640C36"/>
    <w:rsid w:val="00641199"/>
    <w:rsid w:val="00641D2E"/>
    <w:rsid w:val="006446FD"/>
    <w:rsid w:val="00644BE1"/>
    <w:rsid w:val="00645F0E"/>
    <w:rsid w:val="0064646C"/>
    <w:rsid w:val="006464D1"/>
    <w:rsid w:val="00646923"/>
    <w:rsid w:val="006470E0"/>
    <w:rsid w:val="00647D0C"/>
    <w:rsid w:val="00647FBD"/>
    <w:rsid w:val="006508EA"/>
    <w:rsid w:val="00651488"/>
    <w:rsid w:val="00652054"/>
    <w:rsid w:val="00652842"/>
    <w:rsid w:val="00653D15"/>
    <w:rsid w:val="00656102"/>
    <w:rsid w:val="00660724"/>
    <w:rsid w:val="0066353B"/>
    <w:rsid w:val="00664CFB"/>
    <w:rsid w:val="006669CA"/>
    <w:rsid w:val="00667357"/>
    <w:rsid w:val="00667565"/>
    <w:rsid w:val="00667A51"/>
    <w:rsid w:val="00667A56"/>
    <w:rsid w:val="00667C5D"/>
    <w:rsid w:val="006707D1"/>
    <w:rsid w:val="00672852"/>
    <w:rsid w:val="00672EE6"/>
    <w:rsid w:val="00673A21"/>
    <w:rsid w:val="00675D42"/>
    <w:rsid w:val="006803DA"/>
    <w:rsid w:val="006808EC"/>
    <w:rsid w:val="00681988"/>
    <w:rsid w:val="00681D18"/>
    <w:rsid w:val="00682F5A"/>
    <w:rsid w:val="00683198"/>
    <w:rsid w:val="006844DD"/>
    <w:rsid w:val="006855F7"/>
    <w:rsid w:val="00685E5C"/>
    <w:rsid w:val="0069187D"/>
    <w:rsid w:val="00692398"/>
    <w:rsid w:val="00692A0A"/>
    <w:rsid w:val="00692CA7"/>
    <w:rsid w:val="006936A1"/>
    <w:rsid w:val="00693FEA"/>
    <w:rsid w:val="00694081"/>
    <w:rsid w:val="006946B0"/>
    <w:rsid w:val="00696AB9"/>
    <w:rsid w:val="00697FB8"/>
    <w:rsid w:val="006A19DE"/>
    <w:rsid w:val="006A1C4D"/>
    <w:rsid w:val="006A236E"/>
    <w:rsid w:val="006A3626"/>
    <w:rsid w:val="006A43C9"/>
    <w:rsid w:val="006A4C65"/>
    <w:rsid w:val="006A52FE"/>
    <w:rsid w:val="006A5E35"/>
    <w:rsid w:val="006A6715"/>
    <w:rsid w:val="006A69D2"/>
    <w:rsid w:val="006B055B"/>
    <w:rsid w:val="006B0870"/>
    <w:rsid w:val="006B1E5E"/>
    <w:rsid w:val="006B28CF"/>
    <w:rsid w:val="006B41C8"/>
    <w:rsid w:val="006B568B"/>
    <w:rsid w:val="006B589C"/>
    <w:rsid w:val="006C3014"/>
    <w:rsid w:val="006C4124"/>
    <w:rsid w:val="006C5711"/>
    <w:rsid w:val="006C57EB"/>
    <w:rsid w:val="006C640E"/>
    <w:rsid w:val="006C6438"/>
    <w:rsid w:val="006C747F"/>
    <w:rsid w:val="006D1D7D"/>
    <w:rsid w:val="006D1FBF"/>
    <w:rsid w:val="006D4602"/>
    <w:rsid w:val="006D4B32"/>
    <w:rsid w:val="006D4DDC"/>
    <w:rsid w:val="006D528F"/>
    <w:rsid w:val="006D68C6"/>
    <w:rsid w:val="006D7D83"/>
    <w:rsid w:val="006E137D"/>
    <w:rsid w:val="006E16D7"/>
    <w:rsid w:val="006E209C"/>
    <w:rsid w:val="006E264A"/>
    <w:rsid w:val="006E2A4E"/>
    <w:rsid w:val="006E2D30"/>
    <w:rsid w:val="006F035B"/>
    <w:rsid w:val="006F2D8D"/>
    <w:rsid w:val="006F46ED"/>
    <w:rsid w:val="006F5264"/>
    <w:rsid w:val="006F53EC"/>
    <w:rsid w:val="006F54EF"/>
    <w:rsid w:val="0070082D"/>
    <w:rsid w:val="00700983"/>
    <w:rsid w:val="00700C07"/>
    <w:rsid w:val="00702568"/>
    <w:rsid w:val="007029C8"/>
    <w:rsid w:val="00702E6D"/>
    <w:rsid w:val="007040A6"/>
    <w:rsid w:val="007064BB"/>
    <w:rsid w:val="00706771"/>
    <w:rsid w:val="007068F4"/>
    <w:rsid w:val="00707DFC"/>
    <w:rsid w:val="007102A5"/>
    <w:rsid w:val="00711160"/>
    <w:rsid w:val="00712B61"/>
    <w:rsid w:val="00713CDB"/>
    <w:rsid w:val="007149AC"/>
    <w:rsid w:val="00717012"/>
    <w:rsid w:val="00721270"/>
    <w:rsid w:val="007225F7"/>
    <w:rsid w:val="00722DB6"/>
    <w:rsid w:val="00723CC4"/>
    <w:rsid w:val="0072485F"/>
    <w:rsid w:val="007271EF"/>
    <w:rsid w:val="0072774C"/>
    <w:rsid w:val="00733556"/>
    <w:rsid w:val="0073365C"/>
    <w:rsid w:val="00733985"/>
    <w:rsid w:val="0073399D"/>
    <w:rsid w:val="0073478E"/>
    <w:rsid w:val="00734DCD"/>
    <w:rsid w:val="00737022"/>
    <w:rsid w:val="00741776"/>
    <w:rsid w:val="00741BE0"/>
    <w:rsid w:val="0074409B"/>
    <w:rsid w:val="00744799"/>
    <w:rsid w:val="00744B51"/>
    <w:rsid w:val="00745073"/>
    <w:rsid w:val="0074554F"/>
    <w:rsid w:val="00747D3A"/>
    <w:rsid w:val="0075080B"/>
    <w:rsid w:val="00753781"/>
    <w:rsid w:val="00754863"/>
    <w:rsid w:val="007567E7"/>
    <w:rsid w:val="00760387"/>
    <w:rsid w:val="00760F9A"/>
    <w:rsid w:val="007611C4"/>
    <w:rsid w:val="00762758"/>
    <w:rsid w:val="00762D27"/>
    <w:rsid w:val="00762E79"/>
    <w:rsid w:val="007643A7"/>
    <w:rsid w:val="00764723"/>
    <w:rsid w:val="007653EA"/>
    <w:rsid w:val="00765DAF"/>
    <w:rsid w:val="0076665F"/>
    <w:rsid w:val="0076685F"/>
    <w:rsid w:val="00771206"/>
    <w:rsid w:val="00771D86"/>
    <w:rsid w:val="007721FE"/>
    <w:rsid w:val="007727DA"/>
    <w:rsid w:val="007745CF"/>
    <w:rsid w:val="00777194"/>
    <w:rsid w:val="007774A6"/>
    <w:rsid w:val="00777D79"/>
    <w:rsid w:val="00780A24"/>
    <w:rsid w:val="00782B59"/>
    <w:rsid w:val="007836B0"/>
    <w:rsid w:val="00784745"/>
    <w:rsid w:val="00784839"/>
    <w:rsid w:val="00784A34"/>
    <w:rsid w:val="007858F0"/>
    <w:rsid w:val="00785E96"/>
    <w:rsid w:val="007870AA"/>
    <w:rsid w:val="00787652"/>
    <w:rsid w:val="00790AC0"/>
    <w:rsid w:val="00790E28"/>
    <w:rsid w:val="00791D0C"/>
    <w:rsid w:val="007934E1"/>
    <w:rsid w:val="00794DDC"/>
    <w:rsid w:val="0079725A"/>
    <w:rsid w:val="00797FF7"/>
    <w:rsid w:val="007A1266"/>
    <w:rsid w:val="007A1BC3"/>
    <w:rsid w:val="007A1F24"/>
    <w:rsid w:val="007A5668"/>
    <w:rsid w:val="007A57CA"/>
    <w:rsid w:val="007A64F3"/>
    <w:rsid w:val="007A6F8D"/>
    <w:rsid w:val="007A794B"/>
    <w:rsid w:val="007B03E2"/>
    <w:rsid w:val="007B0BA1"/>
    <w:rsid w:val="007B0D25"/>
    <w:rsid w:val="007B0EFA"/>
    <w:rsid w:val="007B136C"/>
    <w:rsid w:val="007B2593"/>
    <w:rsid w:val="007B2B26"/>
    <w:rsid w:val="007B4124"/>
    <w:rsid w:val="007B528C"/>
    <w:rsid w:val="007B59DE"/>
    <w:rsid w:val="007B6888"/>
    <w:rsid w:val="007B691F"/>
    <w:rsid w:val="007B796B"/>
    <w:rsid w:val="007C059E"/>
    <w:rsid w:val="007C0D10"/>
    <w:rsid w:val="007C1537"/>
    <w:rsid w:val="007C4387"/>
    <w:rsid w:val="007C63C5"/>
    <w:rsid w:val="007D06DB"/>
    <w:rsid w:val="007D2B5E"/>
    <w:rsid w:val="007D4A9C"/>
    <w:rsid w:val="007E0BF0"/>
    <w:rsid w:val="007E1862"/>
    <w:rsid w:val="007E2E25"/>
    <w:rsid w:val="007E3638"/>
    <w:rsid w:val="007E43C8"/>
    <w:rsid w:val="007E5699"/>
    <w:rsid w:val="007E5F69"/>
    <w:rsid w:val="007E6C65"/>
    <w:rsid w:val="007E7763"/>
    <w:rsid w:val="007E78C6"/>
    <w:rsid w:val="007F0A6F"/>
    <w:rsid w:val="007F1B68"/>
    <w:rsid w:val="007F24A0"/>
    <w:rsid w:val="007F2FCD"/>
    <w:rsid w:val="007F5B56"/>
    <w:rsid w:val="007F7B39"/>
    <w:rsid w:val="0080083C"/>
    <w:rsid w:val="00800867"/>
    <w:rsid w:val="0080132B"/>
    <w:rsid w:val="008024BB"/>
    <w:rsid w:val="00804A4B"/>
    <w:rsid w:val="00805B5B"/>
    <w:rsid w:val="00806C39"/>
    <w:rsid w:val="00806DCA"/>
    <w:rsid w:val="008071E1"/>
    <w:rsid w:val="00807835"/>
    <w:rsid w:val="00812320"/>
    <w:rsid w:val="008123C0"/>
    <w:rsid w:val="008128AD"/>
    <w:rsid w:val="008130D7"/>
    <w:rsid w:val="0081319C"/>
    <w:rsid w:val="00813582"/>
    <w:rsid w:val="00813649"/>
    <w:rsid w:val="00815427"/>
    <w:rsid w:val="0082243F"/>
    <w:rsid w:val="00822DB4"/>
    <w:rsid w:val="00823C40"/>
    <w:rsid w:val="008245B4"/>
    <w:rsid w:val="00824F97"/>
    <w:rsid w:val="008250D3"/>
    <w:rsid w:val="0082559F"/>
    <w:rsid w:val="00826198"/>
    <w:rsid w:val="008316AB"/>
    <w:rsid w:val="00832548"/>
    <w:rsid w:val="00832EBC"/>
    <w:rsid w:val="00833211"/>
    <w:rsid w:val="008347D6"/>
    <w:rsid w:val="00835574"/>
    <w:rsid w:val="008355C6"/>
    <w:rsid w:val="008361EB"/>
    <w:rsid w:val="00836FCD"/>
    <w:rsid w:val="0083724B"/>
    <w:rsid w:val="0084090E"/>
    <w:rsid w:val="00840F95"/>
    <w:rsid w:val="008410D6"/>
    <w:rsid w:val="008423E3"/>
    <w:rsid w:val="00842A22"/>
    <w:rsid w:val="0084354F"/>
    <w:rsid w:val="00845E16"/>
    <w:rsid w:val="0084611D"/>
    <w:rsid w:val="008500C4"/>
    <w:rsid w:val="0085088D"/>
    <w:rsid w:val="00850FCF"/>
    <w:rsid w:val="008538DF"/>
    <w:rsid w:val="00853DD4"/>
    <w:rsid w:val="00853E1E"/>
    <w:rsid w:val="00854F58"/>
    <w:rsid w:val="00855DFC"/>
    <w:rsid w:val="00857599"/>
    <w:rsid w:val="008614F1"/>
    <w:rsid w:val="00861623"/>
    <w:rsid w:val="00861D6C"/>
    <w:rsid w:val="0086232B"/>
    <w:rsid w:val="00862D4D"/>
    <w:rsid w:val="0086315C"/>
    <w:rsid w:val="008641A6"/>
    <w:rsid w:val="00867707"/>
    <w:rsid w:val="00867A18"/>
    <w:rsid w:val="00867CF8"/>
    <w:rsid w:val="008704E4"/>
    <w:rsid w:val="008709A2"/>
    <w:rsid w:val="008724D6"/>
    <w:rsid w:val="00872C55"/>
    <w:rsid w:val="00873B81"/>
    <w:rsid w:val="00874CC7"/>
    <w:rsid w:val="0087587C"/>
    <w:rsid w:val="00875C9F"/>
    <w:rsid w:val="008760EA"/>
    <w:rsid w:val="00880C90"/>
    <w:rsid w:val="00883CD0"/>
    <w:rsid w:val="008856C2"/>
    <w:rsid w:val="00892259"/>
    <w:rsid w:val="00893213"/>
    <w:rsid w:val="00895283"/>
    <w:rsid w:val="0089693F"/>
    <w:rsid w:val="00896F8E"/>
    <w:rsid w:val="0089709A"/>
    <w:rsid w:val="00897BD7"/>
    <w:rsid w:val="008A1A04"/>
    <w:rsid w:val="008A2063"/>
    <w:rsid w:val="008A220D"/>
    <w:rsid w:val="008A378B"/>
    <w:rsid w:val="008A3AAB"/>
    <w:rsid w:val="008A4636"/>
    <w:rsid w:val="008A4D72"/>
    <w:rsid w:val="008A5A4B"/>
    <w:rsid w:val="008A6439"/>
    <w:rsid w:val="008B12B1"/>
    <w:rsid w:val="008B25A2"/>
    <w:rsid w:val="008B397D"/>
    <w:rsid w:val="008B5F09"/>
    <w:rsid w:val="008B6322"/>
    <w:rsid w:val="008B6E82"/>
    <w:rsid w:val="008B7EA0"/>
    <w:rsid w:val="008C037B"/>
    <w:rsid w:val="008C0D14"/>
    <w:rsid w:val="008C1DE2"/>
    <w:rsid w:val="008C21B8"/>
    <w:rsid w:val="008C3039"/>
    <w:rsid w:val="008C48A7"/>
    <w:rsid w:val="008C4B7C"/>
    <w:rsid w:val="008C4B9B"/>
    <w:rsid w:val="008C53A1"/>
    <w:rsid w:val="008C56F4"/>
    <w:rsid w:val="008D0338"/>
    <w:rsid w:val="008D05C7"/>
    <w:rsid w:val="008D0C06"/>
    <w:rsid w:val="008D1CDC"/>
    <w:rsid w:val="008D2ACC"/>
    <w:rsid w:val="008D3B9E"/>
    <w:rsid w:val="008D6C43"/>
    <w:rsid w:val="008E0160"/>
    <w:rsid w:val="008E3EFA"/>
    <w:rsid w:val="008E4A6F"/>
    <w:rsid w:val="008E50E2"/>
    <w:rsid w:val="008E58F8"/>
    <w:rsid w:val="008E7640"/>
    <w:rsid w:val="008E780A"/>
    <w:rsid w:val="008F00EA"/>
    <w:rsid w:val="008F15FA"/>
    <w:rsid w:val="008F2077"/>
    <w:rsid w:val="008F28C7"/>
    <w:rsid w:val="008F4547"/>
    <w:rsid w:val="008F56B7"/>
    <w:rsid w:val="008F598F"/>
    <w:rsid w:val="008F6ADD"/>
    <w:rsid w:val="008F73AA"/>
    <w:rsid w:val="00901764"/>
    <w:rsid w:val="00902429"/>
    <w:rsid w:val="0090249D"/>
    <w:rsid w:val="00906414"/>
    <w:rsid w:val="00906E1A"/>
    <w:rsid w:val="009073F1"/>
    <w:rsid w:val="00907900"/>
    <w:rsid w:val="00907D79"/>
    <w:rsid w:val="00907DE2"/>
    <w:rsid w:val="00913178"/>
    <w:rsid w:val="00913710"/>
    <w:rsid w:val="00916132"/>
    <w:rsid w:val="00917CAB"/>
    <w:rsid w:val="00917E39"/>
    <w:rsid w:val="00920573"/>
    <w:rsid w:val="00921F8C"/>
    <w:rsid w:val="00922F06"/>
    <w:rsid w:val="00923A8C"/>
    <w:rsid w:val="00923B5D"/>
    <w:rsid w:val="00923C19"/>
    <w:rsid w:val="009244E8"/>
    <w:rsid w:val="00924757"/>
    <w:rsid w:val="00924972"/>
    <w:rsid w:val="00926EE2"/>
    <w:rsid w:val="00927E92"/>
    <w:rsid w:val="009325AA"/>
    <w:rsid w:val="0093297E"/>
    <w:rsid w:val="009344F2"/>
    <w:rsid w:val="00934BC5"/>
    <w:rsid w:val="009360A3"/>
    <w:rsid w:val="0094092B"/>
    <w:rsid w:val="00940C37"/>
    <w:rsid w:val="0094299B"/>
    <w:rsid w:val="0094445B"/>
    <w:rsid w:val="00950465"/>
    <w:rsid w:val="00951D0E"/>
    <w:rsid w:val="009521A9"/>
    <w:rsid w:val="00952C71"/>
    <w:rsid w:val="009550F9"/>
    <w:rsid w:val="00955F89"/>
    <w:rsid w:val="009560E1"/>
    <w:rsid w:val="00957D3E"/>
    <w:rsid w:val="00960C2A"/>
    <w:rsid w:val="00960F74"/>
    <w:rsid w:val="009613AE"/>
    <w:rsid w:val="00962FB4"/>
    <w:rsid w:val="00963718"/>
    <w:rsid w:val="00963CFC"/>
    <w:rsid w:val="00964028"/>
    <w:rsid w:val="00966B74"/>
    <w:rsid w:val="009701B8"/>
    <w:rsid w:val="00970B8B"/>
    <w:rsid w:val="00971A78"/>
    <w:rsid w:val="009726AD"/>
    <w:rsid w:val="00973F14"/>
    <w:rsid w:val="00974B9C"/>
    <w:rsid w:val="00974F10"/>
    <w:rsid w:val="00976ADD"/>
    <w:rsid w:val="0097759B"/>
    <w:rsid w:val="00977C95"/>
    <w:rsid w:val="00980EA3"/>
    <w:rsid w:val="00981F8A"/>
    <w:rsid w:val="00982143"/>
    <w:rsid w:val="00982FFB"/>
    <w:rsid w:val="00983907"/>
    <w:rsid w:val="00984415"/>
    <w:rsid w:val="0098506C"/>
    <w:rsid w:val="00985B63"/>
    <w:rsid w:val="0098600E"/>
    <w:rsid w:val="00990659"/>
    <w:rsid w:val="00990D93"/>
    <w:rsid w:val="00991021"/>
    <w:rsid w:val="00991083"/>
    <w:rsid w:val="00991EE9"/>
    <w:rsid w:val="00994ADD"/>
    <w:rsid w:val="009957B1"/>
    <w:rsid w:val="0099786D"/>
    <w:rsid w:val="009A0052"/>
    <w:rsid w:val="009A0BB5"/>
    <w:rsid w:val="009A0C70"/>
    <w:rsid w:val="009A1D59"/>
    <w:rsid w:val="009A24BC"/>
    <w:rsid w:val="009A2717"/>
    <w:rsid w:val="009A27D9"/>
    <w:rsid w:val="009A2ABB"/>
    <w:rsid w:val="009A3978"/>
    <w:rsid w:val="009A522C"/>
    <w:rsid w:val="009A53DA"/>
    <w:rsid w:val="009A55FA"/>
    <w:rsid w:val="009A7ECE"/>
    <w:rsid w:val="009B0F65"/>
    <w:rsid w:val="009B2EE9"/>
    <w:rsid w:val="009B3572"/>
    <w:rsid w:val="009B4646"/>
    <w:rsid w:val="009B516F"/>
    <w:rsid w:val="009B60B6"/>
    <w:rsid w:val="009B637A"/>
    <w:rsid w:val="009B7700"/>
    <w:rsid w:val="009B7D79"/>
    <w:rsid w:val="009C0891"/>
    <w:rsid w:val="009C1D2F"/>
    <w:rsid w:val="009C1EDD"/>
    <w:rsid w:val="009C454C"/>
    <w:rsid w:val="009C4D3E"/>
    <w:rsid w:val="009C4FA8"/>
    <w:rsid w:val="009C5B64"/>
    <w:rsid w:val="009C69DE"/>
    <w:rsid w:val="009C73D0"/>
    <w:rsid w:val="009C7910"/>
    <w:rsid w:val="009C7F5F"/>
    <w:rsid w:val="009D04C2"/>
    <w:rsid w:val="009D1187"/>
    <w:rsid w:val="009D30CB"/>
    <w:rsid w:val="009D3B81"/>
    <w:rsid w:val="009D4258"/>
    <w:rsid w:val="009D4F01"/>
    <w:rsid w:val="009D5A9A"/>
    <w:rsid w:val="009D65D5"/>
    <w:rsid w:val="009D76D0"/>
    <w:rsid w:val="009E09B3"/>
    <w:rsid w:val="009E1C3C"/>
    <w:rsid w:val="009E2ED6"/>
    <w:rsid w:val="009E3178"/>
    <w:rsid w:val="009E403E"/>
    <w:rsid w:val="009E503C"/>
    <w:rsid w:val="009E54A9"/>
    <w:rsid w:val="009E6DE1"/>
    <w:rsid w:val="009E7253"/>
    <w:rsid w:val="009F0420"/>
    <w:rsid w:val="009F0E96"/>
    <w:rsid w:val="009F106D"/>
    <w:rsid w:val="009F1479"/>
    <w:rsid w:val="009F2642"/>
    <w:rsid w:val="009F2BCA"/>
    <w:rsid w:val="009F32D2"/>
    <w:rsid w:val="009F4F1F"/>
    <w:rsid w:val="009F6495"/>
    <w:rsid w:val="009F698D"/>
    <w:rsid w:val="009F7001"/>
    <w:rsid w:val="009F7588"/>
    <w:rsid w:val="00A004BE"/>
    <w:rsid w:val="00A0083C"/>
    <w:rsid w:val="00A00B71"/>
    <w:rsid w:val="00A012B3"/>
    <w:rsid w:val="00A01EE5"/>
    <w:rsid w:val="00A0358A"/>
    <w:rsid w:val="00A03E64"/>
    <w:rsid w:val="00A04266"/>
    <w:rsid w:val="00A04281"/>
    <w:rsid w:val="00A04ABD"/>
    <w:rsid w:val="00A051CD"/>
    <w:rsid w:val="00A05252"/>
    <w:rsid w:val="00A06259"/>
    <w:rsid w:val="00A065C1"/>
    <w:rsid w:val="00A06ACC"/>
    <w:rsid w:val="00A0751E"/>
    <w:rsid w:val="00A07934"/>
    <w:rsid w:val="00A10883"/>
    <w:rsid w:val="00A10D3E"/>
    <w:rsid w:val="00A12A72"/>
    <w:rsid w:val="00A12DE6"/>
    <w:rsid w:val="00A13193"/>
    <w:rsid w:val="00A172FF"/>
    <w:rsid w:val="00A179EB"/>
    <w:rsid w:val="00A20562"/>
    <w:rsid w:val="00A22CEC"/>
    <w:rsid w:val="00A246FD"/>
    <w:rsid w:val="00A24D89"/>
    <w:rsid w:val="00A253A1"/>
    <w:rsid w:val="00A25CAD"/>
    <w:rsid w:val="00A267D6"/>
    <w:rsid w:val="00A26877"/>
    <w:rsid w:val="00A26998"/>
    <w:rsid w:val="00A30354"/>
    <w:rsid w:val="00A30BC0"/>
    <w:rsid w:val="00A30EB5"/>
    <w:rsid w:val="00A3101C"/>
    <w:rsid w:val="00A33406"/>
    <w:rsid w:val="00A3350C"/>
    <w:rsid w:val="00A33894"/>
    <w:rsid w:val="00A33B3A"/>
    <w:rsid w:val="00A348A6"/>
    <w:rsid w:val="00A37403"/>
    <w:rsid w:val="00A40B33"/>
    <w:rsid w:val="00A40EDA"/>
    <w:rsid w:val="00A4147E"/>
    <w:rsid w:val="00A41F39"/>
    <w:rsid w:val="00A44AF7"/>
    <w:rsid w:val="00A45A80"/>
    <w:rsid w:val="00A45CE1"/>
    <w:rsid w:val="00A45F93"/>
    <w:rsid w:val="00A4781D"/>
    <w:rsid w:val="00A50A03"/>
    <w:rsid w:val="00A50DD3"/>
    <w:rsid w:val="00A51975"/>
    <w:rsid w:val="00A51CFE"/>
    <w:rsid w:val="00A525BC"/>
    <w:rsid w:val="00A526B1"/>
    <w:rsid w:val="00A536EE"/>
    <w:rsid w:val="00A5613D"/>
    <w:rsid w:val="00A5635B"/>
    <w:rsid w:val="00A5743F"/>
    <w:rsid w:val="00A602A2"/>
    <w:rsid w:val="00A60DBA"/>
    <w:rsid w:val="00A67658"/>
    <w:rsid w:val="00A67F6C"/>
    <w:rsid w:val="00A709B3"/>
    <w:rsid w:val="00A70C66"/>
    <w:rsid w:val="00A74858"/>
    <w:rsid w:val="00A77E05"/>
    <w:rsid w:val="00A77FBE"/>
    <w:rsid w:val="00A8318E"/>
    <w:rsid w:val="00A83376"/>
    <w:rsid w:val="00A84CC2"/>
    <w:rsid w:val="00A84F4E"/>
    <w:rsid w:val="00A8547B"/>
    <w:rsid w:val="00A85675"/>
    <w:rsid w:val="00A8630D"/>
    <w:rsid w:val="00A86E8C"/>
    <w:rsid w:val="00A9072B"/>
    <w:rsid w:val="00A96F94"/>
    <w:rsid w:val="00A977F2"/>
    <w:rsid w:val="00AA1063"/>
    <w:rsid w:val="00AA1DFB"/>
    <w:rsid w:val="00AA1EF0"/>
    <w:rsid w:val="00AA216B"/>
    <w:rsid w:val="00AA219C"/>
    <w:rsid w:val="00AA2C7A"/>
    <w:rsid w:val="00AA365A"/>
    <w:rsid w:val="00AA455B"/>
    <w:rsid w:val="00AA537B"/>
    <w:rsid w:val="00AB072C"/>
    <w:rsid w:val="00AB0FEC"/>
    <w:rsid w:val="00AB4CE6"/>
    <w:rsid w:val="00AB6581"/>
    <w:rsid w:val="00AB6F9E"/>
    <w:rsid w:val="00AB7E41"/>
    <w:rsid w:val="00AC276B"/>
    <w:rsid w:val="00AC36A1"/>
    <w:rsid w:val="00AC42E9"/>
    <w:rsid w:val="00AC48E3"/>
    <w:rsid w:val="00AC4BA3"/>
    <w:rsid w:val="00AC5631"/>
    <w:rsid w:val="00AC5C25"/>
    <w:rsid w:val="00AD0096"/>
    <w:rsid w:val="00AD0B4D"/>
    <w:rsid w:val="00AD1148"/>
    <w:rsid w:val="00AD2D01"/>
    <w:rsid w:val="00AD4574"/>
    <w:rsid w:val="00AD5957"/>
    <w:rsid w:val="00AD5DFF"/>
    <w:rsid w:val="00AD6425"/>
    <w:rsid w:val="00AD67DA"/>
    <w:rsid w:val="00AE0180"/>
    <w:rsid w:val="00AE0F61"/>
    <w:rsid w:val="00AE1394"/>
    <w:rsid w:val="00AE1598"/>
    <w:rsid w:val="00AE22D3"/>
    <w:rsid w:val="00AE585B"/>
    <w:rsid w:val="00AE5917"/>
    <w:rsid w:val="00AE59D8"/>
    <w:rsid w:val="00AE5F45"/>
    <w:rsid w:val="00AE71D3"/>
    <w:rsid w:val="00AE7647"/>
    <w:rsid w:val="00AF02DF"/>
    <w:rsid w:val="00AF074E"/>
    <w:rsid w:val="00AF1EAF"/>
    <w:rsid w:val="00AF31AA"/>
    <w:rsid w:val="00AF3EF4"/>
    <w:rsid w:val="00AF4298"/>
    <w:rsid w:val="00AF4CCA"/>
    <w:rsid w:val="00AF5254"/>
    <w:rsid w:val="00AF5628"/>
    <w:rsid w:val="00B00F11"/>
    <w:rsid w:val="00B01198"/>
    <w:rsid w:val="00B0230E"/>
    <w:rsid w:val="00B025FB"/>
    <w:rsid w:val="00B0783C"/>
    <w:rsid w:val="00B07A99"/>
    <w:rsid w:val="00B10846"/>
    <w:rsid w:val="00B10DF9"/>
    <w:rsid w:val="00B12B92"/>
    <w:rsid w:val="00B13F3E"/>
    <w:rsid w:val="00B169D0"/>
    <w:rsid w:val="00B202D0"/>
    <w:rsid w:val="00B2100F"/>
    <w:rsid w:val="00B22A4F"/>
    <w:rsid w:val="00B23923"/>
    <w:rsid w:val="00B23C6F"/>
    <w:rsid w:val="00B2406A"/>
    <w:rsid w:val="00B24DB5"/>
    <w:rsid w:val="00B24FCA"/>
    <w:rsid w:val="00B26012"/>
    <w:rsid w:val="00B26BB0"/>
    <w:rsid w:val="00B27419"/>
    <w:rsid w:val="00B274C2"/>
    <w:rsid w:val="00B30040"/>
    <w:rsid w:val="00B3045D"/>
    <w:rsid w:val="00B30593"/>
    <w:rsid w:val="00B314E7"/>
    <w:rsid w:val="00B316A7"/>
    <w:rsid w:val="00B329C8"/>
    <w:rsid w:val="00B32A93"/>
    <w:rsid w:val="00B32FA3"/>
    <w:rsid w:val="00B3557C"/>
    <w:rsid w:val="00B362F7"/>
    <w:rsid w:val="00B42947"/>
    <w:rsid w:val="00B4322B"/>
    <w:rsid w:val="00B4324D"/>
    <w:rsid w:val="00B4389F"/>
    <w:rsid w:val="00B43DE1"/>
    <w:rsid w:val="00B44699"/>
    <w:rsid w:val="00B4561C"/>
    <w:rsid w:val="00B476B0"/>
    <w:rsid w:val="00B478DC"/>
    <w:rsid w:val="00B525F6"/>
    <w:rsid w:val="00B54011"/>
    <w:rsid w:val="00B55952"/>
    <w:rsid w:val="00B55D3A"/>
    <w:rsid w:val="00B56B1B"/>
    <w:rsid w:val="00B57640"/>
    <w:rsid w:val="00B578D3"/>
    <w:rsid w:val="00B6088D"/>
    <w:rsid w:val="00B60DF9"/>
    <w:rsid w:val="00B613CD"/>
    <w:rsid w:val="00B614FD"/>
    <w:rsid w:val="00B61EDB"/>
    <w:rsid w:val="00B63336"/>
    <w:rsid w:val="00B63E50"/>
    <w:rsid w:val="00B653FF"/>
    <w:rsid w:val="00B67447"/>
    <w:rsid w:val="00B67DC4"/>
    <w:rsid w:val="00B729AC"/>
    <w:rsid w:val="00B75DCC"/>
    <w:rsid w:val="00B77163"/>
    <w:rsid w:val="00B77837"/>
    <w:rsid w:val="00B77AD1"/>
    <w:rsid w:val="00B82CD3"/>
    <w:rsid w:val="00B82FEA"/>
    <w:rsid w:val="00B84200"/>
    <w:rsid w:val="00B8463B"/>
    <w:rsid w:val="00B84FB4"/>
    <w:rsid w:val="00B87691"/>
    <w:rsid w:val="00B87B5B"/>
    <w:rsid w:val="00B87C69"/>
    <w:rsid w:val="00B87F0E"/>
    <w:rsid w:val="00B90596"/>
    <w:rsid w:val="00B9147A"/>
    <w:rsid w:val="00B91E33"/>
    <w:rsid w:val="00B9408F"/>
    <w:rsid w:val="00B9415D"/>
    <w:rsid w:val="00B94192"/>
    <w:rsid w:val="00B94902"/>
    <w:rsid w:val="00B94DB8"/>
    <w:rsid w:val="00B96EE6"/>
    <w:rsid w:val="00B97271"/>
    <w:rsid w:val="00B97517"/>
    <w:rsid w:val="00BA2EE8"/>
    <w:rsid w:val="00BA358D"/>
    <w:rsid w:val="00BA3808"/>
    <w:rsid w:val="00BA471E"/>
    <w:rsid w:val="00BB01F8"/>
    <w:rsid w:val="00BB05DA"/>
    <w:rsid w:val="00BB07AB"/>
    <w:rsid w:val="00BB1570"/>
    <w:rsid w:val="00BB452C"/>
    <w:rsid w:val="00BB4D57"/>
    <w:rsid w:val="00BB5645"/>
    <w:rsid w:val="00BB56BA"/>
    <w:rsid w:val="00BB5D12"/>
    <w:rsid w:val="00BC0623"/>
    <w:rsid w:val="00BC12D0"/>
    <w:rsid w:val="00BC214D"/>
    <w:rsid w:val="00BC27B1"/>
    <w:rsid w:val="00BC2911"/>
    <w:rsid w:val="00BC30C0"/>
    <w:rsid w:val="00BC3327"/>
    <w:rsid w:val="00BC390F"/>
    <w:rsid w:val="00BC3F60"/>
    <w:rsid w:val="00BC454B"/>
    <w:rsid w:val="00BC5C50"/>
    <w:rsid w:val="00BC7F9B"/>
    <w:rsid w:val="00BD0682"/>
    <w:rsid w:val="00BD0AE2"/>
    <w:rsid w:val="00BD1C80"/>
    <w:rsid w:val="00BD485E"/>
    <w:rsid w:val="00BD5BEC"/>
    <w:rsid w:val="00BD6FF0"/>
    <w:rsid w:val="00BD7C57"/>
    <w:rsid w:val="00BE060C"/>
    <w:rsid w:val="00BE157D"/>
    <w:rsid w:val="00BE19A4"/>
    <w:rsid w:val="00BE2E42"/>
    <w:rsid w:val="00BE2E52"/>
    <w:rsid w:val="00BE34A1"/>
    <w:rsid w:val="00BE5F92"/>
    <w:rsid w:val="00BE6C54"/>
    <w:rsid w:val="00BE75B0"/>
    <w:rsid w:val="00BE776A"/>
    <w:rsid w:val="00BF031D"/>
    <w:rsid w:val="00BF048D"/>
    <w:rsid w:val="00BF0ADF"/>
    <w:rsid w:val="00BF1B79"/>
    <w:rsid w:val="00BF2F48"/>
    <w:rsid w:val="00BF375E"/>
    <w:rsid w:val="00BF413E"/>
    <w:rsid w:val="00C01AE6"/>
    <w:rsid w:val="00C02788"/>
    <w:rsid w:val="00C02FA9"/>
    <w:rsid w:val="00C035F7"/>
    <w:rsid w:val="00C04BBE"/>
    <w:rsid w:val="00C05234"/>
    <w:rsid w:val="00C07D9A"/>
    <w:rsid w:val="00C1109E"/>
    <w:rsid w:val="00C1272B"/>
    <w:rsid w:val="00C129DF"/>
    <w:rsid w:val="00C12B18"/>
    <w:rsid w:val="00C13A31"/>
    <w:rsid w:val="00C14500"/>
    <w:rsid w:val="00C14747"/>
    <w:rsid w:val="00C1671F"/>
    <w:rsid w:val="00C169A3"/>
    <w:rsid w:val="00C210D2"/>
    <w:rsid w:val="00C26D24"/>
    <w:rsid w:val="00C2718F"/>
    <w:rsid w:val="00C30D21"/>
    <w:rsid w:val="00C33B5D"/>
    <w:rsid w:val="00C34645"/>
    <w:rsid w:val="00C3493F"/>
    <w:rsid w:val="00C3583B"/>
    <w:rsid w:val="00C3734D"/>
    <w:rsid w:val="00C4044C"/>
    <w:rsid w:val="00C4062C"/>
    <w:rsid w:val="00C41C47"/>
    <w:rsid w:val="00C41D23"/>
    <w:rsid w:val="00C4260B"/>
    <w:rsid w:val="00C42A49"/>
    <w:rsid w:val="00C42D26"/>
    <w:rsid w:val="00C43D9A"/>
    <w:rsid w:val="00C44A85"/>
    <w:rsid w:val="00C452C8"/>
    <w:rsid w:val="00C45F4D"/>
    <w:rsid w:val="00C469C7"/>
    <w:rsid w:val="00C46F91"/>
    <w:rsid w:val="00C5012C"/>
    <w:rsid w:val="00C52D6F"/>
    <w:rsid w:val="00C53417"/>
    <w:rsid w:val="00C54B78"/>
    <w:rsid w:val="00C54FC3"/>
    <w:rsid w:val="00C56BC8"/>
    <w:rsid w:val="00C56F04"/>
    <w:rsid w:val="00C6060C"/>
    <w:rsid w:val="00C61642"/>
    <w:rsid w:val="00C6256F"/>
    <w:rsid w:val="00C62EC6"/>
    <w:rsid w:val="00C6305E"/>
    <w:rsid w:val="00C6321C"/>
    <w:rsid w:val="00C64AFA"/>
    <w:rsid w:val="00C66550"/>
    <w:rsid w:val="00C670EC"/>
    <w:rsid w:val="00C70080"/>
    <w:rsid w:val="00C70261"/>
    <w:rsid w:val="00C71C1A"/>
    <w:rsid w:val="00C725E5"/>
    <w:rsid w:val="00C72A18"/>
    <w:rsid w:val="00C72D22"/>
    <w:rsid w:val="00C75462"/>
    <w:rsid w:val="00C75BAB"/>
    <w:rsid w:val="00C75F50"/>
    <w:rsid w:val="00C76A51"/>
    <w:rsid w:val="00C81E6B"/>
    <w:rsid w:val="00C81ED1"/>
    <w:rsid w:val="00C8475B"/>
    <w:rsid w:val="00C84E18"/>
    <w:rsid w:val="00C85BA5"/>
    <w:rsid w:val="00C85DAC"/>
    <w:rsid w:val="00C863F8"/>
    <w:rsid w:val="00C91F0B"/>
    <w:rsid w:val="00C9729B"/>
    <w:rsid w:val="00C974D1"/>
    <w:rsid w:val="00C97DE5"/>
    <w:rsid w:val="00CA043B"/>
    <w:rsid w:val="00CA1119"/>
    <w:rsid w:val="00CA2D1C"/>
    <w:rsid w:val="00CA3594"/>
    <w:rsid w:val="00CA705C"/>
    <w:rsid w:val="00CA7BD8"/>
    <w:rsid w:val="00CB13DF"/>
    <w:rsid w:val="00CB1CAC"/>
    <w:rsid w:val="00CB1E26"/>
    <w:rsid w:val="00CB34D8"/>
    <w:rsid w:val="00CB4084"/>
    <w:rsid w:val="00CB4966"/>
    <w:rsid w:val="00CB4994"/>
    <w:rsid w:val="00CB6FA1"/>
    <w:rsid w:val="00CC138C"/>
    <w:rsid w:val="00CC2613"/>
    <w:rsid w:val="00CC28DB"/>
    <w:rsid w:val="00CC4D4D"/>
    <w:rsid w:val="00CC68A5"/>
    <w:rsid w:val="00CD0F00"/>
    <w:rsid w:val="00CD15A9"/>
    <w:rsid w:val="00CD23BB"/>
    <w:rsid w:val="00CD3B87"/>
    <w:rsid w:val="00CD6B55"/>
    <w:rsid w:val="00CD6F58"/>
    <w:rsid w:val="00CD74A6"/>
    <w:rsid w:val="00CD79B8"/>
    <w:rsid w:val="00CE0C6A"/>
    <w:rsid w:val="00CE1378"/>
    <w:rsid w:val="00CE1848"/>
    <w:rsid w:val="00CE1FDC"/>
    <w:rsid w:val="00CE30E4"/>
    <w:rsid w:val="00CE3186"/>
    <w:rsid w:val="00CE3218"/>
    <w:rsid w:val="00CE557A"/>
    <w:rsid w:val="00CE5DCC"/>
    <w:rsid w:val="00CF0B12"/>
    <w:rsid w:val="00CF1245"/>
    <w:rsid w:val="00CF1D9A"/>
    <w:rsid w:val="00CF2CC1"/>
    <w:rsid w:val="00CF5351"/>
    <w:rsid w:val="00CF5794"/>
    <w:rsid w:val="00CF5B6D"/>
    <w:rsid w:val="00CF6977"/>
    <w:rsid w:val="00CF79AA"/>
    <w:rsid w:val="00CF7CCC"/>
    <w:rsid w:val="00D0188C"/>
    <w:rsid w:val="00D025B9"/>
    <w:rsid w:val="00D02C62"/>
    <w:rsid w:val="00D02CD6"/>
    <w:rsid w:val="00D03517"/>
    <w:rsid w:val="00D05356"/>
    <w:rsid w:val="00D06131"/>
    <w:rsid w:val="00D06BC7"/>
    <w:rsid w:val="00D07C31"/>
    <w:rsid w:val="00D07F2C"/>
    <w:rsid w:val="00D104D0"/>
    <w:rsid w:val="00D11160"/>
    <w:rsid w:val="00D12374"/>
    <w:rsid w:val="00D1427C"/>
    <w:rsid w:val="00D149FC"/>
    <w:rsid w:val="00D16CB4"/>
    <w:rsid w:val="00D1778E"/>
    <w:rsid w:val="00D2054D"/>
    <w:rsid w:val="00D217FE"/>
    <w:rsid w:val="00D25AE4"/>
    <w:rsid w:val="00D26708"/>
    <w:rsid w:val="00D27D05"/>
    <w:rsid w:val="00D27D5E"/>
    <w:rsid w:val="00D27E85"/>
    <w:rsid w:val="00D31A2A"/>
    <w:rsid w:val="00D32DF5"/>
    <w:rsid w:val="00D35073"/>
    <w:rsid w:val="00D40B0C"/>
    <w:rsid w:val="00D41E38"/>
    <w:rsid w:val="00D424E5"/>
    <w:rsid w:val="00D43EC3"/>
    <w:rsid w:val="00D44702"/>
    <w:rsid w:val="00D460C4"/>
    <w:rsid w:val="00D462D6"/>
    <w:rsid w:val="00D466B2"/>
    <w:rsid w:val="00D46D10"/>
    <w:rsid w:val="00D47385"/>
    <w:rsid w:val="00D54141"/>
    <w:rsid w:val="00D558A2"/>
    <w:rsid w:val="00D57824"/>
    <w:rsid w:val="00D60018"/>
    <w:rsid w:val="00D60BD5"/>
    <w:rsid w:val="00D63880"/>
    <w:rsid w:val="00D6595B"/>
    <w:rsid w:val="00D65B5E"/>
    <w:rsid w:val="00D667FD"/>
    <w:rsid w:val="00D66F79"/>
    <w:rsid w:val="00D70179"/>
    <w:rsid w:val="00D71514"/>
    <w:rsid w:val="00D72E9A"/>
    <w:rsid w:val="00D730CE"/>
    <w:rsid w:val="00D738AA"/>
    <w:rsid w:val="00D74CB2"/>
    <w:rsid w:val="00D76579"/>
    <w:rsid w:val="00D76C6F"/>
    <w:rsid w:val="00D772FB"/>
    <w:rsid w:val="00D776EA"/>
    <w:rsid w:val="00D806EE"/>
    <w:rsid w:val="00D82701"/>
    <w:rsid w:val="00D83C56"/>
    <w:rsid w:val="00D843B5"/>
    <w:rsid w:val="00D85392"/>
    <w:rsid w:val="00D865B5"/>
    <w:rsid w:val="00D87FBE"/>
    <w:rsid w:val="00D903A5"/>
    <w:rsid w:val="00D90635"/>
    <w:rsid w:val="00D92155"/>
    <w:rsid w:val="00D92888"/>
    <w:rsid w:val="00D92F60"/>
    <w:rsid w:val="00D949B4"/>
    <w:rsid w:val="00D95BC7"/>
    <w:rsid w:val="00D95CAD"/>
    <w:rsid w:val="00D96672"/>
    <w:rsid w:val="00D9775C"/>
    <w:rsid w:val="00D97BFC"/>
    <w:rsid w:val="00DA0D78"/>
    <w:rsid w:val="00DA441E"/>
    <w:rsid w:val="00DA5679"/>
    <w:rsid w:val="00DA6B20"/>
    <w:rsid w:val="00DA71FF"/>
    <w:rsid w:val="00DB2943"/>
    <w:rsid w:val="00DB2B41"/>
    <w:rsid w:val="00DB2DDC"/>
    <w:rsid w:val="00DB333B"/>
    <w:rsid w:val="00DB3B1D"/>
    <w:rsid w:val="00DB641D"/>
    <w:rsid w:val="00DB7991"/>
    <w:rsid w:val="00DC10FA"/>
    <w:rsid w:val="00DC2172"/>
    <w:rsid w:val="00DC255B"/>
    <w:rsid w:val="00DC2E1C"/>
    <w:rsid w:val="00DC3BCE"/>
    <w:rsid w:val="00DC440B"/>
    <w:rsid w:val="00DC47C0"/>
    <w:rsid w:val="00DC5319"/>
    <w:rsid w:val="00DC5359"/>
    <w:rsid w:val="00DC7176"/>
    <w:rsid w:val="00DC7CC6"/>
    <w:rsid w:val="00DD0574"/>
    <w:rsid w:val="00DD20A7"/>
    <w:rsid w:val="00DD2854"/>
    <w:rsid w:val="00DD3ED0"/>
    <w:rsid w:val="00DD66CE"/>
    <w:rsid w:val="00DE003F"/>
    <w:rsid w:val="00DE1D8C"/>
    <w:rsid w:val="00DE2552"/>
    <w:rsid w:val="00DE29E4"/>
    <w:rsid w:val="00DE2A12"/>
    <w:rsid w:val="00DE3E1D"/>
    <w:rsid w:val="00DE6DD2"/>
    <w:rsid w:val="00DE7029"/>
    <w:rsid w:val="00DF1CB1"/>
    <w:rsid w:val="00DF1F98"/>
    <w:rsid w:val="00DF23C1"/>
    <w:rsid w:val="00DF2B5D"/>
    <w:rsid w:val="00DF3709"/>
    <w:rsid w:val="00DF3888"/>
    <w:rsid w:val="00DF3E46"/>
    <w:rsid w:val="00DF50D6"/>
    <w:rsid w:val="00E000EF"/>
    <w:rsid w:val="00E01A86"/>
    <w:rsid w:val="00E033B2"/>
    <w:rsid w:val="00E038FC"/>
    <w:rsid w:val="00E03A3E"/>
    <w:rsid w:val="00E03BE7"/>
    <w:rsid w:val="00E05F47"/>
    <w:rsid w:val="00E06374"/>
    <w:rsid w:val="00E1086D"/>
    <w:rsid w:val="00E114A6"/>
    <w:rsid w:val="00E11743"/>
    <w:rsid w:val="00E124C8"/>
    <w:rsid w:val="00E124D3"/>
    <w:rsid w:val="00E130E3"/>
    <w:rsid w:val="00E1407A"/>
    <w:rsid w:val="00E15622"/>
    <w:rsid w:val="00E15B1B"/>
    <w:rsid w:val="00E15E1D"/>
    <w:rsid w:val="00E17EAE"/>
    <w:rsid w:val="00E2152A"/>
    <w:rsid w:val="00E21EBC"/>
    <w:rsid w:val="00E224B2"/>
    <w:rsid w:val="00E2352B"/>
    <w:rsid w:val="00E23B94"/>
    <w:rsid w:val="00E24625"/>
    <w:rsid w:val="00E26698"/>
    <w:rsid w:val="00E26880"/>
    <w:rsid w:val="00E27C48"/>
    <w:rsid w:val="00E309AB"/>
    <w:rsid w:val="00E37A7A"/>
    <w:rsid w:val="00E41F51"/>
    <w:rsid w:val="00E449B8"/>
    <w:rsid w:val="00E45762"/>
    <w:rsid w:val="00E460D1"/>
    <w:rsid w:val="00E47895"/>
    <w:rsid w:val="00E47B5E"/>
    <w:rsid w:val="00E504F5"/>
    <w:rsid w:val="00E5071C"/>
    <w:rsid w:val="00E508F3"/>
    <w:rsid w:val="00E50B25"/>
    <w:rsid w:val="00E511BE"/>
    <w:rsid w:val="00E545D0"/>
    <w:rsid w:val="00E548AF"/>
    <w:rsid w:val="00E54D29"/>
    <w:rsid w:val="00E56DC5"/>
    <w:rsid w:val="00E616D5"/>
    <w:rsid w:val="00E624A6"/>
    <w:rsid w:val="00E65804"/>
    <w:rsid w:val="00E661BA"/>
    <w:rsid w:val="00E73705"/>
    <w:rsid w:val="00E76410"/>
    <w:rsid w:val="00E765BE"/>
    <w:rsid w:val="00E808A7"/>
    <w:rsid w:val="00E82E3F"/>
    <w:rsid w:val="00E82F5F"/>
    <w:rsid w:val="00E84014"/>
    <w:rsid w:val="00E85C06"/>
    <w:rsid w:val="00E85DE4"/>
    <w:rsid w:val="00E86196"/>
    <w:rsid w:val="00E8723D"/>
    <w:rsid w:val="00E90C2E"/>
    <w:rsid w:val="00E915EE"/>
    <w:rsid w:val="00E923EB"/>
    <w:rsid w:val="00E92CAD"/>
    <w:rsid w:val="00E94AC3"/>
    <w:rsid w:val="00E94E99"/>
    <w:rsid w:val="00E95C67"/>
    <w:rsid w:val="00E96F82"/>
    <w:rsid w:val="00E97215"/>
    <w:rsid w:val="00E979D4"/>
    <w:rsid w:val="00EA0AC2"/>
    <w:rsid w:val="00EA1608"/>
    <w:rsid w:val="00EA3853"/>
    <w:rsid w:val="00EA60A7"/>
    <w:rsid w:val="00EA7521"/>
    <w:rsid w:val="00EB0761"/>
    <w:rsid w:val="00EB0AD7"/>
    <w:rsid w:val="00EB0AF8"/>
    <w:rsid w:val="00EB405A"/>
    <w:rsid w:val="00EB448D"/>
    <w:rsid w:val="00EB4B09"/>
    <w:rsid w:val="00EB4D13"/>
    <w:rsid w:val="00EB4DB7"/>
    <w:rsid w:val="00EB7164"/>
    <w:rsid w:val="00EC0D6E"/>
    <w:rsid w:val="00EC1683"/>
    <w:rsid w:val="00EC197B"/>
    <w:rsid w:val="00EC3061"/>
    <w:rsid w:val="00EC39B2"/>
    <w:rsid w:val="00EC3DE5"/>
    <w:rsid w:val="00EC537C"/>
    <w:rsid w:val="00EC555D"/>
    <w:rsid w:val="00EC6CB7"/>
    <w:rsid w:val="00ED1ABE"/>
    <w:rsid w:val="00ED1D09"/>
    <w:rsid w:val="00ED2502"/>
    <w:rsid w:val="00ED2B6A"/>
    <w:rsid w:val="00ED2C7A"/>
    <w:rsid w:val="00ED3229"/>
    <w:rsid w:val="00ED3EA5"/>
    <w:rsid w:val="00ED4B57"/>
    <w:rsid w:val="00ED5054"/>
    <w:rsid w:val="00ED50ED"/>
    <w:rsid w:val="00ED57F7"/>
    <w:rsid w:val="00ED70F8"/>
    <w:rsid w:val="00EE0AEF"/>
    <w:rsid w:val="00EE1418"/>
    <w:rsid w:val="00EE1BBF"/>
    <w:rsid w:val="00EE1D88"/>
    <w:rsid w:val="00EE30FE"/>
    <w:rsid w:val="00EE3E00"/>
    <w:rsid w:val="00EE5DC8"/>
    <w:rsid w:val="00EE642F"/>
    <w:rsid w:val="00EF1D4B"/>
    <w:rsid w:val="00EF211E"/>
    <w:rsid w:val="00EF238B"/>
    <w:rsid w:val="00EF4224"/>
    <w:rsid w:val="00EF4595"/>
    <w:rsid w:val="00EF566B"/>
    <w:rsid w:val="00EF6AB9"/>
    <w:rsid w:val="00F01C5B"/>
    <w:rsid w:val="00F02420"/>
    <w:rsid w:val="00F06107"/>
    <w:rsid w:val="00F07559"/>
    <w:rsid w:val="00F10DA5"/>
    <w:rsid w:val="00F11883"/>
    <w:rsid w:val="00F11C0B"/>
    <w:rsid w:val="00F1337D"/>
    <w:rsid w:val="00F142C8"/>
    <w:rsid w:val="00F15562"/>
    <w:rsid w:val="00F1576C"/>
    <w:rsid w:val="00F21D3A"/>
    <w:rsid w:val="00F22254"/>
    <w:rsid w:val="00F23481"/>
    <w:rsid w:val="00F23B09"/>
    <w:rsid w:val="00F2488A"/>
    <w:rsid w:val="00F25CB6"/>
    <w:rsid w:val="00F26722"/>
    <w:rsid w:val="00F27E77"/>
    <w:rsid w:val="00F30A6A"/>
    <w:rsid w:val="00F31768"/>
    <w:rsid w:val="00F35EE1"/>
    <w:rsid w:val="00F36E50"/>
    <w:rsid w:val="00F36ED0"/>
    <w:rsid w:val="00F405FC"/>
    <w:rsid w:val="00F4212A"/>
    <w:rsid w:val="00F433D0"/>
    <w:rsid w:val="00F43B2A"/>
    <w:rsid w:val="00F444FB"/>
    <w:rsid w:val="00F445B3"/>
    <w:rsid w:val="00F4674F"/>
    <w:rsid w:val="00F47DA5"/>
    <w:rsid w:val="00F509CD"/>
    <w:rsid w:val="00F524F8"/>
    <w:rsid w:val="00F527CE"/>
    <w:rsid w:val="00F5289A"/>
    <w:rsid w:val="00F53097"/>
    <w:rsid w:val="00F532A8"/>
    <w:rsid w:val="00F5384A"/>
    <w:rsid w:val="00F557FC"/>
    <w:rsid w:val="00F55F69"/>
    <w:rsid w:val="00F575D5"/>
    <w:rsid w:val="00F60BAF"/>
    <w:rsid w:val="00F61E74"/>
    <w:rsid w:val="00F62046"/>
    <w:rsid w:val="00F627E7"/>
    <w:rsid w:val="00F644E8"/>
    <w:rsid w:val="00F717E2"/>
    <w:rsid w:val="00F74083"/>
    <w:rsid w:val="00F740DE"/>
    <w:rsid w:val="00F74A96"/>
    <w:rsid w:val="00F75264"/>
    <w:rsid w:val="00F762C6"/>
    <w:rsid w:val="00F76A27"/>
    <w:rsid w:val="00F7735C"/>
    <w:rsid w:val="00F77398"/>
    <w:rsid w:val="00F775A6"/>
    <w:rsid w:val="00F77E45"/>
    <w:rsid w:val="00F80528"/>
    <w:rsid w:val="00F8221B"/>
    <w:rsid w:val="00F82469"/>
    <w:rsid w:val="00F83D77"/>
    <w:rsid w:val="00F842A2"/>
    <w:rsid w:val="00F843E9"/>
    <w:rsid w:val="00F86BD0"/>
    <w:rsid w:val="00F86D82"/>
    <w:rsid w:val="00F87D75"/>
    <w:rsid w:val="00F94BE3"/>
    <w:rsid w:val="00F95509"/>
    <w:rsid w:val="00F96AFA"/>
    <w:rsid w:val="00F96F59"/>
    <w:rsid w:val="00F97F52"/>
    <w:rsid w:val="00FA014C"/>
    <w:rsid w:val="00FA0934"/>
    <w:rsid w:val="00FA0CC9"/>
    <w:rsid w:val="00FA1A0A"/>
    <w:rsid w:val="00FA1A8F"/>
    <w:rsid w:val="00FA2B92"/>
    <w:rsid w:val="00FA434B"/>
    <w:rsid w:val="00FA471C"/>
    <w:rsid w:val="00FA6A3C"/>
    <w:rsid w:val="00FA7CAB"/>
    <w:rsid w:val="00FB0E18"/>
    <w:rsid w:val="00FB0E81"/>
    <w:rsid w:val="00FB155C"/>
    <w:rsid w:val="00FB1ABD"/>
    <w:rsid w:val="00FB1D46"/>
    <w:rsid w:val="00FB3823"/>
    <w:rsid w:val="00FB3BC3"/>
    <w:rsid w:val="00FB4C38"/>
    <w:rsid w:val="00FB4DED"/>
    <w:rsid w:val="00FB6924"/>
    <w:rsid w:val="00FB6BD3"/>
    <w:rsid w:val="00FB7A0F"/>
    <w:rsid w:val="00FC01BD"/>
    <w:rsid w:val="00FC0689"/>
    <w:rsid w:val="00FC0CCD"/>
    <w:rsid w:val="00FC0F30"/>
    <w:rsid w:val="00FC1050"/>
    <w:rsid w:val="00FC17B1"/>
    <w:rsid w:val="00FC228E"/>
    <w:rsid w:val="00FC3220"/>
    <w:rsid w:val="00FC3C64"/>
    <w:rsid w:val="00FC56ED"/>
    <w:rsid w:val="00FC64B9"/>
    <w:rsid w:val="00FD0236"/>
    <w:rsid w:val="00FD0A1C"/>
    <w:rsid w:val="00FD0FA5"/>
    <w:rsid w:val="00FD120F"/>
    <w:rsid w:val="00FD2DBD"/>
    <w:rsid w:val="00FD2F54"/>
    <w:rsid w:val="00FD4F2B"/>
    <w:rsid w:val="00FD4F71"/>
    <w:rsid w:val="00FD62A9"/>
    <w:rsid w:val="00FD6725"/>
    <w:rsid w:val="00FD763F"/>
    <w:rsid w:val="00FE1748"/>
    <w:rsid w:val="00FE2B36"/>
    <w:rsid w:val="00FE310A"/>
    <w:rsid w:val="00FE3322"/>
    <w:rsid w:val="00FE551F"/>
    <w:rsid w:val="00FE61FE"/>
    <w:rsid w:val="00FE7583"/>
    <w:rsid w:val="00FF374F"/>
    <w:rsid w:val="00FF4082"/>
    <w:rsid w:val="00FF4956"/>
    <w:rsid w:val="00FF6A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584"/>
    <w:pPr>
      <w:spacing w:line="360" w:lineRule="auto"/>
      <w:ind w:firstLine="720"/>
      <w:jc w:val="both"/>
    </w:pPr>
    <w:rPr>
      <w:sz w:val="24"/>
      <w:szCs w:val="24"/>
      <w:lang w:eastAsia="en-US"/>
    </w:rPr>
  </w:style>
  <w:style w:type="paragraph" w:styleId="Heading1">
    <w:name w:val="heading 1"/>
    <w:next w:val="Normal"/>
    <w:qFormat/>
    <w:rsid w:val="00861D6C"/>
    <w:pPr>
      <w:numPr>
        <w:numId w:val="31"/>
      </w:numPr>
      <w:spacing w:line="480" w:lineRule="auto"/>
      <w:jc w:val="center"/>
      <w:outlineLvl w:val="0"/>
    </w:pPr>
    <w:rPr>
      <w:rFonts w:cs="Arial"/>
      <w:b/>
      <w:bCs/>
      <w:sz w:val="24"/>
      <w:szCs w:val="32"/>
      <w:lang w:eastAsia="en-US"/>
    </w:rPr>
  </w:style>
  <w:style w:type="paragraph" w:styleId="Heading2">
    <w:name w:val="heading 2"/>
    <w:basedOn w:val="Heading1"/>
    <w:next w:val="Normal"/>
    <w:qFormat/>
    <w:rsid w:val="00861D6C"/>
    <w:pPr>
      <w:keepNext/>
      <w:numPr>
        <w:ilvl w:val="1"/>
      </w:numPr>
      <w:outlineLvl w:val="1"/>
    </w:pPr>
    <w:rPr>
      <w:bCs w:val="0"/>
      <w:iCs/>
      <w:szCs w:val="28"/>
    </w:rPr>
  </w:style>
  <w:style w:type="paragraph" w:styleId="Heading3">
    <w:name w:val="heading 3"/>
    <w:basedOn w:val="Heading2"/>
    <w:next w:val="Normal"/>
    <w:qFormat/>
    <w:rsid w:val="00861D6C"/>
    <w:pPr>
      <w:numPr>
        <w:ilvl w:val="2"/>
      </w:numPr>
      <w:jc w:val="left"/>
      <w:outlineLvl w:val="2"/>
    </w:pPr>
    <w:rPr>
      <w:bCs/>
    </w:rPr>
  </w:style>
  <w:style w:type="paragraph" w:styleId="Heading4">
    <w:name w:val="heading 4"/>
    <w:basedOn w:val="Heading3"/>
    <w:next w:val="Normal"/>
    <w:qFormat/>
    <w:rsid w:val="00861D6C"/>
    <w:pPr>
      <w:numPr>
        <w:ilvl w:val="3"/>
      </w:numPr>
      <w:outlineLvl w:val="3"/>
    </w:pPr>
    <w:rPr>
      <w:b w:val="0"/>
      <w:bCs w:val="0"/>
    </w:rPr>
  </w:style>
  <w:style w:type="paragraph" w:styleId="Heading5">
    <w:name w:val="heading 5"/>
    <w:basedOn w:val="Heading4"/>
    <w:next w:val="Normal"/>
    <w:qFormat/>
    <w:rsid w:val="00861D6C"/>
    <w:pPr>
      <w:numPr>
        <w:ilvl w:val="4"/>
      </w:numPr>
      <w:outlineLvl w:val="4"/>
    </w:pPr>
    <w:rPr>
      <w:bCs/>
      <w:i/>
      <w:iCs w:val="0"/>
      <w:szCs w:val="26"/>
    </w:rPr>
  </w:style>
  <w:style w:type="paragraph" w:styleId="Heading6">
    <w:name w:val="heading 6"/>
    <w:basedOn w:val="Heading5"/>
    <w:next w:val="Normal"/>
    <w:qFormat/>
    <w:rsid w:val="000E16AD"/>
    <w:pPr>
      <w:numPr>
        <w:ilvl w:val="5"/>
      </w:numPr>
      <w:jc w:val="center"/>
      <w:outlineLvl w:val="5"/>
    </w:pPr>
    <w:rPr>
      <w:b/>
      <w:bCs w:val="0"/>
      <w:i w:val="0"/>
      <w:szCs w:val="22"/>
    </w:rPr>
  </w:style>
  <w:style w:type="paragraph" w:styleId="Heading7">
    <w:name w:val="heading 7"/>
    <w:basedOn w:val="Heading6"/>
    <w:next w:val="Normal"/>
    <w:qFormat/>
    <w:rsid w:val="000E16AD"/>
    <w:pPr>
      <w:numPr>
        <w:ilvl w:val="6"/>
      </w:numPr>
      <w:jc w:val="left"/>
      <w:outlineLvl w:val="6"/>
    </w:pPr>
    <w:rPr>
      <w:b w:val="0"/>
    </w:rPr>
  </w:style>
  <w:style w:type="paragraph" w:styleId="Heading8">
    <w:name w:val="heading 8"/>
    <w:basedOn w:val="Normal"/>
    <w:next w:val="Normal"/>
    <w:qFormat/>
    <w:rsid w:val="00861D6C"/>
    <w:pPr>
      <w:numPr>
        <w:ilvl w:val="7"/>
        <w:numId w:val="31"/>
      </w:numPr>
      <w:spacing w:before="240" w:after="60"/>
      <w:outlineLvl w:val="7"/>
    </w:pPr>
    <w:rPr>
      <w:i/>
      <w:iCs/>
    </w:rPr>
  </w:style>
  <w:style w:type="paragraph" w:styleId="Heading9">
    <w:name w:val="heading 9"/>
    <w:basedOn w:val="Normal"/>
    <w:next w:val="Normal"/>
    <w:qFormat/>
    <w:rsid w:val="00861D6C"/>
    <w:pPr>
      <w:numPr>
        <w:ilvl w:val="8"/>
        <w:numId w:val="3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UndBold">
    <w:name w:val="Cent Und Bold"/>
    <w:pPr>
      <w:spacing w:line="360" w:lineRule="auto"/>
      <w:jc w:val="center"/>
    </w:pPr>
    <w:rPr>
      <w:b/>
      <w:sz w:val="28"/>
      <w:u w:val="single"/>
      <w:lang w:eastAsia="en-US"/>
    </w:rPr>
  </w:style>
  <w:style w:type="paragraph" w:styleId="Header">
    <w:name w:val="header"/>
    <w:pPr>
      <w:tabs>
        <w:tab w:val="right" w:pos="8928"/>
      </w:tabs>
    </w:pPr>
    <w:rPr>
      <w:lang w:eastAsia="en-US"/>
    </w:rPr>
  </w:style>
  <w:style w:type="paragraph" w:customStyle="1" w:styleId="ParaIndent">
    <w:name w:val="Para Indent"/>
    <w:pPr>
      <w:ind w:left="720" w:right="720"/>
      <w:jc w:val="both"/>
    </w:pPr>
    <w:rPr>
      <w:sz w:val="24"/>
      <w:lang w:eastAsia="en-US"/>
    </w:rPr>
  </w:style>
  <w:style w:type="paragraph" w:customStyle="1" w:styleId="Bullet1">
    <w:name w:val="Bullet 1"/>
    <w:rsid w:val="007271EF"/>
    <w:pPr>
      <w:numPr>
        <w:numId w:val="25"/>
      </w:numPr>
      <w:tabs>
        <w:tab w:val="clear" w:pos="360"/>
      </w:tabs>
      <w:spacing w:line="360" w:lineRule="auto"/>
      <w:jc w:val="both"/>
    </w:pPr>
    <w:rPr>
      <w:sz w:val="24"/>
      <w:lang w:eastAsia="en-US"/>
    </w:rPr>
  </w:style>
  <w:style w:type="paragraph" w:customStyle="1" w:styleId="Bullet2">
    <w:name w:val="Bullet 2"/>
    <w:rsid w:val="007271EF"/>
    <w:pPr>
      <w:numPr>
        <w:numId w:val="21"/>
      </w:numPr>
      <w:spacing w:line="360" w:lineRule="auto"/>
      <w:jc w:val="both"/>
    </w:pPr>
    <w:rPr>
      <w:sz w:val="24"/>
      <w:lang w:eastAsia="en-US"/>
    </w:rPr>
  </w:style>
  <w:style w:type="paragraph" w:styleId="TOC1">
    <w:name w:val="toc 1"/>
    <w:basedOn w:val="Normal"/>
    <w:next w:val="Normal"/>
    <w:uiPriority w:val="39"/>
    <w:rsid w:val="00C725E5"/>
    <w:pPr>
      <w:suppressAutoHyphens/>
      <w:ind w:firstLine="0"/>
      <w:jc w:val="left"/>
    </w:pPr>
    <w:rPr>
      <w:b/>
    </w:rPr>
  </w:style>
  <w:style w:type="paragraph" w:styleId="TOC2">
    <w:name w:val="toc 2"/>
    <w:basedOn w:val="Normal"/>
    <w:next w:val="Normal"/>
    <w:uiPriority w:val="39"/>
    <w:qFormat/>
    <w:rsid w:val="00D90635"/>
    <w:pPr>
      <w:suppressAutoHyphens/>
      <w:ind w:firstLine="0"/>
      <w:jc w:val="left"/>
    </w:pPr>
    <w:rPr>
      <w:b/>
    </w:rPr>
  </w:style>
  <w:style w:type="paragraph" w:styleId="TOC3">
    <w:name w:val="toc 3"/>
    <w:basedOn w:val="Normal"/>
    <w:next w:val="Normal"/>
    <w:uiPriority w:val="39"/>
    <w:qFormat/>
    <w:rsid w:val="004F0033"/>
    <w:pPr>
      <w:ind w:firstLine="0"/>
      <w:jc w:val="left"/>
    </w:pPr>
  </w:style>
  <w:style w:type="paragraph" w:styleId="FootnoteText">
    <w:name w:val="footnote text"/>
    <w:link w:val="FootnoteTextChar"/>
    <w:uiPriority w:val="99"/>
    <w:semiHidden/>
    <w:pPr>
      <w:jc w:val="both"/>
    </w:pPr>
    <w:rPr>
      <w:lang w:eastAsia="en-US"/>
    </w:rPr>
  </w:style>
  <w:style w:type="character" w:customStyle="1" w:styleId="FootnoteTextChar">
    <w:name w:val="Footnote Text Char"/>
    <w:basedOn w:val="DefaultParagraphFont"/>
    <w:link w:val="FootnoteText"/>
    <w:uiPriority w:val="99"/>
    <w:semiHidden/>
    <w:rsid w:val="008D3B9E"/>
    <w:rPr>
      <w:lang w:eastAsia="en-US"/>
    </w:rPr>
  </w:style>
  <w:style w:type="paragraph" w:styleId="Title">
    <w:name w:val="Title"/>
    <w:qFormat/>
    <w:pPr>
      <w:spacing w:line="360" w:lineRule="auto"/>
      <w:jc w:val="center"/>
    </w:pPr>
    <w:rPr>
      <w:b/>
      <w:bCs/>
      <w:sz w:val="24"/>
      <w:u w:val="single"/>
      <w:lang w:eastAsia="en-US"/>
    </w:rPr>
  </w:style>
  <w:style w:type="paragraph" w:styleId="TOC4">
    <w:name w:val="toc 4"/>
    <w:basedOn w:val="Normal"/>
    <w:next w:val="Normal"/>
    <w:semiHidden/>
    <w:rsid w:val="007745CF"/>
    <w:pPr>
      <w:ind w:left="432" w:firstLine="0"/>
      <w:jc w:val="left"/>
    </w:pPr>
    <w:rPr>
      <w:noProof/>
    </w:rPr>
  </w:style>
  <w:style w:type="paragraph" w:customStyle="1" w:styleId="Reference">
    <w:name w:val="Reference"/>
    <w:rsid w:val="008E58F8"/>
    <w:pPr>
      <w:ind w:left="720" w:hanging="720"/>
      <w:jc w:val="both"/>
    </w:pPr>
    <w:rPr>
      <w:sz w:val="24"/>
      <w:lang w:eastAsia="en-US"/>
    </w:rPr>
  </w:style>
  <w:style w:type="paragraph" w:customStyle="1" w:styleId="Bullet3">
    <w:name w:val="Bullet 3"/>
    <w:rsid w:val="007271EF"/>
    <w:pPr>
      <w:numPr>
        <w:numId w:val="23"/>
      </w:numPr>
      <w:spacing w:line="360" w:lineRule="auto"/>
      <w:jc w:val="both"/>
    </w:pPr>
    <w:rPr>
      <w:sz w:val="24"/>
      <w:lang w:eastAsia="en-US"/>
    </w:rPr>
  </w:style>
  <w:style w:type="paragraph" w:customStyle="1" w:styleId="Bullet4">
    <w:name w:val="Bullet 4"/>
    <w:rsid w:val="007271EF"/>
    <w:pPr>
      <w:numPr>
        <w:numId w:val="24"/>
      </w:numPr>
      <w:spacing w:line="360" w:lineRule="auto"/>
      <w:ind w:left="1440" w:hanging="360"/>
      <w:jc w:val="both"/>
    </w:pPr>
    <w:rPr>
      <w:sz w:val="24"/>
    </w:rPr>
  </w:style>
  <w:style w:type="paragraph" w:customStyle="1" w:styleId="References">
    <w:name w:val="References"/>
    <w:rsid w:val="00E97215"/>
    <w:pPr>
      <w:spacing w:line="480" w:lineRule="auto"/>
      <w:ind w:left="720" w:hanging="720"/>
    </w:pPr>
    <w:rPr>
      <w:sz w:val="24"/>
      <w:lang w:eastAsia="en-US"/>
    </w:rPr>
  </w:style>
  <w:style w:type="paragraph" w:customStyle="1" w:styleId="Box">
    <w:name w:val="Box"/>
    <w:rsid w:val="00F740DE"/>
    <w:pPr>
      <w:pBdr>
        <w:top w:val="single" w:sz="12" w:space="1" w:color="auto"/>
        <w:left w:val="single" w:sz="12" w:space="4" w:color="auto"/>
        <w:bottom w:val="single" w:sz="12" w:space="1" w:color="auto"/>
        <w:right w:val="single" w:sz="12" w:space="4" w:color="auto"/>
      </w:pBdr>
      <w:spacing w:line="360" w:lineRule="auto"/>
      <w:ind w:left="720" w:right="720"/>
    </w:pPr>
    <w:rPr>
      <w:sz w:val="24"/>
      <w:szCs w:val="24"/>
    </w:rPr>
  </w:style>
  <w:style w:type="character" w:styleId="Hyperlink">
    <w:name w:val="Hyperlink"/>
    <w:uiPriority w:val="99"/>
    <w:rsid w:val="00147318"/>
    <w:rPr>
      <w:color w:val="0000FF"/>
      <w:u w:val="single"/>
    </w:rPr>
  </w:style>
  <w:style w:type="paragraph" w:styleId="TOC5">
    <w:name w:val="toc 5"/>
    <w:basedOn w:val="Normal"/>
    <w:next w:val="Normal"/>
    <w:semiHidden/>
    <w:rsid w:val="00021DC3"/>
    <w:pPr>
      <w:tabs>
        <w:tab w:val="right" w:leader="dot" w:pos="9016"/>
      </w:tabs>
      <w:ind w:left="1440"/>
      <w:jc w:val="left"/>
    </w:pPr>
  </w:style>
  <w:style w:type="paragraph" w:styleId="Caption">
    <w:name w:val="caption"/>
    <w:next w:val="Normal"/>
    <w:qFormat/>
    <w:rsid w:val="00C13A31"/>
    <w:pPr>
      <w:spacing w:line="480" w:lineRule="auto"/>
    </w:pPr>
    <w:rPr>
      <w:bCs/>
      <w:i/>
      <w:sz w:val="24"/>
      <w:lang w:eastAsia="en-US"/>
    </w:rPr>
  </w:style>
  <w:style w:type="paragraph" w:customStyle="1" w:styleId="StyleCaptionBold">
    <w:name w:val="Style Caption + Bold"/>
    <w:basedOn w:val="Caption"/>
    <w:rsid w:val="00C13A31"/>
    <w:rPr>
      <w:iCs/>
    </w:rPr>
  </w:style>
  <w:style w:type="paragraph" w:styleId="Footer">
    <w:name w:val="footer"/>
    <w:basedOn w:val="Normal"/>
    <w:rsid w:val="007745CF"/>
    <w:pPr>
      <w:tabs>
        <w:tab w:val="center" w:pos="4153"/>
        <w:tab w:val="right" w:pos="8306"/>
      </w:tabs>
    </w:pPr>
  </w:style>
  <w:style w:type="character" w:styleId="PageNumber">
    <w:name w:val="page number"/>
    <w:basedOn w:val="DefaultParagraphFont"/>
    <w:rsid w:val="004F0033"/>
  </w:style>
  <w:style w:type="table" w:styleId="TableGrid">
    <w:name w:val="Table Grid"/>
    <w:basedOn w:val="TableNormal"/>
    <w:rsid w:val="00F80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semiHidden/>
    <w:rsid w:val="00DC47C0"/>
    <w:pPr>
      <w:ind w:firstLine="0"/>
    </w:pPr>
    <w:rPr>
      <w:b/>
    </w:rPr>
  </w:style>
  <w:style w:type="paragraph" w:styleId="TOC7">
    <w:name w:val="toc 7"/>
    <w:basedOn w:val="Normal"/>
    <w:next w:val="Normal"/>
    <w:semiHidden/>
    <w:rsid w:val="00DC47C0"/>
    <w:pPr>
      <w:ind w:firstLine="0"/>
    </w:pPr>
  </w:style>
  <w:style w:type="paragraph" w:styleId="TOCHeading">
    <w:name w:val="TOC Heading"/>
    <w:basedOn w:val="Heading1"/>
    <w:next w:val="Normal"/>
    <w:uiPriority w:val="39"/>
    <w:semiHidden/>
    <w:unhideWhenUsed/>
    <w:qFormat/>
    <w:rsid w:val="00323DA8"/>
    <w:pPr>
      <w:keepNext/>
      <w:numPr>
        <w:numId w:val="0"/>
      </w:numPr>
      <w:spacing w:before="240" w:after="60" w:line="360" w:lineRule="auto"/>
      <w:ind w:firstLine="720"/>
      <w:jc w:val="both"/>
      <w:outlineLvl w:val="9"/>
    </w:pPr>
    <w:rPr>
      <w:rFonts w:ascii="Cambria" w:hAnsi="Cambria" w:cs="Times New Roman"/>
      <w:kern w:val="32"/>
      <w:sz w:val="32"/>
    </w:rPr>
  </w:style>
  <w:style w:type="paragraph" w:styleId="TableofFigures">
    <w:name w:val="table of figures"/>
    <w:basedOn w:val="Normal"/>
    <w:next w:val="Normal"/>
    <w:uiPriority w:val="99"/>
    <w:rsid w:val="00323DA8"/>
  </w:style>
  <w:style w:type="character" w:styleId="PlaceholderText">
    <w:name w:val="Placeholder Text"/>
    <w:basedOn w:val="DefaultParagraphFont"/>
    <w:uiPriority w:val="99"/>
    <w:semiHidden/>
    <w:rsid w:val="00603CA9"/>
    <w:rPr>
      <w:color w:val="808080"/>
    </w:rPr>
  </w:style>
  <w:style w:type="paragraph" w:styleId="BalloonText">
    <w:name w:val="Balloon Text"/>
    <w:basedOn w:val="Normal"/>
    <w:link w:val="BalloonTextChar"/>
    <w:rsid w:val="00603C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03CA9"/>
    <w:rPr>
      <w:rFonts w:ascii="Tahoma" w:hAnsi="Tahoma" w:cs="Tahoma"/>
      <w:sz w:val="16"/>
      <w:szCs w:val="16"/>
      <w:lang w:eastAsia="en-US"/>
    </w:rPr>
  </w:style>
  <w:style w:type="paragraph" w:styleId="ListParagraph">
    <w:name w:val="List Paragraph"/>
    <w:basedOn w:val="Normal"/>
    <w:uiPriority w:val="34"/>
    <w:qFormat/>
    <w:rsid w:val="00B24DB5"/>
    <w:pPr>
      <w:ind w:left="720"/>
      <w:contextualSpacing/>
    </w:pPr>
  </w:style>
  <w:style w:type="character" w:styleId="FootnoteReference">
    <w:name w:val="footnote reference"/>
    <w:basedOn w:val="DefaultParagraphFont"/>
    <w:uiPriority w:val="99"/>
    <w:rsid w:val="00532975"/>
    <w:rPr>
      <w:vertAlign w:val="superscript"/>
    </w:rPr>
  </w:style>
  <w:style w:type="paragraph" w:styleId="Quote">
    <w:name w:val="Quote"/>
    <w:basedOn w:val="Normal"/>
    <w:next w:val="Normal"/>
    <w:link w:val="QuoteChar"/>
    <w:uiPriority w:val="29"/>
    <w:qFormat/>
    <w:rsid w:val="008D3B9E"/>
    <w:rPr>
      <w:i/>
      <w:iCs/>
      <w:color w:val="000000" w:themeColor="text1"/>
    </w:rPr>
  </w:style>
  <w:style w:type="character" w:customStyle="1" w:styleId="QuoteChar">
    <w:name w:val="Quote Char"/>
    <w:basedOn w:val="DefaultParagraphFont"/>
    <w:link w:val="Quote"/>
    <w:uiPriority w:val="29"/>
    <w:rsid w:val="008D3B9E"/>
    <w:rPr>
      <w:i/>
      <w:iCs/>
      <w:color w:val="000000" w:themeColor="text1"/>
      <w:sz w:val="24"/>
      <w:szCs w:val="24"/>
      <w:lang w:eastAsia="en-US"/>
    </w:rPr>
  </w:style>
  <w:style w:type="character" w:styleId="Strong">
    <w:name w:val="Strong"/>
    <w:uiPriority w:val="22"/>
    <w:qFormat/>
    <w:rsid w:val="00B84200"/>
    <w:rPr>
      <w:b/>
      <w:bCs/>
    </w:rPr>
  </w:style>
  <w:style w:type="paragraph" w:styleId="Revision">
    <w:name w:val="Revision"/>
    <w:hidden/>
    <w:uiPriority w:val="99"/>
    <w:semiHidden/>
    <w:rsid w:val="007F1B6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584"/>
    <w:pPr>
      <w:spacing w:line="360" w:lineRule="auto"/>
      <w:ind w:firstLine="720"/>
      <w:jc w:val="both"/>
    </w:pPr>
    <w:rPr>
      <w:sz w:val="24"/>
      <w:szCs w:val="24"/>
      <w:lang w:eastAsia="en-US"/>
    </w:rPr>
  </w:style>
  <w:style w:type="paragraph" w:styleId="Heading1">
    <w:name w:val="heading 1"/>
    <w:next w:val="Normal"/>
    <w:qFormat/>
    <w:rsid w:val="00861D6C"/>
    <w:pPr>
      <w:numPr>
        <w:numId w:val="31"/>
      </w:numPr>
      <w:spacing w:line="480" w:lineRule="auto"/>
      <w:jc w:val="center"/>
      <w:outlineLvl w:val="0"/>
    </w:pPr>
    <w:rPr>
      <w:rFonts w:cs="Arial"/>
      <w:b/>
      <w:bCs/>
      <w:sz w:val="24"/>
      <w:szCs w:val="32"/>
      <w:lang w:eastAsia="en-US"/>
    </w:rPr>
  </w:style>
  <w:style w:type="paragraph" w:styleId="Heading2">
    <w:name w:val="heading 2"/>
    <w:basedOn w:val="Heading1"/>
    <w:next w:val="Normal"/>
    <w:qFormat/>
    <w:rsid w:val="00861D6C"/>
    <w:pPr>
      <w:keepNext/>
      <w:numPr>
        <w:ilvl w:val="1"/>
      </w:numPr>
      <w:outlineLvl w:val="1"/>
    </w:pPr>
    <w:rPr>
      <w:bCs w:val="0"/>
      <w:iCs/>
      <w:szCs w:val="28"/>
    </w:rPr>
  </w:style>
  <w:style w:type="paragraph" w:styleId="Heading3">
    <w:name w:val="heading 3"/>
    <w:basedOn w:val="Heading2"/>
    <w:next w:val="Normal"/>
    <w:qFormat/>
    <w:rsid w:val="00861D6C"/>
    <w:pPr>
      <w:numPr>
        <w:ilvl w:val="2"/>
      </w:numPr>
      <w:jc w:val="left"/>
      <w:outlineLvl w:val="2"/>
    </w:pPr>
    <w:rPr>
      <w:bCs/>
    </w:rPr>
  </w:style>
  <w:style w:type="paragraph" w:styleId="Heading4">
    <w:name w:val="heading 4"/>
    <w:basedOn w:val="Heading3"/>
    <w:next w:val="Normal"/>
    <w:qFormat/>
    <w:rsid w:val="00861D6C"/>
    <w:pPr>
      <w:numPr>
        <w:ilvl w:val="3"/>
      </w:numPr>
      <w:outlineLvl w:val="3"/>
    </w:pPr>
    <w:rPr>
      <w:b w:val="0"/>
      <w:bCs w:val="0"/>
    </w:rPr>
  </w:style>
  <w:style w:type="paragraph" w:styleId="Heading5">
    <w:name w:val="heading 5"/>
    <w:basedOn w:val="Heading4"/>
    <w:next w:val="Normal"/>
    <w:qFormat/>
    <w:rsid w:val="00861D6C"/>
    <w:pPr>
      <w:numPr>
        <w:ilvl w:val="4"/>
      </w:numPr>
      <w:outlineLvl w:val="4"/>
    </w:pPr>
    <w:rPr>
      <w:bCs/>
      <w:i/>
      <w:iCs w:val="0"/>
      <w:szCs w:val="26"/>
    </w:rPr>
  </w:style>
  <w:style w:type="paragraph" w:styleId="Heading6">
    <w:name w:val="heading 6"/>
    <w:basedOn w:val="Heading5"/>
    <w:next w:val="Normal"/>
    <w:qFormat/>
    <w:rsid w:val="000E16AD"/>
    <w:pPr>
      <w:numPr>
        <w:ilvl w:val="5"/>
      </w:numPr>
      <w:jc w:val="center"/>
      <w:outlineLvl w:val="5"/>
    </w:pPr>
    <w:rPr>
      <w:b/>
      <w:bCs w:val="0"/>
      <w:i w:val="0"/>
      <w:szCs w:val="22"/>
    </w:rPr>
  </w:style>
  <w:style w:type="paragraph" w:styleId="Heading7">
    <w:name w:val="heading 7"/>
    <w:basedOn w:val="Heading6"/>
    <w:next w:val="Normal"/>
    <w:qFormat/>
    <w:rsid w:val="000E16AD"/>
    <w:pPr>
      <w:numPr>
        <w:ilvl w:val="6"/>
      </w:numPr>
      <w:jc w:val="left"/>
      <w:outlineLvl w:val="6"/>
    </w:pPr>
    <w:rPr>
      <w:b w:val="0"/>
    </w:rPr>
  </w:style>
  <w:style w:type="paragraph" w:styleId="Heading8">
    <w:name w:val="heading 8"/>
    <w:basedOn w:val="Normal"/>
    <w:next w:val="Normal"/>
    <w:qFormat/>
    <w:rsid w:val="00861D6C"/>
    <w:pPr>
      <w:numPr>
        <w:ilvl w:val="7"/>
        <w:numId w:val="31"/>
      </w:numPr>
      <w:spacing w:before="240" w:after="60"/>
      <w:outlineLvl w:val="7"/>
    </w:pPr>
    <w:rPr>
      <w:i/>
      <w:iCs/>
    </w:rPr>
  </w:style>
  <w:style w:type="paragraph" w:styleId="Heading9">
    <w:name w:val="heading 9"/>
    <w:basedOn w:val="Normal"/>
    <w:next w:val="Normal"/>
    <w:qFormat/>
    <w:rsid w:val="00861D6C"/>
    <w:pPr>
      <w:numPr>
        <w:ilvl w:val="8"/>
        <w:numId w:val="3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UndBold">
    <w:name w:val="Cent Und Bold"/>
    <w:pPr>
      <w:spacing w:line="360" w:lineRule="auto"/>
      <w:jc w:val="center"/>
    </w:pPr>
    <w:rPr>
      <w:b/>
      <w:sz w:val="28"/>
      <w:u w:val="single"/>
      <w:lang w:eastAsia="en-US"/>
    </w:rPr>
  </w:style>
  <w:style w:type="paragraph" w:styleId="Header">
    <w:name w:val="header"/>
    <w:pPr>
      <w:tabs>
        <w:tab w:val="right" w:pos="8928"/>
      </w:tabs>
    </w:pPr>
    <w:rPr>
      <w:lang w:eastAsia="en-US"/>
    </w:rPr>
  </w:style>
  <w:style w:type="paragraph" w:customStyle="1" w:styleId="ParaIndent">
    <w:name w:val="Para Indent"/>
    <w:pPr>
      <w:ind w:left="720" w:right="720"/>
      <w:jc w:val="both"/>
    </w:pPr>
    <w:rPr>
      <w:sz w:val="24"/>
      <w:lang w:eastAsia="en-US"/>
    </w:rPr>
  </w:style>
  <w:style w:type="paragraph" w:customStyle="1" w:styleId="Bullet1">
    <w:name w:val="Bullet 1"/>
    <w:rsid w:val="007271EF"/>
    <w:pPr>
      <w:numPr>
        <w:numId w:val="25"/>
      </w:numPr>
      <w:tabs>
        <w:tab w:val="clear" w:pos="360"/>
      </w:tabs>
      <w:spacing w:line="360" w:lineRule="auto"/>
      <w:jc w:val="both"/>
    </w:pPr>
    <w:rPr>
      <w:sz w:val="24"/>
      <w:lang w:eastAsia="en-US"/>
    </w:rPr>
  </w:style>
  <w:style w:type="paragraph" w:customStyle="1" w:styleId="Bullet2">
    <w:name w:val="Bullet 2"/>
    <w:rsid w:val="007271EF"/>
    <w:pPr>
      <w:numPr>
        <w:numId w:val="21"/>
      </w:numPr>
      <w:spacing w:line="360" w:lineRule="auto"/>
      <w:jc w:val="both"/>
    </w:pPr>
    <w:rPr>
      <w:sz w:val="24"/>
      <w:lang w:eastAsia="en-US"/>
    </w:rPr>
  </w:style>
  <w:style w:type="paragraph" w:styleId="TOC1">
    <w:name w:val="toc 1"/>
    <w:basedOn w:val="Normal"/>
    <w:next w:val="Normal"/>
    <w:uiPriority w:val="39"/>
    <w:rsid w:val="00C725E5"/>
    <w:pPr>
      <w:suppressAutoHyphens/>
      <w:ind w:firstLine="0"/>
      <w:jc w:val="left"/>
    </w:pPr>
    <w:rPr>
      <w:b/>
    </w:rPr>
  </w:style>
  <w:style w:type="paragraph" w:styleId="TOC2">
    <w:name w:val="toc 2"/>
    <w:basedOn w:val="Normal"/>
    <w:next w:val="Normal"/>
    <w:uiPriority w:val="39"/>
    <w:qFormat/>
    <w:rsid w:val="00D90635"/>
    <w:pPr>
      <w:suppressAutoHyphens/>
      <w:ind w:firstLine="0"/>
      <w:jc w:val="left"/>
    </w:pPr>
    <w:rPr>
      <w:b/>
    </w:rPr>
  </w:style>
  <w:style w:type="paragraph" w:styleId="TOC3">
    <w:name w:val="toc 3"/>
    <w:basedOn w:val="Normal"/>
    <w:next w:val="Normal"/>
    <w:uiPriority w:val="39"/>
    <w:qFormat/>
    <w:rsid w:val="004F0033"/>
    <w:pPr>
      <w:ind w:firstLine="0"/>
      <w:jc w:val="left"/>
    </w:pPr>
  </w:style>
  <w:style w:type="paragraph" w:styleId="FootnoteText">
    <w:name w:val="footnote text"/>
    <w:link w:val="FootnoteTextChar"/>
    <w:uiPriority w:val="99"/>
    <w:semiHidden/>
    <w:pPr>
      <w:jc w:val="both"/>
    </w:pPr>
    <w:rPr>
      <w:lang w:eastAsia="en-US"/>
    </w:rPr>
  </w:style>
  <w:style w:type="character" w:customStyle="1" w:styleId="FootnoteTextChar">
    <w:name w:val="Footnote Text Char"/>
    <w:basedOn w:val="DefaultParagraphFont"/>
    <w:link w:val="FootnoteText"/>
    <w:uiPriority w:val="99"/>
    <w:semiHidden/>
    <w:rsid w:val="008D3B9E"/>
    <w:rPr>
      <w:lang w:eastAsia="en-US"/>
    </w:rPr>
  </w:style>
  <w:style w:type="paragraph" w:styleId="Title">
    <w:name w:val="Title"/>
    <w:qFormat/>
    <w:pPr>
      <w:spacing w:line="360" w:lineRule="auto"/>
      <w:jc w:val="center"/>
    </w:pPr>
    <w:rPr>
      <w:b/>
      <w:bCs/>
      <w:sz w:val="24"/>
      <w:u w:val="single"/>
      <w:lang w:eastAsia="en-US"/>
    </w:rPr>
  </w:style>
  <w:style w:type="paragraph" w:styleId="TOC4">
    <w:name w:val="toc 4"/>
    <w:basedOn w:val="Normal"/>
    <w:next w:val="Normal"/>
    <w:semiHidden/>
    <w:rsid w:val="007745CF"/>
    <w:pPr>
      <w:ind w:left="432" w:firstLine="0"/>
      <w:jc w:val="left"/>
    </w:pPr>
    <w:rPr>
      <w:noProof/>
    </w:rPr>
  </w:style>
  <w:style w:type="paragraph" w:customStyle="1" w:styleId="Reference">
    <w:name w:val="Reference"/>
    <w:rsid w:val="008E58F8"/>
    <w:pPr>
      <w:ind w:left="720" w:hanging="720"/>
      <w:jc w:val="both"/>
    </w:pPr>
    <w:rPr>
      <w:sz w:val="24"/>
      <w:lang w:eastAsia="en-US"/>
    </w:rPr>
  </w:style>
  <w:style w:type="paragraph" w:customStyle="1" w:styleId="Bullet3">
    <w:name w:val="Bullet 3"/>
    <w:rsid w:val="007271EF"/>
    <w:pPr>
      <w:numPr>
        <w:numId w:val="23"/>
      </w:numPr>
      <w:spacing w:line="360" w:lineRule="auto"/>
      <w:jc w:val="both"/>
    </w:pPr>
    <w:rPr>
      <w:sz w:val="24"/>
      <w:lang w:eastAsia="en-US"/>
    </w:rPr>
  </w:style>
  <w:style w:type="paragraph" w:customStyle="1" w:styleId="Bullet4">
    <w:name w:val="Bullet 4"/>
    <w:rsid w:val="007271EF"/>
    <w:pPr>
      <w:numPr>
        <w:numId w:val="24"/>
      </w:numPr>
      <w:spacing w:line="360" w:lineRule="auto"/>
      <w:ind w:left="1440" w:hanging="360"/>
      <w:jc w:val="both"/>
    </w:pPr>
    <w:rPr>
      <w:sz w:val="24"/>
    </w:rPr>
  </w:style>
  <w:style w:type="paragraph" w:customStyle="1" w:styleId="References">
    <w:name w:val="References"/>
    <w:rsid w:val="00E97215"/>
    <w:pPr>
      <w:spacing w:line="480" w:lineRule="auto"/>
      <w:ind w:left="720" w:hanging="720"/>
    </w:pPr>
    <w:rPr>
      <w:sz w:val="24"/>
      <w:lang w:eastAsia="en-US"/>
    </w:rPr>
  </w:style>
  <w:style w:type="paragraph" w:customStyle="1" w:styleId="Box">
    <w:name w:val="Box"/>
    <w:rsid w:val="00F740DE"/>
    <w:pPr>
      <w:pBdr>
        <w:top w:val="single" w:sz="12" w:space="1" w:color="auto"/>
        <w:left w:val="single" w:sz="12" w:space="4" w:color="auto"/>
        <w:bottom w:val="single" w:sz="12" w:space="1" w:color="auto"/>
        <w:right w:val="single" w:sz="12" w:space="4" w:color="auto"/>
      </w:pBdr>
      <w:spacing w:line="360" w:lineRule="auto"/>
      <w:ind w:left="720" w:right="720"/>
    </w:pPr>
    <w:rPr>
      <w:sz w:val="24"/>
      <w:szCs w:val="24"/>
    </w:rPr>
  </w:style>
  <w:style w:type="character" w:styleId="Hyperlink">
    <w:name w:val="Hyperlink"/>
    <w:uiPriority w:val="99"/>
    <w:rsid w:val="00147318"/>
    <w:rPr>
      <w:color w:val="0000FF"/>
      <w:u w:val="single"/>
    </w:rPr>
  </w:style>
  <w:style w:type="paragraph" w:styleId="TOC5">
    <w:name w:val="toc 5"/>
    <w:basedOn w:val="Normal"/>
    <w:next w:val="Normal"/>
    <w:semiHidden/>
    <w:rsid w:val="00021DC3"/>
    <w:pPr>
      <w:tabs>
        <w:tab w:val="right" w:leader="dot" w:pos="9016"/>
      </w:tabs>
      <w:ind w:left="1440"/>
      <w:jc w:val="left"/>
    </w:pPr>
  </w:style>
  <w:style w:type="paragraph" w:styleId="Caption">
    <w:name w:val="caption"/>
    <w:next w:val="Normal"/>
    <w:qFormat/>
    <w:rsid w:val="00C13A31"/>
    <w:pPr>
      <w:spacing w:line="480" w:lineRule="auto"/>
    </w:pPr>
    <w:rPr>
      <w:bCs/>
      <w:i/>
      <w:sz w:val="24"/>
      <w:lang w:eastAsia="en-US"/>
    </w:rPr>
  </w:style>
  <w:style w:type="paragraph" w:customStyle="1" w:styleId="StyleCaptionBold">
    <w:name w:val="Style Caption + Bold"/>
    <w:basedOn w:val="Caption"/>
    <w:rsid w:val="00C13A31"/>
    <w:rPr>
      <w:iCs/>
    </w:rPr>
  </w:style>
  <w:style w:type="paragraph" w:styleId="Footer">
    <w:name w:val="footer"/>
    <w:basedOn w:val="Normal"/>
    <w:rsid w:val="007745CF"/>
    <w:pPr>
      <w:tabs>
        <w:tab w:val="center" w:pos="4153"/>
        <w:tab w:val="right" w:pos="8306"/>
      </w:tabs>
    </w:pPr>
  </w:style>
  <w:style w:type="character" w:styleId="PageNumber">
    <w:name w:val="page number"/>
    <w:basedOn w:val="DefaultParagraphFont"/>
    <w:rsid w:val="004F0033"/>
  </w:style>
  <w:style w:type="table" w:styleId="TableGrid">
    <w:name w:val="Table Grid"/>
    <w:basedOn w:val="TableNormal"/>
    <w:rsid w:val="00F80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semiHidden/>
    <w:rsid w:val="00DC47C0"/>
    <w:pPr>
      <w:ind w:firstLine="0"/>
    </w:pPr>
    <w:rPr>
      <w:b/>
    </w:rPr>
  </w:style>
  <w:style w:type="paragraph" w:styleId="TOC7">
    <w:name w:val="toc 7"/>
    <w:basedOn w:val="Normal"/>
    <w:next w:val="Normal"/>
    <w:semiHidden/>
    <w:rsid w:val="00DC47C0"/>
    <w:pPr>
      <w:ind w:firstLine="0"/>
    </w:pPr>
  </w:style>
  <w:style w:type="paragraph" w:styleId="TOCHeading">
    <w:name w:val="TOC Heading"/>
    <w:basedOn w:val="Heading1"/>
    <w:next w:val="Normal"/>
    <w:uiPriority w:val="39"/>
    <w:semiHidden/>
    <w:unhideWhenUsed/>
    <w:qFormat/>
    <w:rsid w:val="00323DA8"/>
    <w:pPr>
      <w:keepNext/>
      <w:numPr>
        <w:numId w:val="0"/>
      </w:numPr>
      <w:spacing w:before="240" w:after="60" w:line="360" w:lineRule="auto"/>
      <w:ind w:firstLine="720"/>
      <w:jc w:val="both"/>
      <w:outlineLvl w:val="9"/>
    </w:pPr>
    <w:rPr>
      <w:rFonts w:ascii="Cambria" w:hAnsi="Cambria" w:cs="Times New Roman"/>
      <w:kern w:val="32"/>
      <w:sz w:val="32"/>
    </w:rPr>
  </w:style>
  <w:style w:type="paragraph" w:styleId="TableofFigures">
    <w:name w:val="table of figures"/>
    <w:basedOn w:val="Normal"/>
    <w:next w:val="Normal"/>
    <w:uiPriority w:val="99"/>
    <w:rsid w:val="00323DA8"/>
  </w:style>
  <w:style w:type="character" w:styleId="PlaceholderText">
    <w:name w:val="Placeholder Text"/>
    <w:basedOn w:val="DefaultParagraphFont"/>
    <w:uiPriority w:val="99"/>
    <w:semiHidden/>
    <w:rsid w:val="00603CA9"/>
    <w:rPr>
      <w:color w:val="808080"/>
    </w:rPr>
  </w:style>
  <w:style w:type="paragraph" w:styleId="BalloonText">
    <w:name w:val="Balloon Text"/>
    <w:basedOn w:val="Normal"/>
    <w:link w:val="BalloonTextChar"/>
    <w:rsid w:val="00603C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03CA9"/>
    <w:rPr>
      <w:rFonts w:ascii="Tahoma" w:hAnsi="Tahoma" w:cs="Tahoma"/>
      <w:sz w:val="16"/>
      <w:szCs w:val="16"/>
      <w:lang w:eastAsia="en-US"/>
    </w:rPr>
  </w:style>
  <w:style w:type="paragraph" w:styleId="ListParagraph">
    <w:name w:val="List Paragraph"/>
    <w:basedOn w:val="Normal"/>
    <w:uiPriority w:val="34"/>
    <w:qFormat/>
    <w:rsid w:val="00B24DB5"/>
    <w:pPr>
      <w:ind w:left="720"/>
      <w:contextualSpacing/>
    </w:pPr>
  </w:style>
  <w:style w:type="character" w:styleId="FootnoteReference">
    <w:name w:val="footnote reference"/>
    <w:basedOn w:val="DefaultParagraphFont"/>
    <w:uiPriority w:val="99"/>
    <w:rsid w:val="00532975"/>
    <w:rPr>
      <w:vertAlign w:val="superscript"/>
    </w:rPr>
  </w:style>
  <w:style w:type="paragraph" w:styleId="Quote">
    <w:name w:val="Quote"/>
    <w:basedOn w:val="Normal"/>
    <w:next w:val="Normal"/>
    <w:link w:val="QuoteChar"/>
    <w:uiPriority w:val="29"/>
    <w:qFormat/>
    <w:rsid w:val="008D3B9E"/>
    <w:rPr>
      <w:i/>
      <w:iCs/>
      <w:color w:val="000000" w:themeColor="text1"/>
    </w:rPr>
  </w:style>
  <w:style w:type="character" w:customStyle="1" w:styleId="QuoteChar">
    <w:name w:val="Quote Char"/>
    <w:basedOn w:val="DefaultParagraphFont"/>
    <w:link w:val="Quote"/>
    <w:uiPriority w:val="29"/>
    <w:rsid w:val="008D3B9E"/>
    <w:rPr>
      <w:i/>
      <w:iCs/>
      <w:color w:val="000000" w:themeColor="text1"/>
      <w:sz w:val="24"/>
      <w:szCs w:val="24"/>
      <w:lang w:eastAsia="en-US"/>
    </w:rPr>
  </w:style>
  <w:style w:type="character" w:styleId="Strong">
    <w:name w:val="Strong"/>
    <w:uiPriority w:val="22"/>
    <w:qFormat/>
    <w:rsid w:val="00B84200"/>
    <w:rPr>
      <w:b/>
      <w:bCs/>
    </w:rPr>
  </w:style>
  <w:style w:type="paragraph" w:styleId="Revision">
    <w:name w:val="Revision"/>
    <w:hidden/>
    <w:uiPriority w:val="99"/>
    <w:semiHidden/>
    <w:rsid w:val="007F1B6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3800">
      <w:bodyDiv w:val="1"/>
      <w:marLeft w:val="0"/>
      <w:marRight w:val="0"/>
      <w:marTop w:val="0"/>
      <w:marBottom w:val="0"/>
      <w:divBdr>
        <w:top w:val="none" w:sz="0" w:space="0" w:color="auto"/>
        <w:left w:val="none" w:sz="0" w:space="0" w:color="auto"/>
        <w:bottom w:val="none" w:sz="0" w:space="0" w:color="auto"/>
        <w:right w:val="none" w:sz="0" w:space="0" w:color="auto"/>
      </w:divBdr>
    </w:div>
    <w:div w:id="143162394">
      <w:bodyDiv w:val="1"/>
      <w:marLeft w:val="0"/>
      <w:marRight w:val="0"/>
      <w:marTop w:val="0"/>
      <w:marBottom w:val="0"/>
      <w:divBdr>
        <w:top w:val="none" w:sz="0" w:space="0" w:color="auto"/>
        <w:left w:val="none" w:sz="0" w:space="0" w:color="auto"/>
        <w:bottom w:val="none" w:sz="0" w:space="0" w:color="auto"/>
        <w:right w:val="none" w:sz="0" w:space="0" w:color="auto"/>
      </w:divBdr>
    </w:div>
    <w:div w:id="551382080">
      <w:bodyDiv w:val="1"/>
      <w:marLeft w:val="0"/>
      <w:marRight w:val="0"/>
      <w:marTop w:val="0"/>
      <w:marBottom w:val="0"/>
      <w:divBdr>
        <w:top w:val="none" w:sz="0" w:space="0" w:color="auto"/>
        <w:left w:val="none" w:sz="0" w:space="0" w:color="auto"/>
        <w:bottom w:val="none" w:sz="0" w:space="0" w:color="auto"/>
        <w:right w:val="none" w:sz="0" w:space="0" w:color="auto"/>
      </w:divBdr>
    </w:div>
    <w:div w:id="585384540">
      <w:bodyDiv w:val="1"/>
      <w:marLeft w:val="0"/>
      <w:marRight w:val="0"/>
      <w:marTop w:val="0"/>
      <w:marBottom w:val="0"/>
      <w:divBdr>
        <w:top w:val="none" w:sz="0" w:space="0" w:color="auto"/>
        <w:left w:val="none" w:sz="0" w:space="0" w:color="auto"/>
        <w:bottom w:val="none" w:sz="0" w:space="0" w:color="auto"/>
        <w:right w:val="none" w:sz="0" w:space="0" w:color="auto"/>
      </w:divBdr>
    </w:div>
    <w:div w:id="678386796">
      <w:bodyDiv w:val="1"/>
      <w:marLeft w:val="0"/>
      <w:marRight w:val="0"/>
      <w:marTop w:val="0"/>
      <w:marBottom w:val="0"/>
      <w:divBdr>
        <w:top w:val="none" w:sz="0" w:space="0" w:color="auto"/>
        <w:left w:val="none" w:sz="0" w:space="0" w:color="auto"/>
        <w:bottom w:val="none" w:sz="0" w:space="0" w:color="auto"/>
        <w:right w:val="none" w:sz="0" w:space="0" w:color="auto"/>
      </w:divBdr>
    </w:div>
    <w:div w:id="846596946">
      <w:bodyDiv w:val="1"/>
      <w:marLeft w:val="0"/>
      <w:marRight w:val="0"/>
      <w:marTop w:val="0"/>
      <w:marBottom w:val="0"/>
      <w:divBdr>
        <w:top w:val="none" w:sz="0" w:space="0" w:color="auto"/>
        <w:left w:val="none" w:sz="0" w:space="0" w:color="auto"/>
        <w:bottom w:val="none" w:sz="0" w:space="0" w:color="auto"/>
        <w:right w:val="none" w:sz="0" w:space="0" w:color="auto"/>
      </w:divBdr>
    </w:div>
    <w:div w:id="1047071323">
      <w:bodyDiv w:val="1"/>
      <w:marLeft w:val="0"/>
      <w:marRight w:val="0"/>
      <w:marTop w:val="0"/>
      <w:marBottom w:val="0"/>
      <w:divBdr>
        <w:top w:val="none" w:sz="0" w:space="0" w:color="auto"/>
        <w:left w:val="none" w:sz="0" w:space="0" w:color="auto"/>
        <w:bottom w:val="none" w:sz="0" w:space="0" w:color="auto"/>
        <w:right w:val="none" w:sz="0" w:space="0" w:color="auto"/>
      </w:divBdr>
    </w:div>
    <w:div w:id="1104182672">
      <w:bodyDiv w:val="1"/>
      <w:marLeft w:val="0"/>
      <w:marRight w:val="0"/>
      <w:marTop w:val="0"/>
      <w:marBottom w:val="0"/>
      <w:divBdr>
        <w:top w:val="none" w:sz="0" w:space="0" w:color="auto"/>
        <w:left w:val="none" w:sz="0" w:space="0" w:color="auto"/>
        <w:bottom w:val="none" w:sz="0" w:space="0" w:color="auto"/>
        <w:right w:val="none" w:sz="0" w:space="0" w:color="auto"/>
      </w:divBdr>
    </w:div>
    <w:div w:id="1106928430">
      <w:bodyDiv w:val="1"/>
      <w:marLeft w:val="0"/>
      <w:marRight w:val="0"/>
      <w:marTop w:val="0"/>
      <w:marBottom w:val="0"/>
      <w:divBdr>
        <w:top w:val="none" w:sz="0" w:space="0" w:color="auto"/>
        <w:left w:val="none" w:sz="0" w:space="0" w:color="auto"/>
        <w:bottom w:val="none" w:sz="0" w:space="0" w:color="auto"/>
        <w:right w:val="none" w:sz="0" w:space="0" w:color="auto"/>
      </w:divBdr>
    </w:div>
    <w:div w:id="1257204524">
      <w:bodyDiv w:val="1"/>
      <w:marLeft w:val="0"/>
      <w:marRight w:val="0"/>
      <w:marTop w:val="0"/>
      <w:marBottom w:val="0"/>
      <w:divBdr>
        <w:top w:val="none" w:sz="0" w:space="0" w:color="auto"/>
        <w:left w:val="none" w:sz="0" w:space="0" w:color="auto"/>
        <w:bottom w:val="none" w:sz="0" w:space="0" w:color="auto"/>
        <w:right w:val="none" w:sz="0" w:space="0" w:color="auto"/>
      </w:divBdr>
    </w:div>
    <w:div w:id="1290666449">
      <w:bodyDiv w:val="1"/>
      <w:marLeft w:val="0"/>
      <w:marRight w:val="0"/>
      <w:marTop w:val="0"/>
      <w:marBottom w:val="0"/>
      <w:divBdr>
        <w:top w:val="none" w:sz="0" w:space="0" w:color="auto"/>
        <w:left w:val="none" w:sz="0" w:space="0" w:color="auto"/>
        <w:bottom w:val="none" w:sz="0" w:space="0" w:color="auto"/>
        <w:right w:val="none" w:sz="0" w:space="0" w:color="auto"/>
      </w:divBdr>
    </w:div>
    <w:div w:id="1300645041">
      <w:bodyDiv w:val="1"/>
      <w:marLeft w:val="0"/>
      <w:marRight w:val="0"/>
      <w:marTop w:val="0"/>
      <w:marBottom w:val="0"/>
      <w:divBdr>
        <w:top w:val="none" w:sz="0" w:space="0" w:color="auto"/>
        <w:left w:val="none" w:sz="0" w:space="0" w:color="auto"/>
        <w:bottom w:val="none" w:sz="0" w:space="0" w:color="auto"/>
        <w:right w:val="none" w:sz="0" w:space="0" w:color="auto"/>
      </w:divBdr>
    </w:div>
    <w:div w:id="1334533384">
      <w:bodyDiv w:val="1"/>
      <w:marLeft w:val="0"/>
      <w:marRight w:val="0"/>
      <w:marTop w:val="0"/>
      <w:marBottom w:val="0"/>
      <w:divBdr>
        <w:top w:val="none" w:sz="0" w:space="0" w:color="auto"/>
        <w:left w:val="none" w:sz="0" w:space="0" w:color="auto"/>
        <w:bottom w:val="none" w:sz="0" w:space="0" w:color="auto"/>
        <w:right w:val="none" w:sz="0" w:space="0" w:color="auto"/>
      </w:divBdr>
    </w:div>
    <w:div w:id="1381905611">
      <w:bodyDiv w:val="1"/>
      <w:marLeft w:val="0"/>
      <w:marRight w:val="0"/>
      <w:marTop w:val="0"/>
      <w:marBottom w:val="0"/>
      <w:divBdr>
        <w:top w:val="none" w:sz="0" w:space="0" w:color="auto"/>
        <w:left w:val="none" w:sz="0" w:space="0" w:color="auto"/>
        <w:bottom w:val="none" w:sz="0" w:space="0" w:color="auto"/>
        <w:right w:val="none" w:sz="0" w:space="0" w:color="auto"/>
      </w:divBdr>
    </w:div>
    <w:div w:id="1481193752">
      <w:bodyDiv w:val="1"/>
      <w:marLeft w:val="0"/>
      <w:marRight w:val="0"/>
      <w:marTop w:val="0"/>
      <w:marBottom w:val="0"/>
      <w:divBdr>
        <w:top w:val="none" w:sz="0" w:space="0" w:color="auto"/>
        <w:left w:val="none" w:sz="0" w:space="0" w:color="auto"/>
        <w:bottom w:val="none" w:sz="0" w:space="0" w:color="auto"/>
        <w:right w:val="none" w:sz="0" w:space="0" w:color="auto"/>
      </w:divBdr>
    </w:div>
    <w:div w:id="1657030486">
      <w:bodyDiv w:val="1"/>
      <w:marLeft w:val="0"/>
      <w:marRight w:val="0"/>
      <w:marTop w:val="0"/>
      <w:marBottom w:val="0"/>
      <w:divBdr>
        <w:top w:val="none" w:sz="0" w:space="0" w:color="auto"/>
        <w:left w:val="none" w:sz="0" w:space="0" w:color="auto"/>
        <w:bottom w:val="none" w:sz="0" w:space="0" w:color="auto"/>
        <w:right w:val="none" w:sz="0" w:space="0" w:color="auto"/>
      </w:divBdr>
    </w:div>
    <w:div w:id="1714496070">
      <w:bodyDiv w:val="1"/>
      <w:marLeft w:val="0"/>
      <w:marRight w:val="0"/>
      <w:marTop w:val="0"/>
      <w:marBottom w:val="0"/>
      <w:divBdr>
        <w:top w:val="none" w:sz="0" w:space="0" w:color="auto"/>
        <w:left w:val="none" w:sz="0" w:space="0" w:color="auto"/>
        <w:bottom w:val="none" w:sz="0" w:space="0" w:color="auto"/>
        <w:right w:val="none" w:sz="0" w:space="0" w:color="auto"/>
      </w:divBdr>
    </w:div>
    <w:div w:id="1737512512">
      <w:bodyDiv w:val="1"/>
      <w:marLeft w:val="0"/>
      <w:marRight w:val="0"/>
      <w:marTop w:val="0"/>
      <w:marBottom w:val="0"/>
      <w:divBdr>
        <w:top w:val="none" w:sz="0" w:space="0" w:color="auto"/>
        <w:left w:val="none" w:sz="0" w:space="0" w:color="auto"/>
        <w:bottom w:val="none" w:sz="0" w:space="0" w:color="auto"/>
        <w:right w:val="none" w:sz="0" w:space="0" w:color="auto"/>
      </w:divBdr>
    </w:div>
    <w:div w:id="1763144063">
      <w:bodyDiv w:val="1"/>
      <w:marLeft w:val="0"/>
      <w:marRight w:val="0"/>
      <w:marTop w:val="0"/>
      <w:marBottom w:val="0"/>
      <w:divBdr>
        <w:top w:val="none" w:sz="0" w:space="0" w:color="auto"/>
        <w:left w:val="none" w:sz="0" w:space="0" w:color="auto"/>
        <w:bottom w:val="none" w:sz="0" w:space="0" w:color="auto"/>
        <w:right w:val="none" w:sz="0" w:space="0" w:color="auto"/>
      </w:divBdr>
    </w:div>
    <w:div w:id="1780447860">
      <w:bodyDiv w:val="1"/>
      <w:marLeft w:val="0"/>
      <w:marRight w:val="0"/>
      <w:marTop w:val="0"/>
      <w:marBottom w:val="0"/>
      <w:divBdr>
        <w:top w:val="none" w:sz="0" w:space="0" w:color="auto"/>
        <w:left w:val="none" w:sz="0" w:space="0" w:color="auto"/>
        <w:bottom w:val="none" w:sz="0" w:space="0" w:color="auto"/>
        <w:right w:val="none" w:sz="0" w:space="0" w:color="auto"/>
      </w:divBdr>
    </w:div>
    <w:div w:id="1836457225">
      <w:bodyDiv w:val="1"/>
      <w:marLeft w:val="0"/>
      <w:marRight w:val="0"/>
      <w:marTop w:val="0"/>
      <w:marBottom w:val="0"/>
      <w:divBdr>
        <w:top w:val="none" w:sz="0" w:space="0" w:color="auto"/>
        <w:left w:val="none" w:sz="0" w:space="0" w:color="auto"/>
        <w:bottom w:val="none" w:sz="0" w:space="0" w:color="auto"/>
        <w:right w:val="none" w:sz="0" w:space="0" w:color="auto"/>
      </w:divBdr>
    </w:div>
    <w:div w:id="1846626599">
      <w:bodyDiv w:val="1"/>
      <w:marLeft w:val="0"/>
      <w:marRight w:val="0"/>
      <w:marTop w:val="0"/>
      <w:marBottom w:val="0"/>
      <w:divBdr>
        <w:top w:val="none" w:sz="0" w:space="0" w:color="auto"/>
        <w:left w:val="none" w:sz="0" w:space="0" w:color="auto"/>
        <w:bottom w:val="none" w:sz="0" w:space="0" w:color="auto"/>
        <w:right w:val="none" w:sz="0" w:space="0" w:color="auto"/>
      </w:divBdr>
    </w:div>
    <w:div w:id="1858228813">
      <w:bodyDiv w:val="1"/>
      <w:marLeft w:val="0"/>
      <w:marRight w:val="0"/>
      <w:marTop w:val="0"/>
      <w:marBottom w:val="0"/>
      <w:divBdr>
        <w:top w:val="none" w:sz="0" w:space="0" w:color="auto"/>
        <w:left w:val="none" w:sz="0" w:space="0" w:color="auto"/>
        <w:bottom w:val="none" w:sz="0" w:space="0" w:color="auto"/>
        <w:right w:val="none" w:sz="0" w:space="0" w:color="auto"/>
      </w:divBdr>
    </w:div>
    <w:div w:id="2083794596">
      <w:bodyDiv w:val="1"/>
      <w:marLeft w:val="0"/>
      <w:marRight w:val="0"/>
      <w:marTop w:val="0"/>
      <w:marBottom w:val="0"/>
      <w:divBdr>
        <w:top w:val="none" w:sz="0" w:space="0" w:color="auto"/>
        <w:left w:val="none" w:sz="0" w:space="0" w:color="auto"/>
        <w:bottom w:val="none" w:sz="0" w:space="0" w:color="auto"/>
        <w:right w:val="none" w:sz="0" w:space="0" w:color="auto"/>
      </w:divBdr>
    </w:div>
    <w:div w:id="213774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t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D24949C-A57C-462A-A62A-51A89FB1C37D}">
  <ds:schemaRefs>
    <ds:schemaRef ds:uri="http://schemas.openxmlformats.org/officeDocument/2006/bibliography"/>
  </ds:schemaRefs>
</ds:datastoreItem>
</file>

<file path=customXml/itemProps2.xml><?xml version="1.0" encoding="utf-8"?>
<ds:datastoreItem xmlns:ds="http://schemas.openxmlformats.org/officeDocument/2006/customXml" ds:itemID="{05CEA315-5830-4DE1-A94A-5CDF81033A07}">
  <ds:schemaRefs>
    <ds:schemaRef ds:uri="http://schemas.openxmlformats.org/officeDocument/2006/bibliography"/>
  </ds:schemaRefs>
</ds:datastoreItem>
</file>

<file path=customXml/itemProps3.xml><?xml version="1.0" encoding="utf-8"?>
<ds:datastoreItem xmlns:ds="http://schemas.openxmlformats.org/officeDocument/2006/customXml" ds:itemID="{8DBA5C61-0798-45C4-9AF6-8AA2A281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27</Pages>
  <Words>9511</Words>
  <Characters>54219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Acknowledgements</vt:lpstr>
    </vt:vector>
  </TitlesOfParts>
  <Company>Hewlett-Packard</Company>
  <LinksUpToDate>false</LinksUpToDate>
  <CharactersWithSpaces>63603</CharactersWithSpaces>
  <SharedDoc>false</SharedDoc>
  <HLinks>
    <vt:vector size="66" baseType="variant">
      <vt:variant>
        <vt:i4>1769524</vt:i4>
      </vt:variant>
      <vt:variant>
        <vt:i4>62</vt:i4>
      </vt:variant>
      <vt:variant>
        <vt:i4>0</vt:i4>
      </vt:variant>
      <vt:variant>
        <vt:i4>5</vt:i4>
      </vt:variant>
      <vt:variant>
        <vt:lpwstr/>
      </vt:variant>
      <vt:variant>
        <vt:lpwstr>_Toc392623701</vt:lpwstr>
      </vt:variant>
      <vt:variant>
        <vt:i4>1769524</vt:i4>
      </vt:variant>
      <vt:variant>
        <vt:i4>56</vt:i4>
      </vt:variant>
      <vt:variant>
        <vt:i4>0</vt:i4>
      </vt:variant>
      <vt:variant>
        <vt:i4>5</vt:i4>
      </vt:variant>
      <vt:variant>
        <vt:lpwstr/>
      </vt:variant>
      <vt:variant>
        <vt:lpwstr>_Toc392623700</vt:lpwstr>
      </vt:variant>
      <vt:variant>
        <vt:i4>1179701</vt:i4>
      </vt:variant>
      <vt:variant>
        <vt:i4>50</vt:i4>
      </vt:variant>
      <vt:variant>
        <vt:i4>0</vt:i4>
      </vt:variant>
      <vt:variant>
        <vt:i4>5</vt:i4>
      </vt:variant>
      <vt:variant>
        <vt:lpwstr/>
      </vt:variant>
      <vt:variant>
        <vt:lpwstr>_Toc392623699</vt:lpwstr>
      </vt:variant>
      <vt:variant>
        <vt:i4>1179701</vt:i4>
      </vt:variant>
      <vt:variant>
        <vt:i4>44</vt:i4>
      </vt:variant>
      <vt:variant>
        <vt:i4>0</vt:i4>
      </vt:variant>
      <vt:variant>
        <vt:i4>5</vt:i4>
      </vt:variant>
      <vt:variant>
        <vt:lpwstr/>
      </vt:variant>
      <vt:variant>
        <vt:lpwstr>_Toc392623698</vt:lpwstr>
      </vt:variant>
      <vt:variant>
        <vt:i4>1179701</vt:i4>
      </vt:variant>
      <vt:variant>
        <vt:i4>38</vt:i4>
      </vt:variant>
      <vt:variant>
        <vt:i4>0</vt:i4>
      </vt:variant>
      <vt:variant>
        <vt:i4>5</vt:i4>
      </vt:variant>
      <vt:variant>
        <vt:lpwstr/>
      </vt:variant>
      <vt:variant>
        <vt:lpwstr>_Toc392623697</vt:lpwstr>
      </vt:variant>
      <vt:variant>
        <vt:i4>1179701</vt:i4>
      </vt:variant>
      <vt:variant>
        <vt:i4>32</vt:i4>
      </vt:variant>
      <vt:variant>
        <vt:i4>0</vt:i4>
      </vt:variant>
      <vt:variant>
        <vt:i4>5</vt:i4>
      </vt:variant>
      <vt:variant>
        <vt:lpwstr/>
      </vt:variant>
      <vt:variant>
        <vt:lpwstr>_Toc392623696</vt:lpwstr>
      </vt:variant>
      <vt:variant>
        <vt:i4>1179701</vt:i4>
      </vt:variant>
      <vt:variant>
        <vt:i4>26</vt:i4>
      </vt:variant>
      <vt:variant>
        <vt:i4>0</vt:i4>
      </vt:variant>
      <vt:variant>
        <vt:i4>5</vt:i4>
      </vt:variant>
      <vt:variant>
        <vt:lpwstr/>
      </vt:variant>
      <vt:variant>
        <vt:lpwstr>_Toc392623695</vt:lpwstr>
      </vt:variant>
      <vt:variant>
        <vt:i4>1179701</vt:i4>
      </vt:variant>
      <vt:variant>
        <vt:i4>20</vt:i4>
      </vt:variant>
      <vt:variant>
        <vt:i4>0</vt:i4>
      </vt:variant>
      <vt:variant>
        <vt:i4>5</vt:i4>
      </vt:variant>
      <vt:variant>
        <vt:lpwstr/>
      </vt:variant>
      <vt:variant>
        <vt:lpwstr>_Toc392623694</vt:lpwstr>
      </vt:variant>
      <vt:variant>
        <vt:i4>1179701</vt:i4>
      </vt:variant>
      <vt:variant>
        <vt:i4>14</vt:i4>
      </vt:variant>
      <vt:variant>
        <vt:i4>0</vt:i4>
      </vt:variant>
      <vt:variant>
        <vt:i4>5</vt:i4>
      </vt:variant>
      <vt:variant>
        <vt:lpwstr/>
      </vt:variant>
      <vt:variant>
        <vt:lpwstr>_Toc392623693</vt:lpwstr>
      </vt:variant>
      <vt:variant>
        <vt:i4>1179701</vt:i4>
      </vt:variant>
      <vt:variant>
        <vt:i4>8</vt:i4>
      </vt:variant>
      <vt:variant>
        <vt:i4>0</vt:i4>
      </vt:variant>
      <vt:variant>
        <vt:i4>5</vt:i4>
      </vt:variant>
      <vt:variant>
        <vt:lpwstr/>
      </vt:variant>
      <vt:variant>
        <vt:lpwstr>_Toc392623692</vt:lpwstr>
      </vt:variant>
      <vt:variant>
        <vt:i4>1179701</vt:i4>
      </vt:variant>
      <vt:variant>
        <vt:i4>2</vt:i4>
      </vt:variant>
      <vt:variant>
        <vt:i4>0</vt:i4>
      </vt:variant>
      <vt:variant>
        <vt:i4>5</vt:i4>
      </vt:variant>
      <vt:variant>
        <vt:lpwstr/>
      </vt:variant>
      <vt:variant>
        <vt:lpwstr>_Toc392623691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Acknowledgements</dc:title>
  <dc:creator>Sapiro</dc:creator>
  <cp:lastModifiedBy>Phil</cp:lastModifiedBy>
  <cp:revision>6</cp:revision>
  <cp:lastPrinted>2014-09-10T09:49:00Z</cp:lastPrinted>
  <dcterms:created xsi:type="dcterms:W3CDTF">2016-09-13T16:13:00Z</dcterms:created>
  <dcterms:modified xsi:type="dcterms:W3CDTF">2016-10-26T09:42:00Z</dcterms:modified>
</cp:coreProperties>
</file>