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As the campaign ahead of the UK referendum on EU membership reached its endpoint, the European Court of Justice (ECJ) </w:t>
      </w:r>
      <w:hyperlink r:id="rId4" w:history="1">
        <w:r w:rsidRPr="00172E73">
          <w:rPr>
            <w:rFonts w:ascii="Georgia" w:eastAsia="Times New Roman" w:hAnsi="Georgia" w:cs="Times New Roman"/>
            <w:color w:val="557585"/>
            <w:sz w:val="24"/>
            <w:szCs w:val="24"/>
            <w:u w:val="single"/>
            <w:lang w:eastAsia="en-GB"/>
          </w:rPr>
          <w:t>declared</w:t>
        </w:r>
      </w:hyperlink>
      <w:r w:rsidRPr="00172E73">
        <w:rPr>
          <w:rFonts w:ascii="Georgia" w:eastAsia="Times New Roman" w:hAnsi="Georgia" w:cs="Times New Roman"/>
          <w:color w:val="383838"/>
          <w:sz w:val="24"/>
          <w:szCs w:val="24"/>
          <w:lang w:eastAsia="en-GB"/>
        </w:rPr>
        <w:t> that UK restrictions on the access that EU citizens have to child benefit and child tax credit in Britain were lawful. The European Commission had challenged the legality of the UK’s restrictions.</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Given its timing, the outcome of the </w:t>
      </w:r>
      <w:hyperlink r:id="rId5" w:history="1">
        <w:r w:rsidRPr="00172E73">
          <w:rPr>
            <w:rFonts w:ascii="Georgia" w:eastAsia="Times New Roman" w:hAnsi="Georgia" w:cs="Times New Roman"/>
            <w:color w:val="557585"/>
            <w:sz w:val="24"/>
            <w:szCs w:val="24"/>
            <w:u w:val="single"/>
            <w:lang w:eastAsia="en-GB"/>
          </w:rPr>
          <w:t>Commission v UK</w:t>
        </w:r>
      </w:hyperlink>
      <w:r w:rsidRPr="00172E73">
        <w:rPr>
          <w:rFonts w:ascii="Georgia" w:eastAsia="Times New Roman" w:hAnsi="Georgia" w:cs="Times New Roman"/>
          <w:color w:val="383838"/>
          <w:sz w:val="24"/>
          <w:szCs w:val="24"/>
          <w:lang w:eastAsia="en-GB"/>
        </w:rPr>
        <w:t> case can hardly be considered surprising. By focusing on internal EU migration, the ruling deals with issues that are undeniably at </w:t>
      </w:r>
      <w:hyperlink r:id="rId6" w:history="1">
        <w:r w:rsidRPr="00172E73">
          <w:rPr>
            <w:rFonts w:ascii="Georgia" w:eastAsia="Times New Roman" w:hAnsi="Georgia" w:cs="Times New Roman"/>
            <w:color w:val="557585"/>
            <w:sz w:val="24"/>
            <w:szCs w:val="24"/>
            <w:u w:val="single"/>
            <w:lang w:eastAsia="en-GB"/>
          </w:rPr>
          <w:t>the forefront of the Brexit debate</w:t>
        </w:r>
      </w:hyperlink>
      <w:r w:rsidRPr="00172E73">
        <w:rPr>
          <w:rFonts w:ascii="Georgia" w:eastAsia="Times New Roman" w:hAnsi="Georgia" w:cs="Times New Roman"/>
          <w:color w:val="383838"/>
          <w:sz w:val="24"/>
          <w:szCs w:val="24"/>
          <w:lang w:eastAsia="en-GB"/>
        </w:rPr>
        <w:t>. But the judgment is merely an extension of a </w:t>
      </w:r>
      <w:hyperlink r:id="rId7" w:anchor="axzz4BjVHT1jc" w:history="1">
        <w:r w:rsidRPr="00172E73">
          <w:rPr>
            <w:rFonts w:ascii="Georgia" w:eastAsia="Times New Roman" w:hAnsi="Georgia" w:cs="Times New Roman"/>
            <w:color w:val="557585"/>
            <w:sz w:val="24"/>
            <w:szCs w:val="24"/>
            <w:u w:val="single"/>
            <w:lang w:eastAsia="en-GB"/>
          </w:rPr>
          <w:t>wider sea change</w:t>
        </w:r>
      </w:hyperlink>
      <w:r w:rsidRPr="00172E73">
        <w:rPr>
          <w:rFonts w:ascii="Georgia" w:eastAsia="Times New Roman" w:hAnsi="Georgia" w:cs="Times New Roman"/>
          <w:color w:val="383838"/>
          <w:sz w:val="24"/>
          <w:szCs w:val="24"/>
          <w:lang w:eastAsia="en-GB"/>
        </w:rPr>
        <w:t> that reflects a general acceptance by the ECJ of arguments made by some member states who want to restrict access to welfare for non-economically active EU migrants.</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 xml:space="preserve">The ruling can be seen as a boost for </w:t>
      </w:r>
      <w:proofErr w:type="gramStart"/>
      <w:r w:rsidRPr="00172E73">
        <w:rPr>
          <w:rFonts w:ascii="Georgia" w:eastAsia="Times New Roman" w:hAnsi="Georgia" w:cs="Times New Roman"/>
          <w:color w:val="383838"/>
          <w:sz w:val="24"/>
          <w:szCs w:val="24"/>
          <w:lang w:eastAsia="en-GB"/>
        </w:rPr>
        <w:t>the remain</w:t>
      </w:r>
      <w:proofErr w:type="gramEnd"/>
      <w:r w:rsidRPr="00172E73">
        <w:rPr>
          <w:rFonts w:ascii="Georgia" w:eastAsia="Times New Roman" w:hAnsi="Georgia" w:cs="Times New Roman"/>
          <w:color w:val="383838"/>
          <w:sz w:val="24"/>
          <w:szCs w:val="24"/>
          <w:lang w:eastAsia="en-GB"/>
        </w:rPr>
        <w:t xml:space="preserve"> camp, providing evidence that a vote to stay in the EU will not be an open invitation to “benefit tourists”. Yet it also shows how it has become both </w:t>
      </w:r>
      <w:hyperlink r:id="rId8" w:history="1">
        <w:r w:rsidRPr="00172E73">
          <w:rPr>
            <w:rFonts w:ascii="Georgia" w:eastAsia="Times New Roman" w:hAnsi="Georgia" w:cs="Times New Roman"/>
            <w:color w:val="557585"/>
            <w:sz w:val="24"/>
            <w:szCs w:val="24"/>
            <w:u w:val="single"/>
            <w:lang w:eastAsia="en-GB"/>
          </w:rPr>
          <w:t>politically acceptable and desirable</w:t>
        </w:r>
      </w:hyperlink>
      <w:r w:rsidRPr="00172E73">
        <w:rPr>
          <w:rFonts w:ascii="Georgia" w:eastAsia="Times New Roman" w:hAnsi="Georgia" w:cs="Times New Roman"/>
          <w:color w:val="383838"/>
          <w:sz w:val="24"/>
          <w:szCs w:val="24"/>
          <w:lang w:eastAsia="en-GB"/>
        </w:rPr>
        <w:t> to be seen to be taking a tough stance on some of the most vulnerable in society.</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The ECJ’s language in the new ruling arguably also suggests that it might be receptive to the UK’s restrictions on in-work benefits for EU migrants. This formed a central part of the </w:t>
      </w:r>
      <w:proofErr w:type="spellStart"/>
      <w:r w:rsidRPr="00172E73">
        <w:rPr>
          <w:rFonts w:ascii="Georgia" w:eastAsia="Times New Roman" w:hAnsi="Georgia" w:cs="Times New Roman"/>
          <w:color w:val="383838"/>
          <w:sz w:val="24"/>
          <w:szCs w:val="24"/>
          <w:lang w:eastAsia="en-GB"/>
        </w:rPr>
        <w:fldChar w:fldCharType="begin"/>
      </w:r>
      <w:r w:rsidRPr="00172E73">
        <w:rPr>
          <w:rFonts w:ascii="Georgia" w:eastAsia="Times New Roman" w:hAnsi="Georgia" w:cs="Times New Roman"/>
          <w:color w:val="383838"/>
          <w:sz w:val="24"/>
          <w:szCs w:val="24"/>
          <w:lang w:eastAsia="en-GB"/>
        </w:rPr>
        <w:instrText xml:space="preserve"> HYPERLINK "http://www.consilium.europa.eu/en/policies/uk/2016-uk-settlement-process-timeline/" </w:instrText>
      </w:r>
      <w:r w:rsidRPr="00172E73">
        <w:rPr>
          <w:rFonts w:ascii="Georgia" w:eastAsia="Times New Roman" w:hAnsi="Georgia" w:cs="Times New Roman"/>
          <w:color w:val="383838"/>
          <w:sz w:val="24"/>
          <w:szCs w:val="24"/>
          <w:lang w:eastAsia="en-GB"/>
        </w:rPr>
        <w:fldChar w:fldCharType="separate"/>
      </w:r>
      <w:r w:rsidRPr="00172E73">
        <w:rPr>
          <w:rFonts w:ascii="Georgia" w:eastAsia="Times New Roman" w:hAnsi="Georgia" w:cs="Times New Roman"/>
          <w:color w:val="557585"/>
          <w:sz w:val="24"/>
          <w:szCs w:val="24"/>
          <w:u w:val="single"/>
          <w:lang w:eastAsia="en-GB"/>
        </w:rPr>
        <w:t>deal</w:t>
      </w:r>
      <w:r w:rsidRPr="00172E73">
        <w:rPr>
          <w:rFonts w:ascii="Georgia" w:eastAsia="Times New Roman" w:hAnsi="Georgia" w:cs="Times New Roman"/>
          <w:color w:val="383838"/>
          <w:sz w:val="24"/>
          <w:szCs w:val="24"/>
          <w:lang w:eastAsia="en-GB"/>
        </w:rPr>
        <w:fldChar w:fldCharType="end"/>
      </w:r>
      <w:r w:rsidRPr="00172E73">
        <w:rPr>
          <w:rFonts w:ascii="Georgia" w:eastAsia="Times New Roman" w:hAnsi="Georgia" w:cs="Times New Roman"/>
          <w:color w:val="383838"/>
          <w:sz w:val="24"/>
          <w:szCs w:val="24"/>
          <w:lang w:eastAsia="en-GB"/>
        </w:rPr>
        <w:t>which</w:t>
      </w:r>
      <w:proofErr w:type="spellEnd"/>
      <w:r w:rsidRPr="00172E73">
        <w:rPr>
          <w:rFonts w:ascii="Georgia" w:eastAsia="Times New Roman" w:hAnsi="Georgia" w:cs="Times New Roman"/>
          <w:color w:val="383838"/>
          <w:sz w:val="24"/>
          <w:szCs w:val="24"/>
          <w:lang w:eastAsia="en-GB"/>
        </w:rPr>
        <w:t xml:space="preserve"> British Prime Minister David Cameron negotiated with other EU leaders in February, and which would come into force should the UK vote to remain on June 23.</w:t>
      </w:r>
    </w:p>
    <w:p w:rsidR="00172E73" w:rsidRPr="00172E73" w:rsidRDefault="00172E73" w:rsidP="00172E73">
      <w:pPr>
        <w:shd w:val="clear" w:color="auto" w:fill="FFFFFF"/>
        <w:spacing w:after="180" w:line="240" w:lineRule="auto"/>
        <w:textAlignment w:val="baseline"/>
        <w:outlineLvl w:val="1"/>
        <w:rPr>
          <w:rFonts w:ascii="Georgia" w:eastAsia="Times New Roman" w:hAnsi="Georgia" w:cs="Times New Roman"/>
          <w:b/>
          <w:bCs/>
          <w:color w:val="383838"/>
          <w:sz w:val="35"/>
          <w:szCs w:val="35"/>
          <w:lang w:eastAsia="en-GB"/>
        </w:rPr>
      </w:pPr>
      <w:r w:rsidRPr="00172E73">
        <w:rPr>
          <w:rFonts w:ascii="Georgia" w:eastAsia="Times New Roman" w:hAnsi="Georgia" w:cs="Times New Roman"/>
          <w:b/>
          <w:bCs/>
          <w:color w:val="383838"/>
          <w:sz w:val="35"/>
          <w:szCs w:val="35"/>
          <w:lang w:eastAsia="en-GB"/>
        </w:rPr>
        <w:t>What the ECJ ruled</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By bringing the case the European Commission had challenged UK rules that require claimants to overcome a </w:t>
      </w:r>
      <w:hyperlink r:id="rId9" w:history="1">
        <w:r w:rsidRPr="00172E73">
          <w:rPr>
            <w:rFonts w:ascii="Georgia" w:eastAsia="Times New Roman" w:hAnsi="Georgia" w:cs="Times New Roman"/>
            <w:color w:val="557585"/>
            <w:sz w:val="24"/>
            <w:szCs w:val="24"/>
            <w:u w:val="single"/>
            <w:lang w:eastAsia="en-GB"/>
          </w:rPr>
          <w:t>“right to reside” test</w:t>
        </w:r>
      </w:hyperlink>
      <w:r w:rsidRPr="00172E73">
        <w:rPr>
          <w:rFonts w:ascii="Georgia" w:eastAsia="Times New Roman" w:hAnsi="Georgia" w:cs="Times New Roman"/>
          <w:color w:val="383838"/>
          <w:sz w:val="24"/>
          <w:szCs w:val="24"/>
          <w:lang w:eastAsia="en-GB"/>
        </w:rPr>
        <w:t> in order to access child benefit and child tax credit. To pass this test, EU citizens must be legally resident in the UK. Under the EU’s </w:t>
      </w:r>
      <w:hyperlink r:id="rId10" w:history="1">
        <w:r w:rsidRPr="00172E73">
          <w:rPr>
            <w:rFonts w:ascii="Georgia" w:eastAsia="Times New Roman" w:hAnsi="Georgia" w:cs="Times New Roman"/>
            <w:color w:val="557585"/>
            <w:sz w:val="24"/>
            <w:szCs w:val="24"/>
            <w:u w:val="single"/>
            <w:lang w:eastAsia="en-GB"/>
          </w:rPr>
          <w:t>Citizens’ Rights Directive</w:t>
        </w:r>
      </w:hyperlink>
      <w:r w:rsidRPr="00172E73">
        <w:rPr>
          <w:rFonts w:ascii="Georgia" w:eastAsia="Times New Roman" w:hAnsi="Georgia" w:cs="Times New Roman"/>
          <w:color w:val="383838"/>
          <w:sz w:val="24"/>
          <w:szCs w:val="24"/>
          <w:lang w:eastAsia="en-GB"/>
        </w:rPr>
        <w:t>, after three months, non-national EU citizens are legally resident in the UK if they are working, self-employed, or have sufficient resources and comprehensive sickness cover not to become an “unreasonable burden” on the social assistance system.</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As a result, applications for child benefit or child tax credit by non-economically active EU citizens risk being rejected in the UK on the basis that they would not pass the “right to reside” test because they lack the sufficient resources.</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The commission argued, that, by virtue of the EU’s </w:t>
      </w:r>
      <w:hyperlink r:id="rId11" w:history="1">
        <w:r w:rsidRPr="00172E73">
          <w:rPr>
            <w:rFonts w:ascii="Georgia" w:eastAsia="Times New Roman" w:hAnsi="Georgia" w:cs="Times New Roman"/>
            <w:color w:val="557585"/>
            <w:sz w:val="24"/>
            <w:szCs w:val="24"/>
            <w:u w:val="single"/>
            <w:lang w:eastAsia="en-GB"/>
          </w:rPr>
          <w:t>Coordination of Social Security Regulation</w:t>
        </w:r>
      </w:hyperlink>
      <w:r w:rsidRPr="00172E73">
        <w:rPr>
          <w:rFonts w:ascii="Georgia" w:eastAsia="Times New Roman" w:hAnsi="Georgia" w:cs="Times New Roman"/>
          <w:color w:val="383838"/>
          <w:sz w:val="24"/>
          <w:szCs w:val="24"/>
          <w:lang w:eastAsia="en-GB"/>
        </w:rPr>
        <w:t>, access to social security – such as child benefit and child tax credit – should be determined solely by a test of whether an individual was “habitually resident” in the UK. Such a test, it argued, determined which member state’s social security system was responsible for any given individual, ensuring that no EU citizen fell through a gap in protection. The ECJ disagreed, holding that it was up to individual member states to determine the conditions for accessing social security.</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Even though the ECJ said that the UK’s “right to reside” test was indirectly discriminatory, crucially, it held that the test was justified by the UK’s need to protect its finances. The court said the European Commission had not provided evidence that the test was an inappropriate or disproportionate means of achieving this goal.</w:t>
      </w:r>
    </w:p>
    <w:p w:rsidR="00172E73" w:rsidRPr="00172E73" w:rsidRDefault="00172E73" w:rsidP="00172E73">
      <w:pPr>
        <w:shd w:val="clear" w:color="auto" w:fill="FFFFFF"/>
        <w:spacing w:after="180" w:line="240" w:lineRule="auto"/>
        <w:textAlignment w:val="baseline"/>
        <w:outlineLvl w:val="1"/>
        <w:rPr>
          <w:rFonts w:ascii="Georgia" w:eastAsia="Times New Roman" w:hAnsi="Georgia" w:cs="Times New Roman"/>
          <w:b/>
          <w:bCs/>
          <w:color w:val="383838"/>
          <w:sz w:val="35"/>
          <w:szCs w:val="35"/>
          <w:lang w:eastAsia="en-GB"/>
        </w:rPr>
      </w:pPr>
      <w:r w:rsidRPr="00172E73">
        <w:rPr>
          <w:rFonts w:ascii="Georgia" w:eastAsia="Times New Roman" w:hAnsi="Georgia" w:cs="Times New Roman"/>
          <w:b/>
          <w:bCs/>
          <w:color w:val="383838"/>
          <w:sz w:val="35"/>
          <w:szCs w:val="35"/>
          <w:lang w:eastAsia="en-GB"/>
        </w:rPr>
        <w:lastRenderedPageBreak/>
        <w:t>Politically desirable poverty</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Far from being a one-off judgment, the ECJ’s ruling is the latest in a recent line of decisions permitting member states to restrict access to social benefits for non-economically active EU citizens. In recent years, the court has progressively distanced itself from its previous approach of assessing lawful residence and access to welfare </w:t>
      </w:r>
      <w:hyperlink r:id="rId12" w:history="1">
        <w:r w:rsidRPr="00172E73">
          <w:rPr>
            <w:rFonts w:ascii="Georgia" w:eastAsia="Times New Roman" w:hAnsi="Georgia" w:cs="Times New Roman"/>
            <w:color w:val="557585"/>
            <w:sz w:val="24"/>
            <w:szCs w:val="24"/>
            <w:u w:val="single"/>
            <w:lang w:eastAsia="en-GB"/>
          </w:rPr>
          <w:t>on an individual basis</w:t>
        </w:r>
      </w:hyperlink>
      <w:r w:rsidRPr="00172E73">
        <w:rPr>
          <w:rFonts w:ascii="Georgia" w:eastAsia="Times New Roman" w:hAnsi="Georgia" w:cs="Times New Roman"/>
          <w:color w:val="383838"/>
          <w:sz w:val="24"/>
          <w:szCs w:val="24"/>
          <w:lang w:eastAsia="en-GB"/>
        </w:rPr>
        <w:t>. Instead, it has focused on the </w:t>
      </w:r>
      <w:hyperlink r:id="rId13" w:history="1">
        <w:r w:rsidRPr="00172E73">
          <w:rPr>
            <w:rFonts w:ascii="Georgia" w:eastAsia="Times New Roman" w:hAnsi="Georgia" w:cs="Times New Roman"/>
            <w:color w:val="557585"/>
            <w:sz w:val="24"/>
            <w:szCs w:val="24"/>
            <w:u w:val="single"/>
            <w:lang w:eastAsia="en-GB"/>
          </w:rPr>
          <w:t>potential cumulative impact</w:t>
        </w:r>
      </w:hyperlink>
      <w:r w:rsidRPr="00172E73">
        <w:rPr>
          <w:rFonts w:ascii="Georgia" w:eastAsia="Times New Roman" w:hAnsi="Georgia" w:cs="Times New Roman"/>
          <w:color w:val="383838"/>
          <w:sz w:val="24"/>
          <w:szCs w:val="24"/>
          <w:lang w:eastAsia="en-GB"/>
        </w:rPr>
        <w:t> of claimants on a member state’s benefits system as a whole.</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There is little burden on member states to demonstrate evidence of the impact benefit claimants from the EU have on the sustainability of their finances. In this recent case, the onus was on the European Commission to prove that the UK approach was unnecessary. As some experts have argued, this risks placing vulnerable EU migrants, including those in temporary need, on </w:t>
      </w:r>
      <w:hyperlink r:id="rId14" w:history="1">
        <w:r w:rsidRPr="00172E73">
          <w:rPr>
            <w:rFonts w:ascii="Georgia" w:eastAsia="Times New Roman" w:hAnsi="Georgia" w:cs="Times New Roman"/>
            <w:color w:val="557585"/>
            <w:sz w:val="24"/>
            <w:szCs w:val="24"/>
            <w:u w:val="single"/>
            <w:lang w:eastAsia="en-GB"/>
          </w:rPr>
          <w:t>welfare cliff edges</w:t>
        </w:r>
      </w:hyperlink>
      <w:r w:rsidRPr="00172E73">
        <w:rPr>
          <w:rFonts w:ascii="Georgia" w:eastAsia="Times New Roman" w:hAnsi="Georgia" w:cs="Times New Roman"/>
          <w:color w:val="383838"/>
          <w:sz w:val="24"/>
          <w:szCs w:val="24"/>
          <w:lang w:eastAsia="en-GB"/>
        </w:rPr>
        <w:t> and at risk of </w:t>
      </w:r>
      <w:hyperlink r:id="rId15" w:history="1">
        <w:r w:rsidRPr="00172E73">
          <w:rPr>
            <w:rFonts w:ascii="Georgia" w:eastAsia="Times New Roman" w:hAnsi="Georgia" w:cs="Times New Roman"/>
            <w:color w:val="557585"/>
            <w:sz w:val="24"/>
            <w:szCs w:val="24"/>
            <w:u w:val="single"/>
            <w:lang w:eastAsia="en-GB"/>
          </w:rPr>
          <w:t>destitution</w:t>
        </w:r>
      </w:hyperlink>
      <w:r w:rsidRPr="00172E73">
        <w:rPr>
          <w:rFonts w:ascii="Georgia" w:eastAsia="Times New Roman" w:hAnsi="Georgia" w:cs="Times New Roman"/>
          <w:color w:val="383838"/>
          <w:sz w:val="24"/>
          <w:szCs w:val="24"/>
          <w:lang w:eastAsia="en-GB"/>
        </w:rPr>
        <w:t>.</w:t>
      </w:r>
    </w:p>
    <w:p w:rsidR="00172E73" w:rsidRPr="00172E73" w:rsidRDefault="00172E73" w:rsidP="00172E73">
      <w:pPr>
        <w:shd w:val="clear" w:color="auto" w:fill="FFFFFF"/>
        <w:spacing w:after="180" w:line="240" w:lineRule="auto"/>
        <w:textAlignment w:val="baseline"/>
        <w:outlineLvl w:val="1"/>
        <w:rPr>
          <w:rFonts w:ascii="Georgia" w:eastAsia="Times New Roman" w:hAnsi="Georgia" w:cs="Times New Roman"/>
          <w:b/>
          <w:bCs/>
          <w:color w:val="383838"/>
          <w:sz w:val="35"/>
          <w:szCs w:val="35"/>
          <w:lang w:eastAsia="en-GB"/>
        </w:rPr>
      </w:pPr>
      <w:r w:rsidRPr="00172E73">
        <w:rPr>
          <w:rFonts w:ascii="Georgia" w:eastAsia="Times New Roman" w:hAnsi="Georgia" w:cs="Times New Roman"/>
          <w:b/>
          <w:bCs/>
          <w:color w:val="383838"/>
          <w:sz w:val="35"/>
          <w:szCs w:val="35"/>
          <w:lang w:eastAsia="en-GB"/>
        </w:rPr>
        <w:t>Equality under threat</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The judgment arguably indicates that the ECJ might well accept the UK’s plan to </w:t>
      </w:r>
      <w:hyperlink r:id="rId16" w:history="1">
        <w:r w:rsidRPr="00172E73">
          <w:rPr>
            <w:rFonts w:ascii="Georgia" w:eastAsia="Times New Roman" w:hAnsi="Georgia" w:cs="Times New Roman"/>
            <w:color w:val="557585"/>
            <w:sz w:val="24"/>
            <w:szCs w:val="24"/>
            <w:u w:val="single"/>
            <w:lang w:eastAsia="en-GB"/>
          </w:rPr>
          <w:t>introduce a “safeguard mechanism”</w:t>
        </w:r>
      </w:hyperlink>
      <w:r w:rsidRPr="00172E73">
        <w:rPr>
          <w:rFonts w:ascii="Georgia" w:eastAsia="Times New Roman" w:hAnsi="Georgia" w:cs="Times New Roman"/>
          <w:color w:val="383838"/>
          <w:sz w:val="24"/>
          <w:szCs w:val="24"/>
          <w:lang w:eastAsia="en-GB"/>
        </w:rPr>
        <w:t> that restricts access to in-work benefits for economically active EU citizens, such as </w:t>
      </w:r>
      <w:hyperlink r:id="rId17" w:history="1">
        <w:r w:rsidRPr="00172E73">
          <w:rPr>
            <w:rFonts w:ascii="Georgia" w:eastAsia="Times New Roman" w:hAnsi="Georgia" w:cs="Times New Roman"/>
            <w:color w:val="557585"/>
            <w:sz w:val="24"/>
            <w:szCs w:val="24"/>
            <w:u w:val="single"/>
            <w:lang w:eastAsia="en-GB"/>
          </w:rPr>
          <w:t>tax credits</w:t>
        </w:r>
      </w:hyperlink>
      <w:r w:rsidRPr="00172E73">
        <w:rPr>
          <w:rFonts w:ascii="Georgia" w:eastAsia="Times New Roman" w:hAnsi="Georgia" w:cs="Times New Roman"/>
          <w:color w:val="383838"/>
          <w:sz w:val="24"/>
          <w:szCs w:val="24"/>
          <w:lang w:eastAsia="en-GB"/>
        </w:rPr>
        <w:t> for working people. This mechanism was at the heart of the EU deal Cameron agreed in February.</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While many on the leave side in the EU referendum have argued that </w:t>
      </w:r>
      <w:hyperlink r:id="rId18" w:history="1">
        <w:r w:rsidRPr="00172E73">
          <w:rPr>
            <w:rFonts w:ascii="Georgia" w:eastAsia="Times New Roman" w:hAnsi="Georgia" w:cs="Times New Roman"/>
            <w:color w:val="557585"/>
            <w:sz w:val="24"/>
            <w:szCs w:val="24"/>
            <w:u w:val="single"/>
            <w:lang w:eastAsia="en-GB"/>
          </w:rPr>
          <w:t>Cameron achieved little during the renegotiations</w:t>
        </w:r>
      </w:hyperlink>
      <w:r w:rsidRPr="00172E73">
        <w:rPr>
          <w:rFonts w:ascii="Georgia" w:eastAsia="Times New Roman" w:hAnsi="Georgia" w:cs="Times New Roman"/>
          <w:color w:val="383838"/>
          <w:sz w:val="24"/>
          <w:szCs w:val="24"/>
          <w:lang w:eastAsia="en-GB"/>
        </w:rPr>
        <w:t>, the safeguard mechanism has been described by some academics as an “</w:t>
      </w:r>
      <w:hyperlink r:id="rId19" w:history="1">
        <w:r w:rsidRPr="00172E73">
          <w:rPr>
            <w:rFonts w:ascii="Georgia" w:eastAsia="Times New Roman" w:hAnsi="Georgia" w:cs="Times New Roman"/>
            <w:color w:val="557585"/>
            <w:sz w:val="24"/>
            <w:szCs w:val="24"/>
            <w:u w:val="single"/>
            <w:lang w:eastAsia="en-GB"/>
          </w:rPr>
          <w:t>unexpectedly good deal</w:t>
        </w:r>
      </w:hyperlink>
      <w:r w:rsidRPr="00172E73">
        <w:rPr>
          <w:rFonts w:ascii="Georgia" w:eastAsia="Times New Roman" w:hAnsi="Georgia" w:cs="Times New Roman"/>
          <w:color w:val="383838"/>
          <w:sz w:val="24"/>
          <w:szCs w:val="24"/>
          <w:lang w:eastAsia="en-GB"/>
        </w:rPr>
        <w:t>”. This is because the safeguard mechanism would allow Britain to discriminate against non-UK workers from the EU, which </w:t>
      </w:r>
      <w:hyperlink r:id="rId20" w:history="1">
        <w:r w:rsidRPr="00172E73">
          <w:rPr>
            <w:rFonts w:ascii="Georgia" w:eastAsia="Times New Roman" w:hAnsi="Georgia" w:cs="Times New Roman"/>
            <w:color w:val="557585"/>
            <w:sz w:val="24"/>
            <w:szCs w:val="24"/>
            <w:u w:val="single"/>
            <w:lang w:eastAsia="en-GB"/>
          </w:rPr>
          <w:t>has long been prohibited</w:t>
        </w:r>
      </w:hyperlink>
      <w:r w:rsidRPr="00172E73">
        <w:rPr>
          <w:rFonts w:ascii="Georgia" w:eastAsia="Times New Roman" w:hAnsi="Georgia" w:cs="Times New Roman"/>
          <w:color w:val="383838"/>
          <w:sz w:val="24"/>
          <w:szCs w:val="24"/>
          <w:lang w:eastAsia="en-GB"/>
        </w:rPr>
        <w:t> under EU law. Given the new ruling, the ECJ might be receptive to arguments that the safeguard mechanism can be justified in order to protect public finances.</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bookmarkStart w:id="0" w:name="_GoBack"/>
      <w:bookmarkEnd w:id="0"/>
      <w:r w:rsidRPr="00172E73">
        <w:rPr>
          <w:rFonts w:ascii="Georgia" w:eastAsia="Times New Roman" w:hAnsi="Georgia" w:cs="Times New Roman"/>
          <w:color w:val="383838"/>
          <w:sz w:val="24"/>
          <w:szCs w:val="24"/>
          <w:lang w:eastAsia="en-GB"/>
        </w:rPr>
        <w:t>When combined with existing </w:t>
      </w:r>
      <w:hyperlink r:id="rId21" w:history="1">
        <w:r w:rsidRPr="00172E73">
          <w:rPr>
            <w:rFonts w:ascii="Georgia" w:eastAsia="Times New Roman" w:hAnsi="Georgia" w:cs="Times New Roman"/>
            <w:color w:val="557585"/>
            <w:sz w:val="24"/>
            <w:szCs w:val="24"/>
            <w:u w:val="single"/>
            <w:lang w:eastAsia="en-GB"/>
          </w:rPr>
          <w:t>UK rules</w:t>
        </w:r>
      </w:hyperlink>
      <w:r w:rsidRPr="00172E73">
        <w:rPr>
          <w:rFonts w:ascii="Georgia" w:eastAsia="Times New Roman" w:hAnsi="Georgia" w:cs="Times New Roman"/>
          <w:color w:val="383838"/>
          <w:sz w:val="24"/>
          <w:szCs w:val="24"/>
          <w:lang w:eastAsia="en-GB"/>
        </w:rPr>
        <w:t> narrowing the definition of who qualifies as a “worker”, and </w:t>
      </w:r>
      <w:hyperlink r:id="rId22" w:history="1">
        <w:r w:rsidRPr="00172E73">
          <w:rPr>
            <w:rFonts w:ascii="Georgia" w:eastAsia="Times New Roman" w:hAnsi="Georgia" w:cs="Times New Roman"/>
            <w:color w:val="557585"/>
            <w:sz w:val="24"/>
            <w:szCs w:val="24"/>
            <w:u w:val="single"/>
            <w:lang w:eastAsia="en-GB"/>
          </w:rPr>
          <w:t>limiting access to social support for jobseekers</w:t>
        </w:r>
      </w:hyperlink>
      <w:r w:rsidRPr="00172E73">
        <w:rPr>
          <w:rFonts w:ascii="Georgia" w:eastAsia="Times New Roman" w:hAnsi="Georgia" w:cs="Times New Roman"/>
          <w:color w:val="383838"/>
          <w:sz w:val="24"/>
          <w:szCs w:val="24"/>
          <w:lang w:eastAsia="en-GB"/>
        </w:rPr>
        <w:t>, it has been argued that the safeguard mechanism will have a </w:t>
      </w:r>
      <w:hyperlink r:id="rId23" w:history="1">
        <w:r w:rsidRPr="00172E73">
          <w:rPr>
            <w:rFonts w:ascii="Georgia" w:eastAsia="Times New Roman" w:hAnsi="Georgia" w:cs="Times New Roman"/>
            <w:color w:val="557585"/>
            <w:sz w:val="24"/>
            <w:szCs w:val="24"/>
            <w:u w:val="single"/>
            <w:lang w:eastAsia="en-GB"/>
          </w:rPr>
          <w:t>disproportionately negative effect on women</w:t>
        </w:r>
      </w:hyperlink>
      <w:r w:rsidRPr="00172E73">
        <w:rPr>
          <w:rFonts w:ascii="Georgia" w:eastAsia="Times New Roman" w:hAnsi="Georgia" w:cs="Times New Roman"/>
          <w:color w:val="383838"/>
          <w:sz w:val="24"/>
          <w:szCs w:val="24"/>
          <w:lang w:eastAsia="en-GB"/>
        </w:rPr>
        <w:t>, who might experience breaks in the continuity of their employment as a result of childbirth, and are more likely to be in part-time employment or to perform unpaid care-giving roles.</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The safeguard mechanism on in-work benefits also arguably ignores the </w:t>
      </w:r>
      <w:hyperlink r:id="rId24" w:history="1">
        <w:r w:rsidRPr="00172E73">
          <w:rPr>
            <w:rFonts w:ascii="Georgia" w:eastAsia="Times New Roman" w:hAnsi="Georgia" w:cs="Times New Roman"/>
            <w:color w:val="006699"/>
            <w:sz w:val="24"/>
            <w:szCs w:val="24"/>
            <w:u w:val="single"/>
            <w:lang w:eastAsia="en-GB"/>
          </w:rPr>
          <w:t>reliance of the UK employment market on low-paid, zero-hours contract work</w:t>
        </w:r>
      </w:hyperlink>
      <w:proofErr w:type="gramStart"/>
      <w:r w:rsidRPr="00172E73">
        <w:rPr>
          <w:rFonts w:ascii="Georgia" w:eastAsia="Times New Roman" w:hAnsi="Georgia" w:cs="Times New Roman"/>
          <w:color w:val="383838"/>
          <w:sz w:val="24"/>
          <w:szCs w:val="24"/>
          <w:lang w:eastAsia="en-GB"/>
        </w:rPr>
        <w:t>, that</w:t>
      </w:r>
      <w:proofErr w:type="gramEnd"/>
      <w:r w:rsidRPr="00172E73">
        <w:rPr>
          <w:rFonts w:ascii="Georgia" w:eastAsia="Times New Roman" w:hAnsi="Georgia" w:cs="Times New Roman"/>
          <w:color w:val="383838"/>
          <w:sz w:val="24"/>
          <w:szCs w:val="24"/>
          <w:lang w:eastAsia="en-GB"/>
        </w:rPr>
        <w:t xml:space="preserve"> for many with and without care responsibilities, can only be performed with the support of state benefits.</w:t>
      </w:r>
    </w:p>
    <w:p w:rsidR="00172E73" w:rsidRPr="00172E73" w:rsidRDefault="00172E73" w:rsidP="00172E73">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172E73">
        <w:rPr>
          <w:rFonts w:ascii="Georgia" w:eastAsia="Times New Roman" w:hAnsi="Georgia" w:cs="Times New Roman"/>
          <w:color w:val="383838"/>
          <w:sz w:val="24"/>
          <w:szCs w:val="24"/>
          <w:lang w:eastAsia="en-GB"/>
        </w:rPr>
        <w:t xml:space="preserve">So the Commission v UK ruling represents the latest in a line of judgements in which the ECJ has accepted member state restrictions on access to welfare for EU citizens. That this can be seen as a boost for those campaigning for the UK to remain part of the EU, continues a troubling trend towards a tough stance on some of the most </w:t>
      </w:r>
      <w:proofErr w:type="gramStart"/>
      <w:r w:rsidRPr="00172E73">
        <w:rPr>
          <w:rFonts w:ascii="Georgia" w:eastAsia="Times New Roman" w:hAnsi="Georgia" w:cs="Times New Roman"/>
          <w:color w:val="383838"/>
          <w:sz w:val="24"/>
          <w:szCs w:val="24"/>
          <w:lang w:eastAsia="en-GB"/>
        </w:rPr>
        <w:t>vulnerable</w:t>
      </w:r>
      <w:proofErr w:type="gramEnd"/>
      <w:r w:rsidRPr="00172E73">
        <w:rPr>
          <w:rFonts w:ascii="Georgia" w:eastAsia="Times New Roman" w:hAnsi="Georgia" w:cs="Times New Roman"/>
          <w:color w:val="383838"/>
          <w:sz w:val="24"/>
          <w:szCs w:val="24"/>
          <w:lang w:eastAsia="en-GB"/>
        </w:rPr>
        <w:t xml:space="preserve"> people in society.</w:t>
      </w:r>
    </w:p>
    <w:p w:rsidR="000F6825" w:rsidRDefault="000F6825"/>
    <w:sectPr w:rsidR="000F6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73"/>
    <w:rsid w:val="000F6825"/>
    <w:rsid w:val="00172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F9669-B4C0-4FD9-9EED-B3802777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2E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2E7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72E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2E73"/>
  </w:style>
  <w:style w:type="character" w:styleId="Hyperlink">
    <w:name w:val="Hyperlink"/>
    <w:basedOn w:val="DefaultParagraphFont"/>
    <w:uiPriority w:val="99"/>
    <w:semiHidden/>
    <w:unhideWhenUsed/>
    <w:rsid w:val="00172E73"/>
    <w:rPr>
      <w:color w:val="0000FF"/>
      <w:u w:val="single"/>
    </w:rPr>
  </w:style>
  <w:style w:type="character" w:customStyle="1" w:styleId="caption">
    <w:name w:val="caption"/>
    <w:basedOn w:val="DefaultParagraphFont"/>
    <w:rsid w:val="00172E73"/>
  </w:style>
  <w:style w:type="character" w:customStyle="1" w:styleId="source">
    <w:name w:val="source"/>
    <w:basedOn w:val="DefaultParagraphFont"/>
    <w:rsid w:val="0017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g.org.uk/sites/default/files/CPAG-Poverty-politically-acceptable-poverty-Oct-2014_0.pdf" TargetMode="External"/><Relationship Id="rId13" Type="http://schemas.openxmlformats.org/officeDocument/2006/relationships/hyperlink" Target="http://curia.europa.eu/juris/document/document.jsf?docid=167661&amp;doclang=EN" TargetMode="External"/><Relationship Id="rId18" Type="http://schemas.openxmlformats.org/officeDocument/2006/relationships/hyperlink" Target="http://www.bbc.co.uk/news/uk-politics-eu-referendum-3624600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gov.uk/government/news/minimum-earnings-threshold-for-eea-migrants-introduced" TargetMode="External"/><Relationship Id="rId7" Type="http://schemas.openxmlformats.org/officeDocument/2006/relationships/hyperlink" Target="http://www.ft.com/cms/s/0/5376d942-320a-11e6-bda0-04585c31b153.html" TargetMode="External"/><Relationship Id="rId12" Type="http://schemas.openxmlformats.org/officeDocument/2006/relationships/hyperlink" Target="http://curia.europa.eu/juris/document/document.jsf?text=&amp;docid=46599&amp;pageIndex=0&amp;doclang=en&amp;mode=lst&amp;dir=&amp;occ=first&amp;part=1&amp;cid=977414" TargetMode="External"/><Relationship Id="rId17" Type="http://schemas.openxmlformats.org/officeDocument/2006/relationships/hyperlink" Target="https://theconversation.com/explainer-what-are-tax-credits-4990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econversation.com/explainer-what-is-the-eu-emergency-brake-54076" TargetMode="External"/><Relationship Id="rId20" Type="http://schemas.openxmlformats.org/officeDocument/2006/relationships/hyperlink" Target="http://eur-lex.europa.eu/legal-content/EN/TXT/?uri=CELEX:61978CJ0207" TargetMode="External"/><Relationship Id="rId1" Type="http://schemas.openxmlformats.org/officeDocument/2006/relationships/styles" Target="styles.xml"/><Relationship Id="rId6" Type="http://schemas.openxmlformats.org/officeDocument/2006/relationships/hyperlink" Target="https://www.ipsos-mori.com/researchpublications/researcharchive/3722/Economy-and-immigration-key-issues-for-Britons-in-the-EU-referendum.aspx" TargetMode="External"/><Relationship Id="rId11" Type="http://schemas.openxmlformats.org/officeDocument/2006/relationships/hyperlink" Target="http://eur-lex.europa.eu/LexUriServ/LexUriServ.do?uri=OJ:L:2004:166:0001:0123:en:PDF" TargetMode="External"/><Relationship Id="rId24" Type="http://schemas.openxmlformats.org/officeDocument/2006/relationships/hyperlink" Target="http://www.tandfonline.com/doi/pdf/10.1080/09649069.2015.1028161" TargetMode="External"/><Relationship Id="rId5" Type="http://schemas.openxmlformats.org/officeDocument/2006/relationships/hyperlink" Target="http://curia.europa.eu/juris/document/document.jsf;jsessionid=9ea7d0f130d505aa2ab11860488ea97afcb3a405e044.e34KaxiLc3eQc40LaxqMbN4OchyTe0?text=&amp;docid=180083&amp;pageIndex=0&amp;doclang=en&amp;mode=lst&amp;dir=&amp;occ=first&amp;part=1&amp;cid=755784" TargetMode="External"/><Relationship Id="rId15" Type="http://schemas.openxmlformats.org/officeDocument/2006/relationships/hyperlink" Target="https://www.kluwerlawonline.com/document.php?id=COLA2015002" TargetMode="External"/><Relationship Id="rId23" Type="http://schemas.openxmlformats.org/officeDocument/2006/relationships/hyperlink" Target="https://theconversation.com/why-the-eu-emergency-brake-on-migrant-benefits-is-sexist-54195" TargetMode="External"/><Relationship Id="rId10" Type="http://schemas.openxmlformats.org/officeDocument/2006/relationships/hyperlink" Target="http://eur-lex.europa.eu/LexUriServ/LexUriServ.do?uri=OJ:L:2004:158:0077:0123:en:PDF" TargetMode="External"/><Relationship Id="rId19" Type="http://schemas.openxmlformats.org/officeDocument/2006/relationships/hyperlink" Target="https://news.liverpool.ac.uk/2016/02/03/the-liverpool-view-the-draft-deal-on-uk-membership-of-the-eu/" TargetMode="External"/><Relationship Id="rId4" Type="http://schemas.openxmlformats.org/officeDocument/2006/relationships/hyperlink" Target="http://www.independent.co.uk/news/uk/politics/eu-court-backs-uks-ability-to-restrict-child-benefits-for-migrants-a7081046.html" TargetMode="External"/><Relationship Id="rId9" Type="http://schemas.openxmlformats.org/officeDocument/2006/relationships/hyperlink" Target="https://www.citizensadvice.org.uk/benefits/coming-from-abroad-and-claiming-benefits-the-habitual-residence-test/the-habitual-residence-test-an-introduction/what-is-the-habitual-residence-test/" TargetMode="External"/><Relationship Id="rId14" Type="http://schemas.openxmlformats.org/officeDocument/2006/relationships/hyperlink" Target="https://www.kluwerlawonline.com/document.php?id=COLA2013162&amp;PHPSESSID=qreo19dvre8n15aifaibivlem6" TargetMode="External"/><Relationship Id="rId22" Type="http://schemas.openxmlformats.org/officeDocument/2006/relationships/hyperlink" Target="http://www.legislation.gov.uk/uksi/2013/3196/pdfs/uksi_2013319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Stephanie</dc:creator>
  <cp:keywords/>
  <dc:description/>
  <cp:lastModifiedBy>Reynolds, Stephanie</cp:lastModifiedBy>
  <cp:revision>1</cp:revision>
  <dcterms:created xsi:type="dcterms:W3CDTF">2016-10-27T15:53:00Z</dcterms:created>
  <dcterms:modified xsi:type="dcterms:W3CDTF">2016-10-27T15:54:00Z</dcterms:modified>
</cp:coreProperties>
</file>