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6D4A7" w14:textId="770017DB" w:rsidR="00D3401A" w:rsidRPr="00F14B9A" w:rsidRDefault="00795503" w:rsidP="00D3401A">
      <w:pPr>
        <w:spacing w:line="480" w:lineRule="auto"/>
        <w:rPr>
          <w:color w:val="000000" w:themeColor="text1"/>
        </w:rPr>
      </w:pPr>
      <w:r w:rsidRPr="00F14B9A">
        <w:rPr>
          <w:color w:val="000000" w:themeColor="text1"/>
        </w:rPr>
        <w:t>Article</w:t>
      </w:r>
      <w:r w:rsidR="00AD38A5" w:rsidRPr="00F14B9A">
        <w:rPr>
          <w:color w:val="000000" w:themeColor="text1"/>
        </w:rPr>
        <w:t xml:space="preserve"> </w:t>
      </w:r>
      <w:bookmarkStart w:id="0" w:name="_GoBack"/>
      <w:bookmarkEnd w:id="0"/>
    </w:p>
    <w:p w14:paraId="59A01FCC" w14:textId="77777777" w:rsidR="000101FA" w:rsidRPr="00F14B9A" w:rsidRDefault="000101FA" w:rsidP="00D3401A">
      <w:pPr>
        <w:spacing w:line="480" w:lineRule="auto"/>
        <w:rPr>
          <w:color w:val="000000" w:themeColor="text1"/>
        </w:rPr>
      </w:pPr>
    </w:p>
    <w:p w14:paraId="7338DF69" w14:textId="69B814FD" w:rsidR="00D3401A" w:rsidRPr="00F14B9A" w:rsidRDefault="000101FA" w:rsidP="00D3401A">
      <w:pPr>
        <w:spacing w:line="480" w:lineRule="auto"/>
        <w:rPr>
          <w:b/>
          <w:color w:val="000000" w:themeColor="text1"/>
        </w:rPr>
      </w:pPr>
      <w:r w:rsidRPr="00F14B9A">
        <w:rPr>
          <w:b/>
          <w:color w:val="000000" w:themeColor="text1"/>
        </w:rPr>
        <w:t>A</w:t>
      </w:r>
      <w:r w:rsidR="00D3401A" w:rsidRPr="00F14B9A">
        <w:rPr>
          <w:b/>
          <w:color w:val="000000" w:themeColor="text1"/>
        </w:rPr>
        <w:t xml:space="preserve"> </w:t>
      </w:r>
      <w:r w:rsidRPr="00F14B9A">
        <w:rPr>
          <w:b/>
          <w:color w:val="000000" w:themeColor="text1"/>
        </w:rPr>
        <w:t xml:space="preserve">holistic </w:t>
      </w:r>
      <w:r w:rsidR="000C4667" w:rsidRPr="00F14B9A">
        <w:rPr>
          <w:b/>
          <w:color w:val="000000" w:themeColor="text1"/>
        </w:rPr>
        <w:t>model for</w:t>
      </w:r>
      <w:r w:rsidRPr="00F14B9A">
        <w:rPr>
          <w:b/>
          <w:color w:val="000000" w:themeColor="text1"/>
        </w:rPr>
        <w:t xml:space="preserve"> evaluating</w:t>
      </w:r>
      <w:r w:rsidR="00B155BB" w:rsidRPr="00F14B9A">
        <w:rPr>
          <w:b/>
          <w:color w:val="000000" w:themeColor="text1"/>
        </w:rPr>
        <w:t xml:space="preserve"> the impact</w:t>
      </w:r>
      <w:r w:rsidR="00D3401A" w:rsidRPr="00F14B9A">
        <w:rPr>
          <w:b/>
          <w:color w:val="000000" w:themeColor="text1"/>
        </w:rPr>
        <w:t xml:space="preserve"> </w:t>
      </w:r>
      <w:r w:rsidR="000C4667" w:rsidRPr="00F14B9A">
        <w:rPr>
          <w:b/>
          <w:color w:val="000000" w:themeColor="text1"/>
        </w:rPr>
        <w:t xml:space="preserve">of </w:t>
      </w:r>
      <w:r w:rsidR="003F4C3B" w:rsidRPr="00F14B9A">
        <w:rPr>
          <w:b/>
          <w:color w:val="000000" w:themeColor="text1"/>
        </w:rPr>
        <w:t>individual technology-</w:t>
      </w:r>
      <w:r w:rsidR="00D3401A" w:rsidRPr="00F14B9A">
        <w:rPr>
          <w:b/>
          <w:color w:val="000000" w:themeColor="text1"/>
        </w:rPr>
        <w:t>enhanced learning resources</w:t>
      </w:r>
    </w:p>
    <w:p w14:paraId="67DFA9B1" w14:textId="77777777" w:rsidR="00D3401A" w:rsidRPr="00F14B9A" w:rsidRDefault="00D3401A" w:rsidP="00D3401A">
      <w:pPr>
        <w:spacing w:line="480" w:lineRule="auto"/>
        <w:rPr>
          <w:color w:val="000000" w:themeColor="text1"/>
        </w:rPr>
      </w:pPr>
    </w:p>
    <w:p w14:paraId="0A7DD088" w14:textId="77777777" w:rsidR="00D3401A" w:rsidRPr="00F14B9A" w:rsidRDefault="00D3401A" w:rsidP="00D3401A">
      <w:pPr>
        <w:spacing w:line="480" w:lineRule="auto"/>
        <w:rPr>
          <w:color w:val="000000" w:themeColor="text1"/>
          <w:vertAlign w:val="superscript"/>
        </w:rPr>
      </w:pPr>
      <w:r w:rsidRPr="00F14B9A">
        <w:rPr>
          <w:color w:val="000000" w:themeColor="text1"/>
        </w:rPr>
        <w:t>James D Pickering</w:t>
      </w:r>
      <w:r w:rsidRPr="00F14B9A">
        <w:rPr>
          <w:color w:val="000000" w:themeColor="text1"/>
          <w:vertAlign w:val="superscript"/>
        </w:rPr>
        <w:t xml:space="preserve">1* </w:t>
      </w:r>
      <w:r w:rsidRPr="00F14B9A">
        <w:rPr>
          <w:color w:val="000000" w:themeColor="text1"/>
        </w:rPr>
        <w:t xml:space="preserve">and </w:t>
      </w:r>
      <w:proofErr w:type="spellStart"/>
      <w:r w:rsidRPr="00F14B9A">
        <w:rPr>
          <w:color w:val="000000" w:themeColor="text1"/>
        </w:rPr>
        <w:t>Viktoria</w:t>
      </w:r>
      <w:proofErr w:type="spellEnd"/>
      <w:r w:rsidRPr="00F14B9A">
        <w:rPr>
          <w:color w:val="000000" w:themeColor="text1"/>
        </w:rPr>
        <w:t xml:space="preserve"> </w:t>
      </w:r>
      <w:r w:rsidR="007C7D4D" w:rsidRPr="00F14B9A">
        <w:rPr>
          <w:color w:val="000000" w:themeColor="text1"/>
        </w:rPr>
        <w:t>C</w:t>
      </w:r>
      <w:r w:rsidR="00F27FD6" w:rsidRPr="00F14B9A">
        <w:rPr>
          <w:color w:val="000000" w:themeColor="text1"/>
        </w:rPr>
        <w:t xml:space="preserve"> T</w:t>
      </w:r>
      <w:r w:rsidRPr="00F14B9A">
        <w:rPr>
          <w:color w:val="000000" w:themeColor="text1"/>
        </w:rPr>
        <w:t xml:space="preserve"> Joynes</w:t>
      </w:r>
      <w:r w:rsidRPr="00F14B9A">
        <w:rPr>
          <w:color w:val="000000" w:themeColor="text1"/>
          <w:vertAlign w:val="superscript"/>
        </w:rPr>
        <w:t>2</w:t>
      </w:r>
    </w:p>
    <w:p w14:paraId="17B5B418" w14:textId="77777777" w:rsidR="00D3401A" w:rsidRPr="00F14B9A" w:rsidRDefault="00D3401A" w:rsidP="00D3401A">
      <w:pPr>
        <w:spacing w:line="480" w:lineRule="auto"/>
        <w:rPr>
          <w:color w:val="000000" w:themeColor="text1"/>
        </w:rPr>
      </w:pPr>
    </w:p>
    <w:p w14:paraId="30CAC986" w14:textId="77777777" w:rsidR="00D3401A" w:rsidRPr="00F14B9A" w:rsidRDefault="00D3401A" w:rsidP="00D3401A">
      <w:pPr>
        <w:spacing w:line="480" w:lineRule="auto"/>
        <w:rPr>
          <w:color w:val="000000" w:themeColor="text1"/>
        </w:rPr>
      </w:pPr>
      <w:r w:rsidRPr="00F14B9A">
        <w:rPr>
          <w:color w:val="000000" w:themeColor="text1"/>
          <w:vertAlign w:val="superscript"/>
        </w:rPr>
        <w:t>1</w:t>
      </w:r>
      <w:r w:rsidRPr="00F14B9A">
        <w:rPr>
          <w:color w:val="000000" w:themeColor="text1"/>
        </w:rPr>
        <w:t>Division of Anatomy, Leeds Institute of Medical Education, School of Medicine, University of Leeds, Leeds, United Kingdom</w:t>
      </w:r>
    </w:p>
    <w:p w14:paraId="6EA1D41F" w14:textId="77777777" w:rsidR="00D3401A" w:rsidRPr="00F14B9A" w:rsidRDefault="00D3401A" w:rsidP="00D3401A">
      <w:pPr>
        <w:spacing w:line="480" w:lineRule="auto"/>
        <w:rPr>
          <w:color w:val="000000" w:themeColor="text1"/>
        </w:rPr>
      </w:pPr>
      <w:r w:rsidRPr="00F14B9A">
        <w:rPr>
          <w:color w:val="000000" w:themeColor="text1"/>
          <w:vertAlign w:val="superscript"/>
        </w:rPr>
        <w:t>2</w:t>
      </w:r>
      <w:r w:rsidRPr="00F14B9A">
        <w:rPr>
          <w:color w:val="000000" w:themeColor="text1"/>
        </w:rPr>
        <w:t>Leeds Institute of Medical Education, School of Medicine, University of Leeds, Leeds, United Kingdom</w:t>
      </w:r>
    </w:p>
    <w:p w14:paraId="51539D2D" w14:textId="77777777" w:rsidR="00D3401A" w:rsidRPr="00F14B9A" w:rsidRDefault="00D3401A" w:rsidP="00D3401A">
      <w:pPr>
        <w:spacing w:line="480" w:lineRule="auto"/>
        <w:rPr>
          <w:color w:val="000000" w:themeColor="text1"/>
        </w:rPr>
      </w:pPr>
    </w:p>
    <w:p w14:paraId="0FC1A131" w14:textId="5AA7191C" w:rsidR="00D3401A" w:rsidRPr="00F14B9A" w:rsidRDefault="00D3401A" w:rsidP="00D3401A">
      <w:pPr>
        <w:spacing w:line="480" w:lineRule="auto"/>
        <w:rPr>
          <w:color w:val="000000" w:themeColor="text1"/>
        </w:rPr>
      </w:pPr>
      <w:r w:rsidRPr="00F14B9A">
        <w:rPr>
          <w:color w:val="000000" w:themeColor="text1"/>
        </w:rPr>
        <w:t xml:space="preserve">Running title: </w:t>
      </w:r>
      <w:r w:rsidR="00CD5864" w:rsidRPr="00F14B9A">
        <w:rPr>
          <w:color w:val="000000" w:themeColor="text1"/>
        </w:rPr>
        <w:t>E</w:t>
      </w:r>
      <w:r w:rsidR="003F4C3B" w:rsidRPr="00F14B9A">
        <w:rPr>
          <w:color w:val="000000" w:themeColor="text1"/>
        </w:rPr>
        <w:t>valuation of Technology-</w:t>
      </w:r>
      <w:r w:rsidR="003E78E8" w:rsidRPr="00F14B9A">
        <w:rPr>
          <w:color w:val="000000" w:themeColor="text1"/>
        </w:rPr>
        <w:t>Enhanced Learning</w:t>
      </w:r>
    </w:p>
    <w:p w14:paraId="1251801D" w14:textId="77777777" w:rsidR="00D3401A" w:rsidRPr="00F14B9A" w:rsidRDefault="00D3401A" w:rsidP="00D3401A">
      <w:pPr>
        <w:spacing w:line="480" w:lineRule="auto"/>
        <w:rPr>
          <w:color w:val="000000" w:themeColor="text1"/>
        </w:rPr>
      </w:pPr>
    </w:p>
    <w:p w14:paraId="5BAC8B8F" w14:textId="77777777" w:rsidR="00D3401A" w:rsidRPr="00F14B9A" w:rsidRDefault="00D3401A" w:rsidP="00D3401A">
      <w:pPr>
        <w:spacing w:line="480" w:lineRule="auto"/>
        <w:rPr>
          <w:color w:val="000000" w:themeColor="text1"/>
        </w:rPr>
      </w:pPr>
      <w:r w:rsidRPr="00F14B9A">
        <w:rPr>
          <w:color w:val="000000" w:themeColor="text1"/>
        </w:rPr>
        <w:t>*Correspondence to: Dr. James Pickering, Division of Anatomy, Leeds Institute of Medical Education, School of Medicine, 9.06 Worsley Building, Clarendon Way, University of Leeds, Leeds, LS2 9NL, UK.</w:t>
      </w:r>
    </w:p>
    <w:p w14:paraId="0572E18B" w14:textId="77777777" w:rsidR="00D3401A" w:rsidRPr="00F14B9A" w:rsidRDefault="00D3401A" w:rsidP="00D3401A">
      <w:pPr>
        <w:spacing w:line="480" w:lineRule="auto"/>
        <w:rPr>
          <w:color w:val="000000" w:themeColor="text1"/>
        </w:rPr>
      </w:pPr>
      <w:r w:rsidRPr="00F14B9A">
        <w:rPr>
          <w:color w:val="000000" w:themeColor="text1"/>
        </w:rPr>
        <w:t>E-mail: j.d.pickering@leeds.ac.uk</w:t>
      </w:r>
    </w:p>
    <w:p w14:paraId="234336E3" w14:textId="77777777" w:rsidR="00D3401A" w:rsidRPr="00F14B9A" w:rsidRDefault="00D3401A" w:rsidP="00D3401A">
      <w:pPr>
        <w:spacing w:line="480" w:lineRule="auto"/>
        <w:rPr>
          <w:b/>
          <w:color w:val="000000" w:themeColor="text1"/>
        </w:rPr>
      </w:pPr>
    </w:p>
    <w:p w14:paraId="649D6E71" w14:textId="77777777" w:rsidR="00D3401A" w:rsidRPr="00F14B9A" w:rsidRDefault="00D3401A" w:rsidP="00D3401A">
      <w:pPr>
        <w:spacing w:line="480" w:lineRule="auto"/>
        <w:rPr>
          <w:b/>
          <w:color w:val="000000" w:themeColor="text1"/>
        </w:rPr>
      </w:pPr>
      <w:r w:rsidRPr="00F14B9A">
        <w:rPr>
          <w:b/>
          <w:color w:val="000000" w:themeColor="text1"/>
        </w:rPr>
        <w:t>Key words:</w:t>
      </w:r>
      <w:r w:rsidR="00F27FD6" w:rsidRPr="00F14B9A">
        <w:rPr>
          <w:b/>
          <w:color w:val="000000" w:themeColor="text1"/>
        </w:rPr>
        <w:t xml:space="preserve"> </w:t>
      </w:r>
      <w:r w:rsidR="00F27FD6" w:rsidRPr="00F14B9A">
        <w:rPr>
          <w:color w:val="000000" w:themeColor="text1"/>
        </w:rPr>
        <w:t>technology-enhanced learning, evaluation, learning resources, cost analysis</w:t>
      </w:r>
    </w:p>
    <w:p w14:paraId="06A2C5F0" w14:textId="77777777" w:rsidR="00D3401A" w:rsidRPr="00F14B9A" w:rsidRDefault="00D3401A" w:rsidP="00E00D08">
      <w:pPr>
        <w:spacing w:line="480" w:lineRule="auto"/>
        <w:rPr>
          <w:b/>
          <w:color w:val="000000" w:themeColor="text1"/>
        </w:rPr>
      </w:pPr>
    </w:p>
    <w:p w14:paraId="2D903658" w14:textId="77777777" w:rsidR="00D3401A" w:rsidRPr="00F14B9A" w:rsidRDefault="00D3401A" w:rsidP="00E00D08">
      <w:pPr>
        <w:spacing w:line="480" w:lineRule="auto"/>
        <w:rPr>
          <w:b/>
          <w:color w:val="000000" w:themeColor="text1"/>
        </w:rPr>
      </w:pPr>
    </w:p>
    <w:p w14:paraId="1081A39D" w14:textId="77777777" w:rsidR="00D3401A" w:rsidRPr="00F14B9A" w:rsidRDefault="00D3401A" w:rsidP="00E00D08">
      <w:pPr>
        <w:spacing w:line="480" w:lineRule="auto"/>
        <w:rPr>
          <w:b/>
          <w:color w:val="000000" w:themeColor="text1"/>
        </w:rPr>
      </w:pPr>
    </w:p>
    <w:p w14:paraId="238EF787" w14:textId="77777777" w:rsidR="0068336D" w:rsidRPr="00F14B9A" w:rsidRDefault="0098559A" w:rsidP="00E00D08">
      <w:pPr>
        <w:spacing w:line="480" w:lineRule="auto"/>
        <w:rPr>
          <w:b/>
          <w:color w:val="000000" w:themeColor="text1"/>
        </w:rPr>
      </w:pPr>
      <w:r w:rsidRPr="00F14B9A">
        <w:rPr>
          <w:b/>
          <w:color w:val="000000" w:themeColor="text1"/>
        </w:rPr>
        <w:lastRenderedPageBreak/>
        <w:t>Abstract</w:t>
      </w:r>
      <w:r w:rsidR="006B5297" w:rsidRPr="00F14B9A">
        <w:rPr>
          <w:b/>
          <w:color w:val="000000" w:themeColor="text1"/>
        </w:rPr>
        <w:t xml:space="preserve"> </w:t>
      </w:r>
    </w:p>
    <w:p w14:paraId="2E49F50A" w14:textId="4D2D2940" w:rsidR="00372E64" w:rsidRPr="00F14B9A" w:rsidRDefault="00372E64" w:rsidP="00E2518F">
      <w:pPr>
        <w:spacing w:line="480" w:lineRule="auto"/>
        <w:rPr>
          <w:color w:val="000000" w:themeColor="text1"/>
        </w:rPr>
      </w:pPr>
      <w:r w:rsidRPr="00F14B9A">
        <w:rPr>
          <w:color w:val="000000" w:themeColor="text1"/>
        </w:rPr>
        <w:t>Background</w:t>
      </w:r>
    </w:p>
    <w:p w14:paraId="6EEAA5C7" w14:textId="2B23F0F3" w:rsidR="00372E64" w:rsidRPr="00F14B9A" w:rsidRDefault="00372E64" w:rsidP="00E2518F">
      <w:pPr>
        <w:spacing w:line="480" w:lineRule="auto"/>
        <w:rPr>
          <w:color w:val="000000" w:themeColor="text1"/>
        </w:rPr>
      </w:pPr>
      <w:r w:rsidRPr="00F14B9A">
        <w:rPr>
          <w:color w:val="000000" w:themeColor="text1"/>
        </w:rPr>
        <w:t>The use of technology within education has now crossed the Rubicon; student expectations, the increasing availability of both hardware and software and the push to fully blended learning environments mean that educational institutions cannot afford to</w:t>
      </w:r>
      <w:r w:rsidR="003F4C3B" w:rsidRPr="00F14B9A">
        <w:rPr>
          <w:color w:val="000000" w:themeColor="text1"/>
        </w:rPr>
        <w:t xml:space="preserve"> turn their backs on technology-</w:t>
      </w:r>
      <w:r w:rsidRPr="00F14B9A">
        <w:rPr>
          <w:color w:val="000000" w:themeColor="text1"/>
        </w:rPr>
        <w:t xml:space="preserve">enhanced learning (TEL). The ability to meaningfully evaluate the impact of TEL resources nevertheless remains problematic.  </w:t>
      </w:r>
    </w:p>
    <w:p w14:paraId="3F37AFB8" w14:textId="77777777" w:rsidR="00372E64" w:rsidRPr="00F14B9A" w:rsidRDefault="00372E64" w:rsidP="00E2518F">
      <w:pPr>
        <w:spacing w:line="480" w:lineRule="auto"/>
        <w:rPr>
          <w:color w:val="000000" w:themeColor="text1"/>
        </w:rPr>
      </w:pPr>
    </w:p>
    <w:p w14:paraId="664A585F" w14:textId="4DB1C249" w:rsidR="00372E64" w:rsidRPr="00F14B9A" w:rsidRDefault="00372E64" w:rsidP="00E2518F">
      <w:pPr>
        <w:spacing w:line="480" w:lineRule="auto"/>
        <w:rPr>
          <w:color w:val="000000" w:themeColor="text1"/>
        </w:rPr>
      </w:pPr>
      <w:r w:rsidRPr="00F14B9A">
        <w:rPr>
          <w:color w:val="000000" w:themeColor="text1"/>
        </w:rPr>
        <w:t>Aims</w:t>
      </w:r>
    </w:p>
    <w:p w14:paraId="565CF2B8" w14:textId="272451FD" w:rsidR="00372E64" w:rsidRPr="00F14B9A" w:rsidRDefault="00372E64" w:rsidP="00E2518F">
      <w:pPr>
        <w:spacing w:line="480" w:lineRule="auto"/>
        <w:rPr>
          <w:color w:val="000000" w:themeColor="text1"/>
        </w:rPr>
      </w:pPr>
      <w:r w:rsidRPr="00F14B9A">
        <w:rPr>
          <w:color w:val="000000" w:themeColor="text1"/>
        </w:rPr>
        <w:t xml:space="preserve">This paper aims to establish a robust means of evaluating individual resources and </w:t>
      </w:r>
      <w:r w:rsidR="005222D9" w:rsidRPr="00F14B9A">
        <w:rPr>
          <w:color w:val="000000" w:themeColor="text1"/>
        </w:rPr>
        <w:t xml:space="preserve">meaningfully measure </w:t>
      </w:r>
      <w:r w:rsidRPr="00F14B9A">
        <w:rPr>
          <w:color w:val="000000" w:themeColor="text1"/>
        </w:rPr>
        <w:t>their impact upon learning within the context of the programme in which they are used.</w:t>
      </w:r>
    </w:p>
    <w:p w14:paraId="47CEEACF" w14:textId="77777777" w:rsidR="00372E64" w:rsidRPr="00F14B9A" w:rsidRDefault="00372E64" w:rsidP="00E2518F">
      <w:pPr>
        <w:spacing w:line="480" w:lineRule="auto"/>
        <w:rPr>
          <w:color w:val="000000" w:themeColor="text1"/>
        </w:rPr>
      </w:pPr>
    </w:p>
    <w:p w14:paraId="589455F0" w14:textId="17BE0690" w:rsidR="00372E64" w:rsidRPr="00F14B9A" w:rsidRDefault="00372E64" w:rsidP="00E2518F">
      <w:pPr>
        <w:spacing w:line="480" w:lineRule="auto"/>
        <w:rPr>
          <w:color w:val="000000" w:themeColor="text1"/>
        </w:rPr>
      </w:pPr>
      <w:r w:rsidRPr="00F14B9A">
        <w:rPr>
          <w:color w:val="000000" w:themeColor="text1"/>
        </w:rPr>
        <w:t>Methods</w:t>
      </w:r>
    </w:p>
    <w:p w14:paraId="1A01589B" w14:textId="40B0EB54" w:rsidR="00372E64" w:rsidRPr="00F14B9A" w:rsidRDefault="00372E64" w:rsidP="00E2518F">
      <w:pPr>
        <w:spacing w:line="480" w:lineRule="auto"/>
        <w:rPr>
          <w:color w:val="000000" w:themeColor="text1"/>
        </w:rPr>
      </w:pPr>
      <w:r w:rsidRPr="00F14B9A">
        <w:rPr>
          <w:color w:val="000000" w:themeColor="text1"/>
        </w:rPr>
        <w:t xml:space="preserve">Based upon the experience of developing and evaluating a range of mobile and desktop based TEL resources, this article outlines a new four-stage evaluation process, taking into account learner satisfaction, learner gain and the impact of a resource on both the individual and the institution in which it has been adapted.  </w:t>
      </w:r>
    </w:p>
    <w:p w14:paraId="5E40D81F" w14:textId="77777777" w:rsidR="00372E64" w:rsidRPr="00F14B9A" w:rsidRDefault="00372E64" w:rsidP="00E2518F">
      <w:pPr>
        <w:spacing w:line="480" w:lineRule="auto"/>
        <w:rPr>
          <w:color w:val="000000" w:themeColor="text1"/>
        </w:rPr>
      </w:pPr>
    </w:p>
    <w:p w14:paraId="37774C27" w14:textId="77536655" w:rsidR="00372E64" w:rsidRPr="00F14B9A" w:rsidRDefault="00372E64" w:rsidP="00E2518F">
      <w:pPr>
        <w:spacing w:line="480" w:lineRule="auto"/>
        <w:rPr>
          <w:color w:val="000000" w:themeColor="text1"/>
        </w:rPr>
      </w:pPr>
      <w:r w:rsidRPr="00F14B9A">
        <w:rPr>
          <w:color w:val="000000" w:themeColor="text1"/>
        </w:rPr>
        <w:t>Results</w:t>
      </w:r>
    </w:p>
    <w:p w14:paraId="4677458A" w14:textId="179F5BED" w:rsidR="00372E64" w:rsidRPr="00F14B9A" w:rsidRDefault="00372E64" w:rsidP="00E2518F">
      <w:pPr>
        <w:spacing w:line="480" w:lineRule="auto"/>
        <w:rPr>
          <w:color w:val="000000" w:themeColor="text1"/>
        </w:rPr>
      </w:pPr>
      <w:r w:rsidRPr="00F14B9A">
        <w:rPr>
          <w:color w:val="000000" w:themeColor="text1"/>
        </w:rPr>
        <w:t>A new multi-level model of TEL resource evaluation is proposed</w:t>
      </w:r>
      <w:r w:rsidR="003F4C3B" w:rsidRPr="00F14B9A">
        <w:rPr>
          <w:color w:val="000000" w:themeColor="text1"/>
        </w:rPr>
        <w:t>, which includes a preliminary evaluation of need, learner satisfaction and gain, learner impact and institutional impact. Each of these levels are</w:t>
      </w:r>
      <w:r w:rsidRPr="00F14B9A">
        <w:rPr>
          <w:color w:val="000000" w:themeColor="text1"/>
        </w:rPr>
        <w:t xml:space="preserve"> discussed in </w:t>
      </w:r>
      <w:r w:rsidR="003F4C3B" w:rsidRPr="00F14B9A">
        <w:rPr>
          <w:color w:val="000000" w:themeColor="text1"/>
        </w:rPr>
        <w:t xml:space="preserve">detail, and in </w:t>
      </w:r>
      <w:r w:rsidRPr="00F14B9A">
        <w:rPr>
          <w:color w:val="000000" w:themeColor="text1"/>
        </w:rPr>
        <w:t xml:space="preserve">relation to existing </w:t>
      </w:r>
      <w:r w:rsidR="003F4C3B" w:rsidRPr="00F14B9A">
        <w:rPr>
          <w:color w:val="000000" w:themeColor="text1"/>
        </w:rPr>
        <w:t xml:space="preserve">TEL </w:t>
      </w:r>
      <w:r w:rsidRPr="00F14B9A">
        <w:rPr>
          <w:color w:val="000000" w:themeColor="text1"/>
        </w:rPr>
        <w:t>evaluation frameworks.</w:t>
      </w:r>
    </w:p>
    <w:p w14:paraId="766BDE68" w14:textId="77777777" w:rsidR="00372E64" w:rsidRPr="00F14B9A" w:rsidRDefault="00372E64" w:rsidP="00E2518F">
      <w:pPr>
        <w:spacing w:line="480" w:lineRule="auto"/>
        <w:rPr>
          <w:color w:val="000000" w:themeColor="text1"/>
        </w:rPr>
      </w:pPr>
    </w:p>
    <w:p w14:paraId="700E800D" w14:textId="5589D592" w:rsidR="00372E64" w:rsidRPr="00F14B9A" w:rsidRDefault="00372E64" w:rsidP="00E2518F">
      <w:pPr>
        <w:spacing w:line="480" w:lineRule="auto"/>
        <w:rPr>
          <w:color w:val="000000" w:themeColor="text1"/>
        </w:rPr>
      </w:pPr>
      <w:r w:rsidRPr="00F14B9A">
        <w:rPr>
          <w:color w:val="000000" w:themeColor="text1"/>
        </w:rPr>
        <w:t>Conclusions</w:t>
      </w:r>
    </w:p>
    <w:p w14:paraId="3EBAAF4A" w14:textId="3BED3DC3" w:rsidR="00E2518F" w:rsidRPr="00F14B9A" w:rsidRDefault="003F4C3B" w:rsidP="00E2518F">
      <w:pPr>
        <w:spacing w:line="480" w:lineRule="auto"/>
        <w:rPr>
          <w:color w:val="000000" w:themeColor="text1"/>
        </w:rPr>
      </w:pPr>
      <w:r w:rsidRPr="00F14B9A">
        <w:rPr>
          <w:color w:val="000000" w:themeColor="text1"/>
        </w:rPr>
        <w:t>This paper details a</w:t>
      </w:r>
      <w:r w:rsidR="00372E64" w:rsidRPr="00F14B9A">
        <w:rPr>
          <w:color w:val="000000" w:themeColor="text1"/>
        </w:rPr>
        <w:t xml:space="preserve"> holistic, meaningful evaluation model for individual TEL resources within the specific context in which they are used.  It is proposed that this model is adopted to ensure that TEL resources are </w:t>
      </w:r>
      <w:r w:rsidR="005748CF" w:rsidRPr="00F14B9A">
        <w:rPr>
          <w:color w:val="000000" w:themeColor="text1"/>
        </w:rPr>
        <w:t>evaluated in a more meaningful and robust manner than is currently undertaken.</w:t>
      </w:r>
    </w:p>
    <w:p w14:paraId="3CC72365" w14:textId="77777777" w:rsidR="00E2518F" w:rsidRPr="00F14B9A" w:rsidRDefault="00E2518F" w:rsidP="00E00D08">
      <w:pPr>
        <w:spacing w:line="480" w:lineRule="auto"/>
        <w:rPr>
          <w:b/>
          <w:color w:val="000000" w:themeColor="text1"/>
        </w:rPr>
      </w:pPr>
    </w:p>
    <w:p w14:paraId="1767456C" w14:textId="77777777" w:rsidR="003F4C3B" w:rsidRPr="00F14B9A" w:rsidRDefault="003F4C3B" w:rsidP="00E00D08">
      <w:pPr>
        <w:spacing w:line="480" w:lineRule="auto"/>
        <w:rPr>
          <w:b/>
          <w:color w:val="000000" w:themeColor="text1"/>
        </w:rPr>
      </w:pPr>
    </w:p>
    <w:p w14:paraId="6FDF0311" w14:textId="77777777" w:rsidR="003F4C3B" w:rsidRPr="00F14B9A" w:rsidRDefault="003F4C3B" w:rsidP="00E00D08">
      <w:pPr>
        <w:spacing w:line="480" w:lineRule="auto"/>
        <w:rPr>
          <w:b/>
          <w:color w:val="000000" w:themeColor="text1"/>
        </w:rPr>
      </w:pPr>
    </w:p>
    <w:p w14:paraId="5985A447" w14:textId="77777777" w:rsidR="003F4C3B" w:rsidRPr="00F14B9A" w:rsidRDefault="003F4C3B" w:rsidP="00E00D08">
      <w:pPr>
        <w:spacing w:line="480" w:lineRule="auto"/>
        <w:rPr>
          <w:b/>
          <w:color w:val="000000" w:themeColor="text1"/>
        </w:rPr>
      </w:pPr>
    </w:p>
    <w:p w14:paraId="76FC106E" w14:textId="77777777" w:rsidR="003F4C3B" w:rsidRPr="00F14B9A" w:rsidRDefault="003F4C3B" w:rsidP="00E00D08">
      <w:pPr>
        <w:spacing w:line="480" w:lineRule="auto"/>
        <w:rPr>
          <w:b/>
          <w:color w:val="000000" w:themeColor="text1"/>
        </w:rPr>
      </w:pPr>
    </w:p>
    <w:p w14:paraId="3F0F4798" w14:textId="77777777" w:rsidR="003F4C3B" w:rsidRPr="00F14B9A" w:rsidRDefault="003F4C3B" w:rsidP="00E00D08">
      <w:pPr>
        <w:spacing w:line="480" w:lineRule="auto"/>
        <w:rPr>
          <w:b/>
          <w:color w:val="000000" w:themeColor="text1"/>
        </w:rPr>
      </w:pPr>
    </w:p>
    <w:p w14:paraId="483A60F8" w14:textId="77777777" w:rsidR="003F4C3B" w:rsidRPr="00F14B9A" w:rsidRDefault="003F4C3B" w:rsidP="00E00D08">
      <w:pPr>
        <w:spacing w:line="480" w:lineRule="auto"/>
        <w:rPr>
          <w:b/>
          <w:color w:val="000000" w:themeColor="text1"/>
        </w:rPr>
      </w:pPr>
    </w:p>
    <w:p w14:paraId="02A6E044" w14:textId="77777777" w:rsidR="003F4C3B" w:rsidRPr="00F14B9A" w:rsidRDefault="003F4C3B" w:rsidP="00E00D08">
      <w:pPr>
        <w:spacing w:line="480" w:lineRule="auto"/>
        <w:rPr>
          <w:b/>
          <w:color w:val="000000" w:themeColor="text1"/>
        </w:rPr>
      </w:pPr>
    </w:p>
    <w:p w14:paraId="56F63FD5" w14:textId="77777777" w:rsidR="003F4C3B" w:rsidRPr="00F14B9A" w:rsidRDefault="003F4C3B" w:rsidP="00E00D08">
      <w:pPr>
        <w:spacing w:line="480" w:lineRule="auto"/>
        <w:rPr>
          <w:b/>
          <w:color w:val="000000" w:themeColor="text1"/>
        </w:rPr>
      </w:pPr>
    </w:p>
    <w:p w14:paraId="3FFBB1E3" w14:textId="77777777" w:rsidR="003F4C3B" w:rsidRPr="00F14B9A" w:rsidRDefault="003F4C3B" w:rsidP="00E00D08">
      <w:pPr>
        <w:spacing w:line="480" w:lineRule="auto"/>
        <w:rPr>
          <w:b/>
          <w:color w:val="000000" w:themeColor="text1"/>
        </w:rPr>
      </w:pPr>
    </w:p>
    <w:p w14:paraId="35E42456" w14:textId="77777777" w:rsidR="003F4C3B" w:rsidRPr="00F14B9A" w:rsidRDefault="003F4C3B" w:rsidP="00E00D08">
      <w:pPr>
        <w:spacing w:line="480" w:lineRule="auto"/>
        <w:rPr>
          <w:b/>
          <w:color w:val="000000" w:themeColor="text1"/>
        </w:rPr>
      </w:pPr>
    </w:p>
    <w:p w14:paraId="0C52CD0A" w14:textId="77777777" w:rsidR="003F4C3B" w:rsidRPr="00F14B9A" w:rsidRDefault="003F4C3B" w:rsidP="00E00D08">
      <w:pPr>
        <w:spacing w:line="480" w:lineRule="auto"/>
        <w:rPr>
          <w:b/>
          <w:color w:val="000000" w:themeColor="text1"/>
        </w:rPr>
      </w:pPr>
    </w:p>
    <w:p w14:paraId="5F90AB48" w14:textId="77777777" w:rsidR="003F4C3B" w:rsidRPr="00F14B9A" w:rsidRDefault="003F4C3B" w:rsidP="00E00D08">
      <w:pPr>
        <w:spacing w:line="480" w:lineRule="auto"/>
        <w:rPr>
          <w:b/>
          <w:color w:val="000000" w:themeColor="text1"/>
        </w:rPr>
      </w:pPr>
    </w:p>
    <w:p w14:paraId="4C07E144" w14:textId="77777777" w:rsidR="003F4C3B" w:rsidRPr="00F14B9A" w:rsidRDefault="003F4C3B" w:rsidP="00E00D08">
      <w:pPr>
        <w:spacing w:line="480" w:lineRule="auto"/>
        <w:rPr>
          <w:b/>
          <w:color w:val="000000" w:themeColor="text1"/>
        </w:rPr>
      </w:pPr>
    </w:p>
    <w:p w14:paraId="6559CE0F" w14:textId="77777777" w:rsidR="003F4C3B" w:rsidRPr="00F14B9A" w:rsidRDefault="003F4C3B" w:rsidP="00E00D08">
      <w:pPr>
        <w:spacing w:line="480" w:lineRule="auto"/>
        <w:rPr>
          <w:b/>
          <w:color w:val="000000" w:themeColor="text1"/>
        </w:rPr>
      </w:pPr>
    </w:p>
    <w:p w14:paraId="414305EB" w14:textId="77777777" w:rsidR="003F4C3B" w:rsidRPr="00F14B9A" w:rsidRDefault="003F4C3B" w:rsidP="00E00D08">
      <w:pPr>
        <w:spacing w:line="480" w:lineRule="auto"/>
        <w:rPr>
          <w:b/>
          <w:color w:val="000000" w:themeColor="text1"/>
        </w:rPr>
      </w:pPr>
    </w:p>
    <w:p w14:paraId="4346D480" w14:textId="77777777" w:rsidR="003F4C3B" w:rsidRPr="00F14B9A" w:rsidRDefault="003F4C3B" w:rsidP="00E00D08">
      <w:pPr>
        <w:spacing w:line="480" w:lineRule="auto"/>
        <w:rPr>
          <w:b/>
          <w:color w:val="000000" w:themeColor="text1"/>
        </w:rPr>
      </w:pPr>
    </w:p>
    <w:p w14:paraId="0F52FAF5" w14:textId="77777777" w:rsidR="003F4C3B" w:rsidRPr="00F14B9A" w:rsidRDefault="003F4C3B" w:rsidP="00E00D08">
      <w:pPr>
        <w:spacing w:line="480" w:lineRule="auto"/>
        <w:rPr>
          <w:b/>
          <w:color w:val="000000" w:themeColor="text1"/>
        </w:rPr>
      </w:pPr>
    </w:p>
    <w:p w14:paraId="3EA5B781" w14:textId="77777777" w:rsidR="00A17A0B" w:rsidRPr="00F14B9A" w:rsidRDefault="0098559A" w:rsidP="00E00D08">
      <w:pPr>
        <w:spacing w:line="480" w:lineRule="auto"/>
        <w:rPr>
          <w:b/>
          <w:color w:val="000000" w:themeColor="text1"/>
        </w:rPr>
      </w:pPr>
      <w:r w:rsidRPr="00F14B9A">
        <w:rPr>
          <w:b/>
          <w:color w:val="000000" w:themeColor="text1"/>
        </w:rPr>
        <w:lastRenderedPageBreak/>
        <w:t>Introduction</w:t>
      </w:r>
    </w:p>
    <w:p w14:paraId="767D9339" w14:textId="4398F305" w:rsidR="00A17A0B" w:rsidRPr="00F14B9A" w:rsidRDefault="003F4C3B" w:rsidP="00BD0B6C">
      <w:pPr>
        <w:spacing w:line="480" w:lineRule="auto"/>
        <w:rPr>
          <w:color w:val="000000" w:themeColor="text1"/>
        </w:rPr>
      </w:pPr>
      <w:r w:rsidRPr="00F14B9A">
        <w:rPr>
          <w:color w:val="000000" w:themeColor="text1"/>
        </w:rPr>
        <w:t>Technology-</w:t>
      </w:r>
      <w:r w:rsidR="75F701D6" w:rsidRPr="00F14B9A">
        <w:rPr>
          <w:color w:val="000000" w:themeColor="text1"/>
        </w:rPr>
        <w:t>enhanced learning (TEL) utilises the</w:t>
      </w:r>
      <w:r w:rsidR="00652411" w:rsidRPr="00F14B9A">
        <w:rPr>
          <w:color w:val="000000" w:themeColor="text1"/>
        </w:rPr>
        <w:t xml:space="preserve"> </w:t>
      </w:r>
      <w:r w:rsidR="75F701D6" w:rsidRPr="00F14B9A">
        <w:rPr>
          <w:color w:val="000000" w:themeColor="text1"/>
        </w:rPr>
        <w:t>increasing availability of smart phones, tablets and laptops to support flexible and mobile learning</w:t>
      </w:r>
      <w:r w:rsidR="00652411" w:rsidRPr="00F14B9A">
        <w:rPr>
          <w:color w:val="000000" w:themeColor="text1"/>
        </w:rPr>
        <w:t>.</w:t>
      </w:r>
      <w:r w:rsidR="75F701D6" w:rsidRPr="00F14B9A">
        <w:rPr>
          <w:color w:val="000000" w:themeColor="text1"/>
        </w:rPr>
        <w:t xml:space="preserve"> These devices</w:t>
      </w:r>
      <w:r w:rsidR="00652411" w:rsidRPr="00F14B9A">
        <w:rPr>
          <w:color w:val="000000" w:themeColor="text1"/>
        </w:rPr>
        <w:t xml:space="preserve"> </w:t>
      </w:r>
      <w:r w:rsidR="75F701D6" w:rsidRPr="00F14B9A">
        <w:rPr>
          <w:color w:val="000000" w:themeColor="text1"/>
        </w:rPr>
        <w:t>enable learners to access learning resources</w:t>
      </w:r>
      <w:r w:rsidR="00652411" w:rsidRPr="00F14B9A">
        <w:rPr>
          <w:color w:val="000000" w:themeColor="text1"/>
        </w:rPr>
        <w:t>, such as eBooks, applications, videos and podcasts</w:t>
      </w:r>
      <w:r w:rsidR="00071AF6" w:rsidRPr="00F14B9A">
        <w:rPr>
          <w:color w:val="000000" w:themeColor="text1"/>
        </w:rPr>
        <w:t xml:space="preserve"> </w:t>
      </w:r>
      <w:r w:rsidR="00071AF6" w:rsidRPr="00F14B9A">
        <w:rPr>
          <w:noProof/>
          <w:color w:val="000000" w:themeColor="text1"/>
        </w:rPr>
        <w:t>(Lu</w:t>
      </w:r>
      <w:r w:rsidR="002121B7" w:rsidRPr="00F14B9A">
        <w:rPr>
          <w:noProof/>
          <w:color w:val="000000" w:themeColor="text1"/>
        </w:rPr>
        <w:t>pton</w:t>
      </w:r>
      <w:r w:rsidR="00071AF6" w:rsidRPr="00F14B9A">
        <w:rPr>
          <w:noProof/>
          <w:color w:val="000000" w:themeColor="text1"/>
        </w:rPr>
        <w:t xml:space="preserve"> 2015)</w:t>
      </w:r>
      <w:r w:rsidR="00071AF6" w:rsidRPr="00F14B9A">
        <w:rPr>
          <w:color w:val="000000" w:themeColor="text1"/>
        </w:rPr>
        <w:t>, i</w:t>
      </w:r>
      <w:r w:rsidR="75F701D6" w:rsidRPr="00F14B9A">
        <w:rPr>
          <w:color w:val="000000" w:themeColor="text1"/>
        </w:rPr>
        <w:t>n a location, and at a time, that suits their own specific learning needs</w:t>
      </w:r>
      <w:r w:rsidR="00071AF6" w:rsidRPr="00F14B9A">
        <w:rPr>
          <w:color w:val="000000" w:themeColor="text1"/>
        </w:rPr>
        <w:t xml:space="preserve"> </w:t>
      </w:r>
      <w:r w:rsidR="002121B7" w:rsidRPr="00F14B9A">
        <w:rPr>
          <w:noProof/>
          <w:color w:val="000000" w:themeColor="text1"/>
        </w:rPr>
        <w:t>(Ally</w:t>
      </w:r>
      <w:r w:rsidR="00071AF6" w:rsidRPr="00F14B9A">
        <w:rPr>
          <w:noProof/>
          <w:color w:val="000000" w:themeColor="text1"/>
        </w:rPr>
        <w:t xml:space="preserve"> 2009)</w:t>
      </w:r>
      <w:r w:rsidR="00071AF6" w:rsidRPr="00F14B9A">
        <w:rPr>
          <w:color w:val="000000" w:themeColor="text1"/>
        </w:rPr>
        <w:t>. Re</w:t>
      </w:r>
      <w:r w:rsidR="75F701D6" w:rsidRPr="00F14B9A">
        <w:rPr>
          <w:color w:val="000000" w:themeColor="text1"/>
        </w:rPr>
        <w:t xml:space="preserve">cently the education sector has embraced this technological development, with higher education institutes and commercial developers </w:t>
      </w:r>
      <w:r w:rsidR="003B031E" w:rsidRPr="00F14B9A">
        <w:rPr>
          <w:color w:val="000000" w:themeColor="text1"/>
        </w:rPr>
        <w:t>creating TEL resources</w:t>
      </w:r>
      <w:r w:rsidR="75F701D6" w:rsidRPr="00F14B9A">
        <w:rPr>
          <w:color w:val="000000" w:themeColor="text1"/>
        </w:rPr>
        <w:t xml:space="preserve"> to support a wide range of educational disciplines</w:t>
      </w:r>
      <w:r w:rsidR="00071AF6" w:rsidRPr="00F14B9A">
        <w:rPr>
          <w:color w:val="000000" w:themeColor="text1"/>
        </w:rPr>
        <w:t xml:space="preserve"> </w:t>
      </w:r>
      <w:r w:rsidR="002121B7" w:rsidRPr="00F14B9A">
        <w:rPr>
          <w:noProof/>
          <w:color w:val="000000" w:themeColor="text1"/>
        </w:rPr>
        <w:t>(Bullock</w:t>
      </w:r>
      <w:r w:rsidR="00071AF6" w:rsidRPr="00F14B9A">
        <w:rPr>
          <w:noProof/>
          <w:color w:val="000000" w:themeColor="text1"/>
        </w:rPr>
        <w:t xml:space="preserve"> 2014)</w:t>
      </w:r>
      <w:r w:rsidR="00071AF6" w:rsidRPr="00F14B9A">
        <w:rPr>
          <w:color w:val="000000" w:themeColor="text1"/>
        </w:rPr>
        <w:t>.</w:t>
      </w:r>
      <w:r w:rsidR="75F701D6" w:rsidRPr="00F14B9A">
        <w:rPr>
          <w:color w:val="000000" w:themeColor="text1"/>
        </w:rPr>
        <w:t xml:space="preserve"> </w:t>
      </w:r>
      <w:r w:rsidR="002054DC" w:rsidRPr="00F14B9A">
        <w:rPr>
          <w:color w:val="000000" w:themeColor="text1"/>
        </w:rPr>
        <w:t xml:space="preserve"> </w:t>
      </w:r>
      <w:r w:rsidR="75F701D6" w:rsidRPr="00F14B9A">
        <w:rPr>
          <w:color w:val="000000" w:themeColor="text1"/>
        </w:rPr>
        <w:t>However, with increasing acceptance and use of such resources</w:t>
      </w:r>
      <w:r w:rsidR="00071AF6" w:rsidRPr="00F14B9A">
        <w:rPr>
          <w:color w:val="000000" w:themeColor="text1"/>
        </w:rPr>
        <w:t xml:space="preserve"> </w:t>
      </w:r>
      <w:r w:rsidR="006C1B20" w:rsidRPr="00F14B9A">
        <w:rPr>
          <w:noProof/>
          <w:color w:val="000000" w:themeColor="text1"/>
        </w:rPr>
        <w:t xml:space="preserve">(Bickerdike et al. </w:t>
      </w:r>
      <w:r w:rsidR="00071AF6" w:rsidRPr="00F14B9A">
        <w:rPr>
          <w:noProof/>
          <w:color w:val="000000" w:themeColor="text1"/>
        </w:rPr>
        <w:t>2014; Joynes &amp; Fuller</w:t>
      </w:r>
      <w:r w:rsidR="00C57DC8" w:rsidRPr="00F14B9A">
        <w:rPr>
          <w:noProof/>
          <w:color w:val="000000" w:themeColor="text1"/>
        </w:rPr>
        <w:t xml:space="preserve"> </w:t>
      </w:r>
      <w:r w:rsidR="00071AF6" w:rsidRPr="00F14B9A">
        <w:rPr>
          <w:noProof/>
          <w:color w:val="000000" w:themeColor="text1"/>
        </w:rPr>
        <w:t>2015)</w:t>
      </w:r>
      <w:r w:rsidR="75F701D6" w:rsidRPr="00F14B9A">
        <w:rPr>
          <w:color w:val="000000" w:themeColor="text1"/>
        </w:rPr>
        <w:t xml:space="preserve"> and finite time available for learners to engage in preparation for summative assessments, it is essential that </w:t>
      </w:r>
      <w:r w:rsidR="00ED6181" w:rsidRPr="00F14B9A">
        <w:rPr>
          <w:color w:val="000000" w:themeColor="text1"/>
        </w:rPr>
        <w:t xml:space="preserve">such </w:t>
      </w:r>
      <w:r w:rsidR="75F701D6" w:rsidRPr="00F14B9A">
        <w:rPr>
          <w:color w:val="000000" w:themeColor="text1"/>
        </w:rPr>
        <w:t>resources are efficient, and support learn</w:t>
      </w:r>
      <w:r w:rsidR="00E96510" w:rsidRPr="00F14B9A">
        <w:rPr>
          <w:color w:val="000000" w:themeColor="text1"/>
        </w:rPr>
        <w:t>er gain</w:t>
      </w:r>
      <w:r w:rsidR="00C57DC8" w:rsidRPr="00F14B9A">
        <w:rPr>
          <w:color w:val="000000" w:themeColor="text1"/>
        </w:rPr>
        <w:t xml:space="preserve"> (that is, an increase in usable and retained knowledge)</w:t>
      </w:r>
      <w:r w:rsidR="75F701D6" w:rsidRPr="00F14B9A">
        <w:rPr>
          <w:color w:val="000000" w:themeColor="text1"/>
        </w:rPr>
        <w:t xml:space="preserve">. </w:t>
      </w:r>
      <w:r w:rsidR="003B031E" w:rsidRPr="00F14B9A">
        <w:rPr>
          <w:color w:val="000000" w:themeColor="text1"/>
        </w:rPr>
        <w:t>I</w:t>
      </w:r>
      <w:r w:rsidR="75F701D6" w:rsidRPr="00F14B9A">
        <w:rPr>
          <w:color w:val="000000" w:themeColor="text1"/>
        </w:rPr>
        <w:t>t is</w:t>
      </w:r>
      <w:r w:rsidR="00E96510" w:rsidRPr="00F14B9A">
        <w:rPr>
          <w:color w:val="000000" w:themeColor="text1"/>
        </w:rPr>
        <w:t xml:space="preserve"> </w:t>
      </w:r>
      <w:r w:rsidR="00247C9D" w:rsidRPr="00F14B9A">
        <w:rPr>
          <w:color w:val="000000" w:themeColor="text1"/>
        </w:rPr>
        <w:t>inconceivable</w:t>
      </w:r>
      <w:r w:rsidR="75F701D6" w:rsidRPr="00F14B9A">
        <w:rPr>
          <w:color w:val="000000" w:themeColor="text1"/>
        </w:rPr>
        <w:t xml:space="preserve"> that any educational establishment, at any level from school to higher education institution, would consider withdrawing technology from their curriculum</w:t>
      </w:r>
      <w:r w:rsidR="00071AF6" w:rsidRPr="00F14B9A">
        <w:rPr>
          <w:color w:val="000000" w:themeColor="text1"/>
        </w:rPr>
        <w:t xml:space="preserve"> </w:t>
      </w:r>
      <w:r w:rsidR="00071AF6" w:rsidRPr="00F14B9A">
        <w:rPr>
          <w:noProof/>
          <w:color w:val="000000" w:themeColor="text1"/>
        </w:rPr>
        <w:t>(Fuller &amp; Joynes</w:t>
      </w:r>
      <w:r w:rsidR="006C1B20" w:rsidRPr="00F14B9A">
        <w:rPr>
          <w:noProof/>
          <w:color w:val="000000" w:themeColor="text1"/>
        </w:rPr>
        <w:t>, 2015</w:t>
      </w:r>
      <w:r w:rsidR="00C57DC8" w:rsidRPr="00F14B9A">
        <w:rPr>
          <w:noProof/>
          <w:color w:val="000000" w:themeColor="text1"/>
        </w:rPr>
        <w:t>a</w:t>
      </w:r>
      <w:r w:rsidR="006C1B20" w:rsidRPr="00F14B9A">
        <w:rPr>
          <w:noProof/>
          <w:color w:val="000000" w:themeColor="text1"/>
        </w:rPr>
        <w:t xml:space="preserve">; Lumsden et al. </w:t>
      </w:r>
      <w:r w:rsidR="00071AF6" w:rsidRPr="00F14B9A">
        <w:rPr>
          <w:noProof/>
          <w:color w:val="000000" w:themeColor="text1"/>
        </w:rPr>
        <w:t>2015)</w:t>
      </w:r>
      <w:r w:rsidR="00071AF6" w:rsidRPr="00F14B9A">
        <w:rPr>
          <w:color w:val="000000" w:themeColor="text1"/>
        </w:rPr>
        <w:t xml:space="preserve">. </w:t>
      </w:r>
      <w:r w:rsidR="00A22744" w:rsidRPr="00F14B9A">
        <w:rPr>
          <w:color w:val="000000" w:themeColor="text1"/>
        </w:rPr>
        <w:t xml:space="preserve">Simultaneously, </w:t>
      </w:r>
      <w:r w:rsidR="00ED6181" w:rsidRPr="00F14B9A">
        <w:rPr>
          <w:color w:val="000000" w:themeColor="text1"/>
        </w:rPr>
        <w:t xml:space="preserve">educators </w:t>
      </w:r>
      <w:r w:rsidR="004F11B9" w:rsidRPr="00F14B9A">
        <w:rPr>
          <w:color w:val="000000" w:themeColor="text1"/>
        </w:rPr>
        <w:t>must</w:t>
      </w:r>
      <w:r w:rsidR="75F701D6" w:rsidRPr="00F14B9A">
        <w:rPr>
          <w:color w:val="000000" w:themeColor="text1"/>
        </w:rPr>
        <w:t xml:space="preserve"> </w:t>
      </w:r>
      <w:r w:rsidR="00A22744" w:rsidRPr="00F14B9A">
        <w:rPr>
          <w:color w:val="000000" w:themeColor="text1"/>
        </w:rPr>
        <w:t>now</w:t>
      </w:r>
      <w:r w:rsidR="75F701D6" w:rsidRPr="00F14B9A">
        <w:rPr>
          <w:color w:val="000000" w:themeColor="text1"/>
        </w:rPr>
        <w:t xml:space="preserve"> consider “how can technology be designed and developed to enhance student education and provide learner gain?” </w:t>
      </w:r>
    </w:p>
    <w:p w14:paraId="4A85D6DC" w14:textId="037A0035" w:rsidR="00751072" w:rsidRPr="00F14B9A" w:rsidRDefault="75F701D6" w:rsidP="008561E5">
      <w:pPr>
        <w:spacing w:line="480" w:lineRule="auto"/>
        <w:rPr>
          <w:color w:val="000000" w:themeColor="text1"/>
          <w:highlight w:val="yellow"/>
        </w:rPr>
      </w:pPr>
      <w:r w:rsidRPr="00F14B9A">
        <w:rPr>
          <w:color w:val="000000" w:themeColor="text1"/>
        </w:rPr>
        <w:t>At Leeds, the MBChB</w:t>
      </w:r>
      <w:r w:rsidR="00247C9D" w:rsidRPr="00F14B9A">
        <w:rPr>
          <w:color w:val="000000" w:themeColor="text1"/>
        </w:rPr>
        <w:t xml:space="preserve"> (Bachelor of Medicine and Surgery programme)</w:t>
      </w:r>
      <w:r w:rsidRPr="00F14B9A">
        <w:rPr>
          <w:color w:val="000000" w:themeColor="text1"/>
        </w:rPr>
        <w:t xml:space="preserve"> has a long standing TEL programme</w:t>
      </w:r>
      <w:r w:rsidR="00E96510" w:rsidRPr="00F14B9A">
        <w:rPr>
          <w:color w:val="000000" w:themeColor="text1"/>
        </w:rPr>
        <w:t xml:space="preserve"> </w:t>
      </w:r>
      <w:r w:rsidRPr="00F14B9A">
        <w:rPr>
          <w:color w:val="000000" w:themeColor="text1"/>
        </w:rPr>
        <w:t xml:space="preserve">whereby significant parts of the curriculum, </w:t>
      </w:r>
      <w:r w:rsidR="00A22744" w:rsidRPr="00F14B9A">
        <w:rPr>
          <w:color w:val="000000" w:themeColor="text1"/>
        </w:rPr>
        <w:t xml:space="preserve">including </w:t>
      </w:r>
      <w:r w:rsidRPr="00F14B9A">
        <w:rPr>
          <w:color w:val="000000" w:themeColor="text1"/>
        </w:rPr>
        <w:t>on-campus teaching and</w:t>
      </w:r>
      <w:r w:rsidR="00E96510" w:rsidRPr="00F14B9A">
        <w:rPr>
          <w:color w:val="000000" w:themeColor="text1"/>
        </w:rPr>
        <w:t xml:space="preserve"> clinical</w:t>
      </w:r>
      <w:r w:rsidRPr="00F14B9A">
        <w:rPr>
          <w:color w:val="000000" w:themeColor="text1"/>
        </w:rPr>
        <w:t xml:space="preserve"> placement based learning</w:t>
      </w:r>
      <w:r w:rsidR="00E96510" w:rsidRPr="00F14B9A">
        <w:rPr>
          <w:color w:val="000000" w:themeColor="text1"/>
        </w:rPr>
        <w:t>,</w:t>
      </w:r>
      <w:r w:rsidRPr="00F14B9A">
        <w:rPr>
          <w:color w:val="000000" w:themeColor="text1"/>
        </w:rPr>
        <w:t xml:space="preserve"> are supported through a range of technological resources. </w:t>
      </w:r>
      <w:r w:rsidR="00E96510" w:rsidRPr="00F14B9A">
        <w:rPr>
          <w:color w:val="000000" w:themeColor="text1"/>
        </w:rPr>
        <w:t>This approach to curriculum delivery enables students to use key learning resources at a time and place that best suits them and their learning</w:t>
      </w:r>
      <w:r w:rsidR="00071AF6" w:rsidRPr="00F14B9A">
        <w:rPr>
          <w:color w:val="000000" w:themeColor="text1"/>
        </w:rPr>
        <w:t xml:space="preserve"> </w:t>
      </w:r>
      <w:r w:rsidR="002121B7" w:rsidRPr="00F14B9A">
        <w:rPr>
          <w:noProof/>
          <w:color w:val="000000" w:themeColor="text1"/>
        </w:rPr>
        <w:t>(Joynes &amp; Fuller</w:t>
      </w:r>
      <w:r w:rsidR="00071AF6" w:rsidRPr="00F14B9A">
        <w:rPr>
          <w:noProof/>
          <w:color w:val="000000" w:themeColor="text1"/>
        </w:rPr>
        <w:t xml:space="preserve"> 2015</w:t>
      </w:r>
      <w:r w:rsidR="00C57DC8" w:rsidRPr="00F14B9A">
        <w:rPr>
          <w:noProof/>
          <w:color w:val="000000" w:themeColor="text1"/>
        </w:rPr>
        <w:t>b</w:t>
      </w:r>
      <w:r w:rsidR="00071AF6" w:rsidRPr="00F14B9A">
        <w:rPr>
          <w:noProof/>
          <w:color w:val="000000" w:themeColor="text1"/>
        </w:rPr>
        <w:t>)</w:t>
      </w:r>
      <w:r w:rsidR="00071AF6" w:rsidRPr="00F14B9A">
        <w:rPr>
          <w:color w:val="000000" w:themeColor="text1"/>
        </w:rPr>
        <w:t xml:space="preserve">. </w:t>
      </w:r>
      <w:r w:rsidRPr="00F14B9A">
        <w:rPr>
          <w:color w:val="000000" w:themeColor="text1"/>
        </w:rPr>
        <w:t>A specific example of this approach is across the anatomy curriculum where traditional didactic lectures are delivered alon</w:t>
      </w:r>
      <w:r w:rsidR="00014765" w:rsidRPr="00F14B9A">
        <w:rPr>
          <w:color w:val="000000" w:themeColor="text1"/>
        </w:rPr>
        <w:t>gside</w:t>
      </w:r>
      <w:r w:rsidR="004F11B9" w:rsidRPr="00F14B9A">
        <w:rPr>
          <w:color w:val="000000" w:themeColor="text1"/>
        </w:rPr>
        <w:t xml:space="preserve"> </w:t>
      </w:r>
      <w:r w:rsidRPr="00F14B9A">
        <w:rPr>
          <w:color w:val="000000" w:themeColor="text1"/>
        </w:rPr>
        <w:t xml:space="preserve">cadaveric </w:t>
      </w:r>
      <w:r w:rsidRPr="00F14B9A">
        <w:rPr>
          <w:color w:val="000000" w:themeColor="text1"/>
        </w:rPr>
        <w:lastRenderedPageBreak/>
        <w:t>dissection class</w:t>
      </w:r>
      <w:r w:rsidR="003F4C3B" w:rsidRPr="00F14B9A">
        <w:rPr>
          <w:color w:val="000000" w:themeColor="text1"/>
        </w:rPr>
        <w:t>es</w:t>
      </w:r>
      <w:r w:rsidRPr="00F14B9A">
        <w:rPr>
          <w:color w:val="000000" w:themeColor="text1"/>
        </w:rPr>
        <w:t xml:space="preserve">, with associated small group discussion sessions. For each of these sessions there are numerous </w:t>
      </w:r>
      <w:r w:rsidR="00C57DC8" w:rsidRPr="00F14B9A">
        <w:rPr>
          <w:color w:val="000000" w:themeColor="text1"/>
        </w:rPr>
        <w:t>‘</w:t>
      </w:r>
      <w:r w:rsidRPr="00F14B9A">
        <w:rPr>
          <w:color w:val="000000" w:themeColor="text1"/>
        </w:rPr>
        <w:t>blended learning</w:t>
      </w:r>
      <w:r w:rsidR="00C57DC8" w:rsidRPr="00F14B9A">
        <w:rPr>
          <w:color w:val="000000" w:themeColor="text1"/>
        </w:rPr>
        <w:t>’</w:t>
      </w:r>
      <w:r w:rsidRPr="00F14B9A">
        <w:rPr>
          <w:color w:val="000000" w:themeColor="text1"/>
        </w:rPr>
        <w:t xml:space="preserve"> resources embedded into the </w:t>
      </w:r>
      <w:r w:rsidR="00E96510" w:rsidRPr="00F14B9A">
        <w:rPr>
          <w:color w:val="000000" w:themeColor="text1"/>
        </w:rPr>
        <w:t>teaching</w:t>
      </w:r>
      <w:r w:rsidR="004F11B9" w:rsidRPr="00F14B9A">
        <w:rPr>
          <w:color w:val="000000" w:themeColor="text1"/>
        </w:rPr>
        <w:t>,</w:t>
      </w:r>
      <w:r w:rsidR="00E96510" w:rsidRPr="00F14B9A">
        <w:rPr>
          <w:color w:val="000000" w:themeColor="text1"/>
        </w:rPr>
        <w:t xml:space="preserve"> including</w:t>
      </w:r>
      <w:r w:rsidRPr="00F14B9A">
        <w:rPr>
          <w:color w:val="000000" w:themeColor="text1"/>
        </w:rPr>
        <w:t xml:space="preserve"> paper-based workbooks, digitally captured lecture content, online formative questions, eBooks and applications to support students </w:t>
      </w:r>
      <w:r w:rsidR="00E96510" w:rsidRPr="00F14B9A">
        <w:rPr>
          <w:color w:val="000000" w:themeColor="text1"/>
        </w:rPr>
        <w:t xml:space="preserve">in </w:t>
      </w:r>
      <w:r w:rsidRPr="00F14B9A">
        <w:rPr>
          <w:color w:val="000000" w:themeColor="text1"/>
        </w:rPr>
        <w:t>reach</w:t>
      </w:r>
      <w:r w:rsidR="00E96510" w:rsidRPr="00F14B9A">
        <w:rPr>
          <w:color w:val="000000" w:themeColor="text1"/>
        </w:rPr>
        <w:t>ing</w:t>
      </w:r>
      <w:r w:rsidRPr="00F14B9A">
        <w:rPr>
          <w:color w:val="000000" w:themeColor="text1"/>
        </w:rPr>
        <w:t xml:space="preserve"> the desired learning objectives</w:t>
      </w:r>
      <w:r w:rsidR="00071AF6" w:rsidRPr="00F14B9A">
        <w:rPr>
          <w:color w:val="000000" w:themeColor="text1"/>
        </w:rPr>
        <w:t xml:space="preserve"> </w:t>
      </w:r>
      <w:r w:rsidR="002121B7" w:rsidRPr="00F14B9A">
        <w:rPr>
          <w:noProof/>
          <w:color w:val="000000" w:themeColor="text1"/>
        </w:rPr>
        <w:t>(Pickering</w:t>
      </w:r>
      <w:r w:rsidR="00071AF6" w:rsidRPr="00F14B9A">
        <w:rPr>
          <w:noProof/>
          <w:color w:val="000000" w:themeColor="text1"/>
        </w:rPr>
        <w:t xml:space="preserve"> 2015a)</w:t>
      </w:r>
      <w:r w:rsidR="00071AF6" w:rsidRPr="00F14B9A">
        <w:rPr>
          <w:color w:val="000000" w:themeColor="text1"/>
        </w:rPr>
        <w:t>.</w:t>
      </w:r>
      <w:r w:rsidR="00A22744" w:rsidRPr="00F14B9A">
        <w:rPr>
          <w:color w:val="000000" w:themeColor="text1"/>
        </w:rPr>
        <w:t xml:space="preserve"> </w:t>
      </w:r>
      <w:r w:rsidRPr="00F14B9A">
        <w:rPr>
          <w:color w:val="000000" w:themeColor="text1"/>
        </w:rPr>
        <w:t xml:space="preserve">Whilst the </w:t>
      </w:r>
      <w:r w:rsidR="00014765" w:rsidRPr="00F14B9A">
        <w:rPr>
          <w:color w:val="000000" w:themeColor="text1"/>
        </w:rPr>
        <w:t>overall uptake</w:t>
      </w:r>
      <w:r w:rsidRPr="00F14B9A">
        <w:rPr>
          <w:color w:val="000000" w:themeColor="text1"/>
        </w:rPr>
        <w:t xml:space="preserve"> of these TEL resources has been extensive</w:t>
      </w:r>
      <w:r w:rsidR="00A22744" w:rsidRPr="00F14B9A">
        <w:rPr>
          <w:color w:val="000000" w:themeColor="text1"/>
        </w:rPr>
        <w:t>, i</w:t>
      </w:r>
      <w:r w:rsidRPr="00F14B9A">
        <w:rPr>
          <w:color w:val="000000" w:themeColor="text1"/>
        </w:rPr>
        <w:t>t remains difficult for those interested in developing and improving the efficacy of technological resources</w:t>
      </w:r>
      <w:r w:rsidR="004F11B9" w:rsidRPr="00F14B9A">
        <w:rPr>
          <w:color w:val="000000" w:themeColor="text1"/>
        </w:rPr>
        <w:t xml:space="preserve"> for learning </w:t>
      </w:r>
      <w:r w:rsidR="00A22744" w:rsidRPr="00F14B9A">
        <w:rPr>
          <w:color w:val="000000" w:themeColor="text1"/>
        </w:rPr>
        <w:t xml:space="preserve">to </w:t>
      </w:r>
      <w:r w:rsidRPr="00F14B9A">
        <w:rPr>
          <w:color w:val="000000" w:themeColor="text1"/>
        </w:rPr>
        <w:t>evidence the impact of an individual resource to the</w:t>
      </w:r>
      <w:r w:rsidR="00014765" w:rsidRPr="00F14B9A">
        <w:rPr>
          <w:color w:val="000000" w:themeColor="text1"/>
        </w:rPr>
        <w:t xml:space="preserve"> individual learner or</w:t>
      </w:r>
      <w:r w:rsidRPr="00F14B9A">
        <w:rPr>
          <w:color w:val="000000" w:themeColor="text1"/>
        </w:rPr>
        <w:t xml:space="preserve"> institution.</w:t>
      </w:r>
      <w:r w:rsidR="006C54BC" w:rsidRPr="00F14B9A">
        <w:rPr>
          <w:color w:val="000000" w:themeColor="text1"/>
        </w:rPr>
        <w:t xml:space="preserve"> </w:t>
      </w:r>
      <w:r w:rsidR="00883076" w:rsidRPr="00F14B9A">
        <w:rPr>
          <w:color w:val="000000" w:themeColor="text1"/>
        </w:rPr>
        <w:t>Furthermore</w:t>
      </w:r>
      <w:r w:rsidR="006C54BC" w:rsidRPr="00F14B9A">
        <w:rPr>
          <w:color w:val="000000" w:themeColor="text1"/>
        </w:rPr>
        <w:t>, i</w:t>
      </w:r>
      <w:r w:rsidRPr="00F14B9A">
        <w:rPr>
          <w:color w:val="000000" w:themeColor="text1"/>
        </w:rPr>
        <w:t>t has been acknowledged that existing frameworks and instruments fall short of providing a sufficiently robust mechanism to evaluate TEL resources</w:t>
      </w:r>
      <w:r w:rsidR="00071AF6" w:rsidRPr="00F14B9A">
        <w:rPr>
          <w:color w:val="000000" w:themeColor="text1"/>
        </w:rPr>
        <w:t xml:space="preserve"> </w:t>
      </w:r>
      <w:r w:rsidR="002121B7" w:rsidRPr="00F14B9A">
        <w:rPr>
          <w:noProof/>
          <w:color w:val="000000" w:themeColor="text1"/>
        </w:rPr>
        <w:t>(Cook &amp; Ellaway</w:t>
      </w:r>
      <w:r w:rsidR="00071AF6" w:rsidRPr="00F14B9A">
        <w:rPr>
          <w:noProof/>
          <w:color w:val="000000" w:themeColor="text1"/>
        </w:rPr>
        <w:t xml:space="preserve"> 2015)</w:t>
      </w:r>
      <w:r w:rsidR="00071AF6" w:rsidRPr="00F14B9A">
        <w:rPr>
          <w:color w:val="000000" w:themeColor="text1"/>
        </w:rPr>
        <w:t xml:space="preserve">. </w:t>
      </w:r>
      <w:r w:rsidRPr="00F14B9A">
        <w:rPr>
          <w:color w:val="000000" w:themeColor="text1"/>
        </w:rPr>
        <w:t>From our own experiences, it appears that there is an absence of connectivity between theoretical frameworks for evaluation and the realities of developing pragmatic tools to explore the impact of TEL resources on student learning.  This paper therefore aims to provide a practice-informed evaluation model that enables educators to understand the</w:t>
      </w:r>
      <w:r w:rsidR="00AD38A5" w:rsidRPr="00F14B9A">
        <w:rPr>
          <w:color w:val="000000" w:themeColor="text1"/>
        </w:rPr>
        <w:t xml:space="preserve"> overarching</w:t>
      </w:r>
      <w:r w:rsidRPr="00F14B9A">
        <w:rPr>
          <w:color w:val="000000" w:themeColor="text1"/>
        </w:rPr>
        <w:t xml:space="preserve"> impact of a single interven</w:t>
      </w:r>
      <w:r w:rsidR="0052225B" w:rsidRPr="00F14B9A">
        <w:rPr>
          <w:color w:val="000000" w:themeColor="text1"/>
        </w:rPr>
        <w:t>tion TEL resource</w:t>
      </w:r>
      <w:r w:rsidR="00E04510" w:rsidRPr="00F14B9A">
        <w:rPr>
          <w:color w:val="000000" w:themeColor="text1"/>
        </w:rPr>
        <w:t xml:space="preserve"> </w:t>
      </w:r>
      <w:r w:rsidR="00014765" w:rsidRPr="00F14B9A">
        <w:rPr>
          <w:color w:val="000000" w:themeColor="text1"/>
        </w:rPr>
        <w:t>with</w:t>
      </w:r>
      <w:r w:rsidRPr="00F14B9A">
        <w:rPr>
          <w:color w:val="000000" w:themeColor="text1"/>
        </w:rPr>
        <w:t xml:space="preserve">in the context in which it is used.  The model proposed here </w:t>
      </w:r>
      <w:r w:rsidR="004F11B9" w:rsidRPr="00F14B9A">
        <w:rPr>
          <w:color w:val="000000" w:themeColor="text1"/>
        </w:rPr>
        <w:t>has the potential to be</w:t>
      </w:r>
      <w:r w:rsidRPr="00F14B9A">
        <w:rPr>
          <w:color w:val="000000" w:themeColor="text1"/>
        </w:rPr>
        <w:t xml:space="preserve"> used across a range of disciplines, but has been developed based upon our experiences of evaluating TEL resources within medical education.</w:t>
      </w:r>
      <w:r w:rsidR="00AD38A5" w:rsidRPr="00F14B9A">
        <w:rPr>
          <w:color w:val="000000" w:themeColor="text1"/>
        </w:rPr>
        <w:t xml:space="preserve">  It is intended to move evaluation of TEL resources beyond superficial discussions of whether resources are well-perceived by the user cohort.</w:t>
      </w:r>
      <w:r w:rsidR="00681FC6" w:rsidRPr="00F14B9A">
        <w:rPr>
          <w:color w:val="000000" w:themeColor="text1"/>
        </w:rPr>
        <w:t xml:space="preserve">  </w:t>
      </w:r>
      <w:r w:rsidR="002054DC" w:rsidRPr="00F14B9A">
        <w:rPr>
          <w:color w:val="000000" w:themeColor="text1"/>
        </w:rPr>
        <w:t xml:space="preserve">The rationale for developing this model is in part due to the rapid expansion of technology and the introduction of TEL resources within medical curricula, combined with the concomitant lack of adequate evaluation of such resources.  This model intends to serve as a filter for the implementation of TEL resources into curricula to ensure that they are fit for purpose, with the results </w:t>
      </w:r>
      <w:r w:rsidR="002054DC" w:rsidRPr="00F14B9A">
        <w:rPr>
          <w:color w:val="000000" w:themeColor="text1"/>
        </w:rPr>
        <w:lastRenderedPageBreak/>
        <w:t>intended to provide meaningful data on the role of such resources within the context in which they are delivered.</w:t>
      </w:r>
    </w:p>
    <w:p w14:paraId="0B909828" w14:textId="77777777" w:rsidR="00A47ABD" w:rsidRPr="00F14B9A" w:rsidRDefault="00A47ABD" w:rsidP="00A5653F">
      <w:pPr>
        <w:spacing w:line="480" w:lineRule="auto"/>
        <w:rPr>
          <w:color w:val="000000" w:themeColor="text1"/>
        </w:rPr>
      </w:pPr>
    </w:p>
    <w:p w14:paraId="4529EF07" w14:textId="77777777" w:rsidR="00A5653F" w:rsidRPr="00F14B9A" w:rsidRDefault="00751072" w:rsidP="00A5653F">
      <w:pPr>
        <w:spacing w:line="480" w:lineRule="auto"/>
        <w:rPr>
          <w:i/>
          <w:color w:val="000000" w:themeColor="text1"/>
        </w:rPr>
      </w:pPr>
      <w:r w:rsidRPr="00F14B9A">
        <w:rPr>
          <w:i/>
          <w:color w:val="000000" w:themeColor="text1"/>
        </w:rPr>
        <w:t>An exploration of existing resource evaluation models</w:t>
      </w:r>
    </w:p>
    <w:p w14:paraId="74C3B7BB" w14:textId="5F4057E7" w:rsidR="007768EC" w:rsidRPr="00F14B9A" w:rsidRDefault="75F701D6" w:rsidP="002C20E3">
      <w:pPr>
        <w:spacing w:line="480" w:lineRule="auto"/>
        <w:rPr>
          <w:color w:val="000000" w:themeColor="text1"/>
        </w:rPr>
      </w:pPr>
      <w:r w:rsidRPr="00F14B9A">
        <w:rPr>
          <w:color w:val="000000" w:themeColor="text1"/>
        </w:rPr>
        <w:t xml:space="preserve">A broad range of evaluation frameworks are already well-documented within educational </w:t>
      </w:r>
      <w:proofErr w:type="gramStart"/>
      <w:r w:rsidRPr="00F14B9A">
        <w:rPr>
          <w:color w:val="000000" w:themeColor="text1"/>
        </w:rPr>
        <w:t>literature,</w:t>
      </w:r>
      <w:proofErr w:type="gramEnd"/>
      <w:r w:rsidRPr="00F14B9A">
        <w:rPr>
          <w:color w:val="000000" w:themeColor="text1"/>
        </w:rPr>
        <w:t xml:space="preserve"> however their focus tends to be at the level of programme or course evaluation rather than on the impact of a single resource intervention embedded within a wider course</w:t>
      </w:r>
      <w:r w:rsidR="00071AF6" w:rsidRPr="00F14B9A">
        <w:rPr>
          <w:color w:val="000000" w:themeColor="text1"/>
        </w:rPr>
        <w:t xml:space="preserve"> </w:t>
      </w:r>
      <w:r w:rsidR="002121B7" w:rsidRPr="00F14B9A">
        <w:rPr>
          <w:noProof/>
          <w:color w:val="000000" w:themeColor="text1"/>
        </w:rPr>
        <w:t>(Frye &amp; Hemmer</w:t>
      </w:r>
      <w:r w:rsidR="00071AF6" w:rsidRPr="00F14B9A">
        <w:rPr>
          <w:noProof/>
          <w:color w:val="000000" w:themeColor="text1"/>
        </w:rPr>
        <w:t xml:space="preserve"> 2012)</w:t>
      </w:r>
      <w:r w:rsidR="00071AF6" w:rsidRPr="00F14B9A">
        <w:rPr>
          <w:color w:val="000000" w:themeColor="text1"/>
        </w:rPr>
        <w:t xml:space="preserve">. </w:t>
      </w:r>
      <w:r w:rsidRPr="00F14B9A">
        <w:rPr>
          <w:color w:val="000000" w:themeColor="text1"/>
        </w:rPr>
        <w:t>Perhaps the most influential and widely cited o</w:t>
      </w:r>
      <w:r w:rsidR="00BD5F1D" w:rsidRPr="00F14B9A">
        <w:rPr>
          <w:color w:val="000000" w:themeColor="text1"/>
        </w:rPr>
        <w:t>f these are</w:t>
      </w:r>
      <w:r w:rsidR="00F03CBE" w:rsidRPr="00F14B9A">
        <w:rPr>
          <w:color w:val="000000" w:themeColor="text1"/>
        </w:rPr>
        <w:t xml:space="preserve"> Kirkpatrick’s (</w:t>
      </w:r>
      <w:r w:rsidRPr="00F14B9A">
        <w:rPr>
          <w:color w:val="000000" w:themeColor="text1"/>
        </w:rPr>
        <w:t>1994</w:t>
      </w:r>
      <w:r w:rsidR="00EE0C81" w:rsidRPr="00F14B9A">
        <w:rPr>
          <w:color w:val="000000" w:themeColor="text1"/>
        </w:rPr>
        <w:t>; 2010</w:t>
      </w:r>
      <w:r w:rsidRPr="00F14B9A">
        <w:rPr>
          <w:color w:val="000000" w:themeColor="text1"/>
        </w:rPr>
        <w:t>) model</w:t>
      </w:r>
      <w:r w:rsidR="00E04510" w:rsidRPr="00F14B9A">
        <w:rPr>
          <w:color w:val="000000" w:themeColor="text1"/>
        </w:rPr>
        <w:t>s, which describe</w:t>
      </w:r>
      <w:r w:rsidRPr="00F14B9A">
        <w:rPr>
          <w:color w:val="000000" w:themeColor="text1"/>
        </w:rPr>
        <w:t xml:space="preserve"> evaluating four levels of learner outcomes in order to understand the impact of training programmes.  Detai</w:t>
      </w:r>
      <w:r w:rsidR="00E04510" w:rsidRPr="00F14B9A">
        <w:rPr>
          <w:color w:val="000000" w:themeColor="text1"/>
        </w:rPr>
        <w:t xml:space="preserve">led review and critique of these </w:t>
      </w:r>
      <w:r w:rsidRPr="00F14B9A">
        <w:rPr>
          <w:color w:val="000000" w:themeColor="text1"/>
        </w:rPr>
        <w:t>model</w:t>
      </w:r>
      <w:r w:rsidR="00E04510" w:rsidRPr="00F14B9A">
        <w:rPr>
          <w:color w:val="000000" w:themeColor="text1"/>
        </w:rPr>
        <w:t>s</w:t>
      </w:r>
      <w:r w:rsidR="006C1B20" w:rsidRPr="00F14B9A">
        <w:rPr>
          <w:color w:val="000000" w:themeColor="text1"/>
        </w:rPr>
        <w:t xml:space="preserve"> </w:t>
      </w:r>
      <w:r w:rsidR="002121B7" w:rsidRPr="00F14B9A">
        <w:rPr>
          <w:noProof/>
          <w:color w:val="000000" w:themeColor="text1"/>
        </w:rPr>
        <w:t>(Holton</w:t>
      </w:r>
      <w:r w:rsidR="00071AF6" w:rsidRPr="00F14B9A">
        <w:rPr>
          <w:noProof/>
          <w:color w:val="000000" w:themeColor="text1"/>
        </w:rPr>
        <w:t xml:space="preserve"> 1996; Yardley &amp; </w:t>
      </w:r>
      <w:r w:rsidR="002121B7" w:rsidRPr="00F14B9A">
        <w:rPr>
          <w:noProof/>
          <w:color w:val="000000" w:themeColor="text1"/>
        </w:rPr>
        <w:t>Dornan</w:t>
      </w:r>
      <w:r w:rsidR="00071AF6" w:rsidRPr="00F14B9A">
        <w:rPr>
          <w:noProof/>
          <w:color w:val="000000" w:themeColor="text1"/>
        </w:rPr>
        <w:t xml:space="preserve"> 2012)</w:t>
      </w:r>
      <w:r w:rsidR="006C16DD" w:rsidRPr="00F14B9A">
        <w:rPr>
          <w:color w:val="000000" w:themeColor="text1"/>
          <w:vertAlign w:val="superscript"/>
        </w:rPr>
        <w:t xml:space="preserve"> </w:t>
      </w:r>
      <w:r w:rsidRPr="00F14B9A">
        <w:rPr>
          <w:color w:val="000000" w:themeColor="text1"/>
        </w:rPr>
        <w:t xml:space="preserve">suggest that </w:t>
      </w:r>
      <w:r w:rsidR="00E04510" w:rsidRPr="00F14B9A">
        <w:rPr>
          <w:color w:val="000000" w:themeColor="text1"/>
        </w:rPr>
        <w:t>they are</w:t>
      </w:r>
      <w:r w:rsidRPr="00F14B9A">
        <w:rPr>
          <w:color w:val="000000" w:themeColor="text1"/>
        </w:rPr>
        <w:t xml:space="preserve"> reductionist in approach, </w:t>
      </w:r>
      <w:r w:rsidR="00E04510" w:rsidRPr="00F14B9A">
        <w:rPr>
          <w:color w:val="000000" w:themeColor="text1"/>
        </w:rPr>
        <w:t>thereby limiting their</w:t>
      </w:r>
      <w:r w:rsidRPr="00F14B9A">
        <w:rPr>
          <w:color w:val="000000" w:themeColor="text1"/>
        </w:rPr>
        <w:t xml:space="preserve"> </w:t>
      </w:r>
      <w:r w:rsidR="00E04510" w:rsidRPr="00F14B9A">
        <w:rPr>
          <w:color w:val="000000" w:themeColor="text1"/>
        </w:rPr>
        <w:t>utility within</w:t>
      </w:r>
      <w:r w:rsidRPr="00F14B9A">
        <w:rPr>
          <w:color w:val="000000" w:themeColor="text1"/>
        </w:rPr>
        <w:t xml:space="preserve"> a resource-heavy, complex, multi-faceted learning environment.</w:t>
      </w:r>
      <w:r w:rsidR="00E04510" w:rsidRPr="00F14B9A">
        <w:rPr>
          <w:color w:val="000000" w:themeColor="text1"/>
        </w:rPr>
        <w:t xml:space="preserve">  Whilst we would agree that evaluation of a resource in isolation is of limited use within a medical education context, our view is that the levels outlined by Kirkpatrick</w:t>
      </w:r>
      <w:r w:rsidR="00F73269" w:rsidRPr="00F14B9A">
        <w:rPr>
          <w:color w:val="000000" w:themeColor="text1"/>
        </w:rPr>
        <w:t xml:space="preserve"> (</w:t>
      </w:r>
      <w:r w:rsidR="00E04510" w:rsidRPr="00F14B9A">
        <w:rPr>
          <w:color w:val="000000" w:themeColor="text1"/>
        </w:rPr>
        <w:t>2010) are a useful starting point in developing a more nuanced approach to evaluating TEL resources.</w:t>
      </w:r>
      <w:r w:rsidR="00F73269" w:rsidRPr="00F14B9A">
        <w:rPr>
          <w:color w:val="000000" w:themeColor="text1"/>
        </w:rPr>
        <w:t xml:space="preserve">  However</w:t>
      </w:r>
      <w:r w:rsidR="005D6AE1" w:rsidRPr="00F14B9A">
        <w:rPr>
          <w:color w:val="000000" w:themeColor="text1"/>
        </w:rPr>
        <w:t>,</w:t>
      </w:r>
      <w:r w:rsidR="00F73269" w:rsidRPr="00F14B9A">
        <w:rPr>
          <w:color w:val="000000" w:themeColor="text1"/>
        </w:rPr>
        <w:t xml:space="preserve"> despite the fact that this is an updated approach to training evaluation, we believe the model </w:t>
      </w:r>
      <w:r w:rsidR="005D6AE1" w:rsidRPr="00F14B9A">
        <w:rPr>
          <w:color w:val="000000" w:themeColor="text1"/>
        </w:rPr>
        <w:t>is not wholly transferable</w:t>
      </w:r>
      <w:r w:rsidR="00F73269" w:rsidRPr="00F14B9A">
        <w:rPr>
          <w:color w:val="000000" w:themeColor="text1"/>
        </w:rPr>
        <w:t xml:space="preserve"> to medical education curricula.  For example, where Kirkpatrick </w:t>
      </w:r>
      <w:r w:rsidR="005D6AE1" w:rsidRPr="00F14B9A">
        <w:rPr>
          <w:color w:val="000000" w:themeColor="text1"/>
        </w:rPr>
        <w:t xml:space="preserve">(2010) </w:t>
      </w:r>
      <w:r w:rsidR="00F73269" w:rsidRPr="00F14B9A">
        <w:rPr>
          <w:color w:val="000000" w:themeColor="text1"/>
        </w:rPr>
        <w:t xml:space="preserve">proposes that ‘confidence’ in a newly acquired knowledge is important, within medicine we would want evidence that this knowledge is both ‘learned’ and maintained beyond a students’ perceived confidence. </w:t>
      </w:r>
    </w:p>
    <w:p w14:paraId="136C791F" w14:textId="77777777" w:rsidR="00345F86" w:rsidRPr="00F14B9A" w:rsidRDefault="75F701D6" w:rsidP="00895E96">
      <w:pPr>
        <w:spacing w:line="480" w:lineRule="auto"/>
        <w:rPr>
          <w:color w:val="000000" w:themeColor="text1"/>
        </w:rPr>
      </w:pPr>
      <w:r w:rsidRPr="00F14B9A">
        <w:rPr>
          <w:color w:val="000000" w:themeColor="text1"/>
        </w:rPr>
        <w:t>Unfortunately, evaluations of TEL resources remain largely aimed at exploring the levels of student engagement and satisfaction</w:t>
      </w:r>
      <w:r w:rsidR="006C1B20" w:rsidRPr="00F14B9A">
        <w:rPr>
          <w:color w:val="000000" w:themeColor="text1"/>
        </w:rPr>
        <w:t xml:space="preserve"> </w:t>
      </w:r>
      <w:r w:rsidR="006C1B20" w:rsidRPr="00F14B9A">
        <w:rPr>
          <w:noProof/>
          <w:color w:val="000000" w:themeColor="text1"/>
        </w:rPr>
        <w:t xml:space="preserve">(Koehler, 2012; Wallace et al. </w:t>
      </w:r>
      <w:r w:rsidR="00071AF6" w:rsidRPr="00F14B9A">
        <w:rPr>
          <w:noProof/>
          <w:color w:val="000000" w:themeColor="text1"/>
        </w:rPr>
        <w:t>2012)</w:t>
      </w:r>
      <w:r w:rsidR="006C1B20" w:rsidRPr="00F14B9A">
        <w:rPr>
          <w:color w:val="000000" w:themeColor="text1"/>
        </w:rPr>
        <w:t xml:space="preserve"> or </w:t>
      </w:r>
      <w:r w:rsidR="006C1B20" w:rsidRPr="00F14B9A">
        <w:rPr>
          <w:color w:val="000000" w:themeColor="text1"/>
        </w:rPr>
        <w:lastRenderedPageBreak/>
        <w:t xml:space="preserve">type of device </w:t>
      </w:r>
      <w:r w:rsidR="002121B7" w:rsidRPr="00F14B9A">
        <w:rPr>
          <w:noProof/>
          <w:color w:val="000000" w:themeColor="text1"/>
        </w:rPr>
        <w:t>(Chen &amp; Denoyelles</w:t>
      </w:r>
      <w:r w:rsidR="00071AF6" w:rsidRPr="00F14B9A">
        <w:rPr>
          <w:noProof/>
          <w:color w:val="000000" w:themeColor="text1"/>
        </w:rPr>
        <w:t xml:space="preserve"> 2013)</w:t>
      </w:r>
      <w:r w:rsidR="006C1B20" w:rsidRPr="00F14B9A">
        <w:rPr>
          <w:noProof/>
          <w:color w:val="000000" w:themeColor="text1"/>
        </w:rPr>
        <w:t>.</w:t>
      </w:r>
      <w:r w:rsidRPr="00F14B9A">
        <w:rPr>
          <w:color w:val="000000" w:themeColor="text1"/>
        </w:rPr>
        <w:t xml:space="preserve"> Recently a comprehensive TEL evaluation framework has been proposed by Cook and </w:t>
      </w:r>
      <w:proofErr w:type="spellStart"/>
      <w:r w:rsidRPr="00F14B9A">
        <w:rPr>
          <w:color w:val="000000" w:themeColor="text1"/>
        </w:rPr>
        <w:t>Ellaway</w:t>
      </w:r>
      <w:proofErr w:type="spellEnd"/>
      <w:r w:rsidRPr="00F14B9A">
        <w:rPr>
          <w:color w:val="000000" w:themeColor="text1"/>
        </w:rPr>
        <w:t xml:space="preserve"> (2015) who seek to improve ‘meaningful comparison’ of TEL courses across institutions, learners and courses.  This framework provides a</w:t>
      </w:r>
      <w:r w:rsidR="00E615C6" w:rsidRPr="00F14B9A">
        <w:rPr>
          <w:color w:val="000000" w:themeColor="text1"/>
        </w:rPr>
        <w:t>n</w:t>
      </w:r>
      <w:r w:rsidRPr="00F14B9A">
        <w:rPr>
          <w:color w:val="000000" w:themeColor="text1"/>
        </w:rPr>
        <w:t xml:space="preserve"> approach incorporating seven broad areas of evaluation activity that the authors suggest</w:t>
      </w:r>
      <w:r w:rsidR="006C1B20" w:rsidRPr="00F14B9A">
        <w:rPr>
          <w:color w:val="000000" w:themeColor="text1"/>
        </w:rPr>
        <w:t xml:space="preserve"> are ‘relatively unique to TEL’ </w:t>
      </w:r>
      <w:r w:rsidR="00071AF6" w:rsidRPr="00F14B9A">
        <w:rPr>
          <w:noProof/>
          <w:color w:val="000000" w:themeColor="text1"/>
        </w:rPr>
        <w:t>(Cook &amp; Ellaway 2015)</w:t>
      </w:r>
      <w:r w:rsidR="006C1B20" w:rsidRPr="00F14B9A">
        <w:rPr>
          <w:noProof/>
          <w:color w:val="000000" w:themeColor="text1"/>
        </w:rPr>
        <w:t>.</w:t>
      </w:r>
      <w:r w:rsidRPr="00F14B9A">
        <w:rPr>
          <w:color w:val="000000" w:themeColor="text1"/>
          <w:vertAlign w:val="superscript"/>
        </w:rPr>
        <w:t xml:space="preserve"> </w:t>
      </w:r>
      <w:r w:rsidR="004F11B9" w:rsidRPr="00F14B9A">
        <w:rPr>
          <w:color w:val="000000" w:themeColor="text1"/>
        </w:rPr>
        <w:t>While we would agree that</w:t>
      </w:r>
      <w:r w:rsidRPr="00F14B9A">
        <w:rPr>
          <w:color w:val="000000" w:themeColor="text1"/>
        </w:rPr>
        <w:t xml:space="preserve"> this framework provides an excellent underpinning for TEL course or programme level evaluations, in our opinion it is not flexible enough to </w:t>
      </w:r>
      <w:r w:rsidR="004F11B9" w:rsidRPr="00F14B9A">
        <w:rPr>
          <w:color w:val="000000" w:themeColor="text1"/>
        </w:rPr>
        <w:t xml:space="preserve">generate </w:t>
      </w:r>
      <w:r w:rsidRPr="00F14B9A">
        <w:rPr>
          <w:color w:val="000000" w:themeColor="text1"/>
        </w:rPr>
        <w:t>information on the efficacy of a single intervention TEL resource</w:t>
      </w:r>
      <w:r w:rsidR="00CA67C3" w:rsidRPr="00F14B9A">
        <w:rPr>
          <w:color w:val="000000" w:themeColor="text1"/>
        </w:rPr>
        <w:t>.</w:t>
      </w:r>
      <w:r w:rsidRPr="00F14B9A">
        <w:rPr>
          <w:color w:val="000000" w:themeColor="text1"/>
        </w:rPr>
        <w:t xml:space="preserve"> </w:t>
      </w:r>
    </w:p>
    <w:p w14:paraId="436F5B3A" w14:textId="77777777" w:rsidR="00410722" w:rsidRPr="00F14B9A" w:rsidRDefault="00410722" w:rsidP="00E00D08">
      <w:pPr>
        <w:spacing w:line="480" w:lineRule="auto"/>
        <w:rPr>
          <w:color w:val="000000" w:themeColor="text1"/>
        </w:rPr>
      </w:pPr>
    </w:p>
    <w:p w14:paraId="220B860E" w14:textId="77777777" w:rsidR="00345F86" w:rsidRPr="00F14B9A" w:rsidRDefault="00410722" w:rsidP="00CA67C3">
      <w:pPr>
        <w:spacing w:line="480" w:lineRule="auto"/>
        <w:rPr>
          <w:color w:val="000000" w:themeColor="text1"/>
        </w:rPr>
      </w:pPr>
      <w:r w:rsidRPr="00F14B9A">
        <w:rPr>
          <w:color w:val="000000" w:themeColor="text1"/>
        </w:rPr>
        <w:t>The</w:t>
      </w:r>
      <w:r w:rsidR="0050450B" w:rsidRPr="00F14B9A">
        <w:rPr>
          <w:color w:val="000000" w:themeColor="text1"/>
        </w:rPr>
        <w:t xml:space="preserve"> model</w:t>
      </w:r>
      <w:r w:rsidRPr="00F14B9A">
        <w:rPr>
          <w:color w:val="000000" w:themeColor="text1"/>
        </w:rPr>
        <w:t xml:space="preserve"> proposed in this </w:t>
      </w:r>
      <w:r w:rsidR="00CB7EEA" w:rsidRPr="00F14B9A">
        <w:rPr>
          <w:color w:val="000000" w:themeColor="text1"/>
        </w:rPr>
        <w:t>paper</w:t>
      </w:r>
      <w:r w:rsidR="0050450B" w:rsidRPr="00F14B9A">
        <w:rPr>
          <w:color w:val="000000" w:themeColor="text1"/>
        </w:rPr>
        <w:t xml:space="preserve"> seeks to establ</w:t>
      </w:r>
      <w:r w:rsidR="002D030E" w:rsidRPr="00F14B9A">
        <w:rPr>
          <w:color w:val="000000" w:themeColor="text1"/>
        </w:rPr>
        <w:t>ish a precise step-by-step protocol</w:t>
      </w:r>
      <w:r w:rsidR="0050450B" w:rsidRPr="00F14B9A">
        <w:rPr>
          <w:color w:val="000000" w:themeColor="text1"/>
        </w:rPr>
        <w:t xml:space="preserve"> for evaluating an </w:t>
      </w:r>
      <w:r w:rsidR="0050450B" w:rsidRPr="00F14B9A">
        <w:rPr>
          <w:i/>
          <w:color w:val="000000" w:themeColor="text1"/>
        </w:rPr>
        <w:t>individual TEL resource</w:t>
      </w:r>
      <w:r w:rsidR="004F11B9" w:rsidRPr="00F14B9A">
        <w:rPr>
          <w:color w:val="000000" w:themeColor="text1"/>
        </w:rPr>
        <w:t>:</w:t>
      </w:r>
      <w:r w:rsidR="0050450B" w:rsidRPr="00F14B9A">
        <w:rPr>
          <w:color w:val="000000" w:themeColor="text1"/>
        </w:rPr>
        <w:t xml:space="preserve"> measur</w:t>
      </w:r>
      <w:r w:rsidR="004F11B9" w:rsidRPr="00F14B9A">
        <w:rPr>
          <w:color w:val="000000" w:themeColor="text1"/>
        </w:rPr>
        <w:t>ing</w:t>
      </w:r>
      <w:r w:rsidR="0050450B" w:rsidRPr="00F14B9A">
        <w:rPr>
          <w:color w:val="000000" w:themeColor="text1"/>
        </w:rPr>
        <w:t xml:space="preserve"> its effectiveness </w:t>
      </w:r>
      <w:r w:rsidR="004F11B9" w:rsidRPr="00F14B9A">
        <w:rPr>
          <w:color w:val="000000" w:themeColor="text1"/>
        </w:rPr>
        <w:t xml:space="preserve">not only as part of a wider module but also </w:t>
      </w:r>
      <w:r w:rsidRPr="00F14B9A">
        <w:rPr>
          <w:color w:val="000000" w:themeColor="text1"/>
        </w:rPr>
        <w:t>as a stand</w:t>
      </w:r>
      <w:r w:rsidR="004F11B9" w:rsidRPr="00F14B9A">
        <w:rPr>
          <w:color w:val="000000" w:themeColor="text1"/>
        </w:rPr>
        <w:t>-</w:t>
      </w:r>
      <w:r w:rsidRPr="00F14B9A">
        <w:rPr>
          <w:color w:val="000000" w:themeColor="text1"/>
        </w:rPr>
        <w:t>alone learning tool</w:t>
      </w:r>
      <w:r w:rsidR="0050450B" w:rsidRPr="00F14B9A">
        <w:rPr>
          <w:color w:val="000000" w:themeColor="text1"/>
        </w:rPr>
        <w:t>.</w:t>
      </w:r>
      <w:r w:rsidRPr="00F14B9A">
        <w:rPr>
          <w:color w:val="000000" w:themeColor="text1"/>
        </w:rPr>
        <w:t xml:space="preserve"> </w:t>
      </w:r>
      <w:r w:rsidR="0050450B" w:rsidRPr="00F14B9A">
        <w:rPr>
          <w:color w:val="000000" w:themeColor="text1"/>
        </w:rPr>
        <w:t>Th</w:t>
      </w:r>
      <w:r w:rsidR="004F11B9" w:rsidRPr="00F14B9A">
        <w:rPr>
          <w:color w:val="000000" w:themeColor="text1"/>
        </w:rPr>
        <w:t xml:space="preserve">is </w:t>
      </w:r>
      <w:r w:rsidR="006C0359" w:rsidRPr="00F14B9A">
        <w:rPr>
          <w:color w:val="000000" w:themeColor="text1"/>
        </w:rPr>
        <w:t xml:space="preserve">proposed </w:t>
      </w:r>
      <w:r w:rsidR="004F11B9" w:rsidRPr="00F14B9A">
        <w:rPr>
          <w:color w:val="000000" w:themeColor="text1"/>
        </w:rPr>
        <w:t>dual focus for evaluation arises from</w:t>
      </w:r>
      <w:r w:rsidR="006C0359" w:rsidRPr="00F14B9A">
        <w:rPr>
          <w:color w:val="000000" w:themeColor="text1"/>
        </w:rPr>
        <w:t xml:space="preserve"> our own experiences of</w:t>
      </w:r>
      <w:r w:rsidR="004F11B9" w:rsidRPr="00F14B9A">
        <w:rPr>
          <w:color w:val="000000" w:themeColor="text1"/>
        </w:rPr>
        <w:t xml:space="preserve"> </w:t>
      </w:r>
      <w:r w:rsidR="00902689" w:rsidRPr="00F14B9A">
        <w:rPr>
          <w:color w:val="000000" w:themeColor="text1"/>
        </w:rPr>
        <w:t xml:space="preserve">using </w:t>
      </w:r>
      <w:r w:rsidR="0050450B" w:rsidRPr="00F14B9A">
        <w:rPr>
          <w:color w:val="000000" w:themeColor="text1"/>
        </w:rPr>
        <w:t xml:space="preserve">technology to enhance student education and wanting to understand the </w:t>
      </w:r>
      <w:r w:rsidR="00902689" w:rsidRPr="00F14B9A">
        <w:rPr>
          <w:color w:val="000000" w:themeColor="text1"/>
        </w:rPr>
        <w:t xml:space="preserve">specific </w:t>
      </w:r>
      <w:r w:rsidR="0050450B" w:rsidRPr="00F14B9A">
        <w:rPr>
          <w:color w:val="000000" w:themeColor="text1"/>
        </w:rPr>
        <w:t>impa</w:t>
      </w:r>
      <w:r w:rsidR="002D030E" w:rsidRPr="00F14B9A">
        <w:rPr>
          <w:color w:val="000000" w:themeColor="text1"/>
        </w:rPr>
        <w:t>ct these learning approaches have</w:t>
      </w:r>
      <w:r w:rsidR="0050450B" w:rsidRPr="00F14B9A">
        <w:rPr>
          <w:color w:val="000000" w:themeColor="text1"/>
        </w:rPr>
        <w:t xml:space="preserve"> on the individual student.</w:t>
      </w:r>
      <w:r w:rsidR="00667933" w:rsidRPr="00F14B9A">
        <w:rPr>
          <w:color w:val="000000" w:themeColor="text1"/>
        </w:rPr>
        <w:t xml:space="preserve"> The strengths of TEL resources to support student education are well documented </w:t>
      </w:r>
      <w:r w:rsidR="00667933" w:rsidRPr="00F14B9A">
        <w:rPr>
          <w:noProof/>
          <w:color w:val="000000" w:themeColor="text1"/>
        </w:rPr>
        <w:t>(Beetham &amp; Sharpe 2013),</w:t>
      </w:r>
      <w:r w:rsidR="00667933" w:rsidRPr="00F14B9A">
        <w:rPr>
          <w:color w:val="000000" w:themeColor="text1"/>
        </w:rPr>
        <w:t xml:space="preserve"> but that does not mean every resource developed is of sufficient or equivalent quality. </w:t>
      </w:r>
      <w:r w:rsidR="00345F86" w:rsidRPr="00F14B9A">
        <w:rPr>
          <w:color w:val="000000" w:themeColor="text1"/>
        </w:rPr>
        <w:t xml:space="preserve"> </w:t>
      </w:r>
      <w:r w:rsidR="0050450B" w:rsidRPr="00F14B9A">
        <w:rPr>
          <w:color w:val="000000" w:themeColor="text1"/>
        </w:rPr>
        <w:t>The need for this level of evaluation is</w:t>
      </w:r>
      <w:r w:rsidR="00667933" w:rsidRPr="00F14B9A">
        <w:rPr>
          <w:color w:val="000000" w:themeColor="text1"/>
        </w:rPr>
        <w:t xml:space="preserve"> thus</w:t>
      </w:r>
      <w:r w:rsidR="0050450B" w:rsidRPr="00F14B9A">
        <w:rPr>
          <w:color w:val="000000" w:themeColor="text1"/>
        </w:rPr>
        <w:t xml:space="preserve"> essential as student</w:t>
      </w:r>
      <w:r w:rsidR="00345F86" w:rsidRPr="00F14B9A">
        <w:rPr>
          <w:color w:val="000000" w:themeColor="text1"/>
        </w:rPr>
        <w:t>s</w:t>
      </w:r>
      <w:r w:rsidR="0050450B" w:rsidRPr="00F14B9A">
        <w:rPr>
          <w:color w:val="000000" w:themeColor="text1"/>
        </w:rPr>
        <w:t xml:space="preserve"> put considerable faith in the teacher </w:t>
      </w:r>
      <w:r w:rsidR="00372523" w:rsidRPr="00F14B9A">
        <w:rPr>
          <w:color w:val="000000" w:themeColor="text1"/>
        </w:rPr>
        <w:t>who</w:t>
      </w:r>
      <w:r w:rsidR="0050450B" w:rsidRPr="00F14B9A">
        <w:rPr>
          <w:color w:val="000000" w:themeColor="text1"/>
        </w:rPr>
        <w:t xml:space="preserve"> </w:t>
      </w:r>
      <w:r w:rsidR="00372523" w:rsidRPr="00F14B9A">
        <w:rPr>
          <w:color w:val="000000" w:themeColor="text1"/>
        </w:rPr>
        <w:t>recommends</w:t>
      </w:r>
      <w:r w:rsidR="0050450B" w:rsidRPr="00F14B9A">
        <w:rPr>
          <w:color w:val="000000" w:themeColor="text1"/>
        </w:rPr>
        <w:t xml:space="preserve"> learning resources to supplem</w:t>
      </w:r>
      <w:r w:rsidR="0020647A" w:rsidRPr="00F14B9A">
        <w:rPr>
          <w:color w:val="000000" w:themeColor="text1"/>
        </w:rPr>
        <w:t xml:space="preserve">ent their studies, </w:t>
      </w:r>
      <w:r w:rsidR="00902689" w:rsidRPr="00F14B9A">
        <w:rPr>
          <w:color w:val="000000" w:themeColor="text1"/>
        </w:rPr>
        <w:t xml:space="preserve">consequently, </w:t>
      </w:r>
      <w:r w:rsidR="0050450B" w:rsidRPr="00F14B9A">
        <w:rPr>
          <w:color w:val="000000" w:themeColor="text1"/>
        </w:rPr>
        <w:t>these resources</w:t>
      </w:r>
      <w:r w:rsidR="00D30177" w:rsidRPr="00F14B9A">
        <w:rPr>
          <w:color w:val="000000" w:themeColor="text1"/>
        </w:rPr>
        <w:t xml:space="preserve"> </w:t>
      </w:r>
      <w:r w:rsidR="0050450B" w:rsidRPr="00F14B9A">
        <w:rPr>
          <w:color w:val="000000" w:themeColor="text1"/>
        </w:rPr>
        <w:t xml:space="preserve">need to be </w:t>
      </w:r>
      <w:r w:rsidR="00D30177" w:rsidRPr="00F14B9A">
        <w:rPr>
          <w:color w:val="000000" w:themeColor="text1"/>
        </w:rPr>
        <w:t>both academically and technologically</w:t>
      </w:r>
      <w:r w:rsidR="0020647A" w:rsidRPr="00F14B9A">
        <w:rPr>
          <w:color w:val="000000" w:themeColor="text1"/>
        </w:rPr>
        <w:t xml:space="preserve"> sound. </w:t>
      </w:r>
    </w:p>
    <w:p w14:paraId="2F229397" w14:textId="02F84F7F" w:rsidR="000B01BE" w:rsidRPr="00F14B9A" w:rsidRDefault="00A86D4F" w:rsidP="00CA67C3">
      <w:pPr>
        <w:spacing w:line="480" w:lineRule="auto"/>
        <w:rPr>
          <w:color w:val="000000" w:themeColor="text1"/>
        </w:rPr>
      </w:pPr>
      <w:r w:rsidRPr="00F14B9A">
        <w:rPr>
          <w:color w:val="000000" w:themeColor="text1"/>
        </w:rPr>
        <w:t xml:space="preserve">Two fundamental questions shaped the proposed evaluation model and are significant due to the changes </w:t>
      </w:r>
      <w:r w:rsidR="00C412D5" w:rsidRPr="00F14B9A">
        <w:rPr>
          <w:color w:val="000000" w:themeColor="text1"/>
        </w:rPr>
        <w:t xml:space="preserve">in educational delivery </w:t>
      </w:r>
      <w:r w:rsidRPr="00F14B9A">
        <w:rPr>
          <w:color w:val="000000" w:themeColor="text1"/>
        </w:rPr>
        <w:t xml:space="preserve">that </w:t>
      </w:r>
      <w:r w:rsidR="00C412D5" w:rsidRPr="00F14B9A">
        <w:rPr>
          <w:color w:val="000000" w:themeColor="text1"/>
        </w:rPr>
        <w:t>are currently underway</w:t>
      </w:r>
      <w:r w:rsidRPr="00F14B9A">
        <w:rPr>
          <w:color w:val="000000" w:themeColor="text1"/>
        </w:rPr>
        <w:t xml:space="preserve"> within the education sector. They were: </w:t>
      </w:r>
      <w:r w:rsidR="004E0FD8" w:rsidRPr="00F14B9A">
        <w:rPr>
          <w:color w:val="000000" w:themeColor="text1"/>
        </w:rPr>
        <w:t xml:space="preserve">What impact do individual TEL resources have on learning? What learner gain is achieved in comparison to </w:t>
      </w:r>
      <w:r w:rsidR="005729EC" w:rsidRPr="00F14B9A">
        <w:rPr>
          <w:color w:val="000000" w:themeColor="text1"/>
        </w:rPr>
        <w:t>existing</w:t>
      </w:r>
      <w:r w:rsidR="004E0FD8" w:rsidRPr="00F14B9A">
        <w:rPr>
          <w:color w:val="000000" w:themeColor="text1"/>
        </w:rPr>
        <w:t xml:space="preserve"> resources?</w:t>
      </w:r>
      <w:r w:rsidR="009A3A88" w:rsidRPr="00F14B9A">
        <w:rPr>
          <w:color w:val="000000" w:themeColor="text1"/>
        </w:rPr>
        <w:t xml:space="preserve"> </w:t>
      </w:r>
      <w:r w:rsidR="008076C5" w:rsidRPr="00F14B9A">
        <w:rPr>
          <w:color w:val="000000" w:themeColor="text1"/>
        </w:rPr>
        <w:t xml:space="preserve">This </w:t>
      </w:r>
      <w:r w:rsidR="008076C5" w:rsidRPr="00F14B9A">
        <w:rPr>
          <w:color w:val="000000" w:themeColor="text1"/>
        </w:rPr>
        <w:lastRenderedPageBreak/>
        <w:t xml:space="preserve">evaluation model intends to provide a mechanism in which the efficacy of TEL resources is measured within the context of supporting learners in reaching the desired learning objectives, not just how effective the technology aspect of the resource was. </w:t>
      </w:r>
      <w:r w:rsidR="00764ED4" w:rsidRPr="00F14B9A">
        <w:rPr>
          <w:color w:val="000000" w:themeColor="text1"/>
        </w:rPr>
        <w:t>It is our assertion that o</w:t>
      </w:r>
      <w:r w:rsidR="008076C5" w:rsidRPr="00F14B9A">
        <w:rPr>
          <w:color w:val="000000" w:themeColor="text1"/>
        </w:rPr>
        <w:t>nly when this is more widely understood will the pedagogy behind TEL be better understood.</w:t>
      </w:r>
      <w:r w:rsidR="009A3A88" w:rsidRPr="00F14B9A">
        <w:rPr>
          <w:color w:val="000000" w:themeColor="text1"/>
        </w:rPr>
        <w:t xml:space="preserve"> </w:t>
      </w:r>
      <w:r w:rsidR="00345F86" w:rsidRPr="00F14B9A">
        <w:rPr>
          <w:color w:val="000000" w:themeColor="text1"/>
        </w:rPr>
        <w:t xml:space="preserve">Moreover, with these factors taken into consideration it is important that a full </w:t>
      </w:r>
      <w:r w:rsidR="00C569B3" w:rsidRPr="00F14B9A">
        <w:rPr>
          <w:color w:val="000000" w:themeColor="text1"/>
        </w:rPr>
        <w:t>return on investment</w:t>
      </w:r>
      <w:r w:rsidR="00C10EFA" w:rsidRPr="00F14B9A">
        <w:rPr>
          <w:color w:val="000000" w:themeColor="text1"/>
        </w:rPr>
        <w:t xml:space="preserve"> (ROI)</w:t>
      </w:r>
      <w:r w:rsidR="00C569B3" w:rsidRPr="00F14B9A">
        <w:rPr>
          <w:color w:val="000000" w:themeColor="text1"/>
        </w:rPr>
        <w:t xml:space="preserve"> analysis</w:t>
      </w:r>
      <w:r w:rsidR="00345F86" w:rsidRPr="00F14B9A">
        <w:rPr>
          <w:color w:val="000000" w:themeColor="text1"/>
        </w:rPr>
        <w:t xml:space="preserve"> is conducted to </w:t>
      </w:r>
      <w:r w:rsidR="00C569B3" w:rsidRPr="00F14B9A">
        <w:rPr>
          <w:color w:val="000000" w:themeColor="text1"/>
        </w:rPr>
        <w:t>ensure</w:t>
      </w:r>
      <w:r w:rsidR="00345F86" w:rsidRPr="00F14B9A">
        <w:rPr>
          <w:color w:val="000000" w:themeColor="text1"/>
        </w:rPr>
        <w:t xml:space="preserve"> that the time spent, the resources used and the overall outcomes achieved are of sufficient benefit to support the further development of TEL resources.</w:t>
      </w:r>
    </w:p>
    <w:p w14:paraId="5C84CCCA" w14:textId="51680CA6" w:rsidR="00232FB7" w:rsidRPr="00F14B9A" w:rsidRDefault="00232FB7" w:rsidP="00CA67C3">
      <w:pPr>
        <w:spacing w:line="480" w:lineRule="auto"/>
        <w:rPr>
          <w:color w:val="000000" w:themeColor="text1"/>
        </w:rPr>
      </w:pPr>
      <w:r w:rsidRPr="00F14B9A">
        <w:rPr>
          <w:color w:val="000000" w:themeColor="text1"/>
        </w:rPr>
        <w:t>T</w:t>
      </w:r>
      <w:r w:rsidR="00C569B3" w:rsidRPr="00F14B9A">
        <w:rPr>
          <w:color w:val="000000" w:themeColor="text1"/>
        </w:rPr>
        <w:t>he proposed model contains four</w:t>
      </w:r>
      <w:r w:rsidRPr="00F14B9A">
        <w:rPr>
          <w:color w:val="000000" w:themeColor="text1"/>
        </w:rPr>
        <w:t xml:space="preserve"> levels which, as will be </w:t>
      </w:r>
      <w:r w:rsidR="00D4188B" w:rsidRPr="00F14B9A">
        <w:rPr>
          <w:color w:val="000000" w:themeColor="text1"/>
        </w:rPr>
        <w:t>explained</w:t>
      </w:r>
      <w:r w:rsidRPr="00F14B9A">
        <w:rPr>
          <w:color w:val="000000" w:themeColor="text1"/>
        </w:rPr>
        <w:t>, work as a protocol in which a single TEL resource can be evaluated from its inception to the overall institutional benefit. However, it is also feasible that each level may be treated in isolation</w:t>
      </w:r>
      <w:r w:rsidR="002007A6" w:rsidRPr="00F14B9A">
        <w:rPr>
          <w:color w:val="000000" w:themeColor="text1"/>
        </w:rPr>
        <w:t xml:space="preserve"> if required.</w:t>
      </w:r>
      <w:r w:rsidRPr="00F14B9A">
        <w:rPr>
          <w:color w:val="000000" w:themeColor="text1"/>
        </w:rPr>
        <w:t xml:space="preserve"> </w:t>
      </w:r>
      <w:r w:rsidR="002007A6" w:rsidRPr="00F14B9A">
        <w:rPr>
          <w:color w:val="000000" w:themeColor="text1"/>
        </w:rPr>
        <w:t xml:space="preserve"> The proposed model is therefore based upon the premise that i</w:t>
      </w:r>
      <w:r w:rsidR="00D4188B" w:rsidRPr="00F14B9A">
        <w:rPr>
          <w:color w:val="000000" w:themeColor="text1"/>
        </w:rPr>
        <w:t>f</w:t>
      </w:r>
      <w:r w:rsidRPr="00F14B9A">
        <w:rPr>
          <w:color w:val="000000" w:themeColor="text1"/>
        </w:rPr>
        <w:t xml:space="preserve"> significant research has</w:t>
      </w:r>
      <w:r w:rsidR="00D4188B" w:rsidRPr="00F14B9A">
        <w:rPr>
          <w:color w:val="000000" w:themeColor="text1"/>
        </w:rPr>
        <w:t xml:space="preserve"> already</w:t>
      </w:r>
      <w:r w:rsidRPr="00F14B9A">
        <w:rPr>
          <w:color w:val="000000" w:themeColor="text1"/>
        </w:rPr>
        <w:t xml:space="preserve"> been conducted by the institution </w:t>
      </w:r>
      <w:r w:rsidR="00D4188B" w:rsidRPr="00F14B9A">
        <w:rPr>
          <w:color w:val="000000" w:themeColor="text1"/>
        </w:rPr>
        <w:t xml:space="preserve">on a particular </w:t>
      </w:r>
      <w:r w:rsidR="002007A6" w:rsidRPr="00F14B9A">
        <w:rPr>
          <w:color w:val="000000" w:themeColor="text1"/>
        </w:rPr>
        <w:t>aspect of technology, then</w:t>
      </w:r>
      <w:r w:rsidRPr="00F14B9A">
        <w:rPr>
          <w:color w:val="000000" w:themeColor="text1"/>
        </w:rPr>
        <w:t xml:space="preserve"> sufficient evidence may already be available</w:t>
      </w:r>
      <w:r w:rsidR="00476C43" w:rsidRPr="00F14B9A">
        <w:rPr>
          <w:color w:val="000000" w:themeColor="text1"/>
        </w:rPr>
        <w:t>,</w:t>
      </w:r>
      <w:r w:rsidRPr="00F14B9A">
        <w:rPr>
          <w:color w:val="000000" w:themeColor="text1"/>
        </w:rPr>
        <w:t xml:space="preserve"> rendering </w:t>
      </w:r>
      <w:r w:rsidR="002007A6" w:rsidRPr="00F14B9A">
        <w:rPr>
          <w:color w:val="000000" w:themeColor="text1"/>
        </w:rPr>
        <w:t>one or more of the proposed</w:t>
      </w:r>
      <w:r w:rsidRPr="00F14B9A">
        <w:rPr>
          <w:color w:val="000000" w:themeColor="text1"/>
        </w:rPr>
        <w:t xml:space="preserve"> level</w:t>
      </w:r>
      <w:r w:rsidR="002007A6" w:rsidRPr="00F14B9A">
        <w:rPr>
          <w:color w:val="000000" w:themeColor="text1"/>
        </w:rPr>
        <w:t>s</w:t>
      </w:r>
      <w:r w:rsidRPr="00F14B9A">
        <w:rPr>
          <w:color w:val="000000" w:themeColor="text1"/>
        </w:rPr>
        <w:t xml:space="preserve"> unnecessary.</w:t>
      </w:r>
    </w:p>
    <w:p w14:paraId="6DB13F6A" w14:textId="77777777" w:rsidR="00956EFD" w:rsidRPr="00F14B9A" w:rsidRDefault="00956EFD" w:rsidP="00E00D08">
      <w:pPr>
        <w:spacing w:line="480" w:lineRule="auto"/>
        <w:ind w:firstLine="720"/>
        <w:rPr>
          <w:color w:val="000000" w:themeColor="text1"/>
        </w:rPr>
      </w:pPr>
    </w:p>
    <w:p w14:paraId="43DAC423" w14:textId="77777777" w:rsidR="00345F86" w:rsidRPr="00F14B9A" w:rsidRDefault="00345F86" w:rsidP="00E00D08">
      <w:pPr>
        <w:spacing w:line="480" w:lineRule="auto"/>
        <w:ind w:firstLine="720"/>
        <w:rPr>
          <w:color w:val="000000" w:themeColor="text1"/>
        </w:rPr>
      </w:pPr>
    </w:p>
    <w:p w14:paraId="3AA34BA8" w14:textId="77777777" w:rsidR="00345F86" w:rsidRPr="00F14B9A" w:rsidRDefault="005729EC" w:rsidP="000B01BE">
      <w:pPr>
        <w:spacing w:line="480" w:lineRule="auto"/>
        <w:rPr>
          <w:b/>
          <w:color w:val="000000" w:themeColor="text1"/>
        </w:rPr>
      </w:pPr>
      <w:r w:rsidRPr="00F14B9A">
        <w:rPr>
          <w:b/>
          <w:color w:val="000000" w:themeColor="text1"/>
        </w:rPr>
        <w:t>Proposed model</w:t>
      </w:r>
    </w:p>
    <w:p w14:paraId="259A36D0" w14:textId="322C05D0" w:rsidR="00D30177" w:rsidRPr="00F14B9A" w:rsidRDefault="00FB7929" w:rsidP="003D5A69">
      <w:pPr>
        <w:spacing w:line="480" w:lineRule="auto"/>
        <w:rPr>
          <w:color w:val="000000" w:themeColor="text1"/>
        </w:rPr>
      </w:pPr>
      <w:r w:rsidRPr="00F14B9A">
        <w:rPr>
          <w:color w:val="000000" w:themeColor="text1"/>
        </w:rPr>
        <w:t>The</w:t>
      </w:r>
      <w:r w:rsidR="007D4B6D" w:rsidRPr="00F14B9A">
        <w:rPr>
          <w:color w:val="000000" w:themeColor="text1"/>
        </w:rPr>
        <w:t xml:space="preserve"> </w:t>
      </w:r>
      <w:r w:rsidR="00A51D83" w:rsidRPr="00F14B9A">
        <w:rPr>
          <w:color w:val="000000" w:themeColor="text1"/>
        </w:rPr>
        <w:t>evaluation model is</w:t>
      </w:r>
      <w:r w:rsidRPr="00F14B9A">
        <w:rPr>
          <w:color w:val="000000" w:themeColor="text1"/>
        </w:rPr>
        <w:t xml:space="preserve"> outlined in Figure 1.</w:t>
      </w:r>
    </w:p>
    <w:p w14:paraId="283587AE" w14:textId="77777777" w:rsidR="00FB7929" w:rsidRPr="00F14B9A" w:rsidRDefault="00FB7929" w:rsidP="0074734E">
      <w:pPr>
        <w:spacing w:line="480" w:lineRule="auto"/>
        <w:rPr>
          <w:color w:val="000000" w:themeColor="text1"/>
        </w:rPr>
      </w:pPr>
      <w:r w:rsidRPr="00F14B9A">
        <w:rPr>
          <w:color w:val="000000" w:themeColor="text1"/>
        </w:rPr>
        <w:t>INSERT FIG 1 HERE</w:t>
      </w:r>
    </w:p>
    <w:p w14:paraId="28A2E7F1" w14:textId="77777777" w:rsidR="00274239" w:rsidRPr="00F14B9A" w:rsidRDefault="00274239" w:rsidP="000B01BE">
      <w:pPr>
        <w:spacing w:line="480" w:lineRule="auto"/>
        <w:rPr>
          <w:b/>
          <w:color w:val="000000" w:themeColor="text1"/>
        </w:rPr>
      </w:pPr>
    </w:p>
    <w:p w14:paraId="0CA8D834" w14:textId="77777777" w:rsidR="00C64A51" w:rsidRPr="00F14B9A" w:rsidRDefault="00C11755" w:rsidP="00E00D08">
      <w:pPr>
        <w:spacing w:line="480" w:lineRule="auto"/>
        <w:rPr>
          <w:i/>
          <w:color w:val="000000" w:themeColor="text1"/>
        </w:rPr>
      </w:pPr>
      <w:r w:rsidRPr="00F14B9A">
        <w:rPr>
          <w:i/>
          <w:color w:val="000000" w:themeColor="text1"/>
        </w:rPr>
        <w:t xml:space="preserve">Level </w:t>
      </w:r>
      <w:r w:rsidR="00E0391D" w:rsidRPr="00F14B9A">
        <w:rPr>
          <w:i/>
          <w:color w:val="000000" w:themeColor="text1"/>
        </w:rPr>
        <w:t>0</w:t>
      </w:r>
      <w:r w:rsidR="00776CC0" w:rsidRPr="00F14B9A">
        <w:rPr>
          <w:i/>
          <w:color w:val="000000" w:themeColor="text1"/>
        </w:rPr>
        <w:t>:</w:t>
      </w:r>
      <w:r w:rsidR="00A578EF" w:rsidRPr="00F14B9A">
        <w:rPr>
          <w:i/>
          <w:color w:val="000000" w:themeColor="text1"/>
        </w:rPr>
        <w:t xml:space="preserve"> Preliminary evaluation of need</w:t>
      </w:r>
    </w:p>
    <w:p w14:paraId="447AF997" w14:textId="77777777" w:rsidR="008030E0" w:rsidRPr="00F14B9A" w:rsidRDefault="00C11755" w:rsidP="00E00D08">
      <w:pPr>
        <w:spacing w:line="480" w:lineRule="auto"/>
        <w:rPr>
          <w:i/>
          <w:color w:val="000000" w:themeColor="text1"/>
        </w:rPr>
      </w:pPr>
      <w:r w:rsidRPr="00F14B9A">
        <w:rPr>
          <w:color w:val="000000" w:themeColor="text1"/>
        </w:rPr>
        <w:t>Derived from:</w:t>
      </w:r>
      <w:r w:rsidRPr="00F14B9A">
        <w:rPr>
          <w:b/>
          <w:color w:val="000000" w:themeColor="text1"/>
        </w:rPr>
        <w:t xml:space="preserve"> </w:t>
      </w:r>
      <w:r w:rsidR="007D4B6D" w:rsidRPr="00F14B9A">
        <w:rPr>
          <w:i/>
          <w:color w:val="000000" w:themeColor="text1"/>
        </w:rPr>
        <w:t>M</w:t>
      </w:r>
      <w:r w:rsidRPr="00F14B9A">
        <w:rPr>
          <w:i/>
          <w:color w:val="000000" w:themeColor="text1"/>
        </w:rPr>
        <w:t xml:space="preserve">odule evaluation, student feedback, </w:t>
      </w:r>
      <w:r w:rsidR="00BC35C3" w:rsidRPr="00F14B9A">
        <w:rPr>
          <w:i/>
          <w:color w:val="000000" w:themeColor="text1"/>
        </w:rPr>
        <w:t xml:space="preserve">assessment scores, </w:t>
      </w:r>
      <w:r w:rsidRPr="00F14B9A">
        <w:rPr>
          <w:i/>
          <w:color w:val="000000" w:themeColor="text1"/>
        </w:rPr>
        <w:t>staff-identified need</w:t>
      </w:r>
    </w:p>
    <w:p w14:paraId="3CC5E043" w14:textId="77777777" w:rsidR="0020647A" w:rsidRPr="00F14B9A" w:rsidRDefault="00CF7A2D" w:rsidP="00E00D08">
      <w:pPr>
        <w:spacing w:line="480" w:lineRule="auto"/>
        <w:rPr>
          <w:b/>
          <w:i/>
          <w:color w:val="000000" w:themeColor="text1"/>
        </w:rPr>
      </w:pPr>
      <w:r w:rsidRPr="00F14B9A">
        <w:rPr>
          <w:color w:val="000000" w:themeColor="text1"/>
        </w:rPr>
        <w:lastRenderedPageBreak/>
        <w:t>Addressing</w:t>
      </w:r>
      <w:r w:rsidR="0020647A" w:rsidRPr="00F14B9A">
        <w:rPr>
          <w:b/>
          <w:i/>
          <w:color w:val="000000" w:themeColor="text1"/>
        </w:rPr>
        <w:t xml:space="preserve">: </w:t>
      </w:r>
      <w:r w:rsidRPr="00F14B9A">
        <w:rPr>
          <w:i/>
          <w:color w:val="000000" w:themeColor="text1"/>
        </w:rPr>
        <w:t>P</w:t>
      </w:r>
      <w:r w:rsidR="0020647A" w:rsidRPr="00F14B9A">
        <w:rPr>
          <w:i/>
          <w:color w:val="000000" w:themeColor="text1"/>
        </w:rPr>
        <w:t>erceived</w:t>
      </w:r>
      <w:r w:rsidR="0020647A" w:rsidRPr="00F14B9A">
        <w:rPr>
          <w:b/>
          <w:i/>
          <w:color w:val="000000" w:themeColor="text1"/>
        </w:rPr>
        <w:t xml:space="preserve"> </w:t>
      </w:r>
      <w:r w:rsidR="0020647A" w:rsidRPr="00F14B9A">
        <w:rPr>
          <w:i/>
          <w:color w:val="000000" w:themeColor="text1"/>
        </w:rPr>
        <w:t>teaching shortfall</w:t>
      </w:r>
      <w:r w:rsidRPr="00F14B9A">
        <w:rPr>
          <w:i/>
          <w:color w:val="000000" w:themeColor="text1"/>
        </w:rPr>
        <w:t xml:space="preserve"> or module development requirement</w:t>
      </w:r>
    </w:p>
    <w:p w14:paraId="0E392BFB" w14:textId="77777777" w:rsidR="00B44B96" w:rsidRPr="00F14B9A" w:rsidRDefault="00331A86" w:rsidP="00E00D08">
      <w:pPr>
        <w:spacing w:line="480" w:lineRule="auto"/>
        <w:rPr>
          <w:color w:val="000000" w:themeColor="text1"/>
        </w:rPr>
      </w:pPr>
      <w:r w:rsidRPr="00F14B9A">
        <w:rPr>
          <w:color w:val="000000" w:themeColor="text1"/>
        </w:rPr>
        <w:t>Before the development of any T</w:t>
      </w:r>
      <w:r w:rsidR="00D31B78" w:rsidRPr="00F14B9A">
        <w:rPr>
          <w:color w:val="000000" w:themeColor="text1"/>
        </w:rPr>
        <w:t>EL resource an evaluation of</w:t>
      </w:r>
      <w:r w:rsidRPr="00F14B9A">
        <w:rPr>
          <w:color w:val="000000" w:themeColor="text1"/>
        </w:rPr>
        <w:t xml:space="preserve"> need is </w:t>
      </w:r>
      <w:r w:rsidR="00CF7A2D" w:rsidRPr="00F14B9A">
        <w:rPr>
          <w:color w:val="000000" w:themeColor="text1"/>
        </w:rPr>
        <w:t>essential</w:t>
      </w:r>
      <w:r w:rsidRPr="00F14B9A">
        <w:rPr>
          <w:color w:val="000000" w:themeColor="text1"/>
        </w:rPr>
        <w:t>. This information can be retrieved</w:t>
      </w:r>
      <w:r w:rsidR="00BC35C3" w:rsidRPr="00F14B9A">
        <w:rPr>
          <w:color w:val="000000" w:themeColor="text1"/>
        </w:rPr>
        <w:t xml:space="preserve"> via a number of methods including module evaluations, </w:t>
      </w:r>
      <w:r w:rsidR="00CF7A2D" w:rsidRPr="00F14B9A">
        <w:rPr>
          <w:color w:val="000000" w:themeColor="text1"/>
        </w:rPr>
        <w:t>module grades</w:t>
      </w:r>
      <w:r w:rsidR="00BC35C3" w:rsidRPr="00F14B9A">
        <w:rPr>
          <w:color w:val="000000" w:themeColor="text1"/>
        </w:rPr>
        <w:t xml:space="preserve"> and staff awareness of poor topic engagement</w:t>
      </w:r>
      <w:r w:rsidRPr="00F14B9A">
        <w:rPr>
          <w:color w:val="000000" w:themeColor="text1"/>
        </w:rPr>
        <w:t xml:space="preserve">. </w:t>
      </w:r>
      <w:r w:rsidR="00CF7A2D" w:rsidRPr="00F14B9A">
        <w:rPr>
          <w:color w:val="000000" w:themeColor="text1"/>
        </w:rPr>
        <w:t>I</w:t>
      </w:r>
      <w:r w:rsidRPr="00F14B9A">
        <w:rPr>
          <w:color w:val="000000" w:themeColor="text1"/>
        </w:rPr>
        <w:t>f technology is the preferred solution</w:t>
      </w:r>
      <w:r w:rsidR="000B529C" w:rsidRPr="00F14B9A">
        <w:rPr>
          <w:color w:val="000000" w:themeColor="text1"/>
        </w:rPr>
        <w:t>,</w:t>
      </w:r>
      <w:r w:rsidRPr="00F14B9A">
        <w:rPr>
          <w:color w:val="000000" w:themeColor="text1"/>
        </w:rPr>
        <w:t xml:space="preserve"> </w:t>
      </w:r>
      <w:r w:rsidR="000B529C" w:rsidRPr="00F14B9A">
        <w:rPr>
          <w:color w:val="000000" w:themeColor="text1"/>
        </w:rPr>
        <w:t>consultation with relevant faculty members</w:t>
      </w:r>
      <w:r w:rsidRPr="00F14B9A">
        <w:rPr>
          <w:color w:val="000000" w:themeColor="text1"/>
        </w:rPr>
        <w:t xml:space="preserve"> </w:t>
      </w:r>
      <w:r w:rsidR="000B529C" w:rsidRPr="00F14B9A">
        <w:rPr>
          <w:color w:val="000000" w:themeColor="text1"/>
        </w:rPr>
        <w:t>(</w:t>
      </w:r>
      <w:r w:rsidRPr="00F14B9A">
        <w:rPr>
          <w:color w:val="000000" w:themeColor="text1"/>
        </w:rPr>
        <w:t>business manage</w:t>
      </w:r>
      <w:r w:rsidR="00372523" w:rsidRPr="00F14B9A">
        <w:rPr>
          <w:color w:val="000000" w:themeColor="text1"/>
        </w:rPr>
        <w:t>r</w:t>
      </w:r>
      <w:r w:rsidRPr="00F14B9A">
        <w:rPr>
          <w:color w:val="000000" w:themeColor="text1"/>
        </w:rPr>
        <w:t>s and technologists</w:t>
      </w:r>
      <w:r w:rsidR="000B529C" w:rsidRPr="00F14B9A">
        <w:rPr>
          <w:color w:val="000000" w:themeColor="text1"/>
        </w:rPr>
        <w:t>)</w:t>
      </w:r>
      <w:r w:rsidRPr="00F14B9A">
        <w:rPr>
          <w:color w:val="000000" w:themeColor="text1"/>
        </w:rPr>
        <w:t xml:space="preserve"> to ascertain the </w:t>
      </w:r>
      <w:r w:rsidR="000B529C" w:rsidRPr="00F14B9A">
        <w:rPr>
          <w:color w:val="000000" w:themeColor="text1"/>
        </w:rPr>
        <w:t>feasibility of developing resources</w:t>
      </w:r>
      <w:r w:rsidR="00A47ABD" w:rsidRPr="00F14B9A">
        <w:rPr>
          <w:color w:val="000000" w:themeColor="text1"/>
        </w:rPr>
        <w:t xml:space="preserve"> (i.e. staff time</w:t>
      </w:r>
      <w:r w:rsidR="000B529C" w:rsidRPr="00F14B9A">
        <w:rPr>
          <w:color w:val="000000" w:themeColor="text1"/>
        </w:rPr>
        <w:t>,</w:t>
      </w:r>
      <w:r w:rsidR="00A47ABD" w:rsidRPr="00F14B9A">
        <w:rPr>
          <w:color w:val="000000" w:themeColor="text1"/>
        </w:rPr>
        <w:t xml:space="preserve"> associated technology and infrastructure costs)</w:t>
      </w:r>
      <w:r w:rsidRPr="00F14B9A">
        <w:rPr>
          <w:color w:val="000000" w:themeColor="text1"/>
        </w:rPr>
        <w:t xml:space="preserve"> is then required</w:t>
      </w:r>
      <w:r w:rsidR="006C1B20" w:rsidRPr="00F14B9A">
        <w:rPr>
          <w:color w:val="000000" w:themeColor="text1"/>
        </w:rPr>
        <w:t xml:space="preserve"> </w:t>
      </w:r>
      <w:r w:rsidR="002121B7" w:rsidRPr="00F14B9A">
        <w:rPr>
          <w:noProof/>
          <w:color w:val="000000" w:themeColor="text1"/>
        </w:rPr>
        <w:t>(Laurillard</w:t>
      </w:r>
      <w:r w:rsidR="00071AF6" w:rsidRPr="00F14B9A">
        <w:rPr>
          <w:noProof/>
          <w:color w:val="000000" w:themeColor="text1"/>
        </w:rPr>
        <w:t xml:space="preserve"> 2007)</w:t>
      </w:r>
      <w:r w:rsidR="006C1B20" w:rsidRPr="00F14B9A">
        <w:rPr>
          <w:noProof/>
          <w:color w:val="000000" w:themeColor="text1"/>
        </w:rPr>
        <w:t>.</w:t>
      </w:r>
      <w:r w:rsidR="5405118B" w:rsidRPr="00F14B9A">
        <w:rPr>
          <w:color w:val="000000" w:themeColor="text1"/>
        </w:rPr>
        <w:t xml:space="preserve"> </w:t>
      </w:r>
      <w:r w:rsidRPr="00F14B9A">
        <w:rPr>
          <w:color w:val="000000" w:themeColor="text1"/>
        </w:rPr>
        <w:t xml:space="preserve">The goal of this initial level is to make sure technology is being introduced into the module’s curriculum to serve a </w:t>
      </w:r>
      <w:r w:rsidR="00771E9A" w:rsidRPr="00F14B9A">
        <w:rPr>
          <w:color w:val="000000" w:themeColor="text1"/>
        </w:rPr>
        <w:t xml:space="preserve">pedagogical </w:t>
      </w:r>
      <w:r w:rsidRPr="00F14B9A">
        <w:rPr>
          <w:color w:val="000000" w:themeColor="text1"/>
        </w:rPr>
        <w:t xml:space="preserve">purpose and </w:t>
      </w:r>
      <w:r w:rsidRPr="00F14B9A">
        <w:rPr>
          <w:i/>
          <w:iCs/>
          <w:color w:val="000000" w:themeColor="text1"/>
        </w:rPr>
        <w:t>not for its own sake</w:t>
      </w:r>
      <w:r w:rsidR="006C1B20" w:rsidRPr="00F14B9A">
        <w:rPr>
          <w:iCs/>
          <w:color w:val="000000" w:themeColor="text1"/>
        </w:rPr>
        <w:t xml:space="preserve"> </w:t>
      </w:r>
      <w:r w:rsidR="002121B7" w:rsidRPr="00F14B9A">
        <w:rPr>
          <w:iCs/>
          <w:noProof/>
          <w:color w:val="000000" w:themeColor="text1"/>
        </w:rPr>
        <w:t>(Fuller &amp; Joynes</w:t>
      </w:r>
      <w:r w:rsidR="00071AF6" w:rsidRPr="00F14B9A">
        <w:rPr>
          <w:iCs/>
          <w:noProof/>
          <w:color w:val="000000" w:themeColor="text1"/>
        </w:rPr>
        <w:t xml:space="preserve"> 2015a)</w:t>
      </w:r>
      <w:r w:rsidR="006C1B20" w:rsidRPr="00F14B9A">
        <w:rPr>
          <w:color w:val="000000" w:themeColor="text1"/>
        </w:rPr>
        <w:t>.</w:t>
      </w:r>
    </w:p>
    <w:p w14:paraId="4258F428" w14:textId="77777777" w:rsidR="0020647A" w:rsidRPr="00F14B9A" w:rsidRDefault="0020647A" w:rsidP="00E00D08">
      <w:pPr>
        <w:spacing w:line="480" w:lineRule="auto"/>
        <w:rPr>
          <w:color w:val="000000" w:themeColor="text1"/>
        </w:rPr>
      </w:pPr>
    </w:p>
    <w:p w14:paraId="699B704E" w14:textId="77777777" w:rsidR="004B6940" w:rsidRPr="00F14B9A" w:rsidRDefault="006D5FD2" w:rsidP="00E00D08">
      <w:pPr>
        <w:spacing w:line="480" w:lineRule="auto"/>
        <w:rPr>
          <w:i/>
          <w:color w:val="000000" w:themeColor="text1"/>
        </w:rPr>
      </w:pPr>
      <w:r w:rsidRPr="00F14B9A">
        <w:rPr>
          <w:i/>
          <w:color w:val="000000" w:themeColor="text1"/>
        </w:rPr>
        <w:t>Development</w:t>
      </w:r>
    </w:p>
    <w:p w14:paraId="0B304F02" w14:textId="77777777" w:rsidR="00C9035C" w:rsidRPr="00F14B9A" w:rsidRDefault="006D5FD2" w:rsidP="00E00D08">
      <w:pPr>
        <w:spacing w:line="480" w:lineRule="auto"/>
        <w:rPr>
          <w:color w:val="000000" w:themeColor="text1"/>
        </w:rPr>
      </w:pPr>
      <w:r w:rsidRPr="00F14B9A">
        <w:rPr>
          <w:color w:val="000000" w:themeColor="text1"/>
        </w:rPr>
        <w:t>The development phase, although key to the production of TEL resources, is not considered to be an integral part of this evaluation model.  Nevertheless</w:t>
      </w:r>
      <w:r w:rsidR="00BB25A3" w:rsidRPr="00F14B9A">
        <w:rPr>
          <w:color w:val="000000" w:themeColor="text1"/>
        </w:rPr>
        <w:t>,</w:t>
      </w:r>
      <w:r w:rsidRPr="00F14B9A">
        <w:rPr>
          <w:color w:val="000000" w:themeColor="text1"/>
        </w:rPr>
        <w:t xml:space="preserve"> it is anticipated that in order to create a user-friendly resource, a collaboration between students, academics and learning technologists would be required. Based upon our experience of creating TEL resources, it is essential that all relevant stakeholders are involved in the development, in order that it is academically appropriate, relevant and seen as ‘legitimate’.</w:t>
      </w:r>
      <w:r w:rsidR="008B5FA0" w:rsidRPr="00F14B9A">
        <w:rPr>
          <w:color w:val="000000" w:themeColor="text1"/>
        </w:rPr>
        <w:t xml:space="preserve"> </w:t>
      </w:r>
      <w:r w:rsidR="00C9035C" w:rsidRPr="00F14B9A">
        <w:rPr>
          <w:color w:val="000000" w:themeColor="text1"/>
        </w:rPr>
        <w:t xml:space="preserve">At this </w:t>
      </w:r>
      <w:r w:rsidR="00771E9A" w:rsidRPr="00F14B9A">
        <w:rPr>
          <w:color w:val="000000" w:themeColor="text1"/>
        </w:rPr>
        <w:t>stage</w:t>
      </w:r>
      <w:r w:rsidR="00C9035C" w:rsidRPr="00F14B9A">
        <w:rPr>
          <w:color w:val="000000" w:themeColor="text1"/>
        </w:rPr>
        <w:t xml:space="preserve"> it is necessary to know </w:t>
      </w:r>
      <w:r w:rsidR="00BE0B1F" w:rsidRPr="00F14B9A">
        <w:rPr>
          <w:color w:val="000000" w:themeColor="text1"/>
        </w:rPr>
        <w:t>the</w:t>
      </w:r>
      <w:r w:rsidR="00C9035C" w:rsidRPr="00F14B9A">
        <w:rPr>
          <w:color w:val="000000" w:themeColor="text1"/>
        </w:rPr>
        <w:t xml:space="preserve"> types of device </w:t>
      </w:r>
      <w:r w:rsidR="00BE0B1F" w:rsidRPr="00F14B9A">
        <w:rPr>
          <w:color w:val="000000" w:themeColor="text1"/>
        </w:rPr>
        <w:t>students will be using to access the resource</w:t>
      </w:r>
      <w:r w:rsidR="006C1B20" w:rsidRPr="00F14B9A">
        <w:rPr>
          <w:color w:val="000000" w:themeColor="text1"/>
        </w:rPr>
        <w:t xml:space="preserve"> </w:t>
      </w:r>
      <w:r w:rsidR="002121B7" w:rsidRPr="00F14B9A">
        <w:rPr>
          <w:noProof/>
          <w:color w:val="000000" w:themeColor="text1"/>
        </w:rPr>
        <w:t>(Chen &amp; Denoyelles</w:t>
      </w:r>
      <w:r w:rsidR="00071AF6" w:rsidRPr="00F14B9A">
        <w:rPr>
          <w:noProof/>
          <w:color w:val="000000" w:themeColor="text1"/>
        </w:rPr>
        <w:t xml:space="preserve"> 2013)</w:t>
      </w:r>
      <w:r w:rsidR="006C1B20" w:rsidRPr="00F14B9A">
        <w:rPr>
          <w:noProof/>
          <w:color w:val="000000" w:themeColor="text1"/>
        </w:rPr>
        <w:t>.</w:t>
      </w:r>
      <w:r w:rsidR="00C9035C" w:rsidRPr="00F14B9A">
        <w:rPr>
          <w:color w:val="000000" w:themeColor="text1"/>
        </w:rPr>
        <w:t xml:space="preserve"> This </w:t>
      </w:r>
      <w:r w:rsidR="00771E9A" w:rsidRPr="00F14B9A">
        <w:rPr>
          <w:color w:val="000000" w:themeColor="text1"/>
        </w:rPr>
        <w:t xml:space="preserve">decision </w:t>
      </w:r>
      <w:r w:rsidR="00C9035C" w:rsidRPr="00F14B9A">
        <w:rPr>
          <w:color w:val="000000" w:themeColor="text1"/>
        </w:rPr>
        <w:t xml:space="preserve">may be determined by institutional policy, or learner choice. </w:t>
      </w:r>
    </w:p>
    <w:p w14:paraId="5753BE11" w14:textId="77777777" w:rsidR="00C2038A" w:rsidRPr="00F14B9A" w:rsidRDefault="00C2038A" w:rsidP="00E00D08">
      <w:pPr>
        <w:spacing w:line="480" w:lineRule="auto"/>
        <w:rPr>
          <w:color w:val="000000" w:themeColor="text1"/>
        </w:rPr>
      </w:pPr>
      <w:r w:rsidRPr="00F14B9A">
        <w:rPr>
          <w:color w:val="000000" w:themeColor="text1"/>
        </w:rPr>
        <w:tab/>
        <w:t>Although many institutions may have the infrastructure and expertise to design and develop their own resources which can be specific to the curriculum in which t</w:t>
      </w:r>
      <w:r w:rsidR="0050401F" w:rsidRPr="00F14B9A">
        <w:rPr>
          <w:color w:val="000000" w:themeColor="text1"/>
        </w:rPr>
        <w:t>he resource</w:t>
      </w:r>
      <w:r w:rsidRPr="00F14B9A">
        <w:rPr>
          <w:color w:val="000000" w:themeColor="text1"/>
        </w:rPr>
        <w:t xml:space="preserve"> is going to be deployed, consideration should also be given to similar </w:t>
      </w:r>
      <w:r w:rsidRPr="00F14B9A">
        <w:rPr>
          <w:color w:val="000000" w:themeColor="text1"/>
        </w:rPr>
        <w:lastRenderedPageBreak/>
        <w:t>resources which could be procured</w:t>
      </w:r>
      <w:r w:rsidR="0050401F" w:rsidRPr="00F14B9A">
        <w:rPr>
          <w:color w:val="000000" w:themeColor="text1"/>
        </w:rPr>
        <w:t xml:space="preserve"> from external providers</w:t>
      </w:r>
      <w:r w:rsidRPr="00F14B9A">
        <w:rPr>
          <w:color w:val="000000" w:themeColor="text1"/>
        </w:rPr>
        <w:t xml:space="preserve">. If a suitable resource can be found from an external provider the content of that resource should be appropriate to </w:t>
      </w:r>
      <w:r w:rsidR="0050401F" w:rsidRPr="00F14B9A">
        <w:rPr>
          <w:color w:val="000000" w:themeColor="text1"/>
        </w:rPr>
        <w:t>ensure the students are being exposed to material that is relevant to their course.</w:t>
      </w:r>
    </w:p>
    <w:p w14:paraId="2EEAD001" w14:textId="77777777" w:rsidR="00250EBA" w:rsidRPr="00F14B9A" w:rsidRDefault="00250EBA" w:rsidP="00E00D08">
      <w:pPr>
        <w:spacing w:line="480" w:lineRule="auto"/>
        <w:rPr>
          <w:color w:val="000000" w:themeColor="text1"/>
        </w:rPr>
      </w:pPr>
    </w:p>
    <w:p w14:paraId="5F879ED9" w14:textId="77777777" w:rsidR="00D81A34" w:rsidRPr="00F14B9A" w:rsidRDefault="00D81A34" w:rsidP="00E00D08">
      <w:pPr>
        <w:spacing w:line="480" w:lineRule="auto"/>
        <w:rPr>
          <w:i/>
          <w:color w:val="000000" w:themeColor="text1"/>
        </w:rPr>
      </w:pPr>
      <w:r w:rsidRPr="00F14B9A">
        <w:rPr>
          <w:i/>
          <w:color w:val="000000" w:themeColor="text1"/>
        </w:rPr>
        <w:t>Level 1</w:t>
      </w:r>
    </w:p>
    <w:p w14:paraId="70E5C904" w14:textId="4F882312" w:rsidR="00932C63" w:rsidRPr="00F14B9A" w:rsidRDefault="00932C63" w:rsidP="00E00D08">
      <w:pPr>
        <w:spacing w:line="480" w:lineRule="auto"/>
        <w:rPr>
          <w:color w:val="000000" w:themeColor="text1"/>
        </w:rPr>
      </w:pPr>
      <w:r w:rsidRPr="00F14B9A">
        <w:rPr>
          <w:color w:val="000000" w:themeColor="text1"/>
        </w:rPr>
        <w:t>This level aims to evaluate two core areas of a</w:t>
      </w:r>
      <w:r w:rsidR="00EB6525" w:rsidRPr="00F14B9A">
        <w:rPr>
          <w:color w:val="000000" w:themeColor="text1"/>
        </w:rPr>
        <w:t xml:space="preserve">n individual </w:t>
      </w:r>
      <w:r w:rsidRPr="00F14B9A">
        <w:rPr>
          <w:color w:val="000000" w:themeColor="text1"/>
        </w:rPr>
        <w:t>TEL resource</w:t>
      </w:r>
      <w:r w:rsidR="00D81A34" w:rsidRPr="00F14B9A">
        <w:rPr>
          <w:color w:val="000000" w:themeColor="text1"/>
        </w:rPr>
        <w:t xml:space="preserve">: </w:t>
      </w:r>
      <w:r w:rsidR="00EB6525" w:rsidRPr="00F14B9A">
        <w:rPr>
          <w:color w:val="000000" w:themeColor="text1"/>
        </w:rPr>
        <w:t xml:space="preserve">(a) the </w:t>
      </w:r>
      <w:r w:rsidRPr="00F14B9A">
        <w:rPr>
          <w:color w:val="000000" w:themeColor="text1"/>
        </w:rPr>
        <w:t xml:space="preserve">degree of user satisfaction </w:t>
      </w:r>
      <w:r w:rsidR="00EB6525" w:rsidRPr="00F14B9A">
        <w:rPr>
          <w:color w:val="000000" w:themeColor="text1"/>
        </w:rPr>
        <w:t>and</w:t>
      </w:r>
      <w:r w:rsidRPr="00F14B9A">
        <w:rPr>
          <w:color w:val="000000" w:themeColor="text1"/>
        </w:rPr>
        <w:t xml:space="preserve"> </w:t>
      </w:r>
      <w:r w:rsidR="00EB6525" w:rsidRPr="00F14B9A">
        <w:rPr>
          <w:color w:val="000000" w:themeColor="text1"/>
        </w:rPr>
        <w:t xml:space="preserve">(b) </w:t>
      </w:r>
      <w:r w:rsidRPr="00F14B9A">
        <w:rPr>
          <w:color w:val="000000" w:themeColor="text1"/>
        </w:rPr>
        <w:t>the degree of learner gain achieved</w:t>
      </w:r>
      <w:r w:rsidR="00D81A34" w:rsidRPr="00F14B9A">
        <w:rPr>
          <w:color w:val="000000" w:themeColor="text1"/>
        </w:rPr>
        <w:t>.</w:t>
      </w:r>
      <w:r w:rsidR="00EB6525" w:rsidRPr="00F14B9A">
        <w:rPr>
          <w:color w:val="000000" w:themeColor="text1"/>
        </w:rPr>
        <w:t xml:space="preserve"> </w:t>
      </w:r>
      <w:r w:rsidR="00FD12FC" w:rsidRPr="00F14B9A">
        <w:rPr>
          <w:color w:val="000000" w:themeColor="text1"/>
        </w:rPr>
        <w:t>These simultaneous evaluation</w:t>
      </w:r>
      <w:r w:rsidR="00D81A34" w:rsidRPr="00F14B9A">
        <w:rPr>
          <w:color w:val="000000" w:themeColor="text1"/>
        </w:rPr>
        <w:t xml:space="preserve"> stages </w:t>
      </w:r>
      <w:r w:rsidR="00EB6525" w:rsidRPr="00F14B9A">
        <w:rPr>
          <w:color w:val="000000" w:themeColor="text1"/>
        </w:rPr>
        <w:t>rely on piloting the resource to a group of learners</w:t>
      </w:r>
      <w:r w:rsidR="00D81A34" w:rsidRPr="00F14B9A">
        <w:rPr>
          <w:color w:val="000000" w:themeColor="text1"/>
        </w:rPr>
        <w:t xml:space="preserve"> from a broad range of academic achievement</w:t>
      </w:r>
      <w:r w:rsidR="00EB6525" w:rsidRPr="00F14B9A">
        <w:rPr>
          <w:color w:val="000000" w:themeColor="text1"/>
        </w:rPr>
        <w:t xml:space="preserve"> in advance of the resource being deployed to an entire cohort.</w:t>
      </w:r>
    </w:p>
    <w:p w14:paraId="3A5D84A8" w14:textId="77777777" w:rsidR="009B01C5" w:rsidRPr="00F14B9A" w:rsidRDefault="009B01C5" w:rsidP="00E00D08">
      <w:pPr>
        <w:spacing w:line="480" w:lineRule="auto"/>
        <w:rPr>
          <w:color w:val="000000" w:themeColor="text1"/>
        </w:rPr>
      </w:pPr>
    </w:p>
    <w:p w14:paraId="30B6F195" w14:textId="77777777" w:rsidR="00A578EF" w:rsidRPr="00F14B9A" w:rsidRDefault="00C9035C" w:rsidP="00E00D08">
      <w:pPr>
        <w:spacing w:line="480" w:lineRule="auto"/>
        <w:rPr>
          <w:i/>
          <w:color w:val="000000" w:themeColor="text1"/>
        </w:rPr>
      </w:pPr>
      <w:r w:rsidRPr="00F14B9A">
        <w:rPr>
          <w:i/>
          <w:color w:val="000000" w:themeColor="text1"/>
        </w:rPr>
        <w:t>Level</w:t>
      </w:r>
      <w:r w:rsidR="007B4443" w:rsidRPr="00F14B9A">
        <w:rPr>
          <w:i/>
          <w:color w:val="000000" w:themeColor="text1"/>
        </w:rPr>
        <w:t xml:space="preserve"> 1</w:t>
      </w:r>
      <w:r w:rsidRPr="00F14B9A">
        <w:rPr>
          <w:i/>
          <w:color w:val="000000" w:themeColor="text1"/>
        </w:rPr>
        <w:t>a</w:t>
      </w:r>
      <w:r w:rsidR="00A578EF" w:rsidRPr="00F14B9A">
        <w:rPr>
          <w:i/>
          <w:color w:val="000000" w:themeColor="text1"/>
        </w:rPr>
        <w:t xml:space="preserve">: </w:t>
      </w:r>
      <w:r w:rsidR="00C914ED" w:rsidRPr="00F14B9A">
        <w:rPr>
          <w:i/>
          <w:color w:val="000000" w:themeColor="text1"/>
        </w:rPr>
        <w:t>Learner satisfaction</w:t>
      </w:r>
    </w:p>
    <w:p w14:paraId="755E9EB8" w14:textId="0B0E7C07" w:rsidR="006D5FD2" w:rsidRPr="00F14B9A" w:rsidRDefault="006D5FD2" w:rsidP="00E00D08">
      <w:pPr>
        <w:spacing w:line="480" w:lineRule="auto"/>
        <w:rPr>
          <w:i/>
          <w:color w:val="000000" w:themeColor="text1"/>
        </w:rPr>
      </w:pPr>
      <w:r w:rsidRPr="00F14B9A">
        <w:rPr>
          <w:color w:val="000000" w:themeColor="text1"/>
        </w:rPr>
        <w:t>Derived from:</w:t>
      </w:r>
      <w:r w:rsidRPr="00F14B9A">
        <w:rPr>
          <w:b/>
          <w:color w:val="000000" w:themeColor="text1"/>
        </w:rPr>
        <w:t xml:space="preserve"> </w:t>
      </w:r>
      <w:r w:rsidRPr="00F14B9A">
        <w:rPr>
          <w:i/>
          <w:color w:val="000000" w:themeColor="text1"/>
        </w:rPr>
        <w:t>Likert-scale base</w:t>
      </w:r>
      <w:r w:rsidR="00CE68EA" w:rsidRPr="00F14B9A">
        <w:rPr>
          <w:i/>
          <w:color w:val="000000" w:themeColor="text1"/>
        </w:rPr>
        <w:t>d questionnaires, focus groups</w:t>
      </w:r>
    </w:p>
    <w:p w14:paraId="49FBDE85" w14:textId="77777777" w:rsidR="006D5FD2" w:rsidRPr="00F14B9A" w:rsidRDefault="006D5FD2" w:rsidP="00E00D08">
      <w:pPr>
        <w:spacing w:line="480" w:lineRule="auto"/>
        <w:rPr>
          <w:i/>
          <w:color w:val="000000" w:themeColor="text1"/>
        </w:rPr>
      </w:pPr>
      <w:r w:rsidRPr="00F14B9A">
        <w:rPr>
          <w:color w:val="000000" w:themeColor="text1"/>
        </w:rPr>
        <w:t>Measuring:</w:t>
      </w:r>
      <w:r w:rsidRPr="00F14B9A">
        <w:rPr>
          <w:b/>
          <w:color w:val="000000" w:themeColor="text1"/>
        </w:rPr>
        <w:t xml:space="preserve"> </w:t>
      </w:r>
      <w:r w:rsidRPr="00F14B9A">
        <w:rPr>
          <w:i/>
          <w:color w:val="000000" w:themeColor="text1"/>
        </w:rPr>
        <w:t>Level of satisfaction with resource</w:t>
      </w:r>
    </w:p>
    <w:p w14:paraId="5E9480E3" w14:textId="77777777" w:rsidR="00A00EAA" w:rsidRPr="00F14B9A" w:rsidRDefault="0015530A" w:rsidP="00E00D08">
      <w:pPr>
        <w:spacing w:line="480" w:lineRule="auto"/>
        <w:rPr>
          <w:color w:val="000000" w:themeColor="text1"/>
        </w:rPr>
      </w:pPr>
      <w:r w:rsidRPr="00F14B9A">
        <w:rPr>
          <w:color w:val="000000" w:themeColor="text1"/>
        </w:rPr>
        <w:t xml:space="preserve">User satisfaction with resources is a basic but necessary </w:t>
      </w:r>
      <w:r w:rsidR="00897084" w:rsidRPr="00F14B9A">
        <w:rPr>
          <w:color w:val="000000" w:themeColor="text1"/>
        </w:rPr>
        <w:t>stage of the evalu</w:t>
      </w:r>
      <w:r w:rsidR="003B640C" w:rsidRPr="00F14B9A">
        <w:rPr>
          <w:color w:val="000000" w:themeColor="text1"/>
        </w:rPr>
        <w:t xml:space="preserve">ation process. In order for </w:t>
      </w:r>
      <w:r w:rsidR="00897084" w:rsidRPr="00F14B9A">
        <w:rPr>
          <w:color w:val="000000" w:themeColor="text1"/>
        </w:rPr>
        <w:t>users to engage with the resource to a meaningful level it will need to be sufficiently user friendly and closely aligned to the academic content of the topic.</w:t>
      </w:r>
      <w:r w:rsidRPr="00F14B9A">
        <w:rPr>
          <w:color w:val="000000" w:themeColor="text1"/>
        </w:rPr>
        <w:t xml:space="preserve"> </w:t>
      </w:r>
      <w:r w:rsidR="00897084" w:rsidRPr="00F14B9A">
        <w:rPr>
          <w:color w:val="000000" w:themeColor="text1"/>
        </w:rPr>
        <w:t xml:space="preserve">A resource that receives low levels of satisfaction will deter users from engaging with what could be an essential learning tool. </w:t>
      </w:r>
    </w:p>
    <w:p w14:paraId="564DFAF2" w14:textId="5C7991B2" w:rsidR="006B34CB" w:rsidRPr="00F14B9A" w:rsidRDefault="00A04937" w:rsidP="00E00D08">
      <w:pPr>
        <w:spacing w:line="480" w:lineRule="auto"/>
        <w:rPr>
          <w:color w:val="000000" w:themeColor="text1"/>
        </w:rPr>
      </w:pPr>
      <w:r w:rsidRPr="00F14B9A">
        <w:rPr>
          <w:color w:val="000000" w:themeColor="text1"/>
        </w:rPr>
        <w:t>This level of evaluation is superficial and is essentially detailing if the students liked the resource</w:t>
      </w:r>
      <w:r w:rsidR="003D2E4C" w:rsidRPr="00F14B9A">
        <w:rPr>
          <w:color w:val="000000" w:themeColor="text1"/>
        </w:rPr>
        <w:t xml:space="preserve"> aesthetically and also, importantly, that they found it effective in delivering the </w:t>
      </w:r>
      <w:r w:rsidR="00476C43" w:rsidRPr="00F14B9A">
        <w:rPr>
          <w:color w:val="000000" w:themeColor="text1"/>
        </w:rPr>
        <w:t xml:space="preserve">relevant aspects of the </w:t>
      </w:r>
      <w:r w:rsidR="003D2E4C" w:rsidRPr="00F14B9A">
        <w:rPr>
          <w:color w:val="000000" w:themeColor="text1"/>
        </w:rPr>
        <w:t>curriculum</w:t>
      </w:r>
      <w:r w:rsidRPr="00F14B9A">
        <w:rPr>
          <w:color w:val="000000" w:themeColor="text1"/>
        </w:rPr>
        <w:t xml:space="preserve">. From this data you should be able to </w:t>
      </w:r>
      <w:r w:rsidR="0030486C" w:rsidRPr="00F14B9A">
        <w:rPr>
          <w:color w:val="000000" w:themeColor="text1"/>
        </w:rPr>
        <w:t>comment: “they liked it and engaged with it</w:t>
      </w:r>
      <w:r w:rsidRPr="00F14B9A">
        <w:rPr>
          <w:color w:val="000000" w:themeColor="text1"/>
        </w:rPr>
        <w:t xml:space="preserve">” but nothing more. However, </w:t>
      </w:r>
      <w:r w:rsidR="00760CD5" w:rsidRPr="00F14B9A">
        <w:rPr>
          <w:color w:val="000000" w:themeColor="text1"/>
        </w:rPr>
        <w:t>where levels of satisfaction are identified as being low,</w:t>
      </w:r>
      <w:r w:rsidRPr="00F14B9A">
        <w:rPr>
          <w:color w:val="000000" w:themeColor="text1"/>
        </w:rPr>
        <w:t xml:space="preserve"> it would be advantageous to asc</w:t>
      </w:r>
      <w:r w:rsidR="003B640C" w:rsidRPr="00F14B9A">
        <w:rPr>
          <w:color w:val="000000" w:themeColor="text1"/>
        </w:rPr>
        <w:t xml:space="preserve">ertain why this </w:t>
      </w:r>
      <w:r w:rsidR="003B640C" w:rsidRPr="00F14B9A">
        <w:rPr>
          <w:color w:val="000000" w:themeColor="text1"/>
        </w:rPr>
        <w:lastRenderedPageBreak/>
        <w:t xml:space="preserve">is.  </w:t>
      </w:r>
      <w:r w:rsidR="00250EBA" w:rsidRPr="00F14B9A">
        <w:rPr>
          <w:color w:val="000000" w:themeColor="text1"/>
        </w:rPr>
        <w:t>U</w:t>
      </w:r>
      <w:r w:rsidRPr="00F14B9A">
        <w:rPr>
          <w:color w:val="000000" w:themeColor="text1"/>
        </w:rPr>
        <w:t>nless a decision is made to move away from TEL, the feedback should be used to modify the resource</w:t>
      </w:r>
      <w:r w:rsidR="0030486C" w:rsidRPr="00F14B9A">
        <w:rPr>
          <w:color w:val="000000" w:themeColor="text1"/>
        </w:rPr>
        <w:t>, moving the process back to the development stage</w:t>
      </w:r>
      <w:r w:rsidR="00250EBA" w:rsidRPr="00F14B9A">
        <w:rPr>
          <w:color w:val="000000" w:themeColor="text1"/>
        </w:rPr>
        <w:t>.</w:t>
      </w:r>
      <w:r w:rsidRPr="00F14B9A">
        <w:rPr>
          <w:color w:val="000000" w:themeColor="text1"/>
        </w:rPr>
        <w:t xml:space="preserve">  </w:t>
      </w:r>
      <w:r w:rsidR="00CE68EA" w:rsidRPr="00F14B9A">
        <w:rPr>
          <w:color w:val="000000" w:themeColor="text1"/>
        </w:rPr>
        <w:t>If levels of satisfaction are</w:t>
      </w:r>
      <w:r w:rsidR="0030486C" w:rsidRPr="00F14B9A">
        <w:rPr>
          <w:color w:val="000000" w:themeColor="text1"/>
        </w:rPr>
        <w:t xml:space="preserve"> high, </w:t>
      </w:r>
      <w:r w:rsidR="00C9035C" w:rsidRPr="00F14B9A">
        <w:rPr>
          <w:color w:val="000000" w:themeColor="text1"/>
        </w:rPr>
        <w:t xml:space="preserve">then it is recommended that the results of evaluation of </w:t>
      </w:r>
      <w:r w:rsidR="0030486C" w:rsidRPr="00F14B9A">
        <w:rPr>
          <w:color w:val="000000" w:themeColor="text1"/>
        </w:rPr>
        <w:t>learner gain (level 1</w:t>
      </w:r>
      <w:r w:rsidR="00C9035C" w:rsidRPr="00F14B9A">
        <w:rPr>
          <w:color w:val="000000" w:themeColor="text1"/>
        </w:rPr>
        <w:t>b) are also explored.</w:t>
      </w:r>
    </w:p>
    <w:p w14:paraId="265E530F" w14:textId="77777777" w:rsidR="003F4C3B" w:rsidRPr="00F14B9A" w:rsidRDefault="003F4C3B" w:rsidP="00E00D08">
      <w:pPr>
        <w:spacing w:line="480" w:lineRule="auto"/>
        <w:rPr>
          <w:color w:val="000000" w:themeColor="text1"/>
        </w:rPr>
      </w:pPr>
    </w:p>
    <w:p w14:paraId="21E6BE9C" w14:textId="77777777" w:rsidR="00776CC0" w:rsidRPr="00F14B9A" w:rsidRDefault="00B67B02" w:rsidP="00E00D08">
      <w:pPr>
        <w:spacing w:line="480" w:lineRule="auto"/>
        <w:rPr>
          <w:i/>
          <w:color w:val="000000" w:themeColor="text1"/>
        </w:rPr>
      </w:pPr>
      <w:r w:rsidRPr="00F14B9A">
        <w:rPr>
          <w:i/>
          <w:color w:val="000000" w:themeColor="text1"/>
        </w:rPr>
        <w:t>Level 1b</w:t>
      </w:r>
      <w:r w:rsidR="00776CC0" w:rsidRPr="00F14B9A">
        <w:rPr>
          <w:i/>
          <w:color w:val="000000" w:themeColor="text1"/>
        </w:rPr>
        <w:t>:</w:t>
      </w:r>
      <w:r w:rsidR="007B4443" w:rsidRPr="00F14B9A">
        <w:rPr>
          <w:i/>
          <w:color w:val="000000" w:themeColor="text1"/>
        </w:rPr>
        <w:t xml:space="preserve"> </w:t>
      </w:r>
      <w:r w:rsidR="00C914ED" w:rsidRPr="00F14B9A">
        <w:rPr>
          <w:i/>
          <w:color w:val="000000" w:themeColor="text1"/>
        </w:rPr>
        <w:t>Learner gain</w:t>
      </w:r>
      <w:r w:rsidR="00CE435C" w:rsidRPr="00F14B9A">
        <w:rPr>
          <w:i/>
          <w:color w:val="000000" w:themeColor="text1"/>
        </w:rPr>
        <w:t xml:space="preserve"> </w:t>
      </w:r>
    </w:p>
    <w:p w14:paraId="2C2B1EF2" w14:textId="77777777" w:rsidR="00776CC0" w:rsidRPr="00F14B9A" w:rsidRDefault="00760CD5" w:rsidP="00E00D08">
      <w:pPr>
        <w:spacing w:line="480" w:lineRule="auto"/>
        <w:rPr>
          <w:i/>
          <w:color w:val="000000" w:themeColor="text1"/>
        </w:rPr>
      </w:pPr>
      <w:r w:rsidRPr="00F14B9A">
        <w:rPr>
          <w:color w:val="000000" w:themeColor="text1"/>
        </w:rPr>
        <w:t>Derived from:</w:t>
      </w:r>
      <w:r w:rsidRPr="00F14B9A">
        <w:rPr>
          <w:b/>
          <w:color w:val="000000" w:themeColor="text1"/>
        </w:rPr>
        <w:t xml:space="preserve"> </w:t>
      </w:r>
      <w:r w:rsidR="001253E2" w:rsidRPr="00F14B9A">
        <w:rPr>
          <w:i/>
          <w:color w:val="000000" w:themeColor="text1"/>
        </w:rPr>
        <w:t>Pre-test and post-test measures</w:t>
      </w:r>
    </w:p>
    <w:p w14:paraId="0D4EED34" w14:textId="77777777" w:rsidR="00760CD5" w:rsidRPr="00F14B9A" w:rsidRDefault="00760CD5" w:rsidP="00E00D08">
      <w:pPr>
        <w:spacing w:line="480" w:lineRule="auto"/>
        <w:rPr>
          <w:i/>
          <w:color w:val="000000" w:themeColor="text1"/>
        </w:rPr>
      </w:pPr>
      <w:r w:rsidRPr="00F14B9A">
        <w:rPr>
          <w:color w:val="000000" w:themeColor="text1"/>
        </w:rPr>
        <w:t>Measuring:</w:t>
      </w:r>
      <w:r w:rsidRPr="00F14B9A">
        <w:rPr>
          <w:b/>
          <w:color w:val="000000" w:themeColor="text1"/>
        </w:rPr>
        <w:t xml:space="preserve"> </w:t>
      </w:r>
      <w:r w:rsidR="00246EE6" w:rsidRPr="00F14B9A">
        <w:rPr>
          <w:i/>
          <w:color w:val="000000" w:themeColor="text1"/>
        </w:rPr>
        <w:t xml:space="preserve">Degree of equity </w:t>
      </w:r>
      <w:r w:rsidR="00876B30" w:rsidRPr="00F14B9A">
        <w:rPr>
          <w:i/>
          <w:color w:val="000000" w:themeColor="text1"/>
        </w:rPr>
        <w:t xml:space="preserve">in learner gain </w:t>
      </w:r>
      <w:r w:rsidR="00246EE6" w:rsidRPr="00F14B9A">
        <w:rPr>
          <w:i/>
          <w:color w:val="000000" w:themeColor="text1"/>
        </w:rPr>
        <w:t xml:space="preserve">between developed TEL and existing learning resources </w:t>
      </w:r>
    </w:p>
    <w:p w14:paraId="27EE9BB7" w14:textId="3515E1BE" w:rsidR="009D33F1" w:rsidRPr="00F14B9A" w:rsidRDefault="009D33F1" w:rsidP="00E00D08">
      <w:pPr>
        <w:spacing w:line="480" w:lineRule="auto"/>
        <w:rPr>
          <w:color w:val="000000" w:themeColor="text1"/>
        </w:rPr>
      </w:pPr>
      <w:r w:rsidRPr="00F14B9A">
        <w:rPr>
          <w:color w:val="000000" w:themeColor="text1"/>
        </w:rPr>
        <w:t xml:space="preserve">With the increasing </w:t>
      </w:r>
      <w:r w:rsidR="00EA35A3" w:rsidRPr="00F14B9A">
        <w:rPr>
          <w:color w:val="000000" w:themeColor="text1"/>
        </w:rPr>
        <w:t xml:space="preserve">deployment </w:t>
      </w:r>
      <w:r w:rsidRPr="00F14B9A">
        <w:rPr>
          <w:color w:val="000000" w:themeColor="text1"/>
        </w:rPr>
        <w:t xml:space="preserve">of TEL </w:t>
      </w:r>
      <w:proofErr w:type="gramStart"/>
      <w:r w:rsidRPr="00F14B9A">
        <w:rPr>
          <w:color w:val="000000" w:themeColor="text1"/>
        </w:rPr>
        <w:t>resources</w:t>
      </w:r>
      <w:proofErr w:type="gramEnd"/>
      <w:r w:rsidR="00EA35A3" w:rsidRPr="00F14B9A">
        <w:rPr>
          <w:color w:val="000000" w:themeColor="text1"/>
        </w:rPr>
        <w:t xml:space="preserve"> it is essential</w:t>
      </w:r>
      <w:r w:rsidRPr="00F14B9A">
        <w:rPr>
          <w:color w:val="000000" w:themeColor="text1"/>
        </w:rPr>
        <w:t xml:space="preserve"> to ensure they are of actual benefit to the individual and pro</w:t>
      </w:r>
      <w:r w:rsidR="00EA35A3" w:rsidRPr="00F14B9A">
        <w:rPr>
          <w:color w:val="000000" w:themeColor="text1"/>
        </w:rPr>
        <w:t>vide</w:t>
      </w:r>
      <w:r w:rsidRPr="00F14B9A">
        <w:rPr>
          <w:color w:val="000000" w:themeColor="text1"/>
        </w:rPr>
        <w:t xml:space="preserve"> at least an equitable level of </w:t>
      </w:r>
      <w:r w:rsidRPr="00F14B9A">
        <w:rPr>
          <w:i/>
          <w:color w:val="000000" w:themeColor="text1"/>
        </w:rPr>
        <w:t>learner gain</w:t>
      </w:r>
      <w:r w:rsidRPr="00F14B9A">
        <w:rPr>
          <w:color w:val="000000" w:themeColor="text1"/>
        </w:rPr>
        <w:t xml:space="preserve"> compared to existing</w:t>
      </w:r>
      <w:r w:rsidR="00EA35A3" w:rsidRPr="00F14B9A">
        <w:rPr>
          <w:color w:val="000000" w:themeColor="text1"/>
        </w:rPr>
        <w:t xml:space="preserve"> </w:t>
      </w:r>
      <w:r w:rsidRPr="00F14B9A">
        <w:rPr>
          <w:color w:val="000000" w:themeColor="text1"/>
        </w:rPr>
        <w:t>learning resources. The purpose of this level of evaluation is</w:t>
      </w:r>
      <w:r w:rsidR="00EA35A3" w:rsidRPr="00F14B9A">
        <w:rPr>
          <w:color w:val="000000" w:themeColor="text1"/>
        </w:rPr>
        <w:t>, as far as possible,</w:t>
      </w:r>
      <w:r w:rsidRPr="00F14B9A">
        <w:rPr>
          <w:color w:val="000000" w:themeColor="text1"/>
        </w:rPr>
        <w:t xml:space="preserve"> to measure </w:t>
      </w:r>
      <w:r w:rsidR="00EA35A3" w:rsidRPr="00F14B9A">
        <w:rPr>
          <w:color w:val="000000" w:themeColor="text1"/>
        </w:rPr>
        <w:t>any</w:t>
      </w:r>
      <w:r w:rsidRPr="00F14B9A">
        <w:rPr>
          <w:color w:val="000000" w:themeColor="text1"/>
        </w:rPr>
        <w:t xml:space="preserve"> potential increase in knowledge</w:t>
      </w:r>
      <w:r w:rsidR="00250EBA" w:rsidRPr="00F14B9A">
        <w:rPr>
          <w:color w:val="000000" w:themeColor="text1"/>
        </w:rPr>
        <w:t xml:space="preserve"> and is most appropriately assessed in an artificial situation by asking for volunteers. </w:t>
      </w:r>
    </w:p>
    <w:p w14:paraId="07D87B53" w14:textId="067C6CFA" w:rsidR="00B1626A" w:rsidRPr="00F14B9A" w:rsidRDefault="005F70AB" w:rsidP="007D4B6D">
      <w:pPr>
        <w:spacing w:line="480" w:lineRule="auto"/>
        <w:rPr>
          <w:noProof/>
          <w:color w:val="000000" w:themeColor="text1"/>
        </w:rPr>
      </w:pPr>
      <w:r w:rsidRPr="00F14B9A">
        <w:rPr>
          <w:color w:val="000000" w:themeColor="text1"/>
        </w:rPr>
        <w:t>An established approach to measuring learner gain from TEL resources already exists in th</w:t>
      </w:r>
      <w:r w:rsidR="003E78E8" w:rsidRPr="00F14B9A">
        <w:rPr>
          <w:color w:val="000000" w:themeColor="text1"/>
        </w:rPr>
        <w:t>e form of pre-and post-testing</w:t>
      </w:r>
      <w:r w:rsidR="006C1B20" w:rsidRPr="00F14B9A">
        <w:rPr>
          <w:color w:val="000000" w:themeColor="text1"/>
        </w:rPr>
        <w:t xml:space="preserve"> </w:t>
      </w:r>
      <w:r w:rsidR="006C1B20" w:rsidRPr="00F14B9A">
        <w:rPr>
          <w:noProof/>
          <w:color w:val="000000" w:themeColor="text1"/>
        </w:rPr>
        <w:t>(Issa et al.</w:t>
      </w:r>
      <w:r w:rsidR="00071AF6" w:rsidRPr="00F14B9A">
        <w:rPr>
          <w:noProof/>
          <w:color w:val="000000" w:themeColor="text1"/>
        </w:rPr>
        <w:t xml:space="preserve"> 2011)</w:t>
      </w:r>
      <w:r w:rsidR="006C1B20" w:rsidRPr="00F14B9A">
        <w:rPr>
          <w:noProof/>
          <w:color w:val="000000" w:themeColor="text1"/>
        </w:rPr>
        <w:t>.</w:t>
      </w:r>
      <w:r w:rsidRPr="00F14B9A">
        <w:rPr>
          <w:color w:val="000000" w:themeColor="text1"/>
        </w:rPr>
        <w:t xml:space="preserve"> Not only does this allow a direct measure of learner gain to be ascertained, it provides information on the duration of time </w:t>
      </w:r>
      <w:r w:rsidR="00771E9A" w:rsidRPr="00F14B9A">
        <w:rPr>
          <w:color w:val="000000" w:themeColor="text1"/>
        </w:rPr>
        <w:t xml:space="preserve">for which </w:t>
      </w:r>
      <w:r w:rsidRPr="00F14B9A">
        <w:rPr>
          <w:color w:val="000000" w:themeColor="text1"/>
        </w:rPr>
        <w:t>knowledge has been retained.</w:t>
      </w:r>
      <w:r w:rsidR="00B1626A" w:rsidRPr="00F14B9A">
        <w:rPr>
          <w:color w:val="000000" w:themeColor="text1"/>
        </w:rPr>
        <w:t xml:space="preserve"> Moreover, there are multiple approaches which can be employed to compare the efficacy of the TEL resource within this pre- and post-test approach. </w:t>
      </w:r>
      <w:r w:rsidR="00D81458" w:rsidRPr="00F14B9A">
        <w:rPr>
          <w:color w:val="000000" w:themeColor="text1"/>
        </w:rPr>
        <w:t xml:space="preserve"> </w:t>
      </w:r>
      <w:r w:rsidR="00B1626A" w:rsidRPr="00F14B9A">
        <w:rPr>
          <w:color w:val="000000" w:themeColor="text1"/>
        </w:rPr>
        <w:t xml:space="preserve">For example, a randomised control study could be implemented which </w:t>
      </w:r>
      <w:r w:rsidR="00D81458" w:rsidRPr="00F14B9A">
        <w:rPr>
          <w:color w:val="000000" w:themeColor="text1"/>
        </w:rPr>
        <w:t>splits a c</w:t>
      </w:r>
      <w:r w:rsidR="00B1626A" w:rsidRPr="00F14B9A">
        <w:rPr>
          <w:color w:val="000000" w:themeColor="text1"/>
        </w:rPr>
        <w:t>o</w:t>
      </w:r>
      <w:r w:rsidR="00D81458" w:rsidRPr="00F14B9A">
        <w:rPr>
          <w:color w:val="000000" w:themeColor="text1"/>
        </w:rPr>
        <w:t>ho</w:t>
      </w:r>
      <w:r w:rsidR="00B1626A" w:rsidRPr="00F14B9A">
        <w:rPr>
          <w:color w:val="000000" w:themeColor="text1"/>
        </w:rPr>
        <w:t>rt of volunteers into two groups. One of which would receive the TEL resourc</w:t>
      </w:r>
      <w:r w:rsidR="00D81458" w:rsidRPr="00F14B9A">
        <w:rPr>
          <w:color w:val="000000" w:themeColor="text1"/>
        </w:rPr>
        <w:t>e while the other received existin</w:t>
      </w:r>
      <w:r w:rsidR="00B1626A" w:rsidRPr="00F14B9A">
        <w:rPr>
          <w:color w:val="000000" w:themeColor="text1"/>
        </w:rPr>
        <w:t>g resources, such as a paper-based workbook. Each group would be given identical conditions with which to ac</w:t>
      </w:r>
      <w:r w:rsidR="00D81458" w:rsidRPr="00F14B9A">
        <w:rPr>
          <w:color w:val="000000" w:themeColor="text1"/>
        </w:rPr>
        <w:t>cess their resource after complet</w:t>
      </w:r>
      <w:r w:rsidR="00B1626A" w:rsidRPr="00F14B9A">
        <w:rPr>
          <w:color w:val="000000" w:themeColor="text1"/>
        </w:rPr>
        <w:t>ing a pre-test set of questions</w:t>
      </w:r>
      <w:r w:rsidR="00C412D5" w:rsidRPr="00F14B9A">
        <w:rPr>
          <w:color w:val="000000" w:themeColor="text1"/>
        </w:rPr>
        <w:t xml:space="preserve"> (Pickering, 2015b)</w:t>
      </w:r>
      <w:r w:rsidR="00B1626A" w:rsidRPr="00F14B9A">
        <w:rPr>
          <w:color w:val="000000" w:themeColor="text1"/>
        </w:rPr>
        <w:t xml:space="preserve">. Having </w:t>
      </w:r>
      <w:r w:rsidR="00B1626A" w:rsidRPr="00F14B9A">
        <w:rPr>
          <w:color w:val="000000" w:themeColor="text1"/>
        </w:rPr>
        <w:lastRenderedPageBreak/>
        <w:t>run the exposure a post-test set of questions would be delivered to measure and compare the learner gain between the two contrasting resources. It is anticipated</w:t>
      </w:r>
      <w:r w:rsidR="00D81458" w:rsidRPr="00F14B9A">
        <w:rPr>
          <w:color w:val="000000" w:themeColor="text1"/>
        </w:rPr>
        <w:t xml:space="preserve"> however, that at this stage, </w:t>
      </w:r>
      <w:r w:rsidR="00771E9A" w:rsidRPr="00F14B9A">
        <w:rPr>
          <w:color w:val="000000" w:themeColor="text1"/>
        </w:rPr>
        <w:t xml:space="preserve">and </w:t>
      </w:r>
      <w:r w:rsidR="00B1626A" w:rsidRPr="00F14B9A">
        <w:rPr>
          <w:color w:val="000000" w:themeColor="text1"/>
        </w:rPr>
        <w:t>irrespective of resource type</w:t>
      </w:r>
      <w:r w:rsidR="00771E9A" w:rsidRPr="00F14B9A">
        <w:rPr>
          <w:color w:val="000000" w:themeColor="text1"/>
        </w:rPr>
        <w:t>,</w:t>
      </w:r>
      <w:r w:rsidR="00B1626A" w:rsidRPr="00F14B9A">
        <w:rPr>
          <w:color w:val="000000" w:themeColor="text1"/>
        </w:rPr>
        <w:t xml:space="preserve"> a</w:t>
      </w:r>
      <w:r w:rsidR="00D81458" w:rsidRPr="00F14B9A">
        <w:rPr>
          <w:color w:val="000000" w:themeColor="text1"/>
        </w:rPr>
        <w:t>n</w:t>
      </w:r>
      <w:r w:rsidR="00B1626A" w:rsidRPr="00F14B9A">
        <w:rPr>
          <w:color w:val="000000" w:themeColor="text1"/>
        </w:rPr>
        <w:t xml:space="preserve"> increase in learner gain would have been achieved. It is essential, therefore, to </w:t>
      </w:r>
      <w:r w:rsidR="00D81458" w:rsidRPr="00F14B9A">
        <w:rPr>
          <w:color w:val="000000" w:themeColor="text1"/>
        </w:rPr>
        <w:t>perform a subsequent series of post-tests to ascertain the degree of knowledge retention between the two resource types over time</w:t>
      </w:r>
      <w:r w:rsidR="0008403E" w:rsidRPr="00F14B9A">
        <w:rPr>
          <w:color w:val="000000" w:themeColor="text1"/>
        </w:rPr>
        <w:t xml:space="preserve"> </w:t>
      </w:r>
      <w:r w:rsidR="002121B7" w:rsidRPr="00F14B9A">
        <w:rPr>
          <w:noProof/>
          <w:color w:val="000000" w:themeColor="text1"/>
        </w:rPr>
        <w:t>(</w:t>
      </w:r>
      <w:r w:rsidR="00250EBA" w:rsidRPr="00F14B9A">
        <w:rPr>
          <w:noProof/>
          <w:color w:val="000000" w:themeColor="text1"/>
        </w:rPr>
        <w:t xml:space="preserve">Hake 1998; </w:t>
      </w:r>
      <w:r w:rsidR="002121B7" w:rsidRPr="00F14B9A">
        <w:rPr>
          <w:noProof/>
          <w:color w:val="000000" w:themeColor="text1"/>
        </w:rPr>
        <w:t>Issa et al.</w:t>
      </w:r>
      <w:r w:rsidR="00071AF6" w:rsidRPr="00F14B9A">
        <w:rPr>
          <w:noProof/>
          <w:color w:val="000000" w:themeColor="text1"/>
        </w:rPr>
        <w:t xml:space="preserve"> 2011)</w:t>
      </w:r>
      <w:r w:rsidR="0008403E" w:rsidRPr="00F14B9A">
        <w:rPr>
          <w:noProof/>
          <w:color w:val="000000" w:themeColor="text1"/>
        </w:rPr>
        <w:t>.</w:t>
      </w:r>
    </w:p>
    <w:p w14:paraId="6DDBCC32" w14:textId="77777777" w:rsidR="00E615C6" w:rsidRPr="00F14B9A" w:rsidRDefault="00335432" w:rsidP="009F5396">
      <w:pPr>
        <w:spacing w:line="480" w:lineRule="auto"/>
        <w:rPr>
          <w:color w:val="000000" w:themeColor="text1"/>
        </w:rPr>
      </w:pPr>
      <w:r w:rsidRPr="00F14B9A">
        <w:rPr>
          <w:color w:val="000000" w:themeColor="text1"/>
        </w:rPr>
        <w:t xml:space="preserve">Having access to </w:t>
      </w:r>
      <w:r w:rsidR="00C412D5" w:rsidRPr="00F14B9A">
        <w:rPr>
          <w:color w:val="000000" w:themeColor="text1"/>
        </w:rPr>
        <w:t xml:space="preserve">this </w:t>
      </w:r>
      <w:r w:rsidRPr="00F14B9A">
        <w:rPr>
          <w:color w:val="000000" w:themeColor="text1"/>
        </w:rPr>
        <w:t>level of data will be useful in judging whether the TEL resource is an effective tool to support learning</w:t>
      </w:r>
      <w:r w:rsidR="00C412D5" w:rsidRPr="00F14B9A">
        <w:rPr>
          <w:color w:val="000000" w:themeColor="text1"/>
        </w:rPr>
        <w:t xml:space="preserve">. Moreover, </w:t>
      </w:r>
      <w:r w:rsidRPr="00F14B9A">
        <w:rPr>
          <w:color w:val="000000" w:themeColor="text1"/>
        </w:rPr>
        <w:t>a</w:t>
      </w:r>
      <w:r w:rsidR="002571FE" w:rsidRPr="00F14B9A">
        <w:rPr>
          <w:color w:val="000000" w:themeColor="text1"/>
        </w:rPr>
        <w:t xml:space="preserve">t this stage it would be important to scrutinise the results </w:t>
      </w:r>
      <w:r w:rsidR="00C412D5" w:rsidRPr="00F14B9A">
        <w:rPr>
          <w:color w:val="000000" w:themeColor="text1"/>
        </w:rPr>
        <w:t xml:space="preserve">against </w:t>
      </w:r>
      <w:r w:rsidR="002571FE" w:rsidRPr="00F14B9A">
        <w:rPr>
          <w:color w:val="000000" w:themeColor="text1"/>
        </w:rPr>
        <w:t xml:space="preserve">learner demographics: </w:t>
      </w:r>
      <w:r w:rsidR="00D81458" w:rsidRPr="00F14B9A">
        <w:rPr>
          <w:color w:val="000000" w:themeColor="text1"/>
        </w:rPr>
        <w:t>gender, age or pr</w:t>
      </w:r>
      <w:r w:rsidR="00C6145E" w:rsidRPr="00F14B9A">
        <w:rPr>
          <w:color w:val="000000" w:themeColor="text1"/>
        </w:rPr>
        <w:t>i</w:t>
      </w:r>
      <w:r w:rsidR="00D81458" w:rsidRPr="00F14B9A">
        <w:rPr>
          <w:color w:val="000000" w:themeColor="text1"/>
        </w:rPr>
        <w:t>or academic achievement</w:t>
      </w:r>
      <w:r w:rsidR="002571FE" w:rsidRPr="00F14B9A">
        <w:rPr>
          <w:color w:val="000000" w:themeColor="text1"/>
        </w:rPr>
        <w:t xml:space="preserve"> for example</w:t>
      </w:r>
      <w:r w:rsidR="00D81458" w:rsidRPr="00F14B9A">
        <w:rPr>
          <w:color w:val="000000" w:themeColor="text1"/>
        </w:rPr>
        <w:t xml:space="preserve">. </w:t>
      </w:r>
      <w:r w:rsidR="00C6145E" w:rsidRPr="00F14B9A">
        <w:rPr>
          <w:color w:val="000000" w:themeColor="text1"/>
        </w:rPr>
        <w:t>Additionally,</w:t>
      </w:r>
      <w:r w:rsidR="00D81458" w:rsidRPr="00F14B9A">
        <w:rPr>
          <w:color w:val="000000" w:themeColor="text1"/>
        </w:rPr>
        <w:t xml:space="preserve"> analysing the re</w:t>
      </w:r>
      <w:r w:rsidR="00F02BA8" w:rsidRPr="00F14B9A">
        <w:rPr>
          <w:color w:val="000000" w:themeColor="text1"/>
        </w:rPr>
        <w:t>sults across different question</w:t>
      </w:r>
      <w:r w:rsidR="00D81458" w:rsidRPr="00F14B9A">
        <w:rPr>
          <w:color w:val="000000" w:themeColor="text1"/>
        </w:rPr>
        <w:t xml:space="preserve"> types (i</w:t>
      </w:r>
      <w:r w:rsidR="00F02BA8" w:rsidRPr="00F14B9A">
        <w:rPr>
          <w:color w:val="000000" w:themeColor="text1"/>
        </w:rPr>
        <w:t>.</w:t>
      </w:r>
      <w:r w:rsidR="00D81458" w:rsidRPr="00F14B9A">
        <w:rPr>
          <w:color w:val="000000" w:themeColor="text1"/>
        </w:rPr>
        <w:t>e</w:t>
      </w:r>
      <w:r w:rsidR="00F02BA8" w:rsidRPr="00F14B9A">
        <w:rPr>
          <w:color w:val="000000" w:themeColor="text1"/>
        </w:rPr>
        <w:t>.</w:t>
      </w:r>
      <w:r w:rsidR="00D81458" w:rsidRPr="00F14B9A">
        <w:rPr>
          <w:color w:val="000000" w:themeColor="text1"/>
        </w:rPr>
        <w:t>, factual v</w:t>
      </w:r>
      <w:r w:rsidR="00F02BA8" w:rsidRPr="00F14B9A">
        <w:rPr>
          <w:color w:val="000000" w:themeColor="text1"/>
        </w:rPr>
        <w:t>s</w:t>
      </w:r>
      <w:r w:rsidR="00D81458" w:rsidRPr="00F14B9A">
        <w:rPr>
          <w:color w:val="000000" w:themeColor="text1"/>
        </w:rPr>
        <w:t xml:space="preserve"> conceptual; easy v</w:t>
      </w:r>
      <w:r w:rsidR="00F02BA8" w:rsidRPr="00F14B9A">
        <w:rPr>
          <w:color w:val="000000" w:themeColor="text1"/>
        </w:rPr>
        <w:t>s</w:t>
      </w:r>
      <w:r w:rsidR="00D81458" w:rsidRPr="00F14B9A">
        <w:rPr>
          <w:color w:val="000000" w:themeColor="text1"/>
        </w:rPr>
        <w:t xml:space="preserve"> hard) will allow a more detailed understanding of the impact such a resource has on learner gain.</w:t>
      </w:r>
      <w:r w:rsidRPr="00F14B9A">
        <w:rPr>
          <w:color w:val="000000" w:themeColor="text1"/>
        </w:rPr>
        <w:t xml:space="preserve"> </w:t>
      </w:r>
    </w:p>
    <w:p w14:paraId="24357FD8" w14:textId="2BB0ECD6" w:rsidR="00D07E9C" w:rsidRPr="00F14B9A" w:rsidRDefault="005E0F92" w:rsidP="00E00D08">
      <w:pPr>
        <w:spacing w:line="480" w:lineRule="auto"/>
        <w:rPr>
          <w:color w:val="000000" w:themeColor="text1"/>
        </w:rPr>
      </w:pPr>
      <w:r w:rsidRPr="00F14B9A">
        <w:rPr>
          <w:color w:val="000000" w:themeColor="text1"/>
        </w:rPr>
        <w:t xml:space="preserve">To ensure the test is valid the participants should have no prior knowledge of the specific </w:t>
      </w:r>
      <w:r w:rsidR="00F02BA8" w:rsidRPr="00F14B9A">
        <w:rPr>
          <w:color w:val="000000" w:themeColor="text1"/>
        </w:rPr>
        <w:t xml:space="preserve">topic </w:t>
      </w:r>
      <w:r w:rsidRPr="00F14B9A">
        <w:rPr>
          <w:color w:val="000000" w:themeColor="text1"/>
        </w:rPr>
        <w:t xml:space="preserve">area, </w:t>
      </w:r>
      <w:r w:rsidR="006B34CB" w:rsidRPr="00F14B9A">
        <w:rPr>
          <w:color w:val="000000" w:themeColor="text1"/>
        </w:rPr>
        <w:t xml:space="preserve">which would lead to sampling bias, </w:t>
      </w:r>
      <w:r w:rsidRPr="00F14B9A">
        <w:rPr>
          <w:color w:val="000000" w:themeColor="text1"/>
        </w:rPr>
        <w:t>but should be sufficient</w:t>
      </w:r>
      <w:r w:rsidR="006B34CB" w:rsidRPr="00F14B9A">
        <w:rPr>
          <w:color w:val="000000" w:themeColor="text1"/>
        </w:rPr>
        <w:t>ly</w:t>
      </w:r>
      <w:r w:rsidRPr="00F14B9A">
        <w:rPr>
          <w:color w:val="000000" w:themeColor="text1"/>
        </w:rPr>
        <w:t xml:space="preserve"> aware of the general discipline that they </w:t>
      </w:r>
      <w:r w:rsidR="0069283B" w:rsidRPr="00F14B9A">
        <w:rPr>
          <w:color w:val="000000" w:themeColor="text1"/>
        </w:rPr>
        <w:t>are not considered a lay person</w:t>
      </w:r>
      <w:r w:rsidR="00F02BA8" w:rsidRPr="00F14B9A">
        <w:rPr>
          <w:color w:val="000000" w:themeColor="text1"/>
        </w:rPr>
        <w:t xml:space="preserve">.  </w:t>
      </w:r>
      <w:r w:rsidR="00D81458" w:rsidRPr="00F14B9A">
        <w:rPr>
          <w:color w:val="000000" w:themeColor="text1"/>
        </w:rPr>
        <w:t xml:space="preserve">From our </w:t>
      </w:r>
      <w:r w:rsidR="00EA3DDC" w:rsidRPr="00F14B9A">
        <w:rPr>
          <w:color w:val="000000" w:themeColor="text1"/>
        </w:rPr>
        <w:t xml:space="preserve">own </w:t>
      </w:r>
      <w:r w:rsidR="00D81458" w:rsidRPr="00F14B9A">
        <w:rPr>
          <w:color w:val="000000" w:themeColor="text1"/>
        </w:rPr>
        <w:t xml:space="preserve">experience we appreciate that recruiting </w:t>
      </w:r>
      <w:r w:rsidR="00EA3DDC" w:rsidRPr="00F14B9A">
        <w:rPr>
          <w:color w:val="000000" w:themeColor="text1"/>
        </w:rPr>
        <w:t>sufficient</w:t>
      </w:r>
      <w:r w:rsidR="00D81458" w:rsidRPr="00F14B9A">
        <w:rPr>
          <w:color w:val="000000" w:themeColor="text1"/>
        </w:rPr>
        <w:t xml:space="preserve"> volunteers to achieve a meaningful </w:t>
      </w:r>
      <w:r w:rsidR="00EA3DDC" w:rsidRPr="00F14B9A">
        <w:rPr>
          <w:color w:val="000000" w:themeColor="text1"/>
        </w:rPr>
        <w:t>assessment</w:t>
      </w:r>
      <w:r w:rsidR="00D81458" w:rsidRPr="00F14B9A">
        <w:rPr>
          <w:color w:val="000000" w:themeColor="text1"/>
        </w:rPr>
        <w:t xml:space="preserve"> is challenging; </w:t>
      </w:r>
      <w:r w:rsidR="007C4B3E" w:rsidRPr="00F14B9A">
        <w:rPr>
          <w:color w:val="000000" w:themeColor="text1"/>
        </w:rPr>
        <w:t>nevertheless,</w:t>
      </w:r>
      <w:r w:rsidR="00D81458" w:rsidRPr="00F14B9A">
        <w:rPr>
          <w:color w:val="000000" w:themeColor="text1"/>
        </w:rPr>
        <w:t xml:space="preserve"> this is an important step that needs to be implemented in order to establish if the resource “works”.</w:t>
      </w:r>
    </w:p>
    <w:p w14:paraId="337647AD" w14:textId="502B9D02" w:rsidR="00D07E9C" w:rsidRPr="00F14B9A" w:rsidRDefault="00D71117" w:rsidP="00E00D08">
      <w:pPr>
        <w:spacing w:line="480" w:lineRule="auto"/>
        <w:rPr>
          <w:color w:val="000000" w:themeColor="text1"/>
        </w:rPr>
      </w:pPr>
      <w:r w:rsidRPr="00F14B9A">
        <w:rPr>
          <w:color w:val="000000" w:themeColor="text1"/>
        </w:rPr>
        <w:t xml:space="preserve">Upon successful completion of levels 1a and 1b there should be </w:t>
      </w:r>
      <w:r w:rsidR="00771E9A" w:rsidRPr="00F14B9A">
        <w:rPr>
          <w:color w:val="000000" w:themeColor="text1"/>
        </w:rPr>
        <w:t xml:space="preserve">adequate </w:t>
      </w:r>
      <w:r w:rsidRPr="00F14B9A">
        <w:rPr>
          <w:color w:val="000000" w:themeColor="text1"/>
        </w:rPr>
        <w:t>evidence of pedagogical advancement to confidently deploy the resource</w:t>
      </w:r>
      <w:r w:rsidR="00250EBA" w:rsidRPr="00F14B9A">
        <w:rPr>
          <w:color w:val="000000" w:themeColor="text1"/>
        </w:rPr>
        <w:t>.</w:t>
      </w:r>
    </w:p>
    <w:p w14:paraId="5BA89941" w14:textId="77777777" w:rsidR="00D71117" w:rsidRPr="00F14B9A" w:rsidRDefault="00D71117" w:rsidP="00E00D08">
      <w:pPr>
        <w:spacing w:line="480" w:lineRule="auto"/>
        <w:rPr>
          <w:b/>
          <w:color w:val="000000" w:themeColor="text1"/>
        </w:rPr>
      </w:pPr>
    </w:p>
    <w:p w14:paraId="6E0C318C" w14:textId="77777777" w:rsidR="00D07E9C" w:rsidRPr="00F14B9A" w:rsidRDefault="00D71117" w:rsidP="00E00D08">
      <w:pPr>
        <w:spacing w:line="480" w:lineRule="auto"/>
        <w:rPr>
          <w:i/>
          <w:color w:val="000000" w:themeColor="text1"/>
        </w:rPr>
      </w:pPr>
      <w:r w:rsidRPr="00F14B9A">
        <w:rPr>
          <w:i/>
          <w:color w:val="000000" w:themeColor="text1"/>
        </w:rPr>
        <w:t>Level 2</w:t>
      </w:r>
      <w:r w:rsidR="007B4443" w:rsidRPr="00F14B9A">
        <w:rPr>
          <w:i/>
          <w:color w:val="000000" w:themeColor="text1"/>
        </w:rPr>
        <w:t xml:space="preserve">: </w:t>
      </w:r>
      <w:r w:rsidR="00C914ED" w:rsidRPr="00F14B9A">
        <w:rPr>
          <w:i/>
          <w:color w:val="000000" w:themeColor="text1"/>
        </w:rPr>
        <w:t>Learner i</w:t>
      </w:r>
      <w:r w:rsidR="007B4443" w:rsidRPr="00F14B9A">
        <w:rPr>
          <w:i/>
          <w:color w:val="000000" w:themeColor="text1"/>
        </w:rPr>
        <w:t>mpact</w:t>
      </w:r>
    </w:p>
    <w:p w14:paraId="64D5A704" w14:textId="77777777" w:rsidR="00D71117" w:rsidRPr="00F14B9A" w:rsidRDefault="00D71117" w:rsidP="00E00D08">
      <w:pPr>
        <w:spacing w:line="480" w:lineRule="auto"/>
        <w:rPr>
          <w:color w:val="000000" w:themeColor="text1"/>
        </w:rPr>
      </w:pPr>
      <w:r w:rsidRPr="00F14B9A">
        <w:rPr>
          <w:color w:val="000000" w:themeColor="text1"/>
        </w:rPr>
        <w:t>Derived from:</w:t>
      </w:r>
      <w:r w:rsidRPr="00F14B9A">
        <w:rPr>
          <w:b/>
          <w:color w:val="000000" w:themeColor="text1"/>
        </w:rPr>
        <w:t xml:space="preserve"> </w:t>
      </w:r>
      <w:r w:rsidRPr="00F14B9A">
        <w:rPr>
          <w:i/>
          <w:color w:val="000000" w:themeColor="text1"/>
        </w:rPr>
        <w:t>Likert-scale questionnaire, focus group, usage metrics, assessment data</w:t>
      </w:r>
    </w:p>
    <w:p w14:paraId="737538AA" w14:textId="77777777" w:rsidR="00D71117" w:rsidRPr="00F14B9A" w:rsidRDefault="00D71117" w:rsidP="00E00D08">
      <w:pPr>
        <w:spacing w:line="480" w:lineRule="auto"/>
        <w:rPr>
          <w:i/>
          <w:color w:val="000000" w:themeColor="text1"/>
        </w:rPr>
      </w:pPr>
      <w:r w:rsidRPr="00F14B9A">
        <w:rPr>
          <w:color w:val="000000" w:themeColor="text1"/>
        </w:rPr>
        <w:t>Measuring:</w:t>
      </w:r>
      <w:r w:rsidRPr="00F14B9A">
        <w:rPr>
          <w:b/>
          <w:color w:val="000000" w:themeColor="text1"/>
        </w:rPr>
        <w:t xml:space="preserve"> </w:t>
      </w:r>
      <w:r w:rsidR="00587080" w:rsidRPr="00F14B9A">
        <w:rPr>
          <w:i/>
          <w:color w:val="000000" w:themeColor="text1"/>
        </w:rPr>
        <w:t>Influence of TEL resource on course outcomes for individual learners</w:t>
      </w:r>
    </w:p>
    <w:p w14:paraId="730BC764" w14:textId="34CAC8F5" w:rsidR="006C5945" w:rsidRPr="00F14B9A" w:rsidRDefault="00291FA0" w:rsidP="00E00D08">
      <w:pPr>
        <w:spacing w:line="480" w:lineRule="auto"/>
        <w:rPr>
          <w:color w:val="000000" w:themeColor="text1"/>
        </w:rPr>
      </w:pPr>
      <w:r w:rsidRPr="00F14B9A">
        <w:rPr>
          <w:color w:val="000000" w:themeColor="text1"/>
        </w:rPr>
        <w:lastRenderedPageBreak/>
        <w:t xml:space="preserve">Having </w:t>
      </w:r>
      <w:r w:rsidR="00587080" w:rsidRPr="00F14B9A">
        <w:rPr>
          <w:color w:val="000000" w:themeColor="text1"/>
        </w:rPr>
        <w:t xml:space="preserve">rigorously evaluated the satisfaction and efficacy of the TEL resource </w:t>
      </w:r>
      <w:r w:rsidRPr="00F14B9A">
        <w:rPr>
          <w:color w:val="000000" w:themeColor="text1"/>
        </w:rPr>
        <w:t>it is necessary to understand</w:t>
      </w:r>
      <w:r w:rsidR="00587080" w:rsidRPr="00F14B9A">
        <w:rPr>
          <w:color w:val="000000" w:themeColor="text1"/>
        </w:rPr>
        <w:t xml:space="preserve"> its ability to influence individual learner outcomes within a specific teaching setting (i.e. a course, module or programme). However, as highlighted by critiques</w:t>
      </w:r>
      <w:r w:rsidR="009C656D" w:rsidRPr="00F14B9A">
        <w:rPr>
          <w:color w:val="000000" w:themeColor="text1"/>
        </w:rPr>
        <w:t xml:space="preserve"> of existing evaluation models</w:t>
      </w:r>
      <w:r w:rsidR="00795503" w:rsidRPr="00F14B9A">
        <w:rPr>
          <w:color w:val="000000" w:themeColor="text1"/>
        </w:rPr>
        <w:t xml:space="preserve"> </w:t>
      </w:r>
      <w:r w:rsidR="002121B7" w:rsidRPr="00F14B9A">
        <w:rPr>
          <w:noProof/>
          <w:color w:val="000000" w:themeColor="text1"/>
        </w:rPr>
        <w:t>(Holton 1996; Yardley &amp; Dornan</w:t>
      </w:r>
      <w:r w:rsidR="00071AF6" w:rsidRPr="00F14B9A">
        <w:rPr>
          <w:noProof/>
          <w:color w:val="000000" w:themeColor="text1"/>
        </w:rPr>
        <w:t xml:space="preserve"> 2012)</w:t>
      </w:r>
      <w:r w:rsidR="009C656D" w:rsidRPr="00F14B9A">
        <w:rPr>
          <w:color w:val="000000" w:themeColor="text1"/>
        </w:rPr>
        <w:t xml:space="preserve"> </w:t>
      </w:r>
      <w:r w:rsidR="00587080" w:rsidRPr="00F14B9A">
        <w:rPr>
          <w:color w:val="000000" w:themeColor="text1"/>
        </w:rPr>
        <w:t xml:space="preserve">it is acknowledged that being able to realistically quantify the impact of one single resource within a multi-faceted setting is </w:t>
      </w:r>
      <w:r w:rsidR="006C5945" w:rsidRPr="00F14B9A">
        <w:rPr>
          <w:color w:val="000000" w:themeColor="text1"/>
        </w:rPr>
        <w:t xml:space="preserve">both reductionist and </w:t>
      </w:r>
      <w:r w:rsidR="00587080" w:rsidRPr="00F14B9A">
        <w:rPr>
          <w:color w:val="000000" w:themeColor="text1"/>
        </w:rPr>
        <w:t>extremely difficult.</w:t>
      </w:r>
      <w:r w:rsidR="006C5945" w:rsidRPr="00F14B9A">
        <w:rPr>
          <w:color w:val="000000" w:themeColor="text1"/>
        </w:rPr>
        <w:t xml:space="preserve">  It</w:t>
      </w:r>
      <w:r w:rsidR="004C6B28" w:rsidRPr="00F14B9A">
        <w:rPr>
          <w:color w:val="000000" w:themeColor="text1"/>
        </w:rPr>
        <w:t xml:space="preserve"> would, of course, be unrealistic to assume that</w:t>
      </w:r>
      <w:r w:rsidR="006C5945" w:rsidRPr="00F14B9A">
        <w:rPr>
          <w:color w:val="000000" w:themeColor="text1"/>
        </w:rPr>
        <w:t xml:space="preserve"> a student </w:t>
      </w:r>
      <w:r w:rsidR="004C6B28" w:rsidRPr="00F14B9A">
        <w:rPr>
          <w:color w:val="000000" w:themeColor="text1"/>
        </w:rPr>
        <w:t xml:space="preserve">would be able </w:t>
      </w:r>
      <w:r w:rsidR="006C5945" w:rsidRPr="00F14B9A">
        <w:rPr>
          <w:color w:val="000000" w:themeColor="text1"/>
        </w:rPr>
        <w:t xml:space="preserve">to progress through their course with only one package of information influencing their learning.  </w:t>
      </w:r>
      <w:r w:rsidR="006D78EF" w:rsidRPr="00F14B9A">
        <w:rPr>
          <w:color w:val="000000" w:themeColor="text1"/>
        </w:rPr>
        <w:t>A</w:t>
      </w:r>
      <w:r w:rsidRPr="00F14B9A">
        <w:rPr>
          <w:color w:val="000000" w:themeColor="text1"/>
        </w:rPr>
        <w:t xml:space="preserve">ll of </w:t>
      </w:r>
      <w:r w:rsidR="006D78EF" w:rsidRPr="00F14B9A">
        <w:rPr>
          <w:color w:val="000000" w:themeColor="text1"/>
        </w:rPr>
        <w:t>these will form part of the individual student</w:t>
      </w:r>
      <w:r w:rsidR="006C5945" w:rsidRPr="00F14B9A">
        <w:rPr>
          <w:color w:val="000000" w:themeColor="text1"/>
        </w:rPr>
        <w:t>’</w:t>
      </w:r>
      <w:r w:rsidR="006D78EF" w:rsidRPr="00F14B9A">
        <w:rPr>
          <w:color w:val="000000" w:themeColor="text1"/>
        </w:rPr>
        <w:t xml:space="preserve">s learning </w:t>
      </w:r>
      <w:r w:rsidR="006C5945" w:rsidRPr="00F14B9A">
        <w:rPr>
          <w:color w:val="000000" w:themeColor="text1"/>
        </w:rPr>
        <w:t>portfolio</w:t>
      </w:r>
      <w:r w:rsidR="006D78EF" w:rsidRPr="00F14B9A">
        <w:rPr>
          <w:color w:val="000000" w:themeColor="text1"/>
        </w:rPr>
        <w:t xml:space="preserve"> to varying degrees</w:t>
      </w:r>
      <w:r w:rsidR="006C5945" w:rsidRPr="00F14B9A">
        <w:rPr>
          <w:color w:val="000000" w:themeColor="text1"/>
        </w:rPr>
        <w:t>,</w:t>
      </w:r>
      <w:r w:rsidR="006D78EF" w:rsidRPr="00F14B9A">
        <w:rPr>
          <w:color w:val="000000" w:themeColor="text1"/>
        </w:rPr>
        <w:t xml:space="preserve"> </w:t>
      </w:r>
      <w:r w:rsidR="009272CB" w:rsidRPr="00F14B9A">
        <w:rPr>
          <w:color w:val="000000" w:themeColor="text1"/>
        </w:rPr>
        <w:t>depending on what suits their ow</w:t>
      </w:r>
      <w:r w:rsidR="006D78EF" w:rsidRPr="00F14B9A">
        <w:rPr>
          <w:color w:val="000000" w:themeColor="text1"/>
        </w:rPr>
        <w:t>n learning preference</w:t>
      </w:r>
      <w:r w:rsidR="006C5945" w:rsidRPr="00F14B9A">
        <w:rPr>
          <w:color w:val="000000" w:themeColor="text1"/>
        </w:rPr>
        <w:t>s</w:t>
      </w:r>
      <w:r w:rsidR="006D78EF" w:rsidRPr="00F14B9A">
        <w:rPr>
          <w:color w:val="000000" w:themeColor="text1"/>
        </w:rPr>
        <w:t>.</w:t>
      </w:r>
    </w:p>
    <w:p w14:paraId="25ED4E6D" w14:textId="303E69A9" w:rsidR="00F84BED" w:rsidRPr="00F14B9A" w:rsidRDefault="00F84BED" w:rsidP="00E00D08">
      <w:pPr>
        <w:spacing w:line="480" w:lineRule="auto"/>
        <w:rPr>
          <w:color w:val="000000" w:themeColor="text1"/>
        </w:rPr>
      </w:pPr>
      <w:r w:rsidRPr="00F14B9A">
        <w:rPr>
          <w:color w:val="000000" w:themeColor="text1"/>
        </w:rPr>
        <w:t xml:space="preserve">Nevertheless, it should still be possible to measure the impact of an individual learning resource provided the context of its provision is acknowledged. </w:t>
      </w:r>
      <w:r w:rsidR="00254CEE" w:rsidRPr="00F14B9A">
        <w:rPr>
          <w:color w:val="000000" w:themeColor="text1"/>
        </w:rPr>
        <w:t xml:space="preserve"> </w:t>
      </w:r>
      <w:r w:rsidRPr="00F14B9A">
        <w:rPr>
          <w:color w:val="000000" w:themeColor="text1"/>
        </w:rPr>
        <w:t>The method to achieve this is made possi</w:t>
      </w:r>
      <w:r w:rsidR="0069283B" w:rsidRPr="00F14B9A">
        <w:rPr>
          <w:color w:val="000000" w:themeColor="text1"/>
        </w:rPr>
        <w:t>ble through access to</w:t>
      </w:r>
      <w:r w:rsidRPr="00F14B9A">
        <w:rPr>
          <w:color w:val="000000" w:themeColor="text1"/>
        </w:rPr>
        <w:t xml:space="preserve"> learner analytics, </w:t>
      </w:r>
      <w:r w:rsidRPr="00F14B9A">
        <w:rPr>
          <w:i/>
          <w:color w:val="000000" w:themeColor="text1"/>
        </w:rPr>
        <w:t xml:space="preserve">combined with </w:t>
      </w:r>
      <w:r w:rsidRPr="00F14B9A">
        <w:rPr>
          <w:color w:val="000000" w:themeColor="text1"/>
        </w:rPr>
        <w:t>i</w:t>
      </w:r>
      <w:r w:rsidR="0069283B" w:rsidRPr="00F14B9A">
        <w:rPr>
          <w:color w:val="000000" w:themeColor="text1"/>
        </w:rPr>
        <w:t>ndividual</w:t>
      </w:r>
      <w:r w:rsidRPr="00F14B9A">
        <w:rPr>
          <w:color w:val="000000" w:themeColor="text1"/>
        </w:rPr>
        <w:t xml:space="preserve"> structured questionnaires</w:t>
      </w:r>
      <w:r w:rsidR="006C554D" w:rsidRPr="00F14B9A">
        <w:rPr>
          <w:color w:val="000000" w:themeColor="text1"/>
        </w:rPr>
        <w:t>, focus groups</w:t>
      </w:r>
      <w:r w:rsidRPr="00F14B9A">
        <w:rPr>
          <w:color w:val="000000" w:themeColor="text1"/>
        </w:rPr>
        <w:t xml:space="preserve"> and assessment data.  To that end, evaluation of ‘level 2’ in this model is complex and requires careful planning and execution</w:t>
      </w:r>
      <w:r w:rsidR="00D703CE" w:rsidRPr="00F14B9A">
        <w:rPr>
          <w:color w:val="000000" w:themeColor="text1"/>
        </w:rPr>
        <w:t>.</w:t>
      </w:r>
    </w:p>
    <w:p w14:paraId="1BE67242" w14:textId="77777777" w:rsidR="007D4B6D" w:rsidRPr="00F14B9A" w:rsidRDefault="00E24C39" w:rsidP="007D4B6D">
      <w:pPr>
        <w:spacing w:line="480" w:lineRule="auto"/>
        <w:rPr>
          <w:color w:val="000000" w:themeColor="text1"/>
        </w:rPr>
      </w:pPr>
      <w:r w:rsidRPr="00F14B9A">
        <w:rPr>
          <w:color w:val="000000" w:themeColor="text1"/>
        </w:rPr>
        <w:t>T</w:t>
      </w:r>
      <w:r w:rsidR="00291FA0" w:rsidRPr="00F14B9A">
        <w:rPr>
          <w:color w:val="000000" w:themeColor="text1"/>
        </w:rPr>
        <w:t xml:space="preserve">o achieve this level of evaluation a detailed questionnaire is required which accurately </w:t>
      </w:r>
      <w:r w:rsidR="002055E8" w:rsidRPr="00F14B9A">
        <w:rPr>
          <w:color w:val="000000" w:themeColor="text1"/>
        </w:rPr>
        <w:t>measures both the range of</w:t>
      </w:r>
      <w:r w:rsidR="00291FA0" w:rsidRPr="00F14B9A">
        <w:rPr>
          <w:color w:val="000000" w:themeColor="text1"/>
        </w:rPr>
        <w:t xml:space="preserve"> learning</w:t>
      </w:r>
      <w:r w:rsidR="002055E8" w:rsidRPr="00F14B9A">
        <w:rPr>
          <w:color w:val="000000" w:themeColor="text1"/>
        </w:rPr>
        <w:t xml:space="preserve"> resources accessed and the amount of time an individual student engages with each resource.  </w:t>
      </w:r>
      <w:r w:rsidR="00EE735B" w:rsidRPr="00F14B9A">
        <w:rPr>
          <w:color w:val="000000" w:themeColor="text1"/>
        </w:rPr>
        <w:t xml:space="preserve">At this stage it is essential that </w:t>
      </w:r>
      <w:r w:rsidR="002055E8" w:rsidRPr="00F14B9A">
        <w:rPr>
          <w:color w:val="000000" w:themeColor="text1"/>
        </w:rPr>
        <w:t>individual</w:t>
      </w:r>
      <w:r w:rsidR="00EE735B" w:rsidRPr="00F14B9A">
        <w:rPr>
          <w:color w:val="000000" w:themeColor="text1"/>
        </w:rPr>
        <w:t xml:space="preserve"> students are identifiable</w:t>
      </w:r>
      <w:r w:rsidR="006D78EF" w:rsidRPr="00F14B9A">
        <w:rPr>
          <w:color w:val="000000" w:themeColor="text1"/>
        </w:rPr>
        <w:t xml:space="preserve"> and </w:t>
      </w:r>
      <w:r w:rsidR="002055E8" w:rsidRPr="00F14B9A">
        <w:rPr>
          <w:color w:val="000000" w:themeColor="text1"/>
        </w:rPr>
        <w:t xml:space="preserve">that </w:t>
      </w:r>
      <w:r w:rsidR="00E93385" w:rsidRPr="00F14B9A">
        <w:rPr>
          <w:color w:val="000000" w:themeColor="text1"/>
        </w:rPr>
        <w:t xml:space="preserve">demographics and </w:t>
      </w:r>
      <w:r w:rsidR="006D78EF" w:rsidRPr="00F14B9A">
        <w:rPr>
          <w:color w:val="000000" w:themeColor="text1"/>
        </w:rPr>
        <w:t>specific</w:t>
      </w:r>
      <w:r w:rsidR="00EE735B" w:rsidRPr="00F14B9A">
        <w:rPr>
          <w:color w:val="000000" w:themeColor="text1"/>
        </w:rPr>
        <w:t xml:space="preserve"> </w:t>
      </w:r>
      <w:r w:rsidRPr="00F14B9A">
        <w:rPr>
          <w:color w:val="000000" w:themeColor="text1"/>
        </w:rPr>
        <w:t>learning</w:t>
      </w:r>
      <w:r w:rsidR="006D78EF" w:rsidRPr="00F14B9A">
        <w:rPr>
          <w:color w:val="000000" w:themeColor="text1"/>
        </w:rPr>
        <w:t xml:space="preserve"> analytics</w:t>
      </w:r>
      <w:r w:rsidR="00E93385" w:rsidRPr="00F14B9A">
        <w:rPr>
          <w:color w:val="000000" w:themeColor="text1"/>
        </w:rPr>
        <w:t xml:space="preserve"> are available.  This would include information on level of usage </w:t>
      </w:r>
      <w:r w:rsidR="002055E8" w:rsidRPr="00F14B9A">
        <w:rPr>
          <w:color w:val="000000" w:themeColor="text1"/>
        </w:rPr>
        <w:t>such as</w:t>
      </w:r>
      <w:r w:rsidR="00E93385" w:rsidRPr="00F14B9A">
        <w:rPr>
          <w:color w:val="000000" w:themeColor="text1"/>
        </w:rPr>
        <w:t xml:space="preserve"> number of downloads (where applicable),</w:t>
      </w:r>
      <w:r w:rsidR="002055E8" w:rsidRPr="00F14B9A">
        <w:rPr>
          <w:color w:val="000000" w:themeColor="text1"/>
        </w:rPr>
        <w:t xml:space="preserve"> </w:t>
      </w:r>
      <w:r w:rsidR="00E93385" w:rsidRPr="00F14B9A">
        <w:rPr>
          <w:color w:val="000000" w:themeColor="text1"/>
        </w:rPr>
        <w:t xml:space="preserve">and </w:t>
      </w:r>
      <w:r w:rsidR="002055E8" w:rsidRPr="00F14B9A">
        <w:rPr>
          <w:color w:val="000000" w:themeColor="text1"/>
        </w:rPr>
        <w:t xml:space="preserve">when </w:t>
      </w:r>
      <w:r w:rsidR="00E93385" w:rsidRPr="00F14B9A">
        <w:rPr>
          <w:color w:val="000000" w:themeColor="text1"/>
        </w:rPr>
        <w:t xml:space="preserve">and how often </w:t>
      </w:r>
      <w:r w:rsidR="002055E8" w:rsidRPr="00F14B9A">
        <w:rPr>
          <w:color w:val="000000" w:themeColor="text1"/>
        </w:rPr>
        <w:t>during th</w:t>
      </w:r>
      <w:r w:rsidR="00E93385" w:rsidRPr="00F14B9A">
        <w:rPr>
          <w:color w:val="000000" w:themeColor="text1"/>
        </w:rPr>
        <w:t xml:space="preserve">e course a resource was accessed. </w:t>
      </w:r>
      <w:r w:rsidR="00EE616D" w:rsidRPr="00F14B9A">
        <w:rPr>
          <w:color w:val="000000" w:themeColor="text1"/>
        </w:rPr>
        <w:t>Further p</w:t>
      </w:r>
      <w:r w:rsidR="00E93385" w:rsidRPr="00F14B9A">
        <w:rPr>
          <w:color w:val="000000" w:themeColor="text1"/>
        </w:rPr>
        <w:t>arameters</w:t>
      </w:r>
      <w:r w:rsidR="0069283B" w:rsidRPr="00F14B9A">
        <w:rPr>
          <w:color w:val="000000" w:themeColor="text1"/>
        </w:rPr>
        <w:t xml:space="preserve"> </w:t>
      </w:r>
      <w:r w:rsidR="00EE616D" w:rsidRPr="00F14B9A">
        <w:rPr>
          <w:color w:val="000000" w:themeColor="text1"/>
        </w:rPr>
        <w:t>such as</w:t>
      </w:r>
      <w:r w:rsidR="00E93385" w:rsidRPr="00F14B9A">
        <w:rPr>
          <w:color w:val="000000" w:themeColor="text1"/>
        </w:rPr>
        <w:t xml:space="preserve"> cohort demographics, academic background and performance quartiles from previous assessments</w:t>
      </w:r>
      <w:r w:rsidR="0069283B" w:rsidRPr="00F14B9A">
        <w:rPr>
          <w:color w:val="000000" w:themeColor="text1"/>
        </w:rPr>
        <w:t xml:space="preserve"> would need to be </w:t>
      </w:r>
      <w:r w:rsidR="0069283B" w:rsidRPr="00F14B9A">
        <w:rPr>
          <w:color w:val="000000" w:themeColor="text1"/>
        </w:rPr>
        <w:lastRenderedPageBreak/>
        <w:t>correlated against the assessment outcomes</w:t>
      </w:r>
      <w:r w:rsidR="00E93385" w:rsidRPr="00F14B9A">
        <w:rPr>
          <w:color w:val="000000" w:themeColor="text1"/>
        </w:rPr>
        <w:t xml:space="preserve">. </w:t>
      </w:r>
      <w:r w:rsidR="00776D05" w:rsidRPr="00F14B9A">
        <w:rPr>
          <w:color w:val="000000" w:themeColor="text1"/>
        </w:rPr>
        <w:t xml:space="preserve"> Due to the sensitivity of this data, this stage necessarily requires student permissions for their individual data to be accessed and u</w:t>
      </w:r>
      <w:r w:rsidR="009C656D" w:rsidRPr="00F14B9A">
        <w:rPr>
          <w:color w:val="000000" w:themeColor="text1"/>
        </w:rPr>
        <w:t>sed in this way</w:t>
      </w:r>
      <w:r w:rsidR="0008403E" w:rsidRPr="00F14B9A">
        <w:rPr>
          <w:color w:val="000000" w:themeColor="text1"/>
        </w:rPr>
        <w:t xml:space="preserve"> </w:t>
      </w:r>
      <w:r w:rsidR="0008403E" w:rsidRPr="00F14B9A">
        <w:rPr>
          <w:noProof/>
          <w:color w:val="000000" w:themeColor="text1"/>
        </w:rPr>
        <w:t>(Sclater</w:t>
      </w:r>
      <w:r w:rsidR="00071AF6" w:rsidRPr="00F14B9A">
        <w:rPr>
          <w:noProof/>
          <w:color w:val="000000" w:themeColor="text1"/>
        </w:rPr>
        <w:t xml:space="preserve"> 2015)</w:t>
      </w:r>
      <w:r w:rsidR="0008403E" w:rsidRPr="00F14B9A">
        <w:rPr>
          <w:noProof/>
          <w:color w:val="000000" w:themeColor="text1"/>
        </w:rPr>
        <w:t>.</w:t>
      </w:r>
      <w:r w:rsidR="002055E8" w:rsidRPr="00F14B9A">
        <w:rPr>
          <w:color w:val="000000" w:themeColor="text1"/>
        </w:rPr>
        <w:t xml:space="preserve"> </w:t>
      </w:r>
      <w:r w:rsidR="00EF1B7B" w:rsidRPr="00F14B9A">
        <w:rPr>
          <w:color w:val="000000" w:themeColor="text1"/>
        </w:rPr>
        <w:t xml:space="preserve">This allows </w:t>
      </w:r>
      <w:r w:rsidR="00EE735B" w:rsidRPr="00F14B9A">
        <w:rPr>
          <w:color w:val="000000" w:themeColor="text1"/>
        </w:rPr>
        <w:t>the individual</w:t>
      </w:r>
      <w:r w:rsidR="006D78EF" w:rsidRPr="00F14B9A">
        <w:rPr>
          <w:color w:val="000000" w:themeColor="text1"/>
        </w:rPr>
        <w:t xml:space="preserve"> response</w:t>
      </w:r>
      <w:r w:rsidR="00EF1B7B" w:rsidRPr="00F14B9A">
        <w:rPr>
          <w:color w:val="000000" w:themeColor="text1"/>
        </w:rPr>
        <w:t>s</w:t>
      </w:r>
      <w:r w:rsidR="006D78EF" w:rsidRPr="00F14B9A">
        <w:rPr>
          <w:color w:val="000000" w:themeColor="text1"/>
        </w:rPr>
        <w:t xml:space="preserve"> from the</w:t>
      </w:r>
      <w:r w:rsidR="00EE735B" w:rsidRPr="00F14B9A">
        <w:rPr>
          <w:color w:val="000000" w:themeColor="text1"/>
        </w:rPr>
        <w:t xml:space="preserve"> questionnaire </w:t>
      </w:r>
      <w:r w:rsidR="00B10D64" w:rsidRPr="00F14B9A">
        <w:rPr>
          <w:color w:val="000000" w:themeColor="text1"/>
        </w:rPr>
        <w:t xml:space="preserve">to </w:t>
      </w:r>
      <w:r w:rsidR="00EE735B" w:rsidRPr="00F14B9A">
        <w:rPr>
          <w:color w:val="000000" w:themeColor="text1"/>
        </w:rPr>
        <w:t>be linked to the s</w:t>
      </w:r>
      <w:r w:rsidR="006D78EF" w:rsidRPr="00F14B9A">
        <w:rPr>
          <w:color w:val="000000" w:themeColor="text1"/>
        </w:rPr>
        <w:t>tudent’s</w:t>
      </w:r>
      <w:r w:rsidR="00776D05" w:rsidRPr="00F14B9A">
        <w:rPr>
          <w:color w:val="000000" w:themeColor="text1"/>
        </w:rPr>
        <w:t xml:space="preserve"> own</w:t>
      </w:r>
      <w:r w:rsidR="006D78EF" w:rsidRPr="00F14B9A">
        <w:rPr>
          <w:color w:val="000000" w:themeColor="text1"/>
        </w:rPr>
        <w:t xml:space="preserve"> assessment </w:t>
      </w:r>
      <w:r w:rsidRPr="00F14B9A">
        <w:rPr>
          <w:color w:val="000000" w:themeColor="text1"/>
        </w:rPr>
        <w:t>performance</w:t>
      </w:r>
      <w:r w:rsidR="00B10D64" w:rsidRPr="00F14B9A">
        <w:rPr>
          <w:color w:val="000000" w:themeColor="text1"/>
        </w:rPr>
        <w:t>,</w:t>
      </w:r>
      <w:r w:rsidRPr="00F14B9A">
        <w:rPr>
          <w:color w:val="000000" w:themeColor="text1"/>
        </w:rPr>
        <w:t xml:space="preserve"> </w:t>
      </w:r>
      <w:r w:rsidR="00953A1D" w:rsidRPr="00F14B9A">
        <w:rPr>
          <w:color w:val="000000" w:themeColor="text1"/>
        </w:rPr>
        <w:t>in order to compare</w:t>
      </w:r>
      <w:r w:rsidR="00EE616D" w:rsidRPr="00F14B9A">
        <w:rPr>
          <w:color w:val="000000" w:themeColor="text1"/>
        </w:rPr>
        <w:t xml:space="preserve"> resources</w:t>
      </w:r>
      <w:r w:rsidR="00953A1D" w:rsidRPr="00F14B9A">
        <w:rPr>
          <w:color w:val="000000" w:themeColor="text1"/>
        </w:rPr>
        <w:t xml:space="preserve"> </w:t>
      </w:r>
      <w:r w:rsidR="007B07CE" w:rsidRPr="00F14B9A">
        <w:rPr>
          <w:color w:val="000000" w:themeColor="text1"/>
        </w:rPr>
        <w:t>in a holistic manner</w:t>
      </w:r>
      <w:r w:rsidR="00B10D64" w:rsidRPr="00F14B9A">
        <w:rPr>
          <w:color w:val="000000" w:themeColor="text1"/>
        </w:rPr>
        <w:t>.</w:t>
      </w:r>
      <w:r w:rsidR="0069283B" w:rsidRPr="00F14B9A">
        <w:rPr>
          <w:color w:val="000000" w:themeColor="text1"/>
        </w:rPr>
        <w:t xml:space="preserve"> </w:t>
      </w:r>
      <w:r w:rsidR="00C023E4" w:rsidRPr="00F14B9A">
        <w:rPr>
          <w:color w:val="000000" w:themeColor="text1"/>
        </w:rPr>
        <w:t xml:space="preserve"> </w:t>
      </w:r>
      <w:r w:rsidR="007C4B3E" w:rsidRPr="00F14B9A">
        <w:rPr>
          <w:color w:val="000000" w:themeColor="text1"/>
        </w:rPr>
        <w:t>Having an understanding of t</w:t>
      </w:r>
      <w:r w:rsidR="007B07CE" w:rsidRPr="00F14B9A">
        <w:rPr>
          <w:color w:val="000000" w:themeColor="text1"/>
        </w:rPr>
        <w:t>he influence a specific TEL resource can have on learning outcomes for specific subgroups of students</w:t>
      </w:r>
      <w:r w:rsidR="009272CB" w:rsidRPr="00F14B9A">
        <w:rPr>
          <w:color w:val="000000" w:themeColor="text1"/>
        </w:rPr>
        <w:t xml:space="preserve"> will allow</w:t>
      </w:r>
      <w:r w:rsidR="00D35107" w:rsidRPr="00F14B9A">
        <w:rPr>
          <w:color w:val="000000" w:themeColor="text1"/>
        </w:rPr>
        <w:t xml:space="preserve"> for a more personalised learning approach</w:t>
      </w:r>
      <w:r w:rsidR="00662B8E" w:rsidRPr="00F14B9A">
        <w:rPr>
          <w:color w:val="000000" w:themeColor="text1"/>
        </w:rPr>
        <w:t xml:space="preserve"> through</w:t>
      </w:r>
      <w:r w:rsidR="009272CB" w:rsidRPr="00F14B9A">
        <w:rPr>
          <w:color w:val="000000" w:themeColor="text1"/>
        </w:rPr>
        <w:t xml:space="preserve"> </w:t>
      </w:r>
      <w:r w:rsidR="00662B8E" w:rsidRPr="00F14B9A">
        <w:rPr>
          <w:color w:val="000000" w:themeColor="text1"/>
        </w:rPr>
        <w:t xml:space="preserve">increased learner choice or </w:t>
      </w:r>
      <w:r w:rsidR="007B07CE" w:rsidRPr="00F14B9A">
        <w:rPr>
          <w:color w:val="000000" w:themeColor="text1"/>
        </w:rPr>
        <w:t xml:space="preserve">the direct </w:t>
      </w:r>
      <w:r w:rsidR="009272CB" w:rsidRPr="00F14B9A">
        <w:rPr>
          <w:color w:val="000000" w:themeColor="text1"/>
        </w:rPr>
        <w:t>targeting of resources</w:t>
      </w:r>
      <w:r w:rsidR="00E00D08" w:rsidRPr="00F14B9A">
        <w:rPr>
          <w:color w:val="000000" w:themeColor="text1"/>
        </w:rPr>
        <w:t xml:space="preserve">. </w:t>
      </w:r>
      <w:r w:rsidR="007B07CE" w:rsidRPr="00F14B9A">
        <w:rPr>
          <w:color w:val="000000" w:themeColor="text1"/>
        </w:rPr>
        <w:t xml:space="preserve">This in-depth </w:t>
      </w:r>
      <w:r w:rsidR="00EE616D" w:rsidRPr="00F14B9A">
        <w:rPr>
          <w:color w:val="000000" w:themeColor="text1"/>
        </w:rPr>
        <w:t>form</w:t>
      </w:r>
      <w:r w:rsidR="007B07CE" w:rsidRPr="00F14B9A">
        <w:rPr>
          <w:color w:val="000000" w:themeColor="text1"/>
        </w:rPr>
        <w:t xml:space="preserve"> of evaluation is paramount to ‘level 2’ and aims to provide a very clear and holistic overview of the impact the TEL resource has had </w:t>
      </w:r>
      <w:r w:rsidR="00625FB3" w:rsidRPr="00F14B9A">
        <w:rPr>
          <w:color w:val="000000" w:themeColor="text1"/>
        </w:rPr>
        <w:t xml:space="preserve">on </w:t>
      </w:r>
      <w:r w:rsidR="007B07CE" w:rsidRPr="00F14B9A">
        <w:rPr>
          <w:color w:val="000000" w:themeColor="text1"/>
        </w:rPr>
        <w:t>the</w:t>
      </w:r>
      <w:r w:rsidR="00625FB3" w:rsidRPr="00F14B9A">
        <w:rPr>
          <w:color w:val="000000" w:themeColor="text1"/>
        </w:rPr>
        <w:t xml:space="preserve"> learning outcomes of an</w:t>
      </w:r>
      <w:r w:rsidR="007B07CE" w:rsidRPr="00F14B9A">
        <w:rPr>
          <w:color w:val="000000" w:themeColor="text1"/>
        </w:rPr>
        <w:t xml:space="preserve"> individual.</w:t>
      </w:r>
      <w:r w:rsidR="007D4B6D" w:rsidRPr="00F14B9A">
        <w:rPr>
          <w:color w:val="000000" w:themeColor="text1"/>
        </w:rPr>
        <w:t xml:space="preserve">  </w:t>
      </w:r>
    </w:p>
    <w:p w14:paraId="72BA0C77" w14:textId="77777777" w:rsidR="00E72BF4" w:rsidRPr="00F14B9A" w:rsidRDefault="007D4B6D" w:rsidP="007D4B6D">
      <w:pPr>
        <w:spacing w:line="480" w:lineRule="auto"/>
        <w:rPr>
          <w:color w:val="000000" w:themeColor="text1"/>
        </w:rPr>
      </w:pPr>
      <w:r w:rsidRPr="00F14B9A">
        <w:rPr>
          <w:color w:val="000000" w:themeColor="text1"/>
        </w:rPr>
        <w:t xml:space="preserve">By </w:t>
      </w:r>
      <w:r w:rsidR="00163BAA" w:rsidRPr="00F14B9A">
        <w:rPr>
          <w:color w:val="000000" w:themeColor="text1"/>
        </w:rPr>
        <w:t>this stage of evaluation,</w:t>
      </w:r>
      <w:r w:rsidRPr="00F14B9A">
        <w:rPr>
          <w:color w:val="000000" w:themeColor="text1"/>
        </w:rPr>
        <w:t xml:space="preserve"> the efficacy of the TEL resource in relation to learner satisfaction, gain and impact should be well-established</w:t>
      </w:r>
      <w:r w:rsidR="00E72BF4" w:rsidRPr="00F14B9A">
        <w:rPr>
          <w:color w:val="000000" w:themeColor="text1"/>
        </w:rPr>
        <w:t>.  For some educators, this may meet the needs of evaluating a specific TEL resource.  However, for others, there may be an institutional requirement to inform debates on the implementation of TEL resources at both a local and wider higher education level.</w:t>
      </w:r>
    </w:p>
    <w:p w14:paraId="667D1DCD" w14:textId="1926F909" w:rsidR="00E72BF4" w:rsidRPr="00F14B9A" w:rsidRDefault="00E72BF4" w:rsidP="007D4B6D">
      <w:pPr>
        <w:spacing w:line="480" w:lineRule="auto"/>
        <w:rPr>
          <w:color w:val="000000" w:themeColor="text1"/>
        </w:rPr>
      </w:pPr>
      <w:r w:rsidRPr="00F14B9A">
        <w:rPr>
          <w:color w:val="000000" w:themeColor="text1"/>
        </w:rPr>
        <w:t xml:space="preserve">The final proposed level can therefore be considered as an </w:t>
      </w:r>
      <w:r w:rsidR="00066DA8" w:rsidRPr="00F14B9A">
        <w:rPr>
          <w:color w:val="000000" w:themeColor="text1"/>
        </w:rPr>
        <w:t xml:space="preserve">optional </w:t>
      </w:r>
      <w:r w:rsidRPr="00F14B9A">
        <w:rPr>
          <w:color w:val="000000" w:themeColor="text1"/>
        </w:rPr>
        <w:t xml:space="preserve">extension of the evaluation model to establish </w:t>
      </w:r>
      <w:r w:rsidR="00066DA8" w:rsidRPr="00F14B9A">
        <w:rPr>
          <w:color w:val="000000" w:themeColor="text1"/>
        </w:rPr>
        <w:t xml:space="preserve">if there is a </w:t>
      </w:r>
      <w:r w:rsidR="00C10EFA" w:rsidRPr="00F14B9A">
        <w:rPr>
          <w:color w:val="000000" w:themeColor="text1"/>
        </w:rPr>
        <w:t>ROI</w:t>
      </w:r>
      <w:r w:rsidR="00066DA8" w:rsidRPr="00F14B9A">
        <w:rPr>
          <w:color w:val="000000" w:themeColor="text1"/>
        </w:rPr>
        <w:t xml:space="preserve"> for introducing a</w:t>
      </w:r>
      <w:r w:rsidRPr="00F14B9A">
        <w:rPr>
          <w:color w:val="000000" w:themeColor="text1"/>
        </w:rPr>
        <w:t xml:space="preserve"> TEL resource within a host institution.  </w:t>
      </w:r>
    </w:p>
    <w:p w14:paraId="68ED22F4" w14:textId="77777777" w:rsidR="00932C63" w:rsidRPr="00F14B9A" w:rsidRDefault="00932C63" w:rsidP="00932C63">
      <w:pPr>
        <w:spacing w:line="480" w:lineRule="auto"/>
        <w:rPr>
          <w:color w:val="000000" w:themeColor="text1"/>
        </w:rPr>
      </w:pPr>
    </w:p>
    <w:p w14:paraId="6C62D08A" w14:textId="77777777" w:rsidR="00776CC0" w:rsidRPr="00F14B9A" w:rsidRDefault="00D71117" w:rsidP="00E00D08">
      <w:pPr>
        <w:spacing w:line="480" w:lineRule="auto"/>
        <w:rPr>
          <w:i/>
          <w:color w:val="000000" w:themeColor="text1"/>
        </w:rPr>
      </w:pPr>
      <w:r w:rsidRPr="00F14B9A">
        <w:rPr>
          <w:i/>
          <w:color w:val="000000" w:themeColor="text1"/>
        </w:rPr>
        <w:t>Level 3</w:t>
      </w:r>
      <w:r w:rsidR="00776CC0" w:rsidRPr="00F14B9A">
        <w:rPr>
          <w:i/>
          <w:color w:val="000000" w:themeColor="text1"/>
        </w:rPr>
        <w:t xml:space="preserve">: </w:t>
      </w:r>
      <w:r w:rsidR="00C914ED" w:rsidRPr="00F14B9A">
        <w:rPr>
          <w:i/>
          <w:color w:val="000000" w:themeColor="text1"/>
        </w:rPr>
        <w:t>Institut</w:t>
      </w:r>
      <w:r w:rsidR="00163BAA" w:rsidRPr="00F14B9A">
        <w:rPr>
          <w:i/>
          <w:color w:val="000000" w:themeColor="text1"/>
        </w:rPr>
        <w:t xml:space="preserve">ional </w:t>
      </w:r>
      <w:r w:rsidR="00C914ED" w:rsidRPr="00F14B9A">
        <w:rPr>
          <w:i/>
          <w:color w:val="000000" w:themeColor="text1"/>
        </w:rPr>
        <w:t>impact</w:t>
      </w:r>
    </w:p>
    <w:p w14:paraId="25E73F89" w14:textId="14964F47" w:rsidR="004005F8" w:rsidRPr="00F14B9A" w:rsidRDefault="004005F8" w:rsidP="00E00D08">
      <w:pPr>
        <w:spacing w:line="480" w:lineRule="auto"/>
        <w:rPr>
          <w:i/>
          <w:color w:val="000000" w:themeColor="text1"/>
        </w:rPr>
      </w:pPr>
      <w:r w:rsidRPr="00F14B9A">
        <w:rPr>
          <w:color w:val="000000" w:themeColor="text1"/>
        </w:rPr>
        <w:t>Derived from:</w:t>
      </w:r>
      <w:r w:rsidRPr="00F14B9A">
        <w:rPr>
          <w:b/>
          <w:color w:val="000000" w:themeColor="text1"/>
        </w:rPr>
        <w:t xml:space="preserve"> </w:t>
      </w:r>
      <w:r w:rsidR="00EA3DDC" w:rsidRPr="00F14B9A">
        <w:rPr>
          <w:i/>
          <w:color w:val="000000" w:themeColor="text1"/>
        </w:rPr>
        <w:t>Return on investment analysis</w:t>
      </w:r>
      <w:r w:rsidR="001D07A9" w:rsidRPr="00F14B9A">
        <w:rPr>
          <w:i/>
          <w:color w:val="000000" w:themeColor="text1"/>
        </w:rPr>
        <w:t xml:space="preserve"> </w:t>
      </w:r>
      <w:r w:rsidR="00DF21CF" w:rsidRPr="00F14B9A">
        <w:rPr>
          <w:i/>
          <w:color w:val="000000" w:themeColor="text1"/>
        </w:rPr>
        <w:t xml:space="preserve">to include </w:t>
      </w:r>
      <w:r w:rsidR="008D1C8A" w:rsidRPr="00F14B9A">
        <w:rPr>
          <w:i/>
          <w:color w:val="000000" w:themeColor="text1"/>
        </w:rPr>
        <w:t>multiple measures of impact</w:t>
      </w:r>
    </w:p>
    <w:p w14:paraId="337D38EC" w14:textId="77777777" w:rsidR="004005F8" w:rsidRPr="00F14B9A" w:rsidRDefault="004005F8" w:rsidP="00E00D08">
      <w:pPr>
        <w:spacing w:line="480" w:lineRule="auto"/>
        <w:rPr>
          <w:i/>
          <w:color w:val="000000" w:themeColor="text1"/>
        </w:rPr>
      </w:pPr>
      <w:r w:rsidRPr="00F14B9A">
        <w:rPr>
          <w:color w:val="000000" w:themeColor="text1"/>
        </w:rPr>
        <w:t>Measuring:</w:t>
      </w:r>
      <w:r w:rsidR="001D07A9" w:rsidRPr="00F14B9A">
        <w:rPr>
          <w:b/>
          <w:color w:val="000000" w:themeColor="text1"/>
        </w:rPr>
        <w:t xml:space="preserve"> </w:t>
      </w:r>
      <w:r w:rsidR="001D07A9" w:rsidRPr="00F14B9A">
        <w:rPr>
          <w:i/>
          <w:color w:val="000000" w:themeColor="text1"/>
        </w:rPr>
        <w:t>Impact of developing TEL resource(s) on a range of stakeholders</w:t>
      </w:r>
    </w:p>
    <w:p w14:paraId="65FD7A84" w14:textId="53C1D3CE" w:rsidR="00DC1C63" w:rsidRPr="00F14B9A" w:rsidRDefault="006746D0" w:rsidP="00E00D08">
      <w:pPr>
        <w:spacing w:line="480" w:lineRule="auto"/>
        <w:rPr>
          <w:color w:val="000000" w:themeColor="text1"/>
        </w:rPr>
      </w:pPr>
      <w:r w:rsidRPr="00F14B9A">
        <w:rPr>
          <w:color w:val="000000" w:themeColor="text1"/>
        </w:rPr>
        <w:t xml:space="preserve">Level 3 is an opportunity to reflect on the financial, temporal and personal </w:t>
      </w:r>
      <w:r w:rsidRPr="00F14B9A">
        <w:rPr>
          <w:i/>
          <w:color w:val="000000" w:themeColor="text1"/>
        </w:rPr>
        <w:t>cost</w:t>
      </w:r>
      <w:r w:rsidRPr="00F14B9A">
        <w:rPr>
          <w:color w:val="000000" w:themeColor="text1"/>
        </w:rPr>
        <w:t xml:space="preserve"> of developing the resource alongside the benefit to </w:t>
      </w:r>
      <w:r w:rsidR="00D57DBF" w:rsidRPr="00F14B9A">
        <w:rPr>
          <w:color w:val="000000" w:themeColor="text1"/>
        </w:rPr>
        <w:t xml:space="preserve">a </w:t>
      </w:r>
      <w:r w:rsidRPr="00F14B9A">
        <w:rPr>
          <w:color w:val="000000" w:themeColor="text1"/>
        </w:rPr>
        <w:t>range of stakeholders</w:t>
      </w:r>
      <w:r w:rsidR="00D060EE" w:rsidRPr="00F14B9A">
        <w:rPr>
          <w:color w:val="000000" w:themeColor="text1"/>
        </w:rPr>
        <w:t>.</w:t>
      </w:r>
      <w:r w:rsidRPr="00F14B9A">
        <w:rPr>
          <w:color w:val="000000" w:themeColor="text1"/>
        </w:rPr>
        <w:t xml:space="preserve"> </w:t>
      </w:r>
      <w:r w:rsidR="009B01C5" w:rsidRPr="00F14B9A">
        <w:rPr>
          <w:color w:val="000000" w:themeColor="text1"/>
        </w:rPr>
        <w:t xml:space="preserve">It is widely </w:t>
      </w:r>
      <w:r w:rsidR="009B01C5" w:rsidRPr="00F14B9A">
        <w:rPr>
          <w:color w:val="000000" w:themeColor="text1"/>
        </w:rPr>
        <w:lastRenderedPageBreak/>
        <w:t>appreciated that higher, and especially medical, education is inherently expensive</w:t>
      </w:r>
      <w:r w:rsidR="0008403E" w:rsidRPr="00F14B9A">
        <w:rPr>
          <w:color w:val="000000" w:themeColor="text1"/>
        </w:rPr>
        <w:t xml:space="preserve"> </w:t>
      </w:r>
      <w:r w:rsidR="0008403E" w:rsidRPr="00F14B9A">
        <w:rPr>
          <w:noProof/>
          <w:color w:val="000000" w:themeColor="text1"/>
        </w:rPr>
        <w:t xml:space="preserve">(Frenk </w:t>
      </w:r>
      <w:r w:rsidR="0008403E" w:rsidRPr="00F14B9A">
        <w:rPr>
          <w:i/>
          <w:noProof/>
          <w:color w:val="000000" w:themeColor="text1"/>
        </w:rPr>
        <w:t>et al.</w:t>
      </w:r>
      <w:r w:rsidR="00071AF6" w:rsidRPr="00F14B9A">
        <w:rPr>
          <w:noProof/>
          <w:color w:val="000000" w:themeColor="text1"/>
        </w:rPr>
        <w:t xml:space="preserve"> 2015)</w:t>
      </w:r>
      <w:r w:rsidR="00C10EFA" w:rsidRPr="00F14B9A">
        <w:rPr>
          <w:noProof/>
          <w:color w:val="000000" w:themeColor="text1"/>
        </w:rPr>
        <w:t>.</w:t>
      </w:r>
      <w:r w:rsidR="006C16DD" w:rsidRPr="00F14B9A">
        <w:rPr>
          <w:color w:val="000000" w:themeColor="text1"/>
        </w:rPr>
        <w:t xml:space="preserve"> </w:t>
      </w:r>
      <w:r w:rsidR="00DC1C63" w:rsidRPr="00F14B9A">
        <w:rPr>
          <w:color w:val="000000" w:themeColor="text1"/>
        </w:rPr>
        <w:t xml:space="preserve">It is therefore important to establish the </w:t>
      </w:r>
      <w:r w:rsidR="00C10EFA" w:rsidRPr="00F14B9A">
        <w:rPr>
          <w:color w:val="000000" w:themeColor="text1"/>
        </w:rPr>
        <w:t>ROI</w:t>
      </w:r>
      <w:r w:rsidR="00DC1C63" w:rsidRPr="00F14B9A">
        <w:rPr>
          <w:color w:val="000000" w:themeColor="text1"/>
        </w:rPr>
        <w:t xml:space="preserve"> of any resource implemented into a curriculum. </w:t>
      </w:r>
      <w:r w:rsidR="008D1C8A" w:rsidRPr="00F14B9A">
        <w:rPr>
          <w:color w:val="000000" w:themeColor="text1"/>
        </w:rPr>
        <w:t xml:space="preserve">The importance of establishing the cost to institutions of developing TEL resources has long-been </w:t>
      </w:r>
      <w:r w:rsidR="00DC1C63" w:rsidRPr="00F14B9A">
        <w:rPr>
          <w:color w:val="000000" w:themeColor="text1"/>
        </w:rPr>
        <w:t>acknowledged</w:t>
      </w:r>
      <w:r w:rsidR="009B01C5" w:rsidRPr="00F14B9A">
        <w:rPr>
          <w:color w:val="000000" w:themeColor="text1"/>
        </w:rPr>
        <w:t>.</w:t>
      </w:r>
      <w:r w:rsidR="008D199D" w:rsidRPr="00F14B9A">
        <w:rPr>
          <w:color w:val="000000" w:themeColor="text1"/>
        </w:rPr>
        <w:t xml:space="preserve"> </w:t>
      </w:r>
      <w:r w:rsidR="009B01C5" w:rsidRPr="00F14B9A">
        <w:rPr>
          <w:color w:val="000000" w:themeColor="text1"/>
        </w:rPr>
        <w:t xml:space="preserve">For instance, </w:t>
      </w:r>
      <w:proofErr w:type="spellStart"/>
      <w:r w:rsidR="009B01C5" w:rsidRPr="00F14B9A">
        <w:rPr>
          <w:color w:val="000000" w:themeColor="text1"/>
        </w:rPr>
        <w:t>Laurillard</w:t>
      </w:r>
      <w:proofErr w:type="spellEnd"/>
      <w:r w:rsidR="004D6F65" w:rsidRPr="00F14B9A">
        <w:rPr>
          <w:color w:val="000000" w:themeColor="text1"/>
        </w:rPr>
        <w:t xml:space="preserve"> (2007) </w:t>
      </w:r>
      <w:r w:rsidR="009B01C5" w:rsidRPr="00F14B9A">
        <w:rPr>
          <w:color w:val="000000" w:themeColor="text1"/>
        </w:rPr>
        <w:t xml:space="preserve">proposes a </w:t>
      </w:r>
      <w:r w:rsidR="004D6F65" w:rsidRPr="00F14B9A">
        <w:rPr>
          <w:color w:val="000000" w:themeColor="text1"/>
        </w:rPr>
        <w:t>prospective model of costing for TEL interventions</w:t>
      </w:r>
      <w:r w:rsidR="009B01C5" w:rsidRPr="00F14B9A">
        <w:rPr>
          <w:color w:val="000000" w:themeColor="text1"/>
        </w:rPr>
        <w:t xml:space="preserve"> that involves predicting the staff and per-student cost</w:t>
      </w:r>
      <w:r w:rsidR="004D6F65" w:rsidRPr="00F14B9A">
        <w:rPr>
          <w:color w:val="000000" w:themeColor="text1"/>
        </w:rPr>
        <w:t xml:space="preserve"> </w:t>
      </w:r>
      <w:r w:rsidR="009B01C5" w:rsidRPr="00F14B9A">
        <w:rPr>
          <w:color w:val="000000" w:themeColor="text1"/>
        </w:rPr>
        <w:t>of a TEL resource</w:t>
      </w:r>
      <w:r w:rsidR="004D6F65" w:rsidRPr="00F14B9A">
        <w:rPr>
          <w:color w:val="000000" w:themeColor="text1"/>
        </w:rPr>
        <w:t xml:space="preserve">. </w:t>
      </w:r>
      <w:r w:rsidR="009B01C5" w:rsidRPr="00F14B9A">
        <w:rPr>
          <w:color w:val="000000" w:themeColor="text1"/>
        </w:rPr>
        <w:t>However, due to this model allocating resource costs prior to their development this tool</w:t>
      </w:r>
      <w:r w:rsidR="004D6F65" w:rsidRPr="00F14B9A">
        <w:rPr>
          <w:color w:val="000000" w:themeColor="text1"/>
        </w:rPr>
        <w:t xml:space="preserve"> is unable to take into consideration the</w:t>
      </w:r>
      <w:r w:rsidR="008D199D" w:rsidRPr="00F14B9A">
        <w:rPr>
          <w:color w:val="000000" w:themeColor="text1"/>
        </w:rPr>
        <w:t xml:space="preserve"> </w:t>
      </w:r>
      <w:r w:rsidR="009B01C5" w:rsidRPr="00F14B9A">
        <w:rPr>
          <w:color w:val="000000" w:themeColor="text1"/>
        </w:rPr>
        <w:t>full effect</w:t>
      </w:r>
      <w:r w:rsidR="004D6F65" w:rsidRPr="00F14B9A">
        <w:rPr>
          <w:color w:val="000000" w:themeColor="text1"/>
        </w:rPr>
        <w:t xml:space="preserve"> on</w:t>
      </w:r>
      <w:r w:rsidR="008D199D" w:rsidRPr="00F14B9A">
        <w:rPr>
          <w:color w:val="000000" w:themeColor="text1"/>
        </w:rPr>
        <w:t xml:space="preserve"> learner gain and impact,</w:t>
      </w:r>
      <w:r w:rsidR="008D1C8A" w:rsidRPr="00F14B9A">
        <w:rPr>
          <w:color w:val="000000" w:themeColor="text1"/>
        </w:rPr>
        <w:t xml:space="preserve"> </w:t>
      </w:r>
      <w:r w:rsidR="008D199D" w:rsidRPr="00F14B9A">
        <w:rPr>
          <w:color w:val="000000" w:themeColor="text1"/>
        </w:rPr>
        <w:t>as these</w:t>
      </w:r>
      <w:r w:rsidR="009B01C5" w:rsidRPr="00F14B9A">
        <w:rPr>
          <w:color w:val="000000" w:themeColor="text1"/>
        </w:rPr>
        <w:t xml:space="preserve"> outcomes would be unknown at this stage</w:t>
      </w:r>
      <w:r w:rsidR="008D199D" w:rsidRPr="00F14B9A">
        <w:rPr>
          <w:color w:val="000000" w:themeColor="text1"/>
        </w:rPr>
        <w:t>.</w:t>
      </w:r>
      <w:r w:rsidR="009B01C5" w:rsidRPr="00F14B9A">
        <w:rPr>
          <w:color w:val="000000" w:themeColor="text1"/>
        </w:rPr>
        <w:t xml:space="preserve">  </w:t>
      </w:r>
    </w:p>
    <w:p w14:paraId="4852106A" w14:textId="3433315D" w:rsidR="00D060EE" w:rsidRPr="00F14B9A" w:rsidRDefault="00D30F46" w:rsidP="00E00D08">
      <w:pPr>
        <w:spacing w:line="480" w:lineRule="auto"/>
        <w:rPr>
          <w:color w:val="000000" w:themeColor="text1"/>
        </w:rPr>
      </w:pPr>
      <w:r w:rsidRPr="00F14B9A">
        <w:rPr>
          <w:color w:val="000000" w:themeColor="text1"/>
        </w:rPr>
        <w:t xml:space="preserve">A comprehensive summary of cost analyses applicable to all elements of medical education has been described by Walsh </w:t>
      </w:r>
      <w:r w:rsidRPr="00F14B9A">
        <w:rPr>
          <w:i/>
          <w:color w:val="000000" w:themeColor="text1"/>
        </w:rPr>
        <w:t>et al</w:t>
      </w:r>
      <w:r w:rsidR="0008403E" w:rsidRPr="00F14B9A">
        <w:rPr>
          <w:i/>
          <w:color w:val="000000" w:themeColor="text1"/>
        </w:rPr>
        <w:t>.</w:t>
      </w:r>
      <w:r w:rsidR="00071AF6" w:rsidRPr="00F14B9A">
        <w:rPr>
          <w:noProof/>
          <w:color w:val="000000" w:themeColor="text1"/>
        </w:rPr>
        <w:t xml:space="preserve"> </w:t>
      </w:r>
      <w:r w:rsidR="0008403E" w:rsidRPr="00F14B9A">
        <w:rPr>
          <w:noProof/>
          <w:color w:val="000000" w:themeColor="text1"/>
        </w:rPr>
        <w:t>(</w:t>
      </w:r>
      <w:r w:rsidR="00071AF6" w:rsidRPr="00F14B9A">
        <w:rPr>
          <w:noProof/>
          <w:color w:val="000000" w:themeColor="text1"/>
        </w:rPr>
        <w:t>2013)</w:t>
      </w:r>
      <w:r w:rsidR="0008403E" w:rsidRPr="00F14B9A">
        <w:rPr>
          <w:noProof/>
          <w:color w:val="000000" w:themeColor="text1"/>
        </w:rPr>
        <w:t>.</w:t>
      </w:r>
      <w:r w:rsidRPr="00F14B9A">
        <w:rPr>
          <w:color w:val="000000" w:themeColor="text1"/>
        </w:rPr>
        <w:t xml:space="preserve"> </w:t>
      </w:r>
      <w:r w:rsidR="00EA3DDC" w:rsidRPr="00F14B9A">
        <w:rPr>
          <w:color w:val="000000" w:themeColor="text1"/>
        </w:rPr>
        <w:t>Previously,</w:t>
      </w:r>
      <w:r w:rsidRPr="00F14B9A">
        <w:rPr>
          <w:color w:val="000000" w:themeColor="text1"/>
        </w:rPr>
        <w:t xml:space="preserve"> attempts at cost-analyses have been applied to</w:t>
      </w:r>
      <w:r w:rsidR="005926D7" w:rsidRPr="00F14B9A">
        <w:rPr>
          <w:color w:val="000000" w:themeColor="text1"/>
        </w:rPr>
        <w:t xml:space="preserve"> a range of medical education </w:t>
      </w:r>
      <w:r w:rsidR="004C15AC" w:rsidRPr="00F14B9A">
        <w:rPr>
          <w:color w:val="000000" w:themeColor="text1"/>
        </w:rPr>
        <w:t>areas</w:t>
      </w:r>
      <w:r w:rsidR="005926D7" w:rsidRPr="00F14B9A">
        <w:rPr>
          <w:color w:val="000000" w:themeColor="text1"/>
        </w:rPr>
        <w:t xml:space="preserve"> </w:t>
      </w:r>
      <w:r w:rsidR="0008403E" w:rsidRPr="00F14B9A">
        <w:rPr>
          <w:noProof/>
          <w:color w:val="000000" w:themeColor="text1"/>
        </w:rPr>
        <w:t xml:space="preserve">(Walsh </w:t>
      </w:r>
      <w:r w:rsidR="0008403E" w:rsidRPr="00F14B9A">
        <w:rPr>
          <w:i/>
          <w:noProof/>
          <w:color w:val="000000" w:themeColor="text1"/>
        </w:rPr>
        <w:t>et al</w:t>
      </w:r>
      <w:r w:rsidR="0008403E" w:rsidRPr="00F14B9A">
        <w:rPr>
          <w:noProof/>
          <w:color w:val="000000" w:themeColor="text1"/>
        </w:rPr>
        <w:t>.</w:t>
      </w:r>
      <w:r w:rsidR="00071AF6" w:rsidRPr="00F14B9A">
        <w:rPr>
          <w:noProof/>
          <w:color w:val="000000" w:themeColor="text1"/>
        </w:rPr>
        <w:t xml:space="preserve"> 2013</w:t>
      </w:r>
      <w:r w:rsidR="00EA3DDC" w:rsidRPr="00F14B9A">
        <w:rPr>
          <w:noProof/>
          <w:color w:val="000000" w:themeColor="text1"/>
        </w:rPr>
        <w:t xml:space="preserve">), but at present, </w:t>
      </w:r>
      <w:r w:rsidR="00297916" w:rsidRPr="00F14B9A">
        <w:rPr>
          <w:color w:val="000000" w:themeColor="text1"/>
        </w:rPr>
        <w:t xml:space="preserve">no </w:t>
      </w:r>
      <w:r w:rsidR="004C15AC" w:rsidRPr="00F14B9A">
        <w:rPr>
          <w:color w:val="000000" w:themeColor="text1"/>
        </w:rPr>
        <w:t>s</w:t>
      </w:r>
      <w:r w:rsidR="00297916" w:rsidRPr="00F14B9A">
        <w:rPr>
          <w:color w:val="000000" w:themeColor="text1"/>
        </w:rPr>
        <w:t xml:space="preserve">pecific </w:t>
      </w:r>
      <w:r w:rsidR="00EA3DDC" w:rsidRPr="00F14B9A">
        <w:rPr>
          <w:color w:val="000000" w:themeColor="text1"/>
        </w:rPr>
        <w:t>ROI</w:t>
      </w:r>
      <w:r w:rsidR="00297916" w:rsidRPr="00F14B9A">
        <w:rPr>
          <w:color w:val="000000" w:themeColor="text1"/>
        </w:rPr>
        <w:t xml:space="preserve"> model for individual</w:t>
      </w:r>
      <w:r w:rsidR="004C15AC" w:rsidRPr="00F14B9A">
        <w:rPr>
          <w:color w:val="000000" w:themeColor="text1"/>
        </w:rPr>
        <w:t xml:space="preserve"> TEL</w:t>
      </w:r>
      <w:r w:rsidR="00297916" w:rsidRPr="00F14B9A">
        <w:rPr>
          <w:color w:val="000000" w:themeColor="text1"/>
        </w:rPr>
        <w:t xml:space="preserve"> resources</w:t>
      </w:r>
      <w:r w:rsidR="004C15AC" w:rsidRPr="00F14B9A">
        <w:rPr>
          <w:color w:val="000000" w:themeColor="text1"/>
        </w:rPr>
        <w:t xml:space="preserve"> </w:t>
      </w:r>
      <w:r w:rsidR="00297916" w:rsidRPr="00F14B9A">
        <w:rPr>
          <w:color w:val="000000" w:themeColor="text1"/>
        </w:rPr>
        <w:t>is available</w:t>
      </w:r>
      <w:r w:rsidR="00EA3DDC" w:rsidRPr="00F14B9A">
        <w:rPr>
          <w:color w:val="000000" w:themeColor="text1"/>
        </w:rPr>
        <w:t>.</w:t>
      </w:r>
      <w:r w:rsidR="00D724B6" w:rsidRPr="00F14B9A">
        <w:rPr>
          <w:color w:val="000000" w:themeColor="text1"/>
        </w:rPr>
        <w:t xml:space="preserve"> Cook and </w:t>
      </w:r>
      <w:proofErr w:type="spellStart"/>
      <w:r w:rsidR="00D724B6" w:rsidRPr="00F14B9A">
        <w:rPr>
          <w:color w:val="000000" w:themeColor="text1"/>
        </w:rPr>
        <w:t>Ellaway</w:t>
      </w:r>
      <w:proofErr w:type="spellEnd"/>
      <w:r w:rsidR="00D724B6" w:rsidRPr="00F14B9A">
        <w:rPr>
          <w:color w:val="000000" w:themeColor="text1"/>
        </w:rPr>
        <w:t xml:space="preserve"> (2015) do identify the key components that would be required </w:t>
      </w:r>
      <w:r w:rsidR="00C8446E" w:rsidRPr="00F14B9A">
        <w:rPr>
          <w:color w:val="000000" w:themeColor="text1"/>
        </w:rPr>
        <w:t>such as</w:t>
      </w:r>
      <w:r w:rsidR="00D060EE" w:rsidRPr="00F14B9A">
        <w:rPr>
          <w:color w:val="000000" w:themeColor="text1"/>
        </w:rPr>
        <w:t xml:space="preserve"> the costs of financing</w:t>
      </w:r>
      <w:r w:rsidR="00C8446E" w:rsidRPr="00F14B9A">
        <w:rPr>
          <w:color w:val="000000" w:themeColor="text1"/>
        </w:rPr>
        <w:t xml:space="preserve"> hardware and software, staff time and all supporting infrastructure</w:t>
      </w:r>
      <w:r w:rsidR="00D724B6" w:rsidRPr="00F14B9A">
        <w:rPr>
          <w:color w:val="000000" w:themeColor="text1"/>
        </w:rPr>
        <w:t>.</w:t>
      </w:r>
      <w:r w:rsidRPr="00F14B9A">
        <w:rPr>
          <w:color w:val="000000" w:themeColor="text1"/>
        </w:rPr>
        <w:t xml:space="preserve">  </w:t>
      </w:r>
    </w:p>
    <w:p w14:paraId="47D59233" w14:textId="5A4FA18B" w:rsidR="00FC3345" w:rsidRPr="00F14B9A" w:rsidRDefault="00D30F46" w:rsidP="008B39FC">
      <w:pPr>
        <w:spacing w:line="480" w:lineRule="auto"/>
        <w:rPr>
          <w:color w:val="000000" w:themeColor="text1"/>
        </w:rPr>
      </w:pPr>
      <w:r w:rsidRPr="00F14B9A">
        <w:rPr>
          <w:color w:val="000000" w:themeColor="text1"/>
        </w:rPr>
        <w:t xml:space="preserve">Walsh </w:t>
      </w:r>
      <w:r w:rsidRPr="00F14B9A">
        <w:rPr>
          <w:i/>
          <w:color w:val="000000" w:themeColor="text1"/>
        </w:rPr>
        <w:t>et al</w:t>
      </w:r>
      <w:r w:rsidR="0072215A" w:rsidRPr="00F14B9A">
        <w:rPr>
          <w:i/>
          <w:color w:val="000000" w:themeColor="text1"/>
        </w:rPr>
        <w:t xml:space="preserve">. </w:t>
      </w:r>
      <w:r w:rsidR="0072215A" w:rsidRPr="00F14B9A">
        <w:rPr>
          <w:color w:val="000000" w:themeColor="text1"/>
        </w:rPr>
        <w:t>(2013)</w:t>
      </w:r>
      <w:r w:rsidRPr="00F14B9A">
        <w:rPr>
          <w:color w:val="000000" w:themeColor="text1"/>
        </w:rPr>
        <w:t xml:space="preserve"> identify four approaches to exploring the true cost of delivering education</w:t>
      </w:r>
      <w:r w:rsidR="007109A0" w:rsidRPr="00F14B9A">
        <w:rPr>
          <w:color w:val="000000" w:themeColor="text1"/>
        </w:rPr>
        <w:t xml:space="preserve"> (</w:t>
      </w:r>
      <w:r w:rsidR="00CE6C33" w:rsidRPr="00F14B9A">
        <w:rPr>
          <w:color w:val="000000" w:themeColor="text1"/>
        </w:rPr>
        <w:t xml:space="preserve">cost-utility, cost-effectiveness, </w:t>
      </w:r>
      <w:r w:rsidR="007109A0" w:rsidRPr="00F14B9A">
        <w:rPr>
          <w:color w:val="000000" w:themeColor="text1"/>
        </w:rPr>
        <w:t>cost-benefit</w:t>
      </w:r>
      <w:r w:rsidR="00CE6C33" w:rsidRPr="00F14B9A">
        <w:rPr>
          <w:color w:val="000000" w:themeColor="text1"/>
        </w:rPr>
        <w:t xml:space="preserve"> and cost-feasibility</w:t>
      </w:r>
      <w:r w:rsidR="007109A0" w:rsidRPr="00F14B9A">
        <w:rPr>
          <w:color w:val="000000" w:themeColor="text1"/>
        </w:rPr>
        <w:t>)</w:t>
      </w:r>
      <w:r w:rsidR="00C8446E" w:rsidRPr="00F14B9A">
        <w:rPr>
          <w:color w:val="000000" w:themeColor="text1"/>
        </w:rPr>
        <w:t xml:space="preserve"> all of which can be applied to the eva</w:t>
      </w:r>
      <w:r w:rsidR="006B65D8" w:rsidRPr="00F14B9A">
        <w:rPr>
          <w:color w:val="000000" w:themeColor="text1"/>
        </w:rPr>
        <w:t>luation of a single TEL resource.</w:t>
      </w:r>
      <w:r w:rsidR="00C8446E" w:rsidRPr="00F14B9A">
        <w:rPr>
          <w:color w:val="000000" w:themeColor="text1"/>
        </w:rPr>
        <w:t xml:space="preserve">  More specifically, each of the four identified approaches can be closely aligned with one or more of the evaluation levels proposed in this paper</w:t>
      </w:r>
      <w:r w:rsidR="001754B3" w:rsidRPr="00F14B9A">
        <w:rPr>
          <w:color w:val="000000" w:themeColor="text1"/>
        </w:rPr>
        <w:t xml:space="preserve"> (Figure 1</w:t>
      </w:r>
      <w:r w:rsidR="008B39FC" w:rsidRPr="00F14B9A">
        <w:rPr>
          <w:color w:val="000000" w:themeColor="text1"/>
        </w:rPr>
        <w:t>).</w:t>
      </w:r>
      <w:r w:rsidR="00CE6C33" w:rsidRPr="00F14B9A">
        <w:rPr>
          <w:color w:val="000000" w:themeColor="text1"/>
        </w:rPr>
        <w:t xml:space="preserve">  </w:t>
      </w:r>
      <w:r w:rsidR="00FC3345" w:rsidRPr="00F14B9A">
        <w:rPr>
          <w:color w:val="000000" w:themeColor="text1"/>
        </w:rPr>
        <w:t>The cost-utility measure takes the comparisons of satisfaction established in Level 1a and assigns a cost per stud</w:t>
      </w:r>
      <w:r w:rsidR="00CE6C33" w:rsidRPr="00F14B9A">
        <w:rPr>
          <w:color w:val="000000" w:themeColor="text1"/>
        </w:rPr>
        <w:t>ent to providing each resource</w:t>
      </w:r>
      <w:r w:rsidR="00FC3345" w:rsidRPr="00F14B9A">
        <w:rPr>
          <w:color w:val="000000" w:themeColor="text1"/>
        </w:rPr>
        <w:t xml:space="preserve"> </w:t>
      </w:r>
      <w:r w:rsidR="0008403E" w:rsidRPr="00F14B9A">
        <w:rPr>
          <w:noProof/>
          <w:color w:val="000000" w:themeColor="text1"/>
        </w:rPr>
        <w:t xml:space="preserve">(Walsh </w:t>
      </w:r>
      <w:r w:rsidR="0008403E" w:rsidRPr="00F14B9A">
        <w:rPr>
          <w:i/>
          <w:noProof/>
          <w:color w:val="000000" w:themeColor="text1"/>
        </w:rPr>
        <w:t>et al</w:t>
      </w:r>
      <w:r w:rsidR="0008403E" w:rsidRPr="00F14B9A">
        <w:rPr>
          <w:noProof/>
          <w:color w:val="000000" w:themeColor="text1"/>
        </w:rPr>
        <w:t>.</w:t>
      </w:r>
      <w:r w:rsidR="00071AF6" w:rsidRPr="00F14B9A">
        <w:rPr>
          <w:noProof/>
          <w:color w:val="000000" w:themeColor="text1"/>
        </w:rPr>
        <w:t xml:space="preserve"> 2013)</w:t>
      </w:r>
      <w:r w:rsidR="0008403E" w:rsidRPr="00F14B9A">
        <w:rPr>
          <w:color w:val="000000" w:themeColor="text1"/>
        </w:rPr>
        <w:t>.</w:t>
      </w:r>
      <w:r w:rsidR="00F20339" w:rsidRPr="00F14B9A">
        <w:rPr>
          <w:color w:val="000000" w:themeColor="text1"/>
        </w:rPr>
        <w:t xml:space="preserve"> </w:t>
      </w:r>
      <w:r w:rsidR="00AB58B1" w:rsidRPr="00F14B9A">
        <w:rPr>
          <w:color w:val="000000" w:themeColor="text1"/>
        </w:rPr>
        <w:t>Clearly this approach has its s</w:t>
      </w:r>
      <w:r w:rsidR="00163BAA" w:rsidRPr="00F14B9A">
        <w:rPr>
          <w:color w:val="000000" w:themeColor="text1"/>
        </w:rPr>
        <w:t>hortcomings</w:t>
      </w:r>
      <w:r w:rsidR="00AB58B1" w:rsidRPr="00F14B9A">
        <w:rPr>
          <w:color w:val="000000" w:themeColor="text1"/>
        </w:rPr>
        <w:t xml:space="preserve">, as it is based upon subjective application of value to satisfaction outcomes.  We would therefore not propose that the entire cost-analyses of a TEL </w:t>
      </w:r>
      <w:r w:rsidR="00AB58B1" w:rsidRPr="00F14B9A">
        <w:rPr>
          <w:color w:val="000000" w:themeColor="text1"/>
        </w:rPr>
        <w:lastRenderedPageBreak/>
        <w:t xml:space="preserve">resource be based </w:t>
      </w:r>
      <w:r w:rsidR="00823A20" w:rsidRPr="00F14B9A">
        <w:rPr>
          <w:color w:val="000000" w:themeColor="text1"/>
        </w:rPr>
        <w:t xml:space="preserve">solely on this approach, but it may provide useful contextual information.  </w:t>
      </w:r>
    </w:p>
    <w:p w14:paraId="67568212" w14:textId="77777777" w:rsidR="008B39FC" w:rsidRPr="00F14B9A" w:rsidRDefault="007A783F" w:rsidP="008B39FC">
      <w:pPr>
        <w:spacing w:line="480" w:lineRule="auto"/>
        <w:rPr>
          <w:color w:val="000000" w:themeColor="text1"/>
        </w:rPr>
      </w:pPr>
      <w:r w:rsidRPr="00F14B9A">
        <w:rPr>
          <w:color w:val="000000" w:themeColor="text1"/>
        </w:rPr>
        <w:t xml:space="preserve">Cost-effectiveness </w:t>
      </w:r>
      <w:r w:rsidR="009B6AC8" w:rsidRPr="00F14B9A">
        <w:rPr>
          <w:color w:val="000000" w:themeColor="text1"/>
        </w:rPr>
        <w:t>necessarily involves comparison of the outcomes of utilising alternative approaches or resources. T</w:t>
      </w:r>
      <w:r w:rsidR="00C21E5C" w:rsidRPr="00F14B9A">
        <w:rPr>
          <w:color w:val="000000" w:themeColor="text1"/>
        </w:rPr>
        <w:t>his may take the form of comparing the TEL resource with a</w:t>
      </w:r>
      <w:r w:rsidR="009B6AC8" w:rsidRPr="00F14B9A">
        <w:rPr>
          <w:color w:val="000000" w:themeColor="text1"/>
        </w:rPr>
        <w:t xml:space="preserve">n alternative learning resource, as described at Level 1b.  To develop this stage of evaluation further (and thus into a ‘level 3’ evaluation) </w:t>
      </w:r>
      <w:r w:rsidR="00C21E5C" w:rsidRPr="00F14B9A">
        <w:rPr>
          <w:color w:val="000000" w:themeColor="text1"/>
        </w:rPr>
        <w:t xml:space="preserve">this </w:t>
      </w:r>
      <w:r w:rsidR="009B6AC8" w:rsidRPr="00F14B9A">
        <w:rPr>
          <w:color w:val="000000" w:themeColor="text1"/>
        </w:rPr>
        <w:t>would include</w:t>
      </w:r>
      <w:r w:rsidR="00C21E5C" w:rsidRPr="00F14B9A">
        <w:rPr>
          <w:color w:val="000000" w:themeColor="text1"/>
        </w:rPr>
        <w:t xml:space="preserve"> </w:t>
      </w:r>
      <w:r w:rsidR="009B6AC8" w:rsidRPr="00F14B9A">
        <w:rPr>
          <w:color w:val="000000" w:themeColor="text1"/>
        </w:rPr>
        <w:t>comparisons of</w:t>
      </w:r>
      <w:r w:rsidR="00C21E5C" w:rsidRPr="00F14B9A">
        <w:rPr>
          <w:color w:val="000000" w:themeColor="text1"/>
        </w:rPr>
        <w:t xml:space="preserve"> the associated costs of each resource by assigning a monetary value to each of the interventions.  </w:t>
      </w:r>
    </w:p>
    <w:p w14:paraId="7CC8DAAE" w14:textId="6EFF2FC4" w:rsidR="00A04937" w:rsidRPr="00F14B9A" w:rsidRDefault="006C554D" w:rsidP="00E00D08">
      <w:pPr>
        <w:spacing w:line="480" w:lineRule="auto"/>
        <w:rPr>
          <w:color w:val="000000" w:themeColor="text1"/>
        </w:rPr>
      </w:pPr>
      <w:r w:rsidRPr="00F14B9A">
        <w:rPr>
          <w:color w:val="000000" w:themeColor="text1"/>
        </w:rPr>
        <w:t>Cost-benefit analysis is</w:t>
      </w:r>
      <w:r w:rsidR="00DB5F8B" w:rsidRPr="00F14B9A">
        <w:rPr>
          <w:color w:val="000000" w:themeColor="text1"/>
        </w:rPr>
        <w:t xml:space="preserve"> more </w:t>
      </w:r>
      <w:r w:rsidR="009748D8" w:rsidRPr="00F14B9A">
        <w:rPr>
          <w:color w:val="000000" w:themeColor="text1"/>
        </w:rPr>
        <w:t>complex and involves</w:t>
      </w:r>
      <w:r w:rsidR="0012772F" w:rsidRPr="00F14B9A">
        <w:rPr>
          <w:color w:val="000000" w:themeColor="text1"/>
        </w:rPr>
        <w:t xml:space="preserve"> exploration of the impact of introducing a resource on the associated stakeholders.  Aligned with an exploration of learner impact (Level 2) it may therefore be possible to assign monetary value to not just the development and hardware costs of a TEL resource, but also take into account the received benefits.  For example, if it is established at Level 2 that a TEL resource has had a positive impact on the pass rates for a module, and thus subsequently a lowering of attrition rates for </w:t>
      </w:r>
      <w:r w:rsidR="00E76485" w:rsidRPr="00F14B9A">
        <w:rPr>
          <w:color w:val="000000" w:themeColor="text1"/>
        </w:rPr>
        <w:t>a course</w:t>
      </w:r>
      <w:r w:rsidR="0008403E" w:rsidRPr="00F14B9A">
        <w:rPr>
          <w:color w:val="000000" w:themeColor="text1"/>
        </w:rPr>
        <w:t xml:space="preserve"> </w:t>
      </w:r>
      <w:r w:rsidR="0008403E" w:rsidRPr="00F14B9A">
        <w:rPr>
          <w:noProof/>
          <w:color w:val="000000" w:themeColor="text1"/>
        </w:rPr>
        <w:t>(Pickering</w:t>
      </w:r>
      <w:r w:rsidR="00071AF6" w:rsidRPr="00F14B9A">
        <w:rPr>
          <w:noProof/>
          <w:color w:val="000000" w:themeColor="text1"/>
        </w:rPr>
        <w:t xml:space="preserve"> 2015b)</w:t>
      </w:r>
      <w:r w:rsidR="0012772F" w:rsidRPr="00F14B9A">
        <w:rPr>
          <w:color w:val="000000" w:themeColor="text1"/>
        </w:rPr>
        <w:t xml:space="preserve"> a monetary value may be assigned to the re</w:t>
      </w:r>
      <w:r w:rsidR="0023754A" w:rsidRPr="00F14B9A">
        <w:rPr>
          <w:color w:val="000000" w:themeColor="text1"/>
        </w:rPr>
        <w:t xml:space="preserve">tention of students on a course.  </w:t>
      </w:r>
      <w:r w:rsidR="0012772F" w:rsidRPr="00F14B9A">
        <w:rPr>
          <w:color w:val="000000" w:themeColor="text1"/>
        </w:rPr>
        <w:t>Conversely if having established at Level 2 that there is no significant positive benefit from course outcomes, then it may be considered that the cost of developing such a resource</w:t>
      </w:r>
      <w:r w:rsidR="006B0E6F" w:rsidRPr="00F14B9A">
        <w:rPr>
          <w:color w:val="000000" w:themeColor="text1"/>
        </w:rPr>
        <w:t xml:space="preserve"> </w:t>
      </w:r>
      <w:r w:rsidR="0012772F" w:rsidRPr="00F14B9A">
        <w:rPr>
          <w:color w:val="000000" w:themeColor="text1"/>
        </w:rPr>
        <w:t xml:space="preserve">does not provide sufficient value for an institution to </w:t>
      </w:r>
      <w:r w:rsidR="006B0E6F" w:rsidRPr="00F14B9A">
        <w:rPr>
          <w:color w:val="000000" w:themeColor="text1"/>
        </w:rPr>
        <w:t>fund the creation of similar resources.</w:t>
      </w:r>
      <w:r w:rsidR="00DC0FE1" w:rsidRPr="00F14B9A">
        <w:rPr>
          <w:color w:val="000000" w:themeColor="text1"/>
        </w:rPr>
        <w:t xml:space="preserve">  An overarching view on all the cost elements discussed here would constitute the cost-feasibility of implementing the specific TEL resource. </w:t>
      </w:r>
      <w:r w:rsidR="006B0E6F" w:rsidRPr="00F14B9A">
        <w:rPr>
          <w:color w:val="000000" w:themeColor="text1"/>
        </w:rPr>
        <w:t xml:space="preserve">  </w:t>
      </w:r>
    </w:p>
    <w:p w14:paraId="407A45DD" w14:textId="77777777" w:rsidR="00163BAA" w:rsidRPr="00F14B9A" w:rsidRDefault="00163BAA" w:rsidP="00E00D08">
      <w:pPr>
        <w:spacing w:line="480" w:lineRule="auto"/>
        <w:rPr>
          <w:color w:val="000000" w:themeColor="text1"/>
        </w:rPr>
      </w:pPr>
    </w:p>
    <w:p w14:paraId="2DD7047B" w14:textId="77777777" w:rsidR="00A04937" w:rsidRPr="00F14B9A" w:rsidRDefault="00A04937" w:rsidP="00E00D08">
      <w:pPr>
        <w:spacing w:line="480" w:lineRule="auto"/>
        <w:rPr>
          <w:b/>
          <w:color w:val="000000" w:themeColor="text1"/>
        </w:rPr>
      </w:pPr>
      <w:r w:rsidRPr="00F14B9A">
        <w:rPr>
          <w:b/>
          <w:color w:val="000000" w:themeColor="text1"/>
        </w:rPr>
        <w:t>Conclusions</w:t>
      </w:r>
    </w:p>
    <w:p w14:paraId="2CD3AA51" w14:textId="53F8D1EB" w:rsidR="009F55BF" w:rsidRPr="00F14B9A" w:rsidRDefault="00300F46" w:rsidP="00E00D08">
      <w:pPr>
        <w:spacing w:line="480" w:lineRule="auto"/>
        <w:rPr>
          <w:color w:val="000000" w:themeColor="text1"/>
        </w:rPr>
      </w:pPr>
      <w:r w:rsidRPr="00F14B9A">
        <w:rPr>
          <w:color w:val="000000" w:themeColor="text1"/>
        </w:rPr>
        <w:lastRenderedPageBreak/>
        <w:t xml:space="preserve">The evaluation model proposed in this paper aims to address the current lack of robust </w:t>
      </w:r>
      <w:r w:rsidR="004E2066" w:rsidRPr="00F14B9A">
        <w:rPr>
          <w:color w:val="000000" w:themeColor="text1"/>
        </w:rPr>
        <w:t>evidence</w:t>
      </w:r>
      <w:r w:rsidRPr="00F14B9A">
        <w:rPr>
          <w:color w:val="000000" w:themeColor="text1"/>
        </w:rPr>
        <w:t xml:space="preserve"> </w:t>
      </w:r>
      <w:r w:rsidR="004E2066" w:rsidRPr="00F14B9A">
        <w:rPr>
          <w:color w:val="000000" w:themeColor="text1"/>
        </w:rPr>
        <w:t>for the widespread implementation of TEL resources</w:t>
      </w:r>
      <w:r w:rsidR="008A36E6" w:rsidRPr="00F14B9A">
        <w:rPr>
          <w:color w:val="000000" w:themeColor="text1"/>
        </w:rPr>
        <w:t>, and the disconnect between the adoption of technology in curricula and its meaningful evaluation</w:t>
      </w:r>
      <w:r w:rsidR="004E2066" w:rsidRPr="00F14B9A">
        <w:rPr>
          <w:color w:val="000000" w:themeColor="text1"/>
        </w:rPr>
        <w:t>.  Using the model described in this paper, it may be established th</w:t>
      </w:r>
      <w:r w:rsidR="00D516F0" w:rsidRPr="00F14B9A">
        <w:rPr>
          <w:color w:val="000000" w:themeColor="text1"/>
        </w:rPr>
        <w:t>at a TEL resource is well liked and</w:t>
      </w:r>
      <w:r w:rsidR="004E2066" w:rsidRPr="00F14B9A">
        <w:rPr>
          <w:color w:val="000000" w:themeColor="text1"/>
        </w:rPr>
        <w:t xml:space="preserve"> improves both </w:t>
      </w:r>
      <w:r w:rsidR="00D516F0" w:rsidRPr="00F14B9A">
        <w:rPr>
          <w:color w:val="000000" w:themeColor="text1"/>
        </w:rPr>
        <w:t xml:space="preserve">the </w:t>
      </w:r>
      <w:r w:rsidR="004E2066" w:rsidRPr="00F14B9A">
        <w:rPr>
          <w:color w:val="000000" w:themeColor="text1"/>
        </w:rPr>
        <w:t>individual learner and course outcomes in terms of pass</w:t>
      </w:r>
      <w:r w:rsidR="00AC35A7" w:rsidRPr="00F14B9A">
        <w:rPr>
          <w:color w:val="000000" w:themeColor="text1"/>
        </w:rPr>
        <w:t>-rates.  However, more detailed</w:t>
      </w:r>
      <w:r w:rsidR="004E2066" w:rsidRPr="00F14B9A">
        <w:rPr>
          <w:color w:val="000000" w:themeColor="text1"/>
        </w:rPr>
        <w:t xml:space="preserve"> analysis such as that described at Level 3 may indicate that the financial costs of developing such resources still appear to outweigh</w:t>
      </w:r>
      <w:r w:rsidR="009F55BF" w:rsidRPr="00F14B9A">
        <w:rPr>
          <w:color w:val="000000" w:themeColor="text1"/>
        </w:rPr>
        <w:t xml:space="preserve"> the financial benefits.</w:t>
      </w:r>
      <w:r w:rsidR="00543695" w:rsidRPr="00F14B9A">
        <w:rPr>
          <w:color w:val="000000" w:themeColor="text1"/>
        </w:rPr>
        <w:t xml:space="preserve"> </w:t>
      </w:r>
      <w:r w:rsidR="009F55BF" w:rsidRPr="00F14B9A">
        <w:rPr>
          <w:color w:val="000000" w:themeColor="text1"/>
        </w:rPr>
        <w:t xml:space="preserve">At this point it becomes the responsibility of senior faculty to decide whether they will continue to support the development of TEL resources with the aim that they find more cost-effective ways to do so, or withdraw from the development of such resources altogether.  </w:t>
      </w:r>
    </w:p>
    <w:p w14:paraId="4F39B1C7" w14:textId="77777777" w:rsidR="009F55BF" w:rsidRPr="00F14B9A" w:rsidRDefault="009F55BF" w:rsidP="00E00D08">
      <w:pPr>
        <w:spacing w:line="480" w:lineRule="auto"/>
        <w:rPr>
          <w:color w:val="000000" w:themeColor="text1"/>
        </w:rPr>
      </w:pPr>
    </w:p>
    <w:p w14:paraId="7365FCA7" w14:textId="70C1B0BB" w:rsidR="004E2066" w:rsidRPr="00F14B9A" w:rsidRDefault="009F55BF" w:rsidP="00E00D08">
      <w:pPr>
        <w:spacing w:line="480" w:lineRule="auto"/>
        <w:rPr>
          <w:color w:val="000000" w:themeColor="text1"/>
        </w:rPr>
      </w:pPr>
      <w:r w:rsidRPr="00F14B9A">
        <w:rPr>
          <w:color w:val="000000" w:themeColor="text1"/>
        </w:rPr>
        <w:t>This model has provided a framework for educators to comprehensively evaluate the impact of a single TEL resource in their course.</w:t>
      </w:r>
      <w:r w:rsidR="008A36E6" w:rsidRPr="00F14B9A">
        <w:rPr>
          <w:color w:val="000000" w:themeColor="text1"/>
        </w:rPr>
        <w:t xml:space="preserve">  The authors propose that this model differs from existing TEL evaluation models by offering a holistic and multi-faceted approach that is nevertheless adaptable to suit individual institution needs.  </w:t>
      </w:r>
      <w:r w:rsidRPr="00F14B9A">
        <w:rPr>
          <w:color w:val="000000" w:themeColor="text1"/>
        </w:rPr>
        <w:t xml:space="preserve">It is hoped that by </w:t>
      </w:r>
      <w:r w:rsidR="008A36E6" w:rsidRPr="00F14B9A">
        <w:rPr>
          <w:color w:val="000000" w:themeColor="text1"/>
        </w:rPr>
        <w:t>utilising this</w:t>
      </w:r>
      <w:r w:rsidRPr="00F14B9A">
        <w:rPr>
          <w:color w:val="000000" w:themeColor="text1"/>
        </w:rPr>
        <w:t xml:space="preserve"> </w:t>
      </w:r>
      <w:r w:rsidR="008A36E6" w:rsidRPr="00F14B9A">
        <w:rPr>
          <w:color w:val="000000" w:themeColor="text1"/>
        </w:rPr>
        <w:t>model</w:t>
      </w:r>
      <w:r w:rsidRPr="00F14B9A">
        <w:rPr>
          <w:color w:val="000000" w:themeColor="text1"/>
        </w:rPr>
        <w:t xml:space="preserve"> an increased understanding of the </w:t>
      </w:r>
      <w:r w:rsidR="00227D59" w:rsidRPr="00F14B9A">
        <w:rPr>
          <w:color w:val="000000" w:themeColor="text1"/>
        </w:rPr>
        <w:t>educational impact of</w:t>
      </w:r>
      <w:r w:rsidRPr="00F14B9A">
        <w:rPr>
          <w:color w:val="000000" w:themeColor="text1"/>
        </w:rPr>
        <w:t xml:space="preserve"> TEL</w:t>
      </w:r>
      <w:r w:rsidR="00227D59" w:rsidRPr="00F14B9A">
        <w:rPr>
          <w:color w:val="000000" w:themeColor="text1"/>
        </w:rPr>
        <w:t xml:space="preserve"> resources</w:t>
      </w:r>
      <w:r w:rsidRPr="00F14B9A">
        <w:rPr>
          <w:color w:val="000000" w:themeColor="text1"/>
        </w:rPr>
        <w:t xml:space="preserve"> can be established.</w:t>
      </w:r>
      <w:r w:rsidR="000C6ADA" w:rsidRPr="00F14B9A">
        <w:rPr>
          <w:color w:val="000000" w:themeColor="text1"/>
        </w:rPr>
        <w:t xml:space="preserve">  </w:t>
      </w:r>
      <w:r w:rsidR="008A36E6" w:rsidRPr="00F14B9A">
        <w:rPr>
          <w:color w:val="000000" w:themeColor="text1"/>
        </w:rPr>
        <w:t>In order to explore the practical application of the model, t</w:t>
      </w:r>
      <w:r w:rsidR="000C6ADA" w:rsidRPr="00F14B9A">
        <w:rPr>
          <w:color w:val="000000" w:themeColor="text1"/>
        </w:rPr>
        <w:t xml:space="preserve">he authors </w:t>
      </w:r>
      <w:r w:rsidR="008A36E6" w:rsidRPr="00F14B9A">
        <w:rPr>
          <w:color w:val="000000" w:themeColor="text1"/>
        </w:rPr>
        <w:t>are working on a case study</w:t>
      </w:r>
      <w:r w:rsidR="000C6ADA" w:rsidRPr="00F14B9A">
        <w:rPr>
          <w:color w:val="000000" w:themeColor="text1"/>
        </w:rPr>
        <w:t xml:space="preserve"> of how this model has been used to inform TEL-resource design within their own institutions</w:t>
      </w:r>
      <w:r w:rsidR="008A36E6" w:rsidRPr="00F14B9A">
        <w:rPr>
          <w:color w:val="000000" w:themeColor="text1"/>
        </w:rPr>
        <w:t>, which endeavours to provide further evidence of the need for such holistic evaluations</w:t>
      </w:r>
      <w:r w:rsidR="000C6ADA" w:rsidRPr="00F14B9A">
        <w:rPr>
          <w:color w:val="000000" w:themeColor="text1"/>
        </w:rPr>
        <w:t>.</w:t>
      </w:r>
      <w:r w:rsidR="008A36E6" w:rsidRPr="00F14B9A">
        <w:rPr>
          <w:color w:val="000000" w:themeColor="text1"/>
        </w:rPr>
        <w:t xml:space="preserve">  </w:t>
      </w:r>
    </w:p>
    <w:p w14:paraId="031EB382" w14:textId="77777777" w:rsidR="009F55BF" w:rsidRPr="00F14B9A" w:rsidRDefault="009F55BF" w:rsidP="00E00D08">
      <w:pPr>
        <w:spacing w:line="480" w:lineRule="auto"/>
        <w:rPr>
          <w:color w:val="000000" w:themeColor="text1"/>
        </w:rPr>
      </w:pPr>
    </w:p>
    <w:p w14:paraId="4BD942AA" w14:textId="77777777" w:rsidR="006C1B20" w:rsidRPr="00F14B9A" w:rsidRDefault="006C1B20" w:rsidP="00E00D08">
      <w:pPr>
        <w:spacing w:line="480" w:lineRule="auto"/>
        <w:rPr>
          <w:b/>
          <w:color w:val="000000" w:themeColor="text1"/>
        </w:rPr>
      </w:pPr>
      <w:r w:rsidRPr="00F14B9A">
        <w:rPr>
          <w:b/>
          <w:color w:val="000000" w:themeColor="text1"/>
        </w:rPr>
        <w:t>Practice Points</w:t>
      </w:r>
    </w:p>
    <w:p w14:paraId="68DF55B0" w14:textId="6A7DA95B" w:rsidR="00E2518F" w:rsidRPr="00F14B9A" w:rsidRDefault="00E2518F" w:rsidP="00E2518F">
      <w:pPr>
        <w:pStyle w:val="ListParagraph"/>
        <w:numPr>
          <w:ilvl w:val="0"/>
          <w:numId w:val="6"/>
        </w:numPr>
        <w:spacing w:line="480" w:lineRule="auto"/>
        <w:rPr>
          <w:color w:val="000000" w:themeColor="text1"/>
        </w:rPr>
      </w:pPr>
      <w:r w:rsidRPr="00F14B9A">
        <w:rPr>
          <w:color w:val="000000" w:themeColor="text1"/>
        </w:rPr>
        <w:lastRenderedPageBreak/>
        <w:t xml:space="preserve">Developing TEL resources </w:t>
      </w:r>
      <w:r w:rsidR="00543695" w:rsidRPr="00F14B9A">
        <w:rPr>
          <w:color w:val="000000" w:themeColor="text1"/>
        </w:rPr>
        <w:t xml:space="preserve">for </w:t>
      </w:r>
      <w:r w:rsidR="00BE7852" w:rsidRPr="00F14B9A">
        <w:rPr>
          <w:color w:val="000000" w:themeColor="text1"/>
        </w:rPr>
        <w:t>campus-based teaching</w:t>
      </w:r>
      <w:r w:rsidRPr="00F14B9A">
        <w:rPr>
          <w:color w:val="000000" w:themeColor="text1"/>
        </w:rPr>
        <w:t xml:space="preserve"> is an increasing priority to meet the developing approach to medical education i</w:t>
      </w:r>
      <w:r w:rsidR="00BE7852" w:rsidRPr="00F14B9A">
        <w:rPr>
          <w:color w:val="000000" w:themeColor="text1"/>
        </w:rPr>
        <w:t>n the twenty first</w:t>
      </w:r>
      <w:r w:rsidRPr="00F14B9A">
        <w:rPr>
          <w:color w:val="000000" w:themeColor="text1"/>
        </w:rPr>
        <w:t xml:space="preserve"> century.</w:t>
      </w:r>
    </w:p>
    <w:p w14:paraId="5AE7414A" w14:textId="3D6D8A0D" w:rsidR="00E615C6" w:rsidRPr="00F14B9A" w:rsidRDefault="00543695">
      <w:pPr>
        <w:pStyle w:val="ListParagraph"/>
        <w:numPr>
          <w:ilvl w:val="0"/>
          <w:numId w:val="6"/>
        </w:numPr>
        <w:spacing w:line="480" w:lineRule="auto"/>
        <w:rPr>
          <w:color w:val="000000" w:themeColor="text1"/>
        </w:rPr>
      </w:pPr>
      <w:r w:rsidRPr="00F14B9A">
        <w:rPr>
          <w:color w:val="000000" w:themeColor="text1"/>
        </w:rPr>
        <w:t>TEL resources that f</w:t>
      </w:r>
      <w:r w:rsidR="00E2518F" w:rsidRPr="00F14B9A">
        <w:rPr>
          <w:color w:val="000000" w:themeColor="text1"/>
        </w:rPr>
        <w:t>o</w:t>
      </w:r>
      <w:r w:rsidRPr="00F14B9A">
        <w:rPr>
          <w:color w:val="000000" w:themeColor="text1"/>
        </w:rPr>
        <w:t>r</w:t>
      </w:r>
      <w:r w:rsidR="00E2518F" w:rsidRPr="00F14B9A">
        <w:rPr>
          <w:color w:val="000000" w:themeColor="text1"/>
        </w:rPr>
        <w:t>m part of a course’s blended learning strategy need to be</w:t>
      </w:r>
      <w:r w:rsidR="00BE7852" w:rsidRPr="00F14B9A">
        <w:rPr>
          <w:color w:val="000000" w:themeColor="text1"/>
        </w:rPr>
        <w:t xml:space="preserve"> both</w:t>
      </w:r>
      <w:r w:rsidR="00E2518F" w:rsidRPr="00F14B9A">
        <w:rPr>
          <w:color w:val="000000" w:themeColor="text1"/>
        </w:rPr>
        <w:t xml:space="preserve"> accepted and therefore adopted by the target audience, and effective in supporting learner gain.</w:t>
      </w:r>
      <w:r w:rsidR="00EF0AF9" w:rsidRPr="00F14B9A">
        <w:rPr>
          <w:color w:val="000000" w:themeColor="text1"/>
        </w:rPr>
        <w:t xml:space="preserve">  Evaluation of these resources therefore needs to establish that any new resource can meet these needs.</w:t>
      </w:r>
    </w:p>
    <w:p w14:paraId="74C0937D" w14:textId="77777777" w:rsidR="00E615C6" w:rsidRPr="00F14B9A" w:rsidRDefault="00E2518F">
      <w:pPr>
        <w:pStyle w:val="ListParagraph"/>
        <w:numPr>
          <w:ilvl w:val="0"/>
          <w:numId w:val="6"/>
        </w:numPr>
        <w:spacing w:line="480" w:lineRule="auto"/>
        <w:rPr>
          <w:color w:val="000000" w:themeColor="text1"/>
        </w:rPr>
      </w:pPr>
      <w:r w:rsidRPr="00F14B9A">
        <w:rPr>
          <w:color w:val="000000" w:themeColor="text1"/>
        </w:rPr>
        <w:t>To introduce such resources into a course, which already has a range of teacher-led and student-led resources, requires justification both financially and temporally.</w:t>
      </w:r>
      <w:r w:rsidR="00EF0AF9" w:rsidRPr="00F14B9A">
        <w:rPr>
          <w:color w:val="000000" w:themeColor="text1"/>
        </w:rPr>
        <w:t xml:space="preserve"> The evaluation model p</w:t>
      </w:r>
      <w:r w:rsidR="00702BF0" w:rsidRPr="00F14B9A">
        <w:rPr>
          <w:color w:val="000000" w:themeColor="text1"/>
        </w:rPr>
        <w:t>roposed here outlines a series of levels to help educators gather evidence for such justification.</w:t>
      </w:r>
    </w:p>
    <w:p w14:paraId="1AE719EC" w14:textId="77777777" w:rsidR="0008403E" w:rsidRPr="00F14B9A" w:rsidRDefault="0008403E" w:rsidP="00E00D08">
      <w:pPr>
        <w:spacing w:line="480" w:lineRule="auto"/>
        <w:rPr>
          <w:b/>
          <w:color w:val="000000" w:themeColor="text1"/>
        </w:rPr>
      </w:pPr>
    </w:p>
    <w:p w14:paraId="2EDA41C9" w14:textId="77777777" w:rsidR="006C1B20" w:rsidRPr="00F14B9A" w:rsidRDefault="006C1B20" w:rsidP="00E00D08">
      <w:pPr>
        <w:spacing w:line="480" w:lineRule="auto"/>
        <w:rPr>
          <w:b/>
          <w:color w:val="000000" w:themeColor="text1"/>
        </w:rPr>
      </w:pPr>
      <w:r w:rsidRPr="00F14B9A">
        <w:rPr>
          <w:b/>
          <w:color w:val="000000" w:themeColor="text1"/>
        </w:rPr>
        <w:t>Notes on Contributors</w:t>
      </w:r>
    </w:p>
    <w:p w14:paraId="061A87B3" w14:textId="77777777" w:rsidR="006C1B20" w:rsidRPr="00F14B9A" w:rsidRDefault="006C1B20" w:rsidP="006C1B20">
      <w:pPr>
        <w:spacing w:line="480" w:lineRule="auto"/>
        <w:rPr>
          <w:rFonts w:cs="Times New Roman"/>
          <w:color w:val="000000" w:themeColor="text1"/>
          <w:szCs w:val="20"/>
        </w:rPr>
      </w:pPr>
      <w:r w:rsidRPr="00F14B9A">
        <w:rPr>
          <w:rFonts w:cs="Times New Roman"/>
          <w:color w:val="000000" w:themeColor="text1"/>
          <w:szCs w:val="20"/>
        </w:rPr>
        <w:t>JAMES D. PICKERING, BSc</w:t>
      </w:r>
      <w:r w:rsidR="007465FB" w:rsidRPr="00F14B9A">
        <w:rPr>
          <w:rFonts w:cs="Times New Roman"/>
          <w:color w:val="000000" w:themeColor="text1"/>
          <w:szCs w:val="20"/>
        </w:rPr>
        <w:t xml:space="preserve"> (Hons)</w:t>
      </w:r>
      <w:r w:rsidRPr="00F14B9A">
        <w:rPr>
          <w:rFonts w:cs="Times New Roman"/>
          <w:color w:val="000000" w:themeColor="text1"/>
          <w:szCs w:val="20"/>
        </w:rPr>
        <w:t xml:space="preserve">, PhD, PGCLTHE, SFHEA, </w:t>
      </w:r>
      <w:r w:rsidR="0008403E" w:rsidRPr="00F14B9A">
        <w:rPr>
          <w:rFonts w:cs="Times New Roman"/>
          <w:color w:val="000000" w:themeColor="text1"/>
          <w:szCs w:val="20"/>
        </w:rPr>
        <w:t>is an Associate P</w:t>
      </w:r>
      <w:r w:rsidRPr="00F14B9A">
        <w:rPr>
          <w:rFonts w:cs="Times New Roman"/>
          <w:color w:val="000000" w:themeColor="text1"/>
          <w:szCs w:val="20"/>
        </w:rPr>
        <w:t xml:space="preserve">rofessor of Anatomy in the Division of Anatomy, </w:t>
      </w:r>
      <w:r w:rsidR="00AC42F4" w:rsidRPr="00F14B9A">
        <w:rPr>
          <w:rFonts w:cs="Times New Roman"/>
          <w:color w:val="000000" w:themeColor="text1"/>
          <w:szCs w:val="20"/>
        </w:rPr>
        <w:t xml:space="preserve">Leeds Institute of Medical Education, </w:t>
      </w:r>
      <w:r w:rsidRPr="00F14B9A">
        <w:rPr>
          <w:rFonts w:cs="Times New Roman"/>
          <w:color w:val="000000" w:themeColor="text1"/>
          <w:szCs w:val="20"/>
        </w:rPr>
        <w:t xml:space="preserve">School of Medicine, University of Leeds, UK. </w:t>
      </w:r>
    </w:p>
    <w:p w14:paraId="42D4A309" w14:textId="77777777" w:rsidR="00AC42F4" w:rsidRPr="00F14B9A" w:rsidRDefault="006C1B20" w:rsidP="00AC42F4">
      <w:pPr>
        <w:spacing w:line="480" w:lineRule="auto"/>
        <w:rPr>
          <w:rFonts w:cs="Times New Roman"/>
          <w:color w:val="000000" w:themeColor="text1"/>
          <w:szCs w:val="20"/>
        </w:rPr>
      </w:pPr>
      <w:r w:rsidRPr="00F14B9A">
        <w:rPr>
          <w:rFonts w:cs="Times New Roman"/>
          <w:color w:val="000000" w:themeColor="text1"/>
          <w:szCs w:val="20"/>
        </w:rPr>
        <w:t>VIKTORIA C</w:t>
      </w:r>
      <w:r w:rsidR="007A6599" w:rsidRPr="00F14B9A">
        <w:rPr>
          <w:rFonts w:cs="Times New Roman"/>
          <w:color w:val="000000" w:themeColor="text1"/>
          <w:szCs w:val="20"/>
        </w:rPr>
        <w:t>.</w:t>
      </w:r>
      <w:r w:rsidRPr="00F14B9A">
        <w:rPr>
          <w:rFonts w:cs="Times New Roman"/>
          <w:color w:val="000000" w:themeColor="text1"/>
          <w:szCs w:val="20"/>
        </w:rPr>
        <w:t xml:space="preserve"> T</w:t>
      </w:r>
      <w:r w:rsidR="007A6599" w:rsidRPr="00F14B9A">
        <w:rPr>
          <w:rFonts w:cs="Times New Roman"/>
          <w:color w:val="000000" w:themeColor="text1"/>
          <w:szCs w:val="20"/>
        </w:rPr>
        <w:t>.</w:t>
      </w:r>
      <w:r w:rsidRPr="00F14B9A">
        <w:rPr>
          <w:rFonts w:cs="Times New Roman"/>
          <w:color w:val="000000" w:themeColor="text1"/>
          <w:szCs w:val="20"/>
        </w:rPr>
        <w:t xml:space="preserve"> JOYNE</w:t>
      </w:r>
      <w:r w:rsidR="00AC42F4" w:rsidRPr="00F14B9A">
        <w:rPr>
          <w:rFonts w:cs="Times New Roman"/>
          <w:color w:val="000000" w:themeColor="text1"/>
          <w:szCs w:val="20"/>
        </w:rPr>
        <w:t>S</w:t>
      </w:r>
      <w:r w:rsidR="007A6599" w:rsidRPr="00F14B9A">
        <w:rPr>
          <w:rFonts w:cs="Times New Roman"/>
          <w:color w:val="000000" w:themeColor="text1"/>
          <w:szCs w:val="20"/>
        </w:rPr>
        <w:t>, BA (Hons), MSc, PhD is the Deputy Director of Studies and Lecturer in Medical Education at the School of Medicine at the University of Liverpool, UK.  The work discussed in this paper was undertaken during her previous role as Mobile Learning Implementation, Evaluation and Development Officer at</w:t>
      </w:r>
      <w:r w:rsidR="00AC42F4" w:rsidRPr="00F14B9A">
        <w:rPr>
          <w:rFonts w:cs="Times New Roman"/>
          <w:color w:val="000000" w:themeColor="text1"/>
          <w:szCs w:val="20"/>
        </w:rPr>
        <w:t xml:space="preserve"> the Leeds Institute of Medical Education, School of Medicine, University of Leeds, UK. </w:t>
      </w:r>
    </w:p>
    <w:p w14:paraId="727F7545" w14:textId="77777777" w:rsidR="006C1B20" w:rsidRPr="00F14B9A" w:rsidRDefault="006C1B20" w:rsidP="006C1B20">
      <w:pPr>
        <w:spacing w:line="480" w:lineRule="auto"/>
        <w:rPr>
          <w:rFonts w:cs="Times New Roman"/>
          <w:color w:val="000000" w:themeColor="text1"/>
          <w:szCs w:val="20"/>
        </w:rPr>
      </w:pPr>
    </w:p>
    <w:p w14:paraId="0B9A1345" w14:textId="77777777" w:rsidR="00D516F0" w:rsidRPr="00F14B9A" w:rsidRDefault="00D516F0" w:rsidP="006C1B20">
      <w:pPr>
        <w:spacing w:line="480" w:lineRule="auto"/>
        <w:rPr>
          <w:rFonts w:cs="Times New Roman"/>
          <w:color w:val="000000" w:themeColor="text1"/>
          <w:szCs w:val="20"/>
        </w:rPr>
      </w:pPr>
    </w:p>
    <w:p w14:paraId="30E1EAF3" w14:textId="77777777" w:rsidR="00D516F0" w:rsidRPr="00F14B9A" w:rsidRDefault="00D516F0" w:rsidP="006C1B20">
      <w:pPr>
        <w:spacing w:line="480" w:lineRule="auto"/>
        <w:rPr>
          <w:rFonts w:cs="Times New Roman"/>
          <w:color w:val="000000" w:themeColor="text1"/>
          <w:szCs w:val="20"/>
        </w:rPr>
      </w:pPr>
    </w:p>
    <w:p w14:paraId="1EC2D294" w14:textId="77777777" w:rsidR="0098559A" w:rsidRPr="00F14B9A" w:rsidRDefault="0098559A" w:rsidP="00E00D08">
      <w:pPr>
        <w:spacing w:line="480" w:lineRule="auto"/>
        <w:rPr>
          <w:color w:val="000000" w:themeColor="text1"/>
        </w:rPr>
      </w:pPr>
    </w:p>
    <w:p w14:paraId="4E11BC3B" w14:textId="77777777" w:rsidR="00631665" w:rsidRPr="00F14B9A" w:rsidRDefault="75F701D6" w:rsidP="00E00D08">
      <w:pPr>
        <w:spacing w:line="480" w:lineRule="auto"/>
        <w:rPr>
          <w:b/>
          <w:bCs/>
          <w:color w:val="000000" w:themeColor="text1"/>
        </w:rPr>
      </w:pPr>
      <w:r w:rsidRPr="00F14B9A">
        <w:rPr>
          <w:b/>
          <w:bCs/>
          <w:color w:val="000000" w:themeColor="text1"/>
        </w:rPr>
        <w:lastRenderedPageBreak/>
        <w:t xml:space="preserve">References </w:t>
      </w:r>
    </w:p>
    <w:p w14:paraId="196EF76E" w14:textId="77777777" w:rsidR="00071AF6" w:rsidRPr="00F14B9A" w:rsidRDefault="00EF2C85" w:rsidP="00071AF6">
      <w:pPr>
        <w:widowControl w:val="0"/>
        <w:autoSpaceDE w:val="0"/>
        <w:autoSpaceDN w:val="0"/>
        <w:adjustRightInd w:val="0"/>
        <w:spacing w:line="480" w:lineRule="auto"/>
        <w:ind w:left="480" w:hanging="480"/>
        <w:rPr>
          <w:rFonts w:ascii="Calibri" w:eastAsia="Times New Roman" w:hAnsi="Calibri" w:cs="Times New Roman"/>
          <w:noProof/>
          <w:color w:val="000000" w:themeColor="text1"/>
        </w:rPr>
      </w:pPr>
      <w:r w:rsidRPr="00F14B9A">
        <w:rPr>
          <w:rFonts w:ascii="Calibri" w:eastAsia="Times New Roman" w:hAnsi="Calibri" w:cs="Times New Roman"/>
          <w:noProof/>
          <w:color w:val="000000" w:themeColor="text1"/>
        </w:rPr>
        <w:t>Ally, M. 2009</w:t>
      </w:r>
      <w:r w:rsidR="00071AF6" w:rsidRPr="00F14B9A">
        <w:rPr>
          <w:rFonts w:ascii="Calibri" w:eastAsia="Times New Roman" w:hAnsi="Calibri" w:cs="Times New Roman"/>
          <w:noProof/>
          <w:color w:val="000000" w:themeColor="text1"/>
        </w:rPr>
        <w:t xml:space="preserve">. </w:t>
      </w:r>
      <w:r w:rsidR="00071AF6" w:rsidRPr="00F14B9A">
        <w:rPr>
          <w:rFonts w:ascii="Calibri" w:eastAsia="Times New Roman" w:hAnsi="Calibri" w:cs="Times New Roman"/>
          <w:iCs/>
          <w:noProof/>
          <w:color w:val="000000" w:themeColor="text1"/>
        </w:rPr>
        <w:t>Mobile learning: transforming the delivery of education and training</w:t>
      </w:r>
      <w:r w:rsidR="00071AF6" w:rsidRPr="00F14B9A">
        <w:rPr>
          <w:rFonts w:ascii="Calibri" w:eastAsia="Times New Roman" w:hAnsi="Calibri" w:cs="Times New Roman"/>
          <w:noProof/>
          <w:color w:val="000000" w:themeColor="text1"/>
        </w:rPr>
        <w:t>. Canada: AU Press.</w:t>
      </w:r>
    </w:p>
    <w:p w14:paraId="51170230" w14:textId="77777777" w:rsidR="00071AF6" w:rsidRPr="00F14B9A" w:rsidRDefault="00EF2C85" w:rsidP="00071AF6">
      <w:pPr>
        <w:widowControl w:val="0"/>
        <w:autoSpaceDE w:val="0"/>
        <w:autoSpaceDN w:val="0"/>
        <w:adjustRightInd w:val="0"/>
        <w:spacing w:line="480" w:lineRule="auto"/>
        <w:ind w:left="480" w:hanging="480"/>
        <w:rPr>
          <w:rFonts w:ascii="Calibri" w:eastAsia="Times New Roman" w:hAnsi="Calibri" w:cs="Times New Roman"/>
          <w:noProof/>
          <w:color w:val="000000" w:themeColor="text1"/>
        </w:rPr>
      </w:pPr>
      <w:r w:rsidRPr="00F14B9A">
        <w:rPr>
          <w:rFonts w:ascii="Calibri" w:eastAsia="Times New Roman" w:hAnsi="Calibri" w:cs="Times New Roman"/>
          <w:noProof/>
          <w:color w:val="000000" w:themeColor="text1"/>
        </w:rPr>
        <w:t>Beetham, H., &amp; Sharpe, R. 2013</w:t>
      </w:r>
      <w:r w:rsidR="00071AF6" w:rsidRPr="00F14B9A">
        <w:rPr>
          <w:rFonts w:ascii="Calibri" w:eastAsia="Times New Roman" w:hAnsi="Calibri" w:cs="Times New Roman"/>
          <w:noProof/>
          <w:color w:val="000000" w:themeColor="text1"/>
        </w:rPr>
        <w:t xml:space="preserve">. </w:t>
      </w:r>
      <w:r w:rsidR="00071AF6" w:rsidRPr="00F14B9A">
        <w:rPr>
          <w:rFonts w:ascii="Calibri" w:eastAsia="Times New Roman" w:hAnsi="Calibri" w:cs="Times New Roman"/>
          <w:iCs/>
          <w:noProof/>
          <w:color w:val="000000" w:themeColor="text1"/>
        </w:rPr>
        <w:t>Rethinking pdagogy for a digital age. Designing for 21st century learning</w:t>
      </w:r>
      <w:r w:rsidR="00071AF6" w:rsidRPr="00F14B9A">
        <w:rPr>
          <w:rFonts w:ascii="Calibri" w:eastAsia="Times New Roman" w:hAnsi="Calibri" w:cs="Times New Roman"/>
          <w:noProof/>
          <w:color w:val="000000" w:themeColor="text1"/>
        </w:rPr>
        <w:t xml:space="preserve"> (2nd ed.). Routledge.</w:t>
      </w:r>
    </w:p>
    <w:p w14:paraId="7ABBD35C" w14:textId="77777777" w:rsidR="00071AF6" w:rsidRPr="00F14B9A" w:rsidRDefault="00071AF6" w:rsidP="00071AF6">
      <w:pPr>
        <w:widowControl w:val="0"/>
        <w:autoSpaceDE w:val="0"/>
        <w:autoSpaceDN w:val="0"/>
        <w:adjustRightInd w:val="0"/>
        <w:spacing w:line="480" w:lineRule="auto"/>
        <w:ind w:left="480" w:hanging="480"/>
        <w:rPr>
          <w:rFonts w:ascii="Calibri" w:eastAsia="Times New Roman" w:hAnsi="Calibri" w:cs="Times New Roman"/>
          <w:noProof/>
          <w:color w:val="000000" w:themeColor="text1"/>
        </w:rPr>
      </w:pPr>
      <w:r w:rsidRPr="00F14B9A">
        <w:rPr>
          <w:rFonts w:ascii="Calibri" w:eastAsia="Times New Roman" w:hAnsi="Calibri" w:cs="Times New Roman"/>
          <w:noProof/>
          <w:color w:val="000000" w:themeColor="text1"/>
        </w:rPr>
        <w:t xml:space="preserve">Bickerdike, S., Whittle, </w:t>
      </w:r>
      <w:r w:rsidR="00EF2C85" w:rsidRPr="00F14B9A">
        <w:rPr>
          <w:rFonts w:ascii="Calibri" w:eastAsia="Times New Roman" w:hAnsi="Calibri" w:cs="Times New Roman"/>
          <w:noProof/>
          <w:color w:val="000000" w:themeColor="text1"/>
        </w:rPr>
        <w:t>S. R., &amp; Pickering, J. D. 2014</w:t>
      </w:r>
      <w:r w:rsidRPr="00F14B9A">
        <w:rPr>
          <w:rFonts w:ascii="Calibri" w:eastAsia="Times New Roman" w:hAnsi="Calibri" w:cs="Times New Roman"/>
          <w:noProof/>
          <w:color w:val="000000" w:themeColor="text1"/>
        </w:rPr>
        <w:t xml:space="preserve">. Do lecture audio-recordings support engagement and flexible learning? </w:t>
      </w:r>
      <w:r w:rsidRPr="00F14B9A">
        <w:rPr>
          <w:rFonts w:ascii="Calibri" w:eastAsia="Times New Roman" w:hAnsi="Calibri" w:cs="Times New Roman"/>
          <w:iCs/>
          <w:noProof/>
          <w:color w:val="000000" w:themeColor="text1"/>
        </w:rPr>
        <w:t>Med Educ</w:t>
      </w:r>
      <w:r w:rsidRPr="00F14B9A">
        <w:rPr>
          <w:rFonts w:ascii="Calibri" w:eastAsia="Times New Roman" w:hAnsi="Calibri" w:cs="Times New Roman"/>
          <w:noProof/>
          <w:color w:val="000000" w:themeColor="text1"/>
        </w:rPr>
        <w:t xml:space="preserve"> </w:t>
      </w:r>
      <w:r w:rsidRPr="00F14B9A">
        <w:rPr>
          <w:rFonts w:ascii="Calibri" w:eastAsia="Times New Roman" w:hAnsi="Calibri" w:cs="Times New Roman"/>
          <w:iCs/>
          <w:noProof/>
          <w:color w:val="000000" w:themeColor="text1"/>
        </w:rPr>
        <w:t>48</w:t>
      </w:r>
      <w:r w:rsidR="00305DC9" w:rsidRPr="00F14B9A">
        <w:rPr>
          <w:rFonts w:ascii="Calibri" w:eastAsia="Times New Roman" w:hAnsi="Calibri" w:cs="Times New Roman"/>
          <w:noProof/>
          <w:color w:val="000000" w:themeColor="text1"/>
        </w:rPr>
        <w:t>(5):</w:t>
      </w:r>
      <w:r w:rsidRPr="00F14B9A">
        <w:rPr>
          <w:rFonts w:ascii="Calibri" w:eastAsia="Times New Roman" w:hAnsi="Calibri" w:cs="Times New Roman"/>
          <w:noProof/>
          <w:color w:val="000000" w:themeColor="text1"/>
        </w:rPr>
        <w:t xml:space="preserve"> 522–523. </w:t>
      </w:r>
    </w:p>
    <w:p w14:paraId="12A86E28" w14:textId="77777777" w:rsidR="00071AF6" w:rsidRPr="00F14B9A" w:rsidRDefault="00EF2C85" w:rsidP="00071AF6">
      <w:pPr>
        <w:widowControl w:val="0"/>
        <w:autoSpaceDE w:val="0"/>
        <w:autoSpaceDN w:val="0"/>
        <w:adjustRightInd w:val="0"/>
        <w:spacing w:line="480" w:lineRule="auto"/>
        <w:ind w:left="480" w:hanging="480"/>
        <w:rPr>
          <w:rFonts w:ascii="Calibri" w:eastAsia="Times New Roman" w:hAnsi="Calibri" w:cs="Times New Roman"/>
          <w:noProof/>
          <w:color w:val="000000" w:themeColor="text1"/>
        </w:rPr>
      </w:pPr>
      <w:r w:rsidRPr="00F14B9A">
        <w:rPr>
          <w:rFonts w:ascii="Calibri" w:eastAsia="Times New Roman" w:hAnsi="Calibri" w:cs="Times New Roman"/>
          <w:noProof/>
          <w:color w:val="000000" w:themeColor="text1"/>
        </w:rPr>
        <w:t>Bullock, A. 2014</w:t>
      </w:r>
      <w:r w:rsidR="00071AF6" w:rsidRPr="00F14B9A">
        <w:rPr>
          <w:rFonts w:ascii="Calibri" w:eastAsia="Times New Roman" w:hAnsi="Calibri" w:cs="Times New Roman"/>
          <w:noProof/>
          <w:color w:val="000000" w:themeColor="text1"/>
        </w:rPr>
        <w:t xml:space="preserve">. Does technology help doctors to access, use and share knowledge? </w:t>
      </w:r>
      <w:r w:rsidR="00305DC9" w:rsidRPr="00F14B9A">
        <w:rPr>
          <w:rFonts w:ascii="Calibri" w:eastAsia="Times New Roman" w:hAnsi="Calibri" w:cs="Times New Roman"/>
          <w:iCs/>
          <w:noProof/>
          <w:color w:val="000000" w:themeColor="text1"/>
        </w:rPr>
        <w:t>Med Educ</w:t>
      </w:r>
      <w:r w:rsidR="00071AF6" w:rsidRPr="00F14B9A">
        <w:rPr>
          <w:rFonts w:ascii="Calibri" w:eastAsia="Times New Roman" w:hAnsi="Calibri" w:cs="Times New Roman"/>
          <w:noProof/>
          <w:color w:val="000000" w:themeColor="text1"/>
        </w:rPr>
        <w:t xml:space="preserve"> </w:t>
      </w:r>
      <w:r w:rsidR="00071AF6" w:rsidRPr="00F14B9A">
        <w:rPr>
          <w:rFonts w:ascii="Calibri" w:eastAsia="Times New Roman" w:hAnsi="Calibri" w:cs="Times New Roman"/>
          <w:iCs/>
          <w:noProof/>
          <w:color w:val="000000" w:themeColor="text1"/>
        </w:rPr>
        <w:t>48</w:t>
      </w:r>
      <w:r w:rsidR="00305DC9" w:rsidRPr="00F14B9A">
        <w:rPr>
          <w:rFonts w:ascii="Calibri" w:eastAsia="Times New Roman" w:hAnsi="Calibri" w:cs="Times New Roman"/>
          <w:noProof/>
          <w:color w:val="000000" w:themeColor="text1"/>
        </w:rPr>
        <w:t>(1):</w:t>
      </w:r>
      <w:r w:rsidR="00071AF6" w:rsidRPr="00F14B9A">
        <w:rPr>
          <w:rFonts w:ascii="Calibri" w:eastAsia="Times New Roman" w:hAnsi="Calibri" w:cs="Times New Roman"/>
          <w:noProof/>
          <w:color w:val="000000" w:themeColor="text1"/>
        </w:rPr>
        <w:t xml:space="preserve"> 28–33. </w:t>
      </w:r>
    </w:p>
    <w:p w14:paraId="6296A036" w14:textId="77777777" w:rsidR="00071AF6" w:rsidRPr="00F14B9A" w:rsidRDefault="00071AF6" w:rsidP="00071AF6">
      <w:pPr>
        <w:widowControl w:val="0"/>
        <w:autoSpaceDE w:val="0"/>
        <w:autoSpaceDN w:val="0"/>
        <w:adjustRightInd w:val="0"/>
        <w:spacing w:line="480" w:lineRule="auto"/>
        <w:ind w:left="480" w:hanging="480"/>
        <w:rPr>
          <w:rFonts w:ascii="Calibri" w:eastAsia="Times New Roman" w:hAnsi="Calibri" w:cs="Times New Roman"/>
          <w:noProof/>
          <w:color w:val="000000" w:themeColor="text1"/>
        </w:rPr>
      </w:pPr>
      <w:r w:rsidRPr="00F14B9A">
        <w:rPr>
          <w:rFonts w:ascii="Calibri" w:eastAsia="Times New Roman" w:hAnsi="Calibri" w:cs="Times New Roman"/>
          <w:noProof/>
          <w:color w:val="000000" w:themeColor="text1"/>
        </w:rPr>
        <w:t>C</w:t>
      </w:r>
      <w:r w:rsidR="00EF2C85" w:rsidRPr="00F14B9A">
        <w:rPr>
          <w:rFonts w:ascii="Calibri" w:eastAsia="Times New Roman" w:hAnsi="Calibri" w:cs="Times New Roman"/>
          <w:noProof/>
          <w:color w:val="000000" w:themeColor="text1"/>
        </w:rPr>
        <w:t>hen, B., &amp; Denoyelles, A. 2013</w:t>
      </w:r>
      <w:r w:rsidRPr="00F14B9A">
        <w:rPr>
          <w:rFonts w:ascii="Calibri" w:eastAsia="Times New Roman" w:hAnsi="Calibri" w:cs="Times New Roman"/>
          <w:noProof/>
          <w:color w:val="000000" w:themeColor="text1"/>
        </w:rPr>
        <w:t>. Exploring students’ mobile learning practices in higher educat</w:t>
      </w:r>
      <w:r w:rsidR="00305DC9" w:rsidRPr="00F14B9A">
        <w:rPr>
          <w:rFonts w:ascii="Calibri" w:eastAsia="Times New Roman" w:hAnsi="Calibri" w:cs="Times New Roman"/>
          <w:noProof/>
          <w:color w:val="000000" w:themeColor="text1"/>
        </w:rPr>
        <w:t>ion. Retrieved December 3, 2015. Available</w:t>
      </w:r>
      <w:r w:rsidRPr="00F14B9A">
        <w:rPr>
          <w:rFonts w:ascii="Calibri" w:eastAsia="Times New Roman" w:hAnsi="Calibri" w:cs="Times New Roman"/>
          <w:noProof/>
          <w:color w:val="000000" w:themeColor="text1"/>
        </w:rPr>
        <w:t xml:space="preserve"> from http://er.educause.edu/articles/2013/10/exploring-students-mobile-learning-practices-in-higher-education</w:t>
      </w:r>
    </w:p>
    <w:p w14:paraId="478D33D9" w14:textId="77777777" w:rsidR="00071AF6" w:rsidRPr="00F14B9A" w:rsidRDefault="00071AF6" w:rsidP="00071AF6">
      <w:pPr>
        <w:widowControl w:val="0"/>
        <w:autoSpaceDE w:val="0"/>
        <w:autoSpaceDN w:val="0"/>
        <w:adjustRightInd w:val="0"/>
        <w:spacing w:line="480" w:lineRule="auto"/>
        <w:ind w:left="480" w:hanging="480"/>
        <w:rPr>
          <w:rFonts w:ascii="Calibri" w:eastAsia="Times New Roman" w:hAnsi="Calibri" w:cs="Times New Roman"/>
          <w:noProof/>
          <w:color w:val="000000" w:themeColor="text1"/>
        </w:rPr>
      </w:pPr>
      <w:r w:rsidRPr="00F14B9A">
        <w:rPr>
          <w:rFonts w:ascii="Calibri" w:eastAsia="Times New Roman" w:hAnsi="Calibri" w:cs="Times New Roman"/>
          <w:noProof/>
          <w:color w:val="000000" w:themeColor="text1"/>
        </w:rPr>
        <w:t>Cook</w:t>
      </w:r>
      <w:r w:rsidR="00EF2C85" w:rsidRPr="00F14B9A">
        <w:rPr>
          <w:rFonts w:ascii="Calibri" w:eastAsia="Times New Roman" w:hAnsi="Calibri" w:cs="Times New Roman"/>
          <w:noProof/>
          <w:color w:val="000000" w:themeColor="text1"/>
        </w:rPr>
        <w:t>, D. a., &amp; Ellaway, R. H. 2015</w:t>
      </w:r>
      <w:r w:rsidRPr="00F14B9A">
        <w:rPr>
          <w:rFonts w:ascii="Calibri" w:eastAsia="Times New Roman" w:hAnsi="Calibri" w:cs="Times New Roman"/>
          <w:noProof/>
          <w:color w:val="000000" w:themeColor="text1"/>
        </w:rPr>
        <w:t xml:space="preserve">. Evaluating technology-enhanced learning: A comprehensive framework. </w:t>
      </w:r>
      <w:r w:rsidR="00305DC9" w:rsidRPr="00F14B9A">
        <w:rPr>
          <w:rFonts w:ascii="Calibri" w:eastAsia="Times New Roman" w:hAnsi="Calibri" w:cs="Times New Roman"/>
          <w:iCs/>
          <w:noProof/>
          <w:color w:val="000000" w:themeColor="text1"/>
        </w:rPr>
        <w:t>Med Teach</w:t>
      </w:r>
      <w:r w:rsidRPr="00F14B9A">
        <w:rPr>
          <w:rFonts w:ascii="Calibri" w:eastAsia="Times New Roman" w:hAnsi="Calibri" w:cs="Times New Roman"/>
          <w:noProof/>
          <w:color w:val="000000" w:themeColor="text1"/>
        </w:rPr>
        <w:t xml:space="preserve"> </w:t>
      </w:r>
      <w:r w:rsidRPr="00F14B9A">
        <w:rPr>
          <w:rFonts w:ascii="Calibri" w:eastAsia="Times New Roman" w:hAnsi="Calibri" w:cs="Times New Roman"/>
          <w:iCs/>
          <w:noProof/>
          <w:color w:val="000000" w:themeColor="text1"/>
        </w:rPr>
        <w:t>37</w:t>
      </w:r>
      <w:r w:rsidR="00305DC9" w:rsidRPr="00F14B9A">
        <w:rPr>
          <w:rFonts w:ascii="Calibri" w:eastAsia="Times New Roman" w:hAnsi="Calibri" w:cs="Times New Roman"/>
          <w:noProof/>
          <w:color w:val="000000" w:themeColor="text1"/>
        </w:rPr>
        <w:t>(10):</w:t>
      </w:r>
      <w:r w:rsidRPr="00F14B9A">
        <w:rPr>
          <w:rFonts w:ascii="Calibri" w:eastAsia="Times New Roman" w:hAnsi="Calibri" w:cs="Times New Roman"/>
          <w:noProof/>
          <w:color w:val="000000" w:themeColor="text1"/>
        </w:rPr>
        <w:t xml:space="preserve"> 961–970. </w:t>
      </w:r>
    </w:p>
    <w:p w14:paraId="0F0AEBD2" w14:textId="77777777" w:rsidR="00071AF6" w:rsidRPr="00F14B9A" w:rsidRDefault="00071AF6" w:rsidP="00071AF6">
      <w:pPr>
        <w:widowControl w:val="0"/>
        <w:autoSpaceDE w:val="0"/>
        <w:autoSpaceDN w:val="0"/>
        <w:adjustRightInd w:val="0"/>
        <w:spacing w:line="480" w:lineRule="auto"/>
        <w:ind w:left="480" w:hanging="480"/>
        <w:rPr>
          <w:rFonts w:ascii="Calibri" w:eastAsia="Times New Roman" w:hAnsi="Calibri" w:cs="Times New Roman"/>
          <w:noProof/>
          <w:color w:val="000000" w:themeColor="text1"/>
        </w:rPr>
      </w:pPr>
      <w:r w:rsidRPr="00F14B9A">
        <w:rPr>
          <w:rFonts w:ascii="Calibri" w:eastAsia="Times New Roman" w:hAnsi="Calibri" w:cs="Times New Roman"/>
          <w:noProof/>
          <w:color w:val="000000" w:themeColor="text1"/>
        </w:rPr>
        <w:t>Frenk, J., Chen, L., Bhutta, Z. A., Cohen, J., Crisp, N.</w:t>
      </w:r>
      <w:r w:rsidR="004D2902" w:rsidRPr="00F14B9A">
        <w:rPr>
          <w:rFonts w:ascii="Calibri" w:eastAsia="Times New Roman" w:hAnsi="Calibri" w:cs="Times New Roman"/>
          <w:noProof/>
          <w:color w:val="000000" w:themeColor="text1"/>
        </w:rPr>
        <w:t>, Evans, T., Fineberg, H., Garcia, P., Ke, Y., Kelley, P., Kistnasamy, B., Meleis, A., Naylor, D., Pablos-Mendez, A., Reddy, S., Scrimshaw, S., Sepulveda, J., Serwadda, D.,</w:t>
      </w:r>
      <w:r w:rsidR="00EF2C85" w:rsidRPr="00F14B9A">
        <w:rPr>
          <w:rFonts w:ascii="Calibri" w:eastAsia="Times New Roman" w:hAnsi="Calibri" w:cs="Times New Roman"/>
          <w:noProof/>
          <w:color w:val="000000" w:themeColor="text1"/>
        </w:rPr>
        <w:t xml:space="preserve"> Zurayk, H. 2015</w:t>
      </w:r>
      <w:r w:rsidRPr="00F14B9A">
        <w:rPr>
          <w:rFonts w:ascii="Calibri" w:eastAsia="Times New Roman" w:hAnsi="Calibri" w:cs="Times New Roman"/>
          <w:noProof/>
          <w:color w:val="000000" w:themeColor="text1"/>
        </w:rPr>
        <w:t xml:space="preserve">. Health professionals for a new century: transforming education to strengthen health systems in an interdependent world. </w:t>
      </w:r>
      <w:r w:rsidRPr="00F14B9A">
        <w:rPr>
          <w:rFonts w:ascii="Calibri" w:eastAsia="Times New Roman" w:hAnsi="Calibri" w:cs="Times New Roman"/>
          <w:iCs/>
          <w:noProof/>
          <w:color w:val="000000" w:themeColor="text1"/>
        </w:rPr>
        <w:t>The Lancet</w:t>
      </w:r>
      <w:r w:rsidRPr="00F14B9A">
        <w:rPr>
          <w:rFonts w:ascii="Calibri" w:eastAsia="Times New Roman" w:hAnsi="Calibri" w:cs="Times New Roman"/>
          <w:noProof/>
          <w:color w:val="000000" w:themeColor="text1"/>
        </w:rPr>
        <w:t xml:space="preserve">, </w:t>
      </w:r>
      <w:r w:rsidRPr="00F14B9A">
        <w:rPr>
          <w:rFonts w:ascii="Calibri" w:eastAsia="Times New Roman" w:hAnsi="Calibri" w:cs="Times New Roman"/>
          <w:iCs/>
          <w:noProof/>
          <w:color w:val="000000" w:themeColor="text1"/>
        </w:rPr>
        <w:t>376</w:t>
      </w:r>
      <w:r w:rsidR="00EF2C85" w:rsidRPr="00F14B9A">
        <w:rPr>
          <w:rFonts w:ascii="Calibri" w:eastAsia="Times New Roman" w:hAnsi="Calibri" w:cs="Times New Roman"/>
          <w:noProof/>
          <w:color w:val="000000" w:themeColor="text1"/>
        </w:rPr>
        <w:t>(9756):</w:t>
      </w:r>
      <w:r w:rsidRPr="00F14B9A">
        <w:rPr>
          <w:rFonts w:ascii="Calibri" w:eastAsia="Times New Roman" w:hAnsi="Calibri" w:cs="Times New Roman"/>
          <w:noProof/>
          <w:color w:val="000000" w:themeColor="text1"/>
        </w:rPr>
        <w:t xml:space="preserve"> 1923–1958. </w:t>
      </w:r>
    </w:p>
    <w:p w14:paraId="31057E8D" w14:textId="77777777" w:rsidR="00071AF6" w:rsidRPr="00F14B9A" w:rsidRDefault="00071AF6" w:rsidP="00071AF6">
      <w:pPr>
        <w:widowControl w:val="0"/>
        <w:autoSpaceDE w:val="0"/>
        <w:autoSpaceDN w:val="0"/>
        <w:adjustRightInd w:val="0"/>
        <w:spacing w:line="480" w:lineRule="auto"/>
        <w:ind w:left="480" w:hanging="480"/>
        <w:rPr>
          <w:rFonts w:ascii="Calibri" w:eastAsia="Times New Roman" w:hAnsi="Calibri" w:cs="Times New Roman"/>
          <w:noProof/>
          <w:color w:val="000000" w:themeColor="text1"/>
        </w:rPr>
      </w:pPr>
      <w:r w:rsidRPr="00F14B9A">
        <w:rPr>
          <w:rFonts w:ascii="Calibri" w:eastAsia="Times New Roman" w:hAnsi="Calibri" w:cs="Times New Roman"/>
          <w:noProof/>
          <w:color w:val="000000" w:themeColor="text1"/>
        </w:rPr>
        <w:t>Fry</w:t>
      </w:r>
      <w:r w:rsidR="00EF2C85" w:rsidRPr="00F14B9A">
        <w:rPr>
          <w:rFonts w:ascii="Calibri" w:eastAsia="Times New Roman" w:hAnsi="Calibri" w:cs="Times New Roman"/>
          <w:noProof/>
          <w:color w:val="000000" w:themeColor="text1"/>
        </w:rPr>
        <w:t>e, A. W., &amp; Hemmer, P. A. 2012</w:t>
      </w:r>
      <w:r w:rsidRPr="00F14B9A">
        <w:rPr>
          <w:rFonts w:ascii="Calibri" w:eastAsia="Times New Roman" w:hAnsi="Calibri" w:cs="Times New Roman"/>
          <w:noProof/>
          <w:color w:val="000000" w:themeColor="text1"/>
        </w:rPr>
        <w:t xml:space="preserve">. Program evaluation models and related theories: AMEE guide no. 67. </w:t>
      </w:r>
      <w:r w:rsidR="00305DC9" w:rsidRPr="00F14B9A">
        <w:rPr>
          <w:rFonts w:ascii="Calibri" w:eastAsia="Times New Roman" w:hAnsi="Calibri" w:cs="Times New Roman"/>
          <w:iCs/>
          <w:noProof/>
          <w:color w:val="000000" w:themeColor="text1"/>
        </w:rPr>
        <w:t>Med</w:t>
      </w:r>
      <w:r w:rsidRPr="00F14B9A">
        <w:rPr>
          <w:rFonts w:ascii="Calibri" w:eastAsia="Times New Roman" w:hAnsi="Calibri" w:cs="Times New Roman"/>
          <w:iCs/>
          <w:noProof/>
          <w:color w:val="000000" w:themeColor="text1"/>
        </w:rPr>
        <w:t xml:space="preserve"> Teach</w:t>
      </w:r>
      <w:r w:rsidRPr="00F14B9A">
        <w:rPr>
          <w:rFonts w:ascii="Calibri" w:eastAsia="Times New Roman" w:hAnsi="Calibri" w:cs="Times New Roman"/>
          <w:noProof/>
          <w:color w:val="000000" w:themeColor="text1"/>
        </w:rPr>
        <w:t xml:space="preserve"> </w:t>
      </w:r>
      <w:r w:rsidRPr="00F14B9A">
        <w:rPr>
          <w:rFonts w:ascii="Calibri" w:eastAsia="Times New Roman" w:hAnsi="Calibri" w:cs="Times New Roman"/>
          <w:iCs/>
          <w:noProof/>
          <w:color w:val="000000" w:themeColor="text1"/>
        </w:rPr>
        <w:t>34</w:t>
      </w:r>
      <w:r w:rsidR="00305DC9" w:rsidRPr="00F14B9A">
        <w:rPr>
          <w:rFonts w:ascii="Calibri" w:eastAsia="Times New Roman" w:hAnsi="Calibri" w:cs="Times New Roman"/>
          <w:noProof/>
          <w:color w:val="000000" w:themeColor="text1"/>
        </w:rPr>
        <w:t>(5):</w:t>
      </w:r>
      <w:r w:rsidRPr="00F14B9A">
        <w:rPr>
          <w:rFonts w:ascii="Calibri" w:eastAsia="Times New Roman" w:hAnsi="Calibri" w:cs="Times New Roman"/>
          <w:noProof/>
          <w:color w:val="000000" w:themeColor="text1"/>
        </w:rPr>
        <w:t xml:space="preserve"> e288–99. </w:t>
      </w:r>
    </w:p>
    <w:p w14:paraId="3AD4C7F5" w14:textId="77777777" w:rsidR="00C57DC8" w:rsidRPr="00F14B9A" w:rsidRDefault="00C57DC8" w:rsidP="00C57DC8">
      <w:pPr>
        <w:widowControl w:val="0"/>
        <w:autoSpaceDE w:val="0"/>
        <w:autoSpaceDN w:val="0"/>
        <w:adjustRightInd w:val="0"/>
        <w:spacing w:line="480" w:lineRule="auto"/>
        <w:ind w:left="480" w:hanging="480"/>
        <w:rPr>
          <w:rFonts w:ascii="Calibri" w:eastAsia="Times New Roman" w:hAnsi="Calibri" w:cs="Times New Roman"/>
          <w:noProof/>
          <w:color w:val="000000" w:themeColor="text1"/>
        </w:rPr>
      </w:pPr>
      <w:r w:rsidRPr="00F14B9A">
        <w:rPr>
          <w:rFonts w:ascii="Calibri" w:eastAsia="Times New Roman" w:hAnsi="Calibri" w:cs="Times New Roman"/>
          <w:noProof/>
          <w:color w:val="000000" w:themeColor="text1"/>
        </w:rPr>
        <w:t xml:space="preserve">Fuller, R., &amp; Joynes, V. 2015a. Should mobile learning be compulsory for preparing students for learning in the workplace? </w:t>
      </w:r>
      <w:r w:rsidRPr="00F14B9A">
        <w:rPr>
          <w:rFonts w:ascii="Calibri" w:eastAsia="Times New Roman" w:hAnsi="Calibri" w:cs="Times New Roman"/>
          <w:iCs/>
          <w:noProof/>
          <w:color w:val="000000" w:themeColor="text1"/>
        </w:rPr>
        <w:t>British Journal of Educational Technology</w:t>
      </w:r>
      <w:r w:rsidRPr="00F14B9A">
        <w:rPr>
          <w:rFonts w:ascii="Calibri" w:eastAsia="Times New Roman" w:hAnsi="Calibri" w:cs="Times New Roman"/>
          <w:noProof/>
          <w:color w:val="000000" w:themeColor="text1"/>
        </w:rPr>
        <w:t xml:space="preserve"> </w:t>
      </w:r>
      <w:r w:rsidRPr="00F14B9A">
        <w:rPr>
          <w:rFonts w:ascii="Calibri" w:eastAsia="Times New Roman" w:hAnsi="Calibri" w:cs="Times New Roman"/>
          <w:iCs/>
          <w:noProof/>
          <w:color w:val="000000" w:themeColor="text1"/>
        </w:rPr>
        <w:lastRenderedPageBreak/>
        <w:t>46</w:t>
      </w:r>
      <w:r w:rsidRPr="00F14B9A">
        <w:rPr>
          <w:rFonts w:ascii="Calibri" w:eastAsia="Times New Roman" w:hAnsi="Calibri" w:cs="Times New Roman"/>
          <w:noProof/>
          <w:color w:val="000000" w:themeColor="text1"/>
        </w:rPr>
        <w:t xml:space="preserve">(1): 153–158. </w:t>
      </w:r>
    </w:p>
    <w:p w14:paraId="1007C897" w14:textId="77777777" w:rsidR="00071AF6" w:rsidRPr="00F14B9A" w:rsidRDefault="00EF2C85" w:rsidP="00071AF6">
      <w:pPr>
        <w:widowControl w:val="0"/>
        <w:autoSpaceDE w:val="0"/>
        <w:autoSpaceDN w:val="0"/>
        <w:adjustRightInd w:val="0"/>
        <w:spacing w:line="480" w:lineRule="auto"/>
        <w:ind w:left="480" w:hanging="480"/>
        <w:rPr>
          <w:rFonts w:ascii="Calibri" w:eastAsia="Times New Roman" w:hAnsi="Calibri" w:cs="Times New Roman"/>
          <w:noProof/>
          <w:color w:val="000000" w:themeColor="text1"/>
        </w:rPr>
      </w:pPr>
      <w:r w:rsidRPr="00F14B9A">
        <w:rPr>
          <w:rFonts w:ascii="Calibri" w:eastAsia="Times New Roman" w:hAnsi="Calibri" w:cs="Times New Roman"/>
          <w:noProof/>
          <w:color w:val="000000" w:themeColor="text1"/>
        </w:rPr>
        <w:t>Fuller, R., &amp; Joynes, V. 2015</w:t>
      </w:r>
      <w:r w:rsidR="00C57DC8" w:rsidRPr="00F14B9A">
        <w:rPr>
          <w:rFonts w:ascii="Calibri" w:eastAsia="Times New Roman" w:hAnsi="Calibri" w:cs="Times New Roman"/>
          <w:noProof/>
          <w:color w:val="000000" w:themeColor="text1"/>
        </w:rPr>
        <w:t>b</w:t>
      </w:r>
      <w:r w:rsidR="00071AF6" w:rsidRPr="00F14B9A">
        <w:rPr>
          <w:rFonts w:ascii="Calibri" w:eastAsia="Times New Roman" w:hAnsi="Calibri" w:cs="Times New Roman"/>
          <w:noProof/>
          <w:color w:val="000000" w:themeColor="text1"/>
        </w:rPr>
        <w:t xml:space="preserve">. Enhancement or replacement? Understanding how legitimised use of mobile learning resources is shaping how healthcare students are learning. </w:t>
      </w:r>
      <w:r w:rsidR="00071AF6" w:rsidRPr="00F14B9A">
        <w:rPr>
          <w:rFonts w:ascii="Calibri" w:eastAsia="Times New Roman" w:hAnsi="Calibri" w:cs="Times New Roman"/>
          <w:iCs/>
          <w:noProof/>
          <w:color w:val="000000" w:themeColor="text1"/>
        </w:rPr>
        <w:t>European Association for Health Information and Libraries</w:t>
      </w:r>
      <w:r w:rsidR="00071AF6" w:rsidRPr="00F14B9A">
        <w:rPr>
          <w:rFonts w:ascii="Calibri" w:eastAsia="Times New Roman" w:hAnsi="Calibri" w:cs="Times New Roman"/>
          <w:noProof/>
          <w:color w:val="000000" w:themeColor="text1"/>
        </w:rPr>
        <w:t xml:space="preserve"> </w:t>
      </w:r>
      <w:r w:rsidR="00071AF6" w:rsidRPr="00F14B9A">
        <w:rPr>
          <w:rFonts w:ascii="Calibri" w:eastAsia="Times New Roman" w:hAnsi="Calibri" w:cs="Times New Roman"/>
          <w:iCs/>
          <w:noProof/>
          <w:color w:val="000000" w:themeColor="text1"/>
        </w:rPr>
        <w:t>11</w:t>
      </w:r>
      <w:r w:rsidR="00305DC9" w:rsidRPr="00F14B9A">
        <w:rPr>
          <w:rFonts w:ascii="Calibri" w:eastAsia="Times New Roman" w:hAnsi="Calibri" w:cs="Times New Roman"/>
          <w:noProof/>
          <w:color w:val="000000" w:themeColor="text1"/>
        </w:rPr>
        <w:t>(2):</w:t>
      </w:r>
      <w:r w:rsidR="00071AF6" w:rsidRPr="00F14B9A">
        <w:rPr>
          <w:rFonts w:ascii="Calibri" w:eastAsia="Times New Roman" w:hAnsi="Calibri" w:cs="Times New Roman"/>
          <w:noProof/>
          <w:color w:val="000000" w:themeColor="text1"/>
        </w:rPr>
        <w:t xml:space="preserve"> 7–10.</w:t>
      </w:r>
    </w:p>
    <w:p w14:paraId="15A70061" w14:textId="77777777" w:rsidR="00B8248B" w:rsidRPr="00F14B9A" w:rsidRDefault="00B8248B" w:rsidP="00071AF6">
      <w:pPr>
        <w:widowControl w:val="0"/>
        <w:autoSpaceDE w:val="0"/>
        <w:autoSpaceDN w:val="0"/>
        <w:adjustRightInd w:val="0"/>
        <w:spacing w:line="480" w:lineRule="auto"/>
        <w:ind w:left="480" w:hanging="480"/>
        <w:rPr>
          <w:rFonts w:ascii="Calibri" w:eastAsia="Times New Roman" w:hAnsi="Calibri" w:cs="Times New Roman"/>
          <w:noProof/>
          <w:color w:val="000000" w:themeColor="text1"/>
        </w:rPr>
      </w:pPr>
      <w:r w:rsidRPr="00F14B9A">
        <w:rPr>
          <w:rFonts w:ascii="Calibri" w:eastAsia="Times New Roman" w:hAnsi="Calibri" w:cs="Times New Roman"/>
          <w:noProof/>
          <w:color w:val="000000" w:themeColor="text1"/>
        </w:rPr>
        <w:t>Hake, R., R. 1998. Interactive-engagement versus traditional methods: A six-thousand-student survey of mechanics tests data for introductory physics courses. Am J Phys 66(1): 64-74.</w:t>
      </w:r>
    </w:p>
    <w:p w14:paraId="42C65391" w14:textId="77777777" w:rsidR="00071AF6" w:rsidRPr="00F14B9A" w:rsidRDefault="00EF2C85" w:rsidP="00071AF6">
      <w:pPr>
        <w:widowControl w:val="0"/>
        <w:autoSpaceDE w:val="0"/>
        <w:autoSpaceDN w:val="0"/>
        <w:adjustRightInd w:val="0"/>
        <w:spacing w:line="480" w:lineRule="auto"/>
        <w:ind w:left="480" w:hanging="480"/>
        <w:rPr>
          <w:rFonts w:ascii="Calibri" w:eastAsia="Times New Roman" w:hAnsi="Calibri" w:cs="Times New Roman"/>
          <w:noProof/>
          <w:color w:val="000000" w:themeColor="text1"/>
        </w:rPr>
      </w:pPr>
      <w:r w:rsidRPr="00F14B9A">
        <w:rPr>
          <w:rFonts w:ascii="Calibri" w:eastAsia="Times New Roman" w:hAnsi="Calibri" w:cs="Times New Roman"/>
          <w:noProof/>
          <w:color w:val="000000" w:themeColor="text1"/>
        </w:rPr>
        <w:t>Holton, E. F. 1996</w:t>
      </w:r>
      <w:r w:rsidR="00071AF6" w:rsidRPr="00F14B9A">
        <w:rPr>
          <w:rFonts w:ascii="Calibri" w:eastAsia="Times New Roman" w:hAnsi="Calibri" w:cs="Times New Roman"/>
          <w:noProof/>
          <w:color w:val="000000" w:themeColor="text1"/>
        </w:rPr>
        <w:t xml:space="preserve">. The flawed four-level evaluation model. </w:t>
      </w:r>
      <w:r w:rsidR="00071AF6" w:rsidRPr="00F14B9A">
        <w:rPr>
          <w:rFonts w:ascii="Calibri" w:eastAsia="Times New Roman" w:hAnsi="Calibri" w:cs="Times New Roman"/>
          <w:iCs/>
          <w:noProof/>
          <w:color w:val="000000" w:themeColor="text1"/>
        </w:rPr>
        <w:t>Human Resource Development Quarterly</w:t>
      </w:r>
      <w:r w:rsidR="00071AF6" w:rsidRPr="00F14B9A">
        <w:rPr>
          <w:rFonts w:ascii="Calibri" w:eastAsia="Times New Roman" w:hAnsi="Calibri" w:cs="Times New Roman"/>
          <w:noProof/>
          <w:color w:val="000000" w:themeColor="text1"/>
        </w:rPr>
        <w:t xml:space="preserve"> </w:t>
      </w:r>
      <w:r w:rsidR="00071AF6" w:rsidRPr="00F14B9A">
        <w:rPr>
          <w:rFonts w:ascii="Calibri" w:eastAsia="Times New Roman" w:hAnsi="Calibri" w:cs="Times New Roman"/>
          <w:iCs/>
          <w:noProof/>
          <w:color w:val="000000" w:themeColor="text1"/>
        </w:rPr>
        <w:t>7</w:t>
      </w:r>
      <w:r w:rsidR="00305DC9" w:rsidRPr="00F14B9A">
        <w:rPr>
          <w:rFonts w:ascii="Calibri" w:eastAsia="Times New Roman" w:hAnsi="Calibri" w:cs="Times New Roman"/>
          <w:noProof/>
          <w:color w:val="000000" w:themeColor="text1"/>
        </w:rPr>
        <w:t>(1):</w:t>
      </w:r>
      <w:r w:rsidR="00071AF6" w:rsidRPr="00F14B9A">
        <w:rPr>
          <w:rFonts w:ascii="Calibri" w:eastAsia="Times New Roman" w:hAnsi="Calibri" w:cs="Times New Roman"/>
          <w:noProof/>
          <w:color w:val="000000" w:themeColor="text1"/>
        </w:rPr>
        <w:t xml:space="preserve"> 5–21. </w:t>
      </w:r>
    </w:p>
    <w:p w14:paraId="4D80C2B5" w14:textId="77777777" w:rsidR="00071AF6" w:rsidRPr="00F14B9A" w:rsidRDefault="00071AF6" w:rsidP="00071AF6">
      <w:pPr>
        <w:widowControl w:val="0"/>
        <w:autoSpaceDE w:val="0"/>
        <w:autoSpaceDN w:val="0"/>
        <w:adjustRightInd w:val="0"/>
        <w:spacing w:line="480" w:lineRule="auto"/>
        <w:ind w:left="480" w:hanging="480"/>
        <w:rPr>
          <w:rFonts w:ascii="Calibri" w:eastAsia="Times New Roman" w:hAnsi="Calibri" w:cs="Times New Roman"/>
          <w:noProof/>
          <w:color w:val="000000" w:themeColor="text1"/>
        </w:rPr>
      </w:pPr>
      <w:r w:rsidRPr="00F14B9A">
        <w:rPr>
          <w:rFonts w:ascii="Calibri" w:eastAsia="Times New Roman" w:hAnsi="Calibri" w:cs="Times New Roman"/>
          <w:noProof/>
          <w:color w:val="000000" w:themeColor="text1"/>
        </w:rPr>
        <w:t>Issa, N., Schuller, M., Santacaterina, S., Shapiro, M., Wang, E., Maye</w:t>
      </w:r>
      <w:r w:rsidR="00EF2C85" w:rsidRPr="00F14B9A">
        <w:rPr>
          <w:rFonts w:ascii="Calibri" w:eastAsia="Times New Roman" w:hAnsi="Calibri" w:cs="Times New Roman"/>
          <w:noProof/>
          <w:color w:val="000000" w:themeColor="text1"/>
        </w:rPr>
        <w:t>r, R. E., &amp; DaRosa, D. a. 2011</w:t>
      </w:r>
      <w:r w:rsidRPr="00F14B9A">
        <w:rPr>
          <w:rFonts w:ascii="Calibri" w:eastAsia="Times New Roman" w:hAnsi="Calibri" w:cs="Times New Roman"/>
          <w:noProof/>
          <w:color w:val="000000" w:themeColor="text1"/>
        </w:rPr>
        <w:t xml:space="preserve">. Applying multimedia design principles enhances learning in medical education. </w:t>
      </w:r>
      <w:r w:rsidR="00305DC9" w:rsidRPr="00F14B9A">
        <w:rPr>
          <w:rFonts w:ascii="Calibri" w:eastAsia="Times New Roman" w:hAnsi="Calibri" w:cs="Times New Roman"/>
          <w:iCs/>
          <w:noProof/>
          <w:color w:val="000000" w:themeColor="text1"/>
        </w:rPr>
        <w:t>Med Educ</w:t>
      </w:r>
      <w:r w:rsidRPr="00F14B9A">
        <w:rPr>
          <w:rFonts w:ascii="Calibri" w:eastAsia="Times New Roman" w:hAnsi="Calibri" w:cs="Times New Roman"/>
          <w:noProof/>
          <w:color w:val="000000" w:themeColor="text1"/>
        </w:rPr>
        <w:t xml:space="preserve"> </w:t>
      </w:r>
      <w:r w:rsidRPr="00F14B9A">
        <w:rPr>
          <w:rFonts w:ascii="Calibri" w:eastAsia="Times New Roman" w:hAnsi="Calibri" w:cs="Times New Roman"/>
          <w:iCs/>
          <w:noProof/>
          <w:color w:val="000000" w:themeColor="text1"/>
        </w:rPr>
        <w:t>45</w:t>
      </w:r>
      <w:r w:rsidR="00305DC9" w:rsidRPr="00F14B9A">
        <w:rPr>
          <w:rFonts w:ascii="Calibri" w:eastAsia="Times New Roman" w:hAnsi="Calibri" w:cs="Times New Roman"/>
          <w:noProof/>
          <w:color w:val="000000" w:themeColor="text1"/>
        </w:rPr>
        <w:t xml:space="preserve">(8): 818–826. </w:t>
      </w:r>
    </w:p>
    <w:p w14:paraId="5FBA7C35" w14:textId="77777777" w:rsidR="00071AF6" w:rsidRPr="00F14B9A" w:rsidRDefault="00EF2C85" w:rsidP="00071AF6">
      <w:pPr>
        <w:widowControl w:val="0"/>
        <w:autoSpaceDE w:val="0"/>
        <w:autoSpaceDN w:val="0"/>
        <w:adjustRightInd w:val="0"/>
        <w:spacing w:line="480" w:lineRule="auto"/>
        <w:ind w:left="480" w:hanging="480"/>
        <w:rPr>
          <w:rFonts w:ascii="Calibri" w:eastAsia="Times New Roman" w:hAnsi="Calibri" w:cs="Times New Roman"/>
          <w:noProof/>
          <w:color w:val="000000" w:themeColor="text1"/>
        </w:rPr>
      </w:pPr>
      <w:r w:rsidRPr="00F14B9A">
        <w:rPr>
          <w:rFonts w:ascii="Calibri" w:eastAsia="Times New Roman" w:hAnsi="Calibri" w:cs="Times New Roman"/>
          <w:noProof/>
          <w:color w:val="000000" w:themeColor="text1"/>
        </w:rPr>
        <w:t>Joynes, V., &amp; Fuller, R. 2015</w:t>
      </w:r>
      <w:r w:rsidR="00071AF6" w:rsidRPr="00F14B9A">
        <w:rPr>
          <w:rFonts w:ascii="Calibri" w:eastAsia="Times New Roman" w:hAnsi="Calibri" w:cs="Times New Roman"/>
          <w:noProof/>
          <w:color w:val="000000" w:themeColor="text1"/>
        </w:rPr>
        <w:t xml:space="preserve">. Legitimisation, personalisation and maturation: Using the experiences of a compulsory mobile curriculum to reconceptualise mobile learning. </w:t>
      </w:r>
      <w:r w:rsidR="00305DC9" w:rsidRPr="00F14B9A">
        <w:rPr>
          <w:rFonts w:ascii="Calibri" w:eastAsia="Times New Roman" w:hAnsi="Calibri" w:cs="Times New Roman"/>
          <w:iCs/>
          <w:noProof/>
          <w:color w:val="000000" w:themeColor="text1"/>
        </w:rPr>
        <w:t>Med Teach</w:t>
      </w:r>
      <w:r w:rsidR="00305DC9" w:rsidRPr="00F14B9A">
        <w:rPr>
          <w:rFonts w:ascii="Calibri" w:eastAsia="Times New Roman" w:hAnsi="Calibri" w:cs="Times New Roman"/>
          <w:noProof/>
          <w:color w:val="000000" w:themeColor="text1"/>
        </w:rPr>
        <w:t xml:space="preserve"> (December):</w:t>
      </w:r>
      <w:r w:rsidR="00071AF6" w:rsidRPr="00F14B9A">
        <w:rPr>
          <w:rFonts w:ascii="Calibri" w:eastAsia="Times New Roman" w:hAnsi="Calibri" w:cs="Times New Roman"/>
          <w:noProof/>
          <w:color w:val="000000" w:themeColor="text1"/>
        </w:rPr>
        <w:t xml:space="preserve"> 1–7. </w:t>
      </w:r>
    </w:p>
    <w:p w14:paraId="103BF105" w14:textId="77777777" w:rsidR="00071AF6" w:rsidRPr="00F14B9A" w:rsidRDefault="00EF2C85" w:rsidP="00071AF6">
      <w:pPr>
        <w:widowControl w:val="0"/>
        <w:autoSpaceDE w:val="0"/>
        <w:autoSpaceDN w:val="0"/>
        <w:adjustRightInd w:val="0"/>
        <w:spacing w:line="480" w:lineRule="auto"/>
        <w:ind w:left="480" w:hanging="480"/>
        <w:rPr>
          <w:rFonts w:ascii="Calibri" w:eastAsia="Times New Roman" w:hAnsi="Calibri" w:cs="Times New Roman"/>
          <w:noProof/>
          <w:color w:val="000000" w:themeColor="text1"/>
        </w:rPr>
      </w:pPr>
      <w:r w:rsidRPr="00F14B9A">
        <w:rPr>
          <w:rFonts w:ascii="Calibri" w:eastAsia="Times New Roman" w:hAnsi="Calibri" w:cs="Times New Roman"/>
          <w:noProof/>
          <w:color w:val="000000" w:themeColor="text1"/>
        </w:rPr>
        <w:t>Kirkpatrick, D. L. 1994</w:t>
      </w:r>
      <w:r w:rsidR="00071AF6" w:rsidRPr="00F14B9A">
        <w:rPr>
          <w:rFonts w:ascii="Calibri" w:eastAsia="Times New Roman" w:hAnsi="Calibri" w:cs="Times New Roman"/>
          <w:noProof/>
          <w:color w:val="000000" w:themeColor="text1"/>
        </w:rPr>
        <w:t xml:space="preserve">. </w:t>
      </w:r>
      <w:r w:rsidR="00071AF6" w:rsidRPr="00F14B9A">
        <w:rPr>
          <w:rFonts w:ascii="Calibri" w:eastAsia="Times New Roman" w:hAnsi="Calibri" w:cs="Times New Roman"/>
          <w:iCs/>
          <w:noProof/>
          <w:color w:val="000000" w:themeColor="text1"/>
        </w:rPr>
        <w:t>Evaluating Training Programs: The Four Levels</w:t>
      </w:r>
      <w:r w:rsidR="00071AF6" w:rsidRPr="00F14B9A">
        <w:rPr>
          <w:rFonts w:ascii="Calibri" w:eastAsia="Times New Roman" w:hAnsi="Calibri" w:cs="Times New Roman"/>
          <w:noProof/>
          <w:color w:val="000000" w:themeColor="text1"/>
        </w:rPr>
        <w:t>. San Francisco: Berrett-Koehlar.</w:t>
      </w:r>
    </w:p>
    <w:p w14:paraId="38C472CD" w14:textId="686AB880" w:rsidR="00EE0C81" w:rsidRPr="00F14B9A" w:rsidRDefault="00EE0C81" w:rsidP="00071AF6">
      <w:pPr>
        <w:widowControl w:val="0"/>
        <w:autoSpaceDE w:val="0"/>
        <w:autoSpaceDN w:val="0"/>
        <w:adjustRightInd w:val="0"/>
        <w:spacing w:line="480" w:lineRule="auto"/>
        <w:ind w:left="480" w:hanging="480"/>
        <w:rPr>
          <w:rFonts w:ascii="Calibri" w:eastAsia="Times New Roman" w:hAnsi="Calibri" w:cs="Times New Roman"/>
          <w:noProof/>
          <w:color w:val="000000" w:themeColor="text1"/>
        </w:rPr>
      </w:pPr>
      <w:r w:rsidRPr="00F14B9A">
        <w:rPr>
          <w:rFonts w:ascii="Calibri" w:eastAsia="Times New Roman" w:hAnsi="Calibri" w:cs="Times New Roman"/>
          <w:noProof/>
          <w:color w:val="000000" w:themeColor="text1"/>
        </w:rPr>
        <w:t xml:space="preserve">Kirkpatrick, D.L. 2010.  The New World Kirkpatrick Model.  Retrieved May 2016.  Available from: </w:t>
      </w:r>
      <w:hyperlink r:id="rId7" w:history="1">
        <w:r w:rsidRPr="00F14B9A">
          <w:rPr>
            <w:rStyle w:val="Hyperlink"/>
            <w:rFonts w:ascii="Calibri" w:eastAsia="Times New Roman" w:hAnsi="Calibri" w:cs="Times New Roman"/>
            <w:noProof/>
            <w:color w:val="000000" w:themeColor="text1"/>
          </w:rPr>
          <w:t>http://www.kirkpatrickpartners.com/OurPhilosophy/TheNewWorldKirkpatrickModel/tabid/303/</w:t>
        </w:r>
      </w:hyperlink>
      <w:r w:rsidRPr="00F14B9A">
        <w:rPr>
          <w:rFonts w:ascii="Calibri" w:eastAsia="Times New Roman" w:hAnsi="Calibri" w:cs="Times New Roman"/>
          <w:noProof/>
          <w:color w:val="000000" w:themeColor="text1"/>
        </w:rPr>
        <w:t xml:space="preserve"> </w:t>
      </w:r>
    </w:p>
    <w:p w14:paraId="669A18A4" w14:textId="77777777" w:rsidR="00071AF6" w:rsidRPr="00F14B9A" w:rsidRDefault="00EF2C85" w:rsidP="00071AF6">
      <w:pPr>
        <w:widowControl w:val="0"/>
        <w:autoSpaceDE w:val="0"/>
        <w:autoSpaceDN w:val="0"/>
        <w:adjustRightInd w:val="0"/>
        <w:spacing w:line="480" w:lineRule="auto"/>
        <w:ind w:left="480" w:hanging="480"/>
        <w:rPr>
          <w:rFonts w:ascii="Calibri" w:eastAsia="Times New Roman" w:hAnsi="Calibri" w:cs="Times New Roman"/>
          <w:noProof/>
          <w:color w:val="000000" w:themeColor="text1"/>
        </w:rPr>
      </w:pPr>
      <w:r w:rsidRPr="00F14B9A">
        <w:rPr>
          <w:rFonts w:ascii="Calibri" w:eastAsia="Times New Roman" w:hAnsi="Calibri" w:cs="Times New Roman"/>
          <w:noProof/>
          <w:color w:val="000000" w:themeColor="text1"/>
        </w:rPr>
        <w:t>Koehler, N. 2012</w:t>
      </w:r>
      <w:r w:rsidR="00071AF6" w:rsidRPr="00F14B9A">
        <w:rPr>
          <w:rFonts w:ascii="Calibri" w:eastAsia="Times New Roman" w:hAnsi="Calibri" w:cs="Times New Roman"/>
          <w:noProof/>
          <w:color w:val="000000" w:themeColor="text1"/>
        </w:rPr>
        <w:t xml:space="preserve">. Medical Students’ Use of and Attitudes Towards Medical Applications. </w:t>
      </w:r>
      <w:r w:rsidR="00071AF6" w:rsidRPr="00F14B9A">
        <w:rPr>
          <w:rFonts w:ascii="Calibri" w:eastAsia="Times New Roman" w:hAnsi="Calibri" w:cs="Times New Roman"/>
          <w:iCs/>
          <w:noProof/>
          <w:color w:val="000000" w:themeColor="text1"/>
        </w:rPr>
        <w:t>Journal of Mobile Technology in Medicine</w:t>
      </w:r>
      <w:r w:rsidR="00071AF6" w:rsidRPr="00F14B9A">
        <w:rPr>
          <w:rFonts w:ascii="Calibri" w:eastAsia="Times New Roman" w:hAnsi="Calibri" w:cs="Times New Roman"/>
          <w:noProof/>
          <w:color w:val="000000" w:themeColor="text1"/>
        </w:rPr>
        <w:t xml:space="preserve">, </w:t>
      </w:r>
      <w:r w:rsidR="00071AF6" w:rsidRPr="00F14B9A">
        <w:rPr>
          <w:rFonts w:ascii="Calibri" w:eastAsia="Times New Roman" w:hAnsi="Calibri" w:cs="Times New Roman"/>
          <w:iCs/>
          <w:noProof/>
          <w:color w:val="000000" w:themeColor="text1"/>
        </w:rPr>
        <w:t>1</w:t>
      </w:r>
      <w:r w:rsidR="00071AF6" w:rsidRPr="00F14B9A">
        <w:rPr>
          <w:rFonts w:ascii="Calibri" w:eastAsia="Times New Roman" w:hAnsi="Calibri" w:cs="Times New Roman"/>
          <w:noProof/>
          <w:color w:val="000000" w:themeColor="text1"/>
        </w:rPr>
        <w:t xml:space="preserve">(4), 16–21. </w:t>
      </w:r>
    </w:p>
    <w:p w14:paraId="40B044E3" w14:textId="77777777" w:rsidR="00071AF6" w:rsidRPr="00F14B9A" w:rsidRDefault="00EF2C85" w:rsidP="00071AF6">
      <w:pPr>
        <w:widowControl w:val="0"/>
        <w:autoSpaceDE w:val="0"/>
        <w:autoSpaceDN w:val="0"/>
        <w:adjustRightInd w:val="0"/>
        <w:spacing w:line="480" w:lineRule="auto"/>
        <w:ind w:left="480" w:hanging="480"/>
        <w:rPr>
          <w:rFonts w:ascii="Calibri" w:eastAsia="Times New Roman" w:hAnsi="Calibri" w:cs="Times New Roman"/>
          <w:noProof/>
          <w:color w:val="000000" w:themeColor="text1"/>
        </w:rPr>
      </w:pPr>
      <w:r w:rsidRPr="00F14B9A">
        <w:rPr>
          <w:rFonts w:ascii="Calibri" w:eastAsia="Times New Roman" w:hAnsi="Calibri" w:cs="Times New Roman"/>
          <w:noProof/>
          <w:color w:val="000000" w:themeColor="text1"/>
        </w:rPr>
        <w:lastRenderedPageBreak/>
        <w:t>Laurillard, D. 2007</w:t>
      </w:r>
      <w:r w:rsidR="00071AF6" w:rsidRPr="00F14B9A">
        <w:rPr>
          <w:rFonts w:ascii="Calibri" w:eastAsia="Times New Roman" w:hAnsi="Calibri" w:cs="Times New Roman"/>
          <w:noProof/>
          <w:color w:val="000000" w:themeColor="text1"/>
        </w:rPr>
        <w:t xml:space="preserve">. Modelling benefits-oriented costs for technology enhanced learning. </w:t>
      </w:r>
      <w:r w:rsidR="00071AF6" w:rsidRPr="00F14B9A">
        <w:rPr>
          <w:rFonts w:ascii="Calibri" w:eastAsia="Times New Roman" w:hAnsi="Calibri" w:cs="Times New Roman"/>
          <w:iCs/>
          <w:noProof/>
          <w:color w:val="000000" w:themeColor="text1"/>
        </w:rPr>
        <w:t>Higher Education</w:t>
      </w:r>
      <w:r w:rsidR="00071AF6" w:rsidRPr="00F14B9A">
        <w:rPr>
          <w:rFonts w:ascii="Calibri" w:eastAsia="Times New Roman" w:hAnsi="Calibri" w:cs="Times New Roman"/>
          <w:noProof/>
          <w:color w:val="000000" w:themeColor="text1"/>
        </w:rPr>
        <w:t xml:space="preserve">, </w:t>
      </w:r>
      <w:r w:rsidR="00071AF6" w:rsidRPr="00F14B9A">
        <w:rPr>
          <w:rFonts w:ascii="Calibri" w:eastAsia="Times New Roman" w:hAnsi="Calibri" w:cs="Times New Roman"/>
          <w:iCs/>
          <w:noProof/>
          <w:color w:val="000000" w:themeColor="text1"/>
        </w:rPr>
        <w:t>54</w:t>
      </w:r>
      <w:r w:rsidR="00071AF6" w:rsidRPr="00F14B9A">
        <w:rPr>
          <w:rFonts w:ascii="Calibri" w:eastAsia="Times New Roman" w:hAnsi="Calibri" w:cs="Times New Roman"/>
          <w:noProof/>
          <w:color w:val="000000" w:themeColor="text1"/>
        </w:rPr>
        <w:t xml:space="preserve">(1), 21–39. </w:t>
      </w:r>
    </w:p>
    <w:p w14:paraId="454F953A" w14:textId="77777777" w:rsidR="00071AF6" w:rsidRPr="00F14B9A" w:rsidRDefault="00071AF6" w:rsidP="00071AF6">
      <w:pPr>
        <w:widowControl w:val="0"/>
        <w:autoSpaceDE w:val="0"/>
        <w:autoSpaceDN w:val="0"/>
        <w:adjustRightInd w:val="0"/>
        <w:spacing w:line="480" w:lineRule="auto"/>
        <w:ind w:left="480" w:hanging="480"/>
        <w:rPr>
          <w:rFonts w:ascii="Calibri" w:eastAsia="Times New Roman" w:hAnsi="Calibri" w:cs="Times New Roman"/>
          <w:noProof/>
          <w:color w:val="000000" w:themeColor="text1"/>
        </w:rPr>
      </w:pPr>
      <w:r w:rsidRPr="00F14B9A">
        <w:rPr>
          <w:rFonts w:ascii="Calibri" w:eastAsia="Times New Roman" w:hAnsi="Calibri" w:cs="Times New Roman"/>
          <w:noProof/>
          <w:color w:val="000000" w:themeColor="text1"/>
        </w:rPr>
        <w:t>Lumsden, C. J., Byrne-Davis, L. M. T., Moo</w:t>
      </w:r>
      <w:r w:rsidR="00EF2C85" w:rsidRPr="00F14B9A">
        <w:rPr>
          <w:rFonts w:ascii="Calibri" w:eastAsia="Times New Roman" w:hAnsi="Calibri" w:cs="Times New Roman"/>
          <w:noProof/>
          <w:color w:val="000000" w:themeColor="text1"/>
        </w:rPr>
        <w:t>ney, J. S., &amp; Sandars, J. 2015</w:t>
      </w:r>
      <w:r w:rsidRPr="00F14B9A">
        <w:rPr>
          <w:rFonts w:ascii="Calibri" w:eastAsia="Times New Roman" w:hAnsi="Calibri" w:cs="Times New Roman"/>
          <w:noProof/>
          <w:color w:val="000000" w:themeColor="text1"/>
        </w:rPr>
        <w:t xml:space="preserve">. Using mobile devices for teaching and learning in clinical medicine. </w:t>
      </w:r>
      <w:r w:rsidRPr="00F14B9A">
        <w:rPr>
          <w:rFonts w:ascii="Calibri" w:eastAsia="Times New Roman" w:hAnsi="Calibri" w:cs="Times New Roman"/>
          <w:iCs/>
          <w:noProof/>
          <w:color w:val="000000" w:themeColor="text1"/>
        </w:rPr>
        <w:t>Archives of Disease in Childhood - Education &amp; Practice Edition</w:t>
      </w:r>
      <w:r w:rsidRPr="00F14B9A">
        <w:rPr>
          <w:rFonts w:ascii="Calibri" w:eastAsia="Times New Roman" w:hAnsi="Calibri" w:cs="Times New Roman"/>
          <w:noProof/>
          <w:color w:val="000000" w:themeColor="text1"/>
        </w:rPr>
        <w:t xml:space="preserve">. </w:t>
      </w:r>
    </w:p>
    <w:p w14:paraId="191CA6F7" w14:textId="77777777" w:rsidR="00071AF6" w:rsidRPr="00F14B9A" w:rsidRDefault="00EF2C85" w:rsidP="00071AF6">
      <w:pPr>
        <w:widowControl w:val="0"/>
        <w:autoSpaceDE w:val="0"/>
        <w:autoSpaceDN w:val="0"/>
        <w:adjustRightInd w:val="0"/>
        <w:spacing w:line="480" w:lineRule="auto"/>
        <w:ind w:left="480" w:hanging="480"/>
        <w:rPr>
          <w:rFonts w:ascii="Calibri" w:eastAsia="Times New Roman" w:hAnsi="Calibri" w:cs="Times New Roman"/>
          <w:noProof/>
          <w:color w:val="000000" w:themeColor="text1"/>
        </w:rPr>
      </w:pPr>
      <w:r w:rsidRPr="00F14B9A">
        <w:rPr>
          <w:rFonts w:ascii="Calibri" w:eastAsia="Times New Roman" w:hAnsi="Calibri" w:cs="Times New Roman"/>
          <w:noProof/>
          <w:color w:val="000000" w:themeColor="text1"/>
        </w:rPr>
        <w:t>Lupton, D. 2015</w:t>
      </w:r>
      <w:r w:rsidR="00071AF6" w:rsidRPr="00F14B9A">
        <w:rPr>
          <w:rFonts w:ascii="Calibri" w:eastAsia="Times New Roman" w:hAnsi="Calibri" w:cs="Times New Roman"/>
          <w:noProof/>
          <w:color w:val="000000" w:themeColor="text1"/>
        </w:rPr>
        <w:t xml:space="preserve">. </w:t>
      </w:r>
      <w:r w:rsidR="00071AF6" w:rsidRPr="00F14B9A">
        <w:rPr>
          <w:rFonts w:ascii="Calibri" w:eastAsia="Times New Roman" w:hAnsi="Calibri" w:cs="Times New Roman"/>
          <w:iCs/>
          <w:noProof/>
          <w:color w:val="000000" w:themeColor="text1"/>
        </w:rPr>
        <w:t>Digital sociology</w:t>
      </w:r>
      <w:r w:rsidR="00071AF6" w:rsidRPr="00F14B9A">
        <w:rPr>
          <w:rFonts w:ascii="Calibri" w:eastAsia="Times New Roman" w:hAnsi="Calibri" w:cs="Times New Roman"/>
          <w:noProof/>
          <w:color w:val="000000" w:themeColor="text1"/>
        </w:rPr>
        <w:t>. London: Routledge.</w:t>
      </w:r>
    </w:p>
    <w:p w14:paraId="19F23F09" w14:textId="77777777" w:rsidR="00071AF6" w:rsidRPr="00F14B9A" w:rsidRDefault="00EF2C85" w:rsidP="00071AF6">
      <w:pPr>
        <w:widowControl w:val="0"/>
        <w:autoSpaceDE w:val="0"/>
        <w:autoSpaceDN w:val="0"/>
        <w:adjustRightInd w:val="0"/>
        <w:spacing w:line="480" w:lineRule="auto"/>
        <w:ind w:left="480" w:hanging="480"/>
        <w:rPr>
          <w:rFonts w:ascii="Calibri" w:eastAsia="Times New Roman" w:hAnsi="Calibri" w:cs="Times New Roman"/>
          <w:noProof/>
          <w:color w:val="000000" w:themeColor="text1"/>
        </w:rPr>
      </w:pPr>
      <w:r w:rsidRPr="00F14B9A">
        <w:rPr>
          <w:rFonts w:ascii="Calibri" w:eastAsia="Times New Roman" w:hAnsi="Calibri" w:cs="Times New Roman"/>
          <w:noProof/>
          <w:color w:val="000000" w:themeColor="text1"/>
        </w:rPr>
        <w:t>Pickering, J. D. 2015a</w:t>
      </w:r>
      <w:r w:rsidR="00071AF6" w:rsidRPr="00F14B9A">
        <w:rPr>
          <w:rFonts w:ascii="Calibri" w:eastAsia="Times New Roman" w:hAnsi="Calibri" w:cs="Times New Roman"/>
          <w:noProof/>
          <w:color w:val="000000" w:themeColor="text1"/>
        </w:rPr>
        <w:t xml:space="preserve">. Anatomy drawing screencasts: Enabling flexible learning for medical students. </w:t>
      </w:r>
      <w:r w:rsidR="00305DC9" w:rsidRPr="00F14B9A">
        <w:rPr>
          <w:rFonts w:ascii="Calibri" w:eastAsia="Times New Roman" w:hAnsi="Calibri" w:cs="Times New Roman"/>
          <w:iCs/>
          <w:noProof/>
          <w:color w:val="000000" w:themeColor="text1"/>
        </w:rPr>
        <w:t>Anat Sci</w:t>
      </w:r>
      <w:r w:rsidR="00071AF6" w:rsidRPr="00F14B9A">
        <w:rPr>
          <w:rFonts w:ascii="Calibri" w:eastAsia="Times New Roman" w:hAnsi="Calibri" w:cs="Times New Roman"/>
          <w:iCs/>
          <w:noProof/>
          <w:color w:val="000000" w:themeColor="text1"/>
        </w:rPr>
        <w:t xml:space="preserve"> Educ</w:t>
      </w:r>
      <w:r w:rsidR="00071AF6" w:rsidRPr="00F14B9A">
        <w:rPr>
          <w:rFonts w:ascii="Calibri" w:eastAsia="Times New Roman" w:hAnsi="Calibri" w:cs="Times New Roman"/>
          <w:noProof/>
          <w:color w:val="000000" w:themeColor="text1"/>
        </w:rPr>
        <w:t xml:space="preserve">, </w:t>
      </w:r>
      <w:r w:rsidR="00071AF6" w:rsidRPr="00F14B9A">
        <w:rPr>
          <w:rFonts w:ascii="Calibri" w:eastAsia="Times New Roman" w:hAnsi="Calibri" w:cs="Times New Roman"/>
          <w:iCs/>
          <w:noProof/>
          <w:color w:val="000000" w:themeColor="text1"/>
        </w:rPr>
        <w:t>8</w:t>
      </w:r>
      <w:r w:rsidR="00071AF6" w:rsidRPr="00F14B9A">
        <w:rPr>
          <w:rFonts w:ascii="Calibri" w:eastAsia="Times New Roman" w:hAnsi="Calibri" w:cs="Times New Roman"/>
          <w:noProof/>
          <w:color w:val="000000" w:themeColor="text1"/>
        </w:rPr>
        <w:t xml:space="preserve">(3), 249–257. </w:t>
      </w:r>
    </w:p>
    <w:p w14:paraId="7D68F1D7" w14:textId="77777777" w:rsidR="00071AF6" w:rsidRPr="00F14B9A" w:rsidRDefault="00071AF6" w:rsidP="00071AF6">
      <w:pPr>
        <w:widowControl w:val="0"/>
        <w:autoSpaceDE w:val="0"/>
        <w:autoSpaceDN w:val="0"/>
        <w:adjustRightInd w:val="0"/>
        <w:spacing w:line="480" w:lineRule="auto"/>
        <w:ind w:left="480" w:hanging="480"/>
        <w:rPr>
          <w:rFonts w:ascii="Calibri" w:eastAsia="Times New Roman" w:hAnsi="Calibri" w:cs="Times New Roman"/>
          <w:noProof/>
          <w:color w:val="000000" w:themeColor="text1"/>
        </w:rPr>
      </w:pPr>
      <w:r w:rsidRPr="00F14B9A">
        <w:rPr>
          <w:rFonts w:ascii="Calibri" w:eastAsia="Times New Roman" w:hAnsi="Calibri" w:cs="Times New Roman"/>
          <w:noProof/>
          <w:color w:val="000000" w:themeColor="text1"/>
        </w:rPr>
        <w:t xml:space="preserve">Pickering, J. D. </w:t>
      </w:r>
      <w:r w:rsidR="00EF2C85" w:rsidRPr="00F14B9A">
        <w:rPr>
          <w:rFonts w:ascii="Calibri" w:eastAsia="Times New Roman" w:hAnsi="Calibri" w:cs="Times New Roman"/>
          <w:noProof/>
          <w:color w:val="000000" w:themeColor="text1"/>
        </w:rPr>
        <w:t>2015b</w:t>
      </w:r>
      <w:r w:rsidRPr="00F14B9A">
        <w:rPr>
          <w:rFonts w:ascii="Calibri" w:eastAsia="Times New Roman" w:hAnsi="Calibri" w:cs="Times New Roman"/>
          <w:noProof/>
          <w:color w:val="000000" w:themeColor="text1"/>
        </w:rPr>
        <w:t xml:space="preserve">. Introduction of an anatomy eBook enhances assessment outcomes. </w:t>
      </w:r>
      <w:r w:rsidRPr="00F14B9A">
        <w:rPr>
          <w:rFonts w:ascii="Calibri" w:eastAsia="Times New Roman" w:hAnsi="Calibri" w:cs="Times New Roman"/>
          <w:iCs/>
          <w:noProof/>
          <w:color w:val="000000" w:themeColor="text1"/>
        </w:rPr>
        <w:t>Med Educ</w:t>
      </w:r>
      <w:r w:rsidRPr="00F14B9A">
        <w:rPr>
          <w:rFonts w:ascii="Calibri" w:eastAsia="Times New Roman" w:hAnsi="Calibri" w:cs="Times New Roman"/>
          <w:noProof/>
          <w:color w:val="000000" w:themeColor="text1"/>
        </w:rPr>
        <w:t xml:space="preserve">, </w:t>
      </w:r>
      <w:r w:rsidRPr="00F14B9A">
        <w:rPr>
          <w:rFonts w:ascii="Calibri" w:eastAsia="Times New Roman" w:hAnsi="Calibri" w:cs="Times New Roman"/>
          <w:iCs/>
          <w:noProof/>
          <w:color w:val="000000" w:themeColor="text1"/>
        </w:rPr>
        <w:t>49</w:t>
      </w:r>
      <w:r w:rsidRPr="00F14B9A">
        <w:rPr>
          <w:rFonts w:ascii="Calibri" w:eastAsia="Times New Roman" w:hAnsi="Calibri" w:cs="Times New Roman"/>
          <w:noProof/>
          <w:color w:val="000000" w:themeColor="text1"/>
        </w:rPr>
        <w:t xml:space="preserve">(5), 522–523. </w:t>
      </w:r>
    </w:p>
    <w:p w14:paraId="3E12C070" w14:textId="77777777" w:rsidR="00071AF6" w:rsidRPr="00F14B9A" w:rsidRDefault="00EF2C85" w:rsidP="00071AF6">
      <w:pPr>
        <w:widowControl w:val="0"/>
        <w:autoSpaceDE w:val="0"/>
        <w:autoSpaceDN w:val="0"/>
        <w:adjustRightInd w:val="0"/>
        <w:spacing w:line="480" w:lineRule="auto"/>
        <w:ind w:left="480" w:hanging="480"/>
        <w:rPr>
          <w:rFonts w:ascii="Calibri" w:eastAsia="Times New Roman" w:hAnsi="Calibri" w:cs="Times New Roman"/>
          <w:noProof/>
          <w:color w:val="000000" w:themeColor="text1"/>
        </w:rPr>
      </w:pPr>
      <w:r w:rsidRPr="00F14B9A">
        <w:rPr>
          <w:rFonts w:ascii="Calibri" w:eastAsia="Times New Roman" w:hAnsi="Calibri" w:cs="Times New Roman"/>
          <w:noProof/>
          <w:color w:val="000000" w:themeColor="text1"/>
        </w:rPr>
        <w:t>Sclater, N. 2015</w:t>
      </w:r>
      <w:r w:rsidR="00071AF6" w:rsidRPr="00F14B9A">
        <w:rPr>
          <w:rFonts w:ascii="Calibri" w:eastAsia="Times New Roman" w:hAnsi="Calibri" w:cs="Times New Roman"/>
          <w:noProof/>
          <w:color w:val="000000" w:themeColor="text1"/>
        </w:rPr>
        <w:t xml:space="preserve">. Code of practice for learning analytics. </w:t>
      </w:r>
      <w:r w:rsidR="00071AF6" w:rsidRPr="00F14B9A">
        <w:rPr>
          <w:rFonts w:ascii="Calibri" w:eastAsia="Times New Roman" w:hAnsi="Calibri" w:cs="Times New Roman"/>
          <w:iCs/>
          <w:noProof/>
          <w:color w:val="000000" w:themeColor="text1"/>
        </w:rPr>
        <w:t>Jisc</w:t>
      </w:r>
      <w:r w:rsidR="00071AF6" w:rsidRPr="00F14B9A">
        <w:rPr>
          <w:rFonts w:ascii="Calibri" w:eastAsia="Times New Roman" w:hAnsi="Calibri" w:cs="Times New Roman"/>
          <w:noProof/>
          <w:color w:val="000000" w:themeColor="text1"/>
        </w:rPr>
        <w:t>, (June).</w:t>
      </w:r>
    </w:p>
    <w:p w14:paraId="706D61ED" w14:textId="77777777" w:rsidR="00071AF6" w:rsidRPr="00F14B9A" w:rsidRDefault="00071AF6" w:rsidP="00071AF6">
      <w:pPr>
        <w:widowControl w:val="0"/>
        <w:autoSpaceDE w:val="0"/>
        <w:autoSpaceDN w:val="0"/>
        <w:adjustRightInd w:val="0"/>
        <w:spacing w:line="480" w:lineRule="auto"/>
        <w:ind w:left="480" w:hanging="480"/>
        <w:rPr>
          <w:rFonts w:ascii="Calibri" w:eastAsia="Times New Roman" w:hAnsi="Calibri" w:cs="Times New Roman"/>
          <w:noProof/>
          <w:color w:val="000000" w:themeColor="text1"/>
        </w:rPr>
      </w:pPr>
      <w:r w:rsidRPr="00F14B9A">
        <w:rPr>
          <w:rFonts w:ascii="Calibri" w:eastAsia="Times New Roman" w:hAnsi="Calibri" w:cs="Times New Roman"/>
          <w:noProof/>
          <w:color w:val="000000" w:themeColor="text1"/>
        </w:rPr>
        <w:t>Wallace, S</w:t>
      </w:r>
      <w:r w:rsidR="00EF2C85" w:rsidRPr="00F14B9A">
        <w:rPr>
          <w:rFonts w:ascii="Calibri" w:eastAsia="Times New Roman" w:hAnsi="Calibri" w:cs="Times New Roman"/>
          <w:noProof/>
          <w:color w:val="000000" w:themeColor="text1"/>
        </w:rPr>
        <w:t>., Clark, M., &amp; White, J. 2012</w:t>
      </w:r>
      <w:r w:rsidRPr="00F14B9A">
        <w:rPr>
          <w:rFonts w:ascii="Calibri" w:eastAsia="Times New Roman" w:hAnsi="Calibri" w:cs="Times New Roman"/>
          <w:noProof/>
          <w:color w:val="000000" w:themeColor="text1"/>
        </w:rPr>
        <w:t xml:space="preserve">. “It”s on my iPhone’: attitudes to the use of mobile computing devices in medical education, a mixed-methods study. </w:t>
      </w:r>
      <w:r w:rsidR="00EF2C85" w:rsidRPr="00F14B9A">
        <w:rPr>
          <w:rFonts w:ascii="Calibri" w:eastAsia="Times New Roman" w:hAnsi="Calibri" w:cs="Times New Roman"/>
          <w:iCs/>
          <w:noProof/>
          <w:color w:val="000000" w:themeColor="text1"/>
        </w:rPr>
        <w:t xml:space="preserve">BMJ Open, </w:t>
      </w:r>
      <w:r w:rsidRPr="00F14B9A">
        <w:rPr>
          <w:rFonts w:ascii="Calibri" w:eastAsia="Times New Roman" w:hAnsi="Calibri" w:cs="Times New Roman"/>
          <w:iCs/>
          <w:noProof/>
          <w:color w:val="000000" w:themeColor="text1"/>
        </w:rPr>
        <w:t xml:space="preserve">2 </w:t>
      </w:r>
      <w:r w:rsidR="00EF2C85" w:rsidRPr="00F14B9A">
        <w:rPr>
          <w:rFonts w:ascii="Calibri" w:eastAsia="Times New Roman" w:hAnsi="Calibri" w:cs="Times New Roman"/>
          <w:noProof/>
          <w:color w:val="000000" w:themeColor="text1"/>
        </w:rPr>
        <w:t>(4</w:t>
      </w:r>
      <w:r w:rsidRPr="00F14B9A">
        <w:rPr>
          <w:rFonts w:ascii="Calibri" w:eastAsia="Times New Roman" w:hAnsi="Calibri" w:cs="Times New Roman"/>
          <w:noProof/>
          <w:color w:val="000000" w:themeColor="text1"/>
        </w:rPr>
        <w:t xml:space="preserve">). </w:t>
      </w:r>
    </w:p>
    <w:p w14:paraId="2F52A7C0" w14:textId="77777777" w:rsidR="00071AF6" w:rsidRPr="00F14B9A" w:rsidRDefault="00071AF6" w:rsidP="00071AF6">
      <w:pPr>
        <w:widowControl w:val="0"/>
        <w:autoSpaceDE w:val="0"/>
        <w:autoSpaceDN w:val="0"/>
        <w:adjustRightInd w:val="0"/>
        <w:spacing w:line="480" w:lineRule="auto"/>
        <w:ind w:left="480" w:hanging="480"/>
        <w:rPr>
          <w:rFonts w:ascii="Calibri" w:eastAsia="Times New Roman" w:hAnsi="Calibri" w:cs="Times New Roman"/>
          <w:noProof/>
          <w:color w:val="000000" w:themeColor="text1"/>
        </w:rPr>
      </w:pPr>
      <w:r w:rsidRPr="00F14B9A">
        <w:rPr>
          <w:rFonts w:ascii="Calibri" w:eastAsia="Times New Roman" w:hAnsi="Calibri" w:cs="Times New Roman"/>
          <w:noProof/>
          <w:color w:val="000000" w:themeColor="text1"/>
        </w:rPr>
        <w:t>Walsh, K., Levin, H.</w:t>
      </w:r>
      <w:r w:rsidR="00EF2C85" w:rsidRPr="00F14B9A">
        <w:rPr>
          <w:rFonts w:ascii="Calibri" w:eastAsia="Times New Roman" w:hAnsi="Calibri" w:cs="Times New Roman"/>
          <w:noProof/>
          <w:color w:val="000000" w:themeColor="text1"/>
        </w:rPr>
        <w:t>, Jaye, P., &amp; Gazzard, J. 2013</w:t>
      </w:r>
      <w:r w:rsidRPr="00F14B9A">
        <w:rPr>
          <w:rFonts w:ascii="Calibri" w:eastAsia="Times New Roman" w:hAnsi="Calibri" w:cs="Times New Roman"/>
          <w:noProof/>
          <w:color w:val="000000" w:themeColor="text1"/>
        </w:rPr>
        <w:t xml:space="preserve">. Cost analyses approaches in medical education: there are no simple solutions. </w:t>
      </w:r>
      <w:r w:rsidR="00305DC9" w:rsidRPr="00F14B9A">
        <w:rPr>
          <w:rFonts w:ascii="Calibri" w:eastAsia="Times New Roman" w:hAnsi="Calibri" w:cs="Times New Roman"/>
          <w:iCs/>
          <w:noProof/>
          <w:color w:val="000000" w:themeColor="text1"/>
        </w:rPr>
        <w:t>Med Educ</w:t>
      </w:r>
      <w:r w:rsidRPr="00F14B9A">
        <w:rPr>
          <w:rFonts w:ascii="Calibri" w:eastAsia="Times New Roman" w:hAnsi="Calibri" w:cs="Times New Roman"/>
          <w:noProof/>
          <w:color w:val="000000" w:themeColor="text1"/>
        </w:rPr>
        <w:t xml:space="preserve">, </w:t>
      </w:r>
      <w:r w:rsidRPr="00F14B9A">
        <w:rPr>
          <w:rFonts w:ascii="Calibri" w:eastAsia="Times New Roman" w:hAnsi="Calibri" w:cs="Times New Roman"/>
          <w:iCs/>
          <w:noProof/>
          <w:color w:val="000000" w:themeColor="text1"/>
        </w:rPr>
        <w:t>47</w:t>
      </w:r>
      <w:r w:rsidRPr="00F14B9A">
        <w:rPr>
          <w:rFonts w:ascii="Calibri" w:eastAsia="Times New Roman" w:hAnsi="Calibri" w:cs="Times New Roman"/>
          <w:noProof/>
          <w:color w:val="000000" w:themeColor="text1"/>
        </w:rPr>
        <w:t xml:space="preserve">(10), 962–8. </w:t>
      </w:r>
    </w:p>
    <w:p w14:paraId="10FA44E6" w14:textId="77777777" w:rsidR="00071AF6" w:rsidRPr="00F14B9A" w:rsidRDefault="00EF2C85" w:rsidP="00071AF6">
      <w:pPr>
        <w:widowControl w:val="0"/>
        <w:autoSpaceDE w:val="0"/>
        <w:autoSpaceDN w:val="0"/>
        <w:adjustRightInd w:val="0"/>
        <w:spacing w:line="480" w:lineRule="auto"/>
        <w:ind w:left="480" w:hanging="480"/>
        <w:rPr>
          <w:rFonts w:ascii="Calibri" w:hAnsi="Calibri"/>
          <w:noProof/>
          <w:color w:val="000000" w:themeColor="text1"/>
        </w:rPr>
      </w:pPr>
      <w:r w:rsidRPr="00F14B9A">
        <w:rPr>
          <w:rFonts w:ascii="Calibri" w:eastAsia="Times New Roman" w:hAnsi="Calibri" w:cs="Times New Roman"/>
          <w:noProof/>
          <w:color w:val="000000" w:themeColor="text1"/>
        </w:rPr>
        <w:t>Yardley, S., &amp; Dornan, T. 2012</w:t>
      </w:r>
      <w:r w:rsidR="00071AF6" w:rsidRPr="00F14B9A">
        <w:rPr>
          <w:rFonts w:ascii="Calibri" w:eastAsia="Times New Roman" w:hAnsi="Calibri" w:cs="Times New Roman"/>
          <w:noProof/>
          <w:color w:val="000000" w:themeColor="text1"/>
        </w:rPr>
        <w:t xml:space="preserve">. Kirkpatrick’s levels and education “evidence.” </w:t>
      </w:r>
      <w:r w:rsidR="00305DC9" w:rsidRPr="00F14B9A">
        <w:rPr>
          <w:rFonts w:ascii="Calibri" w:eastAsia="Times New Roman" w:hAnsi="Calibri" w:cs="Times New Roman"/>
          <w:iCs/>
          <w:noProof/>
          <w:color w:val="000000" w:themeColor="text1"/>
        </w:rPr>
        <w:t xml:space="preserve">Med </w:t>
      </w:r>
      <w:r w:rsidR="00071AF6" w:rsidRPr="00F14B9A">
        <w:rPr>
          <w:rFonts w:ascii="Calibri" w:eastAsia="Times New Roman" w:hAnsi="Calibri" w:cs="Times New Roman"/>
          <w:iCs/>
          <w:noProof/>
          <w:color w:val="000000" w:themeColor="text1"/>
        </w:rPr>
        <w:t>Educ</w:t>
      </w:r>
      <w:r w:rsidR="00071AF6" w:rsidRPr="00F14B9A">
        <w:rPr>
          <w:rFonts w:ascii="Calibri" w:eastAsia="Times New Roman" w:hAnsi="Calibri" w:cs="Times New Roman"/>
          <w:noProof/>
          <w:color w:val="000000" w:themeColor="text1"/>
        </w:rPr>
        <w:t xml:space="preserve">, </w:t>
      </w:r>
      <w:r w:rsidR="00071AF6" w:rsidRPr="00F14B9A">
        <w:rPr>
          <w:rFonts w:ascii="Calibri" w:eastAsia="Times New Roman" w:hAnsi="Calibri" w:cs="Times New Roman"/>
          <w:iCs/>
          <w:noProof/>
          <w:color w:val="000000" w:themeColor="text1"/>
        </w:rPr>
        <w:t>46</w:t>
      </w:r>
      <w:r w:rsidR="00071AF6" w:rsidRPr="00F14B9A">
        <w:rPr>
          <w:rFonts w:ascii="Calibri" w:eastAsia="Times New Roman" w:hAnsi="Calibri" w:cs="Times New Roman"/>
          <w:noProof/>
          <w:color w:val="000000" w:themeColor="text1"/>
        </w:rPr>
        <w:t xml:space="preserve">(1), 97–106. </w:t>
      </w:r>
    </w:p>
    <w:p w14:paraId="6C31DE5B" w14:textId="77777777" w:rsidR="00E76485" w:rsidRPr="00F14B9A" w:rsidRDefault="00E76485" w:rsidP="00071AF6">
      <w:pPr>
        <w:widowControl w:val="0"/>
        <w:autoSpaceDE w:val="0"/>
        <w:autoSpaceDN w:val="0"/>
        <w:adjustRightInd w:val="0"/>
        <w:spacing w:line="480" w:lineRule="auto"/>
        <w:ind w:left="480" w:hanging="480"/>
        <w:rPr>
          <w:rFonts w:eastAsiaTheme="minorEastAsia" w:cstheme="minorEastAsia"/>
          <w:color w:val="000000" w:themeColor="text1"/>
        </w:rPr>
      </w:pPr>
    </w:p>
    <w:p w14:paraId="502C28BE" w14:textId="77777777" w:rsidR="006C1B20" w:rsidRPr="00F14B9A" w:rsidRDefault="006C1B20" w:rsidP="006C1B20">
      <w:pPr>
        <w:spacing w:line="480" w:lineRule="auto"/>
        <w:rPr>
          <w:color w:val="000000" w:themeColor="text1"/>
        </w:rPr>
      </w:pPr>
      <w:r w:rsidRPr="00F14B9A">
        <w:rPr>
          <w:b/>
          <w:color w:val="000000" w:themeColor="text1"/>
        </w:rPr>
        <w:t>Acknowledgements:</w:t>
      </w:r>
      <w:r w:rsidRPr="00F14B9A">
        <w:rPr>
          <w:color w:val="000000" w:themeColor="text1"/>
        </w:rPr>
        <w:t xml:space="preserve"> The authors wish to thank Dr Rebecca O’Rourke and Tamsin Treasure-Jones for their thoughtful comments on drafts of this paper.</w:t>
      </w:r>
    </w:p>
    <w:p w14:paraId="4923D937" w14:textId="77777777" w:rsidR="006C1B20" w:rsidRPr="00F14B9A" w:rsidRDefault="006C1B20" w:rsidP="006C1B20">
      <w:pPr>
        <w:spacing w:line="480" w:lineRule="auto"/>
        <w:rPr>
          <w:color w:val="000000" w:themeColor="text1"/>
        </w:rPr>
      </w:pPr>
    </w:p>
    <w:p w14:paraId="7F50E4CC" w14:textId="77777777" w:rsidR="006C1B20" w:rsidRPr="00F14B9A" w:rsidRDefault="006C1B20" w:rsidP="006C1B20">
      <w:pPr>
        <w:spacing w:line="480" w:lineRule="auto"/>
        <w:rPr>
          <w:color w:val="000000" w:themeColor="text1"/>
        </w:rPr>
      </w:pPr>
      <w:r w:rsidRPr="00F14B9A">
        <w:rPr>
          <w:b/>
          <w:color w:val="000000" w:themeColor="text1"/>
        </w:rPr>
        <w:t>Declaration of interest:</w:t>
      </w:r>
      <w:r w:rsidRPr="00F14B9A">
        <w:rPr>
          <w:color w:val="000000" w:themeColor="text1"/>
        </w:rPr>
        <w:t xml:space="preserve"> We have no declaration of interest to report.</w:t>
      </w:r>
    </w:p>
    <w:p w14:paraId="5D6673CC" w14:textId="77777777" w:rsidR="006C1B20" w:rsidRDefault="006C1B20" w:rsidP="006C1B20">
      <w:pPr>
        <w:spacing w:line="480" w:lineRule="auto"/>
      </w:pPr>
    </w:p>
    <w:p w14:paraId="327BC4A2" w14:textId="77777777" w:rsidR="006C1B20" w:rsidRDefault="006C1B20" w:rsidP="006C1B20">
      <w:pPr>
        <w:spacing w:line="480" w:lineRule="auto"/>
        <w:rPr>
          <w:b/>
        </w:rPr>
      </w:pPr>
      <w:r w:rsidRPr="006C1B20">
        <w:rPr>
          <w:b/>
        </w:rPr>
        <w:lastRenderedPageBreak/>
        <w:t>Illustrations</w:t>
      </w:r>
    </w:p>
    <w:p w14:paraId="51334F98" w14:textId="5DE7CF22" w:rsidR="0019432B" w:rsidRDefault="0019432B" w:rsidP="75F701D6">
      <w:pPr>
        <w:spacing w:line="360" w:lineRule="auto"/>
        <w:rPr>
          <w:szCs w:val="20"/>
        </w:rPr>
      </w:pPr>
    </w:p>
    <w:p w14:paraId="388164C4" w14:textId="3907C7FF" w:rsidR="006C1B20" w:rsidRDefault="004848AA" w:rsidP="75F701D6">
      <w:pPr>
        <w:spacing w:line="360" w:lineRule="auto"/>
        <w:rPr>
          <w:szCs w:val="20"/>
        </w:rPr>
      </w:pPr>
      <w:r>
        <w:rPr>
          <w:noProof/>
          <w:szCs w:val="20"/>
          <w:lang w:val="en-US"/>
        </w:rPr>
        <w:drawing>
          <wp:inline distT="0" distB="0" distL="0" distR="0" wp14:anchorId="78E4CCF3" wp14:editId="4B41DEA9">
            <wp:extent cx="5393690" cy="3082290"/>
            <wp:effectExtent l="0" t="0" r="0" b="0"/>
            <wp:docPr id="1" name="Picture 1" descr="Fig.%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2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3690" cy="3082290"/>
                    </a:xfrm>
                    <a:prstGeom prst="rect">
                      <a:avLst/>
                    </a:prstGeom>
                    <a:noFill/>
                    <a:ln>
                      <a:noFill/>
                    </a:ln>
                  </pic:spPr>
                </pic:pic>
              </a:graphicData>
            </a:graphic>
          </wp:inline>
        </w:drawing>
      </w:r>
    </w:p>
    <w:p w14:paraId="57039848" w14:textId="77777777" w:rsidR="006C1B20" w:rsidRDefault="006C1B20" w:rsidP="75F701D6">
      <w:pPr>
        <w:spacing w:line="360" w:lineRule="auto"/>
        <w:rPr>
          <w:szCs w:val="20"/>
        </w:rPr>
      </w:pPr>
    </w:p>
    <w:p w14:paraId="3FF5DD45" w14:textId="77777777" w:rsidR="006C1B20" w:rsidRDefault="006C1B20" w:rsidP="75F701D6">
      <w:pPr>
        <w:spacing w:line="360" w:lineRule="auto"/>
        <w:rPr>
          <w:szCs w:val="20"/>
        </w:rPr>
      </w:pPr>
    </w:p>
    <w:p w14:paraId="5636751C" w14:textId="77777777" w:rsidR="006C1B20" w:rsidRDefault="006C1B20" w:rsidP="75F701D6">
      <w:pPr>
        <w:spacing w:line="360" w:lineRule="auto"/>
        <w:rPr>
          <w:szCs w:val="20"/>
        </w:rPr>
      </w:pPr>
    </w:p>
    <w:p w14:paraId="0237933C" w14:textId="77777777" w:rsidR="006C1B20" w:rsidRDefault="006C1B20" w:rsidP="75F701D6">
      <w:pPr>
        <w:spacing w:line="360" w:lineRule="auto"/>
        <w:rPr>
          <w:szCs w:val="20"/>
        </w:rPr>
      </w:pPr>
    </w:p>
    <w:p w14:paraId="29181308" w14:textId="77777777" w:rsidR="006C1B20" w:rsidRDefault="006C1B20" w:rsidP="75F701D6">
      <w:pPr>
        <w:spacing w:line="360" w:lineRule="auto"/>
        <w:rPr>
          <w:szCs w:val="20"/>
        </w:rPr>
      </w:pPr>
    </w:p>
    <w:p w14:paraId="1B9ED029" w14:textId="77777777" w:rsidR="006C1B20" w:rsidRDefault="006C1B20" w:rsidP="75F701D6">
      <w:pPr>
        <w:spacing w:line="360" w:lineRule="auto"/>
        <w:rPr>
          <w:szCs w:val="20"/>
        </w:rPr>
      </w:pPr>
    </w:p>
    <w:p w14:paraId="36A46C7E" w14:textId="77777777" w:rsidR="006C1B20" w:rsidRDefault="006C1B20" w:rsidP="75F701D6">
      <w:pPr>
        <w:spacing w:line="360" w:lineRule="auto"/>
        <w:rPr>
          <w:szCs w:val="20"/>
        </w:rPr>
      </w:pPr>
    </w:p>
    <w:p w14:paraId="5CE2EF12" w14:textId="77777777" w:rsidR="006C1B20" w:rsidRDefault="006C1B20" w:rsidP="75F701D6">
      <w:pPr>
        <w:spacing w:line="360" w:lineRule="auto"/>
        <w:rPr>
          <w:szCs w:val="20"/>
        </w:rPr>
      </w:pPr>
    </w:p>
    <w:p w14:paraId="08FA6274" w14:textId="77777777" w:rsidR="006C1B20" w:rsidRDefault="006C1B20" w:rsidP="75F701D6">
      <w:pPr>
        <w:spacing w:line="360" w:lineRule="auto"/>
        <w:rPr>
          <w:szCs w:val="20"/>
        </w:rPr>
      </w:pPr>
    </w:p>
    <w:p w14:paraId="089FB89D" w14:textId="65FF3E8C" w:rsidR="006C1B20" w:rsidRDefault="006C1B20" w:rsidP="75F701D6">
      <w:pPr>
        <w:spacing w:line="360" w:lineRule="auto"/>
        <w:rPr>
          <w:szCs w:val="20"/>
        </w:rPr>
      </w:pPr>
    </w:p>
    <w:p w14:paraId="727A028C" w14:textId="77777777" w:rsidR="006C1B20" w:rsidRDefault="006C1B20" w:rsidP="75F701D6">
      <w:pPr>
        <w:spacing w:line="360" w:lineRule="auto"/>
        <w:rPr>
          <w:szCs w:val="20"/>
        </w:rPr>
      </w:pPr>
    </w:p>
    <w:p w14:paraId="4DC0B8CF" w14:textId="77777777" w:rsidR="006C1B20" w:rsidRDefault="006C1B20" w:rsidP="75F701D6">
      <w:pPr>
        <w:spacing w:line="360" w:lineRule="auto"/>
        <w:rPr>
          <w:szCs w:val="20"/>
        </w:rPr>
      </w:pPr>
    </w:p>
    <w:p w14:paraId="757EB217" w14:textId="77777777" w:rsidR="006C1B20" w:rsidRDefault="006C1B20" w:rsidP="75F701D6">
      <w:pPr>
        <w:spacing w:line="360" w:lineRule="auto"/>
        <w:rPr>
          <w:szCs w:val="20"/>
        </w:rPr>
      </w:pPr>
    </w:p>
    <w:p w14:paraId="188314D8" w14:textId="77777777" w:rsidR="006C1B20" w:rsidRDefault="006C1B20" w:rsidP="75F701D6">
      <w:pPr>
        <w:spacing w:line="360" w:lineRule="auto"/>
        <w:rPr>
          <w:szCs w:val="20"/>
        </w:rPr>
      </w:pPr>
    </w:p>
    <w:p w14:paraId="77C358F0" w14:textId="77777777" w:rsidR="006C1B20" w:rsidRDefault="006C1B20" w:rsidP="75F701D6">
      <w:pPr>
        <w:spacing w:line="360" w:lineRule="auto"/>
        <w:rPr>
          <w:szCs w:val="20"/>
        </w:rPr>
      </w:pPr>
    </w:p>
    <w:p w14:paraId="1C37F16A" w14:textId="77777777" w:rsidR="006C1B20" w:rsidRDefault="006C1B20" w:rsidP="75F701D6">
      <w:pPr>
        <w:spacing w:line="360" w:lineRule="auto"/>
        <w:rPr>
          <w:szCs w:val="20"/>
        </w:rPr>
      </w:pPr>
    </w:p>
    <w:p w14:paraId="29353DA9" w14:textId="77777777" w:rsidR="006C1B20" w:rsidRDefault="006C1B20" w:rsidP="75F701D6">
      <w:pPr>
        <w:spacing w:line="360" w:lineRule="auto"/>
        <w:rPr>
          <w:szCs w:val="20"/>
        </w:rPr>
      </w:pPr>
    </w:p>
    <w:p w14:paraId="7A8B412D" w14:textId="77777777" w:rsidR="006C1B20" w:rsidRDefault="006C1B20" w:rsidP="75F701D6">
      <w:pPr>
        <w:spacing w:line="360" w:lineRule="auto"/>
        <w:rPr>
          <w:szCs w:val="20"/>
        </w:rPr>
      </w:pPr>
    </w:p>
    <w:p w14:paraId="4B5051CF" w14:textId="47E9CB4A" w:rsidR="006C1B20" w:rsidRPr="0019432B" w:rsidRDefault="006C1B20" w:rsidP="75F701D6">
      <w:pPr>
        <w:spacing w:line="360" w:lineRule="auto"/>
        <w:rPr>
          <w:szCs w:val="20"/>
        </w:rPr>
      </w:pPr>
    </w:p>
    <w:p w14:paraId="635F52C8" w14:textId="77777777" w:rsidR="006B7B16" w:rsidRDefault="006B7B16" w:rsidP="75F701D6">
      <w:pPr>
        <w:spacing w:line="360" w:lineRule="auto"/>
      </w:pPr>
    </w:p>
    <w:p w14:paraId="5AF7A1AA" w14:textId="77777777" w:rsidR="0040315D" w:rsidRDefault="0040315D" w:rsidP="00776CC0">
      <w:pPr>
        <w:spacing w:line="360" w:lineRule="auto"/>
      </w:pPr>
    </w:p>
    <w:p w14:paraId="6901DCE2" w14:textId="77777777" w:rsidR="000A55F2" w:rsidRDefault="000A55F2" w:rsidP="00776CC0">
      <w:pPr>
        <w:spacing w:line="360" w:lineRule="auto"/>
      </w:pPr>
    </w:p>
    <w:p w14:paraId="0783BA0C" w14:textId="77777777" w:rsidR="0019432B" w:rsidRPr="0019432B" w:rsidRDefault="0019432B" w:rsidP="0019432B">
      <w:pPr>
        <w:spacing w:line="360" w:lineRule="auto"/>
        <w:rPr>
          <w:szCs w:val="20"/>
        </w:rPr>
      </w:pPr>
    </w:p>
    <w:p w14:paraId="63852012" w14:textId="77777777" w:rsidR="0019432B" w:rsidRPr="0019432B" w:rsidRDefault="0019432B" w:rsidP="0019432B">
      <w:pPr>
        <w:spacing w:line="360" w:lineRule="auto"/>
        <w:rPr>
          <w:szCs w:val="20"/>
        </w:rPr>
      </w:pPr>
    </w:p>
    <w:p w14:paraId="052C37D9" w14:textId="77777777" w:rsidR="00631665" w:rsidRPr="000B79F4" w:rsidRDefault="00631665" w:rsidP="007A3ED0">
      <w:pPr>
        <w:spacing w:line="360" w:lineRule="auto"/>
      </w:pPr>
    </w:p>
    <w:sectPr w:rsidR="00631665" w:rsidRPr="000B79F4" w:rsidSect="009F0902">
      <w:footerReference w:type="even" r:id="rId9"/>
      <w:footerReference w:type="default" r:id="rId10"/>
      <w:pgSz w:w="11900" w:h="16840"/>
      <w:pgMar w:top="1440" w:right="1701" w:bottom="1440"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29B2A" w14:textId="77777777" w:rsidR="005E2BC2" w:rsidRDefault="005E2BC2" w:rsidP="00E00D08">
      <w:r>
        <w:separator/>
      </w:r>
    </w:p>
  </w:endnote>
  <w:endnote w:type="continuationSeparator" w:id="0">
    <w:p w14:paraId="01AFBCFA" w14:textId="77777777" w:rsidR="005E2BC2" w:rsidRDefault="005E2BC2" w:rsidP="00E00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76A67" w14:textId="77777777" w:rsidR="00EF0AF9" w:rsidRDefault="00701589" w:rsidP="0098559A">
    <w:pPr>
      <w:pStyle w:val="Footer"/>
      <w:framePr w:wrap="none" w:vAnchor="text" w:hAnchor="margin" w:xAlign="right" w:y="1"/>
      <w:rPr>
        <w:rStyle w:val="PageNumber"/>
      </w:rPr>
    </w:pPr>
    <w:r>
      <w:rPr>
        <w:rStyle w:val="PageNumber"/>
      </w:rPr>
      <w:fldChar w:fldCharType="begin"/>
    </w:r>
    <w:r w:rsidR="00EF0AF9">
      <w:rPr>
        <w:rStyle w:val="PageNumber"/>
      </w:rPr>
      <w:instrText xml:space="preserve">PAGE  </w:instrText>
    </w:r>
    <w:r>
      <w:rPr>
        <w:rStyle w:val="PageNumber"/>
      </w:rPr>
      <w:fldChar w:fldCharType="end"/>
    </w:r>
  </w:p>
  <w:p w14:paraId="6BA997B4" w14:textId="77777777" w:rsidR="00EF0AF9" w:rsidRDefault="00EF0AF9" w:rsidP="00E00D0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65FFF" w14:textId="77777777" w:rsidR="00EF0AF9" w:rsidRDefault="00701589" w:rsidP="0098559A">
    <w:pPr>
      <w:pStyle w:val="Footer"/>
      <w:framePr w:wrap="none" w:vAnchor="text" w:hAnchor="margin" w:xAlign="right" w:y="1"/>
      <w:rPr>
        <w:rStyle w:val="PageNumber"/>
      </w:rPr>
    </w:pPr>
    <w:r>
      <w:rPr>
        <w:rStyle w:val="PageNumber"/>
      </w:rPr>
      <w:fldChar w:fldCharType="begin"/>
    </w:r>
    <w:r w:rsidR="00EF0AF9">
      <w:rPr>
        <w:rStyle w:val="PageNumber"/>
      </w:rPr>
      <w:instrText xml:space="preserve">PAGE  </w:instrText>
    </w:r>
    <w:r>
      <w:rPr>
        <w:rStyle w:val="PageNumber"/>
      </w:rPr>
      <w:fldChar w:fldCharType="separate"/>
    </w:r>
    <w:r w:rsidR="00F14B9A">
      <w:rPr>
        <w:rStyle w:val="PageNumber"/>
        <w:noProof/>
      </w:rPr>
      <w:t>21</w:t>
    </w:r>
    <w:r>
      <w:rPr>
        <w:rStyle w:val="PageNumber"/>
      </w:rPr>
      <w:fldChar w:fldCharType="end"/>
    </w:r>
  </w:p>
  <w:p w14:paraId="5D0D908D" w14:textId="77777777" w:rsidR="00EF0AF9" w:rsidRDefault="00EF0AF9" w:rsidP="00E00D0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F96ED" w14:textId="77777777" w:rsidR="005E2BC2" w:rsidRDefault="005E2BC2" w:rsidP="00E00D08">
      <w:r>
        <w:separator/>
      </w:r>
    </w:p>
  </w:footnote>
  <w:footnote w:type="continuationSeparator" w:id="0">
    <w:p w14:paraId="13FAC4EE" w14:textId="77777777" w:rsidR="005E2BC2" w:rsidRDefault="005E2BC2" w:rsidP="00E00D0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D16F9"/>
    <w:multiLevelType w:val="hybridMultilevel"/>
    <w:tmpl w:val="0F522D88"/>
    <w:lvl w:ilvl="0" w:tplc="3A38C9E2">
      <w:start w:val="1"/>
      <w:numFmt w:val="decimal"/>
      <w:lvlText w:val="%1."/>
      <w:lvlJc w:val="left"/>
      <w:pPr>
        <w:ind w:left="720" w:hanging="360"/>
      </w:pPr>
    </w:lvl>
    <w:lvl w:ilvl="1" w:tplc="90DCC0D2">
      <w:start w:val="1"/>
      <w:numFmt w:val="lowerLetter"/>
      <w:lvlText w:val="%2."/>
      <w:lvlJc w:val="left"/>
      <w:pPr>
        <w:ind w:left="1440" w:hanging="360"/>
      </w:pPr>
    </w:lvl>
    <w:lvl w:ilvl="2" w:tplc="B2BC5E22">
      <w:start w:val="1"/>
      <w:numFmt w:val="lowerRoman"/>
      <w:lvlText w:val="%3."/>
      <w:lvlJc w:val="right"/>
      <w:pPr>
        <w:ind w:left="2160" w:hanging="180"/>
      </w:pPr>
    </w:lvl>
    <w:lvl w:ilvl="3" w:tplc="A5B6C4CE">
      <w:start w:val="1"/>
      <w:numFmt w:val="decimal"/>
      <w:lvlText w:val="%4."/>
      <w:lvlJc w:val="left"/>
      <w:pPr>
        <w:ind w:left="2880" w:hanging="360"/>
      </w:pPr>
    </w:lvl>
    <w:lvl w:ilvl="4" w:tplc="8B744F7A">
      <w:start w:val="1"/>
      <w:numFmt w:val="lowerLetter"/>
      <w:lvlText w:val="%5."/>
      <w:lvlJc w:val="left"/>
      <w:pPr>
        <w:ind w:left="3600" w:hanging="360"/>
      </w:pPr>
    </w:lvl>
    <w:lvl w:ilvl="5" w:tplc="5F5851D2">
      <w:start w:val="1"/>
      <w:numFmt w:val="lowerRoman"/>
      <w:lvlText w:val="%6."/>
      <w:lvlJc w:val="right"/>
      <w:pPr>
        <w:ind w:left="4320" w:hanging="180"/>
      </w:pPr>
    </w:lvl>
    <w:lvl w:ilvl="6" w:tplc="66A4264C">
      <w:start w:val="1"/>
      <w:numFmt w:val="decimal"/>
      <w:lvlText w:val="%7."/>
      <w:lvlJc w:val="left"/>
      <w:pPr>
        <w:ind w:left="5040" w:hanging="360"/>
      </w:pPr>
    </w:lvl>
    <w:lvl w:ilvl="7" w:tplc="AF3C2BA0">
      <w:start w:val="1"/>
      <w:numFmt w:val="lowerLetter"/>
      <w:lvlText w:val="%8."/>
      <w:lvlJc w:val="left"/>
      <w:pPr>
        <w:ind w:left="5760" w:hanging="360"/>
      </w:pPr>
    </w:lvl>
    <w:lvl w:ilvl="8" w:tplc="F46A1DEE">
      <w:start w:val="1"/>
      <w:numFmt w:val="lowerRoman"/>
      <w:lvlText w:val="%9."/>
      <w:lvlJc w:val="right"/>
      <w:pPr>
        <w:ind w:left="6480" w:hanging="180"/>
      </w:pPr>
    </w:lvl>
  </w:abstractNum>
  <w:abstractNum w:abstractNumId="1">
    <w:nsid w:val="0C276F6F"/>
    <w:multiLevelType w:val="hybridMultilevel"/>
    <w:tmpl w:val="A1C0B6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606DAF"/>
    <w:multiLevelType w:val="hybridMultilevel"/>
    <w:tmpl w:val="30F8F694"/>
    <w:lvl w:ilvl="0" w:tplc="2BA85BBC">
      <w:start w:val="1"/>
      <w:numFmt w:val="decimal"/>
      <w:lvlText w:val="%1."/>
      <w:lvlJc w:val="left"/>
      <w:pPr>
        <w:ind w:left="720" w:hanging="360"/>
      </w:pPr>
    </w:lvl>
    <w:lvl w:ilvl="1" w:tplc="D2CA3726">
      <w:start w:val="1"/>
      <w:numFmt w:val="lowerLetter"/>
      <w:lvlText w:val="%2."/>
      <w:lvlJc w:val="left"/>
      <w:pPr>
        <w:ind w:left="1440" w:hanging="360"/>
      </w:pPr>
    </w:lvl>
    <w:lvl w:ilvl="2" w:tplc="29BC81FA">
      <w:start w:val="1"/>
      <w:numFmt w:val="lowerRoman"/>
      <w:lvlText w:val="%3."/>
      <w:lvlJc w:val="right"/>
      <w:pPr>
        <w:ind w:left="2160" w:hanging="180"/>
      </w:pPr>
    </w:lvl>
    <w:lvl w:ilvl="3" w:tplc="ED6040DE">
      <w:start w:val="1"/>
      <w:numFmt w:val="decimal"/>
      <w:lvlText w:val="%4."/>
      <w:lvlJc w:val="left"/>
      <w:pPr>
        <w:ind w:left="2880" w:hanging="360"/>
      </w:pPr>
    </w:lvl>
    <w:lvl w:ilvl="4" w:tplc="0F5E0C5E">
      <w:start w:val="1"/>
      <w:numFmt w:val="lowerLetter"/>
      <w:lvlText w:val="%5."/>
      <w:lvlJc w:val="left"/>
      <w:pPr>
        <w:ind w:left="3600" w:hanging="360"/>
      </w:pPr>
    </w:lvl>
    <w:lvl w:ilvl="5" w:tplc="EB32944E">
      <w:start w:val="1"/>
      <w:numFmt w:val="lowerRoman"/>
      <w:lvlText w:val="%6."/>
      <w:lvlJc w:val="right"/>
      <w:pPr>
        <w:ind w:left="4320" w:hanging="180"/>
      </w:pPr>
    </w:lvl>
    <w:lvl w:ilvl="6" w:tplc="DCC40E96">
      <w:start w:val="1"/>
      <w:numFmt w:val="decimal"/>
      <w:lvlText w:val="%7."/>
      <w:lvlJc w:val="left"/>
      <w:pPr>
        <w:ind w:left="5040" w:hanging="360"/>
      </w:pPr>
    </w:lvl>
    <w:lvl w:ilvl="7" w:tplc="CC2C6D8A">
      <w:start w:val="1"/>
      <w:numFmt w:val="lowerLetter"/>
      <w:lvlText w:val="%8."/>
      <w:lvlJc w:val="left"/>
      <w:pPr>
        <w:ind w:left="5760" w:hanging="360"/>
      </w:pPr>
    </w:lvl>
    <w:lvl w:ilvl="8" w:tplc="E0942FB6">
      <w:start w:val="1"/>
      <w:numFmt w:val="lowerRoman"/>
      <w:lvlText w:val="%9."/>
      <w:lvlJc w:val="right"/>
      <w:pPr>
        <w:ind w:left="6480" w:hanging="180"/>
      </w:pPr>
    </w:lvl>
  </w:abstractNum>
  <w:abstractNum w:abstractNumId="3">
    <w:nsid w:val="5A071539"/>
    <w:multiLevelType w:val="hybridMultilevel"/>
    <w:tmpl w:val="AD5C2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330C32"/>
    <w:multiLevelType w:val="hybridMultilevel"/>
    <w:tmpl w:val="18025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E24F75"/>
    <w:multiLevelType w:val="hybridMultilevel"/>
    <w:tmpl w:val="2514D9EA"/>
    <w:lvl w:ilvl="0" w:tplc="6E205998">
      <w:start w:val="1"/>
      <w:numFmt w:val="decimal"/>
      <w:lvlText w:val="%1."/>
      <w:lvlJc w:val="left"/>
      <w:pPr>
        <w:ind w:left="720" w:hanging="360"/>
      </w:pPr>
    </w:lvl>
    <w:lvl w:ilvl="1" w:tplc="8528DFD6">
      <w:start w:val="1"/>
      <w:numFmt w:val="lowerLetter"/>
      <w:lvlText w:val="%2."/>
      <w:lvlJc w:val="left"/>
      <w:pPr>
        <w:ind w:left="1440" w:hanging="360"/>
      </w:pPr>
    </w:lvl>
    <w:lvl w:ilvl="2" w:tplc="B6CADA1E">
      <w:start w:val="1"/>
      <w:numFmt w:val="lowerRoman"/>
      <w:lvlText w:val="%3."/>
      <w:lvlJc w:val="right"/>
      <w:pPr>
        <w:ind w:left="2160" w:hanging="180"/>
      </w:pPr>
    </w:lvl>
    <w:lvl w:ilvl="3" w:tplc="69F685C2">
      <w:start w:val="1"/>
      <w:numFmt w:val="decimal"/>
      <w:lvlText w:val="%4."/>
      <w:lvlJc w:val="left"/>
      <w:pPr>
        <w:ind w:left="2880" w:hanging="360"/>
      </w:pPr>
    </w:lvl>
    <w:lvl w:ilvl="4" w:tplc="F10CF8D2">
      <w:start w:val="1"/>
      <w:numFmt w:val="lowerLetter"/>
      <w:lvlText w:val="%5."/>
      <w:lvlJc w:val="left"/>
      <w:pPr>
        <w:ind w:left="3600" w:hanging="360"/>
      </w:pPr>
    </w:lvl>
    <w:lvl w:ilvl="5" w:tplc="42FC3010">
      <w:start w:val="1"/>
      <w:numFmt w:val="lowerRoman"/>
      <w:lvlText w:val="%6."/>
      <w:lvlJc w:val="right"/>
      <w:pPr>
        <w:ind w:left="4320" w:hanging="180"/>
      </w:pPr>
    </w:lvl>
    <w:lvl w:ilvl="6" w:tplc="254AF164">
      <w:start w:val="1"/>
      <w:numFmt w:val="decimal"/>
      <w:lvlText w:val="%7."/>
      <w:lvlJc w:val="left"/>
      <w:pPr>
        <w:ind w:left="5040" w:hanging="360"/>
      </w:pPr>
    </w:lvl>
    <w:lvl w:ilvl="7" w:tplc="49689A82">
      <w:start w:val="1"/>
      <w:numFmt w:val="lowerLetter"/>
      <w:lvlText w:val="%8."/>
      <w:lvlJc w:val="left"/>
      <w:pPr>
        <w:ind w:left="5760" w:hanging="360"/>
      </w:pPr>
    </w:lvl>
    <w:lvl w:ilvl="8" w:tplc="0570FFCE">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0DA"/>
    <w:rsid w:val="000101FA"/>
    <w:rsid w:val="00014765"/>
    <w:rsid w:val="0002403A"/>
    <w:rsid w:val="00045B7D"/>
    <w:rsid w:val="00066DA8"/>
    <w:rsid w:val="00067D07"/>
    <w:rsid w:val="000705B1"/>
    <w:rsid w:val="00071AF6"/>
    <w:rsid w:val="00080729"/>
    <w:rsid w:val="0008403E"/>
    <w:rsid w:val="00091A5F"/>
    <w:rsid w:val="00097A53"/>
    <w:rsid w:val="00097C14"/>
    <w:rsid w:val="000A55F2"/>
    <w:rsid w:val="000B01BE"/>
    <w:rsid w:val="000B529C"/>
    <w:rsid w:val="000B5BAC"/>
    <w:rsid w:val="000B79F4"/>
    <w:rsid w:val="000C0A0E"/>
    <w:rsid w:val="000C37D6"/>
    <w:rsid w:val="000C4667"/>
    <w:rsid w:val="000C49EF"/>
    <w:rsid w:val="000C6ADA"/>
    <w:rsid w:val="000D1667"/>
    <w:rsid w:val="000E5649"/>
    <w:rsid w:val="000E6BFE"/>
    <w:rsid w:val="000F1B64"/>
    <w:rsid w:val="000F20A5"/>
    <w:rsid w:val="00107F02"/>
    <w:rsid w:val="00116F19"/>
    <w:rsid w:val="001253E2"/>
    <w:rsid w:val="0012772F"/>
    <w:rsid w:val="0014242D"/>
    <w:rsid w:val="00146B29"/>
    <w:rsid w:val="0015530A"/>
    <w:rsid w:val="00155ED1"/>
    <w:rsid w:val="001634B5"/>
    <w:rsid w:val="00163BAA"/>
    <w:rsid w:val="00166AEB"/>
    <w:rsid w:val="001715A4"/>
    <w:rsid w:val="001754B3"/>
    <w:rsid w:val="0019077D"/>
    <w:rsid w:val="0019432B"/>
    <w:rsid w:val="001A02D4"/>
    <w:rsid w:val="001C4F06"/>
    <w:rsid w:val="001D02C5"/>
    <w:rsid w:val="001D07A9"/>
    <w:rsid w:val="001D5831"/>
    <w:rsid w:val="001F6B54"/>
    <w:rsid w:val="002007A6"/>
    <w:rsid w:val="002054DC"/>
    <w:rsid w:val="002055E8"/>
    <w:rsid w:val="0020647A"/>
    <w:rsid w:val="002121B7"/>
    <w:rsid w:val="00215523"/>
    <w:rsid w:val="00227D59"/>
    <w:rsid w:val="00232FB7"/>
    <w:rsid w:val="0023569B"/>
    <w:rsid w:val="0023754A"/>
    <w:rsid w:val="0024298E"/>
    <w:rsid w:val="00246EE6"/>
    <w:rsid w:val="00247C9D"/>
    <w:rsid w:val="00250EBA"/>
    <w:rsid w:val="00254CEE"/>
    <w:rsid w:val="002571FE"/>
    <w:rsid w:val="0026384B"/>
    <w:rsid w:val="002639EF"/>
    <w:rsid w:val="00274239"/>
    <w:rsid w:val="00277C3A"/>
    <w:rsid w:val="00285A58"/>
    <w:rsid w:val="00291FA0"/>
    <w:rsid w:val="00297916"/>
    <w:rsid w:val="002A72E2"/>
    <w:rsid w:val="002B021D"/>
    <w:rsid w:val="002B4307"/>
    <w:rsid w:val="002C20E3"/>
    <w:rsid w:val="002D030E"/>
    <w:rsid w:val="002D326B"/>
    <w:rsid w:val="002D4BC2"/>
    <w:rsid w:val="002E598C"/>
    <w:rsid w:val="002E6089"/>
    <w:rsid w:val="002E7CF8"/>
    <w:rsid w:val="002F0592"/>
    <w:rsid w:val="002F767E"/>
    <w:rsid w:val="00300F46"/>
    <w:rsid w:val="0030486C"/>
    <w:rsid w:val="00305DC9"/>
    <w:rsid w:val="00311BC3"/>
    <w:rsid w:val="00311BEA"/>
    <w:rsid w:val="00314EB7"/>
    <w:rsid w:val="00322D06"/>
    <w:rsid w:val="0032672A"/>
    <w:rsid w:val="00331A86"/>
    <w:rsid w:val="00335432"/>
    <w:rsid w:val="00345F86"/>
    <w:rsid w:val="003668A0"/>
    <w:rsid w:val="00372523"/>
    <w:rsid w:val="00372E64"/>
    <w:rsid w:val="00383CC8"/>
    <w:rsid w:val="0038748D"/>
    <w:rsid w:val="00393B8C"/>
    <w:rsid w:val="00394D88"/>
    <w:rsid w:val="003B031E"/>
    <w:rsid w:val="003B2C23"/>
    <w:rsid w:val="003B640C"/>
    <w:rsid w:val="003D2E4C"/>
    <w:rsid w:val="003D58B1"/>
    <w:rsid w:val="003D5A69"/>
    <w:rsid w:val="003E78E8"/>
    <w:rsid w:val="003F4C3B"/>
    <w:rsid w:val="004002B1"/>
    <w:rsid w:val="004005F8"/>
    <w:rsid w:val="0040315D"/>
    <w:rsid w:val="00410722"/>
    <w:rsid w:val="004108D0"/>
    <w:rsid w:val="00444B3A"/>
    <w:rsid w:val="004502AC"/>
    <w:rsid w:val="00450DB5"/>
    <w:rsid w:val="0046452C"/>
    <w:rsid w:val="00470B6B"/>
    <w:rsid w:val="00471370"/>
    <w:rsid w:val="00472645"/>
    <w:rsid w:val="00476C43"/>
    <w:rsid w:val="00477351"/>
    <w:rsid w:val="004848AA"/>
    <w:rsid w:val="00495A7F"/>
    <w:rsid w:val="004B6940"/>
    <w:rsid w:val="004C15AC"/>
    <w:rsid w:val="004C371F"/>
    <w:rsid w:val="004C6B28"/>
    <w:rsid w:val="004D037B"/>
    <w:rsid w:val="004D19B6"/>
    <w:rsid w:val="004D2902"/>
    <w:rsid w:val="004D6F65"/>
    <w:rsid w:val="004E0FD8"/>
    <w:rsid w:val="004E2066"/>
    <w:rsid w:val="004E500F"/>
    <w:rsid w:val="004E65C6"/>
    <w:rsid w:val="004F11B9"/>
    <w:rsid w:val="0050401F"/>
    <w:rsid w:val="0050450B"/>
    <w:rsid w:val="005141B7"/>
    <w:rsid w:val="0052225B"/>
    <w:rsid w:val="005222D9"/>
    <w:rsid w:val="005248D7"/>
    <w:rsid w:val="0052755F"/>
    <w:rsid w:val="005417F4"/>
    <w:rsid w:val="00543695"/>
    <w:rsid w:val="005569F3"/>
    <w:rsid w:val="005729EC"/>
    <w:rsid w:val="00572BCA"/>
    <w:rsid w:val="005742C2"/>
    <w:rsid w:val="005748CF"/>
    <w:rsid w:val="00586ED2"/>
    <w:rsid w:val="00587080"/>
    <w:rsid w:val="00587625"/>
    <w:rsid w:val="005926D7"/>
    <w:rsid w:val="005A5C92"/>
    <w:rsid w:val="005B6CF3"/>
    <w:rsid w:val="005C2065"/>
    <w:rsid w:val="005D63E4"/>
    <w:rsid w:val="005D6AE1"/>
    <w:rsid w:val="005E0F92"/>
    <w:rsid w:val="005E2BC2"/>
    <w:rsid w:val="005F21FD"/>
    <w:rsid w:val="005F70AB"/>
    <w:rsid w:val="006147FA"/>
    <w:rsid w:val="006168D9"/>
    <w:rsid w:val="00620B48"/>
    <w:rsid w:val="00625FB3"/>
    <w:rsid w:val="00631665"/>
    <w:rsid w:val="00652411"/>
    <w:rsid w:val="00662B8E"/>
    <w:rsid w:val="0066592C"/>
    <w:rsid w:val="00667933"/>
    <w:rsid w:val="006746D0"/>
    <w:rsid w:val="00681FC6"/>
    <w:rsid w:val="0068336D"/>
    <w:rsid w:val="0069283B"/>
    <w:rsid w:val="00695C43"/>
    <w:rsid w:val="006A2266"/>
    <w:rsid w:val="006B0E6F"/>
    <w:rsid w:val="006B34CB"/>
    <w:rsid w:val="006B4B2D"/>
    <w:rsid w:val="006B5297"/>
    <w:rsid w:val="006B65D8"/>
    <w:rsid w:val="006B7B16"/>
    <w:rsid w:val="006C0359"/>
    <w:rsid w:val="006C16DD"/>
    <w:rsid w:val="006C1B20"/>
    <w:rsid w:val="006C4D51"/>
    <w:rsid w:val="006C54BC"/>
    <w:rsid w:val="006C554D"/>
    <w:rsid w:val="006C5945"/>
    <w:rsid w:val="006D5FD2"/>
    <w:rsid w:val="006D78EF"/>
    <w:rsid w:val="006F2EA4"/>
    <w:rsid w:val="00701589"/>
    <w:rsid w:val="00702BF0"/>
    <w:rsid w:val="007109A0"/>
    <w:rsid w:val="0071501E"/>
    <w:rsid w:val="0072215A"/>
    <w:rsid w:val="00726FAD"/>
    <w:rsid w:val="00736B72"/>
    <w:rsid w:val="00737006"/>
    <w:rsid w:val="007465FB"/>
    <w:rsid w:val="0074734E"/>
    <w:rsid w:val="00747F3C"/>
    <w:rsid w:val="00751072"/>
    <w:rsid w:val="00760CD5"/>
    <w:rsid w:val="00764ED4"/>
    <w:rsid w:val="00766803"/>
    <w:rsid w:val="00771E9A"/>
    <w:rsid w:val="00773DA9"/>
    <w:rsid w:val="007768EC"/>
    <w:rsid w:val="00776CC0"/>
    <w:rsid w:val="00776D05"/>
    <w:rsid w:val="007776EF"/>
    <w:rsid w:val="00780E00"/>
    <w:rsid w:val="00787418"/>
    <w:rsid w:val="00795503"/>
    <w:rsid w:val="007A1EAC"/>
    <w:rsid w:val="007A3ED0"/>
    <w:rsid w:val="007A463D"/>
    <w:rsid w:val="007A6599"/>
    <w:rsid w:val="007A783F"/>
    <w:rsid w:val="007B07CE"/>
    <w:rsid w:val="007B4443"/>
    <w:rsid w:val="007B6B4F"/>
    <w:rsid w:val="007C35CE"/>
    <w:rsid w:val="007C4B3E"/>
    <w:rsid w:val="007C7D4D"/>
    <w:rsid w:val="007D4B6D"/>
    <w:rsid w:val="007E5D5D"/>
    <w:rsid w:val="008030E0"/>
    <w:rsid w:val="008076C5"/>
    <w:rsid w:val="00816BF7"/>
    <w:rsid w:val="00823A20"/>
    <w:rsid w:val="008334DD"/>
    <w:rsid w:val="008400B6"/>
    <w:rsid w:val="008534AD"/>
    <w:rsid w:val="00853F45"/>
    <w:rsid w:val="008561E5"/>
    <w:rsid w:val="008601D3"/>
    <w:rsid w:val="008641C5"/>
    <w:rsid w:val="00871DD3"/>
    <w:rsid w:val="00876B30"/>
    <w:rsid w:val="00882219"/>
    <w:rsid w:val="00883076"/>
    <w:rsid w:val="008851AC"/>
    <w:rsid w:val="00895E96"/>
    <w:rsid w:val="00897084"/>
    <w:rsid w:val="008A36E6"/>
    <w:rsid w:val="008A4082"/>
    <w:rsid w:val="008B39FC"/>
    <w:rsid w:val="008B5FA0"/>
    <w:rsid w:val="008D199D"/>
    <w:rsid w:val="008D1C8A"/>
    <w:rsid w:val="008E1507"/>
    <w:rsid w:val="008E5531"/>
    <w:rsid w:val="008F7889"/>
    <w:rsid w:val="00902689"/>
    <w:rsid w:val="009075A1"/>
    <w:rsid w:val="009272CB"/>
    <w:rsid w:val="00930BDA"/>
    <w:rsid w:val="00932C63"/>
    <w:rsid w:val="00947AD8"/>
    <w:rsid w:val="00953A1D"/>
    <w:rsid w:val="00956EFD"/>
    <w:rsid w:val="00957AF8"/>
    <w:rsid w:val="009748D8"/>
    <w:rsid w:val="009753B2"/>
    <w:rsid w:val="00983A02"/>
    <w:rsid w:val="0098544B"/>
    <w:rsid w:val="0098559A"/>
    <w:rsid w:val="00987F68"/>
    <w:rsid w:val="00994F80"/>
    <w:rsid w:val="009A3A88"/>
    <w:rsid w:val="009A4696"/>
    <w:rsid w:val="009B01C5"/>
    <w:rsid w:val="009B3120"/>
    <w:rsid w:val="009B6AC8"/>
    <w:rsid w:val="009C656D"/>
    <w:rsid w:val="009C7398"/>
    <w:rsid w:val="009D23D3"/>
    <w:rsid w:val="009D33F1"/>
    <w:rsid w:val="009D60FF"/>
    <w:rsid w:val="009E6769"/>
    <w:rsid w:val="009F07C5"/>
    <w:rsid w:val="009F0902"/>
    <w:rsid w:val="009F47AF"/>
    <w:rsid w:val="009F5396"/>
    <w:rsid w:val="009F55BF"/>
    <w:rsid w:val="00A00EAA"/>
    <w:rsid w:val="00A025C8"/>
    <w:rsid w:val="00A03A21"/>
    <w:rsid w:val="00A04937"/>
    <w:rsid w:val="00A17A0B"/>
    <w:rsid w:val="00A22744"/>
    <w:rsid w:val="00A23FEB"/>
    <w:rsid w:val="00A26F92"/>
    <w:rsid w:val="00A47ABD"/>
    <w:rsid w:val="00A51D83"/>
    <w:rsid w:val="00A5653F"/>
    <w:rsid w:val="00A578EF"/>
    <w:rsid w:val="00A62C86"/>
    <w:rsid w:val="00A64C9F"/>
    <w:rsid w:val="00A71041"/>
    <w:rsid w:val="00A77752"/>
    <w:rsid w:val="00A86629"/>
    <w:rsid w:val="00A86D4F"/>
    <w:rsid w:val="00A86F9F"/>
    <w:rsid w:val="00AA2EEB"/>
    <w:rsid w:val="00AB1C70"/>
    <w:rsid w:val="00AB3634"/>
    <w:rsid w:val="00AB58B1"/>
    <w:rsid w:val="00AC35A7"/>
    <w:rsid w:val="00AC42F4"/>
    <w:rsid w:val="00AD38A5"/>
    <w:rsid w:val="00AD76C6"/>
    <w:rsid w:val="00AF3369"/>
    <w:rsid w:val="00B06456"/>
    <w:rsid w:val="00B06892"/>
    <w:rsid w:val="00B10D64"/>
    <w:rsid w:val="00B155BB"/>
    <w:rsid w:val="00B1626A"/>
    <w:rsid w:val="00B44B96"/>
    <w:rsid w:val="00B67B02"/>
    <w:rsid w:val="00B73BC4"/>
    <w:rsid w:val="00B8248B"/>
    <w:rsid w:val="00B85D8B"/>
    <w:rsid w:val="00B9471C"/>
    <w:rsid w:val="00BA465C"/>
    <w:rsid w:val="00BB25A3"/>
    <w:rsid w:val="00BB3B54"/>
    <w:rsid w:val="00BC35C3"/>
    <w:rsid w:val="00BC76D3"/>
    <w:rsid w:val="00BD0B6C"/>
    <w:rsid w:val="00BD1C7D"/>
    <w:rsid w:val="00BD2526"/>
    <w:rsid w:val="00BD3FC9"/>
    <w:rsid w:val="00BD5F1D"/>
    <w:rsid w:val="00BE0B1F"/>
    <w:rsid w:val="00BE1B3F"/>
    <w:rsid w:val="00BE33F9"/>
    <w:rsid w:val="00BE7852"/>
    <w:rsid w:val="00BF1ED8"/>
    <w:rsid w:val="00C023E4"/>
    <w:rsid w:val="00C10EFA"/>
    <w:rsid w:val="00C11755"/>
    <w:rsid w:val="00C16C7B"/>
    <w:rsid w:val="00C2038A"/>
    <w:rsid w:val="00C21160"/>
    <w:rsid w:val="00C21E5C"/>
    <w:rsid w:val="00C251EF"/>
    <w:rsid w:val="00C412D5"/>
    <w:rsid w:val="00C428A7"/>
    <w:rsid w:val="00C569B3"/>
    <w:rsid w:val="00C57858"/>
    <w:rsid w:val="00C57DC8"/>
    <w:rsid w:val="00C6145E"/>
    <w:rsid w:val="00C64A51"/>
    <w:rsid w:val="00C6670B"/>
    <w:rsid w:val="00C8446E"/>
    <w:rsid w:val="00C8709E"/>
    <w:rsid w:val="00C87721"/>
    <w:rsid w:val="00C9035C"/>
    <w:rsid w:val="00C914ED"/>
    <w:rsid w:val="00C91587"/>
    <w:rsid w:val="00CA67C3"/>
    <w:rsid w:val="00CB3004"/>
    <w:rsid w:val="00CB69A6"/>
    <w:rsid w:val="00CB7EEA"/>
    <w:rsid w:val="00CD11CA"/>
    <w:rsid w:val="00CD5864"/>
    <w:rsid w:val="00CE435C"/>
    <w:rsid w:val="00CE68EA"/>
    <w:rsid w:val="00CE6C33"/>
    <w:rsid w:val="00CF24E7"/>
    <w:rsid w:val="00CF280C"/>
    <w:rsid w:val="00CF7A2D"/>
    <w:rsid w:val="00D060EE"/>
    <w:rsid w:val="00D07E9C"/>
    <w:rsid w:val="00D11B06"/>
    <w:rsid w:val="00D143DB"/>
    <w:rsid w:val="00D15508"/>
    <w:rsid w:val="00D20406"/>
    <w:rsid w:val="00D30177"/>
    <w:rsid w:val="00D30F46"/>
    <w:rsid w:val="00D31328"/>
    <w:rsid w:val="00D31B78"/>
    <w:rsid w:val="00D3401A"/>
    <w:rsid w:val="00D35107"/>
    <w:rsid w:val="00D40CE9"/>
    <w:rsid w:val="00D4188B"/>
    <w:rsid w:val="00D47503"/>
    <w:rsid w:val="00D516F0"/>
    <w:rsid w:val="00D57DBF"/>
    <w:rsid w:val="00D6188A"/>
    <w:rsid w:val="00D629E0"/>
    <w:rsid w:val="00D703CE"/>
    <w:rsid w:val="00D71117"/>
    <w:rsid w:val="00D724B6"/>
    <w:rsid w:val="00D74C2F"/>
    <w:rsid w:val="00D81458"/>
    <w:rsid w:val="00D81A34"/>
    <w:rsid w:val="00D82836"/>
    <w:rsid w:val="00D86E7B"/>
    <w:rsid w:val="00DB5F8B"/>
    <w:rsid w:val="00DC04A2"/>
    <w:rsid w:val="00DC0FE1"/>
    <w:rsid w:val="00DC1C63"/>
    <w:rsid w:val="00DD0C87"/>
    <w:rsid w:val="00DE3490"/>
    <w:rsid w:val="00DE5860"/>
    <w:rsid w:val="00DF21CF"/>
    <w:rsid w:val="00E00D08"/>
    <w:rsid w:val="00E0391D"/>
    <w:rsid w:val="00E04510"/>
    <w:rsid w:val="00E24C39"/>
    <w:rsid w:val="00E2518F"/>
    <w:rsid w:val="00E4078A"/>
    <w:rsid w:val="00E42DA4"/>
    <w:rsid w:val="00E47AC3"/>
    <w:rsid w:val="00E615C6"/>
    <w:rsid w:val="00E71600"/>
    <w:rsid w:val="00E72BF4"/>
    <w:rsid w:val="00E76485"/>
    <w:rsid w:val="00E76C76"/>
    <w:rsid w:val="00E819CE"/>
    <w:rsid w:val="00E93385"/>
    <w:rsid w:val="00E96510"/>
    <w:rsid w:val="00EA01C9"/>
    <w:rsid w:val="00EA35A3"/>
    <w:rsid w:val="00EA3DDC"/>
    <w:rsid w:val="00EA50FC"/>
    <w:rsid w:val="00EA6F2A"/>
    <w:rsid w:val="00EB6525"/>
    <w:rsid w:val="00EC7665"/>
    <w:rsid w:val="00ED6181"/>
    <w:rsid w:val="00EE0C81"/>
    <w:rsid w:val="00EE616D"/>
    <w:rsid w:val="00EE735B"/>
    <w:rsid w:val="00EF0AF9"/>
    <w:rsid w:val="00EF1B7B"/>
    <w:rsid w:val="00EF2C85"/>
    <w:rsid w:val="00EF72FD"/>
    <w:rsid w:val="00EF7520"/>
    <w:rsid w:val="00F01675"/>
    <w:rsid w:val="00F02BA8"/>
    <w:rsid w:val="00F02E8F"/>
    <w:rsid w:val="00F03CBE"/>
    <w:rsid w:val="00F1224A"/>
    <w:rsid w:val="00F14B9A"/>
    <w:rsid w:val="00F172B0"/>
    <w:rsid w:val="00F20339"/>
    <w:rsid w:val="00F20E23"/>
    <w:rsid w:val="00F214A5"/>
    <w:rsid w:val="00F27FD6"/>
    <w:rsid w:val="00F32ADD"/>
    <w:rsid w:val="00F348C6"/>
    <w:rsid w:val="00F40FF9"/>
    <w:rsid w:val="00F45AA0"/>
    <w:rsid w:val="00F45C80"/>
    <w:rsid w:val="00F5115C"/>
    <w:rsid w:val="00F518B5"/>
    <w:rsid w:val="00F614BE"/>
    <w:rsid w:val="00F62BD3"/>
    <w:rsid w:val="00F6303A"/>
    <w:rsid w:val="00F63655"/>
    <w:rsid w:val="00F707E7"/>
    <w:rsid w:val="00F73269"/>
    <w:rsid w:val="00F84BED"/>
    <w:rsid w:val="00F9278E"/>
    <w:rsid w:val="00F930DA"/>
    <w:rsid w:val="00F953B0"/>
    <w:rsid w:val="00FB0244"/>
    <w:rsid w:val="00FB7929"/>
    <w:rsid w:val="00FC3345"/>
    <w:rsid w:val="00FD0E89"/>
    <w:rsid w:val="00FD12FC"/>
    <w:rsid w:val="00FF46D5"/>
    <w:rsid w:val="2A556FA9"/>
    <w:rsid w:val="2BFEC2B6"/>
    <w:rsid w:val="35E6424F"/>
    <w:rsid w:val="3E730610"/>
    <w:rsid w:val="43FE6230"/>
    <w:rsid w:val="49FAE5F5"/>
    <w:rsid w:val="4F7AC53C"/>
    <w:rsid w:val="5405118B"/>
    <w:rsid w:val="550AF966"/>
    <w:rsid w:val="55AF67D1"/>
    <w:rsid w:val="59F1ED15"/>
    <w:rsid w:val="5DFEC100"/>
    <w:rsid w:val="6AA2F5B0"/>
    <w:rsid w:val="740A3DDC"/>
    <w:rsid w:val="75F701D6"/>
    <w:rsid w:val="7F59F4D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4BB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665"/>
    <w:pPr>
      <w:ind w:left="720"/>
      <w:contextualSpacing/>
    </w:pPr>
    <w:rPr>
      <w:rFonts w:ascii="Calibri" w:eastAsia="Calibri" w:hAnsi="Calibri" w:cs="Arial"/>
    </w:rPr>
  </w:style>
  <w:style w:type="paragraph" w:styleId="Footer">
    <w:name w:val="footer"/>
    <w:basedOn w:val="Normal"/>
    <w:link w:val="FooterChar"/>
    <w:uiPriority w:val="99"/>
    <w:unhideWhenUsed/>
    <w:rsid w:val="00E00D08"/>
    <w:pPr>
      <w:tabs>
        <w:tab w:val="center" w:pos="4513"/>
        <w:tab w:val="right" w:pos="9026"/>
      </w:tabs>
    </w:pPr>
  </w:style>
  <w:style w:type="character" w:customStyle="1" w:styleId="FooterChar">
    <w:name w:val="Footer Char"/>
    <w:basedOn w:val="DefaultParagraphFont"/>
    <w:link w:val="Footer"/>
    <w:uiPriority w:val="99"/>
    <w:rsid w:val="00E00D08"/>
  </w:style>
  <w:style w:type="character" w:styleId="PageNumber">
    <w:name w:val="page number"/>
    <w:basedOn w:val="DefaultParagraphFont"/>
    <w:uiPriority w:val="99"/>
    <w:semiHidden/>
    <w:unhideWhenUsed/>
    <w:rsid w:val="00E00D08"/>
  </w:style>
  <w:style w:type="character" w:styleId="Hyperlink">
    <w:name w:val="Hyperlink"/>
    <w:basedOn w:val="DefaultParagraphFont"/>
    <w:uiPriority w:val="99"/>
    <w:unhideWhenUsed/>
    <w:rsid w:val="0040315D"/>
    <w:rPr>
      <w:color w:val="0563C1" w:themeColor="hyperlink"/>
      <w:u w:val="single"/>
    </w:rPr>
  </w:style>
  <w:style w:type="character" w:customStyle="1" w:styleId="current-selection">
    <w:name w:val="current-selection"/>
    <w:basedOn w:val="DefaultParagraphFont"/>
    <w:rsid w:val="00FB0244"/>
  </w:style>
  <w:style w:type="character" w:customStyle="1" w:styleId="7current-selection">
    <w:name w:val="_ _7 current-selection"/>
    <w:basedOn w:val="DefaultParagraphFont"/>
    <w:rsid w:val="00FB0244"/>
  </w:style>
  <w:style w:type="character" w:customStyle="1" w:styleId="1acurrent-selection">
    <w:name w:val="_ _1a current-selection"/>
    <w:basedOn w:val="DefaultParagraphFont"/>
    <w:rsid w:val="00FB0244"/>
  </w:style>
  <w:style w:type="character" w:customStyle="1" w:styleId="3current-selection">
    <w:name w:val="_ _3 current-selection"/>
    <w:basedOn w:val="DefaultParagraphFont"/>
    <w:rsid w:val="0019432B"/>
  </w:style>
  <w:style w:type="character" w:customStyle="1" w:styleId="12current-selection">
    <w:name w:val="_ _12 current-selection"/>
    <w:basedOn w:val="DefaultParagraphFont"/>
    <w:rsid w:val="0019432B"/>
  </w:style>
  <w:style w:type="character" w:customStyle="1" w:styleId="0current-selection">
    <w:name w:val="_ _0 current-selection"/>
    <w:basedOn w:val="DefaultParagraphFont"/>
    <w:rsid w:val="0019432B"/>
  </w:style>
  <w:style w:type="character" w:customStyle="1" w:styleId="ff1current-selection">
    <w:name w:val="ff1 current-selection"/>
    <w:basedOn w:val="DefaultParagraphFont"/>
    <w:rsid w:val="0019432B"/>
  </w:style>
  <w:style w:type="character" w:customStyle="1" w:styleId="17current-selection">
    <w:name w:val="_ _17 current-selection"/>
    <w:basedOn w:val="DefaultParagraphFont"/>
    <w:rsid w:val="0019432B"/>
  </w:style>
  <w:style w:type="character" w:customStyle="1" w:styleId="9current-selection">
    <w:name w:val="_ _9 current-selection"/>
    <w:basedOn w:val="DefaultParagraphFont"/>
    <w:rsid w:val="0019432B"/>
  </w:style>
  <w:style w:type="character" w:customStyle="1" w:styleId="acurrent-selection">
    <w:name w:val="_ _a current-selection"/>
    <w:basedOn w:val="DefaultParagraphFont"/>
    <w:rsid w:val="0019432B"/>
  </w:style>
  <w:style w:type="character" w:customStyle="1" w:styleId="dcurrent-selection">
    <w:name w:val="_ _d current-selection"/>
    <w:basedOn w:val="DefaultParagraphFont"/>
    <w:rsid w:val="0019432B"/>
  </w:style>
  <w:style w:type="character" w:customStyle="1" w:styleId="4current-selection">
    <w:name w:val="_ _4 current-selection"/>
    <w:basedOn w:val="DefaultParagraphFont"/>
    <w:rsid w:val="0019432B"/>
  </w:style>
  <w:style w:type="character" w:customStyle="1" w:styleId="slug-doi">
    <w:name w:val="slug-doi"/>
    <w:basedOn w:val="DefaultParagraphFont"/>
    <w:rsid w:val="0019432B"/>
  </w:style>
  <w:style w:type="paragraph" w:styleId="BalloonText">
    <w:name w:val="Balloon Text"/>
    <w:basedOn w:val="Normal"/>
    <w:link w:val="BalloonTextChar"/>
    <w:uiPriority w:val="99"/>
    <w:semiHidden/>
    <w:unhideWhenUsed/>
    <w:rsid w:val="0065241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5241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D6181"/>
    <w:rPr>
      <w:sz w:val="16"/>
      <w:szCs w:val="16"/>
    </w:rPr>
  </w:style>
  <w:style w:type="paragraph" w:styleId="CommentText">
    <w:name w:val="annotation text"/>
    <w:basedOn w:val="Normal"/>
    <w:link w:val="CommentTextChar"/>
    <w:uiPriority w:val="99"/>
    <w:semiHidden/>
    <w:unhideWhenUsed/>
    <w:rsid w:val="00ED6181"/>
    <w:rPr>
      <w:sz w:val="20"/>
      <w:szCs w:val="20"/>
    </w:rPr>
  </w:style>
  <w:style w:type="character" w:customStyle="1" w:styleId="CommentTextChar">
    <w:name w:val="Comment Text Char"/>
    <w:basedOn w:val="DefaultParagraphFont"/>
    <w:link w:val="CommentText"/>
    <w:uiPriority w:val="99"/>
    <w:semiHidden/>
    <w:rsid w:val="00ED6181"/>
    <w:rPr>
      <w:sz w:val="20"/>
      <w:szCs w:val="20"/>
    </w:rPr>
  </w:style>
  <w:style w:type="paragraph" w:styleId="CommentSubject">
    <w:name w:val="annotation subject"/>
    <w:basedOn w:val="CommentText"/>
    <w:next w:val="CommentText"/>
    <w:link w:val="CommentSubjectChar"/>
    <w:uiPriority w:val="99"/>
    <w:semiHidden/>
    <w:unhideWhenUsed/>
    <w:rsid w:val="00ED6181"/>
    <w:rPr>
      <w:b/>
      <w:bCs/>
    </w:rPr>
  </w:style>
  <w:style w:type="character" w:customStyle="1" w:styleId="CommentSubjectChar">
    <w:name w:val="Comment Subject Char"/>
    <w:basedOn w:val="CommentTextChar"/>
    <w:link w:val="CommentSubject"/>
    <w:uiPriority w:val="99"/>
    <w:semiHidden/>
    <w:rsid w:val="00ED6181"/>
    <w:rPr>
      <w:b/>
      <w:bCs/>
      <w:sz w:val="20"/>
      <w:szCs w:val="20"/>
    </w:rPr>
  </w:style>
  <w:style w:type="character" w:styleId="FollowedHyperlink">
    <w:name w:val="FollowedHyperlink"/>
    <w:basedOn w:val="DefaultParagraphFont"/>
    <w:uiPriority w:val="99"/>
    <w:semiHidden/>
    <w:unhideWhenUsed/>
    <w:rsid w:val="00F03C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513885">
      <w:bodyDiv w:val="1"/>
      <w:marLeft w:val="0"/>
      <w:marRight w:val="0"/>
      <w:marTop w:val="0"/>
      <w:marBottom w:val="0"/>
      <w:divBdr>
        <w:top w:val="none" w:sz="0" w:space="0" w:color="auto"/>
        <w:left w:val="none" w:sz="0" w:space="0" w:color="auto"/>
        <w:bottom w:val="none" w:sz="0" w:space="0" w:color="auto"/>
        <w:right w:val="none" w:sz="0" w:space="0" w:color="auto"/>
      </w:divBdr>
      <w:divsChild>
        <w:div w:id="288508811">
          <w:marLeft w:val="0"/>
          <w:marRight w:val="0"/>
          <w:marTop w:val="0"/>
          <w:marBottom w:val="0"/>
          <w:divBdr>
            <w:top w:val="none" w:sz="0" w:space="0" w:color="auto"/>
            <w:left w:val="none" w:sz="0" w:space="0" w:color="auto"/>
            <w:bottom w:val="none" w:sz="0" w:space="0" w:color="auto"/>
            <w:right w:val="none" w:sz="0" w:space="0" w:color="auto"/>
          </w:divBdr>
        </w:div>
        <w:div w:id="758795520">
          <w:marLeft w:val="0"/>
          <w:marRight w:val="0"/>
          <w:marTop w:val="0"/>
          <w:marBottom w:val="0"/>
          <w:divBdr>
            <w:top w:val="none" w:sz="0" w:space="0" w:color="auto"/>
            <w:left w:val="none" w:sz="0" w:space="0" w:color="auto"/>
            <w:bottom w:val="none" w:sz="0" w:space="0" w:color="auto"/>
            <w:right w:val="none" w:sz="0" w:space="0" w:color="auto"/>
          </w:divBdr>
        </w:div>
      </w:divsChild>
    </w:div>
    <w:div w:id="316034466">
      <w:bodyDiv w:val="1"/>
      <w:marLeft w:val="0"/>
      <w:marRight w:val="0"/>
      <w:marTop w:val="0"/>
      <w:marBottom w:val="0"/>
      <w:divBdr>
        <w:top w:val="none" w:sz="0" w:space="0" w:color="auto"/>
        <w:left w:val="none" w:sz="0" w:space="0" w:color="auto"/>
        <w:bottom w:val="none" w:sz="0" w:space="0" w:color="auto"/>
        <w:right w:val="none" w:sz="0" w:space="0" w:color="auto"/>
      </w:divBdr>
      <w:divsChild>
        <w:div w:id="98919676">
          <w:marLeft w:val="0"/>
          <w:marRight w:val="0"/>
          <w:marTop w:val="0"/>
          <w:marBottom w:val="0"/>
          <w:divBdr>
            <w:top w:val="none" w:sz="0" w:space="0" w:color="auto"/>
            <w:left w:val="none" w:sz="0" w:space="0" w:color="auto"/>
            <w:bottom w:val="none" w:sz="0" w:space="0" w:color="auto"/>
            <w:right w:val="none" w:sz="0" w:space="0" w:color="auto"/>
          </w:divBdr>
        </w:div>
        <w:div w:id="1049450322">
          <w:marLeft w:val="0"/>
          <w:marRight w:val="0"/>
          <w:marTop w:val="0"/>
          <w:marBottom w:val="0"/>
          <w:divBdr>
            <w:top w:val="none" w:sz="0" w:space="0" w:color="auto"/>
            <w:left w:val="none" w:sz="0" w:space="0" w:color="auto"/>
            <w:bottom w:val="none" w:sz="0" w:space="0" w:color="auto"/>
            <w:right w:val="none" w:sz="0" w:space="0" w:color="auto"/>
          </w:divBdr>
        </w:div>
      </w:divsChild>
    </w:div>
    <w:div w:id="959607287">
      <w:bodyDiv w:val="1"/>
      <w:marLeft w:val="0"/>
      <w:marRight w:val="0"/>
      <w:marTop w:val="0"/>
      <w:marBottom w:val="0"/>
      <w:divBdr>
        <w:top w:val="none" w:sz="0" w:space="0" w:color="auto"/>
        <w:left w:val="none" w:sz="0" w:space="0" w:color="auto"/>
        <w:bottom w:val="none" w:sz="0" w:space="0" w:color="auto"/>
        <w:right w:val="none" w:sz="0" w:space="0" w:color="auto"/>
      </w:divBdr>
      <w:divsChild>
        <w:div w:id="1991933741">
          <w:marLeft w:val="0"/>
          <w:marRight w:val="0"/>
          <w:marTop w:val="0"/>
          <w:marBottom w:val="0"/>
          <w:divBdr>
            <w:top w:val="none" w:sz="0" w:space="0" w:color="auto"/>
            <w:left w:val="none" w:sz="0" w:space="0" w:color="auto"/>
            <w:bottom w:val="none" w:sz="0" w:space="0" w:color="auto"/>
            <w:right w:val="none" w:sz="0" w:space="0" w:color="auto"/>
          </w:divBdr>
        </w:div>
        <w:div w:id="211235381">
          <w:marLeft w:val="0"/>
          <w:marRight w:val="0"/>
          <w:marTop w:val="0"/>
          <w:marBottom w:val="0"/>
          <w:divBdr>
            <w:top w:val="none" w:sz="0" w:space="0" w:color="auto"/>
            <w:left w:val="none" w:sz="0" w:space="0" w:color="auto"/>
            <w:bottom w:val="none" w:sz="0" w:space="0" w:color="auto"/>
            <w:right w:val="none" w:sz="0" w:space="0" w:color="auto"/>
          </w:divBdr>
        </w:div>
        <w:div w:id="704644338">
          <w:marLeft w:val="0"/>
          <w:marRight w:val="0"/>
          <w:marTop w:val="0"/>
          <w:marBottom w:val="0"/>
          <w:divBdr>
            <w:top w:val="none" w:sz="0" w:space="0" w:color="auto"/>
            <w:left w:val="none" w:sz="0" w:space="0" w:color="auto"/>
            <w:bottom w:val="none" w:sz="0" w:space="0" w:color="auto"/>
            <w:right w:val="none" w:sz="0" w:space="0" w:color="auto"/>
          </w:divBdr>
        </w:div>
      </w:divsChild>
    </w:div>
    <w:div w:id="10276057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kirkpatrickpartners.com/OurPhilosophy/TheNewWorldKirkpatrickModel/tabid/303/" TargetMode="Externa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4918</Words>
  <Characters>28039</Characters>
  <Application>Microsoft Macintosh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32892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Pickering</dc:creator>
  <cp:keywords/>
  <dc:description/>
  <cp:lastModifiedBy>James Pickering</cp:lastModifiedBy>
  <cp:revision>2</cp:revision>
  <cp:lastPrinted>2016-05-19T14:26:00Z</cp:lastPrinted>
  <dcterms:created xsi:type="dcterms:W3CDTF">2016-07-12T08:54:00Z</dcterms:created>
  <dcterms:modified xsi:type="dcterms:W3CDTF">2016-07-12T08:54:00Z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ser Name_1">
    <vt:lpwstr>j.d.pickering@leeds.ac.uk@www.mendeley.com</vt:lpwstr>
  </property>
</Properties>
</file>