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83046A" w14:textId="1741E4D5" w:rsidR="00B73DAD" w:rsidRPr="00FD5E99" w:rsidRDefault="00B73DAD">
      <w:pPr>
        <w:rPr>
          <w:b/>
          <w:sz w:val="32"/>
          <w:szCs w:val="28"/>
          <w:lang w:val="en-US"/>
        </w:rPr>
      </w:pPr>
      <w:r w:rsidRPr="00FD5E99">
        <w:rPr>
          <w:b/>
          <w:sz w:val="32"/>
          <w:szCs w:val="28"/>
          <w:lang w:val="en-US"/>
        </w:rPr>
        <w:t>Minimum</w:t>
      </w:r>
      <w:r w:rsidR="00364230" w:rsidRPr="00FD5E99">
        <w:rPr>
          <w:b/>
          <w:sz w:val="32"/>
          <w:szCs w:val="28"/>
          <w:lang w:val="en-US"/>
        </w:rPr>
        <w:t xml:space="preserve"> unit</w:t>
      </w:r>
      <w:r w:rsidRPr="00FD5E99">
        <w:rPr>
          <w:b/>
          <w:sz w:val="32"/>
          <w:szCs w:val="28"/>
          <w:lang w:val="en-US"/>
        </w:rPr>
        <w:t xml:space="preserve"> pricing</w:t>
      </w:r>
      <w:r w:rsidR="00364230" w:rsidRPr="00FD5E99">
        <w:rPr>
          <w:b/>
          <w:sz w:val="32"/>
          <w:szCs w:val="28"/>
          <w:lang w:val="en-US"/>
        </w:rPr>
        <w:t xml:space="preserve"> for alcohol</w:t>
      </w:r>
      <w:r w:rsidRPr="00FD5E99">
        <w:rPr>
          <w:b/>
          <w:sz w:val="32"/>
          <w:szCs w:val="28"/>
          <w:lang w:val="en-US"/>
        </w:rPr>
        <w:t xml:space="preserve"> may not be a proportionate public health intervention</w:t>
      </w:r>
    </w:p>
    <w:p w14:paraId="736B5D1C" w14:textId="77777777" w:rsidR="00722A38" w:rsidRPr="00FD5E99" w:rsidRDefault="00722A38">
      <w:pPr>
        <w:rPr>
          <w:b/>
          <w:sz w:val="28"/>
          <w:lang w:val="en-US"/>
        </w:rPr>
      </w:pPr>
    </w:p>
    <w:p w14:paraId="78DFE39E" w14:textId="34AB9393" w:rsidR="00722A38" w:rsidRPr="00FD5E99" w:rsidRDefault="00722A38">
      <w:pPr>
        <w:rPr>
          <w:i/>
          <w:szCs w:val="22"/>
          <w:lang w:val="en-US"/>
        </w:rPr>
      </w:pPr>
      <w:r w:rsidRPr="00FD5E99">
        <w:rPr>
          <w:i/>
          <w:szCs w:val="22"/>
          <w:lang w:val="en-US"/>
        </w:rPr>
        <w:t>Oliver Bartlett</w:t>
      </w:r>
      <w:r w:rsidR="00076684" w:rsidRPr="00FD5E99">
        <w:rPr>
          <w:i/>
          <w:szCs w:val="22"/>
          <w:lang w:val="en-US"/>
        </w:rPr>
        <w:t>*</w:t>
      </w:r>
    </w:p>
    <w:p w14:paraId="42E732F6" w14:textId="77777777" w:rsidR="001A71DC" w:rsidRPr="00FD5E99" w:rsidRDefault="001A71DC">
      <w:pPr>
        <w:rPr>
          <w:i/>
          <w:szCs w:val="22"/>
          <w:lang w:val="en-US"/>
        </w:rPr>
      </w:pPr>
    </w:p>
    <w:p w14:paraId="3A9ADDD6" w14:textId="183115CD" w:rsidR="001A71DC" w:rsidRPr="00FD5E99" w:rsidRDefault="00A66568">
      <w:pPr>
        <w:rPr>
          <w:i/>
          <w:szCs w:val="22"/>
          <w:lang w:val="en-US"/>
        </w:rPr>
      </w:pPr>
      <w:r w:rsidRPr="00FD5E99">
        <w:rPr>
          <w:i/>
          <w:szCs w:val="22"/>
          <w:lang w:val="en-US"/>
        </w:rPr>
        <w:t>Case C-333/14 Scotch Whisky Association</w:t>
      </w:r>
      <w:r w:rsidR="00BC66BA" w:rsidRPr="00FD5E99">
        <w:rPr>
          <w:i/>
          <w:szCs w:val="22"/>
          <w:lang w:val="en-US"/>
        </w:rPr>
        <w:t xml:space="preserve"> and Others v Lord</w:t>
      </w:r>
      <w:r w:rsidR="00AD4666" w:rsidRPr="00FD5E99">
        <w:rPr>
          <w:i/>
          <w:szCs w:val="22"/>
          <w:lang w:val="en-US"/>
        </w:rPr>
        <w:t xml:space="preserve"> Advocate and Advocate General for Scotland</w:t>
      </w:r>
      <w:r w:rsidR="00DB20B4">
        <w:rPr>
          <w:i/>
          <w:szCs w:val="22"/>
          <w:lang w:val="en-US"/>
        </w:rPr>
        <w:t xml:space="preserve"> </w:t>
      </w:r>
      <w:r w:rsidR="00DB20B4">
        <w:rPr>
          <w:szCs w:val="22"/>
          <w:lang w:val="en-US"/>
        </w:rPr>
        <w:t xml:space="preserve">[2015] </w:t>
      </w:r>
      <w:r w:rsidR="00DB20B4">
        <w:t>ECLI</w:t>
      </w:r>
      <w:proofErr w:type="gramStart"/>
      <w:r w:rsidR="00DB20B4">
        <w:t>:EU:C:2015:845</w:t>
      </w:r>
      <w:proofErr w:type="gramEnd"/>
    </w:p>
    <w:p w14:paraId="469C96DE" w14:textId="77777777" w:rsidR="00C63B5E" w:rsidRPr="00FD5E99" w:rsidRDefault="00C63B5E">
      <w:pPr>
        <w:rPr>
          <w:i/>
          <w:szCs w:val="22"/>
          <w:lang w:val="en-US"/>
        </w:rPr>
      </w:pPr>
    </w:p>
    <w:p w14:paraId="441F19CE" w14:textId="77777777" w:rsidR="00246D0C" w:rsidRPr="00FD5E99" w:rsidRDefault="00246D0C">
      <w:pPr>
        <w:rPr>
          <w:i/>
          <w:szCs w:val="22"/>
          <w:lang w:val="en-US"/>
        </w:rPr>
      </w:pPr>
    </w:p>
    <w:p w14:paraId="782DCEF2" w14:textId="614B613A" w:rsidR="00246D0C" w:rsidRPr="00FD5E99" w:rsidRDefault="00F85340">
      <w:pPr>
        <w:rPr>
          <w:b/>
          <w:szCs w:val="22"/>
          <w:lang w:val="en-US"/>
        </w:rPr>
      </w:pPr>
      <w:r w:rsidRPr="00FD5E99">
        <w:rPr>
          <w:b/>
          <w:szCs w:val="22"/>
          <w:lang w:val="en-US"/>
        </w:rPr>
        <w:t xml:space="preserve">I. </w:t>
      </w:r>
      <w:r w:rsidR="00904E7B" w:rsidRPr="00FD5E99">
        <w:rPr>
          <w:b/>
          <w:szCs w:val="22"/>
          <w:lang w:val="en-US"/>
        </w:rPr>
        <w:t>Background to the c</w:t>
      </w:r>
      <w:r w:rsidR="00246D0C" w:rsidRPr="00FD5E99">
        <w:rPr>
          <w:b/>
          <w:szCs w:val="22"/>
          <w:lang w:val="en-US"/>
        </w:rPr>
        <w:t>ase</w:t>
      </w:r>
    </w:p>
    <w:p w14:paraId="6A6A087B" w14:textId="77777777" w:rsidR="00F85340" w:rsidRPr="00FD5E99" w:rsidRDefault="00F85340">
      <w:pPr>
        <w:rPr>
          <w:b/>
          <w:szCs w:val="22"/>
          <w:lang w:val="en-US"/>
        </w:rPr>
      </w:pPr>
    </w:p>
    <w:p w14:paraId="2B8B909D" w14:textId="00AA5937" w:rsidR="00C047DD" w:rsidRPr="00FD5E99" w:rsidRDefault="00B83106" w:rsidP="00B94BD9">
      <w:pPr>
        <w:rPr>
          <w:szCs w:val="22"/>
          <w:lang w:val="en-US"/>
        </w:rPr>
      </w:pPr>
      <w:r w:rsidRPr="00FD5E99">
        <w:rPr>
          <w:szCs w:val="22"/>
          <w:lang w:val="en-US"/>
        </w:rPr>
        <w:t xml:space="preserve">Setting </w:t>
      </w:r>
      <w:r w:rsidR="002A70BB" w:rsidRPr="00FD5E99">
        <w:rPr>
          <w:szCs w:val="22"/>
          <w:lang w:val="en-US"/>
        </w:rPr>
        <w:t>a minimum</w:t>
      </w:r>
      <w:r w:rsidR="00C915DA" w:rsidRPr="00FD5E99">
        <w:rPr>
          <w:szCs w:val="22"/>
          <w:lang w:val="en-US"/>
        </w:rPr>
        <w:t xml:space="preserve"> unit</w:t>
      </w:r>
      <w:r w:rsidR="002A70BB" w:rsidRPr="00FD5E99">
        <w:rPr>
          <w:szCs w:val="22"/>
          <w:lang w:val="en-US"/>
        </w:rPr>
        <w:t xml:space="preserve"> price for</w:t>
      </w:r>
      <w:r w:rsidR="00C915DA" w:rsidRPr="00FD5E99">
        <w:rPr>
          <w:szCs w:val="22"/>
          <w:lang w:val="en-US"/>
        </w:rPr>
        <w:t xml:space="preserve"> the sale of alcoholic beverages</w:t>
      </w:r>
      <w:r w:rsidR="002A70BB" w:rsidRPr="00FD5E99">
        <w:rPr>
          <w:szCs w:val="22"/>
          <w:lang w:val="en-US"/>
        </w:rPr>
        <w:t xml:space="preserve"> has been on the agenda of the Scottish government for many years. As far back as</w:t>
      </w:r>
      <w:r w:rsidR="0093037F" w:rsidRPr="00FD5E99">
        <w:rPr>
          <w:szCs w:val="22"/>
          <w:lang w:val="en-US"/>
        </w:rPr>
        <w:t xml:space="preserve"> 1999 the then newly formed Scottish Government decided to re</w:t>
      </w:r>
      <w:r w:rsidR="00904E7B" w:rsidRPr="00FD5E99">
        <w:rPr>
          <w:szCs w:val="22"/>
          <w:lang w:val="en-US"/>
        </w:rPr>
        <w:t>view data on the use of alcohol</w:t>
      </w:r>
      <w:r w:rsidR="00AF0061" w:rsidRPr="00FD5E99">
        <w:rPr>
          <w:rStyle w:val="FootnoteReference"/>
          <w:szCs w:val="22"/>
          <w:lang w:val="en-US"/>
        </w:rPr>
        <w:footnoteReference w:id="1"/>
      </w:r>
      <w:r w:rsidR="0093037F" w:rsidRPr="00FD5E99">
        <w:rPr>
          <w:szCs w:val="22"/>
          <w:lang w:val="en-US"/>
        </w:rPr>
        <w:t xml:space="preserve"> </w:t>
      </w:r>
      <w:r w:rsidR="00904E7B" w:rsidRPr="00FD5E99">
        <w:rPr>
          <w:szCs w:val="22"/>
          <w:lang w:val="en-US"/>
        </w:rPr>
        <w:t xml:space="preserve">that revealed </w:t>
      </w:r>
      <w:r w:rsidR="00254B46" w:rsidRPr="00FD5E99">
        <w:rPr>
          <w:szCs w:val="22"/>
          <w:lang w:val="en-US"/>
        </w:rPr>
        <w:t>trends in Scottish alcohol</w:t>
      </w:r>
      <w:r w:rsidR="0046492E" w:rsidRPr="00FD5E99">
        <w:rPr>
          <w:szCs w:val="22"/>
          <w:lang w:val="en-US"/>
        </w:rPr>
        <w:t xml:space="preserve"> consumption such</w:t>
      </w:r>
      <w:r w:rsidR="00904E7B" w:rsidRPr="00FD5E99">
        <w:rPr>
          <w:szCs w:val="22"/>
          <w:lang w:val="en-US"/>
        </w:rPr>
        <w:t xml:space="preserve"> as the fact that i</w:t>
      </w:r>
      <w:r w:rsidR="0046492E" w:rsidRPr="00FD5E99">
        <w:rPr>
          <w:szCs w:val="22"/>
          <w:lang w:val="en-US"/>
        </w:rPr>
        <w:t>n the</w:t>
      </w:r>
      <w:r w:rsidR="003A54D7" w:rsidRPr="00FD5E99">
        <w:rPr>
          <w:szCs w:val="22"/>
          <w:lang w:val="en-US"/>
        </w:rPr>
        <w:t xml:space="preserve"> two decades following 1994, alcohol sales went from being split equally between the on-trade and off-trade to </w:t>
      </w:r>
      <w:r w:rsidR="00904E7B" w:rsidRPr="00FD5E99">
        <w:rPr>
          <w:szCs w:val="22"/>
          <w:lang w:val="en-US"/>
        </w:rPr>
        <w:t>the off-trade comprising around 70 per cent of sales.</w:t>
      </w:r>
      <w:r w:rsidR="00C06F62" w:rsidRPr="00FD5E99">
        <w:rPr>
          <w:rStyle w:val="FootnoteReference"/>
          <w:szCs w:val="22"/>
          <w:lang w:val="en-US"/>
        </w:rPr>
        <w:footnoteReference w:id="2"/>
      </w:r>
      <w:r w:rsidR="006845BD" w:rsidRPr="00FD5E99">
        <w:rPr>
          <w:szCs w:val="22"/>
          <w:lang w:val="en-US"/>
        </w:rPr>
        <w:t xml:space="preserve"> </w:t>
      </w:r>
      <w:r w:rsidR="006072BF" w:rsidRPr="00FD5E99">
        <w:rPr>
          <w:szCs w:val="22"/>
          <w:lang w:val="en-US"/>
        </w:rPr>
        <w:t>Further</w:t>
      </w:r>
      <w:r w:rsidR="00131352" w:rsidRPr="00FD5E99">
        <w:rPr>
          <w:szCs w:val="22"/>
        </w:rPr>
        <w:t xml:space="preserve"> studies </w:t>
      </w:r>
      <w:r w:rsidR="008D3B30" w:rsidRPr="00FD5E99">
        <w:rPr>
          <w:szCs w:val="22"/>
          <w:lang w:val="en-US"/>
        </w:rPr>
        <w:t>reveal that the affordability of alcohol</w:t>
      </w:r>
      <w:r w:rsidR="00EF50D4" w:rsidRPr="00FD5E99">
        <w:rPr>
          <w:szCs w:val="22"/>
          <w:lang w:val="en-US"/>
        </w:rPr>
        <w:t xml:space="preserve"> throughout the whole United Kingdom </w:t>
      </w:r>
      <w:r w:rsidR="003A24A2" w:rsidRPr="00FD5E99">
        <w:rPr>
          <w:szCs w:val="22"/>
          <w:lang w:val="en-US"/>
        </w:rPr>
        <w:t xml:space="preserve">increased steadily between </w:t>
      </w:r>
      <w:r w:rsidR="006F5E52" w:rsidRPr="00FD5E99">
        <w:rPr>
          <w:szCs w:val="22"/>
          <w:lang w:val="en-US"/>
        </w:rPr>
        <w:t xml:space="preserve">1987 and 2007, with duty increases frequently short of inflation, and with </w:t>
      </w:r>
      <w:r w:rsidR="00753872" w:rsidRPr="00FD5E99">
        <w:rPr>
          <w:szCs w:val="22"/>
          <w:lang w:val="en-US"/>
        </w:rPr>
        <w:t>supermarkets continuing to use alcohol as a loss-leader.</w:t>
      </w:r>
      <w:r w:rsidR="005639AA" w:rsidRPr="00FD5E99">
        <w:rPr>
          <w:rStyle w:val="FootnoteReference"/>
          <w:szCs w:val="22"/>
          <w:lang w:val="en-US"/>
        </w:rPr>
        <w:footnoteReference w:id="3"/>
      </w:r>
      <w:r w:rsidR="005639AA" w:rsidRPr="00FD5E99">
        <w:rPr>
          <w:szCs w:val="22"/>
          <w:lang w:val="en-US"/>
        </w:rPr>
        <w:t xml:space="preserve"> The result </w:t>
      </w:r>
      <w:r w:rsidR="00EA11CA" w:rsidRPr="00FD5E99">
        <w:rPr>
          <w:szCs w:val="22"/>
          <w:lang w:val="en-US"/>
        </w:rPr>
        <w:t>has been an increase in the</w:t>
      </w:r>
      <w:r w:rsidR="00753872" w:rsidRPr="00FD5E99">
        <w:rPr>
          <w:szCs w:val="22"/>
          <w:lang w:val="en-US"/>
        </w:rPr>
        <w:t xml:space="preserve"> affordability of wines and beers </w:t>
      </w:r>
      <w:r w:rsidR="00EA11CA" w:rsidRPr="00FD5E99">
        <w:rPr>
          <w:szCs w:val="22"/>
          <w:lang w:val="en-US"/>
        </w:rPr>
        <w:t>by</w:t>
      </w:r>
      <w:r w:rsidR="005639AA" w:rsidRPr="00FD5E99">
        <w:rPr>
          <w:szCs w:val="22"/>
          <w:lang w:val="en-US"/>
        </w:rPr>
        <w:t xml:space="preserve"> 129% and 153% respectively.</w:t>
      </w:r>
      <w:r w:rsidR="005639AA" w:rsidRPr="00FD5E99">
        <w:rPr>
          <w:rStyle w:val="FootnoteReference"/>
          <w:szCs w:val="22"/>
          <w:lang w:val="en-US"/>
        </w:rPr>
        <w:footnoteReference w:id="4"/>
      </w:r>
      <w:r w:rsidR="005639AA" w:rsidRPr="00FD5E99">
        <w:rPr>
          <w:szCs w:val="22"/>
          <w:lang w:val="en-US"/>
        </w:rPr>
        <w:t xml:space="preserve"> </w:t>
      </w:r>
    </w:p>
    <w:p w14:paraId="07CE4FF2" w14:textId="77777777" w:rsidR="00C047DD" w:rsidRPr="00FD5E99" w:rsidRDefault="00C047DD" w:rsidP="00B94BD9">
      <w:pPr>
        <w:rPr>
          <w:color w:val="FF0000"/>
          <w:szCs w:val="22"/>
          <w:lang w:val="en-US"/>
        </w:rPr>
      </w:pPr>
    </w:p>
    <w:p w14:paraId="47AD67CF" w14:textId="647AD7F5" w:rsidR="0018387D" w:rsidRPr="00FD5E99" w:rsidRDefault="00EA11CA" w:rsidP="00B94BD9">
      <w:pPr>
        <w:rPr>
          <w:szCs w:val="22"/>
        </w:rPr>
      </w:pPr>
      <w:r w:rsidRPr="00FD5E99">
        <w:rPr>
          <w:szCs w:val="22"/>
          <w:lang w:val="en-US"/>
        </w:rPr>
        <w:t>Another</w:t>
      </w:r>
      <w:r w:rsidR="00EA3F7B" w:rsidRPr="00FD5E99">
        <w:rPr>
          <w:szCs w:val="22"/>
        </w:rPr>
        <w:t xml:space="preserve"> study focussing on alcohol related admissions to a </w:t>
      </w:r>
      <w:r w:rsidR="003F2D33" w:rsidRPr="00FD5E99">
        <w:rPr>
          <w:szCs w:val="22"/>
        </w:rPr>
        <w:t xml:space="preserve">hospital in </w:t>
      </w:r>
      <w:r w:rsidR="00EA3F7B" w:rsidRPr="00FD5E99">
        <w:rPr>
          <w:szCs w:val="22"/>
        </w:rPr>
        <w:t xml:space="preserve">Edinburgh found that </w:t>
      </w:r>
      <w:r w:rsidR="00B94BD9" w:rsidRPr="00FD5E99">
        <w:rPr>
          <w:szCs w:val="22"/>
        </w:rPr>
        <w:t>‘this patient population purchases alcohol units on average at £0.29 less per unit than that paid on average by the general Scottish population’,</w:t>
      </w:r>
      <w:r w:rsidR="001F09F1" w:rsidRPr="00FD5E99">
        <w:rPr>
          <w:rStyle w:val="FootnoteReference"/>
          <w:szCs w:val="22"/>
        </w:rPr>
        <w:footnoteReference w:id="5"/>
      </w:r>
      <w:r w:rsidR="00B354C9" w:rsidRPr="00FD5E99">
        <w:rPr>
          <w:szCs w:val="22"/>
        </w:rPr>
        <w:t xml:space="preserve"> </w:t>
      </w:r>
      <w:r w:rsidR="000C7132" w:rsidRPr="00FD5E99">
        <w:rPr>
          <w:szCs w:val="22"/>
          <w:lang w:val="en-US"/>
        </w:rPr>
        <w:t xml:space="preserve">and </w:t>
      </w:r>
      <w:r w:rsidR="00B354C9" w:rsidRPr="00FD5E99">
        <w:rPr>
          <w:szCs w:val="22"/>
        </w:rPr>
        <w:t>that</w:t>
      </w:r>
      <w:r w:rsidR="00B94BD9" w:rsidRPr="00FD5E99">
        <w:rPr>
          <w:szCs w:val="22"/>
        </w:rPr>
        <w:t xml:space="preserve"> ‘of these patients, those</w:t>
      </w:r>
      <w:r w:rsidR="00B354C9" w:rsidRPr="00FD5E99">
        <w:rPr>
          <w:szCs w:val="22"/>
        </w:rPr>
        <w:t xml:space="preserve"> who </w:t>
      </w:r>
      <w:r w:rsidR="00B94BD9" w:rsidRPr="00FD5E99">
        <w:rPr>
          <w:szCs w:val="22"/>
        </w:rPr>
        <w:t>pay the lowest prices per unit tend to consume the greatest number of</w:t>
      </w:r>
      <w:r w:rsidR="00B354C9" w:rsidRPr="00FD5E99">
        <w:rPr>
          <w:szCs w:val="22"/>
        </w:rPr>
        <w:t xml:space="preserve"> </w:t>
      </w:r>
      <w:r w:rsidR="00B94BD9" w:rsidRPr="00FD5E99">
        <w:rPr>
          <w:szCs w:val="22"/>
        </w:rPr>
        <w:t>units</w:t>
      </w:r>
      <w:r w:rsidR="00B354C9" w:rsidRPr="00FD5E99">
        <w:rPr>
          <w:szCs w:val="22"/>
        </w:rPr>
        <w:t>’</w:t>
      </w:r>
      <w:r w:rsidR="000C7132" w:rsidRPr="00FD5E99">
        <w:rPr>
          <w:szCs w:val="22"/>
        </w:rPr>
        <w:t>.</w:t>
      </w:r>
      <w:r w:rsidR="001F09F1" w:rsidRPr="00FD5E99">
        <w:rPr>
          <w:rStyle w:val="FootnoteReference"/>
          <w:szCs w:val="22"/>
        </w:rPr>
        <w:footnoteReference w:id="6"/>
      </w:r>
      <w:r w:rsidR="00B76539" w:rsidRPr="00FD5E99">
        <w:rPr>
          <w:i/>
          <w:szCs w:val="22"/>
          <w:lang w:val="en-US"/>
        </w:rPr>
        <w:t xml:space="preserve"> </w:t>
      </w:r>
      <w:r w:rsidR="00B76539" w:rsidRPr="00FD5E99">
        <w:rPr>
          <w:szCs w:val="22"/>
          <w:lang w:val="en-US"/>
        </w:rPr>
        <w:t>A Sheffield University Study</w:t>
      </w:r>
      <w:r w:rsidR="00530E29" w:rsidRPr="00FD5E99">
        <w:rPr>
          <w:szCs w:val="22"/>
          <w:lang w:val="en-US"/>
        </w:rPr>
        <w:t xml:space="preserve"> that is</w:t>
      </w:r>
      <w:r w:rsidR="00B76539" w:rsidRPr="00FD5E99">
        <w:rPr>
          <w:szCs w:val="22"/>
          <w:lang w:val="en-US"/>
        </w:rPr>
        <w:t xml:space="preserve"> c</w:t>
      </w:r>
      <w:r w:rsidR="000C7132" w:rsidRPr="00FD5E99">
        <w:rPr>
          <w:szCs w:val="22"/>
          <w:lang w:val="en-US"/>
        </w:rPr>
        <w:t xml:space="preserve">onsistently referred to by the </w:t>
      </w:r>
      <w:r w:rsidR="00B76539" w:rsidRPr="00FD5E99">
        <w:rPr>
          <w:szCs w:val="22"/>
          <w:lang w:val="en-US"/>
        </w:rPr>
        <w:t xml:space="preserve">Scottish Government furthermore found that </w:t>
      </w:r>
      <w:r w:rsidR="008C5695" w:rsidRPr="00FD5E99">
        <w:rPr>
          <w:szCs w:val="22"/>
          <w:lang w:val="en-US"/>
        </w:rPr>
        <w:t>setting a minimum unit pric</w:t>
      </w:r>
      <w:r w:rsidR="000A191E" w:rsidRPr="00FD5E99">
        <w:rPr>
          <w:szCs w:val="22"/>
          <w:lang w:val="en-US"/>
        </w:rPr>
        <w:t xml:space="preserve">e for alcohol of </w:t>
      </w:r>
      <w:r w:rsidR="00BD0165" w:rsidRPr="00FD5E99">
        <w:rPr>
          <w:szCs w:val="22"/>
          <w:lang w:val="en-US"/>
        </w:rPr>
        <w:t>£0.50 may lead to a 5.7% reduction in population alcohol consumption,</w:t>
      </w:r>
      <w:r w:rsidR="00A66FED" w:rsidRPr="00FD5E99">
        <w:rPr>
          <w:rStyle w:val="FootnoteReference"/>
          <w:szCs w:val="22"/>
          <w:lang w:val="en-US"/>
        </w:rPr>
        <w:footnoteReference w:id="7"/>
      </w:r>
      <w:r w:rsidR="00071598" w:rsidRPr="00FD5E99">
        <w:rPr>
          <w:szCs w:val="22"/>
          <w:lang w:val="en-US"/>
        </w:rPr>
        <w:t xml:space="preserve"> mostly attributable to</w:t>
      </w:r>
      <w:r w:rsidR="004319B4" w:rsidRPr="00FD5E99">
        <w:rPr>
          <w:szCs w:val="22"/>
          <w:lang w:val="en-US"/>
        </w:rPr>
        <w:t xml:space="preserve"> reductions in ‘the consumption of </w:t>
      </w:r>
      <w:r w:rsidR="004319B4" w:rsidRPr="00FD5E99">
        <w:rPr>
          <w:szCs w:val="22"/>
          <w:lang w:val="en-US"/>
        </w:rPr>
        <w:lastRenderedPageBreak/>
        <w:t>heavier dr</w:t>
      </w:r>
      <w:r w:rsidR="00530E29" w:rsidRPr="00FD5E99">
        <w:rPr>
          <w:szCs w:val="22"/>
          <w:lang w:val="en-US"/>
        </w:rPr>
        <w:t>inkers</w:t>
      </w:r>
      <w:r w:rsidR="00B335EF" w:rsidRPr="00FD5E99">
        <w:rPr>
          <w:szCs w:val="22"/>
          <w:lang w:val="en-US"/>
        </w:rPr>
        <w:t>’.</w:t>
      </w:r>
      <w:r w:rsidR="00A66FED" w:rsidRPr="00FD5E99">
        <w:rPr>
          <w:rStyle w:val="FootnoteReference"/>
          <w:szCs w:val="22"/>
          <w:lang w:val="en-US"/>
        </w:rPr>
        <w:footnoteReference w:id="8"/>
      </w:r>
      <w:r w:rsidR="006F310A" w:rsidRPr="00FD5E99">
        <w:rPr>
          <w:szCs w:val="22"/>
          <w:lang w:val="en-US"/>
        </w:rPr>
        <w:t xml:space="preserve"> </w:t>
      </w:r>
      <w:r w:rsidR="0022275A" w:rsidRPr="00FD5E99">
        <w:rPr>
          <w:szCs w:val="22"/>
          <w:lang w:val="en-US"/>
        </w:rPr>
        <w:t xml:space="preserve">An evidence base </w:t>
      </w:r>
      <w:r w:rsidR="00F508A4" w:rsidRPr="00FD5E99">
        <w:rPr>
          <w:szCs w:val="22"/>
          <w:lang w:val="en-US"/>
        </w:rPr>
        <w:t>comprised of</w:t>
      </w:r>
      <w:r w:rsidR="00071598" w:rsidRPr="00FD5E99">
        <w:rPr>
          <w:szCs w:val="22"/>
          <w:lang w:val="en-US"/>
        </w:rPr>
        <w:t xml:space="preserve"> </w:t>
      </w:r>
      <w:r w:rsidR="00B20384" w:rsidRPr="00FD5E99">
        <w:rPr>
          <w:szCs w:val="22"/>
          <w:lang w:val="en-US"/>
        </w:rPr>
        <w:t>empirical</w:t>
      </w:r>
      <w:r w:rsidR="00071598" w:rsidRPr="00FD5E99">
        <w:rPr>
          <w:szCs w:val="22"/>
          <w:lang w:val="en-US"/>
        </w:rPr>
        <w:t xml:space="preserve"> </w:t>
      </w:r>
      <w:r w:rsidR="00F508A4" w:rsidRPr="00FD5E99">
        <w:rPr>
          <w:szCs w:val="22"/>
          <w:lang w:val="en-US"/>
        </w:rPr>
        <w:t>findings such as these</w:t>
      </w:r>
      <w:r w:rsidR="00071598" w:rsidRPr="00FD5E99">
        <w:rPr>
          <w:szCs w:val="22"/>
          <w:lang w:val="en-US"/>
        </w:rPr>
        <w:t xml:space="preserve"> has been</w:t>
      </w:r>
      <w:r w:rsidR="00736FC3" w:rsidRPr="00FD5E99">
        <w:rPr>
          <w:szCs w:val="22"/>
          <w:lang w:val="en-US"/>
        </w:rPr>
        <w:t xml:space="preserve"> </w:t>
      </w:r>
      <w:r w:rsidR="00530E29" w:rsidRPr="00FD5E99">
        <w:rPr>
          <w:szCs w:val="22"/>
          <w:lang w:val="en-US"/>
        </w:rPr>
        <w:t>the driving force behind</w:t>
      </w:r>
      <w:r w:rsidR="00736FC3" w:rsidRPr="00FD5E99">
        <w:rPr>
          <w:szCs w:val="22"/>
          <w:lang w:val="en-US"/>
        </w:rPr>
        <w:t xml:space="preserve"> </w:t>
      </w:r>
      <w:r w:rsidR="0000225D" w:rsidRPr="00FD5E99">
        <w:rPr>
          <w:szCs w:val="22"/>
          <w:lang w:val="en-US"/>
        </w:rPr>
        <w:t>efforts to reduce the harm caused</w:t>
      </w:r>
      <w:r w:rsidR="00736FC3" w:rsidRPr="00FD5E99">
        <w:rPr>
          <w:szCs w:val="22"/>
          <w:lang w:val="en-US"/>
        </w:rPr>
        <w:t xml:space="preserve"> in Scotland</w:t>
      </w:r>
      <w:r w:rsidR="0000225D" w:rsidRPr="00FD5E99">
        <w:rPr>
          <w:szCs w:val="22"/>
          <w:lang w:val="en-US"/>
        </w:rPr>
        <w:t xml:space="preserve"> by the consumption of</w:t>
      </w:r>
      <w:r w:rsidR="005B393F" w:rsidRPr="00FD5E99">
        <w:rPr>
          <w:szCs w:val="22"/>
          <w:lang w:val="en-US"/>
        </w:rPr>
        <w:t xml:space="preserve"> </w:t>
      </w:r>
      <w:r w:rsidR="0022275A" w:rsidRPr="00FD5E99">
        <w:rPr>
          <w:szCs w:val="22"/>
          <w:lang w:val="en-US"/>
        </w:rPr>
        <w:t>alcohol</w:t>
      </w:r>
      <w:r w:rsidR="00530E29" w:rsidRPr="00FD5E99">
        <w:rPr>
          <w:szCs w:val="22"/>
          <w:lang w:val="en-US"/>
        </w:rPr>
        <w:t>ic beverages</w:t>
      </w:r>
      <w:r w:rsidR="0022275A" w:rsidRPr="00FD5E99">
        <w:rPr>
          <w:szCs w:val="22"/>
          <w:lang w:val="en-US"/>
        </w:rPr>
        <w:t xml:space="preserve"> that </w:t>
      </w:r>
      <w:r w:rsidR="00530E29" w:rsidRPr="00FD5E99">
        <w:rPr>
          <w:szCs w:val="22"/>
          <w:lang w:val="en-US"/>
        </w:rPr>
        <w:t>are</w:t>
      </w:r>
      <w:r w:rsidR="0022275A" w:rsidRPr="00FD5E99">
        <w:rPr>
          <w:szCs w:val="22"/>
          <w:lang w:val="en-US"/>
        </w:rPr>
        <w:t xml:space="preserve"> low in price but high in alcoholic strength </w:t>
      </w:r>
      <w:r w:rsidR="005B393F" w:rsidRPr="00FD5E99">
        <w:rPr>
          <w:szCs w:val="22"/>
          <w:lang w:val="en-US"/>
        </w:rPr>
        <w:t>(LPHS alcohol)</w:t>
      </w:r>
      <w:r w:rsidR="00530E29" w:rsidRPr="00FD5E99">
        <w:rPr>
          <w:szCs w:val="22"/>
          <w:lang w:val="en-US"/>
        </w:rPr>
        <w:t xml:space="preserve">, which are favoured </w:t>
      </w:r>
      <w:r w:rsidR="00736FC3" w:rsidRPr="00FD5E99">
        <w:rPr>
          <w:szCs w:val="22"/>
          <w:lang w:val="en-US"/>
        </w:rPr>
        <w:t>by the heaviest and most hazardous drinkers.</w:t>
      </w:r>
    </w:p>
    <w:p w14:paraId="25207296" w14:textId="77777777" w:rsidR="0018387D" w:rsidRPr="00FD5E99" w:rsidRDefault="0018387D">
      <w:pPr>
        <w:rPr>
          <w:szCs w:val="22"/>
          <w:lang w:val="en-US"/>
        </w:rPr>
      </w:pPr>
    </w:p>
    <w:p w14:paraId="1CC31DF0" w14:textId="55402753" w:rsidR="00F22810" w:rsidRPr="00FD5E99" w:rsidRDefault="00873D59">
      <w:pPr>
        <w:rPr>
          <w:szCs w:val="22"/>
          <w:lang w:val="en-US"/>
        </w:rPr>
      </w:pPr>
      <w:r w:rsidRPr="00FD5E99">
        <w:rPr>
          <w:szCs w:val="22"/>
          <w:lang w:val="en-US"/>
        </w:rPr>
        <w:t>Th</w:t>
      </w:r>
      <w:r w:rsidR="00360133" w:rsidRPr="00FD5E99">
        <w:rPr>
          <w:szCs w:val="22"/>
          <w:lang w:val="en-US"/>
        </w:rPr>
        <w:t>e S</w:t>
      </w:r>
      <w:r w:rsidR="00CB0AD1" w:rsidRPr="00FD5E99">
        <w:rPr>
          <w:szCs w:val="22"/>
          <w:lang w:val="en-US"/>
        </w:rPr>
        <w:t xml:space="preserve">cottish </w:t>
      </w:r>
      <w:r w:rsidR="00D44214" w:rsidRPr="00FD5E99">
        <w:rPr>
          <w:szCs w:val="22"/>
          <w:lang w:val="en-US"/>
        </w:rPr>
        <w:t>Parliament</w:t>
      </w:r>
      <w:r w:rsidR="000002F7" w:rsidRPr="00FD5E99">
        <w:rPr>
          <w:szCs w:val="22"/>
          <w:lang w:val="en-US"/>
        </w:rPr>
        <w:t xml:space="preserve"> </w:t>
      </w:r>
      <w:r w:rsidR="00B60C72" w:rsidRPr="00FD5E99">
        <w:rPr>
          <w:szCs w:val="22"/>
          <w:lang w:val="en-US"/>
        </w:rPr>
        <w:t xml:space="preserve">rejected </w:t>
      </w:r>
      <w:r w:rsidR="00D44214" w:rsidRPr="00FD5E99">
        <w:rPr>
          <w:szCs w:val="22"/>
          <w:lang w:val="en-US"/>
        </w:rPr>
        <w:t>minimum p</w:t>
      </w:r>
      <w:r w:rsidR="00B60C72" w:rsidRPr="00FD5E99">
        <w:rPr>
          <w:szCs w:val="22"/>
          <w:lang w:val="en-US"/>
        </w:rPr>
        <w:t>ricing in 2010,</w:t>
      </w:r>
      <w:r w:rsidR="009F0662" w:rsidRPr="00FD5E99">
        <w:rPr>
          <w:rStyle w:val="FootnoteReference"/>
          <w:szCs w:val="22"/>
          <w:lang w:val="en-US"/>
        </w:rPr>
        <w:footnoteReference w:id="9"/>
      </w:r>
      <w:r w:rsidR="000002F7" w:rsidRPr="00FD5E99">
        <w:rPr>
          <w:szCs w:val="22"/>
          <w:lang w:val="en-US"/>
        </w:rPr>
        <w:t xml:space="preserve"> h</w:t>
      </w:r>
      <w:r w:rsidR="001F7945" w:rsidRPr="00FD5E99">
        <w:rPr>
          <w:szCs w:val="22"/>
          <w:lang w:val="en-US"/>
        </w:rPr>
        <w:t xml:space="preserve">owever after the UK general election returned a majority </w:t>
      </w:r>
      <w:r w:rsidR="003D4E9F" w:rsidRPr="00FD5E99">
        <w:rPr>
          <w:szCs w:val="22"/>
          <w:lang w:val="en-US"/>
        </w:rPr>
        <w:t>Scottish National Party government</w:t>
      </w:r>
      <w:r w:rsidR="000002F7" w:rsidRPr="00FD5E99">
        <w:rPr>
          <w:szCs w:val="22"/>
          <w:lang w:val="en-US"/>
        </w:rPr>
        <w:t xml:space="preserve"> in Scotland</w:t>
      </w:r>
      <w:r w:rsidR="003D4E9F" w:rsidRPr="00FD5E99">
        <w:rPr>
          <w:szCs w:val="22"/>
          <w:lang w:val="en-US"/>
        </w:rPr>
        <w:t>, plans for minimum unit pricing were reintroduced into the Scottish</w:t>
      </w:r>
      <w:r w:rsidR="00E24594" w:rsidRPr="00FD5E99">
        <w:rPr>
          <w:szCs w:val="22"/>
          <w:lang w:val="en-US"/>
        </w:rPr>
        <w:t xml:space="preserve"> Parliament,</w:t>
      </w:r>
      <w:r w:rsidR="00300E1E" w:rsidRPr="00FD5E99">
        <w:rPr>
          <w:rStyle w:val="FootnoteReference"/>
          <w:szCs w:val="22"/>
          <w:lang w:val="en-US"/>
        </w:rPr>
        <w:footnoteReference w:id="10"/>
      </w:r>
      <w:r w:rsidR="00E24594" w:rsidRPr="00FD5E99">
        <w:rPr>
          <w:szCs w:val="22"/>
          <w:lang w:val="en-US"/>
        </w:rPr>
        <w:t xml:space="preserve"> and</w:t>
      </w:r>
      <w:r w:rsidR="00DD0A0E" w:rsidRPr="00FD5E99">
        <w:rPr>
          <w:szCs w:val="22"/>
          <w:lang w:val="en-US"/>
        </w:rPr>
        <w:t xml:space="preserve"> were successfully voted through</w:t>
      </w:r>
      <w:r w:rsidR="00C638C9" w:rsidRPr="00FD5E99">
        <w:rPr>
          <w:szCs w:val="22"/>
          <w:lang w:val="en-US"/>
        </w:rPr>
        <w:t xml:space="preserve"> on 24 May 2012</w:t>
      </w:r>
      <w:r w:rsidR="00DD0A0E" w:rsidRPr="00FD5E99">
        <w:rPr>
          <w:szCs w:val="22"/>
          <w:lang w:val="en-US"/>
        </w:rPr>
        <w:t xml:space="preserve"> in the form of the </w:t>
      </w:r>
      <w:r w:rsidR="00D07A9B" w:rsidRPr="00FD5E99">
        <w:rPr>
          <w:szCs w:val="22"/>
          <w:lang w:val="en-US"/>
        </w:rPr>
        <w:t>The Alcohol</w:t>
      </w:r>
      <w:r w:rsidR="00102FF6" w:rsidRPr="00FD5E99">
        <w:rPr>
          <w:szCs w:val="22"/>
          <w:lang w:val="en-US"/>
        </w:rPr>
        <w:t xml:space="preserve"> (Minimum Pricin</w:t>
      </w:r>
      <w:r w:rsidR="008E040C" w:rsidRPr="00FD5E99">
        <w:rPr>
          <w:szCs w:val="22"/>
          <w:lang w:val="en-US"/>
        </w:rPr>
        <w:t xml:space="preserve">g)(Scotland) Act 2012 </w:t>
      </w:r>
      <w:r w:rsidR="00E536A0" w:rsidRPr="00FD5E99">
        <w:rPr>
          <w:szCs w:val="22"/>
          <w:lang w:val="en-US"/>
        </w:rPr>
        <w:t>(the Act)</w:t>
      </w:r>
      <w:r w:rsidR="00C10FE8" w:rsidRPr="00FD5E99">
        <w:rPr>
          <w:szCs w:val="22"/>
          <w:lang w:val="en-US"/>
        </w:rPr>
        <w:t xml:space="preserve">. </w:t>
      </w:r>
    </w:p>
    <w:p w14:paraId="7E0BDFFD" w14:textId="77777777" w:rsidR="00F22810" w:rsidRPr="00FD5E99" w:rsidRDefault="00F22810">
      <w:pPr>
        <w:rPr>
          <w:color w:val="FF0000"/>
          <w:szCs w:val="22"/>
          <w:lang w:val="en-US"/>
        </w:rPr>
      </w:pPr>
    </w:p>
    <w:p w14:paraId="34B01C6D" w14:textId="6EEBB643" w:rsidR="000A028E" w:rsidRPr="00FD5E99" w:rsidRDefault="00980484">
      <w:pPr>
        <w:rPr>
          <w:szCs w:val="22"/>
          <w:lang w:val="en-US"/>
        </w:rPr>
      </w:pPr>
      <w:r w:rsidRPr="00FD5E99">
        <w:rPr>
          <w:szCs w:val="22"/>
          <w:lang w:val="en-US"/>
        </w:rPr>
        <w:t>Section 1(2) of the Act amends schedule 3 of the</w:t>
      </w:r>
      <w:r w:rsidR="00C638C9" w:rsidRPr="00FD5E99">
        <w:rPr>
          <w:szCs w:val="22"/>
          <w:lang w:val="en-US"/>
        </w:rPr>
        <w:t xml:space="preserve"> </w:t>
      </w:r>
      <w:r w:rsidRPr="00FD5E99">
        <w:rPr>
          <w:szCs w:val="22"/>
          <w:lang w:val="en-US"/>
        </w:rPr>
        <w:t>Licensing (Scotland) Act 2005 to</w:t>
      </w:r>
      <w:r w:rsidR="00F05763" w:rsidRPr="00FD5E99">
        <w:rPr>
          <w:szCs w:val="22"/>
          <w:lang w:val="en-US"/>
        </w:rPr>
        <w:t xml:space="preserve"> ensure that in all licensed</w:t>
      </w:r>
      <w:r w:rsidR="000149E0" w:rsidRPr="00FD5E99">
        <w:rPr>
          <w:szCs w:val="22"/>
          <w:lang w:val="en-US"/>
        </w:rPr>
        <w:t xml:space="preserve"> premises</w:t>
      </w:r>
      <w:r w:rsidR="00F05763" w:rsidRPr="00FD5E99">
        <w:rPr>
          <w:szCs w:val="22"/>
          <w:lang w:val="en-US"/>
        </w:rPr>
        <w:t>,</w:t>
      </w:r>
      <w:r w:rsidRPr="00FD5E99">
        <w:rPr>
          <w:szCs w:val="22"/>
          <w:lang w:val="en-US"/>
        </w:rPr>
        <w:t xml:space="preserve"> ‘alcohol must not be sold on the premises at </w:t>
      </w:r>
      <w:r w:rsidR="00F05763" w:rsidRPr="00FD5E99">
        <w:rPr>
          <w:szCs w:val="22"/>
          <w:lang w:val="en-US"/>
        </w:rPr>
        <w:t>a price below its minimum price’</w:t>
      </w:r>
      <w:r w:rsidR="00D5013B" w:rsidRPr="00FD5E99">
        <w:rPr>
          <w:szCs w:val="22"/>
          <w:lang w:val="en-US"/>
        </w:rPr>
        <w:t xml:space="preserve">. The Act stipulates that the formula to be used in calculating the minimum unit price is the minimum price per </w:t>
      </w:r>
      <w:r w:rsidR="00945FEB" w:rsidRPr="00FD5E99">
        <w:rPr>
          <w:szCs w:val="22"/>
          <w:lang w:val="en-US"/>
        </w:rPr>
        <w:t>unit</w:t>
      </w:r>
      <w:r w:rsidR="00036811" w:rsidRPr="00FD5E99">
        <w:rPr>
          <w:szCs w:val="22"/>
          <w:lang w:val="en-US"/>
        </w:rPr>
        <w:t xml:space="preserve"> given in pounds</w:t>
      </w:r>
      <w:r w:rsidR="00945FEB" w:rsidRPr="00FD5E99">
        <w:rPr>
          <w:szCs w:val="22"/>
          <w:lang w:val="en-US"/>
        </w:rPr>
        <w:t>, multiplied by</w:t>
      </w:r>
      <w:r w:rsidR="00D5013B" w:rsidRPr="00FD5E99">
        <w:rPr>
          <w:szCs w:val="22"/>
          <w:lang w:val="en-US"/>
        </w:rPr>
        <w:t xml:space="preserve"> the strength of the </w:t>
      </w:r>
      <w:r w:rsidR="00945FEB" w:rsidRPr="00FD5E99">
        <w:rPr>
          <w:szCs w:val="22"/>
          <w:lang w:val="en-US"/>
        </w:rPr>
        <w:t>alcohol</w:t>
      </w:r>
      <w:r w:rsidR="00036811" w:rsidRPr="00FD5E99">
        <w:rPr>
          <w:szCs w:val="22"/>
          <w:lang w:val="en-US"/>
        </w:rPr>
        <w:t xml:space="preserve"> given in ABV percentage</w:t>
      </w:r>
      <w:r w:rsidR="00945FEB" w:rsidRPr="00FD5E99">
        <w:rPr>
          <w:szCs w:val="22"/>
          <w:lang w:val="en-US"/>
        </w:rPr>
        <w:t>, multiplied by the volume of alcohol</w:t>
      </w:r>
      <w:r w:rsidR="00060493" w:rsidRPr="00FD5E99">
        <w:rPr>
          <w:szCs w:val="22"/>
          <w:lang w:val="en-US"/>
        </w:rPr>
        <w:t xml:space="preserve"> given in litre</w:t>
      </w:r>
      <w:r w:rsidR="00036811" w:rsidRPr="00FD5E99">
        <w:rPr>
          <w:szCs w:val="22"/>
          <w:lang w:val="en-US"/>
        </w:rPr>
        <w:t>s</w:t>
      </w:r>
      <w:r w:rsidR="00945FEB" w:rsidRPr="00FD5E99">
        <w:rPr>
          <w:szCs w:val="22"/>
          <w:lang w:val="en-US"/>
        </w:rPr>
        <w:t xml:space="preserve">, multiplied by 100 – or MUP x S x V x 100. </w:t>
      </w:r>
      <w:r w:rsidR="00A804FE" w:rsidRPr="00FD5E99">
        <w:rPr>
          <w:szCs w:val="22"/>
          <w:lang w:val="en-US"/>
        </w:rPr>
        <w:t>Section 2 of the Draft Alcohol (Minimum Price per Unit</w:t>
      </w:r>
      <w:proofErr w:type="gramStart"/>
      <w:r w:rsidR="00A804FE" w:rsidRPr="00FD5E99">
        <w:rPr>
          <w:szCs w:val="22"/>
          <w:lang w:val="en-US"/>
        </w:rPr>
        <w:t>)(</w:t>
      </w:r>
      <w:proofErr w:type="gramEnd"/>
      <w:r w:rsidR="00A804FE" w:rsidRPr="00FD5E99">
        <w:rPr>
          <w:szCs w:val="22"/>
          <w:lang w:val="en-US"/>
        </w:rPr>
        <w:t>Scotland ) Order has provisionally set the minimum price per unit as</w:t>
      </w:r>
      <w:r w:rsidR="00E536A0" w:rsidRPr="00FD5E99">
        <w:rPr>
          <w:szCs w:val="22"/>
          <w:lang w:val="en-US"/>
        </w:rPr>
        <w:t xml:space="preserve"> £0.50. By way of example, under the Act a bottle of wine </w:t>
      </w:r>
      <w:r w:rsidR="008E7E17" w:rsidRPr="00FD5E99">
        <w:rPr>
          <w:szCs w:val="22"/>
          <w:lang w:val="en-US"/>
        </w:rPr>
        <w:t>of 12</w:t>
      </w:r>
      <w:r w:rsidR="00C1269B" w:rsidRPr="00FD5E99">
        <w:rPr>
          <w:szCs w:val="22"/>
          <w:lang w:val="en-US"/>
        </w:rPr>
        <w:t xml:space="preserve">% ABV would be 0.50 x 0.12 x 0.75 x 100 = </w:t>
      </w:r>
      <w:r w:rsidR="00060493" w:rsidRPr="00FD5E99">
        <w:rPr>
          <w:szCs w:val="22"/>
          <w:lang w:val="en-US"/>
        </w:rPr>
        <w:t>£4.50.</w:t>
      </w:r>
    </w:p>
    <w:p w14:paraId="01EFBB09" w14:textId="77777777" w:rsidR="00F85340" w:rsidRPr="00FD5E99" w:rsidRDefault="00F85340">
      <w:pPr>
        <w:rPr>
          <w:szCs w:val="22"/>
          <w:lang w:val="en-US"/>
        </w:rPr>
      </w:pPr>
    </w:p>
    <w:p w14:paraId="53EC04DD" w14:textId="202964DE" w:rsidR="00E66E50" w:rsidRPr="00FD5E99" w:rsidRDefault="00D8050F">
      <w:pPr>
        <w:rPr>
          <w:b/>
          <w:szCs w:val="22"/>
          <w:lang w:val="en-US"/>
        </w:rPr>
      </w:pPr>
      <w:r w:rsidRPr="00FD5E99">
        <w:rPr>
          <w:szCs w:val="22"/>
          <w:lang w:val="en-US"/>
        </w:rPr>
        <w:t>When</w:t>
      </w:r>
      <w:r w:rsidR="00043A35" w:rsidRPr="00FD5E99">
        <w:rPr>
          <w:szCs w:val="22"/>
          <w:lang w:val="en-US"/>
        </w:rPr>
        <w:t xml:space="preserve"> the Act was introduced, it attracted substantial critici</w:t>
      </w:r>
      <w:r w:rsidR="00851D66" w:rsidRPr="00FD5E99">
        <w:rPr>
          <w:szCs w:val="22"/>
          <w:lang w:val="en-US"/>
        </w:rPr>
        <w:t>sm from industry operators and several Member States</w:t>
      </w:r>
      <w:r w:rsidR="00637FEE" w:rsidRPr="00FD5E99">
        <w:rPr>
          <w:szCs w:val="22"/>
          <w:lang w:val="en-US"/>
        </w:rPr>
        <w:t>,</w:t>
      </w:r>
      <w:r w:rsidR="00580888" w:rsidRPr="00FD5E99">
        <w:rPr>
          <w:rStyle w:val="FootnoteReference"/>
          <w:szCs w:val="22"/>
          <w:lang w:val="en-US"/>
        </w:rPr>
        <w:footnoteReference w:id="11"/>
      </w:r>
      <w:r w:rsidR="00637FEE" w:rsidRPr="00FD5E99">
        <w:rPr>
          <w:szCs w:val="22"/>
          <w:lang w:val="en-US"/>
        </w:rPr>
        <w:t xml:space="preserve"> </w:t>
      </w:r>
      <w:r w:rsidR="00851D66" w:rsidRPr="00FD5E99">
        <w:rPr>
          <w:szCs w:val="22"/>
          <w:lang w:val="en-US"/>
        </w:rPr>
        <w:t xml:space="preserve">as well as </w:t>
      </w:r>
      <w:r w:rsidR="00637FEE" w:rsidRPr="00FD5E99">
        <w:rPr>
          <w:szCs w:val="22"/>
          <w:lang w:val="en-US"/>
        </w:rPr>
        <w:t xml:space="preserve">the European Commission, who issued </w:t>
      </w:r>
      <w:r w:rsidR="000149E0" w:rsidRPr="00FD5E99">
        <w:rPr>
          <w:szCs w:val="22"/>
          <w:lang w:val="en-US"/>
        </w:rPr>
        <w:t xml:space="preserve">a Detailed Opinion which </w:t>
      </w:r>
      <w:r w:rsidR="00580888" w:rsidRPr="00FD5E99">
        <w:rPr>
          <w:szCs w:val="22"/>
          <w:lang w:val="en-US"/>
        </w:rPr>
        <w:t xml:space="preserve">argued that the </w:t>
      </w:r>
      <w:r w:rsidR="00A236F6" w:rsidRPr="00FD5E99">
        <w:rPr>
          <w:szCs w:val="22"/>
          <w:lang w:val="en-US"/>
        </w:rPr>
        <w:t>Scottish</w:t>
      </w:r>
      <w:r w:rsidR="000149E0" w:rsidRPr="00FD5E99">
        <w:rPr>
          <w:szCs w:val="22"/>
          <w:lang w:val="en-US"/>
        </w:rPr>
        <w:t xml:space="preserve"> measure</w:t>
      </w:r>
      <w:r w:rsidR="002D3638" w:rsidRPr="00FD5E99">
        <w:rPr>
          <w:szCs w:val="22"/>
          <w:lang w:val="en-US"/>
        </w:rPr>
        <w:t xml:space="preserve"> </w:t>
      </w:r>
      <w:r w:rsidR="00926527" w:rsidRPr="00FD5E99">
        <w:rPr>
          <w:szCs w:val="22"/>
          <w:lang w:val="en-US"/>
        </w:rPr>
        <w:t xml:space="preserve">unlawfully restricted </w:t>
      </w:r>
      <w:r w:rsidR="00675CBB" w:rsidRPr="00FD5E99">
        <w:rPr>
          <w:szCs w:val="22"/>
          <w:lang w:val="en-US"/>
        </w:rPr>
        <w:t>trade</w:t>
      </w:r>
      <w:r w:rsidR="008B04E3" w:rsidRPr="00FD5E99">
        <w:rPr>
          <w:szCs w:val="22"/>
          <w:lang w:val="en-US"/>
        </w:rPr>
        <w:t xml:space="preserve"> within the internal market</w:t>
      </w:r>
      <w:r w:rsidR="00675CBB" w:rsidRPr="00FD5E99">
        <w:rPr>
          <w:szCs w:val="22"/>
          <w:lang w:val="en-US"/>
        </w:rPr>
        <w:t>.</w:t>
      </w:r>
      <w:r w:rsidR="005C5EE1" w:rsidRPr="00FD5E99">
        <w:rPr>
          <w:rStyle w:val="FootnoteReference"/>
          <w:szCs w:val="22"/>
          <w:lang w:val="en-US"/>
        </w:rPr>
        <w:footnoteReference w:id="12"/>
      </w:r>
      <w:r w:rsidR="00B947C6" w:rsidRPr="00FD5E99">
        <w:rPr>
          <w:szCs w:val="22"/>
          <w:lang w:val="en-US"/>
        </w:rPr>
        <w:t xml:space="preserve"> </w:t>
      </w:r>
      <w:r w:rsidR="00B21E9F" w:rsidRPr="00FD5E99">
        <w:rPr>
          <w:szCs w:val="22"/>
          <w:lang w:val="en-US"/>
        </w:rPr>
        <w:t>Opposition culminated in</w:t>
      </w:r>
      <w:r w:rsidR="00902109" w:rsidRPr="00FD5E99">
        <w:rPr>
          <w:szCs w:val="22"/>
          <w:lang w:val="en-US"/>
        </w:rPr>
        <w:t xml:space="preserve"> </w:t>
      </w:r>
      <w:r w:rsidR="00F70042" w:rsidRPr="00FD5E99">
        <w:rPr>
          <w:szCs w:val="22"/>
          <w:lang w:val="en-US"/>
        </w:rPr>
        <w:t xml:space="preserve">a consortium of alcohol producers, led by the Scotch </w:t>
      </w:r>
      <w:r w:rsidR="00B71D29" w:rsidRPr="00FD5E99">
        <w:rPr>
          <w:szCs w:val="22"/>
          <w:lang w:val="en-US"/>
        </w:rPr>
        <w:t xml:space="preserve">Whisky Association, petitioning </w:t>
      </w:r>
      <w:r w:rsidR="00926527" w:rsidRPr="00FD5E99">
        <w:rPr>
          <w:szCs w:val="22"/>
          <w:lang w:val="en-US"/>
        </w:rPr>
        <w:t xml:space="preserve">for judicial review of the </w:t>
      </w:r>
      <w:r w:rsidR="00B71D29" w:rsidRPr="00FD5E99">
        <w:rPr>
          <w:szCs w:val="22"/>
          <w:lang w:val="en-US"/>
        </w:rPr>
        <w:t>Act. The grounds</w:t>
      </w:r>
      <w:r w:rsidR="000149E0" w:rsidRPr="00FD5E99">
        <w:rPr>
          <w:szCs w:val="22"/>
          <w:lang w:val="en-US"/>
        </w:rPr>
        <w:t xml:space="preserve"> of petition</w:t>
      </w:r>
      <w:r w:rsidR="00B71D29" w:rsidRPr="00FD5E99">
        <w:rPr>
          <w:szCs w:val="22"/>
          <w:lang w:val="en-US"/>
        </w:rPr>
        <w:t xml:space="preserve"> relating</w:t>
      </w:r>
      <w:r w:rsidR="003D24BA" w:rsidRPr="00FD5E99">
        <w:rPr>
          <w:szCs w:val="22"/>
          <w:lang w:val="en-US"/>
        </w:rPr>
        <w:t xml:space="preserve"> to EU law were incompatibility </w:t>
      </w:r>
      <w:r w:rsidR="007E1D25" w:rsidRPr="00FD5E99">
        <w:rPr>
          <w:szCs w:val="22"/>
          <w:lang w:val="en-US"/>
        </w:rPr>
        <w:t xml:space="preserve">with Article 34 TFEU, </w:t>
      </w:r>
      <w:r w:rsidR="003D24BA" w:rsidRPr="00FD5E99">
        <w:rPr>
          <w:szCs w:val="22"/>
          <w:lang w:val="en-US"/>
        </w:rPr>
        <w:t xml:space="preserve">inability </w:t>
      </w:r>
      <w:r w:rsidR="00904E7B" w:rsidRPr="00FD5E99">
        <w:rPr>
          <w:szCs w:val="22"/>
          <w:lang w:val="en-US"/>
        </w:rPr>
        <w:t>for justification</w:t>
      </w:r>
      <w:r w:rsidR="007E1D25" w:rsidRPr="00FD5E99">
        <w:rPr>
          <w:szCs w:val="22"/>
          <w:lang w:val="en-US"/>
        </w:rPr>
        <w:t xml:space="preserve"> under Article 36 TFEU, and</w:t>
      </w:r>
      <w:r w:rsidR="00AE6064" w:rsidRPr="00FD5E99">
        <w:rPr>
          <w:szCs w:val="22"/>
          <w:lang w:val="en-US"/>
        </w:rPr>
        <w:t xml:space="preserve"> </w:t>
      </w:r>
      <w:r w:rsidR="003D24BA" w:rsidRPr="00FD5E99">
        <w:rPr>
          <w:szCs w:val="22"/>
          <w:lang w:val="en-US"/>
        </w:rPr>
        <w:t>incompatibility</w:t>
      </w:r>
      <w:r w:rsidR="00AE6064" w:rsidRPr="00FD5E99">
        <w:rPr>
          <w:szCs w:val="22"/>
          <w:lang w:val="en-US"/>
        </w:rPr>
        <w:t xml:space="preserve"> with the common organisation of the market in wine</w:t>
      </w:r>
      <w:r w:rsidR="00902109" w:rsidRPr="00FD5E99">
        <w:rPr>
          <w:szCs w:val="22"/>
          <w:lang w:val="en-US"/>
        </w:rPr>
        <w:t>.</w:t>
      </w:r>
      <w:r w:rsidR="00B21E9F" w:rsidRPr="00FD5E99">
        <w:rPr>
          <w:szCs w:val="22"/>
          <w:lang w:val="en-US"/>
        </w:rPr>
        <w:t xml:space="preserve"> This challenge was initially dismissed by Lord Doherty in the Outer House of the Court of Session</w:t>
      </w:r>
      <w:r w:rsidR="009D456B" w:rsidRPr="00FD5E99">
        <w:rPr>
          <w:szCs w:val="22"/>
          <w:lang w:val="en-US"/>
        </w:rPr>
        <w:t xml:space="preserve">, where his Lordship held that </w:t>
      </w:r>
      <w:r w:rsidR="00183D4B" w:rsidRPr="00FD5E99">
        <w:rPr>
          <w:szCs w:val="22"/>
          <w:lang w:val="en-US"/>
        </w:rPr>
        <w:t>there was ‘</w:t>
      </w:r>
      <w:r w:rsidR="008A2BA9" w:rsidRPr="00FD5E99">
        <w:rPr>
          <w:szCs w:val="22"/>
          <w:lang w:val="en-US"/>
        </w:rPr>
        <w:t>objective justification for the conclusion that</w:t>
      </w:r>
      <w:r w:rsidR="00D05A49" w:rsidRPr="00FD5E99">
        <w:rPr>
          <w:szCs w:val="22"/>
          <w:lang w:val="en-US"/>
        </w:rPr>
        <w:t xml:space="preserve"> the alternative measures</w:t>
      </w:r>
      <w:r w:rsidR="00414916" w:rsidRPr="00FD5E99">
        <w:rPr>
          <w:szCs w:val="22"/>
          <w:lang w:val="en-US"/>
        </w:rPr>
        <w:t xml:space="preserve"> would be</w:t>
      </w:r>
      <w:r w:rsidR="00C317D4" w:rsidRPr="00FD5E99">
        <w:rPr>
          <w:szCs w:val="22"/>
          <w:lang w:val="en-US"/>
        </w:rPr>
        <w:t xml:space="preserve"> likely </w:t>
      </w:r>
      <w:r w:rsidR="00263304" w:rsidRPr="00FD5E99">
        <w:rPr>
          <w:szCs w:val="22"/>
          <w:lang w:val="en-US"/>
        </w:rPr>
        <w:t>to be less effective</w:t>
      </w:r>
      <w:r w:rsidR="00CA6E65" w:rsidRPr="00FD5E99">
        <w:rPr>
          <w:szCs w:val="22"/>
          <w:lang w:val="en-US"/>
        </w:rPr>
        <w:t xml:space="preserve"> in achieving the legitimate aims</w:t>
      </w:r>
      <w:r w:rsidR="00A8176F" w:rsidRPr="00FD5E99">
        <w:rPr>
          <w:szCs w:val="22"/>
          <w:lang w:val="en-US"/>
        </w:rPr>
        <w:t xml:space="preserve"> which the minimum pricing</w:t>
      </w:r>
      <w:r w:rsidR="008D7566" w:rsidRPr="00FD5E99">
        <w:rPr>
          <w:szCs w:val="22"/>
          <w:lang w:val="en-US"/>
        </w:rPr>
        <w:t xml:space="preserve"> measures pursue’.</w:t>
      </w:r>
      <w:r w:rsidR="0042543F" w:rsidRPr="00FD5E99">
        <w:rPr>
          <w:rStyle w:val="FootnoteReference"/>
          <w:szCs w:val="22"/>
          <w:lang w:val="en-US"/>
        </w:rPr>
        <w:footnoteReference w:id="13"/>
      </w:r>
      <w:r w:rsidR="00405D6C" w:rsidRPr="00FD5E99">
        <w:rPr>
          <w:szCs w:val="22"/>
          <w:lang w:val="en-US"/>
        </w:rPr>
        <w:t xml:space="preserve"> Upon appeal to the Inner House</w:t>
      </w:r>
      <w:r w:rsidR="00A4494D" w:rsidRPr="00FD5E99">
        <w:rPr>
          <w:szCs w:val="22"/>
          <w:lang w:val="en-US"/>
        </w:rPr>
        <w:t xml:space="preserve"> </w:t>
      </w:r>
      <w:r w:rsidR="001D0C65" w:rsidRPr="00FD5E99">
        <w:rPr>
          <w:szCs w:val="22"/>
          <w:lang w:val="en-US"/>
        </w:rPr>
        <w:t xml:space="preserve">a </w:t>
      </w:r>
      <w:r w:rsidR="001D0C65" w:rsidRPr="00FD5E99">
        <w:rPr>
          <w:szCs w:val="22"/>
          <w:lang w:val="en-US"/>
        </w:rPr>
        <w:lastRenderedPageBreak/>
        <w:t xml:space="preserve">preliminary reference was made to the </w:t>
      </w:r>
      <w:r w:rsidR="00A4494D" w:rsidRPr="00FD5E99">
        <w:rPr>
          <w:szCs w:val="22"/>
          <w:lang w:val="en-US"/>
        </w:rPr>
        <w:t>Court of Justice of the European Union</w:t>
      </w:r>
      <w:r w:rsidR="001D0C65" w:rsidRPr="00FD5E99">
        <w:rPr>
          <w:szCs w:val="22"/>
          <w:lang w:val="en-US"/>
        </w:rPr>
        <w:t xml:space="preserve"> </w:t>
      </w:r>
      <w:r w:rsidR="00405D6C" w:rsidRPr="00FD5E99">
        <w:rPr>
          <w:szCs w:val="22"/>
          <w:lang w:val="en-US"/>
        </w:rPr>
        <w:t xml:space="preserve">(the </w:t>
      </w:r>
      <w:r w:rsidR="001D0C65" w:rsidRPr="00FD5E99">
        <w:rPr>
          <w:szCs w:val="22"/>
          <w:lang w:val="en-US"/>
        </w:rPr>
        <w:t>Court</w:t>
      </w:r>
      <w:r w:rsidR="00405D6C" w:rsidRPr="00FD5E99">
        <w:rPr>
          <w:szCs w:val="22"/>
          <w:lang w:val="en-US"/>
        </w:rPr>
        <w:t>)</w:t>
      </w:r>
      <w:r w:rsidR="001D0C65" w:rsidRPr="00FD5E99">
        <w:rPr>
          <w:szCs w:val="22"/>
          <w:lang w:val="en-US"/>
        </w:rPr>
        <w:t>, comprised of six questions on the application of EU law.</w:t>
      </w:r>
      <w:r w:rsidR="006F70BA" w:rsidRPr="00FD5E99">
        <w:rPr>
          <w:rStyle w:val="FootnoteReference"/>
          <w:szCs w:val="22"/>
          <w:lang w:val="en-US"/>
        </w:rPr>
        <w:footnoteReference w:id="14"/>
      </w:r>
      <w:r w:rsidR="009E4511" w:rsidRPr="00FD5E99">
        <w:rPr>
          <w:szCs w:val="22"/>
          <w:lang w:val="en-US"/>
        </w:rPr>
        <w:t xml:space="preserve"> </w:t>
      </w:r>
      <w:r w:rsidR="00AC6F01" w:rsidRPr="00FD5E99">
        <w:rPr>
          <w:szCs w:val="22"/>
          <w:lang w:val="en-US"/>
        </w:rPr>
        <w:t>The next section of this piece analyses the Court’s response.</w:t>
      </w:r>
    </w:p>
    <w:p w14:paraId="4DF44018" w14:textId="77777777" w:rsidR="004333DF" w:rsidRPr="00FD5E99" w:rsidRDefault="004333DF">
      <w:pPr>
        <w:rPr>
          <w:b/>
          <w:color w:val="FF0000"/>
          <w:szCs w:val="22"/>
          <w:lang w:val="en-US"/>
        </w:rPr>
      </w:pPr>
    </w:p>
    <w:p w14:paraId="2E4BBAE0" w14:textId="77777777" w:rsidR="004333DF" w:rsidRPr="00FD5E99" w:rsidRDefault="004333DF">
      <w:pPr>
        <w:rPr>
          <w:b/>
          <w:color w:val="FF0000"/>
          <w:szCs w:val="22"/>
          <w:lang w:val="en-US"/>
        </w:rPr>
      </w:pPr>
    </w:p>
    <w:p w14:paraId="5F4D5BEA" w14:textId="19DB4825" w:rsidR="004333DF" w:rsidRPr="00FD5E99" w:rsidRDefault="00F85340">
      <w:pPr>
        <w:rPr>
          <w:szCs w:val="22"/>
          <w:lang w:val="en-US"/>
        </w:rPr>
      </w:pPr>
      <w:r w:rsidRPr="00FD5E99">
        <w:rPr>
          <w:b/>
          <w:szCs w:val="22"/>
          <w:lang w:val="en-US"/>
        </w:rPr>
        <w:t xml:space="preserve">II. </w:t>
      </w:r>
      <w:r w:rsidR="004333DF" w:rsidRPr="00FD5E99">
        <w:rPr>
          <w:b/>
          <w:szCs w:val="22"/>
          <w:lang w:val="en-US"/>
        </w:rPr>
        <w:t>Judgement of the C</w:t>
      </w:r>
      <w:r w:rsidR="00405D6C" w:rsidRPr="00FD5E99">
        <w:rPr>
          <w:b/>
          <w:szCs w:val="22"/>
          <w:lang w:val="en-US"/>
        </w:rPr>
        <w:t xml:space="preserve">ourt </w:t>
      </w:r>
    </w:p>
    <w:p w14:paraId="71837AB0" w14:textId="2135654D" w:rsidR="007B0691" w:rsidRPr="00FD5E99" w:rsidRDefault="00851DDE">
      <w:pPr>
        <w:rPr>
          <w:szCs w:val="22"/>
          <w:lang w:val="en-US"/>
        </w:rPr>
      </w:pPr>
      <w:r w:rsidRPr="00FD5E99">
        <w:rPr>
          <w:szCs w:val="22"/>
          <w:lang w:val="en-US"/>
        </w:rPr>
        <w:t>Following a</w:t>
      </w:r>
      <w:r w:rsidR="00430968" w:rsidRPr="00FD5E99">
        <w:rPr>
          <w:szCs w:val="22"/>
          <w:lang w:val="en-US"/>
        </w:rPr>
        <w:t>n</w:t>
      </w:r>
      <w:r w:rsidRPr="00FD5E99">
        <w:rPr>
          <w:szCs w:val="22"/>
          <w:lang w:val="en-US"/>
        </w:rPr>
        <w:t xml:space="preserve"> Advoca</w:t>
      </w:r>
      <w:r w:rsidR="00D06A83" w:rsidRPr="00FD5E99">
        <w:rPr>
          <w:szCs w:val="22"/>
          <w:lang w:val="en-US"/>
        </w:rPr>
        <w:t xml:space="preserve">te General’s Opinion that was </w:t>
      </w:r>
      <w:r w:rsidR="002C6834" w:rsidRPr="00FD5E99">
        <w:rPr>
          <w:szCs w:val="22"/>
          <w:lang w:val="en-US"/>
        </w:rPr>
        <w:t xml:space="preserve">generally cautious </w:t>
      </w:r>
      <w:r w:rsidR="00CD19F1" w:rsidRPr="00FD5E99">
        <w:rPr>
          <w:szCs w:val="22"/>
          <w:lang w:val="en-US"/>
        </w:rPr>
        <w:t xml:space="preserve">on </w:t>
      </w:r>
      <w:r w:rsidR="00D06A83" w:rsidRPr="00FD5E99">
        <w:rPr>
          <w:szCs w:val="22"/>
          <w:lang w:val="en-US"/>
        </w:rPr>
        <w:t xml:space="preserve">the </w:t>
      </w:r>
      <w:r w:rsidRPr="00FD5E99">
        <w:rPr>
          <w:szCs w:val="22"/>
          <w:lang w:val="en-US"/>
        </w:rPr>
        <w:t>legality of minimum unit pricing</w:t>
      </w:r>
      <w:r w:rsidR="00BC1032" w:rsidRPr="00FD5E99">
        <w:rPr>
          <w:szCs w:val="22"/>
          <w:lang w:val="en-US"/>
        </w:rPr>
        <w:t xml:space="preserve"> for alcohol</w:t>
      </w:r>
      <w:r w:rsidRPr="00FD5E99">
        <w:rPr>
          <w:szCs w:val="22"/>
          <w:lang w:val="en-US"/>
        </w:rPr>
        <w:t xml:space="preserve"> (MUP</w:t>
      </w:r>
      <w:r w:rsidR="00CD19F1" w:rsidRPr="00FD5E99">
        <w:rPr>
          <w:szCs w:val="22"/>
          <w:lang w:val="en-US"/>
        </w:rPr>
        <w:t>)</w:t>
      </w:r>
      <w:r w:rsidR="00215ECE" w:rsidRPr="00FD5E99">
        <w:rPr>
          <w:szCs w:val="22"/>
          <w:lang w:val="en-US"/>
        </w:rPr>
        <w:t>,</w:t>
      </w:r>
      <w:r w:rsidR="009D42B7" w:rsidRPr="00FD5E99">
        <w:rPr>
          <w:rStyle w:val="FootnoteReference"/>
          <w:szCs w:val="22"/>
          <w:lang w:val="en-US"/>
        </w:rPr>
        <w:footnoteReference w:id="15"/>
      </w:r>
      <w:r w:rsidR="00215ECE" w:rsidRPr="00FD5E99">
        <w:rPr>
          <w:szCs w:val="22"/>
          <w:lang w:val="en-US"/>
        </w:rPr>
        <w:t xml:space="preserve"> </w:t>
      </w:r>
      <w:r w:rsidR="00BC1032" w:rsidRPr="00FD5E99">
        <w:rPr>
          <w:szCs w:val="22"/>
          <w:lang w:val="en-US"/>
        </w:rPr>
        <w:t>the Court delivered its ju</w:t>
      </w:r>
      <w:r w:rsidR="00F5535A" w:rsidRPr="00FD5E99">
        <w:rPr>
          <w:szCs w:val="22"/>
          <w:lang w:val="en-US"/>
        </w:rPr>
        <w:t xml:space="preserve">dgement on 23 December 2015. It </w:t>
      </w:r>
      <w:r w:rsidR="00BC1032" w:rsidRPr="00FD5E99">
        <w:rPr>
          <w:szCs w:val="22"/>
          <w:lang w:val="en-US"/>
        </w:rPr>
        <w:t xml:space="preserve">can be summarised as </w:t>
      </w:r>
      <w:r w:rsidR="00384EBA" w:rsidRPr="00FD5E99">
        <w:rPr>
          <w:szCs w:val="22"/>
          <w:lang w:val="en-US"/>
        </w:rPr>
        <w:t xml:space="preserve">a disappointment for public health advocates but not necessarily </w:t>
      </w:r>
      <w:r w:rsidR="002A15B6" w:rsidRPr="00FD5E99">
        <w:rPr>
          <w:szCs w:val="22"/>
          <w:lang w:val="en-US"/>
        </w:rPr>
        <w:t>the end of MUP in Europe</w:t>
      </w:r>
      <w:r w:rsidR="005C7026" w:rsidRPr="00FD5E99">
        <w:rPr>
          <w:szCs w:val="22"/>
          <w:lang w:val="en-US"/>
        </w:rPr>
        <w:t xml:space="preserve">. </w:t>
      </w:r>
      <w:r w:rsidR="00755CFA" w:rsidRPr="00FD5E99">
        <w:rPr>
          <w:szCs w:val="22"/>
          <w:lang w:val="en-US"/>
        </w:rPr>
        <w:t>The</w:t>
      </w:r>
      <w:r w:rsidR="00F5535A" w:rsidRPr="00FD5E99">
        <w:rPr>
          <w:szCs w:val="22"/>
          <w:lang w:val="en-US"/>
        </w:rPr>
        <w:t xml:space="preserve"> Court </w:t>
      </w:r>
      <w:r w:rsidR="00E15506" w:rsidRPr="00FD5E99">
        <w:rPr>
          <w:szCs w:val="22"/>
          <w:lang w:val="en-US"/>
        </w:rPr>
        <w:t xml:space="preserve">noted that the answer to all </w:t>
      </w:r>
      <w:r w:rsidR="00755CFA" w:rsidRPr="00FD5E99">
        <w:rPr>
          <w:szCs w:val="22"/>
          <w:lang w:val="en-US"/>
        </w:rPr>
        <w:t xml:space="preserve">questions posed, including the single question on the </w:t>
      </w:r>
      <w:r w:rsidR="00F76B35" w:rsidRPr="00FD5E99">
        <w:rPr>
          <w:szCs w:val="22"/>
          <w:lang w:val="en-US"/>
        </w:rPr>
        <w:t xml:space="preserve">organisation of the common market in wine, </w:t>
      </w:r>
      <w:r w:rsidR="007B0691" w:rsidRPr="00FD5E99">
        <w:rPr>
          <w:szCs w:val="22"/>
          <w:lang w:val="en-US"/>
        </w:rPr>
        <w:t>‘specifically co</w:t>
      </w:r>
      <w:r w:rsidR="00E15506" w:rsidRPr="00FD5E99">
        <w:rPr>
          <w:szCs w:val="22"/>
          <w:lang w:val="en-US"/>
        </w:rPr>
        <w:t>ncerns</w:t>
      </w:r>
      <w:r w:rsidR="00270106" w:rsidRPr="00FD5E99">
        <w:rPr>
          <w:szCs w:val="22"/>
          <w:lang w:val="en-US"/>
        </w:rPr>
        <w:t xml:space="preserve"> the analysis of the proportionality of [the] legislation’</w:t>
      </w:r>
      <w:r w:rsidR="00F76B35" w:rsidRPr="00FD5E99">
        <w:rPr>
          <w:szCs w:val="22"/>
          <w:lang w:val="en-US"/>
        </w:rPr>
        <w:t>,</w:t>
      </w:r>
      <w:r w:rsidR="007B0691" w:rsidRPr="00FD5E99">
        <w:rPr>
          <w:rStyle w:val="FootnoteReference"/>
          <w:szCs w:val="22"/>
          <w:lang w:val="en-US"/>
        </w:rPr>
        <w:footnoteReference w:id="16"/>
      </w:r>
      <w:r w:rsidR="00F76B35" w:rsidRPr="00FD5E99">
        <w:rPr>
          <w:szCs w:val="22"/>
          <w:lang w:val="en-US"/>
        </w:rPr>
        <w:t xml:space="preserve"> and </w:t>
      </w:r>
      <w:r w:rsidR="003F1FC9" w:rsidRPr="00FD5E99">
        <w:rPr>
          <w:szCs w:val="22"/>
          <w:lang w:val="en-US"/>
        </w:rPr>
        <w:t xml:space="preserve">thus </w:t>
      </w:r>
      <w:r w:rsidR="00F76B35" w:rsidRPr="00FD5E99">
        <w:rPr>
          <w:szCs w:val="22"/>
          <w:lang w:val="en-US"/>
        </w:rPr>
        <w:t xml:space="preserve">an analysis of proportionality </w:t>
      </w:r>
      <w:r w:rsidR="003F1FC9" w:rsidRPr="00FD5E99">
        <w:rPr>
          <w:szCs w:val="22"/>
          <w:lang w:val="en-US"/>
        </w:rPr>
        <w:t xml:space="preserve">constituted the bulk of the judgement. </w:t>
      </w:r>
    </w:p>
    <w:p w14:paraId="05FE7713" w14:textId="77777777" w:rsidR="007B0691" w:rsidRPr="00FD5E99" w:rsidRDefault="007B0691">
      <w:pPr>
        <w:rPr>
          <w:szCs w:val="22"/>
          <w:lang w:val="en-US"/>
        </w:rPr>
      </w:pPr>
    </w:p>
    <w:p w14:paraId="3C2CE2B4" w14:textId="3F0C453A" w:rsidR="00674BD1" w:rsidRPr="00FD5E99" w:rsidRDefault="007B0691">
      <w:pPr>
        <w:rPr>
          <w:szCs w:val="22"/>
          <w:lang w:val="en-US"/>
        </w:rPr>
      </w:pPr>
      <w:r w:rsidRPr="00FD5E99">
        <w:rPr>
          <w:szCs w:val="22"/>
          <w:lang w:val="en-US"/>
        </w:rPr>
        <w:t xml:space="preserve">The Court </w:t>
      </w:r>
      <w:r w:rsidR="00F33481" w:rsidRPr="00FD5E99">
        <w:rPr>
          <w:szCs w:val="22"/>
          <w:lang w:val="en-US"/>
        </w:rPr>
        <w:t xml:space="preserve">began </w:t>
      </w:r>
      <w:r w:rsidR="00270106" w:rsidRPr="00FD5E99">
        <w:rPr>
          <w:szCs w:val="22"/>
          <w:lang w:val="en-US"/>
        </w:rPr>
        <w:t xml:space="preserve">by </w:t>
      </w:r>
      <w:r w:rsidR="0038238D" w:rsidRPr="00FD5E99">
        <w:rPr>
          <w:szCs w:val="22"/>
          <w:lang w:val="en-US"/>
        </w:rPr>
        <w:t xml:space="preserve">applying the </w:t>
      </w:r>
      <w:r w:rsidR="00E40B31" w:rsidRPr="00FD5E99">
        <w:rPr>
          <w:szCs w:val="22"/>
          <w:lang w:val="en-US"/>
        </w:rPr>
        <w:t>classic case law on Articles 34</w:t>
      </w:r>
      <w:r w:rsidRPr="00FD5E99">
        <w:rPr>
          <w:szCs w:val="22"/>
          <w:lang w:val="en-US"/>
        </w:rPr>
        <w:t xml:space="preserve"> (prohibition of quantitate restrictions on imports)</w:t>
      </w:r>
      <w:r w:rsidR="00E40B31" w:rsidRPr="00FD5E99">
        <w:rPr>
          <w:szCs w:val="22"/>
          <w:lang w:val="en-US"/>
        </w:rPr>
        <w:t xml:space="preserve"> and 36 TFEU</w:t>
      </w:r>
      <w:r w:rsidR="003636D7" w:rsidRPr="00FD5E99">
        <w:rPr>
          <w:szCs w:val="22"/>
          <w:lang w:val="en-US"/>
        </w:rPr>
        <w:t xml:space="preserve"> (circumstances in which</w:t>
      </w:r>
      <w:r w:rsidRPr="00FD5E99">
        <w:rPr>
          <w:szCs w:val="22"/>
          <w:lang w:val="en-US"/>
        </w:rPr>
        <w:t xml:space="preserve"> derogation from Article 34 is </w:t>
      </w:r>
      <w:r w:rsidR="00614B0A" w:rsidRPr="00FD5E99">
        <w:rPr>
          <w:szCs w:val="22"/>
          <w:lang w:val="en-US"/>
        </w:rPr>
        <w:t>justified</w:t>
      </w:r>
      <w:r w:rsidRPr="00FD5E99">
        <w:rPr>
          <w:szCs w:val="22"/>
          <w:lang w:val="en-US"/>
        </w:rPr>
        <w:t>)</w:t>
      </w:r>
      <w:r w:rsidR="0038238D" w:rsidRPr="00FD5E99">
        <w:rPr>
          <w:szCs w:val="22"/>
          <w:lang w:val="en-US"/>
        </w:rPr>
        <w:t xml:space="preserve">. Since </w:t>
      </w:r>
      <w:r w:rsidR="00CF0A02" w:rsidRPr="00FD5E99">
        <w:rPr>
          <w:szCs w:val="22"/>
          <w:lang w:val="en-US"/>
        </w:rPr>
        <w:t>MUP</w:t>
      </w:r>
      <w:r w:rsidRPr="00FD5E99">
        <w:rPr>
          <w:szCs w:val="22"/>
          <w:lang w:val="en-US"/>
        </w:rPr>
        <w:t xml:space="preserve"> erases competitive advantages aris</w:t>
      </w:r>
      <w:r w:rsidR="00405D6C" w:rsidRPr="00FD5E99">
        <w:rPr>
          <w:szCs w:val="22"/>
          <w:lang w:val="en-US"/>
        </w:rPr>
        <w:t>ing from lower production costs</w:t>
      </w:r>
      <w:r w:rsidRPr="00FD5E99">
        <w:rPr>
          <w:szCs w:val="22"/>
          <w:lang w:val="en-US"/>
        </w:rPr>
        <w:t xml:space="preserve"> </w:t>
      </w:r>
      <w:r w:rsidR="0038238D" w:rsidRPr="00FD5E99">
        <w:rPr>
          <w:szCs w:val="22"/>
          <w:lang w:val="en-US"/>
        </w:rPr>
        <w:t xml:space="preserve">it hinders trade within the meaning of </w:t>
      </w:r>
      <w:proofErr w:type="spellStart"/>
      <w:r w:rsidR="0038088E" w:rsidRPr="00FD5E99">
        <w:rPr>
          <w:i/>
          <w:szCs w:val="22"/>
          <w:lang w:val="en-US"/>
        </w:rPr>
        <w:t>Dassonville</w:t>
      </w:r>
      <w:proofErr w:type="spellEnd"/>
      <w:r w:rsidR="00430968" w:rsidRPr="00FD5E99">
        <w:rPr>
          <w:rStyle w:val="FootnoteReference"/>
          <w:i/>
          <w:szCs w:val="22"/>
          <w:lang w:val="en-US"/>
        </w:rPr>
        <w:footnoteReference w:id="17"/>
      </w:r>
      <w:r w:rsidR="0038088E" w:rsidRPr="00FD5E99">
        <w:rPr>
          <w:i/>
          <w:szCs w:val="22"/>
          <w:lang w:val="en-US"/>
        </w:rPr>
        <w:t xml:space="preserve"> </w:t>
      </w:r>
      <w:r w:rsidR="0038088E" w:rsidRPr="00FD5E99">
        <w:rPr>
          <w:szCs w:val="22"/>
          <w:lang w:val="en-US"/>
        </w:rPr>
        <w:t xml:space="preserve">and is therefore caught by </w:t>
      </w:r>
      <w:r w:rsidR="00B74A4C" w:rsidRPr="00FD5E99">
        <w:rPr>
          <w:szCs w:val="22"/>
          <w:lang w:val="en-US"/>
        </w:rPr>
        <w:t>Article</w:t>
      </w:r>
      <w:r w:rsidR="0038088E" w:rsidRPr="00FD5E99">
        <w:rPr>
          <w:szCs w:val="22"/>
          <w:lang w:val="en-US"/>
        </w:rPr>
        <w:t xml:space="preserve"> 34</w:t>
      </w:r>
      <w:r w:rsidR="00BD2B9B" w:rsidRPr="00FD5E99">
        <w:rPr>
          <w:szCs w:val="22"/>
          <w:lang w:val="en-US"/>
        </w:rPr>
        <w:t>.</w:t>
      </w:r>
      <w:r w:rsidR="00BD3DF8" w:rsidRPr="00FD5E99">
        <w:rPr>
          <w:rStyle w:val="FootnoteReference"/>
          <w:szCs w:val="22"/>
          <w:lang w:val="en-US"/>
        </w:rPr>
        <w:footnoteReference w:id="18"/>
      </w:r>
      <w:r w:rsidR="00BD2B9B" w:rsidRPr="00FD5E99">
        <w:rPr>
          <w:szCs w:val="22"/>
          <w:lang w:val="en-US"/>
        </w:rPr>
        <w:t xml:space="preserve"> In line with case law including</w:t>
      </w:r>
      <w:r w:rsidR="008634D3" w:rsidRPr="00FD5E99">
        <w:rPr>
          <w:szCs w:val="22"/>
          <w:lang w:val="en-US"/>
        </w:rPr>
        <w:t xml:space="preserve"> </w:t>
      </w:r>
      <w:r w:rsidR="008634D3" w:rsidRPr="00FD5E99">
        <w:rPr>
          <w:i/>
          <w:szCs w:val="22"/>
          <w:lang w:val="en-US"/>
        </w:rPr>
        <w:t>ANNETT</w:t>
      </w:r>
      <w:r w:rsidR="008634D3" w:rsidRPr="00FD5E99">
        <w:rPr>
          <w:szCs w:val="22"/>
          <w:lang w:val="en-US"/>
        </w:rPr>
        <w:t>,</w:t>
      </w:r>
      <w:r w:rsidR="009E40C5" w:rsidRPr="00FD5E99">
        <w:rPr>
          <w:rStyle w:val="FootnoteReference"/>
          <w:szCs w:val="22"/>
          <w:lang w:val="en-US"/>
        </w:rPr>
        <w:footnoteReference w:id="19"/>
      </w:r>
      <w:r w:rsidR="00B74A4C" w:rsidRPr="00FD5E99">
        <w:rPr>
          <w:szCs w:val="22"/>
          <w:lang w:val="en-US"/>
        </w:rPr>
        <w:t xml:space="preserve"> </w:t>
      </w:r>
      <w:r w:rsidRPr="00FD5E99">
        <w:rPr>
          <w:szCs w:val="22"/>
          <w:lang w:val="en-US"/>
        </w:rPr>
        <w:t xml:space="preserve">MUP </w:t>
      </w:r>
      <w:r w:rsidR="00B74A4C" w:rsidRPr="00FD5E99">
        <w:rPr>
          <w:szCs w:val="22"/>
          <w:lang w:val="en-US"/>
        </w:rPr>
        <w:t xml:space="preserve">may be justified under Article </w:t>
      </w:r>
      <w:r w:rsidR="002E6711" w:rsidRPr="00FD5E99">
        <w:rPr>
          <w:szCs w:val="22"/>
          <w:lang w:val="en-US"/>
        </w:rPr>
        <w:t>36</w:t>
      </w:r>
      <w:r w:rsidR="008900DC" w:rsidRPr="00FD5E99">
        <w:rPr>
          <w:szCs w:val="22"/>
          <w:lang w:val="en-US"/>
        </w:rPr>
        <w:t xml:space="preserve"> on grounds of protection of health and life of humans,</w:t>
      </w:r>
      <w:r w:rsidRPr="00FD5E99">
        <w:rPr>
          <w:szCs w:val="22"/>
          <w:lang w:val="en-US"/>
        </w:rPr>
        <w:t xml:space="preserve"> but only if </w:t>
      </w:r>
      <w:r w:rsidR="00C641BD" w:rsidRPr="00FD5E99">
        <w:rPr>
          <w:szCs w:val="22"/>
          <w:lang w:val="en-US"/>
        </w:rPr>
        <w:t xml:space="preserve">appropriate and necessary for </w:t>
      </w:r>
      <w:r w:rsidRPr="00FD5E99">
        <w:rPr>
          <w:szCs w:val="22"/>
          <w:lang w:val="en-US"/>
        </w:rPr>
        <w:t>achieving</w:t>
      </w:r>
      <w:r w:rsidR="00C641BD" w:rsidRPr="00FD5E99">
        <w:rPr>
          <w:szCs w:val="22"/>
          <w:lang w:val="en-US"/>
        </w:rPr>
        <w:t xml:space="preserve"> the objective pursued</w:t>
      </w:r>
      <w:r w:rsidR="00BD2B9B" w:rsidRPr="00FD5E99">
        <w:rPr>
          <w:szCs w:val="22"/>
          <w:lang w:val="en-US"/>
        </w:rPr>
        <w:t>.</w:t>
      </w:r>
      <w:r w:rsidR="00BD3DF8" w:rsidRPr="00FD5E99">
        <w:rPr>
          <w:rStyle w:val="FootnoteReference"/>
          <w:szCs w:val="22"/>
          <w:lang w:val="en-US"/>
        </w:rPr>
        <w:footnoteReference w:id="20"/>
      </w:r>
      <w:r w:rsidR="002B6499" w:rsidRPr="00FD5E99">
        <w:rPr>
          <w:szCs w:val="22"/>
          <w:lang w:val="en-US"/>
        </w:rPr>
        <w:t xml:space="preserve"> </w:t>
      </w:r>
      <w:r w:rsidR="00BD2B9B" w:rsidRPr="00FD5E99">
        <w:rPr>
          <w:szCs w:val="22"/>
          <w:lang w:val="en-US"/>
        </w:rPr>
        <w:t>Finally, in line with case law including</w:t>
      </w:r>
      <w:r w:rsidR="00866A9B" w:rsidRPr="00FD5E99">
        <w:rPr>
          <w:szCs w:val="22"/>
          <w:lang w:val="en-US"/>
        </w:rPr>
        <w:t xml:space="preserve"> </w:t>
      </w:r>
      <w:proofErr w:type="spellStart"/>
      <w:r w:rsidR="00866A9B" w:rsidRPr="00FD5E99">
        <w:rPr>
          <w:i/>
          <w:szCs w:val="22"/>
          <w:lang w:val="en-US"/>
        </w:rPr>
        <w:t>Rosengren</w:t>
      </w:r>
      <w:proofErr w:type="spellEnd"/>
      <w:r w:rsidR="00CA61C2" w:rsidRPr="00FD5E99">
        <w:rPr>
          <w:i/>
          <w:szCs w:val="22"/>
          <w:lang w:val="en-US"/>
        </w:rPr>
        <w:t>,</w:t>
      </w:r>
      <w:r w:rsidR="00430968" w:rsidRPr="00FD5E99">
        <w:rPr>
          <w:rStyle w:val="FootnoteReference"/>
          <w:i/>
          <w:szCs w:val="22"/>
          <w:lang w:val="en-US"/>
        </w:rPr>
        <w:footnoteReference w:id="21"/>
      </w:r>
      <w:r w:rsidR="00866A9B" w:rsidRPr="00FD5E99">
        <w:rPr>
          <w:i/>
          <w:szCs w:val="22"/>
          <w:lang w:val="en-US"/>
        </w:rPr>
        <w:t xml:space="preserve"> </w:t>
      </w:r>
      <w:r w:rsidR="006E19E9" w:rsidRPr="00FD5E99">
        <w:rPr>
          <w:szCs w:val="22"/>
          <w:lang w:val="en-US"/>
        </w:rPr>
        <w:t xml:space="preserve">Member States </w:t>
      </w:r>
      <w:r w:rsidR="00866A9B" w:rsidRPr="00FD5E99">
        <w:rPr>
          <w:szCs w:val="22"/>
          <w:lang w:val="en-US"/>
        </w:rPr>
        <w:t xml:space="preserve">can decide the degree of </w:t>
      </w:r>
      <w:r w:rsidR="00405D6C" w:rsidRPr="00FD5E99">
        <w:rPr>
          <w:szCs w:val="22"/>
          <w:lang w:val="en-US"/>
        </w:rPr>
        <w:t xml:space="preserve">public health </w:t>
      </w:r>
      <w:r w:rsidR="00866A9B" w:rsidRPr="00FD5E99">
        <w:rPr>
          <w:szCs w:val="22"/>
          <w:lang w:val="en-US"/>
        </w:rPr>
        <w:t xml:space="preserve">protection </w:t>
      </w:r>
      <w:r w:rsidR="00CA61C2" w:rsidRPr="00FD5E99">
        <w:rPr>
          <w:szCs w:val="22"/>
          <w:lang w:val="en-US"/>
        </w:rPr>
        <w:t xml:space="preserve">they wish to </w:t>
      </w:r>
      <w:r w:rsidR="00405D6C" w:rsidRPr="00FD5E99">
        <w:rPr>
          <w:szCs w:val="22"/>
          <w:lang w:val="en-US"/>
        </w:rPr>
        <w:t>pursue</w:t>
      </w:r>
      <w:r w:rsidR="008C2DF9" w:rsidRPr="00FD5E99">
        <w:rPr>
          <w:szCs w:val="22"/>
          <w:lang w:val="en-US"/>
        </w:rPr>
        <w:t>, including</w:t>
      </w:r>
      <w:r w:rsidR="00405D6C" w:rsidRPr="00FD5E99">
        <w:rPr>
          <w:szCs w:val="22"/>
          <w:lang w:val="en-US"/>
        </w:rPr>
        <w:t xml:space="preserve"> whether to</w:t>
      </w:r>
      <w:r w:rsidR="008C2DF9" w:rsidRPr="00FD5E99">
        <w:rPr>
          <w:szCs w:val="22"/>
          <w:lang w:val="en-US"/>
        </w:rPr>
        <w:t xml:space="preserve"> implement measures such as MUP, as long as they remain within the limits of the Treaties</w:t>
      </w:r>
      <w:r w:rsidR="00DA13E5" w:rsidRPr="00FD5E99">
        <w:rPr>
          <w:szCs w:val="22"/>
          <w:lang w:val="en-US"/>
        </w:rPr>
        <w:t>.</w:t>
      </w:r>
      <w:r w:rsidR="00725091" w:rsidRPr="00FD5E99">
        <w:rPr>
          <w:rStyle w:val="FootnoteReference"/>
          <w:szCs w:val="22"/>
          <w:lang w:val="en-US"/>
        </w:rPr>
        <w:footnoteReference w:id="22"/>
      </w:r>
      <w:r w:rsidR="00DA13E5" w:rsidRPr="00FD5E99">
        <w:rPr>
          <w:szCs w:val="22"/>
          <w:lang w:val="en-US"/>
        </w:rPr>
        <w:t xml:space="preserve"> </w:t>
      </w:r>
    </w:p>
    <w:p w14:paraId="5F38DBC0" w14:textId="77777777" w:rsidR="00DA13E5" w:rsidRPr="00FD5E99" w:rsidRDefault="00DA13E5">
      <w:pPr>
        <w:rPr>
          <w:color w:val="FF0000"/>
          <w:szCs w:val="22"/>
          <w:lang w:val="en-US"/>
        </w:rPr>
      </w:pPr>
    </w:p>
    <w:p w14:paraId="48DAA030" w14:textId="414C57F7" w:rsidR="001254AD" w:rsidRPr="00FD5E99" w:rsidRDefault="008C2DF9">
      <w:pPr>
        <w:rPr>
          <w:szCs w:val="22"/>
          <w:lang w:val="en-US"/>
        </w:rPr>
      </w:pPr>
      <w:r w:rsidRPr="00FD5E99">
        <w:rPr>
          <w:szCs w:val="22"/>
          <w:lang w:val="en-US"/>
        </w:rPr>
        <w:t>T</w:t>
      </w:r>
      <w:r w:rsidR="00DA13E5" w:rsidRPr="00FD5E99">
        <w:rPr>
          <w:szCs w:val="22"/>
          <w:lang w:val="en-US"/>
        </w:rPr>
        <w:t>he Court</w:t>
      </w:r>
      <w:r w:rsidRPr="00FD5E99">
        <w:rPr>
          <w:szCs w:val="22"/>
          <w:lang w:val="en-US"/>
        </w:rPr>
        <w:t xml:space="preserve"> then</w:t>
      </w:r>
      <w:r w:rsidR="00DA13E5" w:rsidRPr="00FD5E99">
        <w:rPr>
          <w:szCs w:val="22"/>
          <w:lang w:val="en-US"/>
        </w:rPr>
        <w:t xml:space="preserve"> turn</w:t>
      </w:r>
      <w:r w:rsidRPr="00FD5E99">
        <w:rPr>
          <w:szCs w:val="22"/>
          <w:lang w:val="en-US"/>
        </w:rPr>
        <w:t>ed</w:t>
      </w:r>
      <w:r w:rsidR="00DA13E5" w:rsidRPr="00FD5E99">
        <w:rPr>
          <w:szCs w:val="22"/>
          <w:lang w:val="en-US"/>
        </w:rPr>
        <w:t xml:space="preserve"> its attention to the proportionalit</w:t>
      </w:r>
      <w:r w:rsidR="00CA61C2" w:rsidRPr="00FD5E99">
        <w:rPr>
          <w:szCs w:val="22"/>
          <w:lang w:val="en-US"/>
        </w:rPr>
        <w:t>y of MUP</w:t>
      </w:r>
      <w:r w:rsidR="00DA13E5" w:rsidRPr="00FD5E99">
        <w:rPr>
          <w:szCs w:val="22"/>
          <w:lang w:val="en-US"/>
        </w:rPr>
        <w:t xml:space="preserve">. </w:t>
      </w:r>
      <w:r w:rsidR="00CA61C2" w:rsidRPr="00FD5E99">
        <w:rPr>
          <w:szCs w:val="22"/>
          <w:lang w:val="en-US"/>
        </w:rPr>
        <w:t xml:space="preserve">The </w:t>
      </w:r>
      <w:r w:rsidR="003636D7" w:rsidRPr="00FD5E99">
        <w:rPr>
          <w:szCs w:val="22"/>
          <w:lang w:val="en-US"/>
        </w:rPr>
        <w:t>Court</w:t>
      </w:r>
      <w:r w:rsidR="00A56566" w:rsidRPr="00FD5E99">
        <w:rPr>
          <w:szCs w:val="22"/>
          <w:lang w:val="en-US"/>
        </w:rPr>
        <w:t xml:space="preserve"> first</w:t>
      </w:r>
      <w:r w:rsidR="003636D7" w:rsidRPr="00FD5E99">
        <w:rPr>
          <w:szCs w:val="22"/>
          <w:lang w:val="en-US"/>
        </w:rPr>
        <w:t xml:space="preserve"> noted that </w:t>
      </w:r>
      <w:r w:rsidR="001E7341" w:rsidRPr="00FD5E99">
        <w:rPr>
          <w:szCs w:val="22"/>
          <w:lang w:val="en-US"/>
        </w:rPr>
        <w:t>‘it is apparent from the Explanatory Notes that accompanied the draft of the</w:t>
      </w:r>
      <w:r w:rsidR="003636D7" w:rsidRPr="00FD5E99">
        <w:rPr>
          <w:szCs w:val="22"/>
          <w:lang w:val="en-US"/>
        </w:rPr>
        <w:t xml:space="preserve"> </w:t>
      </w:r>
      <w:r w:rsidR="001E7341" w:rsidRPr="00FD5E99">
        <w:rPr>
          <w:szCs w:val="22"/>
          <w:lang w:val="en-US"/>
        </w:rPr>
        <w:t xml:space="preserve">2012 Act … and from a recent study entitled </w:t>
      </w:r>
      <w:r w:rsidR="00184AEB" w:rsidRPr="00FD5E99">
        <w:rPr>
          <w:szCs w:val="22"/>
          <w:lang w:val="en-US"/>
        </w:rPr>
        <w:t>“</w:t>
      </w:r>
      <w:r w:rsidR="001E7341" w:rsidRPr="00FD5E99">
        <w:rPr>
          <w:szCs w:val="22"/>
          <w:lang w:val="en-US"/>
        </w:rPr>
        <w:t>Business and Regulatory Impact Assessment</w:t>
      </w:r>
      <w:r w:rsidR="00184AEB" w:rsidRPr="00FD5E99">
        <w:rPr>
          <w:szCs w:val="22"/>
          <w:lang w:val="en-US"/>
        </w:rPr>
        <w:t>”</w:t>
      </w:r>
      <w:r w:rsidR="001E7341" w:rsidRPr="00FD5E99">
        <w:rPr>
          <w:szCs w:val="22"/>
          <w:lang w:val="en-US"/>
        </w:rPr>
        <w:t xml:space="preserve">, that that legislation </w:t>
      </w:r>
      <w:r w:rsidR="00184AEB" w:rsidRPr="00FD5E99">
        <w:rPr>
          <w:szCs w:val="22"/>
          <w:lang w:val="en-US"/>
        </w:rPr>
        <w:t>pursues</w:t>
      </w:r>
      <w:r w:rsidR="001E7341" w:rsidRPr="00FD5E99">
        <w:rPr>
          <w:szCs w:val="22"/>
          <w:lang w:val="en-US"/>
        </w:rPr>
        <w:t xml:space="preserve"> a twofold objective</w:t>
      </w:r>
      <w:r w:rsidRPr="00FD5E99">
        <w:rPr>
          <w:szCs w:val="22"/>
          <w:lang w:val="en-US"/>
        </w:rPr>
        <w:t>’</w:t>
      </w:r>
      <w:r w:rsidR="00666BAF" w:rsidRPr="00FD5E99">
        <w:rPr>
          <w:szCs w:val="22"/>
          <w:lang w:val="en-US"/>
        </w:rPr>
        <w:t>,</w:t>
      </w:r>
      <w:r w:rsidRPr="00FD5E99">
        <w:rPr>
          <w:rStyle w:val="FootnoteReference"/>
          <w:szCs w:val="22"/>
          <w:lang w:val="en-US"/>
        </w:rPr>
        <w:footnoteReference w:id="23"/>
      </w:r>
      <w:r w:rsidRPr="00FD5E99">
        <w:rPr>
          <w:szCs w:val="22"/>
          <w:lang w:val="en-US"/>
        </w:rPr>
        <w:t xml:space="preserve">  namely of reducing harmful and hazardous consumption specifically and population consumption generally</w:t>
      </w:r>
      <w:r w:rsidR="00666BAF" w:rsidRPr="00FD5E99">
        <w:rPr>
          <w:szCs w:val="22"/>
          <w:lang w:val="en-US"/>
        </w:rPr>
        <w:t xml:space="preserve"> – a twofold objective that the</w:t>
      </w:r>
      <w:r w:rsidR="00D71627" w:rsidRPr="00FD5E99">
        <w:rPr>
          <w:szCs w:val="22"/>
          <w:lang w:val="en-US"/>
        </w:rPr>
        <w:t xml:space="preserve"> Lord Advocate confirmed in the</w:t>
      </w:r>
      <w:r w:rsidR="00666BAF" w:rsidRPr="00FD5E99">
        <w:rPr>
          <w:szCs w:val="22"/>
          <w:lang w:val="en-US"/>
        </w:rPr>
        <w:t xml:space="preserve"> hearing</w:t>
      </w:r>
      <w:r w:rsidRPr="00FD5E99">
        <w:rPr>
          <w:szCs w:val="22"/>
          <w:lang w:val="en-US"/>
        </w:rPr>
        <w:t>.</w:t>
      </w:r>
      <w:r w:rsidR="00184AEB" w:rsidRPr="00FD5E99">
        <w:rPr>
          <w:rStyle w:val="FootnoteReference"/>
          <w:szCs w:val="22"/>
          <w:lang w:val="en-US"/>
        </w:rPr>
        <w:footnoteReference w:id="24"/>
      </w:r>
      <w:r w:rsidR="00D71627" w:rsidRPr="00FD5E99">
        <w:rPr>
          <w:szCs w:val="22"/>
          <w:lang w:val="en-US"/>
        </w:rPr>
        <w:t xml:space="preserve"> The framing of the Act’s objectives was </w:t>
      </w:r>
      <w:r w:rsidR="00A82D8E" w:rsidRPr="00FD5E99">
        <w:rPr>
          <w:szCs w:val="22"/>
          <w:lang w:val="en-US"/>
        </w:rPr>
        <w:t>crucial</w:t>
      </w:r>
      <w:r w:rsidR="00666BAF" w:rsidRPr="00FD5E99">
        <w:rPr>
          <w:szCs w:val="22"/>
          <w:lang w:val="en-US"/>
        </w:rPr>
        <w:t>.</w:t>
      </w:r>
      <w:r w:rsidRPr="00FD5E99">
        <w:rPr>
          <w:szCs w:val="22"/>
          <w:lang w:val="en-US"/>
        </w:rPr>
        <w:t xml:space="preserve"> The Scottish Government allowed the Court to misinterpret the targeting of the Act and a</w:t>
      </w:r>
      <w:r w:rsidR="00DB1BA0" w:rsidRPr="00FD5E99">
        <w:rPr>
          <w:szCs w:val="22"/>
          <w:lang w:val="en-US"/>
        </w:rPr>
        <w:t xml:space="preserve">ssume that reducing consumption specifically and generally </w:t>
      </w:r>
      <w:r w:rsidRPr="00FD5E99">
        <w:rPr>
          <w:szCs w:val="22"/>
          <w:lang w:val="en-US"/>
        </w:rPr>
        <w:t>were equal objectives</w:t>
      </w:r>
      <w:r w:rsidR="00071C63" w:rsidRPr="00FD5E99">
        <w:rPr>
          <w:szCs w:val="22"/>
          <w:lang w:val="en-US"/>
        </w:rPr>
        <w:t xml:space="preserve">, </w:t>
      </w:r>
      <w:r w:rsidR="00071C63" w:rsidRPr="00FD5E99">
        <w:rPr>
          <w:szCs w:val="22"/>
          <w:lang w:val="en-US"/>
        </w:rPr>
        <w:lastRenderedPageBreak/>
        <w:t xml:space="preserve">when in reality MUP targets </w:t>
      </w:r>
      <w:r w:rsidR="00A82D8E" w:rsidRPr="00FD5E99">
        <w:rPr>
          <w:szCs w:val="22"/>
          <w:lang w:val="en-US"/>
        </w:rPr>
        <w:t>hazardous</w:t>
      </w:r>
      <w:r w:rsidR="00071C63" w:rsidRPr="00FD5E99">
        <w:rPr>
          <w:szCs w:val="22"/>
          <w:lang w:val="en-US"/>
        </w:rPr>
        <w:t xml:space="preserve"> and harmful drinkers</w:t>
      </w:r>
      <w:r w:rsidR="00A82D8E" w:rsidRPr="00FD5E99">
        <w:rPr>
          <w:szCs w:val="22"/>
          <w:lang w:val="en-US"/>
        </w:rPr>
        <w:t xml:space="preserve"> </w:t>
      </w:r>
      <w:r w:rsidR="00071C63" w:rsidRPr="00FD5E99">
        <w:rPr>
          <w:szCs w:val="22"/>
          <w:lang w:val="en-US"/>
        </w:rPr>
        <w:t xml:space="preserve">while incidentally </w:t>
      </w:r>
      <w:r w:rsidR="00A82D8E" w:rsidRPr="00FD5E99">
        <w:rPr>
          <w:szCs w:val="22"/>
          <w:lang w:val="en-US"/>
        </w:rPr>
        <w:t>reducing population consumption</w:t>
      </w:r>
      <w:r w:rsidR="005E67FA" w:rsidRPr="00FD5E99">
        <w:rPr>
          <w:szCs w:val="22"/>
          <w:lang w:val="en-US"/>
        </w:rPr>
        <w:t>.</w:t>
      </w:r>
    </w:p>
    <w:p w14:paraId="69023ADB" w14:textId="77777777" w:rsidR="001254AD" w:rsidRPr="00FD5E99" w:rsidRDefault="001254AD">
      <w:pPr>
        <w:rPr>
          <w:color w:val="FF0000"/>
          <w:szCs w:val="22"/>
          <w:lang w:val="en-US"/>
        </w:rPr>
      </w:pPr>
    </w:p>
    <w:p w14:paraId="23533675" w14:textId="281266B1" w:rsidR="00DA13E5" w:rsidRPr="00FD5E99" w:rsidRDefault="00B60249" w:rsidP="00184AEB">
      <w:pPr>
        <w:rPr>
          <w:szCs w:val="22"/>
          <w:lang w:val="en-US"/>
        </w:rPr>
      </w:pPr>
      <w:r w:rsidRPr="00FD5E99">
        <w:rPr>
          <w:szCs w:val="22"/>
          <w:lang w:val="en-US"/>
        </w:rPr>
        <w:t>On the question of appropriateness, the Court</w:t>
      </w:r>
      <w:r w:rsidR="004856EF" w:rsidRPr="00FD5E99">
        <w:rPr>
          <w:szCs w:val="22"/>
          <w:lang w:val="en-US"/>
        </w:rPr>
        <w:t xml:space="preserve"> held that</w:t>
      </w:r>
      <w:r w:rsidR="00184AEB" w:rsidRPr="00FD5E99">
        <w:rPr>
          <w:szCs w:val="22"/>
          <w:lang w:val="en-US"/>
        </w:rPr>
        <w:t xml:space="preserve"> it was not unreasonable to consider that MUP, ‘</w:t>
      </w:r>
      <w:r w:rsidR="006E6815" w:rsidRPr="00FD5E99">
        <w:rPr>
          <w:szCs w:val="22"/>
          <w:lang w:val="en-US"/>
        </w:rPr>
        <w:t>the very specific aim of which is to increase the price of cheap alcoholic drinks, is capable of reducing the consumption of alcohol, in general and the hazardous or harmful consumption of alcohol, in particular</w:t>
      </w:r>
      <w:r w:rsidR="000424D2" w:rsidRPr="00FD5E99">
        <w:rPr>
          <w:szCs w:val="22"/>
          <w:lang w:val="en-US"/>
        </w:rPr>
        <w:t>’</w:t>
      </w:r>
      <w:r w:rsidR="008346F1" w:rsidRPr="00FD5E99">
        <w:rPr>
          <w:szCs w:val="22"/>
          <w:lang w:val="en-US"/>
        </w:rPr>
        <w:t>.</w:t>
      </w:r>
      <w:r w:rsidR="008346F1" w:rsidRPr="00FD5E99">
        <w:rPr>
          <w:rStyle w:val="FootnoteReference"/>
          <w:szCs w:val="22"/>
          <w:lang w:val="en-US"/>
        </w:rPr>
        <w:footnoteReference w:id="25"/>
      </w:r>
      <w:r w:rsidR="008346F1" w:rsidRPr="00FD5E99">
        <w:rPr>
          <w:szCs w:val="22"/>
          <w:lang w:val="en-US"/>
        </w:rPr>
        <w:t xml:space="preserve"> </w:t>
      </w:r>
      <w:r w:rsidR="00184AEB" w:rsidRPr="00FD5E99">
        <w:rPr>
          <w:szCs w:val="22"/>
          <w:lang w:val="en-US"/>
        </w:rPr>
        <w:t>Thus, the</w:t>
      </w:r>
      <w:r w:rsidR="000424D2" w:rsidRPr="00FD5E99">
        <w:rPr>
          <w:szCs w:val="22"/>
          <w:lang w:val="en-US"/>
        </w:rPr>
        <w:t xml:space="preserve"> appropriateness of MUP in achieving both general and specific objectives of public health protection was not </w:t>
      </w:r>
      <w:r w:rsidR="00405D6C" w:rsidRPr="00FD5E99">
        <w:rPr>
          <w:szCs w:val="22"/>
          <w:lang w:val="en-US"/>
        </w:rPr>
        <w:t>in doubt</w:t>
      </w:r>
      <w:r w:rsidR="000424D2" w:rsidRPr="00FD5E99">
        <w:rPr>
          <w:szCs w:val="22"/>
          <w:lang w:val="en-US"/>
        </w:rPr>
        <w:t xml:space="preserve"> for the Court. </w:t>
      </w:r>
      <w:r w:rsidR="00184AEB" w:rsidRPr="00FD5E99">
        <w:rPr>
          <w:szCs w:val="22"/>
          <w:lang w:val="en-US"/>
        </w:rPr>
        <w:t xml:space="preserve"> </w:t>
      </w:r>
    </w:p>
    <w:p w14:paraId="059A5FA9" w14:textId="77777777" w:rsidR="00184AEB" w:rsidRPr="00FD5E99" w:rsidRDefault="00184AEB" w:rsidP="00184AEB">
      <w:pPr>
        <w:rPr>
          <w:color w:val="FF0000"/>
          <w:szCs w:val="22"/>
          <w:lang w:val="en-US"/>
        </w:rPr>
      </w:pPr>
    </w:p>
    <w:p w14:paraId="5EE06329" w14:textId="40BADEDE" w:rsidR="00184AEB" w:rsidRPr="00FD5E99" w:rsidRDefault="00B86514" w:rsidP="00184AEB">
      <w:pPr>
        <w:rPr>
          <w:szCs w:val="22"/>
          <w:lang w:val="en-US"/>
        </w:rPr>
      </w:pPr>
      <w:r w:rsidRPr="00FD5E99">
        <w:rPr>
          <w:szCs w:val="22"/>
          <w:lang w:val="en-US"/>
        </w:rPr>
        <w:t xml:space="preserve">On the question of </w:t>
      </w:r>
      <w:r w:rsidR="00184AEB" w:rsidRPr="00FD5E99">
        <w:rPr>
          <w:szCs w:val="22"/>
          <w:lang w:val="en-US"/>
        </w:rPr>
        <w:t>necessity</w:t>
      </w:r>
      <w:r w:rsidR="00AF4446" w:rsidRPr="00FD5E99">
        <w:rPr>
          <w:szCs w:val="22"/>
          <w:lang w:val="en-US"/>
        </w:rPr>
        <w:t xml:space="preserve">, the Court </w:t>
      </w:r>
      <w:r w:rsidR="00184AEB" w:rsidRPr="00FD5E99">
        <w:rPr>
          <w:szCs w:val="22"/>
          <w:lang w:val="en-US"/>
        </w:rPr>
        <w:t>started by pointing out that</w:t>
      </w:r>
      <w:r w:rsidR="000424D2" w:rsidRPr="00FD5E99">
        <w:rPr>
          <w:szCs w:val="22"/>
          <w:lang w:val="en-US"/>
        </w:rPr>
        <w:t xml:space="preserve"> t</w:t>
      </w:r>
      <w:r w:rsidR="00AF4446" w:rsidRPr="00FD5E99">
        <w:rPr>
          <w:szCs w:val="22"/>
          <w:lang w:val="en-US"/>
        </w:rPr>
        <w:t>ax is an important</w:t>
      </w:r>
      <w:r w:rsidR="000424D2" w:rsidRPr="00FD5E99">
        <w:rPr>
          <w:szCs w:val="22"/>
          <w:lang w:val="en-US"/>
        </w:rPr>
        <w:t xml:space="preserve"> tool for discouraging alcohol consumption,</w:t>
      </w:r>
      <w:r w:rsidR="00D72A4D" w:rsidRPr="00FD5E99">
        <w:rPr>
          <w:szCs w:val="22"/>
          <w:lang w:val="en-US"/>
        </w:rPr>
        <w:t xml:space="preserve"> and that</w:t>
      </w:r>
      <w:r w:rsidR="009A1643" w:rsidRPr="00FD5E99">
        <w:rPr>
          <w:szCs w:val="22"/>
          <w:lang w:val="en-US"/>
        </w:rPr>
        <w:t xml:space="preserve"> raising the price of alcoholic beverages to a high level</w:t>
      </w:r>
      <w:r w:rsidR="00184AEB" w:rsidRPr="00FD5E99">
        <w:rPr>
          <w:szCs w:val="22"/>
          <w:lang w:val="en-US"/>
        </w:rPr>
        <w:t xml:space="preserve"> </w:t>
      </w:r>
      <w:r w:rsidR="000424D2" w:rsidRPr="00FD5E99">
        <w:rPr>
          <w:szCs w:val="22"/>
          <w:lang w:val="en-US"/>
        </w:rPr>
        <w:t>‘</w:t>
      </w:r>
      <w:r w:rsidR="00430968" w:rsidRPr="00FD5E99">
        <w:rPr>
          <w:szCs w:val="22"/>
          <w:lang w:val="en-US"/>
        </w:rPr>
        <w:t xml:space="preserve">can adequately be pursued by their increased taxation, since </w:t>
      </w:r>
      <w:r w:rsidR="00BE1709" w:rsidRPr="00FD5E99">
        <w:rPr>
          <w:szCs w:val="22"/>
          <w:lang w:val="en-US"/>
        </w:rPr>
        <w:t xml:space="preserve">increases in excise duties must sooner or later be reflected </w:t>
      </w:r>
      <w:r w:rsidR="00291B00" w:rsidRPr="00FD5E99">
        <w:rPr>
          <w:szCs w:val="22"/>
          <w:lang w:val="en-US"/>
        </w:rPr>
        <w:t xml:space="preserve">in </w:t>
      </w:r>
      <w:r w:rsidR="00BE1709" w:rsidRPr="00FD5E99">
        <w:rPr>
          <w:szCs w:val="22"/>
          <w:lang w:val="en-US"/>
        </w:rPr>
        <w:t>increased retail selling prices, without impinging on the free formation of prices’.</w:t>
      </w:r>
      <w:r w:rsidR="00BE1709" w:rsidRPr="00FD5E99">
        <w:rPr>
          <w:rStyle w:val="FootnoteReference"/>
          <w:szCs w:val="22"/>
          <w:lang w:val="en-US"/>
        </w:rPr>
        <w:footnoteReference w:id="26"/>
      </w:r>
      <w:r w:rsidR="000424D2" w:rsidRPr="00FD5E99">
        <w:rPr>
          <w:szCs w:val="22"/>
          <w:lang w:val="en-US"/>
        </w:rPr>
        <w:t xml:space="preserve"> </w:t>
      </w:r>
      <w:r w:rsidR="001B6304" w:rsidRPr="00FD5E99">
        <w:rPr>
          <w:szCs w:val="22"/>
          <w:lang w:val="en-US"/>
        </w:rPr>
        <w:t xml:space="preserve">This is questionable reasoning. </w:t>
      </w:r>
      <w:r w:rsidR="0021118E" w:rsidRPr="00FD5E99">
        <w:rPr>
          <w:szCs w:val="22"/>
          <w:lang w:val="en-US"/>
        </w:rPr>
        <w:t>The Court cannot</w:t>
      </w:r>
      <w:r w:rsidR="00BE1709" w:rsidRPr="00FD5E99">
        <w:rPr>
          <w:szCs w:val="22"/>
          <w:lang w:val="en-US"/>
        </w:rPr>
        <w:t xml:space="preserve"> know</w:t>
      </w:r>
      <w:r w:rsidR="000424D2" w:rsidRPr="00FD5E99">
        <w:rPr>
          <w:szCs w:val="22"/>
          <w:lang w:val="en-US"/>
        </w:rPr>
        <w:t xml:space="preserve"> with certainty that </w:t>
      </w:r>
      <w:r w:rsidR="001D3FB4" w:rsidRPr="00FD5E99">
        <w:rPr>
          <w:szCs w:val="22"/>
          <w:lang w:val="en-US"/>
        </w:rPr>
        <w:t>industries</w:t>
      </w:r>
      <w:r w:rsidR="0021118E" w:rsidRPr="00FD5E99">
        <w:rPr>
          <w:szCs w:val="22"/>
          <w:lang w:val="en-US"/>
        </w:rPr>
        <w:t xml:space="preserve"> </w:t>
      </w:r>
      <w:r w:rsidR="00BE1709" w:rsidRPr="00FD5E99">
        <w:rPr>
          <w:i/>
          <w:szCs w:val="22"/>
          <w:lang w:val="en-US"/>
        </w:rPr>
        <w:t>will</w:t>
      </w:r>
      <w:r w:rsidR="00BE1709" w:rsidRPr="00FD5E99">
        <w:rPr>
          <w:szCs w:val="22"/>
          <w:lang w:val="en-US"/>
        </w:rPr>
        <w:t xml:space="preserve"> </w:t>
      </w:r>
      <w:r w:rsidR="0021118E" w:rsidRPr="00FD5E99">
        <w:rPr>
          <w:szCs w:val="22"/>
          <w:lang w:val="en-US"/>
        </w:rPr>
        <w:t>pass</w:t>
      </w:r>
      <w:r w:rsidR="00BE1709" w:rsidRPr="00FD5E99">
        <w:rPr>
          <w:szCs w:val="22"/>
          <w:lang w:val="en-US"/>
        </w:rPr>
        <w:t xml:space="preserve"> on</w:t>
      </w:r>
      <w:r w:rsidR="0021118E" w:rsidRPr="00FD5E99">
        <w:rPr>
          <w:szCs w:val="22"/>
          <w:lang w:val="en-US"/>
        </w:rPr>
        <w:t xml:space="preserve"> tax rises</w:t>
      </w:r>
      <w:r w:rsidR="000424D2" w:rsidRPr="00FD5E99">
        <w:rPr>
          <w:szCs w:val="22"/>
          <w:lang w:val="en-US"/>
        </w:rPr>
        <w:t xml:space="preserve"> in full</w:t>
      </w:r>
      <w:r w:rsidR="0021118E" w:rsidRPr="00FD5E99">
        <w:rPr>
          <w:szCs w:val="22"/>
          <w:lang w:val="en-US"/>
        </w:rPr>
        <w:t xml:space="preserve"> to the consumer</w:t>
      </w:r>
      <w:r w:rsidR="00904E7B" w:rsidRPr="00FD5E99">
        <w:rPr>
          <w:szCs w:val="22"/>
          <w:lang w:val="en-US"/>
        </w:rPr>
        <w:t>,</w:t>
      </w:r>
      <w:r w:rsidR="00BE1709" w:rsidRPr="00FD5E99">
        <w:rPr>
          <w:rStyle w:val="FootnoteReference"/>
          <w:szCs w:val="22"/>
          <w:lang w:val="en-US"/>
        </w:rPr>
        <w:footnoteReference w:id="27"/>
      </w:r>
      <w:r w:rsidR="001B6304" w:rsidRPr="00FD5E99">
        <w:rPr>
          <w:szCs w:val="22"/>
          <w:lang w:val="en-US"/>
        </w:rPr>
        <w:t xml:space="preserve"> </w:t>
      </w:r>
      <w:r w:rsidR="000424D2" w:rsidRPr="00FD5E99">
        <w:rPr>
          <w:szCs w:val="22"/>
          <w:lang w:val="en-US"/>
        </w:rPr>
        <w:t xml:space="preserve">and </w:t>
      </w:r>
      <w:r w:rsidR="0021118E" w:rsidRPr="00FD5E99">
        <w:rPr>
          <w:szCs w:val="22"/>
          <w:lang w:val="en-US"/>
        </w:rPr>
        <w:t>therefore t</w:t>
      </w:r>
      <w:r w:rsidR="000424D2" w:rsidRPr="00FD5E99">
        <w:rPr>
          <w:szCs w:val="22"/>
          <w:lang w:val="en-US"/>
        </w:rPr>
        <w:t>hat taxation will be effective</w:t>
      </w:r>
      <w:r w:rsidR="00006124" w:rsidRPr="00FD5E99">
        <w:rPr>
          <w:szCs w:val="22"/>
          <w:lang w:val="en-US"/>
        </w:rPr>
        <w:t xml:space="preserve"> as </w:t>
      </w:r>
      <w:r w:rsidR="000424D2" w:rsidRPr="00FD5E99">
        <w:rPr>
          <w:szCs w:val="22"/>
          <w:lang w:val="en-US"/>
        </w:rPr>
        <w:t>intended</w:t>
      </w:r>
      <w:r w:rsidR="0021118E" w:rsidRPr="00FD5E99">
        <w:rPr>
          <w:szCs w:val="22"/>
          <w:lang w:val="en-US"/>
        </w:rPr>
        <w:t xml:space="preserve">. </w:t>
      </w:r>
    </w:p>
    <w:p w14:paraId="64AA05DA" w14:textId="77777777" w:rsidR="00BE1709" w:rsidRPr="00FD5E99" w:rsidRDefault="00BE1709" w:rsidP="00184AEB">
      <w:pPr>
        <w:rPr>
          <w:szCs w:val="22"/>
          <w:lang w:val="en-US"/>
        </w:rPr>
      </w:pPr>
    </w:p>
    <w:p w14:paraId="1B7B9605" w14:textId="40B5F174" w:rsidR="00D72A4D" w:rsidRPr="00FD5E99" w:rsidRDefault="00CA4E31" w:rsidP="00184AEB">
      <w:pPr>
        <w:rPr>
          <w:szCs w:val="22"/>
          <w:lang w:val="en-US"/>
        </w:rPr>
      </w:pPr>
      <w:r w:rsidRPr="00FD5E99">
        <w:rPr>
          <w:szCs w:val="22"/>
          <w:lang w:val="en-US"/>
        </w:rPr>
        <w:t xml:space="preserve">The Court continued to factor </w:t>
      </w:r>
      <w:r w:rsidR="00D72A4D" w:rsidRPr="00FD5E99">
        <w:rPr>
          <w:szCs w:val="22"/>
          <w:lang w:val="en-US"/>
        </w:rPr>
        <w:t>misunderstandings</w:t>
      </w:r>
      <w:r w:rsidR="003742CB" w:rsidRPr="00FD5E99">
        <w:rPr>
          <w:szCs w:val="22"/>
          <w:lang w:val="en-US"/>
        </w:rPr>
        <w:t xml:space="preserve"> of public health practice </w:t>
      </w:r>
      <w:r w:rsidRPr="00FD5E99">
        <w:rPr>
          <w:szCs w:val="22"/>
          <w:lang w:val="en-US"/>
        </w:rPr>
        <w:t>into its</w:t>
      </w:r>
      <w:r w:rsidR="006F2F0A" w:rsidRPr="00FD5E99">
        <w:rPr>
          <w:szCs w:val="22"/>
          <w:lang w:val="en-US"/>
        </w:rPr>
        <w:t xml:space="preserve"> proportionality analysis</w:t>
      </w:r>
      <w:r w:rsidR="00D72A4D" w:rsidRPr="00FD5E99">
        <w:rPr>
          <w:szCs w:val="22"/>
          <w:lang w:val="en-US"/>
        </w:rPr>
        <w:t xml:space="preserve">. </w:t>
      </w:r>
      <w:r w:rsidR="00861886" w:rsidRPr="00FD5E99">
        <w:rPr>
          <w:szCs w:val="22"/>
          <w:lang w:val="en-US"/>
        </w:rPr>
        <w:t xml:space="preserve">The Court supported its </w:t>
      </w:r>
      <w:r w:rsidR="00CC0BDE" w:rsidRPr="00FD5E99">
        <w:rPr>
          <w:szCs w:val="22"/>
          <w:lang w:val="en-US"/>
        </w:rPr>
        <w:t xml:space="preserve">reasoning on the </w:t>
      </w:r>
      <w:r w:rsidR="006F2F0A" w:rsidRPr="00FD5E99">
        <w:rPr>
          <w:szCs w:val="22"/>
          <w:lang w:val="en-US"/>
        </w:rPr>
        <w:t>general effectiveness</w:t>
      </w:r>
      <w:r w:rsidR="00CC0BDE" w:rsidRPr="00FD5E99">
        <w:rPr>
          <w:szCs w:val="22"/>
          <w:lang w:val="en-US"/>
        </w:rPr>
        <w:t xml:space="preserve"> of taxation</w:t>
      </w:r>
      <w:r w:rsidR="006F2F0A" w:rsidRPr="00FD5E99">
        <w:rPr>
          <w:szCs w:val="22"/>
          <w:lang w:val="en-US"/>
        </w:rPr>
        <w:t xml:space="preserve"> with</w:t>
      </w:r>
      <w:r w:rsidR="00CC0BDE" w:rsidRPr="00FD5E99">
        <w:rPr>
          <w:szCs w:val="22"/>
          <w:lang w:val="en-US"/>
        </w:rPr>
        <w:t xml:space="preserve"> c</w:t>
      </w:r>
      <w:r w:rsidR="00DC05AB" w:rsidRPr="00FD5E99">
        <w:rPr>
          <w:szCs w:val="22"/>
          <w:lang w:val="en-US"/>
        </w:rPr>
        <w:t>ase law on tobacco taxation, but</w:t>
      </w:r>
      <w:r w:rsidR="00CC0BDE" w:rsidRPr="00FD5E99">
        <w:rPr>
          <w:szCs w:val="22"/>
          <w:lang w:val="en-US"/>
        </w:rPr>
        <w:t xml:space="preserve"> then held</w:t>
      </w:r>
      <w:r w:rsidR="00BE1709" w:rsidRPr="00FD5E99">
        <w:rPr>
          <w:szCs w:val="22"/>
          <w:lang w:val="en-US"/>
        </w:rPr>
        <w:t xml:space="preserve"> that: </w:t>
      </w:r>
    </w:p>
    <w:p w14:paraId="2730A9BF" w14:textId="77777777" w:rsidR="00861886" w:rsidRPr="00FD5E99" w:rsidRDefault="00861886" w:rsidP="00184AEB">
      <w:pPr>
        <w:rPr>
          <w:szCs w:val="22"/>
          <w:lang w:val="en-US"/>
        </w:rPr>
      </w:pPr>
    </w:p>
    <w:p w14:paraId="69AF5728" w14:textId="782088B8" w:rsidR="00BE1709" w:rsidRPr="00FD5E99" w:rsidRDefault="00BE1709" w:rsidP="00BE1709">
      <w:pPr>
        <w:ind w:left="720"/>
        <w:rPr>
          <w:szCs w:val="22"/>
          <w:lang w:val="en-US"/>
        </w:rPr>
      </w:pPr>
      <w:r w:rsidRPr="00FD5E99">
        <w:rPr>
          <w:szCs w:val="22"/>
          <w:lang w:val="en-US"/>
        </w:rPr>
        <w:t>‘</w:t>
      </w:r>
      <w:proofErr w:type="gramStart"/>
      <w:r w:rsidRPr="00FD5E99">
        <w:rPr>
          <w:szCs w:val="22"/>
          <w:lang w:val="en-US"/>
        </w:rPr>
        <w:t>the</w:t>
      </w:r>
      <w:proofErr w:type="gramEnd"/>
      <w:r w:rsidRPr="00FD5E99">
        <w:rPr>
          <w:szCs w:val="22"/>
          <w:lang w:val="en-US"/>
        </w:rPr>
        <w:t xml:space="preserve"> fact that the case law cited in the preceding paragraph concerns tobacco products does not mean that it is inapplicable to the main proceedings, which concern the trade in alcoholic drinks. In the context of national measures which have as their objective the protection of human life and health, and irrespective of the particular characteristics of each product, an increase in the prices of alcoholic drinks can be achieved, as was the case with respect to tobacco products by increased taxation’.</w:t>
      </w:r>
      <w:r w:rsidR="00820F27" w:rsidRPr="00FD5E99">
        <w:rPr>
          <w:rStyle w:val="FootnoteReference"/>
          <w:szCs w:val="22"/>
          <w:lang w:val="en-US"/>
        </w:rPr>
        <w:footnoteReference w:id="28"/>
      </w:r>
      <w:r w:rsidRPr="00FD5E99">
        <w:rPr>
          <w:szCs w:val="22"/>
          <w:lang w:val="en-US"/>
        </w:rPr>
        <w:t xml:space="preserve"> </w:t>
      </w:r>
    </w:p>
    <w:p w14:paraId="46910B57" w14:textId="77777777" w:rsidR="00820F27" w:rsidRPr="00FD5E99" w:rsidRDefault="00820F27" w:rsidP="00820F27">
      <w:pPr>
        <w:rPr>
          <w:szCs w:val="22"/>
          <w:lang w:val="en-US"/>
        </w:rPr>
      </w:pPr>
    </w:p>
    <w:p w14:paraId="66BE5A2C" w14:textId="085391AC" w:rsidR="006F49AF" w:rsidRPr="00FD5E99" w:rsidRDefault="00291B00" w:rsidP="00820F27">
      <w:pPr>
        <w:rPr>
          <w:szCs w:val="22"/>
          <w:lang w:val="en-US"/>
        </w:rPr>
      </w:pPr>
      <w:r w:rsidRPr="00FD5E99">
        <w:rPr>
          <w:szCs w:val="22"/>
          <w:lang w:val="en-US"/>
        </w:rPr>
        <w:t>This reasoning is unsatisfactory from a public health viewpoint –</w:t>
      </w:r>
      <w:r w:rsidR="00D72A4D" w:rsidRPr="00FD5E99">
        <w:rPr>
          <w:szCs w:val="22"/>
          <w:lang w:val="en-US"/>
        </w:rPr>
        <w:t xml:space="preserve"> </w:t>
      </w:r>
      <w:r w:rsidR="00820F27" w:rsidRPr="00FD5E99">
        <w:rPr>
          <w:szCs w:val="22"/>
          <w:lang w:val="en-US"/>
        </w:rPr>
        <w:t>the</w:t>
      </w:r>
      <w:r w:rsidRPr="00FD5E99">
        <w:rPr>
          <w:szCs w:val="22"/>
          <w:lang w:val="en-US"/>
        </w:rPr>
        <w:t xml:space="preserve"> </w:t>
      </w:r>
      <w:r w:rsidR="00820F27" w:rsidRPr="00FD5E99">
        <w:rPr>
          <w:szCs w:val="22"/>
          <w:lang w:val="en-US"/>
        </w:rPr>
        <w:t xml:space="preserve">particular characteristics of products </w:t>
      </w:r>
      <w:r w:rsidR="003742CB" w:rsidRPr="00FD5E99">
        <w:rPr>
          <w:szCs w:val="22"/>
          <w:lang w:val="en-US"/>
        </w:rPr>
        <w:t>are</w:t>
      </w:r>
      <w:r w:rsidR="00820F27" w:rsidRPr="00FD5E99">
        <w:rPr>
          <w:szCs w:val="22"/>
          <w:lang w:val="en-US"/>
        </w:rPr>
        <w:t xml:space="preserve"> crucial</w:t>
      </w:r>
      <w:r w:rsidR="003742CB" w:rsidRPr="00FD5E99">
        <w:rPr>
          <w:szCs w:val="22"/>
          <w:lang w:val="en-US"/>
        </w:rPr>
        <w:t xml:space="preserve"> when determining the </w:t>
      </w:r>
      <w:r w:rsidR="00DC05AB" w:rsidRPr="00FD5E99">
        <w:rPr>
          <w:szCs w:val="22"/>
          <w:lang w:val="en-US"/>
        </w:rPr>
        <w:t>desirability</w:t>
      </w:r>
      <w:r w:rsidR="003742CB" w:rsidRPr="00FD5E99">
        <w:rPr>
          <w:szCs w:val="22"/>
          <w:lang w:val="en-US"/>
        </w:rPr>
        <w:t xml:space="preserve"> of public health measures,</w:t>
      </w:r>
      <w:r w:rsidR="008E6FF4" w:rsidRPr="00FD5E99">
        <w:rPr>
          <w:szCs w:val="22"/>
          <w:lang w:val="en-US"/>
        </w:rPr>
        <w:t xml:space="preserve"> including </w:t>
      </w:r>
      <w:r w:rsidR="003742CB" w:rsidRPr="00FD5E99">
        <w:rPr>
          <w:szCs w:val="22"/>
          <w:lang w:val="en-US"/>
        </w:rPr>
        <w:t xml:space="preserve">taxation. </w:t>
      </w:r>
      <w:r w:rsidR="00820F27" w:rsidRPr="00FD5E99">
        <w:rPr>
          <w:szCs w:val="22"/>
          <w:lang w:val="en-US"/>
        </w:rPr>
        <w:t>Tobacco</w:t>
      </w:r>
      <w:r w:rsidRPr="00FD5E99">
        <w:rPr>
          <w:szCs w:val="22"/>
          <w:lang w:val="en-US"/>
        </w:rPr>
        <w:t>-</w:t>
      </w:r>
      <w:r w:rsidR="00A206FA" w:rsidRPr="00FD5E99">
        <w:rPr>
          <w:szCs w:val="22"/>
          <w:lang w:val="en-US"/>
        </w:rPr>
        <w:t>containing products</w:t>
      </w:r>
      <w:r w:rsidR="00636316" w:rsidRPr="00FD5E99">
        <w:rPr>
          <w:szCs w:val="22"/>
          <w:lang w:val="en-US"/>
        </w:rPr>
        <w:t xml:space="preserve"> </w:t>
      </w:r>
      <w:r w:rsidR="00A206FA" w:rsidRPr="00FD5E99">
        <w:rPr>
          <w:szCs w:val="22"/>
          <w:lang w:val="en-US"/>
        </w:rPr>
        <w:t>always cause</w:t>
      </w:r>
      <w:r w:rsidR="00636316" w:rsidRPr="00FD5E99">
        <w:rPr>
          <w:szCs w:val="22"/>
          <w:lang w:val="en-US"/>
        </w:rPr>
        <w:t xml:space="preserve"> harm when consumed, and </w:t>
      </w:r>
      <w:r w:rsidR="00A206FA" w:rsidRPr="00FD5E99">
        <w:rPr>
          <w:szCs w:val="22"/>
          <w:lang w:val="en-US"/>
        </w:rPr>
        <w:t>are relatively</w:t>
      </w:r>
      <w:r w:rsidR="00164976" w:rsidRPr="00FD5E99">
        <w:rPr>
          <w:szCs w:val="22"/>
          <w:lang w:val="en-US"/>
        </w:rPr>
        <w:t xml:space="preserve"> homogen</w:t>
      </w:r>
      <w:r w:rsidR="00A206FA" w:rsidRPr="00FD5E99">
        <w:rPr>
          <w:szCs w:val="22"/>
          <w:lang w:val="en-US"/>
        </w:rPr>
        <w:t>ous in terms of the purpose they</w:t>
      </w:r>
      <w:r w:rsidR="00164976" w:rsidRPr="00FD5E99">
        <w:rPr>
          <w:szCs w:val="22"/>
          <w:lang w:val="en-US"/>
        </w:rPr>
        <w:t xml:space="preserve"> </w:t>
      </w:r>
      <w:r w:rsidR="00F57945" w:rsidRPr="00FD5E99">
        <w:rPr>
          <w:szCs w:val="22"/>
          <w:lang w:val="en-US"/>
        </w:rPr>
        <w:t>fulfill</w:t>
      </w:r>
      <w:r w:rsidR="00164976" w:rsidRPr="00FD5E99">
        <w:rPr>
          <w:szCs w:val="22"/>
          <w:lang w:val="en-US"/>
        </w:rPr>
        <w:t xml:space="preserve"> for the consumer. Alcohol</w:t>
      </w:r>
      <w:r w:rsidR="00F57945" w:rsidRPr="00FD5E99">
        <w:rPr>
          <w:szCs w:val="22"/>
          <w:lang w:val="en-US"/>
        </w:rPr>
        <w:t>ic beverages</w:t>
      </w:r>
      <w:r w:rsidR="00A206FA" w:rsidRPr="00FD5E99">
        <w:rPr>
          <w:szCs w:val="22"/>
          <w:lang w:val="en-US"/>
        </w:rPr>
        <w:t xml:space="preserve"> </w:t>
      </w:r>
      <w:r w:rsidR="00F57945" w:rsidRPr="00FD5E99">
        <w:rPr>
          <w:szCs w:val="22"/>
          <w:lang w:val="en-US"/>
        </w:rPr>
        <w:t>do not always cause harm, are</w:t>
      </w:r>
      <w:r w:rsidR="00164976" w:rsidRPr="00FD5E99">
        <w:rPr>
          <w:szCs w:val="22"/>
          <w:lang w:val="en-US"/>
        </w:rPr>
        <w:t xml:space="preserve"> an extremely heterogeneous product, </w:t>
      </w:r>
      <w:r w:rsidR="006D693A" w:rsidRPr="00FD5E99">
        <w:rPr>
          <w:szCs w:val="22"/>
          <w:lang w:val="en-US"/>
        </w:rPr>
        <w:t>and serve</w:t>
      </w:r>
      <w:r w:rsidR="00164976" w:rsidRPr="00FD5E99">
        <w:rPr>
          <w:szCs w:val="22"/>
          <w:lang w:val="en-US"/>
        </w:rPr>
        <w:t xml:space="preserve"> a variety of consumption desires. </w:t>
      </w:r>
      <w:r w:rsidRPr="00FD5E99">
        <w:rPr>
          <w:szCs w:val="22"/>
          <w:lang w:val="en-US"/>
        </w:rPr>
        <w:t>Raising the price of</w:t>
      </w:r>
      <w:r w:rsidR="006D693A" w:rsidRPr="00FD5E99">
        <w:rPr>
          <w:szCs w:val="22"/>
          <w:lang w:val="en-US"/>
        </w:rPr>
        <w:t xml:space="preserve"> tobacco in order to </w:t>
      </w:r>
      <w:r w:rsidR="0010642A" w:rsidRPr="00FD5E99">
        <w:rPr>
          <w:szCs w:val="22"/>
          <w:lang w:val="en-US"/>
        </w:rPr>
        <w:t>discourage consumption is desirable</w:t>
      </w:r>
      <w:r w:rsidR="00E845EA" w:rsidRPr="00FD5E99">
        <w:rPr>
          <w:szCs w:val="22"/>
          <w:lang w:val="en-US"/>
        </w:rPr>
        <w:t xml:space="preserve"> in every circumstance</w:t>
      </w:r>
      <w:r w:rsidR="00BA167E" w:rsidRPr="00FD5E99">
        <w:rPr>
          <w:szCs w:val="22"/>
          <w:lang w:val="en-US"/>
        </w:rPr>
        <w:t xml:space="preserve">. However </w:t>
      </w:r>
      <w:r w:rsidR="0010642A" w:rsidRPr="00FD5E99">
        <w:rPr>
          <w:szCs w:val="22"/>
          <w:lang w:val="en-US"/>
        </w:rPr>
        <w:t>this is not the case for alcohol</w:t>
      </w:r>
      <w:r w:rsidRPr="00FD5E99">
        <w:rPr>
          <w:szCs w:val="22"/>
          <w:lang w:val="en-US"/>
        </w:rPr>
        <w:t>, since</w:t>
      </w:r>
      <w:r w:rsidR="00164976" w:rsidRPr="00FD5E99">
        <w:rPr>
          <w:szCs w:val="22"/>
          <w:lang w:val="en-US"/>
        </w:rPr>
        <w:t xml:space="preserve"> </w:t>
      </w:r>
      <w:r w:rsidR="00E845EA" w:rsidRPr="00FD5E99">
        <w:rPr>
          <w:szCs w:val="22"/>
          <w:lang w:val="en-US"/>
        </w:rPr>
        <w:t>even</w:t>
      </w:r>
      <w:r w:rsidR="00164976" w:rsidRPr="00FD5E99">
        <w:rPr>
          <w:szCs w:val="22"/>
          <w:lang w:val="en-US"/>
        </w:rPr>
        <w:t xml:space="preserve"> tax</w:t>
      </w:r>
      <w:r w:rsidR="00E845EA" w:rsidRPr="00FD5E99">
        <w:rPr>
          <w:szCs w:val="22"/>
          <w:lang w:val="en-US"/>
        </w:rPr>
        <w:t xml:space="preserve"> increases within </w:t>
      </w:r>
      <w:r w:rsidR="00BA167E" w:rsidRPr="00FD5E99">
        <w:rPr>
          <w:szCs w:val="22"/>
          <w:lang w:val="en-US"/>
        </w:rPr>
        <w:t>certain categories of b</w:t>
      </w:r>
      <w:r w:rsidR="00E845EA" w:rsidRPr="00FD5E99">
        <w:rPr>
          <w:szCs w:val="22"/>
          <w:lang w:val="en-US"/>
        </w:rPr>
        <w:t xml:space="preserve">everage </w:t>
      </w:r>
      <w:r w:rsidR="00164976" w:rsidRPr="00FD5E99">
        <w:rPr>
          <w:szCs w:val="22"/>
          <w:lang w:val="en-US"/>
        </w:rPr>
        <w:t xml:space="preserve">cannot effectively discriminate </w:t>
      </w:r>
      <w:r w:rsidR="00DB6CAF" w:rsidRPr="00FD5E99">
        <w:rPr>
          <w:szCs w:val="22"/>
          <w:lang w:val="en-US"/>
        </w:rPr>
        <w:t xml:space="preserve">between the variety of products and </w:t>
      </w:r>
      <w:r w:rsidR="00E81FA2" w:rsidRPr="00FD5E99">
        <w:rPr>
          <w:szCs w:val="22"/>
          <w:lang w:val="en-US"/>
        </w:rPr>
        <w:t xml:space="preserve">the ways in which they are </w:t>
      </w:r>
      <w:r w:rsidR="009B73F1" w:rsidRPr="00FD5E99">
        <w:rPr>
          <w:szCs w:val="22"/>
          <w:lang w:val="en-US"/>
        </w:rPr>
        <w:t>consumed</w:t>
      </w:r>
      <w:r w:rsidR="00164976" w:rsidRPr="00FD5E99">
        <w:rPr>
          <w:szCs w:val="22"/>
          <w:lang w:val="en-US"/>
        </w:rPr>
        <w:t xml:space="preserve"> – some of which do not need to be discouraged</w:t>
      </w:r>
      <w:r w:rsidR="00E81FA2" w:rsidRPr="00FD5E99">
        <w:rPr>
          <w:szCs w:val="22"/>
          <w:lang w:val="en-US"/>
        </w:rPr>
        <w:t xml:space="preserve">. </w:t>
      </w:r>
      <w:r w:rsidR="0099526C" w:rsidRPr="00FD5E99">
        <w:rPr>
          <w:szCs w:val="22"/>
          <w:lang w:val="en-US"/>
        </w:rPr>
        <w:t>A large</w:t>
      </w:r>
      <w:r w:rsidR="00DB6CAF" w:rsidRPr="00FD5E99">
        <w:rPr>
          <w:szCs w:val="22"/>
          <w:lang w:val="en-US"/>
        </w:rPr>
        <w:t xml:space="preserve"> increase in tax</w:t>
      </w:r>
      <w:r w:rsidR="0099526C" w:rsidRPr="00FD5E99">
        <w:rPr>
          <w:szCs w:val="22"/>
          <w:lang w:val="en-US"/>
        </w:rPr>
        <w:t xml:space="preserve"> of the kind envisaged by the Court</w:t>
      </w:r>
      <w:r w:rsidR="00DB6CAF" w:rsidRPr="00FD5E99">
        <w:rPr>
          <w:szCs w:val="22"/>
          <w:lang w:val="en-US"/>
        </w:rPr>
        <w:t xml:space="preserve"> would </w:t>
      </w:r>
      <w:r w:rsidR="00E81FA2" w:rsidRPr="00FD5E99">
        <w:rPr>
          <w:szCs w:val="22"/>
          <w:lang w:val="en-US"/>
        </w:rPr>
        <w:t xml:space="preserve">be liable to raise the price </w:t>
      </w:r>
      <w:r w:rsidR="00DB6CAF" w:rsidRPr="00FD5E99">
        <w:rPr>
          <w:szCs w:val="22"/>
          <w:lang w:val="en-US"/>
        </w:rPr>
        <w:t xml:space="preserve">of </w:t>
      </w:r>
      <w:r w:rsidR="00D01321" w:rsidRPr="00FD5E99">
        <w:rPr>
          <w:szCs w:val="22"/>
          <w:lang w:val="en-US"/>
        </w:rPr>
        <w:t xml:space="preserve">beverages for which discouragement of </w:t>
      </w:r>
      <w:r w:rsidR="00D01321" w:rsidRPr="00FD5E99">
        <w:rPr>
          <w:szCs w:val="22"/>
          <w:lang w:val="en-US"/>
        </w:rPr>
        <w:lastRenderedPageBreak/>
        <w:t xml:space="preserve">consumption </w:t>
      </w:r>
      <w:r w:rsidR="00606898" w:rsidRPr="00FD5E99">
        <w:rPr>
          <w:szCs w:val="22"/>
          <w:lang w:val="en-US"/>
        </w:rPr>
        <w:t xml:space="preserve">it is not necessary, warranted or likely to </w:t>
      </w:r>
      <w:r w:rsidR="00D01321" w:rsidRPr="00FD5E99">
        <w:rPr>
          <w:szCs w:val="22"/>
          <w:lang w:val="en-US"/>
        </w:rPr>
        <w:t>occur</w:t>
      </w:r>
      <w:r w:rsidR="006F49AF" w:rsidRPr="00FD5E99">
        <w:rPr>
          <w:szCs w:val="22"/>
          <w:lang w:val="en-US"/>
        </w:rPr>
        <w:t xml:space="preserve">, </w:t>
      </w:r>
      <w:r w:rsidR="00DB6CAF" w:rsidRPr="00FD5E99">
        <w:rPr>
          <w:szCs w:val="22"/>
          <w:lang w:val="en-US"/>
        </w:rPr>
        <w:t xml:space="preserve">such as </w:t>
      </w:r>
      <w:r w:rsidR="00164976" w:rsidRPr="00FD5E99">
        <w:rPr>
          <w:szCs w:val="22"/>
          <w:lang w:val="en-US"/>
        </w:rPr>
        <w:t xml:space="preserve">with respect to </w:t>
      </w:r>
      <w:r w:rsidR="00DB6CAF" w:rsidRPr="00FD5E99">
        <w:rPr>
          <w:szCs w:val="22"/>
          <w:lang w:val="en-US"/>
        </w:rPr>
        <w:t>more expensive, non-mass market and bespoke products</w:t>
      </w:r>
      <w:r w:rsidR="006F49AF" w:rsidRPr="00FD5E99">
        <w:rPr>
          <w:szCs w:val="22"/>
          <w:lang w:val="en-US"/>
        </w:rPr>
        <w:t xml:space="preserve">. </w:t>
      </w:r>
    </w:p>
    <w:p w14:paraId="3014055E" w14:textId="77777777" w:rsidR="006F49AF" w:rsidRPr="00FD5E99" w:rsidRDefault="006F49AF" w:rsidP="00820F27">
      <w:pPr>
        <w:rPr>
          <w:color w:val="FF0000"/>
          <w:szCs w:val="22"/>
          <w:lang w:val="en-US"/>
        </w:rPr>
      </w:pPr>
    </w:p>
    <w:p w14:paraId="2F535441" w14:textId="04AFCFE5" w:rsidR="00621FBD" w:rsidRPr="00FD5E99" w:rsidRDefault="00B558F2" w:rsidP="00820F27">
      <w:pPr>
        <w:rPr>
          <w:szCs w:val="22"/>
          <w:lang w:val="en-US"/>
        </w:rPr>
      </w:pPr>
      <w:r w:rsidRPr="00FD5E99">
        <w:rPr>
          <w:szCs w:val="22"/>
          <w:lang w:val="en-US"/>
        </w:rPr>
        <w:t>It is submitted that t</w:t>
      </w:r>
      <w:r w:rsidR="00056346" w:rsidRPr="00FD5E99">
        <w:rPr>
          <w:szCs w:val="22"/>
          <w:lang w:val="en-US"/>
        </w:rPr>
        <w:t>he</w:t>
      </w:r>
      <w:r w:rsidRPr="00FD5E99">
        <w:rPr>
          <w:szCs w:val="22"/>
          <w:lang w:val="en-US"/>
        </w:rPr>
        <w:t xml:space="preserve"> Court was misguided in</w:t>
      </w:r>
      <w:r w:rsidR="00056346" w:rsidRPr="00FD5E99">
        <w:rPr>
          <w:szCs w:val="22"/>
          <w:lang w:val="en-US"/>
        </w:rPr>
        <w:t xml:space="preserve"> </w:t>
      </w:r>
      <w:r w:rsidRPr="00FD5E99">
        <w:rPr>
          <w:szCs w:val="22"/>
          <w:lang w:val="en-US"/>
        </w:rPr>
        <w:t>applying the</w:t>
      </w:r>
      <w:r w:rsidR="00056346" w:rsidRPr="00FD5E99">
        <w:rPr>
          <w:szCs w:val="22"/>
          <w:lang w:val="en-US"/>
        </w:rPr>
        <w:t xml:space="preserve"> </w:t>
      </w:r>
      <w:r w:rsidR="000C554A" w:rsidRPr="00FD5E99">
        <w:rPr>
          <w:szCs w:val="22"/>
          <w:lang w:val="en-US"/>
        </w:rPr>
        <w:t>case law on</w:t>
      </w:r>
      <w:r w:rsidRPr="00FD5E99">
        <w:rPr>
          <w:szCs w:val="22"/>
          <w:lang w:val="en-US"/>
        </w:rPr>
        <w:t xml:space="preserve"> the public health effects of</w:t>
      </w:r>
      <w:r w:rsidR="000C554A" w:rsidRPr="00FD5E99">
        <w:rPr>
          <w:szCs w:val="22"/>
          <w:lang w:val="en-US"/>
        </w:rPr>
        <w:t xml:space="preserve"> tobacco taxation </w:t>
      </w:r>
      <w:r w:rsidRPr="00FD5E99">
        <w:rPr>
          <w:szCs w:val="22"/>
          <w:lang w:val="en-US"/>
        </w:rPr>
        <w:t>to alcohol taxation without question. The</w:t>
      </w:r>
      <w:r w:rsidR="00B36947" w:rsidRPr="00FD5E99">
        <w:rPr>
          <w:szCs w:val="22"/>
          <w:lang w:val="en-US"/>
        </w:rPr>
        <w:t xml:space="preserve"> Court’s</w:t>
      </w:r>
      <w:r w:rsidR="000C554A" w:rsidRPr="00FD5E99">
        <w:rPr>
          <w:szCs w:val="22"/>
          <w:lang w:val="en-US"/>
        </w:rPr>
        <w:t xml:space="preserve"> subsequent</w:t>
      </w:r>
      <w:r w:rsidR="00AF743B" w:rsidRPr="00FD5E99">
        <w:rPr>
          <w:szCs w:val="22"/>
          <w:lang w:val="en-US"/>
        </w:rPr>
        <w:t xml:space="preserve"> implication that MUP is unnecessary for securing general </w:t>
      </w:r>
      <w:r w:rsidRPr="00FD5E99">
        <w:rPr>
          <w:szCs w:val="22"/>
          <w:lang w:val="en-US"/>
        </w:rPr>
        <w:t>and</w:t>
      </w:r>
      <w:r w:rsidR="00AF743B" w:rsidRPr="00FD5E99">
        <w:rPr>
          <w:szCs w:val="22"/>
          <w:lang w:val="en-US"/>
        </w:rPr>
        <w:t xml:space="preserve"> specific </w:t>
      </w:r>
      <w:r w:rsidR="00166A0E" w:rsidRPr="00FD5E99">
        <w:rPr>
          <w:szCs w:val="22"/>
          <w:lang w:val="en-US"/>
        </w:rPr>
        <w:t xml:space="preserve">price rises on alcoholic beverages </w:t>
      </w:r>
      <w:r w:rsidR="00AF743B" w:rsidRPr="00FD5E99">
        <w:rPr>
          <w:szCs w:val="22"/>
          <w:lang w:val="en-US"/>
        </w:rPr>
        <w:t>due to the availability of taxation</w:t>
      </w:r>
      <w:r w:rsidRPr="00FD5E99">
        <w:rPr>
          <w:szCs w:val="22"/>
          <w:lang w:val="en-US"/>
        </w:rPr>
        <w:t xml:space="preserve"> was therefore also a misguided one, in view of the questionable effectiveness </w:t>
      </w:r>
      <w:r w:rsidR="00C120AF" w:rsidRPr="00FD5E99">
        <w:rPr>
          <w:szCs w:val="22"/>
          <w:lang w:val="en-US"/>
        </w:rPr>
        <w:t>of a blunt measure such as taxation</w:t>
      </w:r>
      <w:r w:rsidR="00E856FC" w:rsidRPr="00FD5E99">
        <w:rPr>
          <w:szCs w:val="22"/>
          <w:lang w:val="en-US"/>
        </w:rPr>
        <w:t xml:space="preserve"> in securing specific objectives of reducing LPHS alcohol consumption</w:t>
      </w:r>
      <w:r w:rsidRPr="00FD5E99">
        <w:rPr>
          <w:szCs w:val="22"/>
          <w:lang w:val="en-US"/>
        </w:rPr>
        <w:t>.</w:t>
      </w:r>
      <w:r w:rsidR="00166A0E" w:rsidRPr="00FD5E99">
        <w:rPr>
          <w:szCs w:val="22"/>
          <w:lang w:val="en-US"/>
        </w:rPr>
        <w:t xml:space="preserve"> This is </w:t>
      </w:r>
      <w:r w:rsidR="00D9290B" w:rsidRPr="00FD5E99">
        <w:rPr>
          <w:szCs w:val="22"/>
          <w:lang w:val="en-US"/>
        </w:rPr>
        <w:t xml:space="preserve">especially so </w:t>
      </w:r>
      <w:r w:rsidR="001E009F" w:rsidRPr="00FD5E99">
        <w:rPr>
          <w:szCs w:val="22"/>
          <w:lang w:val="en-US"/>
        </w:rPr>
        <w:t>in view of the</w:t>
      </w:r>
      <w:r w:rsidR="00166A0E" w:rsidRPr="00FD5E99">
        <w:rPr>
          <w:szCs w:val="22"/>
          <w:lang w:val="en-US"/>
        </w:rPr>
        <w:t xml:space="preserve"> Court’s later statement that governments are not under an obligation to ‘prove, positively, that no other conceivable measure could enable the legitimate objective pursued to be attained under the same conditions’</w:t>
      </w:r>
      <w:r w:rsidR="00752D12" w:rsidRPr="00FD5E99">
        <w:rPr>
          <w:szCs w:val="22"/>
          <w:lang w:val="en-US"/>
        </w:rPr>
        <w:t>,</w:t>
      </w:r>
      <w:r w:rsidR="00166A0E" w:rsidRPr="00FD5E99">
        <w:rPr>
          <w:rStyle w:val="FootnoteReference"/>
          <w:szCs w:val="22"/>
          <w:lang w:val="en-US"/>
        </w:rPr>
        <w:footnoteReference w:id="29"/>
      </w:r>
      <w:r w:rsidR="00752D12" w:rsidRPr="00FD5E99">
        <w:rPr>
          <w:szCs w:val="22"/>
          <w:lang w:val="en-US"/>
        </w:rPr>
        <w:t xml:space="preserve"> </w:t>
      </w:r>
      <w:r w:rsidR="00D9290B" w:rsidRPr="00FD5E99">
        <w:rPr>
          <w:szCs w:val="22"/>
          <w:lang w:val="en-US"/>
        </w:rPr>
        <w:t xml:space="preserve">as much of the evidence base does show </w:t>
      </w:r>
      <w:r w:rsidR="00752D12" w:rsidRPr="00FD5E99">
        <w:rPr>
          <w:szCs w:val="22"/>
          <w:lang w:val="en-US"/>
        </w:rPr>
        <w:t xml:space="preserve">that taxation is not of similar effectiveness to MUP in securing both the general </w:t>
      </w:r>
      <w:r w:rsidR="00752D12" w:rsidRPr="00FD5E99">
        <w:rPr>
          <w:i/>
          <w:szCs w:val="22"/>
          <w:lang w:val="en-US"/>
        </w:rPr>
        <w:t>and specific</w:t>
      </w:r>
      <w:r w:rsidR="00752D12" w:rsidRPr="00FD5E99">
        <w:rPr>
          <w:szCs w:val="22"/>
          <w:lang w:val="en-US"/>
        </w:rPr>
        <w:t xml:space="preserve"> objectives pursued.  </w:t>
      </w:r>
    </w:p>
    <w:p w14:paraId="250E8FBF" w14:textId="77777777" w:rsidR="00621FBD" w:rsidRPr="00FD5E99" w:rsidRDefault="00621FBD" w:rsidP="00820F27">
      <w:pPr>
        <w:rPr>
          <w:color w:val="FF0000"/>
          <w:szCs w:val="22"/>
          <w:lang w:val="en-US"/>
        </w:rPr>
      </w:pPr>
    </w:p>
    <w:p w14:paraId="59459911" w14:textId="4BB1430B" w:rsidR="00C461CF" w:rsidRPr="00FD5E99" w:rsidRDefault="006C46A3" w:rsidP="00820F27">
      <w:pPr>
        <w:rPr>
          <w:color w:val="FF0000"/>
          <w:szCs w:val="22"/>
          <w:lang w:val="en-US"/>
        </w:rPr>
      </w:pPr>
      <w:r w:rsidRPr="00FD5E99">
        <w:rPr>
          <w:szCs w:val="22"/>
          <w:lang w:val="en-US"/>
        </w:rPr>
        <w:t>Mistaken or not</w:t>
      </w:r>
      <w:r w:rsidR="002251FC" w:rsidRPr="00FD5E99">
        <w:rPr>
          <w:szCs w:val="22"/>
          <w:lang w:val="en-US"/>
        </w:rPr>
        <w:t xml:space="preserve"> in its conclusion that</w:t>
      </w:r>
      <w:r w:rsidR="00B53A95" w:rsidRPr="00FD5E99">
        <w:rPr>
          <w:szCs w:val="22"/>
          <w:lang w:val="en-US"/>
        </w:rPr>
        <w:t xml:space="preserve"> taxation</w:t>
      </w:r>
      <w:r w:rsidR="002251FC" w:rsidRPr="00FD5E99">
        <w:rPr>
          <w:szCs w:val="22"/>
          <w:lang w:val="en-US"/>
        </w:rPr>
        <w:t xml:space="preserve"> is an equally effective public health tool whatever the product, </w:t>
      </w:r>
      <w:r w:rsidR="00FB3D3A" w:rsidRPr="00FD5E99">
        <w:rPr>
          <w:szCs w:val="22"/>
          <w:lang w:val="en-US"/>
        </w:rPr>
        <w:t xml:space="preserve">the Court then proceeded to </w:t>
      </w:r>
      <w:r w:rsidR="001660A3" w:rsidRPr="00FD5E99">
        <w:rPr>
          <w:szCs w:val="22"/>
          <w:lang w:val="en-US"/>
        </w:rPr>
        <w:t>state that</w:t>
      </w:r>
      <w:r w:rsidR="00B53A95" w:rsidRPr="00FD5E99">
        <w:rPr>
          <w:szCs w:val="22"/>
          <w:lang w:val="en-US"/>
        </w:rPr>
        <w:t xml:space="preserve"> t</w:t>
      </w:r>
      <w:r w:rsidR="00627448" w:rsidRPr="00FD5E99">
        <w:rPr>
          <w:szCs w:val="22"/>
          <w:lang w:val="en-US"/>
        </w:rPr>
        <w:t xml:space="preserve">he fact that </w:t>
      </w:r>
      <w:r w:rsidR="001660A3" w:rsidRPr="00FD5E99">
        <w:rPr>
          <w:szCs w:val="22"/>
          <w:lang w:val="en-US"/>
        </w:rPr>
        <w:t>increased taxation affect</w:t>
      </w:r>
      <w:r w:rsidR="00575038" w:rsidRPr="00FD5E99">
        <w:rPr>
          <w:szCs w:val="22"/>
          <w:lang w:val="en-US"/>
        </w:rPr>
        <w:t>s</w:t>
      </w:r>
      <w:r w:rsidR="001660A3" w:rsidRPr="00FD5E99">
        <w:rPr>
          <w:szCs w:val="22"/>
          <w:lang w:val="en-US"/>
        </w:rPr>
        <w:t xml:space="preserve"> harmful and moderate drinkers alike </w:t>
      </w:r>
      <w:r w:rsidR="00FB3D3A" w:rsidRPr="00FD5E99">
        <w:rPr>
          <w:szCs w:val="22"/>
          <w:lang w:val="en-US"/>
        </w:rPr>
        <w:t xml:space="preserve">‘does not appear, in the light of the twofold objective pursued by the national </w:t>
      </w:r>
      <w:r w:rsidR="001C33ED" w:rsidRPr="00FD5E99">
        <w:rPr>
          <w:szCs w:val="22"/>
          <w:lang w:val="en-US"/>
        </w:rPr>
        <w:t>legislation at issue in the main proceedings … to lead to the conclusion that such increased taxation is less effective than the measure chosen’.</w:t>
      </w:r>
      <w:r w:rsidR="00C461CF" w:rsidRPr="00FD5E99">
        <w:rPr>
          <w:rStyle w:val="FootnoteReference"/>
          <w:szCs w:val="22"/>
          <w:lang w:val="en-US"/>
        </w:rPr>
        <w:footnoteReference w:id="30"/>
      </w:r>
      <w:r w:rsidR="00C461CF" w:rsidRPr="00FD5E99">
        <w:rPr>
          <w:szCs w:val="22"/>
          <w:lang w:val="en-US"/>
        </w:rPr>
        <w:t xml:space="preserve"> The </w:t>
      </w:r>
      <w:r w:rsidR="00627448" w:rsidRPr="00FD5E99">
        <w:rPr>
          <w:szCs w:val="22"/>
          <w:lang w:val="en-US"/>
        </w:rPr>
        <w:t xml:space="preserve">additional benefits </w:t>
      </w:r>
      <w:r w:rsidR="009507E7" w:rsidRPr="00FD5E99">
        <w:rPr>
          <w:szCs w:val="22"/>
          <w:lang w:val="en-US"/>
        </w:rPr>
        <w:t xml:space="preserve">offered by taxation of contributing to general objectives </w:t>
      </w:r>
      <w:r w:rsidR="00C461CF" w:rsidRPr="00FD5E99">
        <w:rPr>
          <w:szCs w:val="22"/>
          <w:lang w:val="en-US"/>
        </w:rPr>
        <w:t>‘not only cannot constitute a reason to reject such a measure, but is in fact a factor to support that measure being preferred’.</w:t>
      </w:r>
      <w:r w:rsidR="00C461CF" w:rsidRPr="00FD5E99">
        <w:rPr>
          <w:rStyle w:val="FootnoteReference"/>
          <w:szCs w:val="22"/>
          <w:lang w:val="en-US"/>
        </w:rPr>
        <w:footnoteReference w:id="31"/>
      </w:r>
      <w:r w:rsidR="00C461CF" w:rsidRPr="00FD5E99">
        <w:rPr>
          <w:szCs w:val="22"/>
          <w:lang w:val="en-US"/>
        </w:rPr>
        <w:t xml:space="preserve"> This led the Court to the inexorable conclusion that </w:t>
      </w:r>
      <w:r w:rsidR="009507E7" w:rsidRPr="00FD5E99">
        <w:rPr>
          <w:szCs w:val="22"/>
          <w:lang w:val="en-US"/>
        </w:rPr>
        <w:t>‘</w:t>
      </w:r>
      <w:r w:rsidR="00C461CF" w:rsidRPr="00FD5E99">
        <w:rPr>
          <w:szCs w:val="22"/>
          <w:lang w:val="en-US"/>
        </w:rPr>
        <w:t>Articles 34 TFEU and 36 TFEU must be interpreted as precluding … the option of legislation … which imposes an MPU … and rejecting a measure … that may be less restrictive of trade and competition’.</w:t>
      </w:r>
      <w:r w:rsidR="00C461CF" w:rsidRPr="00FD5E99">
        <w:rPr>
          <w:rStyle w:val="FootnoteReference"/>
          <w:szCs w:val="22"/>
          <w:lang w:val="en-US"/>
        </w:rPr>
        <w:footnoteReference w:id="32"/>
      </w:r>
      <w:r w:rsidR="00F84874" w:rsidRPr="00FD5E99">
        <w:rPr>
          <w:szCs w:val="22"/>
          <w:lang w:val="en-US"/>
        </w:rPr>
        <w:t xml:space="preserve"> This conclusion feels distinctly unsatisfactory from a public health perspective.</w:t>
      </w:r>
    </w:p>
    <w:p w14:paraId="44AC336B" w14:textId="77777777" w:rsidR="00C461CF" w:rsidRPr="00FD5E99" w:rsidRDefault="00C461CF" w:rsidP="00820F27">
      <w:pPr>
        <w:rPr>
          <w:color w:val="FF0000"/>
          <w:szCs w:val="22"/>
          <w:lang w:val="en-US"/>
        </w:rPr>
      </w:pPr>
    </w:p>
    <w:p w14:paraId="154595B4" w14:textId="2AC9AA3A" w:rsidR="008E1649" w:rsidRPr="00FD5E99" w:rsidRDefault="00C461CF" w:rsidP="00820F27">
      <w:pPr>
        <w:rPr>
          <w:szCs w:val="22"/>
          <w:lang w:val="en-US"/>
        </w:rPr>
      </w:pPr>
      <w:r w:rsidRPr="00FD5E99">
        <w:rPr>
          <w:szCs w:val="22"/>
          <w:lang w:val="en-US"/>
        </w:rPr>
        <w:t xml:space="preserve">However from a legal perspective this decision was somewhat inevitable. </w:t>
      </w:r>
      <w:r w:rsidR="001C33ED" w:rsidRPr="00FD5E99">
        <w:rPr>
          <w:szCs w:val="22"/>
          <w:lang w:val="en-US"/>
        </w:rPr>
        <w:t>By telling the Court that there is a</w:t>
      </w:r>
      <w:r w:rsidR="00F84874" w:rsidRPr="00FD5E99">
        <w:rPr>
          <w:szCs w:val="22"/>
          <w:lang w:val="en-US"/>
        </w:rPr>
        <w:t xml:space="preserve"> general</w:t>
      </w:r>
      <w:r w:rsidR="001C33ED" w:rsidRPr="00FD5E99">
        <w:rPr>
          <w:szCs w:val="22"/>
          <w:lang w:val="en-US"/>
        </w:rPr>
        <w:t xml:space="preserve">, albeit secondary, objective pursued by the Act, the Scottish government </w:t>
      </w:r>
      <w:r w:rsidR="001660A3" w:rsidRPr="00FD5E99">
        <w:rPr>
          <w:szCs w:val="22"/>
          <w:lang w:val="en-US"/>
        </w:rPr>
        <w:t>led</w:t>
      </w:r>
      <w:r w:rsidR="001C33ED" w:rsidRPr="00FD5E99">
        <w:rPr>
          <w:szCs w:val="22"/>
          <w:lang w:val="en-US"/>
        </w:rPr>
        <w:t xml:space="preserve"> </w:t>
      </w:r>
      <w:r w:rsidR="00DF4F35" w:rsidRPr="00FD5E99">
        <w:rPr>
          <w:szCs w:val="22"/>
          <w:lang w:val="en-US"/>
        </w:rPr>
        <w:t>the Court to frame</w:t>
      </w:r>
      <w:r w:rsidR="001C33ED" w:rsidRPr="00FD5E99">
        <w:rPr>
          <w:szCs w:val="22"/>
          <w:lang w:val="en-US"/>
        </w:rPr>
        <w:t xml:space="preserve"> its analysis in te</w:t>
      </w:r>
      <w:r w:rsidR="00DF4F35" w:rsidRPr="00FD5E99">
        <w:rPr>
          <w:szCs w:val="22"/>
          <w:lang w:val="en-US"/>
        </w:rPr>
        <w:t>rms of a twofold objective</w:t>
      </w:r>
      <w:r w:rsidR="001C33ED" w:rsidRPr="00FD5E99">
        <w:rPr>
          <w:szCs w:val="22"/>
          <w:lang w:val="en-US"/>
        </w:rPr>
        <w:t xml:space="preserve">. The Court’s analyses in </w:t>
      </w:r>
      <w:r w:rsidR="00CB787D" w:rsidRPr="00FD5E99">
        <w:rPr>
          <w:szCs w:val="22"/>
          <w:lang w:val="en-US"/>
        </w:rPr>
        <w:t>alcohol control</w:t>
      </w:r>
      <w:r w:rsidR="001C33ED" w:rsidRPr="00FD5E99">
        <w:rPr>
          <w:szCs w:val="22"/>
          <w:lang w:val="en-US"/>
        </w:rPr>
        <w:t xml:space="preserve"> cases have tended to be economi</w:t>
      </w:r>
      <w:r w:rsidR="003F39E7" w:rsidRPr="00FD5E99">
        <w:rPr>
          <w:szCs w:val="22"/>
          <w:lang w:val="en-US"/>
        </w:rPr>
        <w:t>cally oriented</w:t>
      </w:r>
      <w:r w:rsidR="001C33ED" w:rsidRPr="00FD5E99">
        <w:rPr>
          <w:szCs w:val="22"/>
          <w:lang w:val="en-US"/>
        </w:rPr>
        <w:t>,</w:t>
      </w:r>
      <w:r w:rsidR="00DF4F35" w:rsidRPr="00FD5E99">
        <w:rPr>
          <w:rStyle w:val="FootnoteReference"/>
          <w:szCs w:val="22"/>
          <w:lang w:val="en-US"/>
        </w:rPr>
        <w:footnoteReference w:id="33"/>
      </w:r>
      <w:r w:rsidR="00C27194" w:rsidRPr="00FD5E99">
        <w:rPr>
          <w:szCs w:val="22"/>
          <w:lang w:val="en-US"/>
        </w:rPr>
        <w:t xml:space="preserve"> and this case is</w:t>
      </w:r>
      <w:r w:rsidR="001C33ED" w:rsidRPr="00FD5E99">
        <w:rPr>
          <w:szCs w:val="22"/>
          <w:lang w:val="en-US"/>
        </w:rPr>
        <w:t xml:space="preserve"> </w:t>
      </w:r>
      <w:r w:rsidR="008D4896" w:rsidRPr="00FD5E99">
        <w:rPr>
          <w:szCs w:val="22"/>
          <w:lang w:val="en-US"/>
        </w:rPr>
        <w:t>no exception.</w:t>
      </w:r>
      <w:r w:rsidR="001C33ED" w:rsidRPr="00FD5E99">
        <w:rPr>
          <w:szCs w:val="22"/>
          <w:lang w:val="en-US"/>
        </w:rPr>
        <w:t xml:space="preserve"> </w:t>
      </w:r>
      <w:r w:rsidR="008E1649" w:rsidRPr="00FD5E99">
        <w:rPr>
          <w:szCs w:val="22"/>
          <w:lang w:val="en-US"/>
        </w:rPr>
        <w:t>If p</w:t>
      </w:r>
      <w:r w:rsidR="001C33ED" w:rsidRPr="00FD5E99">
        <w:rPr>
          <w:szCs w:val="22"/>
          <w:lang w:val="en-US"/>
        </w:rPr>
        <w:t>rice rises constitute a</w:t>
      </w:r>
      <w:r w:rsidR="008E1649" w:rsidRPr="00FD5E99">
        <w:rPr>
          <w:szCs w:val="22"/>
          <w:lang w:val="en-US"/>
        </w:rPr>
        <w:t>n</w:t>
      </w:r>
      <w:r w:rsidR="001C33ED" w:rsidRPr="00FD5E99">
        <w:rPr>
          <w:szCs w:val="22"/>
          <w:lang w:val="en-US"/>
        </w:rPr>
        <w:t xml:space="preserve"> effective public health tool</w:t>
      </w:r>
      <w:r w:rsidR="008E1649" w:rsidRPr="00FD5E99">
        <w:rPr>
          <w:szCs w:val="22"/>
          <w:lang w:val="en-US"/>
        </w:rPr>
        <w:t xml:space="preserve"> in general, and t</w:t>
      </w:r>
      <w:r w:rsidR="001C33ED" w:rsidRPr="00FD5E99">
        <w:rPr>
          <w:szCs w:val="22"/>
          <w:lang w:val="en-US"/>
        </w:rPr>
        <w:t>axation raises the price of drinks consumed by the specific</w:t>
      </w:r>
      <w:r w:rsidR="008E1649" w:rsidRPr="00FD5E99">
        <w:rPr>
          <w:szCs w:val="22"/>
          <w:lang w:val="en-US"/>
        </w:rPr>
        <w:t xml:space="preserve"> and general target populations</w:t>
      </w:r>
      <w:r w:rsidR="001C33ED" w:rsidRPr="00FD5E99">
        <w:rPr>
          <w:szCs w:val="22"/>
          <w:lang w:val="en-US"/>
        </w:rPr>
        <w:t xml:space="preserve"> without being as restrictive of trade as MUP</w:t>
      </w:r>
      <w:r w:rsidR="008E1649" w:rsidRPr="00FD5E99">
        <w:rPr>
          <w:szCs w:val="22"/>
          <w:lang w:val="en-US"/>
        </w:rPr>
        <w:t xml:space="preserve">, and the stated objective of intervention is both specific and general, </w:t>
      </w:r>
      <w:r w:rsidR="001660A3" w:rsidRPr="00FD5E99">
        <w:rPr>
          <w:szCs w:val="22"/>
          <w:lang w:val="en-US"/>
        </w:rPr>
        <w:t xml:space="preserve">it was not </w:t>
      </w:r>
      <w:r w:rsidR="008D4896" w:rsidRPr="00FD5E99">
        <w:rPr>
          <w:szCs w:val="22"/>
          <w:lang w:val="en-US"/>
        </w:rPr>
        <w:t>surprising</w:t>
      </w:r>
      <w:r w:rsidR="001660A3" w:rsidRPr="00FD5E99">
        <w:rPr>
          <w:szCs w:val="22"/>
          <w:lang w:val="en-US"/>
        </w:rPr>
        <w:t xml:space="preserve"> that the application of </w:t>
      </w:r>
      <w:r w:rsidR="008E1649" w:rsidRPr="00FD5E99">
        <w:rPr>
          <w:szCs w:val="22"/>
          <w:lang w:val="en-US"/>
        </w:rPr>
        <w:t>an</w:t>
      </w:r>
      <w:r w:rsidR="00E168D7" w:rsidRPr="00FD5E99">
        <w:rPr>
          <w:szCs w:val="22"/>
          <w:lang w:val="en-US"/>
        </w:rPr>
        <w:t xml:space="preserve"> economically oriented</w:t>
      </w:r>
      <w:r w:rsidR="008E1649" w:rsidRPr="00FD5E99">
        <w:rPr>
          <w:szCs w:val="22"/>
          <w:lang w:val="en-US"/>
        </w:rPr>
        <w:t xml:space="preserve"> internal market </w:t>
      </w:r>
      <w:r w:rsidR="008D4896" w:rsidRPr="00FD5E99">
        <w:rPr>
          <w:szCs w:val="22"/>
          <w:lang w:val="en-US"/>
        </w:rPr>
        <w:t>analysis led</w:t>
      </w:r>
      <w:r w:rsidR="008E1649" w:rsidRPr="00FD5E99">
        <w:rPr>
          <w:szCs w:val="22"/>
          <w:lang w:val="en-US"/>
        </w:rPr>
        <w:t xml:space="preserve"> to </w:t>
      </w:r>
      <w:r w:rsidR="001660A3" w:rsidRPr="00FD5E99">
        <w:rPr>
          <w:szCs w:val="22"/>
          <w:lang w:val="en-US"/>
        </w:rPr>
        <w:t xml:space="preserve">the </w:t>
      </w:r>
      <w:r w:rsidR="008E1649" w:rsidRPr="00FD5E99">
        <w:rPr>
          <w:szCs w:val="22"/>
          <w:lang w:val="en-US"/>
        </w:rPr>
        <w:t xml:space="preserve">conclusion </w:t>
      </w:r>
      <w:r w:rsidR="008D4896" w:rsidRPr="00FD5E99">
        <w:rPr>
          <w:szCs w:val="22"/>
          <w:lang w:val="en-US"/>
        </w:rPr>
        <w:t xml:space="preserve">that </w:t>
      </w:r>
      <w:r w:rsidR="001C33ED" w:rsidRPr="00FD5E99">
        <w:rPr>
          <w:szCs w:val="22"/>
          <w:lang w:val="en-US"/>
        </w:rPr>
        <w:t xml:space="preserve">MUP is a </w:t>
      </w:r>
      <w:r w:rsidR="00E168D7" w:rsidRPr="00FD5E99">
        <w:rPr>
          <w:szCs w:val="22"/>
          <w:lang w:val="en-US"/>
        </w:rPr>
        <w:t xml:space="preserve">potentially </w:t>
      </w:r>
      <w:r w:rsidR="001C33ED" w:rsidRPr="00FD5E99">
        <w:rPr>
          <w:szCs w:val="22"/>
          <w:lang w:val="en-US"/>
        </w:rPr>
        <w:t>disproportionate</w:t>
      </w:r>
      <w:r w:rsidR="008E1649" w:rsidRPr="00FD5E99">
        <w:rPr>
          <w:szCs w:val="22"/>
          <w:lang w:val="en-US"/>
        </w:rPr>
        <w:t xml:space="preserve"> restriction on trade when taxation is also available. </w:t>
      </w:r>
    </w:p>
    <w:p w14:paraId="1AA2C53C" w14:textId="77777777" w:rsidR="008E1649" w:rsidRPr="00FD5E99" w:rsidRDefault="008E1649" w:rsidP="00820F27">
      <w:pPr>
        <w:rPr>
          <w:szCs w:val="22"/>
          <w:lang w:val="en-US"/>
        </w:rPr>
      </w:pPr>
    </w:p>
    <w:p w14:paraId="70F4E9C6" w14:textId="0D4422F5" w:rsidR="00FB3D3A" w:rsidRPr="00FD5E99" w:rsidRDefault="008E1649" w:rsidP="00820F27">
      <w:pPr>
        <w:rPr>
          <w:szCs w:val="22"/>
          <w:lang w:val="en-US"/>
        </w:rPr>
      </w:pPr>
      <w:r w:rsidRPr="00FD5E99">
        <w:rPr>
          <w:szCs w:val="22"/>
          <w:lang w:val="en-US"/>
        </w:rPr>
        <w:lastRenderedPageBreak/>
        <w:t>Despite th</w:t>
      </w:r>
      <w:r w:rsidR="008D4896" w:rsidRPr="00FD5E99">
        <w:rPr>
          <w:szCs w:val="22"/>
          <w:lang w:val="en-US"/>
        </w:rPr>
        <w:t>is</w:t>
      </w:r>
      <w:r w:rsidRPr="00FD5E99">
        <w:rPr>
          <w:szCs w:val="22"/>
          <w:lang w:val="en-US"/>
        </w:rPr>
        <w:t>, there may yet be hope for the Scottis</w:t>
      </w:r>
      <w:r w:rsidR="00120DCD" w:rsidRPr="00FD5E99">
        <w:rPr>
          <w:szCs w:val="22"/>
          <w:lang w:val="en-US"/>
        </w:rPr>
        <w:t>h government. At the brink of an outright declaration that MUP is disproportionate,</w:t>
      </w:r>
      <w:r w:rsidRPr="00FD5E99">
        <w:rPr>
          <w:szCs w:val="22"/>
          <w:lang w:val="en-US"/>
        </w:rPr>
        <w:t xml:space="preserve"> the Court stayed true to </w:t>
      </w:r>
      <w:r w:rsidR="00120DCD" w:rsidRPr="00FD5E99">
        <w:rPr>
          <w:szCs w:val="22"/>
          <w:lang w:val="en-US"/>
        </w:rPr>
        <w:t xml:space="preserve">its </w:t>
      </w:r>
      <w:r w:rsidRPr="00FD5E99">
        <w:rPr>
          <w:i/>
          <w:szCs w:val="22"/>
          <w:lang w:val="en-US"/>
        </w:rPr>
        <w:t>Gourmet</w:t>
      </w:r>
      <w:r w:rsidRPr="00FD5E99">
        <w:rPr>
          <w:rStyle w:val="FootnoteReference"/>
          <w:szCs w:val="22"/>
          <w:lang w:val="en-US"/>
        </w:rPr>
        <w:footnoteReference w:id="34"/>
      </w:r>
      <w:r w:rsidR="00120DCD" w:rsidRPr="00FD5E99">
        <w:rPr>
          <w:i/>
          <w:szCs w:val="22"/>
          <w:lang w:val="en-US"/>
        </w:rPr>
        <w:t xml:space="preserve"> </w:t>
      </w:r>
      <w:r w:rsidR="00120DCD" w:rsidRPr="00FD5E99">
        <w:rPr>
          <w:szCs w:val="22"/>
          <w:lang w:val="en-US"/>
        </w:rPr>
        <w:t>judgement</w:t>
      </w:r>
      <w:r w:rsidRPr="00FD5E99">
        <w:rPr>
          <w:szCs w:val="22"/>
          <w:lang w:val="en-US"/>
        </w:rPr>
        <w:t xml:space="preserve"> and declared that ‘it is however for the referring court, which alone has available to it all the matters of fact and law pertaining to the circumstances of the main proceedings, to determine whether </w:t>
      </w:r>
      <w:r w:rsidR="008D4896" w:rsidRPr="00FD5E99">
        <w:rPr>
          <w:szCs w:val="22"/>
          <w:lang w:val="en-US"/>
        </w:rPr>
        <w:t>…</w:t>
      </w:r>
      <w:r w:rsidR="00F138DC" w:rsidRPr="00FD5E99">
        <w:rPr>
          <w:szCs w:val="22"/>
          <w:lang w:val="en-US"/>
        </w:rPr>
        <w:t xml:space="preserve"> </w:t>
      </w:r>
      <w:r w:rsidR="00216639" w:rsidRPr="00FD5E99">
        <w:rPr>
          <w:szCs w:val="22"/>
          <w:lang w:val="en-US"/>
        </w:rPr>
        <w:t>[taxation]</w:t>
      </w:r>
      <w:r w:rsidR="008D4896" w:rsidRPr="00FD5E99">
        <w:rPr>
          <w:szCs w:val="22"/>
          <w:lang w:val="en-US"/>
        </w:rPr>
        <w:t xml:space="preserve"> </w:t>
      </w:r>
      <w:r w:rsidRPr="00FD5E99">
        <w:rPr>
          <w:szCs w:val="22"/>
          <w:lang w:val="en-US"/>
        </w:rPr>
        <w:t>is capable of protecting human life and health as</w:t>
      </w:r>
      <w:r w:rsidR="00216639" w:rsidRPr="00FD5E99">
        <w:rPr>
          <w:szCs w:val="22"/>
          <w:lang w:val="en-US"/>
        </w:rPr>
        <w:t xml:space="preserve"> effectively [as MUP</w:t>
      </w:r>
      <w:r w:rsidR="00271EEF" w:rsidRPr="00FD5E99">
        <w:rPr>
          <w:szCs w:val="22"/>
          <w:lang w:val="en-US"/>
        </w:rPr>
        <w:t>]</w:t>
      </w:r>
      <w:r w:rsidR="00216639" w:rsidRPr="00FD5E99">
        <w:rPr>
          <w:szCs w:val="22"/>
          <w:lang w:val="en-US"/>
        </w:rPr>
        <w:t xml:space="preserve"> …</w:t>
      </w:r>
      <w:r w:rsidRPr="00FD5E99">
        <w:rPr>
          <w:szCs w:val="22"/>
          <w:lang w:val="en-US"/>
        </w:rPr>
        <w:t xml:space="preserve"> while being less restri</w:t>
      </w:r>
      <w:r w:rsidR="00271EEF" w:rsidRPr="00FD5E99">
        <w:rPr>
          <w:szCs w:val="22"/>
          <w:lang w:val="en-US"/>
        </w:rPr>
        <w:t>ctive of trade</w:t>
      </w:r>
      <w:r w:rsidRPr="00FD5E99">
        <w:rPr>
          <w:szCs w:val="22"/>
          <w:lang w:val="en-US"/>
        </w:rPr>
        <w:t>’.</w:t>
      </w:r>
      <w:r w:rsidRPr="00FD5E99">
        <w:rPr>
          <w:rStyle w:val="FootnoteReference"/>
          <w:szCs w:val="22"/>
          <w:lang w:val="en-US"/>
        </w:rPr>
        <w:footnoteReference w:id="35"/>
      </w:r>
      <w:r w:rsidR="00E168D7" w:rsidRPr="00FD5E99">
        <w:rPr>
          <w:szCs w:val="22"/>
          <w:lang w:val="en-US"/>
        </w:rPr>
        <w:t xml:space="preserve"> T</w:t>
      </w:r>
      <w:r w:rsidR="009D42B7" w:rsidRPr="00FD5E99">
        <w:rPr>
          <w:szCs w:val="22"/>
          <w:lang w:val="en-US"/>
        </w:rPr>
        <w:t>he Court confirms that it is</w:t>
      </w:r>
      <w:r w:rsidR="00E168D7" w:rsidRPr="00FD5E99">
        <w:rPr>
          <w:szCs w:val="22"/>
          <w:lang w:val="en-US"/>
        </w:rPr>
        <w:t>, in the end,</w:t>
      </w:r>
      <w:r w:rsidR="009D42B7" w:rsidRPr="00FD5E99">
        <w:rPr>
          <w:szCs w:val="22"/>
          <w:lang w:val="en-US"/>
        </w:rPr>
        <w:t xml:space="preserve"> the </w:t>
      </w:r>
      <w:r w:rsidR="00271EEF" w:rsidRPr="00FD5E99">
        <w:rPr>
          <w:szCs w:val="22"/>
          <w:lang w:val="en-US"/>
        </w:rPr>
        <w:t>national court who must</w:t>
      </w:r>
      <w:r w:rsidR="009D42B7" w:rsidRPr="00FD5E99">
        <w:rPr>
          <w:szCs w:val="22"/>
          <w:lang w:val="en-US"/>
        </w:rPr>
        <w:t xml:space="preserve"> decide whether the summary of the law given by the Court is actually applicable to the Scottish circumstances specifically. This may throw a lifeline to</w:t>
      </w:r>
      <w:r w:rsidR="00E168D7" w:rsidRPr="00FD5E99">
        <w:rPr>
          <w:szCs w:val="22"/>
          <w:lang w:val="en-US"/>
        </w:rPr>
        <w:t xml:space="preserve"> the Scottish Government, who now have</w:t>
      </w:r>
      <w:r w:rsidR="009D42B7" w:rsidRPr="00FD5E99">
        <w:rPr>
          <w:szCs w:val="22"/>
          <w:lang w:val="en-US"/>
        </w:rPr>
        <w:t xml:space="preserve"> a second chance</w:t>
      </w:r>
      <w:r w:rsidR="00E168D7" w:rsidRPr="00FD5E99">
        <w:rPr>
          <w:szCs w:val="22"/>
          <w:lang w:val="en-US"/>
        </w:rPr>
        <w:t xml:space="preserve"> to</w:t>
      </w:r>
      <w:r w:rsidR="009D42B7" w:rsidRPr="00FD5E99">
        <w:rPr>
          <w:szCs w:val="22"/>
          <w:lang w:val="en-US"/>
        </w:rPr>
        <w:t xml:space="preserve"> </w:t>
      </w:r>
      <w:r w:rsidR="00360A7B" w:rsidRPr="00FD5E99">
        <w:rPr>
          <w:szCs w:val="22"/>
          <w:lang w:val="en-US"/>
        </w:rPr>
        <w:t xml:space="preserve">present </w:t>
      </w:r>
      <w:r w:rsidR="009D42B7" w:rsidRPr="00FD5E99">
        <w:rPr>
          <w:szCs w:val="22"/>
          <w:lang w:val="en-US"/>
        </w:rPr>
        <w:t>all of the evidence on MUP</w:t>
      </w:r>
      <w:r w:rsidR="00360A7B" w:rsidRPr="00FD5E99">
        <w:rPr>
          <w:szCs w:val="22"/>
          <w:lang w:val="en-US"/>
        </w:rPr>
        <w:t xml:space="preserve"> with maximum clarity</w:t>
      </w:r>
      <w:r w:rsidR="009D42B7" w:rsidRPr="00FD5E99">
        <w:rPr>
          <w:szCs w:val="22"/>
          <w:lang w:val="en-US"/>
        </w:rPr>
        <w:t xml:space="preserve">, and to </w:t>
      </w:r>
      <w:r w:rsidR="00253173" w:rsidRPr="00FD5E99">
        <w:rPr>
          <w:szCs w:val="22"/>
          <w:lang w:val="en-US"/>
        </w:rPr>
        <w:t xml:space="preserve">emphasise </w:t>
      </w:r>
      <w:r w:rsidR="009D42B7" w:rsidRPr="00FD5E99">
        <w:rPr>
          <w:szCs w:val="22"/>
          <w:lang w:val="en-US"/>
        </w:rPr>
        <w:t>the targeting of the</w:t>
      </w:r>
      <w:r w:rsidR="00253173" w:rsidRPr="00FD5E99">
        <w:rPr>
          <w:szCs w:val="22"/>
          <w:lang w:val="en-US"/>
        </w:rPr>
        <w:t xml:space="preserve"> 2012</w:t>
      </w:r>
      <w:r w:rsidR="009D42B7" w:rsidRPr="00FD5E99">
        <w:rPr>
          <w:szCs w:val="22"/>
          <w:lang w:val="en-US"/>
        </w:rPr>
        <w:t xml:space="preserve"> </w:t>
      </w:r>
      <w:r w:rsidR="00253173" w:rsidRPr="00FD5E99">
        <w:rPr>
          <w:szCs w:val="22"/>
          <w:lang w:val="en-US"/>
        </w:rPr>
        <w:t>Act</w:t>
      </w:r>
      <w:r w:rsidR="00F138DC" w:rsidRPr="00FD5E99">
        <w:rPr>
          <w:szCs w:val="22"/>
          <w:lang w:val="en-US"/>
        </w:rPr>
        <w:t xml:space="preserve"> to the Court of Session – provided the Court of Session can be persuaded, of course. </w:t>
      </w:r>
      <w:r w:rsidR="009D42B7" w:rsidRPr="00FD5E99">
        <w:rPr>
          <w:szCs w:val="22"/>
          <w:lang w:val="en-US"/>
        </w:rPr>
        <w:t xml:space="preserve"> </w:t>
      </w:r>
      <w:r w:rsidRPr="00FD5E99">
        <w:rPr>
          <w:szCs w:val="22"/>
          <w:lang w:val="en-US"/>
        </w:rPr>
        <w:t xml:space="preserve">    </w:t>
      </w:r>
      <w:r w:rsidR="001C33ED" w:rsidRPr="00FD5E99">
        <w:rPr>
          <w:szCs w:val="22"/>
          <w:lang w:val="en-US"/>
        </w:rPr>
        <w:t xml:space="preserve">   </w:t>
      </w:r>
    </w:p>
    <w:p w14:paraId="270B4FDC" w14:textId="77777777" w:rsidR="00FB3D3A" w:rsidRPr="00FD5E99" w:rsidRDefault="00FB3D3A" w:rsidP="00820F27">
      <w:pPr>
        <w:rPr>
          <w:color w:val="FF0000"/>
          <w:szCs w:val="22"/>
          <w:lang w:val="en-US"/>
        </w:rPr>
      </w:pPr>
    </w:p>
    <w:p w14:paraId="0F504F21" w14:textId="77777777" w:rsidR="004333DF" w:rsidRPr="00FD5E99" w:rsidRDefault="004333DF">
      <w:pPr>
        <w:rPr>
          <w:b/>
          <w:color w:val="FF0000"/>
          <w:szCs w:val="22"/>
          <w:lang w:val="en-US"/>
        </w:rPr>
      </w:pPr>
    </w:p>
    <w:p w14:paraId="16F860DC" w14:textId="4742D81F" w:rsidR="004333DF" w:rsidRPr="00FD5E99" w:rsidRDefault="00F85340">
      <w:pPr>
        <w:rPr>
          <w:b/>
          <w:szCs w:val="22"/>
          <w:lang w:val="en-US"/>
        </w:rPr>
      </w:pPr>
      <w:r w:rsidRPr="00FD5E99">
        <w:rPr>
          <w:b/>
          <w:szCs w:val="22"/>
          <w:lang w:val="en-US"/>
        </w:rPr>
        <w:t xml:space="preserve">III. </w:t>
      </w:r>
      <w:r w:rsidR="004333DF" w:rsidRPr="00FD5E99">
        <w:rPr>
          <w:b/>
          <w:szCs w:val="22"/>
          <w:lang w:val="en-US"/>
        </w:rPr>
        <w:t xml:space="preserve">Implications for alcohol control policy </w:t>
      </w:r>
    </w:p>
    <w:p w14:paraId="09946E86" w14:textId="77777777" w:rsidR="00FB3D3A" w:rsidRPr="00FD5E99" w:rsidRDefault="00FB3D3A">
      <w:pPr>
        <w:rPr>
          <w:b/>
          <w:color w:val="FF0000"/>
          <w:szCs w:val="22"/>
          <w:lang w:val="en-US"/>
        </w:rPr>
      </w:pPr>
    </w:p>
    <w:p w14:paraId="484D5956" w14:textId="26BD661C" w:rsidR="00E778E4" w:rsidRPr="00FD5E99" w:rsidRDefault="008D4896">
      <w:pPr>
        <w:rPr>
          <w:szCs w:val="22"/>
          <w:lang w:val="en-US"/>
        </w:rPr>
      </w:pPr>
      <w:r w:rsidRPr="00FD5E99">
        <w:rPr>
          <w:szCs w:val="22"/>
          <w:lang w:val="en-US"/>
        </w:rPr>
        <w:t xml:space="preserve">The judgement of the Court in </w:t>
      </w:r>
      <w:r w:rsidRPr="00FD5E99">
        <w:rPr>
          <w:i/>
          <w:szCs w:val="22"/>
          <w:lang w:val="en-US"/>
        </w:rPr>
        <w:t>Scotch Whisky</w:t>
      </w:r>
      <w:r w:rsidRPr="00FD5E99">
        <w:rPr>
          <w:szCs w:val="22"/>
          <w:lang w:val="en-US"/>
        </w:rPr>
        <w:t xml:space="preserve"> </w:t>
      </w:r>
      <w:r w:rsidR="008207D9" w:rsidRPr="00FD5E99">
        <w:rPr>
          <w:szCs w:val="22"/>
          <w:lang w:val="en-US"/>
        </w:rPr>
        <w:t>is good and bad news</w:t>
      </w:r>
      <w:r w:rsidRPr="00FD5E99">
        <w:rPr>
          <w:szCs w:val="22"/>
          <w:lang w:val="en-US"/>
        </w:rPr>
        <w:t xml:space="preserve"> for public health advocates. The </w:t>
      </w:r>
      <w:r w:rsidR="00F45A75" w:rsidRPr="00FD5E99">
        <w:rPr>
          <w:szCs w:val="22"/>
          <w:lang w:val="en-US"/>
        </w:rPr>
        <w:t>bad news</w:t>
      </w:r>
      <w:r w:rsidRPr="00FD5E99">
        <w:rPr>
          <w:szCs w:val="22"/>
          <w:lang w:val="en-US"/>
        </w:rPr>
        <w:t xml:space="preserve"> is that the judgment clearly demonstrates the CJEU’s</w:t>
      </w:r>
      <w:r w:rsidR="00F45A75" w:rsidRPr="00FD5E99">
        <w:rPr>
          <w:szCs w:val="22"/>
          <w:lang w:val="en-US"/>
        </w:rPr>
        <w:t xml:space="preserve"> lack of understanding of</w:t>
      </w:r>
      <w:r w:rsidR="00F138DC" w:rsidRPr="00FD5E99">
        <w:rPr>
          <w:szCs w:val="22"/>
          <w:lang w:val="en-US"/>
        </w:rPr>
        <w:t xml:space="preserve"> the</w:t>
      </w:r>
      <w:r w:rsidR="00F45A75" w:rsidRPr="00FD5E99">
        <w:rPr>
          <w:szCs w:val="22"/>
          <w:lang w:val="en-US"/>
        </w:rPr>
        <w:t xml:space="preserve"> comparative effectiveness of public health interventions, and its</w:t>
      </w:r>
      <w:r w:rsidR="00F138DC" w:rsidRPr="00FD5E99">
        <w:rPr>
          <w:szCs w:val="22"/>
          <w:lang w:val="en-US"/>
        </w:rPr>
        <w:t xml:space="preserve"> conviction </w:t>
      </w:r>
      <w:r w:rsidR="00F45A75" w:rsidRPr="00FD5E99">
        <w:rPr>
          <w:szCs w:val="22"/>
          <w:lang w:val="en-US"/>
        </w:rPr>
        <w:t xml:space="preserve">that </w:t>
      </w:r>
      <w:r w:rsidRPr="00FD5E99">
        <w:rPr>
          <w:szCs w:val="22"/>
          <w:lang w:val="en-US"/>
        </w:rPr>
        <w:t>taxation</w:t>
      </w:r>
      <w:r w:rsidR="0073203C" w:rsidRPr="00FD5E99">
        <w:rPr>
          <w:szCs w:val="22"/>
          <w:lang w:val="en-US"/>
        </w:rPr>
        <w:t xml:space="preserve"> </w:t>
      </w:r>
      <w:r w:rsidR="00F138DC" w:rsidRPr="00FD5E99">
        <w:rPr>
          <w:szCs w:val="22"/>
          <w:lang w:val="en-US"/>
        </w:rPr>
        <w:t>should be preferred</w:t>
      </w:r>
      <w:r w:rsidR="0073203C" w:rsidRPr="00FD5E99">
        <w:rPr>
          <w:szCs w:val="22"/>
          <w:lang w:val="en-US"/>
        </w:rPr>
        <w:t xml:space="preserve"> </w:t>
      </w:r>
      <w:r w:rsidRPr="00FD5E99">
        <w:rPr>
          <w:szCs w:val="22"/>
          <w:lang w:val="en-US"/>
        </w:rPr>
        <w:t xml:space="preserve">if </w:t>
      </w:r>
      <w:r w:rsidR="0073203C" w:rsidRPr="00FD5E99">
        <w:rPr>
          <w:szCs w:val="22"/>
          <w:lang w:val="en-US"/>
        </w:rPr>
        <w:t>price measure</w:t>
      </w:r>
      <w:r w:rsidR="00F138DC" w:rsidRPr="00FD5E99">
        <w:rPr>
          <w:szCs w:val="22"/>
          <w:lang w:val="en-US"/>
        </w:rPr>
        <w:t>s</w:t>
      </w:r>
      <w:r w:rsidR="0073203C" w:rsidRPr="00FD5E99">
        <w:rPr>
          <w:szCs w:val="22"/>
          <w:lang w:val="en-US"/>
        </w:rPr>
        <w:t xml:space="preserve"> </w:t>
      </w:r>
      <w:r w:rsidR="00F138DC" w:rsidRPr="00FD5E99">
        <w:rPr>
          <w:szCs w:val="22"/>
          <w:lang w:val="en-US"/>
        </w:rPr>
        <w:t xml:space="preserve">are desirable for public health protection. There was an </w:t>
      </w:r>
      <w:r w:rsidRPr="00FD5E99">
        <w:rPr>
          <w:szCs w:val="22"/>
          <w:lang w:val="en-US"/>
        </w:rPr>
        <w:t>air of ambivalence towards MUP in the Court’</w:t>
      </w:r>
      <w:r w:rsidR="00C50995" w:rsidRPr="00FD5E99">
        <w:rPr>
          <w:szCs w:val="22"/>
          <w:lang w:val="en-US"/>
        </w:rPr>
        <w:t>s analysis</w:t>
      </w:r>
      <w:r w:rsidR="00FD62C0" w:rsidRPr="00FD5E99">
        <w:rPr>
          <w:szCs w:val="22"/>
          <w:lang w:val="en-US"/>
        </w:rPr>
        <w:t>, the Court being clear</w:t>
      </w:r>
      <w:r w:rsidR="00C50995" w:rsidRPr="00FD5E99">
        <w:rPr>
          <w:szCs w:val="22"/>
          <w:lang w:val="en-US"/>
        </w:rPr>
        <w:t xml:space="preserve"> that internal market principles would be breached if MUP is adopted in the face of equally effective and l</w:t>
      </w:r>
      <w:r w:rsidR="00FD62C0" w:rsidRPr="00FD5E99">
        <w:rPr>
          <w:szCs w:val="22"/>
          <w:lang w:val="en-US"/>
        </w:rPr>
        <w:t xml:space="preserve">ess trade-restrictive measures. The Court also </w:t>
      </w:r>
      <w:r w:rsidR="00C50995" w:rsidRPr="00FD5E99">
        <w:rPr>
          <w:szCs w:val="22"/>
          <w:lang w:val="en-US"/>
        </w:rPr>
        <w:t>demonstrated a willingness to prioritise the protection of economic freedom</w:t>
      </w:r>
      <w:r w:rsidR="00FD62C0" w:rsidRPr="00FD5E99">
        <w:rPr>
          <w:szCs w:val="22"/>
          <w:lang w:val="en-US"/>
        </w:rPr>
        <w:t>s</w:t>
      </w:r>
      <w:r w:rsidR="00C50995" w:rsidRPr="00FD5E99">
        <w:rPr>
          <w:szCs w:val="22"/>
          <w:lang w:val="en-US"/>
        </w:rPr>
        <w:t xml:space="preserve"> over protection of public</w:t>
      </w:r>
      <w:r w:rsidR="001A5832" w:rsidRPr="00FD5E99">
        <w:rPr>
          <w:szCs w:val="22"/>
          <w:lang w:val="en-US"/>
        </w:rPr>
        <w:t xml:space="preserve"> health in this case. There is nothing to suggest that </w:t>
      </w:r>
      <w:r w:rsidR="00C50995" w:rsidRPr="00FD5E99">
        <w:rPr>
          <w:szCs w:val="22"/>
          <w:lang w:val="en-US"/>
        </w:rPr>
        <w:t xml:space="preserve">the Court </w:t>
      </w:r>
      <w:r w:rsidR="001A5832" w:rsidRPr="00FD5E99">
        <w:rPr>
          <w:szCs w:val="22"/>
          <w:lang w:val="en-US"/>
        </w:rPr>
        <w:t xml:space="preserve">would </w:t>
      </w:r>
      <w:r w:rsidR="00C50995" w:rsidRPr="00FD5E99">
        <w:rPr>
          <w:szCs w:val="22"/>
          <w:lang w:val="en-US"/>
        </w:rPr>
        <w:t>change this economic approach when confronted with other ambitious</w:t>
      </w:r>
      <w:r w:rsidR="00104B0B" w:rsidRPr="00FD5E99">
        <w:rPr>
          <w:szCs w:val="22"/>
          <w:lang w:val="en-US"/>
        </w:rPr>
        <w:t xml:space="preserve"> public health strategies.</w:t>
      </w:r>
      <w:r w:rsidR="00403FEE" w:rsidRPr="00FD5E99">
        <w:rPr>
          <w:szCs w:val="22"/>
          <w:lang w:val="en-US"/>
        </w:rPr>
        <w:t xml:space="preserve"> From this judgement we can gather that either the</w:t>
      </w:r>
      <w:r w:rsidR="001A5832" w:rsidRPr="00FD5E99">
        <w:rPr>
          <w:szCs w:val="22"/>
          <w:lang w:val="en-US"/>
        </w:rPr>
        <w:t xml:space="preserve"> Court is happy to pay</w:t>
      </w:r>
      <w:r w:rsidR="00104B0B" w:rsidRPr="00FD5E99">
        <w:rPr>
          <w:szCs w:val="22"/>
          <w:lang w:val="en-US"/>
        </w:rPr>
        <w:t xml:space="preserve"> little attention to the public health and fundamental rights imperatives that interact with in</w:t>
      </w:r>
      <w:r w:rsidR="00F138DC" w:rsidRPr="00FD5E99">
        <w:rPr>
          <w:szCs w:val="22"/>
          <w:lang w:val="en-US"/>
        </w:rPr>
        <w:t>ternal market imperatives in</w:t>
      </w:r>
      <w:r w:rsidR="00104B0B" w:rsidRPr="00FD5E99">
        <w:rPr>
          <w:szCs w:val="22"/>
          <w:lang w:val="en-US"/>
        </w:rPr>
        <w:t xml:space="preserve"> decision</w:t>
      </w:r>
      <w:r w:rsidR="00F138DC" w:rsidRPr="00FD5E99">
        <w:rPr>
          <w:szCs w:val="22"/>
          <w:lang w:val="en-US"/>
        </w:rPr>
        <w:t>s</w:t>
      </w:r>
      <w:r w:rsidR="00104B0B" w:rsidRPr="00FD5E99">
        <w:rPr>
          <w:szCs w:val="22"/>
          <w:lang w:val="en-US"/>
        </w:rPr>
        <w:t xml:space="preserve"> to adopt laws that might restrict trade – or that national governments are still not </w:t>
      </w:r>
      <w:r w:rsidR="00053CE2" w:rsidRPr="00FD5E99">
        <w:rPr>
          <w:szCs w:val="22"/>
          <w:lang w:val="en-US"/>
        </w:rPr>
        <w:t>particularly</w:t>
      </w:r>
      <w:r w:rsidR="00F138DC" w:rsidRPr="00FD5E99">
        <w:rPr>
          <w:szCs w:val="22"/>
          <w:lang w:val="en-US"/>
        </w:rPr>
        <w:t xml:space="preserve"> competent at leveraging public health and fundamental rights</w:t>
      </w:r>
      <w:r w:rsidR="00104B0B" w:rsidRPr="00FD5E99">
        <w:rPr>
          <w:szCs w:val="22"/>
          <w:lang w:val="en-US"/>
        </w:rPr>
        <w:t xml:space="preserve"> imperatives to argue for the proportionality of their laws. Both conclusions make rather bitter food for thought.  </w:t>
      </w:r>
    </w:p>
    <w:p w14:paraId="0F288B6D" w14:textId="77777777" w:rsidR="00104B0B" w:rsidRPr="00FD5E99" w:rsidRDefault="00104B0B">
      <w:pPr>
        <w:rPr>
          <w:szCs w:val="22"/>
          <w:lang w:val="en-US"/>
        </w:rPr>
      </w:pPr>
    </w:p>
    <w:p w14:paraId="2A4B308D" w14:textId="36368195" w:rsidR="00E778E4" w:rsidRPr="00FD5E99" w:rsidRDefault="00104B0B">
      <w:pPr>
        <w:rPr>
          <w:szCs w:val="22"/>
          <w:lang w:val="en-US"/>
        </w:rPr>
      </w:pPr>
      <w:r w:rsidRPr="00FD5E99">
        <w:rPr>
          <w:szCs w:val="22"/>
          <w:lang w:val="en-US"/>
        </w:rPr>
        <w:t xml:space="preserve">Disheartening though the Court’s decision in </w:t>
      </w:r>
      <w:r w:rsidR="00F138DC" w:rsidRPr="00FD5E99">
        <w:rPr>
          <w:i/>
          <w:szCs w:val="22"/>
          <w:lang w:val="en-US"/>
        </w:rPr>
        <w:t xml:space="preserve">Scotch </w:t>
      </w:r>
      <w:proofErr w:type="gramStart"/>
      <w:r w:rsidR="00F138DC" w:rsidRPr="00FD5E99">
        <w:rPr>
          <w:i/>
          <w:szCs w:val="22"/>
          <w:lang w:val="en-US"/>
        </w:rPr>
        <w:t>Whisk</w:t>
      </w:r>
      <w:r w:rsidRPr="00FD5E99">
        <w:rPr>
          <w:i/>
          <w:szCs w:val="22"/>
          <w:lang w:val="en-US"/>
        </w:rPr>
        <w:t>y</w:t>
      </w:r>
      <w:proofErr w:type="gramEnd"/>
      <w:r w:rsidRPr="00FD5E99">
        <w:rPr>
          <w:szCs w:val="22"/>
          <w:lang w:val="en-US"/>
        </w:rPr>
        <w:t xml:space="preserve"> may be at first, public health advocates </w:t>
      </w:r>
      <w:r w:rsidR="00F138DC" w:rsidRPr="00FD5E99">
        <w:rPr>
          <w:szCs w:val="22"/>
          <w:lang w:val="en-US"/>
        </w:rPr>
        <w:t>might</w:t>
      </w:r>
      <w:r w:rsidRPr="00FD5E99">
        <w:rPr>
          <w:szCs w:val="22"/>
          <w:lang w:val="en-US"/>
        </w:rPr>
        <w:t xml:space="preserve"> still take solace from the judgement. It is possible to compare </w:t>
      </w:r>
      <w:r w:rsidR="00E9483A" w:rsidRPr="00FD5E99">
        <w:rPr>
          <w:szCs w:val="22"/>
          <w:lang w:val="en-US"/>
        </w:rPr>
        <w:t>this case to</w:t>
      </w:r>
      <w:r w:rsidRPr="00FD5E99">
        <w:rPr>
          <w:szCs w:val="22"/>
          <w:lang w:val="en-US"/>
        </w:rPr>
        <w:t xml:space="preserve"> the infamous </w:t>
      </w:r>
      <w:r w:rsidRPr="00FD5E99">
        <w:rPr>
          <w:i/>
          <w:szCs w:val="22"/>
          <w:lang w:val="en-US"/>
        </w:rPr>
        <w:t>Tobacco Advertising 1</w:t>
      </w:r>
      <w:r w:rsidR="00E65CF0" w:rsidRPr="00FD5E99">
        <w:rPr>
          <w:rStyle w:val="FootnoteReference"/>
          <w:i/>
          <w:szCs w:val="22"/>
          <w:lang w:val="en-US"/>
        </w:rPr>
        <w:footnoteReference w:id="36"/>
      </w:r>
      <w:r w:rsidRPr="00FD5E99">
        <w:rPr>
          <w:szCs w:val="22"/>
          <w:lang w:val="en-US"/>
        </w:rPr>
        <w:t xml:space="preserve"> judgement, with respect to the mechanical reasoning employed.</w:t>
      </w:r>
      <w:r w:rsidR="00E778E4" w:rsidRPr="00FD5E99">
        <w:rPr>
          <w:szCs w:val="22"/>
          <w:lang w:val="en-US"/>
        </w:rPr>
        <w:t xml:space="preserve"> The</w:t>
      </w:r>
      <w:r w:rsidRPr="00FD5E99">
        <w:rPr>
          <w:szCs w:val="22"/>
          <w:lang w:val="en-US"/>
        </w:rPr>
        <w:t xml:space="preserve"> Court essentially held in </w:t>
      </w:r>
      <w:r w:rsidR="00F138DC" w:rsidRPr="00FD5E99">
        <w:rPr>
          <w:i/>
          <w:szCs w:val="22"/>
          <w:lang w:val="en-US"/>
        </w:rPr>
        <w:t xml:space="preserve">Scotch </w:t>
      </w:r>
      <w:proofErr w:type="gramStart"/>
      <w:r w:rsidR="00F138DC" w:rsidRPr="00FD5E99">
        <w:rPr>
          <w:i/>
          <w:szCs w:val="22"/>
          <w:lang w:val="en-US"/>
        </w:rPr>
        <w:t>Whisky</w:t>
      </w:r>
      <w:proofErr w:type="gramEnd"/>
      <w:r w:rsidR="00F138DC" w:rsidRPr="00FD5E99">
        <w:rPr>
          <w:i/>
          <w:szCs w:val="22"/>
          <w:lang w:val="en-US"/>
        </w:rPr>
        <w:t xml:space="preserve"> </w:t>
      </w:r>
      <w:r w:rsidRPr="00FD5E99">
        <w:rPr>
          <w:szCs w:val="22"/>
          <w:lang w:val="en-US"/>
        </w:rPr>
        <w:t xml:space="preserve">that if a twofold objective is pursued, </w:t>
      </w:r>
      <w:r w:rsidR="00E778E4" w:rsidRPr="00FD5E99">
        <w:rPr>
          <w:szCs w:val="22"/>
          <w:lang w:val="en-US"/>
        </w:rPr>
        <w:t>MUP</w:t>
      </w:r>
      <w:r w:rsidRPr="00FD5E99">
        <w:rPr>
          <w:szCs w:val="22"/>
          <w:lang w:val="en-US"/>
        </w:rPr>
        <w:t xml:space="preserve"> is a disproportionate response. </w:t>
      </w:r>
      <w:r w:rsidR="00E778E4" w:rsidRPr="00FD5E99">
        <w:rPr>
          <w:szCs w:val="22"/>
          <w:lang w:val="en-US"/>
        </w:rPr>
        <w:t>The</w:t>
      </w:r>
      <w:r w:rsidRPr="00FD5E99">
        <w:rPr>
          <w:szCs w:val="22"/>
          <w:lang w:val="en-US"/>
        </w:rPr>
        <w:t xml:space="preserve"> implication beneath the surface of the judgement is relatively clear – pursuit of a targeted objective </w:t>
      </w:r>
      <w:r w:rsidRPr="00FD5E99">
        <w:rPr>
          <w:i/>
          <w:szCs w:val="22"/>
          <w:lang w:val="en-US"/>
        </w:rPr>
        <w:t>only</w:t>
      </w:r>
      <w:r w:rsidRPr="00FD5E99">
        <w:rPr>
          <w:szCs w:val="22"/>
          <w:lang w:val="en-US"/>
        </w:rPr>
        <w:t xml:space="preserve"> may result in MUP being proportionate. In similar fashion to </w:t>
      </w:r>
      <w:r w:rsidRPr="00FD5E99">
        <w:rPr>
          <w:i/>
          <w:szCs w:val="22"/>
          <w:lang w:val="en-US"/>
        </w:rPr>
        <w:t>Tobacco Advertising 1</w:t>
      </w:r>
      <w:r w:rsidRPr="00FD5E99">
        <w:rPr>
          <w:szCs w:val="22"/>
          <w:lang w:val="en-US"/>
        </w:rPr>
        <w:t>, the Court did not particularly dispute the public health credentials of MUP, merely how it was mapped onto the stated objectives. Thus, it might be tentatively concluded that if another, more close</w:t>
      </w:r>
      <w:r w:rsidR="0016549C" w:rsidRPr="00FD5E99">
        <w:rPr>
          <w:szCs w:val="22"/>
          <w:lang w:val="en-US"/>
        </w:rPr>
        <w:t>ly targeted MUP measure were t</w:t>
      </w:r>
      <w:r w:rsidR="00252563" w:rsidRPr="00FD5E99">
        <w:rPr>
          <w:szCs w:val="22"/>
          <w:lang w:val="en-US"/>
        </w:rPr>
        <w:t>o be brought before the Court</w:t>
      </w:r>
      <w:r w:rsidR="0016549C" w:rsidRPr="00FD5E99">
        <w:rPr>
          <w:szCs w:val="22"/>
          <w:lang w:val="en-US"/>
        </w:rPr>
        <w:t xml:space="preserve">, the conclusion on its proportionality </w:t>
      </w:r>
      <w:r w:rsidR="0016549C" w:rsidRPr="00FD5E99">
        <w:rPr>
          <w:szCs w:val="22"/>
          <w:lang w:val="en-US"/>
        </w:rPr>
        <w:lastRenderedPageBreak/>
        <w:t xml:space="preserve">may be more favorable. This possibility </w:t>
      </w:r>
      <w:r w:rsidR="00252563" w:rsidRPr="00FD5E99">
        <w:rPr>
          <w:szCs w:val="22"/>
          <w:lang w:val="en-US"/>
        </w:rPr>
        <w:t>is encouraging for</w:t>
      </w:r>
      <w:r w:rsidR="0016549C" w:rsidRPr="00FD5E99">
        <w:rPr>
          <w:szCs w:val="22"/>
          <w:lang w:val="en-US"/>
        </w:rPr>
        <w:t xml:space="preserve"> </w:t>
      </w:r>
      <w:r w:rsidR="00E778E4" w:rsidRPr="00FD5E99">
        <w:rPr>
          <w:szCs w:val="22"/>
          <w:lang w:val="en-US"/>
        </w:rPr>
        <w:t>other governments</w:t>
      </w:r>
      <w:r w:rsidR="0016549C" w:rsidRPr="00FD5E99">
        <w:rPr>
          <w:szCs w:val="22"/>
          <w:lang w:val="en-US"/>
        </w:rPr>
        <w:t xml:space="preserve"> that are considering implementing a minimum unit price for alcohol </w:t>
      </w:r>
      <w:r w:rsidR="00E778E4" w:rsidRPr="00FD5E99">
        <w:rPr>
          <w:szCs w:val="22"/>
          <w:lang w:val="en-US"/>
        </w:rPr>
        <w:t xml:space="preserve">– </w:t>
      </w:r>
      <w:r w:rsidR="0016549C" w:rsidRPr="00FD5E99">
        <w:rPr>
          <w:szCs w:val="22"/>
          <w:lang w:val="en-US"/>
        </w:rPr>
        <w:t xml:space="preserve">if they were to </w:t>
      </w:r>
      <w:r w:rsidR="00334FA9" w:rsidRPr="00FD5E99">
        <w:rPr>
          <w:szCs w:val="22"/>
          <w:lang w:val="en-US"/>
        </w:rPr>
        <w:t>rigorously</w:t>
      </w:r>
      <w:r w:rsidR="0016549C" w:rsidRPr="00FD5E99">
        <w:rPr>
          <w:szCs w:val="22"/>
          <w:lang w:val="en-US"/>
        </w:rPr>
        <w:t xml:space="preserve"> ensure that the targeting of their measure is clearly and specifically concerned with harmful and hazardous drinkers </w:t>
      </w:r>
      <w:r w:rsidR="0016549C" w:rsidRPr="00FD5E99">
        <w:rPr>
          <w:i/>
          <w:szCs w:val="22"/>
          <w:lang w:val="en-US"/>
        </w:rPr>
        <w:t>only</w:t>
      </w:r>
      <w:r w:rsidR="0016549C" w:rsidRPr="00FD5E99">
        <w:rPr>
          <w:szCs w:val="22"/>
          <w:lang w:val="en-US"/>
        </w:rPr>
        <w:t xml:space="preserve">, the </w:t>
      </w:r>
      <w:r w:rsidR="0016549C" w:rsidRPr="00FD5E99">
        <w:rPr>
          <w:i/>
          <w:szCs w:val="22"/>
          <w:lang w:val="en-US"/>
        </w:rPr>
        <w:t>Scotch Whisky</w:t>
      </w:r>
      <w:r w:rsidR="0016549C" w:rsidRPr="00FD5E99">
        <w:rPr>
          <w:szCs w:val="22"/>
          <w:lang w:val="en-US"/>
        </w:rPr>
        <w:t xml:space="preserve"> judgement </w:t>
      </w:r>
      <w:r w:rsidR="00EF7D88" w:rsidRPr="00FD5E99">
        <w:rPr>
          <w:szCs w:val="22"/>
          <w:lang w:val="en-US"/>
        </w:rPr>
        <w:t>might</w:t>
      </w:r>
      <w:r w:rsidR="0016549C" w:rsidRPr="00FD5E99">
        <w:rPr>
          <w:szCs w:val="22"/>
          <w:lang w:val="en-US"/>
        </w:rPr>
        <w:t xml:space="preserve"> actually build bridges for those governments, rather than burn them. </w:t>
      </w:r>
    </w:p>
    <w:sectPr w:rsidR="00E778E4" w:rsidRPr="00FD5E9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386C31" w14:textId="77777777" w:rsidR="00A06493" w:rsidRDefault="00A06493" w:rsidP="00076684">
      <w:r>
        <w:separator/>
      </w:r>
    </w:p>
  </w:endnote>
  <w:endnote w:type="continuationSeparator" w:id="0">
    <w:p w14:paraId="753FAD6F" w14:textId="77777777" w:rsidR="00A06493" w:rsidRDefault="00A06493" w:rsidP="00076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980D92" w14:textId="77777777" w:rsidR="00A06493" w:rsidRDefault="00A06493" w:rsidP="00076684">
      <w:r>
        <w:separator/>
      </w:r>
    </w:p>
  </w:footnote>
  <w:footnote w:type="continuationSeparator" w:id="0">
    <w:p w14:paraId="1221B5EB" w14:textId="77777777" w:rsidR="00A06493" w:rsidRDefault="00A06493" w:rsidP="00076684">
      <w:r>
        <w:continuationSeparator/>
      </w:r>
    </w:p>
  </w:footnote>
  <w:footnote w:id="1">
    <w:p w14:paraId="35494B2A" w14:textId="3386FD94" w:rsidR="006D11BA" w:rsidRDefault="006D11BA" w:rsidP="006D11BA">
      <w:pPr>
        <w:pStyle w:val="FootnoteText"/>
        <w:rPr>
          <w:lang w:val="en-US"/>
        </w:rPr>
      </w:pPr>
      <w:r>
        <w:rPr>
          <w:lang w:val="en-US"/>
        </w:rPr>
        <w:t>* Lecturer in Law</w:t>
      </w:r>
      <w:r w:rsidR="00B20384">
        <w:rPr>
          <w:lang w:val="en-US"/>
        </w:rPr>
        <w:t>, University of Liverpool School of Law and Social Justice</w:t>
      </w:r>
      <w:r w:rsidR="00FD5E99">
        <w:rPr>
          <w:lang w:val="en-US"/>
        </w:rPr>
        <w:t>.</w:t>
      </w:r>
    </w:p>
    <w:p w14:paraId="4ADE975E" w14:textId="4FA5335D" w:rsidR="00666BAF" w:rsidRPr="00AF0061" w:rsidRDefault="00666BAF">
      <w:pPr>
        <w:pStyle w:val="FootnoteText"/>
        <w:rPr>
          <w:lang w:val="en-US"/>
        </w:rPr>
      </w:pPr>
      <w:r>
        <w:rPr>
          <w:rStyle w:val="FootnoteReference"/>
        </w:rPr>
        <w:footnoteRef/>
      </w:r>
      <w:r>
        <w:t xml:space="preserve"> </w:t>
      </w:r>
      <w:r>
        <w:rPr>
          <w:lang w:val="en-US"/>
        </w:rPr>
        <w:t>P</w:t>
      </w:r>
      <w:r w:rsidR="009021D6">
        <w:rPr>
          <w:lang w:val="en-US"/>
        </w:rPr>
        <w:t>eter</w:t>
      </w:r>
      <w:r>
        <w:rPr>
          <w:lang w:val="en-US"/>
        </w:rPr>
        <w:t xml:space="preserve"> Rice, Why do health professions want Minimum Unit Price in Scotland’ (</w:t>
      </w:r>
      <w:r w:rsidRPr="0054354D">
        <w:rPr>
          <w:i/>
          <w:lang w:val="en-US"/>
        </w:rPr>
        <w:t>Scotland the Brave! Alcohol Policy in Scotland, 5</w:t>
      </w:r>
      <w:r w:rsidRPr="0054354D">
        <w:rPr>
          <w:i/>
          <w:vertAlign w:val="superscript"/>
          <w:lang w:val="en-US"/>
        </w:rPr>
        <w:t>th</w:t>
      </w:r>
      <w:r w:rsidRPr="0054354D">
        <w:rPr>
          <w:i/>
          <w:lang w:val="en-US"/>
        </w:rPr>
        <w:t xml:space="preserve"> September 2014, Brussels</w:t>
      </w:r>
      <w:r>
        <w:rPr>
          <w:lang w:val="en-US"/>
        </w:rPr>
        <w:t xml:space="preserve">), </w:t>
      </w:r>
      <w:r w:rsidR="00D64897">
        <w:rPr>
          <w:lang w:val="en-US"/>
        </w:rPr>
        <w:t>availa</w:t>
      </w:r>
      <w:r w:rsidR="00D65DDF">
        <w:rPr>
          <w:lang w:val="en-US"/>
        </w:rPr>
        <w:t>ble on the Internet at &lt;</w:t>
      </w:r>
      <w:r w:rsidRPr="00DB20B4">
        <w:rPr>
          <w:lang w:val="en-US"/>
        </w:rPr>
        <w:t>http://www.epha.org/IMG/pdf/mup-event-summary.pdf</w:t>
      </w:r>
      <w:r w:rsidR="00D65DDF" w:rsidRPr="00DB20B4">
        <w:rPr>
          <w:rStyle w:val="Hyperlink"/>
          <w:color w:val="auto"/>
          <w:u w:val="none"/>
          <w:lang w:val="en-US"/>
        </w:rPr>
        <w:t>&gt;</w:t>
      </w:r>
      <w:r>
        <w:rPr>
          <w:lang w:val="en-US"/>
        </w:rPr>
        <w:t xml:space="preserve"> (last accessed </w:t>
      </w:r>
      <w:r w:rsidR="009021D6">
        <w:rPr>
          <w:lang w:val="en-US"/>
        </w:rPr>
        <w:t xml:space="preserve">on </w:t>
      </w:r>
      <w:r>
        <w:rPr>
          <w:lang w:val="en-US"/>
        </w:rPr>
        <w:t xml:space="preserve">16 February 2016), </w:t>
      </w:r>
      <w:r w:rsidR="00FD5E99">
        <w:rPr>
          <w:lang w:val="en-US"/>
        </w:rPr>
        <w:t xml:space="preserve">at p. </w:t>
      </w:r>
      <w:r>
        <w:rPr>
          <w:lang w:val="en-US"/>
        </w:rPr>
        <w:t>2</w:t>
      </w:r>
      <w:r w:rsidR="00FD5E99">
        <w:rPr>
          <w:lang w:val="en-US"/>
        </w:rPr>
        <w:t>.</w:t>
      </w:r>
    </w:p>
  </w:footnote>
  <w:footnote w:id="2">
    <w:p w14:paraId="35120C74" w14:textId="0BE0CE25" w:rsidR="00C06F62" w:rsidRPr="00C06F62" w:rsidRDefault="00C06F62">
      <w:pPr>
        <w:pStyle w:val="FootnoteText"/>
        <w:rPr>
          <w:lang w:val="en-US"/>
        </w:rPr>
      </w:pPr>
      <w:r>
        <w:rPr>
          <w:rStyle w:val="FootnoteReference"/>
        </w:rPr>
        <w:footnoteRef/>
      </w:r>
      <w:r>
        <w:t xml:space="preserve"> </w:t>
      </w:r>
      <w:r w:rsidR="001B4EF0" w:rsidRPr="00E459BF">
        <w:rPr>
          <w:i/>
          <w:lang w:val="en-US"/>
        </w:rPr>
        <w:t>ibid</w:t>
      </w:r>
      <w:r w:rsidR="000F4E66">
        <w:rPr>
          <w:lang w:val="en-US"/>
        </w:rPr>
        <w:t>, at</w:t>
      </w:r>
      <w:r w:rsidR="00E459BF">
        <w:rPr>
          <w:lang w:val="en-US"/>
        </w:rPr>
        <w:t xml:space="preserve"> p.</w:t>
      </w:r>
      <w:r w:rsidR="00BD305E">
        <w:rPr>
          <w:lang w:val="en-US"/>
        </w:rPr>
        <w:t xml:space="preserve"> 2</w:t>
      </w:r>
      <w:r w:rsidR="00FD5E99">
        <w:rPr>
          <w:lang w:val="en-US"/>
        </w:rPr>
        <w:t>.</w:t>
      </w:r>
    </w:p>
  </w:footnote>
  <w:footnote w:id="3">
    <w:p w14:paraId="4072B908" w14:textId="26738C53" w:rsidR="00666BAF" w:rsidRPr="00FC3C3F" w:rsidRDefault="00666BAF">
      <w:pPr>
        <w:pStyle w:val="FootnoteText"/>
        <w:rPr>
          <w:lang w:val="en-US"/>
        </w:rPr>
      </w:pPr>
      <w:r>
        <w:rPr>
          <w:rStyle w:val="FootnoteReference"/>
        </w:rPr>
        <w:footnoteRef/>
      </w:r>
      <w:r>
        <w:t xml:space="preserve"> </w:t>
      </w:r>
      <w:r>
        <w:rPr>
          <w:lang w:val="en-US"/>
        </w:rPr>
        <w:t>P</w:t>
      </w:r>
      <w:r w:rsidR="009021D6">
        <w:rPr>
          <w:lang w:val="en-US"/>
        </w:rPr>
        <w:t>etra</w:t>
      </w:r>
      <w:r>
        <w:rPr>
          <w:lang w:val="en-US"/>
        </w:rPr>
        <w:t xml:space="preserve"> Meier, ‘Polarized drinking pat</w:t>
      </w:r>
      <w:r w:rsidR="002C729A">
        <w:rPr>
          <w:lang w:val="en-US"/>
        </w:rPr>
        <w:t>terns and alcohol deregulation’</w:t>
      </w:r>
      <w:r>
        <w:rPr>
          <w:lang w:val="en-US"/>
        </w:rPr>
        <w:t xml:space="preserve"> 27 (5) Nordic Studies on Alcohol and Drugs</w:t>
      </w:r>
      <w:r w:rsidR="002C729A">
        <w:rPr>
          <w:lang w:val="en-US"/>
        </w:rPr>
        <w:t xml:space="preserve"> (2010)</w:t>
      </w:r>
      <w:r>
        <w:rPr>
          <w:lang w:val="en-US"/>
        </w:rPr>
        <w:t>,</w:t>
      </w:r>
      <w:r w:rsidR="002C729A">
        <w:rPr>
          <w:lang w:val="en-US"/>
        </w:rPr>
        <w:t xml:space="preserve"> </w:t>
      </w:r>
      <w:r w:rsidR="00BE341E">
        <w:rPr>
          <w:lang w:val="en-US"/>
        </w:rPr>
        <w:t xml:space="preserve">pp. 383 </w:t>
      </w:r>
      <w:proofErr w:type="gramStart"/>
      <w:r w:rsidR="00BE341E" w:rsidRPr="00BE341E">
        <w:rPr>
          <w:i/>
          <w:lang w:val="en-US"/>
        </w:rPr>
        <w:t>et</w:t>
      </w:r>
      <w:proofErr w:type="gramEnd"/>
      <w:r w:rsidR="00BE341E" w:rsidRPr="00BE341E">
        <w:rPr>
          <w:i/>
          <w:lang w:val="en-US"/>
        </w:rPr>
        <w:t xml:space="preserve"> seqq</w:t>
      </w:r>
      <w:r w:rsidR="00BE341E">
        <w:rPr>
          <w:lang w:val="en-US"/>
        </w:rPr>
        <w:t>., at p.</w:t>
      </w:r>
      <w:r>
        <w:rPr>
          <w:lang w:val="en-US"/>
        </w:rPr>
        <w:t xml:space="preserve"> 395</w:t>
      </w:r>
      <w:r w:rsidR="00FD5E99">
        <w:rPr>
          <w:lang w:val="en-US"/>
        </w:rPr>
        <w:t>.</w:t>
      </w:r>
    </w:p>
  </w:footnote>
  <w:footnote w:id="4">
    <w:p w14:paraId="45F6C0ED" w14:textId="39DB1EB9" w:rsidR="00666BAF" w:rsidRPr="00FC3C3F" w:rsidRDefault="00666BAF">
      <w:pPr>
        <w:pStyle w:val="FootnoteText"/>
        <w:rPr>
          <w:lang w:val="en-US"/>
        </w:rPr>
      </w:pPr>
      <w:r>
        <w:rPr>
          <w:rStyle w:val="FootnoteReference"/>
        </w:rPr>
        <w:footnoteRef/>
      </w:r>
      <w:r>
        <w:t xml:space="preserve"> </w:t>
      </w:r>
      <w:r w:rsidRPr="00E459BF">
        <w:rPr>
          <w:i/>
          <w:lang w:val="en-US"/>
        </w:rPr>
        <w:t>ibid</w:t>
      </w:r>
      <w:r>
        <w:rPr>
          <w:lang w:val="en-US"/>
        </w:rPr>
        <w:t>,</w:t>
      </w:r>
      <w:r w:rsidR="00E459BF">
        <w:rPr>
          <w:lang w:val="en-US"/>
        </w:rPr>
        <w:t xml:space="preserve"> at p.</w:t>
      </w:r>
      <w:r>
        <w:rPr>
          <w:lang w:val="en-US"/>
        </w:rPr>
        <w:t xml:space="preserve"> 396</w:t>
      </w:r>
      <w:r w:rsidR="00FD5E99">
        <w:rPr>
          <w:lang w:val="en-US"/>
        </w:rPr>
        <w:t>.</w:t>
      </w:r>
    </w:p>
  </w:footnote>
  <w:footnote w:id="5">
    <w:p w14:paraId="17EF94E4" w14:textId="77777777" w:rsidR="00666BAF" w:rsidRDefault="00666BAF" w:rsidP="001F09F1">
      <w:pPr>
        <w:pStyle w:val="FootnoteText"/>
      </w:pPr>
      <w:r>
        <w:rPr>
          <w:rStyle w:val="FootnoteReference"/>
        </w:rPr>
        <w:footnoteRef/>
      </w:r>
      <w:r>
        <w:t xml:space="preserve"> Heather Black et al, “The price of a drink: levels of consumption an price paid</w:t>
      </w:r>
    </w:p>
    <w:p w14:paraId="5D2FAC7E" w14:textId="77777777" w:rsidR="00666BAF" w:rsidRDefault="00666BAF" w:rsidP="001F09F1">
      <w:pPr>
        <w:pStyle w:val="FootnoteText"/>
      </w:pPr>
      <w:r>
        <w:t>per unit of alcohol by Edinburgh’s ill drinkers with a comparison to wider</w:t>
      </w:r>
    </w:p>
    <w:p w14:paraId="19506D47" w14:textId="4F6415C8" w:rsidR="00666BAF" w:rsidRDefault="00666BAF">
      <w:pPr>
        <w:pStyle w:val="FootnoteText"/>
      </w:pPr>
      <w:proofErr w:type="gramStart"/>
      <w:r>
        <w:t>alcohol</w:t>
      </w:r>
      <w:proofErr w:type="gramEnd"/>
      <w:r>
        <w:t xml:space="preserve"> sales in Scotland” 106 </w:t>
      </w:r>
      <w:r w:rsidR="00E459BF">
        <w:rPr>
          <w:lang w:val="en-US"/>
        </w:rPr>
        <w:t>Addiction</w:t>
      </w:r>
      <w:r>
        <w:t xml:space="preserve"> (2010), pp. 729 </w:t>
      </w:r>
      <w:r w:rsidRPr="005B437D">
        <w:rPr>
          <w:i/>
        </w:rPr>
        <w:t>et seqq</w:t>
      </w:r>
      <w:r>
        <w:t>., at p. 733.</w:t>
      </w:r>
    </w:p>
  </w:footnote>
  <w:footnote w:id="6">
    <w:p w14:paraId="32FE0A7E" w14:textId="479AE4C4" w:rsidR="00666BAF" w:rsidRDefault="00666BAF" w:rsidP="001660A3">
      <w:pPr>
        <w:pStyle w:val="FootnoteText"/>
      </w:pPr>
      <w:r>
        <w:rPr>
          <w:rStyle w:val="FootnoteReference"/>
        </w:rPr>
        <w:footnoteRef/>
      </w:r>
      <w:r>
        <w:t xml:space="preserve"> </w:t>
      </w:r>
      <w:r w:rsidR="00E459BF">
        <w:rPr>
          <w:i/>
        </w:rPr>
        <w:t>i</w:t>
      </w:r>
      <w:r w:rsidRPr="00E459BF">
        <w:rPr>
          <w:i/>
        </w:rPr>
        <w:t>bid</w:t>
      </w:r>
      <w:r w:rsidR="00E459BF" w:rsidRPr="00E459BF">
        <w:rPr>
          <w:lang w:val="en-US"/>
        </w:rPr>
        <w:t>,</w:t>
      </w:r>
      <w:r>
        <w:t xml:space="preserve"> at p. 734.</w:t>
      </w:r>
    </w:p>
  </w:footnote>
  <w:footnote w:id="7">
    <w:p w14:paraId="43BCB15D" w14:textId="77777777" w:rsidR="00666BAF" w:rsidRDefault="00666BAF" w:rsidP="00A66FED">
      <w:pPr>
        <w:pStyle w:val="FootnoteText"/>
      </w:pPr>
      <w:r>
        <w:rPr>
          <w:rStyle w:val="FootnoteReference"/>
        </w:rPr>
        <w:footnoteRef/>
      </w:r>
      <w:r>
        <w:t xml:space="preserve"> Petra Meier et al, Model-based appraisal of alcohol minimum pricing and off-</w:t>
      </w:r>
    </w:p>
    <w:p w14:paraId="38ED1846" w14:textId="77777777" w:rsidR="00666BAF" w:rsidRDefault="00666BAF" w:rsidP="00A66FED">
      <w:pPr>
        <w:pStyle w:val="FootnoteText"/>
      </w:pPr>
      <w:r>
        <w:t xml:space="preserve">licenced trade discount bans in Scotland using the Sheffield alcohol policy model  </w:t>
      </w:r>
    </w:p>
    <w:p w14:paraId="7AC906F3" w14:textId="77777777" w:rsidR="00666BAF" w:rsidRDefault="00666BAF" w:rsidP="00A66FED">
      <w:pPr>
        <w:pStyle w:val="FootnoteText"/>
      </w:pPr>
      <w:r>
        <w:t>(v2): - second update based on newly available data (University of Sheffield, 2012)</w:t>
      </w:r>
    </w:p>
    <w:p w14:paraId="0D1C8A19" w14:textId="77777777" w:rsidR="00666BAF" w:rsidRDefault="00666BAF" w:rsidP="00A66FED">
      <w:pPr>
        <w:pStyle w:val="FootnoteText"/>
      </w:pPr>
      <w:r>
        <w:t>available on the internet at</w:t>
      </w:r>
    </w:p>
    <w:p w14:paraId="46DD7CB8" w14:textId="554790F6" w:rsidR="00666BAF" w:rsidRPr="00A66FED" w:rsidRDefault="00666BAF">
      <w:pPr>
        <w:pStyle w:val="FootnoteText"/>
        <w:rPr>
          <w:lang w:val="en-US"/>
        </w:rPr>
      </w:pPr>
      <w:r>
        <w:t>&lt;http://www.shef.ac.uk/polopoly_fs/1.156503!/file/scotlandjan.pdf&gt;, at p. 5.</w:t>
      </w:r>
    </w:p>
  </w:footnote>
  <w:footnote w:id="8">
    <w:p w14:paraId="643F0182" w14:textId="26367F7E" w:rsidR="00666BAF" w:rsidRPr="00A66FED" w:rsidRDefault="00666BAF" w:rsidP="001660A3">
      <w:pPr>
        <w:pStyle w:val="FootnoteText"/>
        <w:rPr>
          <w:lang w:val="en-US"/>
        </w:rPr>
      </w:pPr>
      <w:r>
        <w:rPr>
          <w:rStyle w:val="FootnoteReference"/>
        </w:rPr>
        <w:footnoteRef/>
      </w:r>
      <w:r>
        <w:t xml:space="preserve"> </w:t>
      </w:r>
      <w:r w:rsidRPr="00FD5E99">
        <w:rPr>
          <w:i/>
        </w:rPr>
        <w:t>ibid</w:t>
      </w:r>
      <w:r w:rsidR="00FD5E99">
        <w:t>.</w:t>
      </w:r>
    </w:p>
  </w:footnote>
  <w:footnote w:id="9">
    <w:p w14:paraId="7AD52D49" w14:textId="1F92ECA2" w:rsidR="00666BAF" w:rsidRPr="00EB4648" w:rsidRDefault="00666BAF">
      <w:pPr>
        <w:pStyle w:val="FootnoteText"/>
      </w:pPr>
      <w:r>
        <w:rPr>
          <w:rStyle w:val="FootnoteReference"/>
        </w:rPr>
        <w:footnoteRef/>
      </w:r>
      <w:r>
        <w:t xml:space="preserve"> BBC News, </w:t>
      </w:r>
      <w:r>
        <w:rPr>
          <w:lang w:val="en-US"/>
        </w:rPr>
        <w:t>‘</w:t>
      </w:r>
      <w:r>
        <w:t>MSPs pass Alcohol Bill without minimum drink pricing</w:t>
      </w:r>
      <w:r>
        <w:rPr>
          <w:lang w:val="en-US"/>
        </w:rPr>
        <w:t>’</w:t>
      </w:r>
      <w:r>
        <w:t xml:space="preserve"> (</w:t>
      </w:r>
      <w:r w:rsidRPr="00E00A2D">
        <w:rPr>
          <w:i/>
        </w:rPr>
        <w:t xml:space="preserve">BBC News, </w:t>
      </w:r>
      <w:r>
        <w:t xml:space="preserve">10 November 2010) available </w:t>
      </w:r>
      <w:r w:rsidR="00FD5E99">
        <w:t>on the internet at</w:t>
      </w:r>
      <w:r>
        <w:t xml:space="preserve"> </w:t>
      </w:r>
      <w:r w:rsidR="00FD5E99">
        <w:t>&lt;</w:t>
      </w:r>
      <w:r w:rsidRPr="00DB20B4">
        <w:t>http://www.bbc.co.uk/news/mobile/uk-scotland-11719594</w:t>
      </w:r>
      <w:r w:rsidR="00FD5E99" w:rsidRPr="00DB20B4">
        <w:rPr>
          <w:rStyle w:val="Hyperlink"/>
          <w:color w:val="auto"/>
          <w:u w:val="none"/>
        </w:rPr>
        <w:t>&gt;</w:t>
      </w:r>
      <w:r w:rsidRPr="00DB20B4">
        <w:t xml:space="preserve"> </w:t>
      </w:r>
      <w:r>
        <w:t xml:space="preserve">(last accessed 16 February 2016) </w:t>
      </w:r>
    </w:p>
  </w:footnote>
  <w:footnote w:id="10">
    <w:p w14:paraId="74E187AA" w14:textId="50F5FF52" w:rsidR="00666BAF" w:rsidRPr="00300E1E" w:rsidRDefault="00666BAF">
      <w:pPr>
        <w:pStyle w:val="FootnoteText"/>
        <w:rPr>
          <w:lang w:val="en-US"/>
        </w:rPr>
      </w:pPr>
      <w:r>
        <w:rPr>
          <w:rStyle w:val="FootnoteReference"/>
        </w:rPr>
        <w:footnoteRef/>
      </w:r>
      <w:r>
        <w:t xml:space="preserve"> </w:t>
      </w:r>
      <w:r>
        <w:rPr>
          <w:lang w:val="en-US"/>
        </w:rPr>
        <w:t>BBC News, ‘Scottish government reintroduces alcohol pricing bill’ (</w:t>
      </w:r>
      <w:r>
        <w:rPr>
          <w:i/>
          <w:lang w:val="en-US"/>
        </w:rPr>
        <w:t>BBC News</w:t>
      </w:r>
      <w:r>
        <w:rPr>
          <w:lang w:val="en-US"/>
        </w:rPr>
        <w:t>, 1 November 2011)</w:t>
      </w:r>
      <w:r w:rsidR="00DB20B4">
        <w:rPr>
          <w:lang w:val="en-US"/>
        </w:rPr>
        <w:t xml:space="preserve"> available on the internet at &lt;</w:t>
      </w:r>
      <w:r w:rsidR="00DB20B4" w:rsidRPr="00DB20B4">
        <w:rPr>
          <w:lang w:val="en-US"/>
        </w:rPr>
        <w:t>http://www.bbc.co.uk/news/uk-scotland-scotland-politics-15525950</w:t>
      </w:r>
      <w:r w:rsidR="00DB20B4">
        <w:rPr>
          <w:lang w:val="en-US"/>
        </w:rPr>
        <w:t>&gt; (last accessed 16 February 2016)</w:t>
      </w:r>
      <w:r>
        <w:rPr>
          <w:lang w:val="en-US"/>
        </w:rPr>
        <w:t xml:space="preserve"> </w:t>
      </w:r>
    </w:p>
  </w:footnote>
  <w:footnote w:id="11">
    <w:p w14:paraId="33FBB664" w14:textId="22028BFA" w:rsidR="00580888" w:rsidRPr="00580888" w:rsidRDefault="00580888">
      <w:pPr>
        <w:pStyle w:val="FootnoteText"/>
        <w:rPr>
          <w:lang w:val="en-US"/>
        </w:rPr>
      </w:pPr>
      <w:r>
        <w:rPr>
          <w:rStyle w:val="FootnoteReference"/>
        </w:rPr>
        <w:footnoteRef/>
      </w:r>
      <w:r>
        <w:t xml:space="preserve"> </w:t>
      </w:r>
      <w:r>
        <w:rPr>
          <w:lang w:val="en-US"/>
        </w:rPr>
        <w:t>For further detail on the objecti</w:t>
      </w:r>
      <w:r w:rsidR="00851D66">
        <w:rPr>
          <w:lang w:val="en-US"/>
        </w:rPr>
        <w:t xml:space="preserve">ons raised, </w:t>
      </w:r>
      <w:r w:rsidR="009726CA">
        <w:rPr>
          <w:lang w:val="en-US"/>
        </w:rPr>
        <w:t xml:space="preserve">see: </w:t>
      </w:r>
      <w:r w:rsidR="00FC6F3B">
        <w:rPr>
          <w:lang w:val="en-US"/>
        </w:rPr>
        <w:t>O</w:t>
      </w:r>
      <w:r w:rsidR="00387539">
        <w:rPr>
          <w:lang w:val="en-US"/>
        </w:rPr>
        <w:t>liver</w:t>
      </w:r>
      <w:r w:rsidR="00FC6F3B">
        <w:rPr>
          <w:lang w:val="en-US"/>
        </w:rPr>
        <w:t xml:space="preserve"> Bartlett, ‘Distilling prospects: reflections of the proportionality of minimum unit pricing under EU law</w:t>
      </w:r>
      <w:r w:rsidR="002C707F">
        <w:rPr>
          <w:lang w:val="en-US"/>
        </w:rPr>
        <w:t xml:space="preserve">’ </w:t>
      </w:r>
      <w:r w:rsidR="007C14AE">
        <w:rPr>
          <w:lang w:val="en-US"/>
        </w:rPr>
        <w:t>1 European Journal of Risk Regulation</w:t>
      </w:r>
      <w:r w:rsidR="00F85E99">
        <w:rPr>
          <w:lang w:val="en-US"/>
        </w:rPr>
        <w:t xml:space="preserve"> [2014], pp. </w:t>
      </w:r>
      <w:r w:rsidR="007C14AE">
        <w:rPr>
          <w:lang w:val="en-US"/>
        </w:rPr>
        <w:t>73</w:t>
      </w:r>
      <w:r w:rsidR="00F85E99">
        <w:rPr>
          <w:lang w:val="en-US"/>
        </w:rPr>
        <w:t xml:space="preserve"> </w:t>
      </w:r>
      <w:proofErr w:type="gramStart"/>
      <w:r w:rsidR="00F85E99" w:rsidRPr="00F85E99">
        <w:rPr>
          <w:i/>
          <w:lang w:val="en-US"/>
        </w:rPr>
        <w:t>et</w:t>
      </w:r>
      <w:proofErr w:type="gramEnd"/>
      <w:r w:rsidR="00F85E99" w:rsidRPr="00F85E99">
        <w:rPr>
          <w:i/>
          <w:lang w:val="en-US"/>
        </w:rPr>
        <w:t xml:space="preserve"> seqq</w:t>
      </w:r>
      <w:r w:rsidR="007C14AE">
        <w:rPr>
          <w:lang w:val="en-US"/>
        </w:rPr>
        <w:t xml:space="preserve">. </w:t>
      </w:r>
    </w:p>
  </w:footnote>
  <w:footnote w:id="12">
    <w:p w14:paraId="088331E0" w14:textId="5FC9D749" w:rsidR="00666BAF" w:rsidRPr="005C5EE1" w:rsidRDefault="00666BAF">
      <w:pPr>
        <w:pStyle w:val="FootnoteText"/>
        <w:rPr>
          <w:lang w:val="en-US"/>
        </w:rPr>
      </w:pPr>
      <w:r>
        <w:rPr>
          <w:rStyle w:val="FootnoteReference"/>
        </w:rPr>
        <w:footnoteRef/>
      </w:r>
      <w:r>
        <w:t xml:space="preserve"> </w:t>
      </w:r>
      <w:r w:rsidRPr="005C5EE1">
        <w:t>Commission Communication SG</w:t>
      </w:r>
      <w:r w:rsidR="00DB20B4">
        <w:t xml:space="preserve"> </w:t>
      </w:r>
      <w:r w:rsidRPr="005C5EE1">
        <w:t>(2012) D/52513.</w:t>
      </w:r>
    </w:p>
  </w:footnote>
  <w:footnote w:id="13">
    <w:p w14:paraId="4709FA73" w14:textId="554F920E" w:rsidR="00666BAF" w:rsidRPr="000816BE" w:rsidRDefault="00666BAF" w:rsidP="000816BE">
      <w:pPr>
        <w:rPr>
          <w:lang w:val="en-US"/>
        </w:rPr>
      </w:pPr>
      <w:r>
        <w:rPr>
          <w:rStyle w:val="FootnoteReference"/>
        </w:rPr>
        <w:footnoteRef/>
      </w:r>
      <w:r>
        <w:t xml:space="preserve"> </w:t>
      </w:r>
      <w:r w:rsidRPr="00A4494D">
        <w:rPr>
          <w:i/>
        </w:rPr>
        <w:t xml:space="preserve">The Scotch Whisky </w:t>
      </w:r>
      <w:r w:rsidRPr="00A4494D">
        <w:rPr>
          <w:i/>
          <w:lang w:val="en-US"/>
        </w:rPr>
        <w:t>A</w:t>
      </w:r>
      <w:proofErr w:type="spellStart"/>
      <w:r w:rsidRPr="00A4494D">
        <w:rPr>
          <w:i/>
        </w:rPr>
        <w:t>ssociation</w:t>
      </w:r>
      <w:proofErr w:type="spellEnd"/>
      <w:r w:rsidRPr="00A4494D">
        <w:rPr>
          <w:i/>
        </w:rPr>
        <w:t xml:space="preserve"> &amp; </w:t>
      </w:r>
      <w:proofErr w:type="spellStart"/>
      <w:r w:rsidRPr="00A4494D">
        <w:rPr>
          <w:i/>
        </w:rPr>
        <w:t>Ors</w:t>
      </w:r>
      <w:proofErr w:type="spellEnd"/>
      <w:r w:rsidRPr="00A4494D">
        <w:rPr>
          <w:i/>
        </w:rPr>
        <w:t xml:space="preserve"> </w:t>
      </w:r>
      <w:r>
        <w:t xml:space="preserve">[2013] CSOH 70, para 81. </w:t>
      </w:r>
    </w:p>
  </w:footnote>
  <w:footnote w:id="14">
    <w:p w14:paraId="64ACB54F" w14:textId="3FDBFE9D" w:rsidR="00666BAF" w:rsidRPr="006F70BA" w:rsidRDefault="00666BAF">
      <w:pPr>
        <w:pStyle w:val="FootnoteText"/>
        <w:rPr>
          <w:lang w:val="en-US"/>
        </w:rPr>
      </w:pPr>
      <w:r>
        <w:rPr>
          <w:rStyle w:val="FootnoteReference"/>
        </w:rPr>
        <w:footnoteRef/>
      </w:r>
      <w:r>
        <w:t xml:space="preserve"> </w:t>
      </w:r>
      <w:r w:rsidR="002D40F4">
        <w:rPr>
          <w:lang w:val="en-US"/>
        </w:rPr>
        <w:t>S</w:t>
      </w:r>
      <w:r>
        <w:rPr>
          <w:lang w:val="en-US"/>
        </w:rPr>
        <w:t>ee: A</w:t>
      </w:r>
      <w:r w:rsidR="00CA1C41">
        <w:rPr>
          <w:lang w:val="en-US"/>
        </w:rPr>
        <w:t>ida</w:t>
      </w:r>
      <w:r w:rsidR="00626B28">
        <w:rPr>
          <w:lang w:val="en-US"/>
        </w:rPr>
        <w:t>n</w:t>
      </w:r>
      <w:r>
        <w:rPr>
          <w:lang w:val="en-US"/>
        </w:rPr>
        <w:t xml:space="preserve"> Robertson, ‘Minimum unit pricing for alcohol in the Court of Justice’ 4 European Journal of Risk Regulation</w:t>
      </w:r>
      <w:r w:rsidR="009021D6">
        <w:rPr>
          <w:lang w:val="en-US"/>
        </w:rPr>
        <w:t xml:space="preserve"> [2014]</w:t>
      </w:r>
      <w:r w:rsidR="00626B28">
        <w:rPr>
          <w:lang w:val="en-US"/>
        </w:rPr>
        <w:t>, pp.</w:t>
      </w:r>
      <w:r w:rsidR="009021D6">
        <w:rPr>
          <w:lang w:val="en-US"/>
        </w:rPr>
        <w:t xml:space="preserve"> </w:t>
      </w:r>
      <w:r>
        <w:rPr>
          <w:lang w:val="en-US"/>
        </w:rPr>
        <w:t>459</w:t>
      </w:r>
      <w:r w:rsidR="00626B28">
        <w:rPr>
          <w:lang w:val="en-US"/>
        </w:rPr>
        <w:t xml:space="preserve"> </w:t>
      </w:r>
      <w:proofErr w:type="gramStart"/>
      <w:r w:rsidR="00626B28" w:rsidRPr="00626B28">
        <w:rPr>
          <w:i/>
          <w:lang w:val="en-US"/>
        </w:rPr>
        <w:t>et</w:t>
      </w:r>
      <w:proofErr w:type="gramEnd"/>
      <w:r w:rsidR="00626B28" w:rsidRPr="00626B28">
        <w:rPr>
          <w:i/>
          <w:lang w:val="en-US"/>
        </w:rPr>
        <w:t xml:space="preserve"> seqq</w:t>
      </w:r>
      <w:r w:rsidR="00626B28">
        <w:rPr>
          <w:lang w:val="en-US"/>
        </w:rPr>
        <w:t>.</w:t>
      </w:r>
      <w:r>
        <w:rPr>
          <w:lang w:val="en-US"/>
        </w:rPr>
        <w:t xml:space="preserve"> </w:t>
      </w:r>
    </w:p>
  </w:footnote>
  <w:footnote w:id="15">
    <w:p w14:paraId="22A3E87C" w14:textId="45FB9304" w:rsidR="00666BAF" w:rsidRDefault="00666BAF">
      <w:pPr>
        <w:pStyle w:val="FootnoteText"/>
      </w:pPr>
      <w:r>
        <w:rPr>
          <w:rStyle w:val="FootnoteReference"/>
        </w:rPr>
        <w:footnoteRef/>
      </w:r>
      <w:r>
        <w:t xml:space="preserve"> Opinion of Advocate General Bot, delivered on 3 September 2015, in Case C-333/14 </w:t>
      </w:r>
      <w:r w:rsidRPr="009D42B7">
        <w:rPr>
          <w:i/>
        </w:rPr>
        <w:t>The Scotch Whisky Association and Others</w:t>
      </w:r>
      <w:r>
        <w:t xml:space="preserve"> [2015] ECLI:EU:C:2015:527.</w:t>
      </w:r>
    </w:p>
  </w:footnote>
  <w:footnote w:id="16">
    <w:p w14:paraId="4106B791" w14:textId="333E59C4" w:rsidR="00666BAF" w:rsidRPr="0038238D" w:rsidRDefault="00666BAF">
      <w:pPr>
        <w:pStyle w:val="FootnoteText"/>
        <w:rPr>
          <w:lang w:val="en-US"/>
        </w:rPr>
      </w:pPr>
      <w:r>
        <w:rPr>
          <w:rStyle w:val="FootnoteReference"/>
        </w:rPr>
        <w:footnoteRef/>
      </w:r>
      <w:r>
        <w:t xml:space="preserve"> Case C-333/14 </w:t>
      </w:r>
      <w:r w:rsidRPr="009D42B7">
        <w:rPr>
          <w:i/>
        </w:rPr>
        <w:t>The Scotch Whisky Association and Others</w:t>
      </w:r>
      <w:r>
        <w:t xml:space="preserve"> [2015] ECLI:EU:C:2015:845, para 28</w:t>
      </w:r>
    </w:p>
  </w:footnote>
  <w:footnote w:id="17">
    <w:p w14:paraId="12A3971D" w14:textId="0ED4EC26" w:rsidR="00666BAF" w:rsidRDefault="00666BAF">
      <w:pPr>
        <w:pStyle w:val="FootnoteText"/>
      </w:pPr>
      <w:r>
        <w:rPr>
          <w:rStyle w:val="FootnoteReference"/>
        </w:rPr>
        <w:footnoteRef/>
      </w:r>
      <w:r>
        <w:t xml:space="preserve"> Case C-8/74 </w:t>
      </w:r>
      <w:proofErr w:type="spellStart"/>
      <w:r w:rsidRPr="009E40C5">
        <w:rPr>
          <w:i/>
        </w:rPr>
        <w:t>Procureur</w:t>
      </w:r>
      <w:proofErr w:type="spellEnd"/>
      <w:r w:rsidRPr="009E40C5">
        <w:rPr>
          <w:i/>
        </w:rPr>
        <w:t xml:space="preserve"> du </w:t>
      </w:r>
      <w:proofErr w:type="spellStart"/>
      <w:r w:rsidRPr="009E40C5">
        <w:rPr>
          <w:i/>
        </w:rPr>
        <w:t>Roi</w:t>
      </w:r>
      <w:proofErr w:type="spellEnd"/>
      <w:r w:rsidRPr="009E40C5">
        <w:rPr>
          <w:i/>
        </w:rPr>
        <w:t xml:space="preserve"> v </w:t>
      </w:r>
      <w:proofErr w:type="spellStart"/>
      <w:r w:rsidRPr="009E40C5">
        <w:rPr>
          <w:i/>
        </w:rPr>
        <w:t>Dassonville</w:t>
      </w:r>
      <w:proofErr w:type="spellEnd"/>
      <w:r>
        <w:t xml:space="preserve"> [1974] ECLI:EU:C:1974:82</w:t>
      </w:r>
    </w:p>
  </w:footnote>
  <w:footnote w:id="18">
    <w:p w14:paraId="552CE877" w14:textId="2FD2F2A0" w:rsidR="00666BAF" w:rsidRPr="00BD3DF8" w:rsidRDefault="00666BAF">
      <w:pPr>
        <w:pStyle w:val="FootnoteText"/>
        <w:rPr>
          <w:lang w:val="en-US"/>
        </w:rPr>
      </w:pPr>
      <w:r>
        <w:rPr>
          <w:rStyle w:val="FootnoteReference"/>
        </w:rPr>
        <w:footnoteRef/>
      </w:r>
      <w:r w:rsidR="00904E7B">
        <w:t xml:space="preserve"> n</w:t>
      </w:r>
      <w:r w:rsidR="00FD5E99">
        <w:t>ote</w:t>
      </w:r>
      <w:r w:rsidR="00904E7B">
        <w:t xml:space="preserve"> 1</w:t>
      </w:r>
      <w:r w:rsidR="00FD5E99">
        <w:t>6</w:t>
      </w:r>
      <w:r>
        <w:t xml:space="preserve">, </w:t>
      </w:r>
      <w:r w:rsidR="00FD5E99">
        <w:t xml:space="preserve">at </w:t>
      </w:r>
      <w:r>
        <w:rPr>
          <w:lang w:val="en-US"/>
        </w:rPr>
        <w:t>paras 31-32</w:t>
      </w:r>
    </w:p>
  </w:footnote>
  <w:footnote w:id="19">
    <w:p w14:paraId="71FC5F23" w14:textId="5B92F719" w:rsidR="00666BAF" w:rsidRDefault="00666BAF">
      <w:pPr>
        <w:pStyle w:val="FootnoteText"/>
      </w:pPr>
      <w:r>
        <w:rPr>
          <w:rStyle w:val="FootnoteReference"/>
        </w:rPr>
        <w:footnoteRef/>
      </w:r>
      <w:r>
        <w:t xml:space="preserve"> Case C-456/10 </w:t>
      </w:r>
      <w:r w:rsidRPr="009E40C5">
        <w:rPr>
          <w:i/>
        </w:rPr>
        <w:t>ANETT</w:t>
      </w:r>
      <w:r>
        <w:t xml:space="preserve"> [2012] ECLI</w:t>
      </w:r>
      <w:proofErr w:type="gramStart"/>
      <w:r>
        <w:t>:EU:C:2012:241</w:t>
      </w:r>
      <w:proofErr w:type="gramEnd"/>
      <w:r>
        <w:t xml:space="preserve">. </w:t>
      </w:r>
    </w:p>
  </w:footnote>
  <w:footnote w:id="20">
    <w:p w14:paraId="1C48C39C" w14:textId="42B6465D" w:rsidR="00666BAF" w:rsidRPr="00BD3DF8" w:rsidRDefault="00666BAF">
      <w:pPr>
        <w:pStyle w:val="FootnoteText"/>
        <w:rPr>
          <w:lang w:val="en-US"/>
        </w:rPr>
      </w:pPr>
      <w:r>
        <w:rPr>
          <w:rStyle w:val="FootnoteReference"/>
        </w:rPr>
        <w:footnoteRef/>
      </w:r>
      <w:r w:rsidR="00904E7B">
        <w:t xml:space="preserve"> </w:t>
      </w:r>
      <w:r w:rsidR="00FD5E99">
        <w:t xml:space="preserve">note 13, at </w:t>
      </w:r>
      <w:r w:rsidR="00FD5E99">
        <w:rPr>
          <w:lang w:val="en-US"/>
        </w:rPr>
        <w:t>para 33</w:t>
      </w:r>
    </w:p>
  </w:footnote>
  <w:footnote w:id="21">
    <w:p w14:paraId="69F4A996" w14:textId="09D6043F" w:rsidR="00666BAF" w:rsidRDefault="00666BAF">
      <w:pPr>
        <w:pStyle w:val="FootnoteText"/>
      </w:pPr>
      <w:r>
        <w:rPr>
          <w:rStyle w:val="FootnoteReference"/>
        </w:rPr>
        <w:footnoteRef/>
      </w:r>
      <w:r>
        <w:t xml:space="preserve"> Case C-2170/04 </w:t>
      </w:r>
      <w:proofErr w:type="spellStart"/>
      <w:r w:rsidRPr="009E40C5">
        <w:rPr>
          <w:i/>
        </w:rPr>
        <w:t>Rosengren</w:t>
      </w:r>
      <w:proofErr w:type="spellEnd"/>
      <w:r w:rsidRPr="009E40C5">
        <w:rPr>
          <w:i/>
        </w:rPr>
        <w:t xml:space="preserve"> and Others v </w:t>
      </w:r>
      <w:proofErr w:type="spellStart"/>
      <w:r w:rsidRPr="009E40C5">
        <w:rPr>
          <w:i/>
        </w:rPr>
        <w:t>Riksåklagaren</w:t>
      </w:r>
      <w:proofErr w:type="spellEnd"/>
      <w:r>
        <w:t xml:space="preserve"> [2007] ECLI:EU:C:2007:313</w:t>
      </w:r>
    </w:p>
  </w:footnote>
  <w:footnote w:id="22">
    <w:p w14:paraId="693F5C22" w14:textId="1B8C1AC6" w:rsidR="00666BAF" w:rsidRPr="00725091" w:rsidRDefault="00666BAF">
      <w:pPr>
        <w:pStyle w:val="FootnoteText"/>
        <w:rPr>
          <w:lang w:val="en-US"/>
        </w:rPr>
      </w:pPr>
      <w:r>
        <w:rPr>
          <w:rStyle w:val="FootnoteReference"/>
        </w:rPr>
        <w:footnoteRef/>
      </w:r>
      <w:r w:rsidR="00904E7B">
        <w:t xml:space="preserve"> </w:t>
      </w:r>
      <w:r w:rsidR="00FD5E99">
        <w:t>note</w:t>
      </w:r>
      <w:r w:rsidR="00FD5E99">
        <w:t xml:space="preserve"> 16</w:t>
      </w:r>
      <w:r w:rsidR="00FD5E99">
        <w:t xml:space="preserve">, at </w:t>
      </w:r>
      <w:r w:rsidR="00FD5E99">
        <w:rPr>
          <w:lang w:val="en-US"/>
        </w:rPr>
        <w:t>para 35</w:t>
      </w:r>
    </w:p>
  </w:footnote>
  <w:footnote w:id="23">
    <w:p w14:paraId="34CB929F" w14:textId="39CA7495" w:rsidR="00666BAF" w:rsidRDefault="00666BAF" w:rsidP="008C2DF9">
      <w:pPr>
        <w:pStyle w:val="FootnoteText"/>
      </w:pPr>
      <w:r>
        <w:rPr>
          <w:rStyle w:val="FootnoteReference"/>
        </w:rPr>
        <w:footnoteRef/>
      </w:r>
      <w:r w:rsidR="00904E7B">
        <w:t xml:space="preserve"> </w:t>
      </w:r>
      <w:r w:rsidR="00FD5E99">
        <w:t>note</w:t>
      </w:r>
      <w:r w:rsidR="00FD5E99">
        <w:t xml:space="preserve"> 16</w:t>
      </w:r>
      <w:r w:rsidR="00FD5E99">
        <w:t xml:space="preserve">, at </w:t>
      </w:r>
      <w:r w:rsidR="00FD5E99">
        <w:rPr>
          <w:lang w:val="en-US"/>
        </w:rPr>
        <w:t>para 34</w:t>
      </w:r>
    </w:p>
  </w:footnote>
  <w:footnote w:id="24">
    <w:p w14:paraId="5195C1BC" w14:textId="13CD426F" w:rsidR="00666BAF" w:rsidRDefault="00666BAF">
      <w:pPr>
        <w:pStyle w:val="FootnoteText"/>
      </w:pPr>
      <w:r>
        <w:rPr>
          <w:rStyle w:val="FootnoteReference"/>
        </w:rPr>
        <w:footnoteRef/>
      </w:r>
      <w:r>
        <w:t xml:space="preserve"> </w:t>
      </w:r>
      <w:r w:rsidR="00FD5E99">
        <w:t>note</w:t>
      </w:r>
      <w:r w:rsidR="00FD5E99">
        <w:t xml:space="preserve"> 16</w:t>
      </w:r>
      <w:r w:rsidR="00FD5E99">
        <w:t xml:space="preserve">, at </w:t>
      </w:r>
      <w:r w:rsidR="00FD5E99">
        <w:rPr>
          <w:lang w:val="en-US"/>
        </w:rPr>
        <w:t>para 34</w:t>
      </w:r>
    </w:p>
  </w:footnote>
  <w:footnote w:id="25">
    <w:p w14:paraId="00B3555E" w14:textId="21BEEF62" w:rsidR="00666BAF" w:rsidRPr="00904E7B" w:rsidRDefault="00666BAF">
      <w:pPr>
        <w:pStyle w:val="FootnoteText"/>
      </w:pPr>
      <w:r>
        <w:rPr>
          <w:rStyle w:val="FootnoteReference"/>
        </w:rPr>
        <w:footnoteRef/>
      </w:r>
      <w:r w:rsidR="00904E7B">
        <w:t xml:space="preserve"> </w:t>
      </w:r>
      <w:proofErr w:type="gramStart"/>
      <w:r w:rsidR="00FD5E99">
        <w:t>note</w:t>
      </w:r>
      <w:proofErr w:type="gramEnd"/>
      <w:r w:rsidR="00FD5E99">
        <w:t xml:space="preserve"> 16</w:t>
      </w:r>
      <w:r w:rsidR="00FD5E99">
        <w:t xml:space="preserve">, at </w:t>
      </w:r>
      <w:r w:rsidR="00FD5E99">
        <w:rPr>
          <w:lang w:val="en-US"/>
        </w:rPr>
        <w:t>para 36</w:t>
      </w:r>
      <w:r>
        <w:rPr>
          <w:lang w:val="en-US"/>
        </w:rPr>
        <w:t xml:space="preserve">. </w:t>
      </w:r>
    </w:p>
  </w:footnote>
  <w:footnote w:id="26">
    <w:p w14:paraId="07594039" w14:textId="4BD7C603" w:rsidR="00666BAF" w:rsidRDefault="00666BAF">
      <w:pPr>
        <w:pStyle w:val="FootnoteText"/>
      </w:pPr>
      <w:r>
        <w:rPr>
          <w:rStyle w:val="FootnoteReference"/>
        </w:rPr>
        <w:footnoteRef/>
      </w:r>
      <w:r w:rsidR="00904E7B">
        <w:t xml:space="preserve"> </w:t>
      </w:r>
      <w:r w:rsidR="00FD5E99">
        <w:t>note</w:t>
      </w:r>
      <w:r w:rsidR="00FD5E99">
        <w:t xml:space="preserve"> 16</w:t>
      </w:r>
      <w:r w:rsidR="00FD5E99">
        <w:t xml:space="preserve">, at </w:t>
      </w:r>
      <w:r w:rsidR="00FD5E99">
        <w:rPr>
          <w:lang w:val="en-US"/>
        </w:rPr>
        <w:t>para 44</w:t>
      </w:r>
    </w:p>
  </w:footnote>
  <w:footnote w:id="27">
    <w:p w14:paraId="5573E9F4" w14:textId="53A38FB3" w:rsidR="00666BAF" w:rsidRPr="00687E5A" w:rsidRDefault="00666BAF">
      <w:pPr>
        <w:pStyle w:val="FootnoteText"/>
        <w:rPr>
          <w:lang w:val="en-US"/>
        </w:rPr>
      </w:pPr>
      <w:r>
        <w:rPr>
          <w:rStyle w:val="FootnoteReference"/>
        </w:rPr>
        <w:footnoteRef/>
      </w:r>
      <w:r>
        <w:t xml:space="preserve"> </w:t>
      </w:r>
      <w:r w:rsidR="00687E5A">
        <w:rPr>
          <w:lang w:val="en-US"/>
        </w:rPr>
        <w:t>J</w:t>
      </w:r>
      <w:r w:rsidR="003444BA">
        <w:rPr>
          <w:lang w:val="en-US"/>
        </w:rPr>
        <w:t>enny</w:t>
      </w:r>
      <w:r w:rsidR="00687E5A">
        <w:rPr>
          <w:lang w:val="en-US"/>
        </w:rPr>
        <w:t xml:space="preserve"> Chalmers et al, ‘</w:t>
      </w:r>
      <w:r w:rsidR="006C4D32">
        <w:rPr>
          <w:lang w:val="en-US"/>
        </w:rPr>
        <w:t>Real or perceived impediments to minimum pricing of alc</w:t>
      </w:r>
      <w:r w:rsidR="002D6FFC">
        <w:rPr>
          <w:lang w:val="en-US"/>
        </w:rPr>
        <w:t xml:space="preserve">ohol in Australia: public opinion, the industry and the law’ 24(6) International Journal of Drug Policy (2013), pp. 517 </w:t>
      </w:r>
      <w:proofErr w:type="gramStart"/>
      <w:r w:rsidR="002D6FFC" w:rsidRPr="002D6FFC">
        <w:rPr>
          <w:i/>
          <w:lang w:val="en-US"/>
        </w:rPr>
        <w:t>et</w:t>
      </w:r>
      <w:proofErr w:type="gramEnd"/>
      <w:r w:rsidR="002D6FFC" w:rsidRPr="002D6FFC">
        <w:rPr>
          <w:i/>
          <w:lang w:val="en-US"/>
        </w:rPr>
        <w:t xml:space="preserve"> seqq</w:t>
      </w:r>
      <w:r w:rsidR="002D6FFC">
        <w:rPr>
          <w:lang w:val="en-US"/>
        </w:rPr>
        <w:t>.</w:t>
      </w:r>
    </w:p>
  </w:footnote>
  <w:footnote w:id="28">
    <w:p w14:paraId="1329FA86" w14:textId="7F3587FA" w:rsidR="00666BAF" w:rsidRDefault="00666BAF">
      <w:pPr>
        <w:pStyle w:val="FootnoteText"/>
      </w:pPr>
      <w:r>
        <w:rPr>
          <w:rStyle w:val="FootnoteReference"/>
        </w:rPr>
        <w:footnoteRef/>
      </w:r>
      <w:r w:rsidR="00904E7B">
        <w:t xml:space="preserve"> </w:t>
      </w:r>
      <w:r w:rsidR="00FD5E99">
        <w:t>note</w:t>
      </w:r>
      <w:r w:rsidR="00FD5E99">
        <w:t xml:space="preserve"> 16</w:t>
      </w:r>
      <w:r w:rsidR="00FD5E99">
        <w:t xml:space="preserve">, at </w:t>
      </w:r>
      <w:r w:rsidR="00FD5E99">
        <w:rPr>
          <w:lang w:val="en-US"/>
        </w:rPr>
        <w:t>para</w:t>
      </w:r>
      <w:r w:rsidR="00FD5E99">
        <w:rPr>
          <w:lang w:val="en-US"/>
        </w:rPr>
        <w:t xml:space="preserve"> 45</w:t>
      </w:r>
    </w:p>
  </w:footnote>
  <w:footnote w:id="29">
    <w:p w14:paraId="3846713F" w14:textId="1A76BE11" w:rsidR="00166A0E" w:rsidRDefault="00166A0E" w:rsidP="00166A0E">
      <w:pPr>
        <w:pStyle w:val="FootnoteText"/>
      </w:pPr>
      <w:r>
        <w:rPr>
          <w:rStyle w:val="FootnoteReference"/>
        </w:rPr>
        <w:footnoteRef/>
      </w:r>
      <w:r w:rsidR="00904E7B">
        <w:t xml:space="preserve"> </w:t>
      </w:r>
      <w:r w:rsidR="00FD5E99">
        <w:t>note</w:t>
      </w:r>
      <w:r w:rsidR="00FD5E99">
        <w:t xml:space="preserve"> 16</w:t>
      </w:r>
      <w:r w:rsidR="00FD5E99">
        <w:t xml:space="preserve">, at </w:t>
      </w:r>
      <w:r w:rsidR="00FD5E99">
        <w:rPr>
          <w:lang w:val="en-US"/>
        </w:rPr>
        <w:t>para</w:t>
      </w:r>
      <w:r w:rsidR="00FD5E99">
        <w:rPr>
          <w:lang w:val="en-US"/>
        </w:rPr>
        <w:t xml:space="preserve"> 55</w:t>
      </w:r>
    </w:p>
  </w:footnote>
  <w:footnote w:id="30">
    <w:p w14:paraId="6AC01DA4" w14:textId="36A97637" w:rsidR="00666BAF" w:rsidRDefault="00666BAF">
      <w:pPr>
        <w:pStyle w:val="FootnoteText"/>
      </w:pPr>
      <w:r>
        <w:rPr>
          <w:rStyle w:val="FootnoteReference"/>
        </w:rPr>
        <w:footnoteRef/>
      </w:r>
      <w:r w:rsidR="00904E7B">
        <w:t xml:space="preserve"> </w:t>
      </w:r>
      <w:r w:rsidR="00FD5E99">
        <w:t>note</w:t>
      </w:r>
      <w:r w:rsidR="00FD5E99">
        <w:t xml:space="preserve"> 16</w:t>
      </w:r>
      <w:r w:rsidR="00FD5E99">
        <w:t xml:space="preserve">, at </w:t>
      </w:r>
      <w:r w:rsidR="00FD5E99">
        <w:rPr>
          <w:lang w:val="en-US"/>
        </w:rPr>
        <w:t>para</w:t>
      </w:r>
      <w:r w:rsidR="00FD5E99">
        <w:rPr>
          <w:lang w:val="en-US"/>
        </w:rPr>
        <w:t xml:space="preserve"> 47</w:t>
      </w:r>
    </w:p>
  </w:footnote>
  <w:footnote w:id="31">
    <w:p w14:paraId="55D5F6BE" w14:textId="231DD9F7" w:rsidR="00666BAF" w:rsidRDefault="00666BAF">
      <w:pPr>
        <w:pStyle w:val="FootnoteText"/>
      </w:pPr>
      <w:r>
        <w:rPr>
          <w:rStyle w:val="FootnoteReference"/>
        </w:rPr>
        <w:footnoteRef/>
      </w:r>
      <w:r w:rsidR="00904E7B">
        <w:t xml:space="preserve"> </w:t>
      </w:r>
      <w:r w:rsidR="00FD5E99">
        <w:t>note</w:t>
      </w:r>
      <w:r w:rsidR="00FD5E99">
        <w:t xml:space="preserve"> 16</w:t>
      </w:r>
      <w:r w:rsidR="00FD5E99">
        <w:t xml:space="preserve">, at </w:t>
      </w:r>
      <w:r w:rsidR="00FD5E99">
        <w:rPr>
          <w:lang w:val="en-US"/>
        </w:rPr>
        <w:t>para</w:t>
      </w:r>
      <w:r w:rsidR="00FD5E99">
        <w:rPr>
          <w:lang w:val="en-US"/>
        </w:rPr>
        <w:t xml:space="preserve"> 47</w:t>
      </w:r>
    </w:p>
  </w:footnote>
  <w:footnote w:id="32">
    <w:p w14:paraId="3571EB05" w14:textId="6287C12E" w:rsidR="00666BAF" w:rsidRDefault="00666BAF">
      <w:pPr>
        <w:pStyle w:val="FootnoteText"/>
      </w:pPr>
      <w:r>
        <w:rPr>
          <w:rStyle w:val="FootnoteReference"/>
        </w:rPr>
        <w:footnoteRef/>
      </w:r>
      <w:r w:rsidR="00904E7B">
        <w:t xml:space="preserve"> </w:t>
      </w:r>
      <w:r w:rsidR="00FD5E99">
        <w:t>note</w:t>
      </w:r>
      <w:r w:rsidR="00FD5E99">
        <w:t xml:space="preserve"> 16</w:t>
      </w:r>
      <w:r w:rsidR="00FD5E99">
        <w:t xml:space="preserve">, at </w:t>
      </w:r>
      <w:r w:rsidR="00FD5E99">
        <w:rPr>
          <w:lang w:val="en-US"/>
        </w:rPr>
        <w:t>para</w:t>
      </w:r>
      <w:r w:rsidR="00FD5E99">
        <w:rPr>
          <w:lang w:val="en-US"/>
        </w:rPr>
        <w:t xml:space="preserve"> 50</w:t>
      </w:r>
    </w:p>
  </w:footnote>
  <w:footnote w:id="33">
    <w:p w14:paraId="14B3D1C5" w14:textId="78A7FE9F" w:rsidR="00666BAF" w:rsidRPr="00BA2556" w:rsidRDefault="00666BAF">
      <w:pPr>
        <w:pStyle w:val="FootnoteText"/>
        <w:rPr>
          <w:lang w:val="en-US"/>
        </w:rPr>
      </w:pPr>
      <w:r>
        <w:rPr>
          <w:rStyle w:val="FootnoteReference"/>
        </w:rPr>
        <w:footnoteRef/>
      </w:r>
      <w:r>
        <w:t xml:space="preserve"> </w:t>
      </w:r>
      <w:r w:rsidR="00BA2556">
        <w:rPr>
          <w:lang w:val="en-US"/>
        </w:rPr>
        <w:t>B</w:t>
      </w:r>
      <w:r w:rsidR="003444BA">
        <w:rPr>
          <w:lang w:val="en-US"/>
        </w:rPr>
        <w:t>en</w:t>
      </w:r>
      <w:r w:rsidR="00BA2556">
        <w:rPr>
          <w:lang w:val="en-US"/>
        </w:rPr>
        <w:t xml:space="preserve"> </w:t>
      </w:r>
      <w:proofErr w:type="spellStart"/>
      <w:r w:rsidR="00BA2556">
        <w:rPr>
          <w:lang w:val="en-US"/>
        </w:rPr>
        <w:t>Baumberg</w:t>
      </w:r>
      <w:proofErr w:type="spellEnd"/>
      <w:r w:rsidR="00BA2556">
        <w:rPr>
          <w:lang w:val="en-US"/>
        </w:rPr>
        <w:t xml:space="preserve"> and P</w:t>
      </w:r>
      <w:r w:rsidR="003444BA">
        <w:rPr>
          <w:lang w:val="en-US"/>
        </w:rPr>
        <w:t>eter</w:t>
      </w:r>
      <w:r w:rsidR="00BA2556">
        <w:rPr>
          <w:lang w:val="en-US"/>
        </w:rPr>
        <w:t xml:space="preserve"> Anderson, ‘</w:t>
      </w:r>
      <w:r w:rsidR="005108E9">
        <w:rPr>
          <w:lang w:val="en-US"/>
        </w:rPr>
        <w:t>Health, alcohol and EU law:</w:t>
      </w:r>
      <w:r w:rsidR="00F20989">
        <w:rPr>
          <w:lang w:val="en-US"/>
        </w:rPr>
        <w:t xml:space="preserve"> understanding the impact of European </w:t>
      </w:r>
      <w:r w:rsidR="00372607">
        <w:rPr>
          <w:lang w:val="en-US"/>
        </w:rPr>
        <w:t xml:space="preserve">single market law on </w:t>
      </w:r>
      <w:r w:rsidR="00477377">
        <w:rPr>
          <w:lang w:val="en-US"/>
        </w:rPr>
        <w:t xml:space="preserve">alcohol policies’ </w:t>
      </w:r>
      <w:r w:rsidR="00AF55EB">
        <w:rPr>
          <w:lang w:val="en-US"/>
        </w:rPr>
        <w:t xml:space="preserve">19(4) European Journal of Public Health (2008), pp. 392 </w:t>
      </w:r>
      <w:r w:rsidR="00AF55EB" w:rsidRPr="00AF55EB">
        <w:rPr>
          <w:i/>
          <w:lang w:val="en-US"/>
        </w:rPr>
        <w:t>et seqq</w:t>
      </w:r>
      <w:r w:rsidR="00AF55EB">
        <w:rPr>
          <w:lang w:val="en-US"/>
        </w:rPr>
        <w:t>.</w:t>
      </w:r>
    </w:p>
  </w:footnote>
  <w:footnote w:id="34">
    <w:p w14:paraId="78CDCE39" w14:textId="691CC208" w:rsidR="00666BAF" w:rsidRPr="009E40C5" w:rsidRDefault="00666BAF">
      <w:pPr>
        <w:pStyle w:val="FootnoteText"/>
      </w:pPr>
      <w:r>
        <w:rPr>
          <w:rStyle w:val="FootnoteReference"/>
        </w:rPr>
        <w:footnoteRef/>
      </w:r>
      <w:r>
        <w:t xml:space="preserve"> Case C-405/98 </w:t>
      </w:r>
      <w:proofErr w:type="spellStart"/>
      <w:r>
        <w:rPr>
          <w:i/>
        </w:rPr>
        <w:t>Konsumentombudsmannen</w:t>
      </w:r>
      <w:proofErr w:type="spellEnd"/>
      <w:r w:rsidRPr="009E40C5">
        <w:rPr>
          <w:i/>
        </w:rPr>
        <w:t xml:space="preserve"> v Gourmet International Products</w:t>
      </w:r>
      <w:r>
        <w:t xml:space="preserve"> [2001] ECLI</w:t>
      </w:r>
      <w:proofErr w:type="gramStart"/>
      <w:r>
        <w:t>:EU:C:2001:135</w:t>
      </w:r>
      <w:proofErr w:type="gramEnd"/>
      <w:r>
        <w:t xml:space="preserve">. </w:t>
      </w:r>
    </w:p>
  </w:footnote>
  <w:footnote w:id="35">
    <w:p w14:paraId="548C1EC5" w14:textId="76336F45" w:rsidR="00666BAF" w:rsidRDefault="00666BAF">
      <w:pPr>
        <w:pStyle w:val="FootnoteText"/>
      </w:pPr>
      <w:r>
        <w:rPr>
          <w:rStyle w:val="FootnoteReference"/>
        </w:rPr>
        <w:footnoteRef/>
      </w:r>
      <w:r w:rsidR="00904E7B">
        <w:t xml:space="preserve"> </w:t>
      </w:r>
      <w:r w:rsidR="00FD5E99">
        <w:t>note</w:t>
      </w:r>
      <w:r w:rsidR="00FD5E99">
        <w:t xml:space="preserve"> 16</w:t>
      </w:r>
      <w:r w:rsidR="00FD5E99">
        <w:t xml:space="preserve">, at </w:t>
      </w:r>
      <w:r w:rsidR="00FD5E99">
        <w:rPr>
          <w:lang w:val="en-US"/>
        </w:rPr>
        <w:t>para</w:t>
      </w:r>
      <w:r w:rsidR="00FD5E99">
        <w:rPr>
          <w:lang w:val="en-US"/>
        </w:rPr>
        <w:t xml:space="preserve"> 49</w:t>
      </w:r>
    </w:p>
  </w:footnote>
  <w:footnote w:id="36">
    <w:p w14:paraId="10585C09" w14:textId="1CA43498" w:rsidR="00666BAF" w:rsidRDefault="00666BAF">
      <w:pPr>
        <w:pStyle w:val="FootnoteText"/>
      </w:pPr>
      <w:r>
        <w:rPr>
          <w:rStyle w:val="FootnoteReference"/>
        </w:rPr>
        <w:footnoteRef/>
      </w:r>
      <w:r>
        <w:t xml:space="preserve"> Case C-376/98 </w:t>
      </w:r>
      <w:bookmarkStart w:id="0" w:name="_GoBack"/>
      <w:r w:rsidRPr="00AC6CC8">
        <w:rPr>
          <w:i/>
        </w:rPr>
        <w:t>Germany v Parliament and Council</w:t>
      </w:r>
      <w:r>
        <w:t xml:space="preserve"> </w:t>
      </w:r>
      <w:bookmarkEnd w:id="0"/>
      <w:r>
        <w:t>[2000] ECLI:EU:C:2000:544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C61679"/>
    <w:multiLevelType w:val="hybridMultilevel"/>
    <w:tmpl w:val="86E2EDCC"/>
    <w:lvl w:ilvl="0" w:tplc="A5403794">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DAD"/>
    <w:rsid w:val="000002F7"/>
    <w:rsid w:val="0000225D"/>
    <w:rsid w:val="00006124"/>
    <w:rsid w:val="000149E0"/>
    <w:rsid w:val="000164BC"/>
    <w:rsid w:val="00026FF3"/>
    <w:rsid w:val="00036811"/>
    <w:rsid w:val="000408D9"/>
    <w:rsid w:val="000424D2"/>
    <w:rsid w:val="00043A35"/>
    <w:rsid w:val="0004594E"/>
    <w:rsid w:val="00053CE2"/>
    <w:rsid w:val="000553E0"/>
    <w:rsid w:val="00056346"/>
    <w:rsid w:val="00060493"/>
    <w:rsid w:val="00071598"/>
    <w:rsid w:val="00071C63"/>
    <w:rsid w:val="00076684"/>
    <w:rsid w:val="000816BE"/>
    <w:rsid w:val="00091654"/>
    <w:rsid w:val="000A028E"/>
    <w:rsid w:val="000A0EE4"/>
    <w:rsid w:val="000A191E"/>
    <w:rsid w:val="000C0D4D"/>
    <w:rsid w:val="000C15F9"/>
    <w:rsid w:val="000C554A"/>
    <w:rsid w:val="000C7132"/>
    <w:rsid w:val="000E19CB"/>
    <w:rsid w:val="000F4E66"/>
    <w:rsid w:val="00102FF6"/>
    <w:rsid w:val="00104B0B"/>
    <w:rsid w:val="0010642A"/>
    <w:rsid w:val="00120DCD"/>
    <w:rsid w:val="001254AD"/>
    <w:rsid w:val="00131352"/>
    <w:rsid w:val="00131AC4"/>
    <w:rsid w:val="00164976"/>
    <w:rsid w:val="0016549C"/>
    <w:rsid w:val="001660A3"/>
    <w:rsid w:val="00166A0E"/>
    <w:rsid w:val="00172F70"/>
    <w:rsid w:val="0018387D"/>
    <w:rsid w:val="00183D4B"/>
    <w:rsid w:val="00184AEB"/>
    <w:rsid w:val="001A4522"/>
    <w:rsid w:val="001A5832"/>
    <w:rsid w:val="001A6891"/>
    <w:rsid w:val="001A71DC"/>
    <w:rsid w:val="001B4EF0"/>
    <w:rsid w:val="001B6304"/>
    <w:rsid w:val="001C2740"/>
    <w:rsid w:val="001C33ED"/>
    <w:rsid w:val="001D0C65"/>
    <w:rsid w:val="001D3FB4"/>
    <w:rsid w:val="001D455B"/>
    <w:rsid w:val="001E009F"/>
    <w:rsid w:val="001E06AA"/>
    <w:rsid w:val="001E7341"/>
    <w:rsid w:val="001F09F1"/>
    <w:rsid w:val="001F7945"/>
    <w:rsid w:val="0021118E"/>
    <w:rsid w:val="00215ECE"/>
    <w:rsid w:val="00216639"/>
    <w:rsid w:val="0022275A"/>
    <w:rsid w:val="002251FC"/>
    <w:rsid w:val="00245F79"/>
    <w:rsid w:val="00246D0C"/>
    <w:rsid w:val="00252563"/>
    <w:rsid w:val="00253173"/>
    <w:rsid w:val="00254B46"/>
    <w:rsid w:val="00255329"/>
    <w:rsid w:val="00263304"/>
    <w:rsid w:val="00270106"/>
    <w:rsid w:val="00271EEF"/>
    <w:rsid w:val="0027731B"/>
    <w:rsid w:val="00291B00"/>
    <w:rsid w:val="002A15B6"/>
    <w:rsid w:val="002A70BB"/>
    <w:rsid w:val="002B0427"/>
    <w:rsid w:val="002B52D2"/>
    <w:rsid w:val="002B6499"/>
    <w:rsid w:val="002C2FDB"/>
    <w:rsid w:val="002C6834"/>
    <w:rsid w:val="002C707F"/>
    <w:rsid w:val="002C729A"/>
    <w:rsid w:val="002D3638"/>
    <w:rsid w:val="002D40F4"/>
    <w:rsid w:val="002D6FFC"/>
    <w:rsid w:val="002E6128"/>
    <w:rsid w:val="002E6711"/>
    <w:rsid w:val="002F37A1"/>
    <w:rsid w:val="00300E1E"/>
    <w:rsid w:val="00334FA9"/>
    <w:rsid w:val="00341F5E"/>
    <w:rsid w:val="003444BA"/>
    <w:rsid w:val="00360133"/>
    <w:rsid w:val="00360A7B"/>
    <w:rsid w:val="003636D7"/>
    <w:rsid w:val="00364230"/>
    <w:rsid w:val="00372607"/>
    <w:rsid w:val="003742CB"/>
    <w:rsid w:val="0037789E"/>
    <w:rsid w:val="0038088E"/>
    <w:rsid w:val="0038238D"/>
    <w:rsid w:val="00384EBA"/>
    <w:rsid w:val="00387539"/>
    <w:rsid w:val="003A24A2"/>
    <w:rsid w:val="003A54D7"/>
    <w:rsid w:val="003C241F"/>
    <w:rsid w:val="003D24BA"/>
    <w:rsid w:val="003D3E4E"/>
    <w:rsid w:val="003D4E9F"/>
    <w:rsid w:val="003E77FD"/>
    <w:rsid w:val="003F1FC9"/>
    <w:rsid w:val="003F2D33"/>
    <w:rsid w:val="003F39E7"/>
    <w:rsid w:val="00403FEE"/>
    <w:rsid w:val="00405D6C"/>
    <w:rsid w:val="00411A19"/>
    <w:rsid w:val="00414916"/>
    <w:rsid w:val="0042543F"/>
    <w:rsid w:val="0043089D"/>
    <w:rsid w:val="00430968"/>
    <w:rsid w:val="004319B4"/>
    <w:rsid w:val="00432CDF"/>
    <w:rsid w:val="004333DF"/>
    <w:rsid w:val="00447B6A"/>
    <w:rsid w:val="0046492E"/>
    <w:rsid w:val="00477377"/>
    <w:rsid w:val="004803A5"/>
    <w:rsid w:val="004817B7"/>
    <w:rsid w:val="004856EF"/>
    <w:rsid w:val="00492062"/>
    <w:rsid w:val="004B48B2"/>
    <w:rsid w:val="005108E9"/>
    <w:rsid w:val="00526948"/>
    <w:rsid w:val="00530E29"/>
    <w:rsid w:val="0054354D"/>
    <w:rsid w:val="005455D0"/>
    <w:rsid w:val="00547B5C"/>
    <w:rsid w:val="005639AA"/>
    <w:rsid w:val="0056429C"/>
    <w:rsid w:val="00575038"/>
    <w:rsid w:val="005755A1"/>
    <w:rsid w:val="00580888"/>
    <w:rsid w:val="005B393F"/>
    <w:rsid w:val="005B437D"/>
    <w:rsid w:val="005C5EE1"/>
    <w:rsid w:val="005C7026"/>
    <w:rsid w:val="005E67FA"/>
    <w:rsid w:val="005F2CC3"/>
    <w:rsid w:val="005F519D"/>
    <w:rsid w:val="00606898"/>
    <w:rsid w:val="006072BF"/>
    <w:rsid w:val="00614B0A"/>
    <w:rsid w:val="00621FBD"/>
    <w:rsid w:val="00626B28"/>
    <w:rsid w:val="00627448"/>
    <w:rsid w:val="00636316"/>
    <w:rsid w:val="00637FEE"/>
    <w:rsid w:val="006479D3"/>
    <w:rsid w:val="006526FA"/>
    <w:rsid w:val="0065704D"/>
    <w:rsid w:val="00660F31"/>
    <w:rsid w:val="00666BAF"/>
    <w:rsid w:val="00674BD1"/>
    <w:rsid w:val="00675CBB"/>
    <w:rsid w:val="006845BD"/>
    <w:rsid w:val="00687B85"/>
    <w:rsid w:val="00687E5A"/>
    <w:rsid w:val="006A158F"/>
    <w:rsid w:val="006B2524"/>
    <w:rsid w:val="006C46A3"/>
    <w:rsid w:val="006C4D32"/>
    <w:rsid w:val="006D11BA"/>
    <w:rsid w:val="006D693A"/>
    <w:rsid w:val="006D76BD"/>
    <w:rsid w:val="006E19E9"/>
    <w:rsid w:val="006E6815"/>
    <w:rsid w:val="006F2F0A"/>
    <w:rsid w:val="006F310A"/>
    <w:rsid w:val="006F49AF"/>
    <w:rsid w:val="006F5E52"/>
    <w:rsid w:val="006F6FE3"/>
    <w:rsid w:val="006F70BA"/>
    <w:rsid w:val="00700AD7"/>
    <w:rsid w:val="007069B3"/>
    <w:rsid w:val="00712129"/>
    <w:rsid w:val="00722A38"/>
    <w:rsid w:val="00725091"/>
    <w:rsid w:val="0073203C"/>
    <w:rsid w:val="00736FC3"/>
    <w:rsid w:val="00752D12"/>
    <w:rsid w:val="00753872"/>
    <w:rsid w:val="00755CFA"/>
    <w:rsid w:val="00777A2E"/>
    <w:rsid w:val="00794DBA"/>
    <w:rsid w:val="007A5768"/>
    <w:rsid w:val="007B0691"/>
    <w:rsid w:val="007C14AE"/>
    <w:rsid w:val="007D6438"/>
    <w:rsid w:val="007E1D25"/>
    <w:rsid w:val="00807691"/>
    <w:rsid w:val="008207D9"/>
    <w:rsid w:val="00820F27"/>
    <w:rsid w:val="00831153"/>
    <w:rsid w:val="008346F1"/>
    <w:rsid w:val="0084311A"/>
    <w:rsid w:val="00851D66"/>
    <w:rsid w:val="00851DDE"/>
    <w:rsid w:val="00861886"/>
    <w:rsid w:val="008629B5"/>
    <w:rsid w:val="008634D3"/>
    <w:rsid w:val="008635AF"/>
    <w:rsid w:val="00863DD1"/>
    <w:rsid w:val="00866A9B"/>
    <w:rsid w:val="00873B42"/>
    <w:rsid w:val="00873D59"/>
    <w:rsid w:val="008900DC"/>
    <w:rsid w:val="008A2BA9"/>
    <w:rsid w:val="008A4A70"/>
    <w:rsid w:val="008B04E3"/>
    <w:rsid w:val="008B2E69"/>
    <w:rsid w:val="008C2DF9"/>
    <w:rsid w:val="008C5695"/>
    <w:rsid w:val="008D3B30"/>
    <w:rsid w:val="008D4896"/>
    <w:rsid w:val="008D7566"/>
    <w:rsid w:val="008D77A8"/>
    <w:rsid w:val="008E040C"/>
    <w:rsid w:val="008E1649"/>
    <w:rsid w:val="008E6FF4"/>
    <w:rsid w:val="008E7E17"/>
    <w:rsid w:val="00902109"/>
    <w:rsid w:val="009021D6"/>
    <w:rsid w:val="00904E7B"/>
    <w:rsid w:val="009050AE"/>
    <w:rsid w:val="009121E4"/>
    <w:rsid w:val="009157C9"/>
    <w:rsid w:val="00926527"/>
    <w:rsid w:val="0093037F"/>
    <w:rsid w:val="00932294"/>
    <w:rsid w:val="00945FEB"/>
    <w:rsid w:val="009507E7"/>
    <w:rsid w:val="009726CA"/>
    <w:rsid w:val="00980484"/>
    <w:rsid w:val="0099320C"/>
    <w:rsid w:val="0099526C"/>
    <w:rsid w:val="009A1643"/>
    <w:rsid w:val="009B73F1"/>
    <w:rsid w:val="009D42B7"/>
    <w:rsid w:val="009D456B"/>
    <w:rsid w:val="009E40C5"/>
    <w:rsid w:val="009E4511"/>
    <w:rsid w:val="009F0662"/>
    <w:rsid w:val="009F682D"/>
    <w:rsid w:val="009F699F"/>
    <w:rsid w:val="009F728F"/>
    <w:rsid w:val="00A06493"/>
    <w:rsid w:val="00A206FA"/>
    <w:rsid w:val="00A236F6"/>
    <w:rsid w:val="00A4494D"/>
    <w:rsid w:val="00A53E9A"/>
    <w:rsid w:val="00A56566"/>
    <w:rsid w:val="00A66568"/>
    <w:rsid w:val="00A66FED"/>
    <w:rsid w:val="00A71A57"/>
    <w:rsid w:val="00A804FE"/>
    <w:rsid w:val="00A8176F"/>
    <w:rsid w:val="00A82D8E"/>
    <w:rsid w:val="00A83810"/>
    <w:rsid w:val="00A969E1"/>
    <w:rsid w:val="00AB3157"/>
    <w:rsid w:val="00AC6CC8"/>
    <w:rsid w:val="00AC6F01"/>
    <w:rsid w:val="00AD4666"/>
    <w:rsid w:val="00AE06F4"/>
    <w:rsid w:val="00AE6064"/>
    <w:rsid w:val="00AF0061"/>
    <w:rsid w:val="00AF4446"/>
    <w:rsid w:val="00AF55EB"/>
    <w:rsid w:val="00AF743B"/>
    <w:rsid w:val="00B047FF"/>
    <w:rsid w:val="00B12F96"/>
    <w:rsid w:val="00B20384"/>
    <w:rsid w:val="00B213B2"/>
    <w:rsid w:val="00B21E9F"/>
    <w:rsid w:val="00B311A3"/>
    <w:rsid w:val="00B335EF"/>
    <w:rsid w:val="00B336B6"/>
    <w:rsid w:val="00B354C9"/>
    <w:rsid w:val="00B36947"/>
    <w:rsid w:val="00B43440"/>
    <w:rsid w:val="00B53A95"/>
    <w:rsid w:val="00B558F2"/>
    <w:rsid w:val="00B60249"/>
    <w:rsid w:val="00B60C72"/>
    <w:rsid w:val="00B71D29"/>
    <w:rsid w:val="00B73204"/>
    <w:rsid w:val="00B73DAD"/>
    <w:rsid w:val="00B74A4C"/>
    <w:rsid w:val="00B76539"/>
    <w:rsid w:val="00B77BCE"/>
    <w:rsid w:val="00B83106"/>
    <w:rsid w:val="00B86514"/>
    <w:rsid w:val="00B927D9"/>
    <w:rsid w:val="00B93A09"/>
    <w:rsid w:val="00B947C6"/>
    <w:rsid w:val="00B94BD9"/>
    <w:rsid w:val="00BA167E"/>
    <w:rsid w:val="00BA2556"/>
    <w:rsid w:val="00BB465C"/>
    <w:rsid w:val="00BC1032"/>
    <w:rsid w:val="00BC2429"/>
    <w:rsid w:val="00BC66BA"/>
    <w:rsid w:val="00BD0165"/>
    <w:rsid w:val="00BD2B9B"/>
    <w:rsid w:val="00BD305E"/>
    <w:rsid w:val="00BD3DF8"/>
    <w:rsid w:val="00BE1709"/>
    <w:rsid w:val="00BE341E"/>
    <w:rsid w:val="00C047DD"/>
    <w:rsid w:val="00C06F62"/>
    <w:rsid w:val="00C10FE8"/>
    <w:rsid w:val="00C120AF"/>
    <w:rsid w:val="00C1269B"/>
    <w:rsid w:val="00C265C6"/>
    <w:rsid w:val="00C27194"/>
    <w:rsid w:val="00C317D4"/>
    <w:rsid w:val="00C461CF"/>
    <w:rsid w:val="00C50995"/>
    <w:rsid w:val="00C52278"/>
    <w:rsid w:val="00C638C9"/>
    <w:rsid w:val="00C63B5E"/>
    <w:rsid w:val="00C641BD"/>
    <w:rsid w:val="00C840C0"/>
    <w:rsid w:val="00C915DA"/>
    <w:rsid w:val="00CA1C41"/>
    <w:rsid w:val="00CA4E31"/>
    <w:rsid w:val="00CA59BC"/>
    <w:rsid w:val="00CA61C2"/>
    <w:rsid w:val="00CA6E65"/>
    <w:rsid w:val="00CB0AD1"/>
    <w:rsid w:val="00CB787D"/>
    <w:rsid w:val="00CC0BDE"/>
    <w:rsid w:val="00CD19F1"/>
    <w:rsid w:val="00CD1ABC"/>
    <w:rsid w:val="00CD50CE"/>
    <w:rsid w:val="00CD754F"/>
    <w:rsid w:val="00CF0A02"/>
    <w:rsid w:val="00D01321"/>
    <w:rsid w:val="00D05A49"/>
    <w:rsid w:val="00D06A83"/>
    <w:rsid w:val="00D07A9B"/>
    <w:rsid w:val="00D44214"/>
    <w:rsid w:val="00D5013B"/>
    <w:rsid w:val="00D62678"/>
    <w:rsid w:val="00D64897"/>
    <w:rsid w:val="00D65DDF"/>
    <w:rsid w:val="00D71627"/>
    <w:rsid w:val="00D72A4D"/>
    <w:rsid w:val="00D8050F"/>
    <w:rsid w:val="00D82E3B"/>
    <w:rsid w:val="00D83508"/>
    <w:rsid w:val="00D906ED"/>
    <w:rsid w:val="00D9290B"/>
    <w:rsid w:val="00DA13E5"/>
    <w:rsid w:val="00DB1BA0"/>
    <w:rsid w:val="00DB20B4"/>
    <w:rsid w:val="00DB6CAF"/>
    <w:rsid w:val="00DC05AB"/>
    <w:rsid w:val="00DD0A0E"/>
    <w:rsid w:val="00DF4F35"/>
    <w:rsid w:val="00E00A2D"/>
    <w:rsid w:val="00E15506"/>
    <w:rsid w:val="00E168D7"/>
    <w:rsid w:val="00E24594"/>
    <w:rsid w:val="00E40B31"/>
    <w:rsid w:val="00E459BF"/>
    <w:rsid w:val="00E536A0"/>
    <w:rsid w:val="00E65CF0"/>
    <w:rsid w:val="00E66E50"/>
    <w:rsid w:val="00E771B7"/>
    <w:rsid w:val="00E778E4"/>
    <w:rsid w:val="00E81230"/>
    <w:rsid w:val="00E81FA2"/>
    <w:rsid w:val="00E83EE5"/>
    <w:rsid w:val="00E845EA"/>
    <w:rsid w:val="00E856FC"/>
    <w:rsid w:val="00E87391"/>
    <w:rsid w:val="00E9483A"/>
    <w:rsid w:val="00E95366"/>
    <w:rsid w:val="00EA11CA"/>
    <w:rsid w:val="00EA3F7B"/>
    <w:rsid w:val="00EB4648"/>
    <w:rsid w:val="00EB5159"/>
    <w:rsid w:val="00EB52F8"/>
    <w:rsid w:val="00ED3072"/>
    <w:rsid w:val="00EF50D4"/>
    <w:rsid w:val="00EF7D88"/>
    <w:rsid w:val="00F05763"/>
    <w:rsid w:val="00F102F6"/>
    <w:rsid w:val="00F138DC"/>
    <w:rsid w:val="00F20989"/>
    <w:rsid w:val="00F22810"/>
    <w:rsid w:val="00F33481"/>
    <w:rsid w:val="00F3354F"/>
    <w:rsid w:val="00F45A75"/>
    <w:rsid w:val="00F508A4"/>
    <w:rsid w:val="00F5535A"/>
    <w:rsid w:val="00F57945"/>
    <w:rsid w:val="00F70042"/>
    <w:rsid w:val="00F76B35"/>
    <w:rsid w:val="00F84874"/>
    <w:rsid w:val="00F85340"/>
    <w:rsid w:val="00F85E99"/>
    <w:rsid w:val="00FB16C8"/>
    <w:rsid w:val="00FB3D3A"/>
    <w:rsid w:val="00FB4B6E"/>
    <w:rsid w:val="00FC0FF3"/>
    <w:rsid w:val="00FC3C3F"/>
    <w:rsid w:val="00FC6F3B"/>
    <w:rsid w:val="00FD5E99"/>
    <w:rsid w:val="00FD62C0"/>
    <w:rsid w:val="00FF198D"/>
    <w:rsid w:val="00FF3A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23AF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76684"/>
  </w:style>
  <w:style w:type="character" w:customStyle="1" w:styleId="FootnoteTextChar">
    <w:name w:val="Footnote Text Char"/>
    <w:basedOn w:val="DefaultParagraphFont"/>
    <w:link w:val="FootnoteText"/>
    <w:uiPriority w:val="99"/>
    <w:rsid w:val="00076684"/>
  </w:style>
  <w:style w:type="character" w:styleId="FootnoteReference">
    <w:name w:val="footnote reference"/>
    <w:basedOn w:val="DefaultParagraphFont"/>
    <w:uiPriority w:val="99"/>
    <w:unhideWhenUsed/>
    <w:rsid w:val="00076684"/>
    <w:rPr>
      <w:vertAlign w:val="superscript"/>
    </w:rPr>
  </w:style>
  <w:style w:type="paragraph" w:styleId="ListParagraph">
    <w:name w:val="List Paragraph"/>
    <w:basedOn w:val="Normal"/>
    <w:uiPriority w:val="34"/>
    <w:qFormat/>
    <w:rsid w:val="00F85340"/>
    <w:pPr>
      <w:ind w:left="720"/>
      <w:contextualSpacing/>
    </w:pPr>
  </w:style>
  <w:style w:type="character" w:styleId="Hyperlink">
    <w:name w:val="Hyperlink"/>
    <w:basedOn w:val="DefaultParagraphFont"/>
    <w:uiPriority w:val="99"/>
    <w:unhideWhenUsed/>
    <w:rsid w:val="0054354D"/>
    <w:rPr>
      <w:color w:val="0563C1" w:themeColor="hyperlink"/>
      <w:u w:val="single"/>
    </w:rPr>
  </w:style>
  <w:style w:type="character" w:styleId="BookTitle">
    <w:name w:val="Book Title"/>
    <w:basedOn w:val="DefaultParagraphFont"/>
    <w:uiPriority w:val="33"/>
    <w:qFormat/>
    <w:rsid w:val="001E7341"/>
    <w:rPr>
      <w:b/>
      <w:bCs/>
      <w:i/>
      <w:iCs/>
      <w:spacing w:val="5"/>
    </w:rPr>
  </w:style>
  <w:style w:type="paragraph" w:styleId="BalloonText">
    <w:name w:val="Balloon Text"/>
    <w:basedOn w:val="Normal"/>
    <w:link w:val="BalloonTextChar"/>
    <w:uiPriority w:val="99"/>
    <w:semiHidden/>
    <w:unhideWhenUsed/>
    <w:rsid w:val="00904E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4E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2399</Words>
  <Characters>13678</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16045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Kavanagh Bartlett</dc:creator>
  <cp:keywords/>
  <dc:description/>
  <cp:lastModifiedBy>Bartlett, Oliver</cp:lastModifiedBy>
  <cp:revision>3</cp:revision>
  <cp:lastPrinted>2016-02-18T14:35:00Z</cp:lastPrinted>
  <dcterms:created xsi:type="dcterms:W3CDTF">2016-02-18T16:11:00Z</dcterms:created>
  <dcterms:modified xsi:type="dcterms:W3CDTF">2016-02-18T16:12:00Z</dcterms:modified>
</cp:coreProperties>
</file>