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6D562" w14:textId="640D981B" w:rsidR="0023011F" w:rsidRDefault="00093E29" w:rsidP="00194292">
      <w:pPr>
        <w:jc w:val="both"/>
        <w:rPr>
          <w:rFonts w:asciiTheme="majorHAnsi" w:hAnsiTheme="majorHAnsi"/>
          <w:b/>
          <w:sz w:val="22"/>
          <w:u w:val="single"/>
        </w:rPr>
      </w:pPr>
      <w:r w:rsidRPr="009F60EC">
        <w:rPr>
          <w:rFonts w:asciiTheme="majorHAnsi" w:hAnsiTheme="majorHAnsi"/>
          <w:b/>
          <w:sz w:val="22"/>
          <w:u w:val="single"/>
        </w:rPr>
        <w:t>The log</w:t>
      </w:r>
      <w:r w:rsidR="002A52E7" w:rsidRPr="009F60EC">
        <w:rPr>
          <w:rFonts w:asciiTheme="majorHAnsi" w:hAnsiTheme="majorHAnsi"/>
          <w:b/>
          <w:sz w:val="22"/>
          <w:u w:val="single"/>
        </w:rPr>
        <w:t xml:space="preserve">normal age-of-onset </w:t>
      </w:r>
      <w:r w:rsidR="00B23449">
        <w:rPr>
          <w:rFonts w:asciiTheme="majorHAnsi" w:hAnsiTheme="majorHAnsi"/>
          <w:b/>
          <w:sz w:val="22"/>
          <w:u w:val="single"/>
        </w:rPr>
        <w:t>distribution in Perthes disease: An analysis of 992 cases.</w:t>
      </w:r>
    </w:p>
    <w:p w14:paraId="36051839" w14:textId="77777777" w:rsidR="0023011F" w:rsidRDefault="0023011F" w:rsidP="00194292">
      <w:pPr>
        <w:jc w:val="both"/>
        <w:rPr>
          <w:rFonts w:asciiTheme="majorHAnsi" w:hAnsiTheme="majorHAnsi"/>
          <w:b/>
          <w:sz w:val="22"/>
          <w:u w:val="single"/>
        </w:rPr>
      </w:pPr>
    </w:p>
    <w:p w14:paraId="7C7F13DA" w14:textId="77777777" w:rsidR="0023011F" w:rsidRDefault="00043EB7" w:rsidP="0023011F">
      <w:pPr>
        <w:jc w:val="both"/>
        <w:rPr>
          <w:rFonts w:asciiTheme="majorHAnsi" w:hAnsiTheme="majorHAnsi"/>
          <w:b/>
          <w:sz w:val="22"/>
          <w:u w:val="single"/>
        </w:rPr>
      </w:pPr>
      <w:r w:rsidRPr="0023011F">
        <w:rPr>
          <w:rFonts w:asciiTheme="majorHAnsi" w:hAnsiTheme="majorHAnsi"/>
          <w:b/>
          <w:sz w:val="22"/>
        </w:rPr>
        <w:t>Abstract</w:t>
      </w:r>
    </w:p>
    <w:p w14:paraId="32298789" w14:textId="77777777" w:rsidR="00043EB7" w:rsidRPr="0023011F" w:rsidRDefault="00043EB7" w:rsidP="0023011F">
      <w:pPr>
        <w:jc w:val="both"/>
        <w:rPr>
          <w:rFonts w:asciiTheme="majorHAnsi" w:hAnsiTheme="majorHAnsi"/>
          <w:b/>
          <w:sz w:val="22"/>
          <w:u w:val="single"/>
        </w:rPr>
      </w:pPr>
    </w:p>
    <w:p w14:paraId="7E4157A0" w14:textId="77777777" w:rsidR="00043EB7" w:rsidRDefault="00043EB7" w:rsidP="0023011F">
      <w:pPr>
        <w:spacing w:line="360" w:lineRule="auto"/>
        <w:jc w:val="both"/>
        <w:rPr>
          <w:rFonts w:asciiTheme="majorHAnsi" w:hAnsiTheme="majorHAnsi"/>
          <w:sz w:val="22"/>
        </w:rPr>
      </w:pPr>
      <w:r w:rsidRPr="0023011F">
        <w:rPr>
          <w:rFonts w:asciiTheme="majorHAnsi" w:hAnsiTheme="majorHAnsi"/>
          <w:b/>
          <w:sz w:val="22"/>
        </w:rPr>
        <w:t>Aims and Objective:</w:t>
      </w:r>
      <w:r>
        <w:rPr>
          <w:rFonts w:asciiTheme="majorHAnsi" w:hAnsiTheme="majorHAnsi"/>
          <w:sz w:val="22"/>
        </w:rPr>
        <w:t xml:space="preserve"> It has been proposed that the age-of-onset of Perthes disease follows a lognormal distribution, which is important for considering aetiological determinants, and validating the adequacy of epidemiological studies. This study tested conformity to the distribution, and considered the effect of sex, laterality and geography on age-of-onset.</w:t>
      </w:r>
    </w:p>
    <w:p w14:paraId="2BCB928E" w14:textId="77777777" w:rsidR="00043EB7" w:rsidRDefault="00043EB7" w:rsidP="0023011F">
      <w:pPr>
        <w:spacing w:line="360" w:lineRule="auto"/>
        <w:jc w:val="both"/>
        <w:rPr>
          <w:rFonts w:asciiTheme="majorHAnsi" w:hAnsiTheme="majorHAnsi"/>
          <w:sz w:val="22"/>
        </w:rPr>
      </w:pPr>
    </w:p>
    <w:p w14:paraId="3BC22E1F" w14:textId="77777777" w:rsidR="00043EB7" w:rsidRDefault="00043EB7" w:rsidP="0023011F">
      <w:pPr>
        <w:spacing w:line="360" w:lineRule="auto"/>
        <w:jc w:val="both"/>
        <w:rPr>
          <w:rFonts w:asciiTheme="majorHAnsi" w:hAnsiTheme="majorHAnsi"/>
          <w:sz w:val="22"/>
        </w:rPr>
      </w:pPr>
      <w:r w:rsidRPr="0023011F">
        <w:rPr>
          <w:rFonts w:asciiTheme="majorHAnsi" w:hAnsiTheme="majorHAnsi"/>
          <w:b/>
          <w:sz w:val="22"/>
        </w:rPr>
        <w:t>Methods:</w:t>
      </w:r>
      <w:r>
        <w:rPr>
          <w:rFonts w:asciiTheme="majorHAnsi" w:hAnsiTheme="majorHAnsi"/>
          <w:sz w:val="22"/>
        </w:rPr>
        <w:t xml:space="preserve"> </w:t>
      </w:r>
      <w:r w:rsidR="007239FF">
        <w:rPr>
          <w:rFonts w:asciiTheme="majorHAnsi" w:hAnsiTheme="majorHAnsi"/>
          <w:sz w:val="22"/>
        </w:rPr>
        <w:t xml:space="preserve">Cases were identified from the Merseyside Perthes Register, between 1976 and 2010. Conformity to a lognormal distribution was tested with chi-squared test of normality and the Shapiro </w:t>
      </w:r>
      <w:proofErr w:type="spellStart"/>
      <w:r w:rsidR="007239FF">
        <w:rPr>
          <w:rFonts w:asciiTheme="majorHAnsi" w:hAnsiTheme="majorHAnsi"/>
          <w:sz w:val="22"/>
        </w:rPr>
        <w:t>Wilk</w:t>
      </w:r>
      <w:proofErr w:type="spellEnd"/>
      <w:r w:rsidR="007239FF">
        <w:rPr>
          <w:rFonts w:asciiTheme="majorHAnsi" w:hAnsiTheme="majorHAnsi"/>
          <w:sz w:val="22"/>
        </w:rPr>
        <w:t xml:space="preserve"> test.  Stratification was conducted by sex, laterality and geographical area in order to identify differences in the age-of-onset distributions.</w:t>
      </w:r>
    </w:p>
    <w:p w14:paraId="2370419E" w14:textId="77777777" w:rsidR="00043EB7" w:rsidRDefault="00043EB7" w:rsidP="0023011F">
      <w:pPr>
        <w:spacing w:line="360" w:lineRule="auto"/>
        <w:jc w:val="both"/>
        <w:rPr>
          <w:rFonts w:asciiTheme="majorHAnsi" w:hAnsiTheme="majorHAnsi"/>
          <w:sz w:val="22"/>
        </w:rPr>
      </w:pPr>
    </w:p>
    <w:p w14:paraId="24920286" w14:textId="77777777" w:rsidR="00E10E24" w:rsidRDefault="00043EB7" w:rsidP="0023011F">
      <w:pPr>
        <w:spacing w:line="360" w:lineRule="auto"/>
        <w:jc w:val="both"/>
        <w:rPr>
          <w:rFonts w:asciiTheme="majorHAnsi" w:hAnsiTheme="majorHAnsi"/>
          <w:sz w:val="22"/>
        </w:rPr>
      </w:pPr>
      <w:r w:rsidRPr="0023011F">
        <w:rPr>
          <w:rFonts w:asciiTheme="majorHAnsi" w:hAnsiTheme="majorHAnsi"/>
          <w:b/>
          <w:sz w:val="22"/>
        </w:rPr>
        <w:t>Results:</w:t>
      </w:r>
      <w:r>
        <w:rPr>
          <w:rFonts w:asciiTheme="majorHAnsi" w:hAnsiTheme="majorHAnsi"/>
          <w:sz w:val="22"/>
        </w:rPr>
        <w:t xml:space="preserve"> 992 cases of Perthes disease were </w:t>
      </w:r>
      <w:r w:rsidR="00B23449">
        <w:rPr>
          <w:rFonts w:asciiTheme="majorHAnsi" w:hAnsiTheme="majorHAnsi"/>
          <w:sz w:val="22"/>
        </w:rPr>
        <w:t>considered</w:t>
      </w:r>
      <w:r>
        <w:rPr>
          <w:rFonts w:asciiTheme="majorHAnsi" w:hAnsiTheme="majorHAnsi"/>
          <w:sz w:val="22"/>
        </w:rPr>
        <w:t xml:space="preserve">, of which </w:t>
      </w:r>
      <w:r w:rsidR="00E10E24">
        <w:rPr>
          <w:rFonts w:asciiTheme="majorHAnsi" w:hAnsiTheme="majorHAnsi"/>
          <w:sz w:val="22"/>
        </w:rPr>
        <w:t>673 arose from a geographically defined region. The age-of-onset demonstrated a marked positive skew, which fitted well to a lognormal distribution, especially so within the defined geographic region thereby minimizing data truncation. Disease onset was 6-months earlier in females (p=0.01), and 1-year earlier in those who go onto develop bilateral disease (p&lt;0.001). There was no difference in</w:t>
      </w:r>
      <w:r w:rsidR="0023011F">
        <w:rPr>
          <w:rFonts w:asciiTheme="majorHAnsi" w:hAnsiTheme="majorHAnsi"/>
          <w:sz w:val="22"/>
        </w:rPr>
        <w:t xml:space="preserve"> the</w:t>
      </w:r>
      <w:r w:rsidR="00E10E24">
        <w:rPr>
          <w:rFonts w:asciiTheme="majorHAnsi" w:hAnsiTheme="majorHAnsi"/>
          <w:sz w:val="22"/>
        </w:rPr>
        <w:t xml:space="preserve"> age-of-onset between geographic regions with differing incidence rates.</w:t>
      </w:r>
    </w:p>
    <w:p w14:paraId="10778408" w14:textId="77777777" w:rsidR="00E10E24" w:rsidRDefault="00E10E24" w:rsidP="0023011F">
      <w:pPr>
        <w:spacing w:line="360" w:lineRule="auto"/>
        <w:jc w:val="both"/>
        <w:rPr>
          <w:rFonts w:asciiTheme="majorHAnsi" w:hAnsiTheme="majorHAnsi"/>
          <w:sz w:val="22"/>
        </w:rPr>
      </w:pPr>
    </w:p>
    <w:p w14:paraId="5410E6F8" w14:textId="77777777" w:rsidR="00043EB7" w:rsidRDefault="00E10E24" w:rsidP="0023011F">
      <w:pPr>
        <w:spacing w:line="360" w:lineRule="auto"/>
        <w:jc w:val="both"/>
        <w:rPr>
          <w:rFonts w:asciiTheme="majorHAnsi" w:hAnsiTheme="majorHAnsi"/>
          <w:sz w:val="22"/>
        </w:rPr>
      </w:pPr>
      <w:r w:rsidRPr="0023011F">
        <w:rPr>
          <w:rFonts w:asciiTheme="majorHAnsi" w:hAnsiTheme="majorHAnsi"/>
          <w:b/>
          <w:sz w:val="22"/>
        </w:rPr>
        <w:t>Conclusion:</w:t>
      </w:r>
      <w:r>
        <w:rPr>
          <w:rFonts w:asciiTheme="majorHAnsi" w:hAnsiTheme="majorHAnsi"/>
          <w:sz w:val="22"/>
        </w:rPr>
        <w:t xml:space="preserve"> </w:t>
      </w:r>
      <w:r w:rsidR="007239FF">
        <w:rPr>
          <w:rFonts w:asciiTheme="majorHAnsi" w:hAnsiTheme="majorHAnsi"/>
          <w:sz w:val="22"/>
        </w:rPr>
        <w:t xml:space="preserve">The age-of-onset in Perthes disease conforms well to a </w:t>
      </w:r>
      <w:proofErr w:type="gramStart"/>
      <w:r w:rsidR="007239FF">
        <w:rPr>
          <w:rFonts w:asciiTheme="majorHAnsi" w:hAnsiTheme="majorHAnsi"/>
          <w:sz w:val="22"/>
        </w:rPr>
        <w:t>log-normal</w:t>
      </w:r>
      <w:proofErr w:type="gramEnd"/>
      <w:r w:rsidR="007239FF">
        <w:rPr>
          <w:rFonts w:asciiTheme="majorHAnsi" w:hAnsiTheme="majorHAnsi"/>
          <w:sz w:val="22"/>
        </w:rPr>
        <w:t xml:space="preserve"> model, which both allows comparisons to infectious disease epidemiology, and allows validation of epidemiological studies. Premature onset amongst females and those who develop bilateral disease, may offer clues in understanding the aetiological determinant of disease.</w:t>
      </w:r>
    </w:p>
    <w:p w14:paraId="27799D8C" w14:textId="77777777" w:rsidR="0023011F" w:rsidRDefault="0023011F" w:rsidP="0023011F">
      <w:pPr>
        <w:jc w:val="both"/>
        <w:rPr>
          <w:rFonts w:asciiTheme="majorHAnsi" w:hAnsiTheme="majorHAnsi"/>
          <w:b/>
          <w:sz w:val="22"/>
          <w:u w:val="single"/>
        </w:rPr>
      </w:pPr>
      <w:r>
        <w:rPr>
          <w:rFonts w:asciiTheme="majorHAnsi" w:hAnsiTheme="majorHAnsi"/>
          <w:sz w:val="22"/>
        </w:rPr>
        <w:br w:type="page"/>
      </w:r>
      <w:r w:rsidRPr="009F60EC">
        <w:rPr>
          <w:rFonts w:asciiTheme="majorHAnsi" w:hAnsiTheme="majorHAnsi"/>
          <w:b/>
          <w:sz w:val="22"/>
          <w:u w:val="single"/>
        </w:rPr>
        <w:lastRenderedPageBreak/>
        <w:t xml:space="preserve">The lognormal age-of-onset </w:t>
      </w:r>
      <w:r w:rsidR="00B23449">
        <w:rPr>
          <w:rFonts w:asciiTheme="majorHAnsi" w:hAnsiTheme="majorHAnsi"/>
          <w:b/>
          <w:sz w:val="22"/>
          <w:u w:val="single"/>
        </w:rPr>
        <w:t>distribution in Perthes disease</w:t>
      </w:r>
      <w:r w:rsidR="00B23449" w:rsidRPr="00B23449">
        <w:rPr>
          <w:rFonts w:asciiTheme="majorHAnsi" w:hAnsiTheme="majorHAnsi"/>
          <w:b/>
          <w:sz w:val="22"/>
          <w:u w:val="single"/>
        </w:rPr>
        <w:t xml:space="preserve"> </w:t>
      </w:r>
      <w:proofErr w:type="gramStart"/>
      <w:r w:rsidR="00B23449">
        <w:rPr>
          <w:rFonts w:asciiTheme="majorHAnsi" w:hAnsiTheme="majorHAnsi"/>
          <w:b/>
          <w:sz w:val="22"/>
          <w:u w:val="single"/>
        </w:rPr>
        <w:t>An</w:t>
      </w:r>
      <w:proofErr w:type="gramEnd"/>
      <w:r w:rsidR="00B23449">
        <w:rPr>
          <w:rFonts w:asciiTheme="majorHAnsi" w:hAnsiTheme="majorHAnsi"/>
          <w:b/>
          <w:sz w:val="22"/>
          <w:u w:val="single"/>
        </w:rPr>
        <w:t xml:space="preserve"> analysis of 992 cases.</w:t>
      </w:r>
    </w:p>
    <w:p w14:paraId="7F9DDB72" w14:textId="77777777" w:rsidR="0023011F" w:rsidRDefault="0023011F" w:rsidP="0023011F">
      <w:pPr>
        <w:spacing w:line="360" w:lineRule="auto"/>
        <w:jc w:val="both"/>
        <w:rPr>
          <w:rFonts w:asciiTheme="majorHAnsi" w:hAnsiTheme="majorHAnsi"/>
          <w:sz w:val="22"/>
        </w:rPr>
      </w:pPr>
    </w:p>
    <w:p w14:paraId="65F8B194" w14:textId="77777777" w:rsidR="0023011F" w:rsidRPr="0023011F" w:rsidRDefault="0023011F" w:rsidP="0023011F">
      <w:pPr>
        <w:spacing w:line="360" w:lineRule="auto"/>
        <w:jc w:val="both"/>
        <w:rPr>
          <w:rFonts w:asciiTheme="majorHAnsi" w:hAnsiTheme="majorHAnsi"/>
          <w:b/>
          <w:sz w:val="22"/>
        </w:rPr>
      </w:pPr>
      <w:r w:rsidRPr="0023011F">
        <w:rPr>
          <w:rFonts w:asciiTheme="majorHAnsi" w:hAnsiTheme="majorHAnsi"/>
          <w:b/>
          <w:sz w:val="22"/>
        </w:rPr>
        <w:t>Background</w:t>
      </w:r>
    </w:p>
    <w:p w14:paraId="10C15CB3" w14:textId="73B3697A" w:rsidR="005A0C47" w:rsidRDefault="002A52E7" w:rsidP="0023011F">
      <w:pPr>
        <w:spacing w:line="360" w:lineRule="auto"/>
        <w:jc w:val="both"/>
        <w:rPr>
          <w:rFonts w:asciiTheme="majorHAnsi" w:hAnsiTheme="majorHAnsi"/>
          <w:sz w:val="22"/>
        </w:rPr>
      </w:pPr>
      <w:r w:rsidRPr="009F60EC">
        <w:rPr>
          <w:rFonts w:asciiTheme="majorHAnsi" w:hAnsiTheme="majorHAnsi"/>
          <w:sz w:val="22"/>
        </w:rPr>
        <w:t xml:space="preserve">Perthes disease is an idiopathic avascular necrosis of </w:t>
      </w:r>
      <w:r w:rsidR="00FC0B34" w:rsidRPr="009F60EC">
        <w:rPr>
          <w:rFonts w:asciiTheme="majorHAnsi" w:hAnsiTheme="majorHAnsi"/>
          <w:sz w:val="22"/>
        </w:rPr>
        <w:t>the</w:t>
      </w:r>
      <w:r w:rsidRPr="009F60EC">
        <w:rPr>
          <w:rFonts w:asciiTheme="majorHAnsi" w:hAnsiTheme="majorHAnsi"/>
          <w:sz w:val="22"/>
        </w:rPr>
        <w:t xml:space="preserve"> femoral head</w:t>
      </w:r>
      <w:r w:rsidR="00FC0B34" w:rsidRPr="009F60EC">
        <w:rPr>
          <w:rFonts w:asciiTheme="majorHAnsi" w:hAnsiTheme="majorHAnsi"/>
          <w:sz w:val="22"/>
        </w:rPr>
        <w:t xml:space="preserve"> in children</w:t>
      </w:r>
      <w:r w:rsidR="00A90392">
        <w:rPr>
          <w:rFonts w:asciiTheme="majorHAnsi" w:hAnsiTheme="majorHAnsi"/>
          <w:sz w:val="22"/>
        </w:rPr>
        <w:t>, and a common precursor to hip osteoarthritis in young adults</w:t>
      </w:r>
      <w:r w:rsidRPr="009F60EC">
        <w:rPr>
          <w:rFonts w:asciiTheme="majorHAnsi" w:hAnsiTheme="majorHAnsi"/>
          <w:sz w:val="22"/>
        </w:rPr>
        <w:t xml:space="preserve">. The disease aetiology, determinants and mechanism are unknown. Perthes </w:t>
      </w:r>
      <w:r w:rsidR="001E3B6B">
        <w:rPr>
          <w:rFonts w:asciiTheme="majorHAnsi" w:hAnsiTheme="majorHAnsi"/>
          <w:sz w:val="22"/>
        </w:rPr>
        <w:t>disease typically</w:t>
      </w:r>
      <w:r w:rsidRPr="009F60EC">
        <w:rPr>
          <w:rFonts w:asciiTheme="majorHAnsi" w:hAnsiTheme="majorHAnsi"/>
          <w:sz w:val="22"/>
        </w:rPr>
        <w:t xml:space="preserve"> occur</w:t>
      </w:r>
      <w:r w:rsidR="00835C26" w:rsidRPr="009F60EC">
        <w:rPr>
          <w:rFonts w:asciiTheme="majorHAnsi" w:hAnsiTheme="majorHAnsi"/>
          <w:sz w:val="22"/>
        </w:rPr>
        <w:t>s</w:t>
      </w:r>
      <w:r w:rsidRPr="009F60EC">
        <w:rPr>
          <w:rFonts w:asciiTheme="majorHAnsi" w:hAnsiTheme="majorHAnsi"/>
          <w:sz w:val="22"/>
        </w:rPr>
        <w:t xml:space="preserve"> in boys between 4 and 8 years old. The age-of-onset demonstrates a positive skew, such that the mode of disease onset is around 5 years old, and mean around 6 years old.  Transformation of the data </w:t>
      </w:r>
      <w:r w:rsidR="004A53DC" w:rsidRPr="009F60EC">
        <w:rPr>
          <w:rFonts w:asciiTheme="majorHAnsi" w:hAnsiTheme="majorHAnsi"/>
          <w:sz w:val="22"/>
        </w:rPr>
        <w:t>suggests</w:t>
      </w:r>
      <w:r w:rsidRPr="009F60EC">
        <w:rPr>
          <w:rFonts w:asciiTheme="majorHAnsi" w:hAnsiTheme="majorHAnsi"/>
          <w:sz w:val="22"/>
        </w:rPr>
        <w:t xml:space="preserve"> that </w:t>
      </w:r>
      <w:r w:rsidR="004E7ED7">
        <w:rPr>
          <w:rFonts w:asciiTheme="majorHAnsi" w:hAnsiTheme="majorHAnsi"/>
          <w:sz w:val="22"/>
        </w:rPr>
        <w:t xml:space="preserve">the </w:t>
      </w:r>
      <w:r w:rsidR="001E3B6B">
        <w:rPr>
          <w:rFonts w:asciiTheme="majorHAnsi" w:hAnsiTheme="majorHAnsi"/>
          <w:sz w:val="22"/>
        </w:rPr>
        <w:t>age-of-onset</w:t>
      </w:r>
      <w:r w:rsidRPr="009F60EC">
        <w:rPr>
          <w:rFonts w:asciiTheme="majorHAnsi" w:hAnsiTheme="majorHAnsi"/>
          <w:sz w:val="22"/>
        </w:rPr>
        <w:t xml:space="preserve"> follows a lognormal</w:t>
      </w:r>
      <w:r w:rsidR="001C1477">
        <w:rPr>
          <w:rFonts w:asciiTheme="majorHAnsi" w:hAnsiTheme="majorHAnsi"/>
          <w:sz w:val="22"/>
        </w:rPr>
        <w:t xml:space="preserve"> distribution</w:t>
      </w:r>
      <w:r w:rsidR="00591E96" w:rsidRPr="00591E96">
        <w:rPr>
          <w:rFonts w:ascii="Times" w:hAnsi="Times" w:cs="Times New Roman"/>
          <w:sz w:val="22"/>
        </w:rPr>
        <w:t xml:space="preserve"> </w:t>
      </w:r>
      <w:hyperlink r:id="rId5" w:history="1">
        <w:r w:rsidR="00591E96" w:rsidRPr="00591E96">
          <w:rPr>
            <w:rFonts w:ascii="Times" w:hAnsi="Times" w:cs="Times"/>
            <w:sz w:val="22"/>
            <w:szCs w:val="20"/>
            <w:vertAlign w:val="superscript"/>
          </w:rPr>
          <w:t>1</w:t>
        </w:r>
      </w:hyperlink>
      <w:hyperlink r:id="rId6" w:history="1">
        <w:proofErr w:type="gramStart"/>
        <w:r w:rsidR="00591E96" w:rsidRPr="00591E96">
          <w:rPr>
            <w:rFonts w:ascii="Times" w:hAnsi="Times" w:cs="Times"/>
            <w:sz w:val="22"/>
            <w:szCs w:val="20"/>
            <w:vertAlign w:val="superscript"/>
          </w:rPr>
          <w:t>,2</w:t>
        </w:r>
        <w:proofErr w:type="gramEnd"/>
      </w:hyperlink>
      <w:r w:rsidR="00835C26" w:rsidRPr="00591E96">
        <w:rPr>
          <w:rFonts w:asciiTheme="majorHAnsi" w:hAnsiTheme="majorHAnsi"/>
          <w:sz w:val="22"/>
        </w:rPr>
        <w:t>.</w:t>
      </w:r>
      <w:r w:rsidR="00835C26" w:rsidRPr="009F60EC">
        <w:rPr>
          <w:rFonts w:asciiTheme="majorHAnsi" w:hAnsiTheme="majorHAnsi"/>
          <w:sz w:val="22"/>
        </w:rPr>
        <w:t xml:space="preserve"> </w:t>
      </w:r>
    </w:p>
    <w:p w14:paraId="650E0203" w14:textId="691B0FA9" w:rsidR="002A52E7" w:rsidRPr="009F60EC" w:rsidRDefault="00835C26" w:rsidP="0023011F">
      <w:pPr>
        <w:spacing w:line="360" w:lineRule="auto"/>
        <w:jc w:val="both"/>
        <w:rPr>
          <w:rFonts w:asciiTheme="majorHAnsi" w:hAnsiTheme="majorHAnsi"/>
          <w:sz w:val="22"/>
        </w:rPr>
      </w:pPr>
      <w:r w:rsidRPr="009F60EC">
        <w:rPr>
          <w:rFonts w:asciiTheme="majorHAnsi" w:hAnsiTheme="majorHAnsi"/>
          <w:sz w:val="22"/>
        </w:rPr>
        <w:t>Log</w:t>
      </w:r>
      <w:r w:rsidR="002A52E7" w:rsidRPr="009F60EC">
        <w:rPr>
          <w:rFonts w:asciiTheme="majorHAnsi" w:hAnsiTheme="majorHAnsi"/>
          <w:sz w:val="22"/>
        </w:rPr>
        <w:t xml:space="preserve">normal distributions are unusual in chronic disease, </w:t>
      </w:r>
      <w:r w:rsidRPr="009F60EC">
        <w:rPr>
          <w:rFonts w:asciiTheme="majorHAnsi" w:hAnsiTheme="majorHAnsi"/>
          <w:sz w:val="22"/>
        </w:rPr>
        <w:t>and</w:t>
      </w:r>
      <w:r w:rsidR="002A52E7" w:rsidRPr="009F60EC">
        <w:rPr>
          <w:rFonts w:asciiTheme="majorHAnsi" w:hAnsiTheme="majorHAnsi"/>
          <w:sz w:val="22"/>
        </w:rPr>
        <w:t xml:space="preserve"> their occurrence is </w:t>
      </w:r>
      <w:r w:rsidR="00B23449">
        <w:rPr>
          <w:rFonts w:asciiTheme="majorHAnsi" w:hAnsiTheme="majorHAnsi"/>
          <w:sz w:val="22"/>
        </w:rPr>
        <w:t>more typically</w:t>
      </w:r>
      <w:r w:rsidR="002A52E7" w:rsidRPr="009F60EC">
        <w:rPr>
          <w:rFonts w:asciiTheme="majorHAnsi" w:hAnsiTheme="majorHAnsi"/>
          <w:sz w:val="22"/>
        </w:rPr>
        <w:t xml:space="preserve"> related </w:t>
      </w:r>
      <w:r w:rsidR="003F185B" w:rsidRPr="009F60EC">
        <w:rPr>
          <w:rFonts w:asciiTheme="majorHAnsi" w:hAnsiTheme="majorHAnsi"/>
          <w:sz w:val="22"/>
        </w:rPr>
        <w:t xml:space="preserve">to incubation periods </w:t>
      </w:r>
      <w:r w:rsidRPr="009F60EC">
        <w:rPr>
          <w:rFonts w:asciiTheme="majorHAnsi" w:hAnsiTheme="majorHAnsi"/>
          <w:sz w:val="22"/>
        </w:rPr>
        <w:t xml:space="preserve">seen </w:t>
      </w:r>
      <w:r w:rsidR="003F185B" w:rsidRPr="009F60EC">
        <w:rPr>
          <w:rFonts w:asciiTheme="majorHAnsi" w:hAnsiTheme="majorHAnsi"/>
          <w:sz w:val="22"/>
        </w:rPr>
        <w:t>in infectious disease epidemiology</w:t>
      </w:r>
      <w:r w:rsidR="00591E96" w:rsidRPr="00591E96">
        <w:rPr>
          <w:rFonts w:ascii="Times" w:hAnsi="Times" w:cs="Times New Roman"/>
          <w:sz w:val="22"/>
        </w:rPr>
        <w:t xml:space="preserve"> </w:t>
      </w:r>
      <w:hyperlink r:id="rId7" w:history="1">
        <w:r w:rsidR="00591E96" w:rsidRPr="00591E96">
          <w:rPr>
            <w:rFonts w:ascii="Times" w:hAnsi="Times" w:cs="Times"/>
            <w:sz w:val="22"/>
            <w:szCs w:val="20"/>
            <w:vertAlign w:val="superscript"/>
          </w:rPr>
          <w:t>3</w:t>
        </w:r>
      </w:hyperlink>
      <w:hyperlink r:id="rId8" w:history="1">
        <w:proofErr w:type="gramStart"/>
        <w:r w:rsidR="00591E96" w:rsidRPr="00591E96">
          <w:rPr>
            <w:rFonts w:ascii="Times" w:hAnsi="Times" w:cs="Times"/>
            <w:sz w:val="22"/>
            <w:szCs w:val="20"/>
            <w:vertAlign w:val="superscript"/>
          </w:rPr>
          <w:t>,4</w:t>
        </w:r>
        <w:proofErr w:type="gramEnd"/>
      </w:hyperlink>
      <w:r w:rsidR="00982D39" w:rsidRPr="00591E96">
        <w:rPr>
          <w:rFonts w:asciiTheme="majorHAnsi" w:hAnsiTheme="majorHAnsi"/>
          <w:sz w:val="22"/>
        </w:rPr>
        <w:t>.</w:t>
      </w:r>
      <w:r w:rsidR="00982D39">
        <w:rPr>
          <w:rFonts w:asciiTheme="majorHAnsi" w:hAnsiTheme="majorHAnsi"/>
          <w:sz w:val="22"/>
        </w:rPr>
        <w:t xml:space="preserve"> </w:t>
      </w:r>
      <w:r w:rsidR="00982D39" w:rsidRPr="009F60EC">
        <w:rPr>
          <w:rFonts w:asciiTheme="majorHAnsi" w:hAnsiTheme="majorHAnsi"/>
          <w:sz w:val="22"/>
        </w:rPr>
        <w:t xml:space="preserve">Criticism has been drawn </w:t>
      </w:r>
      <w:r w:rsidR="00982D39">
        <w:rPr>
          <w:rFonts w:asciiTheme="majorHAnsi" w:hAnsiTheme="majorHAnsi"/>
          <w:sz w:val="22"/>
        </w:rPr>
        <w:t>concerning the</w:t>
      </w:r>
      <w:r w:rsidR="00982D39" w:rsidRPr="009F60EC">
        <w:rPr>
          <w:rFonts w:asciiTheme="majorHAnsi" w:hAnsiTheme="majorHAnsi"/>
          <w:sz w:val="22"/>
        </w:rPr>
        <w:t xml:space="preserve"> validity </w:t>
      </w:r>
      <w:r w:rsidR="00982D39">
        <w:rPr>
          <w:rFonts w:asciiTheme="majorHAnsi" w:hAnsiTheme="majorHAnsi"/>
          <w:sz w:val="22"/>
        </w:rPr>
        <w:t xml:space="preserve">of the </w:t>
      </w:r>
      <w:r w:rsidR="002A52E7" w:rsidRPr="009F60EC">
        <w:rPr>
          <w:rFonts w:asciiTheme="majorHAnsi" w:hAnsiTheme="majorHAnsi"/>
          <w:sz w:val="22"/>
        </w:rPr>
        <w:t xml:space="preserve">lognormal distribution </w:t>
      </w:r>
      <w:r w:rsidR="000D377F" w:rsidRPr="009F60EC">
        <w:rPr>
          <w:rFonts w:asciiTheme="majorHAnsi" w:hAnsiTheme="majorHAnsi"/>
          <w:sz w:val="22"/>
        </w:rPr>
        <w:t>in</w:t>
      </w:r>
      <w:r w:rsidR="00982D39">
        <w:rPr>
          <w:rFonts w:asciiTheme="majorHAnsi" w:hAnsiTheme="majorHAnsi"/>
          <w:sz w:val="22"/>
        </w:rPr>
        <w:t xml:space="preserve"> Perthes disease age-of-</w:t>
      </w:r>
      <w:r w:rsidR="00982D39" w:rsidRPr="009F60EC">
        <w:rPr>
          <w:rFonts w:asciiTheme="majorHAnsi" w:hAnsiTheme="majorHAnsi"/>
          <w:sz w:val="22"/>
        </w:rPr>
        <w:t>onset</w:t>
      </w:r>
      <w:r w:rsidR="002A52E7" w:rsidRPr="009F60EC">
        <w:rPr>
          <w:rFonts w:asciiTheme="majorHAnsi" w:hAnsiTheme="majorHAnsi"/>
          <w:sz w:val="22"/>
        </w:rPr>
        <w:t>, and the statistical methods employed</w:t>
      </w:r>
      <w:r w:rsidR="00591E96" w:rsidRPr="00591E96">
        <w:rPr>
          <w:rFonts w:ascii="Times" w:hAnsi="Times" w:cs="Times New Roman"/>
          <w:sz w:val="22"/>
        </w:rPr>
        <w:t xml:space="preserve"> </w:t>
      </w:r>
      <w:hyperlink r:id="rId9" w:history="1">
        <w:r w:rsidR="00591E96" w:rsidRPr="00591E96">
          <w:rPr>
            <w:rFonts w:ascii="Times" w:hAnsi="Times" w:cs="Times"/>
            <w:sz w:val="22"/>
            <w:szCs w:val="20"/>
            <w:vertAlign w:val="superscript"/>
          </w:rPr>
          <w:t>5</w:t>
        </w:r>
      </w:hyperlink>
      <w:r w:rsidR="002A52E7" w:rsidRPr="009F60EC">
        <w:rPr>
          <w:rFonts w:asciiTheme="majorHAnsi" w:hAnsiTheme="majorHAnsi"/>
          <w:sz w:val="22"/>
        </w:rPr>
        <w:t xml:space="preserve">.  </w:t>
      </w:r>
      <w:r w:rsidR="004A53DC" w:rsidRPr="009F60EC">
        <w:rPr>
          <w:rFonts w:asciiTheme="majorHAnsi" w:hAnsiTheme="majorHAnsi"/>
          <w:sz w:val="22"/>
        </w:rPr>
        <w:t>It therefore remains uncertain if a lognormal distribution is the correct ap</w:t>
      </w:r>
      <w:r w:rsidR="006B5238">
        <w:rPr>
          <w:rFonts w:asciiTheme="majorHAnsi" w:hAnsiTheme="majorHAnsi"/>
          <w:sz w:val="22"/>
        </w:rPr>
        <w:t>proximation in Perthes disease</w:t>
      </w:r>
      <w:r w:rsidR="004A53DC" w:rsidRPr="009F60EC">
        <w:rPr>
          <w:rFonts w:asciiTheme="majorHAnsi" w:hAnsiTheme="majorHAnsi"/>
          <w:sz w:val="22"/>
        </w:rPr>
        <w:t xml:space="preserve">. </w:t>
      </w:r>
    </w:p>
    <w:p w14:paraId="657015C3" w14:textId="2343C7FA" w:rsidR="00C25DDB" w:rsidRDefault="00C25DDB" w:rsidP="0023011F">
      <w:pPr>
        <w:spacing w:line="360" w:lineRule="auto"/>
        <w:jc w:val="both"/>
        <w:rPr>
          <w:rFonts w:asciiTheme="majorHAnsi" w:hAnsiTheme="majorHAnsi"/>
          <w:sz w:val="22"/>
        </w:rPr>
      </w:pPr>
      <w:r>
        <w:rPr>
          <w:rFonts w:asciiTheme="majorHAnsi" w:hAnsiTheme="majorHAnsi"/>
          <w:sz w:val="22"/>
        </w:rPr>
        <w:t xml:space="preserve">Understanding the statistical validity of a lognormal distribution in Perthes disease is useful, both to consider the age-of-onset as </w:t>
      </w:r>
      <w:proofErr w:type="gramStart"/>
      <w:r>
        <w:rPr>
          <w:rFonts w:asciiTheme="majorHAnsi" w:hAnsiTheme="majorHAnsi"/>
          <w:sz w:val="22"/>
        </w:rPr>
        <w:t xml:space="preserve">an </w:t>
      </w:r>
      <w:r w:rsidRPr="009F60EC">
        <w:rPr>
          <w:rFonts w:asciiTheme="majorHAnsi" w:hAnsiTheme="majorHAnsi"/>
          <w:sz w:val="22"/>
        </w:rPr>
        <w:t>‘incubation</w:t>
      </w:r>
      <w:proofErr w:type="gramEnd"/>
      <w:r w:rsidRPr="009F60EC">
        <w:rPr>
          <w:rFonts w:asciiTheme="majorHAnsi" w:hAnsiTheme="majorHAnsi"/>
          <w:sz w:val="22"/>
        </w:rPr>
        <w:t>-period’</w:t>
      </w:r>
      <w:r>
        <w:rPr>
          <w:rFonts w:asciiTheme="majorHAnsi" w:hAnsiTheme="majorHAnsi"/>
          <w:sz w:val="22"/>
        </w:rPr>
        <w:t xml:space="preserve">, and </w:t>
      </w:r>
      <w:r w:rsidR="00591E96">
        <w:rPr>
          <w:rFonts w:asciiTheme="majorHAnsi" w:hAnsiTheme="majorHAnsi"/>
          <w:sz w:val="22"/>
        </w:rPr>
        <w:t xml:space="preserve">in order to </w:t>
      </w:r>
      <w:r>
        <w:rPr>
          <w:rFonts w:asciiTheme="majorHAnsi" w:hAnsiTheme="majorHAnsi"/>
          <w:sz w:val="22"/>
        </w:rPr>
        <w:t xml:space="preserve">act as a tool for </w:t>
      </w:r>
      <w:r w:rsidR="00591E96">
        <w:rPr>
          <w:rFonts w:asciiTheme="majorHAnsi" w:hAnsiTheme="majorHAnsi"/>
          <w:sz w:val="22"/>
        </w:rPr>
        <w:t xml:space="preserve">externally </w:t>
      </w:r>
      <w:r>
        <w:rPr>
          <w:rFonts w:asciiTheme="majorHAnsi" w:hAnsiTheme="majorHAnsi"/>
          <w:sz w:val="22"/>
        </w:rPr>
        <w:t xml:space="preserve">validating the </w:t>
      </w:r>
      <w:r w:rsidR="004755A8">
        <w:rPr>
          <w:rFonts w:asciiTheme="majorHAnsi" w:hAnsiTheme="majorHAnsi"/>
          <w:sz w:val="22"/>
        </w:rPr>
        <w:t xml:space="preserve">results of epidemiological studies. </w:t>
      </w:r>
      <w:r w:rsidRPr="009F60EC">
        <w:rPr>
          <w:rFonts w:asciiTheme="majorHAnsi" w:hAnsiTheme="majorHAnsi"/>
          <w:sz w:val="22"/>
        </w:rPr>
        <w:t xml:space="preserve"> </w:t>
      </w:r>
      <w:r w:rsidR="00226FC2">
        <w:rPr>
          <w:rFonts w:asciiTheme="majorHAnsi" w:hAnsiTheme="majorHAnsi"/>
          <w:sz w:val="22"/>
        </w:rPr>
        <w:t xml:space="preserve">Considering </w:t>
      </w:r>
      <w:r w:rsidR="004755A8">
        <w:rPr>
          <w:rFonts w:asciiTheme="majorHAnsi" w:hAnsiTheme="majorHAnsi"/>
          <w:sz w:val="22"/>
        </w:rPr>
        <w:t xml:space="preserve">the age-of-onset as </w:t>
      </w:r>
      <w:proofErr w:type="gramStart"/>
      <w:r w:rsidR="004755A8">
        <w:rPr>
          <w:rFonts w:asciiTheme="majorHAnsi" w:hAnsiTheme="majorHAnsi"/>
          <w:sz w:val="22"/>
        </w:rPr>
        <w:t xml:space="preserve">an </w:t>
      </w:r>
      <w:r w:rsidR="004755A8" w:rsidRPr="009F60EC">
        <w:rPr>
          <w:rFonts w:asciiTheme="majorHAnsi" w:hAnsiTheme="majorHAnsi"/>
          <w:sz w:val="22"/>
        </w:rPr>
        <w:t>‘incubation</w:t>
      </w:r>
      <w:proofErr w:type="gramEnd"/>
      <w:r w:rsidR="004755A8" w:rsidRPr="009F60EC">
        <w:rPr>
          <w:rFonts w:asciiTheme="majorHAnsi" w:hAnsiTheme="majorHAnsi"/>
          <w:sz w:val="22"/>
        </w:rPr>
        <w:t>-period’</w:t>
      </w:r>
      <w:r w:rsidR="004755A8">
        <w:rPr>
          <w:rFonts w:asciiTheme="majorHAnsi" w:hAnsiTheme="majorHAnsi"/>
          <w:sz w:val="22"/>
        </w:rPr>
        <w:t xml:space="preserve"> will </w:t>
      </w:r>
      <w:r w:rsidR="00226FC2">
        <w:rPr>
          <w:rFonts w:asciiTheme="majorHAnsi" w:hAnsiTheme="majorHAnsi"/>
          <w:sz w:val="22"/>
        </w:rPr>
        <w:t xml:space="preserve">facilitate greater understanding to </w:t>
      </w:r>
      <w:r w:rsidRPr="009F60EC">
        <w:rPr>
          <w:rFonts w:asciiTheme="majorHAnsi" w:hAnsiTheme="majorHAnsi"/>
          <w:sz w:val="22"/>
        </w:rPr>
        <w:t>the timing of an ‘insult’ and the nature of aetiological determinant(s)</w:t>
      </w:r>
    </w:p>
    <w:p w14:paraId="17FFD087" w14:textId="77777777" w:rsidR="00BA3F86" w:rsidRPr="009F60EC" w:rsidRDefault="002211FD" w:rsidP="0023011F">
      <w:pPr>
        <w:spacing w:line="360" w:lineRule="auto"/>
        <w:jc w:val="both"/>
        <w:rPr>
          <w:rFonts w:asciiTheme="majorHAnsi" w:hAnsiTheme="majorHAnsi"/>
          <w:sz w:val="22"/>
        </w:rPr>
      </w:pPr>
      <w:r w:rsidRPr="009F60EC">
        <w:rPr>
          <w:rFonts w:asciiTheme="majorHAnsi" w:hAnsiTheme="majorHAnsi"/>
          <w:sz w:val="22"/>
        </w:rPr>
        <w:t>Using the Liv</w:t>
      </w:r>
      <w:r w:rsidR="00835C26" w:rsidRPr="009F60EC">
        <w:rPr>
          <w:rFonts w:asciiTheme="majorHAnsi" w:hAnsiTheme="majorHAnsi"/>
          <w:sz w:val="22"/>
        </w:rPr>
        <w:t xml:space="preserve">erpool Perthes Disease Register </w:t>
      </w:r>
      <w:r w:rsidRPr="009F60EC">
        <w:rPr>
          <w:rFonts w:asciiTheme="majorHAnsi" w:hAnsiTheme="majorHAnsi"/>
          <w:sz w:val="22"/>
        </w:rPr>
        <w:t xml:space="preserve">we consider </w:t>
      </w:r>
      <w:r w:rsidR="00BA3F86" w:rsidRPr="009F60EC">
        <w:rPr>
          <w:rFonts w:asciiTheme="majorHAnsi" w:hAnsiTheme="majorHAnsi"/>
          <w:sz w:val="22"/>
        </w:rPr>
        <w:t>the age-of-onset distribution, a</w:t>
      </w:r>
      <w:r w:rsidR="00835C26" w:rsidRPr="009F60EC">
        <w:rPr>
          <w:rFonts w:asciiTheme="majorHAnsi" w:hAnsiTheme="majorHAnsi"/>
          <w:sz w:val="22"/>
        </w:rPr>
        <w:t>nd it</w:t>
      </w:r>
      <w:r w:rsidR="00FC0B34" w:rsidRPr="009F60EC">
        <w:rPr>
          <w:rFonts w:asciiTheme="majorHAnsi" w:hAnsiTheme="majorHAnsi"/>
          <w:sz w:val="22"/>
        </w:rPr>
        <w:t>’</w:t>
      </w:r>
      <w:r w:rsidR="00835C26" w:rsidRPr="009F60EC">
        <w:rPr>
          <w:rFonts w:asciiTheme="majorHAnsi" w:hAnsiTheme="majorHAnsi"/>
          <w:sz w:val="22"/>
        </w:rPr>
        <w:t>s fit to a lognormal model, with reference to sex, laterality of disease and region of residence.</w:t>
      </w:r>
    </w:p>
    <w:p w14:paraId="4BEF9A18" w14:textId="77777777" w:rsidR="00BA3F86" w:rsidRPr="009F60EC" w:rsidRDefault="0023011F" w:rsidP="0023011F">
      <w:pPr>
        <w:spacing w:line="360" w:lineRule="auto"/>
        <w:rPr>
          <w:rFonts w:asciiTheme="majorHAnsi" w:hAnsiTheme="majorHAnsi"/>
          <w:b/>
          <w:sz w:val="22"/>
          <w:u w:val="single"/>
        </w:rPr>
      </w:pPr>
      <w:r>
        <w:rPr>
          <w:rFonts w:asciiTheme="majorHAnsi" w:hAnsiTheme="majorHAnsi"/>
          <w:b/>
          <w:sz w:val="22"/>
          <w:u w:val="single"/>
        </w:rPr>
        <w:br w:type="page"/>
      </w:r>
      <w:r w:rsidR="00BA3F86" w:rsidRPr="009F60EC">
        <w:rPr>
          <w:rFonts w:asciiTheme="majorHAnsi" w:hAnsiTheme="majorHAnsi"/>
          <w:b/>
          <w:sz w:val="22"/>
          <w:u w:val="single"/>
        </w:rPr>
        <w:lastRenderedPageBreak/>
        <w:t>Methods</w:t>
      </w:r>
    </w:p>
    <w:p w14:paraId="41F75666" w14:textId="77777777" w:rsidR="00BA3F86" w:rsidRPr="009F60EC" w:rsidRDefault="00BA3F86" w:rsidP="0023011F">
      <w:pPr>
        <w:spacing w:line="360" w:lineRule="auto"/>
        <w:jc w:val="both"/>
        <w:rPr>
          <w:rFonts w:asciiTheme="majorHAnsi" w:hAnsiTheme="majorHAnsi"/>
          <w:b/>
          <w:sz w:val="22"/>
        </w:rPr>
      </w:pPr>
      <w:r w:rsidRPr="009F60EC">
        <w:rPr>
          <w:rFonts w:asciiTheme="majorHAnsi" w:hAnsiTheme="majorHAnsi"/>
          <w:b/>
          <w:sz w:val="22"/>
        </w:rPr>
        <w:t>The Liverpool Perthes Register</w:t>
      </w:r>
    </w:p>
    <w:p w14:paraId="48BA4C10" w14:textId="6717F531" w:rsidR="004755A8" w:rsidRDefault="00BA3F86" w:rsidP="0023011F">
      <w:pPr>
        <w:spacing w:line="360" w:lineRule="auto"/>
        <w:jc w:val="both"/>
        <w:rPr>
          <w:rFonts w:asciiTheme="majorHAnsi" w:hAnsiTheme="majorHAnsi"/>
          <w:sz w:val="22"/>
        </w:rPr>
      </w:pPr>
      <w:r w:rsidRPr="009F60EC">
        <w:rPr>
          <w:rFonts w:asciiTheme="majorHAnsi" w:hAnsiTheme="majorHAnsi"/>
          <w:sz w:val="22"/>
        </w:rPr>
        <w:t xml:space="preserve">The Liverpool Perthes disease register </w:t>
      </w:r>
      <w:r w:rsidR="004210FB" w:rsidRPr="009F60EC">
        <w:rPr>
          <w:rFonts w:asciiTheme="majorHAnsi" w:hAnsiTheme="majorHAnsi"/>
          <w:sz w:val="22"/>
        </w:rPr>
        <w:t xml:space="preserve">is the largest </w:t>
      </w:r>
      <w:r w:rsidR="004755A8">
        <w:rPr>
          <w:rFonts w:asciiTheme="majorHAnsi" w:hAnsiTheme="majorHAnsi"/>
          <w:sz w:val="22"/>
        </w:rPr>
        <w:t>series of Perthes disease cases, commencing in 1976</w:t>
      </w:r>
      <w:r w:rsidR="004210FB" w:rsidRPr="009F60EC">
        <w:rPr>
          <w:rFonts w:asciiTheme="majorHAnsi" w:hAnsiTheme="majorHAnsi"/>
          <w:sz w:val="22"/>
        </w:rPr>
        <w:t xml:space="preserve">. The </w:t>
      </w:r>
      <w:r w:rsidR="009B3F69" w:rsidRPr="009F60EC">
        <w:rPr>
          <w:rFonts w:asciiTheme="majorHAnsi" w:hAnsiTheme="majorHAnsi"/>
          <w:sz w:val="22"/>
        </w:rPr>
        <w:t>m</w:t>
      </w:r>
      <w:r w:rsidR="00FC0B34" w:rsidRPr="009F60EC">
        <w:rPr>
          <w:rFonts w:asciiTheme="majorHAnsi" w:hAnsiTheme="majorHAnsi"/>
          <w:sz w:val="22"/>
        </w:rPr>
        <w:t>ethods underpinning the register</w:t>
      </w:r>
      <w:r w:rsidR="009B3F69" w:rsidRPr="009F60EC">
        <w:rPr>
          <w:rFonts w:asciiTheme="majorHAnsi" w:hAnsiTheme="majorHAnsi"/>
          <w:sz w:val="22"/>
        </w:rPr>
        <w:t xml:space="preserve"> have been described previously</w:t>
      </w:r>
      <w:hyperlink r:id="rId10" w:history="1">
        <w:r w:rsidR="00591E96" w:rsidRPr="00591E96">
          <w:rPr>
            <w:rFonts w:ascii="Times" w:hAnsi="Times" w:cs="Times"/>
            <w:sz w:val="22"/>
            <w:szCs w:val="20"/>
            <w:vertAlign w:val="superscript"/>
          </w:rPr>
          <w:t>6</w:t>
        </w:r>
      </w:hyperlink>
      <w:r w:rsidRPr="00591E96">
        <w:rPr>
          <w:rFonts w:asciiTheme="majorHAnsi" w:hAnsiTheme="majorHAnsi"/>
          <w:sz w:val="22"/>
        </w:rPr>
        <w:t xml:space="preserve">. </w:t>
      </w:r>
      <w:r w:rsidR="001C5C9A" w:rsidRPr="00591E96">
        <w:rPr>
          <w:rFonts w:asciiTheme="majorHAnsi" w:hAnsiTheme="majorHAnsi"/>
          <w:sz w:val="22"/>
        </w:rPr>
        <w:t>I</w:t>
      </w:r>
      <w:r w:rsidRPr="00591E96">
        <w:rPr>
          <w:rFonts w:asciiTheme="majorHAnsi" w:hAnsiTheme="majorHAnsi"/>
          <w:sz w:val="22"/>
        </w:rPr>
        <w:t>t is a r</w:t>
      </w:r>
      <w:r w:rsidRPr="009F60EC">
        <w:rPr>
          <w:rFonts w:asciiTheme="majorHAnsi" w:hAnsiTheme="majorHAnsi"/>
          <w:sz w:val="22"/>
        </w:rPr>
        <w:t>egister of</w:t>
      </w:r>
      <w:r w:rsidR="00B23449">
        <w:rPr>
          <w:rFonts w:asciiTheme="majorHAnsi" w:hAnsiTheme="majorHAnsi"/>
          <w:sz w:val="22"/>
        </w:rPr>
        <w:t xml:space="preserve"> incident</w:t>
      </w:r>
      <w:r w:rsidRPr="009F60EC">
        <w:rPr>
          <w:rFonts w:asciiTheme="majorHAnsi" w:hAnsiTheme="majorHAnsi"/>
          <w:sz w:val="22"/>
        </w:rPr>
        <w:t xml:space="preserve"> cases maintained </w:t>
      </w:r>
      <w:r w:rsidR="00B23449">
        <w:rPr>
          <w:rFonts w:asciiTheme="majorHAnsi" w:hAnsiTheme="majorHAnsi"/>
          <w:sz w:val="22"/>
        </w:rPr>
        <w:t xml:space="preserve">at Alder Hey </w:t>
      </w:r>
      <w:proofErr w:type="spellStart"/>
      <w:r w:rsidR="00B23449">
        <w:rPr>
          <w:rFonts w:asciiTheme="majorHAnsi" w:hAnsiTheme="majorHAnsi"/>
          <w:sz w:val="22"/>
        </w:rPr>
        <w:t>Childen’s</w:t>
      </w:r>
      <w:proofErr w:type="spellEnd"/>
      <w:r w:rsidR="00B23449">
        <w:rPr>
          <w:rFonts w:asciiTheme="majorHAnsi" w:hAnsiTheme="majorHAnsi"/>
          <w:sz w:val="22"/>
        </w:rPr>
        <w:t xml:space="preserve"> Hospital,</w:t>
      </w:r>
      <w:r w:rsidRPr="009F60EC">
        <w:rPr>
          <w:rFonts w:asciiTheme="majorHAnsi" w:hAnsiTheme="majorHAnsi"/>
          <w:sz w:val="22"/>
        </w:rPr>
        <w:t xml:space="preserve"> Liverpool</w:t>
      </w:r>
      <w:r w:rsidR="009B3F69" w:rsidRPr="009F60EC">
        <w:rPr>
          <w:rFonts w:asciiTheme="majorHAnsi" w:hAnsiTheme="majorHAnsi"/>
          <w:sz w:val="22"/>
        </w:rPr>
        <w:t>, UK</w:t>
      </w:r>
      <w:r w:rsidRPr="009F60EC">
        <w:rPr>
          <w:rFonts w:asciiTheme="majorHAnsi" w:hAnsiTheme="majorHAnsi"/>
          <w:sz w:val="22"/>
        </w:rPr>
        <w:t xml:space="preserve">. </w:t>
      </w:r>
      <w:r w:rsidR="004755A8">
        <w:rPr>
          <w:rFonts w:asciiTheme="majorHAnsi" w:hAnsiTheme="majorHAnsi"/>
          <w:sz w:val="22"/>
        </w:rPr>
        <w:t xml:space="preserve">Information collated for each case </w:t>
      </w:r>
      <w:r w:rsidR="001C5C9A">
        <w:rPr>
          <w:rFonts w:asciiTheme="majorHAnsi" w:hAnsiTheme="majorHAnsi"/>
          <w:sz w:val="22"/>
        </w:rPr>
        <w:t>includes</w:t>
      </w:r>
      <w:r w:rsidR="00077493" w:rsidRPr="009F60EC">
        <w:rPr>
          <w:rFonts w:asciiTheme="majorHAnsi" w:hAnsiTheme="majorHAnsi"/>
          <w:sz w:val="22"/>
        </w:rPr>
        <w:t xml:space="preserve"> date of birth, </w:t>
      </w:r>
      <w:r w:rsidR="004755A8">
        <w:rPr>
          <w:rFonts w:asciiTheme="majorHAnsi" w:hAnsiTheme="majorHAnsi"/>
          <w:sz w:val="22"/>
        </w:rPr>
        <w:t>date</w:t>
      </w:r>
      <w:r w:rsidR="00077493" w:rsidRPr="009F60EC">
        <w:rPr>
          <w:rFonts w:asciiTheme="majorHAnsi" w:hAnsiTheme="majorHAnsi"/>
          <w:sz w:val="22"/>
        </w:rPr>
        <w:t xml:space="preserve"> at disease onset</w:t>
      </w:r>
      <w:r w:rsidR="00105F5B" w:rsidRPr="009F60EC">
        <w:rPr>
          <w:rFonts w:asciiTheme="majorHAnsi" w:hAnsiTheme="majorHAnsi"/>
          <w:sz w:val="22"/>
        </w:rPr>
        <w:t xml:space="preserve"> (defined by first radiographic diagnosis of disease)</w:t>
      </w:r>
      <w:r w:rsidR="00077493" w:rsidRPr="009F60EC">
        <w:rPr>
          <w:rFonts w:asciiTheme="majorHAnsi" w:hAnsiTheme="majorHAnsi"/>
          <w:sz w:val="22"/>
        </w:rPr>
        <w:t xml:space="preserve">, laterality of disease, sex and </w:t>
      </w:r>
      <w:r w:rsidR="001C5C9A">
        <w:rPr>
          <w:rFonts w:asciiTheme="majorHAnsi" w:hAnsiTheme="majorHAnsi"/>
          <w:sz w:val="22"/>
        </w:rPr>
        <w:t>area of residence</w:t>
      </w:r>
      <w:r w:rsidR="00077493" w:rsidRPr="009F60EC">
        <w:rPr>
          <w:rFonts w:asciiTheme="majorHAnsi" w:hAnsiTheme="majorHAnsi"/>
          <w:sz w:val="22"/>
        </w:rPr>
        <w:t xml:space="preserve">. </w:t>
      </w:r>
    </w:p>
    <w:p w14:paraId="2E04E6D1" w14:textId="77777777" w:rsidR="00077493" w:rsidRPr="009F60EC" w:rsidRDefault="004755A8" w:rsidP="0023011F">
      <w:pPr>
        <w:spacing w:line="360" w:lineRule="auto"/>
        <w:jc w:val="both"/>
        <w:rPr>
          <w:rFonts w:asciiTheme="majorHAnsi" w:hAnsiTheme="majorHAnsi"/>
          <w:sz w:val="22"/>
        </w:rPr>
      </w:pPr>
      <w:r>
        <w:rPr>
          <w:rFonts w:asciiTheme="majorHAnsi" w:hAnsiTheme="majorHAnsi"/>
          <w:sz w:val="22"/>
        </w:rPr>
        <w:t>The date of disease onset is recorded as a month and year. All cases were therefore assumed to be incident of the 15</w:t>
      </w:r>
      <w:r w:rsidRPr="004755A8">
        <w:rPr>
          <w:rFonts w:asciiTheme="majorHAnsi" w:hAnsiTheme="majorHAnsi"/>
          <w:sz w:val="22"/>
          <w:vertAlign w:val="superscript"/>
        </w:rPr>
        <w:t>th</w:t>
      </w:r>
      <w:r>
        <w:rPr>
          <w:rFonts w:asciiTheme="majorHAnsi" w:hAnsiTheme="majorHAnsi"/>
          <w:sz w:val="22"/>
        </w:rPr>
        <w:t xml:space="preserve"> day of the month, </w:t>
      </w:r>
      <w:r w:rsidR="00B23449">
        <w:rPr>
          <w:rFonts w:asciiTheme="majorHAnsi" w:hAnsiTheme="majorHAnsi"/>
          <w:sz w:val="22"/>
        </w:rPr>
        <w:t>to allow the calculation of age</w:t>
      </w:r>
      <w:r>
        <w:rPr>
          <w:rFonts w:asciiTheme="majorHAnsi" w:hAnsiTheme="majorHAnsi"/>
          <w:sz w:val="22"/>
        </w:rPr>
        <w:t xml:space="preserve"> of disease onset</w:t>
      </w:r>
      <w:r w:rsidR="00B23449">
        <w:rPr>
          <w:rFonts w:asciiTheme="majorHAnsi" w:hAnsiTheme="majorHAnsi"/>
          <w:sz w:val="22"/>
        </w:rPr>
        <w:t xml:space="preserve"> (in days)</w:t>
      </w:r>
      <w:r>
        <w:rPr>
          <w:rFonts w:asciiTheme="majorHAnsi" w:hAnsiTheme="majorHAnsi"/>
          <w:sz w:val="22"/>
        </w:rPr>
        <w:t xml:space="preserve">. </w:t>
      </w:r>
    </w:p>
    <w:p w14:paraId="0D17B413" w14:textId="77777777" w:rsidR="00077493" w:rsidRPr="009F60EC" w:rsidRDefault="00077493" w:rsidP="0023011F">
      <w:pPr>
        <w:spacing w:line="360" w:lineRule="auto"/>
        <w:rPr>
          <w:rFonts w:asciiTheme="majorHAnsi" w:hAnsiTheme="majorHAnsi"/>
          <w:b/>
          <w:sz w:val="22"/>
        </w:rPr>
      </w:pPr>
      <w:r w:rsidRPr="009F60EC">
        <w:rPr>
          <w:rFonts w:asciiTheme="majorHAnsi" w:hAnsiTheme="majorHAnsi"/>
          <w:b/>
          <w:sz w:val="22"/>
        </w:rPr>
        <w:t>Analysis</w:t>
      </w:r>
    </w:p>
    <w:p w14:paraId="6163EFB4" w14:textId="5909EF4B" w:rsidR="004755A8" w:rsidRDefault="00751FA1" w:rsidP="0023011F">
      <w:pPr>
        <w:spacing w:line="360" w:lineRule="auto"/>
        <w:jc w:val="both"/>
        <w:rPr>
          <w:rFonts w:asciiTheme="majorHAnsi" w:hAnsiTheme="majorHAnsi"/>
          <w:sz w:val="22"/>
        </w:rPr>
      </w:pPr>
      <w:r w:rsidRPr="009F60EC">
        <w:rPr>
          <w:rFonts w:asciiTheme="majorHAnsi" w:hAnsiTheme="majorHAnsi"/>
          <w:sz w:val="22"/>
        </w:rPr>
        <w:t>Data analysis was conducted using Stata 10</w:t>
      </w:r>
      <w:r w:rsidR="004755A8">
        <w:rPr>
          <w:rFonts w:asciiTheme="majorHAnsi" w:hAnsiTheme="majorHAnsi"/>
          <w:sz w:val="22"/>
        </w:rPr>
        <w:t>.0</w:t>
      </w:r>
      <w:r w:rsidRPr="009F60EC">
        <w:rPr>
          <w:rFonts w:asciiTheme="majorHAnsi" w:hAnsiTheme="majorHAnsi"/>
          <w:sz w:val="22"/>
        </w:rPr>
        <w:t>. The</w:t>
      </w:r>
      <w:r w:rsidR="00077493" w:rsidRPr="009F60EC">
        <w:rPr>
          <w:rFonts w:asciiTheme="majorHAnsi" w:hAnsiTheme="majorHAnsi"/>
          <w:sz w:val="22"/>
        </w:rPr>
        <w:t xml:space="preserve"> age-of-onset</w:t>
      </w:r>
      <w:r w:rsidRPr="009F60EC">
        <w:rPr>
          <w:rFonts w:asciiTheme="majorHAnsi" w:hAnsiTheme="majorHAnsi"/>
          <w:sz w:val="22"/>
        </w:rPr>
        <w:t xml:space="preserve"> distributions</w:t>
      </w:r>
      <w:r w:rsidR="00077493" w:rsidRPr="009F60EC">
        <w:rPr>
          <w:rFonts w:asciiTheme="majorHAnsi" w:hAnsiTheme="majorHAnsi"/>
          <w:sz w:val="22"/>
        </w:rPr>
        <w:t xml:space="preserve"> </w:t>
      </w:r>
      <w:r w:rsidRPr="009F60EC">
        <w:rPr>
          <w:rFonts w:asciiTheme="majorHAnsi" w:hAnsiTheme="majorHAnsi"/>
          <w:sz w:val="22"/>
        </w:rPr>
        <w:t>were</w:t>
      </w:r>
      <w:r w:rsidR="00077493" w:rsidRPr="009F60EC">
        <w:rPr>
          <w:rFonts w:asciiTheme="majorHAnsi" w:hAnsiTheme="majorHAnsi"/>
          <w:sz w:val="22"/>
        </w:rPr>
        <w:t xml:space="preserve"> explored and tested for fit to the </w:t>
      </w:r>
      <w:r w:rsidR="00093E29" w:rsidRPr="009F60EC">
        <w:rPr>
          <w:rFonts w:asciiTheme="majorHAnsi" w:hAnsiTheme="majorHAnsi"/>
          <w:sz w:val="22"/>
        </w:rPr>
        <w:t>lognormal</w:t>
      </w:r>
      <w:r w:rsidR="00077493" w:rsidRPr="009F60EC">
        <w:rPr>
          <w:rFonts w:asciiTheme="majorHAnsi" w:hAnsiTheme="majorHAnsi"/>
          <w:sz w:val="22"/>
        </w:rPr>
        <w:t xml:space="preserve"> model using</w:t>
      </w:r>
      <w:r w:rsidR="004A53DC" w:rsidRPr="009F60EC">
        <w:rPr>
          <w:rFonts w:asciiTheme="majorHAnsi" w:hAnsiTheme="majorHAnsi"/>
          <w:sz w:val="22"/>
        </w:rPr>
        <w:t xml:space="preserve"> the chi-squared test of normality and the </w:t>
      </w:r>
      <w:r w:rsidR="00077493" w:rsidRPr="009F60EC">
        <w:rPr>
          <w:rFonts w:asciiTheme="majorHAnsi" w:hAnsiTheme="majorHAnsi"/>
          <w:sz w:val="22"/>
        </w:rPr>
        <w:t>Sha</w:t>
      </w:r>
      <w:r w:rsidR="00BC1E3A" w:rsidRPr="009F60EC">
        <w:rPr>
          <w:rFonts w:asciiTheme="majorHAnsi" w:hAnsiTheme="majorHAnsi"/>
          <w:sz w:val="22"/>
        </w:rPr>
        <w:t>p</w:t>
      </w:r>
      <w:r w:rsidR="00077493" w:rsidRPr="009F60EC">
        <w:rPr>
          <w:rFonts w:asciiTheme="majorHAnsi" w:hAnsiTheme="majorHAnsi"/>
          <w:sz w:val="22"/>
        </w:rPr>
        <w:t xml:space="preserve">iro </w:t>
      </w:r>
      <w:proofErr w:type="spellStart"/>
      <w:r w:rsidR="00077493" w:rsidRPr="009F60EC">
        <w:rPr>
          <w:rFonts w:asciiTheme="majorHAnsi" w:hAnsiTheme="majorHAnsi"/>
          <w:sz w:val="22"/>
        </w:rPr>
        <w:t>Wilk</w:t>
      </w:r>
      <w:proofErr w:type="spellEnd"/>
      <w:r w:rsidR="00077493" w:rsidRPr="009F60EC">
        <w:rPr>
          <w:rFonts w:asciiTheme="majorHAnsi" w:hAnsiTheme="majorHAnsi"/>
          <w:sz w:val="22"/>
        </w:rPr>
        <w:t xml:space="preserve"> test. Analysis was conducted for the entire dataset </w:t>
      </w:r>
      <w:r w:rsidR="00591E96">
        <w:rPr>
          <w:rFonts w:asciiTheme="majorHAnsi" w:hAnsiTheme="majorHAnsi"/>
          <w:sz w:val="22"/>
        </w:rPr>
        <w:t xml:space="preserve">(i.e. tertiary and quaternary referrals) </w:t>
      </w:r>
      <w:r w:rsidR="00077493" w:rsidRPr="009F60EC">
        <w:rPr>
          <w:rFonts w:asciiTheme="majorHAnsi" w:hAnsiTheme="majorHAnsi"/>
          <w:sz w:val="22"/>
        </w:rPr>
        <w:t xml:space="preserve">and for </w:t>
      </w:r>
      <w:r w:rsidR="00093E29" w:rsidRPr="009F60EC">
        <w:rPr>
          <w:rFonts w:asciiTheme="majorHAnsi" w:hAnsiTheme="majorHAnsi"/>
          <w:sz w:val="22"/>
        </w:rPr>
        <w:t xml:space="preserve">the </w:t>
      </w:r>
      <w:r w:rsidRPr="009F60EC">
        <w:rPr>
          <w:rFonts w:asciiTheme="majorHAnsi" w:hAnsiTheme="majorHAnsi"/>
          <w:sz w:val="22"/>
        </w:rPr>
        <w:t>area exclusively supplied by Alder Hey hospital</w:t>
      </w:r>
      <w:r w:rsidR="00835C26" w:rsidRPr="009F60EC">
        <w:rPr>
          <w:rFonts w:asciiTheme="majorHAnsi" w:hAnsiTheme="majorHAnsi"/>
          <w:sz w:val="22"/>
        </w:rPr>
        <w:t xml:space="preserve"> (Liverpool, Sefton and Knowsley)</w:t>
      </w:r>
      <w:r w:rsidR="00591E96">
        <w:rPr>
          <w:rFonts w:asciiTheme="majorHAnsi" w:hAnsiTheme="majorHAnsi"/>
          <w:sz w:val="22"/>
        </w:rPr>
        <w:t xml:space="preserve"> (i.e. tertiary referrals)</w:t>
      </w:r>
      <w:r w:rsidR="00093E29" w:rsidRPr="009F60EC">
        <w:rPr>
          <w:rFonts w:asciiTheme="majorHAnsi" w:hAnsiTheme="majorHAnsi"/>
          <w:sz w:val="22"/>
        </w:rPr>
        <w:t xml:space="preserve">. </w:t>
      </w:r>
    </w:p>
    <w:p w14:paraId="51EFAC13" w14:textId="77777777" w:rsidR="00AB6C0A" w:rsidRDefault="00093E29" w:rsidP="0023011F">
      <w:pPr>
        <w:spacing w:line="360" w:lineRule="auto"/>
        <w:jc w:val="both"/>
        <w:rPr>
          <w:rFonts w:asciiTheme="majorHAnsi" w:hAnsiTheme="majorHAnsi" w:cs="Helvetica"/>
          <w:bCs/>
          <w:sz w:val="22"/>
          <w:szCs w:val="26"/>
        </w:rPr>
      </w:pPr>
      <w:r w:rsidRPr="009F60EC">
        <w:rPr>
          <w:rFonts w:asciiTheme="majorHAnsi" w:hAnsiTheme="majorHAnsi"/>
          <w:sz w:val="22"/>
        </w:rPr>
        <w:t xml:space="preserve">Subgroup analyses of laterality, sex and </w:t>
      </w:r>
      <w:r w:rsidR="000E7A44" w:rsidRPr="009F60EC">
        <w:rPr>
          <w:rFonts w:asciiTheme="majorHAnsi" w:hAnsiTheme="majorHAnsi"/>
          <w:sz w:val="22"/>
        </w:rPr>
        <w:t>region of diagnosis</w:t>
      </w:r>
      <w:r w:rsidRPr="009F60EC">
        <w:rPr>
          <w:rFonts w:asciiTheme="majorHAnsi" w:hAnsiTheme="majorHAnsi"/>
          <w:sz w:val="22"/>
        </w:rPr>
        <w:t xml:space="preserve"> were </w:t>
      </w:r>
      <w:r w:rsidR="00835C26" w:rsidRPr="009F60EC">
        <w:rPr>
          <w:rFonts w:asciiTheme="majorHAnsi" w:hAnsiTheme="majorHAnsi"/>
          <w:sz w:val="22"/>
        </w:rPr>
        <w:t>undertaken</w:t>
      </w:r>
      <w:r w:rsidR="00226FC2">
        <w:rPr>
          <w:rFonts w:asciiTheme="majorHAnsi" w:hAnsiTheme="majorHAnsi"/>
          <w:sz w:val="22"/>
        </w:rPr>
        <w:t>, using parametric tests following data transformation</w:t>
      </w:r>
      <w:r w:rsidRPr="009F60EC">
        <w:rPr>
          <w:rFonts w:asciiTheme="majorHAnsi" w:hAnsiTheme="majorHAnsi"/>
          <w:sz w:val="22"/>
        </w:rPr>
        <w:t xml:space="preserve">. </w:t>
      </w:r>
      <w:r w:rsidR="004755A8" w:rsidRPr="009F60EC">
        <w:rPr>
          <w:rFonts w:asciiTheme="majorHAnsi" w:hAnsiTheme="majorHAnsi"/>
          <w:sz w:val="22"/>
        </w:rPr>
        <w:t>Comparisons</w:t>
      </w:r>
      <w:r w:rsidRPr="009F60EC">
        <w:rPr>
          <w:rFonts w:asciiTheme="majorHAnsi" w:hAnsiTheme="majorHAnsi"/>
          <w:sz w:val="22"/>
        </w:rPr>
        <w:t xml:space="preserve"> were made using </w:t>
      </w:r>
      <w:proofErr w:type="spellStart"/>
      <w:r w:rsidR="0007637C" w:rsidRPr="009F60EC">
        <w:rPr>
          <w:rFonts w:asciiTheme="majorHAnsi" w:hAnsiTheme="majorHAnsi"/>
          <w:sz w:val="22"/>
        </w:rPr>
        <w:t>oneway</w:t>
      </w:r>
      <w:proofErr w:type="spellEnd"/>
      <w:r w:rsidR="0007637C" w:rsidRPr="009F60EC">
        <w:rPr>
          <w:rFonts w:asciiTheme="majorHAnsi" w:hAnsiTheme="majorHAnsi"/>
          <w:sz w:val="22"/>
        </w:rPr>
        <w:t xml:space="preserve"> ANOVA, with the </w:t>
      </w:r>
      <w:r w:rsidR="0007637C" w:rsidRPr="009F60EC">
        <w:rPr>
          <w:rFonts w:asciiTheme="majorHAnsi" w:hAnsiTheme="majorHAnsi" w:cs="Helvetica"/>
          <w:bCs/>
          <w:sz w:val="22"/>
          <w:szCs w:val="26"/>
        </w:rPr>
        <w:t>Bonferroni correction.</w:t>
      </w:r>
    </w:p>
    <w:p w14:paraId="3FDBBCB4" w14:textId="13A1C09E" w:rsidR="00591E96" w:rsidRPr="009F60EC" w:rsidRDefault="00591E96" w:rsidP="0023011F">
      <w:pPr>
        <w:spacing w:line="360" w:lineRule="auto"/>
        <w:jc w:val="both"/>
        <w:rPr>
          <w:rFonts w:asciiTheme="majorHAnsi" w:hAnsiTheme="majorHAnsi"/>
          <w:b/>
          <w:sz w:val="22"/>
        </w:rPr>
      </w:pPr>
      <w:r>
        <w:rPr>
          <w:rFonts w:asciiTheme="majorHAnsi" w:hAnsiTheme="majorHAnsi" w:cs="Helvetica"/>
          <w:bCs/>
          <w:sz w:val="22"/>
          <w:szCs w:val="26"/>
        </w:rPr>
        <w:t>Tests of normality are based on the null hypothesis that the dataset follows a normal distribution. A test of a normality for which p&lt;0.05 therefore indicates that the alternative hypothesis is accepted (i.e. the data does not appear to follow a normal distribution).</w:t>
      </w:r>
    </w:p>
    <w:p w14:paraId="72A92D04" w14:textId="77777777" w:rsidR="00AB6C0A" w:rsidRPr="009F60EC" w:rsidRDefault="00AB6C0A" w:rsidP="0023011F">
      <w:pPr>
        <w:spacing w:line="360" w:lineRule="auto"/>
        <w:rPr>
          <w:rFonts w:asciiTheme="majorHAnsi" w:hAnsiTheme="majorHAnsi"/>
          <w:sz w:val="22"/>
        </w:rPr>
      </w:pPr>
    </w:p>
    <w:p w14:paraId="5F30E3AB" w14:textId="77777777" w:rsidR="00AB6C0A" w:rsidRPr="009F60EC" w:rsidRDefault="0023011F" w:rsidP="0023011F">
      <w:pPr>
        <w:spacing w:line="360" w:lineRule="auto"/>
        <w:rPr>
          <w:rFonts w:asciiTheme="majorHAnsi" w:hAnsiTheme="majorHAnsi"/>
          <w:b/>
          <w:sz w:val="22"/>
          <w:u w:val="single"/>
        </w:rPr>
      </w:pPr>
      <w:r>
        <w:rPr>
          <w:rFonts w:asciiTheme="majorHAnsi" w:hAnsiTheme="majorHAnsi"/>
          <w:b/>
          <w:sz w:val="22"/>
          <w:u w:val="single"/>
        </w:rPr>
        <w:br w:type="page"/>
      </w:r>
      <w:r w:rsidR="00AB6C0A" w:rsidRPr="009F60EC">
        <w:rPr>
          <w:rFonts w:asciiTheme="majorHAnsi" w:hAnsiTheme="majorHAnsi"/>
          <w:b/>
          <w:sz w:val="22"/>
          <w:u w:val="single"/>
        </w:rPr>
        <w:lastRenderedPageBreak/>
        <w:t>Results</w:t>
      </w:r>
    </w:p>
    <w:p w14:paraId="719B02A4" w14:textId="7B31C83D" w:rsidR="00105F5B" w:rsidRPr="009F60EC" w:rsidRDefault="00AB6C0A" w:rsidP="0023011F">
      <w:pPr>
        <w:spacing w:line="360" w:lineRule="auto"/>
        <w:jc w:val="both"/>
        <w:rPr>
          <w:rFonts w:asciiTheme="majorHAnsi" w:hAnsiTheme="majorHAnsi"/>
          <w:sz w:val="22"/>
        </w:rPr>
      </w:pPr>
      <w:r w:rsidRPr="009F60EC">
        <w:rPr>
          <w:rFonts w:asciiTheme="majorHAnsi" w:hAnsiTheme="majorHAnsi"/>
          <w:sz w:val="22"/>
        </w:rPr>
        <w:t xml:space="preserve">1082 cases of Perthes disease were </w:t>
      </w:r>
      <w:r w:rsidR="004755A8">
        <w:rPr>
          <w:rFonts w:asciiTheme="majorHAnsi" w:hAnsiTheme="majorHAnsi"/>
          <w:sz w:val="22"/>
        </w:rPr>
        <w:t>recorded within the register</w:t>
      </w:r>
      <w:r w:rsidR="00FC0B34" w:rsidRPr="009F60EC">
        <w:rPr>
          <w:rFonts w:asciiTheme="majorHAnsi" w:hAnsiTheme="majorHAnsi"/>
          <w:sz w:val="22"/>
        </w:rPr>
        <w:t xml:space="preserve"> to</w:t>
      </w:r>
      <w:r w:rsidRPr="009F60EC">
        <w:rPr>
          <w:rFonts w:asciiTheme="majorHAnsi" w:hAnsiTheme="majorHAnsi"/>
          <w:sz w:val="22"/>
        </w:rPr>
        <w:t xml:space="preserve"> December 2010. 682 </w:t>
      </w:r>
      <w:r w:rsidR="00FC0B34" w:rsidRPr="009F60EC">
        <w:rPr>
          <w:rFonts w:asciiTheme="majorHAnsi" w:hAnsiTheme="majorHAnsi"/>
          <w:sz w:val="22"/>
        </w:rPr>
        <w:t xml:space="preserve">of these </w:t>
      </w:r>
      <w:r w:rsidRPr="009F60EC">
        <w:rPr>
          <w:rFonts w:asciiTheme="majorHAnsi" w:hAnsiTheme="majorHAnsi"/>
          <w:sz w:val="22"/>
        </w:rPr>
        <w:t xml:space="preserve">cases </w:t>
      </w:r>
      <w:r w:rsidR="00FC0B34" w:rsidRPr="009F60EC">
        <w:rPr>
          <w:rFonts w:asciiTheme="majorHAnsi" w:hAnsiTheme="majorHAnsi"/>
          <w:sz w:val="22"/>
        </w:rPr>
        <w:t>arose</w:t>
      </w:r>
      <w:r w:rsidRPr="009F60EC">
        <w:rPr>
          <w:rFonts w:asciiTheme="majorHAnsi" w:hAnsiTheme="majorHAnsi"/>
          <w:sz w:val="22"/>
        </w:rPr>
        <w:t xml:space="preserve"> from a geographical </w:t>
      </w:r>
      <w:r w:rsidR="00FC0B34" w:rsidRPr="009F60EC">
        <w:rPr>
          <w:rFonts w:asciiTheme="majorHAnsi" w:hAnsiTheme="majorHAnsi"/>
          <w:sz w:val="22"/>
        </w:rPr>
        <w:t xml:space="preserve">defined area that Alder Hey Hospital was the sole provider of paediatric orthopaedic services </w:t>
      </w:r>
      <w:r w:rsidRPr="009F60EC">
        <w:rPr>
          <w:rFonts w:asciiTheme="majorHAnsi" w:hAnsiTheme="majorHAnsi"/>
          <w:sz w:val="22"/>
        </w:rPr>
        <w:t>(Liverpool, Sefton and Knowsley)</w:t>
      </w:r>
      <w:r w:rsidR="00FC0B34" w:rsidRPr="009F60EC">
        <w:rPr>
          <w:rFonts w:asciiTheme="majorHAnsi" w:hAnsiTheme="majorHAnsi"/>
          <w:sz w:val="22"/>
        </w:rPr>
        <w:t>.</w:t>
      </w:r>
      <w:r w:rsidRPr="009F60EC">
        <w:rPr>
          <w:rFonts w:asciiTheme="majorHAnsi" w:hAnsiTheme="majorHAnsi"/>
          <w:sz w:val="22"/>
        </w:rPr>
        <w:t xml:space="preserve"> </w:t>
      </w:r>
      <w:r w:rsidR="00FC0B34" w:rsidRPr="009F60EC">
        <w:rPr>
          <w:rFonts w:asciiTheme="majorHAnsi" w:hAnsiTheme="majorHAnsi"/>
          <w:sz w:val="22"/>
        </w:rPr>
        <w:t xml:space="preserve">Within the register, </w:t>
      </w:r>
      <w:r w:rsidR="00105F5B" w:rsidRPr="009F60EC">
        <w:rPr>
          <w:rFonts w:asciiTheme="majorHAnsi" w:hAnsiTheme="majorHAnsi"/>
          <w:sz w:val="22"/>
        </w:rPr>
        <w:t xml:space="preserve">90 cases did not have a clear date of onset – </w:t>
      </w:r>
      <w:r w:rsidR="00675839" w:rsidRPr="009F60EC">
        <w:rPr>
          <w:rFonts w:asciiTheme="majorHAnsi" w:hAnsiTheme="majorHAnsi"/>
          <w:sz w:val="22"/>
        </w:rPr>
        <w:t>largely</w:t>
      </w:r>
      <w:r w:rsidR="00105F5B" w:rsidRPr="009F60EC">
        <w:rPr>
          <w:rFonts w:asciiTheme="majorHAnsi" w:hAnsiTheme="majorHAnsi"/>
          <w:sz w:val="22"/>
        </w:rPr>
        <w:t xml:space="preserve"> as a result of the child been referred for quaternary care of established disease. Such cases were excluded. </w:t>
      </w:r>
      <w:r w:rsidR="00134908">
        <w:rPr>
          <w:rFonts w:asciiTheme="majorHAnsi" w:hAnsiTheme="majorHAnsi"/>
          <w:sz w:val="22"/>
        </w:rPr>
        <w:t xml:space="preserve">Of those arising within </w:t>
      </w:r>
      <w:r w:rsidR="00134908" w:rsidRPr="009F60EC">
        <w:rPr>
          <w:rFonts w:asciiTheme="majorHAnsi" w:hAnsiTheme="majorHAnsi"/>
          <w:sz w:val="22"/>
        </w:rPr>
        <w:t xml:space="preserve">Liverpool, Sefton and </w:t>
      </w:r>
      <w:r w:rsidR="00134908">
        <w:rPr>
          <w:rFonts w:asciiTheme="majorHAnsi" w:hAnsiTheme="majorHAnsi"/>
          <w:sz w:val="22"/>
        </w:rPr>
        <w:t xml:space="preserve">Knowsley, </w:t>
      </w:r>
      <w:r w:rsidR="00591E96">
        <w:rPr>
          <w:rFonts w:asciiTheme="majorHAnsi" w:hAnsiTheme="majorHAnsi"/>
          <w:sz w:val="22"/>
        </w:rPr>
        <w:t>in only</w:t>
      </w:r>
      <w:r w:rsidR="00134908">
        <w:rPr>
          <w:rFonts w:asciiTheme="majorHAnsi" w:hAnsiTheme="majorHAnsi"/>
          <w:sz w:val="22"/>
        </w:rPr>
        <w:t xml:space="preserve"> n</w:t>
      </w:r>
      <w:r w:rsidR="00675839" w:rsidRPr="009F60EC">
        <w:rPr>
          <w:rFonts w:asciiTheme="majorHAnsi" w:hAnsiTheme="majorHAnsi"/>
          <w:sz w:val="22"/>
        </w:rPr>
        <w:t xml:space="preserve">ine </w:t>
      </w:r>
      <w:r w:rsidR="00BC1E3A" w:rsidRPr="009F60EC">
        <w:rPr>
          <w:rFonts w:asciiTheme="majorHAnsi" w:hAnsiTheme="majorHAnsi"/>
          <w:sz w:val="22"/>
        </w:rPr>
        <w:t>of the 682</w:t>
      </w:r>
      <w:r w:rsidR="00134908">
        <w:rPr>
          <w:rFonts w:asciiTheme="majorHAnsi" w:hAnsiTheme="majorHAnsi"/>
          <w:sz w:val="22"/>
        </w:rPr>
        <w:t xml:space="preserve"> cases was the date </w:t>
      </w:r>
      <w:r w:rsidR="00134908" w:rsidRPr="009F60EC">
        <w:rPr>
          <w:rFonts w:asciiTheme="majorHAnsi" w:hAnsiTheme="majorHAnsi"/>
          <w:sz w:val="22"/>
        </w:rPr>
        <w:t>of onset</w:t>
      </w:r>
      <w:r w:rsidR="00134908">
        <w:rPr>
          <w:rFonts w:asciiTheme="majorHAnsi" w:hAnsiTheme="majorHAnsi"/>
          <w:sz w:val="22"/>
        </w:rPr>
        <w:t xml:space="preserve"> absent or ambiguous, and similarly excluded.</w:t>
      </w:r>
      <w:r w:rsidR="00BC1E3A" w:rsidRPr="009F60EC">
        <w:rPr>
          <w:rFonts w:asciiTheme="majorHAnsi" w:hAnsiTheme="majorHAnsi"/>
          <w:sz w:val="22"/>
        </w:rPr>
        <w:t xml:space="preserve"> </w:t>
      </w:r>
    </w:p>
    <w:p w14:paraId="62C14084" w14:textId="77777777" w:rsidR="00BC1E3A" w:rsidRDefault="00194292" w:rsidP="0023011F">
      <w:pPr>
        <w:spacing w:line="360" w:lineRule="auto"/>
        <w:jc w:val="both"/>
        <w:rPr>
          <w:rFonts w:asciiTheme="majorHAnsi" w:hAnsiTheme="majorHAnsi"/>
          <w:sz w:val="22"/>
        </w:rPr>
      </w:pPr>
      <w:r w:rsidRPr="009F60EC">
        <w:rPr>
          <w:rFonts w:asciiTheme="majorHAnsi" w:hAnsiTheme="majorHAnsi"/>
          <w:sz w:val="22"/>
        </w:rPr>
        <w:t xml:space="preserve">992 cases were available for inclusion. </w:t>
      </w:r>
      <w:r w:rsidRPr="00194292">
        <w:rPr>
          <w:rFonts w:asciiTheme="majorHAnsi" w:hAnsiTheme="majorHAnsi"/>
          <w:sz w:val="22"/>
        </w:rPr>
        <w:t>The mean onset of disease was 2260 days (6.2 years), m</w:t>
      </w:r>
      <w:r w:rsidR="00134908" w:rsidRPr="00194292">
        <w:rPr>
          <w:rFonts w:asciiTheme="majorHAnsi" w:hAnsiTheme="majorHAnsi"/>
          <w:sz w:val="22"/>
        </w:rPr>
        <w:t xml:space="preserve">edian 2135 </w:t>
      </w:r>
      <w:r w:rsidR="003C4EFD" w:rsidRPr="00194292">
        <w:rPr>
          <w:rFonts w:asciiTheme="majorHAnsi" w:hAnsiTheme="majorHAnsi"/>
          <w:sz w:val="22"/>
        </w:rPr>
        <w:t xml:space="preserve">days </w:t>
      </w:r>
      <w:r w:rsidR="00916E9B">
        <w:rPr>
          <w:rFonts w:asciiTheme="majorHAnsi" w:hAnsiTheme="majorHAnsi"/>
          <w:sz w:val="22"/>
        </w:rPr>
        <w:t>(5.8 years) and</w:t>
      </w:r>
      <w:r w:rsidR="00134908" w:rsidRPr="00194292">
        <w:rPr>
          <w:rFonts w:asciiTheme="majorHAnsi" w:hAnsiTheme="majorHAnsi"/>
          <w:sz w:val="22"/>
        </w:rPr>
        <w:t xml:space="preserve"> </w:t>
      </w:r>
      <w:r w:rsidRPr="00194292">
        <w:rPr>
          <w:rFonts w:asciiTheme="majorHAnsi" w:hAnsiTheme="majorHAnsi"/>
          <w:sz w:val="22"/>
        </w:rPr>
        <w:t>mode 1834 years (5.02 years). This therefore corresponds to a distribution with a positive skew (</w:t>
      </w:r>
      <w:proofErr w:type="spellStart"/>
      <w:r w:rsidRPr="00194292">
        <w:rPr>
          <w:rFonts w:asciiTheme="majorHAnsi" w:hAnsiTheme="majorHAnsi"/>
          <w:sz w:val="22"/>
        </w:rPr>
        <w:t>skewness</w:t>
      </w:r>
      <w:proofErr w:type="spellEnd"/>
      <w:r w:rsidRPr="00194292">
        <w:rPr>
          <w:rFonts w:asciiTheme="majorHAnsi" w:hAnsiTheme="majorHAnsi"/>
          <w:sz w:val="22"/>
        </w:rPr>
        <w:t xml:space="preserve"> 0.92).</w:t>
      </w:r>
    </w:p>
    <w:p w14:paraId="61AD0405" w14:textId="77777777" w:rsidR="008379A8" w:rsidRPr="00194292" w:rsidRDefault="008379A8" w:rsidP="0023011F">
      <w:pPr>
        <w:spacing w:line="360" w:lineRule="auto"/>
        <w:jc w:val="both"/>
        <w:rPr>
          <w:rFonts w:asciiTheme="majorHAnsi" w:hAnsiTheme="majorHAnsi"/>
          <w:sz w:val="22"/>
        </w:rPr>
      </w:pPr>
    </w:p>
    <w:p w14:paraId="2AD4FA5F" w14:textId="77777777" w:rsidR="00EE38D8" w:rsidRPr="009F60EC" w:rsidRDefault="00194292" w:rsidP="0023011F">
      <w:pPr>
        <w:spacing w:line="360" w:lineRule="auto"/>
        <w:rPr>
          <w:rFonts w:asciiTheme="majorHAnsi" w:hAnsiTheme="majorHAnsi"/>
          <w:b/>
          <w:sz w:val="22"/>
          <w:u w:val="single"/>
        </w:rPr>
      </w:pPr>
      <w:r>
        <w:rPr>
          <w:rFonts w:asciiTheme="majorHAnsi" w:hAnsiTheme="majorHAnsi"/>
          <w:b/>
          <w:sz w:val="22"/>
          <w:u w:val="single"/>
        </w:rPr>
        <w:t>Testing</w:t>
      </w:r>
      <w:r w:rsidR="00BC1E3A" w:rsidRPr="009F60EC">
        <w:rPr>
          <w:rFonts w:asciiTheme="majorHAnsi" w:hAnsiTheme="majorHAnsi"/>
          <w:b/>
          <w:sz w:val="22"/>
          <w:u w:val="single"/>
        </w:rPr>
        <w:t xml:space="preserve"> </w:t>
      </w:r>
      <w:proofErr w:type="spellStart"/>
      <w:r w:rsidR="00BC1E3A" w:rsidRPr="009F60EC">
        <w:rPr>
          <w:rFonts w:asciiTheme="majorHAnsi" w:hAnsiTheme="majorHAnsi"/>
          <w:b/>
          <w:sz w:val="22"/>
          <w:u w:val="single"/>
        </w:rPr>
        <w:t>Log</w:t>
      </w:r>
      <w:r w:rsidRPr="009F60EC">
        <w:rPr>
          <w:rFonts w:asciiTheme="majorHAnsi" w:hAnsiTheme="majorHAnsi"/>
          <w:b/>
          <w:sz w:val="22"/>
          <w:u w:val="single"/>
        </w:rPr>
        <w:t>normality</w:t>
      </w:r>
      <w:proofErr w:type="spellEnd"/>
      <w:r w:rsidR="00BC1E3A" w:rsidRPr="009F60EC">
        <w:rPr>
          <w:rFonts w:asciiTheme="majorHAnsi" w:hAnsiTheme="majorHAnsi"/>
          <w:b/>
          <w:sz w:val="22"/>
          <w:u w:val="single"/>
        </w:rPr>
        <w:t xml:space="preserve"> </w:t>
      </w:r>
    </w:p>
    <w:p w14:paraId="4795D000" w14:textId="77777777" w:rsidR="00EE38D8" w:rsidRPr="009F60EC" w:rsidRDefault="00EE38D8" w:rsidP="0023011F">
      <w:pPr>
        <w:spacing w:line="360" w:lineRule="auto"/>
        <w:jc w:val="both"/>
        <w:rPr>
          <w:rFonts w:asciiTheme="majorHAnsi" w:hAnsiTheme="majorHAnsi"/>
          <w:sz w:val="22"/>
        </w:rPr>
      </w:pPr>
      <w:r w:rsidRPr="009F60EC">
        <w:rPr>
          <w:rFonts w:asciiTheme="majorHAnsi" w:hAnsiTheme="majorHAnsi"/>
          <w:sz w:val="22"/>
        </w:rPr>
        <w:t>Visually the entire dataset fitted well to a lognormal model</w:t>
      </w:r>
      <w:r w:rsidR="006E28A2" w:rsidRPr="009F60EC">
        <w:rPr>
          <w:rFonts w:asciiTheme="majorHAnsi" w:hAnsiTheme="majorHAnsi"/>
          <w:sz w:val="22"/>
        </w:rPr>
        <w:t xml:space="preserve"> (Fig A, B)</w:t>
      </w:r>
      <w:r w:rsidRPr="009F60EC">
        <w:rPr>
          <w:rFonts w:asciiTheme="majorHAnsi" w:hAnsiTheme="majorHAnsi"/>
          <w:sz w:val="22"/>
        </w:rPr>
        <w:t>. Statistically this was significant using chi-squared test of normality at the 5% level (p = 0.1</w:t>
      </w:r>
      <w:r w:rsidR="004A53DC" w:rsidRPr="009F60EC">
        <w:rPr>
          <w:rFonts w:asciiTheme="majorHAnsi" w:hAnsiTheme="majorHAnsi"/>
          <w:sz w:val="22"/>
        </w:rPr>
        <w:t xml:space="preserve">0), yet not using Shapiro </w:t>
      </w:r>
      <w:proofErr w:type="spellStart"/>
      <w:r w:rsidR="004A53DC" w:rsidRPr="009F60EC">
        <w:rPr>
          <w:rFonts w:asciiTheme="majorHAnsi" w:hAnsiTheme="majorHAnsi"/>
          <w:sz w:val="22"/>
        </w:rPr>
        <w:t>Wilk</w:t>
      </w:r>
      <w:proofErr w:type="spellEnd"/>
      <w:r w:rsidRPr="009F60EC">
        <w:rPr>
          <w:rFonts w:asciiTheme="majorHAnsi" w:hAnsiTheme="majorHAnsi"/>
          <w:sz w:val="22"/>
        </w:rPr>
        <w:t xml:space="preserve"> test (p = 0.01). </w:t>
      </w:r>
    </w:p>
    <w:p w14:paraId="59596066" w14:textId="77777777" w:rsidR="00203947" w:rsidRPr="00226FC2" w:rsidRDefault="006E28A2" w:rsidP="0023011F">
      <w:pPr>
        <w:spacing w:line="360" w:lineRule="auto"/>
        <w:jc w:val="both"/>
        <w:rPr>
          <w:rFonts w:asciiTheme="majorHAnsi" w:hAnsiTheme="majorHAnsi"/>
          <w:sz w:val="22"/>
        </w:rPr>
      </w:pPr>
      <w:r w:rsidRPr="009F60EC">
        <w:rPr>
          <w:rFonts w:asciiTheme="majorHAnsi" w:hAnsiTheme="majorHAnsi"/>
          <w:sz w:val="22"/>
        </w:rPr>
        <w:t xml:space="preserve">Examining those patients from the area exclusively </w:t>
      </w:r>
      <w:r w:rsidR="004A53DC" w:rsidRPr="009F60EC">
        <w:rPr>
          <w:rFonts w:asciiTheme="majorHAnsi" w:hAnsiTheme="majorHAnsi"/>
          <w:sz w:val="22"/>
        </w:rPr>
        <w:t>served</w:t>
      </w:r>
      <w:r w:rsidRPr="009F60EC">
        <w:rPr>
          <w:rFonts w:asciiTheme="majorHAnsi" w:hAnsiTheme="majorHAnsi"/>
          <w:sz w:val="22"/>
        </w:rPr>
        <w:t xml:space="preserve"> by Alder Hey hospital</w:t>
      </w:r>
      <w:r w:rsidR="00BC1E3A" w:rsidRPr="009F60EC">
        <w:rPr>
          <w:rFonts w:asciiTheme="majorHAnsi" w:hAnsiTheme="majorHAnsi"/>
          <w:sz w:val="22"/>
        </w:rPr>
        <w:t xml:space="preserve"> (n=673)</w:t>
      </w:r>
      <w:r w:rsidRPr="009F60EC">
        <w:rPr>
          <w:rFonts w:asciiTheme="majorHAnsi" w:hAnsiTheme="majorHAnsi"/>
          <w:sz w:val="22"/>
        </w:rPr>
        <w:t xml:space="preserve"> revealed </w:t>
      </w:r>
      <w:r w:rsidR="00675839" w:rsidRPr="009F60EC">
        <w:rPr>
          <w:rFonts w:asciiTheme="majorHAnsi" w:hAnsiTheme="majorHAnsi"/>
          <w:sz w:val="22"/>
        </w:rPr>
        <w:t xml:space="preserve">significant </w:t>
      </w:r>
      <w:r w:rsidRPr="009F60EC">
        <w:rPr>
          <w:rFonts w:asciiTheme="majorHAnsi" w:hAnsiTheme="majorHAnsi"/>
          <w:sz w:val="22"/>
        </w:rPr>
        <w:t>results</w:t>
      </w:r>
      <w:r w:rsidR="00BC1E3A" w:rsidRPr="009F60EC">
        <w:rPr>
          <w:rFonts w:asciiTheme="majorHAnsi" w:hAnsiTheme="majorHAnsi"/>
          <w:sz w:val="22"/>
        </w:rPr>
        <w:t xml:space="preserve">, </w:t>
      </w:r>
      <w:r w:rsidR="00675839" w:rsidRPr="009F60EC">
        <w:rPr>
          <w:rFonts w:asciiTheme="majorHAnsi" w:hAnsiTheme="majorHAnsi"/>
          <w:sz w:val="22"/>
        </w:rPr>
        <w:t xml:space="preserve">using both </w:t>
      </w:r>
      <w:r w:rsidR="00BC1E3A" w:rsidRPr="009F60EC">
        <w:rPr>
          <w:rFonts w:asciiTheme="majorHAnsi" w:hAnsiTheme="majorHAnsi"/>
          <w:sz w:val="22"/>
        </w:rPr>
        <w:t>chi-</w:t>
      </w:r>
      <w:r w:rsidR="004A53DC" w:rsidRPr="009F60EC">
        <w:rPr>
          <w:rFonts w:asciiTheme="majorHAnsi" w:hAnsiTheme="majorHAnsi"/>
          <w:sz w:val="22"/>
        </w:rPr>
        <w:t xml:space="preserve">squared (p = 0.16) and Shapiro </w:t>
      </w:r>
      <w:proofErr w:type="spellStart"/>
      <w:r w:rsidR="004A53DC" w:rsidRPr="009F60EC">
        <w:rPr>
          <w:rFonts w:asciiTheme="majorHAnsi" w:hAnsiTheme="majorHAnsi"/>
          <w:sz w:val="22"/>
        </w:rPr>
        <w:t>Wilk</w:t>
      </w:r>
      <w:proofErr w:type="spellEnd"/>
      <w:r w:rsidR="00BC1E3A" w:rsidRPr="009F60EC">
        <w:rPr>
          <w:rFonts w:asciiTheme="majorHAnsi" w:hAnsiTheme="majorHAnsi"/>
          <w:sz w:val="22"/>
        </w:rPr>
        <w:t xml:space="preserve"> (p = 0.08) tests of normality.</w:t>
      </w:r>
    </w:p>
    <w:p w14:paraId="54D3FF12" w14:textId="77777777" w:rsidR="00105F5B" w:rsidRPr="009F60EC" w:rsidRDefault="001B5C8E" w:rsidP="0023011F">
      <w:pPr>
        <w:spacing w:line="360" w:lineRule="auto"/>
        <w:jc w:val="both"/>
        <w:rPr>
          <w:rFonts w:asciiTheme="majorHAnsi" w:hAnsiTheme="majorHAnsi"/>
          <w:b/>
          <w:sz w:val="22"/>
        </w:rPr>
      </w:pPr>
      <w:r>
        <w:rPr>
          <w:rFonts w:asciiTheme="majorHAnsi" w:hAnsiTheme="majorHAnsi"/>
          <w:b/>
          <w:sz w:val="22"/>
        </w:rPr>
        <w:br w:type="page"/>
      </w:r>
      <w:r w:rsidR="00203947" w:rsidRPr="009F60EC">
        <w:rPr>
          <w:rFonts w:asciiTheme="majorHAnsi" w:hAnsiTheme="majorHAnsi"/>
          <w:b/>
          <w:sz w:val="22"/>
        </w:rPr>
        <w:lastRenderedPageBreak/>
        <w:t xml:space="preserve">Fig A </w:t>
      </w:r>
      <w:r w:rsidR="00EE38D8" w:rsidRPr="009F60EC">
        <w:rPr>
          <w:rFonts w:asciiTheme="majorHAnsi" w:hAnsiTheme="majorHAnsi"/>
          <w:b/>
          <w:sz w:val="22"/>
        </w:rPr>
        <w:t>–</w:t>
      </w:r>
      <w:r w:rsidR="00203947" w:rsidRPr="009F60EC">
        <w:rPr>
          <w:rFonts w:asciiTheme="majorHAnsi" w:hAnsiTheme="majorHAnsi"/>
          <w:b/>
          <w:sz w:val="22"/>
        </w:rPr>
        <w:t xml:space="preserve"> </w:t>
      </w:r>
      <w:r w:rsidR="00EE38D8" w:rsidRPr="009F60EC">
        <w:rPr>
          <w:rFonts w:asciiTheme="majorHAnsi" w:hAnsiTheme="majorHAnsi"/>
          <w:sz w:val="22"/>
        </w:rPr>
        <w:t xml:space="preserve">Histogram of </w:t>
      </w:r>
      <w:r w:rsidR="004A53DC" w:rsidRPr="009F60EC">
        <w:rPr>
          <w:rFonts w:asciiTheme="majorHAnsi" w:hAnsiTheme="majorHAnsi"/>
          <w:sz w:val="22"/>
        </w:rPr>
        <w:t xml:space="preserve">the </w:t>
      </w:r>
      <w:r w:rsidR="00EE38D8" w:rsidRPr="009F60EC">
        <w:rPr>
          <w:rFonts w:asciiTheme="majorHAnsi" w:hAnsiTheme="majorHAnsi"/>
          <w:sz w:val="22"/>
        </w:rPr>
        <w:t>a</w:t>
      </w:r>
      <w:r w:rsidR="00203947" w:rsidRPr="009F60EC">
        <w:rPr>
          <w:rFonts w:asciiTheme="majorHAnsi" w:hAnsiTheme="majorHAnsi"/>
          <w:sz w:val="22"/>
        </w:rPr>
        <w:t>ge</w:t>
      </w:r>
      <w:r w:rsidR="004A53DC" w:rsidRPr="009F60EC">
        <w:rPr>
          <w:rFonts w:asciiTheme="majorHAnsi" w:hAnsiTheme="majorHAnsi"/>
          <w:sz w:val="22"/>
        </w:rPr>
        <w:t>-of-onset</w:t>
      </w:r>
      <w:r w:rsidR="00203947" w:rsidRPr="009F60EC">
        <w:rPr>
          <w:rFonts w:asciiTheme="majorHAnsi" w:hAnsiTheme="majorHAnsi"/>
          <w:sz w:val="22"/>
        </w:rPr>
        <w:t xml:space="preserve"> distribution of cases of Perthes disease (days).</w:t>
      </w:r>
      <w:r w:rsidR="00203947" w:rsidRPr="009F60EC">
        <w:rPr>
          <w:rFonts w:asciiTheme="majorHAnsi" w:hAnsiTheme="majorHAnsi"/>
          <w:b/>
          <w:sz w:val="22"/>
        </w:rPr>
        <w:t xml:space="preserve"> </w:t>
      </w:r>
    </w:p>
    <w:p w14:paraId="63ED4375" w14:textId="77777777" w:rsidR="00EE38D8" w:rsidRPr="009F60EC" w:rsidRDefault="00203947" w:rsidP="0023011F">
      <w:pPr>
        <w:spacing w:line="360" w:lineRule="auto"/>
        <w:jc w:val="both"/>
        <w:rPr>
          <w:rFonts w:asciiTheme="majorHAnsi" w:hAnsiTheme="majorHAnsi"/>
          <w:b/>
          <w:sz w:val="22"/>
          <w:u w:val="single"/>
        </w:rPr>
      </w:pPr>
      <w:r w:rsidRPr="009F60EC">
        <w:rPr>
          <w:rFonts w:asciiTheme="majorHAnsi" w:hAnsiTheme="majorHAnsi"/>
          <w:b/>
          <w:noProof/>
          <w:sz w:val="22"/>
          <w:u w:val="single"/>
        </w:rPr>
        <w:drawing>
          <wp:inline distT="0" distB="0" distL="0" distR="0" wp14:anchorId="33885501" wp14:editId="1031DB70">
            <wp:extent cx="3403600" cy="2475345"/>
            <wp:effectExtent l="2540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407623" cy="2478271"/>
                    </a:xfrm>
                    <a:prstGeom prst="rect">
                      <a:avLst/>
                    </a:prstGeom>
                    <a:noFill/>
                    <a:ln w="9525">
                      <a:noFill/>
                      <a:miter lim="800000"/>
                      <a:headEnd/>
                      <a:tailEnd/>
                    </a:ln>
                  </pic:spPr>
                </pic:pic>
              </a:graphicData>
            </a:graphic>
          </wp:inline>
        </w:drawing>
      </w:r>
    </w:p>
    <w:p w14:paraId="2041CB41" w14:textId="77777777" w:rsidR="00EE38D8" w:rsidRPr="009F60EC" w:rsidRDefault="00EE38D8" w:rsidP="0023011F">
      <w:pPr>
        <w:spacing w:line="360" w:lineRule="auto"/>
        <w:jc w:val="both"/>
        <w:rPr>
          <w:rFonts w:asciiTheme="majorHAnsi" w:hAnsiTheme="majorHAnsi"/>
          <w:sz w:val="22"/>
        </w:rPr>
      </w:pPr>
      <w:r w:rsidRPr="009F60EC">
        <w:rPr>
          <w:rFonts w:asciiTheme="majorHAnsi" w:hAnsiTheme="majorHAnsi"/>
          <w:b/>
          <w:sz w:val="22"/>
        </w:rPr>
        <w:t xml:space="preserve">Fig B – </w:t>
      </w:r>
      <w:r w:rsidRPr="009F60EC">
        <w:rPr>
          <w:rFonts w:asciiTheme="majorHAnsi" w:hAnsiTheme="majorHAnsi"/>
          <w:sz w:val="22"/>
        </w:rPr>
        <w:t>Histogram of Lo</w:t>
      </w:r>
      <w:r w:rsidR="004A53DC" w:rsidRPr="009F60EC">
        <w:rPr>
          <w:rFonts w:asciiTheme="majorHAnsi" w:hAnsiTheme="majorHAnsi"/>
          <w:sz w:val="22"/>
        </w:rPr>
        <w:t>garithmic transformation of age-of-</w:t>
      </w:r>
      <w:r w:rsidRPr="009F60EC">
        <w:rPr>
          <w:rFonts w:asciiTheme="majorHAnsi" w:hAnsiTheme="majorHAnsi"/>
          <w:sz w:val="22"/>
        </w:rPr>
        <w:t>onset of Perthes disease</w:t>
      </w:r>
      <w:r w:rsidR="00194292">
        <w:rPr>
          <w:rFonts w:asciiTheme="majorHAnsi" w:hAnsiTheme="majorHAnsi"/>
          <w:sz w:val="22"/>
        </w:rPr>
        <w:t>, with a fitted curve</w:t>
      </w:r>
      <w:r w:rsidRPr="009F60EC">
        <w:rPr>
          <w:rFonts w:asciiTheme="majorHAnsi" w:hAnsiTheme="majorHAnsi"/>
          <w:sz w:val="22"/>
        </w:rPr>
        <w:t>.</w:t>
      </w:r>
      <w:r w:rsidRPr="009F60EC">
        <w:rPr>
          <w:rFonts w:asciiTheme="majorHAnsi" w:hAnsiTheme="majorHAnsi"/>
          <w:b/>
          <w:sz w:val="22"/>
        </w:rPr>
        <w:t xml:space="preserve"> </w:t>
      </w:r>
    </w:p>
    <w:p w14:paraId="171F37BC" w14:textId="77777777" w:rsidR="00203947" w:rsidRPr="009F60EC" w:rsidRDefault="00EE38D8" w:rsidP="0023011F">
      <w:pPr>
        <w:spacing w:line="360" w:lineRule="auto"/>
        <w:jc w:val="both"/>
        <w:rPr>
          <w:rFonts w:asciiTheme="majorHAnsi" w:hAnsiTheme="majorHAnsi"/>
          <w:b/>
          <w:sz w:val="22"/>
        </w:rPr>
      </w:pPr>
      <w:r w:rsidRPr="009F60EC">
        <w:rPr>
          <w:rFonts w:asciiTheme="majorHAnsi" w:hAnsiTheme="majorHAnsi"/>
          <w:b/>
          <w:noProof/>
          <w:sz w:val="22"/>
        </w:rPr>
        <w:drawing>
          <wp:inline distT="0" distB="0" distL="0" distR="0" wp14:anchorId="63BC0385" wp14:editId="3EDFE91F">
            <wp:extent cx="3422650" cy="2489200"/>
            <wp:effectExtent l="25400" t="0" r="635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422650" cy="2489200"/>
                    </a:xfrm>
                    <a:prstGeom prst="rect">
                      <a:avLst/>
                    </a:prstGeom>
                    <a:noFill/>
                    <a:ln w="9525">
                      <a:noFill/>
                      <a:miter lim="800000"/>
                      <a:headEnd/>
                      <a:tailEnd/>
                    </a:ln>
                  </pic:spPr>
                </pic:pic>
              </a:graphicData>
            </a:graphic>
          </wp:inline>
        </w:drawing>
      </w:r>
    </w:p>
    <w:p w14:paraId="23A9E6D7" w14:textId="77777777" w:rsidR="00BC1E3A" w:rsidRPr="009F60EC" w:rsidRDefault="00BC1E3A" w:rsidP="0023011F">
      <w:pPr>
        <w:spacing w:line="360" w:lineRule="auto"/>
        <w:jc w:val="both"/>
        <w:rPr>
          <w:rFonts w:asciiTheme="majorHAnsi" w:hAnsiTheme="majorHAnsi"/>
          <w:sz w:val="22"/>
        </w:rPr>
      </w:pPr>
    </w:p>
    <w:p w14:paraId="48097AC8" w14:textId="77777777" w:rsidR="00BC1E3A" w:rsidRPr="009F60EC" w:rsidRDefault="001B5C8E" w:rsidP="0023011F">
      <w:pPr>
        <w:spacing w:line="360" w:lineRule="auto"/>
        <w:jc w:val="both"/>
        <w:rPr>
          <w:rFonts w:asciiTheme="majorHAnsi" w:hAnsiTheme="majorHAnsi"/>
          <w:b/>
          <w:sz w:val="22"/>
          <w:u w:val="single"/>
        </w:rPr>
      </w:pPr>
      <w:r>
        <w:rPr>
          <w:rFonts w:asciiTheme="majorHAnsi" w:hAnsiTheme="majorHAnsi"/>
          <w:b/>
          <w:sz w:val="22"/>
          <w:u w:val="single"/>
        </w:rPr>
        <w:br w:type="page"/>
      </w:r>
      <w:r w:rsidR="00BC1E3A" w:rsidRPr="009F60EC">
        <w:rPr>
          <w:rFonts w:asciiTheme="majorHAnsi" w:hAnsiTheme="majorHAnsi"/>
          <w:b/>
          <w:sz w:val="22"/>
          <w:u w:val="single"/>
        </w:rPr>
        <w:lastRenderedPageBreak/>
        <w:t>Male vs. Female Age of Onset</w:t>
      </w:r>
    </w:p>
    <w:p w14:paraId="2EB818BC" w14:textId="77777777" w:rsidR="00384D7F" w:rsidRPr="009F60EC" w:rsidRDefault="00384D7F" w:rsidP="0023011F">
      <w:pPr>
        <w:spacing w:line="360" w:lineRule="auto"/>
        <w:jc w:val="both"/>
        <w:rPr>
          <w:rFonts w:asciiTheme="majorHAnsi" w:hAnsiTheme="majorHAnsi"/>
          <w:sz w:val="22"/>
        </w:rPr>
      </w:pPr>
      <w:r w:rsidRPr="009F60EC">
        <w:rPr>
          <w:rFonts w:asciiTheme="majorHAnsi" w:hAnsiTheme="majorHAnsi"/>
          <w:sz w:val="22"/>
        </w:rPr>
        <w:t>Female onset w</w:t>
      </w:r>
      <w:r w:rsidR="00BC7EE3" w:rsidRPr="009F60EC">
        <w:rPr>
          <w:rFonts w:asciiTheme="majorHAnsi" w:hAnsiTheme="majorHAnsi"/>
          <w:sz w:val="22"/>
        </w:rPr>
        <w:t>as almost 6 months before males (p=0.01).</w:t>
      </w:r>
      <w:r w:rsidR="004F0DA5" w:rsidRPr="009F60EC">
        <w:rPr>
          <w:rFonts w:asciiTheme="majorHAnsi" w:hAnsiTheme="majorHAnsi"/>
          <w:sz w:val="22"/>
        </w:rPr>
        <w:t xml:space="preserve"> Table 1. </w:t>
      </w:r>
    </w:p>
    <w:tbl>
      <w:tblPr>
        <w:tblStyle w:val="TableGrid"/>
        <w:tblW w:w="8613"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0A0" w:firstRow="1" w:lastRow="0" w:firstColumn="1" w:lastColumn="0" w:noHBand="0" w:noVBand="0"/>
      </w:tblPr>
      <w:tblGrid>
        <w:gridCol w:w="1547"/>
        <w:gridCol w:w="1635"/>
        <w:gridCol w:w="2738"/>
        <w:gridCol w:w="2693"/>
      </w:tblGrid>
      <w:tr w:rsidR="004F0DA5" w:rsidRPr="009F60EC" w14:paraId="103166FA" w14:textId="77777777">
        <w:tc>
          <w:tcPr>
            <w:tcW w:w="1547" w:type="dxa"/>
            <w:tcBorders>
              <w:bottom w:val="single" w:sz="4" w:space="0" w:color="auto"/>
            </w:tcBorders>
            <w:shd w:val="clear" w:color="auto" w:fill="A6A6A6" w:themeFill="background1" w:themeFillShade="A6"/>
          </w:tcPr>
          <w:p w14:paraId="6799A21C" w14:textId="77777777" w:rsidR="004F0DA5" w:rsidRPr="00916E9B" w:rsidRDefault="004F0DA5" w:rsidP="0023011F">
            <w:pPr>
              <w:spacing w:line="360" w:lineRule="auto"/>
              <w:jc w:val="both"/>
              <w:rPr>
                <w:rFonts w:asciiTheme="majorHAnsi" w:hAnsiTheme="majorHAnsi"/>
                <w:b/>
                <w:sz w:val="22"/>
              </w:rPr>
            </w:pPr>
            <w:r w:rsidRPr="00916E9B">
              <w:rPr>
                <w:rFonts w:asciiTheme="majorHAnsi" w:hAnsiTheme="majorHAnsi"/>
                <w:b/>
                <w:sz w:val="22"/>
              </w:rPr>
              <w:t>Sex</w:t>
            </w:r>
          </w:p>
        </w:tc>
        <w:tc>
          <w:tcPr>
            <w:tcW w:w="1635" w:type="dxa"/>
            <w:tcBorders>
              <w:bottom w:val="single" w:sz="4" w:space="0" w:color="auto"/>
            </w:tcBorders>
            <w:shd w:val="clear" w:color="auto" w:fill="A6A6A6" w:themeFill="background1" w:themeFillShade="A6"/>
          </w:tcPr>
          <w:p w14:paraId="0BED06C2" w14:textId="77777777" w:rsidR="004F0DA5" w:rsidRPr="00916E9B" w:rsidRDefault="004F0DA5" w:rsidP="0023011F">
            <w:pPr>
              <w:spacing w:line="360" w:lineRule="auto"/>
              <w:jc w:val="both"/>
              <w:rPr>
                <w:rFonts w:asciiTheme="majorHAnsi" w:hAnsiTheme="majorHAnsi"/>
                <w:b/>
                <w:sz w:val="22"/>
              </w:rPr>
            </w:pPr>
            <w:r w:rsidRPr="00916E9B">
              <w:rPr>
                <w:rFonts w:asciiTheme="majorHAnsi" w:hAnsiTheme="majorHAnsi"/>
                <w:b/>
                <w:sz w:val="22"/>
              </w:rPr>
              <w:t>Cases</w:t>
            </w:r>
          </w:p>
        </w:tc>
        <w:tc>
          <w:tcPr>
            <w:tcW w:w="2738" w:type="dxa"/>
            <w:tcBorders>
              <w:bottom w:val="single" w:sz="4" w:space="0" w:color="auto"/>
            </w:tcBorders>
            <w:shd w:val="clear" w:color="auto" w:fill="A6A6A6" w:themeFill="background1" w:themeFillShade="A6"/>
          </w:tcPr>
          <w:p w14:paraId="1F28FA40" w14:textId="77777777" w:rsidR="00916E9B" w:rsidRPr="00916E9B" w:rsidRDefault="004F0DA5" w:rsidP="0023011F">
            <w:pPr>
              <w:spacing w:line="360" w:lineRule="auto"/>
              <w:jc w:val="both"/>
              <w:rPr>
                <w:rFonts w:asciiTheme="majorHAnsi" w:hAnsiTheme="majorHAnsi"/>
                <w:b/>
                <w:sz w:val="22"/>
              </w:rPr>
            </w:pPr>
            <w:r w:rsidRPr="00916E9B">
              <w:rPr>
                <w:rFonts w:asciiTheme="majorHAnsi" w:hAnsiTheme="majorHAnsi"/>
                <w:b/>
                <w:sz w:val="22"/>
              </w:rPr>
              <w:t>Mean Ln</w:t>
            </w:r>
          </w:p>
          <w:p w14:paraId="02151E74" w14:textId="77777777" w:rsidR="004F0DA5" w:rsidRPr="00916E9B" w:rsidRDefault="004F0DA5" w:rsidP="0023011F">
            <w:pPr>
              <w:spacing w:line="360" w:lineRule="auto"/>
              <w:jc w:val="both"/>
              <w:rPr>
                <w:rFonts w:asciiTheme="majorHAnsi" w:hAnsiTheme="majorHAnsi"/>
                <w:b/>
                <w:sz w:val="22"/>
              </w:rPr>
            </w:pPr>
            <w:r w:rsidRPr="00916E9B">
              <w:rPr>
                <w:rFonts w:asciiTheme="majorHAnsi" w:hAnsiTheme="majorHAnsi"/>
                <w:b/>
                <w:sz w:val="22"/>
              </w:rPr>
              <w:t>(Age of Onset)</w:t>
            </w:r>
          </w:p>
        </w:tc>
        <w:tc>
          <w:tcPr>
            <w:tcW w:w="2693" w:type="dxa"/>
            <w:tcBorders>
              <w:bottom w:val="single" w:sz="4" w:space="0" w:color="auto"/>
            </w:tcBorders>
            <w:shd w:val="clear" w:color="auto" w:fill="A6A6A6" w:themeFill="background1" w:themeFillShade="A6"/>
          </w:tcPr>
          <w:p w14:paraId="7F3DFA44" w14:textId="77777777" w:rsidR="00916E9B" w:rsidRPr="00916E9B" w:rsidRDefault="004F0DA5" w:rsidP="0023011F">
            <w:pPr>
              <w:spacing w:line="360" w:lineRule="auto"/>
              <w:jc w:val="both"/>
              <w:rPr>
                <w:rFonts w:asciiTheme="majorHAnsi" w:hAnsiTheme="majorHAnsi"/>
                <w:b/>
                <w:sz w:val="22"/>
              </w:rPr>
            </w:pPr>
            <w:r w:rsidRPr="00916E9B">
              <w:rPr>
                <w:rFonts w:asciiTheme="majorHAnsi" w:hAnsiTheme="majorHAnsi"/>
                <w:b/>
                <w:sz w:val="22"/>
              </w:rPr>
              <w:t>Age of Onset</w:t>
            </w:r>
          </w:p>
          <w:p w14:paraId="07B6F067" w14:textId="77777777" w:rsidR="004F0DA5" w:rsidRPr="00916E9B" w:rsidRDefault="004F0DA5" w:rsidP="0023011F">
            <w:pPr>
              <w:spacing w:line="360" w:lineRule="auto"/>
              <w:jc w:val="both"/>
              <w:rPr>
                <w:rFonts w:asciiTheme="majorHAnsi" w:hAnsiTheme="majorHAnsi"/>
                <w:b/>
                <w:sz w:val="22"/>
              </w:rPr>
            </w:pPr>
            <w:r w:rsidRPr="00916E9B">
              <w:rPr>
                <w:rFonts w:asciiTheme="majorHAnsi" w:hAnsiTheme="majorHAnsi"/>
                <w:b/>
                <w:sz w:val="22"/>
              </w:rPr>
              <w:t>(Years)</w:t>
            </w:r>
          </w:p>
        </w:tc>
      </w:tr>
      <w:tr w:rsidR="004F0DA5" w:rsidRPr="009F60EC" w14:paraId="3AB05A01" w14:textId="77777777">
        <w:tc>
          <w:tcPr>
            <w:tcW w:w="1547" w:type="dxa"/>
            <w:tcBorders>
              <w:top w:val="single" w:sz="4" w:space="0" w:color="auto"/>
              <w:bottom w:val="nil"/>
            </w:tcBorders>
          </w:tcPr>
          <w:p w14:paraId="52484A34" w14:textId="77777777" w:rsidR="00916E9B" w:rsidRDefault="004F0DA5" w:rsidP="0023011F">
            <w:pPr>
              <w:spacing w:line="360" w:lineRule="auto"/>
              <w:jc w:val="both"/>
              <w:rPr>
                <w:rFonts w:asciiTheme="majorHAnsi" w:hAnsiTheme="majorHAnsi"/>
                <w:sz w:val="22"/>
              </w:rPr>
            </w:pPr>
            <w:r w:rsidRPr="009F60EC">
              <w:rPr>
                <w:rFonts w:asciiTheme="majorHAnsi" w:hAnsiTheme="majorHAnsi"/>
                <w:sz w:val="22"/>
              </w:rPr>
              <w:t>Female</w:t>
            </w:r>
          </w:p>
          <w:p w14:paraId="3A538E5F" w14:textId="77777777" w:rsidR="004F0DA5" w:rsidRPr="009F60EC" w:rsidRDefault="004F0DA5" w:rsidP="0023011F">
            <w:pPr>
              <w:spacing w:line="360" w:lineRule="auto"/>
              <w:jc w:val="both"/>
              <w:rPr>
                <w:rFonts w:asciiTheme="majorHAnsi" w:hAnsiTheme="majorHAnsi"/>
                <w:sz w:val="22"/>
              </w:rPr>
            </w:pPr>
          </w:p>
        </w:tc>
        <w:tc>
          <w:tcPr>
            <w:tcW w:w="1635" w:type="dxa"/>
            <w:tcBorders>
              <w:top w:val="single" w:sz="4" w:space="0" w:color="auto"/>
              <w:bottom w:val="nil"/>
            </w:tcBorders>
          </w:tcPr>
          <w:p w14:paraId="3289B86A" w14:textId="77777777" w:rsidR="004F0DA5" w:rsidRPr="009F60EC" w:rsidRDefault="004F0DA5" w:rsidP="0023011F">
            <w:pPr>
              <w:spacing w:line="360" w:lineRule="auto"/>
              <w:jc w:val="both"/>
              <w:rPr>
                <w:rFonts w:asciiTheme="majorHAnsi" w:hAnsiTheme="majorHAnsi"/>
                <w:sz w:val="22"/>
              </w:rPr>
            </w:pPr>
            <w:r w:rsidRPr="009F60EC">
              <w:rPr>
                <w:rFonts w:asciiTheme="majorHAnsi" w:hAnsiTheme="majorHAnsi"/>
                <w:sz w:val="22"/>
              </w:rPr>
              <w:t>167</w:t>
            </w:r>
          </w:p>
        </w:tc>
        <w:tc>
          <w:tcPr>
            <w:tcW w:w="2738" w:type="dxa"/>
            <w:tcBorders>
              <w:top w:val="single" w:sz="4" w:space="0" w:color="auto"/>
              <w:bottom w:val="nil"/>
            </w:tcBorders>
          </w:tcPr>
          <w:p w14:paraId="6874958B" w14:textId="77777777" w:rsidR="004F0DA5" w:rsidRPr="009F60EC" w:rsidRDefault="004F0DA5" w:rsidP="0023011F">
            <w:pPr>
              <w:spacing w:line="360" w:lineRule="auto"/>
              <w:jc w:val="both"/>
              <w:rPr>
                <w:rFonts w:asciiTheme="majorHAnsi" w:hAnsiTheme="majorHAnsi"/>
                <w:sz w:val="22"/>
              </w:rPr>
            </w:pPr>
            <w:r w:rsidRPr="009F60EC">
              <w:rPr>
                <w:rFonts w:asciiTheme="majorHAnsi" w:hAnsiTheme="majorHAnsi"/>
                <w:sz w:val="22"/>
              </w:rPr>
              <w:t>7.59</w:t>
            </w:r>
          </w:p>
        </w:tc>
        <w:tc>
          <w:tcPr>
            <w:tcW w:w="2693" w:type="dxa"/>
            <w:tcBorders>
              <w:top w:val="single" w:sz="4" w:space="0" w:color="auto"/>
              <w:bottom w:val="nil"/>
            </w:tcBorders>
          </w:tcPr>
          <w:p w14:paraId="5B99E9EF" w14:textId="21499D0A" w:rsidR="004F0DA5" w:rsidRPr="009F60EC" w:rsidRDefault="004F0DA5" w:rsidP="0023011F">
            <w:pPr>
              <w:spacing w:line="360" w:lineRule="auto"/>
              <w:jc w:val="both"/>
              <w:rPr>
                <w:rFonts w:asciiTheme="majorHAnsi" w:hAnsiTheme="majorHAnsi"/>
                <w:sz w:val="22"/>
              </w:rPr>
            </w:pPr>
            <w:r w:rsidRPr="009F60EC">
              <w:rPr>
                <w:rFonts w:asciiTheme="majorHAnsi" w:hAnsiTheme="majorHAnsi"/>
                <w:sz w:val="22"/>
              </w:rPr>
              <w:t>5.40</w:t>
            </w:r>
            <w:r w:rsidR="007D5A29">
              <w:rPr>
                <w:rFonts w:asciiTheme="majorHAnsi" w:hAnsiTheme="majorHAnsi"/>
                <w:sz w:val="22"/>
              </w:rPr>
              <w:t xml:space="preserve"> (</w:t>
            </w:r>
            <w:r w:rsidR="007D5A29" w:rsidRPr="006D0081">
              <w:t>5.10 – 5.70</w:t>
            </w:r>
            <w:r w:rsidR="000931A4">
              <w:t>)</w:t>
            </w:r>
          </w:p>
        </w:tc>
      </w:tr>
      <w:tr w:rsidR="004F0DA5" w:rsidRPr="009F60EC" w14:paraId="03C29E7B" w14:textId="77777777">
        <w:tc>
          <w:tcPr>
            <w:tcW w:w="1547" w:type="dxa"/>
            <w:tcBorders>
              <w:top w:val="nil"/>
            </w:tcBorders>
          </w:tcPr>
          <w:p w14:paraId="1A79AC96" w14:textId="77777777" w:rsidR="004F0DA5" w:rsidRPr="009F60EC" w:rsidRDefault="004F0DA5" w:rsidP="0023011F">
            <w:pPr>
              <w:spacing w:line="360" w:lineRule="auto"/>
              <w:jc w:val="both"/>
              <w:rPr>
                <w:rFonts w:asciiTheme="majorHAnsi" w:hAnsiTheme="majorHAnsi"/>
                <w:sz w:val="22"/>
              </w:rPr>
            </w:pPr>
            <w:r w:rsidRPr="009F60EC">
              <w:rPr>
                <w:rFonts w:asciiTheme="majorHAnsi" w:hAnsiTheme="majorHAnsi"/>
                <w:sz w:val="22"/>
              </w:rPr>
              <w:t>Male</w:t>
            </w:r>
          </w:p>
        </w:tc>
        <w:tc>
          <w:tcPr>
            <w:tcW w:w="1635" w:type="dxa"/>
            <w:tcBorders>
              <w:top w:val="nil"/>
            </w:tcBorders>
          </w:tcPr>
          <w:p w14:paraId="48DEB043" w14:textId="77777777" w:rsidR="004F0DA5" w:rsidRPr="009F60EC" w:rsidRDefault="004F0DA5" w:rsidP="0023011F">
            <w:pPr>
              <w:spacing w:line="360" w:lineRule="auto"/>
              <w:jc w:val="both"/>
              <w:rPr>
                <w:rFonts w:asciiTheme="majorHAnsi" w:hAnsiTheme="majorHAnsi"/>
                <w:sz w:val="22"/>
              </w:rPr>
            </w:pPr>
            <w:r w:rsidRPr="009F60EC">
              <w:rPr>
                <w:rFonts w:asciiTheme="majorHAnsi" w:hAnsiTheme="majorHAnsi"/>
                <w:sz w:val="22"/>
              </w:rPr>
              <w:t>825</w:t>
            </w:r>
          </w:p>
        </w:tc>
        <w:tc>
          <w:tcPr>
            <w:tcW w:w="2738" w:type="dxa"/>
            <w:tcBorders>
              <w:top w:val="nil"/>
            </w:tcBorders>
          </w:tcPr>
          <w:p w14:paraId="221CD5E8" w14:textId="77777777" w:rsidR="004F0DA5" w:rsidRPr="009F60EC" w:rsidRDefault="004F0DA5" w:rsidP="0023011F">
            <w:pPr>
              <w:spacing w:line="360" w:lineRule="auto"/>
              <w:jc w:val="both"/>
              <w:rPr>
                <w:rFonts w:asciiTheme="majorHAnsi" w:hAnsiTheme="majorHAnsi"/>
                <w:sz w:val="22"/>
              </w:rPr>
            </w:pPr>
            <w:r w:rsidRPr="009F60EC">
              <w:rPr>
                <w:rFonts w:asciiTheme="majorHAnsi" w:hAnsiTheme="majorHAnsi"/>
                <w:sz w:val="22"/>
              </w:rPr>
              <w:t>7.67</w:t>
            </w:r>
          </w:p>
        </w:tc>
        <w:tc>
          <w:tcPr>
            <w:tcW w:w="2693" w:type="dxa"/>
            <w:tcBorders>
              <w:top w:val="nil"/>
            </w:tcBorders>
          </w:tcPr>
          <w:p w14:paraId="4746D768" w14:textId="77777777" w:rsidR="004F0DA5" w:rsidRPr="009F60EC" w:rsidRDefault="004F0DA5" w:rsidP="0023011F">
            <w:pPr>
              <w:spacing w:line="360" w:lineRule="auto"/>
              <w:jc w:val="both"/>
              <w:rPr>
                <w:rFonts w:asciiTheme="majorHAnsi" w:hAnsiTheme="majorHAnsi"/>
                <w:sz w:val="22"/>
              </w:rPr>
            </w:pPr>
            <w:r w:rsidRPr="009F60EC">
              <w:rPr>
                <w:rFonts w:asciiTheme="majorHAnsi" w:hAnsiTheme="majorHAnsi"/>
                <w:sz w:val="22"/>
              </w:rPr>
              <w:t>5.85</w:t>
            </w:r>
            <w:r w:rsidR="007D5A29">
              <w:rPr>
                <w:rFonts w:asciiTheme="majorHAnsi" w:hAnsiTheme="majorHAnsi"/>
                <w:sz w:val="22"/>
              </w:rPr>
              <w:t xml:space="preserve"> (</w:t>
            </w:r>
            <w:r w:rsidR="007D5A29" w:rsidRPr="006D0081">
              <w:t>5.69 – 5.99)</w:t>
            </w:r>
          </w:p>
        </w:tc>
      </w:tr>
    </w:tbl>
    <w:p w14:paraId="5C468529" w14:textId="77777777" w:rsidR="00BC7EE3" w:rsidRPr="009F60EC" w:rsidRDefault="00BC7EE3" w:rsidP="0023011F">
      <w:pPr>
        <w:spacing w:line="360" w:lineRule="auto"/>
        <w:jc w:val="both"/>
        <w:rPr>
          <w:rFonts w:asciiTheme="majorHAnsi" w:hAnsiTheme="majorHAnsi"/>
          <w:sz w:val="22"/>
        </w:rPr>
      </w:pPr>
    </w:p>
    <w:p w14:paraId="186F63BE" w14:textId="77777777" w:rsidR="00BC7EE3" w:rsidRPr="009F60EC" w:rsidRDefault="00BC7EE3" w:rsidP="0023011F">
      <w:pPr>
        <w:spacing w:line="360" w:lineRule="auto"/>
        <w:jc w:val="both"/>
        <w:rPr>
          <w:rFonts w:asciiTheme="majorHAnsi" w:hAnsiTheme="majorHAnsi"/>
          <w:b/>
          <w:sz w:val="22"/>
          <w:u w:val="single"/>
        </w:rPr>
      </w:pPr>
      <w:r w:rsidRPr="009F60EC">
        <w:rPr>
          <w:rFonts w:asciiTheme="majorHAnsi" w:hAnsiTheme="majorHAnsi"/>
          <w:b/>
          <w:sz w:val="22"/>
          <w:u w:val="single"/>
        </w:rPr>
        <w:t xml:space="preserve">Side of Disease </w:t>
      </w:r>
    </w:p>
    <w:p w14:paraId="04522E71" w14:textId="77777777" w:rsidR="007D5A29" w:rsidRPr="009F60EC" w:rsidRDefault="00BC7EE3" w:rsidP="007D5A29">
      <w:pPr>
        <w:spacing w:line="360" w:lineRule="auto"/>
        <w:jc w:val="both"/>
        <w:rPr>
          <w:rFonts w:asciiTheme="majorHAnsi" w:hAnsiTheme="majorHAnsi"/>
          <w:sz w:val="22"/>
        </w:rPr>
      </w:pPr>
      <w:r w:rsidRPr="009F60EC">
        <w:rPr>
          <w:rFonts w:asciiTheme="majorHAnsi" w:hAnsiTheme="majorHAnsi"/>
          <w:sz w:val="22"/>
        </w:rPr>
        <w:t>There was no significant difference between the age of onset of right and left disease (p=0.35), ye</w:t>
      </w:r>
      <w:r w:rsidR="004F0DA5" w:rsidRPr="009F60EC">
        <w:rPr>
          <w:rFonts w:asciiTheme="majorHAnsi" w:hAnsiTheme="majorHAnsi"/>
          <w:sz w:val="22"/>
        </w:rPr>
        <w:t xml:space="preserve">t bilateral disease had a disease onset approximately 1 year earlier than </w:t>
      </w:r>
      <w:r w:rsidR="00751FA1" w:rsidRPr="009F60EC">
        <w:rPr>
          <w:rFonts w:asciiTheme="majorHAnsi" w:hAnsiTheme="majorHAnsi"/>
          <w:sz w:val="22"/>
        </w:rPr>
        <w:t xml:space="preserve">either </w:t>
      </w:r>
      <w:r w:rsidR="004A53DC" w:rsidRPr="009F60EC">
        <w:rPr>
          <w:rFonts w:asciiTheme="majorHAnsi" w:hAnsiTheme="majorHAnsi"/>
          <w:sz w:val="22"/>
        </w:rPr>
        <w:t>left or r</w:t>
      </w:r>
      <w:r w:rsidR="00751FA1" w:rsidRPr="009F60EC">
        <w:rPr>
          <w:rFonts w:asciiTheme="majorHAnsi" w:hAnsiTheme="majorHAnsi"/>
          <w:sz w:val="22"/>
        </w:rPr>
        <w:t>ight</w:t>
      </w:r>
      <w:r w:rsidR="004F0DA5" w:rsidRPr="009F60EC">
        <w:rPr>
          <w:rFonts w:asciiTheme="majorHAnsi" w:hAnsiTheme="majorHAnsi"/>
          <w:sz w:val="22"/>
        </w:rPr>
        <w:t xml:space="preserve"> disease (p&lt;0.001). </w:t>
      </w:r>
      <w:r w:rsidR="00916E9B">
        <w:rPr>
          <w:rFonts w:asciiTheme="majorHAnsi" w:hAnsiTheme="majorHAnsi"/>
          <w:sz w:val="22"/>
        </w:rPr>
        <w:t>Illustrated in Fig C.</w:t>
      </w:r>
      <w:r w:rsidR="007D5A29" w:rsidRPr="007D5A29">
        <w:rPr>
          <w:rFonts w:asciiTheme="majorHAnsi" w:hAnsiTheme="majorHAnsi"/>
          <w:sz w:val="22"/>
        </w:rPr>
        <w:t xml:space="preserve"> </w:t>
      </w:r>
    </w:p>
    <w:tbl>
      <w:tblPr>
        <w:tblStyle w:val="TableGrid"/>
        <w:tblW w:w="8613"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0A0" w:firstRow="1" w:lastRow="0" w:firstColumn="1" w:lastColumn="0" w:noHBand="0" w:noVBand="0"/>
      </w:tblPr>
      <w:tblGrid>
        <w:gridCol w:w="1242"/>
        <w:gridCol w:w="1134"/>
        <w:gridCol w:w="2977"/>
        <w:gridCol w:w="3260"/>
      </w:tblGrid>
      <w:tr w:rsidR="007D5A29" w:rsidRPr="009F60EC" w14:paraId="7806164B" w14:textId="77777777">
        <w:tc>
          <w:tcPr>
            <w:tcW w:w="1242" w:type="dxa"/>
            <w:tcBorders>
              <w:bottom w:val="single" w:sz="4" w:space="0" w:color="auto"/>
            </w:tcBorders>
            <w:shd w:val="clear" w:color="auto" w:fill="A6A6A6" w:themeFill="background1" w:themeFillShade="A6"/>
          </w:tcPr>
          <w:p w14:paraId="5FCC644A" w14:textId="77777777" w:rsidR="007D5A29" w:rsidRPr="00916E9B" w:rsidRDefault="007D5A29" w:rsidP="0023011F">
            <w:pPr>
              <w:spacing w:line="360" w:lineRule="auto"/>
              <w:jc w:val="both"/>
              <w:rPr>
                <w:rFonts w:asciiTheme="majorHAnsi" w:hAnsiTheme="majorHAnsi"/>
                <w:b/>
                <w:sz w:val="22"/>
              </w:rPr>
            </w:pPr>
            <w:r w:rsidRPr="00916E9B">
              <w:rPr>
                <w:rFonts w:asciiTheme="majorHAnsi" w:hAnsiTheme="majorHAnsi"/>
                <w:b/>
                <w:sz w:val="22"/>
              </w:rPr>
              <w:t>Sex</w:t>
            </w:r>
          </w:p>
        </w:tc>
        <w:tc>
          <w:tcPr>
            <w:tcW w:w="1134" w:type="dxa"/>
            <w:tcBorders>
              <w:bottom w:val="single" w:sz="4" w:space="0" w:color="auto"/>
            </w:tcBorders>
            <w:shd w:val="clear" w:color="auto" w:fill="A6A6A6" w:themeFill="background1" w:themeFillShade="A6"/>
          </w:tcPr>
          <w:p w14:paraId="3F305069" w14:textId="77777777" w:rsidR="007D5A29" w:rsidRPr="00916E9B" w:rsidRDefault="007D5A29" w:rsidP="0023011F">
            <w:pPr>
              <w:spacing w:line="360" w:lineRule="auto"/>
              <w:jc w:val="both"/>
              <w:rPr>
                <w:rFonts w:asciiTheme="majorHAnsi" w:hAnsiTheme="majorHAnsi"/>
                <w:b/>
                <w:sz w:val="22"/>
              </w:rPr>
            </w:pPr>
            <w:r w:rsidRPr="00916E9B">
              <w:rPr>
                <w:rFonts w:asciiTheme="majorHAnsi" w:hAnsiTheme="majorHAnsi"/>
                <w:b/>
                <w:sz w:val="22"/>
              </w:rPr>
              <w:t>Cases</w:t>
            </w:r>
          </w:p>
        </w:tc>
        <w:tc>
          <w:tcPr>
            <w:tcW w:w="2977" w:type="dxa"/>
            <w:tcBorders>
              <w:bottom w:val="single" w:sz="4" w:space="0" w:color="auto"/>
            </w:tcBorders>
            <w:shd w:val="clear" w:color="auto" w:fill="A6A6A6" w:themeFill="background1" w:themeFillShade="A6"/>
          </w:tcPr>
          <w:p w14:paraId="3B89AAB4" w14:textId="77777777" w:rsidR="007D5A29" w:rsidRDefault="007D5A29" w:rsidP="0023011F">
            <w:pPr>
              <w:jc w:val="both"/>
              <w:rPr>
                <w:rFonts w:asciiTheme="majorHAnsi" w:hAnsiTheme="majorHAnsi"/>
                <w:b/>
              </w:rPr>
            </w:pPr>
            <w:r>
              <w:rPr>
                <w:rFonts w:asciiTheme="majorHAnsi" w:hAnsiTheme="majorHAnsi"/>
                <w:b/>
              </w:rPr>
              <w:t>Mean Log Age of Onset</w:t>
            </w:r>
          </w:p>
          <w:p w14:paraId="2B669E13" w14:textId="77777777" w:rsidR="007D5A29" w:rsidRPr="00916E9B" w:rsidRDefault="007D5A29" w:rsidP="0023011F">
            <w:pPr>
              <w:spacing w:line="360" w:lineRule="auto"/>
              <w:jc w:val="both"/>
              <w:rPr>
                <w:rFonts w:asciiTheme="majorHAnsi" w:hAnsiTheme="majorHAnsi"/>
                <w:b/>
                <w:sz w:val="22"/>
              </w:rPr>
            </w:pPr>
            <w:r>
              <w:rPr>
                <w:rFonts w:asciiTheme="majorHAnsi" w:hAnsiTheme="majorHAnsi"/>
                <w:b/>
              </w:rPr>
              <w:t>(Days)</w:t>
            </w:r>
          </w:p>
        </w:tc>
        <w:tc>
          <w:tcPr>
            <w:tcW w:w="3260" w:type="dxa"/>
            <w:tcBorders>
              <w:bottom w:val="single" w:sz="4" w:space="0" w:color="auto"/>
            </w:tcBorders>
            <w:shd w:val="clear" w:color="auto" w:fill="A6A6A6" w:themeFill="background1" w:themeFillShade="A6"/>
          </w:tcPr>
          <w:p w14:paraId="1ACAFAD9" w14:textId="77777777" w:rsidR="007D5A29" w:rsidRPr="00916E9B" w:rsidRDefault="007D5A29" w:rsidP="0023011F">
            <w:pPr>
              <w:spacing w:line="360" w:lineRule="auto"/>
              <w:jc w:val="both"/>
              <w:rPr>
                <w:rFonts w:asciiTheme="majorHAnsi" w:hAnsiTheme="majorHAnsi"/>
                <w:b/>
                <w:sz w:val="22"/>
              </w:rPr>
            </w:pPr>
            <w:r w:rsidRPr="00916E9B">
              <w:rPr>
                <w:rFonts w:asciiTheme="majorHAnsi" w:hAnsiTheme="majorHAnsi"/>
                <w:b/>
                <w:sz w:val="22"/>
              </w:rPr>
              <w:t>Age of Onset</w:t>
            </w:r>
            <w:r>
              <w:rPr>
                <w:rFonts w:asciiTheme="majorHAnsi" w:hAnsiTheme="majorHAnsi"/>
                <w:b/>
              </w:rPr>
              <w:t xml:space="preserve"> using logarithmic mean </w:t>
            </w:r>
            <w:r w:rsidRPr="00916E9B">
              <w:rPr>
                <w:rFonts w:asciiTheme="majorHAnsi" w:hAnsiTheme="majorHAnsi"/>
                <w:b/>
                <w:sz w:val="22"/>
              </w:rPr>
              <w:t>(Years)</w:t>
            </w:r>
          </w:p>
        </w:tc>
      </w:tr>
      <w:tr w:rsidR="007D5A29" w:rsidRPr="009F60EC" w14:paraId="160F016A" w14:textId="77777777">
        <w:tc>
          <w:tcPr>
            <w:tcW w:w="1242" w:type="dxa"/>
            <w:tcBorders>
              <w:top w:val="single" w:sz="4" w:space="0" w:color="auto"/>
              <w:bottom w:val="nil"/>
            </w:tcBorders>
          </w:tcPr>
          <w:p w14:paraId="1C9235AE" w14:textId="77777777" w:rsidR="007D5A29" w:rsidRDefault="007D5A29" w:rsidP="0023011F">
            <w:pPr>
              <w:spacing w:line="360" w:lineRule="auto"/>
              <w:jc w:val="both"/>
              <w:rPr>
                <w:rFonts w:asciiTheme="majorHAnsi" w:hAnsiTheme="majorHAnsi"/>
                <w:sz w:val="22"/>
              </w:rPr>
            </w:pPr>
            <w:r w:rsidRPr="009F60EC">
              <w:rPr>
                <w:rFonts w:asciiTheme="majorHAnsi" w:hAnsiTheme="majorHAnsi"/>
                <w:sz w:val="22"/>
              </w:rPr>
              <w:t>Right</w:t>
            </w:r>
          </w:p>
          <w:p w14:paraId="3022268F" w14:textId="77777777" w:rsidR="007D5A29" w:rsidRPr="009F60EC" w:rsidRDefault="007D5A29" w:rsidP="0023011F">
            <w:pPr>
              <w:spacing w:line="360" w:lineRule="auto"/>
              <w:jc w:val="both"/>
              <w:rPr>
                <w:rFonts w:asciiTheme="majorHAnsi" w:hAnsiTheme="majorHAnsi"/>
                <w:sz w:val="22"/>
              </w:rPr>
            </w:pPr>
          </w:p>
        </w:tc>
        <w:tc>
          <w:tcPr>
            <w:tcW w:w="1134" w:type="dxa"/>
            <w:tcBorders>
              <w:top w:val="single" w:sz="4" w:space="0" w:color="auto"/>
              <w:bottom w:val="nil"/>
            </w:tcBorders>
          </w:tcPr>
          <w:p w14:paraId="292E0754"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457</w:t>
            </w:r>
          </w:p>
        </w:tc>
        <w:tc>
          <w:tcPr>
            <w:tcW w:w="2977" w:type="dxa"/>
            <w:tcBorders>
              <w:top w:val="single" w:sz="4" w:space="0" w:color="auto"/>
              <w:bottom w:val="nil"/>
            </w:tcBorders>
          </w:tcPr>
          <w:p w14:paraId="65DBF103"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7.69</w:t>
            </w:r>
            <w:r>
              <w:rPr>
                <w:rFonts w:asciiTheme="majorHAnsi" w:hAnsiTheme="majorHAnsi"/>
                <w:sz w:val="22"/>
              </w:rPr>
              <w:t xml:space="preserve"> (7.66 – 7.73)</w:t>
            </w:r>
          </w:p>
        </w:tc>
        <w:tc>
          <w:tcPr>
            <w:tcW w:w="3260" w:type="dxa"/>
            <w:tcBorders>
              <w:top w:val="single" w:sz="4" w:space="0" w:color="auto"/>
              <w:bottom w:val="nil"/>
            </w:tcBorders>
          </w:tcPr>
          <w:p w14:paraId="41B9F594"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6.00</w:t>
            </w:r>
            <w:r>
              <w:rPr>
                <w:rFonts w:asciiTheme="majorHAnsi" w:hAnsiTheme="majorHAnsi"/>
                <w:sz w:val="22"/>
              </w:rPr>
              <w:t xml:space="preserve">  (5.81 – 6.20)</w:t>
            </w:r>
          </w:p>
        </w:tc>
      </w:tr>
      <w:tr w:rsidR="007D5A29" w:rsidRPr="009F60EC" w14:paraId="5F07C08E" w14:textId="77777777">
        <w:tc>
          <w:tcPr>
            <w:tcW w:w="1242" w:type="dxa"/>
            <w:tcBorders>
              <w:top w:val="nil"/>
            </w:tcBorders>
          </w:tcPr>
          <w:p w14:paraId="58B60065" w14:textId="77777777" w:rsidR="007D5A29" w:rsidRDefault="007D5A29" w:rsidP="0023011F">
            <w:pPr>
              <w:spacing w:line="360" w:lineRule="auto"/>
              <w:jc w:val="both"/>
              <w:rPr>
                <w:rFonts w:asciiTheme="majorHAnsi" w:hAnsiTheme="majorHAnsi"/>
                <w:sz w:val="22"/>
              </w:rPr>
            </w:pPr>
            <w:r w:rsidRPr="009F60EC">
              <w:rPr>
                <w:rFonts w:asciiTheme="majorHAnsi" w:hAnsiTheme="majorHAnsi"/>
                <w:sz w:val="22"/>
              </w:rPr>
              <w:t>Left</w:t>
            </w:r>
          </w:p>
          <w:p w14:paraId="593A0811" w14:textId="77777777" w:rsidR="007D5A29" w:rsidRPr="009F60EC" w:rsidRDefault="007D5A29" w:rsidP="0023011F">
            <w:pPr>
              <w:spacing w:line="360" w:lineRule="auto"/>
              <w:jc w:val="both"/>
              <w:rPr>
                <w:rFonts w:asciiTheme="majorHAnsi" w:hAnsiTheme="majorHAnsi"/>
                <w:sz w:val="22"/>
              </w:rPr>
            </w:pPr>
          </w:p>
        </w:tc>
        <w:tc>
          <w:tcPr>
            <w:tcW w:w="1134" w:type="dxa"/>
            <w:tcBorders>
              <w:top w:val="nil"/>
            </w:tcBorders>
          </w:tcPr>
          <w:p w14:paraId="22546B2A"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389</w:t>
            </w:r>
          </w:p>
        </w:tc>
        <w:tc>
          <w:tcPr>
            <w:tcW w:w="2977" w:type="dxa"/>
            <w:tcBorders>
              <w:top w:val="nil"/>
            </w:tcBorders>
          </w:tcPr>
          <w:p w14:paraId="1B9FEED2"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7.65</w:t>
            </w:r>
            <w:r>
              <w:rPr>
                <w:rFonts w:asciiTheme="majorHAnsi" w:hAnsiTheme="majorHAnsi"/>
                <w:sz w:val="22"/>
              </w:rPr>
              <w:t xml:space="preserve"> (7.61 – 7.69)</w:t>
            </w:r>
          </w:p>
        </w:tc>
        <w:tc>
          <w:tcPr>
            <w:tcW w:w="3260" w:type="dxa"/>
            <w:tcBorders>
              <w:top w:val="nil"/>
            </w:tcBorders>
          </w:tcPr>
          <w:p w14:paraId="6199A97B"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5.77</w:t>
            </w:r>
            <w:r>
              <w:rPr>
                <w:rFonts w:asciiTheme="majorHAnsi" w:hAnsiTheme="majorHAnsi"/>
                <w:sz w:val="22"/>
              </w:rPr>
              <w:t xml:space="preserve"> (5.55 – 5.98)</w:t>
            </w:r>
          </w:p>
        </w:tc>
      </w:tr>
      <w:tr w:rsidR="007D5A29" w:rsidRPr="009F60EC" w14:paraId="4770644C" w14:textId="77777777">
        <w:tc>
          <w:tcPr>
            <w:tcW w:w="1242" w:type="dxa"/>
          </w:tcPr>
          <w:p w14:paraId="4772DE81"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Bilateral</w:t>
            </w:r>
          </w:p>
        </w:tc>
        <w:tc>
          <w:tcPr>
            <w:tcW w:w="1134" w:type="dxa"/>
          </w:tcPr>
          <w:p w14:paraId="1CCEC951"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122</w:t>
            </w:r>
          </w:p>
        </w:tc>
        <w:tc>
          <w:tcPr>
            <w:tcW w:w="2977" w:type="dxa"/>
          </w:tcPr>
          <w:p w14:paraId="440DE2B8"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7.49</w:t>
            </w:r>
            <w:r>
              <w:rPr>
                <w:rFonts w:asciiTheme="majorHAnsi" w:hAnsiTheme="majorHAnsi"/>
                <w:sz w:val="22"/>
              </w:rPr>
              <w:t xml:space="preserve"> (7.42 – 7.56)</w:t>
            </w:r>
          </w:p>
        </w:tc>
        <w:tc>
          <w:tcPr>
            <w:tcW w:w="3260" w:type="dxa"/>
          </w:tcPr>
          <w:p w14:paraId="63BF92D2" w14:textId="77777777" w:rsidR="007D5A29" w:rsidRPr="009F60EC" w:rsidRDefault="007D5A29" w:rsidP="0023011F">
            <w:pPr>
              <w:spacing w:line="360" w:lineRule="auto"/>
              <w:jc w:val="both"/>
              <w:rPr>
                <w:rFonts w:asciiTheme="majorHAnsi" w:hAnsiTheme="majorHAnsi"/>
                <w:sz w:val="22"/>
              </w:rPr>
            </w:pPr>
            <w:r w:rsidRPr="009F60EC">
              <w:rPr>
                <w:rFonts w:asciiTheme="majorHAnsi" w:hAnsiTheme="majorHAnsi"/>
                <w:sz w:val="22"/>
              </w:rPr>
              <w:t>4.90</w:t>
            </w:r>
            <w:r>
              <w:rPr>
                <w:rFonts w:asciiTheme="majorHAnsi" w:hAnsiTheme="majorHAnsi"/>
                <w:sz w:val="22"/>
              </w:rPr>
              <w:t xml:space="preserve"> (4.56 - 5.26)</w:t>
            </w:r>
          </w:p>
        </w:tc>
      </w:tr>
    </w:tbl>
    <w:p w14:paraId="3DC48190" w14:textId="77777777" w:rsidR="007D5A29" w:rsidRPr="009F60EC" w:rsidRDefault="007D5A29" w:rsidP="007D5A29">
      <w:pPr>
        <w:spacing w:line="360" w:lineRule="auto"/>
        <w:jc w:val="both"/>
        <w:rPr>
          <w:rFonts w:asciiTheme="majorHAnsi" w:hAnsiTheme="majorHAnsi"/>
          <w:sz w:val="22"/>
        </w:rPr>
      </w:pPr>
      <w:r w:rsidRPr="009F60EC">
        <w:rPr>
          <w:rFonts w:asciiTheme="majorHAnsi" w:hAnsiTheme="majorHAnsi"/>
          <w:sz w:val="22"/>
        </w:rPr>
        <w:t xml:space="preserve">* </w:t>
      </w:r>
      <w:r>
        <w:rPr>
          <w:rFonts w:asciiTheme="majorHAnsi" w:hAnsiTheme="majorHAnsi"/>
          <w:sz w:val="22"/>
        </w:rPr>
        <w:t xml:space="preserve">In </w:t>
      </w:r>
      <w:r w:rsidRPr="009F60EC">
        <w:rPr>
          <w:rFonts w:asciiTheme="majorHAnsi" w:hAnsiTheme="majorHAnsi"/>
          <w:sz w:val="22"/>
        </w:rPr>
        <w:t xml:space="preserve">24 cases the side of disease was not recorded. </w:t>
      </w:r>
    </w:p>
    <w:p w14:paraId="36AB55DE" w14:textId="77777777" w:rsidR="00751FA1" w:rsidRPr="009F60EC" w:rsidRDefault="001B5C8E" w:rsidP="007D5A29">
      <w:pPr>
        <w:spacing w:line="360" w:lineRule="auto"/>
        <w:jc w:val="both"/>
        <w:rPr>
          <w:rFonts w:asciiTheme="majorHAnsi" w:hAnsiTheme="majorHAnsi"/>
          <w:b/>
          <w:sz w:val="22"/>
          <w:u w:val="single"/>
        </w:rPr>
      </w:pPr>
      <w:r>
        <w:rPr>
          <w:rFonts w:asciiTheme="majorHAnsi" w:hAnsiTheme="majorHAnsi"/>
          <w:b/>
          <w:sz w:val="22"/>
        </w:rPr>
        <w:br w:type="page"/>
      </w:r>
      <w:r w:rsidR="00226FC2">
        <w:rPr>
          <w:rFonts w:asciiTheme="majorHAnsi" w:hAnsiTheme="majorHAnsi"/>
          <w:b/>
          <w:sz w:val="22"/>
        </w:rPr>
        <w:lastRenderedPageBreak/>
        <w:t>Fig C</w:t>
      </w:r>
      <w:r w:rsidR="00751FA1" w:rsidRPr="009F60EC">
        <w:rPr>
          <w:rFonts w:asciiTheme="majorHAnsi" w:hAnsiTheme="majorHAnsi"/>
          <w:b/>
          <w:sz w:val="22"/>
        </w:rPr>
        <w:t xml:space="preserve"> –</w:t>
      </w:r>
      <w:r w:rsidR="00226FC2">
        <w:rPr>
          <w:rFonts w:asciiTheme="majorHAnsi" w:hAnsiTheme="majorHAnsi"/>
          <w:sz w:val="22"/>
        </w:rPr>
        <w:t xml:space="preserve"> Stacked histograms of </w:t>
      </w:r>
      <w:proofErr w:type="gramStart"/>
      <w:r w:rsidR="00226FC2">
        <w:rPr>
          <w:rFonts w:asciiTheme="majorHAnsi" w:hAnsiTheme="majorHAnsi"/>
          <w:sz w:val="22"/>
        </w:rPr>
        <w:t>Ln</w:t>
      </w:r>
      <w:r w:rsidR="00751FA1" w:rsidRPr="009F60EC">
        <w:rPr>
          <w:rFonts w:asciiTheme="majorHAnsi" w:hAnsiTheme="majorHAnsi"/>
          <w:sz w:val="22"/>
        </w:rPr>
        <w:t>(</w:t>
      </w:r>
      <w:proofErr w:type="gramEnd"/>
      <w:r w:rsidR="00751FA1" w:rsidRPr="009F60EC">
        <w:rPr>
          <w:rFonts w:asciiTheme="majorHAnsi" w:hAnsiTheme="majorHAnsi"/>
          <w:sz w:val="22"/>
        </w:rPr>
        <w:t>Age of Onset) of Perthes disease by laterality of disease, with fitted normal-density plot.</w:t>
      </w:r>
      <w:r w:rsidR="00751FA1" w:rsidRPr="009F60EC">
        <w:rPr>
          <w:rFonts w:asciiTheme="majorHAnsi" w:hAnsiTheme="majorHAnsi"/>
          <w:b/>
          <w:sz w:val="22"/>
          <w:u w:val="single"/>
        </w:rPr>
        <w:t xml:space="preserve"> </w:t>
      </w:r>
    </w:p>
    <w:p w14:paraId="6609F658" w14:textId="77777777" w:rsidR="00BC1E3A" w:rsidRPr="009F60EC" w:rsidRDefault="004F0DA5" w:rsidP="0023011F">
      <w:pPr>
        <w:spacing w:line="360" w:lineRule="auto"/>
        <w:jc w:val="both"/>
        <w:rPr>
          <w:rFonts w:asciiTheme="majorHAnsi" w:hAnsiTheme="majorHAnsi"/>
          <w:b/>
          <w:sz w:val="22"/>
          <w:u w:val="single"/>
        </w:rPr>
      </w:pPr>
      <w:r w:rsidRPr="009F60EC">
        <w:rPr>
          <w:rFonts w:asciiTheme="majorHAnsi" w:hAnsiTheme="majorHAnsi"/>
          <w:b/>
          <w:noProof/>
          <w:sz w:val="22"/>
          <w:u w:val="single"/>
        </w:rPr>
        <w:drawing>
          <wp:inline distT="0" distB="0" distL="0" distR="0" wp14:anchorId="2EFF2201" wp14:editId="0CC84EBE">
            <wp:extent cx="5270500" cy="3495366"/>
            <wp:effectExtent l="25400" t="0" r="0" b="0"/>
            <wp:docPr id="8" name="P 5"/>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pic:cNvPicPr>
                  </pic:nvPicPr>
                  <pic:blipFill>
                    <a:blip r:embed="rId13" cstate="print"/>
                    <a:stretch>
                      <a:fillRect/>
                    </a:stretch>
                  </pic:blipFill>
                  <pic:spPr>
                    <a:xfrm>
                      <a:off x="0" y="0"/>
                      <a:ext cx="5270500" cy="3495366"/>
                    </a:xfrm>
                    <a:prstGeom prst="rect">
                      <a:avLst/>
                    </a:prstGeom>
                  </pic:spPr>
                </pic:pic>
              </a:graphicData>
            </a:graphic>
          </wp:inline>
        </w:drawing>
      </w:r>
    </w:p>
    <w:p w14:paraId="273C7FDD" w14:textId="77777777" w:rsidR="00DA4FCC" w:rsidRDefault="00DA4FCC" w:rsidP="0023011F">
      <w:pPr>
        <w:spacing w:line="360" w:lineRule="auto"/>
        <w:jc w:val="both"/>
        <w:rPr>
          <w:rFonts w:asciiTheme="majorHAnsi" w:hAnsiTheme="majorHAnsi"/>
          <w:b/>
          <w:sz w:val="22"/>
          <w:u w:val="single"/>
        </w:rPr>
      </w:pPr>
    </w:p>
    <w:p w14:paraId="5701F85B" w14:textId="77777777" w:rsidR="001E09F4" w:rsidRPr="009F60EC" w:rsidRDefault="000E7A44" w:rsidP="0023011F">
      <w:pPr>
        <w:spacing w:line="360" w:lineRule="auto"/>
        <w:jc w:val="both"/>
        <w:rPr>
          <w:rFonts w:asciiTheme="majorHAnsi" w:hAnsiTheme="majorHAnsi"/>
          <w:b/>
          <w:sz w:val="22"/>
          <w:u w:val="single"/>
        </w:rPr>
      </w:pPr>
      <w:r w:rsidRPr="009F60EC">
        <w:rPr>
          <w:rFonts w:asciiTheme="majorHAnsi" w:hAnsiTheme="majorHAnsi"/>
          <w:b/>
          <w:sz w:val="22"/>
          <w:u w:val="single"/>
        </w:rPr>
        <w:t xml:space="preserve">Region of Residence </w:t>
      </w:r>
    </w:p>
    <w:p w14:paraId="01A1A84F" w14:textId="77777777" w:rsidR="001E09F4" w:rsidRPr="009F60EC" w:rsidRDefault="001E09F4" w:rsidP="0023011F">
      <w:pPr>
        <w:spacing w:line="360" w:lineRule="auto"/>
        <w:jc w:val="both"/>
        <w:rPr>
          <w:rFonts w:asciiTheme="majorHAnsi" w:hAnsiTheme="majorHAnsi"/>
          <w:sz w:val="22"/>
        </w:rPr>
      </w:pPr>
      <w:r w:rsidRPr="009F60EC">
        <w:rPr>
          <w:rFonts w:asciiTheme="majorHAnsi" w:hAnsiTheme="majorHAnsi"/>
          <w:sz w:val="22"/>
        </w:rPr>
        <w:t xml:space="preserve">There was no </w:t>
      </w:r>
      <w:r w:rsidR="00F5220E" w:rsidRPr="009F60EC">
        <w:rPr>
          <w:rFonts w:asciiTheme="majorHAnsi" w:hAnsiTheme="majorHAnsi"/>
          <w:sz w:val="22"/>
        </w:rPr>
        <w:t xml:space="preserve">statistically </w:t>
      </w:r>
      <w:r w:rsidRPr="009F60EC">
        <w:rPr>
          <w:rFonts w:asciiTheme="majorHAnsi" w:hAnsiTheme="majorHAnsi"/>
          <w:sz w:val="22"/>
        </w:rPr>
        <w:t xml:space="preserve">significant change in the age of onset of disease </w:t>
      </w:r>
      <w:r w:rsidR="00F5220E" w:rsidRPr="009F60EC">
        <w:rPr>
          <w:rFonts w:asciiTheme="majorHAnsi" w:hAnsiTheme="majorHAnsi"/>
          <w:sz w:val="22"/>
        </w:rPr>
        <w:t xml:space="preserve">between regions within Merseyside (Liverpool </w:t>
      </w:r>
      <w:r w:rsidR="00751FA1" w:rsidRPr="009F60EC">
        <w:rPr>
          <w:rFonts w:asciiTheme="majorHAnsi" w:hAnsiTheme="majorHAnsi"/>
          <w:sz w:val="22"/>
        </w:rPr>
        <w:t>vs.</w:t>
      </w:r>
      <w:r w:rsidR="00F5220E" w:rsidRPr="009F60EC">
        <w:rPr>
          <w:rFonts w:asciiTheme="majorHAnsi" w:hAnsiTheme="majorHAnsi"/>
          <w:sz w:val="22"/>
        </w:rPr>
        <w:t xml:space="preserve"> Sefton: p=0.40, Liverpool </w:t>
      </w:r>
      <w:r w:rsidR="00751FA1" w:rsidRPr="009F60EC">
        <w:rPr>
          <w:rFonts w:asciiTheme="majorHAnsi" w:hAnsiTheme="majorHAnsi"/>
          <w:sz w:val="22"/>
        </w:rPr>
        <w:t>vs.</w:t>
      </w:r>
      <w:r w:rsidR="00F5220E" w:rsidRPr="009F60EC">
        <w:rPr>
          <w:rFonts w:asciiTheme="majorHAnsi" w:hAnsiTheme="majorHAnsi"/>
          <w:sz w:val="22"/>
        </w:rPr>
        <w:t xml:space="preserve"> Knowsley p=1.0, Sefton </w:t>
      </w:r>
      <w:r w:rsidR="00751FA1" w:rsidRPr="009F60EC">
        <w:rPr>
          <w:rFonts w:asciiTheme="majorHAnsi" w:hAnsiTheme="majorHAnsi"/>
          <w:sz w:val="22"/>
        </w:rPr>
        <w:t>vs.</w:t>
      </w:r>
      <w:r w:rsidR="00F5220E" w:rsidRPr="009F60EC">
        <w:rPr>
          <w:rFonts w:asciiTheme="majorHAnsi" w:hAnsiTheme="majorHAnsi"/>
          <w:sz w:val="22"/>
        </w:rPr>
        <w:t xml:space="preserve"> Knowsley p=</w:t>
      </w:r>
      <w:r w:rsidR="00751FA1" w:rsidRPr="009F60EC">
        <w:rPr>
          <w:rFonts w:asciiTheme="majorHAnsi" w:hAnsiTheme="majorHAnsi"/>
          <w:sz w:val="22"/>
        </w:rPr>
        <w:t xml:space="preserve">1.0). </w:t>
      </w:r>
      <w:r w:rsidR="00F5220E" w:rsidRPr="009F60EC">
        <w:rPr>
          <w:rFonts w:asciiTheme="majorHAnsi" w:hAnsiTheme="majorHAnsi"/>
          <w:sz w:val="22"/>
        </w:rPr>
        <w:t xml:space="preserve"> </w:t>
      </w:r>
      <w:r w:rsidR="00F5220E" w:rsidRPr="009F60EC">
        <w:rPr>
          <w:rFonts w:asciiTheme="majorHAnsi" w:hAnsiTheme="majorHAnsi"/>
          <w:sz w:val="22"/>
        </w:rPr>
        <w:tab/>
      </w:r>
      <w:r w:rsidR="00F5220E" w:rsidRPr="009F60EC">
        <w:rPr>
          <w:rFonts w:asciiTheme="majorHAnsi" w:hAnsiTheme="majorHAnsi"/>
          <w:sz w:val="22"/>
        </w:rPr>
        <w:tab/>
      </w:r>
    </w:p>
    <w:tbl>
      <w:tblPr>
        <w:tblStyle w:val="TableGrid"/>
        <w:tblW w:w="8613"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0A0" w:firstRow="1" w:lastRow="0" w:firstColumn="1" w:lastColumn="0" w:noHBand="0" w:noVBand="0"/>
      </w:tblPr>
      <w:tblGrid>
        <w:gridCol w:w="1547"/>
        <w:gridCol w:w="1635"/>
        <w:gridCol w:w="2738"/>
        <w:gridCol w:w="2693"/>
      </w:tblGrid>
      <w:tr w:rsidR="001E09F4" w:rsidRPr="009F60EC" w14:paraId="4394A972" w14:textId="77777777">
        <w:tc>
          <w:tcPr>
            <w:tcW w:w="1547" w:type="dxa"/>
            <w:tcBorders>
              <w:bottom w:val="single" w:sz="4" w:space="0" w:color="auto"/>
            </w:tcBorders>
            <w:shd w:val="solid" w:color="A6A6A6" w:themeColor="background1" w:themeShade="A6" w:fill="auto"/>
          </w:tcPr>
          <w:p w14:paraId="31C28BBB" w14:textId="77777777" w:rsidR="001E09F4" w:rsidRPr="00916E9B" w:rsidRDefault="001E09F4" w:rsidP="0023011F">
            <w:pPr>
              <w:spacing w:line="360" w:lineRule="auto"/>
              <w:jc w:val="both"/>
              <w:rPr>
                <w:rFonts w:asciiTheme="majorHAnsi" w:hAnsiTheme="majorHAnsi"/>
                <w:b/>
                <w:sz w:val="22"/>
              </w:rPr>
            </w:pPr>
            <w:r w:rsidRPr="00916E9B">
              <w:rPr>
                <w:rFonts w:asciiTheme="majorHAnsi" w:hAnsiTheme="majorHAnsi"/>
                <w:b/>
                <w:sz w:val="22"/>
              </w:rPr>
              <w:t>Period</w:t>
            </w:r>
          </w:p>
        </w:tc>
        <w:tc>
          <w:tcPr>
            <w:tcW w:w="1635" w:type="dxa"/>
            <w:tcBorders>
              <w:bottom w:val="single" w:sz="4" w:space="0" w:color="auto"/>
            </w:tcBorders>
            <w:shd w:val="solid" w:color="A6A6A6" w:themeColor="background1" w:themeShade="A6" w:fill="auto"/>
          </w:tcPr>
          <w:p w14:paraId="0F776525" w14:textId="77777777" w:rsidR="001E09F4" w:rsidRPr="00916E9B" w:rsidRDefault="001E09F4" w:rsidP="0023011F">
            <w:pPr>
              <w:spacing w:line="360" w:lineRule="auto"/>
              <w:jc w:val="both"/>
              <w:rPr>
                <w:rFonts w:asciiTheme="majorHAnsi" w:hAnsiTheme="majorHAnsi"/>
                <w:b/>
                <w:sz w:val="22"/>
              </w:rPr>
            </w:pPr>
            <w:r w:rsidRPr="00916E9B">
              <w:rPr>
                <w:rFonts w:asciiTheme="majorHAnsi" w:hAnsiTheme="majorHAnsi"/>
                <w:b/>
                <w:sz w:val="22"/>
              </w:rPr>
              <w:t>Cases</w:t>
            </w:r>
          </w:p>
        </w:tc>
        <w:tc>
          <w:tcPr>
            <w:tcW w:w="2738" w:type="dxa"/>
            <w:tcBorders>
              <w:bottom w:val="single" w:sz="4" w:space="0" w:color="auto"/>
            </w:tcBorders>
            <w:shd w:val="solid" w:color="A6A6A6" w:themeColor="background1" w:themeShade="A6" w:fill="auto"/>
          </w:tcPr>
          <w:p w14:paraId="7270041C" w14:textId="77777777" w:rsidR="00916E9B" w:rsidRPr="00916E9B" w:rsidRDefault="001E09F4" w:rsidP="0023011F">
            <w:pPr>
              <w:spacing w:line="360" w:lineRule="auto"/>
              <w:jc w:val="both"/>
              <w:rPr>
                <w:rFonts w:asciiTheme="majorHAnsi" w:hAnsiTheme="majorHAnsi"/>
                <w:b/>
                <w:sz w:val="22"/>
              </w:rPr>
            </w:pPr>
            <w:r w:rsidRPr="00916E9B">
              <w:rPr>
                <w:rFonts w:asciiTheme="majorHAnsi" w:hAnsiTheme="majorHAnsi"/>
                <w:b/>
                <w:sz w:val="22"/>
              </w:rPr>
              <w:t>Mean Ln</w:t>
            </w:r>
          </w:p>
          <w:p w14:paraId="4E5A8930" w14:textId="77777777" w:rsidR="001E09F4" w:rsidRPr="00916E9B" w:rsidRDefault="001E09F4" w:rsidP="0023011F">
            <w:pPr>
              <w:spacing w:line="360" w:lineRule="auto"/>
              <w:jc w:val="both"/>
              <w:rPr>
                <w:rFonts w:asciiTheme="majorHAnsi" w:hAnsiTheme="majorHAnsi"/>
                <w:b/>
                <w:sz w:val="22"/>
              </w:rPr>
            </w:pPr>
            <w:r w:rsidRPr="00916E9B">
              <w:rPr>
                <w:rFonts w:asciiTheme="majorHAnsi" w:hAnsiTheme="majorHAnsi"/>
                <w:b/>
                <w:sz w:val="22"/>
              </w:rPr>
              <w:t>(Age of Onset)</w:t>
            </w:r>
          </w:p>
        </w:tc>
        <w:tc>
          <w:tcPr>
            <w:tcW w:w="2693" w:type="dxa"/>
            <w:tcBorders>
              <w:bottom w:val="single" w:sz="4" w:space="0" w:color="auto"/>
            </w:tcBorders>
            <w:shd w:val="solid" w:color="A6A6A6" w:themeColor="background1" w:themeShade="A6" w:fill="auto"/>
          </w:tcPr>
          <w:p w14:paraId="024DE4F6" w14:textId="77777777" w:rsidR="00916E9B" w:rsidRPr="00916E9B" w:rsidRDefault="001E09F4" w:rsidP="0023011F">
            <w:pPr>
              <w:spacing w:line="360" w:lineRule="auto"/>
              <w:jc w:val="both"/>
              <w:rPr>
                <w:rFonts w:asciiTheme="majorHAnsi" w:hAnsiTheme="majorHAnsi"/>
                <w:b/>
                <w:sz w:val="22"/>
              </w:rPr>
            </w:pPr>
            <w:r w:rsidRPr="00916E9B">
              <w:rPr>
                <w:rFonts w:asciiTheme="majorHAnsi" w:hAnsiTheme="majorHAnsi"/>
                <w:b/>
                <w:sz w:val="22"/>
              </w:rPr>
              <w:t>Age of Onset</w:t>
            </w:r>
          </w:p>
          <w:p w14:paraId="015561C6" w14:textId="77777777" w:rsidR="001E09F4" w:rsidRPr="00916E9B" w:rsidRDefault="001E09F4" w:rsidP="0023011F">
            <w:pPr>
              <w:spacing w:line="360" w:lineRule="auto"/>
              <w:jc w:val="both"/>
              <w:rPr>
                <w:rFonts w:asciiTheme="majorHAnsi" w:hAnsiTheme="majorHAnsi"/>
                <w:b/>
                <w:sz w:val="22"/>
              </w:rPr>
            </w:pPr>
            <w:r w:rsidRPr="00916E9B">
              <w:rPr>
                <w:rFonts w:asciiTheme="majorHAnsi" w:hAnsiTheme="majorHAnsi"/>
                <w:b/>
                <w:sz w:val="22"/>
              </w:rPr>
              <w:t>(Years)</w:t>
            </w:r>
          </w:p>
        </w:tc>
      </w:tr>
      <w:tr w:rsidR="001E09F4" w:rsidRPr="009F60EC" w14:paraId="454D4168" w14:textId="77777777">
        <w:tc>
          <w:tcPr>
            <w:tcW w:w="1547" w:type="dxa"/>
            <w:tcBorders>
              <w:top w:val="single" w:sz="4" w:space="0" w:color="auto"/>
              <w:bottom w:val="nil"/>
            </w:tcBorders>
          </w:tcPr>
          <w:p w14:paraId="393553F3" w14:textId="77777777" w:rsidR="00916E9B" w:rsidRDefault="00F5220E" w:rsidP="0023011F">
            <w:pPr>
              <w:spacing w:line="360" w:lineRule="auto"/>
              <w:jc w:val="both"/>
              <w:rPr>
                <w:rFonts w:asciiTheme="majorHAnsi" w:hAnsiTheme="majorHAnsi"/>
                <w:sz w:val="22"/>
              </w:rPr>
            </w:pPr>
            <w:r w:rsidRPr="009F60EC">
              <w:rPr>
                <w:rFonts w:asciiTheme="majorHAnsi" w:hAnsiTheme="majorHAnsi"/>
                <w:sz w:val="22"/>
              </w:rPr>
              <w:t>Liverpool</w:t>
            </w:r>
          </w:p>
          <w:p w14:paraId="4DE25A55" w14:textId="77777777" w:rsidR="001E09F4" w:rsidRPr="009F60EC" w:rsidRDefault="001E09F4" w:rsidP="0023011F">
            <w:pPr>
              <w:spacing w:line="360" w:lineRule="auto"/>
              <w:jc w:val="both"/>
              <w:rPr>
                <w:rFonts w:asciiTheme="majorHAnsi" w:hAnsiTheme="majorHAnsi"/>
                <w:sz w:val="22"/>
              </w:rPr>
            </w:pPr>
          </w:p>
        </w:tc>
        <w:tc>
          <w:tcPr>
            <w:tcW w:w="1635" w:type="dxa"/>
            <w:tcBorders>
              <w:top w:val="single" w:sz="4" w:space="0" w:color="auto"/>
              <w:bottom w:val="nil"/>
            </w:tcBorders>
          </w:tcPr>
          <w:p w14:paraId="7FB04C89" w14:textId="77777777" w:rsidR="001E09F4" w:rsidRPr="009F60EC" w:rsidRDefault="00F5220E" w:rsidP="0023011F">
            <w:pPr>
              <w:spacing w:line="360" w:lineRule="auto"/>
              <w:jc w:val="both"/>
              <w:rPr>
                <w:rFonts w:asciiTheme="majorHAnsi" w:hAnsiTheme="majorHAnsi"/>
                <w:sz w:val="22"/>
              </w:rPr>
            </w:pPr>
            <w:r w:rsidRPr="009F60EC">
              <w:rPr>
                <w:rFonts w:asciiTheme="majorHAnsi" w:hAnsiTheme="majorHAnsi"/>
                <w:sz w:val="22"/>
              </w:rPr>
              <w:t>379</w:t>
            </w:r>
          </w:p>
        </w:tc>
        <w:tc>
          <w:tcPr>
            <w:tcW w:w="2738" w:type="dxa"/>
            <w:tcBorders>
              <w:top w:val="single" w:sz="4" w:space="0" w:color="auto"/>
              <w:bottom w:val="nil"/>
            </w:tcBorders>
          </w:tcPr>
          <w:p w14:paraId="297525EC" w14:textId="77777777" w:rsidR="001E09F4" w:rsidRPr="009F60EC" w:rsidRDefault="001E09F4" w:rsidP="0023011F">
            <w:pPr>
              <w:spacing w:line="360" w:lineRule="auto"/>
              <w:jc w:val="both"/>
              <w:rPr>
                <w:rFonts w:asciiTheme="majorHAnsi" w:hAnsiTheme="majorHAnsi"/>
                <w:sz w:val="22"/>
              </w:rPr>
            </w:pPr>
            <w:r w:rsidRPr="009F60EC">
              <w:rPr>
                <w:rFonts w:asciiTheme="majorHAnsi" w:hAnsiTheme="majorHAnsi"/>
                <w:sz w:val="22"/>
              </w:rPr>
              <w:t>7.6</w:t>
            </w:r>
            <w:r w:rsidR="00F5220E" w:rsidRPr="009F60EC">
              <w:rPr>
                <w:rFonts w:asciiTheme="majorHAnsi" w:hAnsiTheme="majorHAnsi"/>
                <w:sz w:val="22"/>
              </w:rPr>
              <w:t>5</w:t>
            </w:r>
          </w:p>
        </w:tc>
        <w:tc>
          <w:tcPr>
            <w:tcW w:w="2693" w:type="dxa"/>
            <w:tcBorders>
              <w:top w:val="single" w:sz="4" w:space="0" w:color="auto"/>
              <w:bottom w:val="nil"/>
            </w:tcBorders>
          </w:tcPr>
          <w:p w14:paraId="0E3C95D8" w14:textId="77777777" w:rsidR="001E09F4" w:rsidRPr="009F60EC" w:rsidRDefault="001E09F4" w:rsidP="0023011F">
            <w:pPr>
              <w:spacing w:line="360" w:lineRule="auto"/>
              <w:jc w:val="both"/>
              <w:rPr>
                <w:rFonts w:asciiTheme="majorHAnsi" w:hAnsiTheme="majorHAnsi"/>
                <w:sz w:val="22"/>
              </w:rPr>
            </w:pPr>
            <w:r w:rsidRPr="009F60EC">
              <w:rPr>
                <w:rFonts w:asciiTheme="majorHAnsi" w:hAnsiTheme="majorHAnsi"/>
                <w:sz w:val="22"/>
              </w:rPr>
              <w:t>5.</w:t>
            </w:r>
            <w:r w:rsidR="00F5220E" w:rsidRPr="009F60EC">
              <w:rPr>
                <w:rFonts w:asciiTheme="majorHAnsi" w:hAnsiTheme="majorHAnsi"/>
                <w:sz w:val="22"/>
              </w:rPr>
              <w:t>74</w:t>
            </w:r>
          </w:p>
        </w:tc>
      </w:tr>
      <w:tr w:rsidR="001E09F4" w:rsidRPr="009F60EC" w14:paraId="44207FB0" w14:textId="77777777">
        <w:tc>
          <w:tcPr>
            <w:tcW w:w="1547" w:type="dxa"/>
            <w:tcBorders>
              <w:top w:val="nil"/>
            </w:tcBorders>
          </w:tcPr>
          <w:p w14:paraId="3FD306A0" w14:textId="77777777" w:rsidR="00916E9B" w:rsidRDefault="00F5220E" w:rsidP="0023011F">
            <w:pPr>
              <w:spacing w:line="360" w:lineRule="auto"/>
              <w:jc w:val="both"/>
              <w:rPr>
                <w:rFonts w:asciiTheme="majorHAnsi" w:hAnsiTheme="majorHAnsi"/>
                <w:sz w:val="22"/>
              </w:rPr>
            </w:pPr>
            <w:r w:rsidRPr="009F60EC">
              <w:rPr>
                <w:rFonts w:asciiTheme="majorHAnsi" w:hAnsiTheme="majorHAnsi"/>
                <w:sz w:val="22"/>
              </w:rPr>
              <w:t>Sefton</w:t>
            </w:r>
          </w:p>
          <w:p w14:paraId="1DB20BC8" w14:textId="77777777" w:rsidR="001E09F4" w:rsidRPr="009F60EC" w:rsidRDefault="001E09F4" w:rsidP="0023011F">
            <w:pPr>
              <w:spacing w:line="360" w:lineRule="auto"/>
              <w:jc w:val="both"/>
              <w:rPr>
                <w:rFonts w:asciiTheme="majorHAnsi" w:hAnsiTheme="majorHAnsi"/>
                <w:sz w:val="22"/>
              </w:rPr>
            </w:pPr>
          </w:p>
        </w:tc>
        <w:tc>
          <w:tcPr>
            <w:tcW w:w="1635" w:type="dxa"/>
            <w:tcBorders>
              <w:top w:val="nil"/>
            </w:tcBorders>
          </w:tcPr>
          <w:p w14:paraId="527AC176" w14:textId="77777777" w:rsidR="001E09F4" w:rsidRPr="009F60EC" w:rsidRDefault="00F5220E" w:rsidP="0023011F">
            <w:pPr>
              <w:spacing w:line="360" w:lineRule="auto"/>
              <w:jc w:val="both"/>
              <w:rPr>
                <w:rFonts w:asciiTheme="majorHAnsi" w:hAnsiTheme="majorHAnsi"/>
                <w:sz w:val="22"/>
              </w:rPr>
            </w:pPr>
            <w:r w:rsidRPr="009F60EC">
              <w:rPr>
                <w:rFonts w:asciiTheme="majorHAnsi" w:hAnsiTheme="majorHAnsi"/>
                <w:sz w:val="22"/>
              </w:rPr>
              <w:t>146</w:t>
            </w:r>
          </w:p>
        </w:tc>
        <w:tc>
          <w:tcPr>
            <w:tcW w:w="2738" w:type="dxa"/>
            <w:tcBorders>
              <w:top w:val="nil"/>
            </w:tcBorders>
          </w:tcPr>
          <w:p w14:paraId="4A5CA27C" w14:textId="77777777" w:rsidR="001E09F4" w:rsidRPr="009F60EC" w:rsidRDefault="001E09F4" w:rsidP="0023011F">
            <w:pPr>
              <w:spacing w:line="360" w:lineRule="auto"/>
              <w:jc w:val="both"/>
              <w:rPr>
                <w:rFonts w:asciiTheme="majorHAnsi" w:hAnsiTheme="majorHAnsi"/>
                <w:sz w:val="22"/>
              </w:rPr>
            </w:pPr>
            <w:r w:rsidRPr="009F60EC">
              <w:rPr>
                <w:rFonts w:asciiTheme="majorHAnsi" w:hAnsiTheme="majorHAnsi"/>
                <w:sz w:val="22"/>
              </w:rPr>
              <w:t>7.64</w:t>
            </w:r>
          </w:p>
        </w:tc>
        <w:tc>
          <w:tcPr>
            <w:tcW w:w="2693" w:type="dxa"/>
            <w:tcBorders>
              <w:top w:val="nil"/>
            </w:tcBorders>
          </w:tcPr>
          <w:p w14:paraId="5ED247FC" w14:textId="77777777" w:rsidR="001E09F4" w:rsidRPr="009F60EC" w:rsidRDefault="001E09F4" w:rsidP="0023011F">
            <w:pPr>
              <w:spacing w:line="360" w:lineRule="auto"/>
              <w:jc w:val="both"/>
              <w:rPr>
                <w:rFonts w:asciiTheme="majorHAnsi" w:hAnsiTheme="majorHAnsi"/>
                <w:sz w:val="22"/>
              </w:rPr>
            </w:pPr>
            <w:r w:rsidRPr="009F60EC">
              <w:rPr>
                <w:rFonts w:asciiTheme="majorHAnsi" w:hAnsiTheme="majorHAnsi"/>
                <w:sz w:val="22"/>
              </w:rPr>
              <w:t>5.</w:t>
            </w:r>
            <w:r w:rsidR="00F5220E" w:rsidRPr="009F60EC">
              <w:rPr>
                <w:rFonts w:asciiTheme="majorHAnsi" w:hAnsiTheme="majorHAnsi"/>
                <w:sz w:val="22"/>
              </w:rPr>
              <w:t>44</w:t>
            </w:r>
          </w:p>
        </w:tc>
      </w:tr>
      <w:tr w:rsidR="001E09F4" w:rsidRPr="009F60EC" w14:paraId="468A948F" w14:textId="77777777">
        <w:tc>
          <w:tcPr>
            <w:tcW w:w="1547" w:type="dxa"/>
          </w:tcPr>
          <w:p w14:paraId="2DCF676B" w14:textId="77777777" w:rsidR="001E09F4" w:rsidRPr="009F60EC" w:rsidRDefault="00F5220E" w:rsidP="0023011F">
            <w:pPr>
              <w:spacing w:line="360" w:lineRule="auto"/>
              <w:jc w:val="both"/>
              <w:rPr>
                <w:rFonts w:asciiTheme="majorHAnsi" w:hAnsiTheme="majorHAnsi"/>
                <w:sz w:val="22"/>
              </w:rPr>
            </w:pPr>
            <w:r w:rsidRPr="009F60EC">
              <w:rPr>
                <w:rFonts w:asciiTheme="majorHAnsi" w:hAnsiTheme="majorHAnsi"/>
                <w:sz w:val="22"/>
              </w:rPr>
              <w:t>Knowsley</w:t>
            </w:r>
          </w:p>
        </w:tc>
        <w:tc>
          <w:tcPr>
            <w:tcW w:w="1635" w:type="dxa"/>
          </w:tcPr>
          <w:p w14:paraId="08BF3D9B" w14:textId="77777777" w:rsidR="001E09F4" w:rsidRPr="009F60EC" w:rsidRDefault="00F5220E" w:rsidP="0023011F">
            <w:pPr>
              <w:spacing w:line="360" w:lineRule="auto"/>
              <w:jc w:val="both"/>
              <w:rPr>
                <w:rFonts w:asciiTheme="majorHAnsi" w:hAnsiTheme="majorHAnsi"/>
                <w:sz w:val="22"/>
              </w:rPr>
            </w:pPr>
            <w:r w:rsidRPr="009F60EC">
              <w:rPr>
                <w:rFonts w:asciiTheme="majorHAnsi" w:hAnsiTheme="majorHAnsi"/>
                <w:sz w:val="22"/>
              </w:rPr>
              <w:t>148</w:t>
            </w:r>
          </w:p>
        </w:tc>
        <w:tc>
          <w:tcPr>
            <w:tcW w:w="2738" w:type="dxa"/>
          </w:tcPr>
          <w:p w14:paraId="2BAB0C98" w14:textId="77777777" w:rsidR="001E09F4" w:rsidRPr="009F60EC" w:rsidRDefault="001E09F4" w:rsidP="0023011F">
            <w:pPr>
              <w:spacing w:line="360" w:lineRule="auto"/>
              <w:jc w:val="both"/>
              <w:rPr>
                <w:rFonts w:asciiTheme="majorHAnsi" w:hAnsiTheme="majorHAnsi"/>
                <w:sz w:val="22"/>
              </w:rPr>
            </w:pPr>
            <w:r w:rsidRPr="009F60EC">
              <w:rPr>
                <w:rFonts w:asciiTheme="majorHAnsi" w:hAnsiTheme="majorHAnsi"/>
                <w:sz w:val="22"/>
              </w:rPr>
              <w:t>7.63</w:t>
            </w:r>
          </w:p>
        </w:tc>
        <w:tc>
          <w:tcPr>
            <w:tcW w:w="2693" w:type="dxa"/>
          </w:tcPr>
          <w:p w14:paraId="5C0F0047" w14:textId="77777777" w:rsidR="001E09F4" w:rsidRPr="009F60EC" w:rsidRDefault="001E09F4" w:rsidP="0023011F">
            <w:pPr>
              <w:spacing w:line="360" w:lineRule="auto"/>
              <w:jc w:val="both"/>
              <w:rPr>
                <w:rFonts w:asciiTheme="majorHAnsi" w:hAnsiTheme="majorHAnsi"/>
                <w:sz w:val="22"/>
              </w:rPr>
            </w:pPr>
            <w:r w:rsidRPr="009F60EC">
              <w:rPr>
                <w:rFonts w:asciiTheme="majorHAnsi" w:hAnsiTheme="majorHAnsi"/>
                <w:sz w:val="22"/>
              </w:rPr>
              <w:t>5.6</w:t>
            </w:r>
            <w:r w:rsidR="00F5220E" w:rsidRPr="009F60EC">
              <w:rPr>
                <w:rFonts w:asciiTheme="majorHAnsi" w:hAnsiTheme="majorHAnsi"/>
                <w:sz w:val="22"/>
              </w:rPr>
              <w:t>6</w:t>
            </w:r>
          </w:p>
        </w:tc>
      </w:tr>
    </w:tbl>
    <w:p w14:paraId="4D7219F3" w14:textId="77777777" w:rsidR="00BC1E3A" w:rsidRPr="009F60EC" w:rsidRDefault="00BC1E3A" w:rsidP="0023011F">
      <w:pPr>
        <w:spacing w:line="360" w:lineRule="auto"/>
        <w:jc w:val="both"/>
        <w:rPr>
          <w:rFonts w:asciiTheme="majorHAnsi" w:hAnsiTheme="majorHAnsi"/>
          <w:sz w:val="22"/>
        </w:rPr>
      </w:pPr>
    </w:p>
    <w:p w14:paraId="2D5A5D9D" w14:textId="77777777" w:rsidR="00DB7FB6" w:rsidRPr="009F60EC" w:rsidRDefault="001B5C8E" w:rsidP="0023011F">
      <w:pPr>
        <w:tabs>
          <w:tab w:val="left" w:pos="1960"/>
        </w:tabs>
        <w:spacing w:line="360" w:lineRule="auto"/>
        <w:jc w:val="both"/>
        <w:rPr>
          <w:rFonts w:asciiTheme="majorHAnsi" w:hAnsiTheme="majorHAnsi"/>
          <w:b/>
          <w:sz w:val="22"/>
          <w:u w:val="single"/>
        </w:rPr>
      </w:pPr>
      <w:r>
        <w:rPr>
          <w:rFonts w:asciiTheme="majorHAnsi" w:hAnsiTheme="majorHAnsi"/>
          <w:b/>
          <w:sz w:val="22"/>
          <w:u w:val="single"/>
        </w:rPr>
        <w:br w:type="page"/>
      </w:r>
      <w:r w:rsidR="00DB7FB6" w:rsidRPr="009F60EC">
        <w:rPr>
          <w:rFonts w:asciiTheme="majorHAnsi" w:hAnsiTheme="majorHAnsi"/>
          <w:b/>
          <w:sz w:val="22"/>
          <w:u w:val="single"/>
        </w:rPr>
        <w:lastRenderedPageBreak/>
        <w:t>Discussion</w:t>
      </w:r>
    </w:p>
    <w:p w14:paraId="7EC61DCF" w14:textId="77777777" w:rsidR="00DB7FB6" w:rsidRPr="009F60EC" w:rsidRDefault="00DB7FB6" w:rsidP="0023011F">
      <w:pPr>
        <w:spacing w:line="360" w:lineRule="auto"/>
        <w:jc w:val="both"/>
        <w:rPr>
          <w:rFonts w:asciiTheme="majorHAnsi" w:hAnsiTheme="majorHAnsi"/>
          <w:sz w:val="22"/>
        </w:rPr>
      </w:pPr>
      <w:r w:rsidRPr="009F60EC">
        <w:rPr>
          <w:rFonts w:asciiTheme="majorHAnsi" w:hAnsiTheme="majorHAnsi"/>
          <w:sz w:val="22"/>
        </w:rPr>
        <w:t>The Liverpool Perthes Register demonstrates conformity of the dataset to a lognormal distribution. It also de</w:t>
      </w:r>
      <w:r w:rsidR="002B11ED" w:rsidRPr="009F60EC">
        <w:rPr>
          <w:rFonts w:asciiTheme="majorHAnsi" w:hAnsiTheme="majorHAnsi"/>
          <w:sz w:val="22"/>
        </w:rPr>
        <w:t>monstrates a significantly earlier</w:t>
      </w:r>
      <w:r w:rsidRPr="009F60EC">
        <w:rPr>
          <w:rFonts w:asciiTheme="majorHAnsi" w:hAnsiTheme="majorHAnsi"/>
          <w:sz w:val="22"/>
        </w:rPr>
        <w:t xml:space="preserve"> onset in disease amongst </w:t>
      </w:r>
      <w:r w:rsidR="002B11ED" w:rsidRPr="009F60EC">
        <w:rPr>
          <w:rFonts w:asciiTheme="majorHAnsi" w:hAnsiTheme="majorHAnsi"/>
          <w:sz w:val="22"/>
        </w:rPr>
        <w:t xml:space="preserve">girls and amongst </w:t>
      </w:r>
      <w:r w:rsidRPr="009F60EC">
        <w:rPr>
          <w:rFonts w:asciiTheme="majorHAnsi" w:hAnsiTheme="majorHAnsi"/>
          <w:sz w:val="22"/>
        </w:rPr>
        <w:t xml:space="preserve">children who </w:t>
      </w:r>
      <w:r w:rsidR="002B11ED" w:rsidRPr="009F60EC">
        <w:rPr>
          <w:rFonts w:asciiTheme="majorHAnsi" w:hAnsiTheme="majorHAnsi"/>
          <w:sz w:val="22"/>
        </w:rPr>
        <w:t>progress to bilateral disease</w:t>
      </w:r>
      <w:r w:rsidRPr="009F60EC">
        <w:rPr>
          <w:rFonts w:asciiTheme="majorHAnsi" w:hAnsiTheme="majorHAnsi"/>
          <w:sz w:val="22"/>
        </w:rPr>
        <w:t xml:space="preserve">. No age of onset difference was identified between the three geographical regions studies. </w:t>
      </w:r>
    </w:p>
    <w:p w14:paraId="11727CDF" w14:textId="509C1B80" w:rsidR="00303A51" w:rsidRPr="009F60EC" w:rsidRDefault="00DB7FB6" w:rsidP="0023011F">
      <w:pPr>
        <w:spacing w:line="360" w:lineRule="auto"/>
        <w:jc w:val="both"/>
        <w:rPr>
          <w:rFonts w:asciiTheme="majorHAnsi" w:hAnsiTheme="majorHAnsi"/>
          <w:sz w:val="22"/>
        </w:rPr>
      </w:pPr>
      <w:r w:rsidRPr="009F60EC">
        <w:rPr>
          <w:rFonts w:asciiTheme="majorHAnsi" w:hAnsiTheme="majorHAnsi"/>
          <w:sz w:val="22"/>
        </w:rPr>
        <w:t xml:space="preserve">Sartwell first demonstrated that infectious disease </w:t>
      </w:r>
      <w:r w:rsidR="004A53DC" w:rsidRPr="009F60EC">
        <w:rPr>
          <w:rFonts w:asciiTheme="majorHAnsi" w:hAnsiTheme="majorHAnsi"/>
          <w:sz w:val="22"/>
        </w:rPr>
        <w:t>incubation periods follow a log</w:t>
      </w:r>
      <w:r w:rsidRPr="009F60EC">
        <w:rPr>
          <w:rFonts w:asciiTheme="majorHAnsi" w:hAnsiTheme="majorHAnsi"/>
          <w:sz w:val="22"/>
        </w:rPr>
        <w:t>normal distribution</w:t>
      </w:r>
      <w:r w:rsidR="00591E96" w:rsidRPr="00591E96">
        <w:rPr>
          <w:rFonts w:ascii="Times" w:hAnsi="Times" w:cs="Times New Roman"/>
          <w:sz w:val="22"/>
        </w:rPr>
        <w:t xml:space="preserve"> </w:t>
      </w:r>
      <w:hyperlink r:id="rId14" w:history="1">
        <w:r w:rsidR="00591E96" w:rsidRPr="00591E96">
          <w:rPr>
            <w:rFonts w:ascii="Times" w:hAnsi="Times" w:cs="Times"/>
            <w:sz w:val="22"/>
            <w:szCs w:val="20"/>
            <w:vertAlign w:val="superscript"/>
          </w:rPr>
          <w:t>7</w:t>
        </w:r>
      </w:hyperlink>
      <w:r w:rsidRPr="009F60EC">
        <w:rPr>
          <w:rFonts w:asciiTheme="majorHAnsi" w:hAnsiTheme="majorHAnsi"/>
          <w:sz w:val="22"/>
        </w:rPr>
        <w:t xml:space="preserve"> – </w:t>
      </w:r>
      <w:r w:rsidR="00303A51" w:rsidRPr="009F60EC">
        <w:rPr>
          <w:rFonts w:asciiTheme="majorHAnsi" w:hAnsiTheme="majorHAnsi"/>
          <w:sz w:val="22"/>
        </w:rPr>
        <w:t>such</w:t>
      </w:r>
      <w:r w:rsidRPr="009F60EC">
        <w:rPr>
          <w:rFonts w:asciiTheme="majorHAnsi" w:hAnsiTheme="majorHAnsi"/>
          <w:sz w:val="22"/>
        </w:rPr>
        <w:t xml:space="preserve"> </w:t>
      </w:r>
      <w:r w:rsidR="00303A51" w:rsidRPr="009F60EC">
        <w:rPr>
          <w:rFonts w:asciiTheme="majorHAnsi" w:hAnsiTheme="majorHAnsi"/>
          <w:sz w:val="22"/>
        </w:rPr>
        <w:t xml:space="preserve">graphic representations are now </w:t>
      </w:r>
      <w:r w:rsidR="002B11ED" w:rsidRPr="009F60EC">
        <w:rPr>
          <w:rFonts w:asciiTheme="majorHAnsi" w:hAnsiTheme="majorHAnsi"/>
          <w:sz w:val="22"/>
        </w:rPr>
        <w:t>often</w:t>
      </w:r>
      <w:r w:rsidR="00303A51" w:rsidRPr="009F60EC">
        <w:rPr>
          <w:rFonts w:asciiTheme="majorHAnsi" w:hAnsiTheme="majorHAnsi"/>
          <w:sz w:val="22"/>
        </w:rPr>
        <w:t xml:space="preserve"> referred to as ‘Sartwell curves’.</w:t>
      </w:r>
      <w:r w:rsidRPr="009F60EC">
        <w:rPr>
          <w:rFonts w:asciiTheme="majorHAnsi" w:hAnsiTheme="majorHAnsi"/>
          <w:sz w:val="22"/>
        </w:rPr>
        <w:t xml:space="preserve"> </w:t>
      </w:r>
      <w:r w:rsidR="00303A51" w:rsidRPr="009F60EC">
        <w:rPr>
          <w:rFonts w:asciiTheme="majorHAnsi" w:hAnsiTheme="majorHAnsi"/>
          <w:sz w:val="22"/>
        </w:rPr>
        <w:t xml:space="preserve"> </w:t>
      </w:r>
      <w:r w:rsidR="009B3F69" w:rsidRPr="009F60EC">
        <w:rPr>
          <w:rFonts w:asciiTheme="majorHAnsi" w:hAnsiTheme="majorHAnsi"/>
          <w:sz w:val="22"/>
        </w:rPr>
        <w:t>In infectious disease</w:t>
      </w:r>
      <w:r w:rsidR="0067380E">
        <w:rPr>
          <w:rFonts w:asciiTheme="majorHAnsi" w:hAnsiTheme="majorHAnsi"/>
          <w:sz w:val="22"/>
        </w:rPr>
        <w:t>s</w:t>
      </w:r>
      <w:r w:rsidR="009B3F69" w:rsidRPr="009F60EC">
        <w:rPr>
          <w:rFonts w:asciiTheme="majorHAnsi" w:hAnsiTheme="majorHAnsi"/>
          <w:sz w:val="22"/>
        </w:rPr>
        <w:t xml:space="preserve"> this</w:t>
      </w:r>
      <w:r w:rsidR="00303A51" w:rsidRPr="009F60EC">
        <w:rPr>
          <w:rFonts w:asciiTheme="majorHAnsi" w:hAnsiTheme="majorHAnsi"/>
          <w:sz w:val="22"/>
        </w:rPr>
        <w:t xml:space="preserve"> </w:t>
      </w:r>
      <w:r w:rsidR="0067380E">
        <w:rPr>
          <w:rFonts w:asciiTheme="majorHAnsi" w:hAnsiTheme="majorHAnsi"/>
          <w:sz w:val="22"/>
        </w:rPr>
        <w:t>distribution</w:t>
      </w:r>
      <w:r w:rsidR="00303A51" w:rsidRPr="009F60EC">
        <w:rPr>
          <w:rFonts w:asciiTheme="majorHAnsi" w:hAnsiTheme="majorHAnsi"/>
          <w:sz w:val="22"/>
        </w:rPr>
        <w:t xml:space="preserve"> exist</w:t>
      </w:r>
      <w:r w:rsidR="009B3F69" w:rsidRPr="009F60EC">
        <w:rPr>
          <w:rFonts w:asciiTheme="majorHAnsi" w:hAnsiTheme="majorHAnsi"/>
          <w:sz w:val="22"/>
        </w:rPr>
        <w:t>s</w:t>
      </w:r>
      <w:r w:rsidR="00303A51" w:rsidRPr="009F60EC">
        <w:rPr>
          <w:rFonts w:asciiTheme="majorHAnsi" w:hAnsiTheme="majorHAnsi"/>
          <w:sz w:val="22"/>
        </w:rPr>
        <w:t xml:space="preserve"> when a disease arises from a point-source outbreak (i.e. episode of food poisoning), yet</w:t>
      </w:r>
      <w:r w:rsidR="007F5DE5">
        <w:rPr>
          <w:rFonts w:asciiTheme="majorHAnsi" w:hAnsiTheme="majorHAnsi"/>
          <w:sz w:val="22"/>
        </w:rPr>
        <w:t xml:space="preserve"> it </w:t>
      </w:r>
      <w:r w:rsidR="0067380E">
        <w:rPr>
          <w:rFonts w:asciiTheme="majorHAnsi" w:hAnsiTheme="majorHAnsi"/>
          <w:sz w:val="22"/>
        </w:rPr>
        <w:t>is</w:t>
      </w:r>
      <w:r w:rsidR="00303A51" w:rsidRPr="009F60EC">
        <w:rPr>
          <w:rFonts w:asciiTheme="majorHAnsi" w:hAnsiTheme="majorHAnsi"/>
          <w:sz w:val="22"/>
        </w:rPr>
        <w:t xml:space="preserve"> not present in broad</w:t>
      </w:r>
      <w:r w:rsidR="0067380E">
        <w:rPr>
          <w:rFonts w:asciiTheme="majorHAnsi" w:hAnsiTheme="majorHAnsi"/>
          <w:sz w:val="22"/>
        </w:rPr>
        <w:t xml:space="preserve"> ill-defined infective outbreaks</w:t>
      </w:r>
      <w:r w:rsidR="00303A51" w:rsidRPr="009F60EC">
        <w:rPr>
          <w:rFonts w:asciiTheme="majorHAnsi" w:hAnsiTheme="majorHAnsi"/>
          <w:sz w:val="22"/>
        </w:rPr>
        <w:t xml:space="preserve"> (e.g. water </w:t>
      </w:r>
      <w:r w:rsidR="00415632" w:rsidRPr="009F60EC">
        <w:rPr>
          <w:rFonts w:asciiTheme="majorHAnsi" w:hAnsiTheme="majorHAnsi"/>
          <w:sz w:val="22"/>
        </w:rPr>
        <w:t>borne</w:t>
      </w:r>
      <w:r w:rsidR="00303A51" w:rsidRPr="009F60EC">
        <w:rPr>
          <w:rFonts w:asciiTheme="majorHAnsi" w:hAnsiTheme="majorHAnsi"/>
          <w:sz w:val="22"/>
        </w:rPr>
        <w:t xml:space="preserve"> </w:t>
      </w:r>
      <w:proofErr w:type="spellStart"/>
      <w:r w:rsidR="00303A51" w:rsidRPr="009F60EC">
        <w:rPr>
          <w:rFonts w:asciiTheme="majorHAnsi" w:hAnsiTheme="majorHAnsi"/>
          <w:sz w:val="22"/>
        </w:rPr>
        <w:t>thypoid</w:t>
      </w:r>
      <w:proofErr w:type="spellEnd"/>
      <w:r w:rsidR="00303A51" w:rsidRPr="009F60EC">
        <w:rPr>
          <w:rFonts w:asciiTheme="majorHAnsi" w:hAnsiTheme="majorHAnsi"/>
          <w:sz w:val="22"/>
        </w:rPr>
        <w:t xml:space="preserve">).  </w:t>
      </w:r>
      <w:r w:rsidR="002B11ED" w:rsidRPr="009F60EC">
        <w:rPr>
          <w:rFonts w:asciiTheme="majorHAnsi" w:hAnsiTheme="majorHAnsi"/>
          <w:sz w:val="22"/>
        </w:rPr>
        <w:t>Sartwell</w:t>
      </w:r>
      <w:r w:rsidR="00303A51" w:rsidRPr="009F60EC">
        <w:rPr>
          <w:rFonts w:asciiTheme="majorHAnsi" w:hAnsiTheme="majorHAnsi"/>
          <w:sz w:val="22"/>
        </w:rPr>
        <w:t xml:space="preserve"> suggested that chronic diseases may similarly follow such </w:t>
      </w:r>
      <w:r w:rsidR="007F5DE5" w:rsidRPr="009F60EC">
        <w:rPr>
          <w:rFonts w:asciiTheme="majorHAnsi" w:hAnsiTheme="majorHAnsi"/>
          <w:sz w:val="22"/>
        </w:rPr>
        <w:t>patterns, which</w:t>
      </w:r>
      <w:r w:rsidR="00303A51" w:rsidRPr="009F60EC">
        <w:rPr>
          <w:rFonts w:asciiTheme="majorHAnsi" w:hAnsiTheme="majorHAnsi"/>
          <w:sz w:val="22"/>
        </w:rPr>
        <w:t xml:space="preserve"> may offer insight into the ‘incubation-period’, and hence </w:t>
      </w:r>
      <w:r w:rsidR="009B3F69" w:rsidRPr="009F60EC">
        <w:rPr>
          <w:rFonts w:asciiTheme="majorHAnsi" w:hAnsiTheme="majorHAnsi"/>
          <w:sz w:val="22"/>
        </w:rPr>
        <w:t xml:space="preserve">the </w:t>
      </w:r>
      <w:r w:rsidR="00B23449">
        <w:rPr>
          <w:rFonts w:asciiTheme="majorHAnsi" w:hAnsiTheme="majorHAnsi"/>
          <w:sz w:val="22"/>
        </w:rPr>
        <w:t>timing of the aetiological insult</w:t>
      </w:r>
      <w:r w:rsidR="00591E96" w:rsidRPr="00591E96">
        <w:rPr>
          <w:rFonts w:ascii="Times" w:hAnsi="Times" w:cs="Times New Roman"/>
          <w:sz w:val="22"/>
        </w:rPr>
        <w:t xml:space="preserve"> </w:t>
      </w:r>
      <w:hyperlink r:id="rId15" w:history="1">
        <w:r w:rsidR="00591E96" w:rsidRPr="00591E96">
          <w:rPr>
            <w:rFonts w:ascii="Times" w:hAnsi="Times" w:cs="Times"/>
            <w:sz w:val="22"/>
            <w:szCs w:val="20"/>
            <w:vertAlign w:val="superscript"/>
          </w:rPr>
          <w:t>8</w:t>
        </w:r>
      </w:hyperlink>
      <w:r w:rsidR="00303A51" w:rsidRPr="009F60EC">
        <w:rPr>
          <w:rFonts w:asciiTheme="majorHAnsi" w:hAnsiTheme="majorHAnsi"/>
          <w:sz w:val="22"/>
        </w:rPr>
        <w:t xml:space="preserve">.  The suggestion </w:t>
      </w:r>
      <w:r w:rsidR="0067380E">
        <w:rPr>
          <w:rFonts w:asciiTheme="majorHAnsi" w:hAnsiTheme="majorHAnsi"/>
          <w:sz w:val="22"/>
        </w:rPr>
        <w:t>is</w:t>
      </w:r>
      <w:r w:rsidR="00303A51" w:rsidRPr="009F60EC">
        <w:rPr>
          <w:rFonts w:asciiTheme="majorHAnsi" w:hAnsiTheme="majorHAnsi"/>
          <w:sz w:val="22"/>
        </w:rPr>
        <w:t xml:space="preserve"> that the incubation period </w:t>
      </w:r>
      <w:r w:rsidR="007F5DE5">
        <w:rPr>
          <w:rFonts w:asciiTheme="majorHAnsi" w:hAnsiTheme="majorHAnsi"/>
          <w:sz w:val="22"/>
        </w:rPr>
        <w:t>of</w:t>
      </w:r>
      <w:r w:rsidR="00303A51" w:rsidRPr="009F60EC">
        <w:rPr>
          <w:rFonts w:asciiTheme="majorHAnsi" w:hAnsiTheme="majorHAnsi"/>
          <w:sz w:val="22"/>
        </w:rPr>
        <w:t xml:space="preserve"> a chronic disease </w:t>
      </w:r>
      <w:r w:rsidR="0067380E">
        <w:rPr>
          <w:rFonts w:asciiTheme="majorHAnsi" w:hAnsiTheme="majorHAnsi"/>
          <w:sz w:val="22"/>
        </w:rPr>
        <w:t>begins at</w:t>
      </w:r>
      <w:r w:rsidR="00303A51" w:rsidRPr="009F60EC">
        <w:rPr>
          <w:rFonts w:asciiTheme="majorHAnsi" w:hAnsiTheme="majorHAnsi"/>
          <w:sz w:val="22"/>
        </w:rPr>
        <w:t xml:space="preserve"> the time of exposure to a pathogen (</w:t>
      </w:r>
      <w:r w:rsidR="009B3F69" w:rsidRPr="009F60EC">
        <w:rPr>
          <w:rFonts w:asciiTheme="majorHAnsi" w:hAnsiTheme="majorHAnsi"/>
          <w:sz w:val="22"/>
        </w:rPr>
        <w:t>be it environmental or</w:t>
      </w:r>
      <w:r w:rsidR="00303A51" w:rsidRPr="009F60EC">
        <w:rPr>
          <w:rFonts w:asciiTheme="majorHAnsi" w:hAnsiTheme="majorHAnsi"/>
          <w:sz w:val="22"/>
        </w:rPr>
        <w:t xml:space="preserve"> genetic), </w:t>
      </w:r>
      <w:r w:rsidR="0067380E">
        <w:rPr>
          <w:rFonts w:asciiTheme="majorHAnsi" w:hAnsiTheme="majorHAnsi"/>
          <w:sz w:val="22"/>
        </w:rPr>
        <w:t>and ends at the point of disease</w:t>
      </w:r>
      <w:r w:rsidR="00303A51" w:rsidRPr="009F60EC">
        <w:rPr>
          <w:rFonts w:asciiTheme="majorHAnsi" w:hAnsiTheme="majorHAnsi"/>
          <w:sz w:val="22"/>
        </w:rPr>
        <w:t xml:space="preserve"> onset. </w:t>
      </w:r>
      <w:r w:rsidR="004A53DC" w:rsidRPr="009F60EC">
        <w:rPr>
          <w:rFonts w:asciiTheme="majorHAnsi" w:hAnsiTheme="majorHAnsi"/>
          <w:sz w:val="22"/>
        </w:rPr>
        <w:t xml:space="preserve">If </w:t>
      </w:r>
      <w:r w:rsidR="009B3F69" w:rsidRPr="009F60EC">
        <w:rPr>
          <w:rFonts w:asciiTheme="majorHAnsi" w:hAnsiTheme="majorHAnsi"/>
          <w:sz w:val="22"/>
        </w:rPr>
        <w:t>the exposure is i</w:t>
      </w:r>
      <w:r w:rsidR="002B11ED" w:rsidRPr="009F60EC">
        <w:rPr>
          <w:rFonts w:asciiTheme="majorHAnsi" w:hAnsiTheme="majorHAnsi"/>
          <w:sz w:val="22"/>
        </w:rPr>
        <w:t>n-</w:t>
      </w:r>
      <w:r w:rsidR="009B3F69" w:rsidRPr="009F60EC">
        <w:rPr>
          <w:rFonts w:asciiTheme="majorHAnsi" w:hAnsiTheme="majorHAnsi"/>
          <w:sz w:val="22"/>
        </w:rPr>
        <w:t xml:space="preserve">utero then the incubation period is the </w:t>
      </w:r>
      <w:r w:rsidR="002A7272" w:rsidRPr="009F60EC">
        <w:rPr>
          <w:rFonts w:asciiTheme="majorHAnsi" w:hAnsiTheme="majorHAnsi"/>
          <w:sz w:val="22"/>
        </w:rPr>
        <w:t xml:space="preserve">summation of the </w:t>
      </w:r>
      <w:r w:rsidR="009B3F69" w:rsidRPr="009F60EC">
        <w:rPr>
          <w:rFonts w:asciiTheme="majorHAnsi" w:hAnsiTheme="majorHAnsi"/>
          <w:sz w:val="22"/>
        </w:rPr>
        <w:t>gestational period following exposure</w:t>
      </w:r>
      <w:r w:rsidR="002A7272" w:rsidRPr="009F60EC">
        <w:rPr>
          <w:rFonts w:asciiTheme="majorHAnsi" w:hAnsiTheme="majorHAnsi"/>
          <w:sz w:val="22"/>
        </w:rPr>
        <w:t>, and the age of disease onset</w:t>
      </w:r>
      <w:r w:rsidR="009B3F69" w:rsidRPr="009F60EC">
        <w:rPr>
          <w:rFonts w:asciiTheme="majorHAnsi" w:hAnsiTheme="majorHAnsi"/>
          <w:sz w:val="22"/>
        </w:rPr>
        <w:t xml:space="preserve">. </w:t>
      </w:r>
    </w:p>
    <w:p w14:paraId="702D356D" w14:textId="08CA9BEF" w:rsidR="009207F0" w:rsidRPr="009F60EC" w:rsidRDefault="00303A51" w:rsidP="0023011F">
      <w:pPr>
        <w:spacing w:line="360" w:lineRule="auto"/>
        <w:jc w:val="both"/>
        <w:rPr>
          <w:rFonts w:asciiTheme="majorHAnsi" w:hAnsiTheme="majorHAnsi" w:cs="Times New Roman"/>
          <w:sz w:val="22"/>
        </w:rPr>
      </w:pPr>
      <w:r w:rsidRPr="009F60EC">
        <w:rPr>
          <w:rFonts w:asciiTheme="majorHAnsi" w:hAnsiTheme="majorHAnsi"/>
          <w:sz w:val="22"/>
        </w:rPr>
        <w:t xml:space="preserve">A number of </w:t>
      </w:r>
      <w:r w:rsidR="009207F0" w:rsidRPr="009F60EC">
        <w:rPr>
          <w:rFonts w:asciiTheme="majorHAnsi" w:hAnsiTheme="majorHAnsi"/>
          <w:sz w:val="22"/>
        </w:rPr>
        <w:t xml:space="preserve">chronic </w:t>
      </w:r>
      <w:r w:rsidRPr="009F60EC">
        <w:rPr>
          <w:rFonts w:asciiTheme="majorHAnsi" w:hAnsiTheme="majorHAnsi"/>
          <w:sz w:val="22"/>
        </w:rPr>
        <w:t>diseases have</w:t>
      </w:r>
      <w:r w:rsidR="009207F0" w:rsidRPr="009F60EC">
        <w:rPr>
          <w:rFonts w:asciiTheme="majorHAnsi" w:hAnsiTheme="majorHAnsi"/>
          <w:sz w:val="22"/>
        </w:rPr>
        <w:t xml:space="preserve"> been investigated </w:t>
      </w:r>
      <w:r w:rsidR="002A7272" w:rsidRPr="009F60EC">
        <w:rPr>
          <w:rFonts w:asciiTheme="majorHAnsi" w:hAnsiTheme="majorHAnsi"/>
          <w:sz w:val="22"/>
        </w:rPr>
        <w:t>using</w:t>
      </w:r>
      <w:r w:rsidR="009207F0" w:rsidRPr="009F60EC">
        <w:rPr>
          <w:rFonts w:asciiTheme="majorHAnsi" w:hAnsiTheme="majorHAnsi"/>
          <w:sz w:val="22"/>
        </w:rPr>
        <w:t xml:space="preserve"> Sartwell’s model. </w:t>
      </w:r>
      <w:r w:rsidR="009207F0" w:rsidRPr="009F60EC">
        <w:rPr>
          <w:rFonts w:asciiTheme="majorHAnsi" w:hAnsiTheme="majorHAnsi" w:cs="Times New Roman"/>
          <w:sz w:val="22"/>
        </w:rPr>
        <w:t xml:space="preserve">The age of onset of diseases with a recognised </w:t>
      </w:r>
      <w:r w:rsidR="007F5DE5" w:rsidRPr="009F60EC">
        <w:rPr>
          <w:rFonts w:asciiTheme="majorHAnsi" w:hAnsiTheme="majorHAnsi" w:cs="Times New Roman"/>
          <w:sz w:val="22"/>
        </w:rPr>
        <w:t xml:space="preserve">genetic </w:t>
      </w:r>
      <w:r w:rsidR="009207F0" w:rsidRPr="009F60EC">
        <w:rPr>
          <w:rFonts w:asciiTheme="majorHAnsi" w:hAnsiTheme="majorHAnsi" w:cs="Times New Roman"/>
          <w:sz w:val="22"/>
        </w:rPr>
        <w:t xml:space="preserve">biochemical abnormality conform well to the model (e.g. Wilson’s disease, </w:t>
      </w:r>
      <w:proofErr w:type="spellStart"/>
      <w:r w:rsidR="009207F0" w:rsidRPr="009F60EC">
        <w:rPr>
          <w:rFonts w:asciiTheme="majorHAnsi" w:hAnsiTheme="majorHAnsi" w:cs="Times New Roman"/>
          <w:sz w:val="22"/>
        </w:rPr>
        <w:t>cystinurea</w:t>
      </w:r>
      <w:proofErr w:type="spellEnd"/>
      <w:r w:rsidR="009207F0" w:rsidRPr="009F60EC">
        <w:rPr>
          <w:rFonts w:asciiTheme="majorHAnsi" w:hAnsiTheme="majorHAnsi" w:cs="Times New Roman"/>
          <w:sz w:val="22"/>
        </w:rPr>
        <w:t xml:space="preserve"> and Hartnup disease), whereas those diseases known to have a multifactorial aetiology (</w:t>
      </w:r>
      <w:proofErr w:type="spellStart"/>
      <w:r w:rsidR="009207F0" w:rsidRPr="009F60EC">
        <w:rPr>
          <w:rFonts w:asciiTheme="majorHAnsi" w:hAnsiTheme="majorHAnsi" w:cs="Times New Roman"/>
          <w:sz w:val="22"/>
        </w:rPr>
        <w:t>e.g</w:t>
      </w:r>
      <w:proofErr w:type="spellEnd"/>
      <w:r w:rsidR="009207F0" w:rsidRPr="009F60EC">
        <w:rPr>
          <w:rFonts w:asciiTheme="majorHAnsi" w:hAnsiTheme="majorHAnsi" w:cs="Times New Roman"/>
          <w:sz w:val="22"/>
        </w:rPr>
        <w:t xml:space="preserve"> systemic lupus erythematosus, idiopathic hypoparathyroidism and sudden infant death syndrome) do not</w:t>
      </w:r>
      <w:r w:rsidR="00591E96" w:rsidRPr="00591E96">
        <w:rPr>
          <w:rFonts w:ascii="Times" w:hAnsi="Times" w:cs="Times New Roman"/>
          <w:sz w:val="22"/>
        </w:rPr>
        <w:t xml:space="preserve"> </w:t>
      </w:r>
      <w:hyperlink r:id="rId16" w:history="1">
        <w:r w:rsidR="00591E96" w:rsidRPr="00591E96">
          <w:rPr>
            <w:rFonts w:ascii="Times" w:hAnsi="Times" w:cs="Times"/>
            <w:sz w:val="22"/>
            <w:szCs w:val="20"/>
            <w:vertAlign w:val="superscript"/>
          </w:rPr>
          <w:t>9</w:t>
        </w:r>
      </w:hyperlink>
      <w:r w:rsidR="009207F0" w:rsidRPr="009F60EC">
        <w:rPr>
          <w:rFonts w:asciiTheme="majorHAnsi" w:hAnsiTheme="majorHAnsi" w:cs="Times New Roman"/>
          <w:sz w:val="22"/>
        </w:rPr>
        <w:t xml:space="preserve">. Diseases </w:t>
      </w:r>
      <w:r w:rsidR="0067380E">
        <w:rPr>
          <w:rFonts w:asciiTheme="majorHAnsi" w:hAnsiTheme="majorHAnsi" w:cs="Times New Roman"/>
          <w:sz w:val="22"/>
        </w:rPr>
        <w:t>with a</w:t>
      </w:r>
      <w:r w:rsidR="009207F0" w:rsidRPr="009F60EC">
        <w:rPr>
          <w:rFonts w:asciiTheme="majorHAnsi" w:hAnsiTheme="majorHAnsi" w:cs="Times New Roman"/>
          <w:sz w:val="22"/>
        </w:rPr>
        <w:t xml:space="preserve"> defined environmental trigger similarly conform</w:t>
      </w:r>
      <w:proofErr w:type="gramStart"/>
      <w:r w:rsidR="009207F0" w:rsidRPr="009F60EC">
        <w:rPr>
          <w:rFonts w:asciiTheme="majorHAnsi" w:hAnsiTheme="majorHAnsi" w:cs="Times New Roman"/>
          <w:sz w:val="22"/>
        </w:rPr>
        <w:t>;</w:t>
      </w:r>
      <w:proofErr w:type="gramEnd"/>
      <w:r w:rsidR="009207F0" w:rsidRPr="009F60EC">
        <w:rPr>
          <w:rFonts w:asciiTheme="majorHAnsi" w:hAnsiTheme="majorHAnsi" w:cs="Times New Roman"/>
          <w:sz w:val="22"/>
        </w:rPr>
        <w:t xml:space="preserve"> such as occupational lung cancer and pancytopenia following chloramphenicol exposure</w:t>
      </w:r>
      <w:r w:rsidR="00591E96" w:rsidRPr="00591E96">
        <w:rPr>
          <w:rFonts w:ascii="Times" w:hAnsi="Times" w:cs="Times New Roman"/>
          <w:sz w:val="22"/>
        </w:rPr>
        <w:t xml:space="preserve"> </w:t>
      </w:r>
      <w:hyperlink r:id="rId17" w:history="1">
        <w:r w:rsidR="00591E96" w:rsidRPr="00591E96">
          <w:rPr>
            <w:rFonts w:ascii="Times" w:hAnsi="Times" w:cs="Times"/>
            <w:sz w:val="22"/>
            <w:szCs w:val="20"/>
            <w:vertAlign w:val="superscript"/>
          </w:rPr>
          <w:t>10</w:t>
        </w:r>
      </w:hyperlink>
      <w:r w:rsidR="009207F0" w:rsidRPr="009F60EC">
        <w:rPr>
          <w:rFonts w:asciiTheme="majorHAnsi" w:hAnsiTheme="majorHAnsi" w:cs="Times New Roman"/>
          <w:sz w:val="22"/>
        </w:rPr>
        <w:t>. Interestingly</w:t>
      </w:r>
      <w:r w:rsidR="0067380E">
        <w:rPr>
          <w:rFonts w:asciiTheme="majorHAnsi" w:hAnsiTheme="majorHAnsi" w:cs="Times New Roman"/>
          <w:sz w:val="22"/>
        </w:rPr>
        <w:t xml:space="preserve">, an investigation comparing the age-of-onset </w:t>
      </w:r>
      <w:r w:rsidR="009207F0" w:rsidRPr="009F60EC">
        <w:rPr>
          <w:rFonts w:asciiTheme="majorHAnsi" w:hAnsiTheme="majorHAnsi" w:cs="Times New Roman"/>
          <w:sz w:val="22"/>
        </w:rPr>
        <w:t>distribution of acu</w:t>
      </w:r>
      <w:r w:rsidR="00B23449">
        <w:rPr>
          <w:rFonts w:asciiTheme="majorHAnsi" w:hAnsiTheme="majorHAnsi" w:cs="Times New Roman"/>
          <w:sz w:val="22"/>
        </w:rPr>
        <w:t>te lymphoblastic leukaemia</w:t>
      </w:r>
      <w:r w:rsidR="009207F0" w:rsidRPr="009F60EC">
        <w:rPr>
          <w:rFonts w:asciiTheme="majorHAnsi" w:hAnsiTheme="majorHAnsi" w:cs="Times New Roman"/>
          <w:sz w:val="22"/>
        </w:rPr>
        <w:t xml:space="preserve"> following intrauterine radiation (point</w:t>
      </w:r>
      <w:r w:rsidR="00B23449">
        <w:rPr>
          <w:rFonts w:asciiTheme="majorHAnsi" w:hAnsiTheme="majorHAnsi" w:cs="Times New Roman"/>
          <w:sz w:val="22"/>
        </w:rPr>
        <w:t xml:space="preserve"> source</w:t>
      </w:r>
      <w:r w:rsidR="009207F0" w:rsidRPr="009F60EC">
        <w:rPr>
          <w:rFonts w:asciiTheme="majorHAnsi" w:hAnsiTheme="majorHAnsi" w:cs="Times New Roman"/>
          <w:sz w:val="22"/>
        </w:rPr>
        <w:t xml:space="preserve"> exposure) </w:t>
      </w:r>
      <w:r w:rsidR="0067380E">
        <w:rPr>
          <w:rFonts w:asciiTheme="majorHAnsi" w:hAnsiTheme="majorHAnsi" w:cs="Times New Roman"/>
          <w:sz w:val="22"/>
        </w:rPr>
        <w:t>and</w:t>
      </w:r>
      <w:r w:rsidR="009207F0" w:rsidRPr="009F60EC">
        <w:rPr>
          <w:rFonts w:asciiTheme="majorHAnsi" w:hAnsiTheme="majorHAnsi" w:cs="Times New Roman"/>
          <w:sz w:val="22"/>
        </w:rPr>
        <w:t xml:space="preserve"> idiopathic disease</w:t>
      </w:r>
      <w:r w:rsidR="0067380E">
        <w:rPr>
          <w:rFonts w:asciiTheme="majorHAnsi" w:hAnsiTheme="majorHAnsi" w:cs="Times New Roman"/>
          <w:sz w:val="22"/>
        </w:rPr>
        <w:t xml:space="preserve"> (unknown exposure time)</w:t>
      </w:r>
      <w:r w:rsidR="002A7272" w:rsidRPr="009F60EC">
        <w:rPr>
          <w:rFonts w:asciiTheme="majorHAnsi" w:hAnsiTheme="majorHAnsi" w:cs="Times New Roman"/>
          <w:sz w:val="22"/>
        </w:rPr>
        <w:t>,</w:t>
      </w:r>
      <w:r w:rsidR="009207F0" w:rsidRPr="009F60EC">
        <w:rPr>
          <w:rFonts w:asciiTheme="majorHAnsi" w:hAnsiTheme="majorHAnsi" w:cs="Times New Roman"/>
          <w:sz w:val="22"/>
        </w:rPr>
        <w:t xml:space="preserve"> </w:t>
      </w:r>
      <w:r w:rsidR="0067380E">
        <w:rPr>
          <w:rFonts w:asciiTheme="majorHAnsi" w:hAnsiTheme="majorHAnsi" w:cs="Times New Roman"/>
          <w:sz w:val="22"/>
        </w:rPr>
        <w:t>demonstrated that only the</w:t>
      </w:r>
      <w:r w:rsidR="009207F0" w:rsidRPr="009F60EC">
        <w:rPr>
          <w:rFonts w:asciiTheme="majorHAnsi" w:hAnsiTheme="majorHAnsi" w:cs="Times New Roman"/>
          <w:sz w:val="22"/>
        </w:rPr>
        <w:t xml:space="preserve"> former </w:t>
      </w:r>
      <w:r w:rsidR="0067380E">
        <w:rPr>
          <w:rFonts w:asciiTheme="majorHAnsi" w:hAnsiTheme="majorHAnsi" w:cs="Times New Roman"/>
          <w:sz w:val="22"/>
        </w:rPr>
        <w:t>followed</w:t>
      </w:r>
      <w:r w:rsidR="009207F0" w:rsidRPr="009F60EC">
        <w:rPr>
          <w:rFonts w:asciiTheme="majorHAnsi" w:hAnsiTheme="majorHAnsi" w:cs="Times New Roman"/>
          <w:sz w:val="22"/>
        </w:rPr>
        <w:t xml:space="preserve"> a lognormal </w:t>
      </w:r>
      <w:r w:rsidR="0067380E">
        <w:rPr>
          <w:rFonts w:asciiTheme="majorHAnsi" w:hAnsiTheme="majorHAnsi" w:cs="Times New Roman"/>
          <w:sz w:val="22"/>
        </w:rPr>
        <w:t>distribution</w:t>
      </w:r>
      <w:r w:rsidR="00591E96" w:rsidRPr="00591E96">
        <w:rPr>
          <w:rFonts w:ascii="Times" w:hAnsi="Times" w:cs="Times New Roman"/>
          <w:sz w:val="22"/>
        </w:rPr>
        <w:t xml:space="preserve"> </w:t>
      </w:r>
      <w:hyperlink r:id="rId18" w:history="1">
        <w:r w:rsidR="00591E96" w:rsidRPr="00591E96">
          <w:rPr>
            <w:rFonts w:ascii="Times" w:hAnsi="Times" w:cs="Times"/>
            <w:sz w:val="22"/>
            <w:szCs w:val="20"/>
            <w:vertAlign w:val="superscript"/>
          </w:rPr>
          <w:t>10</w:t>
        </w:r>
      </w:hyperlink>
      <w:r w:rsidR="009207F0" w:rsidRPr="009F60EC">
        <w:rPr>
          <w:rFonts w:asciiTheme="majorHAnsi" w:hAnsiTheme="majorHAnsi" w:cs="Times New Roman"/>
          <w:sz w:val="22"/>
        </w:rPr>
        <w:t>.</w:t>
      </w:r>
    </w:p>
    <w:p w14:paraId="11677C34" w14:textId="24B3E546" w:rsidR="009207F0" w:rsidRPr="009F60EC" w:rsidRDefault="001D4549" w:rsidP="0023011F">
      <w:pPr>
        <w:spacing w:line="360" w:lineRule="auto"/>
        <w:jc w:val="both"/>
        <w:rPr>
          <w:rFonts w:asciiTheme="majorHAnsi" w:hAnsiTheme="majorHAnsi" w:cs="Times New Roman"/>
          <w:sz w:val="22"/>
        </w:rPr>
      </w:pPr>
      <w:r w:rsidRPr="009F60EC">
        <w:rPr>
          <w:rFonts w:asciiTheme="majorHAnsi" w:hAnsiTheme="majorHAnsi" w:cs="Times New Roman"/>
          <w:sz w:val="22"/>
        </w:rPr>
        <w:t>Criticism has been leveled against the use of Sartwell curves in chronic d</w:t>
      </w:r>
      <w:r w:rsidR="00A55CD4" w:rsidRPr="009F60EC">
        <w:rPr>
          <w:rFonts w:asciiTheme="majorHAnsi" w:hAnsiTheme="majorHAnsi" w:cs="Times New Roman"/>
          <w:sz w:val="22"/>
        </w:rPr>
        <w:t>isease</w:t>
      </w:r>
      <w:r w:rsidR="00591E96" w:rsidRPr="00591E96">
        <w:rPr>
          <w:rFonts w:ascii="Times" w:hAnsi="Times" w:cs="Times New Roman"/>
          <w:sz w:val="22"/>
        </w:rPr>
        <w:t xml:space="preserve"> </w:t>
      </w:r>
      <w:hyperlink r:id="rId19" w:history="1">
        <w:r w:rsidR="00591E96" w:rsidRPr="00591E96">
          <w:rPr>
            <w:rFonts w:ascii="Times" w:hAnsi="Times" w:cs="Times"/>
            <w:sz w:val="22"/>
            <w:szCs w:val="20"/>
            <w:vertAlign w:val="superscript"/>
          </w:rPr>
          <w:t>5</w:t>
        </w:r>
      </w:hyperlink>
      <w:r w:rsidR="00A55CD4" w:rsidRPr="009F60EC">
        <w:rPr>
          <w:rFonts w:asciiTheme="majorHAnsi" w:hAnsiTheme="majorHAnsi" w:cs="Times New Roman"/>
          <w:sz w:val="22"/>
        </w:rPr>
        <w:t xml:space="preserve">. The </w:t>
      </w:r>
      <w:r w:rsidRPr="009F60EC">
        <w:rPr>
          <w:rFonts w:asciiTheme="majorHAnsi" w:hAnsiTheme="majorHAnsi" w:cs="Times New Roman"/>
          <w:sz w:val="22"/>
        </w:rPr>
        <w:t xml:space="preserve">plausibility </w:t>
      </w:r>
      <w:r w:rsidR="00A55CD4" w:rsidRPr="009F60EC">
        <w:rPr>
          <w:rFonts w:asciiTheme="majorHAnsi" w:hAnsiTheme="majorHAnsi" w:cs="Times New Roman"/>
          <w:sz w:val="22"/>
        </w:rPr>
        <w:t xml:space="preserve">has been questioned </w:t>
      </w:r>
      <w:proofErr w:type="gramStart"/>
      <w:r w:rsidR="00A55CD4" w:rsidRPr="009F60EC">
        <w:rPr>
          <w:rFonts w:asciiTheme="majorHAnsi" w:hAnsiTheme="majorHAnsi" w:cs="Times New Roman"/>
          <w:sz w:val="22"/>
        </w:rPr>
        <w:t>as</w:t>
      </w:r>
      <w:r w:rsidRPr="009F60EC">
        <w:rPr>
          <w:rFonts w:asciiTheme="majorHAnsi" w:hAnsiTheme="majorHAnsi" w:cs="Times New Roman"/>
          <w:sz w:val="22"/>
        </w:rPr>
        <w:t xml:space="preserve"> </w:t>
      </w:r>
      <w:r w:rsidR="00A55CD4" w:rsidRPr="009F60EC">
        <w:rPr>
          <w:rFonts w:asciiTheme="majorHAnsi" w:hAnsiTheme="majorHAnsi" w:cs="Times New Roman"/>
          <w:sz w:val="22"/>
        </w:rPr>
        <w:t>it is believed that</w:t>
      </w:r>
      <w:r w:rsidRPr="009F60EC">
        <w:rPr>
          <w:rFonts w:asciiTheme="majorHAnsi" w:hAnsiTheme="majorHAnsi" w:cs="Times New Roman"/>
          <w:sz w:val="22"/>
        </w:rPr>
        <w:t xml:space="preserve"> infectious disease conform</w:t>
      </w:r>
      <w:r w:rsidR="00A55CD4" w:rsidRPr="009F60EC">
        <w:rPr>
          <w:rFonts w:asciiTheme="majorHAnsi" w:hAnsiTheme="majorHAnsi" w:cs="Times New Roman"/>
          <w:sz w:val="22"/>
        </w:rPr>
        <w:t>s</w:t>
      </w:r>
      <w:r w:rsidRPr="009F60EC">
        <w:rPr>
          <w:rFonts w:asciiTheme="majorHAnsi" w:hAnsiTheme="majorHAnsi" w:cs="Times New Roman"/>
          <w:sz w:val="22"/>
        </w:rPr>
        <w:t xml:space="preserve"> to this model through replication of </w:t>
      </w:r>
      <w:r w:rsidR="00A55CD4" w:rsidRPr="009F60EC">
        <w:rPr>
          <w:rFonts w:asciiTheme="majorHAnsi" w:hAnsiTheme="majorHAnsi" w:cs="Times New Roman"/>
          <w:sz w:val="22"/>
        </w:rPr>
        <w:t>infectious</w:t>
      </w:r>
      <w:r w:rsidRPr="009F60EC">
        <w:rPr>
          <w:rFonts w:asciiTheme="majorHAnsi" w:hAnsiTheme="majorHAnsi" w:cs="Times New Roman"/>
          <w:sz w:val="22"/>
        </w:rPr>
        <w:t xml:space="preserve"> agents (bacteria/ virus), with disease presentation at a threshold</w:t>
      </w:r>
      <w:proofErr w:type="gramEnd"/>
      <w:r w:rsidRPr="009F60EC">
        <w:rPr>
          <w:rFonts w:asciiTheme="majorHAnsi" w:hAnsiTheme="majorHAnsi" w:cs="Times New Roman"/>
          <w:sz w:val="22"/>
        </w:rPr>
        <w:t>. It may be argued that neoplastic disease may be modeled in a similar way through the accrual of malignant cells, yet the mechanism by which other diseases, including Perthes disease, may reflect such a model is unclear.</w:t>
      </w:r>
      <w:r w:rsidR="00A55CD4" w:rsidRPr="009F60EC">
        <w:rPr>
          <w:rFonts w:asciiTheme="majorHAnsi" w:hAnsiTheme="majorHAnsi" w:cs="Times New Roman"/>
          <w:sz w:val="22"/>
        </w:rPr>
        <w:t xml:space="preserve"> Other criticisms concern the truncation of data, or shifts within populations which, it is argued, may artificially produce the appearance of a lognormal distribution. </w:t>
      </w:r>
      <w:r w:rsidR="0067380E">
        <w:rPr>
          <w:rFonts w:asciiTheme="majorHAnsi" w:hAnsiTheme="majorHAnsi" w:cs="Times New Roman"/>
          <w:sz w:val="22"/>
        </w:rPr>
        <w:t xml:space="preserve">The statistical </w:t>
      </w:r>
      <w:proofErr w:type="gramStart"/>
      <w:r w:rsidR="0067380E">
        <w:rPr>
          <w:rFonts w:asciiTheme="majorHAnsi" w:hAnsiTheme="majorHAnsi" w:cs="Times New Roman"/>
          <w:sz w:val="22"/>
        </w:rPr>
        <w:t>test used have</w:t>
      </w:r>
      <w:proofErr w:type="gramEnd"/>
      <w:r w:rsidR="0067380E">
        <w:rPr>
          <w:rFonts w:asciiTheme="majorHAnsi" w:hAnsiTheme="majorHAnsi" w:cs="Times New Roman"/>
          <w:sz w:val="22"/>
        </w:rPr>
        <w:t xml:space="preserve"> also been criticized as</w:t>
      </w:r>
      <w:r w:rsidR="00A55CD4" w:rsidRPr="009F60EC">
        <w:rPr>
          <w:rFonts w:asciiTheme="majorHAnsi" w:hAnsiTheme="majorHAnsi" w:cs="Times New Roman"/>
          <w:sz w:val="22"/>
        </w:rPr>
        <w:t xml:space="preserve"> </w:t>
      </w:r>
      <w:r w:rsidR="0067380E">
        <w:rPr>
          <w:rFonts w:asciiTheme="majorHAnsi" w:hAnsiTheme="majorHAnsi" w:cs="Times New Roman"/>
          <w:sz w:val="22"/>
        </w:rPr>
        <w:lastRenderedPageBreak/>
        <w:t>the</w:t>
      </w:r>
      <w:r w:rsidR="002A7272" w:rsidRPr="009F60EC">
        <w:rPr>
          <w:rFonts w:asciiTheme="majorHAnsi" w:hAnsiTheme="majorHAnsi" w:cs="Times New Roman"/>
          <w:sz w:val="22"/>
        </w:rPr>
        <w:t xml:space="preserve"> </w:t>
      </w:r>
      <w:r w:rsidR="00A55CD4" w:rsidRPr="009F60EC">
        <w:rPr>
          <w:rFonts w:asciiTheme="majorHAnsi" w:hAnsiTheme="majorHAnsi" w:cs="Times New Roman"/>
          <w:sz w:val="22"/>
        </w:rPr>
        <w:t>chi-squared tests of normality</w:t>
      </w:r>
      <w:r w:rsidR="0067380E">
        <w:rPr>
          <w:rFonts w:asciiTheme="majorHAnsi" w:hAnsiTheme="majorHAnsi" w:cs="Times New Roman"/>
          <w:sz w:val="22"/>
        </w:rPr>
        <w:t xml:space="preserve"> is usually used</w:t>
      </w:r>
      <w:r w:rsidR="00A55CD4" w:rsidRPr="009F60EC">
        <w:rPr>
          <w:rFonts w:asciiTheme="majorHAnsi" w:hAnsiTheme="majorHAnsi" w:cs="Times New Roman"/>
          <w:sz w:val="22"/>
        </w:rPr>
        <w:t xml:space="preserve"> </w:t>
      </w:r>
      <w:r w:rsidR="002A7272" w:rsidRPr="009F60EC">
        <w:rPr>
          <w:rFonts w:asciiTheme="majorHAnsi" w:hAnsiTheme="majorHAnsi" w:cs="Times New Roman"/>
          <w:sz w:val="22"/>
        </w:rPr>
        <w:t>in preference to more powerful tests i.e.</w:t>
      </w:r>
      <w:r w:rsidR="00A55CD4" w:rsidRPr="009F60EC">
        <w:rPr>
          <w:rFonts w:asciiTheme="majorHAnsi" w:hAnsiTheme="majorHAnsi" w:cs="Times New Roman"/>
          <w:sz w:val="22"/>
        </w:rPr>
        <w:t xml:space="preserve"> Shapiro </w:t>
      </w:r>
      <w:proofErr w:type="spellStart"/>
      <w:r w:rsidR="00A55CD4" w:rsidRPr="009F60EC">
        <w:rPr>
          <w:rFonts w:asciiTheme="majorHAnsi" w:hAnsiTheme="majorHAnsi" w:cs="Times New Roman"/>
          <w:sz w:val="22"/>
        </w:rPr>
        <w:t>Wilk</w:t>
      </w:r>
      <w:proofErr w:type="spellEnd"/>
      <w:r w:rsidR="00A55CD4" w:rsidRPr="009F60EC">
        <w:rPr>
          <w:rFonts w:asciiTheme="majorHAnsi" w:hAnsiTheme="majorHAnsi" w:cs="Times New Roman"/>
          <w:sz w:val="22"/>
        </w:rPr>
        <w:t xml:space="preserve">. This analysis has therefore defined a clear geographic region </w:t>
      </w:r>
      <w:r w:rsidR="007F5DE5">
        <w:rPr>
          <w:rFonts w:asciiTheme="majorHAnsi" w:hAnsiTheme="majorHAnsi" w:cs="Times New Roman"/>
          <w:sz w:val="22"/>
        </w:rPr>
        <w:t xml:space="preserve">(Liverpool/ Sefton and Knowsley) </w:t>
      </w:r>
      <w:r w:rsidR="00A55CD4" w:rsidRPr="009F60EC">
        <w:rPr>
          <w:rFonts w:asciiTheme="majorHAnsi" w:hAnsiTheme="majorHAnsi" w:cs="Times New Roman"/>
          <w:sz w:val="22"/>
        </w:rPr>
        <w:t xml:space="preserve">in order to limit data truncation, and </w:t>
      </w:r>
      <w:r w:rsidR="007F5DE5">
        <w:rPr>
          <w:rFonts w:asciiTheme="majorHAnsi" w:hAnsiTheme="majorHAnsi" w:cs="Times New Roman"/>
          <w:sz w:val="22"/>
        </w:rPr>
        <w:t xml:space="preserve">has </w:t>
      </w:r>
      <w:r w:rsidR="00A55CD4" w:rsidRPr="009F60EC">
        <w:rPr>
          <w:rFonts w:asciiTheme="majorHAnsi" w:hAnsiTheme="majorHAnsi" w:cs="Times New Roman"/>
          <w:sz w:val="22"/>
        </w:rPr>
        <w:t>used the</w:t>
      </w:r>
      <w:r w:rsidR="007F5DE5">
        <w:rPr>
          <w:rFonts w:asciiTheme="majorHAnsi" w:hAnsiTheme="majorHAnsi" w:cs="Times New Roman"/>
          <w:sz w:val="22"/>
        </w:rPr>
        <w:t xml:space="preserve"> more</w:t>
      </w:r>
      <w:r w:rsidR="00A55CD4" w:rsidRPr="009F60EC">
        <w:rPr>
          <w:rFonts w:asciiTheme="majorHAnsi" w:hAnsiTheme="majorHAnsi" w:cs="Times New Roman"/>
          <w:sz w:val="22"/>
        </w:rPr>
        <w:t xml:space="preserve"> </w:t>
      </w:r>
      <w:r w:rsidR="007F5DE5">
        <w:rPr>
          <w:rFonts w:asciiTheme="majorHAnsi" w:hAnsiTheme="majorHAnsi" w:cs="Times New Roman"/>
          <w:sz w:val="22"/>
        </w:rPr>
        <w:t xml:space="preserve">powerful </w:t>
      </w:r>
      <w:r w:rsidR="00A55CD4" w:rsidRPr="009F60EC">
        <w:rPr>
          <w:rFonts w:asciiTheme="majorHAnsi" w:hAnsiTheme="majorHAnsi" w:cs="Times New Roman"/>
          <w:sz w:val="22"/>
        </w:rPr>
        <w:t xml:space="preserve">Shapiro </w:t>
      </w:r>
      <w:proofErr w:type="spellStart"/>
      <w:r w:rsidR="00A55CD4" w:rsidRPr="009F60EC">
        <w:rPr>
          <w:rFonts w:asciiTheme="majorHAnsi" w:hAnsiTheme="majorHAnsi" w:cs="Times New Roman"/>
          <w:sz w:val="22"/>
        </w:rPr>
        <w:t>Wilk</w:t>
      </w:r>
      <w:proofErr w:type="spellEnd"/>
      <w:r w:rsidR="00A55CD4" w:rsidRPr="009F60EC">
        <w:rPr>
          <w:rFonts w:asciiTheme="majorHAnsi" w:hAnsiTheme="majorHAnsi" w:cs="Times New Roman"/>
          <w:sz w:val="22"/>
        </w:rPr>
        <w:t xml:space="preserve"> statistic</w:t>
      </w:r>
      <w:r w:rsidR="00564EAA" w:rsidRPr="009F60EC">
        <w:rPr>
          <w:rFonts w:asciiTheme="majorHAnsi" w:hAnsiTheme="majorHAnsi" w:cs="Times New Roman"/>
          <w:sz w:val="22"/>
        </w:rPr>
        <w:t xml:space="preserve">. </w:t>
      </w:r>
      <w:r w:rsidR="00A55CD4" w:rsidRPr="009F60EC">
        <w:rPr>
          <w:rFonts w:asciiTheme="majorHAnsi" w:hAnsiTheme="majorHAnsi" w:cs="Times New Roman"/>
          <w:sz w:val="22"/>
        </w:rPr>
        <w:t xml:space="preserve">We accept that the biological plausibility of the lognormal assumption in Perthes disease </w:t>
      </w:r>
      <w:r w:rsidR="002A7272" w:rsidRPr="009F60EC">
        <w:rPr>
          <w:rFonts w:asciiTheme="majorHAnsi" w:hAnsiTheme="majorHAnsi" w:cs="Times New Roman"/>
          <w:sz w:val="22"/>
        </w:rPr>
        <w:t>remains</w:t>
      </w:r>
      <w:r w:rsidR="00A55CD4" w:rsidRPr="009F60EC">
        <w:rPr>
          <w:rFonts w:asciiTheme="majorHAnsi" w:hAnsiTheme="majorHAnsi" w:cs="Times New Roman"/>
          <w:sz w:val="22"/>
        </w:rPr>
        <w:t xml:space="preserve"> questionable, yet </w:t>
      </w:r>
      <w:r w:rsidR="00C75011">
        <w:rPr>
          <w:rFonts w:asciiTheme="majorHAnsi" w:hAnsiTheme="majorHAnsi" w:cs="Times New Roman"/>
          <w:sz w:val="22"/>
        </w:rPr>
        <w:t>we provide</w:t>
      </w:r>
      <w:r w:rsidR="00A55CD4" w:rsidRPr="009F60EC">
        <w:rPr>
          <w:rFonts w:asciiTheme="majorHAnsi" w:hAnsiTheme="majorHAnsi" w:cs="Times New Roman"/>
          <w:sz w:val="22"/>
        </w:rPr>
        <w:t xml:space="preserve"> clear </w:t>
      </w:r>
      <w:r w:rsidR="00564EAA" w:rsidRPr="009F60EC">
        <w:rPr>
          <w:rFonts w:asciiTheme="majorHAnsi" w:hAnsiTheme="majorHAnsi" w:cs="Times New Roman"/>
          <w:sz w:val="22"/>
        </w:rPr>
        <w:t xml:space="preserve">graphic and statistical </w:t>
      </w:r>
      <w:r w:rsidR="00C75011">
        <w:rPr>
          <w:rFonts w:asciiTheme="majorHAnsi" w:hAnsiTheme="majorHAnsi" w:cs="Times New Roman"/>
          <w:sz w:val="22"/>
        </w:rPr>
        <w:t>evidence that this distribution</w:t>
      </w:r>
      <w:r w:rsidR="00564EAA" w:rsidRPr="009F60EC">
        <w:rPr>
          <w:rFonts w:asciiTheme="majorHAnsi" w:hAnsiTheme="majorHAnsi" w:cs="Times New Roman"/>
          <w:sz w:val="22"/>
        </w:rPr>
        <w:t xml:space="preserve"> exist</w:t>
      </w:r>
      <w:r w:rsidR="00C75011">
        <w:rPr>
          <w:rFonts w:asciiTheme="majorHAnsi" w:hAnsiTheme="majorHAnsi" w:cs="Times New Roman"/>
          <w:sz w:val="22"/>
        </w:rPr>
        <w:t>s in a large geographically defined case series</w:t>
      </w:r>
      <w:r w:rsidR="00564EAA" w:rsidRPr="009F60EC">
        <w:rPr>
          <w:rFonts w:asciiTheme="majorHAnsi" w:hAnsiTheme="majorHAnsi" w:cs="Times New Roman"/>
          <w:sz w:val="22"/>
        </w:rPr>
        <w:t xml:space="preserve">. </w:t>
      </w:r>
    </w:p>
    <w:p w14:paraId="4A14960E" w14:textId="0CAA2F5A" w:rsidR="00564EAA" w:rsidRPr="009F60EC" w:rsidRDefault="00564EAA" w:rsidP="0023011F">
      <w:pPr>
        <w:spacing w:line="360" w:lineRule="auto"/>
        <w:jc w:val="both"/>
        <w:rPr>
          <w:rFonts w:asciiTheme="majorHAnsi" w:hAnsiTheme="majorHAnsi"/>
          <w:sz w:val="22"/>
        </w:rPr>
      </w:pPr>
      <w:r w:rsidRPr="009F60EC">
        <w:rPr>
          <w:rFonts w:asciiTheme="majorHAnsi" w:hAnsiTheme="majorHAnsi"/>
          <w:sz w:val="22"/>
        </w:rPr>
        <w:t>The earliest case of Perthes dis</w:t>
      </w:r>
      <w:r w:rsidR="009B3F69" w:rsidRPr="009F60EC">
        <w:rPr>
          <w:rFonts w:asciiTheme="majorHAnsi" w:hAnsiTheme="majorHAnsi"/>
          <w:sz w:val="22"/>
        </w:rPr>
        <w:t>ease within our dataset was 2.0</w:t>
      </w:r>
      <w:r w:rsidRPr="009F60EC">
        <w:rPr>
          <w:rFonts w:asciiTheme="majorHAnsi" w:hAnsiTheme="majorHAnsi"/>
          <w:sz w:val="22"/>
        </w:rPr>
        <w:t xml:space="preserve"> years old – a figure similarly identified by Hall and Barker</w:t>
      </w:r>
      <w:r w:rsidR="00591E96" w:rsidRPr="00591E96">
        <w:rPr>
          <w:rFonts w:ascii="Times" w:hAnsi="Times" w:cs="Times New Roman"/>
          <w:sz w:val="22"/>
        </w:rPr>
        <w:t xml:space="preserve"> </w:t>
      </w:r>
      <w:hyperlink r:id="rId20" w:history="1">
        <w:r w:rsidR="00591E96" w:rsidRPr="00591E96">
          <w:rPr>
            <w:rFonts w:ascii="Times" w:hAnsi="Times" w:cs="Times"/>
            <w:sz w:val="22"/>
            <w:szCs w:val="20"/>
            <w:vertAlign w:val="superscript"/>
          </w:rPr>
          <w:t>1</w:t>
        </w:r>
      </w:hyperlink>
      <w:r w:rsidRPr="009F60EC">
        <w:rPr>
          <w:rFonts w:asciiTheme="majorHAnsi" w:hAnsiTheme="majorHAnsi"/>
          <w:sz w:val="22"/>
        </w:rPr>
        <w:t>. Applying Sartwell’s ideas to chronic disease epidemiology therefore supports the notion that the aetiological trigger in Perthes disease act</w:t>
      </w:r>
      <w:r w:rsidR="009B3F69" w:rsidRPr="009F60EC">
        <w:rPr>
          <w:rFonts w:asciiTheme="majorHAnsi" w:hAnsiTheme="majorHAnsi"/>
          <w:sz w:val="22"/>
        </w:rPr>
        <w:t>s before 2 years old,</w:t>
      </w:r>
      <w:r w:rsidRPr="009F60EC">
        <w:rPr>
          <w:rFonts w:asciiTheme="majorHAnsi" w:hAnsiTheme="majorHAnsi"/>
          <w:sz w:val="22"/>
        </w:rPr>
        <w:t xml:space="preserve"> and suggests that there may be a single vulnerable period during which the aetiological trigger acts</w:t>
      </w:r>
      <w:r w:rsidR="00E76050" w:rsidRPr="009F60EC">
        <w:rPr>
          <w:rFonts w:asciiTheme="majorHAnsi" w:hAnsiTheme="majorHAnsi"/>
          <w:sz w:val="22"/>
        </w:rPr>
        <w:t xml:space="preserve"> – to replicate a ‘point source’ exposure</w:t>
      </w:r>
      <w:r w:rsidRPr="009F60EC">
        <w:rPr>
          <w:rFonts w:asciiTheme="majorHAnsi" w:hAnsiTheme="majorHAnsi"/>
          <w:sz w:val="22"/>
        </w:rPr>
        <w:t xml:space="preserve">. </w:t>
      </w:r>
      <w:r w:rsidR="003F5095" w:rsidRPr="009F60EC">
        <w:rPr>
          <w:rFonts w:asciiTheme="majorHAnsi" w:hAnsiTheme="majorHAnsi"/>
          <w:sz w:val="22"/>
        </w:rPr>
        <w:t xml:space="preserve">It is however unclear whether such </w:t>
      </w:r>
      <w:proofErr w:type="gramStart"/>
      <w:r w:rsidR="003F5095" w:rsidRPr="009F60EC">
        <w:rPr>
          <w:rFonts w:asciiTheme="majorHAnsi" w:hAnsiTheme="majorHAnsi"/>
          <w:sz w:val="22"/>
        </w:rPr>
        <w:t>an ‘exposure’</w:t>
      </w:r>
      <w:proofErr w:type="gramEnd"/>
      <w:r w:rsidR="003F5095" w:rsidRPr="009F60EC">
        <w:rPr>
          <w:rFonts w:asciiTheme="majorHAnsi" w:hAnsiTheme="majorHAnsi"/>
          <w:sz w:val="22"/>
        </w:rPr>
        <w:t xml:space="preserve"> acts prenatally, or </w:t>
      </w:r>
      <w:proofErr w:type="spellStart"/>
      <w:r w:rsidR="003F5095" w:rsidRPr="009F60EC">
        <w:rPr>
          <w:rFonts w:asciiTheme="majorHAnsi" w:hAnsiTheme="majorHAnsi"/>
          <w:sz w:val="22"/>
        </w:rPr>
        <w:t>postnatally</w:t>
      </w:r>
      <w:proofErr w:type="spellEnd"/>
      <w:r w:rsidR="003F5095" w:rsidRPr="009F60EC">
        <w:rPr>
          <w:rFonts w:asciiTheme="majorHAnsi" w:hAnsiTheme="majorHAnsi"/>
          <w:sz w:val="22"/>
        </w:rPr>
        <w:t xml:space="preserve">. </w:t>
      </w:r>
      <w:r w:rsidR="00C75011">
        <w:rPr>
          <w:rFonts w:asciiTheme="majorHAnsi" w:hAnsiTheme="majorHAnsi"/>
          <w:sz w:val="22"/>
        </w:rPr>
        <w:t>It is increasingly apparent that there is a very strong association between Perthes disease and deprivation</w:t>
      </w:r>
      <w:r w:rsidR="00591E96" w:rsidRPr="00591E96">
        <w:rPr>
          <w:rFonts w:ascii="Times" w:hAnsi="Times" w:cs="Times New Roman"/>
          <w:sz w:val="22"/>
        </w:rPr>
        <w:t xml:space="preserve"> </w:t>
      </w:r>
      <w:hyperlink r:id="rId21" w:history="1">
        <w:r w:rsidR="00591E96" w:rsidRPr="00591E96">
          <w:rPr>
            <w:rFonts w:ascii="Times" w:hAnsi="Times" w:cs="Times"/>
            <w:sz w:val="22"/>
            <w:szCs w:val="20"/>
            <w:vertAlign w:val="superscript"/>
          </w:rPr>
          <w:t>11</w:t>
        </w:r>
      </w:hyperlink>
      <w:hyperlink r:id="rId22" w:history="1">
        <w:r w:rsidR="00591E96" w:rsidRPr="00591E96">
          <w:rPr>
            <w:rStyle w:val="Hyperlink"/>
            <w:vanish/>
            <w:color w:val="FFFFFF"/>
          </w:rPr>
          <w:t>E</w:t>
        </w:r>
      </w:hyperlink>
      <w:hyperlink r:id="rId23" w:history="1">
        <w:r w:rsidR="00591E96" w:rsidRPr="00591E96">
          <w:rPr>
            <w:rFonts w:ascii="Times" w:hAnsi="Times" w:cs="Times"/>
            <w:sz w:val="22"/>
            <w:szCs w:val="20"/>
            <w:vertAlign w:val="superscript"/>
          </w:rPr>
          <w:t>-13</w:t>
        </w:r>
      </w:hyperlink>
      <w:r w:rsidR="00C75011" w:rsidRPr="00591E96">
        <w:rPr>
          <w:rFonts w:asciiTheme="majorHAnsi" w:hAnsiTheme="majorHAnsi"/>
          <w:sz w:val="22"/>
        </w:rPr>
        <w:t>,</w:t>
      </w:r>
      <w:r w:rsidR="00C75011">
        <w:rPr>
          <w:rFonts w:asciiTheme="majorHAnsi" w:hAnsiTheme="majorHAnsi"/>
          <w:sz w:val="22"/>
        </w:rPr>
        <w:t xml:space="preserve"> and therefore it appears unlikely that there is a significant genetic component of disease. </w:t>
      </w:r>
    </w:p>
    <w:p w14:paraId="12CD75A6" w14:textId="0911FF34" w:rsidR="00627342" w:rsidRPr="009F60EC" w:rsidRDefault="00564EAA" w:rsidP="0023011F">
      <w:pPr>
        <w:spacing w:line="360" w:lineRule="auto"/>
        <w:jc w:val="both"/>
        <w:rPr>
          <w:rFonts w:asciiTheme="majorHAnsi" w:hAnsiTheme="majorHAnsi"/>
          <w:sz w:val="22"/>
        </w:rPr>
      </w:pPr>
      <w:r w:rsidRPr="009F60EC">
        <w:rPr>
          <w:rFonts w:asciiTheme="majorHAnsi" w:hAnsiTheme="majorHAnsi"/>
          <w:sz w:val="22"/>
        </w:rPr>
        <w:t xml:space="preserve">Other observers have </w:t>
      </w:r>
      <w:r w:rsidR="00DA4FCC">
        <w:rPr>
          <w:rFonts w:asciiTheme="majorHAnsi" w:hAnsiTheme="majorHAnsi"/>
          <w:sz w:val="22"/>
        </w:rPr>
        <w:t xml:space="preserve">speculated </w:t>
      </w:r>
      <w:r w:rsidR="007F5DE5">
        <w:rPr>
          <w:rFonts w:asciiTheme="majorHAnsi" w:hAnsiTheme="majorHAnsi"/>
          <w:sz w:val="22"/>
        </w:rPr>
        <w:t>that the</w:t>
      </w:r>
      <w:r w:rsidRPr="009F60EC">
        <w:rPr>
          <w:rFonts w:asciiTheme="majorHAnsi" w:hAnsiTheme="majorHAnsi"/>
          <w:sz w:val="22"/>
        </w:rPr>
        <w:t xml:space="preserve"> </w:t>
      </w:r>
      <w:r w:rsidR="004473D5" w:rsidRPr="009F60EC">
        <w:rPr>
          <w:rFonts w:asciiTheme="majorHAnsi" w:hAnsiTheme="majorHAnsi"/>
          <w:sz w:val="22"/>
        </w:rPr>
        <w:t xml:space="preserve">age </w:t>
      </w:r>
      <w:r w:rsidRPr="009F60EC">
        <w:rPr>
          <w:rFonts w:asciiTheme="majorHAnsi" w:hAnsiTheme="majorHAnsi"/>
          <w:sz w:val="22"/>
        </w:rPr>
        <w:t xml:space="preserve">distribution of </w:t>
      </w:r>
      <w:r w:rsidR="007F5DE5">
        <w:rPr>
          <w:rFonts w:asciiTheme="majorHAnsi" w:hAnsiTheme="majorHAnsi"/>
          <w:sz w:val="22"/>
        </w:rPr>
        <w:t>Perthes disease</w:t>
      </w:r>
      <w:r w:rsidR="004473D5" w:rsidRPr="009F60EC">
        <w:rPr>
          <w:rFonts w:asciiTheme="majorHAnsi" w:hAnsiTheme="majorHAnsi"/>
          <w:sz w:val="22"/>
        </w:rPr>
        <w:t xml:space="preserve"> </w:t>
      </w:r>
      <w:r w:rsidR="007F5DE5">
        <w:rPr>
          <w:rFonts w:asciiTheme="majorHAnsi" w:hAnsiTheme="majorHAnsi"/>
          <w:sz w:val="22"/>
        </w:rPr>
        <w:t xml:space="preserve">may differ </w:t>
      </w:r>
      <w:r w:rsidR="00E76050" w:rsidRPr="009F60EC">
        <w:rPr>
          <w:rFonts w:asciiTheme="majorHAnsi" w:hAnsiTheme="majorHAnsi"/>
          <w:sz w:val="22"/>
        </w:rPr>
        <w:t>with respect to</w:t>
      </w:r>
      <w:r w:rsidR="004473D5" w:rsidRPr="009F60EC">
        <w:rPr>
          <w:rFonts w:asciiTheme="majorHAnsi" w:hAnsiTheme="majorHAnsi"/>
          <w:sz w:val="22"/>
        </w:rPr>
        <w:t xml:space="preserve"> sex and laterality</w:t>
      </w:r>
      <w:r w:rsidR="00DA4FCC">
        <w:rPr>
          <w:rFonts w:asciiTheme="majorHAnsi" w:hAnsiTheme="majorHAnsi"/>
          <w:sz w:val="22"/>
        </w:rPr>
        <w:t>, but have been unable to confirm observations statistically</w:t>
      </w:r>
      <w:r w:rsidR="004473D5" w:rsidRPr="009F60EC">
        <w:rPr>
          <w:rFonts w:asciiTheme="majorHAnsi" w:hAnsiTheme="majorHAnsi"/>
          <w:sz w:val="22"/>
        </w:rPr>
        <w:t xml:space="preserve"> </w:t>
      </w:r>
      <w:hyperlink r:id="rId24" w:history="1">
        <w:r w:rsidR="00591E96" w:rsidRPr="00591E96">
          <w:rPr>
            <w:rFonts w:ascii="Times" w:hAnsi="Times" w:cs="Times"/>
            <w:sz w:val="22"/>
            <w:szCs w:val="20"/>
            <w:vertAlign w:val="superscript"/>
          </w:rPr>
          <w:t>14</w:t>
        </w:r>
      </w:hyperlink>
      <w:hyperlink r:id="rId25" w:history="1">
        <w:r w:rsidR="00591E96" w:rsidRPr="00591E96">
          <w:rPr>
            <w:rStyle w:val="Hyperlink"/>
            <w:vanish/>
            <w:color w:val="FFFFFF"/>
          </w:rPr>
          <w:t>E</w:t>
        </w:r>
      </w:hyperlink>
      <w:hyperlink r:id="rId26" w:history="1">
        <w:r w:rsidR="00591E96" w:rsidRPr="00591E96">
          <w:rPr>
            <w:rFonts w:ascii="Times" w:hAnsi="Times" w:cs="Times"/>
            <w:sz w:val="22"/>
            <w:szCs w:val="20"/>
            <w:vertAlign w:val="superscript"/>
          </w:rPr>
          <w:t>-16</w:t>
        </w:r>
      </w:hyperlink>
      <w:r w:rsidR="004473D5" w:rsidRPr="00591E96">
        <w:rPr>
          <w:rFonts w:asciiTheme="majorHAnsi" w:hAnsiTheme="majorHAnsi"/>
          <w:sz w:val="22"/>
        </w:rPr>
        <w:t>.</w:t>
      </w:r>
      <w:r w:rsidR="004473D5" w:rsidRPr="009F60EC">
        <w:rPr>
          <w:rFonts w:asciiTheme="majorHAnsi" w:hAnsiTheme="majorHAnsi"/>
          <w:sz w:val="22"/>
        </w:rPr>
        <w:t xml:space="preserve"> Our data statistically confirms that the disease onset is younger in females and in cases of bilateral disease. Other</w:t>
      </w:r>
      <w:r w:rsidR="00DA4FCC">
        <w:rPr>
          <w:rFonts w:asciiTheme="majorHAnsi" w:hAnsiTheme="majorHAnsi"/>
          <w:sz w:val="22"/>
        </w:rPr>
        <w:t>s</w:t>
      </w:r>
      <w:r w:rsidR="004473D5" w:rsidRPr="009F60EC">
        <w:rPr>
          <w:rFonts w:asciiTheme="majorHAnsi" w:hAnsiTheme="majorHAnsi"/>
          <w:sz w:val="22"/>
        </w:rPr>
        <w:t xml:space="preserve"> </w:t>
      </w:r>
      <w:r w:rsidR="00DA4FCC">
        <w:rPr>
          <w:rFonts w:asciiTheme="majorHAnsi" w:hAnsiTheme="majorHAnsi"/>
          <w:sz w:val="22"/>
        </w:rPr>
        <w:t>have suggested that the age of</w:t>
      </w:r>
      <w:r w:rsidR="004473D5" w:rsidRPr="009F60EC">
        <w:rPr>
          <w:rFonts w:asciiTheme="majorHAnsi" w:hAnsiTheme="majorHAnsi"/>
          <w:sz w:val="22"/>
        </w:rPr>
        <w:t xml:space="preserve"> disease onset is </w:t>
      </w:r>
      <w:r w:rsidR="00DA4FCC">
        <w:rPr>
          <w:rFonts w:asciiTheme="majorHAnsi" w:hAnsiTheme="majorHAnsi"/>
          <w:sz w:val="22"/>
        </w:rPr>
        <w:t>lower</w:t>
      </w:r>
      <w:r w:rsidR="004473D5" w:rsidRPr="009F60EC">
        <w:rPr>
          <w:rFonts w:asciiTheme="majorHAnsi" w:hAnsiTheme="majorHAnsi"/>
          <w:sz w:val="22"/>
        </w:rPr>
        <w:t xml:space="preserve"> in areas of greater disease </w:t>
      </w:r>
      <w:r w:rsidR="00603845">
        <w:rPr>
          <w:rFonts w:asciiTheme="majorHAnsi" w:hAnsiTheme="majorHAnsi"/>
          <w:sz w:val="22"/>
        </w:rPr>
        <w:t>incidence</w:t>
      </w:r>
      <w:r w:rsidR="00591E96" w:rsidRPr="00591E96">
        <w:rPr>
          <w:rFonts w:ascii="Times" w:hAnsi="Times" w:cs="Times New Roman"/>
          <w:sz w:val="22"/>
        </w:rPr>
        <w:t xml:space="preserve"> </w:t>
      </w:r>
      <w:hyperlink r:id="rId27" w:history="1">
        <w:r w:rsidR="00591E96" w:rsidRPr="00591E96">
          <w:rPr>
            <w:rFonts w:ascii="Times" w:hAnsi="Times" w:cs="Times"/>
            <w:sz w:val="22"/>
            <w:szCs w:val="20"/>
            <w:vertAlign w:val="superscript"/>
          </w:rPr>
          <w:t>17</w:t>
        </w:r>
      </w:hyperlink>
      <w:r w:rsidR="00E76050" w:rsidRPr="009F60EC">
        <w:rPr>
          <w:rFonts w:asciiTheme="majorHAnsi" w:hAnsiTheme="majorHAnsi"/>
          <w:sz w:val="22"/>
        </w:rPr>
        <w:t>. It has previously been demonstrated within Merseyside</w:t>
      </w:r>
      <w:r w:rsidR="00DA4FCC">
        <w:rPr>
          <w:rFonts w:asciiTheme="majorHAnsi" w:hAnsiTheme="majorHAnsi"/>
          <w:sz w:val="22"/>
        </w:rPr>
        <w:t>,</w:t>
      </w:r>
      <w:r w:rsidR="00E76050" w:rsidRPr="009F60EC">
        <w:rPr>
          <w:rFonts w:asciiTheme="majorHAnsi" w:hAnsiTheme="majorHAnsi"/>
          <w:sz w:val="22"/>
        </w:rPr>
        <w:t xml:space="preserve"> </w:t>
      </w:r>
      <w:r w:rsidR="00DA4FCC">
        <w:rPr>
          <w:rFonts w:asciiTheme="majorHAnsi" w:hAnsiTheme="majorHAnsi"/>
          <w:sz w:val="22"/>
        </w:rPr>
        <w:t xml:space="preserve">that </w:t>
      </w:r>
      <w:r w:rsidR="00E76050" w:rsidRPr="009F60EC">
        <w:rPr>
          <w:rFonts w:asciiTheme="majorHAnsi" w:hAnsiTheme="majorHAnsi"/>
          <w:sz w:val="22"/>
        </w:rPr>
        <w:t>the geographical disease distribution varies considerably, with annual incidence rates of around 10 per 100,000 0 -14 years olds within Liverpool and Knowsl</w:t>
      </w:r>
      <w:r w:rsidR="00603845">
        <w:rPr>
          <w:rFonts w:asciiTheme="majorHAnsi" w:hAnsiTheme="majorHAnsi"/>
          <w:sz w:val="22"/>
        </w:rPr>
        <w:t>ey and 5 per 100,000 in Sefton</w:t>
      </w:r>
      <w:r w:rsidR="00591E96" w:rsidRPr="00591E96">
        <w:rPr>
          <w:rFonts w:ascii="Times" w:hAnsi="Times" w:cs="Times New Roman"/>
          <w:sz w:val="22"/>
        </w:rPr>
        <w:t xml:space="preserve"> </w:t>
      </w:r>
      <w:hyperlink r:id="rId28" w:history="1">
        <w:r w:rsidR="00591E96" w:rsidRPr="00591E96">
          <w:rPr>
            <w:rFonts w:ascii="Times" w:hAnsi="Times" w:cs="Times"/>
            <w:sz w:val="22"/>
            <w:szCs w:val="20"/>
            <w:vertAlign w:val="superscript"/>
          </w:rPr>
          <w:t>11,</w:t>
        </w:r>
      </w:hyperlink>
      <w:hyperlink r:id="rId29" w:history="1">
        <w:r w:rsidR="00591E96" w:rsidRPr="00591E96">
          <w:rPr>
            <w:rFonts w:ascii="Times" w:hAnsi="Times" w:cs="Times"/>
            <w:sz w:val="22"/>
            <w:szCs w:val="20"/>
            <w:vertAlign w:val="superscript"/>
          </w:rPr>
          <w:t>13</w:t>
        </w:r>
      </w:hyperlink>
      <w:r w:rsidR="00E76050" w:rsidRPr="00591E96">
        <w:rPr>
          <w:rFonts w:asciiTheme="majorHAnsi" w:hAnsiTheme="majorHAnsi"/>
          <w:sz w:val="22"/>
        </w:rPr>
        <w:t>.</w:t>
      </w:r>
      <w:r w:rsidR="00E76050" w:rsidRPr="009F60EC">
        <w:rPr>
          <w:rFonts w:asciiTheme="majorHAnsi" w:hAnsiTheme="majorHAnsi"/>
          <w:sz w:val="22"/>
        </w:rPr>
        <w:t xml:space="preserve"> No difference </w:t>
      </w:r>
      <w:r w:rsidR="0046011B" w:rsidRPr="009F60EC">
        <w:rPr>
          <w:rFonts w:asciiTheme="majorHAnsi" w:hAnsiTheme="majorHAnsi"/>
          <w:sz w:val="22"/>
        </w:rPr>
        <w:t xml:space="preserve">in </w:t>
      </w:r>
      <w:r w:rsidR="00415632" w:rsidRPr="009F60EC">
        <w:rPr>
          <w:rFonts w:asciiTheme="majorHAnsi" w:hAnsiTheme="majorHAnsi"/>
          <w:sz w:val="22"/>
        </w:rPr>
        <w:t xml:space="preserve">the </w:t>
      </w:r>
      <w:r w:rsidR="0046011B" w:rsidRPr="009F60EC">
        <w:rPr>
          <w:rFonts w:asciiTheme="majorHAnsi" w:hAnsiTheme="majorHAnsi"/>
          <w:sz w:val="22"/>
        </w:rPr>
        <w:t xml:space="preserve">age-of-onset </w:t>
      </w:r>
      <w:r w:rsidR="00E76050" w:rsidRPr="009F60EC">
        <w:rPr>
          <w:rFonts w:asciiTheme="majorHAnsi" w:hAnsiTheme="majorHAnsi"/>
          <w:sz w:val="22"/>
        </w:rPr>
        <w:t>could be identified between the</w:t>
      </w:r>
      <w:r w:rsidR="0046011B" w:rsidRPr="009F60EC">
        <w:rPr>
          <w:rFonts w:asciiTheme="majorHAnsi" w:hAnsiTheme="majorHAnsi"/>
          <w:sz w:val="22"/>
        </w:rPr>
        <w:t>se</w:t>
      </w:r>
      <w:r w:rsidR="00E76050" w:rsidRPr="009F60EC">
        <w:rPr>
          <w:rFonts w:asciiTheme="majorHAnsi" w:hAnsiTheme="majorHAnsi"/>
          <w:sz w:val="22"/>
        </w:rPr>
        <w:t xml:space="preserve"> areas</w:t>
      </w:r>
      <w:r w:rsidR="00415632" w:rsidRPr="009F60EC">
        <w:rPr>
          <w:rFonts w:asciiTheme="majorHAnsi" w:hAnsiTheme="majorHAnsi"/>
          <w:sz w:val="22"/>
        </w:rPr>
        <w:t>, despite the marked difference in incidence</w:t>
      </w:r>
      <w:r w:rsidR="00E76050" w:rsidRPr="009F60EC">
        <w:rPr>
          <w:rFonts w:asciiTheme="majorHAnsi" w:hAnsiTheme="majorHAnsi"/>
          <w:sz w:val="22"/>
        </w:rPr>
        <w:t xml:space="preserve">. It is unclear why those with bilateral disease, and girls may be affected earlier. It is predominantly a disease of males, therefore it may </w:t>
      </w:r>
      <w:r w:rsidR="0046011B" w:rsidRPr="009F60EC">
        <w:rPr>
          <w:rFonts w:asciiTheme="majorHAnsi" w:hAnsiTheme="majorHAnsi"/>
          <w:sz w:val="22"/>
        </w:rPr>
        <w:t>postulated</w:t>
      </w:r>
      <w:r w:rsidR="00E76050" w:rsidRPr="009F60EC">
        <w:rPr>
          <w:rFonts w:asciiTheme="majorHAnsi" w:hAnsiTheme="majorHAnsi"/>
          <w:sz w:val="22"/>
        </w:rPr>
        <w:t xml:space="preserve"> that girls have a </w:t>
      </w:r>
      <w:r w:rsidR="00627342" w:rsidRPr="009F60EC">
        <w:rPr>
          <w:rFonts w:asciiTheme="majorHAnsi" w:hAnsiTheme="majorHAnsi"/>
          <w:sz w:val="22"/>
        </w:rPr>
        <w:t>innate resistance to disease and therefore require a greater ‘dose’ of exposure to precipitate disease, which similarly may be the case in those with bilateral diseas</w:t>
      </w:r>
      <w:r w:rsidR="001C5C9A">
        <w:rPr>
          <w:rFonts w:asciiTheme="majorHAnsi" w:hAnsiTheme="majorHAnsi"/>
          <w:sz w:val="22"/>
        </w:rPr>
        <w:t>e, with a consequent reduction in the age-of-onset – though ‘incubation’ is typically independent of dose</w:t>
      </w:r>
      <w:r w:rsidR="00591E96" w:rsidRPr="00591E96">
        <w:rPr>
          <w:rFonts w:ascii="Times" w:hAnsi="Times" w:cs="Times New Roman"/>
          <w:sz w:val="22"/>
        </w:rPr>
        <w:t xml:space="preserve"> </w:t>
      </w:r>
      <w:hyperlink r:id="rId30" w:history="1">
        <w:r w:rsidR="00591E96" w:rsidRPr="00591E96">
          <w:rPr>
            <w:rFonts w:ascii="Times" w:hAnsi="Times" w:cs="Times"/>
            <w:sz w:val="22"/>
            <w:szCs w:val="20"/>
            <w:vertAlign w:val="superscript"/>
          </w:rPr>
          <w:t>5,</w:t>
        </w:r>
      </w:hyperlink>
      <w:hyperlink r:id="rId31" w:history="1">
        <w:r w:rsidR="00591E96" w:rsidRPr="00591E96">
          <w:rPr>
            <w:rFonts w:ascii="Times" w:hAnsi="Times" w:cs="Times"/>
            <w:sz w:val="22"/>
            <w:szCs w:val="20"/>
            <w:vertAlign w:val="superscript"/>
          </w:rPr>
          <w:t>10</w:t>
        </w:r>
      </w:hyperlink>
      <w:r w:rsidR="001C5C9A">
        <w:t>.</w:t>
      </w:r>
      <w:r w:rsidR="001C5C9A">
        <w:rPr>
          <w:rFonts w:asciiTheme="majorHAnsi" w:hAnsiTheme="majorHAnsi"/>
          <w:sz w:val="22"/>
        </w:rPr>
        <w:t xml:space="preserve"> </w:t>
      </w:r>
      <w:r w:rsidR="000931A4">
        <w:rPr>
          <w:rFonts w:asciiTheme="majorHAnsi" w:hAnsiTheme="majorHAnsi"/>
          <w:sz w:val="22"/>
        </w:rPr>
        <w:t xml:space="preserve"> MENTION INDIA HAS A HIGHER AGE OF DISEASE.</w:t>
      </w:r>
      <w:bookmarkStart w:id="0" w:name="_GoBack"/>
      <w:bookmarkEnd w:id="0"/>
    </w:p>
    <w:p w14:paraId="6F271D9F" w14:textId="54FD9C8E" w:rsidR="008D2E0C" w:rsidRPr="009F60EC" w:rsidRDefault="00627342" w:rsidP="0023011F">
      <w:pPr>
        <w:autoSpaceDE w:val="0"/>
        <w:autoSpaceDN w:val="0"/>
        <w:adjustRightInd w:val="0"/>
        <w:spacing w:after="0" w:line="360" w:lineRule="auto"/>
        <w:jc w:val="both"/>
        <w:rPr>
          <w:rFonts w:asciiTheme="majorHAnsi" w:hAnsiTheme="majorHAnsi" w:cs="Times New Roman"/>
          <w:sz w:val="22"/>
        </w:rPr>
      </w:pPr>
      <w:r w:rsidRPr="009F60EC">
        <w:rPr>
          <w:rFonts w:asciiTheme="majorHAnsi" w:hAnsiTheme="majorHAnsi"/>
          <w:sz w:val="22"/>
        </w:rPr>
        <w:t xml:space="preserve">This study therefore demonstrates that the lognormal distribution is an appropriate model </w:t>
      </w:r>
      <w:proofErr w:type="gramStart"/>
      <w:r w:rsidRPr="009F60EC">
        <w:rPr>
          <w:rFonts w:asciiTheme="majorHAnsi" w:hAnsiTheme="majorHAnsi"/>
          <w:sz w:val="22"/>
        </w:rPr>
        <w:t>of</w:t>
      </w:r>
      <w:proofErr w:type="gramEnd"/>
      <w:r w:rsidRPr="009F60EC">
        <w:rPr>
          <w:rFonts w:asciiTheme="majorHAnsi" w:hAnsiTheme="majorHAnsi"/>
          <w:sz w:val="22"/>
        </w:rPr>
        <w:t xml:space="preserve"> Perthes disease age-of-onset, and this may have </w:t>
      </w:r>
      <w:r w:rsidR="00043EB7">
        <w:rPr>
          <w:rFonts w:asciiTheme="majorHAnsi" w:hAnsiTheme="majorHAnsi"/>
          <w:sz w:val="22"/>
        </w:rPr>
        <w:t>wider</w:t>
      </w:r>
      <w:r w:rsidRPr="009F60EC">
        <w:rPr>
          <w:rFonts w:asciiTheme="majorHAnsi" w:hAnsiTheme="majorHAnsi"/>
          <w:sz w:val="22"/>
        </w:rPr>
        <w:t xml:space="preserve"> implications for understanding the disease aetiology. This relationship </w:t>
      </w:r>
      <w:r w:rsidR="007F5DE5">
        <w:rPr>
          <w:rFonts w:asciiTheme="majorHAnsi" w:hAnsiTheme="majorHAnsi"/>
          <w:sz w:val="22"/>
        </w:rPr>
        <w:t>is</w:t>
      </w:r>
      <w:r w:rsidRPr="009F60EC">
        <w:rPr>
          <w:rFonts w:asciiTheme="majorHAnsi" w:hAnsiTheme="majorHAnsi"/>
          <w:sz w:val="22"/>
        </w:rPr>
        <w:t xml:space="preserve"> </w:t>
      </w:r>
      <w:r w:rsidR="007F5DE5">
        <w:rPr>
          <w:rFonts w:asciiTheme="majorHAnsi" w:hAnsiTheme="majorHAnsi"/>
          <w:sz w:val="22"/>
        </w:rPr>
        <w:t xml:space="preserve">also </w:t>
      </w:r>
      <w:proofErr w:type="gramStart"/>
      <w:r w:rsidRPr="009F60EC">
        <w:rPr>
          <w:rFonts w:asciiTheme="majorHAnsi" w:hAnsiTheme="majorHAnsi"/>
          <w:sz w:val="22"/>
        </w:rPr>
        <w:t>be</w:t>
      </w:r>
      <w:proofErr w:type="gramEnd"/>
      <w:r w:rsidRPr="009F60EC">
        <w:rPr>
          <w:rFonts w:asciiTheme="majorHAnsi" w:hAnsiTheme="majorHAnsi"/>
          <w:sz w:val="22"/>
        </w:rPr>
        <w:t xml:space="preserve"> important in validating the appropriateness of Perthes disease datasets</w:t>
      </w:r>
      <w:r w:rsidR="003F5095" w:rsidRPr="009F60EC">
        <w:rPr>
          <w:rFonts w:asciiTheme="majorHAnsi" w:hAnsiTheme="majorHAnsi"/>
          <w:sz w:val="22"/>
        </w:rPr>
        <w:t>.</w:t>
      </w:r>
      <w:r w:rsidRPr="009F60EC">
        <w:rPr>
          <w:rFonts w:asciiTheme="majorHAnsi" w:hAnsiTheme="majorHAnsi"/>
          <w:sz w:val="22"/>
        </w:rPr>
        <w:t xml:space="preserve"> </w:t>
      </w:r>
      <w:r w:rsidR="003F5095" w:rsidRPr="009F60EC">
        <w:rPr>
          <w:rFonts w:asciiTheme="majorHAnsi" w:hAnsiTheme="majorHAnsi" w:cs="Times New Roman"/>
          <w:sz w:val="22"/>
        </w:rPr>
        <w:t>S</w:t>
      </w:r>
      <w:r w:rsidR="007F5DE5">
        <w:rPr>
          <w:rFonts w:asciiTheme="majorHAnsi" w:hAnsiTheme="majorHAnsi" w:cs="Times New Roman"/>
          <w:sz w:val="22"/>
        </w:rPr>
        <w:t>imilar s</w:t>
      </w:r>
      <w:r w:rsidR="003F5095" w:rsidRPr="009F60EC">
        <w:rPr>
          <w:rFonts w:asciiTheme="majorHAnsi" w:hAnsiTheme="majorHAnsi" w:cs="Times New Roman"/>
          <w:sz w:val="22"/>
        </w:rPr>
        <w:t xml:space="preserve">tudies </w:t>
      </w:r>
      <w:r w:rsidR="007F5DE5">
        <w:rPr>
          <w:rFonts w:asciiTheme="majorHAnsi" w:hAnsiTheme="majorHAnsi" w:cs="Times New Roman"/>
          <w:sz w:val="22"/>
        </w:rPr>
        <w:t>concerning</w:t>
      </w:r>
      <w:r w:rsidR="003F5095" w:rsidRPr="009F60EC">
        <w:rPr>
          <w:rFonts w:asciiTheme="majorHAnsi" w:hAnsiTheme="majorHAnsi" w:cs="Times New Roman"/>
          <w:sz w:val="22"/>
        </w:rPr>
        <w:t xml:space="preserve"> the age and gender distribution of childhood malignancy have provided important epidemiological clues regarding their </w:t>
      </w:r>
      <w:r w:rsidR="003F5095" w:rsidRPr="009F60EC">
        <w:rPr>
          <w:rFonts w:asciiTheme="majorHAnsi" w:hAnsiTheme="majorHAnsi" w:cs="Times New Roman"/>
          <w:sz w:val="22"/>
        </w:rPr>
        <w:lastRenderedPageBreak/>
        <w:t xml:space="preserve">aetiology and pathogenesis, and it is hoped that </w:t>
      </w:r>
      <w:r w:rsidR="008D2E0C" w:rsidRPr="009F60EC">
        <w:rPr>
          <w:rFonts w:asciiTheme="majorHAnsi" w:hAnsiTheme="majorHAnsi" w:cs="Times New Roman"/>
          <w:sz w:val="22"/>
        </w:rPr>
        <w:t>similar successes may be achieved in understanding of Perthes disease.</w:t>
      </w:r>
    </w:p>
    <w:p w14:paraId="30149189" w14:textId="5A0AB03D" w:rsidR="00591E96" w:rsidRPr="00591E96" w:rsidRDefault="003F5095" w:rsidP="00591E96">
      <w:pPr>
        <w:widowControl w:val="0"/>
        <w:autoSpaceDE w:val="0"/>
        <w:autoSpaceDN w:val="0"/>
        <w:adjustRightInd w:val="0"/>
        <w:spacing w:after="0"/>
        <w:rPr>
          <w:rFonts w:ascii="Calibri" w:hAnsi="Calibri" w:cs="Times"/>
          <w:sz w:val="22"/>
        </w:rPr>
      </w:pPr>
      <w:r w:rsidRPr="009F60EC">
        <w:rPr>
          <w:rFonts w:asciiTheme="majorHAnsi" w:hAnsiTheme="majorHAnsi" w:cs="Times New Roman"/>
          <w:sz w:val="22"/>
        </w:rPr>
        <w:t xml:space="preserve"> </w:t>
      </w:r>
      <w:r w:rsidR="001C1477">
        <w:rPr>
          <w:rFonts w:asciiTheme="majorHAnsi" w:hAnsiTheme="majorHAnsi" w:cs="Times New Roman"/>
          <w:sz w:val="22"/>
        </w:rPr>
        <w:br/>
      </w:r>
      <w:r w:rsidR="001C1477">
        <w:rPr>
          <w:rFonts w:asciiTheme="majorHAnsi" w:hAnsiTheme="majorHAnsi" w:cs="Times New Roman"/>
          <w:sz w:val="22"/>
        </w:rPr>
        <w:br/>
      </w:r>
      <w:hyperlink r:id="rId32" w:history="1">
        <w:r w:rsidR="00591E96" w:rsidRPr="00591E96">
          <w:rPr>
            <w:rStyle w:val="Hyperlink"/>
            <w:rFonts w:ascii="Calibri" w:hAnsi="Calibri"/>
            <w:b/>
            <w:color w:val="auto"/>
            <w:sz w:val="22"/>
            <w:u w:val="none"/>
          </w:rPr>
          <w:t>References</w:t>
        </w:r>
      </w:hyperlink>
      <w:r w:rsidR="00591E96" w:rsidRPr="00591E96">
        <w:rPr>
          <w:rFonts w:ascii="Calibri" w:hAnsi="Calibri" w:cs="Times"/>
          <w:sz w:val="22"/>
        </w:rPr>
        <w:t xml:space="preserve"> </w:t>
      </w:r>
    </w:p>
    <w:p w14:paraId="20200458" w14:textId="77777777" w:rsidR="00591E96" w:rsidRPr="00591E96" w:rsidRDefault="00591E96" w:rsidP="00591E96">
      <w:pPr>
        <w:widowControl w:val="0"/>
        <w:autoSpaceDE w:val="0"/>
        <w:autoSpaceDN w:val="0"/>
        <w:adjustRightInd w:val="0"/>
        <w:spacing w:after="0"/>
        <w:rPr>
          <w:rFonts w:ascii="Calibri" w:hAnsi="Calibri" w:cs="Times"/>
          <w:sz w:val="22"/>
        </w:rPr>
      </w:pPr>
    </w:p>
    <w:p w14:paraId="07537A11" w14:textId="77777777" w:rsidR="00591E96" w:rsidRPr="00591E96" w:rsidRDefault="00591E96" w:rsidP="00591E96">
      <w:pPr>
        <w:widowControl w:val="0"/>
        <w:autoSpaceDE w:val="0"/>
        <w:autoSpaceDN w:val="0"/>
        <w:adjustRightInd w:val="0"/>
        <w:spacing w:after="0"/>
        <w:rPr>
          <w:rFonts w:ascii="Calibri" w:hAnsi="Calibri" w:cs="Times"/>
          <w:sz w:val="22"/>
        </w:rPr>
      </w:pPr>
    </w:p>
    <w:p w14:paraId="287E8657"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1. </w:t>
      </w:r>
      <w:r w:rsidRPr="00591E96">
        <w:rPr>
          <w:rFonts w:ascii="Calibri" w:hAnsi="Calibri" w:cs="Times"/>
          <w:sz w:val="22"/>
        </w:rPr>
        <w:t xml:space="preserve">Hall AJ, Barker DJ. </w:t>
      </w:r>
      <w:proofErr w:type="gramStart"/>
      <w:r w:rsidRPr="00591E96">
        <w:rPr>
          <w:rFonts w:ascii="Calibri" w:hAnsi="Calibri" w:cs="Times"/>
          <w:sz w:val="22"/>
        </w:rPr>
        <w:t>The age distribution of Legg-Perthes disease.</w:t>
      </w:r>
      <w:proofErr w:type="gramEnd"/>
      <w:r w:rsidRPr="00591E96">
        <w:rPr>
          <w:rFonts w:ascii="Calibri" w:hAnsi="Calibri" w:cs="Times"/>
          <w:sz w:val="22"/>
        </w:rPr>
        <w:t xml:space="preserve"> </w:t>
      </w:r>
      <w:proofErr w:type="gramStart"/>
      <w:r w:rsidRPr="00591E96">
        <w:rPr>
          <w:rFonts w:ascii="Calibri" w:hAnsi="Calibri" w:cs="Times"/>
          <w:sz w:val="22"/>
        </w:rPr>
        <w:t xml:space="preserve">An analysis using </w:t>
      </w:r>
      <w:proofErr w:type="spellStart"/>
      <w:r w:rsidRPr="00591E96">
        <w:rPr>
          <w:rFonts w:ascii="Calibri" w:hAnsi="Calibri" w:cs="Times"/>
          <w:sz w:val="22"/>
        </w:rPr>
        <w:t>Sartwell's</w:t>
      </w:r>
      <w:proofErr w:type="spellEnd"/>
      <w:r w:rsidRPr="00591E96">
        <w:rPr>
          <w:rFonts w:ascii="Calibri" w:hAnsi="Calibri" w:cs="Times"/>
          <w:sz w:val="22"/>
        </w:rPr>
        <w:t xml:space="preserve"> incubation period model.</w:t>
      </w:r>
      <w:proofErr w:type="gramEnd"/>
      <w:r w:rsidRPr="00591E96">
        <w:rPr>
          <w:rFonts w:ascii="Calibri" w:hAnsi="Calibri" w:cs="Times"/>
          <w:sz w:val="22"/>
        </w:rPr>
        <w:t xml:space="preserve"> Am J </w:t>
      </w:r>
      <w:proofErr w:type="spellStart"/>
      <w:proofErr w:type="gramStart"/>
      <w:r w:rsidRPr="00591E96">
        <w:rPr>
          <w:rFonts w:ascii="Calibri" w:hAnsi="Calibri" w:cs="Times"/>
          <w:sz w:val="22"/>
        </w:rPr>
        <w:t>Epidemiol</w:t>
      </w:r>
      <w:proofErr w:type="spellEnd"/>
      <w:r w:rsidRPr="00591E96">
        <w:rPr>
          <w:rFonts w:ascii="Calibri" w:hAnsi="Calibri" w:cs="Times"/>
          <w:sz w:val="22"/>
        </w:rPr>
        <w:t>.</w:t>
      </w:r>
      <w:proofErr w:type="gramEnd"/>
      <w:r w:rsidRPr="00591E96">
        <w:rPr>
          <w:rFonts w:ascii="Calibri" w:hAnsi="Calibri" w:cs="Times"/>
          <w:sz w:val="22"/>
        </w:rPr>
        <w:t xml:space="preserve"> 1984</w:t>
      </w:r>
      <w:proofErr w:type="gramStart"/>
      <w:r w:rsidRPr="00591E96">
        <w:rPr>
          <w:rFonts w:ascii="Calibri" w:hAnsi="Calibri" w:cs="Times"/>
          <w:sz w:val="22"/>
        </w:rPr>
        <w:t>;120</w:t>
      </w:r>
      <w:proofErr w:type="gramEnd"/>
      <w:r w:rsidRPr="00591E96">
        <w:rPr>
          <w:rFonts w:ascii="Calibri" w:hAnsi="Calibri" w:cs="Times"/>
          <w:sz w:val="22"/>
        </w:rPr>
        <w:t>(4):531-36.</w:t>
      </w:r>
    </w:p>
    <w:p w14:paraId="18F478DF" w14:textId="77777777" w:rsidR="00591E96" w:rsidRPr="00591E96" w:rsidRDefault="00591E96" w:rsidP="00591E96">
      <w:pPr>
        <w:widowControl w:val="0"/>
        <w:autoSpaceDE w:val="0"/>
        <w:autoSpaceDN w:val="0"/>
        <w:adjustRightInd w:val="0"/>
        <w:spacing w:after="0"/>
        <w:rPr>
          <w:rFonts w:ascii="Calibri" w:hAnsi="Calibri" w:cs="Times"/>
          <w:sz w:val="22"/>
        </w:rPr>
      </w:pPr>
    </w:p>
    <w:p w14:paraId="75CDBE80"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2. </w:t>
      </w:r>
      <w:proofErr w:type="spellStart"/>
      <w:r w:rsidRPr="00591E96">
        <w:rPr>
          <w:rFonts w:ascii="Calibri" w:hAnsi="Calibri" w:cs="Times"/>
          <w:sz w:val="22"/>
        </w:rPr>
        <w:t>Wiig</w:t>
      </w:r>
      <w:proofErr w:type="spellEnd"/>
      <w:r w:rsidRPr="00591E96">
        <w:rPr>
          <w:rFonts w:ascii="Calibri" w:hAnsi="Calibri" w:cs="Times"/>
          <w:sz w:val="22"/>
        </w:rPr>
        <w:t xml:space="preserve"> O, </w:t>
      </w:r>
      <w:proofErr w:type="spellStart"/>
      <w:r w:rsidRPr="00591E96">
        <w:rPr>
          <w:rFonts w:ascii="Calibri" w:hAnsi="Calibri" w:cs="Times"/>
          <w:sz w:val="22"/>
        </w:rPr>
        <w:t>Terjesen</w:t>
      </w:r>
      <w:proofErr w:type="spellEnd"/>
      <w:r w:rsidRPr="00591E96">
        <w:rPr>
          <w:rFonts w:ascii="Calibri" w:hAnsi="Calibri" w:cs="Times"/>
          <w:sz w:val="22"/>
        </w:rPr>
        <w:t xml:space="preserve"> T, </w:t>
      </w:r>
      <w:proofErr w:type="spellStart"/>
      <w:r w:rsidRPr="00591E96">
        <w:rPr>
          <w:rFonts w:ascii="Calibri" w:hAnsi="Calibri" w:cs="Times"/>
          <w:sz w:val="22"/>
        </w:rPr>
        <w:t>Svenningsen</w:t>
      </w:r>
      <w:proofErr w:type="spellEnd"/>
      <w:r w:rsidRPr="00591E96">
        <w:rPr>
          <w:rFonts w:ascii="Calibri" w:hAnsi="Calibri" w:cs="Times"/>
          <w:sz w:val="22"/>
        </w:rPr>
        <w:t xml:space="preserve"> S, Lie SA. </w:t>
      </w:r>
      <w:proofErr w:type="gramStart"/>
      <w:r w:rsidRPr="00591E96">
        <w:rPr>
          <w:rFonts w:ascii="Calibri" w:hAnsi="Calibri" w:cs="Times"/>
          <w:sz w:val="22"/>
        </w:rPr>
        <w:t>The epidemiology and aetiology of Perthes' disease in Norway.</w:t>
      </w:r>
      <w:proofErr w:type="gramEnd"/>
      <w:r w:rsidRPr="00591E96">
        <w:rPr>
          <w:rFonts w:ascii="Calibri" w:hAnsi="Calibri" w:cs="Times"/>
          <w:sz w:val="22"/>
        </w:rPr>
        <w:t xml:space="preserve"> </w:t>
      </w:r>
      <w:proofErr w:type="gramStart"/>
      <w:r w:rsidRPr="00591E96">
        <w:rPr>
          <w:rFonts w:ascii="Calibri" w:hAnsi="Calibri" w:cs="Times"/>
          <w:sz w:val="22"/>
        </w:rPr>
        <w:t>A nationwide study of 425 patients.</w:t>
      </w:r>
      <w:proofErr w:type="gramEnd"/>
      <w:r w:rsidRPr="00591E96">
        <w:rPr>
          <w:rFonts w:ascii="Calibri" w:hAnsi="Calibri" w:cs="Times"/>
          <w:sz w:val="22"/>
        </w:rPr>
        <w:t xml:space="preserve"> J Bone Joint </w:t>
      </w:r>
      <w:proofErr w:type="spellStart"/>
      <w:r w:rsidRPr="00591E96">
        <w:rPr>
          <w:rFonts w:ascii="Calibri" w:hAnsi="Calibri" w:cs="Times"/>
          <w:sz w:val="22"/>
        </w:rPr>
        <w:t>Surg</w:t>
      </w:r>
      <w:proofErr w:type="spellEnd"/>
      <w:r w:rsidRPr="00591E96">
        <w:rPr>
          <w:rFonts w:ascii="Calibri" w:hAnsi="Calibri" w:cs="Times"/>
          <w:sz w:val="22"/>
        </w:rPr>
        <w:t xml:space="preserve"> Br. 2006</w:t>
      </w:r>
      <w:proofErr w:type="gramStart"/>
      <w:r w:rsidRPr="00591E96">
        <w:rPr>
          <w:rFonts w:ascii="Calibri" w:hAnsi="Calibri" w:cs="Times"/>
          <w:sz w:val="22"/>
        </w:rPr>
        <w:t>;88</w:t>
      </w:r>
      <w:proofErr w:type="gramEnd"/>
      <w:r w:rsidRPr="00591E96">
        <w:rPr>
          <w:rFonts w:ascii="Calibri" w:hAnsi="Calibri" w:cs="Times"/>
          <w:sz w:val="22"/>
        </w:rPr>
        <w:t>(9):1217-23.</w:t>
      </w:r>
    </w:p>
    <w:p w14:paraId="71123D3E" w14:textId="77777777" w:rsidR="00591E96" w:rsidRPr="00591E96" w:rsidRDefault="00591E96" w:rsidP="00591E96">
      <w:pPr>
        <w:widowControl w:val="0"/>
        <w:autoSpaceDE w:val="0"/>
        <w:autoSpaceDN w:val="0"/>
        <w:adjustRightInd w:val="0"/>
        <w:spacing w:after="0"/>
        <w:rPr>
          <w:rFonts w:ascii="Calibri" w:hAnsi="Calibri" w:cs="Times"/>
          <w:sz w:val="22"/>
        </w:rPr>
      </w:pPr>
    </w:p>
    <w:p w14:paraId="63C46064"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3. </w:t>
      </w:r>
      <w:r w:rsidRPr="00591E96">
        <w:rPr>
          <w:rFonts w:ascii="Calibri" w:hAnsi="Calibri" w:cs="Times"/>
          <w:sz w:val="22"/>
        </w:rPr>
        <w:t xml:space="preserve">Sartwell PE. </w:t>
      </w:r>
      <w:proofErr w:type="gramStart"/>
      <w:r w:rsidRPr="00591E96">
        <w:rPr>
          <w:rFonts w:ascii="Calibri" w:hAnsi="Calibri" w:cs="Times"/>
          <w:sz w:val="22"/>
        </w:rPr>
        <w:t>The incubation period and the dynamics of infectious disease.</w:t>
      </w:r>
      <w:proofErr w:type="gramEnd"/>
      <w:r w:rsidRPr="00591E96">
        <w:rPr>
          <w:rFonts w:ascii="Calibri" w:hAnsi="Calibri" w:cs="Times"/>
          <w:sz w:val="22"/>
        </w:rPr>
        <w:t xml:space="preserve"> Am J </w:t>
      </w:r>
      <w:proofErr w:type="spellStart"/>
      <w:proofErr w:type="gramStart"/>
      <w:r w:rsidRPr="00591E96">
        <w:rPr>
          <w:rFonts w:ascii="Calibri" w:hAnsi="Calibri" w:cs="Times"/>
          <w:sz w:val="22"/>
        </w:rPr>
        <w:t>Epidemiol</w:t>
      </w:r>
      <w:proofErr w:type="spellEnd"/>
      <w:r w:rsidRPr="00591E96">
        <w:rPr>
          <w:rFonts w:ascii="Calibri" w:hAnsi="Calibri" w:cs="Times"/>
          <w:sz w:val="22"/>
        </w:rPr>
        <w:t>.</w:t>
      </w:r>
      <w:proofErr w:type="gramEnd"/>
      <w:r w:rsidRPr="00591E96">
        <w:rPr>
          <w:rFonts w:ascii="Calibri" w:hAnsi="Calibri" w:cs="Times"/>
          <w:sz w:val="22"/>
        </w:rPr>
        <w:t xml:space="preserve"> 1966</w:t>
      </w:r>
      <w:proofErr w:type="gramStart"/>
      <w:r w:rsidRPr="00591E96">
        <w:rPr>
          <w:rFonts w:ascii="Calibri" w:hAnsi="Calibri" w:cs="Times"/>
          <w:sz w:val="22"/>
        </w:rPr>
        <w:t>;83</w:t>
      </w:r>
      <w:proofErr w:type="gramEnd"/>
      <w:r w:rsidRPr="00591E96">
        <w:rPr>
          <w:rFonts w:ascii="Calibri" w:hAnsi="Calibri" w:cs="Times"/>
          <w:sz w:val="22"/>
        </w:rPr>
        <w:t>(2):204-06.</w:t>
      </w:r>
    </w:p>
    <w:p w14:paraId="7FB2D9AE" w14:textId="77777777" w:rsidR="00591E96" w:rsidRPr="00591E96" w:rsidRDefault="00591E96" w:rsidP="00591E96">
      <w:pPr>
        <w:widowControl w:val="0"/>
        <w:autoSpaceDE w:val="0"/>
        <w:autoSpaceDN w:val="0"/>
        <w:adjustRightInd w:val="0"/>
        <w:spacing w:after="0"/>
        <w:rPr>
          <w:rFonts w:ascii="Calibri" w:hAnsi="Calibri" w:cs="Times"/>
          <w:sz w:val="22"/>
        </w:rPr>
      </w:pPr>
    </w:p>
    <w:p w14:paraId="0B55E3FF"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4. </w:t>
      </w:r>
      <w:r w:rsidRPr="00591E96">
        <w:rPr>
          <w:rFonts w:ascii="Calibri" w:hAnsi="Calibri" w:cs="Times"/>
          <w:sz w:val="22"/>
        </w:rPr>
        <w:t xml:space="preserve">Sartwell PE. </w:t>
      </w:r>
      <w:proofErr w:type="gramStart"/>
      <w:r w:rsidRPr="00591E96">
        <w:rPr>
          <w:rFonts w:ascii="Calibri" w:hAnsi="Calibri" w:cs="Times"/>
          <w:sz w:val="22"/>
        </w:rPr>
        <w:t>The incubation period of poliomyelitis.</w:t>
      </w:r>
      <w:proofErr w:type="gramEnd"/>
      <w:r w:rsidRPr="00591E96">
        <w:rPr>
          <w:rFonts w:ascii="Calibri" w:hAnsi="Calibri" w:cs="Times"/>
          <w:sz w:val="22"/>
        </w:rPr>
        <w:t xml:space="preserve"> </w:t>
      </w:r>
      <w:proofErr w:type="gramStart"/>
      <w:r w:rsidRPr="00591E96">
        <w:rPr>
          <w:rFonts w:ascii="Calibri" w:hAnsi="Calibri" w:cs="Times"/>
          <w:sz w:val="22"/>
        </w:rPr>
        <w:t>Am</w:t>
      </w:r>
      <w:proofErr w:type="gramEnd"/>
      <w:r w:rsidRPr="00591E96">
        <w:rPr>
          <w:rFonts w:ascii="Calibri" w:hAnsi="Calibri" w:cs="Times"/>
          <w:sz w:val="22"/>
        </w:rPr>
        <w:t xml:space="preserve"> J Public Health Nations Health. 1952</w:t>
      </w:r>
      <w:proofErr w:type="gramStart"/>
      <w:r w:rsidRPr="00591E96">
        <w:rPr>
          <w:rFonts w:ascii="Calibri" w:hAnsi="Calibri" w:cs="Times"/>
          <w:sz w:val="22"/>
        </w:rPr>
        <w:t>;42</w:t>
      </w:r>
      <w:proofErr w:type="gramEnd"/>
      <w:r w:rsidRPr="00591E96">
        <w:rPr>
          <w:rFonts w:ascii="Calibri" w:hAnsi="Calibri" w:cs="Times"/>
          <w:sz w:val="22"/>
        </w:rPr>
        <w:t>(11):1403-08.</w:t>
      </w:r>
    </w:p>
    <w:p w14:paraId="791863CF" w14:textId="77777777" w:rsidR="00591E96" w:rsidRPr="00591E96" w:rsidRDefault="00591E96" w:rsidP="00591E96">
      <w:pPr>
        <w:widowControl w:val="0"/>
        <w:autoSpaceDE w:val="0"/>
        <w:autoSpaceDN w:val="0"/>
        <w:adjustRightInd w:val="0"/>
        <w:spacing w:after="0"/>
        <w:rPr>
          <w:rFonts w:ascii="Calibri" w:hAnsi="Calibri" w:cs="Times"/>
          <w:sz w:val="22"/>
        </w:rPr>
      </w:pPr>
    </w:p>
    <w:p w14:paraId="37B9E28D"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5. </w:t>
      </w:r>
      <w:r w:rsidRPr="00591E96">
        <w:rPr>
          <w:rFonts w:ascii="Calibri" w:hAnsi="Calibri" w:cs="Times"/>
          <w:sz w:val="22"/>
        </w:rPr>
        <w:t xml:space="preserve">Horner RD, </w:t>
      </w:r>
      <w:proofErr w:type="spellStart"/>
      <w:r w:rsidRPr="00591E96">
        <w:rPr>
          <w:rFonts w:ascii="Calibri" w:hAnsi="Calibri" w:cs="Times"/>
          <w:sz w:val="22"/>
        </w:rPr>
        <w:t>Samsa</w:t>
      </w:r>
      <w:proofErr w:type="spellEnd"/>
      <w:r w:rsidRPr="00591E96">
        <w:rPr>
          <w:rFonts w:ascii="Calibri" w:hAnsi="Calibri" w:cs="Times"/>
          <w:sz w:val="22"/>
        </w:rPr>
        <w:t xml:space="preserve"> G. Criteria for the use of </w:t>
      </w:r>
      <w:proofErr w:type="spellStart"/>
      <w:r w:rsidRPr="00591E96">
        <w:rPr>
          <w:rFonts w:ascii="Calibri" w:hAnsi="Calibri" w:cs="Times"/>
          <w:sz w:val="22"/>
        </w:rPr>
        <w:t>Sartwell's</w:t>
      </w:r>
      <w:proofErr w:type="spellEnd"/>
      <w:r w:rsidRPr="00591E96">
        <w:rPr>
          <w:rFonts w:ascii="Calibri" w:hAnsi="Calibri" w:cs="Times"/>
          <w:sz w:val="22"/>
        </w:rPr>
        <w:t xml:space="preserve"> incubation period model to study chronic diseases with uncertain etiology. J </w:t>
      </w:r>
      <w:proofErr w:type="spellStart"/>
      <w:r w:rsidRPr="00591E96">
        <w:rPr>
          <w:rFonts w:ascii="Calibri" w:hAnsi="Calibri" w:cs="Times"/>
          <w:sz w:val="22"/>
        </w:rPr>
        <w:t>Clin</w:t>
      </w:r>
      <w:proofErr w:type="spellEnd"/>
      <w:r w:rsidRPr="00591E96">
        <w:rPr>
          <w:rFonts w:ascii="Calibri" w:hAnsi="Calibri" w:cs="Times"/>
          <w:sz w:val="22"/>
        </w:rPr>
        <w:t xml:space="preserve"> </w:t>
      </w:r>
      <w:proofErr w:type="spellStart"/>
      <w:r w:rsidRPr="00591E96">
        <w:rPr>
          <w:rFonts w:ascii="Calibri" w:hAnsi="Calibri" w:cs="Times"/>
          <w:sz w:val="22"/>
        </w:rPr>
        <w:t>Epidemiol</w:t>
      </w:r>
      <w:proofErr w:type="spellEnd"/>
      <w:r w:rsidRPr="00591E96">
        <w:rPr>
          <w:rFonts w:ascii="Calibri" w:hAnsi="Calibri" w:cs="Times"/>
          <w:sz w:val="22"/>
        </w:rPr>
        <w:t>. 1992</w:t>
      </w:r>
      <w:proofErr w:type="gramStart"/>
      <w:r w:rsidRPr="00591E96">
        <w:rPr>
          <w:rFonts w:ascii="Calibri" w:hAnsi="Calibri" w:cs="Times"/>
          <w:sz w:val="22"/>
        </w:rPr>
        <w:t>;45</w:t>
      </w:r>
      <w:proofErr w:type="gramEnd"/>
      <w:r w:rsidRPr="00591E96">
        <w:rPr>
          <w:rFonts w:ascii="Calibri" w:hAnsi="Calibri" w:cs="Times"/>
          <w:sz w:val="22"/>
        </w:rPr>
        <w:t>(10):1071-80.</w:t>
      </w:r>
    </w:p>
    <w:p w14:paraId="713519DB" w14:textId="77777777" w:rsidR="00591E96" w:rsidRPr="00591E96" w:rsidRDefault="00591E96" w:rsidP="00591E96">
      <w:pPr>
        <w:widowControl w:val="0"/>
        <w:autoSpaceDE w:val="0"/>
        <w:autoSpaceDN w:val="0"/>
        <w:adjustRightInd w:val="0"/>
        <w:spacing w:after="0"/>
        <w:rPr>
          <w:rFonts w:ascii="Calibri" w:hAnsi="Calibri" w:cs="Times"/>
          <w:sz w:val="22"/>
        </w:rPr>
      </w:pPr>
    </w:p>
    <w:p w14:paraId="1D2DD036"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6. </w:t>
      </w:r>
      <w:r w:rsidRPr="00591E96">
        <w:rPr>
          <w:rFonts w:ascii="Calibri" w:hAnsi="Calibri" w:cs="Times"/>
          <w:sz w:val="22"/>
        </w:rPr>
        <w:t xml:space="preserve">Perry DC, Bruce CE, Pope D, Dangerfield P, Platt MJ, Hall AJ. Perthes' disease: deprivation and decline. </w:t>
      </w:r>
      <w:proofErr w:type="gramStart"/>
      <w:r w:rsidRPr="00591E96">
        <w:rPr>
          <w:rFonts w:ascii="Calibri" w:hAnsi="Calibri" w:cs="Times"/>
          <w:sz w:val="22"/>
        </w:rPr>
        <w:t>Arch Dis Child.</w:t>
      </w:r>
      <w:proofErr w:type="gramEnd"/>
      <w:r w:rsidRPr="00591E96">
        <w:rPr>
          <w:rFonts w:ascii="Calibri" w:hAnsi="Calibri" w:cs="Times"/>
          <w:sz w:val="22"/>
        </w:rPr>
        <w:t xml:space="preserve"> 2011</w:t>
      </w:r>
      <w:proofErr w:type="gramStart"/>
      <w:r w:rsidRPr="00591E96">
        <w:rPr>
          <w:rFonts w:ascii="Calibri" w:hAnsi="Calibri" w:cs="Times"/>
          <w:sz w:val="22"/>
        </w:rPr>
        <w:t>;96</w:t>
      </w:r>
      <w:proofErr w:type="gramEnd"/>
      <w:r w:rsidRPr="00591E96">
        <w:rPr>
          <w:rFonts w:ascii="Calibri" w:hAnsi="Calibri" w:cs="Times"/>
          <w:sz w:val="22"/>
        </w:rPr>
        <w:t>(12):1124-28.</w:t>
      </w:r>
    </w:p>
    <w:p w14:paraId="01995F98" w14:textId="77777777" w:rsidR="00591E96" w:rsidRPr="00591E96" w:rsidRDefault="00591E96" w:rsidP="00591E96">
      <w:pPr>
        <w:widowControl w:val="0"/>
        <w:autoSpaceDE w:val="0"/>
        <w:autoSpaceDN w:val="0"/>
        <w:adjustRightInd w:val="0"/>
        <w:spacing w:after="0"/>
        <w:rPr>
          <w:rFonts w:ascii="Calibri" w:hAnsi="Calibri" w:cs="Times"/>
          <w:sz w:val="22"/>
        </w:rPr>
      </w:pPr>
    </w:p>
    <w:p w14:paraId="73F4F1A1"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7. </w:t>
      </w:r>
      <w:r w:rsidRPr="00591E96">
        <w:rPr>
          <w:rFonts w:ascii="Calibri" w:hAnsi="Calibri" w:cs="Times"/>
          <w:sz w:val="22"/>
        </w:rPr>
        <w:t xml:space="preserve">Sartwell PE. </w:t>
      </w:r>
      <w:proofErr w:type="gramStart"/>
      <w:r w:rsidRPr="00591E96">
        <w:rPr>
          <w:rFonts w:ascii="Calibri" w:hAnsi="Calibri" w:cs="Times"/>
          <w:sz w:val="22"/>
        </w:rPr>
        <w:t>The distribution of incubation periods of infectious disease.</w:t>
      </w:r>
      <w:proofErr w:type="gramEnd"/>
      <w:r w:rsidRPr="00591E96">
        <w:rPr>
          <w:rFonts w:ascii="Calibri" w:hAnsi="Calibri" w:cs="Times"/>
          <w:sz w:val="22"/>
        </w:rPr>
        <w:t xml:space="preserve"> </w:t>
      </w:r>
      <w:proofErr w:type="gramStart"/>
      <w:r w:rsidRPr="00591E96">
        <w:rPr>
          <w:rFonts w:ascii="Calibri" w:hAnsi="Calibri" w:cs="Times"/>
          <w:sz w:val="22"/>
        </w:rPr>
        <w:t>American journal of hygiene.</w:t>
      </w:r>
      <w:proofErr w:type="gramEnd"/>
      <w:r w:rsidRPr="00591E96">
        <w:rPr>
          <w:rFonts w:ascii="Calibri" w:hAnsi="Calibri" w:cs="Times"/>
          <w:sz w:val="22"/>
        </w:rPr>
        <w:t xml:space="preserve"> 1950</w:t>
      </w:r>
      <w:proofErr w:type="gramStart"/>
      <w:r w:rsidRPr="00591E96">
        <w:rPr>
          <w:rFonts w:ascii="Calibri" w:hAnsi="Calibri" w:cs="Times"/>
          <w:sz w:val="22"/>
        </w:rPr>
        <w:t>;51</w:t>
      </w:r>
      <w:proofErr w:type="gramEnd"/>
      <w:r w:rsidRPr="00591E96">
        <w:rPr>
          <w:rFonts w:ascii="Calibri" w:hAnsi="Calibri" w:cs="Times"/>
          <w:sz w:val="22"/>
        </w:rPr>
        <w:t>(3):310-18.</w:t>
      </w:r>
    </w:p>
    <w:p w14:paraId="16E69C29" w14:textId="77777777" w:rsidR="00591E96" w:rsidRPr="00591E96" w:rsidRDefault="00591E96" w:rsidP="00591E96">
      <w:pPr>
        <w:widowControl w:val="0"/>
        <w:autoSpaceDE w:val="0"/>
        <w:autoSpaceDN w:val="0"/>
        <w:adjustRightInd w:val="0"/>
        <w:spacing w:after="0"/>
        <w:rPr>
          <w:rFonts w:ascii="Calibri" w:hAnsi="Calibri" w:cs="Times"/>
          <w:sz w:val="22"/>
        </w:rPr>
      </w:pPr>
    </w:p>
    <w:p w14:paraId="28019ADA"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8. </w:t>
      </w:r>
      <w:r w:rsidRPr="00591E96">
        <w:rPr>
          <w:rFonts w:ascii="Calibri" w:hAnsi="Calibri" w:cs="Times"/>
          <w:sz w:val="22"/>
        </w:rPr>
        <w:t xml:space="preserve">Sartwell P. Some approaches to the epidemiologic study of chronic disease. </w:t>
      </w:r>
      <w:proofErr w:type="gramStart"/>
      <w:r w:rsidRPr="00591E96">
        <w:rPr>
          <w:rFonts w:ascii="Calibri" w:hAnsi="Calibri" w:cs="Times"/>
          <w:sz w:val="22"/>
        </w:rPr>
        <w:t>Am</w:t>
      </w:r>
      <w:proofErr w:type="gramEnd"/>
      <w:r w:rsidRPr="00591E96">
        <w:rPr>
          <w:rFonts w:ascii="Calibri" w:hAnsi="Calibri" w:cs="Times"/>
          <w:sz w:val="22"/>
        </w:rPr>
        <w:t xml:space="preserve"> J Public Health Nations Health. 1955</w:t>
      </w:r>
      <w:proofErr w:type="gramStart"/>
      <w:r w:rsidRPr="00591E96">
        <w:rPr>
          <w:rFonts w:ascii="Calibri" w:hAnsi="Calibri" w:cs="Times"/>
          <w:sz w:val="22"/>
        </w:rPr>
        <w:t>;45</w:t>
      </w:r>
      <w:proofErr w:type="gramEnd"/>
      <w:r w:rsidRPr="00591E96">
        <w:rPr>
          <w:rFonts w:ascii="Calibri" w:hAnsi="Calibri" w:cs="Times"/>
          <w:sz w:val="22"/>
        </w:rPr>
        <w:t>(5):609-14.</w:t>
      </w:r>
    </w:p>
    <w:p w14:paraId="609E5B62" w14:textId="77777777" w:rsidR="00591E96" w:rsidRPr="00591E96" w:rsidRDefault="00591E96" w:rsidP="00591E96">
      <w:pPr>
        <w:widowControl w:val="0"/>
        <w:autoSpaceDE w:val="0"/>
        <w:autoSpaceDN w:val="0"/>
        <w:adjustRightInd w:val="0"/>
        <w:spacing w:after="0"/>
        <w:rPr>
          <w:rFonts w:ascii="Calibri" w:hAnsi="Calibri" w:cs="Times"/>
          <w:sz w:val="22"/>
        </w:rPr>
      </w:pPr>
    </w:p>
    <w:p w14:paraId="3624B5AA"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9. </w:t>
      </w:r>
      <w:r w:rsidRPr="00591E96">
        <w:rPr>
          <w:rFonts w:ascii="Calibri" w:hAnsi="Calibri" w:cs="Times"/>
          <w:sz w:val="22"/>
        </w:rPr>
        <w:t xml:space="preserve">Armenian HK, </w:t>
      </w:r>
      <w:proofErr w:type="spellStart"/>
      <w:r w:rsidRPr="00591E96">
        <w:rPr>
          <w:rFonts w:ascii="Calibri" w:hAnsi="Calibri" w:cs="Times"/>
          <w:sz w:val="22"/>
        </w:rPr>
        <w:t>Khoury</w:t>
      </w:r>
      <w:proofErr w:type="spellEnd"/>
      <w:r w:rsidRPr="00591E96">
        <w:rPr>
          <w:rFonts w:ascii="Calibri" w:hAnsi="Calibri" w:cs="Times"/>
          <w:sz w:val="22"/>
        </w:rPr>
        <w:t xml:space="preserve"> MJ. Age at onset of genetic diseases: an application for </w:t>
      </w:r>
      <w:proofErr w:type="spellStart"/>
      <w:r w:rsidRPr="00591E96">
        <w:rPr>
          <w:rFonts w:ascii="Calibri" w:hAnsi="Calibri" w:cs="Times"/>
          <w:sz w:val="22"/>
        </w:rPr>
        <w:t>Sartwell's</w:t>
      </w:r>
      <w:proofErr w:type="spellEnd"/>
      <w:r w:rsidRPr="00591E96">
        <w:rPr>
          <w:rFonts w:ascii="Calibri" w:hAnsi="Calibri" w:cs="Times"/>
          <w:sz w:val="22"/>
        </w:rPr>
        <w:t xml:space="preserve"> model of the distribution of incubation periods. Am J </w:t>
      </w:r>
      <w:proofErr w:type="spellStart"/>
      <w:proofErr w:type="gramStart"/>
      <w:r w:rsidRPr="00591E96">
        <w:rPr>
          <w:rFonts w:ascii="Calibri" w:hAnsi="Calibri" w:cs="Times"/>
          <w:sz w:val="22"/>
        </w:rPr>
        <w:t>Epidemiol</w:t>
      </w:r>
      <w:proofErr w:type="spellEnd"/>
      <w:r w:rsidRPr="00591E96">
        <w:rPr>
          <w:rFonts w:ascii="Calibri" w:hAnsi="Calibri" w:cs="Times"/>
          <w:sz w:val="22"/>
        </w:rPr>
        <w:t>.</w:t>
      </w:r>
      <w:proofErr w:type="gramEnd"/>
      <w:r w:rsidRPr="00591E96">
        <w:rPr>
          <w:rFonts w:ascii="Calibri" w:hAnsi="Calibri" w:cs="Times"/>
          <w:sz w:val="22"/>
        </w:rPr>
        <w:t xml:space="preserve"> 1981</w:t>
      </w:r>
      <w:proofErr w:type="gramStart"/>
      <w:r w:rsidRPr="00591E96">
        <w:rPr>
          <w:rFonts w:ascii="Calibri" w:hAnsi="Calibri" w:cs="Times"/>
          <w:sz w:val="22"/>
        </w:rPr>
        <w:t>;113</w:t>
      </w:r>
      <w:proofErr w:type="gramEnd"/>
      <w:r w:rsidRPr="00591E96">
        <w:rPr>
          <w:rFonts w:ascii="Calibri" w:hAnsi="Calibri" w:cs="Times"/>
          <w:sz w:val="22"/>
        </w:rPr>
        <w:t>(5):596-605.</w:t>
      </w:r>
    </w:p>
    <w:p w14:paraId="395A0649" w14:textId="77777777" w:rsidR="00591E96" w:rsidRPr="00591E96" w:rsidRDefault="00591E96" w:rsidP="00591E96">
      <w:pPr>
        <w:widowControl w:val="0"/>
        <w:autoSpaceDE w:val="0"/>
        <w:autoSpaceDN w:val="0"/>
        <w:adjustRightInd w:val="0"/>
        <w:spacing w:after="0"/>
        <w:rPr>
          <w:rFonts w:ascii="Calibri" w:hAnsi="Calibri" w:cs="Times"/>
          <w:sz w:val="22"/>
        </w:rPr>
      </w:pPr>
    </w:p>
    <w:p w14:paraId="4DAFFBF4"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10. </w:t>
      </w:r>
      <w:r w:rsidRPr="00591E96">
        <w:rPr>
          <w:rFonts w:ascii="Calibri" w:hAnsi="Calibri" w:cs="Times"/>
          <w:sz w:val="22"/>
        </w:rPr>
        <w:t xml:space="preserve">Armenian HK, </w:t>
      </w:r>
      <w:proofErr w:type="spellStart"/>
      <w:r w:rsidRPr="00591E96">
        <w:rPr>
          <w:rFonts w:ascii="Calibri" w:hAnsi="Calibri" w:cs="Times"/>
          <w:sz w:val="22"/>
        </w:rPr>
        <w:t>Lilienfeld</w:t>
      </w:r>
      <w:proofErr w:type="spellEnd"/>
      <w:r w:rsidRPr="00591E96">
        <w:rPr>
          <w:rFonts w:ascii="Calibri" w:hAnsi="Calibri" w:cs="Times"/>
          <w:sz w:val="22"/>
        </w:rPr>
        <w:t xml:space="preserve"> AM. </w:t>
      </w:r>
      <w:proofErr w:type="gramStart"/>
      <w:r w:rsidRPr="00591E96">
        <w:rPr>
          <w:rFonts w:ascii="Calibri" w:hAnsi="Calibri" w:cs="Times"/>
          <w:sz w:val="22"/>
        </w:rPr>
        <w:t>The distribution of incubation periods of neoplastic diseases.</w:t>
      </w:r>
      <w:proofErr w:type="gramEnd"/>
      <w:r w:rsidRPr="00591E96">
        <w:rPr>
          <w:rFonts w:ascii="Calibri" w:hAnsi="Calibri" w:cs="Times"/>
          <w:sz w:val="22"/>
        </w:rPr>
        <w:t xml:space="preserve"> Am J </w:t>
      </w:r>
      <w:proofErr w:type="spellStart"/>
      <w:proofErr w:type="gramStart"/>
      <w:r w:rsidRPr="00591E96">
        <w:rPr>
          <w:rFonts w:ascii="Calibri" w:hAnsi="Calibri" w:cs="Times"/>
          <w:sz w:val="22"/>
        </w:rPr>
        <w:t>Epidemiol</w:t>
      </w:r>
      <w:proofErr w:type="spellEnd"/>
      <w:r w:rsidRPr="00591E96">
        <w:rPr>
          <w:rFonts w:ascii="Calibri" w:hAnsi="Calibri" w:cs="Times"/>
          <w:sz w:val="22"/>
        </w:rPr>
        <w:t>.</w:t>
      </w:r>
      <w:proofErr w:type="gramEnd"/>
      <w:r w:rsidRPr="00591E96">
        <w:rPr>
          <w:rFonts w:ascii="Calibri" w:hAnsi="Calibri" w:cs="Times"/>
          <w:sz w:val="22"/>
        </w:rPr>
        <w:t xml:space="preserve"> 1974</w:t>
      </w:r>
      <w:proofErr w:type="gramStart"/>
      <w:r w:rsidRPr="00591E96">
        <w:rPr>
          <w:rFonts w:ascii="Calibri" w:hAnsi="Calibri" w:cs="Times"/>
          <w:sz w:val="22"/>
        </w:rPr>
        <w:t>;99</w:t>
      </w:r>
      <w:proofErr w:type="gramEnd"/>
      <w:r w:rsidRPr="00591E96">
        <w:rPr>
          <w:rFonts w:ascii="Calibri" w:hAnsi="Calibri" w:cs="Times"/>
          <w:sz w:val="22"/>
        </w:rPr>
        <w:t>(2):92-100.</w:t>
      </w:r>
    </w:p>
    <w:p w14:paraId="7361ACE2" w14:textId="77777777" w:rsidR="00591E96" w:rsidRPr="00591E96" w:rsidRDefault="00591E96" w:rsidP="00591E96">
      <w:pPr>
        <w:widowControl w:val="0"/>
        <w:autoSpaceDE w:val="0"/>
        <w:autoSpaceDN w:val="0"/>
        <w:adjustRightInd w:val="0"/>
        <w:spacing w:after="0"/>
        <w:rPr>
          <w:rFonts w:ascii="Calibri" w:hAnsi="Calibri" w:cs="Times"/>
          <w:sz w:val="22"/>
        </w:rPr>
      </w:pPr>
    </w:p>
    <w:p w14:paraId="053253DD"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11. </w:t>
      </w:r>
      <w:r w:rsidRPr="00591E96">
        <w:rPr>
          <w:rFonts w:ascii="Calibri" w:hAnsi="Calibri" w:cs="Times"/>
          <w:sz w:val="22"/>
        </w:rPr>
        <w:t xml:space="preserve">Hall AJ, Barker DJ, Dangerfield PH, Taylor JF. </w:t>
      </w:r>
      <w:proofErr w:type="gramStart"/>
      <w:r w:rsidRPr="00591E96">
        <w:rPr>
          <w:rFonts w:ascii="Calibri" w:hAnsi="Calibri" w:cs="Times"/>
          <w:sz w:val="22"/>
        </w:rPr>
        <w:t>Perthes' disease of the hip in Liverpool.</w:t>
      </w:r>
      <w:proofErr w:type="gramEnd"/>
      <w:r w:rsidRPr="00591E96">
        <w:rPr>
          <w:rFonts w:ascii="Calibri" w:hAnsi="Calibri" w:cs="Times"/>
          <w:sz w:val="22"/>
        </w:rPr>
        <w:t xml:space="preserve"> BMJ. 1983</w:t>
      </w:r>
      <w:proofErr w:type="gramStart"/>
      <w:r w:rsidRPr="00591E96">
        <w:rPr>
          <w:rFonts w:ascii="Calibri" w:hAnsi="Calibri" w:cs="Times"/>
          <w:sz w:val="22"/>
        </w:rPr>
        <w:t>;287</w:t>
      </w:r>
      <w:proofErr w:type="gramEnd"/>
      <w:r w:rsidRPr="00591E96">
        <w:rPr>
          <w:rFonts w:ascii="Calibri" w:hAnsi="Calibri" w:cs="Times"/>
          <w:sz w:val="22"/>
        </w:rPr>
        <w:t>(6407):1757-59.</w:t>
      </w:r>
    </w:p>
    <w:p w14:paraId="76C7FF34" w14:textId="77777777" w:rsidR="00591E96" w:rsidRPr="00591E96" w:rsidRDefault="00591E96" w:rsidP="00591E96">
      <w:pPr>
        <w:widowControl w:val="0"/>
        <w:autoSpaceDE w:val="0"/>
        <w:autoSpaceDN w:val="0"/>
        <w:adjustRightInd w:val="0"/>
        <w:spacing w:after="0"/>
        <w:rPr>
          <w:rFonts w:ascii="Calibri" w:hAnsi="Calibri" w:cs="Times"/>
          <w:sz w:val="22"/>
        </w:rPr>
      </w:pPr>
    </w:p>
    <w:p w14:paraId="71965763"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lastRenderedPageBreak/>
        <w:t xml:space="preserve">12. </w:t>
      </w:r>
      <w:proofErr w:type="spellStart"/>
      <w:r w:rsidRPr="00591E96">
        <w:rPr>
          <w:rFonts w:ascii="Calibri" w:hAnsi="Calibri" w:cs="Times"/>
          <w:sz w:val="22"/>
        </w:rPr>
        <w:t>Kealey</w:t>
      </w:r>
      <w:proofErr w:type="spellEnd"/>
      <w:r w:rsidRPr="00591E96">
        <w:rPr>
          <w:rFonts w:ascii="Calibri" w:hAnsi="Calibri" w:cs="Times"/>
          <w:sz w:val="22"/>
        </w:rPr>
        <w:t xml:space="preserve"> WD, Moore AJ, Cook S, Cosgrove AP. Deprivation, urbanisation and Perthes' disease in Northern Ireland. J Bone Joint </w:t>
      </w:r>
      <w:proofErr w:type="spellStart"/>
      <w:r w:rsidRPr="00591E96">
        <w:rPr>
          <w:rFonts w:ascii="Calibri" w:hAnsi="Calibri" w:cs="Times"/>
          <w:sz w:val="22"/>
        </w:rPr>
        <w:t>Surg</w:t>
      </w:r>
      <w:proofErr w:type="spellEnd"/>
      <w:r w:rsidRPr="00591E96">
        <w:rPr>
          <w:rFonts w:ascii="Calibri" w:hAnsi="Calibri" w:cs="Times"/>
          <w:sz w:val="22"/>
        </w:rPr>
        <w:t xml:space="preserve"> Br. 2000</w:t>
      </w:r>
      <w:proofErr w:type="gramStart"/>
      <w:r w:rsidRPr="00591E96">
        <w:rPr>
          <w:rFonts w:ascii="Calibri" w:hAnsi="Calibri" w:cs="Times"/>
          <w:sz w:val="22"/>
        </w:rPr>
        <w:t>;82</w:t>
      </w:r>
      <w:proofErr w:type="gramEnd"/>
      <w:r w:rsidRPr="00591E96">
        <w:rPr>
          <w:rFonts w:ascii="Calibri" w:hAnsi="Calibri" w:cs="Times"/>
          <w:sz w:val="22"/>
        </w:rPr>
        <w:t>(2):167-71.</w:t>
      </w:r>
    </w:p>
    <w:p w14:paraId="2FA36794" w14:textId="77777777" w:rsidR="00591E96" w:rsidRPr="00591E96" w:rsidRDefault="00591E96" w:rsidP="00591E96">
      <w:pPr>
        <w:widowControl w:val="0"/>
        <w:autoSpaceDE w:val="0"/>
        <w:autoSpaceDN w:val="0"/>
        <w:adjustRightInd w:val="0"/>
        <w:spacing w:after="0"/>
        <w:rPr>
          <w:rFonts w:ascii="Calibri" w:hAnsi="Calibri" w:cs="Times"/>
          <w:sz w:val="22"/>
        </w:rPr>
      </w:pPr>
    </w:p>
    <w:p w14:paraId="2AC960EC"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13. </w:t>
      </w:r>
      <w:proofErr w:type="spellStart"/>
      <w:r w:rsidRPr="00591E96">
        <w:rPr>
          <w:rFonts w:ascii="Calibri" w:hAnsi="Calibri" w:cs="Times"/>
          <w:sz w:val="22"/>
        </w:rPr>
        <w:t>Margetts</w:t>
      </w:r>
      <w:proofErr w:type="spellEnd"/>
      <w:r w:rsidRPr="00591E96">
        <w:rPr>
          <w:rFonts w:ascii="Calibri" w:hAnsi="Calibri" w:cs="Times"/>
          <w:sz w:val="22"/>
        </w:rPr>
        <w:t xml:space="preserve"> BM, Perry CA, Taylor JF, Dangerfield PH. </w:t>
      </w:r>
      <w:proofErr w:type="gramStart"/>
      <w:r w:rsidRPr="00591E96">
        <w:rPr>
          <w:rFonts w:ascii="Calibri" w:hAnsi="Calibri" w:cs="Times"/>
          <w:sz w:val="22"/>
        </w:rPr>
        <w:t>The incidence and distribution of Legg-Calvé-Perthes' disease in Liverpool, 1982-95.</w:t>
      </w:r>
      <w:proofErr w:type="gramEnd"/>
      <w:r w:rsidRPr="00591E96">
        <w:rPr>
          <w:rFonts w:ascii="Calibri" w:hAnsi="Calibri" w:cs="Times"/>
          <w:sz w:val="22"/>
        </w:rPr>
        <w:t xml:space="preserve"> </w:t>
      </w:r>
      <w:proofErr w:type="gramStart"/>
      <w:r w:rsidRPr="00591E96">
        <w:rPr>
          <w:rFonts w:ascii="Calibri" w:hAnsi="Calibri" w:cs="Times"/>
          <w:sz w:val="22"/>
        </w:rPr>
        <w:t>Arch Dis Child.</w:t>
      </w:r>
      <w:proofErr w:type="gramEnd"/>
      <w:r w:rsidRPr="00591E96">
        <w:rPr>
          <w:rFonts w:ascii="Calibri" w:hAnsi="Calibri" w:cs="Times"/>
          <w:sz w:val="22"/>
        </w:rPr>
        <w:t xml:space="preserve"> 2001</w:t>
      </w:r>
      <w:proofErr w:type="gramStart"/>
      <w:r w:rsidRPr="00591E96">
        <w:rPr>
          <w:rFonts w:ascii="Calibri" w:hAnsi="Calibri" w:cs="Times"/>
          <w:sz w:val="22"/>
        </w:rPr>
        <w:t>;84</w:t>
      </w:r>
      <w:proofErr w:type="gramEnd"/>
      <w:r w:rsidRPr="00591E96">
        <w:rPr>
          <w:rFonts w:ascii="Calibri" w:hAnsi="Calibri" w:cs="Times"/>
          <w:sz w:val="22"/>
        </w:rPr>
        <w:t>(4):351-54.</w:t>
      </w:r>
    </w:p>
    <w:p w14:paraId="0A981481" w14:textId="77777777" w:rsidR="00591E96" w:rsidRPr="00591E96" w:rsidRDefault="00591E96" w:rsidP="00591E96">
      <w:pPr>
        <w:widowControl w:val="0"/>
        <w:autoSpaceDE w:val="0"/>
        <w:autoSpaceDN w:val="0"/>
        <w:adjustRightInd w:val="0"/>
        <w:spacing w:after="0"/>
        <w:rPr>
          <w:rFonts w:ascii="Calibri" w:hAnsi="Calibri" w:cs="Times"/>
          <w:sz w:val="22"/>
        </w:rPr>
      </w:pPr>
    </w:p>
    <w:p w14:paraId="07575961"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14. </w:t>
      </w:r>
      <w:r w:rsidRPr="00591E96">
        <w:rPr>
          <w:rFonts w:ascii="Calibri" w:hAnsi="Calibri" w:cs="Times"/>
          <w:sz w:val="22"/>
        </w:rPr>
        <w:t xml:space="preserve">Fisher RL. </w:t>
      </w:r>
      <w:proofErr w:type="gramStart"/>
      <w:r w:rsidRPr="00591E96">
        <w:rPr>
          <w:rFonts w:ascii="Calibri" w:hAnsi="Calibri" w:cs="Times"/>
          <w:sz w:val="22"/>
        </w:rPr>
        <w:t>An epidemiological study of Legg-Perthes disease.</w:t>
      </w:r>
      <w:proofErr w:type="gramEnd"/>
      <w:r w:rsidRPr="00591E96">
        <w:rPr>
          <w:rFonts w:ascii="Calibri" w:hAnsi="Calibri" w:cs="Times"/>
          <w:sz w:val="22"/>
        </w:rPr>
        <w:t xml:space="preserve"> J Bone Joint </w:t>
      </w:r>
      <w:proofErr w:type="spellStart"/>
      <w:r w:rsidRPr="00591E96">
        <w:rPr>
          <w:rFonts w:ascii="Calibri" w:hAnsi="Calibri" w:cs="Times"/>
          <w:sz w:val="22"/>
        </w:rPr>
        <w:t>Surg</w:t>
      </w:r>
      <w:proofErr w:type="spellEnd"/>
      <w:r w:rsidRPr="00591E96">
        <w:rPr>
          <w:rFonts w:ascii="Calibri" w:hAnsi="Calibri" w:cs="Times"/>
          <w:sz w:val="22"/>
        </w:rPr>
        <w:t xml:space="preserve"> Am. 1972</w:t>
      </w:r>
      <w:proofErr w:type="gramStart"/>
      <w:r w:rsidRPr="00591E96">
        <w:rPr>
          <w:rFonts w:ascii="Calibri" w:hAnsi="Calibri" w:cs="Times"/>
          <w:sz w:val="22"/>
        </w:rPr>
        <w:t>;54</w:t>
      </w:r>
      <w:proofErr w:type="gramEnd"/>
      <w:r w:rsidRPr="00591E96">
        <w:rPr>
          <w:rFonts w:ascii="Calibri" w:hAnsi="Calibri" w:cs="Times"/>
          <w:sz w:val="22"/>
        </w:rPr>
        <w:t>(4):769-78.</w:t>
      </w:r>
    </w:p>
    <w:p w14:paraId="3D0CA0C6" w14:textId="77777777" w:rsidR="00591E96" w:rsidRPr="00591E96" w:rsidRDefault="00591E96" w:rsidP="00591E96">
      <w:pPr>
        <w:widowControl w:val="0"/>
        <w:autoSpaceDE w:val="0"/>
        <w:autoSpaceDN w:val="0"/>
        <w:adjustRightInd w:val="0"/>
        <w:spacing w:after="0"/>
        <w:rPr>
          <w:rFonts w:ascii="Calibri" w:hAnsi="Calibri" w:cs="Times"/>
          <w:sz w:val="22"/>
        </w:rPr>
      </w:pPr>
    </w:p>
    <w:p w14:paraId="2880B129"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15. </w:t>
      </w:r>
      <w:proofErr w:type="spellStart"/>
      <w:r w:rsidRPr="00591E96">
        <w:rPr>
          <w:rFonts w:ascii="Calibri" w:hAnsi="Calibri" w:cs="Times"/>
          <w:sz w:val="22"/>
        </w:rPr>
        <w:t>Guille</w:t>
      </w:r>
      <w:proofErr w:type="spellEnd"/>
      <w:r w:rsidRPr="00591E96">
        <w:rPr>
          <w:rFonts w:ascii="Calibri" w:hAnsi="Calibri" w:cs="Times"/>
          <w:sz w:val="22"/>
        </w:rPr>
        <w:t xml:space="preserve"> JT, Lipton GE, </w:t>
      </w:r>
      <w:proofErr w:type="spellStart"/>
      <w:r w:rsidRPr="00591E96">
        <w:rPr>
          <w:rFonts w:ascii="Calibri" w:hAnsi="Calibri" w:cs="Times"/>
          <w:sz w:val="22"/>
        </w:rPr>
        <w:t>Szöke</w:t>
      </w:r>
      <w:proofErr w:type="spellEnd"/>
      <w:r w:rsidRPr="00591E96">
        <w:rPr>
          <w:rFonts w:ascii="Calibri" w:hAnsi="Calibri" w:cs="Times"/>
          <w:sz w:val="22"/>
        </w:rPr>
        <w:t xml:space="preserve"> G, Bowen JR, </w:t>
      </w:r>
      <w:proofErr w:type="spellStart"/>
      <w:r w:rsidRPr="00591E96">
        <w:rPr>
          <w:rFonts w:ascii="Calibri" w:hAnsi="Calibri" w:cs="Times"/>
          <w:sz w:val="22"/>
        </w:rPr>
        <w:t>Harcke</w:t>
      </w:r>
      <w:proofErr w:type="spellEnd"/>
      <w:r w:rsidRPr="00591E96">
        <w:rPr>
          <w:rFonts w:ascii="Calibri" w:hAnsi="Calibri" w:cs="Times"/>
          <w:sz w:val="22"/>
        </w:rPr>
        <w:t xml:space="preserve"> HT, Glutting JJ. </w:t>
      </w:r>
      <w:proofErr w:type="gramStart"/>
      <w:r w:rsidRPr="00591E96">
        <w:rPr>
          <w:rFonts w:ascii="Calibri" w:hAnsi="Calibri" w:cs="Times"/>
          <w:sz w:val="22"/>
        </w:rPr>
        <w:t>Legg-Calvé-Perthes disease in girls.</w:t>
      </w:r>
      <w:proofErr w:type="gramEnd"/>
      <w:r w:rsidRPr="00591E96">
        <w:rPr>
          <w:rFonts w:ascii="Calibri" w:hAnsi="Calibri" w:cs="Times"/>
          <w:sz w:val="22"/>
        </w:rPr>
        <w:t xml:space="preserve"> </w:t>
      </w:r>
      <w:proofErr w:type="gramStart"/>
      <w:r w:rsidRPr="00591E96">
        <w:rPr>
          <w:rFonts w:ascii="Calibri" w:hAnsi="Calibri" w:cs="Times"/>
          <w:sz w:val="22"/>
        </w:rPr>
        <w:t>A comparison of the results with those seen in boys.</w:t>
      </w:r>
      <w:proofErr w:type="gramEnd"/>
      <w:r w:rsidRPr="00591E96">
        <w:rPr>
          <w:rFonts w:ascii="Calibri" w:hAnsi="Calibri" w:cs="Times"/>
          <w:sz w:val="22"/>
        </w:rPr>
        <w:t xml:space="preserve"> J Bone Joint </w:t>
      </w:r>
      <w:proofErr w:type="spellStart"/>
      <w:r w:rsidRPr="00591E96">
        <w:rPr>
          <w:rFonts w:ascii="Calibri" w:hAnsi="Calibri" w:cs="Times"/>
          <w:sz w:val="22"/>
        </w:rPr>
        <w:t>Surg</w:t>
      </w:r>
      <w:proofErr w:type="spellEnd"/>
      <w:r w:rsidRPr="00591E96">
        <w:rPr>
          <w:rFonts w:ascii="Calibri" w:hAnsi="Calibri" w:cs="Times"/>
          <w:sz w:val="22"/>
        </w:rPr>
        <w:t xml:space="preserve"> Am. 1998</w:t>
      </w:r>
      <w:proofErr w:type="gramStart"/>
      <w:r w:rsidRPr="00591E96">
        <w:rPr>
          <w:rFonts w:ascii="Calibri" w:hAnsi="Calibri" w:cs="Times"/>
          <w:sz w:val="22"/>
        </w:rPr>
        <w:t>;80</w:t>
      </w:r>
      <w:proofErr w:type="gramEnd"/>
      <w:r w:rsidRPr="00591E96">
        <w:rPr>
          <w:rFonts w:ascii="Calibri" w:hAnsi="Calibri" w:cs="Times"/>
          <w:sz w:val="22"/>
        </w:rPr>
        <w:t>(9):1256-63.</w:t>
      </w:r>
    </w:p>
    <w:p w14:paraId="6C193494" w14:textId="77777777" w:rsidR="00591E96" w:rsidRPr="00591E96" w:rsidRDefault="00591E96" w:rsidP="00591E96">
      <w:pPr>
        <w:widowControl w:val="0"/>
        <w:autoSpaceDE w:val="0"/>
        <w:autoSpaceDN w:val="0"/>
        <w:adjustRightInd w:val="0"/>
        <w:spacing w:after="0"/>
        <w:rPr>
          <w:rFonts w:ascii="Calibri" w:hAnsi="Calibri" w:cs="Times"/>
          <w:sz w:val="22"/>
        </w:rPr>
      </w:pPr>
    </w:p>
    <w:p w14:paraId="1E0304EF"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16. </w:t>
      </w:r>
      <w:r w:rsidRPr="00591E96">
        <w:rPr>
          <w:rFonts w:ascii="Calibri" w:hAnsi="Calibri" w:cs="Times"/>
          <w:sz w:val="22"/>
        </w:rPr>
        <w:t xml:space="preserve">Burch PR, </w:t>
      </w:r>
      <w:proofErr w:type="spellStart"/>
      <w:r w:rsidRPr="00591E96">
        <w:rPr>
          <w:rFonts w:ascii="Calibri" w:hAnsi="Calibri" w:cs="Times"/>
          <w:sz w:val="22"/>
        </w:rPr>
        <w:t>Nevelös</w:t>
      </w:r>
      <w:proofErr w:type="spellEnd"/>
      <w:r w:rsidRPr="00591E96">
        <w:rPr>
          <w:rFonts w:ascii="Calibri" w:hAnsi="Calibri" w:cs="Times"/>
          <w:sz w:val="22"/>
        </w:rPr>
        <w:t xml:space="preserve"> AB. Perthes' disease: a new genetic hypothesis. Med Hypotheses. 1979</w:t>
      </w:r>
      <w:proofErr w:type="gramStart"/>
      <w:r w:rsidRPr="00591E96">
        <w:rPr>
          <w:rFonts w:ascii="Calibri" w:hAnsi="Calibri" w:cs="Times"/>
          <w:sz w:val="22"/>
        </w:rPr>
        <w:t>;5</w:t>
      </w:r>
      <w:proofErr w:type="gramEnd"/>
      <w:r w:rsidRPr="00591E96">
        <w:rPr>
          <w:rFonts w:ascii="Calibri" w:hAnsi="Calibri" w:cs="Times"/>
          <w:sz w:val="22"/>
        </w:rPr>
        <w:t>(5):513-28.</w:t>
      </w:r>
    </w:p>
    <w:p w14:paraId="74E0FF57" w14:textId="77777777" w:rsidR="00591E96" w:rsidRPr="00591E96" w:rsidRDefault="00591E96" w:rsidP="00591E96">
      <w:pPr>
        <w:widowControl w:val="0"/>
        <w:autoSpaceDE w:val="0"/>
        <w:autoSpaceDN w:val="0"/>
        <w:adjustRightInd w:val="0"/>
        <w:spacing w:after="0"/>
        <w:rPr>
          <w:rFonts w:ascii="Calibri" w:hAnsi="Calibri" w:cs="Times"/>
          <w:sz w:val="22"/>
        </w:rPr>
      </w:pPr>
    </w:p>
    <w:p w14:paraId="76B0A77C" w14:textId="77777777" w:rsidR="00591E96" w:rsidRPr="00591E96" w:rsidRDefault="00591E96" w:rsidP="00591E96">
      <w:pPr>
        <w:widowControl w:val="0"/>
        <w:autoSpaceDE w:val="0"/>
        <w:autoSpaceDN w:val="0"/>
        <w:adjustRightInd w:val="0"/>
        <w:spacing w:after="240"/>
        <w:rPr>
          <w:rFonts w:ascii="Calibri" w:hAnsi="Calibri" w:cs="Times"/>
          <w:sz w:val="22"/>
        </w:rPr>
      </w:pPr>
      <w:r w:rsidRPr="00591E96">
        <w:rPr>
          <w:rFonts w:ascii="Calibri" w:hAnsi="Calibri" w:cs="Times"/>
          <w:b/>
          <w:bCs/>
          <w:sz w:val="22"/>
        </w:rPr>
        <w:t xml:space="preserve">17. </w:t>
      </w:r>
      <w:r w:rsidRPr="00591E96">
        <w:rPr>
          <w:rFonts w:ascii="Calibri" w:hAnsi="Calibri" w:cs="Times"/>
          <w:sz w:val="22"/>
        </w:rPr>
        <w:t xml:space="preserve">Barker DJ, Dixon E, Taylor JF. </w:t>
      </w:r>
      <w:proofErr w:type="gramStart"/>
      <w:r w:rsidRPr="00591E96">
        <w:rPr>
          <w:rFonts w:ascii="Calibri" w:hAnsi="Calibri" w:cs="Times"/>
          <w:sz w:val="22"/>
        </w:rPr>
        <w:t>Perthes' disease of the hip in three regions of England.</w:t>
      </w:r>
      <w:proofErr w:type="gramEnd"/>
      <w:r w:rsidRPr="00591E96">
        <w:rPr>
          <w:rFonts w:ascii="Calibri" w:hAnsi="Calibri" w:cs="Times"/>
          <w:sz w:val="22"/>
        </w:rPr>
        <w:t xml:space="preserve"> J Bone Joint </w:t>
      </w:r>
      <w:proofErr w:type="spellStart"/>
      <w:r w:rsidRPr="00591E96">
        <w:rPr>
          <w:rFonts w:ascii="Calibri" w:hAnsi="Calibri" w:cs="Times"/>
          <w:sz w:val="22"/>
        </w:rPr>
        <w:t>Surg</w:t>
      </w:r>
      <w:proofErr w:type="spellEnd"/>
      <w:r w:rsidRPr="00591E96">
        <w:rPr>
          <w:rFonts w:ascii="Calibri" w:hAnsi="Calibri" w:cs="Times"/>
          <w:sz w:val="22"/>
        </w:rPr>
        <w:t xml:space="preserve"> Br. 1978</w:t>
      </w:r>
      <w:proofErr w:type="gramStart"/>
      <w:r w:rsidRPr="00591E96">
        <w:rPr>
          <w:rFonts w:ascii="Calibri" w:hAnsi="Calibri" w:cs="Times"/>
          <w:sz w:val="22"/>
        </w:rPr>
        <w:t>;60</w:t>
      </w:r>
      <w:proofErr w:type="gramEnd"/>
      <w:r w:rsidRPr="00591E96">
        <w:rPr>
          <w:rFonts w:ascii="Calibri" w:hAnsi="Calibri" w:cs="Times"/>
          <w:sz w:val="22"/>
        </w:rPr>
        <w:t>(4):478-80.</w:t>
      </w:r>
    </w:p>
    <w:p w14:paraId="72163C0D" w14:textId="77777777" w:rsidR="00591E96" w:rsidRPr="00591E96" w:rsidRDefault="00591E96" w:rsidP="00591E96">
      <w:pPr>
        <w:widowControl w:val="0"/>
        <w:autoSpaceDE w:val="0"/>
        <w:autoSpaceDN w:val="0"/>
        <w:adjustRightInd w:val="0"/>
        <w:spacing w:after="0"/>
        <w:rPr>
          <w:rFonts w:ascii="Calibri" w:hAnsi="Calibri" w:cs="Times"/>
          <w:sz w:val="22"/>
        </w:rPr>
      </w:pPr>
    </w:p>
    <w:p w14:paraId="4AA83F11" w14:textId="34091495" w:rsidR="00EE38D8" w:rsidRPr="00591E96" w:rsidRDefault="00EE38D8" w:rsidP="0023011F">
      <w:pPr>
        <w:autoSpaceDE w:val="0"/>
        <w:autoSpaceDN w:val="0"/>
        <w:adjustRightInd w:val="0"/>
        <w:spacing w:after="0" w:line="360" w:lineRule="auto"/>
        <w:rPr>
          <w:rFonts w:ascii="Calibri" w:hAnsi="Calibri" w:cs="Times New Roman"/>
          <w:sz w:val="22"/>
        </w:rPr>
      </w:pPr>
    </w:p>
    <w:sectPr w:rsidR="00EE38D8" w:rsidRPr="00591E96" w:rsidSect="002A52E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2A52E7"/>
    <w:rsid w:val="00043EB7"/>
    <w:rsid w:val="0007637C"/>
    <w:rsid w:val="00077493"/>
    <w:rsid w:val="000931A4"/>
    <w:rsid w:val="00093E29"/>
    <w:rsid w:val="000D377F"/>
    <w:rsid w:val="000E7A44"/>
    <w:rsid w:val="00105F5B"/>
    <w:rsid w:val="00134908"/>
    <w:rsid w:val="00194292"/>
    <w:rsid w:val="001B5C8E"/>
    <w:rsid w:val="001C1477"/>
    <w:rsid w:val="001C5C9A"/>
    <w:rsid w:val="001D4549"/>
    <w:rsid w:val="001E09F4"/>
    <w:rsid w:val="001E3B6B"/>
    <w:rsid w:val="00203947"/>
    <w:rsid w:val="0021474B"/>
    <w:rsid w:val="002211FD"/>
    <w:rsid w:val="00226FC2"/>
    <w:rsid w:val="0023011F"/>
    <w:rsid w:val="00230CD6"/>
    <w:rsid w:val="002A52E7"/>
    <w:rsid w:val="002A7272"/>
    <w:rsid w:val="002B11ED"/>
    <w:rsid w:val="00303A51"/>
    <w:rsid w:val="003318AA"/>
    <w:rsid w:val="003670EB"/>
    <w:rsid w:val="00384D7F"/>
    <w:rsid w:val="003C4EFD"/>
    <w:rsid w:val="003F185B"/>
    <w:rsid w:val="003F5095"/>
    <w:rsid w:val="00415632"/>
    <w:rsid w:val="004210FB"/>
    <w:rsid w:val="004473D5"/>
    <w:rsid w:val="0046011B"/>
    <w:rsid w:val="004755A8"/>
    <w:rsid w:val="004A53DC"/>
    <w:rsid w:val="004E7ED7"/>
    <w:rsid w:val="004F0DA5"/>
    <w:rsid w:val="0053334A"/>
    <w:rsid w:val="00564EAA"/>
    <w:rsid w:val="0058193D"/>
    <w:rsid w:val="00591E96"/>
    <w:rsid w:val="005A0C47"/>
    <w:rsid w:val="00603845"/>
    <w:rsid w:val="00610C57"/>
    <w:rsid w:val="00627342"/>
    <w:rsid w:val="0067380E"/>
    <w:rsid w:val="00675839"/>
    <w:rsid w:val="006B5238"/>
    <w:rsid w:val="006E28A2"/>
    <w:rsid w:val="007239FF"/>
    <w:rsid w:val="00751FA1"/>
    <w:rsid w:val="007854C5"/>
    <w:rsid w:val="007D5A29"/>
    <w:rsid w:val="007F5DE5"/>
    <w:rsid w:val="00835C26"/>
    <w:rsid w:val="008379A8"/>
    <w:rsid w:val="008B44C4"/>
    <w:rsid w:val="008D2E0C"/>
    <w:rsid w:val="00916E9B"/>
    <w:rsid w:val="009207F0"/>
    <w:rsid w:val="00982D39"/>
    <w:rsid w:val="00992755"/>
    <w:rsid w:val="009B3F69"/>
    <w:rsid w:val="009F60EC"/>
    <w:rsid w:val="009F61E0"/>
    <w:rsid w:val="00A55CD4"/>
    <w:rsid w:val="00A90392"/>
    <w:rsid w:val="00AB6C0A"/>
    <w:rsid w:val="00B10CB3"/>
    <w:rsid w:val="00B170F5"/>
    <w:rsid w:val="00B23449"/>
    <w:rsid w:val="00BA3F86"/>
    <w:rsid w:val="00BC1E3A"/>
    <w:rsid w:val="00BC7EE3"/>
    <w:rsid w:val="00C25DDB"/>
    <w:rsid w:val="00C75011"/>
    <w:rsid w:val="00DA4FCC"/>
    <w:rsid w:val="00DB7FB6"/>
    <w:rsid w:val="00E10E24"/>
    <w:rsid w:val="00E76050"/>
    <w:rsid w:val="00E7723D"/>
    <w:rsid w:val="00E933E6"/>
    <w:rsid w:val="00EE38D8"/>
    <w:rsid w:val="00F5220E"/>
    <w:rsid w:val="00FC0B3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72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4D7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C1477"/>
    <w:rPr>
      <w:color w:val="0000FF" w:themeColor="hyperlink"/>
      <w:u w:val="single"/>
    </w:rPr>
  </w:style>
  <w:style w:type="paragraph" w:styleId="BalloonText">
    <w:name w:val="Balloon Text"/>
    <w:basedOn w:val="Normal"/>
    <w:link w:val="BalloonTextChar"/>
    <w:rsid w:val="00B23449"/>
    <w:pPr>
      <w:spacing w:after="0"/>
    </w:pPr>
    <w:rPr>
      <w:rFonts w:ascii="Tahoma" w:hAnsi="Tahoma" w:cs="Tahoma"/>
      <w:sz w:val="16"/>
      <w:szCs w:val="16"/>
    </w:rPr>
  </w:style>
  <w:style w:type="character" w:customStyle="1" w:styleId="BalloonTextChar">
    <w:name w:val="Balloon Text Char"/>
    <w:basedOn w:val="DefaultParagraphFont"/>
    <w:link w:val="BalloonText"/>
    <w:rsid w:val="00B23449"/>
    <w:rPr>
      <w:rFonts w:ascii="Tahoma" w:hAnsi="Tahoma" w:cs="Tahoma"/>
      <w:sz w:val="16"/>
      <w:szCs w:val="16"/>
    </w:rPr>
  </w:style>
  <w:style w:type="character" w:styleId="FollowedHyperlink">
    <w:name w:val="FollowedHyperlink"/>
    <w:basedOn w:val="DefaultParagraphFont"/>
    <w:rsid w:val="00230CD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izfolio.com/?citation=1&amp;ver=3&amp;ItemID=419&amp;UserID=3268&amp;AccessCode=4BC7EAF00A504F69B29B32627A6BB450&amp;CitationSuffix=" TargetMode="External"/><Relationship Id="rId21" Type="http://schemas.openxmlformats.org/officeDocument/2006/relationships/hyperlink" Target="http://wizfolio.com/?citation=1&amp;ver=3&amp;ItemID=421&amp;UserID=3268&amp;AccessCode=4218FE2BEFAA4602A3AE33A14B46B4CD&amp;CitationSuffix=" TargetMode="External"/><Relationship Id="rId22" Type="http://schemas.openxmlformats.org/officeDocument/2006/relationships/hyperlink" Target="http://wizfolio.com/?citation=1&amp;ver=3&amp;ItemID=336&amp;UserID=3268&amp;AccessCode=931B87AAD6FC415B93144BCBED02C38C&amp;CitationSuffix=" TargetMode="External"/><Relationship Id="rId23" Type="http://schemas.openxmlformats.org/officeDocument/2006/relationships/hyperlink" Target="http://wizfolio.com/?citation=1&amp;ver=3&amp;ItemID=533&amp;UserID=3268&amp;AccessCode=5B51967FA99F41A78C35435F29EBD3DC&amp;CitationSuffix=" TargetMode="External"/><Relationship Id="rId24" Type="http://schemas.openxmlformats.org/officeDocument/2006/relationships/hyperlink" Target="http://wizfolio.com/?citation=1&amp;ver=3&amp;ItemID=319&amp;UserID=3268&amp;AccessCode=36424C1B61FE4505AD4D9B0AD13DC043&amp;CitationSuffix=" TargetMode="External"/><Relationship Id="rId25" Type="http://schemas.openxmlformats.org/officeDocument/2006/relationships/hyperlink" Target="http://wizfolio.com/?citation=1&amp;ver=3&amp;ItemID=633&amp;UserID=3268&amp;AccessCode=0&amp;CitationSuffix=" TargetMode="External"/><Relationship Id="rId26" Type="http://schemas.openxmlformats.org/officeDocument/2006/relationships/hyperlink" Target="http://wizfolio.com/?citation=1&amp;ver=3&amp;ItemID=774&amp;UserID=3268&amp;AccessCode=7893574E8FFA4F7293C0A43B4F5265F4&amp;CitationSuffix=" TargetMode="External"/><Relationship Id="rId27" Type="http://schemas.openxmlformats.org/officeDocument/2006/relationships/hyperlink" Target="http://wizfolio.com/?citation=1&amp;ver=3&amp;ItemID=349&amp;UserID=3268&amp;AccessCode=4EA93B51C0594378AE108D53C773010F&amp;CitationSuffix=" TargetMode="External"/><Relationship Id="rId28" Type="http://schemas.openxmlformats.org/officeDocument/2006/relationships/hyperlink" Target="http://wizfolio.com/?citation=1&amp;ver=3&amp;ItemID=421&amp;UserID=3268&amp;AccessCode=4218FE2BEFAA4602A3AE33A14B46B4CD&amp;CitationSuffix=" TargetMode="External"/><Relationship Id="rId29" Type="http://schemas.openxmlformats.org/officeDocument/2006/relationships/hyperlink" Target="http://wizfolio.com/?citation=1&amp;ver=3&amp;ItemID=533&amp;UserID=3268&amp;AccessCode=5B51967FA99F41A78C35435F29EBD3DC&amp;CitationSuffix="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izfolio.com/?citation=1&amp;ver=3&amp;ItemID=419&amp;UserID=3268&amp;AccessCode=4BC7EAF00A504F69B29B32627A6BB450&amp;CitationSuffix=" TargetMode="External"/><Relationship Id="rId30" Type="http://schemas.openxmlformats.org/officeDocument/2006/relationships/hyperlink" Target="http://wizfolio.com/?citation=1&amp;ver=3&amp;ItemID=615&amp;UserID=3268&amp;AccessCode=0&amp;CitationSuffix=" TargetMode="External"/><Relationship Id="rId31" Type="http://schemas.openxmlformats.org/officeDocument/2006/relationships/hyperlink" Target="http://wizfolio.com/?citation=1&amp;ver=3&amp;ItemID=685&amp;UserID=3268&amp;AccessCode=FB929EA8738D409196E54CC8963EFAC7&amp;CitationSuffix=" TargetMode="External"/><Relationship Id="rId32" Type="http://schemas.openxmlformats.org/officeDocument/2006/relationships/hyperlink" Target="https://wizfolio.com/?style=1&amp;ver=3&amp;UserID=3268&amp;StyleName=Style%2020101111%20092316" TargetMode="External"/><Relationship Id="rId9" Type="http://schemas.openxmlformats.org/officeDocument/2006/relationships/hyperlink" Target="http://wizfolio.com/?citation=1&amp;ver=3&amp;ItemID=615&amp;UserID=3268&amp;AccessCode=0&amp;CitationSuffix=" TargetMode="External"/><Relationship Id="rId6" Type="http://schemas.openxmlformats.org/officeDocument/2006/relationships/hyperlink" Target="http://wizfolio.com/?citation=1&amp;ver=3&amp;ItemID=540&amp;UserID=3268&amp;AccessCode=99871EA7140748C8B70CAA1AA9428871&amp;CitationSuffix=" TargetMode="External"/><Relationship Id="rId7" Type="http://schemas.openxmlformats.org/officeDocument/2006/relationships/hyperlink" Target="http://wizfolio.com/?citation=1&amp;ver=3&amp;ItemID=681&amp;UserID=3268&amp;AccessCode=3C4D9C39619F479B8DCAD6874DEF704A&amp;CitationSuffix=" TargetMode="External"/><Relationship Id="rId8" Type="http://schemas.openxmlformats.org/officeDocument/2006/relationships/hyperlink" Target="http://wizfolio.com/?citation=1&amp;ver=3&amp;ItemID=683&amp;UserID=3268&amp;AccessCode=09527964AF9843DEAAF95CAD619AF7F8&amp;CitationSuffix="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izfolio.com/?citation=1&amp;ver=3&amp;ItemID=884&amp;UserID=3268&amp;AccessCode=B154BCD47672472091B736F65C96A32A&amp;CitationSuffix="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wizfolio.com/?citation=1&amp;ver=3&amp;ItemID=682&amp;UserID=3268&amp;AccessCode=2544964669CB4B90AE6017B9E11FCFCB&amp;CitationSuffix=" TargetMode="External"/><Relationship Id="rId15" Type="http://schemas.openxmlformats.org/officeDocument/2006/relationships/hyperlink" Target="http://wizfolio.com/?citation=1&amp;ver=3&amp;ItemID=775&amp;UserID=3268&amp;AccessCode=C49D7C1E994C46908D5570DB10500AE7&amp;CitationSuffix=" TargetMode="External"/><Relationship Id="rId16" Type="http://schemas.openxmlformats.org/officeDocument/2006/relationships/hyperlink" Target="http://wizfolio.com/?citation=1&amp;ver=3&amp;ItemID=684&amp;UserID=3268&amp;AccessCode=58A7805205F845F5A5E13E21820401EE&amp;CitationSuffix=" TargetMode="External"/><Relationship Id="rId17" Type="http://schemas.openxmlformats.org/officeDocument/2006/relationships/hyperlink" Target="http://wizfolio.com/?citation=1&amp;ver=3&amp;ItemID=685&amp;UserID=3268&amp;AccessCode=FB929EA8738D409196E54CC8963EFAC7&amp;CitationSuffix=" TargetMode="External"/><Relationship Id="rId18" Type="http://schemas.openxmlformats.org/officeDocument/2006/relationships/hyperlink" Target="http://wizfolio.com/?citation=1&amp;ver=3&amp;ItemID=685&amp;UserID=3268&amp;AccessCode=FB929EA8738D409196E54CC8963EFAC7&amp;CitationSuffix=" TargetMode="External"/><Relationship Id="rId19" Type="http://schemas.openxmlformats.org/officeDocument/2006/relationships/hyperlink" Target="http://wizfolio.com/?citation=1&amp;ver=3&amp;ItemID=615&amp;UserID=3268&amp;AccessCode=0&amp;CitationSuff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1027</TotalTime>
  <Pages>11</Pages>
  <Words>2887</Words>
  <Characters>16462</Characters>
  <Application>Microsoft Macintosh Word</Application>
  <DocSecurity>0</DocSecurity>
  <Lines>137</Lines>
  <Paragraphs>38</Paragraphs>
  <ScaleCrop>false</ScaleCrop>
  <Company>University of Liverpool</Company>
  <LinksUpToDate>false</LinksUpToDate>
  <CharactersWithSpaces>19311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Perry</dc:creator>
  <cp:keywords/>
  <cp:lastModifiedBy>Daniel Perry</cp:lastModifiedBy>
  <cp:revision>17</cp:revision>
  <dcterms:created xsi:type="dcterms:W3CDTF">2011-01-12T10:04:00Z</dcterms:created>
  <dcterms:modified xsi:type="dcterms:W3CDTF">2013-03-26T13:57:00Z</dcterms:modified>
</cp:coreProperties>
</file>